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535"/>
          <w:tab w:val="right" w:pos="9070"/>
        </w:tabs>
        <w:spacing w:beforeLines="30" w:afterLines="30"/>
        <w:jc w:val="center"/>
        <w:rPr>
          <w:rFonts w:cs="宋体"/>
          <w:b/>
          <w:bCs/>
          <w:sz w:val="48"/>
          <w:szCs w:val="48"/>
        </w:rPr>
      </w:pPr>
      <w:bookmarkStart w:id="0" w:name="_Toc417592094"/>
      <w:bookmarkStart w:id="1" w:name="_Toc417637390"/>
      <w:bookmarkStart w:id="2" w:name="_Toc361731290"/>
      <w:bookmarkStart w:id="3" w:name="_Toc396746022"/>
      <w:bookmarkStart w:id="4" w:name="_Toc378073297"/>
      <w:bookmarkStart w:id="5" w:name="_Toc396807662"/>
      <w:bookmarkStart w:id="6" w:name="_Toc410029771"/>
      <w:bookmarkStart w:id="7" w:name="_Toc419275063"/>
      <w:bookmarkStart w:id="8" w:name="_Toc363822710"/>
      <w:bookmarkStart w:id="9" w:name="_Toc410025712"/>
      <w:bookmarkStart w:id="10" w:name="_Toc417588168"/>
      <w:bookmarkStart w:id="11" w:name="_Toc27010"/>
      <w:bookmarkStart w:id="12" w:name="_Toc378062542"/>
      <w:bookmarkStart w:id="13" w:name="_Toc7015"/>
    </w:p>
    <w:p>
      <w:pPr>
        <w:tabs>
          <w:tab w:val="center" w:pos="4535"/>
          <w:tab w:val="right" w:pos="9070"/>
        </w:tabs>
        <w:spacing w:beforeLines="30" w:afterLines="30"/>
        <w:jc w:val="center"/>
        <w:rPr>
          <w:rFonts w:cs="宋体"/>
          <w:b/>
          <w:bCs/>
          <w:sz w:val="48"/>
          <w:szCs w:val="48"/>
        </w:rPr>
      </w:pPr>
    </w:p>
    <w:p>
      <w:pPr>
        <w:tabs>
          <w:tab w:val="center" w:pos="4535"/>
          <w:tab w:val="right" w:pos="9070"/>
        </w:tabs>
        <w:spacing w:beforeLines="30" w:afterLines="30"/>
        <w:jc w:val="center"/>
        <w:rPr>
          <w:rFonts w:cs="宋体"/>
          <w:b/>
          <w:bCs/>
          <w:sz w:val="48"/>
          <w:szCs w:val="48"/>
        </w:rPr>
      </w:pPr>
    </w:p>
    <w:p>
      <w:pPr>
        <w:tabs>
          <w:tab w:val="center" w:pos="4535"/>
          <w:tab w:val="right" w:pos="9070"/>
        </w:tabs>
        <w:jc w:val="center"/>
        <w:rPr>
          <w:sz w:val="52"/>
          <w:szCs w:val="52"/>
        </w:rPr>
      </w:pPr>
      <w:r>
        <w:rPr>
          <w:rFonts w:hint="eastAsia" w:cs="宋体"/>
          <w:b/>
          <w:bCs/>
          <w:sz w:val="52"/>
          <w:szCs w:val="52"/>
        </w:rPr>
        <w:t>西充太平吉运加油站</w:t>
      </w:r>
    </w:p>
    <w:p>
      <w:pPr>
        <w:tabs>
          <w:tab w:val="center" w:pos="4535"/>
          <w:tab w:val="right" w:pos="8956"/>
        </w:tabs>
        <w:jc w:val="center"/>
        <w:rPr>
          <w:rFonts w:cs="宋体"/>
          <w:kern w:val="1"/>
          <w:sz w:val="44"/>
          <w:szCs w:val="44"/>
        </w:rPr>
      </w:pPr>
      <w:r>
        <w:rPr>
          <w:rFonts w:hint="eastAsia" w:cs="宋体"/>
          <w:b/>
          <w:kern w:val="1"/>
          <w:sz w:val="52"/>
          <w:szCs w:val="52"/>
        </w:rPr>
        <w:t>生产安全事故应急预案</w:t>
      </w:r>
    </w:p>
    <w:p>
      <w:pPr>
        <w:pStyle w:val="37"/>
        <w:spacing w:line="440" w:lineRule="exact"/>
        <w:ind w:right="-399"/>
        <w:jc w:val="center"/>
        <w:rPr>
          <w:rFonts w:ascii="Times New Roman" w:eastAsia="宋体" w:cs="宋体"/>
          <w:sz w:val="28"/>
          <w:szCs w:val="28"/>
        </w:rPr>
      </w:pPr>
    </w:p>
    <w:p>
      <w:pPr>
        <w:pStyle w:val="37"/>
        <w:spacing w:line="440" w:lineRule="exact"/>
        <w:ind w:right="-399"/>
        <w:jc w:val="center"/>
        <w:rPr>
          <w:rFonts w:ascii="Times New Roman" w:eastAsia="宋体" w:cs="宋体"/>
          <w:sz w:val="28"/>
          <w:szCs w:val="28"/>
        </w:rPr>
      </w:pPr>
    </w:p>
    <w:p>
      <w:pPr>
        <w:pStyle w:val="37"/>
        <w:spacing w:line="440" w:lineRule="exact"/>
        <w:ind w:right="-399"/>
        <w:jc w:val="center"/>
        <w:rPr>
          <w:rFonts w:ascii="Times New Roman" w:eastAsia="宋体" w:cs="宋体"/>
          <w:sz w:val="28"/>
          <w:szCs w:val="28"/>
        </w:rPr>
      </w:pPr>
    </w:p>
    <w:p>
      <w:pPr>
        <w:pStyle w:val="37"/>
        <w:spacing w:line="440" w:lineRule="exact"/>
        <w:ind w:right="-399"/>
        <w:jc w:val="center"/>
        <w:rPr>
          <w:rFonts w:ascii="Times New Roman" w:eastAsia="宋体" w:cs="宋体"/>
          <w:sz w:val="28"/>
          <w:szCs w:val="28"/>
        </w:rPr>
      </w:pPr>
    </w:p>
    <w:p>
      <w:pPr>
        <w:pStyle w:val="37"/>
        <w:spacing w:line="440" w:lineRule="exact"/>
        <w:ind w:right="-399"/>
        <w:jc w:val="center"/>
        <w:rPr>
          <w:rFonts w:ascii="Times New Roman" w:eastAsia="宋体" w:cs="宋体"/>
          <w:sz w:val="28"/>
          <w:szCs w:val="28"/>
        </w:rPr>
      </w:pPr>
    </w:p>
    <w:p>
      <w:pPr>
        <w:pStyle w:val="37"/>
        <w:spacing w:line="440" w:lineRule="exact"/>
        <w:ind w:right="-399"/>
        <w:jc w:val="center"/>
        <w:rPr>
          <w:rFonts w:ascii="Times New Roman" w:eastAsia="宋体" w:cs="宋体"/>
          <w:sz w:val="28"/>
          <w:szCs w:val="28"/>
        </w:rPr>
      </w:pPr>
    </w:p>
    <w:p>
      <w:pPr>
        <w:pStyle w:val="37"/>
        <w:spacing w:line="440" w:lineRule="exact"/>
        <w:ind w:right="-399"/>
        <w:jc w:val="center"/>
        <w:rPr>
          <w:rFonts w:ascii="Times New Roman" w:eastAsia="宋体" w:cs="宋体"/>
          <w:sz w:val="28"/>
          <w:szCs w:val="28"/>
        </w:rPr>
      </w:pPr>
    </w:p>
    <w:p>
      <w:pPr>
        <w:pStyle w:val="37"/>
        <w:spacing w:line="440" w:lineRule="exact"/>
        <w:ind w:right="-399"/>
        <w:jc w:val="center"/>
        <w:rPr>
          <w:rFonts w:ascii="Times New Roman" w:eastAsia="宋体" w:cs="宋体"/>
          <w:sz w:val="28"/>
          <w:szCs w:val="28"/>
        </w:rPr>
      </w:pPr>
    </w:p>
    <w:p>
      <w:pPr>
        <w:pStyle w:val="37"/>
        <w:spacing w:line="440" w:lineRule="exact"/>
        <w:ind w:right="-399"/>
        <w:jc w:val="center"/>
        <w:rPr>
          <w:rFonts w:ascii="Times New Roman" w:eastAsia="宋体" w:cs="宋体"/>
          <w:sz w:val="28"/>
          <w:szCs w:val="28"/>
        </w:rPr>
      </w:pPr>
    </w:p>
    <w:p>
      <w:pPr>
        <w:pStyle w:val="37"/>
        <w:spacing w:line="440" w:lineRule="exact"/>
        <w:ind w:right="-399"/>
        <w:jc w:val="center"/>
        <w:rPr>
          <w:rFonts w:ascii="Times New Roman" w:eastAsia="宋体" w:cs="宋体"/>
          <w:sz w:val="28"/>
          <w:szCs w:val="28"/>
        </w:rPr>
      </w:pPr>
    </w:p>
    <w:p>
      <w:pPr>
        <w:pStyle w:val="37"/>
        <w:spacing w:line="440" w:lineRule="exact"/>
        <w:ind w:right="-399"/>
        <w:jc w:val="center"/>
        <w:rPr>
          <w:rFonts w:ascii="Times New Roman" w:eastAsia="宋体" w:cs="宋体"/>
          <w:sz w:val="28"/>
          <w:szCs w:val="28"/>
        </w:rPr>
      </w:pPr>
    </w:p>
    <w:p>
      <w:pPr>
        <w:pStyle w:val="37"/>
        <w:spacing w:line="440" w:lineRule="exact"/>
        <w:ind w:right="-399"/>
        <w:jc w:val="center"/>
        <w:rPr>
          <w:rFonts w:ascii="Times New Roman" w:eastAsia="宋体" w:cs="宋体"/>
          <w:sz w:val="28"/>
          <w:szCs w:val="28"/>
        </w:rPr>
      </w:pPr>
    </w:p>
    <w:p>
      <w:pPr>
        <w:pStyle w:val="37"/>
        <w:spacing w:line="440" w:lineRule="exact"/>
        <w:ind w:right="-399"/>
        <w:jc w:val="center"/>
        <w:rPr>
          <w:rFonts w:ascii="Times New Roman" w:eastAsia="宋体" w:cs="宋体"/>
          <w:sz w:val="28"/>
          <w:szCs w:val="28"/>
        </w:rPr>
      </w:pPr>
    </w:p>
    <w:p>
      <w:pPr>
        <w:pStyle w:val="37"/>
        <w:spacing w:line="440" w:lineRule="exact"/>
        <w:ind w:right="-399"/>
        <w:jc w:val="center"/>
        <w:rPr>
          <w:rFonts w:ascii="Times New Roman" w:eastAsia="宋体" w:cs="宋体"/>
          <w:sz w:val="28"/>
          <w:szCs w:val="28"/>
        </w:rPr>
      </w:pPr>
    </w:p>
    <w:p>
      <w:pPr>
        <w:pStyle w:val="37"/>
        <w:spacing w:line="440" w:lineRule="exact"/>
        <w:ind w:right="-399"/>
        <w:jc w:val="center"/>
        <w:rPr>
          <w:rFonts w:ascii="Times New Roman" w:eastAsia="宋体" w:cs="宋体"/>
          <w:sz w:val="28"/>
          <w:szCs w:val="28"/>
        </w:rPr>
      </w:pPr>
    </w:p>
    <w:p>
      <w:pPr>
        <w:pStyle w:val="37"/>
        <w:spacing w:line="440" w:lineRule="exact"/>
        <w:ind w:right="-399"/>
        <w:jc w:val="center"/>
        <w:rPr>
          <w:rFonts w:ascii="Times New Roman" w:eastAsia="宋体" w:cs="宋体"/>
          <w:sz w:val="28"/>
          <w:szCs w:val="28"/>
        </w:rPr>
      </w:pPr>
    </w:p>
    <w:p>
      <w:pPr>
        <w:pStyle w:val="37"/>
        <w:spacing w:line="440" w:lineRule="exact"/>
        <w:ind w:right="-399"/>
        <w:jc w:val="center"/>
        <w:rPr>
          <w:rFonts w:ascii="Times New Roman" w:eastAsia="宋体" w:cs="宋体"/>
          <w:sz w:val="28"/>
          <w:szCs w:val="28"/>
        </w:rPr>
      </w:pPr>
    </w:p>
    <w:p>
      <w:pPr>
        <w:spacing w:line="440" w:lineRule="exact"/>
        <w:ind w:firstLine="280" w:firstLineChars="100"/>
        <w:rPr>
          <w:rFonts w:cs="宋体"/>
          <w:kern w:val="1"/>
          <w:sz w:val="28"/>
          <w:szCs w:val="28"/>
        </w:rPr>
      </w:pPr>
      <w:r>
        <w:rPr>
          <w:rFonts w:hint="eastAsia" w:cs="宋体"/>
          <w:kern w:val="1"/>
          <w:sz w:val="28"/>
          <w:szCs w:val="28"/>
        </w:rPr>
        <w:t>2020年5月28日发布                 2020年6月1日实施</w:t>
      </w:r>
    </w:p>
    <w:p>
      <w:pPr>
        <w:jc w:val="center"/>
        <w:rPr>
          <w:rFonts w:eastAsia="黑体"/>
          <w:sz w:val="28"/>
          <w:szCs w:val="28"/>
        </w:rPr>
      </w:pPr>
      <w:r>
        <w:rPr>
          <w:rFonts w:ascii="宋体" w:hAnsi="宋体" w:cs="宋体"/>
          <w:sz w:val="28"/>
          <w:szCs w:val="28"/>
        </w:rPr>
        <w:pict>
          <v:line id="直接连接符 2" o:spid="_x0000_s1026" o:spt="20" style="position:absolute;left:0pt;flip:y;margin-left:13.7pt;margin-top:2.4pt;height:0.7pt;width:411pt;z-index:251709440;mso-width-relative:page;mso-height-relative:page;" coordsize="21600,21600" o:gfxdata="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SLZ&#10;LNQAAAAGAQAADwAAAAAAAAABACAAAAAiAAAAZHJzL2Rvd25yZXYueG1sUEsBAhQAFAAAAAgAh07i&#10;QGFN517tAQAArgMAAA4AAAAAAAAAAQAgAAAAIwEAAGRycy9lMm9Eb2MueG1sUEsFBgAAAAAGAAYA&#10;WQEAAIIFAAAAAA==&#10;">
            <v:path arrowok="t"/>
            <v:fill focussize="0,0"/>
            <v:stroke weight="0.5pt" joinstyle="miter"/>
            <v:imagedata o:title=""/>
            <o:lock v:ext="edit"/>
          </v:line>
        </w:pict>
      </w:r>
      <w:r>
        <w:rPr>
          <w:rFonts w:hint="eastAsia" w:cs="宋体"/>
          <w:sz w:val="28"/>
          <w:szCs w:val="28"/>
        </w:rPr>
        <w:t xml:space="preserve">西充太平吉运加油站  </w:t>
      </w:r>
      <w:r>
        <w:rPr>
          <w:rFonts w:hint="eastAsia" w:cs="宋体"/>
          <w:kern w:val="1"/>
          <w:sz w:val="28"/>
          <w:szCs w:val="28"/>
        </w:rPr>
        <w:t>编制</w:t>
      </w:r>
    </w:p>
    <w:bookmarkEnd w:id="0"/>
    <w:bookmarkEnd w:id="1"/>
    <w:bookmarkEnd w:id="2"/>
    <w:bookmarkEnd w:id="3"/>
    <w:bookmarkEnd w:id="4"/>
    <w:bookmarkEnd w:id="5"/>
    <w:bookmarkEnd w:id="6"/>
    <w:bookmarkEnd w:id="7"/>
    <w:bookmarkEnd w:id="8"/>
    <w:bookmarkEnd w:id="9"/>
    <w:bookmarkEnd w:id="10"/>
    <w:bookmarkEnd w:id="11"/>
    <w:bookmarkEnd w:id="12"/>
    <w:p>
      <w:pPr>
        <w:rPr>
          <w:rFonts w:eastAsia="黑体"/>
          <w:b/>
          <w:sz w:val="32"/>
          <w:szCs w:val="32"/>
        </w:rPr>
        <w:sectPr>
          <w:footerReference r:id="rId3" w:type="default"/>
          <w:footerReference r:id="rId4" w:type="even"/>
          <w:pgSz w:w="11906" w:h="16838"/>
          <w:pgMar w:top="1440" w:right="1440" w:bottom="1440" w:left="1797" w:header="720" w:footer="720" w:gutter="0"/>
          <w:cols w:space="720" w:num="1"/>
          <w:docGrid w:type="lines" w:linePitch="312" w:charSpace="0"/>
        </w:sectPr>
      </w:pPr>
    </w:p>
    <w:p>
      <w:pPr>
        <w:widowControl/>
        <w:spacing w:line="360" w:lineRule="auto"/>
        <w:jc w:val="center"/>
        <w:rPr>
          <w:rFonts w:ascii="宋体" w:hAnsi="宋体" w:cs="宋体"/>
          <w:b/>
          <w:color w:val="FF0000"/>
          <w:spacing w:val="68"/>
          <w:w w:val="35"/>
          <w:sz w:val="84"/>
          <w:szCs w:val="84"/>
        </w:rPr>
      </w:pPr>
      <w:r>
        <w:rPr>
          <w:rFonts w:hint="eastAsia" w:ascii="宋体" w:hAnsi="宋体" w:cs="宋体"/>
          <w:b/>
          <w:color w:val="FF0000"/>
          <w:spacing w:val="68"/>
          <w:w w:val="35"/>
          <w:sz w:val="84"/>
          <w:szCs w:val="84"/>
        </w:rPr>
        <w:t>西充太平吉运加油站文件</w:t>
      </w:r>
    </w:p>
    <w:p>
      <w:pPr>
        <w:spacing w:line="360" w:lineRule="auto"/>
        <w:jc w:val="center"/>
        <w:rPr>
          <w:rFonts w:ascii="宋体" w:hAnsi="宋体" w:cs="宋体"/>
          <w:color w:val="FF0000"/>
          <w:sz w:val="24"/>
        </w:rPr>
      </w:pPr>
      <w:r>
        <w:rPr>
          <w:rFonts w:hint="eastAsia" w:ascii="宋体" w:hAnsi="宋体" w:cs="宋体"/>
          <w:color w:val="FF0000"/>
          <w:sz w:val="24"/>
        </w:rPr>
        <w:t>吉运</w:t>
      </w:r>
      <w:r>
        <w:rPr>
          <w:rFonts w:ascii="宋体" w:hAnsi="宋体" w:cs="宋体"/>
          <w:color w:val="FF0000"/>
          <w:sz w:val="24"/>
        </w:rPr>
        <w:pict>
          <v:line id="直接连接符 26" o:spid="_x0000_s1112" o:spt="20" style="position:absolute;left:0pt;flip:y;margin-left:-31.5pt;margin-top:26.8pt;height:0pt;width:478.95pt;z-index:-251658240;mso-width-relative:page;mso-height-relative:page;" stroked="t" coordsize="21600,21600" o:gfxdata="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mfDlXYAAAACQEAAA8AAAAA&#10;AAAAAQAgAAAAIgAAAGRycy9kb3ducmV2LnhtbFBLAQIUABQAAAAIAIdO4kAUaVfv2wEAAHkDAAAO&#10;AAAAAAAAAAEAIAAAACcBAABkcnMvZTJvRG9jLnhtbFBLBQYAAAAABgAGAFkBAAB0BQAAAAA=&#10;">
            <v:path arrowok="t"/>
            <v:fill focussize="0,0"/>
            <v:stroke weight="2.5pt" color="#FF0000"/>
            <v:imagedata o:title=""/>
            <o:lock v:ext="edit"/>
          </v:line>
        </w:pict>
      </w:r>
      <w:r>
        <w:rPr>
          <w:rFonts w:hint="eastAsia" w:ascii="宋体" w:hAnsi="宋体" w:cs="宋体"/>
          <w:color w:val="FF0000"/>
          <w:sz w:val="24"/>
        </w:rPr>
        <w:t>（2020）05号</w:t>
      </w:r>
    </w:p>
    <w:p>
      <w:pPr>
        <w:spacing w:line="360" w:lineRule="auto"/>
        <w:jc w:val="center"/>
        <w:rPr>
          <w:rFonts w:ascii="宋体" w:hAnsi="宋体" w:cs="宋体"/>
          <w:b/>
          <w:sz w:val="32"/>
          <w:szCs w:val="32"/>
        </w:rPr>
      </w:pPr>
    </w:p>
    <w:p>
      <w:pPr>
        <w:spacing w:line="360" w:lineRule="auto"/>
        <w:jc w:val="center"/>
        <w:rPr>
          <w:rFonts w:ascii="宋体" w:hAnsi="宋体" w:cs="宋体"/>
          <w:sz w:val="28"/>
          <w:szCs w:val="28"/>
        </w:rPr>
      </w:pPr>
      <w:r>
        <w:rPr>
          <w:rFonts w:hint="eastAsia" w:ascii="宋体" w:hAnsi="宋体" w:cs="宋体"/>
          <w:b/>
          <w:sz w:val="32"/>
          <w:szCs w:val="32"/>
        </w:rPr>
        <w:t>关于成立应急组织机构的通知</w:t>
      </w:r>
    </w:p>
    <w:p>
      <w:pPr>
        <w:spacing w:line="360" w:lineRule="auto"/>
        <w:rPr>
          <w:rFonts w:ascii="宋体" w:hAnsi="宋体" w:cs="宋体"/>
          <w:sz w:val="28"/>
          <w:szCs w:val="28"/>
        </w:rPr>
      </w:pPr>
      <w:r>
        <w:rPr>
          <w:rFonts w:hint="eastAsia" w:ascii="宋体" w:hAnsi="宋体" w:cs="宋体"/>
          <w:sz w:val="28"/>
          <w:szCs w:val="28"/>
        </w:rPr>
        <w:t>全体员工：</w:t>
      </w:r>
    </w:p>
    <w:p>
      <w:pPr>
        <w:tabs>
          <w:tab w:val="left" w:pos="861"/>
        </w:tabs>
        <w:ind w:firstLine="560" w:firstLineChars="200"/>
        <w:jc w:val="left"/>
        <w:rPr>
          <w:rFonts w:ascii="宋体" w:hAnsi="宋体" w:cs="宋体"/>
          <w:bCs/>
          <w:sz w:val="28"/>
          <w:szCs w:val="28"/>
        </w:rPr>
      </w:pPr>
      <w:r>
        <w:rPr>
          <w:rFonts w:hint="eastAsia" w:ascii="宋体" w:hAnsi="宋体" w:cs="宋体"/>
          <w:bCs/>
          <w:sz w:val="28"/>
          <w:szCs w:val="28"/>
        </w:rPr>
        <w:t>为加强本加油站应急工作的统一领导，落实好应急管理工作，当发生突发事件时，能迅速、有效地采取应急行动，保护员工生命和财产安全，经本加油研究决定，成立突发事件应急领导小组及其办公室。办公室组成人员如下：</w:t>
      </w:r>
    </w:p>
    <w:p>
      <w:pPr>
        <w:ind w:firstLine="560" w:firstLineChars="200"/>
        <w:rPr>
          <w:rFonts w:ascii="宋体"/>
          <w:sz w:val="28"/>
          <w:szCs w:val="28"/>
        </w:rPr>
      </w:pPr>
      <w:r>
        <w:rPr>
          <w:rFonts w:hint="eastAsia" w:ascii="宋体" w:hAnsi="宋体" w:cs="宋体"/>
          <w:sz w:val="28"/>
          <w:szCs w:val="28"/>
        </w:rPr>
        <w:t>总指挥：</w:t>
      </w:r>
      <w:r>
        <w:rPr>
          <w:rFonts w:hint="eastAsia" w:ascii="宋体" w:hAnsi="宋体" w:cs="宋体"/>
          <w:kern w:val="0"/>
          <w:sz w:val="28"/>
          <w:szCs w:val="28"/>
        </w:rPr>
        <w:t>李德斌</w:t>
      </w:r>
    </w:p>
    <w:p>
      <w:pPr>
        <w:ind w:firstLine="560"/>
        <w:rPr>
          <w:rFonts w:ascii="宋体"/>
          <w:sz w:val="28"/>
          <w:szCs w:val="28"/>
        </w:rPr>
      </w:pPr>
      <w:r>
        <w:rPr>
          <w:rFonts w:hint="eastAsia" w:ascii="宋体" w:hAnsi="宋体" w:cs="宋体"/>
          <w:sz w:val="28"/>
          <w:szCs w:val="28"/>
        </w:rPr>
        <w:t>副总指挥：</w:t>
      </w:r>
      <w:r>
        <w:rPr>
          <w:rFonts w:hint="eastAsia" w:ascii="宋体" w:hAnsi="宋体" w:cs="宋体"/>
          <w:kern w:val="0"/>
          <w:sz w:val="28"/>
          <w:szCs w:val="28"/>
        </w:rPr>
        <w:t>李力</w:t>
      </w:r>
    </w:p>
    <w:p>
      <w:pPr>
        <w:ind w:firstLine="560" w:firstLineChars="200"/>
        <w:rPr>
          <w:rFonts w:ascii="宋体" w:hAnsi="宋体" w:cs="宋体"/>
          <w:bCs/>
          <w:sz w:val="28"/>
          <w:szCs w:val="28"/>
        </w:rPr>
      </w:pPr>
      <w:r>
        <w:rPr>
          <w:rFonts w:hint="eastAsia" w:ascii="宋体" w:hAnsi="宋体" w:cs="宋体"/>
          <w:sz w:val="28"/>
          <w:szCs w:val="28"/>
        </w:rPr>
        <w:t>成员：</w:t>
      </w:r>
      <w:r>
        <w:rPr>
          <w:rFonts w:hint="eastAsia" w:ascii="宋体" w:hAnsi="宋体" w:cs="宋体"/>
          <w:kern w:val="0"/>
          <w:sz w:val="28"/>
          <w:szCs w:val="28"/>
        </w:rPr>
        <w:t>赵亮、何洪艳、杨瑞萍、李小珍</w:t>
      </w:r>
    </w:p>
    <w:p>
      <w:pPr>
        <w:ind w:firstLine="560"/>
        <w:rPr>
          <w:rFonts w:ascii="宋体"/>
          <w:sz w:val="28"/>
          <w:szCs w:val="28"/>
        </w:rPr>
      </w:pPr>
      <w:r>
        <w:rPr>
          <w:rFonts w:hint="eastAsia" w:ascii="宋体" w:hAnsi="宋体" w:cs="宋体"/>
          <w:sz w:val="28"/>
          <w:szCs w:val="28"/>
        </w:rPr>
        <w:t>应急指挥部办公室：设在加油站办公室，主任：</w:t>
      </w:r>
      <w:r>
        <w:rPr>
          <w:rFonts w:hint="eastAsia" w:ascii="宋体" w:hAnsi="宋体" w:cs="宋体"/>
          <w:kern w:val="0"/>
          <w:sz w:val="28"/>
          <w:szCs w:val="28"/>
        </w:rPr>
        <w:t>李力</w:t>
      </w:r>
    </w:p>
    <w:p>
      <w:pPr>
        <w:tabs>
          <w:tab w:val="left" w:pos="861"/>
        </w:tabs>
        <w:ind w:firstLine="1120" w:firstLineChars="400"/>
        <w:jc w:val="left"/>
        <w:rPr>
          <w:rFonts w:ascii="宋体" w:hAnsi="宋体" w:cs="宋体"/>
          <w:bCs/>
          <w:sz w:val="28"/>
          <w:szCs w:val="28"/>
        </w:rPr>
      </w:pPr>
    </w:p>
    <w:p>
      <w:pPr>
        <w:tabs>
          <w:tab w:val="left" w:pos="861"/>
        </w:tabs>
        <w:ind w:firstLine="1120" w:firstLineChars="400"/>
        <w:jc w:val="left"/>
        <w:rPr>
          <w:rFonts w:ascii="宋体" w:hAnsi="宋体" w:cs="宋体"/>
          <w:bCs/>
          <w:sz w:val="28"/>
          <w:szCs w:val="28"/>
        </w:rPr>
      </w:pPr>
    </w:p>
    <w:p>
      <w:pPr>
        <w:tabs>
          <w:tab w:val="left" w:pos="861"/>
        </w:tabs>
        <w:jc w:val="left"/>
        <w:rPr>
          <w:rFonts w:ascii="宋体" w:hAnsi="宋体" w:cs="宋体"/>
          <w:bCs/>
          <w:sz w:val="28"/>
          <w:szCs w:val="28"/>
        </w:rPr>
      </w:pPr>
    </w:p>
    <w:p>
      <w:pPr>
        <w:widowControl/>
        <w:spacing w:line="360" w:lineRule="auto"/>
        <w:jc w:val="right"/>
        <w:rPr>
          <w:rStyle w:val="34"/>
          <w:rFonts w:ascii="宋体" w:hAnsi="宋体" w:cs="宋体"/>
          <w:bCs/>
          <w:caps/>
          <w:color w:val="auto"/>
          <w:sz w:val="28"/>
          <w:szCs w:val="28"/>
          <w:u w:val="none"/>
        </w:rPr>
      </w:pPr>
      <w:r>
        <w:rPr>
          <w:rFonts w:hint="eastAsia" w:cs="宋体"/>
          <w:sz w:val="28"/>
          <w:szCs w:val="28"/>
        </w:rPr>
        <w:t>西充太平吉运加油站</w:t>
      </w:r>
      <w:r>
        <w:rPr>
          <w:rStyle w:val="34"/>
          <w:rFonts w:hint="eastAsia" w:ascii="宋体" w:hAnsi="宋体" w:cs="宋体"/>
          <w:bCs/>
          <w:caps/>
          <w:color w:val="auto"/>
          <w:sz w:val="28"/>
          <w:szCs w:val="28"/>
          <w:u w:val="none"/>
        </w:rPr>
        <w:t xml:space="preserve">        2020年4月25日</w:t>
      </w:r>
    </w:p>
    <w:p>
      <w:pPr>
        <w:widowControl/>
        <w:spacing w:line="360" w:lineRule="auto"/>
        <w:jc w:val="right"/>
        <w:rPr>
          <w:rStyle w:val="34"/>
          <w:rFonts w:ascii="宋体" w:hAnsi="宋体" w:cs="宋体"/>
          <w:bCs/>
          <w:caps/>
          <w:color w:val="auto"/>
          <w:sz w:val="28"/>
          <w:szCs w:val="28"/>
          <w:u w:val="none"/>
        </w:rPr>
      </w:pPr>
    </w:p>
    <w:p>
      <w:pPr>
        <w:widowControl/>
        <w:spacing w:line="360" w:lineRule="auto"/>
        <w:jc w:val="right"/>
        <w:rPr>
          <w:rStyle w:val="34"/>
          <w:rFonts w:ascii="宋体" w:hAnsi="宋体" w:cs="宋体"/>
          <w:bCs/>
          <w:caps/>
          <w:color w:val="auto"/>
          <w:sz w:val="28"/>
          <w:szCs w:val="28"/>
          <w:u w:val="none"/>
        </w:rPr>
      </w:pPr>
    </w:p>
    <w:p>
      <w:pPr>
        <w:widowControl/>
        <w:spacing w:line="360" w:lineRule="auto"/>
        <w:jc w:val="right"/>
        <w:rPr>
          <w:rStyle w:val="34"/>
          <w:rFonts w:ascii="宋体" w:hAnsi="宋体" w:cs="宋体"/>
          <w:bCs/>
          <w:caps/>
          <w:color w:val="auto"/>
          <w:sz w:val="28"/>
          <w:szCs w:val="28"/>
          <w:u w:val="none"/>
        </w:rPr>
      </w:pPr>
    </w:p>
    <w:p>
      <w:pPr>
        <w:widowControl/>
        <w:spacing w:line="360" w:lineRule="auto"/>
        <w:jc w:val="center"/>
        <w:rPr>
          <w:rFonts w:ascii="宋体" w:hAnsi="宋体" w:cs="宋体"/>
          <w:b/>
          <w:color w:val="FF0000"/>
          <w:spacing w:val="68"/>
          <w:w w:val="35"/>
          <w:sz w:val="84"/>
          <w:szCs w:val="84"/>
        </w:rPr>
      </w:pPr>
      <w:r>
        <w:rPr>
          <w:rFonts w:hint="eastAsia" w:ascii="宋体" w:hAnsi="宋体" w:cs="宋体"/>
          <w:b/>
          <w:color w:val="FF0000"/>
          <w:spacing w:val="68"/>
          <w:w w:val="35"/>
          <w:sz w:val="84"/>
          <w:szCs w:val="84"/>
        </w:rPr>
        <w:t>西充太平吉运加油站文件</w:t>
      </w:r>
    </w:p>
    <w:p>
      <w:pPr>
        <w:spacing w:line="360" w:lineRule="auto"/>
        <w:jc w:val="center"/>
        <w:rPr>
          <w:rFonts w:ascii="宋体" w:hAnsi="宋体" w:cs="宋体"/>
          <w:color w:val="FF0000"/>
          <w:sz w:val="24"/>
        </w:rPr>
      </w:pPr>
      <w:r>
        <w:rPr>
          <w:rFonts w:hint="eastAsia" w:ascii="宋体" w:hAnsi="宋体" w:cs="宋体"/>
          <w:color w:val="FF0000"/>
          <w:sz w:val="24"/>
        </w:rPr>
        <w:t>吉运</w:t>
      </w:r>
      <w:r>
        <w:rPr>
          <w:rFonts w:ascii="宋体" w:hAnsi="宋体" w:cs="宋体"/>
          <w:color w:val="FF0000"/>
          <w:sz w:val="24"/>
        </w:rPr>
        <w:pict>
          <v:line id="_x0000_s1111" o:spid="_x0000_s1111" o:spt="20" style="position:absolute;left:0pt;flip:y;margin-left:-31.5pt;margin-top:26.8pt;height:0pt;width:478.95pt;z-index:-251657216;mso-width-relative:page;mso-height-relative:page;" stroked="t" coordsize="21600,21600" o:gfxdata="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nw5V2AAAAAkBAAAPAAAA&#10;AAAAAAEAIAAAACIAAABkcnMvZG93bnJldi54bWxQSwECFAAUAAAACACHTuJAyn9xjtwBAAB5AwAA&#10;DgAAAAAAAAABACAAAAAnAQAAZHJzL2Uyb0RvYy54bWxQSwUGAAAAAAYABgBZAQAAdQUAAAAA&#10;">
            <v:path arrowok="t"/>
            <v:fill focussize="0,0"/>
            <v:stroke weight="2.5pt" color="#FF0000"/>
            <v:imagedata o:title=""/>
            <o:lock v:ext="edit"/>
          </v:line>
        </w:pict>
      </w:r>
      <w:r>
        <w:rPr>
          <w:rFonts w:hint="eastAsia" w:ascii="宋体" w:hAnsi="宋体" w:cs="宋体"/>
          <w:color w:val="FF0000"/>
          <w:sz w:val="24"/>
        </w:rPr>
        <w:t>（2020）10号</w:t>
      </w:r>
    </w:p>
    <w:p>
      <w:pPr>
        <w:spacing w:line="360" w:lineRule="auto"/>
        <w:rPr>
          <w:rFonts w:ascii="宋体" w:hAnsi="宋体" w:cs="宋体"/>
          <w:b/>
          <w:color w:val="FF0000"/>
          <w:spacing w:val="68"/>
          <w:w w:val="35"/>
          <w:sz w:val="96"/>
          <w:szCs w:val="96"/>
        </w:rPr>
      </w:pPr>
    </w:p>
    <w:p>
      <w:pPr>
        <w:spacing w:line="360" w:lineRule="auto"/>
        <w:jc w:val="center"/>
        <w:rPr>
          <w:rFonts w:ascii="宋体" w:hAnsi="宋体" w:cs="宋体"/>
          <w:b/>
          <w:sz w:val="32"/>
          <w:szCs w:val="32"/>
        </w:rPr>
      </w:pPr>
      <w:r>
        <w:rPr>
          <w:rFonts w:hint="eastAsia" w:ascii="宋体" w:hAnsi="宋体" w:cs="宋体"/>
          <w:b/>
          <w:sz w:val="32"/>
          <w:szCs w:val="32"/>
        </w:rPr>
        <w:t>关于成立应急预案编制工作组的通知</w:t>
      </w:r>
    </w:p>
    <w:p>
      <w:pPr>
        <w:spacing w:line="360" w:lineRule="auto"/>
        <w:rPr>
          <w:rFonts w:ascii="宋体" w:hAnsi="宋体" w:cs="宋体"/>
          <w:sz w:val="28"/>
          <w:szCs w:val="28"/>
        </w:rPr>
      </w:pPr>
      <w:r>
        <w:rPr>
          <w:rFonts w:hint="eastAsia" w:ascii="宋体" w:hAnsi="宋体" w:cs="宋体"/>
          <w:sz w:val="28"/>
          <w:szCs w:val="28"/>
        </w:rPr>
        <w:t>各部门：</w:t>
      </w:r>
    </w:p>
    <w:p>
      <w:pPr>
        <w:tabs>
          <w:tab w:val="left" w:pos="861"/>
        </w:tabs>
        <w:ind w:firstLine="560" w:firstLineChars="200"/>
        <w:jc w:val="left"/>
        <w:rPr>
          <w:rFonts w:ascii="宋体" w:hAnsi="宋体" w:cs="宋体"/>
          <w:sz w:val="28"/>
          <w:szCs w:val="28"/>
        </w:rPr>
      </w:pPr>
      <w:r>
        <w:rPr>
          <w:rFonts w:hint="eastAsia" w:ascii="宋体" w:hAnsi="宋体" w:cs="宋体"/>
          <w:sz w:val="28"/>
          <w:szCs w:val="28"/>
        </w:rPr>
        <w:t>为加强预案编制工作，明确编制责任，保证全面细致地按期完成预案编制工作。经</w:t>
      </w:r>
      <w:r>
        <w:rPr>
          <w:rFonts w:hint="eastAsia" w:ascii="宋体" w:hAnsi="宋体" w:cs="宋体"/>
          <w:bCs/>
          <w:sz w:val="28"/>
          <w:szCs w:val="28"/>
        </w:rPr>
        <w:t>本加油站</w:t>
      </w:r>
      <w:r>
        <w:rPr>
          <w:rFonts w:hint="eastAsia" w:ascii="宋体" w:hAnsi="宋体" w:cs="宋体"/>
          <w:sz w:val="28"/>
          <w:szCs w:val="28"/>
        </w:rPr>
        <w:t>研究决定，成立应急预案编制工作组，工作组组成人员如下：</w:t>
      </w:r>
    </w:p>
    <w:p>
      <w:pPr>
        <w:tabs>
          <w:tab w:val="left" w:pos="861"/>
        </w:tabs>
        <w:ind w:firstLine="560" w:firstLineChars="200"/>
        <w:jc w:val="left"/>
        <w:rPr>
          <w:rFonts w:ascii="宋体" w:hAnsi="宋体" w:cs="宋体"/>
          <w:sz w:val="28"/>
          <w:szCs w:val="28"/>
        </w:rPr>
      </w:pPr>
      <w:bookmarkStart w:id="14" w:name="_Hlk529039605"/>
      <w:r>
        <w:rPr>
          <w:rFonts w:hint="eastAsia" w:ascii="宋体" w:hAnsi="宋体" w:cs="宋体"/>
          <w:sz w:val="28"/>
          <w:szCs w:val="28"/>
        </w:rPr>
        <w:t>编  制：</w:t>
      </w:r>
      <w:r>
        <w:rPr>
          <w:rFonts w:hint="eastAsia" w:ascii="宋体" w:hAnsi="宋体" w:cs="宋体"/>
          <w:kern w:val="0"/>
          <w:sz w:val="28"/>
          <w:szCs w:val="28"/>
        </w:rPr>
        <w:t>赵亮、何洪艳</w:t>
      </w:r>
    </w:p>
    <w:p>
      <w:pPr>
        <w:tabs>
          <w:tab w:val="left" w:pos="861"/>
        </w:tabs>
        <w:ind w:firstLine="560" w:firstLineChars="200"/>
        <w:jc w:val="left"/>
        <w:rPr>
          <w:rFonts w:ascii="宋体" w:hAnsi="宋体" w:cs="宋体"/>
          <w:sz w:val="28"/>
          <w:szCs w:val="28"/>
        </w:rPr>
      </w:pPr>
      <w:r>
        <w:rPr>
          <w:rFonts w:hint="eastAsia" w:ascii="宋体" w:hAnsi="宋体" w:cs="宋体"/>
          <w:sz w:val="28"/>
          <w:szCs w:val="28"/>
        </w:rPr>
        <w:t>审  稿：</w:t>
      </w:r>
      <w:r>
        <w:rPr>
          <w:rFonts w:hint="eastAsia" w:ascii="宋体" w:hAnsi="宋体" w:cs="宋体"/>
          <w:kern w:val="0"/>
          <w:sz w:val="28"/>
          <w:szCs w:val="28"/>
        </w:rPr>
        <w:t>李力</w:t>
      </w:r>
    </w:p>
    <w:p>
      <w:pPr>
        <w:tabs>
          <w:tab w:val="left" w:pos="861"/>
        </w:tabs>
        <w:ind w:firstLine="560" w:firstLineChars="200"/>
        <w:jc w:val="left"/>
        <w:rPr>
          <w:rFonts w:ascii="宋体" w:hAnsi="宋体" w:cs="宋体"/>
          <w:sz w:val="28"/>
          <w:szCs w:val="28"/>
        </w:rPr>
      </w:pPr>
      <w:r>
        <w:rPr>
          <w:rFonts w:hint="eastAsia" w:ascii="宋体" w:hAnsi="宋体" w:cs="宋体"/>
          <w:sz w:val="28"/>
          <w:szCs w:val="28"/>
        </w:rPr>
        <w:t>终  审</w:t>
      </w:r>
      <w:bookmarkEnd w:id="14"/>
      <w:r>
        <w:rPr>
          <w:rFonts w:hint="eastAsia" w:ascii="宋体" w:hAnsi="宋体" w:cs="宋体"/>
          <w:sz w:val="28"/>
          <w:szCs w:val="28"/>
        </w:rPr>
        <w:t>：</w:t>
      </w:r>
      <w:r>
        <w:rPr>
          <w:rFonts w:hint="eastAsia" w:ascii="宋体" w:hAnsi="宋体" w:cs="宋体"/>
          <w:kern w:val="0"/>
          <w:sz w:val="28"/>
          <w:szCs w:val="28"/>
        </w:rPr>
        <w:t>李德斌</w:t>
      </w:r>
    </w:p>
    <w:p>
      <w:pPr>
        <w:tabs>
          <w:tab w:val="left" w:pos="861"/>
        </w:tabs>
        <w:ind w:firstLine="560" w:firstLineChars="200"/>
        <w:jc w:val="left"/>
        <w:rPr>
          <w:rFonts w:ascii="宋体" w:hAnsi="宋体" w:cs="宋体"/>
          <w:sz w:val="28"/>
          <w:szCs w:val="28"/>
        </w:rPr>
      </w:pPr>
    </w:p>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pPr>
    </w:p>
    <w:p>
      <w:pPr>
        <w:spacing w:line="360" w:lineRule="auto"/>
        <w:jc w:val="right"/>
        <w:rPr>
          <w:rStyle w:val="34"/>
          <w:rFonts w:ascii="宋体" w:hAnsi="宋体" w:cs="宋体"/>
          <w:bCs/>
          <w:caps/>
          <w:color w:val="auto"/>
          <w:sz w:val="28"/>
          <w:szCs w:val="28"/>
          <w:u w:val="none"/>
        </w:rPr>
      </w:pPr>
      <w:r>
        <w:rPr>
          <w:rFonts w:hint="eastAsia" w:cs="宋体"/>
          <w:sz w:val="28"/>
          <w:szCs w:val="28"/>
        </w:rPr>
        <w:t>西充太平吉运加油站</w:t>
      </w:r>
      <w:r>
        <w:rPr>
          <w:rStyle w:val="34"/>
          <w:rFonts w:hint="eastAsia" w:ascii="宋体" w:hAnsi="宋体" w:cs="宋体"/>
          <w:bCs/>
          <w:caps/>
          <w:color w:val="auto"/>
          <w:sz w:val="28"/>
          <w:szCs w:val="28"/>
          <w:u w:val="none"/>
        </w:rPr>
        <w:t xml:space="preserve">       2020年4月30 日</w:t>
      </w:r>
    </w:p>
    <w:p>
      <w:pPr>
        <w:pStyle w:val="2"/>
        <w:rPr>
          <w:rStyle w:val="34"/>
          <w:rFonts w:ascii="宋体" w:hAnsi="宋体" w:cs="宋体"/>
          <w:bCs/>
          <w:caps/>
          <w:color w:val="auto"/>
          <w:sz w:val="28"/>
          <w:szCs w:val="28"/>
          <w:u w:val="none"/>
        </w:rPr>
      </w:pPr>
    </w:p>
    <w:p>
      <w:pPr>
        <w:pStyle w:val="2"/>
        <w:rPr>
          <w:rStyle w:val="34"/>
          <w:rFonts w:hint="eastAsia" w:ascii="宋体" w:hAnsi="宋体" w:cs="宋体"/>
          <w:bCs/>
          <w:caps/>
          <w:color w:val="auto"/>
          <w:sz w:val="28"/>
          <w:szCs w:val="28"/>
          <w:u w:val="none"/>
        </w:rPr>
      </w:pPr>
    </w:p>
    <w:p>
      <w:pPr>
        <w:pStyle w:val="2"/>
        <w:rPr>
          <w:rStyle w:val="34"/>
          <w:rFonts w:ascii="宋体" w:hAnsi="宋体" w:cs="宋体"/>
          <w:bCs/>
          <w:caps/>
          <w:color w:val="auto"/>
          <w:sz w:val="28"/>
          <w:szCs w:val="28"/>
          <w:u w:val="none"/>
        </w:rPr>
      </w:pPr>
    </w:p>
    <w:p>
      <w:pPr>
        <w:pStyle w:val="2"/>
        <w:rPr>
          <w:rStyle w:val="34"/>
          <w:rFonts w:ascii="宋体" w:hAnsi="宋体" w:cs="宋体"/>
          <w:bCs/>
          <w:caps/>
          <w:color w:val="auto"/>
          <w:sz w:val="28"/>
          <w:szCs w:val="28"/>
          <w:u w:val="none"/>
        </w:rPr>
      </w:pPr>
    </w:p>
    <w:p>
      <w:pPr>
        <w:pStyle w:val="2"/>
      </w:pPr>
    </w:p>
    <w:p>
      <w:pPr>
        <w:widowControl/>
        <w:spacing w:line="360" w:lineRule="auto"/>
        <w:jc w:val="center"/>
        <w:rPr>
          <w:rFonts w:ascii="宋体" w:hAnsi="宋体" w:cs="宋体"/>
          <w:b/>
          <w:color w:val="FF0000"/>
          <w:spacing w:val="68"/>
          <w:w w:val="35"/>
          <w:sz w:val="84"/>
          <w:szCs w:val="84"/>
        </w:rPr>
      </w:pPr>
      <w:r>
        <w:rPr>
          <w:rFonts w:hint="eastAsia" w:ascii="宋体" w:hAnsi="宋体" w:cs="宋体"/>
          <w:b/>
          <w:color w:val="FF0000"/>
          <w:spacing w:val="68"/>
          <w:w w:val="35"/>
          <w:sz w:val="84"/>
          <w:szCs w:val="84"/>
        </w:rPr>
        <w:t>西充太平吉运加油站文件</w:t>
      </w:r>
    </w:p>
    <w:p>
      <w:pPr>
        <w:spacing w:line="360" w:lineRule="auto"/>
        <w:jc w:val="center"/>
        <w:rPr>
          <w:rFonts w:ascii="宋体" w:hAnsi="宋体" w:cs="宋体"/>
          <w:color w:val="FF0000"/>
          <w:sz w:val="24"/>
        </w:rPr>
      </w:pPr>
      <w:r>
        <w:rPr>
          <w:rFonts w:hint="eastAsia" w:ascii="宋体" w:hAnsi="宋体" w:cs="宋体"/>
          <w:color w:val="FF0000"/>
          <w:sz w:val="24"/>
        </w:rPr>
        <w:t>吉运</w:t>
      </w:r>
      <w:r>
        <w:rPr>
          <w:rFonts w:ascii="宋体" w:hAnsi="宋体" w:cs="宋体"/>
          <w:color w:val="FF0000"/>
          <w:sz w:val="24"/>
        </w:rPr>
        <w:pict>
          <v:line id="_x0000_s1110" o:spid="_x0000_s1110" o:spt="20" style="position:absolute;left:0pt;flip:y;margin-left:-31.5pt;margin-top:26.8pt;height:0pt;width:478.95pt;z-index:-251656192;mso-width-relative:page;mso-height-relative:page;" stroked="t" coordsize="21600,21600" o:gfxdata="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nw5V2AAAAAkBAAAPAAAA&#10;AAAAAAEAIAAAACIAAABkcnMvZG93bnJldi54bWxQSwECFAAUAAAACACHTuJAv49DGNwBAAB5AwAA&#10;DgAAAAAAAAABACAAAAAnAQAAZHJzL2Uyb0RvYy54bWxQSwUGAAAAAAYABgBZAQAAdQUAAAAA&#10;">
            <v:path arrowok="t"/>
            <v:fill focussize="0,0"/>
            <v:stroke weight="2.5pt" color="#FF0000"/>
            <v:imagedata o:title=""/>
            <o:lock v:ext="edit"/>
          </v:line>
        </w:pict>
      </w:r>
      <w:r>
        <w:rPr>
          <w:rFonts w:hint="eastAsia" w:ascii="宋体" w:hAnsi="宋体" w:cs="宋体"/>
          <w:color w:val="FF0000"/>
          <w:sz w:val="24"/>
        </w:rPr>
        <w:t>（2020）10号</w:t>
      </w:r>
    </w:p>
    <w:p>
      <w:pPr>
        <w:pStyle w:val="11"/>
        <w:jc w:val="center"/>
        <w:rPr>
          <w:rFonts w:ascii="宋体" w:hAnsi="宋体"/>
          <w:b/>
          <w:bCs/>
          <w:sz w:val="40"/>
        </w:rPr>
      </w:pPr>
    </w:p>
    <w:p>
      <w:pPr>
        <w:pStyle w:val="11"/>
        <w:jc w:val="center"/>
        <w:rPr>
          <w:b/>
          <w:bCs/>
          <w:sz w:val="40"/>
        </w:rPr>
      </w:pPr>
      <w:r>
        <w:rPr>
          <w:rFonts w:hint="eastAsia" w:ascii="宋体" w:hAnsi="宋体"/>
          <w:b/>
          <w:bCs/>
          <w:sz w:val="40"/>
        </w:rPr>
        <w:t>应急预案发</w:t>
      </w:r>
      <w:r>
        <w:rPr>
          <w:rFonts w:hint="eastAsia"/>
          <w:b/>
          <w:bCs/>
          <w:sz w:val="40"/>
        </w:rPr>
        <w:t>布令</w:t>
      </w:r>
    </w:p>
    <w:p>
      <w:pPr>
        <w:jc w:val="left"/>
        <w:rPr>
          <w:rFonts w:ascii="宋体" w:hAnsi="宋体" w:cs="宋体"/>
          <w:sz w:val="28"/>
          <w:szCs w:val="28"/>
        </w:rPr>
      </w:pPr>
    </w:p>
    <w:p>
      <w:pPr>
        <w:tabs>
          <w:tab w:val="center" w:pos="4535"/>
          <w:tab w:val="right" w:pos="9070"/>
        </w:tabs>
        <w:jc w:val="center"/>
        <w:rPr>
          <w:rFonts w:ascii="宋体" w:hAnsi="宋体" w:cs="宋体"/>
          <w:kern w:val="0"/>
          <w:sz w:val="28"/>
          <w:szCs w:val="28"/>
        </w:rPr>
      </w:pPr>
      <w:r>
        <w:rPr>
          <w:rFonts w:hint="eastAsia" w:ascii="宋体" w:hAnsi="宋体" w:cs="宋体"/>
          <w:sz w:val="28"/>
          <w:szCs w:val="28"/>
        </w:rPr>
        <w:t>为了提高本加油站安全管理水平，规范突发事件的应急管理和应急响应程序，及时有效地实施应急救援工作，依据《中华人民共和国突发事件应对法》、《中华人民共和国安全生产法》和《生产安全事故应急预案管理办法》（</w:t>
      </w:r>
      <w:r>
        <w:rPr>
          <w:rFonts w:ascii="宋体" w:hAnsi="宋体" w:cs="宋体"/>
          <w:sz w:val="28"/>
          <w:szCs w:val="28"/>
        </w:rPr>
        <w:t>2019</w:t>
      </w:r>
      <w:r>
        <w:rPr>
          <w:rFonts w:hint="eastAsia" w:ascii="宋体" w:hAnsi="宋体" w:cs="宋体"/>
          <w:sz w:val="28"/>
          <w:szCs w:val="28"/>
        </w:rPr>
        <w:t>年</w:t>
      </w:r>
      <w:r>
        <w:rPr>
          <w:rFonts w:hint="eastAsia" w:ascii="宋体" w:hAnsi="宋体" w:cs="宋体"/>
          <w:kern w:val="0"/>
          <w:sz w:val="28"/>
          <w:szCs w:val="28"/>
        </w:rPr>
        <w:t>应急管理部令第</w:t>
      </w:r>
      <w:r>
        <w:rPr>
          <w:rFonts w:ascii="宋体" w:hAnsi="宋体" w:cs="宋体"/>
          <w:kern w:val="0"/>
          <w:sz w:val="28"/>
          <w:szCs w:val="28"/>
        </w:rPr>
        <w:t xml:space="preserve">2 </w:t>
      </w:r>
      <w:r>
        <w:rPr>
          <w:rFonts w:hint="eastAsia" w:ascii="宋体" w:hAnsi="宋体" w:cs="宋体"/>
          <w:kern w:val="0"/>
          <w:sz w:val="28"/>
          <w:szCs w:val="28"/>
        </w:rPr>
        <w:t>号</w:t>
      </w:r>
      <w:r>
        <w:rPr>
          <w:rFonts w:hint="eastAsia" w:ascii="宋体" w:hAnsi="宋体" w:cs="宋体"/>
          <w:sz w:val="28"/>
          <w:szCs w:val="28"/>
        </w:rPr>
        <w:t>）等有关法律法规、标准的规定，结合本站生产经营特点和实际情况，现组织编制</w:t>
      </w:r>
      <w:r>
        <w:rPr>
          <w:rFonts w:hint="eastAsia" w:ascii="宋体" w:hAnsi="宋体" w:cs="宋体"/>
          <w:kern w:val="0"/>
          <w:sz w:val="28"/>
          <w:szCs w:val="28"/>
        </w:rPr>
        <w:t>完成了《西充</w:t>
      </w:r>
    </w:p>
    <w:p>
      <w:pPr>
        <w:tabs>
          <w:tab w:val="center" w:pos="4535"/>
          <w:tab w:val="right" w:pos="9070"/>
        </w:tabs>
        <w:rPr>
          <w:rFonts w:ascii="宋体" w:hAnsi="宋体"/>
          <w:bCs/>
          <w:color w:val="000000"/>
          <w:sz w:val="28"/>
        </w:rPr>
      </w:pPr>
      <w:r>
        <w:rPr>
          <w:rFonts w:hint="eastAsia" w:ascii="宋体" w:hAnsi="宋体" w:cs="宋体"/>
          <w:kern w:val="0"/>
          <w:sz w:val="28"/>
          <w:szCs w:val="28"/>
        </w:rPr>
        <w:t>太平吉运加油站生产安全事故应急预案》,</w:t>
      </w:r>
      <w:r>
        <w:rPr>
          <w:rFonts w:hint="eastAsia" w:ascii="宋体" w:hAnsi="宋体" w:cs="宋体"/>
          <w:sz w:val="28"/>
          <w:szCs w:val="28"/>
        </w:rPr>
        <w:t>本预案</w:t>
      </w:r>
      <w:r>
        <w:rPr>
          <w:rFonts w:hint="eastAsia" w:ascii="宋体" w:hAnsi="宋体"/>
          <w:bCs/>
          <w:color w:val="000000"/>
          <w:sz w:val="28"/>
        </w:rPr>
        <w:t>由综合应急预案、专项应急预案及现场处置方案组成。</w:t>
      </w:r>
    </w:p>
    <w:p>
      <w:pPr>
        <w:tabs>
          <w:tab w:val="center" w:pos="4535"/>
          <w:tab w:val="right" w:pos="9070"/>
        </w:tabs>
        <w:ind w:firstLine="560" w:firstLineChars="200"/>
        <w:rPr>
          <w:rFonts w:ascii="宋体"/>
          <w:sz w:val="28"/>
          <w:szCs w:val="28"/>
        </w:rPr>
      </w:pPr>
      <w:r>
        <w:rPr>
          <w:rFonts w:hint="eastAsia" w:ascii="宋体" w:hAnsi="宋体" w:cs="宋体"/>
          <w:kern w:val="0"/>
          <w:sz w:val="28"/>
          <w:szCs w:val="28"/>
        </w:rPr>
        <w:t>《西充太平吉运加油站生产安全事故应急预案》</w:t>
      </w:r>
      <w:r>
        <w:rPr>
          <w:rFonts w:hint="eastAsia" w:ascii="宋体" w:hAnsi="宋体" w:cs="宋体"/>
          <w:sz w:val="28"/>
          <w:szCs w:val="28"/>
        </w:rPr>
        <w:t>通过专家组评审，</w:t>
      </w:r>
      <w:r>
        <w:rPr>
          <w:rFonts w:hint="eastAsia" w:ascii="宋体" w:hAnsi="宋体"/>
          <w:bCs/>
          <w:color w:val="000000"/>
          <w:sz w:val="28"/>
          <w:szCs w:val="28"/>
        </w:rPr>
        <w:t>现已修改完善，</w:t>
      </w:r>
      <w:r>
        <w:rPr>
          <w:rFonts w:hint="eastAsia" w:ascii="宋体" w:hAnsi="宋体" w:cs="宋体"/>
          <w:sz w:val="28"/>
          <w:szCs w:val="28"/>
        </w:rPr>
        <w:t>现予以发布，并将上报南充市应急管理部门备案。</w:t>
      </w:r>
    </w:p>
    <w:p>
      <w:pPr>
        <w:pStyle w:val="41"/>
        <w:spacing w:after="320" w:line="240" w:lineRule="auto"/>
        <w:ind w:firstLine="560" w:firstLineChars="200"/>
        <w:rPr>
          <w:rFonts w:ascii="方正仿宋简体" w:hAnsi="方正仿宋简体" w:eastAsia="方正仿宋简体" w:cs="方正仿宋简体"/>
          <w:sz w:val="32"/>
          <w:szCs w:val="32"/>
          <w:lang w:val="en-US" w:eastAsia="zh-CN"/>
        </w:rPr>
      </w:pPr>
      <w:r>
        <w:rPr>
          <w:rFonts w:hint="eastAsia"/>
          <w:sz w:val="28"/>
          <w:szCs w:val="28"/>
          <w:lang w:eastAsia="zh-CN"/>
        </w:rPr>
        <w:t>本预案从</w:t>
      </w:r>
      <w:r>
        <w:rPr>
          <w:rFonts w:hint="eastAsia"/>
          <w:sz w:val="28"/>
          <w:szCs w:val="28"/>
        </w:rPr>
        <w:t>发布日起生效并正式施行。</w:t>
      </w:r>
      <w:r>
        <w:rPr>
          <w:rFonts w:hint="eastAsia"/>
          <w:sz w:val="28"/>
          <w:szCs w:val="28"/>
          <w:lang w:eastAsia="zh-CN"/>
        </w:rPr>
        <w:t>本站全体员工</w:t>
      </w:r>
      <w:r>
        <w:rPr>
          <w:rFonts w:hint="eastAsia"/>
          <w:sz w:val="28"/>
          <w:szCs w:val="28"/>
        </w:rPr>
        <w:t>必须严格按照本预案要求，做好突发事件应急管理及响应工作。</w:t>
      </w:r>
    </w:p>
    <w:p>
      <w:pPr>
        <w:pStyle w:val="41"/>
        <w:spacing w:after="320" w:line="240" w:lineRule="auto"/>
        <w:ind w:firstLine="0"/>
        <w:jc w:val="center"/>
        <w:rPr>
          <w:rFonts w:ascii="方正仿宋简体" w:hAnsi="方正仿宋简体" w:eastAsia="方正仿宋简体" w:cs="方正仿宋简体"/>
          <w:sz w:val="32"/>
          <w:szCs w:val="32"/>
        </w:rPr>
      </w:pPr>
      <w:r>
        <w:rPr>
          <w:rFonts w:hint="eastAsia"/>
          <w:sz w:val="28"/>
          <w:szCs w:val="28"/>
        </w:rPr>
        <w:t>负责人</w:t>
      </w:r>
      <w:r>
        <w:rPr>
          <w:rFonts w:hint="eastAsia"/>
          <w:sz w:val="28"/>
          <w:szCs w:val="28"/>
          <w:lang w:eastAsia="zh-CN"/>
        </w:rPr>
        <w:t>（签发）</w:t>
      </w:r>
      <w:r>
        <w:rPr>
          <w:rFonts w:hint="eastAsia"/>
          <w:sz w:val="28"/>
          <w:szCs w:val="28"/>
        </w:rPr>
        <w:t>：</w:t>
      </w:r>
    </w:p>
    <w:p>
      <w:pPr>
        <w:pStyle w:val="8"/>
        <w:ind w:firstLine="640"/>
        <w:jc w:val="right"/>
      </w:pPr>
      <w:r>
        <w:rPr>
          <w:rFonts w:hint="eastAsia" w:ascii="方正仿宋简体" w:hAnsi="方正仿宋简体" w:eastAsia="方正仿宋简体" w:cs="方正仿宋简体"/>
          <w:sz w:val="32"/>
          <w:szCs w:val="32"/>
        </w:rPr>
        <w:t>2020年5月28日</w:t>
      </w:r>
    </w:p>
    <w:p>
      <w:pPr>
        <w:spacing w:line="500" w:lineRule="exact"/>
        <w:jc w:val="center"/>
      </w:pPr>
    </w:p>
    <w:p>
      <w:pPr>
        <w:spacing w:beforeLines="50" w:afterLines="50"/>
        <w:jc w:val="center"/>
        <w:rPr>
          <w:rFonts w:cs="宋体"/>
          <w:b/>
          <w:spacing w:val="80"/>
          <w:sz w:val="32"/>
          <w:szCs w:val="32"/>
        </w:rPr>
        <w:sectPr>
          <w:footerReference r:id="rId5" w:type="default"/>
          <w:pgSz w:w="11906" w:h="16838"/>
          <w:pgMar w:top="1440" w:right="1440" w:bottom="1440" w:left="1797" w:header="720" w:footer="720" w:gutter="0"/>
          <w:pgNumType w:start="1"/>
          <w:cols w:space="720" w:num="1"/>
          <w:docGrid w:type="lines" w:linePitch="312" w:charSpace="0"/>
        </w:sectPr>
      </w:pPr>
    </w:p>
    <w:bookmarkEnd w:id="13"/>
    <w:p>
      <w:pPr>
        <w:jc w:val="center"/>
        <w:rPr>
          <w:rFonts w:ascii="宋体" w:hAnsi="宋体" w:cs="宋体"/>
          <w:b/>
          <w:spacing w:val="80"/>
          <w:sz w:val="44"/>
          <w:szCs w:val="44"/>
        </w:rPr>
      </w:pPr>
      <w:r>
        <w:rPr>
          <w:rFonts w:hint="eastAsia" w:ascii="宋体" w:hAnsi="宋体" w:cs="宋体"/>
          <w:b/>
          <w:spacing w:val="80"/>
          <w:sz w:val="44"/>
          <w:szCs w:val="44"/>
        </w:rPr>
        <w:t>目  录</w:t>
      </w:r>
    </w:p>
    <w:p>
      <w:pPr>
        <w:pStyle w:val="23"/>
        <w:tabs>
          <w:tab w:val="right" w:leader="dot" w:pos="8669"/>
        </w:tabs>
        <w:spacing w:before="0" w:after="0" w:line="300" w:lineRule="exact"/>
        <w:rPr>
          <w:rFonts w:ascii="宋体" w:hAnsi="宋体" w:eastAsia="宋体" w:cs="宋体"/>
          <w:b/>
          <w:sz w:val="21"/>
          <w:szCs w:val="21"/>
        </w:rPr>
      </w:pPr>
      <w:bookmarkStart w:id="15" w:name="_Toc24188"/>
      <w:bookmarkEnd w:id="15"/>
      <w:r>
        <w:rPr>
          <w:rFonts w:hint="eastAsia" w:ascii="宋体" w:hAnsi="宋体" w:eastAsia="宋体" w:cs="宋体"/>
          <w:b/>
          <w:bCs w:val="0"/>
          <w:kern w:val="44"/>
          <w:sz w:val="21"/>
          <w:szCs w:val="21"/>
        </w:rPr>
        <w:fldChar w:fldCharType="begin"/>
      </w:r>
      <w:r>
        <w:rPr>
          <w:rFonts w:hint="eastAsia" w:ascii="宋体" w:hAnsi="宋体" w:eastAsia="宋体" w:cs="宋体"/>
          <w:b/>
          <w:bCs w:val="0"/>
          <w:kern w:val="44"/>
          <w:sz w:val="21"/>
          <w:szCs w:val="21"/>
        </w:rPr>
        <w:instrText xml:space="preserve">TOC \o "1-3" \h \u </w:instrText>
      </w:r>
      <w:r>
        <w:rPr>
          <w:rFonts w:hint="eastAsia" w:ascii="宋体" w:hAnsi="宋体" w:eastAsia="宋体" w:cs="宋体"/>
          <w:b/>
          <w:bCs w:val="0"/>
          <w:kern w:val="44"/>
          <w:sz w:val="21"/>
          <w:szCs w:val="21"/>
        </w:rPr>
        <w:fldChar w:fldCharType="separate"/>
      </w:r>
      <w:r>
        <w:fldChar w:fldCharType="begin"/>
      </w:r>
      <w:r>
        <w:instrText xml:space="preserve"> HYPERLINK \l "_Toc16922" </w:instrText>
      </w:r>
      <w:r>
        <w:fldChar w:fldCharType="separate"/>
      </w:r>
      <w:r>
        <w:rPr>
          <w:rFonts w:hint="eastAsia" w:ascii="宋体" w:hAnsi="宋体" w:eastAsia="宋体" w:cs="宋体"/>
          <w:b/>
          <w:sz w:val="21"/>
          <w:szCs w:val="21"/>
        </w:rPr>
        <w:t>第一部分 生产安全事故综合应急预案</w:t>
      </w:r>
      <w:r>
        <w:rPr>
          <w:rFonts w:hint="eastAsia" w:ascii="宋体" w:hAnsi="宋体" w:eastAsia="宋体" w:cs="宋体"/>
          <w:b/>
          <w:sz w:val="21"/>
          <w:szCs w:val="21"/>
        </w:rPr>
        <w:tab/>
      </w:r>
      <w:r>
        <w:rPr>
          <w:rFonts w:hint="eastAsia" w:ascii="宋体" w:hAnsi="宋体" w:eastAsia="宋体" w:cs="宋体"/>
          <w:b/>
          <w:sz w:val="21"/>
          <w:szCs w:val="21"/>
        </w:rPr>
        <w:fldChar w:fldCharType="begin"/>
      </w:r>
      <w:r>
        <w:rPr>
          <w:rFonts w:hint="eastAsia" w:ascii="宋体" w:hAnsi="宋体" w:eastAsia="宋体" w:cs="宋体"/>
          <w:b/>
          <w:sz w:val="21"/>
          <w:szCs w:val="21"/>
        </w:rPr>
        <w:instrText xml:space="preserve"> PAGEREF _Toc16922 </w:instrText>
      </w:r>
      <w:r>
        <w:rPr>
          <w:rFonts w:hint="eastAsia" w:ascii="宋体" w:hAnsi="宋体" w:eastAsia="宋体" w:cs="宋体"/>
          <w:b/>
          <w:sz w:val="21"/>
          <w:szCs w:val="21"/>
        </w:rPr>
        <w:fldChar w:fldCharType="separate"/>
      </w:r>
      <w:r>
        <w:rPr>
          <w:rFonts w:hint="eastAsia" w:ascii="宋体" w:hAnsi="宋体" w:eastAsia="宋体" w:cs="宋体"/>
          <w:b/>
          <w:sz w:val="21"/>
          <w:szCs w:val="21"/>
        </w:rPr>
        <w:t>1</w:t>
      </w:r>
      <w:r>
        <w:rPr>
          <w:rFonts w:hint="eastAsia" w:ascii="宋体" w:hAnsi="宋体" w:eastAsia="宋体" w:cs="宋体"/>
          <w:b/>
          <w:sz w:val="21"/>
          <w:szCs w:val="21"/>
        </w:rPr>
        <w:fldChar w:fldCharType="end"/>
      </w:r>
      <w:r>
        <w:rPr>
          <w:rFonts w:hint="eastAsia" w:ascii="宋体" w:hAnsi="宋体" w:eastAsia="宋体" w:cs="宋体"/>
          <w:b/>
          <w:sz w:val="21"/>
          <w:szCs w:val="21"/>
        </w:rPr>
        <w:fldChar w:fldCharType="end"/>
      </w:r>
    </w:p>
    <w:p>
      <w:pPr>
        <w:pStyle w:val="23"/>
        <w:tabs>
          <w:tab w:val="right" w:leader="dot" w:pos="8669"/>
        </w:tabs>
        <w:spacing w:before="0" w:after="0" w:line="300" w:lineRule="exact"/>
        <w:rPr>
          <w:rFonts w:ascii="宋体" w:hAnsi="宋体" w:eastAsia="宋体" w:cs="宋体"/>
          <w:b/>
          <w:sz w:val="21"/>
          <w:szCs w:val="21"/>
        </w:rPr>
      </w:pPr>
      <w:r>
        <w:fldChar w:fldCharType="begin"/>
      </w:r>
      <w:r>
        <w:instrText xml:space="preserve"> HYPERLINK \l "_Toc8008" </w:instrText>
      </w:r>
      <w:r>
        <w:fldChar w:fldCharType="separate"/>
      </w:r>
      <w:r>
        <w:rPr>
          <w:rFonts w:hint="eastAsia" w:ascii="宋体" w:hAnsi="宋体" w:eastAsia="宋体" w:cs="宋体"/>
          <w:b/>
          <w:sz w:val="21"/>
          <w:szCs w:val="21"/>
        </w:rPr>
        <w:t>第一章  总则</w:t>
      </w:r>
      <w:r>
        <w:rPr>
          <w:rFonts w:hint="eastAsia" w:ascii="宋体" w:hAnsi="宋体" w:eastAsia="宋体" w:cs="宋体"/>
          <w:b/>
          <w:sz w:val="21"/>
          <w:szCs w:val="21"/>
        </w:rPr>
        <w:tab/>
      </w:r>
      <w:r>
        <w:rPr>
          <w:rFonts w:hint="eastAsia" w:ascii="宋体" w:hAnsi="宋体" w:eastAsia="宋体" w:cs="宋体"/>
          <w:b/>
          <w:sz w:val="21"/>
          <w:szCs w:val="21"/>
        </w:rPr>
        <w:fldChar w:fldCharType="begin"/>
      </w:r>
      <w:r>
        <w:rPr>
          <w:rFonts w:hint="eastAsia" w:ascii="宋体" w:hAnsi="宋体" w:eastAsia="宋体" w:cs="宋体"/>
          <w:b/>
          <w:sz w:val="21"/>
          <w:szCs w:val="21"/>
        </w:rPr>
        <w:instrText xml:space="preserve"> PAGEREF _Toc8008 </w:instrText>
      </w:r>
      <w:r>
        <w:rPr>
          <w:rFonts w:hint="eastAsia" w:ascii="宋体" w:hAnsi="宋体" w:eastAsia="宋体" w:cs="宋体"/>
          <w:b/>
          <w:sz w:val="21"/>
          <w:szCs w:val="21"/>
        </w:rPr>
        <w:fldChar w:fldCharType="separate"/>
      </w:r>
      <w:r>
        <w:rPr>
          <w:rFonts w:hint="eastAsia" w:ascii="宋体" w:hAnsi="宋体" w:eastAsia="宋体" w:cs="宋体"/>
          <w:b/>
          <w:sz w:val="21"/>
          <w:szCs w:val="21"/>
        </w:rPr>
        <w:t>2</w:t>
      </w:r>
      <w:r>
        <w:rPr>
          <w:rFonts w:hint="eastAsia" w:ascii="宋体" w:hAnsi="宋体" w:eastAsia="宋体" w:cs="宋体"/>
          <w:b/>
          <w:sz w:val="21"/>
          <w:szCs w:val="21"/>
        </w:rPr>
        <w:fldChar w:fldCharType="end"/>
      </w:r>
      <w:r>
        <w:rPr>
          <w:rFonts w:hint="eastAsia" w:ascii="宋体" w:hAnsi="宋体" w:eastAsia="宋体" w:cs="宋体"/>
          <w:b/>
          <w:sz w:val="21"/>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"_Toc8601" </w:instrText>
      </w:r>
      <w:r>
        <w:fldChar w:fldCharType="separate"/>
      </w:r>
      <w:r>
        <w:rPr>
          <w:rFonts w:hint="eastAsia" w:ascii="宋体" w:hAnsi="宋体" w:eastAsia="宋体" w:cs="宋体"/>
          <w:iCs w:val="0"/>
          <w:szCs w:val="21"/>
        </w:rPr>
        <w:t>1.1 编制目的</w:t>
      </w:r>
      <w:r>
        <w:rPr>
          <w:rFonts w:hint="eastAsia" w:ascii="宋体" w:hAnsi="宋体" w:eastAsia="宋体" w:cs="宋体"/>
          <w:iCs w:val="0"/>
          <w:szCs w:val="21"/>
        </w:rPr>
        <w:tab/>
      </w:r>
      <w:r>
        <w:rPr>
          <w:rFonts w:hint="eastAsia" w:ascii="宋体" w:hAnsi="宋体" w:eastAsia="宋体" w:cs="宋体"/>
          <w:iCs w:val="0"/>
          <w:szCs w:val="21"/>
        </w:rPr>
        <w:fldChar w:fldCharType="begin"/>
      </w:r>
      <w:r>
        <w:rPr>
          <w:rFonts w:hint="eastAsia" w:ascii="宋体" w:hAnsi="宋体" w:eastAsia="宋体" w:cs="宋体"/>
          <w:iCs w:val="0"/>
          <w:szCs w:val="21"/>
        </w:rPr>
        <w:instrText xml:space="preserve"> PAGEREF _Toc8601 </w:instrText>
      </w:r>
      <w:r>
        <w:rPr>
          <w:rFonts w:hint="eastAsia" w:ascii="宋体" w:hAnsi="宋体" w:eastAsia="宋体" w:cs="宋体"/>
          <w:iCs w:val="0"/>
          <w:szCs w:val="21"/>
        </w:rPr>
        <w:fldChar w:fldCharType="separate"/>
      </w:r>
      <w:r>
        <w:rPr>
          <w:rFonts w:hint="eastAsia" w:ascii="宋体" w:hAnsi="宋体" w:eastAsia="宋体" w:cs="宋体"/>
          <w:iCs w:val="0"/>
          <w:szCs w:val="21"/>
        </w:rPr>
        <w:t>2</w:t>
      </w:r>
      <w:r>
        <w:rPr>
          <w:rFonts w:hint="eastAsia" w:ascii="宋体" w:hAnsi="宋体" w:eastAsia="宋体" w:cs="宋体"/>
          <w:iCs w:val="0"/>
          <w:szCs w:val="21"/>
        </w:rPr>
        <w:fldChar w:fldCharType="end"/>
      </w:r>
      <w:r>
        <w:rPr>
          <w:rFonts w:hint="eastAsia" w:ascii="宋体" w:hAnsi="宋体" w:eastAsia="宋体" w:cs="宋体"/>
          <w:iCs w:val="0"/>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"_Toc12936" </w:instrText>
      </w:r>
      <w:r>
        <w:fldChar w:fldCharType="separate"/>
      </w:r>
      <w:r>
        <w:rPr>
          <w:rFonts w:hint="eastAsia" w:ascii="宋体" w:hAnsi="宋体" w:eastAsia="宋体" w:cs="宋体"/>
          <w:iCs w:val="0"/>
          <w:szCs w:val="21"/>
        </w:rPr>
        <w:t>1.2编制依据</w:t>
      </w:r>
      <w:r>
        <w:rPr>
          <w:rFonts w:hint="eastAsia" w:ascii="宋体" w:hAnsi="宋体" w:eastAsia="宋体" w:cs="宋体"/>
          <w:iCs w:val="0"/>
          <w:szCs w:val="21"/>
        </w:rPr>
        <w:tab/>
      </w:r>
      <w:r>
        <w:rPr>
          <w:rFonts w:hint="eastAsia" w:ascii="宋体" w:hAnsi="宋体" w:eastAsia="宋体" w:cs="宋体"/>
          <w:iCs w:val="0"/>
          <w:szCs w:val="21"/>
        </w:rPr>
        <w:fldChar w:fldCharType="begin"/>
      </w:r>
      <w:r>
        <w:rPr>
          <w:rFonts w:hint="eastAsia" w:ascii="宋体" w:hAnsi="宋体" w:eastAsia="宋体" w:cs="宋体"/>
          <w:iCs w:val="0"/>
          <w:szCs w:val="21"/>
        </w:rPr>
        <w:instrText xml:space="preserve"> PAGEREF _Toc12936 </w:instrText>
      </w:r>
      <w:r>
        <w:rPr>
          <w:rFonts w:hint="eastAsia" w:ascii="宋体" w:hAnsi="宋体" w:eastAsia="宋体" w:cs="宋体"/>
          <w:iCs w:val="0"/>
          <w:szCs w:val="21"/>
        </w:rPr>
        <w:fldChar w:fldCharType="separate"/>
      </w:r>
      <w:r>
        <w:rPr>
          <w:rFonts w:hint="eastAsia" w:ascii="宋体" w:hAnsi="宋体" w:eastAsia="宋体" w:cs="宋体"/>
          <w:iCs w:val="0"/>
          <w:szCs w:val="21"/>
        </w:rPr>
        <w:t>2</w:t>
      </w:r>
      <w:r>
        <w:rPr>
          <w:rFonts w:hint="eastAsia" w:ascii="宋体" w:hAnsi="宋体" w:eastAsia="宋体" w:cs="宋体"/>
          <w:iCs w:val="0"/>
          <w:szCs w:val="21"/>
        </w:rPr>
        <w:fldChar w:fldCharType="end"/>
      </w:r>
      <w:r>
        <w:rPr>
          <w:rFonts w:hint="eastAsia" w:ascii="宋体" w:hAnsi="宋体" w:eastAsia="宋体" w:cs="宋体"/>
          <w:iCs w:val="0"/>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"_Toc18377" </w:instrText>
      </w:r>
      <w:r>
        <w:fldChar w:fldCharType="separate"/>
      </w:r>
      <w:r>
        <w:rPr>
          <w:rFonts w:hint="eastAsia" w:ascii="宋体" w:hAnsi="宋体" w:cs="宋体"/>
          <w:szCs w:val="21"/>
        </w:rPr>
        <w:t>1.2.1法律法规</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_Toc18377 </w:instrText>
      </w:r>
      <w:r>
        <w:rPr>
          <w:rFonts w:hint="eastAsia" w:ascii="宋体" w:hAnsi="宋体" w:cs="宋体"/>
          <w:szCs w:val="21"/>
        </w:rPr>
        <w:fldChar w:fldCharType="separate"/>
      </w:r>
      <w:r>
        <w:rPr>
          <w:rFonts w:hint="eastAsia" w:ascii="宋体" w:hAnsi="宋体" w:cs="宋体"/>
          <w:szCs w:val="21"/>
        </w:rPr>
        <w:t>2</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"_Toc16583" </w:instrText>
      </w:r>
      <w:r>
        <w:fldChar w:fldCharType="separate"/>
      </w:r>
      <w:r>
        <w:rPr>
          <w:rFonts w:hint="eastAsia" w:ascii="宋体" w:hAnsi="宋体" w:cs="宋体"/>
          <w:szCs w:val="21"/>
        </w:rPr>
        <w:t>1.2.2部门规章</w:t>
      </w:r>
      <w:r>
        <w:rPr>
          <w:rFonts w:hint="eastAsia" w:ascii="宋体" w:hAnsi="宋体" w:cs="宋体"/>
          <w:szCs w:val="21"/>
        </w:rPr>
        <w:tab/>
      </w:r>
      <w:r>
        <w:rPr>
          <w:rFonts w:hint="eastAsia" w:ascii="宋体" w:hAnsi="宋体" w:cs="宋体"/>
          <w:szCs w:val="21"/>
        </w:rPr>
        <w:t>3</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"_Toc14521" </w:instrText>
      </w:r>
      <w:r>
        <w:fldChar w:fldCharType="separate"/>
      </w:r>
      <w:r>
        <w:rPr>
          <w:rFonts w:hint="eastAsia" w:ascii="宋体" w:hAnsi="宋体" w:cs="宋体"/>
          <w:szCs w:val="21"/>
        </w:rPr>
        <w:t>1.2.3地方性法规</w:t>
      </w:r>
      <w:r>
        <w:rPr>
          <w:rFonts w:hint="eastAsia" w:ascii="宋体" w:hAnsi="宋体" w:cs="宋体"/>
          <w:szCs w:val="21"/>
        </w:rPr>
        <w:tab/>
      </w:r>
      <w:r>
        <w:rPr>
          <w:rFonts w:hint="eastAsia" w:ascii="宋体" w:hAnsi="宋体" w:cs="宋体"/>
          <w:szCs w:val="21"/>
        </w:rPr>
        <w:t>4</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"_Toc16528" </w:instrText>
      </w:r>
      <w:r>
        <w:fldChar w:fldCharType="separate"/>
      </w:r>
      <w:r>
        <w:rPr>
          <w:rFonts w:hint="eastAsia" w:ascii="宋体" w:hAnsi="宋体" w:cs="宋体"/>
          <w:szCs w:val="21"/>
        </w:rPr>
        <w:t>1.2.4标准规范</w:t>
      </w:r>
      <w:r>
        <w:rPr>
          <w:rFonts w:hint="eastAsia" w:ascii="宋体" w:hAnsi="宋体" w:cs="宋体"/>
          <w:szCs w:val="21"/>
        </w:rPr>
        <w:tab/>
      </w:r>
      <w:r>
        <w:rPr>
          <w:rFonts w:hint="eastAsia" w:ascii="宋体" w:hAnsi="宋体" w:cs="宋体"/>
          <w:szCs w:val="21"/>
        </w:rPr>
        <w:t>5</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"_Toc20658" </w:instrText>
      </w:r>
      <w:r>
        <w:fldChar w:fldCharType="separate"/>
      </w:r>
      <w:r>
        <w:rPr>
          <w:rFonts w:hint="eastAsia" w:ascii="宋体" w:hAnsi="宋体" w:cs="宋体"/>
          <w:szCs w:val="21"/>
        </w:rPr>
        <w:t>1.2.5衔接的上级预案</w:t>
      </w:r>
      <w:r>
        <w:rPr>
          <w:rFonts w:hint="eastAsia" w:ascii="宋体" w:hAnsi="宋体" w:cs="宋体"/>
          <w:szCs w:val="21"/>
        </w:rPr>
        <w:tab/>
      </w:r>
      <w:r>
        <w:rPr>
          <w:rFonts w:hint="eastAsia" w:ascii="宋体" w:hAnsi="宋体" w:cs="宋体"/>
          <w:szCs w:val="21"/>
        </w:rPr>
        <w:t>5</w:t>
      </w:r>
      <w:r>
        <w:rPr>
          <w:rFonts w:hint="eastAsia" w:ascii="宋体" w:hAnsi="宋体" w:cs="宋体"/>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"_Toc1354" </w:instrText>
      </w:r>
      <w:r>
        <w:fldChar w:fldCharType="separate"/>
      </w:r>
      <w:r>
        <w:rPr>
          <w:rFonts w:hint="eastAsia" w:ascii="宋体" w:hAnsi="宋体" w:eastAsia="宋体" w:cs="宋体"/>
          <w:iCs w:val="0"/>
          <w:szCs w:val="21"/>
        </w:rPr>
        <w:t>1.3适用范围</w:t>
      </w:r>
      <w:r>
        <w:rPr>
          <w:rFonts w:hint="eastAsia" w:ascii="宋体" w:hAnsi="宋体" w:eastAsia="宋体" w:cs="宋体"/>
          <w:iCs w:val="0"/>
          <w:szCs w:val="21"/>
        </w:rPr>
        <w:tab/>
      </w:r>
      <w:r>
        <w:rPr>
          <w:rFonts w:hint="eastAsia" w:ascii="宋体" w:hAnsi="宋体" w:eastAsia="宋体" w:cs="宋体"/>
          <w:iCs w:val="0"/>
          <w:szCs w:val="21"/>
        </w:rPr>
        <w:t>6</w:t>
      </w:r>
      <w:r>
        <w:rPr>
          <w:rFonts w:hint="eastAsia" w:ascii="宋体" w:hAnsi="宋体" w:eastAsia="宋体" w:cs="宋体"/>
          <w:iCs w:val="0"/>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"_Toc25785" </w:instrText>
      </w:r>
      <w:r>
        <w:fldChar w:fldCharType="separate"/>
      </w:r>
      <w:r>
        <w:rPr>
          <w:rFonts w:hint="eastAsia" w:ascii="宋体" w:hAnsi="宋体" w:cs="宋体"/>
          <w:szCs w:val="21"/>
        </w:rPr>
        <w:t>1.3.1事故类型</w:t>
      </w:r>
      <w:r>
        <w:rPr>
          <w:rFonts w:hint="eastAsia" w:ascii="宋体" w:hAnsi="宋体" w:cs="宋体"/>
          <w:szCs w:val="21"/>
        </w:rPr>
        <w:tab/>
      </w:r>
      <w:r>
        <w:rPr>
          <w:rFonts w:hint="eastAsia" w:ascii="宋体" w:hAnsi="宋体" w:cs="宋体"/>
          <w:szCs w:val="21"/>
        </w:rPr>
        <w:t>6</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"_Toc2612" </w:instrText>
      </w:r>
      <w:r>
        <w:fldChar w:fldCharType="separate"/>
      </w:r>
      <w:r>
        <w:rPr>
          <w:rFonts w:hint="eastAsia" w:ascii="宋体" w:hAnsi="宋体" w:cs="宋体"/>
          <w:szCs w:val="21"/>
        </w:rPr>
        <w:t>1.3.2事故级别</w:t>
      </w:r>
      <w:r>
        <w:rPr>
          <w:rFonts w:hint="eastAsia" w:ascii="宋体" w:hAnsi="宋体" w:cs="宋体"/>
          <w:szCs w:val="21"/>
        </w:rPr>
        <w:tab/>
      </w:r>
      <w:r>
        <w:rPr>
          <w:rFonts w:hint="eastAsia" w:ascii="宋体" w:hAnsi="宋体" w:cs="宋体"/>
          <w:szCs w:val="21"/>
        </w:rPr>
        <w:t>7</w:t>
      </w:r>
      <w:r>
        <w:rPr>
          <w:rFonts w:hint="eastAsia" w:ascii="宋体" w:hAnsi="宋体" w:cs="宋体"/>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"_Toc23581" </w:instrText>
      </w:r>
      <w:r>
        <w:fldChar w:fldCharType="separate"/>
      </w:r>
      <w:r>
        <w:rPr>
          <w:rFonts w:hint="eastAsia" w:ascii="宋体" w:hAnsi="宋体" w:eastAsia="宋体" w:cs="宋体"/>
          <w:iCs w:val="0"/>
          <w:szCs w:val="21"/>
        </w:rPr>
        <w:t>1.4应急预案体系</w:t>
      </w:r>
      <w:r>
        <w:rPr>
          <w:rFonts w:hint="eastAsia" w:ascii="宋体" w:hAnsi="宋体" w:eastAsia="宋体" w:cs="宋体"/>
          <w:iCs w:val="0"/>
          <w:szCs w:val="21"/>
        </w:rPr>
        <w:tab/>
      </w:r>
      <w:r>
        <w:rPr>
          <w:rFonts w:hint="eastAsia" w:ascii="宋体" w:hAnsi="宋体" w:eastAsia="宋体" w:cs="宋体"/>
          <w:iCs w:val="0"/>
          <w:szCs w:val="21"/>
        </w:rPr>
        <w:t>7</w:t>
      </w:r>
      <w:r>
        <w:rPr>
          <w:rFonts w:hint="eastAsia" w:ascii="宋体" w:hAnsi="宋体" w:eastAsia="宋体" w:cs="宋体"/>
          <w:iCs w:val="0"/>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"_Toc13893" </w:instrText>
      </w:r>
      <w:r>
        <w:fldChar w:fldCharType="separate"/>
      </w:r>
      <w:r>
        <w:rPr>
          <w:rFonts w:hint="eastAsia" w:ascii="宋体" w:hAnsi="宋体" w:eastAsia="宋体" w:cs="宋体"/>
          <w:iCs w:val="0"/>
          <w:szCs w:val="21"/>
        </w:rPr>
        <w:t>1.5应急工作原则</w:t>
      </w:r>
      <w:r>
        <w:rPr>
          <w:rFonts w:hint="eastAsia" w:ascii="宋体" w:hAnsi="宋体" w:eastAsia="宋体" w:cs="宋体"/>
          <w:iCs w:val="0"/>
          <w:szCs w:val="21"/>
        </w:rPr>
        <w:tab/>
      </w:r>
      <w:r>
        <w:rPr>
          <w:rFonts w:hint="eastAsia" w:ascii="宋体" w:hAnsi="宋体" w:eastAsia="宋体" w:cs="宋体"/>
          <w:iCs w:val="0"/>
          <w:szCs w:val="21"/>
        </w:rPr>
        <w:t>8</w:t>
      </w:r>
      <w:r>
        <w:rPr>
          <w:rFonts w:hint="eastAsia" w:ascii="宋体" w:hAnsi="宋体" w:eastAsia="宋体" w:cs="宋体"/>
          <w:iCs w:val="0"/>
          <w:szCs w:val="21"/>
        </w:rPr>
        <w:fldChar w:fldCharType="end"/>
      </w:r>
    </w:p>
    <w:p>
      <w:pPr>
        <w:pStyle w:val="23"/>
        <w:tabs>
          <w:tab w:val="right" w:leader="dot" w:pos="8669"/>
        </w:tabs>
        <w:spacing w:before="0" w:after="0" w:line="300" w:lineRule="exact"/>
        <w:rPr>
          <w:rFonts w:ascii="宋体" w:hAnsi="宋体" w:eastAsia="宋体" w:cs="宋体"/>
          <w:b/>
          <w:sz w:val="21"/>
          <w:szCs w:val="21"/>
        </w:rPr>
      </w:pPr>
      <w:r>
        <w:fldChar w:fldCharType="begin"/>
      </w:r>
      <w:r>
        <w:instrText xml:space="preserve"> HYPERLINK \l "_Toc13135" </w:instrText>
      </w:r>
      <w:r>
        <w:fldChar w:fldCharType="separate"/>
      </w:r>
      <w:r>
        <w:rPr>
          <w:rFonts w:hint="eastAsia" w:ascii="宋体" w:hAnsi="宋体" w:eastAsia="宋体" w:cs="宋体"/>
          <w:b/>
          <w:sz w:val="21"/>
          <w:szCs w:val="21"/>
        </w:rPr>
        <w:t>第二章  事故风险分析</w:t>
      </w:r>
      <w:r>
        <w:rPr>
          <w:rFonts w:hint="eastAsia" w:ascii="宋体" w:hAnsi="宋体" w:eastAsia="宋体" w:cs="宋体"/>
          <w:b/>
          <w:sz w:val="21"/>
          <w:szCs w:val="21"/>
        </w:rPr>
        <w:tab/>
      </w:r>
      <w:r>
        <w:rPr>
          <w:rFonts w:hint="eastAsia" w:ascii="宋体" w:hAnsi="宋体" w:eastAsia="宋体" w:cs="宋体"/>
          <w:b/>
          <w:sz w:val="21"/>
          <w:szCs w:val="21"/>
        </w:rPr>
        <w:t>10</w:t>
      </w:r>
      <w:r>
        <w:rPr>
          <w:rFonts w:hint="eastAsia" w:ascii="宋体" w:hAnsi="宋体" w:eastAsia="宋体" w:cs="宋体"/>
          <w:b/>
          <w:sz w:val="21"/>
          <w:szCs w:val="21"/>
        </w:rPr>
        <w:fldChar w:fldCharType="end"/>
      </w:r>
    </w:p>
    <w:p>
      <w:pPr>
        <w:pStyle w:val="23"/>
        <w:tabs>
          <w:tab w:val="right" w:leader="dot" w:pos="8669"/>
        </w:tabs>
        <w:spacing w:before="0" w:after="0" w:line="300" w:lineRule="exact"/>
        <w:rPr>
          <w:rFonts w:ascii="宋体" w:hAnsi="宋体" w:eastAsia="宋体" w:cs="宋体"/>
          <w:b/>
          <w:sz w:val="21"/>
          <w:szCs w:val="21"/>
        </w:rPr>
      </w:pPr>
      <w:r>
        <w:fldChar w:fldCharType="begin"/>
      </w:r>
      <w:r>
        <w:instrText xml:space="preserve"> HYPERLINK \l "_Toc26656" </w:instrText>
      </w:r>
      <w:r>
        <w:fldChar w:fldCharType="separate"/>
      </w:r>
      <w:r>
        <w:rPr>
          <w:rFonts w:hint="eastAsia" w:ascii="宋体" w:hAnsi="宋体" w:eastAsia="宋体" w:cs="宋体"/>
          <w:b/>
          <w:sz w:val="21"/>
          <w:szCs w:val="21"/>
        </w:rPr>
        <w:t>第三章  应急组织机构及职责</w:t>
      </w:r>
      <w:r>
        <w:rPr>
          <w:rFonts w:hint="eastAsia" w:ascii="宋体" w:hAnsi="宋体" w:eastAsia="宋体" w:cs="宋体"/>
          <w:b/>
          <w:sz w:val="21"/>
          <w:szCs w:val="21"/>
        </w:rPr>
        <w:tab/>
      </w:r>
      <w:r>
        <w:rPr>
          <w:rFonts w:hint="eastAsia" w:ascii="宋体" w:hAnsi="宋体" w:eastAsia="宋体" w:cs="宋体"/>
          <w:b/>
          <w:sz w:val="21"/>
          <w:szCs w:val="21"/>
        </w:rPr>
        <w:fldChar w:fldCharType="begin"/>
      </w:r>
      <w:r>
        <w:rPr>
          <w:rFonts w:hint="eastAsia" w:ascii="宋体" w:hAnsi="宋体" w:eastAsia="宋体" w:cs="宋体"/>
          <w:b/>
          <w:sz w:val="21"/>
          <w:szCs w:val="21"/>
        </w:rPr>
        <w:instrText xml:space="preserve"> PAGEREF _Toc26656 </w:instrText>
      </w:r>
      <w:r>
        <w:rPr>
          <w:rFonts w:hint="eastAsia" w:ascii="宋体" w:hAnsi="宋体" w:eastAsia="宋体" w:cs="宋体"/>
          <w:b/>
          <w:sz w:val="21"/>
          <w:szCs w:val="21"/>
        </w:rPr>
        <w:fldChar w:fldCharType="separate"/>
      </w:r>
      <w:r>
        <w:rPr>
          <w:rFonts w:hint="eastAsia" w:ascii="宋体" w:hAnsi="宋体" w:eastAsia="宋体" w:cs="宋体"/>
          <w:b/>
          <w:sz w:val="21"/>
          <w:szCs w:val="21"/>
        </w:rPr>
        <w:t>14</w:t>
      </w:r>
      <w:r>
        <w:rPr>
          <w:rFonts w:hint="eastAsia" w:ascii="宋体" w:hAnsi="宋体" w:eastAsia="宋体" w:cs="宋体"/>
          <w:b/>
          <w:sz w:val="21"/>
          <w:szCs w:val="21"/>
        </w:rPr>
        <w:fldChar w:fldCharType="end"/>
      </w:r>
      <w:r>
        <w:rPr>
          <w:rFonts w:hint="eastAsia" w:ascii="宋体" w:hAnsi="宋体" w:eastAsia="宋体" w:cs="宋体"/>
          <w:b/>
          <w:sz w:val="21"/>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"_Toc6804" </w:instrText>
      </w:r>
      <w:r>
        <w:fldChar w:fldCharType="separate"/>
      </w:r>
      <w:r>
        <w:rPr>
          <w:rFonts w:hint="eastAsia" w:ascii="宋体" w:hAnsi="宋体" w:eastAsia="宋体" w:cs="宋体"/>
          <w:iCs w:val="0"/>
          <w:szCs w:val="21"/>
        </w:rPr>
        <w:t>3.1事故应急组织</w:t>
      </w:r>
      <w:r>
        <w:rPr>
          <w:rFonts w:hint="eastAsia" w:ascii="宋体" w:hAnsi="宋体" w:eastAsia="宋体" w:cs="宋体"/>
          <w:iCs w:val="0"/>
          <w:szCs w:val="21"/>
        </w:rPr>
        <w:tab/>
      </w:r>
      <w:r>
        <w:rPr>
          <w:rFonts w:hint="eastAsia" w:ascii="宋体" w:hAnsi="宋体" w:eastAsia="宋体" w:cs="宋体"/>
          <w:iCs w:val="0"/>
          <w:szCs w:val="21"/>
        </w:rPr>
        <w:fldChar w:fldCharType="begin"/>
      </w:r>
      <w:r>
        <w:rPr>
          <w:rFonts w:hint="eastAsia" w:ascii="宋体" w:hAnsi="宋体" w:eastAsia="宋体" w:cs="宋体"/>
          <w:iCs w:val="0"/>
          <w:szCs w:val="21"/>
        </w:rPr>
        <w:instrText xml:space="preserve"> PAGEREF _Toc6804 </w:instrText>
      </w:r>
      <w:r>
        <w:rPr>
          <w:rFonts w:hint="eastAsia" w:ascii="宋体" w:hAnsi="宋体" w:eastAsia="宋体" w:cs="宋体"/>
          <w:iCs w:val="0"/>
          <w:szCs w:val="21"/>
        </w:rPr>
        <w:fldChar w:fldCharType="separate"/>
      </w:r>
      <w:r>
        <w:rPr>
          <w:rFonts w:hint="eastAsia" w:ascii="宋体" w:hAnsi="宋体" w:eastAsia="宋体" w:cs="宋体"/>
          <w:iCs w:val="0"/>
          <w:szCs w:val="21"/>
        </w:rPr>
        <w:t>14</w:t>
      </w:r>
      <w:r>
        <w:rPr>
          <w:rFonts w:hint="eastAsia" w:ascii="宋体" w:hAnsi="宋体" w:eastAsia="宋体" w:cs="宋体"/>
          <w:iCs w:val="0"/>
          <w:szCs w:val="21"/>
        </w:rPr>
        <w:fldChar w:fldCharType="end"/>
      </w:r>
      <w:r>
        <w:rPr>
          <w:rFonts w:hint="eastAsia" w:ascii="宋体" w:hAnsi="宋体" w:eastAsia="宋体" w:cs="宋体"/>
          <w:iCs w:val="0"/>
          <w:szCs w:val="21"/>
        </w:rPr>
        <w:fldChar w:fldCharType="end"/>
      </w:r>
    </w:p>
    <w:p>
      <w:pPr>
        <w:pStyle w:val="26"/>
        <w:tabs>
          <w:tab w:val="right" w:leader="dot" w:pos="8669"/>
        </w:tabs>
        <w:spacing w:line="300" w:lineRule="exact"/>
        <w:rPr>
          <w:rFonts w:hint="eastAsia" w:ascii="宋体" w:hAnsi="宋体" w:eastAsia="宋体" w:cs="宋体"/>
          <w:bCs/>
          <w:iCs w:val="0"/>
          <w:kern w:val="44"/>
          <w:szCs w:val="21"/>
        </w:rPr>
      </w:pPr>
      <w:r>
        <w:fldChar w:fldCharType="begin"/>
      </w:r>
      <w:r>
        <w:instrText xml:space="preserve"> HYPERLINK \l "_Toc21105" </w:instrText>
      </w:r>
      <w:r>
        <w:fldChar w:fldCharType="separate"/>
      </w:r>
      <w:r>
        <w:rPr>
          <w:rFonts w:hint="eastAsia" w:ascii="宋体" w:hAnsi="宋体" w:eastAsia="宋体" w:cs="宋体"/>
          <w:iCs w:val="0"/>
          <w:szCs w:val="21"/>
        </w:rPr>
        <w:t>3.2工作任务及职责</w:t>
      </w:r>
      <w:r>
        <w:rPr>
          <w:rFonts w:hint="eastAsia" w:ascii="宋体" w:hAnsi="宋体" w:eastAsia="宋体" w:cs="宋体"/>
          <w:iCs w:val="0"/>
          <w:szCs w:val="21"/>
        </w:rPr>
        <w:tab/>
      </w:r>
      <w:r>
        <w:rPr>
          <w:rFonts w:hint="eastAsia" w:ascii="宋体" w:hAnsi="宋体" w:eastAsia="宋体" w:cs="宋体"/>
          <w:iCs w:val="0"/>
          <w:szCs w:val="21"/>
        </w:rPr>
        <w:fldChar w:fldCharType="begin"/>
      </w:r>
      <w:r>
        <w:rPr>
          <w:rFonts w:hint="eastAsia" w:ascii="宋体" w:hAnsi="宋体" w:eastAsia="宋体" w:cs="宋体"/>
          <w:iCs w:val="0"/>
          <w:szCs w:val="21"/>
        </w:rPr>
        <w:instrText xml:space="preserve"> PAGEREF _Toc21105 </w:instrText>
      </w:r>
      <w:r>
        <w:rPr>
          <w:rFonts w:hint="eastAsia" w:ascii="宋体" w:hAnsi="宋体" w:eastAsia="宋体" w:cs="宋体"/>
          <w:iCs w:val="0"/>
          <w:szCs w:val="21"/>
        </w:rPr>
        <w:fldChar w:fldCharType="separate"/>
      </w:r>
      <w:r>
        <w:rPr>
          <w:rFonts w:hint="eastAsia" w:ascii="宋体" w:hAnsi="宋体" w:eastAsia="宋体" w:cs="宋体"/>
          <w:iCs w:val="0"/>
          <w:szCs w:val="21"/>
        </w:rPr>
        <w:t>14</w:t>
      </w:r>
      <w:r>
        <w:rPr>
          <w:rFonts w:hint="eastAsia" w:ascii="宋体" w:hAnsi="宋体" w:eastAsia="宋体" w:cs="宋体"/>
          <w:iCs w:val="0"/>
          <w:szCs w:val="21"/>
        </w:rPr>
        <w:fldChar w:fldCharType="end"/>
      </w:r>
      <w:r>
        <w:rPr>
          <w:rFonts w:hint="eastAsia" w:ascii="宋体" w:hAnsi="宋体" w:eastAsia="宋体" w:cs="宋体"/>
          <w:iCs w:val="0"/>
          <w:szCs w:val="21"/>
        </w:rPr>
        <w:fldChar w:fldCharType="end"/>
      </w:r>
    </w:p>
    <w:p>
      <w:pPr>
        <w:pStyle w:val="23"/>
        <w:tabs>
          <w:tab w:val="right" w:leader="dot" w:pos="8669"/>
        </w:tabs>
        <w:spacing w:before="0" w:after="0" w:line="300" w:lineRule="exact"/>
        <w:ind w:firstLine="480" w:firstLineChars="200"/>
        <w:rPr>
          <w:rFonts w:ascii="宋体" w:hAnsi="宋体" w:eastAsia="宋体" w:cs="宋体"/>
          <w:bCs w:val="0"/>
          <w:sz w:val="21"/>
          <w:szCs w:val="21"/>
        </w:rPr>
      </w:pPr>
      <w:r>
        <w:fldChar w:fldCharType="begin"/>
      </w:r>
      <w:r>
        <w:instrText xml:space="preserve"> HYPERLINK \l "_Toc16922" </w:instrText>
      </w:r>
      <w:r>
        <w:fldChar w:fldCharType="separate"/>
      </w:r>
      <w:r>
        <w:rPr>
          <w:rFonts w:hint="eastAsia" w:ascii="宋体" w:hAnsi="宋体" w:eastAsia="宋体" w:cs="宋体"/>
          <w:bCs w:val="0"/>
          <w:sz w:val="21"/>
          <w:szCs w:val="21"/>
        </w:rPr>
        <w:t>3.2.1领导小组职责</w:t>
      </w:r>
      <w:r>
        <w:rPr>
          <w:rFonts w:hint="eastAsia" w:ascii="宋体" w:hAnsi="宋体" w:eastAsia="宋体" w:cs="宋体"/>
          <w:bCs w:val="0"/>
          <w:sz w:val="21"/>
          <w:szCs w:val="21"/>
        </w:rPr>
        <w:tab/>
      </w:r>
      <w:r>
        <w:rPr>
          <w:rFonts w:hint="eastAsia" w:ascii="宋体" w:hAnsi="宋体" w:eastAsia="宋体" w:cs="宋体"/>
          <w:bCs w:val="0"/>
          <w:sz w:val="21"/>
          <w:szCs w:val="21"/>
        </w:rPr>
        <w:t>14</w:t>
      </w:r>
      <w:r>
        <w:rPr>
          <w:rFonts w:hint="eastAsia" w:ascii="宋体" w:hAnsi="宋体" w:eastAsia="宋体" w:cs="宋体"/>
          <w:bCs w:val="0"/>
          <w:sz w:val="21"/>
          <w:szCs w:val="21"/>
        </w:rPr>
        <w:fldChar w:fldCharType="end"/>
      </w:r>
    </w:p>
    <w:p>
      <w:pPr>
        <w:pStyle w:val="23"/>
        <w:tabs>
          <w:tab w:val="right" w:leader="dot" w:pos="8669"/>
        </w:tabs>
        <w:spacing w:before="0" w:after="0" w:line="300" w:lineRule="exact"/>
        <w:ind w:firstLine="480" w:firstLineChars="200"/>
        <w:rPr>
          <w:rFonts w:ascii="宋体" w:hAnsi="宋体" w:eastAsia="宋体" w:cs="宋体"/>
          <w:bCs w:val="0"/>
          <w:sz w:val="21"/>
          <w:szCs w:val="21"/>
        </w:rPr>
      </w:pPr>
      <w:r>
        <w:fldChar w:fldCharType="begin"/>
      </w:r>
      <w:r>
        <w:instrText xml:space="preserve"> HYPERLINK \l "_Toc16922" </w:instrText>
      </w:r>
      <w:r>
        <w:fldChar w:fldCharType="separate"/>
      </w:r>
      <w:r>
        <w:rPr>
          <w:rFonts w:hint="eastAsia" w:ascii="宋体" w:hAnsi="宋体" w:eastAsia="宋体" w:cs="宋体"/>
          <w:bCs w:val="0"/>
          <w:sz w:val="21"/>
          <w:szCs w:val="21"/>
        </w:rPr>
        <w:t>3.2.2总指挥及职责</w:t>
      </w:r>
      <w:r>
        <w:rPr>
          <w:rFonts w:hint="eastAsia" w:ascii="宋体" w:hAnsi="宋体" w:eastAsia="宋体" w:cs="宋体"/>
          <w:bCs w:val="0"/>
          <w:sz w:val="21"/>
          <w:szCs w:val="21"/>
        </w:rPr>
        <w:tab/>
      </w:r>
      <w:r>
        <w:rPr>
          <w:rFonts w:hint="eastAsia" w:ascii="宋体" w:hAnsi="宋体" w:eastAsia="宋体" w:cs="宋体"/>
          <w:bCs w:val="0"/>
          <w:sz w:val="21"/>
          <w:szCs w:val="21"/>
        </w:rPr>
        <w:fldChar w:fldCharType="begin"/>
      </w:r>
      <w:r>
        <w:rPr>
          <w:rFonts w:hint="eastAsia" w:ascii="宋体" w:hAnsi="宋体" w:eastAsia="宋体" w:cs="宋体"/>
          <w:bCs w:val="0"/>
          <w:sz w:val="21"/>
          <w:szCs w:val="21"/>
        </w:rPr>
        <w:instrText xml:space="preserve"> PAGEREF _Toc16922 </w:instrText>
      </w:r>
      <w:r>
        <w:rPr>
          <w:rFonts w:hint="eastAsia" w:ascii="宋体" w:hAnsi="宋体" w:eastAsia="宋体" w:cs="宋体"/>
          <w:bCs w:val="0"/>
          <w:sz w:val="21"/>
          <w:szCs w:val="21"/>
        </w:rPr>
        <w:fldChar w:fldCharType="separate"/>
      </w:r>
      <w:r>
        <w:rPr>
          <w:rFonts w:hint="eastAsia" w:ascii="宋体" w:hAnsi="宋体" w:eastAsia="宋体" w:cs="宋体"/>
          <w:bCs w:val="0"/>
          <w:sz w:val="21"/>
          <w:szCs w:val="21"/>
        </w:rPr>
        <w:t>1</w:t>
      </w:r>
      <w:r>
        <w:rPr>
          <w:rFonts w:hint="eastAsia" w:ascii="宋体" w:hAnsi="宋体" w:eastAsia="宋体" w:cs="宋体"/>
          <w:bCs w:val="0"/>
          <w:sz w:val="21"/>
          <w:szCs w:val="21"/>
        </w:rPr>
        <w:fldChar w:fldCharType="end"/>
      </w:r>
      <w:r>
        <w:rPr>
          <w:rFonts w:hint="eastAsia" w:ascii="宋体" w:hAnsi="宋体" w:eastAsia="宋体" w:cs="宋体"/>
          <w:bCs w:val="0"/>
          <w:sz w:val="21"/>
          <w:szCs w:val="21"/>
        </w:rPr>
        <w:fldChar w:fldCharType="end"/>
      </w:r>
      <w:r>
        <w:rPr>
          <w:rFonts w:hint="eastAsia" w:ascii="宋体" w:hAnsi="宋体" w:eastAsia="宋体" w:cs="宋体"/>
          <w:bCs w:val="0"/>
          <w:sz w:val="21"/>
          <w:szCs w:val="21"/>
        </w:rPr>
        <w:t>5</w:t>
      </w:r>
    </w:p>
    <w:p>
      <w:pPr>
        <w:pStyle w:val="23"/>
        <w:tabs>
          <w:tab w:val="right" w:leader="dot" w:pos="8669"/>
        </w:tabs>
        <w:spacing w:before="0" w:after="0" w:line="300" w:lineRule="exact"/>
        <w:ind w:firstLine="480" w:firstLineChars="200"/>
        <w:rPr>
          <w:rFonts w:ascii="宋体" w:hAnsi="宋体" w:eastAsia="宋体" w:cs="宋体"/>
          <w:bCs w:val="0"/>
          <w:sz w:val="21"/>
          <w:szCs w:val="21"/>
        </w:rPr>
      </w:pPr>
      <w:r>
        <w:fldChar w:fldCharType="begin"/>
      </w:r>
      <w:r>
        <w:instrText xml:space="preserve"> HYPERLINK \l "_Toc16922" </w:instrText>
      </w:r>
      <w:r>
        <w:fldChar w:fldCharType="separate"/>
      </w:r>
      <w:r>
        <w:rPr>
          <w:rFonts w:hint="eastAsia" w:ascii="宋体" w:hAnsi="宋体" w:eastAsia="宋体" w:cs="宋体"/>
          <w:bCs w:val="0"/>
          <w:sz w:val="21"/>
          <w:szCs w:val="21"/>
        </w:rPr>
        <w:t>3.2.3副总指挥及职责</w:t>
      </w:r>
      <w:r>
        <w:rPr>
          <w:rFonts w:hint="eastAsia" w:ascii="宋体" w:hAnsi="宋体" w:eastAsia="宋体" w:cs="宋体"/>
          <w:bCs w:val="0"/>
          <w:sz w:val="21"/>
          <w:szCs w:val="21"/>
        </w:rPr>
        <w:tab/>
      </w:r>
      <w:r>
        <w:rPr>
          <w:rFonts w:hint="eastAsia" w:ascii="宋体" w:hAnsi="宋体" w:eastAsia="宋体" w:cs="宋体"/>
          <w:bCs w:val="0"/>
          <w:sz w:val="21"/>
          <w:szCs w:val="21"/>
        </w:rPr>
        <w:t>16</w:t>
      </w:r>
      <w:r>
        <w:rPr>
          <w:rFonts w:hint="eastAsia" w:ascii="宋体" w:hAnsi="宋体" w:eastAsia="宋体" w:cs="宋体"/>
          <w:bCs w:val="0"/>
          <w:sz w:val="21"/>
          <w:szCs w:val="21"/>
        </w:rPr>
        <w:fldChar w:fldCharType="end"/>
      </w:r>
    </w:p>
    <w:p>
      <w:pPr>
        <w:pStyle w:val="23"/>
        <w:tabs>
          <w:tab w:val="right" w:leader="dot" w:pos="8669"/>
        </w:tabs>
        <w:spacing w:before="0" w:after="0" w:line="300" w:lineRule="exact"/>
        <w:ind w:firstLine="480" w:firstLineChars="200"/>
        <w:rPr>
          <w:rFonts w:ascii="宋体" w:hAnsi="宋体" w:eastAsia="宋体" w:cs="宋体"/>
          <w:bCs w:val="0"/>
          <w:sz w:val="21"/>
          <w:szCs w:val="21"/>
        </w:rPr>
      </w:pPr>
      <w:r>
        <w:fldChar w:fldCharType="begin"/>
      </w:r>
      <w:r>
        <w:instrText xml:space="preserve"> HYPERLINK \l "_Toc16922" </w:instrText>
      </w:r>
      <w:r>
        <w:fldChar w:fldCharType="separate"/>
      </w:r>
      <w:r>
        <w:rPr>
          <w:rFonts w:hint="eastAsia" w:ascii="宋体" w:hAnsi="宋体" w:eastAsia="宋体" w:cs="宋体"/>
          <w:bCs w:val="0"/>
          <w:sz w:val="21"/>
          <w:szCs w:val="21"/>
        </w:rPr>
        <w:t>3.2.4抢险救援组及职责</w:t>
      </w:r>
      <w:r>
        <w:rPr>
          <w:rFonts w:hint="eastAsia" w:ascii="宋体" w:hAnsi="宋体" w:eastAsia="宋体" w:cs="宋体"/>
          <w:bCs w:val="0"/>
          <w:sz w:val="21"/>
          <w:szCs w:val="21"/>
        </w:rPr>
        <w:tab/>
      </w:r>
      <w:r>
        <w:rPr>
          <w:rFonts w:hint="eastAsia" w:ascii="宋体" w:hAnsi="宋体" w:eastAsia="宋体" w:cs="宋体"/>
          <w:bCs w:val="0"/>
          <w:sz w:val="21"/>
          <w:szCs w:val="21"/>
        </w:rPr>
        <w:t>16</w:t>
      </w:r>
      <w:r>
        <w:rPr>
          <w:rFonts w:hint="eastAsia" w:ascii="宋体" w:hAnsi="宋体" w:eastAsia="宋体" w:cs="宋体"/>
          <w:bCs w:val="0"/>
          <w:sz w:val="21"/>
          <w:szCs w:val="21"/>
        </w:rPr>
        <w:fldChar w:fldCharType="end"/>
      </w:r>
    </w:p>
    <w:p>
      <w:pPr>
        <w:pStyle w:val="23"/>
        <w:tabs>
          <w:tab w:val="right" w:leader="dot" w:pos="8669"/>
        </w:tabs>
        <w:spacing w:before="0" w:after="0" w:line="300" w:lineRule="exact"/>
        <w:ind w:firstLine="480" w:firstLineChars="200"/>
        <w:rPr>
          <w:rFonts w:ascii="宋体" w:hAnsi="宋体" w:eastAsia="宋体" w:cs="宋体"/>
          <w:bCs w:val="0"/>
          <w:sz w:val="21"/>
          <w:szCs w:val="21"/>
        </w:rPr>
      </w:pPr>
      <w:r>
        <w:fldChar w:fldCharType="begin"/>
      </w:r>
      <w:r>
        <w:instrText xml:space="preserve"> HYPERLINK \l "_Toc16922" </w:instrText>
      </w:r>
      <w:r>
        <w:fldChar w:fldCharType="separate"/>
      </w:r>
      <w:r>
        <w:rPr>
          <w:rFonts w:hint="eastAsia" w:ascii="宋体" w:hAnsi="宋体" w:eastAsia="宋体" w:cs="宋体"/>
          <w:bCs w:val="0"/>
          <w:sz w:val="21"/>
          <w:szCs w:val="21"/>
        </w:rPr>
        <w:t>3.2.5警戒后勤组及职责</w:t>
      </w:r>
      <w:r>
        <w:rPr>
          <w:rFonts w:hint="eastAsia" w:ascii="宋体" w:hAnsi="宋体" w:eastAsia="宋体" w:cs="宋体"/>
          <w:bCs w:val="0"/>
          <w:sz w:val="21"/>
          <w:szCs w:val="21"/>
        </w:rPr>
        <w:tab/>
      </w:r>
      <w:r>
        <w:rPr>
          <w:rFonts w:hint="eastAsia" w:ascii="宋体" w:hAnsi="宋体" w:eastAsia="宋体" w:cs="宋体"/>
          <w:bCs w:val="0"/>
          <w:sz w:val="21"/>
          <w:szCs w:val="21"/>
        </w:rPr>
        <w:fldChar w:fldCharType="begin"/>
      </w:r>
      <w:r>
        <w:rPr>
          <w:rFonts w:hint="eastAsia" w:ascii="宋体" w:hAnsi="宋体" w:eastAsia="宋体" w:cs="宋体"/>
          <w:bCs w:val="0"/>
          <w:sz w:val="21"/>
          <w:szCs w:val="21"/>
        </w:rPr>
        <w:instrText xml:space="preserve"> PAGEREF _Toc16922 </w:instrText>
      </w:r>
      <w:r>
        <w:rPr>
          <w:rFonts w:hint="eastAsia" w:ascii="宋体" w:hAnsi="宋体" w:eastAsia="宋体" w:cs="宋体"/>
          <w:bCs w:val="0"/>
          <w:sz w:val="21"/>
          <w:szCs w:val="21"/>
        </w:rPr>
        <w:fldChar w:fldCharType="separate"/>
      </w:r>
      <w:r>
        <w:rPr>
          <w:rFonts w:hint="eastAsia" w:ascii="宋体" w:hAnsi="宋体" w:eastAsia="宋体" w:cs="宋体"/>
          <w:bCs w:val="0"/>
          <w:sz w:val="21"/>
          <w:szCs w:val="21"/>
        </w:rPr>
        <w:t>1</w:t>
      </w:r>
      <w:r>
        <w:rPr>
          <w:rFonts w:hint="eastAsia" w:ascii="宋体" w:hAnsi="宋体" w:eastAsia="宋体" w:cs="宋体"/>
          <w:bCs w:val="0"/>
          <w:sz w:val="21"/>
          <w:szCs w:val="21"/>
        </w:rPr>
        <w:fldChar w:fldCharType="end"/>
      </w:r>
      <w:r>
        <w:rPr>
          <w:rFonts w:hint="eastAsia" w:ascii="宋体" w:hAnsi="宋体" w:eastAsia="宋体" w:cs="宋体"/>
          <w:bCs w:val="0"/>
          <w:sz w:val="21"/>
          <w:szCs w:val="21"/>
        </w:rPr>
        <w:fldChar w:fldCharType="end"/>
      </w:r>
      <w:r>
        <w:rPr>
          <w:rFonts w:hint="eastAsia" w:ascii="宋体" w:hAnsi="宋体" w:eastAsia="宋体" w:cs="宋体"/>
          <w:bCs w:val="0"/>
          <w:sz w:val="21"/>
          <w:szCs w:val="21"/>
        </w:rPr>
        <w:t>6</w:t>
      </w:r>
    </w:p>
    <w:p>
      <w:pPr>
        <w:pStyle w:val="23"/>
        <w:tabs>
          <w:tab w:val="right" w:leader="dot" w:pos="8669"/>
        </w:tabs>
        <w:spacing w:before="0" w:after="0" w:line="300" w:lineRule="exact"/>
        <w:ind w:firstLine="480" w:firstLineChars="200"/>
        <w:rPr>
          <w:rFonts w:ascii="宋体" w:hAnsi="宋体" w:eastAsia="宋体" w:cs="宋体"/>
          <w:bCs w:val="0"/>
          <w:sz w:val="21"/>
          <w:szCs w:val="21"/>
        </w:rPr>
      </w:pPr>
      <w:r>
        <w:fldChar w:fldCharType="begin"/>
      </w:r>
      <w:r>
        <w:instrText xml:space="preserve"> HYPERLINK \l "_Toc16922" </w:instrText>
      </w:r>
      <w:r>
        <w:fldChar w:fldCharType="separate"/>
      </w:r>
      <w:r>
        <w:rPr>
          <w:rFonts w:hint="eastAsia" w:ascii="宋体" w:hAnsi="宋体" w:eastAsia="宋体" w:cs="宋体"/>
          <w:bCs w:val="0"/>
          <w:sz w:val="21"/>
          <w:szCs w:val="21"/>
        </w:rPr>
        <w:t>3.2.6救护调查组及职责</w:t>
      </w:r>
      <w:r>
        <w:rPr>
          <w:rFonts w:hint="eastAsia" w:ascii="宋体" w:hAnsi="宋体" w:eastAsia="宋体" w:cs="宋体"/>
          <w:bCs w:val="0"/>
          <w:sz w:val="21"/>
          <w:szCs w:val="21"/>
        </w:rPr>
        <w:tab/>
      </w:r>
      <w:r>
        <w:rPr>
          <w:rFonts w:hint="eastAsia" w:ascii="宋体" w:hAnsi="宋体" w:eastAsia="宋体" w:cs="宋体"/>
          <w:bCs w:val="0"/>
          <w:sz w:val="21"/>
          <w:szCs w:val="21"/>
        </w:rPr>
        <w:fldChar w:fldCharType="begin"/>
      </w:r>
      <w:r>
        <w:rPr>
          <w:rFonts w:hint="eastAsia" w:ascii="宋体" w:hAnsi="宋体" w:eastAsia="宋体" w:cs="宋体"/>
          <w:bCs w:val="0"/>
          <w:sz w:val="21"/>
          <w:szCs w:val="21"/>
        </w:rPr>
        <w:instrText xml:space="preserve"> PAGEREF _Toc16922 </w:instrText>
      </w:r>
      <w:r>
        <w:rPr>
          <w:rFonts w:hint="eastAsia" w:ascii="宋体" w:hAnsi="宋体" w:eastAsia="宋体" w:cs="宋体"/>
          <w:bCs w:val="0"/>
          <w:sz w:val="21"/>
          <w:szCs w:val="21"/>
        </w:rPr>
        <w:fldChar w:fldCharType="separate"/>
      </w:r>
      <w:r>
        <w:rPr>
          <w:rFonts w:hint="eastAsia" w:ascii="宋体" w:hAnsi="宋体" w:eastAsia="宋体" w:cs="宋体"/>
          <w:bCs w:val="0"/>
          <w:sz w:val="21"/>
          <w:szCs w:val="21"/>
        </w:rPr>
        <w:t>1</w:t>
      </w:r>
      <w:r>
        <w:rPr>
          <w:rFonts w:hint="eastAsia" w:ascii="宋体" w:hAnsi="宋体" w:eastAsia="宋体" w:cs="宋体"/>
          <w:bCs w:val="0"/>
          <w:sz w:val="21"/>
          <w:szCs w:val="21"/>
        </w:rPr>
        <w:fldChar w:fldCharType="end"/>
      </w:r>
      <w:r>
        <w:rPr>
          <w:rFonts w:hint="eastAsia" w:ascii="宋体" w:hAnsi="宋体" w:eastAsia="宋体" w:cs="宋体"/>
          <w:bCs w:val="0"/>
          <w:sz w:val="21"/>
          <w:szCs w:val="21"/>
        </w:rPr>
        <w:fldChar w:fldCharType="end"/>
      </w:r>
      <w:r>
        <w:rPr>
          <w:rFonts w:hint="eastAsia" w:ascii="宋体" w:hAnsi="宋体" w:eastAsia="宋体" w:cs="宋体"/>
          <w:bCs w:val="0"/>
          <w:sz w:val="21"/>
          <w:szCs w:val="21"/>
        </w:rPr>
        <w:t>7</w:t>
      </w:r>
    </w:p>
    <w:p>
      <w:pPr>
        <w:pStyle w:val="23"/>
        <w:tabs>
          <w:tab w:val="right" w:leader="dot" w:pos="8669"/>
        </w:tabs>
        <w:spacing w:before="0" w:after="0" w:line="300" w:lineRule="exact"/>
        <w:rPr>
          <w:rFonts w:ascii="宋体" w:hAnsi="宋体" w:eastAsia="宋体" w:cs="宋体"/>
          <w:b/>
          <w:sz w:val="21"/>
          <w:szCs w:val="21"/>
        </w:rPr>
      </w:pPr>
      <w:r>
        <w:fldChar w:fldCharType="begin"/>
      </w:r>
      <w:r>
        <w:instrText xml:space="preserve"> HYPERLINK \l "_Toc14176" </w:instrText>
      </w:r>
      <w:r>
        <w:fldChar w:fldCharType="separate"/>
      </w:r>
      <w:r>
        <w:rPr>
          <w:rFonts w:hint="eastAsia" w:ascii="宋体" w:hAnsi="宋体" w:eastAsia="宋体" w:cs="宋体"/>
          <w:b/>
          <w:sz w:val="21"/>
          <w:szCs w:val="21"/>
        </w:rPr>
        <w:t>第四章  预警及信息报告</w:t>
      </w:r>
      <w:r>
        <w:rPr>
          <w:rFonts w:hint="eastAsia" w:ascii="宋体" w:hAnsi="宋体" w:eastAsia="宋体" w:cs="宋体"/>
          <w:b/>
          <w:sz w:val="21"/>
          <w:szCs w:val="21"/>
        </w:rPr>
        <w:tab/>
      </w:r>
      <w:r>
        <w:rPr>
          <w:rFonts w:hint="eastAsia" w:ascii="宋体" w:hAnsi="宋体" w:eastAsia="宋体" w:cs="宋体"/>
          <w:b/>
          <w:sz w:val="21"/>
          <w:szCs w:val="21"/>
        </w:rPr>
        <w:fldChar w:fldCharType="begin"/>
      </w:r>
      <w:r>
        <w:rPr>
          <w:rFonts w:hint="eastAsia" w:ascii="宋体" w:hAnsi="宋体" w:eastAsia="宋体" w:cs="宋体"/>
          <w:b/>
          <w:sz w:val="21"/>
          <w:szCs w:val="21"/>
        </w:rPr>
        <w:instrText xml:space="preserve"> PAGEREF _Toc14176 </w:instrText>
      </w:r>
      <w:r>
        <w:rPr>
          <w:rFonts w:hint="eastAsia" w:ascii="宋体" w:hAnsi="宋体" w:eastAsia="宋体" w:cs="宋体"/>
          <w:b/>
          <w:sz w:val="21"/>
          <w:szCs w:val="21"/>
        </w:rPr>
        <w:fldChar w:fldCharType="separate"/>
      </w:r>
      <w:r>
        <w:rPr>
          <w:rFonts w:hint="eastAsia" w:ascii="宋体" w:hAnsi="宋体" w:eastAsia="宋体" w:cs="宋体"/>
          <w:b/>
          <w:sz w:val="21"/>
          <w:szCs w:val="21"/>
        </w:rPr>
        <w:t>19</w:t>
      </w:r>
      <w:r>
        <w:rPr>
          <w:rFonts w:hint="eastAsia" w:ascii="宋体" w:hAnsi="宋体" w:eastAsia="宋体" w:cs="宋体"/>
          <w:b/>
          <w:sz w:val="21"/>
          <w:szCs w:val="21"/>
        </w:rPr>
        <w:fldChar w:fldCharType="end"/>
      </w:r>
      <w:r>
        <w:rPr>
          <w:rFonts w:hint="eastAsia" w:ascii="宋体" w:hAnsi="宋体" w:eastAsia="宋体" w:cs="宋体"/>
          <w:b/>
          <w:sz w:val="21"/>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"_Toc13425" </w:instrText>
      </w:r>
      <w:r>
        <w:fldChar w:fldCharType="separate"/>
      </w:r>
      <w:r>
        <w:rPr>
          <w:rFonts w:hint="eastAsia" w:ascii="宋体" w:hAnsi="宋体" w:eastAsia="宋体" w:cs="宋体"/>
          <w:iCs w:val="0"/>
          <w:szCs w:val="21"/>
        </w:rPr>
        <w:t>4.1危险源监控</w:t>
      </w:r>
      <w:r>
        <w:rPr>
          <w:rFonts w:hint="eastAsia" w:ascii="宋体" w:hAnsi="宋体" w:eastAsia="宋体" w:cs="宋体"/>
          <w:iCs w:val="0"/>
          <w:szCs w:val="21"/>
        </w:rPr>
        <w:tab/>
      </w:r>
      <w:r>
        <w:rPr>
          <w:rFonts w:hint="eastAsia" w:ascii="宋体" w:hAnsi="宋体" w:eastAsia="宋体" w:cs="宋体"/>
          <w:iCs w:val="0"/>
          <w:szCs w:val="21"/>
        </w:rPr>
        <w:fldChar w:fldCharType="begin"/>
      </w:r>
      <w:r>
        <w:rPr>
          <w:rFonts w:hint="eastAsia" w:ascii="宋体" w:hAnsi="宋体" w:eastAsia="宋体" w:cs="宋体"/>
          <w:iCs w:val="0"/>
          <w:szCs w:val="21"/>
        </w:rPr>
        <w:instrText xml:space="preserve"> PAGEREF _Toc13425 </w:instrText>
      </w:r>
      <w:r>
        <w:rPr>
          <w:rFonts w:hint="eastAsia" w:ascii="宋体" w:hAnsi="宋体" w:eastAsia="宋体" w:cs="宋体"/>
          <w:iCs w:val="0"/>
          <w:szCs w:val="21"/>
        </w:rPr>
        <w:fldChar w:fldCharType="separate"/>
      </w:r>
      <w:r>
        <w:rPr>
          <w:rFonts w:hint="eastAsia" w:ascii="宋体" w:hAnsi="宋体" w:eastAsia="宋体" w:cs="宋体"/>
          <w:iCs w:val="0"/>
          <w:szCs w:val="21"/>
        </w:rPr>
        <w:t>19</w:t>
      </w:r>
      <w:r>
        <w:rPr>
          <w:rFonts w:hint="eastAsia" w:ascii="宋体" w:hAnsi="宋体" w:eastAsia="宋体" w:cs="宋体"/>
          <w:iCs w:val="0"/>
          <w:szCs w:val="21"/>
        </w:rPr>
        <w:fldChar w:fldCharType="end"/>
      </w:r>
      <w:r>
        <w:rPr>
          <w:rFonts w:hint="eastAsia" w:ascii="宋体" w:hAnsi="宋体" w:eastAsia="宋体" w:cs="宋体"/>
          <w:iCs w:val="0"/>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"_Toc1359" </w:instrText>
      </w:r>
      <w:r>
        <w:fldChar w:fldCharType="separate"/>
      </w:r>
      <w:r>
        <w:rPr>
          <w:rFonts w:hint="eastAsia" w:ascii="宋体" w:hAnsi="宋体" w:eastAsia="宋体" w:cs="宋体"/>
          <w:iCs w:val="0"/>
          <w:szCs w:val="21"/>
        </w:rPr>
        <w:t>4.2预警行动</w:t>
      </w:r>
      <w:r>
        <w:rPr>
          <w:rFonts w:hint="eastAsia" w:ascii="宋体" w:hAnsi="宋体" w:eastAsia="宋体" w:cs="宋体"/>
          <w:iCs w:val="0"/>
          <w:szCs w:val="21"/>
        </w:rPr>
        <w:tab/>
      </w:r>
      <w:r>
        <w:rPr>
          <w:rFonts w:hint="eastAsia" w:ascii="宋体" w:hAnsi="宋体" w:eastAsia="宋体" w:cs="宋体"/>
          <w:iCs w:val="0"/>
          <w:szCs w:val="21"/>
        </w:rPr>
        <w:t>20</w:t>
      </w:r>
      <w:r>
        <w:rPr>
          <w:rFonts w:hint="eastAsia" w:ascii="宋体" w:hAnsi="宋体" w:eastAsia="宋体" w:cs="宋体"/>
          <w:iCs w:val="0"/>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"_Toc5998" </w:instrText>
      </w:r>
      <w:r>
        <w:fldChar w:fldCharType="separate"/>
      </w:r>
      <w:r>
        <w:rPr>
          <w:rFonts w:hint="eastAsia" w:ascii="宋体" w:hAnsi="宋体" w:cs="宋体"/>
          <w:szCs w:val="21"/>
        </w:rPr>
        <w:t>4.2.1预警获取方式</w:t>
      </w:r>
      <w:r>
        <w:rPr>
          <w:rFonts w:hint="eastAsia" w:ascii="宋体" w:hAnsi="宋体" w:cs="宋体"/>
          <w:szCs w:val="21"/>
        </w:rPr>
        <w:tab/>
      </w:r>
      <w:r>
        <w:rPr>
          <w:rFonts w:hint="eastAsia" w:ascii="宋体" w:hAnsi="宋体" w:cs="宋体"/>
          <w:szCs w:val="21"/>
        </w:rPr>
        <w:t>20</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"_Toc31768" </w:instrText>
      </w:r>
      <w:r>
        <w:fldChar w:fldCharType="separate"/>
      </w:r>
      <w:r>
        <w:rPr>
          <w:rFonts w:hint="eastAsia" w:ascii="宋体" w:hAnsi="宋体" w:cs="宋体"/>
          <w:szCs w:val="21"/>
        </w:rPr>
        <w:t>4.2.2预警级别、预警条件和信息发布方式、方法、程序</w:t>
      </w:r>
      <w:r>
        <w:rPr>
          <w:rFonts w:hint="eastAsia" w:ascii="宋体" w:hAnsi="宋体" w:cs="宋体"/>
          <w:szCs w:val="21"/>
        </w:rPr>
        <w:tab/>
      </w:r>
      <w:r>
        <w:rPr>
          <w:rFonts w:hint="eastAsia" w:ascii="宋体" w:hAnsi="宋体" w:cs="宋体"/>
          <w:szCs w:val="21"/>
        </w:rPr>
        <w:t>21</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"_Toc16760" </w:instrText>
      </w:r>
      <w:r>
        <w:fldChar w:fldCharType="separate"/>
      </w:r>
      <w:r>
        <w:rPr>
          <w:rFonts w:hint="eastAsia" w:ascii="宋体" w:hAnsi="宋体" w:cs="宋体"/>
          <w:szCs w:val="21"/>
        </w:rPr>
        <w:t>4.2.3预警解除</w:t>
      </w:r>
      <w:r>
        <w:rPr>
          <w:rFonts w:hint="eastAsia" w:ascii="宋体" w:hAnsi="宋体" w:cs="宋体"/>
          <w:szCs w:val="21"/>
        </w:rPr>
        <w:tab/>
      </w:r>
      <w:r>
        <w:rPr>
          <w:rFonts w:hint="eastAsia" w:ascii="宋体" w:hAnsi="宋体" w:cs="宋体"/>
          <w:szCs w:val="21"/>
        </w:rPr>
        <w:t>24</w:t>
      </w:r>
      <w:r>
        <w:rPr>
          <w:rFonts w:hint="eastAsia" w:ascii="宋体" w:hAnsi="宋体" w:cs="宋体"/>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"_Toc2544" </w:instrText>
      </w:r>
      <w:r>
        <w:fldChar w:fldCharType="separate"/>
      </w:r>
      <w:r>
        <w:rPr>
          <w:rFonts w:hint="eastAsia" w:ascii="宋体" w:hAnsi="宋体" w:eastAsia="宋体" w:cs="宋体"/>
          <w:iCs w:val="0"/>
          <w:szCs w:val="21"/>
        </w:rPr>
        <w:t>4.3信息报告与处置</w:t>
      </w:r>
      <w:r>
        <w:rPr>
          <w:rFonts w:hint="eastAsia" w:ascii="宋体" w:hAnsi="宋体" w:eastAsia="宋体" w:cs="宋体"/>
          <w:iCs w:val="0"/>
          <w:szCs w:val="21"/>
        </w:rPr>
        <w:tab/>
      </w:r>
      <w:r>
        <w:rPr>
          <w:rFonts w:hint="eastAsia" w:ascii="宋体" w:hAnsi="宋体" w:eastAsia="宋体" w:cs="宋体"/>
          <w:iCs w:val="0"/>
          <w:szCs w:val="21"/>
        </w:rPr>
        <w:t>24</w:t>
      </w:r>
      <w:r>
        <w:rPr>
          <w:rFonts w:hint="eastAsia" w:ascii="宋体" w:hAnsi="宋体" w:eastAsia="宋体" w:cs="宋体"/>
          <w:iCs w:val="0"/>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"_Toc11833" </w:instrText>
      </w:r>
      <w:r>
        <w:fldChar w:fldCharType="separate"/>
      </w:r>
      <w:r>
        <w:rPr>
          <w:rFonts w:hint="eastAsia" w:ascii="宋体" w:hAnsi="宋体" w:cs="宋体"/>
          <w:szCs w:val="21"/>
        </w:rPr>
        <w:t>4.3.1事故报告流程</w:t>
      </w:r>
      <w:r>
        <w:rPr>
          <w:rFonts w:hint="eastAsia" w:ascii="宋体" w:hAnsi="宋体" w:cs="宋体"/>
          <w:szCs w:val="21"/>
        </w:rPr>
        <w:tab/>
      </w:r>
      <w:r>
        <w:rPr>
          <w:rFonts w:hint="eastAsia" w:ascii="宋体" w:hAnsi="宋体" w:cs="宋体"/>
          <w:szCs w:val="21"/>
        </w:rPr>
        <w:t>24</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"_Toc11707" </w:instrText>
      </w:r>
      <w:r>
        <w:fldChar w:fldCharType="separate"/>
      </w:r>
      <w:r>
        <w:rPr>
          <w:rFonts w:hint="eastAsia" w:ascii="宋体" w:hAnsi="宋体" w:cs="宋体"/>
          <w:szCs w:val="21"/>
        </w:rPr>
        <w:t>4.3.2信息接收与通报</w:t>
      </w:r>
      <w:r>
        <w:rPr>
          <w:rFonts w:hint="eastAsia" w:ascii="宋体" w:hAnsi="宋体" w:cs="宋体"/>
          <w:szCs w:val="21"/>
        </w:rPr>
        <w:tab/>
      </w:r>
      <w:r>
        <w:rPr>
          <w:rFonts w:hint="eastAsia" w:ascii="宋体" w:hAnsi="宋体" w:cs="宋体"/>
          <w:szCs w:val="21"/>
        </w:rPr>
        <w:t>24</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"_Toc7793" </w:instrText>
      </w:r>
      <w:r>
        <w:fldChar w:fldCharType="separate"/>
      </w:r>
      <w:r>
        <w:rPr>
          <w:rFonts w:hint="eastAsia" w:ascii="宋体" w:hAnsi="宋体" w:cs="宋体"/>
          <w:szCs w:val="21"/>
        </w:rPr>
        <w:t>4.3.3信息上报</w:t>
      </w:r>
      <w:r>
        <w:rPr>
          <w:rFonts w:hint="eastAsia" w:ascii="宋体" w:hAnsi="宋体" w:cs="宋体"/>
          <w:szCs w:val="21"/>
        </w:rPr>
        <w:tab/>
      </w:r>
      <w:r>
        <w:rPr>
          <w:rFonts w:hint="eastAsia" w:ascii="宋体" w:hAnsi="宋体" w:cs="宋体"/>
          <w:szCs w:val="21"/>
        </w:rPr>
        <w:t>24</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"_Toc24973" </w:instrText>
      </w:r>
      <w:r>
        <w:fldChar w:fldCharType="separate"/>
      </w:r>
      <w:r>
        <w:rPr>
          <w:rFonts w:hint="eastAsia" w:ascii="宋体" w:hAnsi="宋体" w:cs="宋体"/>
          <w:szCs w:val="21"/>
        </w:rPr>
        <w:t>4.3.4信息传递</w:t>
      </w:r>
      <w:r>
        <w:rPr>
          <w:rFonts w:hint="eastAsia" w:ascii="宋体" w:hAnsi="宋体" w:cs="宋体"/>
          <w:szCs w:val="21"/>
        </w:rPr>
        <w:tab/>
      </w:r>
      <w:r>
        <w:rPr>
          <w:rFonts w:hint="eastAsia" w:ascii="宋体" w:hAnsi="宋体" w:cs="宋体"/>
          <w:szCs w:val="21"/>
        </w:rPr>
        <w:t>26</w:t>
      </w:r>
      <w:r>
        <w:rPr>
          <w:rFonts w:hint="eastAsia" w:ascii="宋体" w:hAnsi="宋体" w:cs="宋体"/>
          <w:szCs w:val="21"/>
        </w:rPr>
        <w:fldChar w:fldCharType="end"/>
      </w:r>
    </w:p>
    <w:p>
      <w:pPr>
        <w:pStyle w:val="23"/>
        <w:tabs>
          <w:tab w:val="right" w:leader="dot" w:pos="8669"/>
        </w:tabs>
        <w:spacing w:before="0" w:after="0" w:line="300" w:lineRule="exact"/>
        <w:rPr>
          <w:rFonts w:ascii="宋体" w:hAnsi="宋体" w:eastAsia="宋体" w:cs="宋体"/>
          <w:b/>
          <w:sz w:val="21"/>
          <w:szCs w:val="21"/>
        </w:rPr>
      </w:pPr>
      <w:r>
        <w:fldChar w:fldCharType="begin"/>
      </w:r>
      <w:r>
        <w:instrText xml:space="preserve"> HYPERLINK \l "_Toc28595" </w:instrText>
      </w:r>
      <w:r>
        <w:fldChar w:fldCharType="separate"/>
      </w:r>
      <w:r>
        <w:rPr>
          <w:rFonts w:hint="eastAsia" w:ascii="宋体" w:hAnsi="宋体" w:eastAsia="宋体" w:cs="宋体"/>
          <w:b/>
          <w:sz w:val="21"/>
          <w:szCs w:val="21"/>
        </w:rPr>
        <w:t>第五章 应急响应</w:t>
      </w:r>
      <w:r>
        <w:rPr>
          <w:rFonts w:hint="eastAsia" w:ascii="宋体" w:hAnsi="宋体" w:eastAsia="宋体" w:cs="宋体"/>
          <w:b/>
          <w:sz w:val="21"/>
          <w:szCs w:val="21"/>
        </w:rPr>
        <w:tab/>
      </w:r>
      <w:r>
        <w:rPr>
          <w:rFonts w:hint="eastAsia" w:ascii="宋体" w:hAnsi="宋体" w:eastAsia="宋体" w:cs="宋体"/>
          <w:b/>
          <w:sz w:val="21"/>
          <w:szCs w:val="21"/>
        </w:rPr>
        <w:fldChar w:fldCharType="begin"/>
      </w:r>
      <w:r>
        <w:rPr>
          <w:rFonts w:hint="eastAsia" w:ascii="宋体" w:hAnsi="宋体" w:eastAsia="宋体" w:cs="宋体"/>
          <w:b/>
          <w:sz w:val="21"/>
          <w:szCs w:val="21"/>
        </w:rPr>
        <w:instrText xml:space="preserve"> PAGEREF _Toc28595 </w:instrText>
      </w:r>
      <w:r>
        <w:rPr>
          <w:rFonts w:hint="eastAsia" w:ascii="宋体" w:hAnsi="宋体" w:eastAsia="宋体" w:cs="宋体"/>
          <w:b/>
          <w:sz w:val="21"/>
          <w:szCs w:val="21"/>
        </w:rPr>
        <w:fldChar w:fldCharType="separate"/>
      </w:r>
      <w:r>
        <w:rPr>
          <w:rFonts w:hint="eastAsia" w:ascii="宋体" w:hAnsi="宋体" w:eastAsia="宋体" w:cs="宋体"/>
          <w:b/>
          <w:sz w:val="21"/>
          <w:szCs w:val="21"/>
        </w:rPr>
        <w:t>27</w:t>
      </w:r>
      <w:r>
        <w:rPr>
          <w:rFonts w:hint="eastAsia" w:ascii="宋体" w:hAnsi="宋体" w:eastAsia="宋体" w:cs="宋体"/>
          <w:b/>
          <w:sz w:val="21"/>
          <w:szCs w:val="21"/>
        </w:rPr>
        <w:fldChar w:fldCharType="end"/>
      </w:r>
      <w:r>
        <w:rPr>
          <w:rFonts w:hint="eastAsia" w:ascii="宋体" w:hAnsi="宋体" w:eastAsia="宋体" w:cs="宋体"/>
          <w:b/>
          <w:sz w:val="21"/>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"_Toc14653" </w:instrText>
      </w:r>
      <w:r>
        <w:fldChar w:fldCharType="separate"/>
      </w:r>
      <w:r>
        <w:rPr>
          <w:rFonts w:hint="eastAsia" w:ascii="宋体" w:hAnsi="宋体" w:eastAsia="宋体" w:cs="宋体"/>
          <w:iCs w:val="0"/>
          <w:szCs w:val="21"/>
        </w:rPr>
        <w:t>5.1响应分级</w:t>
      </w:r>
      <w:r>
        <w:rPr>
          <w:rFonts w:hint="eastAsia" w:ascii="宋体" w:hAnsi="宋体" w:eastAsia="宋体" w:cs="宋体"/>
          <w:iCs w:val="0"/>
          <w:szCs w:val="21"/>
        </w:rPr>
        <w:tab/>
      </w:r>
      <w:r>
        <w:rPr>
          <w:rFonts w:hint="eastAsia" w:ascii="宋体" w:hAnsi="宋体" w:eastAsia="宋体" w:cs="宋体"/>
          <w:iCs w:val="0"/>
          <w:szCs w:val="21"/>
        </w:rPr>
        <w:fldChar w:fldCharType="begin"/>
      </w:r>
      <w:r>
        <w:rPr>
          <w:rFonts w:hint="eastAsia" w:ascii="宋体" w:hAnsi="宋体" w:eastAsia="宋体" w:cs="宋体"/>
          <w:iCs w:val="0"/>
          <w:szCs w:val="21"/>
        </w:rPr>
        <w:instrText xml:space="preserve"> PAGEREF _Toc14653 </w:instrText>
      </w:r>
      <w:r>
        <w:rPr>
          <w:rFonts w:hint="eastAsia" w:ascii="宋体" w:hAnsi="宋体" w:eastAsia="宋体" w:cs="宋体"/>
          <w:iCs w:val="0"/>
          <w:szCs w:val="21"/>
        </w:rPr>
        <w:fldChar w:fldCharType="separate"/>
      </w:r>
      <w:r>
        <w:rPr>
          <w:rFonts w:hint="eastAsia" w:ascii="宋体" w:hAnsi="宋体" w:eastAsia="宋体" w:cs="宋体"/>
          <w:iCs w:val="0"/>
          <w:szCs w:val="21"/>
        </w:rPr>
        <w:t>27</w:t>
      </w:r>
      <w:r>
        <w:rPr>
          <w:rFonts w:hint="eastAsia" w:ascii="宋体" w:hAnsi="宋体" w:eastAsia="宋体" w:cs="宋体"/>
          <w:iCs w:val="0"/>
          <w:szCs w:val="21"/>
        </w:rPr>
        <w:fldChar w:fldCharType="end"/>
      </w:r>
      <w:r>
        <w:rPr>
          <w:rFonts w:hint="eastAsia" w:ascii="宋体" w:hAnsi="宋体" w:eastAsia="宋体" w:cs="宋体"/>
          <w:iCs w:val="0"/>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"_Toc20826" </w:instrText>
      </w:r>
      <w:r>
        <w:fldChar w:fldCharType="separate"/>
      </w:r>
      <w:r>
        <w:rPr>
          <w:rFonts w:hint="eastAsia" w:ascii="宋体" w:hAnsi="宋体" w:cs="宋体"/>
          <w:szCs w:val="21"/>
        </w:rPr>
        <w:t>5.1.1分级</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_Toc20826 </w:instrText>
      </w:r>
      <w:r>
        <w:rPr>
          <w:rFonts w:hint="eastAsia" w:ascii="宋体" w:hAnsi="宋体" w:cs="宋体"/>
          <w:szCs w:val="21"/>
        </w:rPr>
        <w:fldChar w:fldCharType="separate"/>
      </w:r>
      <w:r>
        <w:rPr>
          <w:rFonts w:hint="eastAsia" w:ascii="宋体" w:hAnsi="宋体" w:cs="宋体"/>
          <w:szCs w:val="21"/>
        </w:rPr>
        <w:t>27</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"_Toc30916" </w:instrText>
      </w:r>
      <w:r>
        <w:fldChar w:fldCharType="separate"/>
      </w:r>
      <w:r>
        <w:rPr>
          <w:rFonts w:hint="eastAsia" w:ascii="宋体" w:hAnsi="宋体" w:cs="宋体"/>
          <w:szCs w:val="21"/>
        </w:rPr>
        <w:t>5.1.2采取行动</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_Toc30916 </w:instrText>
      </w:r>
      <w:r>
        <w:rPr>
          <w:rFonts w:hint="eastAsia" w:ascii="宋体" w:hAnsi="宋体" w:cs="宋体"/>
          <w:szCs w:val="21"/>
        </w:rPr>
        <w:fldChar w:fldCharType="separate"/>
      </w:r>
      <w:r>
        <w:rPr>
          <w:rFonts w:hint="eastAsia" w:ascii="宋体" w:hAnsi="宋体" w:cs="宋体"/>
          <w:szCs w:val="21"/>
        </w:rPr>
        <w:t>29</w:t>
      </w:r>
      <w:r>
        <w:rPr>
          <w:rFonts w:hint="eastAsia" w:ascii="宋体" w:hAnsi="宋体" w:cs="宋体"/>
          <w:szCs w:val="21"/>
        </w:rPr>
        <w:fldChar w:fldCharType="end"/>
      </w:r>
      <w:r>
        <w:rPr>
          <w:rFonts w:hint="eastAsia" w:ascii="宋体" w:hAnsi="宋体" w:cs="宋体"/>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"_Toc2422" </w:instrText>
      </w:r>
      <w:r>
        <w:fldChar w:fldCharType="separate"/>
      </w:r>
      <w:r>
        <w:rPr>
          <w:rFonts w:hint="eastAsia" w:ascii="宋体" w:hAnsi="宋体" w:eastAsia="宋体" w:cs="宋体"/>
          <w:iCs w:val="0"/>
          <w:szCs w:val="21"/>
        </w:rPr>
        <w:t>5.2响应程序</w:t>
      </w:r>
      <w:r>
        <w:rPr>
          <w:rFonts w:hint="eastAsia" w:ascii="宋体" w:hAnsi="宋体" w:eastAsia="宋体" w:cs="宋体"/>
          <w:iCs w:val="0"/>
          <w:szCs w:val="21"/>
        </w:rPr>
        <w:tab/>
      </w:r>
      <w:r>
        <w:rPr>
          <w:rFonts w:hint="eastAsia" w:ascii="宋体" w:hAnsi="宋体" w:eastAsia="宋体" w:cs="宋体"/>
          <w:iCs w:val="0"/>
          <w:szCs w:val="21"/>
        </w:rPr>
        <w:fldChar w:fldCharType="begin"/>
      </w:r>
      <w:r>
        <w:rPr>
          <w:rFonts w:hint="eastAsia" w:ascii="宋体" w:hAnsi="宋体" w:eastAsia="宋体" w:cs="宋体"/>
          <w:iCs w:val="0"/>
          <w:szCs w:val="21"/>
        </w:rPr>
        <w:instrText xml:space="preserve"> PAGEREF _Toc2422 </w:instrText>
      </w:r>
      <w:r>
        <w:rPr>
          <w:rFonts w:hint="eastAsia" w:ascii="宋体" w:hAnsi="宋体" w:eastAsia="宋体" w:cs="宋体"/>
          <w:iCs w:val="0"/>
          <w:szCs w:val="21"/>
        </w:rPr>
        <w:fldChar w:fldCharType="separate"/>
      </w:r>
      <w:r>
        <w:rPr>
          <w:rFonts w:hint="eastAsia" w:ascii="宋体" w:hAnsi="宋体" w:eastAsia="宋体" w:cs="宋体"/>
          <w:iCs w:val="0"/>
          <w:szCs w:val="21"/>
        </w:rPr>
        <w:t>29</w:t>
      </w:r>
      <w:r>
        <w:rPr>
          <w:rFonts w:hint="eastAsia" w:ascii="宋体" w:hAnsi="宋体" w:eastAsia="宋体" w:cs="宋体"/>
          <w:iCs w:val="0"/>
          <w:szCs w:val="21"/>
        </w:rPr>
        <w:fldChar w:fldCharType="end"/>
      </w:r>
      <w:r>
        <w:rPr>
          <w:rFonts w:hint="eastAsia" w:ascii="宋体" w:hAnsi="宋体" w:eastAsia="宋体" w:cs="宋体"/>
          <w:iCs w:val="0"/>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"_Toc0" </w:instrText>
      </w:r>
      <w:r>
        <w:fldChar w:fldCharType="separate"/>
      </w:r>
      <w:r>
        <w:rPr>
          <w:rFonts w:hint="eastAsia" w:ascii="宋体" w:hAnsi="宋体" w:cs="宋体"/>
          <w:szCs w:val="21"/>
        </w:rPr>
        <w:t>5.2.1事故相应级别</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_Toc0 </w:instrText>
      </w:r>
      <w:r>
        <w:rPr>
          <w:rFonts w:hint="eastAsia" w:ascii="宋体" w:hAnsi="宋体" w:cs="宋体"/>
          <w:szCs w:val="21"/>
        </w:rPr>
        <w:fldChar w:fldCharType="separate"/>
      </w:r>
      <w:r>
        <w:rPr>
          <w:rFonts w:hint="eastAsia" w:ascii="宋体" w:hAnsi="宋体" w:cs="宋体"/>
          <w:szCs w:val="21"/>
        </w:rPr>
        <w:t>29</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"_Toc10807" </w:instrText>
      </w:r>
      <w:r>
        <w:fldChar w:fldCharType="separate"/>
      </w:r>
      <w:r>
        <w:rPr>
          <w:rFonts w:hint="eastAsia" w:ascii="宋体" w:hAnsi="宋体" w:cs="宋体"/>
          <w:szCs w:val="21"/>
        </w:rPr>
        <w:t>5.2.2应急救援预案的启动</w:t>
      </w:r>
      <w:r>
        <w:rPr>
          <w:rFonts w:hint="eastAsia" w:ascii="宋体" w:hAnsi="宋体" w:cs="宋体"/>
          <w:szCs w:val="21"/>
        </w:rPr>
        <w:tab/>
      </w:r>
      <w:r>
        <w:rPr>
          <w:rFonts w:hint="eastAsia" w:ascii="宋体" w:hAnsi="宋体" w:cs="宋体"/>
          <w:szCs w:val="21"/>
        </w:rPr>
        <w:t>30</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"_Toc11009" </w:instrText>
      </w:r>
      <w:r>
        <w:fldChar w:fldCharType="separate"/>
      </w:r>
      <w:r>
        <w:rPr>
          <w:rFonts w:hint="eastAsia" w:ascii="宋体" w:hAnsi="宋体" w:cs="宋体"/>
          <w:szCs w:val="21"/>
        </w:rPr>
        <w:t>5.2.3应急救援组组长及成员应做好的工作</w:t>
      </w:r>
      <w:r>
        <w:rPr>
          <w:rFonts w:hint="eastAsia" w:ascii="宋体" w:hAnsi="宋体" w:cs="宋体"/>
          <w:szCs w:val="21"/>
        </w:rPr>
        <w:tab/>
      </w:r>
      <w:r>
        <w:rPr>
          <w:rFonts w:hint="eastAsia" w:ascii="宋体" w:hAnsi="宋体" w:cs="宋体"/>
          <w:szCs w:val="21"/>
        </w:rPr>
        <w:t>30</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"_Toc28548" </w:instrText>
      </w:r>
      <w:r>
        <w:fldChar w:fldCharType="separate"/>
      </w:r>
      <w:r>
        <w:rPr>
          <w:rFonts w:hint="eastAsia" w:ascii="宋体" w:hAnsi="宋体" w:cs="宋体"/>
          <w:szCs w:val="21"/>
        </w:rPr>
        <w:t>5.2.4应急扩大</w:t>
      </w:r>
      <w:r>
        <w:rPr>
          <w:rFonts w:hint="eastAsia" w:ascii="宋体" w:hAnsi="宋体" w:cs="宋体"/>
          <w:szCs w:val="21"/>
        </w:rPr>
        <w:tab/>
      </w:r>
      <w:r>
        <w:rPr>
          <w:rFonts w:hint="eastAsia" w:ascii="宋体" w:hAnsi="宋体" w:cs="宋体"/>
          <w:szCs w:val="21"/>
        </w:rPr>
        <w:t>31</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"_Toc15815" </w:instrText>
      </w:r>
      <w:r>
        <w:fldChar w:fldCharType="separate"/>
      </w:r>
      <w:r>
        <w:rPr>
          <w:rFonts w:hint="eastAsia" w:ascii="宋体" w:hAnsi="宋体" w:cs="宋体"/>
          <w:szCs w:val="21"/>
        </w:rPr>
        <w:t>5.2.5响应程序流程图</w:t>
      </w:r>
      <w:r>
        <w:rPr>
          <w:rFonts w:hint="eastAsia" w:ascii="宋体" w:hAnsi="宋体" w:cs="宋体"/>
          <w:szCs w:val="21"/>
        </w:rPr>
        <w:tab/>
      </w:r>
      <w:r>
        <w:rPr>
          <w:rFonts w:hint="eastAsia" w:ascii="宋体" w:hAnsi="宋体" w:cs="宋体"/>
          <w:szCs w:val="21"/>
        </w:rPr>
        <w:t>31</w:t>
      </w:r>
      <w:r>
        <w:rPr>
          <w:rFonts w:hint="eastAsia" w:ascii="宋体" w:hAnsi="宋体" w:cs="宋体"/>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"_Toc28233" </w:instrText>
      </w:r>
      <w:r>
        <w:fldChar w:fldCharType="separate"/>
      </w:r>
      <w:r>
        <w:rPr>
          <w:rFonts w:hint="eastAsia" w:ascii="宋体" w:hAnsi="宋体" w:eastAsia="宋体" w:cs="宋体"/>
          <w:iCs w:val="0"/>
          <w:szCs w:val="21"/>
        </w:rPr>
        <w:t>5.3处置措施</w:t>
      </w:r>
      <w:r>
        <w:rPr>
          <w:rFonts w:hint="eastAsia" w:ascii="宋体" w:hAnsi="宋体" w:eastAsia="宋体" w:cs="宋体"/>
          <w:iCs w:val="0"/>
          <w:szCs w:val="21"/>
        </w:rPr>
        <w:tab/>
      </w:r>
      <w:r>
        <w:rPr>
          <w:rFonts w:hint="eastAsia" w:ascii="宋体" w:hAnsi="宋体" w:eastAsia="宋体" w:cs="宋体"/>
          <w:iCs w:val="0"/>
          <w:szCs w:val="21"/>
        </w:rPr>
        <w:t>32</w:t>
      </w:r>
      <w:r>
        <w:rPr>
          <w:rFonts w:hint="eastAsia" w:ascii="宋体" w:hAnsi="宋体" w:eastAsia="宋体" w:cs="宋体"/>
          <w:iCs w:val="0"/>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"_Toc32464" </w:instrText>
      </w:r>
      <w:r>
        <w:fldChar w:fldCharType="separate"/>
      </w:r>
      <w:r>
        <w:rPr>
          <w:rFonts w:hint="eastAsia" w:ascii="宋体" w:hAnsi="宋体" w:cs="宋体"/>
          <w:szCs w:val="21"/>
        </w:rPr>
        <w:t>5.3.1 处置原则和要求</w:t>
      </w:r>
      <w:r>
        <w:rPr>
          <w:rFonts w:hint="eastAsia" w:ascii="宋体" w:hAnsi="宋体" w:cs="宋体"/>
          <w:szCs w:val="21"/>
        </w:rPr>
        <w:tab/>
      </w:r>
      <w:r>
        <w:rPr>
          <w:rFonts w:hint="eastAsia" w:ascii="宋体" w:hAnsi="宋体" w:cs="宋体"/>
          <w:szCs w:val="21"/>
        </w:rPr>
        <w:t>32</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"_Toc19274" </w:instrText>
      </w:r>
      <w:r>
        <w:fldChar w:fldCharType="separate"/>
      </w:r>
      <w:r>
        <w:rPr>
          <w:rFonts w:hint="eastAsia" w:ascii="宋体" w:hAnsi="宋体" w:cs="宋体"/>
          <w:szCs w:val="21"/>
        </w:rPr>
        <w:t>5.3.2 危险区隔离</w:t>
      </w:r>
      <w:r>
        <w:rPr>
          <w:rFonts w:hint="eastAsia" w:ascii="宋体" w:hAnsi="宋体" w:cs="宋体"/>
          <w:szCs w:val="21"/>
        </w:rPr>
        <w:tab/>
      </w:r>
      <w:r>
        <w:rPr>
          <w:rFonts w:hint="eastAsia" w:ascii="宋体" w:hAnsi="宋体" w:cs="宋体"/>
          <w:szCs w:val="21"/>
        </w:rPr>
        <w:t>33</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"_Toc32544" </w:instrText>
      </w:r>
      <w:r>
        <w:fldChar w:fldCharType="separate"/>
      </w:r>
      <w:r>
        <w:rPr>
          <w:rFonts w:hint="eastAsia" w:ascii="宋体" w:hAnsi="宋体" w:cs="宋体"/>
          <w:szCs w:val="21"/>
        </w:rPr>
        <w:t>5.3.3 紧急疏散</w:t>
      </w:r>
      <w:r>
        <w:rPr>
          <w:rFonts w:hint="eastAsia" w:ascii="宋体" w:hAnsi="宋体" w:cs="宋体"/>
          <w:szCs w:val="21"/>
        </w:rPr>
        <w:tab/>
      </w:r>
      <w:r>
        <w:rPr>
          <w:rFonts w:hint="eastAsia" w:ascii="宋体" w:hAnsi="宋体" w:cs="宋体"/>
          <w:szCs w:val="21"/>
        </w:rPr>
        <w:t>34</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"_Toc7548" </w:instrText>
      </w:r>
      <w:r>
        <w:fldChar w:fldCharType="separate"/>
      </w:r>
      <w:r>
        <w:rPr>
          <w:rFonts w:hint="eastAsia" w:ascii="宋体" w:hAnsi="宋体" w:cs="宋体"/>
          <w:szCs w:val="21"/>
        </w:rPr>
        <w:t>5.3.4 危险源的监控措施</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_Toc7548 </w:instrText>
      </w:r>
      <w:r>
        <w:rPr>
          <w:rFonts w:hint="eastAsia" w:ascii="宋体" w:hAnsi="宋体" w:cs="宋体"/>
          <w:szCs w:val="21"/>
        </w:rPr>
        <w:fldChar w:fldCharType="separate"/>
      </w:r>
      <w:r>
        <w:rPr>
          <w:rFonts w:hint="eastAsia" w:ascii="宋体" w:hAnsi="宋体" w:cs="宋体"/>
          <w:szCs w:val="21"/>
        </w:rPr>
        <w:t>36</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"_Toc17341" </w:instrText>
      </w:r>
      <w:r>
        <w:fldChar w:fldCharType="separate"/>
      </w:r>
      <w:r>
        <w:rPr>
          <w:rFonts w:hint="eastAsia" w:ascii="宋体" w:hAnsi="宋体" w:cs="宋体"/>
          <w:szCs w:val="21"/>
        </w:rPr>
        <w:t>5.3.5 搜救和营救行动</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_Toc17341 </w:instrText>
      </w:r>
      <w:r>
        <w:rPr>
          <w:rFonts w:hint="eastAsia" w:ascii="宋体" w:hAnsi="宋体" w:cs="宋体"/>
          <w:szCs w:val="21"/>
        </w:rPr>
        <w:fldChar w:fldCharType="separate"/>
      </w:r>
      <w:r>
        <w:rPr>
          <w:rFonts w:hint="eastAsia" w:ascii="宋体" w:hAnsi="宋体" w:cs="宋体"/>
          <w:szCs w:val="21"/>
        </w:rPr>
        <w:t>37</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"_Toc48" </w:instrText>
      </w:r>
      <w:r>
        <w:fldChar w:fldCharType="separate"/>
      </w:r>
      <w:r>
        <w:rPr>
          <w:rFonts w:hint="eastAsia" w:ascii="宋体" w:hAnsi="宋体" w:cs="宋体"/>
          <w:szCs w:val="21"/>
        </w:rPr>
        <w:t>5.3.6 伤员救治</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_Toc48 </w:instrText>
      </w:r>
      <w:r>
        <w:rPr>
          <w:rFonts w:hint="eastAsia" w:ascii="宋体" w:hAnsi="宋体" w:cs="宋体"/>
          <w:szCs w:val="21"/>
        </w:rPr>
        <w:fldChar w:fldCharType="separate"/>
      </w:r>
      <w:r>
        <w:rPr>
          <w:rFonts w:hint="eastAsia" w:ascii="宋体" w:hAnsi="宋体" w:cs="宋体"/>
          <w:szCs w:val="21"/>
        </w:rPr>
        <w:t>37</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"_Toc25506" </w:instrText>
      </w:r>
      <w:r>
        <w:fldChar w:fldCharType="separate"/>
      </w:r>
      <w:r>
        <w:rPr>
          <w:rFonts w:hint="eastAsia" w:ascii="宋体" w:hAnsi="宋体" w:cs="宋体"/>
          <w:szCs w:val="21"/>
        </w:rPr>
        <w:t>5.3.7 化学品泄漏处理方案</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_Toc25506 </w:instrText>
      </w:r>
      <w:r>
        <w:rPr>
          <w:rFonts w:hint="eastAsia" w:ascii="宋体" w:hAnsi="宋体" w:cs="宋体"/>
          <w:szCs w:val="21"/>
        </w:rPr>
        <w:fldChar w:fldCharType="separate"/>
      </w:r>
      <w:r>
        <w:rPr>
          <w:rFonts w:hint="eastAsia" w:ascii="宋体" w:hAnsi="宋体" w:cs="宋体"/>
          <w:szCs w:val="21"/>
        </w:rPr>
        <w:t>38</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"_Toc15257" </w:instrText>
      </w:r>
      <w:r>
        <w:fldChar w:fldCharType="separate"/>
      </w:r>
      <w:r>
        <w:rPr>
          <w:rFonts w:hint="eastAsia" w:ascii="宋体" w:hAnsi="宋体" w:cs="宋体"/>
          <w:szCs w:val="21"/>
        </w:rPr>
        <w:t>5.3.8 火灾、爆炸处置要点</w:t>
      </w:r>
      <w:r>
        <w:rPr>
          <w:rFonts w:hint="eastAsia" w:ascii="宋体" w:hAnsi="宋体" w:cs="宋体"/>
          <w:szCs w:val="21"/>
        </w:rPr>
        <w:tab/>
      </w:r>
      <w:r>
        <w:rPr>
          <w:rFonts w:hint="eastAsia" w:ascii="宋体" w:hAnsi="宋体" w:cs="宋体"/>
          <w:szCs w:val="21"/>
        </w:rPr>
        <w:t>39</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"_Toc1724" </w:instrText>
      </w:r>
      <w:r>
        <w:fldChar w:fldCharType="separate"/>
      </w:r>
      <w:r>
        <w:rPr>
          <w:rFonts w:hint="eastAsia" w:ascii="宋体" w:hAnsi="宋体" w:cs="宋体"/>
          <w:szCs w:val="21"/>
        </w:rPr>
        <w:t>5.3.9 中毒处置要点</w:t>
      </w:r>
      <w:r>
        <w:rPr>
          <w:rFonts w:hint="eastAsia" w:ascii="宋体" w:hAnsi="宋体" w:cs="宋体"/>
          <w:szCs w:val="21"/>
        </w:rPr>
        <w:tab/>
      </w:r>
      <w:r>
        <w:rPr>
          <w:rFonts w:hint="eastAsia" w:ascii="宋体" w:hAnsi="宋体" w:cs="宋体"/>
          <w:szCs w:val="21"/>
        </w:rPr>
        <w:t>40</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"_Toc24175" </w:instrText>
      </w:r>
      <w:r>
        <w:fldChar w:fldCharType="separate"/>
      </w:r>
      <w:r>
        <w:rPr>
          <w:rFonts w:hint="eastAsia" w:ascii="宋体" w:hAnsi="宋体" w:cs="宋体"/>
          <w:szCs w:val="21"/>
        </w:rPr>
        <w:t>5.3.10 社会救援</w:t>
      </w:r>
      <w:r>
        <w:rPr>
          <w:rFonts w:hint="eastAsia" w:ascii="宋体" w:hAnsi="宋体" w:cs="宋体"/>
          <w:szCs w:val="21"/>
        </w:rPr>
        <w:tab/>
      </w:r>
      <w:r>
        <w:rPr>
          <w:rFonts w:hint="eastAsia" w:ascii="宋体" w:hAnsi="宋体" w:cs="宋体"/>
          <w:szCs w:val="21"/>
        </w:rPr>
        <w:t>40</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"_Toc21876" </w:instrText>
      </w:r>
      <w:r>
        <w:fldChar w:fldCharType="separate"/>
      </w:r>
      <w:r>
        <w:rPr>
          <w:rFonts w:hint="eastAsia" w:ascii="宋体" w:hAnsi="宋体" w:cs="宋体"/>
          <w:szCs w:val="21"/>
        </w:rPr>
        <w:t>5.3.11 事故可能扩大的应急措施</w:t>
      </w:r>
      <w:r>
        <w:rPr>
          <w:rFonts w:hint="eastAsia" w:ascii="宋体" w:hAnsi="宋体" w:cs="宋体"/>
          <w:szCs w:val="21"/>
        </w:rPr>
        <w:tab/>
      </w:r>
      <w:r>
        <w:rPr>
          <w:rFonts w:hint="eastAsia" w:ascii="宋体" w:hAnsi="宋体" w:cs="宋体"/>
          <w:szCs w:val="21"/>
        </w:rPr>
        <w:t>40</w:t>
      </w:r>
      <w:r>
        <w:rPr>
          <w:rFonts w:hint="eastAsia" w:ascii="宋体" w:hAnsi="宋体" w:cs="宋体"/>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"_Toc14781" </w:instrText>
      </w:r>
      <w:r>
        <w:fldChar w:fldCharType="separate"/>
      </w:r>
      <w:r>
        <w:rPr>
          <w:rFonts w:hint="eastAsia" w:ascii="宋体" w:hAnsi="宋体" w:eastAsia="宋体" w:cs="宋体"/>
          <w:iCs w:val="0"/>
          <w:szCs w:val="21"/>
        </w:rPr>
        <w:t>5.4应急结束</w:t>
      </w:r>
      <w:r>
        <w:rPr>
          <w:rFonts w:hint="eastAsia" w:ascii="宋体" w:hAnsi="宋体" w:eastAsia="宋体" w:cs="宋体"/>
          <w:iCs w:val="0"/>
          <w:szCs w:val="21"/>
        </w:rPr>
        <w:tab/>
      </w:r>
      <w:r>
        <w:rPr>
          <w:rFonts w:hint="eastAsia" w:ascii="宋体" w:hAnsi="宋体" w:eastAsia="宋体" w:cs="宋体"/>
          <w:iCs w:val="0"/>
          <w:szCs w:val="21"/>
        </w:rPr>
        <w:t>41</w:t>
      </w:r>
      <w:r>
        <w:rPr>
          <w:rFonts w:hint="eastAsia" w:ascii="宋体" w:hAnsi="宋体" w:eastAsia="宋体" w:cs="宋体"/>
          <w:iCs w:val="0"/>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"_Toc9672" </w:instrText>
      </w:r>
      <w:r>
        <w:fldChar w:fldCharType="separate"/>
      </w:r>
      <w:r>
        <w:rPr>
          <w:rFonts w:hint="eastAsia" w:ascii="宋体" w:hAnsi="宋体" w:cs="宋体"/>
          <w:szCs w:val="21"/>
        </w:rPr>
        <w:t>5.4.1 应急终止的条件</w:t>
      </w:r>
      <w:r>
        <w:rPr>
          <w:rFonts w:hint="eastAsia" w:ascii="宋体" w:hAnsi="宋体" w:cs="宋体"/>
          <w:szCs w:val="21"/>
        </w:rPr>
        <w:tab/>
      </w:r>
      <w:r>
        <w:rPr>
          <w:rFonts w:hint="eastAsia" w:ascii="宋体" w:hAnsi="宋体" w:cs="宋体"/>
          <w:szCs w:val="21"/>
        </w:rPr>
        <w:t>41</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"_Toc30754" </w:instrText>
      </w:r>
      <w:r>
        <w:fldChar w:fldCharType="separate"/>
      </w:r>
      <w:r>
        <w:rPr>
          <w:rFonts w:hint="eastAsia" w:ascii="宋体" w:hAnsi="宋体" w:cs="宋体"/>
          <w:szCs w:val="21"/>
        </w:rPr>
        <w:t>5.4.2 应急终止命令的程序</w:t>
      </w:r>
      <w:r>
        <w:rPr>
          <w:rFonts w:hint="eastAsia" w:ascii="宋体" w:hAnsi="宋体" w:cs="宋体"/>
          <w:szCs w:val="21"/>
        </w:rPr>
        <w:tab/>
      </w:r>
      <w:r>
        <w:rPr>
          <w:rFonts w:hint="eastAsia" w:ascii="宋体" w:hAnsi="宋体" w:cs="宋体"/>
          <w:szCs w:val="21"/>
        </w:rPr>
        <w:t>41</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"_Toc23055" </w:instrText>
      </w:r>
      <w:r>
        <w:fldChar w:fldCharType="separate"/>
      </w:r>
      <w:r>
        <w:rPr>
          <w:rFonts w:hint="eastAsia" w:ascii="宋体" w:hAnsi="宋体" w:cs="宋体"/>
          <w:szCs w:val="21"/>
        </w:rPr>
        <w:t>5.4.3 应急结束后续工作</w:t>
      </w:r>
      <w:r>
        <w:rPr>
          <w:rFonts w:hint="eastAsia" w:ascii="宋体" w:hAnsi="宋体" w:cs="宋体"/>
          <w:szCs w:val="21"/>
        </w:rPr>
        <w:tab/>
      </w:r>
      <w:r>
        <w:rPr>
          <w:rFonts w:hint="eastAsia" w:ascii="宋体" w:hAnsi="宋体" w:cs="宋体"/>
          <w:szCs w:val="21"/>
        </w:rPr>
        <w:t>41</w:t>
      </w:r>
      <w:r>
        <w:rPr>
          <w:rFonts w:hint="eastAsia" w:ascii="宋体" w:hAnsi="宋体" w:cs="宋体"/>
          <w:szCs w:val="21"/>
        </w:rPr>
        <w:fldChar w:fldCharType="end"/>
      </w:r>
    </w:p>
    <w:p>
      <w:pPr>
        <w:pStyle w:val="23"/>
        <w:tabs>
          <w:tab w:val="right" w:leader="dot" w:pos="8669"/>
        </w:tabs>
        <w:spacing w:before="0" w:after="0" w:line="300" w:lineRule="exact"/>
        <w:rPr>
          <w:rFonts w:ascii="宋体" w:hAnsi="宋体" w:eastAsia="宋体" w:cs="宋体"/>
          <w:b/>
          <w:sz w:val="21"/>
          <w:szCs w:val="21"/>
        </w:rPr>
      </w:pPr>
      <w:r>
        <w:fldChar w:fldCharType="begin"/>
      </w:r>
      <w:r>
        <w:instrText xml:space="preserve"> HYPERLINK \l "_Toc5130" </w:instrText>
      </w:r>
      <w:r>
        <w:fldChar w:fldCharType="separate"/>
      </w:r>
      <w:r>
        <w:rPr>
          <w:rFonts w:hint="eastAsia" w:ascii="宋体" w:hAnsi="宋体" w:eastAsia="宋体" w:cs="宋体"/>
          <w:b/>
          <w:sz w:val="21"/>
          <w:szCs w:val="21"/>
        </w:rPr>
        <w:t>第六章 信息公开</w:t>
      </w:r>
      <w:r>
        <w:rPr>
          <w:rFonts w:hint="eastAsia" w:ascii="宋体" w:hAnsi="宋体" w:eastAsia="宋体" w:cs="宋体"/>
          <w:b/>
          <w:sz w:val="21"/>
          <w:szCs w:val="21"/>
        </w:rPr>
        <w:tab/>
      </w:r>
      <w:r>
        <w:rPr>
          <w:rFonts w:hint="eastAsia" w:ascii="宋体" w:hAnsi="宋体" w:eastAsia="宋体" w:cs="宋体"/>
          <w:b/>
          <w:sz w:val="21"/>
          <w:szCs w:val="21"/>
        </w:rPr>
        <w:t>43</w:t>
      </w:r>
      <w:r>
        <w:rPr>
          <w:rFonts w:hint="eastAsia" w:ascii="宋体" w:hAnsi="宋体" w:eastAsia="宋体" w:cs="宋体"/>
          <w:b/>
          <w:sz w:val="21"/>
          <w:szCs w:val="21"/>
        </w:rPr>
        <w:fldChar w:fldCharType="end"/>
      </w:r>
    </w:p>
    <w:p>
      <w:pPr>
        <w:pStyle w:val="23"/>
        <w:tabs>
          <w:tab w:val="right" w:leader="dot" w:pos="8669"/>
        </w:tabs>
        <w:spacing w:before="0" w:after="0" w:line="300" w:lineRule="exact"/>
        <w:rPr>
          <w:rFonts w:ascii="宋体" w:hAnsi="宋体" w:eastAsia="宋体" w:cs="宋体"/>
          <w:b/>
          <w:sz w:val="21"/>
          <w:szCs w:val="21"/>
        </w:rPr>
      </w:pPr>
      <w:r>
        <w:fldChar w:fldCharType="begin"/>
      </w:r>
      <w:r>
        <w:instrText xml:space="preserve"> HYPERLINK \l "_Toc18123" </w:instrText>
      </w:r>
      <w:r>
        <w:fldChar w:fldCharType="separate"/>
      </w:r>
      <w:r>
        <w:rPr>
          <w:rFonts w:hint="eastAsia" w:ascii="宋体" w:hAnsi="宋体" w:eastAsia="宋体" w:cs="宋体"/>
          <w:b/>
          <w:sz w:val="21"/>
          <w:szCs w:val="21"/>
        </w:rPr>
        <w:t>第七章 后期处置</w:t>
      </w:r>
      <w:r>
        <w:rPr>
          <w:rFonts w:hint="eastAsia" w:ascii="宋体" w:hAnsi="宋体" w:eastAsia="宋体" w:cs="宋体"/>
          <w:b/>
          <w:sz w:val="21"/>
          <w:szCs w:val="21"/>
        </w:rPr>
        <w:tab/>
      </w:r>
      <w:r>
        <w:rPr>
          <w:rFonts w:hint="eastAsia" w:ascii="宋体" w:hAnsi="宋体" w:eastAsia="宋体" w:cs="宋体"/>
          <w:b/>
          <w:sz w:val="21"/>
          <w:szCs w:val="21"/>
        </w:rPr>
        <w:t>45</w:t>
      </w:r>
      <w:r>
        <w:rPr>
          <w:rFonts w:hint="eastAsia" w:ascii="宋体" w:hAnsi="宋体" w:eastAsia="宋体" w:cs="宋体"/>
          <w:b/>
          <w:sz w:val="21"/>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"_Toc19617" </w:instrText>
      </w:r>
      <w:r>
        <w:fldChar w:fldCharType="separate"/>
      </w:r>
      <w:r>
        <w:rPr>
          <w:rFonts w:hint="eastAsia" w:ascii="宋体" w:hAnsi="宋体" w:eastAsia="宋体" w:cs="宋体"/>
          <w:iCs w:val="0"/>
          <w:szCs w:val="21"/>
        </w:rPr>
        <w:t>7.1现场保护</w:t>
      </w:r>
      <w:r>
        <w:rPr>
          <w:rFonts w:hint="eastAsia" w:ascii="宋体" w:hAnsi="宋体" w:eastAsia="宋体" w:cs="宋体"/>
          <w:iCs w:val="0"/>
          <w:szCs w:val="21"/>
        </w:rPr>
        <w:tab/>
      </w:r>
      <w:r>
        <w:rPr>
          <w:rFonts w:hint="eastAsia" w:ascii="宋体" w:hAnsi="宋体" w:eastAsia="宋体" w:cs="宋体"/>
          <w:iCs w:val="0"/>
          <w:szCs w:val="21"/>
        </w:rPr>
        <w:t>45</w:t>
      </w:r>
      <w:r>
        <w:rPr>
          <w:rFonts w:hint="eastAsia" w:ascii="宋体" w:hAnsi="宋体" w:eastAsia="宋体" w:cs="宋体"/>
          <w:iCs w:val="0"/>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"_Toc30620" </w:instrText>
      </w:r>
      <w:r>
        <w:fldChar w:fldCharType="separate"/>
      </w:r>
      <w:r>
        <w:rPr>
          <w:rFonts w:hint="eastAsia" w:ascii="宋体" w:hAnsi="宋体" w:eastAsia="宋体" w:cs="宋体"/>
          <w:iCs w:val="0"/>
          <w:szCs w:val="21"/>
        </w:rPr>
        <w:t>7.2事故调查处理</w:t>
      </w:r>
      <w:r>
        <w:rPr>
          <w:rFonts w:hint="eastAsia" w:ascii="宋体" w:hAnsi="宋体" w:eastAsia="宋体" w:cs="宋体"/>
          <w:iCs w:val="0"/>
          <w:szCs w:val="21"/>
        </w:rPr>
        <w:tab/>
      </w:r>
      <w:r>
        <w:rPr>
          <w:rFonts w:hint="eastAsia" w:ascii="宋体" w:hAnsi="宋体" w:eastAsia="宋体" w:cs="宋体"/>
          <w:iCs w:val="0"/>
          <w:szCs w:val="21"/>
        </w:rPr>
        <w:t>45</w:t>
      </w:r>
      <w:r>
        <w:rPr>
          <w:rFonts w:hint="eastAsia" w:ascii="宋体" w:hAnsi="宋体" w:eastAsia="宋体" w:cs="宋体"/>
          <w:iCs w:val="0"/>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"_Toc13758" </w:instrText>
      </w:r>
      <w:r>
        <w:fldChar w:fldCharType="separate"/>
      </w:r>
      <w:r>
        <w:rPr>
          <w:rFonts w:hint="eastAsia" w:ascii="宋体" w:hAnsi="宋体" w:eastAsia="宋体" w:cs="宋体"/>
          <w:iCs w:val="0"/>
          <w:szCs w:val="21"/>
        </w:rPr>
        <w:t>7.3现场洗消</w:t>
      </w:r>
      <w:r>
        <w:rPr>
          <w:rFonts w:hint="eastAsia" w:ascii="宋体" w:hAnsi="宋体" w:eastAsia="宋体" w:cs="宋体"/>
          <w:iCs w:val="0"/>
          <w:szCs w:val="21"/>
        </w:rPr>
        <w:tab/>
      </w:r>
      <w:r>
        <w:rPr>
          <w:rFonts w:hint="eastAsia" w:ascii="宋体" w:hAnsi="宋体" w:eastAsia="宋体" w:cs="宋体"/>
          <w:iCs w:val="0"/>
          <w:szCs w:val="21"/>
        </w:rPr>
        <w:t>45</w:t>
      </w:r>
      <w:r>
        <w:rPr>
          <w:rFonts w:hint="eastAsia" w:ascii="宋体" w:hAnsi="宋体" w:eastAsia="宋体" w:cs="宋体"/>
          <w:iCs w:val="0"/>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"_Toc15882" </w:instrText>
      </w:r>
      <w:r>
        <w:fldChar w:fldCharType="separate"/>
      </w:r>
      <w:r>
        <w:rPr>
          <w:rFonts w:hint="eastAsia" w:ascii="宋体" w:hAnsi="宋体" w:eastAsia="宋体" w:cs="宋体"/>
          <w:iCs w:val="0"/>
          <w:szCs w:val="21"/>
        </w:rPr>
        <w:t>7.4污染物处理</w:t>
      </w:r>
      <w:r>
        <w:rPr>
          <w:rFonts w:hint="eastAsia" w:ascii="宋体" w:hAnsi="宋体" w:eastAsia="宋体" w:cs="宋体"/>
          <w:iCs w:val="0"/>
          <w:szCs w:val="21"/>
        </w:rPr>
        <w:tab/>
      </w:r>
      <w:r>
        <w:rPr>
          <w:rFonts w:hint="eastAsia" w:ascii="宋体" w:hAnsi="宋体" w:eastAsia="宋体" w:cs="宋体"/>
          <w:iCs w:val="0"/>
          <w:szCs w:val="21"/>
        </w:rPr>
        <w:t>46</w:t>
      </w:r>
      <w:r>
        <w:rPr>
          <w:rFonts w:hint="eastAsia" w:ascii="宋体" w:hAnsi="宋体" w:eastAsia="宋体" w:cs="宋体"/>
          <w:iCs w:val="0"/>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"_Toc12160" </w:instrText>
      </w:r>
      <w:r>
        <w:fldChar w:fldCharType="separate"/>
      </w:r>
      <w:r>
        <w:rPr>
          <w:rFonts w:hint="eastAsia" w:ascii="宋体" w:hAnsi="宋体" w:eastAsia="宋体" w:cs="宋体"/>
          <w:iCs w:val="0"/>
          <w:szCs w:val="21"/>
        </w:rPr>
        <w:t>7.5事故后果影响消除</w:t>
      </w:r>
      <w:r>
        <w:rPr>
          <w:rFonts w:hint="eastAsia" w:ascii="宋体" w:hAnsi="宋体" w:eastAsia="宋体" w:cs="宋体"/>
          <w:iCs w:val="0"/>
          <w:szCs w:val="21"/>
        </w:rPr>
        <w:tab/>
      </w:r>
      <w:r>
        <w:rPr>
          <w:rFonts w:hint="eastAsia" w:ascii="宋体" w:hAnsi="宋体" w:eastAsia="宋体" w:cs="宋体"/>
          <w:iCs w:val="0"/>
          <w:szCs w:val="21"/>
        </w:rPr>
        <w:t>46</w:t>
      </w:r>
      <w:r>
        <w:rPr>
          <w:rFonts w:hint="eastAsia" w:ascii="宋体" w:hAnsi="宋体" w:eastAsia="宋体" w:cs="宋体"/>
          <w:iCs w:val="0"/>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"_Toc1214" </w:instrText>
      </w:r>
      <w:r>
        <w:fldChar w:fldCharType="separate"/>
      </w:r>
      <w:r>
        <w:rPr>
          <w:rFonts w:hint="eastAsia" w:ascii="宋体" w:hAnsi="宋体" w:eastAsia="宋体" w:cs="宋体"/>
          <w:iCs w:val="0"/>
          <w:szCs w:val="21"/>
        </w:rPr>
        <w:t>7.6生产秩序恢复</w:t>
      </w:r>
      <w:r>
        <w:rPr>
          <w:rFonts w:hint="eastAsia" w:ascii="宋体" w:hAnsi="宋体" w:eastAsia="宋体" w:cs="宋体"/>
          <w:iCs w:val="0"/>
          <w:szCs w:val="21"/>
        </w:rPr>
        <w:tab/>
      </w:r>
      <w:r>
        <w:rPr>
          <w:rFonts w:hint="eastAsia" w:ascii="宋体" w:hAnsi="宋体" w:eastAsia="宋体" w:cs="宋体"/>
          <w:iCs w:val="0"/>
          <w:szCs w:val="21"/>
        </w:rPr>
        <w:t>46</w:t>
      </w:r>
      <w:r>
        <w:rPr>
          <w:rFonts w:hint="eastAsia" w:ascii="宋体" w:hAnsi="宋体" w:eastAsia="宋体" w:cs="宋体"/>
          <w:iCs w:val="0"/>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"_Toc28177" </w:instrText>
      </w:r>
      <w:r>
        <w:fldChar w:fldCharType="separate"/>
      </w:r>
      <w:r>
        <w:rPr>
          <w:rFonts w:hint="eastAsia" w:ascii="宋体" w:hAnsi="宋体" w:eastAsia="宋体" w:cs="宋体"/>
          <w:iCs w:val="0"/>
          <w:szCs w:val="21"/>
        </w:rPr>
        <w:t>7.7人员安置及善后赔偿</w:t>
      </w:r>
      <w:r>
        <w:rPr>
          <w:rFonts w:hint="eastAsia" w:ascii="宋体" w:hAnsi="宋体" w:eastAsia="宋体" w:cs="宋体"/>
          <w:iCs w:val="0"/>
          <w:szCs w:val="21"/>
        </w:rPr>
        <w:tab/>
      </w:r>
      <w:r>
        <w:rPr>
          <w:rFonts w:hint="eastAsia" w:ascii="宋体" w:hAnsi="宋体" w:eastAsia="宋体" w:cs="宋体"/>
          <w:iCs w:val="0"/>
          <w:szCs w:val="21"/>
        </w:rPr>
        <w:t>47</w:t>
      </w:r>
      <w:r>
        <w:rPr>
          <w:rFonts w:hint="eastAsia" w:ascii="宋体" w:hAnsi="宋体" w:eastAsia="宋体" w:cs="宋体"/>
          <w:iCs w:val="0"/>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"_Toc1312" </w:instrText>
      </w:r>
      <w:r>
        <w:fldChar w:fldCharType="separate"/>
      </w:r>
      <w:r>
        <w:rPr>
          <w:rFonts w:hint="eastAsia" w:ascii="宋体" w:hAnsi="宋体" w:eastAsia="宋体" w:cs="宋体"/>
          <w:iCs w:val="0"/>
          <w:szCs w:val="21"/>
        </w:rPr>
        <w:t>7.8应急救援能力评估及应急预案的修订</w:t>
      </w:r>
      <w:r>
        <w:rPr>
          <w:rFonts w:hint="eastAsia" w:ascii="宋体" w:hAnsi="宋体" w:eastAsia="宋体" w:cs="宋体"/>
          <w:iCs w:val="0"/>
          <w:szCs w:val="21"/>
        </w:rPr>
        <w:tab/>
      </w:r>
      <w:r>
        <w:rPr>
          <w:rFonts w:hint="eastAsia" w:ascii="宋体" w:hAnsi="宋体" w:eastAsia="宋体" w:cs="宋体"/>
          <w:iCs w:val="0"/>
          <w:szCs w:val="21"/>
        </w:rPr>
        <w:t>47</w:t>
      </w:r>
      <w:r>
        <w:rPr>
          <w:rFonts w:hint="eastAsia" w:ascii="宋体" w:hAnsi="宋体" w:eastAsia="宋体" w:cs="宋体"/>
          <w:iCs w:val="0"/>
          <w:szCs w:val="21"/>
        </w:rPr>
        <w:fldChar w:fldCharType="end"/>
      </w:r>
    </w:p>
    <w:p>
      <w:pPr>
        <w:pStyle w:val="23"/>
        <w:tabs>
          <w:tab w:val="right" w:leader="dot" w:pos="8669"/>
        </w:tabs>
        <w:spacing w:before="0" w:after="0" w:line="300" w:lineRule="exact"/>
        <w:rPr>
          <w:rFonts w:ascii="宋体" w:hAnsi="宋体" w:eastAsia="宋体" w:cs="宋体"/>
          <w:b/>
          <w:sz w:val="21"/>
          <w:szCs w:val="21"/>
        </w:rPr>
      </w:pPr>
      <w:r>
        <w:fldChar w:fldCharType="begin"/>
      </w:r>
      <w:r>
        <w:instrText xml:space="preserve"> HYPERLINK \l "_Toc23631" </w:instrText>
      </w:r>
      <w:r>
        <w:fldChar w:fldCharType="separate"/>
      </w:r>
      <w:r>
        <w:rPr>
          <w:rFonts w:hint="eastAsia" w:ascii="宋体" w:hAnsi="宋体" w:eastAsia="宋体" w:cs="宋体"/>
          <w:b/>
          <w:sz w:val="21"/>
          <w:szCs w:val="21"/>
        </w:rPr>
        <w:t>第八章  保障措施</w:t>
      </w:r>
      <w:r>
        <w:rPr>
          <w:rFonts w:hint="eastAsia" w:ascii="宋体" w:hAnsi="宋体" w:eastAsia="宋体" w:cs="宋体"/>
          <w:b/>
          <w:sz w:val="21"/>
          <w:szCs w:val="21"/>
        </w:rPr>
        <w:tab/>
      </w:r>
      <w:r>
        <w:rPr>
          <w:rFonts w:hint="eastAsia" w:ascii="宋体" w:hAnsi="宋体" w:eastAsia="宋体" w:cs="宋体"/>
          <w:b/>
          <w:sz w:val="21"/>
          <w:szCs w:val="21"/>
        </w:rPr>
        <w:t>49</w:t>
      </w:r>
      <w:r>
        <w:rPr>
          <w:rFonts w:hint="eastAsia" w:ascii="宋体" w:hAnsi="宋体" w:eastAsia="宋体" w:cs="宋体"/>
          <w:b/>
          <w:sz w:val="21"/>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"_Toc350" </w:instrText>
      </w:r>
      <w:r>
        <w:fldChar w:fldCharType="separate"/>
      </w:r>
      <w:r>
        <w:rPr>
          <w:rFonts w:hint="eastAsia" w:ascii="宋体" w:hAnsi="宋体" w:eastAsia="宋体" w:cs="宋体"/>
          <w:iCs w:val="0"/>
          <w:szCs w:val="21"/>
        </w:rPr>
        <w:t>8.1 通信与信息保障</w:t>
      </w:r>
      <w:r>
        <w:rPr>
          <w:rFonts w:hint="eastAsia" w:ascii="宋体" w:hAnsi="宋体" w:eastAsia="宋体" w:cs="宋体"/>
          <w:iCs w:val="0"/>
          <w:szCs w:val="21"/>
        </w:rPr>
        <w:tab/>
      </w:r>
      <w:r>
        <w:rPr>
          <w:rFonts w:hint="eastAsia" w:ascii="宋体" w:hAnsi="宋体" w:eastAsia="宋体" w:cs="宋体"/>
          <w:iCs w:val="0"/>
          <w:szCs w:val="21"/>
        </w:rPr>
        <w:t>49</w:t>
      </w:r>
      <w:r>
        <w:rPr>
          <w:rFonts w:hint="eastAsia" w:ascii="宋体" w:hAnsi="宋体" w:eastAsia="宋体" w:cs="宋体"/>
          <w:iCs w:val="0"/>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"_Toc21325" </w:instrText>
      </w:r>
      <w:r>
        <w:fldChar w:fldCharType="separate"/>
      </w:r>
      <w:r>
        <w:rPr>
          <w:rFonts w:hint="eastAsia" w:ascii="宋体" w:hAnsi="宋体" w:eastAsia="宋体" w:cs="宋体"/>
          <w:iCs w:val="0"/>
          <w:szCs w:val="21"/>
        </w:rPr>
        <w:t>8.2 应急队伍保障</w:t>
      </w:r>
      <w:r>
        <w:rPr>
          <w:rFonts w:hint="eastAsia" w:ascii="宋体" w:hAnsi="宋体" w:eastAsia="宋体" w:cs="宋体"/>
          <w:iCs w:val="0"/>
          <w:szCs w:val="21"/>
        </w:rPr>
        <w:tab/>
      </w:r>
      <w:r>
        <w:rPr>
          <w:rFonts w:hint="eastAsia" w:ascii="宋体" w:hAnsi="宋体" w:eastAsia="宋体" w:cs="宋体"/>
          <w:iCs w:val="0"/>
          <w:szCs w:val="21"/>
        </w:rPr>
        <w:t>49</w:t>
      </w:r>
      <w:r>
        <w:rPr>
          <w:rFonts w:hint="eastAsia" w:ascii="宋体" w:hAnsi="宋体" w:eastAsia="宋体" w:cs="宋体"/>
          <w:iCs w:val="0"/>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"_Toc5977" </w:instrText>
      </w:r>
      <w:r>
        <w:fldChar w:fldCharType="separate"/>
      </w:r>
      <w:r>
        <w:rPr>
          <w:rFonts w:hint="eastAsia" w:ascii="宋体" w:hAnsi="宋体" w:eastAsia="宋体" w:cs="宋体"/>
          <w:iCs w:val="0"/>
          <w:szCs w:val="21"/>
        </w:rPr>
        <w:t>8.3 应急物资供应保障</w:t>
      </w:r>
      <w:r>
        <w:rPr>
          <w:rFonts w:hint="eastAsia" w:ascii="宋体" w:hAnsi="宋体" w:eastAsia="宋体" w:cs="宋体"/>
          <w:iCs w:val="0"/>
          <w:szCs w:val="21"/>
        </w:rPr>
        <w:tab/>
      </w:r>
      <w:r>
        <w:rPr>
          <w:rFonts w:hint="eastAsia" w:ascii="宋体" w:hAnsi="宋体" w:eastAsia="宋体" w:cs="宋体"/>
          <w:iCs w:val="0"/>
          <w:szCs w:val="21"/>
        </w:rPr>
        <w:t>49</w:t>
      </w:r>
      <w:r>
        <w:rPr>
          <w:rFonts w:hint="eastAsia" w:ascii="宋体" w:hAnsi="宋体" w:eastAsia="宋体" w:cs="宋体"/>
          <w:iCs w:val="0"/>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"_Toc26143" </w:instrText>
      </w:r>
      <w:r>
        <w:fldChar w:fldCharType="separate"/>
      </w:r>
      <w:r>
        <w:rPr>
          <w:rFonts w:hint="eastAsia" w:ascii="宋体" w:hAnsi="宋体" w:eastAsia="宋体" w:cs="宋体"/>
          <w:iCs w:val="0"/>
          <w:szCs w:val="21"/>
        </w:rPr>
        <w:t>8.4 经费保障</w:t>
      </w:r>
      <w:r>
        <w:rPr>
          <w:rFonts w:hint="eastAsia" w:ascii="宋体" w:hAnsi="宋体" w:eastAsia="宋体" w:cs="宋体"/>
          <w:iCs w:val="0"/>
          <w:szCs w:val="21"/>
        </w:rPr>
        <w:tab/>
      </w:r>
      <w:r>
        <w:rPr>
          <w:rFonts w:hint="eastAsia" w:ascii="宋体" w:hAnsi="宋体" w:eastAsia="宋体" w:cs="宋体"/>
          <w:iCs w:val="0"/>
          <w:szCs w:val="21"/>
        </w:rPr>
        <w:t>50</w:t>
      </w:r>
      <w:r>
        <w:rPr>
          <w:rFonts w:hint="eastAsia" w:ascii="宋体" w:hAnsi="宋体" w:eastAsia="宋体" w:cs="宋体"/>
          <w:iCs w:val="0"/>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"_Toc4031" </w:instrText>
      </w:r>
      <w:r>
        <w:fldChar w:fldCharType="separate"/>
      </w:r>
      <w:r>
        <w:rPr>
          <w:rFonts w:hint="eastAsia" w:ascii="宋体" w:hAnsi="宋体" w:eastAsia="宋体" w:cs="宋体"/>
          <w:iCs w:val="0"/>
          <w:szCs w:val="21"/>
        </w:rPr>
        <w:t>8.5 交通运输保障</w:t>
      </w:r>
      <w:r>
        <w:rPr>
          <w:rFonts w:hint="eastAsia" w:ascii="宋体" w:hAnsi="宋体" w:eastAsia="宋体" w:cs="宋体"/>
          <w:iCs w:val="0"/>
          <w:szCs w:val="21"/>
        </w:rPr>
        <w:tab/>
      </w:r>
      <w:r>
        <w:rPr>
          <w:rFonts w:hint="eastAsia" w:ascii="宋体" w:hAnsi="宋体" w:eastAsia="宋体" w:cs="宋体"/>
          <w:iCs w:val="0"/>
          <w:szCs w:val="21"/>
        </w:rPr>
        <w:t>51</w:t>
      </w:r>
      <w:r>
        <w:rPr>
          <w:rFonts w:hint="eastAsia" w:ascii="宋体" w:hAnsi="宋体" w:eastAsia="宋体" w:cs="宋体"/>
          <w:iCs w:val="0"/>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"_Toc23800" </w:instrText>
      </w:r>
      <w:r>
        <w:fldChar w:fldCharType="separate"/>
      </w:r>
      <w:r>
        <w:rPr>
          <w:rFonts w:hint="eastAsia" w:ascii="宋体" w:hAnsi="宋体" w:eastAsia="宋体" w:cs="宋体"/>
          <w:iCs w:val="0"/>
          <w:szCs w:val="21"/>
        </w:rPr>
        <w:t>8.6 治安保障</w:t>
      </w:r>
      <w:r>
        <w:rPr>
          <w:rFonts w:hint="eastAsia" w:ascii="宋体" w:hAnsi="宋体" w:eastAsia="宋体" w:cs="宋体"/>
          <w:iCs w:val="0"/>
          <w:szCs w:val="21"/>
        </w:rPr>
        <w:tab/>
      </w:r>
      <w:r>
        <w:rPr>
          <w:rFonts w:hint="eastAsia" w:ascii="宋体" w:hAnsi="宋体" w:eastAsia="宋体" w:cs="宋体"/>
          <w:iCs w:val="0"/>
          <w:szCs w:val="21"/>
        </w:rPr>
        <w:t>51</w:t>
      </w:r>
      <w:r>
        <w:rPr>
          <w:rFonts w:hint="eastAsia" w:ascii="宋体" w:hAnsi="宋体" w:eastAsia="宋体" w:cs="宋体"/>
          <w:iCs w:val="0"/>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"_Toc13106" </w:instrText>
      </w:r>
      <w:r>
        <w:fldChar w:fldCharType="separate"/>
      </w:r>
      <w:r>
        <w:rPr>
          <w:rFonts w:hint="eastAsia" w:ascii="宋体" w:hAnsi="宋体" w:eastAsia="宋体" w:cs="宋体"/>
          <w:iCs w:val="0"/>
          <w:szCs w:val="21"/>
        </w:rPr>
        <w:t>8.7 技术储备与保障</w:t>
      </w:r>
      <w:r>
        <w:rPr>
          <w:rFonts w:hint="eastAsia" w:ascii="宋体" w:hAnsi="宋体" w:eastAsia="宋体" w:cs="宋体"/>
          <w:iCs w:val="0"/>
          <w:szCs w:val="21"/>
        </w:rPr>
        <w:tab/>
      </w:r>
      <w:r>
        <w:rPr>
          <w:rFonts w:hint="eastAsia" w:ascii="宋体" w:hAnsi="宋体" w:eastAsia="宋体" w:cs="宋体"/>
          <w:iCs w:val="0"/>
          <w:szCs w:val="21"/>
        </w:rPr>
        <w:t>51</w:t>
      </w:r>
      <w:r>
        <w:rPr>
          <w:rFonts w:hint="eastAsia" w:ascii="宋体" w:hAnsi="宋体" w:eastAsia="宋体" w:cs="宋体"/>
          <w:iCs w:val="0"/>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"_Toc25159" </w:instrText>
      </w:r>
      <w:r>
        <w:fldChar w:fldCharType="separate"/>
      </w:r>
      <w:r>
        <w:rPr>
          <w:rFonts w:hint="eastAsia" w:ascii="宋体" w:hAnsi="宋体" w:eastAsia="宋体" w:cs="宋体"/>
          <w:iCs w:val="0"/>
          <w:szCs w:val="21"/>
        </w:rPr>
        <w:t>8.8 医疗卫生保障</w:t>
      </w:r>
      <w:r>
        <w:rPr>
          <w:rFonts w:hint="eastAsia" w:ascii="宋体" w:hAnsi="宋体" w:eastAsia="宋体" w:cs="宋体"/>
          <w:iCs w:val="0"/>
          <w:szCs w:val="21"/>
        </w:rPr>
        <w:tab/>
      </w:r>
      <w:r>
        <w:rPr>
          <w:rFonts w:hint="eastAsia" w:ascii="宋体" w:hAnsi="宋体" w:eastAsia="宋体" w:cs="宋体"/>
          <w:iCs w:val="0"/>
          <w:szCs w:val="21"/>
        </w:rPr>
        <w:t>51</w:t>
      </w:r>
      <w:r>
        <w:rPr>
          <w:rFonts w:hint="eastAsia" w:ascii="宋体" w:hAnsi="宋体" w:eastAsia="宋体" w:cs="宋体"/>
          <w:iCs w:val="0"/>
          <w:szCs w:val="21"/>
        </w:rPr>
        <w:fldChar w:fldCharType="end"/>
      </w:r>
    </w:p>
    <w:p>
      <w:pPr>
        <w:pStyle w:val="23"/>
        <w:tabs>
          <w:tab w:val="right" w:leader="dot" w:pos="8669"/>
        </w:tabs>
        <w:spacing w:before="0" w:after="0" w:line="300" w:lineRule="exact"/>
        <w:rPr>
          <w:rFonts w:ascii="宋体" w:hAnsi="宋体" w:eastAsia="宋体" w:cs="宋体"/>
          <w:b/>
          <w:sz w:val="21"/>
          <w:szCs w:val="21"/>
        </w:rPr>
      </w:pPr>
      <w:r>
        <w:fldChar w:fldCharType="begin"/>
      </w:r>
      <w:r>
        <w:instrText xml:space="preserve"> HYPERLINK \l "_Toc15726" </w:instrText>
      </w:r>
      <w:r>
        <w:fldChar w:fldCharType="separate"/>
      </w:r>
      <w:r>
        <w:rPr>
          <w:rFonts w:hint="eastAsia" w:ascii="宋体" w:hAnsi="宋体" w:eastAsia="宋体" w:cs="宋体"/>
          <w:b/>
          <w:sz w:val="21"/>
          <w:szCs w:val="21"/>
        </w:rPr>
        <w:t>第九章 应急预案管理</w:t>
      </w:r>
      <w:r>
        <w:rPr>
          <w:rFonts w:hint="eastAsia" w:ascii="宋体" w:hAnsi="宋体" w:eastAsia="宋体" w:cs="宋体"/>
          <w:b/>
          <w:sz w:val="21"/>
          <w:szCs w:val="21"/>
        </w:rPr>
        <w:tab/>
      </w:r>
      <w:r>
        <w:rPr>
          <w:rFonts w:hint="eastAsia" w:ascii="宋体" w:hAnsi="宋体" w:eastAsia="宋体" w:cs="宋体"/>
          <w:b/>
          <w:sz w:val="21"/>
          <w:szCs w:val="21"/>
        </w:rPr>
        <w:t>52</w:t>
      </w:r>
      <w:r>
        <w:rPr>
          <w:rFonts w:hint="eastAsia" w:ascii="宋体" w:hAnsi="宋体" w:eastAsia="宋体" w:cs="宋体"/>
          <w:b/>
          <w:sz w:val="21"/>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"_Toc14777" </w:instrText>
      </w:r>
      <w:r>
        <w:fldChar w:fldCharType="separate"/>
      </w:r>
      <w:r>
        <w:rPr>
          <w:rFonts w:hint="eastAsia" w:ascii="宋体" w:hAnsi="宋体" w:eastAsia="宋体" w:cs="宋体"/>
          <w:iCs w:val="0"/>
          <w:szCs w:val="21"/>
        </w:rPr>
        <w:t>9.1培训</w:t>
      </w:r>
      <w:r>
        <w:rPr>
          <w:rFonts w:hint="eastAsia" w:ascii="宋体" w:hAnsi="宋体" w:eastAsia="宋体" w:cs="宋体"/>
          <w:iCs w:val="0"/>
          <w:szCs w:val="21"/>
        </w:rPr>
        <w:tab/>
      </w:r>
      <w:r>
        <w:rPr>
          <w:rFonts w:hint="eastAsia" w:ascii="宋体" w:hAnsi="宋体" w:eastAsia="宋体" w:cs="宋体"/>
          <w:iCs w:val="0"/>
          <w:szCs w:val="21"/>
        </w:rPr>
        <w:t>52</w:t>
      </w:r>
      <w:r>
        <w:rPr>
          <w:rFonts w:hint="eastAsia" w:ascii="宋体" w:hAnsi="宋体" w:eastAsia="宋体" w:cs="宋体"/>
          <w:iCs w:val="0"/>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"_Toc1734" </w:instrText>
      </w:r>
      <w:r>
        <w:fldChar w:fldCharType="separate"/>
      </w:r>
      <w:r>
        <w:rPr>
          <w:rFonts w:hint="eastAsia" w:ascii="宋体" w:hAnsi="宋体" w:cs="宋体"/>
          <w:szCs w:val="21"/>
        </w:rPr>
        <w:t>9.1.1培训内容</w:t>
      </w:r>
      <w:r>
        <w:rPr>
          <w:rFonts w:hint="eastAsia" w:ascii="宋体" w:hAnsi="宋体" w:cs="宋体"/>
          <w:szCs w:val="21"/>
        </w:rPr>
        <w:tab/>
      </w:r>
      <w:r>
        <w:rPr>
          <w:rFonts w:hint="eastAsia" w:ascii="宋体" w:hAnsi="宋体" w:cs="宋体"/>
          <w:szCs w:val="21"/>
        </w:rPr>
        <w:t>52</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"_Toc22599" </w:instrText>
      </w:r>
      <w:r>
        <w:fldChar w:fldCharType="separate"/>
      </w:r>
      <w:r>
        <w:rPr>
          <w:rFonts w:hint="eastAsia" w:ascii="宋体" w:hAnsi="宋体" w:cs="宋体"/>
          <w:szCs w:val="21"/>
        </w:rPr>
        <w:t>9.1.2培训方式</w:t>
      </w:r>
      <w:r>
        <w:rPr>
          <w:rFonts w:hint="eastAsia" w:ascii="宋体" w:hAnsi="宋体" w:cs="宋体"/>
          <w:szCs w:val="21"/>
        </w:rPr>
        <w:tab/>
      </w:r>
      <w:r>
        <w:rPr>
          <w:rFonts w:hint="eastAsia" w:ascii="宋体" w:hAnsi="宋体" w:cs="宋体"/>
          <w:szCs w:val="21"/>
        </w:rPr>
        <w:t>52</w:t>
      </w:r>
      <w:r>
        <w:rPr>
          <w:rFonts w:hint="eastAsia" w:ascii="宋体" w:hAnsi="宋体" w:cs="宋体"/>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"_Toc32375" </w:instrText>
      </w:r>
      <w:r>
        <w:fldChar w:fldCharType="separate"/>
      </w:r>
      <w:r>
        <w:rPr>
          <w:rFonts w:hint="eastAsia" w:ascii="宋体" w:hAnsi="宋体" w:eastAsia="宋体" w:cs="宋体"/>
          <w:iCs w:val="0"/>
          <w:szCs w:val="21"/>
        </w:rPr>
        <w:t>9.2演练</w:t>
      </w:r>
      <w:r>
        <w:rPr>
          <w:rFonts w:hint="eastAsia" w:ascii="宋体" w:hAnsi="宋体" w:eastAsia="宋体" w:cs="宋体"/>
          <w:iCs w:val="0"/>
          <w:szCs w:val="21"/>
        </w:rPr>
        <w:tab/>
      </w:r>
      <w:r>
        <w:rPr>
          <w:rFonts w:hint="eastAsia" w:ascii="宋体" w:hAnsi="宋体" w:eastAsia="宋体" w:cs="宋体"/>
          <w:iCs w:val="0"/>
          <w:szCs w:val="21"/>
        </w:rPr>
        <w:t>53</w:t>
      </w:r>
      <w:r>
        <w:rPr>
          <w:rFonts w:hint="eastAsia" w:ascii="宋体" w:hAnsi="宋体" w:eastAsia="宋体" w:cs="宋体"/>
          <w:iCs w:val="0"/>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"_Toc11708" </w:instrText>
      </w:r>
      <w:r>
        <w:fldChar w:fldCharType="separate"/>
      </w:r>
      <w:r>
        <w:rPr>
          <w:rFonts w:hint="eastAsia" w:ascii="宋体" w:hAnsi="宋体" w:eastAsia="宋体" w:cs="宋体"/>
          <w:iCs w:val="0"/>
          <w:szCs w:val="21"/>
        </w:rPr>
        <w:t>9.3修订</w:t>
      </w:r>
      <w:r>
        <w:rPr>
          <w:rFonts w:hint="eastAsia" w:ascii="宋体" w:hAnsi="宋体" w:eastAsia="宋体" w:cs="宋体"/>
          <w:iCs w:val="0"/>
          <w:szCs w:val="21"/>
        </w:rPr>
        <w:tab/>
      </w:r>
      <w:r>
        <w:rPr>
          <w:rFonts w:hint="eastAsia" w:ascii="宋体" w:hAnsi="宋体" w:eastAsia="宋体" w:cs="宋体"/>
          <w:iCs w:val="0"/>
          <w:szCs w:val="21"/>
        </w:rPr>
        <w:t>55</w:t>
      </w:r>
      <w:r>
        <w:rPr>
          <w:rFonts w:hint="eastAsia" w:ascii="宋体" w:hAnsi="宋体" w:eastAsia="宋体" w:cs="宋体"/>
          <w:iCs w:val="0"/>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"_Toc9375" </w:instrText>
      </w:r>
      <w:r>
        <w:fldChar w:fldCharType="separate"/>
      </w:r>
      <w:r>
        <w:rPr>
          <w:rFonts w:hint="eastAsia" w:ascii="宋体" w:hAnsi="宋体" w:eastAsia="宋体" w:cs="宋体"/>
          <w:iCs w:val="0"/>
          <w:szCs w:val="21"/>
        </w:rPr>
        <w:t>9.4备案</w:t>
      </w:r>
      <w:r>
        <w:rPr>
          <w:rFonts w:hint="eastAsia" w:ascii="宋体" w:hAnsi="宋体" w:eastAsia="宋体" w:cs="宋体"/>
          <w:iCs w:val="0"/>
          <w:szCs w:val="21"/>
        </w:rPr>
        <w:tab/>
      </w:r>
      <w:r>
        <w:rPr>
          <w:rFonts w:hint="eastAsia" w:ascii="宋体" w:hAnsi="宋体" w:eastAsia="宋体" w:cs="宋体"/>
          <w:iCs w:val="0"/>
          <w:szCs w:val="21"/>
        </w:rPr>
        <w:t>56</w:t>
      </w:r>
      <w:r>
        <w:rPr>
          <w:rFonts w:hint="eastAsia" w:ascii="宋体" w:hAnsi="宋体" w:eastAsia="宋体" w:cs="宋体"/>
          <w:iCs w:val="0"/>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"_Toc13137" </w:instrText>
      </w:r>
      <w:r>
        <w:fldChar w:fldCharType="separate"/>
      </w:r>
      <w:r>
        <w:rPr>
          <w:rFonts w:hint="eastAsia" w:ascii="宋体" w:hAnsi="宋体" w:eastAsia="宋体" w:cs="宋体"/>
          <w:iCs w:val="0"/>
          <w:szCs w:val="21"/>
        </w:rPr>
        <w:t>9.5维护和更新</w:t>
      </w:r>
      <w:r>
        <w:rPr>
          <w:rFonts w:hint="eastAsia" w:ascii="宋体" w:hAnsi="宋体" w:eastAsia="宋体" w:cs="宋体"/>
          <w:iCs w:val="0"/>
          <w:szCs w:val="21"/>
        </w:rPr>
        <w:tab/>
      </w:r>
      <w:r>
        <w:rPr>
          <w:rFonts w:hint="eastAsia" w:ascii="宋体" w:hAnsi="宋体" w:eastAsia="宋体" w:cs="宋体"/>
          <w:iCs w:val="0"/>
          <w:szCs w:val="21"/>
        </w:rPr>
        <w:t>56</w:t>
      </w:r>
      <w:r>
        <w:rPr>
          <w:rFonts w:hint="eastAsia" w:ascii="宋体" w:hAnsi="宋体" w:eastAsia="宋体" w:cs="宋体"/>
          <w:iCs w:val="0"/>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"_Toc26840" </w:instrText>
      </w:r>
      <w:r>
        <w:fldChar w:fldCharType="separate"/>
      </w:r>
      <w:r>
        <w:rPr>
          <w:rFonts w:hint="eastAsia" w:ascii="宋体" w:hAnsi="宋体" w:eastAsia="宋体" w:cs="宋体"/>
          <w:iCs w:val="0"/>
          <w:szCs w:val="21"/>
        </w:rPr>
        <w:t>9.6制定与解释</w:t>
      </w:r>
      <w:r>
        <w:rPr>
          <w:rFonts w:hint="eastAsia" w:ascii="宋体" w:hAnsi="宋体" w:eastAsia="宋体" w:cs="宋体"/>
          <w:iCs w:val="0"/>
          <w:szCs w:val="21"/>
        </w:rPr>
        <w:tab/>
      </w:r>
      <w:r>
        <w:rPr>
          <w:rFonts w:hint="eastAsia" w:ascii="宋体" w:hAnsi="宋体" w:eastAsia="宋体" w:cs="宋体"/>
          <w:iCs w:val="0"/>
          <w:szCs w:val="21"/>
        </w:rPr>
        <w:t>56</w:t>
      </w:r>
      <w:r>
        <w:rPr>
          <w:rFonts w:hint="eastAsia" w:ascii="宋体" w:hAnsi="宋体" w:eastAsia="宋体" w:cs="宋体"/>
          <w:iCs w:val="0"/>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"_Toc12376" </w:instrText>
      </w:r>
      <w:r>
        <w:fldChar w:fldCharType="separate"/>
      </w:r>
      <w:r>
        <w:rPr>
          <w:rFonts w:hint="eastAsia" w:ascii="宋体" w:hAnsi="宋体" w:eastAsia="宋体" w:cs="宋体"/>
          <w:iCs w:val="0"/>
          <w:szCs w:val="21"/>
        </w:rPr>
        <w:t>9.7应急预案实施</w:t>
      </w:r>
      <w:r>
        <w:rPr>
          <w:rFonts w:hint="eastAsia" w:ascii="宋体" w:hAnsi="宋体" w:eastAsia="宋体" w:cs="宋体"/>
          <w:iCs w:val="0"/>
          <w:szCs w:val="21"/>
        </w:rPr>
        <w:tab/>
      </w:r>
      <w:r>
        <w:rPr>
          <w:rFonts w:hint="eastAsia" w:ascii="宋体" w:hAnsi="宋体" w:eastAsia="宋体" w:cs="宋体"/>
          <w:iCs w:val="0"/>
          <w:szCs w:val="21"/>
        </w:rPr>
        <w:t>56</w:t>
      </w:r>
      <w:r>
        <w:rPr>
          <w:rFonts w:hint="eastAsia" w:ascii="宋体" w:hAnsi="宋体" w:eastAsia="宋体" w:cs="宋体"/>
          <w:iCs w:val="0"/>
          <w:szCs w:val="21"/>
        </w:rPr>
        <w:fldChar w:fldCharType="end"/>
      </w:r>
    </w:p>
    <w:p>
      <w:pPr>
        <w:pStyle w:val="23"/>
        <w:tabs>
          <w:tab w:val="right" w:leader="dot" w:pos="8669"/>
        </w:tabs>
        <w:spacing w:before="0" w:after="0" w:line="300" w:lineRule="exact"/>
        <w:rPr>
          <w:rFonts w:ascii="宋体" w:hAnsi="宋体" w:eastAsia="宋体" w:cs="宋体"/>
          <w:b/>
          <w:sz w:val="21"/>
          <w:szCs w:val="21"/>
        </w:rPr>
      </w:pPr>
      <w:r>
        <w:fldChar w:fldCharType="begin"/>
      </w:r>
      <w:r>
        <w:instrText xml:space="preserve"> HYPERLINK \l "_Toc15052" </w:instrText>
      </w:r>
      <w:r>
        <w:fldChar w:fldCharType="separate"/>
      </w:r>
      <w:r>
        <w:rPr>
          <w:rFonts w:hint="eastAsia" w:ascii="宋体" w:hAnsi="宋体" w:eastAsia="宋体" w:cs="宋体"/>
          <w:b/>
          <w:sz w:val="21"/>
          <w:szCs w:val="21"/>
        </w:rPr>
        <w:t>第二部分 专项应急预案</w:t>
      </w:r>
      <w:r>
        <w:rPr>
          <w:rFonts w:hint="eastAsia" w:ascii="宋体" w:hAnsi="宋体" w:eastAsia="宋体" w:cs="宋体"/>
          <w:b/>
          <w:sz w:val="21"/>
          <w:szCs w:val="21"/>
        </w:rPr>
        <w:tab/>
      </w:r>
      <w:r>
        <w:rPr>
          <w:rFonts w:hint="eastAsia" w:ascii="宋体" w:hAnsi="宋体" w:eastAsia="宋体" w:cs="宋体"/>
          <w:b/>
          <w:sz w:val="21"/>
          <w:szCs w:val="21"/>
        </w:rPr>
        <w:t>57</w:t>
      </w:r>
      <w:r>
        <w:rPr>
          <w:rFonts w:hint="eastAsia" w:ascii="宋体" w:hAnsi="宋体" w:eastAsia="宋体" w:cs="宋体"/>
          <w:b/>
          <w:sz w:val="21"/>
          <w:szCs w:val="21"/>
        </w:rPr>
        <w:fldChar w:fldCharType="end"/>
      </w:r>
    </w:p>
    <w:p>
      <w:pPr>
        <w:pStyle w:val="23"/>
        <w:tabs>
          <w:tab w:val="right" w:leader="dot" w:pos="8669"/>
        </w:tabs>
        <w:spacing w:before="0" w:after="0" w:line="300" w:lineRule="exact"/>
        <w:rPr>
          <w:rFonts w:ascii="宋体" w:hAnsi="宋体" w:eastAsia="宋体" w:cs="宋体"/>
          <w:b/>
          <w:sz w:val="21"/>
          <w:szCs w:val="21"/>
        </w:rPr>
      </w:pPr>
      <w:r>
        <w:fldChar w:fldCharType="begin"/>
      </w:r>
      <w:r>
        <w:instrText xml:space="preserve"> HYPERLINK \l "_Toc27913" </w:instrText>
      </w:r>
      <w:r>
        <w:fldChar w:fldCharType="separate"/>
      </w:r>
      <w:r>
        <w:rPr>
          <w:rFonts w:hint="eastAsia" w:ascii="宋体" w:hAnsi="宋体" w:eastAsia="宋体" w:cs="宋体"/>
          <w:b/>
          <w:sz w:val="21"/>
          <w:szCs w:val="21"/>
        </w:rPr>
        <w:t>一、油品泄漏事故专项应急预案</w:t>
      </w:r>
      <w:r>
        <w:rPr>
          <w:rFonts w:hint="eastAsia" w:ascii="宋体" w:hAnsi="宋体" w:eastAsia="宋体" w:cs="宋体"/>
          <w:b/>
          <w:sz w:val="21"/>
          <w:szCs w:val="21"/>
        </w:rPr>
        <w:tab/>
      </w:r>
      <w:r>
        <w:rPr>
          <w:rFonts w:hint="eastAsia" w:ascii="宋体" w:hAnsi="宋体" w:eastAsia="宋体" w:cs="宋体"/>
          <w:b/>
          <w:sz w:val="21"/>
          <w:szCs w:val="21"/>
        </w:rPr>
        <w:t>58</w:t>
      </w:r>
      <w:r>
        <w:rPr>
          <w:rFonts w:hint="eastAsia" w:ascii="宋体" w:hAnsi="宋体" w:eastAsia="宋体" w:cs="宋体"/>
          <w:b/>
          <w:sz w:val="21"/>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"_Toc17462" </w:instrText>
      </w:r>
      <w:r>
        <w:fldChar w:fldCharType="separate"/>
      </w:r>
      <w:r>
        <w:rPr>
          <w:rFonts w:hint="eastAsia" w:ascii="宋体" w:hAnsi="宋体" w:eastAsia="宋体" w:cs="宋体"/>
          <w:iCs w:val="0"/>
          <w:szCs w:val="21"/>
        </w:rPr>
        <w:t>1.1事故类型和危害程度分析</w:t>
      </w:r>
      <w:r>
        <w:rPr>
          <w:rFonts w:hint="eastAsia" w:ascii="宋体" w:hAnsi="宋体" w:eastAsia="宋体" w:cs="宋体"/>
          <w:iCs w:val="0"/>
          <w:szCs w:val="21"/>
        </w:rPr>
        <w:tab/>
      </w:r>
      <w:r>
        <w:rPr>
          <w:rFonts w:hint="eastAsia" w:ascii="宋体" w:hAnsi="宋体" w:eastAsia="宋体" w:cs="宋体"/>
          <w:iCs w:val="0"/>
          <w:szCs w:val="21"/>
        </w:rPr>
        <w:t>58</w:t>
      </w:r>
      <w:r>
        <w:rPr>
          <w:rFonts w:hint="eastAsia" w:ascii="宋体" w:hAnsi="宋体" w:eastAsia="宋体" w:cs="宋体"/>
          <w:iCs w:val="0"/>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"_Toc3311" </w:instrText>
      </w:r>
      <w:r>
        <w:fldChar w:fldCharType="separate"/>
      </w:r>
      <w:r>
        <w:rPr>
          <w:rFonts w:hint="eastAsia" w:ascii="宋体" w:hAnsi="宋体" w:cs="宋体"/>
          <w:szCs w:val="21"/>
        </w:rPr>
        <w:t>1.1.1 理化性质分析</w:t>
      </w:r>
      <w:r>
        <w:rPr>
          <w:rFonts w:hint="eastAsia" w:ascii="宋体" w:hAnsi="宋体" w:cs="宋体"/>
          <w:szCs w:val="21"/>
        </w:rPr>
        <w:tab/>
      </w:r>
      <w:r>
        <w:rPr>
          <w:rFonts w:hint="eastAsia" w:ascii="宋体" w:hAnsi="宋体" w:cs="宋体"/>
          <w:szCs w:val="21"/>
        </w:rPr>
        <w:t>58</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"_Toc16435" </w:instrText>
      </w:r>
      <w:r>
        <w:fldChar w:fldCharType="separate"/>
      </w:r>
      <w:r>
        <w:rPr>
          <w:rFonts w:hint="eastAsia" w:ascii="宋体" w:hAnsi="宋体" w:cs="宋体"/>
          <w:szCs w:val="21"/>
        </w:rPr>
        <w:t>1.1.2 危险特性分析</w:t>
      </w:r>
      <w:r>
        <w:rPr>
          <w:rFonts w:hint="eastAsia" w:ascii="宋体" w:hAnsi="宋体" w:cs="宋体"/>
          <w:szCs w:val="21"/>
        </w:rPr>
        <w:tab/>
      </w:r>
      <w:r>
        <w:rPr>
          <w:rFonts w:hint="eastAsia" w:ascii="宋体" w:hAnsi="宋体" w:cs="宋体"/>
          <w:szCs w:val="21"/>
        </w:rPr>
        <w:t>58</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"_Toc21898" </w:instrText>
      </w:r>
      <w:r>
        <w:fldChar w:fldCharType="separate"/>
      </w:r>
      <w:r>
        <w:rPr>
          <w:rFonts w:hint="eastAsia" w:ascii="宋体" w:hAnsi="宋体" w:cs="宋体"/>
          <w:szCs w:val="21"/>
        </w:rPr>
        <w:t>1.1.3 泄漏危害分析</w:t>
      </w:r>
      <w:r>
        <w:rPr>
          <w:rFonts w:hint="eastAsia" w:ascii="宋体" w:hAnsi="宋体" w:cs="宋体"/>
          <w:szCs w:val="21"/>
        </w:rPr>
        <w:tab/>
      </w:r>
      <w:r>
        <w:rPr>
          <w:rFonts w:hint="eastAsia" w:ascii="宋体" w:hAnsi="宋体" w:cs="宋体"/>
          <w:szCs w:val="21"/>
        </w:rPr>
        <w:t>58</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"_Toc16847" </w:instrText>
      </w:r>
      <w:r>
        <w:fldChar w:fldCharType="separate"/>
      </w:r>
      <w:r>
        <w:rPr>
          <w:rFonts w:hint="eastAsia" w:ascii="宋体" w:hAnsi="宋体" w:cs="宋体"/>
          <w:szCs w:val="21"/>
        </w:rPr>
        <w:t>1.1.4 事故预防和应急措施分析</w:t>
      </w:r>
      <w:r>
        <w:rPr>
          <w:rFonts w:hint="eastAsia" w:ascii="宋体" w:hAnsi="宋体" w:cs="宋体"/>
          <w:szCs w:val="21"/>
        </w:rPr>
        <w:tab/>
      </w:r>
      <w:r>
        <w:rPr>
          <w:rFonts w:hint="eastAsia" w:ascii="宋体" w:hAnsi="宋体" w:cs="宋体"/>
          <w:szCs w:val="21"/>
        </w:rPr>
        <w:t>59</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"_Toc2838" </w:instrText>
      </w:r>
      <w:r>
        <w:fldChar w:fldCharType="separate"/>
      </w:r>
      <w:r>
        <w:rPr>
          <w:rFonts w:hint="eastAsia" w:ascii="宋体" w:hAnsi="宋体" w:cs="宋体"/>
          <w:szCs w:val="21"/>
        </w:rPr>
        <w:t>1.1.5 事故风险分析</w:t>
      </w:r>
      <w:r>
        <w:rPr>
          <w:rFonts w:hint="eastAsia" w:ascii="宋体" w:hAnsi="宋体" w:cs="宋体"/>
          <w:szCs w:val="21"/>
        </w:rPr>
        <w:tab/>
      </w:r>
      <w:r>
        <w:rPr>
          <w:rFonts w:hint="eastAsia" w:ascii="宋体" w:hAnsi="宋体" w:cs="宋体"/>
          <w:szCs w:val="21"/>
        </w:rPr>
        <w:t>61</w:t>
      </w:r>
      <w:r>
        <w:rPr>
          <w:rFonts w:hint="eastAsia" w:ascii="宋体" w:hAnsi="宋体" w:cs="宋体"/>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"_Toc7337" </w:instrText>
      </w:r>
      <w:r>
        <w:fldChar w:fldCharType="separate"/>
      </w:r>
      <w:r>
        <w:rPr>
          <w:rFonts w:hint="eastAsia" w:ascii="宋体" w:hAnsi="宋体" w:eastAsia="宋体" w:cs="宋体"/>
          <w:bCs/>
          <w:iCs w:val="0"/>
          <w:szCs w:val="21"/>
        </w:rPr>
        <w:t>1.2组织机构及职责</w:t>
      </w:r>
      <w:r>
        <w:rPr>
          <w:rFonts w:hint="eastAsia" w:ascii="宋体" w:hAnsi="宋体" w:eastAsia="宋体" w:cs="宋体"/>
          <w:iCs w:val="0"/>
          <w:szCs w:val="21"/>
        </w:rPr>
        <w:tab/>
      </w:r>
      <w:r>
        <w:rPr>
          <w:rFonts w:hint="eastAsia" w:ascii="宋体" w:hAnsi="宋体" w:eastAsia="宋体" w:cs="宋体"/>
          <w:iCs w:val="0"/>
          <w:szCs w:val="21"/>
        </w:rPr>
        <w:t>63</w:t>
      </w:r>
      <w:r>
        <w:rPr>
          <w:rFonts w:hint="eastAsia" w:ascii="宋体" w:hAnsi="宋体" w:eastAsia="宋体" w:cs="宋体"/>
          <w:iCs w:val="0"/>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"_Toc28848" </w:instrText>
      </w:r>
      <w:r>
        <w:fldChar w:fldCharType="separate"/>
      </w:r>
      <w:r>
        <w:rPr>
          <w:rFonts w:hint="eastAsia" w:ascii="宋体" w:hAnsi="宋体" w:eastAsia="宋体" w:cs="宋体"/>
          <w:iCs w:val="0"/>
          <w:szCs w:val="21"/>
        </w:rPr>
        <w:t>1.3处置措施</w:t>
      </w:r>
      <w:r>
        <w:rPr>
          <w:rFonts w:hint="eastAsia" w:ascii="宋体" w:hAnsi="宋体" w:eastAsia="宋体" w:cs="宋体"/>
          <w:iCs w:val="0"/>
          <w:szCs w:val="21"/>
        </w:rPr>
        <w:tab/>
      </w:r>
      <w:r>
        <w:rPr>
          <w:rFonts w:hint="eastAsia" w:ascii="宋体" w:hAnsi="宋体" w:eastAsia="宋体" w:cs="宋体"/>
          <w:iCs w:val="0"/>
          <w:szCs w:val="21"/>
        </w:rPr>
        <w:t>66</w:t>
      </w:r>
      <w:r>
        <w:rPr>
          <w:rFonts w:hint="eastAsia" w:ascii="宋体" w:hAnsi="宋体" w:eastAsia="宋体" w:cs="宋体"/>
          <w:iCs w:val="0"/>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"_Toc25078" </w:instrText>
      </w:r>
      <w:r>
        <w:fldChar w:fldCharType="separate"/>
      </w:r>
      <w:r>
        <w:rPr>
          <w:rFonts w:hint="eastAsia" w:ascii="宋体" w:hAnsi="宋体" w:cs="宋体"/>
          <w:szCs w:val="21"/>
        </w:rPr>
        <w:t>1.3.1处置原则和要求</w:t>
      </w:r>
      <w:r>
        <w:rPr>
          <w:rFonts w:hint="eastAsia" w:ascii="宋体" w:hAnsi="宋体" w:cs="宋体"/>
          <w:szCs w:val="21"/>
        </w:rPr>
        <w:tab/>
      </w:r>
      <w:r>
        <w:rPr>
          <w:rFonts w:hint="eastAsia" w:ascii="宋体" w:hAnsi="宋体" w:cs="宋体"/>
          <w:szCs w:val="21"/>
        </w:rPr>
        <w:t>66</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"_Toc3136" </w:instrText>
      </w:r>
      <w:r>
        <w:fldChar w:fldCharType="separate"/>
      </w:r>
      <w:r>
        <w:rPr>
          <w:rFonts w:hint="eastAsia" w:ascii="宋体" w:hAnsi="宋体" w:cs="宋体"/>
          <w:szCs w:val="21"/>
        </w:rPr>
        <w:t>1.3.2处置措施</w:t>
      </w:r>
      <w:r>
        <w:rPr>
          <w:rFonts w:hint="eastAsia" w:ascii="宋体" w:hAnsi="宋体" w:cs="宋体"/>
          <w:szCs w:val="21"/>
        </w:rPr>
        <w:tab/>
      </w:r>
      <w:r>
        <w:rPr>
          <w:rFonts w:hint="eastAsia" w:ascii="宋体" w:hAnsi="宋体" w:cs="宋体"/>
          <w:szCs w:val="21"/>
        </w:rPr>
        <w:t>67</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"_Toc125" </w:instrText>
      </w:r>
      <w:r>
        <w:fldChar w:fldCharType="separate"/>
      </w:r>
      <w:r>
        <w:rPr>
          <w:rFonts w:hint="eastAsia" w:ascii="宋体" w:hAnsi="宋体" w:cs="宋体"/>
          <w:szCs w:val="21"/>
        </w:rPr>
        <w:t>1.3.3后期处置措施</w:t>
      </w:r>
      <w:r>
        <w:rPr>
          <w:rFonts w:hint="eastAsia" w:ascii="宋体" w:hAnsi="宋体" w:cs="宋体"/>
          <w:szCs w:val="21"/>
        </w:rPr>
        <w:tab/>
      </w:r>
      <w:r>
        <w:rPr>
          <w:rFonts w:hint="eastAsia" w:ascii="宋体" w:hAnsi="宋体" w:cs="宋体"/>
          <w:szCs w:val="21"/>
        </w:rPr>
        <w:t>72</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"_Toc31474" </w:instrText>
      </w:r>
      <w:r>
        <w:fldChar w:fldCharType="separate"/>
      </w:r>
      <w:r>
        <w:rPr>
          <w:rFonts w:hint="eastAsia" w:ascii="宋体" w:hAnsi="宋体" w:cs="宋体"/>
          <w:szCs w:val="21"/>
        </w:rPr>
        <w:t>1.3.4实施注意事项</w:t>
      </w:r>
      <w:r>
        <w:rPr>
          <w:rFonts w:hint="eastAsia" w:ascii="宋体" w:hAnsi="宋体" w:cs="宋体"/>
          <w:szCs w:val="21"/>
        </w:rPr>
        <w:tab/>
      </w:r>
      <w:r>
        <w:rPr>
          <w:rFonts w:hint="eastAsia" w:ascii="宋体" w:hAnsi="宋体" w:cs="宋体"/>
          <w:szCs w:val="21"/>
        </w:rPr>
        <w:t>73</w:t>
      </w:r>
      <w:r>
        <w:rPr>
          <w:rFonts w:hint="eastAsia" w:ascii="宋体" w:hAnsi="宋体" w:cs="宋体"/>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"_Toc3168" </w:instrText>
      </w:r>
      <w:r>
        <w:fldChar w:fldCharType="separate"/>
      </w:r>
      <w:r>
        <w:rPr>
          <w:rFonts w:hint="eastAsia" w:ascii="宋体" w:hAnsi="宋体" w:eastAsia="宋体" w:cs="宋体"/>
          <w:iCs w:val="0"/>
          <w:szCs w:val="21"/>
        </w:rPr>
        <w:t>1.4附则</w:t>
      </w:r>
      <w:r>
        <w:rPr>
          <w:rFonts w:hint="eastAsia" w:ascii="宋体" w:hAnsi="宋体" w:eastAsia="宋体" w:cs="宋体"/>
          <w:iCs w:val="0"/>
          <w:szCs w:val="21"/>
        </w:rPr>
        <w:tab/>
      </w:r>
      <w:r>
        <w:rPr>
          <w:rFonts w:hint="eastAsia" w:ascii="宋体" w:hAnsi="宋体" w:eastAsia="宋体" w:cs="宋体"/>
          <w:iCs w:val="0"/>
          <w:szCs w:val="21"/>
        </w:rPr>
        <w:t>74</w:t>
      </w:r>
      <w:r>
        <w:rPr>
          <w:rFonts w:hint="eastAsia" w:ascii="宋体" w:hAnsi="宋体" w:eastAsia="宋体" w:cs="宋体"/>
          <w:iCs w:val="0"/>
          <w:szCs w:val="21"/>
        </w:rPr>
        <w:fldChar w:fldCharType="end"/>
      </w:r>
    </w:p>
    <w:p>
      <w:pPr>
        <w:pStyle w:val="23"/>
        <w:tabs>
          <w:tab w:val="right" w:leader="dot" w:pos="8669"/>
        </w:tabs>
        <w:spacing w:before="0" w:after="0" w:line="300" w:lineRule="exact"/>
        <w:rPr>
          <w:rFonts w:ascii="宋体" w:hAnsi="宋体" w:eastAsia="宋体" w:cs="宋体"/>
          <w:b/>
          <w:sz w:val="21"/>
          <w:szCs w:val="21"/>
        </w:rPr>
      </w:pPr>
      <w:r>
        <w:fldChar w:fldCharType="begin"/>
      </w:r>
      <w:r>
        <w:instrText xml:space="preserve"> HYPERLINK \l "_Toc17695" </w:instrText>
      </w:r>
      <w:r>
        <w:fldChar w:fldCharType="separate"/>
      </w:r>
      <w:r>
        <w:rPr>
          <w:rFonts w:hint="eastAsia" w:ascii="宋体" w:hAnsi="宋体" w:eastAsia="宋体" w:cs="宋体"/>
          <w:b/>
          <w:sz w:val="21"/>
          <w:szCs w:val="21"/>
        </w:rPr>
        <w:t>二、火灾、爆炸事故专项应急救援预案</w:t>
      </w:r>
      <w:r>
        <w:rPr>
          <w:rFonts w:hint="eastAsia" w:ascii="宋体" w:hAnsi="宋体" w:eastAsia="宋体" w:cs="宋体"/>
          <w:b/>
          <w:sz w:val="21"/>
          <w:szCs w:val="21"/>
        </w:rPr>
        <w:tab/>
      </w:r>
      <w:r>
        <w:rPr>
          <w:rFonts w:hint="eastAsia" w:ascii="宋体" w:hAnsi="宋体" w:eastAsia="宋体" w:cs="宋体"/>
          <w:b/>
          <w:sz w:val="21"/>
          <w:szCs w:val="21"/>
        </w:rPr>
        <w:t>75</w:t>
      </w:r>
      <w:r>
        <w:rPr>
          <w:rFonts w:hint="eastAsia" w:ascii="宋体" w:hAnsi="宋体" w:eastAsia="宋体" w:cs="宋体"/>
          <w:b/>
          <w:sz w:val="21"/>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"_Toc12924" </w:instrText>
      </w:r>
      <w:r>
        <w:fldChar w:fldCharType="separate"/>
      </w:r>
      <w:r>
        <w:rPr>
          <w:rFonts w:hint="eastAsia" w:ascii="宋体" w:hAnsi="宋体" w:eastAsia="宋体" w:cs="宋体"/>
          <w:iCs w:val="0"/>
          <w:szCs w:val="21"/>
        </w:rPr>
        <w:t>2.1事故类型和危害程度分析</w:t>
      </w:r>
      <w:r>
        <w:rPr>
          <w:rFonts w:hint="eastAsia" w:ascii="宋体" w:hAnsi="宋体" w:eastAsia="宋体" w:cs="宋体"/>
          <w:iCs w:val="0"/>
          <w:szCs w:val="21"/>
        </w:rPr>
        <w:tab/>
      </w:r>
      <w:r>
        <w:rPr>
          <w:rFonts w:hint="eastAsia" w:ascii="宋体" w:hAnsi="宋体" w:eastAsia="宋体" w:cs="宋体"/>
          <w:iCs w:val="0"/>
          <w:szCs w:val="21"/>
        </w:rPr>
        <w:t>75</w:t>
      </w:r>
      <w:r>
        <w:rPr>
          <w:rFonts w:hint="eastAsia" w:ascii="宋体" w:hAnsi="宋体" w:eastAsia="宋体" w:cs="宋体"/>
          <w:iCs w:val="0"/>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"_Toc18315" </w:instrText>
      </w:r>
      <w:r>
        <w:fldChar w:fldCharType="separate"/>
      </w:r>
      <w:r>
        <w:rPr>
          <w:rFonts w:hint="eastAsia" w:ascii="宋体" w:hAnsi="宋体" w:cs="宋体"/>
          <w:szCs w:val="21"/>
        </w:rPr>
        <w:t>2.1.1理化性质分析</w:t>
      </w:r>
      <w:r>
        <w:rPr>
          <w:rFonts w:hint="eastAsia" w:ascii="宋体" w:hAnsi="宋体" w:cs="宋体"/>
          <w:szCs w:val="21"/>
        </w:rPr>
        <w:tab/>
      </w:r>
      <w:r>
        <w:rPr>
          <w:rFonts w:hint="eastAsia" w:ascii="宋体" w:hAnsi="宋体" w:cs="宋体"/>
          <w:szCs w:val="21"/>
        </w:rPr>
        <w:t>75</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"_Toc17690" </w:instrText>
      </w:r>
      <w:r>
        <w:fldChar w:fldCharType="separate"/>
      </w:r>
      <w:r>
        <w:rPr>
          <w:rFonts w:hint="eastAsia" w:ascii="宋体" w:hAnsi="宋体" w:cs="宋体"/>
          <w:szCs w:val="21"/>
        </w:rPr>
        <w:t>2.1.2危险特性分析</w:t>
      </w:r>
      <w:r>
        <w:rPr>
          <w:rFonts w:hint="eastAsia" w:ascii="宋体" w:hAnsi="宋体" w:cs="宋体"/>
          <w:szCs w:val="21"/>
        </w:rPr>
        <w:tab/>
      </w:r>
      <w:r>
        <w:rPr>
          <w:rFonts w:hint="eastAsia" w:ascii="宋体" w:hAnsi="宋体" w:cs="宋体"/>
          <w:szCs w:val="21"/>
        </w:rPr>
        <w:t>75</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"_Toc22958" </w:instrText>
      </w:r>
      <w:r>
        <w:fldChar w:fldCharType="separate"/>
      </w:r>
      <w:r>
        <w:rPr>
          <w:rFonts w:hint="eastAsia" w:ascii="宋体" w:hAnsi="宋体" w:cs="宋体"/>
          <w:szCs w:val="21"/>
        </w:rPr>
        <w:t>2.1.3 火灾危险分析</w:t>
      </w:r>
      <w:r>
        <w:rPr>
          <w:rFonts w:hint="eastAsia" w:ascii="宋体" w:hAnsi="宋体" w:cs="宋体"/>
          <w:szCs w:val="21"/>
        </w:rPr>
        <w:tab/>
      </w:r>
      <w:r>
        <w:rPr>
          <w:rFonts w:hint="eastAsia" w:ascii="宋体" w:hAnsi="宋体" w:cs="宋体"/>
          <w:szCs w:val="21"/>
        </w:rPr>
        <w:t>75</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"_Toc27100" </w:instrText>
      </w:r>
      <w:r>
        <w:fldChar w:fldCharType="separate"/>
      </w:r>
      <w:r>
        <w:rPr>
          <w:rFonts w:hint="eastAsia" w:ascii="宋体" w:hAnsi="宋体" w:cs="宋体"/>
          <w:szCs w:val="21"/>
        </w:rPr>
        <w:t>2.1.4 事故预防和应急措施分析</w:t>
      </w:r>
      <w:r>
        <w:rPr>
          <w:rFonts w:hint="eastAsia" w:ascii="宋体" w:hAnsi="宋体" w:cs="宋体"/>
          <w:szCs w:val="21"/>
        </w:rPr>
        <w:tab/>
      </w:r>
      <w:r>
        <w:rPr>
          <w:rFonts w:hint="eastAsia" w:ascii="宋体" w:hAnsi="宋体" w:cs="宋体"/>
          <w:szCs w:val="21"/>
        </w:rPr>
        <w:t>77</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"_Toc11904" </w:instrText>
      </w:r>
      <w:r>
        <w:fldChar w:fldCharType="separate"/>
      </w:r>
      <w:r>
        <w:rPr>
          <w:rFonts w:hint="eastAsia" w:ascii="宋体" w:hAnsi="宋体" w:cs="宋体"/>
          <w:szCs w:val="21"/>
        </w:rPr>
        <w:t>2.1.5 事故风险分析</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_Toc11904 </w:instrText>
      </w:r>
      <w:r>
        <w:rPr>
          <w:rFonts w:hint="eastAsia" w:ascii="宋体" w:hAnsi="宋体" w:cs="宋体"/>
          <w:szCs w:val="21"/>
        </w:rPr>
        <w:fldChar w:fldCharType="separate"/>
      </w:r>
      <w:r>
        <w:rPr>
          <w:rFonts w:hint="eastAsia" w:ascii="宋体" w:hAnsi="宋体" w:cs="宋体"/>
          <w:szCs w:val="21"/>
        </w:rPr>
        <w:t>79</w:t>
      </w:r>
      <w:r>
        <w:rPr>
          <w:rFonts w:hint="eastAsia" w:ascii="宋体" w:hAnsi="宋体" w:cs="宋体"/>
          <w:szCs w:val="21"/>
        </w:rPr>
        <w:fldChar w:fldCharType="end"/>
      </w:r>
      <w:r>
        <w:rPr>
          <w:rFonts w:hint="eastAsia" w:ascii="宋体" w:hAnsi="宋体" w:cs="宋体"/>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"_Toc9272" </w:instrText>
      </w:r>
      <w:r>
        <w:fldChar w:fldCharType="separate"/>
      </w:r>
      <w:r>
        <w:rPr>
          <w:rFonts w:hint="eastAsia" w:ascii="宋体" w:hAnsi="宋体" w:eastAsia="宋体" w:cs="宋体"/>
          <w:iCs w:val="0"/>
          <w:szCs w:val="21"/>
        </w:rPr>
        <w:t>2.2组织机构及职责</w:t>
      </w:r>
      <w:r>
        <w:rPr>
          <w:rFonts w:hint="eastAsia" w:ascii="宋体" w:hAnsi="宋体" w:eastAsia="宋体" w:cs="宋体"/>
          <w:iCs w:val="0"/>
          <w:szCs w:val="21"/>
        </w:rPr>
        <w:tab/>
      </w:r>
      <w:r>
        <w:rPr>
          <w:rFonts w:hint="eastAsia" w:ascii="宋体" w:hAnsi="宋体" w:eastAsia="宋体" w:cs="宋体"/>
          <w:iCs w:val="0"/>
          <w:szCs w:val="21"/>
        </w:rPr>
        <w:t>81</w:t>
      </w:r>
      <w:r>
        <w:rPr>
          <w:rFonts w:hint="eastAsia" w:ascii="宋体" w:hAnsi="宋体" w:eastAsia="宋体" w:cs="宋体"/>
          <w:iCs w:val="0"/>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"_Toc20118" </w:instrText>
      </w:r>
      <w:r>
        <w:fldChar w:fldCharType="separate"/>
      </w:r>
      <w:r>
        <w:rPr>
          <w:rFonts w:hint="eastAsia" w:ascii="宋体" w:hAnsi="宋体" w:eastAsia="宋体" w:cs="宋体"/>
          <w:iCs w:val="0"/>
          <w:szCs w:val="21"/>
        </w:rPr>
        <w:t>2.3处置程序</w:t>
      </w:r>
      <w:r>
        <w:rPr>
          <w:rFonts w:hint="eastAsia" w:ascii="宋体" w:hAnsi="宋体" w:eastAsia="宋体" w:cs="宋体"/>
          <w:iCs w:val="0"/>
          <w:szCs w:val="21"/>
        </w:rPr>
        <w:tab/>
      </w:r>
      <w:r>
        <w:rPr>
          <w:rFonts w:hint="eastAsia" w:ascii="宋体" w:hAnsi="宋体" w:eastAsia="宋体" w:cs="宋体"/>
          <w:iCs w:val="0"/>
          <w:szCs w:val="21"/>
        </w:rPr>
        <w:t>83</w:t>
      </w:r>
      <w:r>
        <w:rPr>
          <w:rFonts w:hint="eastAsia" w:ascii="宋体" w:hAnsi="宋体" w:eastAsia="宋体" w:cs="宋体"/>
          <w:iCs w:val="0"/>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"_Toc27030" </w:instrText>
      </w:r>
      <w:r>
        <w:fldChar w:fldCharType="separate"/>
      </w:r>
      <w:r>
        <w:rPr>
          <w:rFonts w:hint="eastAsia" w:ascii="宋体" w:hAnsi="宋体" w:eastAsia="宋体" w:cs="宋体"/>
          <w:iCs w:val="0"/>
          <w:szCs w:val="21"/>
        </w:rPr>
        <w:t>2.4处置措施</w:t>
      </w:r>
      <w:r>
        <w:rPr>
          <w:rFonts w:hint="eastAsia" w:ascii="宋体" w:hAnsi="宋体" w:eastAsia="宋体" w:cs="宋体"/>
          <w:iCs w:val="0"/>
          <w:szCs w:val="21"/>
        </w:rPr>
        <w:tab/>
      </w:r>
      <w:r>
        <w:rPr>
          <w:rFonts w:hint="eastAsia" w:ascii="宋体" w:hAnsi="宋体" w:eastAsia="宋体" w:cs="宋体"/>
          <w:iCs w:val="0"/>
          <w:szCs w:val="21"/>
        </w:rPr>
        <w:t>84</w:t>
      </w:r>
      <w:r>
        <w:rPr>
          <w:rFonts w:hint="eastAsia" w:ascii="宋体" w:hAnsi="宋体" w:eastAsia="宋体" w:cs="宋体"/>
          <w:iCs w:val="0"/>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"_Toc21561" </w:instrText>
      </w:r>
      <w:r>
        <w:fldChar w:fldCharType="separate"/>
      </w:r>
      <w:r>
        <w:rPr>
          <w:rFonts w:hint="eastAsia" w:ascii="宋体" w:hAnsi="宋体" w:cs="宋体"/>
          <w:szCs w:val="21"/>
        </w:rPr>
        <w:t>2.4.1处置原则和要求</w:t>
      </w:r>
      <w:r>
        <w:rPr>
          <w:rFonts w:hint="eastAsia" w:ascii="宋体" w:hAnsi="宋体" w:cs="宋体"/>
          <w:szCs w:val="21"/>
        </w:rPr>
        <w:tab/>
      </w:r>
      <w:r>
        <w:rPr>
          <w:rFonts w:hint="eastAsia" w:ascii="宋体" w:hAnsi="宋体" w:cs="宋体"/>
          <w:szCs w:val="21"/>
        </w:rPr>
        <w:t>84</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"_Toc921" </w:instrText>
      </w:r>
      <w:r>
        <w:fldChar w:fldCharType="separate"/>
      </w:r>
      <w:r>
        <w:rPr>
          <w:rFonts w:hint="eastAsia" w:ascii="宋体" w:hAnsi="宋体" w:cs="宋体"/>
          <w:szCs w:val="21"/>
        </w:rPr>
        <w:t>2.4.2处置措施</w:t>
      </w:r>
      <w:r>
        <w:rPr>
          <w:rFonts w:hint="eastAsia" w:ascii="宋体" w:hAnsi="宋体" w:cs="宋体"/>
          <w:szCs w:val="21"/>
        </w:rPr>
        <w:tab/>
      </w:r>
      <w:r>
        <w:rPr>
          <w:rFonts w:hint="eastAsia" w:ascii="宋体" w:hAnsi="宋体" w:cs="宋体"/>
          <w:szCs w:val="21"/>
        </w:rPr>
        <w:t>85</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"_Toc274" </w:instrText>
      </w:r>
      <w:r>
        <w:fldChar w:fldCharType="separate"/>
      </w:r>
      <w:r>
        <w:rPr>
          <w:rFonts w:hint="eastAsia" w:ascii="宋体" w:hAnsi="宋体" w:cs="宋体"/>
          <w:szCs w:val="21"/>
        </w:rPr>
        <w:t>2.4.3后期处置措施</w:t>
      </w:r>
      <w:r>
        <w:rPr>
          <w:rFonts w:hint="eastAsia" w:ascii="宋体" w:hAnsi="宋体" w:cs="宋体"/>
          <w:szCs w:val="21"/>
        </w:rPr>
        <w:tab/>
      </w:r>
      <w:r>
        <w:rPr>
          <w:rFonts w:hint="eastAsia" w:ascii="宋体" w:hAnsi="宋体" w:cs="宋体"/>
          <w:szCs w:val="21"/>
        </w:rPr>
        <w:t>92</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"_Toc6538" </w:instrText>
      </w:r>
      <w:r>
        <w:fldChar w:fldCharType="separate"/>
      </w:r>
      <w:r>
        <w:rPr>
          <w:rFonts w:hint="eastAsia" w:ascii="宋体" w:hAnsi="宋体" w:cs="宋体"/>
          <w:szCs w:val="21"/>
        </w:rPr>
        <w:t>2.4.4实施注意事项</w:t>
      </w:r>
      <w:r>
        <w:rPr>
          <w:rFonts w:hint="eastAsia" w:ascii="宋体" w:hAnsi="宋体" w:cs="宋体"/>
          <w:szCs w:val="21"/>
        </w:rPr>
        <w:tab/>
      </w:r>
      <w:r>
        <w:rPr>
          <w:rFonts w:hint="eastAsia" w:ascii="宋体" w:hAnsi="宋体" w:cs="宋体"/>
          <w:szCs w:val="21"/>
        </w:rPr>
        <w:t>93</w:t>
      </w:r>
      <w:r>
        <w:rPr>
          <w:rFonts w:hint="eastAsia" w:ascii="宋体" w:hAnsi="宋体" w:cs="宋体"/>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"_Toc16997" </w:instrText>
      </w:r>
      <w:r>
        <w:fldChar w:fldCharType="separate"/>
      </w:r>
      <w:r>
        <w:rPr>
          <w:rFonts w:hint="eastAsia" w:ascii="宋体" w:hAnsi="宋体" w:eastAsia="宋体" w:cs="宋体"/>
          <w:iCs w:val="0"/>
          <w:szCs w:val="21"/>
        </w:rPr>
        <w:t>2.5附则</w:t>
      </w:r>
      <w:r>
        <w:rPr>
          <w:rFonts w:hint="eastAsia" w:ascii="宋体" w:hAnsi="宋体" w:eastAsia="宋体" w:cs="宋体"/>
          <w:iCs w:val="0"/>
          <w:szCs w:val="21"/>
        </w:rPr>
        <w:tab/>
      </w:r>
      <w:r>
        <w:rPr>
          <w:rFonts w:hint="eastAsia" w:ascii="宋体" w:hAnsi="宋体" w:eastAsia="宋体" w:cs="宋体"/>
          <w:iCs w:val="0"/>
          <w:szCs w:val="21"/>
        </w:rPr>
        <w:t>94</w:t>
      </w:r>
      <w:r>
        <w:rPr>
          <w:rFonts w:hint="eastAsia" w:ascii="宋体" w:hAnsi="宋体" w:eastAsia="宋体" w:cs="宋体"/>
          <w:iCs w:val="0"/>
          <w:szCs w:val="21"/>
        </w:rPr>
        <w:fldChar w:fldCharType="end"/>
      </w:r>
    </w:p>
    <w:p>
      <w:pPr>
        <w:pStyle w:val="23"/>
        <w:tabs>
          <w:tab w:val="right" w:leader="dot" w:pos="8669"/>
        </w:tabs>
        <w:spacing w:before="0" w:after="0" w:line="300" w:lineRule="exact"/>
        <w:rPr>
          <w:rFonts w:ascii="宋体" w:hAnsi="宋体" w:eastAsia="宋体" w:cs="宋体"/>
          <w:b/>
          <w:sz w:val="21"/>
          <w:szCs w:val="21"/>
        </w:rPr>
      </w:pPr>
      <w:r>
        <w:fldChar w:fldCharType="begin"/>
      </w:r>
      <w:r>
        <w:instrText xml:space="preserve"> HYPERLINK \l "_Toc16956" </w:instrText>
      </w:r>
      <w:r>
        <w:fldChar w:fldCharType="separate"/>
      </w:r>
      <w:r>
        <w:rPr>
          <w:rFonts w:hint="eastAsia" w:ascii="宋体" w:hAnsi="宋体" w:eastAsia="宋体" w:cs="宋体"/>
          <w:b/>
          <w:sz w:val="21"/>
          <w:szCs w:val="21"/>
        </w:rPr>
        <w:t>三、自然灾害专项应急预案</w:t>
      </w:r>
      <w:r>
        <w:rPr>
          <w:rFonts w:hint="eastAsia" w:ascii="宋体" w:hAnsi="宋体" w:eastAsia="宋体" w:cs="宋体"/>
          <w:b/>
          <w:sz w:val="21"/>
          <w:szCs w:val="21"/>
        </w:rPr>
        <w:tab/>
      </w:r>
      <w:r>
        <w:rPr>
          <w:rFonts w:hint="eastAsia" w:ascii="宋体" w:hAnsi="宋体" w:eastAsia="宋体" w:cs="宋体"/>
          <w:b/>
          <w:sz w:val="21"/>
          <w:szCs w:val="21"/>
        </w:rPr>
        <w:t>95</w:t>
      </w:r>
      <w:r>
        <w:rPr>
          <w:rFonts w:hint="eastAsia" w:ascii="宋体" w:hAnsi="宋体" w:eastAsia="宋体" w:cs="宋体"/>
          <w:b/>
          <w:sz w:val="21"/>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"_Toc8176" </w:instrText>
      </w:r>
      <w:r>
        <w:fldChar w:fldCharType="separate"/>
      </w:r>
      <w:r>
        <w:rPr>
          <w:rFonts w:hint="eastAsia" w:ascii="宋体" w:hAnsi="宋体" w:eastAsia="宋体" w:cs="宋体"/>
          <w:iCs w:val="0"/>
          <w:szCs w:val="21"/>
        </w:rPr>
        <w:t>3.1 事故风险分析</w:t>
      </w:r>
      <w:r>
        <w:rPr>
          <w:rFonts w:hint="eastAsia" w:ascii="宋体" w:hAnsi="宋体" w:eastAsia="宋体" w:cs="宋体"/>
          <w:iCs w:val="0"/>
          <w:szCs w:val="21"/>
        </w:rPr>
        <w:tab/>
      </w:r>
      <w:r>
        <w:rPr>
          <w:rFonts w:hint="eastAsia" w:ascii="宋体" w:hAnsi="宋体" w:eastAsia="宋体" w:cs="宋体"/>
          <w:iCs w:val="0"/>
          <w:szCs w:val="21"/>
        </w:rPr>
        <w:t>95</w:t>
      </w:r>
      <w:r>
        <w:rPr>
          <w:rFonts w:hint="eastAsia" w:ascii="宋体" w:hAnsi="宋体" w:eastAsia="宋体" w:cs="宋体"/>
          <w:iCs w:val="0"/>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"_Toc18910" </w:instrText>
      </w:r>
      <w:r>
        <w:fldChar w:fldCharType="separate"/>
      </w:r>
      <w:r>
        <w:rPr>
          <w:rFonts w:hint="eastAsia" w:ascii="宋体" w:hAnsi="宋体" w:eastAsia="宋体" w:cs="宋体"/>
          <w:iCs w:val="0"/>
          <w:szCs w:val="21"/>
        </w:rPr>
        <w:t>3.2 应急指挥机构及职责</w:t>
      </w:r>
      <w:r>
        <w:rPr>
          <w:rFonts w:hint="eastAsia" w:ascii="宋体" w:hAnsi="宋体" w:eastAsia="宋体" w:cs="宋体"/>
          <w:iCs w:val="0"/>
          <w:szCs w:val="21"/>
        </w:rPr>
        <w:tab/>
      </w:r>
      <w:r>
        <w:rPr>
          <w:rFonts w:hint="eastAsia" w:ascii="宋体" w:hAnsi="宋体" w:eastAsia="宋体" w:cs="宋体"/>
          <w:iCs w:val="0"/>
          <w:szCs w:val="21"/>
        </w:rPr>
        <w:t>95</w:t>
      </w:r>
      <w:r>
        <w:rPr>
          <w:rFonts w:hint="eastAsia" w:ascii="宋体" w:hAnsi="宋体" w:eastAsia="宋体" w:cs="宋体"/>
          <w:iCs w:val="0"/>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"_Toc13027" </w:instrText>
      </w:r>
      <w:r>
        <w:fldChar w:fldCharType="separate"/>
      </w:r>
      <w:r>
        <w:rPr>
          <w:rFonts w:hint="eastAsia" w:ascii="宋体" w:hAnsi="宋体" w:cs="宋体"/>
          <w:szCs w:val="21"/>
        </w:rPr>
        <w:t>3.2.1指挥部组成及设置</w:t>
      </w:r>
      <w:r>
        <w:rPr>
          <w:rFonts w:hint="eastAsia" w:ascii="宋体" w:hAnsi="宋体" w:cs="宋体"/>
          <w:szCs w:val="21"/>
        </w:rPr>
        <w:tab/>
      </w:r>
      <w:r>
        <w:rPr>
          <w:rFonts w:hint="eastAsia" w:ascii="宋体" w:hAnsi="宋体" w:cs="宋体"/>
          <w:szCs w:val="21"/>
        </w:rPr>
        <w:t>95</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"_Toc29594" </w:instrText>
      </w:r>
      <w:r>
        <w:fldChar w:fldCharType="separate"/>
      </w:r>
      <w:r>
        <w:rPr>
          <w:rFonts w:hint="eastAsia" w:ascii="宋体" w:hAnsi="宋体" w:cs="宋体"/>
          <w:szCs w:val="21"/>
        </w:rPr>
        <w:t>3.2.2组织机构职责</w:t>
      </w:r>
      <w:r>
        <w:rPr>
          <w:rFonts w:hint="eastAsia" w:ascii="宋体" w:hAnsi="宋体" w:cs="宋体"/>
          <w:szCs w:val="21"/>
        </w:rPr>
        <w:tab/>
      </w:r>
      <w:r>
        <w:rPr>
          <w:rFonts w:hint="eastAsia" w:ascii="宋体" w:hAnsi="宋体" w:cs="宋体"/>
          <w:szCs w:val="21"/>
        </w:rPr>
        <w:t>95</w:t>
      </w:r>
      <w:r>
        <w:rPr>
          <w:rFonts w:hint="eastAsia" w:ascii="宋体" w:hAnsi="宋体" w:cs="宋体"/>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"_Toc28053" </w:instrText>
      </w:r>
      <w:r>
        <w:fldChar w:fldCharType="separate"/>
      </w:r>
      <w:r>
        <w:rPr>
          <w:rFonts w:hint="eastAsia" w:ascii="宋体" w:hAnsi="宋体" w:eastAsia="宋体" w:cs="宋体"/>
          <w:iCs w:val="0"/>
          <w:szCs w:val="21"/>
        </w:rPr>
        <w:t>3.3处置程序</w:t>
      </w:r>
      <w:r>
        <w:rPr>
          <w:rFonts w:hint="eastAsia" w:ascii="宋体" w:hAnsi="宋体" w:eastAsia="宋体" w:cs="宋体"/>
          <w:iCs w:val="0"/>
          <w:szCs w:val="21"/>
        </w:rPr>
        <w:tab/>
      </w:r>
      <w:r>
        <w:rPr>
          <w:rFonts w:hint="eastAsia" w:ascii="宋体" w:hAnsi="宋体" w:eastAsia="宋体" w:cs="宋体"/>
          <w:iCs w:val="0"/>
          <w:szCs w:val="21"/>
        </w:rPr>
        <w:t>95</w:t>
      </w:r>
      <w:r>
        <w:rPr>
          <w:rFonts w:hint="eastAsia" w:ascii="宋体" w:hAnsi="宋体" w:eastAsia="宋体" w:cs="宋体"/>
          <w:iCs w:val="0"/>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"_Toc31987" </w:instrText>
      </w:r>
      <w:r>
        <w:fldChar w:fldCharType="separate"/>
      </w:r>
      <w:r>
        <w:rPr>
          <w:rFonts w:hint="eastAsia" w:ascii="宋体" w:hAnsi="宋体" w:cs="宋体"/>
          <w:szCs w:val="21"/>
        </w:rPr>
        <w:t>3.3.1 预警行动</w:t>
      </w:r>
      <w:r>
        <w:rPr>
          <w:rFonts w:hint="eastAsia" w:ascii="宋体" w:hAnsi="宋体" w:cs="宋体"/>
          <w:szCs w:val="21"/>
        </w:rPr>
        <w:tab/>
      </w:r>
      <w:r>
        <w:rPr>
          <w:rFonts w:hint="eastAsia" w:ascii="宋体" w:hAnsi="宋体" w:cs="宋体"/>
          <w:szCs w:val="21"/>
        </w:rPr>
        <w:t>95</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"_Toc478" </w:instrText>
      </w:r>
      <w:r>
        <w:fldChar w:fldCharType="separate"/>
      </w:r>
      <w:r>
        <w:rPr>
          <w:rFonts w:hint="eastAsia" w:ascii="宋体" w:hAnsi="宋体" w:cs="宋体"/>
          <w:szCs w:val="21"/>
        </w:rPr>
        <w:t>3.3.2 信息报告</w:t>
      </w:r>
      <w:r>
        <w:rPr>
          <w:rFonts w:hint="eastAsia" w:ascii="宋体" w:hAnsi="宋体" w:cs="宋体"/>
          <w:szCs w:val="21"/>
        </w:rPr>
        <w:tab/>
      </w:r>
      <w:r>
        <w:rPr>
          <w:rFonts w:hint="eastAsia" w:ascii="宋体" w:hAnsi="宋体" w:cs="宋体"/>
          <w:szCs w:val="21"/>
        </w:rPr>
        <w:t>96</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"_Toc6457" </w:instrText>
      </w:r>
      <w:r>
        <w:fldChar w:fldCharType="separate"/>
      </w:r>
      <w:r>
        <w:rPr>
          <w:rFonts w:hint="eastAsia" w:ascii="宋体" w:hAnsi="宋体" w:cs="宋体"/>
          <w:szCs w:val="21"/>
        </w:rPr>
        <w:t>3.3.3响应程序</w:t>
      </w:r>
      <w:r>
        <w:rPr>
          <w:rFonts w:hint="eastAsia" w:ascii="宋体" w:hAnsi="宋体" w:cs="宋体"/>
          <w:szCs w:val="21"/>
        </w:rPr>
        <w:tab/>
      </w:r>
      <w:r>
        <w:rPr>
          <w:rFonts w:hint="eastAsia" w:ascii="宋体" w:hAnsi="宋体" w:cs="宋体"/>
          <w:szCs w:val="21"/>
        </w:rPr>
        <w:t>97</w:t>
      </w:r>
      <w:r>
        <w:rPr>
          <w:rFonts w:hint="eastAsia" w:ascii="宋体" w:hAnsi="宋体" w:cs="宋体"/>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"_Toc25408" </w:instrText>
      </w:r>
      <w:r>
        <w:fldChar w:fldCharType="separate"/>
      </w:r>
      <w:r>
        <w:rPr>
          <w:rFonts w:hint="eastAsia" w:ascii="宋体" w:hAnsi="宋体" w:eastAsia="宋体" w:cs="宋体"/>
          <w:iCs w:val="0"/>
          <w:szCs w:val="21"/>
        </w:rPr>
        <w:t>3.4 处置措施</w:t>
      </w:r>
      <w:r>
        <w:rPr>
          <w:rFonts w:hint="eastAsia" w:ascii="宋体" w:hAnsi="宋体" w:eastAsia="宋体" w:cs="宋体"/>
          <w:iCs w:val="0"/>
          <w:szCs w:val="21"/>
        </w:rPr>
        <w:tab/>
      </w:r>
      <w:r>
        <w:rPr>
          <w:rFonts w:hint="eastAsia" w:ascii="宋体" w:hAnsi="宋体" w:eastAsia="宋体" w:cs="宋体"/>
          <w:iCs w:val="0"/>
          <w:szCs w:val="21"/>
        </w:rPr>
        <w:t>98</w:t>
      </w:r>
      <w:r>
        <w:rPr>
          <w:rFonts w:hint="eastAsia" w:ascii="宋体" w:hAnsi="宋体" w:eastAsia="宋体" w:cs="宋体"/>
          <w:iCs w:val="0"/>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"_Toc3479" </w:instrText>
      </w:r>
      <w:r>
        <w:fldChar w:fldCharType="separate"/>
      </w:r>
      <w:r>
        <w:rPr>
          <w:rFonts w:hint="eastAsia" w:ascii="宋体" w:hAnsi="宋体" w:cs="宋体"/>
          <w:bCs/>
          <w:szCs w:val="21"/>
        </w:rPr>
        <w:t>3.4.1防雷安全预防措施</w:t>
      </w:r>
      <w:r>
        <w:rPr>
          <w:rFonts w:hint="eastAsia" w:ascii="宋体" w:hAnsi="宋体" w:cs="宋体"/>
          <w:szCs w:val="21"/>
        </w:rPr>
        <w:tab/>
      </w:r>
      <w:r>
        <w:rPr>
          <w:rFonts w:hint="eastAsia" w:ascii="宋体" w:hAnsi="宋体" w:cs="宋体"/>
          <w:szCs w:val="21"/>
        </w:rPr>
        <w:t>100</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"_Toc2877" </w:instrText>
      </w:r>
      <w:r>
        <w:fldChar w:fldCharType="separate"/>
      </w:r>
      <w:r>
        <w:rPr>
          <w:rFonts w:hint="eastAsia" w:ascii="宋体" w:hAnsi="宋体" w:cs="宋体"/>
          <w:bCs/>
          <w:szCs w:val="21"/>
        </w:rPr>
        <w:t>3.4.2 防雷处置措施</w:t>
      </w:r>
      <w:r>
        <w:rPr>
          <w:rFonts w:hint="eastAsia" w:ascii="宋体" w:hAnsi="宋体" w:cs="宋体"/>
          <w:szCs w:val="21"/>
        </w:rPr>
        <w:tab/>
      </w:r>
      <w:r>
        <w:rPr>
          <w:rFonts w:hint="eastAsia" w:ascii="宋体" w:hAnsi="宋体" w:cs="宋体"/>
          <w:szCs w:val="21"/>
        </w:rPr>
        <w:t>101</w:t>
      </w:r>
      <w:r>
        <w:rPr>
          <w:rFonts w:hint="eastAsia" w:ascii="宋体" w:hAnsi="宋体" w:cs="宋体"/>
          <w:szCs w:val="21"/>
        </w:rPr>
        <w:fldChar w:fldCharType="end"/>
      </w:r>
    </w:p>
    <w:p>
      <w:pPr>
        <w:pStyle w:val="17"/>
        <w:tabs>
          <w:tab w:val="right" w:leader="dot" w:pos="8669"/>
        </w:tabs>
        <w:spacing w:line="300" w:lineRule="exact"/>
        <w:rPr>
          <w:rFonts w:ascii="宋体" w:hAnsi="宋体" w:cs="宋体"/>
          <w:bCs/>
          <w:kern w:val="44"/>
          <w:szCs w:val="21"/>
        </w:rPr>
      </w:pPr>
      <w:r>
        <w:fldChar w:fldCharType="begin"/>
      </w:r>
      <w:r>
        <w:instrText xml:space="preserve"> HYPERLINK \l "_Toc6782" </w:instrText>
      </w:r>
      <w:r>
        <w:fldChar w:fldCharType="separate"/>
      </w:r>
      <w:r>
        <w:rPr>
          <w:rFonts w:hint="eastAsia" w:ascii="宋体" w:hAnsi="宋体" w:cs="宋体"/>
          <w:bCs/>
          <w:szCs w:val="21"/>
        </w:rPr>
        <w:t>3.4.2 注意事项</w:t>
      </w:r>
      <w:r>
        <w:rPr>
          <w:rFonts w:hint="eastAsia" w:ascii="宋体" w:hAnsi="宋体" w:cs="宋体"/>
          <w:szCs w:val="21"/>
        </w:rPr>
        <w:tab/>
      </w:r>
      <w:r>
        <w:rPr>
          <w:rFonts w:hint="eastAsia" w:ascii="宋体" w:hAnsi="宋体" w:cs="宋体"/>
          <w:szCs w:val="21"/>
        </w:rPr>
        <w:t>102</w:t>
      </w:r>
      <w:r>
        <w:rPr>
          <w:rFonts w:hint="eastAsia" w:ascii="宋体" w:hAnsi="宋体" w:cs="宋体"/>
          <w:szCs w:val="21"/>
        </w:rPr>
        <w:fldChar w:fldCharType="end"/>
      </w:r>
    </w:p>
    <w:p>
      <w:pPr>
        <w:pStyle w:val="23"/>
        <w:tabs>
          <w:tab w:val="right" w:leader="dot" w:pos="8669"/>
        </w:tabs>
        <w:spacing w:before="0" w:after="0" w:line="300" w:lineRule="exact"/>
        <w:ind w:firstLine="240" w:firstLineChars="100"/>
        <w:rPr>
          <w:rFonts w:ascii="宋体" w:hAnsi="宋体" w:eastAsia="宋体" w:cs="宋体"/>
          <w:kern w:val="44"/>
          <w:sz w:val="21"/>
          <w:szCs w:val="21"/>
        </w:rPr>
      </w:pPr>
      <w:r>
        <w:fldChar w:fldCharType="begin"/>
      </w:r>
      <w:r>
        <w:instrText xml:space="preserve"> HYPERLINK \l "_Toc25408" </w:instrText>
      </w:r>
      <w:r>
        <w:fldChar w:fldCharType="separate"/>
      </w:r>
      <w:r>
        <w:rPr>
          <w:rFonts w:hint="eastAsia" w:ascii="宋体" w:hAnsi="宋体" w:eastAsia="宋体" w:cs="宋体"/>
          <w:bCs w:val="0"/>
          <w:sz w:val="21"/>
          <w:szCs w:val="21"/>
        </w:rPr>
        <w:t>3.5 附则</w:t>
      </w:r>
      <w:r>
        <w:rPr>
          <w:rFonts w:hint="eastAsia" w:ascii="宋体" w:hAnsi="宋体" w:eastAsia="宋体" w:cs="宋体"/>
          <w:sz w:val="21"/>
          <w:szCs w:val="21"/>
        </w:rPr>
        <w:tab/>
      </w:r>
      <w:r>
        <w:rPr>
          <w:rFonts w:hint="eastAsia" w:ascii="宋体" w:hAnsi="宋体" w:eastAsia="宋体" w:cs="宋体"/>
          <w:sz w:val="21"/>
          <w:szCs w:val="21"/>
        </w:rPr>
        <w:t>102</w:t>
      </w:r>
      <w:r>
        <w:rPr>
          <w:rFonts w:hint="eastAsia" w:ascii="宋体" w:hAnsi="宋体" w:eastAsia="宋体" w:cs="宋体"/>
          <w:sz w:val="21"/>
          <w:szCs w:val="21"/>
        </w:rPr>
        <w:fldChar w:fldCharType="end"/>
      </w:r>
    </w:p>
    <w:p>
      <w:pPr>
        <w:pStyle w:val="23"/>
        <w:tabs>
          <w:tab w:val="right" w:leader="dot" w:pos="8669"/>
        </w:tabs>
        <w:spacing w:before="0" w:after="0" w:line="300" w:lineRule="exact"/>
        <w:rPr>
          <w:rFonts w:ascii="宋体" w:hAnsi="宋体" w:eastAsia="宋体" w:cs="宋体"/>
          <w:b/>
          <w:sz w:val="21"/>
          <w:szCs w:val="21"/>
        </w:rPr>
      </w:pPr>
      <w:r>
        <w:fldChar w:fldCharType="begin"/>
      </w:r>
      <w:r>
        <w:instrText xml:space="preserve"> HYPERLINK \l "_Toc16956" </w:instrText>
      </w:r>
      <w:r>
        <w:fldChar w:fldCharType="separate"/>
      </w:r>
      <w:r>
        <w:rPr>
          <w:rFonts w:hint="eastAsia" w:ascii="宋体" w:hAnsi="宋体" w:eastAsia="宋体" w:cs="宋体"/>
          <w:b/>
          <w:kern w:val="44"/>
          <w:sz w:val="21"/>
          <w:szCs w:val="21"/>
        </w:rPr>
        <w:t>四</w:t>
      </w:r>
      <w:r>
        <w:rPr>
          <w:rFonts w:hint="eastAsia" w:ascii="宋体" w:hAnsi="宋体" w:eastAsia="宋体" w:cs="宋体"/>
          <w:b/>
          <w:sz w:val="21"/>
          <w:szCs w:val="21"/>
        </w:rPr>
        <w:t>、社会治安及防恐反恐专项应急预案</w:t>
      </w:r>
      <w:r>
        <w:rPr>
          <w:rFonts w:hint="eastAsia" w:ascii="宋体" w:hAnsi="宋体" w:eastAsia="宋体" w:cs="宋体"/>
          <w:b/>
          <w:sz w:val="21"/>
          <w:szCs w:val="21"/>
        </w:rPr>
        <w:tab/>
      </w:r>
      <w:r>
        <w:rPr>
          <w:rFonts w:hint="eastAsia" w:ascii="宋体" w:hAnsi="宋体" w:eastAsia="宋体" w:cs="宋体"/>
          <w:b/>
          <w:sz w:val="21"/>
          <w:szCs w:val="21"/>
        </w:rPr>
        <w:t>103</w:t>
      </w:r>
      <w:r>
        <w:rPr>
          <w:rFonts w:hint="eastAsia" w:ascii="宋体" w:hAnsi="宋体" w:eastAsia="宋体" w:cs="宋体"/>
          <w:b/>
          <w:sz w:val="21"/>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"_Toc8176" </w:instrText>
      </w:r>
      <w:r>
        <w:fldChar w:fldCharType="separate"/>
      </w:r>
      <w:r>
        <w:rPr>
          <w:rFonts w:hint="eastAsia" w:ascii="宋体" w:hAnsi="宋体" w:eastAsia="宋体" w:cs="宋体"/>
          <w:iCs w:val="0"/>
          <w:szCs w:val="21"/>
        </w:rPr>
        <w:t>4.1 事故风险分析</w:t>
      </w:r>
      <w:r>
        <w:rPr>
          <w:rFonts w:hint="eastAsia" w:ascii="宋体" w:hAnsi="宋体" w:eastAsia="宋体" w:cs="宋体"/>
          <w:iCs w:val="0"/>
          <w:szCs w:val="21"/>
        </w:rPr>
        <w:tab/>
      </w:r>
      <w:r>
        <w:rPr>
          <w:rFonts w:hint="eastAsia" w:ascii="宋体" w:hAnsi="宋体" w:eastAsia="宋体" w:cs="宋体"/>
          <w:iCs w:val="0"/>
          <w:szCs w:val="21"/>
        </w:rPr>
        <w:t>103</w:t>
      </w:r>
      <w:r>
        <w:rPr>
          <w:rFonts w:hint="eastAsia" w:ascii="宋体" w:hAnsi="宋体" w:eastAsia="宋体" w:cs="宋体"/>
          <w:iCs w:val="0"/>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"_Toc18910" </w:instrText>
      </w:r>
      <w:r>
        <w:fldChar w:fldCharType="separate"/>
      </w:r>
      <w:r>
        <w:rPr>
          <w:rFonts w:hint="eastAsia" w:ascii="宋体" w:hAnsi="宋体" w:eastAsia="宋体" w:cs="宋体"/>
          <w:iCs w:val="0"/>
          <w:szCs w:val="21"/>
        </w:rPr>
        <w:t>4.2 应急指挥机构及职责</w:t>
      </w:r>
      <w:r>
        <w:rPr>
          <w:rFonts w:hint="eastAsia" w:ascii="宋体" w:hAnsi="宋体" w:eastAsia="宋体" w:cs="宋体"/>
          <w:iCs w:val="0"/>
          <w:szCs w:val="21"/>
        </w:rPr>
        <w:tab/>
      </w:r>
      <w:r>
        <w:rPr>
          <w:rFonts w:hint="eastAsia" w:ascii="宋体" w:hAnsi="宋体" w:eastAsia="宋体" w:cs="宋体"/>
          <w:iCs w:val="0"/>
          <w:szCs w:val="21"/>
        </w:rPr>
        <w:t>103</w:t>
      </w:r>
      <w:r>
        <w:rPr>
          <w:rFonts w:hint="eastAsia" w:ascii="宋体" w:hAnsi="宋体" w:eastAsia="宋体" w:cs="宋体"/>
          <w:iCs w:val="0"/>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"_Toc13027" </w:instrText>
      </w:r>
      <w:r>
        <w:fldChar w:fldCharType="separate"/>
      </w:r>
      <w:r>
        <w:rPr>
          <w:rFonts w:hint="eastAsia" w:ascii="宋体" w:hAnsi="宋体" w:cs="宋体"/>
          <w:szCs w:val="21"/>
        </w:rPr>
        <w:t>4.2.1指挥部组成及设置</w:t>
      </w:r>
      <w:r>
        <w:rPr>
          <w:rFonts w:hint="eastAsia" w:ascii="宋体" w:hAnsi="宋体" w:cs="宋体"/>
          <w:szCs w:val="21"/>
        </w:rPr>
        <w:tab/>
      </w:r>
      <w:r>
        <w:rPr>
          <w:rFonts w:hint="eastAsia" w:ascii="宋体" w:hAnsi="宋体" w:cs="宋体"/>
          <w:szCs w:val="21"/>
        </w:rPr>
        <w:t>103</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"_Toc29594" </w:instrText>
      </w:r>
      <w:r>
        <w:fldChar w:fldCharType="separate"/>
      </w:r>
      <w:r>
        <w:rPr>
          <w:rFonts w:hint="eastAsia" w:ascii="宋体" w:hAnsi="宋体" w:cs="宋体"/>
          <w:szCs w:val="21"/>
        </w:rPr>
        <w:t>4.2.2组织机构职责</w:t>
      </w:r>
      <w:r>
        <w:rPr>
          <w:rFonts w:hint="eastAsia" w:ascii="宋体" w:hAnsi="宋体" w:cs="宋体"/>
          <w:szCs w:val="21"/>
        </w:rPr>
        <w:tab/>
      </w:r>
      <w:r>
        <w:rPr>
          <w:rFonts w:hint="eastAsia" w:ascii="宋体" w:hAnsi="宋体" w:cs="宋体"/>
          <w:szCs w:val="21"/>
        </w:rPr>
        <w:t>103</w:t>
      </w:r>
      <w:r>
        <w:rPr>
          <w:rFonts w:hint="eastAsia" w:ascii="宋体" w:hAnsi="宋体" w:cs="宋体"/>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"_Toc28053" </w:instrText>
      </w:r>
      <w:r>
        <w:fldChar w:fldCharType="separate"/>
      </w:r>
      <w:r>
        <w:rPr>
          <w:rFonts w:hint="eastAsia" w:ascii="宋体" w:hAnsi="宋体" w:eastAsia="宋体" w:cs="宋体"/>
          <w:iCs w:val="0"/>
          <w:szCs w:val="21"/>
        </w:rPr>
        <w:t>4.3处置程序</w:t>
      </w:r>
      <w:r>
        <w:rPr>
          <w:rFonts w:hint="eastAsia" w:ascii="宋体" w:hAnsi="宋体" w:eastAsia="宋体" w:cs="宋体"/>
          <w:iCs w:val="0"/>
          <w:szCs w:val="21"/>
        </w:rPr>
        <w:tab/>
      </w:r>
      <w:r>
        <w:rPr>
          <w:rFonts w:hint="eastAsia" w:ascii="宋体" w:hAnsi="宋体" w:eastAsia="宋体" w:cs="宋体"/>
          <w:iCs w:val="0"/>
          <w:szCs w:val="21"/>
        </w:rPr>
        <w:t>103</w:t>
      </w:r>
      <w:r>
        <w:rPr>
          <w:rFonts w:hint="eastAsia" w:ascii="宋体" w:hAnsi="宋体" w:eastAsia="宋体" w:cs="宋体"/>
          <w:iCs w:val="0"/>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"_Toc31987" </w:instrText>
      </w:r>
      <w:r>
        <w:fldChar w:fldCharType="separate"/>
      </w:r>
      <w:r>
        <w:rPr>
          <w:rFonts w:hint="eastAsia" w:ascii="宋体" w:hAnsi="宋体" w:cs="宋体"/>
          <w:szCs w:val="21"/>
        </w:rPr>
        <w:t>4.3.1 预警行动</w:t>
      </w:r>
      <w:r>
        <w:rPr>
          <w:rFonts w:hint="eastAsia" w:ascii="宋体" w:hAnsi="宋体" w:cs="宋体"/>
          <w:szCs w:val="21"/>
        </w:rPr>
        <w:tab/>
      </w:r>
      <w:r>
        <w:rPr>
          <w:rFonts w:hint="eastAsia" w:ascii="宋体" w:hAnsi="宋体" w:cs="宋体"/>
          <w:szCs w:val="21"/>
        </w:rPr>
        <w:t>103</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"_Toc478" </w:instrText>
      </w:r>
      <w:r>
        <w:fldChar w:fldCharType="separate"/>
      </w:r>
      <w:r>
        <w:rPr>
          <w:rFonts w:hint="eastAsia" w:ascii="宋体" w:hAnsi="宋体" w:cs="宋体"/>
          <w:szCs w:val="21"/>
        </w:rPr>
        <w:t>4.3.2 信息报告</w:t>
      </w:r>
      <w:r>
        <w:rPr>
          <w:rFonts w:hint="eastAsia" w:ascii="宋体" w:hAnsi="宋体" w:cs="宋体"/>
          <w:szCs w:val="21"/>
        </w:rPr>
        <w:tab/>
      </w:r>
      <w:r>
        <w:rPr>
          <w:rFonts w:hint="eastAsia" w:ascii="宋体" w:hAnsi="宋体" w:cs="宋体"/>
          <w:szCs w:val="21"/>
        </w:rPr>
        <w:t>104</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"_Toc6457" </w:instrText>
      </w:r>
      <w:r>
        <w:fldChar w:fldCharType="separate"/>
      </w:r>
      <w:r>
        <w:rPr>
          <w:rFonts w:hint="eastAsia" w:ascii="宋体" w:hAnsi="宋体" w:cs="宋体"/>
          <w:szCs w:val="21"/>
        </w:rPr>
        <w:t>4.3.3响应程序</w:t>
      </w:r>
      <w:r>
        <w:rPr>
          <w:rFonts w:hint="eastAsia" w:ascii="宋体" w:hAnsi="宋体" w:cs="宋体"/>
          <w:szCs w:val="21"/>
        </w:rPr>
        <w:tab/>
      </w:r>
      <w:r>
        <w:rPr>
          <w:rFonts w:hint="eastAsia" w:ascii="宋体" w:hAnsi="宋体" w:cs="宋体"/>
          <w:szCs w:val="21"/>
        </w:rPr>
        <w:t>105</w:t>
      </w:r>
      <w:r>
        <w:rPr>
          <w:rFonts w:hint="eastAsia" w:ascii="宋体" w:hAnsi="宋体" w:cs="宋体"/>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"_Toc25408" </w:instrText>
      </w:r>
      <w:r>
        <w:fldChar w:fldCharType="separate"/>
      </w:r>
      <w:r>
        <w:rPr>
          <w:rFonts w:hint="eastAsia" w:ascii="宋体" w:hAnsi="宋体" w:eastAsia="宋体" w:cs="宋体"/>
          <w:iCs w:val="0"/>
          <w:szCs w:val="21"/>
        </w:rPr>
        <w:t>4.4 处置措施</w:t>
      </w:r>
      <w:r>
        <w:rPr>
          <w:rFonts w:hint="eastAsia" w:ascii="宋体" w:hAnsi="宋体" w:eastAsia="宋体" w:cs="宋体"/>
          <w:iCs w:val="0"/>
          <w:szCs w:val="21"/>
        </w:rPr>
        <w:tab/>
      </w:r>
      <w:r>
        <w:rPr>
          <w:rFonts w:hint="eastAsia" w:ascii="宋体" w:hAnsi="宋体" w:eastAsia="宋体" w:cs="宋体"/>
          <w:iCs w:val="0"/>
          <w:szCs w:val="21"/>
        </w:rPr>
        <w:t>105</w:t>
      </w:r>
      <w:r>
        <w:rPr>
          <w:rFonts w:hint="eastAsia" w:ascii="宋体" w:hAnsi="宋体" w:eastAsia="宋体" w:cs="宋体"/>
          <w:iCs w:val="0"/>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"_Toc3479" </w:instrText>
      </w:r>
      <w:r>
        <w:fldChar w:fldCharType="separate"/>
      </w:r>
      <w:r>
        <w:rPr>
          <w:rFonts w:hint="eastAsia" w:ascii="宋体" w:hAnsi="宋体" w:cs="宋体"/>
          <w:bCs/>
          <w:szCs w:val="21"/>
        </w:rPr>
        <w:t>4.4.1抢劫应对措施</w:t>
      </w:r>
      <w:r>
        <w:rPr>
          <w:rFonts w:hint="eastAsia" w:ascii="宋体" w:hAnsi="宋体" w:cs="宋体"/>
          <w:szCs w:val="21"/>
        </w:rPr>
        <w:tab/>
      </w:r>
      <w:r>
        <w:rPr>
          <w:rFonts w:hint="eastAsia" w:ascii="宋体" w:hAnsi="宋体" w:cs="宋体"/>
          <w:szCs w:val="21"/>
        </w:rPr>
        <w:t>105</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"_Toc2877" </w:instrText>
      </w:r>
      <w:r>
        <w:fldChar w:fldCharType="separate"/>
      </w:r>
      <w:r>
        <w:rPr>
          <w:rFonts w:hint="eastAsia" w:ascii="宋体" w:hAnsi="宋体" w:cs="宋体"/>
          <w:bCs/>
          <w:szCs w:val="21"/>
        </w:rPr>
        <w:t>4.4.2 盗窃应对措施</w:t>
      </w:r>
      <w:r>
        <w:rPr>
          <w:rFonts w:hint="eastAsia" w:ascii="宋体" w:hAnsi="宋体" w:cs="宋体"/>
          <w:szCs w:val="21"/>
        </w:rPr>
        <w:tab/>
      </w:r>
      <w:r>
        <w:rPr>
          <w:rFonts w:hint="eastAsia" w:ascii="宋体" w:hAnsi="宋体" w:cs="宋体"/>
          <w:szCs w:val="21"/>
        </w:rPr>
        <w:t>108</w:t>
      </w:r>
      <w:r>
        <w:rPr>
          <w:rFonts w:hint="eastAsia" w:ascii="宋体" w:hAnsi="宋体" w:cs="宋体"/>
          <w:szCs w:val="21"/>
        </w:rPr>
        <w:fldChar w:fldCharType="end"/>
      </w:r>
    </w:p>
    <w:p>
      <w:pPr>
        <w:pStyle w:val="17"/>
        <w:tabs>
          <w:tab w:val="right" w:leader="dot" w:pos="8669"/>
        </w:tabs>
        <w:spacing w:line="300" w:lineRule="exact"/>
        <w:rPr>
          <w:rFonts w:ascii="宋体" w:hAnsi="宋体" w:cs="宋体"/>
          <w:bCs/>
          <w:kern w:val="44"/>
          <w:szCs w:val="21"/>
        </w:rPr>
      </w:pPr>
      <w:r>
        <w:fldChar w:fldCharType="begin"/>
      </w:r>
      <w:r>
        <w:instrText xml:space="preserve"> HYPERLINK \l "_Toc6782" </w:instrText>
      </w:r>
      <w:r>
        <w:fldChar w:fldCharType="separate"/>
      </w:r>
      <w:r>
        <w:rPr>
          <w:rFonts w:hint="eastAsia" w:ascii="宋体" w:hAnsi="宋体" w:cs="宋体"/>
          <w:bCs/>
          <w:szCs w:val="21"/>
        </w:rPr>
        <w:t>4.4.3 恐怖袭击应对措施</w:t>
      </w:r>
      <w:r>
        <w:rPr>
          <w:rFonts w:hint="eastAsia" w:ascii="宋体" w:hAnsi="宋体" w:cs="宋体"/>
          <w:szCs w:val="21"/>
        </w:rPr>
        <w:tab/>
      </w:r>
      <w:r>
        <w:rPr>
          <w:rFonts w:hint="eastAsia" w:ascii="宋体" w:hAnsi="宋体" w:cs="宋体"/>
          <w:szCs w:val="21"/>
        </w:rPr>
        <w:t>108</w:t>
      </w:r>
      <w:r>
        <w:rPr>
          <w:rFonts w:hint="eastAsia" w:ascii="宋体" w:hAnsi="宋体" w:cs="宋体"/>
          <w:szCs w:val="21"/>
        </w:rPr>
        <w:fldChar w:fldCharType="end"/>
      </w:r>
    </w:p>
    <w:p>
      <w:pPr>
        <w:pStyle w:val="17"/>
        <w:tabs>
          <w:tab w:val="right" w:leader="dot" w:pos="8669"/>
        </w:tabs>
        <w:spacing w:line="300" w:lineRule="exact"/>
        <w:rPr>
          <w:rFonts w:ascii="宋体" w:hAnsi="宋体" w:cs="宋体"/>
          <w:bCs/>
          <w:kern w:val="44"/>
          <w:szCs w:val="21"/>
        </w:rPr>
      </w:pPr>
      <w:r>
        <w:fldChar w:fldCharType="begin"/>
      </w:r>
      <w:r>
        <w:instrText xml:space="preserve"> HYPERLINK \l "_Toc6782" </w:instrText>
      </w:r>
      <w:r>
        <w:fldChar w:fldCharType="separate"/>
      </w:r>
      <w:r>
        <w:rPr>
          <w:rFonts w:hint="eastAsia" w:ascii="宋体" w:hAnsi="宋体" w:cs="宋体"/>
          <w:bCs/>
          <w:szCs w:val="21"/>
        </w:rPr>
        <w:t>4.4.4 注意事项</w:t>
      </w:r>
      <w:r>
        <w:rPr>
          <w:rFonts w:hint="eastAsia" w:ascii="宋体" w:hAnsi="宋体" w:cs="宋体"/>
          <w:szCs w:val="21"/>
        </w:rPr>
        <w:tab/>
      </w:r>
      <w:r>
        <w:rPr>
          <w:rFonts w:hint="eastAsia" w:ascii="宋体" w:hAnsi="宋体" w:cs="宋体"/>
          <w:szCs w:val="21"/>
        </w:rPr>
        <w:t>109</w:t>
      </w:r>
      <w:r>
        <w:rPr>
          <w:rFonts w:hint="eastAsia" w:ascii="宋体" w:hAnsi="宋体" w:cs="宋体"/>
          <w:szCs w:val="21"/>
        </w:rPr>
        <w:fldChar w:fldCharType="end"/>
      </w:r>
    </w:p>
    <w:p>
      <w:pPr>
        <w:pStyle w:val="17"/>
        <w:tabs>
          <w:tab w:val="right" w:leader="dot" w:pos="8669"/>
        </w:tabs>
        <w:spacing w:line="300" w:lineRule="exact"/>
        <w:ind w:left="0" w:firstLine="210" w:firstLineChars="100"/>
      </w:pPr>
      <w:r>
        <w:fldChar w:fldCharType="begin"/>
      </w:r>
      <w:r>
        <w:instrText xml:space="preserve"> HYPERLINK \l "_Toc6782" </w:instrText>
      </w:r>
      <w:r>
        <w:fldChar w:fldCharType="separate"/>
      </w:r>
      <w:r>
        <w:rPr>
          <w:rFonts w:hint="eastAsia" w:ascii="宋体" w:hAnsi="宋体" w:cs="宋体"/>
          <w:bCs/>
          <w:szCs w:val="21"/>
        </w:rPr>
        <w:t>4.5 附则</w:t>
      </w:r>
      <w:r>
        <w:rPr>
          <w:rFonts w:hint="eastAsia" w:ascii="宋体" w:hAnsi="宋体" w:cs="宋体"/>
          <w:szCs w:val="21"/>
        </w:rPr>
        <w:tab/>
      </w:r>
      <w:r>
        <w:rPr>
          <w:rFonts w:hint="eastAsia" w:ascii="宋体" w:hAnsi="宋体" w:cs="宋体"/>
          <w:szCs w:val="21"/>
        </w:rPr>
        <w:t>110</w:t>
      </w:r>
      <w:r>
        <w:rPr>
          <w:rFonts w:hint="eastAsia" w:ascii="宋体" w:hAnsi="宋体" w:cs="宋体"/>
          <w:szCs w:val="21"/>
        </w:rPr>
        <w:fldChar w:fldCharType="end"/>
      </w:r>
    </w:p>
    <w:p>
      <w:pPr>
        <w:pStyle w:val="23"/>
        <w:tabs>
          <w:tab w:val="right" w:leader="dot" w:pos="8669"/>
        </w:tabs>
        <w:spacing w:before="0" w:after="0" w:line="300" w:lineRule="exact"/>
        <w:rPr>
          <w:rFonts w:ascii="宋体" w:hAnsi="宋体" w:eastAsia="宋体" w:cs="宋体"/>
          <w:b/>
          <w:sz w:val="21"/>
          <w:szCs w:val="21"/>
        </w:rPr>
      </w:pPr>
      <w:r>
        <w:fldChar w:fldCharType="begin"/>
      </w:r>
      <w:r>
        <w:instrText xml:space="preserve"> HYPERLINK \l "_Toc6547" </w:instrText>
      </w:r>
      <w:r>
        <w:fldChar w:fldCharType="separate"/>
      </w:r>
      <w:r>
        <w:rPr>
          <w:rFonts w:hint="eastAsia" w:ascii="宋体" w:hAnsi="宋体" w:eastAsia="宋体" w:cs="宋体"/>
          <w:b/>
          <w:sz w:val="21"/>
          <w:szCs w:val="21"/>
        </w:rPr>
        <w:t>第三部分 现场处置方案</w:t>
      </w:r>
      <w:r>
        <w:rPr>
          <w:rFonts w:hint="eastAsia" w:ascii="宋体" w:hAnsi="宋体" w:eastAsia="宋体" w:cs="宋体"/>
          <w:b/>
          <w:sz w:val="21"/>
          <w:szCs w:val="21"/>
        </w:rPr>
        <w:tab/>
      </w:r>
      <w:r>
        <w:rPr>
          <w:rFonts w:hint="eastAsia" w:ascii="宋体" w:hAnsi="宋体" w:eastAsia="宋体" w:cs="宋体"/>
          <w:b/>
          <w:sz w:val="21"/>
          <w:szCs w:val="21"/>
        </w:rPr>
        <w:t>111</w:t>
      </w:r>
      <w:r>
        <w:rPr>
          <w:rFonts w:hint="eastAsia" w:ascii="宋体" w:hAnsi="宋体" w:eastAsia="宋体" w:cs="宋体"/>
          <w:b/>
          <w:sz w:val="21"/>
          <w:szCs w:val="21"/>
        </w:rPr>
        <w:fldChar w:fldCharType="end"/>
      </w:r>
    </w:p>
    <w:p>
      <w:pPr>
        <w:pStyle w:val="23"/>
        <w:tabs>
          <w:tab w:val="right" w:leader="dot" w:pos="8669"/>
        </w:tabs>
        <w:spacing w:before="0" w:after="0" w:line="300" w:lineRule="exact"/>
        <w:rPr>
          <w:rFonts w:ascii="宋体" w:hAnsi="宋体" w:eastAsia="宋体" w:cs="宋体"/>
          <w:b/>
          <w:sz w:val="21"/>
          <w:szCs w:val="21"/>
        </w:rPr>
      </w:pPr>
      <w:r>
        <w:fldChar w:fldCharType="begin"/>
      </w:r>
      <w:r>
        <w:instrText xml:space="preserve"> HYPERLINK \l "_Toc1404" </w:instrText>
      </w:r>
      <w:r>
        <w:fldChar w:fldCharType="separate"/>
      </w:r>
      <w:r>
        <w:rPr>
          <w:rFonts w:hint="eastAsia" w:ascii="宋体" w:hAnsi="宋体" w:eastAsia="宋体" w:cs="宋体"/>
          <w:b/>
          <w:sz w:val="21"/>
          <w:szCs w:val="21"/>
        </w:rPr>
        <w:t>一、触电事故现场处置方案</w:t>
      </w:r>
      <w:r>
        <w:rPr>
          <w:rFonts w:hint="eastAsia" w:ascii="宋体" w:hAnsi="宋体" w:eastAsia="宋体" w:cs="宋体"/>
          <w:b/>
          <w:sz w:val="21"/>
          <w:szCs w:val="21"/>
        </w:rPr>
        <w:tab/>
      </w:r>
      <w:r>
        <w:rPr>
          <w:rFonts w:hint="eastAsia" w:ascii="宋体" w:hAnsi="宋体" w:eastAsia="宋体" w:cs="宋体"/>
          <w:b/>
          <w:sz w:val="21"/>
          <w:szCs w:val="21"/>
        </w:rPr>
        <w:t>112</w:t>
      </w:r>
      <w:r>
        <w:rPr>
          <w:rFonts w:hint="eastAsia" w:ascii="宋体" w:hAnsi="宋体" w:eastAsia="宋体" w:cs="宋体"/>
          <w:b/>
          <w:sz w:val="21"/>
          <w:szCs w:val="21"/>
        </w:rPr>
        <w:fldChar w:fldCharType="end"/>
      </w:r>
    </w:p>
    <w:p>
      <w:pPr>
        <w:pStyle w:val="23"/>
        <w:tabs>
          <w:tab w:val="right" w:leader="dot" w:pos="8669"/>
        </w:tabs>
        <w:spacing w:before="0" w:after="0" w:line="300" w:lineRule="exact"/>
        <w:rPr>
          <w:rFonts w:ascii="宋体" w:hAnsi="宋体" w:eastAsia="宋体" w:cs="宋体"/>
          <w:b/>
          <w:sz w:val="21"/>
          <w:szCs w:val="21"/>
        </w:rPr>
      </w:pPr>
      <w:r>
        <w:fldChar w:fldCharType="begin"/>
      </w:r>
      <w:r>
        <w:instrText xml:space="preserve"> HYPERLINK \l "_Toc30522" </w:instrText>
      </w:r>
      <w:r>
        <w:fldChar w:fldCharType="separate"/>
      </w:r>
      <w:r>
        <w:rPr>
          <w:rFonts w:hint="eastAsia" w:ascii="宋体" w:hAnsi="宋体" w:eastAsia="宋体" w:cs="宋体"/>
          <w:b/>
          <w:sz w:val="21"/>
          <w:szCs w:val="21"/>
        </w:rPr>
        <w:t>二、中毒窒息现场处置方案</w:t>
      </w:r>
      <w:r>
        <w:rPr>
          <w:rFonts w:hint="eastAsia" w:ascii="宋体" w:hAnsi="宋体" w:eastAsia="宋体" w:cs="宋体"/>
          <w:b/>
          <w:sz w:val="21"/>
          <w:szCs w:val="21"/>
        </w:rPr>
        <w:tab/>
      </w:r>
      <w:r>
        <w:rPr>
          <w:rFonts w:hint="eastAsia" w:ascii="宋体" w:hAnsi="宋体" w:eastAsia="宋体" w:cs="宋体"/>
          <w:b/>
          <w:sz w:val="21"/>
          <w:szCs w:val="21"/>
        </w:rPr>
        <w:t>116</w:t>
      </w:r>
      <w:r>
        <w:rPr>
          <w:rFonts w:hint="eastAsia" w:ascii="宋体" w:hAnsi="宋体" w:eastAsia="宋体" w:cs="宋体"/>
          <w:b/>
          <w:sz w:val="21"/>
          <w:szCs w:val="21"/>
        </w:rPr>
        <w:fldChar w:fldCharType="end"/>
      </w:r>
    </w:p>
    <w:p>
      <w:pPr>
        <w:pStyle w:val="23"/>
        <w:tabs>
          <w:tab w:val="right" w:leader="dot" w:pos="8669"/>
        </w:tabs>
        <w:spacing w:before="0" w:after="0" w:line="300" w:lineRule="exact"/>
        <w:rPr>
          <w:rFonts w:ascii="宋体" w:hAnsi="宋体" w:eastAsia="宋体" w:cs="宋体"/>
          <w:b/>
          <w:sz w:val="21"/>
          <w:szCs w:val="21"/>
        </w:rPr>
      </w:pPr>
      <w:r>
        <w:fldChar w:fldCharType="begin"/>
      </w:r>
      <w:r>
        <w:instrText xml:space="preserve"> HYPERLINK \l "_Toc28355" </w:instrText>
      </w:r>
      <w:r>
        <w:fldChar w:fldCharType="separate"/>
      </w:r>
      <w:r>
        <w:rPr>
          <w:rFonts w:hint="eastAsia" w:ascii="宋体" w:hAnsi="宋体" w:eastAsia="宋体" w:cs="宋体"/>
          <w:b/>
          <w:sz w:val="21"/>
          <w:szCs w:val="21"/>
        </w:rPr>
        <w:t>三、火灾、爆炸（含电气火灾）现场处置方案</w:t>
      </w:r>
      <w:r>
        <w:rPr>
          <w:rFonts w:hint="eastAsia" w:ascii="宋体" w:hAnsi="宋体" w:eastAsia="宋体" w:cs="宋体"/>
          <w:b/>
          <w:sz w:val="21"/>
          <w:szCs w:val="21"/>
        </w:rPr>
        <w:tab/>
      </w:r>
      <w:r>
        <w:rPr>
          <w:rFonts w:hint="eastAsia" w:ascii="宋体" w:hAnsi="宋体" w:eastAsia="宋体" w:cs="宋体"/>
          <w:b/>
          <w:sz w:val="21"/>
          <w:szCs w:val="21"/>
        </w:rPr>
        <w:t>119</w:t>
      </w:r>
      <w:r>
        <w:rPr>
          <w:rFonts w:hint="eastAsia" w:ascii="宋体" w:hAnsi="宋体" w:eastAsia="宋体" w:cs="宋体"/>
          <w:b/>
          <w:sz w:val="21"/>
          <w:szCs w:val="21"/>
        </w:rPr>
        <w:fldChar w:fldCharType="end"/>
      </w:r>
    </w:p>
    <w:p>
      <w:pPr>
        <w:pStyle w:val="23"/>
        <w:tabs>
          <w:tab w:val="right" w:leader="dot" w:pos="8669"/>
        </w:tabs>
        <w:spacing w:before="0" w:after="0" w:line="300" w:lineRule="exact"/>
        <w:rPr>
          <w:rFonts w:ascii="宋体" w:hAnsi="宋体" w:eastAsia="宋体" w:cs="宋体"/>
          <w:b/>
          <w:sz w:val="21"/>
          <w:szCs w:val="21"/>
        </w:rPr>
      </w:pPr>
      <w:r>
        <w:fldChar w:fldCharType="begin"/>
      </w:r>
      <w:r>
        <w:instrText xml:space="preserve"> HYPERLINK \l "_Toc6735" </w:instrText>
      </w:r>
      <w:r>
        <w:fldChar w:fldCharType="separate"/>
      </w:r>
      <w:r>
        <w:rPr>
          <w:rFonts w:hint="eastAsia" w:ascii="宋体" w:hAnsi="宋体" w:eastAsia="宋体" w:cs="宋体"/>
          <w:b/>
          <w:sz w:val="21"/>
          <w:szCs w:val="21"/>
        </w:rPr>
        <w:t>四、油品泄漏事故现场处置方案</w:t>
      </w:r>
      <w:r>
        <w:rPr>
          <w:rFonts w:hint="eastAsia" w:ascii="宋体" w:hAnsi="宋体" w:eastAsia="宋体" w:cs="宋体"/>
          <w:b/>
          <w:sz w:val="21"/>
          <w:szCs w:val="21"/>
        </w:rPr>
        <w:tab/>
      </w:r>
      <w:r>
        <w:rPr>
          <w:rFonts w:hint="eastAsia" w:ascii="宋体" w:hAnsi="宋体" w:eastAsia="宋体" w:cs="宋体"/>
          <w:b/>
          <w:sz w:val="21"/>
          <w:szCs w:val="21"/>
        </w:rPr>
        <w:t>124</w:t>
      </w:r>
      <w:r>
        <w:rPr>
          <w:rFonts w:hint="eastAsia" w:ascii="宋体" w:hAnsi="宋体" w:eastAsia="宋体" w:cs="宋体"/>
          <w:b/>
          <w:sz w:val="21"/>
          <w:szCs w:val="21"/>
        </w:rPr>
        <w:fldChar w:fldCharType="end"/>
      </w:r>
    </w:p>
    <w:p>
      <w:pPr>
        <w:pStyle w:val="23"/>
        <w:tabs>
          <w:tab w:val="right" w:leader="dot" w:pos="8669"/>
        </w:tabs>
        <w:spacing w:before="0" w:after="0" w:line="300" w:lineRule="exact"/>
        <w:rPr>
          <w:rFonts w:ascii="宋体" w:hAnsi="宋体" w:eastAsia="宋体" w:cs="宋体"/>
          <w:b/>
          <w:sz w:val="21"/>
          <w:szCs w:val="21"/>
        </w:rPr>
      </w:pPr>
      <w:r>
        <w:fldChar w:fldCharType="begin"/>
      </w:r>
      <w:r>
        <w:instrText xml:space="preserve"> HYPERLINK \l "_Toc14312" </w:instrText>
      </w:r>
      <w:r>
        <w:fldChar w:fldCharType="separate"/>
      </w:r>
      <w:r>
        <w:rPr>
          <w:rFonts w:hint="eastAsia" w:ascii="宋体" w:hAnsi="宋体" w:eastAsia="宋体" w:cs="宋体"/>
          <w:b/>
          <w:sz w:val="21"/>
          <w:szCs w:val="21"/>
        </w:rPr>
        <w:t>五、高处坠落事故现场处置方案</w:t>
      </w:r>
      <w:r>
        <w:rPr>
          <w:rFonts w:hint="eastAsia" w:ascii="宋体" w:hAnsi="宋体" w:eastAsia="宋体" w:cs="宋体"/>
          <w:b/>
          <w:sz w:val="21"/>
          <w:szCs w:val="21"/>
        </w:rPr>
        <w:tab/>
      </w:r>
      <w:r>
        <w:rPr>
          <w:rFonts w:hint="eastAsia" w:ascii="宋体" w:hAnsi="宋体" w:eastAsia="宋体" w:cs="宋体"/>
          <w:b/>
          <w:sz w:val="21"/>
          <w:szCs w:val="21"/>
        </w:rPr>
        <w:fldChar w:fldCharType="begin"/>
      </w:r>
      <w:r>
        <w:rPr>
          <w:rFonts w:hint="eastAsia" w:ascii="宋体" w:hAnsi="宋体" w:eastAsia="宋体" w:cs="宋体"/>
          <w:b/>
          <w:sz w:val="21"/>
          <w:szCs w:val="21"/>
        </w:rPr>
        <w:instrText xml:space="preserve"> PAGEREF _Toc14312 </w:instrText>
      </w:r>
      <w:r>
        <w:rPr>
          <w:rFonts w:hint="eastAsia" w:ascii="宋体" w:hAnsi="宋体" w:eastAsia="宋体" w:cs="宋体"/>
          <w:b/>
          <w:sz w:val="21"/>
          <w:szCs w:val="21"/>
        </w:rPr>
        <w:fldChar w:fldCharType="separate"/>
      </w:r>
      <w:r>
        <w:rPr>
          <w:rFonts w:hint="eastAsia" w:ascii="宋体" w:hAnsi="宋体" w:eastAsia="宋体" w:cs="宋体"/>
          <w:b/>
          <w:sz w:val="21"/>
          <w:szCs w:val="21"/>
        </w:rPr>
        <w:t>1</w:t>
      </w:r>
      <w:r>
        <w:rPr>
          <w:rFonts w:hint="eastAsia" w:ascii="宋体" w:hAnsi="宋体" w:eastAsia="宋体" w:cs="宋体"/>
          <w:b/>
          <w:sz w:val="21"/>
          <w:szCs w:val="21"/>
        </w:rPr>
        <w:fldChar w:fldCharType="end"/>
      </w:r>
      <w:r>
        <w:rPr>
          <w:rFonts w:hint="eastAsia" w:ascii="宋体" w:hAnsi="宋体" w:eastAsia="宋体" w:cs="宋体"/>
          <w:b/>
          <w:sz w:val="21"/>
          <w:szCs w:val="21"/>
        </w:rPr>
        <w:fldChar w:fldCharType="end"/>
      </w:r>
      <w:r>
        <w:rPr>
          <w:rFonts w:hint="eastAsia" w:ascii="宋体" w:hAnsi="宋体" w:eastAsia="宋体" w:cs="宋体"/>
          <w:b/>
          <w:kern w:val="44"/>
          <w:sz w:val="21"/>
          <w:szCs w:val="21"/>
        </w:rPr>
        <w:t>28</w:t>
      </w:r>
    </w:p>
    <w:p>
      <w:pPr>
        <w:pStyle w:val="23"/>
        <w:tabs>
          <w:tab w:val="right" w:leader="dot" w:pos="8669"/>
        </w:tabs>
        <w:spacing w:before="0" w:after="0" w:line="300" w:lineRule="exact"/>
        <w:rPr>
          <w:rFonts w:ascii="宋体" w:hAnsi="宋体" w:eastAsia="宋体" w:cs="宋体"/>
          <w:b/>
          <w:sz w:val="21"/>
          <w:szCs w:val="21"/>
        </w:rPr>
      </w:pPr>
      <w:r>
        <w:fldChar w:fldCharType="begin"/>
      </w:r>
      <w:r>
        <w:instrText xml:space="preserve"> HYPERLINK \l "_Toc14928" </w:instrText>
      </w:r>
      <w:r>
        <w:fldChar w:fldCharType="separate"/>
      </w:r>
      <w:r>
        <w:rPr>
          <w:rFonts w:hint="eastAsia" w:ascii="宋体" w:hAnsi="宋体" w:eastAsia="宋体" w:cs="宋体"/>
          <w:b/>
          <w:sz w:val="21"/>
          <w:szCs w:val="21"/>
        </w:rPr>
        <w:t>六、车辆伤害事故现场处置方案</w:t>
      </w:r>
      <w:r>
        <w:rPr>
          <w:rFonts w:hint="eastAsia" w:ascii="宋体" w:hAnsi="宋体" w:eastAsia="宋体" w:cs="宋体"/>
          <w:b/>
          <w:sz w:val="21"/>
          <w:szCs w:val="21"/>
        </w:rPr>
        <w:tab/>
      </w:r>
      <w:r>
        <w:rPr>
          <w:rFonts w:hint="eastAsia" w:ascii="宋体" w:hAnsi="宋体" w:eastAsia="宋体" w:cs="宋体"/>
          <w:b/>
          <w:sz w:val="21"/>
          <w:szCs w:val="21"/>
        </w:rPr>
        <w:t>1</w:t>
      </w:r>
      <w:r>
        <w:rPr>
          <w:rFonts w:hint="eastAsia" w:ascii="宋体" w:hAnsi="宋体" w:eastAsia="宋体" w:cs="宋体"/>
          <w:b/>
          <w:sz w:val="21"/>
          <w:szCs w:val="21"/>
        </w:rPr>
        <w:fldChar w:fldCharType="end"/>
      </w:r>
      <w:r>
        <w:rPr>
          <w:rFonts w:hint="eastAsia" w:ascii="宋体" w:hAnsi="宋体" w:eastAsia="宋体" w:cs="宋体"/>
          <w:b/>
          <w:kern w:val="44"/>
          <w:sz w:val="21"/>
          <w:szCs w:val="21"/>
        </w:rPr>
        <w:t>31</w:t>
      </w:r>
    </w:p>
    <w:p>
      <w:pPr>
        <w:pStyle w:val="23"/>
        <w:tabs>
          <w:tab w:val="right" w:leader="dot" w:pos="8669"/>
        </w:tabs>
        <w:spacing w:before="0" w:after="0" w:line="300" w:lineRule="exact"/>
        <w:rPr>
          <w:rFonts w:ascii="宋体" w:hAnsi="宋体" w:eastAsia="宋体" w:cs="宋体"/>
          <w:b/>
          <w:sz w:val="21"/>
          <w:szCs w:val="21"/>
        </w:rPr>
      </w:pPr>
      <w:r>
        <w:fldChar w:fldCharType="begin"/>
      </w:r>
      <w:r>
        <w:instrText xml:space="preserve"> HYPERLINK \l "_Toc11689" </w:instrText>
      </w:r>
      <w:r>
        <w:fldChar w:fldCharType="separate"/>
      </w:r>
      <w:r>
        <w:rPr>
          <w:rFonts w:hint="eastAsia" w:ascii="宋体" w:hAnsi="宋体" w:eastAsia="宋体" w:cs="宋体"/>
          <w:b/>
          <w:sz w:val="21"/>
          <w:szCs w:val="21"/>
        </w:rPr>
        <w:t>七、防盗抢及恐怖袭击事件现场处置方案</w:t>
      </w:r>
      <w:r>
        <w:rPr>
          <w:rFonts w:hint="eastAsia" w:ascii="宋体" w:hAnsi="宋体" w:eastAsia="宋体" w:cs="宋体"/>
          <w:b/>
          <w:sz w:val="21"/>
          <w:szCs w:val="21"/>
        </w:rPr>
        <w:tab/>
      </w:r>
      <w:r>
        <w:rPr>
          <w:rFonts w:hint="eastAsia" w:ascii="宋体" w:hAnsi="宋体" w:eastAsia="宋体" w:cs="宋体"/>
          <w:b/>
          <w:sz w:val="21"/>
          <w:szCs w:val="21"/>
        </w:rPr>
        <w:t>1</w:t>
      </w:r>
      <w:r>
        <w:rPr>
          <w:rFonts w:hint="eastAsia" w:ascii="宋体" w:hAnsi="宋体" w:eastAsia="宋体" w:cs="宋体"/>
          <w:b/>
          <w:sz w:val="21"/>
          <w:szCs w:val="21"/>
        </w:rPr>
        <w:fldChar w:fldCharType="end"/>
      </w:r>
      <w:r>
        <w:rPr>
          <w:rFonts w:hint="eastAsia" w:ascii="宋体" w:hAnsi="宋体" w:eastAsia="宋体" w:cs="宋体"/>
          <w:b/>
          <w:kern w:val="44"/>
          <w:sz w:val="21"/>
          <w:szCs w:val="21"/>
        </w:rPr>
        <w:t>34</w:t>
      </w:r>
    </w:p>
    <w:p>
      <w:pPr>
        <w:pStyle w:val="23"/>
        <w:tabs>
          <w:tab w:val="right" w:leader="dot" w:pos="8669"/>
        </w:tabs>
        <w:spacing w:before="0" w:after="0" w:line="300" w:lineRule="exact"/>
        <w:rPr>
          <w:rFonts w:ascii="宋体" w:hAnsi="宋体" w:eastAsia="宋体" w:cs="宋体"/>
          <w:b/>
          <w:sz w:val="21"/>
          <w:szCs w:val="21"/>
        </w:rPr>
      </w:pPr>
      <w:r>
        <w:fldChar w:fldCharType="begin"/>
      </w:r>
      <w:r>
        <w:instrText xml:space="preserve"> HYPERLINK \l "_Toc32607" </w:instrText>
      </w:r>
      <w:r>
        <w:fldChar w:fldCharType="separate"/>
      </w:r>
      <w:r>
        <w:rPr>
          <w:rFonts w:hint="eastAsia" w:ascii="宋体" w:hAnsi="宋体" w:eastAsia="宋体" w:cs="宋体"/>
          <w:b/>
          <w:sz w:val="21"/>
          <w:szCs w:val="21"/>
        </w:rPr>
        <w:t>八、油罐人孔井受限空间作业和可燃气体聚集处置措施</w:t>
      </w:r>
      <w:r>
        <w:rPr>
          <w:rFonts w:hint="eastAsia" w:ascii="宋体" w:hAnsi="宋体" w:eastAsia="宋体" w:cs="宋体"/>
          <w:b/>
          <w:sz w:val="21"/>
          <w:szCs w:val="21"/>
        </w:rPr>
        <w:tab/>
      </w:r>
      <w:r>
        <w:rPr>
          <w:rFonts w:hint="eastAsia" w:ascii="宋体" w:hAnsi="宋体" w:eastAsia="宋体" w:cs="宋体"/>
          <w:b/>
          <w:sz w:val="21"/>
          <w:szCs w:val="21"/>
        </w:rPr>
        <w:fldChar w:fldCharType="begin"/>
      </w:r>
      <w:r>
        <w:rPr>
          <w:rFonts w:hint="eastAsia" w:ascii="宋体" w:hAnsi="宋体" w:eastAsia="宋体" w:cs="宋体"/>
          <w:b/>
          <w:sz w:val="21"/>
          <w:szCs w:val="21"/>
        </w:rPr>
        <w:instrText xml:space="preserve"> PAGEREF _Toc32607 </w:instrText>
      </w:r>
      <w:r>
        <w:rPr>
          <w:rFonts w:hint="eastAsia" w:ascii="宋体" w:hAnsi="宋体" w:eastAsia="宋体" w:cs="宋体"/>
          <w:b/>
          <w:sz w:val="21"/>
          <w:szCs w:val="21"/>
        </w:rPr>
        <w:fldChar w:fldCharType="separate"/>
      </w:r>
      <w:r>
        <w:rPr>
          <w:rFonts w:hint="eastAsia" w:ascii="宋体" w:hAnsi="宋体" w:eastAsia="宋体" w:cs="宋体"/>
          <w:b/>
          <w:sz w:val="21"/>
          <w:szCs w:val="21"/>
        </w:rPr>
        <w:t>136</w:t>
      </w:r>
      <w:r>
        <w:rPr>
          <w:rFonts w:hint="eastAsia" w:ascii="宋体" w:hAnsi="宋体" w:eastAsia="宋体" w:cs="宋体"/>
          <w:b/>
          <w:sz w:val="21"/>
          <w:szCs w:val="21"/>
        </w:rPr>
        <w:fldChar w:fldCharType="end"/>
      </w:r>
      <w:r>
        <w:rPr>
          <w:rFonts w:hint="eastAsia" w:ascii="宋体" w:hAnsi="宋体" w:eastAsia="宋体" w:cs="宋体"/>
          <w:b/>
          <w:sz w:val="21"/>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"_Toc29871" </w:instrText>
      </w:r>
      <w:r>
        <w:fldChar w:fldCharType="separate"/>
      </w:r>
      <w:r>
        <w:rPr>
          <w:rFonts w:hint="eastAsia" w:ascii="宋体" w:hAnsi="宋体" w:eastAsia="宋体" w:cs="宋体"/>
          <w:iCs w:val="0"/>
          <w:szCs w:val="21"/>
        </w:rPr>
        <w:t>附件1 应急领导小组及应急队伍</w:t>
      </w:r>
      <w:r>
        <w:rPr>
          <w:rFonts w:hint="eastAsia" w:ascii="宋体" w:hAnsi="宋体" w:eastAsia="宋体" w:cs="宋体"/>
          <w:iCs w:val="0"/>
          <w:szCs w:val="21"/>
        </w:rPr>
        <w:tab/>
      </w:r>
      <w:r>
        <w:rPr>
          <w:rFonts w:hint="eastAsia" w:ascii="宋体" w:hAnsi="宋体" w:eastAsia="宋体" w:cs="宋体"/>
          <w:iCs w:val="0"/>
          <w:szCs w:val="21"/>
        </w:rPr>
        <w:fldChar w:fldCharType="begin"/>
      </w:r>
      <w:r>
        <w:rPr>
          <w:rFonts w:hint="eastAsia" w:ascii="宋体" w:hAnsi="宋体" w:eastAsia="宋体" w:cs="宋体"/>
          <w:iCs w:val="0"/>
          <w:szCs w:val="21"/>
        </w:rPr>
        <w:instrText xml:space="preserve"> PAGEREF _Toc29871 </w:instrText>
      </w:r>
      <w:r>
        <w:rPr>
          <w:rFonts w:hint="eastAsia" w:ascii="宋体" w:hAnsi="宋体" w:eastAsia="宋体" w:cs="宋体"/>
          <w:iCs w:val="0"/>
          <w:szCs w:val="21"/>
        </w:rPr>
        <w:fldChar w:fldCharType="separate"/>
      </w:r>
      <w:r>
        <w:rPr>
          <w:rFonts w:hint="eastAsia" w:ascii="宋体" w:hAnsi="宋体" w:eastAsia="宋体" w:cs="宋体"/>
          <w:iCs w:val="0"/>
          <w:szCs w:val="21"/>
        </w:rPr>
        <w:t>139</w:t>
      </w:r>
      <w:r>
        <w:rPr>
          <w:rFonts w:hint="eastAsia" w:ascii="宋体" w:hAnsi="宋体" w:eastAsia="宋体" w:cs="宋体"/>
          <w:iCs w:val="0"/>
          <w:szCs w:val="21"/>
        </w:rPr>
        <w:fldChar w:fldCharType="end"/>
      </w:r>
      <w:r>
        <w:rPr>
          <w:rFonts w:hint="eastAsia" w:ascii="宋体" w:hAnsi="宋体" w:eastAsia="宋体" w:cs="宋体"/>
          <w:iCs w:val="0"/>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"_Toc19547" </w:instrText>
      </w:r>
      <w:r>
        <w:fldChar w:fldCharType="separate"/>
      </w:r>
      <w:r>
        <w:rPr>
          <w:rFonts w:hint="eastAsia" w:ascii="宋体" w:hAnsi="宋体" w:eastAsia="宋体" w:cs="宋体"/>
          <w:iCs w:val="0"/>
          <w:szCs w:val="21"/>
        </w:rPr>
        <w:t>附件2 站上应急人员、其他有关应急部门、机构联系方式</w:t>
      </w:r>
      <w:r>
        <w:rPr>
          <w:rFonts w:hint="eastAsia" w:ascii="宋体" w:hAnsi="宋体" w:eastAsia="宋体" w:cs="宋体"/>
          <w:iCs w:val="0"/>
          <w:szCs w:val="21"/>
        </w:rPr>
        <w:tab/>
      </w:r>
      <w:r>
        <w:rPr>
          <w:rFonts w:hint="eastAsia" w:ascii="宋体" w:hAnsi="宋体" w:eastAsia="宋体" w:cs="宋体"/>
          <w:iCs w:val="0"/>
          <w:szCs w:val="21"/>
        </w:rPr>
        <w:fldChar w:fldCharType="begin"/>
      </w:r>
      <w:r>
        <w:rPr>
          <w:rFonts w:hint="eastAsia" w:ascii="宋体" w:hAnsi="宋体" w:eastAsia="宋体" w:cs="宋体"/>
          <w:iCs w:val="0"/>
          <w:szCs w:val="21"/>
        </w:rPr>
        <w:instrText xml:space="preserve"> PAGEREF _Toc19547 </w:instrText>
      </w:r>
      <w:r>
        <w:rPr>
          <w:rFonts w:hint="eastAsia" w:ascii="宋体" w:hAnsi="宋体" w:eastAsia="宋体" w:cs="宋体"/>
          <w:iCs w:val="0"/>
          <w:szCs w:val="21"/>
        </w:rPr>
        <w:fldChar w:fldCharType="separate"/>
      </w:r>
      <w:r>
        <w:rPr>
          <w:rFonts w:hint="eastAsia" w:ascii="宋体" w:hAnsi="宋体" w:eastAsia="宋体" w:cs="宋体"/>
          <w:iCs w:val="0"/>
          <w:szCs w:val="21"/>
        </w:rPr>
        <w:t>139</w:t>
      </w:r>
      <w:r>
        <w:rPr>
          <w:rFonts w:hint="eastAsia" w:ascii="宋体" w:hAnsi="宋体" w:eastAsia="宋体" w:cs="宋体"/>
          <w:iCs w:val="0"/>
          <w:szCs w:val="21"/>
        </w:rPr>
        <w:fldChar w:fldCharType="end"/>
      </w:r>
      <w:r>
        <w:rPr>
          <w:rFonts w:hint="eastAsia" w:ascii="宋体" w:hAnsi="宋体" w:eastAsia="宋体" w:cs="宋体"/>
          <w:iCs w:val="0"/>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"_Toc31151" </w:instrText>
      </w:r>
      <w:r>
        <w:fldChar w:fldCharType="separate"/>
      </w:r>
      <w:r>
        <w:rPr>
          <w:rFonts w:hint="eastAsia" w:ascii="宋体" w:hAnsi="宋体" w:eastAsia="宋体" w:cs="宋体"/>
          <w:bCs/>
          <w:iCs w:val="0"/>
          <w:szCs w:val="21"/>
        </w:rPr>
        <w:t>附件3 应急物资装备清单</w:t>
      </w:r>
      <w:r>
        <w:rPr>
          <w:rFonts w:hint="eastAsia" w:ascii="宋体" w:hAnsi="宋体" w:eastAsia="宋体" w:cs="宋体"/>
          <w:iCs w:val="0"/>
          <w:szCs w:val="21"/>
        </w:rPr>
        <w:tab/>
      </w:r>
      <w:r>
        <w:rPr>
          <w:rFonts w:hint="eastAsia" w:ascii="宋体" w:hAnsi="宋体" w:eastAsia="宋体" w:cs="宋体"/>
          <w:iCs w:val="0"/>
          <w:szCs w:val="21"/>
        </w:rPr>
        <w:fldChar w:fldCharType="begin"/>
      </w:r>
      <w:r>
        <w:rPr>
          <w:rFonts w:hint="eastAsia" w:ascii="宋体" w:hAnsi="宋体" w:eastAsia="宋体" w:cs="宋体"/>
          <w:iCs w:val="0"/>
          <w:szCs w:val="21"/>
        </w:rPr>
        <w:instrText xml:space="preserve"> PAGEREF _Toc31151 </w:instrText>
      </w:r>
      <w:r>
        <w:rPr>
          <w:rFonts w:hint="eastAsia" w:ascii="宋体" w:hAnsi="宋体" w:eastAsia="宋体" w:cs="宋体"/>
          <w:iCs w:val="0"/>
          <w:szCs w:val="21"/>
        </w:rPr>
        <w:fldChar w:fldCharType="separate"/>
      </w:r>
      <w:r>
        <w:rPr>
          <w:rFonts w:hint="eastAsia" w:ascii="宋体" w:hAnsi="宋体" w:eastAsia="宋体" w:cs="宋体"/>
          <w:iCs w:val="0"/>
          <w:szCs w:val="21"/>
        </w:rPr>
        <w:t>140</w:t>
      </w:r>
      <w:r>
        <w:rPr>
          <w:rFonts w:hint="eastAsia" w:ascii="宋体" w:hAnsi="宋体" w:eastAsia="宋体" w:cs="宋体"/>
          <w:iCs w:val="0"/>
          <w:szCs w:val="21"/>
        </w:rPr>
        <w:fldChar w:fldCharType="end"/>
      </w:r>
      <w:r>
        <w:rPr>
          <w:rFonts w:hint="eastAsia" w:ascii="宋体" w:hAnsi="宋体" w:eastAsia="宋体" w:cs="宋体"/>
          <w:iCs w:val="0"/>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"_Toc792" </w:instrText>
      </w:r>
      <w:r>
        <w:fldChar w:fldCharType="separate"/>
      </w:r>
      <w:r>
        <w:rPr>
          <w:rFonts w:hint="eastAsia" w:ascii="宋体" w:hAnsi="宋体" w:eastAsia="宋体" w:cs="宋体"/>
          <w:bCs/>
          <w:iCs w:val="0"/>
          <w:szCs w:val="21"/>
        </w:rPr>
        <w:t>附件4附图</w:t>
      </w:r>
      <w:r>
        <w:rPr>
          <w:rFonts w:hint="eastAsia" w:ascii="宋体" w:hAnsi="宋体" w:eastAsia="宋体" w:cs="宋体"/>
          <w:iCs w:val="0"/>
          <w:szCs w:val="21"/>
        </w:rPr>
        <w:tab/>
      </w:r>
      <w:r>
        <w:rPr>
          <w:rFonts w:hint="eastAsia" w:ascii="宋体" w:hAnsi="宋体" w:eastAsia="宋体" w:cs="宋体"/>
          <w:iCs w:val="0"/>
          <w:szCs w:val="21"/>
        </w:rPr>
        <w:fldChar w:fldCharType="begin"/>
      </w:r>
      <w:r>
        <w:rPr>
          <w:rFonts w:hint="eastAsia" w:ascii="宋体" w:hAnsi="宋体" w:eastAsia="宋体" w:cs="宋体"/>
          <w:iCs w:val="0"/>
          <w:szCs w:val="21"/>
        </w:rPr>
        <w:instrText xml:space="preserve"> PAGEREF _Toc792 </w:instrText>
      </w:r>
      <w:r>
        <w:rPr>
          <w:rFonts w:hint="eastAsia" w:ascii="宋体" w:hAnsi="宋体" w:eastAsia="宋体" w:cs="宋体"/>
          <w:iCs w:val="0"/>
          <w:szCs w:val="21"/>
        </w:rPr>
        <w:fldChar w:fldCharType="separate"/>
      </w:r>
      <w:r>
        <w:rPr>
          <w:rFonts w:hint="eastAsia" w:ascii="宋体" w:hAnsi="宋体" w:eastAsia="宋体" w:cs="宋体"/>
          <w:iCs w:val="0"/>
          <w:szCs w:val="21"/>
        </w:rPr>
        <w:t>14</w:t>
      </w:r>
      <w:r>
        <w:rPr>
          <w:rFonts w:hint="eastAsia" w:ascii="宋体" w:hAnsi="宋体" w:eastAsia="宋体" w:cs="宋体"/>
          <w:iCs w:val="0"/>
          <w:szCs w:val="21"/>
        </w:rPr>
        <w:fldChar w:fldCharType="end"/>
      </w:r>
      <w:r>
        <w:rPr>
          <w:rFonts w:hint="eastAsia" w:ascii="宋体" w:hAnsi="宋体" w:eastAsia="宋体" w:cs="宋体"/>
          <w:iCs w:val="0"/>
          <w:szCs w:val="21"/>
        </w:rPr>
        <w:fldChar w:fldCharType="end"/>
      </w:r>
      <w:r>
        <w:rPr>
          <w:rFonts w:hint="eastAsia" w:ascii="宋体" w:hAnsi="宋体" w:eastAsia="宋体" w:cs="宋体"/>
          <w:bCs/>
          <w:iCs w:val="0"/>
          <w:kern w:val="44"/>
          <w:szCs w:val="21"/>
        </w:rPr>
        <w:t>2</w:t>
      </w:r>
    </w:p>
    <w:p>
      <w:pPr>
        <w:pStyle w:val="17"/>
        <w:tabs>
          <w:tab w:val="right" w:leader="dot" w:pos="8669"/>
        </w:tabs>
        <w:spacing w:line="300" w:lineRule="exact"/>
        <w:rPr>
          <w:rFonts w:ascii="宋体" w:hAnsi="宋体" w:cs="宋体"/>
          <w:szCs w:val="21"/>
        </w:rPr>
      </w:pPr>
      <w:r>
        <w:fldChar w:fldCharType="begin"/>
      </w:r>
      <w:r>
        <w:instrText xml:space="preserve"> HYPERLINK \l "_Toc26463" </w:instrText>
      </w:r>
      <w:r>
        <w:fldChar w:fldCharType="separate"/>
      </w:r>
      <w:r>
        <w:rPr>
          <w:rFonts w:hint="eastAsia" w:ascii="宋体" w:hAnsi="宋体" w:cs="宋体"/>
          <w:bCs/>
          <w:szCs w:val="21"/>
        </w:rPr>
        <w:t>图4-1 周边关系图</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_Toc26463 </w:instrText>
      </w:r>
      <w:r>
        <w:rPr>
          <w:rFonts w:hint="eastAsia" w:ascii="宋体" w:hAnsi="宋体" w:cs="宋体"/>
          <w:szCs w:val="21"/>
        </w:rPr>
        <w:fldChar w:fldCharType="separate"/>
      </w:r>
      <w:r>
        <w:rPr>
          <w:rFonts w:hint="eastAsia" w:ascii="宋体" w:hAnsi="宋体" w:cs="宋体"/>
          <w:szCs w:val="21"/>
        </w:rPr>
        <w:t>14</w:t>
      </w:r>
      <w:r>
        <w:rPr>
          <w:rFonts w:hint="eastAsia" w:ascii="宋体" w:hAnsi="宋体" w:cs="宋体"/>
          <w:szCs w:val="21"/>
        </w:rPr>
        <w:fldChar w:fldCharType="end"/>
      </w:r>
      <w:r>
        <w:rPr>
          <w:rFonts w:hint="eastAsia" w:ascii="宋体" w:hAnsi="宋体" w:cs="宋体"/>
          <w:szCs w:val="21"/>
        </w:rPr>
        <w:fldChar w:fldCharType="end"/>
      </w:r>
      <w:r>
        <w:rPr>
          <w:rFonts w:hint="eastAsia" w:ascii="宋体" w:hAnsi="宋体" w:cs="宋体"/>
          <w:bCs/>
          <w:kern w:val="44"/>
          <w:szCs w:val="21"/>
        </w:rPr>
        <w:t>2</w:t>
      </w:r>
    </w:p>
    <w:p>
      <w:pPr>
        <w:pStyle w:val="17"/>
        <w:tabs>
          <w:tab w:val="right" w:leader="dot" w:pos="8669"/>
        </w:tabs>
        <w:spacing w:line="300" w:lineRule="exact"/>
        <w:rPr>
          <w:rFonts w:ascii="宋体" w:hAnsi="宋体" w:cs="宋体"/>
          <w:szCs w:val="21"/>
        </w:rPr>
      </w:pPr>
      <w:r>
        <w:fldChar w:fldCharType="begin"/>
      </w:r>
      <w:r>
        <w:instrText xml:space="preserve"> HYPERLINK \l "_Toc30980" </w:instrText>
      </w:r>
      <w:r>
        <w:fldChar w:fldCharType="separate"/>
      </w:r>
      <w:r>
        <w:rPr>
          <w:rFonts w:hint="eastAsia" w:ascii="宋体" w:hAnsi="宋体" w:cs="宋体"/>
          <w:szCs w:val="21"/>
        </w:rPr>
        <w:t>图4-2 重点防护区域</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_Toc30980 </w:instrText>
      </w:r>
      <w:r>
        <w:rPr>
          <w:rFonts w:hint="eastAsia" w:ascii="宋体" w:hAnsi="宋体" w:cs="宋体"/>
          <w:szCs w:val="21"/>
        </w:rPr>
        <w:fldChar w:fldCharType="separate"/>
      </w:r>
      <w:r>
        <w:rPr>
          <w:rFonts w:hint="eastAsia" w:ascii="宋体" w:hAnsi="宋体" w:cs="宋体"/>
          <w:szCs w:val="21"/>
        </w:rPr>
        <w:t>14</w:t>
      </w:r>
      <w:r>
        <w:rPr>
          <w:rFonts w:hint="eastAsia" w:ascii="宋体" w:hAnsi="宋体" w:cs="宋体"/>
          <w:szCs w:val="21"/>
        </w:rPr>
        <w:fldChar w:fldCharType="end"/>
      </w:r>
      <w:r>
        <w:rPr>
          <w:rFonts w:hint="eastAsia" w:ascii="宋体" w:hAnsi="宋体" w:cs="宋体"/>
          <w:szCs w:val="21"/>
        </w:rPr>
        <w:fldChar w:fldCharType="end"/>
      </w:r>
      <w:r>
        <w:rPr>
          <w:rFonts w:hint="eastAsia" w:ascii="宋体" w:hAnsi="宋体" w:cs="宋体"/>
          <w:bCs/>
          <w:kern w:val="44"/>
          <w:szCs w:val="21"/>
        </w:rPr>
        <w:t>3</w:t>
      </w:r>
    </w:p>
    <w:p>
      <w:pPr>
        <w:pStyle w:val="17"/>
        <w:tabs>
          <w:tab w:val="right" w:leader="dot" w:pos="8669"/>
        </w:tabs>
        <w:spacing w:line="300" w:lineRule="exact"/>
        <w:rPr>
          <w:rFonts w:ascii="宋体" w:hAnsi="宋体" w:cs="宋体"/>
          <w:szCs w:val="21"/>
        </w:rPr>
      </w:pPr>
      <w:r>
        <w:fldChar w:fldCharType="begin"/>
      </w:r>
      <w:r>
        <w:instrText xml:space="preserve"> HYPERLINK \l "_Toc26047" </w:instrText>
      </w:r>
      <w:r>
        <w:fldChar w:fldCharType="separate"/>
      </w:r>
      <w:r>
        <w:rPr>
          <w:rFonts w:hint="eastAsia" w:ascii="宋体" w:hAnsi="宋体" w:cs="宋体"/>
          <w:szCs w:val="21"/>
        </w:rPr>
        <w:t>图4-3 救援队伍行动路线图</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_Toc26047 </w:instrText>
      </w:r>
      <w:r>
        <w:rPr>
          <w:rFonts w:hint="eastAsia" w:ascii="宋体" w:hAnsi="宋体" w:cs="宋体"/>
          <w:szCs w:val="21"/>
        </w:rPr>
        <w:fldChar w:fldCharType="separate"/>
      </w:r>
      <w:r>
        <w:rPr>
          <w:rFonts w:hint="eastAsia" w:ascii="宋体" w:hAnsi="宋体" w:cs="宋体"/>
          <w:szCs w:val="21"/>
        </w:rPr>
        <w:t>14</w:t>
      </w:r>
      <w:r>
        <w:rPr>
          <w:rFonts w:hint="eastAsia" w:ascii="宋体" w:hAnsi="宋体" w:cs="宋体"/>
          <w:szCs w:val="21"/>
        </w:rPr>
        <w:fldChar w:fldCharType="end"/>
      </w:r>
      <w:r>
        <w:rPr>
          <w:rFonts w:hint="eastAsia" w:ascii="宋体" w:hAnsi="宋体" w:cs="宋体"/>
          <w:szCs w:val="21"/>
        </w:rPr>
        <w:fldChar w:fldCharType="end"/>
      </w:r>
      <w:r>
        <w:rPr>
          <w:rFonts w:hint="eastAsia" w:ascii="宋体" w:hAnsi="宋体" w:cs="宋体"/>
          <w:bCs/>
          <w:kern w:val="44"/>
          <w:szCs w:val="21"/>
        </w:rPr>
        <w:t>4</w:t>
      </w:r>
    </w:p>
    <w:p>
      <w:pPr>
        <w:pStyle w:val="17"/>
        <w:tabs>
          <w:tab w:val="right" w:leader="dot" w:pos="8669"/>
        </w:tabs>
        <w:spacing w:line="300" w:lineRule="exact"/>
        <w:rPr>
          <w:rFonts w:ascii="宋体" w:hAnsi="宋体" w:cs="宋体"/>
          <w:szCs w:val="21"/>
        </w:rPr>
      </w:pPr>
      <w:r>
        <w:fldChar w:fldCharType="begin"/>
      </w:r>
      <w:r>
        <w:instrText xml:space="preserve"> HYPERLINK \l "_Toc30394" </w:instrText>
      </w:r>
      <w:r>
        <w:fldChar w:fldCharType="separate"/>
      </w:r>
      <w:r>
        <w:rPr>
          <w:rFonts w:hint="eastAsia" w:ascii="宋体" w:hAnsi="宋体" w:cs="宋体"/>
          <w:szCs w:val="21"/>
        </w:rPr>
        <w:t>图4-4 应急疏散图</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_Toc30394 </w:instrText>
      </w:r>
      <w:r>
        <w:rPr>
          <w:rFonts w:hint="eastAsia" w:ascii="宋体" w:hAnsi="宋体" w:cs="宋体"/>
          <w:szCs w:val="21"/>
        </w:rPr>
        <w:fldChar w:fldCharType="separate"/>
      </w:r>
      <w:r>
        <w:rPr>
          <w:rFonts w:hint="eastAsia" w:ascii="宋体" w:hAnsi="宋体" w:cs="宋体"/>
          <w:szCs w:val="21"/>
        </w:rPr>
        <w:t>14</w:t>
      </w:r>
      <w:r>
        <w:rPr>
          <w:rFonts w:hint="eastAsia" w:ascii="宋体" w:hAnsi="宋体" w:cs="宋体"/>
          <w:szCs w:val="21"/>
        </w:rPr>
        <w:fldChar w:fldCharType="end"/>
      </w:r>
      <w:r>
        <w:rPr>
          <w:rFonts w:hint="eastAsia" w:ascii="宋体" w:hAnsi="宋体" w:cs="宋体"/>
          <w:szCs w:val="21"/>
        </w:rPr>
        <w:fldChar w:fldCharType="end"/>
      </w:r>
      <w:r>
        <w:rPr>
          <w:rFonts w:hint="eastAsia" w:ascii="宋体" w:hAnsi="宋体" w:cs="宋体"/>
          <w:bCs/>
          <w:kern w:val="44"/>
          <w:szCs w:val="21"/>
        </w:rPr>
        <w:t>5</w:t>
      </w:r>
    </w:p>
    <w:p>
      <w:pPr>
        <w:pStyle w:val="17"/>
        <w:tabs>
          <w:tab w:val="right" w:leader="dot" w:pos="8669"/>
        </w:tabs>
        <w:spacing w:line="300" w:lineRule="exact"/>
        <w:rPr>
          <w:rFonts w:ascii="宋体" w:hAnsi="宋体" w:cs="宋体"/>
          <w:szCs w:val="21"/>
        </w:rPr>
      </w:pPr>
      <w:r>
        <w:fldChar w:fldCharType="begin"/>
      </w:r>
      <w:r>
        <w:instrText xml:space="preserve"> HYPERLINK \l "_Toc31545" </w:instrText>
      </w:r>
      <w:r>
        <w:fldChar w:fldCharType="separate"/>
      </w:r>
      <w:r>
        <w:rPr>
          <w:rFonts w:hint="eastAsia" w:ascii="宋体" w:hAnsi="宋体" w:cs="宋体"/>
          <w:szCs w:val="21"/>
        </w:rPr>
        <w:t>图4-5 应急器材分布图</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_Toc31545 </w:instrText>
      </w:r>
      <w:r>
        <w:rPr>
          <w:rFonts w:hint="eastAsia" w:ascii="宋体" w:hAnsi="宋体" w:cs="宋体"/>
          <w:szCs w:val="21"/>
        </w:rPr>
        <w:fldChar w:fldCharType="separate"/>
      </w:r>
      <w:r>
        <w:rPr>
          <w:rFonts w:hint="eastAsia" w:ascii="宋体" w:hAnsi="宋体" w:cs="宋体"/>
          <w:szCs w:val="21"/>
        </w:rPr>
        <w:t>146</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"_Toc20634" </w:instrText>
      </w:r>
      <w:r>
        <w:fldChar w:fldCharType="separate"/>
      </w:r>
      <w:r>
        <w:rPr>
          <w:rFonts w:hint="eastAsia" w:ascii="宋体" w:hAnsi="宋体" w:cs="宋体"/>
          <w:szCs w:val="21"/>
        </w:rPr>
        <w:t>图4-6 重要防护目标、危险源一览表、分布图</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_Toc20634 </w:instrText>
      </w:r>
      <w:r>
        <w:rPr>
          <w:rFonts w:hint="eastAsia" w:ascii="宋体" w:hAnsi="宋体" w:cs="宋体"/>
          <w:szCs w:val="21"/>
        </w:rPr>
        <w:fldChar w:fldCharType="separate"/>
      </w:r>
      <w:r>
        <w:rPr>
          <w:rFonts w:hint="eastAsia" w:ascii="宋体" w:hAnsi="宋体" w:cs="宋体"/>
          <w:szCs w:val="21"/>
        </w:rPr>
        <w:t>147</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"_Toc19531" </w:instrText>
      </w:r>
      <w:r>
        <w:fldChar w:fldCharType="separate"/>
      </w:r>
      <w:r>
        <w:rPr>
          <w:rFonts w:hint="eastAsia" w:ascii="宋体" w:hAnsi="宋体" w:cs="宋体"/>
          <w:szCs w:val="21"/>
        </w:rPr>
        <w:t>图4-7 监测报警系统图</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_Toc19531 </w:instrText>
      </w:r>
      <w:r>
        <w:rPr>
          <w:rFonts w:hint="eastAsia" w:ascii="宋体" w:hAnsi="宋体" w:cs="宋体"/>
          <w:szCs w:val="21"/>
        </w:rPr>
        <w:fldChar w:fldCharType="separate"/>
      </w:r>
      <w:r>
        <w:rPr>
          <w:rFonts w:hint="eastAsia" w:ascii="宋体" w:hAnsi="宋体" w:cs="宋体"/>
          <w:szCs w:val="21"/>
        </w:rPr>
        <w:t>148</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"_Toc14441" </w:instrText>
      </w:r>
      <w:r>
        <w:fldChar w:fldCharType="separate"/>
      </w:r>
      <w:r>
        <w:rPr>
          <w:rFonts w:hint="eastAsia" w:ascii="宋体" w:hAnsi="宋体" w:cs="宋体"/>
          <w:szCs w:val="21"/>
        </w:rPr>
        <w:t>图4-8 总平面布置图</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_Toc14441 </w:instrText>
      </w:r>
      <w:r>
        <w:rPr>
          <w:rFonts w:hint="eastAsia" w:ascii="宋体" w:hAnsi="宋体" w:cs="宋体"/>
          <w:szCs w:val="21"/>
        </w:rPr>
        <w:fldChar w:fldCharType="separate"/>
      </w:r>
      <w:r>
        <w:rPr>
          <w:rFonts w:hint="eastAsia" w:ascii="宋体" w:hAnsi="宋体" w:cs="宋体"/>
          <w:szCs w:val="21"/>
        </w:rPr>
        <w:t>149</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"_Toc7789" </w:instrText>
      </w:r>
      <w:r>
        <w:fldChar w:fldCharType="separate"/>
      </w:r>
      <w:r>
        <w:rPr>
          <w:rFonts w:hint="eastAsia" w:ascii="宋体" w:hAnsi="宋体" w:cs="宋体"/>
          <w:szCs w:val="21"/>
        </w:rPr>
        <w:t>图4-9 警戒范围标识图</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_Toc7789 </w:instrText>
      </w:r>
      <w:r>
        <w:rPr>
          <w:rFonts w:hint="eastAsia" w:ascii="宋体" w:hAnsi="宋体" w:cs="宋体"/>
          <w:szCs w:val="21"/>
        </w:rPr>
        <w:fldChar w:fldCharType="separate"/>
      </w:r>
      <w:r>
        <w:rPr>
          <w:rFonts w:hint="eastAsia" w:ascii="宋体" w:hAnsi="宋体" w:cs="宋体"/>
          <w:szCs w:val="21"/>
        </w:rPr>
        <w:t>15</w:t>
      </w:r>
      <w:r>
        <w:rPr>
          <w:rFonts w:hint="eastAsia" w:ascii="宋体" w:hAnsi="宋体" w:cs="宋体"/>
          <w:szCs w:val="21"/>
        </w:rPr>
        <w:fldChar w:fldCharType="end"/>
      </w:r>
      <w:r>
        <w:rPr>
          <w:rFonts w:hint="eastAsia" w:ascii="宋体" w:hAnsi="宋体" w:cs="宋体"/>
          <w:szCs w:val="21"/>
        </w:rPr>
        <w:fldChar w:fldCharType="end"/>
      </w:r>
      <w:r>
        <w:rPr>
          <w:rFonts w:hint="eastAsia" w:ascii="宋体" w:hAnsi="宋体" w:cs="宋体"/>
          <w:bCs/>
          <w:kern w:val="44"/>
          <w:szCs w:val="21"/>
        </w:rPr>
        <w:t>0</w:t>
      </w:r>
    </w:p>
    <w:p>
      <w:pPr>
        <w:pStyle w:val="17"/>
        <w:tabs>
          <w:tab w:val="right" w:leader="dot" w:pos="8669"/>
        </w:tabs>
        <w:spacing w:line="300" w:lineRule="exact"/>
        <w:rPr>
          <w:rFonts w:ascii="宋体" w:hAnsi="宋体" w:cs="宋体"/>
          <w:szCs w:val="21"/>
        </w:rPr>
      </w:pPr>
      <w:r>
        <w:fldChar w:fldCharType="begin"/>
      </w:r>
      <w:r>
        <w:instrText xml:space="preserve"> HYPERLINK \l "_Toc21884" </w:instrText>
      </w:r>
      <w:r>
        <w:fldChar w:fldCharType="separate"/>
      </w:r>
      <w:r>
        <w:rPr>
          <w:rFonts w:hint="eastAsia" w:ascii="宋体" w:hAnsi="宋体" w:cs="宋体"/>
          <w:szCs w:val="21"/>
        </w:rPr>
        <w:t>图4-10 外部救援力量分布图</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_Toc21884 </w:instrText>
      </w:r>
      <w:r>
        <w:rPr>
          <w:rFonts w:hint="eastAsia" w:ascii="宋体" w:hAnsi="宋体" w:cs="宋体"/>
          <w:szCs w:val="21"/>
        </w:rPr>
        <w:fldChar w:fldCharType="separate"/>
      </w:r>
      <w:r>
        <w:rPr>
          <w:rFonts w:hint="eastAsia" w:ascii="宋体" w:hAnsi="宋体" w:cs="宋体"/>
          <w:szCs w:val="21"/>
        </w:rPr>
        <w:t>15</w:t>
      </w:r>
      <w:r>
        <w:rPr>
          <w:rFonts w:hint="eastAsia" w:ascii="宋体" w:hAnsi="宋体" w:cs="宋体"/>
          <w:szCs w:val="21"/>
        </w:rPr>
        <w:fldChar w:fldCharType="end"/>
      </w:r>
      <w:r>
        <w:rPr>
          <w:rFonts w:hint="eastAsia" w:ascii="宋体" w:hAnsi="宋体" w:cs="宋体"/>
          <w:szCs w:val="21"/>
        </w:rPr>
        <w:fldChar w:fldCharType="end"/>
      </w:r>
      <w:r>
        <w:rPr>
          <w:rFonts w:hint="eastAsia" w:ascii="宋体" w:hAnsi="宋体" w:cs="宋体"/>
          <w:bCs/>
          <w:kern w:val="44"/>
          <w:szCs w:val="21"/>
        </w:rPr>
        <w:t>1</w:t>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"_Toc31853" </w:instrText>
      </w:r>
      <w:r>
        <w:fldChar w:fldCharType="separate"/>
      </w:r>
      <w:r>
        <w:rPr>
          <w:rFonts w:hint="eastAsia" w:ascii="宋体" w:hAnsi="宋体" w:eastAsia="宋体" w:cs="宋体"/>
          <w:bCs/>
          <w:iCs w:val="0"/>
          <w:szCs w:val="21"/>
        </w:rPr>
        <w:t>附件5规范化文件格式</w:t>
      </w:r>
      <w:r>
        <w:rPr>
          <w:rFonts w:hint="eastAsia" w:ascii="宋体" w:hAnsi="宋体" w:eastAsia="宋体" w:cs="宋体"/>
          <w:iCs w:val="0"/>
          <w:szCs w:val="21"/>
        </w:rPr>
        <w:tab/>
      </w:r>
      <w:r>
        <w:rPr>
          <w:rFonts w:hint="eastAsia" w:ascii="宋体" w:hAnsi="宋体" w:eastAsia="宋体" w:cs="宋体"/>
          <w:iCs w:val="0"/>
          <w:szCs w:val="21"/>
        </w:rPr>
        <w:fldChar w:fldCharType="begin"/>
      </w:r>
      <w:r>
        <w:rPr>
          <w:rFonts w:hint="eastAsia" w:ascii="宋体" w:hAnsi="宋体" w:eastAsia="宋体" w:cs="宋体"/>
          <w:iCs w:val="0"/>
          <w:szCs w:val="21"/>
        </w:rPr>
        <w:instrText xml:space="preserve"> PAGEREF _Toc31853 </w:instrText>
      </w:r>
      <w:r>
        <w:rPr>
          <w:rFonts w:hint="eastAsia" w:ascii="宋体" w:hAnsi="宋体" w:eastAsia="宋体" w:cs="宋体"/>
          <w:iCs w:val="0"/>
          <w:szCs w:val="21"/>
        </w:rPr>
        <w:fldChar w:fldCharType="separate"/>
      </w:r>
      <w:r>
        <w:rPr>
          <w:rFonts w:hint="eastAsia" w:ascii="宋体" w:hAnsi="宋体" w:eastAsia="宋体" w:cs="宋体"/>
          <w:iCs w:val="0"/>
          <w:szCs w:val="21"/>
        </w:rPr>
        <w:t>15</w:t>
      </w:r>
      <w:r>
        <w:rPr>
          <w:rFonts w:hint="eastAsia" w:ascii="宋体" w:hAnsi="宋体" w:eastAsia="宋体" w:cs="宋体"/>
          <w:iCs w:val="0"/>
          <w:szCs w:val="21"/>
        </w:rPr>
        <w:fldChar w:fldCharType="end"/>
      </w:r>
      <w:r>
        <w:rPr>
          <w:rFonts w:hint="eastAsia" w:ascii="宋体" w:hAnsi="宋体" w:eastAsia="宋体" w:cs="宋体"/>
          <w:iCs w:val="0"/>
          <w:szCs w:val="21"/>
        </w:rPr>
        <w:fldChar w:fldCharType="end"/>
      </w:r>
      <w:r>
        <w:rPr>
          <w:rFonts w:hint="eastAsia" w:ascii="宋体" w:hAnsi="宋体" w:eastAsia="宋体" w:cs="宋体"/>
          <w:bCs/>
          <w:iCs w:val="0"/>
          <w:kern w:val="44"/>
          <w:szCs w:val="21"/>
        </w:rPr>
        <w:t>2</w:t>
      </w:r>
    </w:p>
    <w:p>
      <w:pPr>
        <w:pStyle w:val="17"/>
        <w:tabs>
          <w:tab w:val="right" w:leader="dot" w:pos="8669"/>
        </w:tabs>
        <w:spacing w:line="300" w:lineRule="exact"/>
        <w:rPr>
          <w:rFonts w:ascii="宋体" w:hAnsi="宋体" w:cs="宋体"/>
          <w:szCs w:val="21"/>
        </w:rPr>
      </w:pPr>
      <w:r>
        <w:fldChar w:fldCharType="begin"/>
      </w:r>
      <w:r>
        <w:instrText xml:space="preserve"> HYPERLINK \l "_Toc19694" </w:instrText>
      </w:r>
      <w:r>
        <w:fldChar w:fldCharType="separate"/>
      </w:r>
      <w:r>
        <w:rPr>
          <w:rFonts w:hint="eastAsia" w:ascii="宋体" w:hAnsi="宋体" w:cs="宋体"/>
          <w:bCs/>
          <w:szCs w:val="21"/>
        </w:rPr>
        <w:t>附5-1安全事故报告表</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_Toc19694 </w:instrText>
      </w:r>
      <w:r>
        <w:rPr>
          <w:rFonts w:hint="eastAsia" w:ascii="宋体" w:hAnsi="宋体" w:cs="宋体"/>
          <w:szCs w:val="21"/>
        </w:rPr>
        <w:fldChar w:fldCharType="separate"/>
      </w:r>
      <w:r>
        <w:rPr>
          <w:rFonts w:hint="eastAsia" w:ascii="宋体" w:hAnsi="宋体" w:cs="宋体"/>
          <w:szCs w:val="21"/>
        </w:rPr>
        <w:t>15</w:t>
      </w:r>
      <w:r>
        <w:rPr>
          <w:rFonts w:hint="eastAsia" w:ascii="宋体" w:hAnsi="宋体" w:cs="宋体"/>
          <w:szCs w:val="21"/>
        </w:rPr>
        <w:fldChar w:fldCharType="end"/>
      </w:r>
      <w:r>
        <w:rPr>
          <w:rFonts w:hint="eastAsia" w:ascii="宋体" w:hAnsi="宋体" w:cs="宋体"/>
          <w:szCs w:val="21"/>
        </w:rPr>
        <w:fldChar w:fldCharType="end"/>
      </w:r>
      <w:r>
        <w:rPr>
          <w:rFonts w:hint="eastAsia" w:ascii="宋体" w:hAnsi="宋体" w:cs="宋体"/>
          <w:bCs/>
          <w:kern w:val="44"/>
          <w:szCs w:val="21"/>
        </w:rPr>
        <w:t>2</w:t>
      </w:r>
    </w:p>
    <w:p>
      <w:pPr>
        <w:pStyle w:val="17"/>
        <w:tabs>
          <w:tab w:val="right" w:leader="dot" w:pos="8669"/>
        </w:tabs>
        <w:spacing w:line="300" w:lineRule="exact"/>
        <w:rPr>
          <w:rFonts w:ascii="宋体" w:hAnsi="宋体" w:cs="宋体"/>
          <w:szCs w:val="21"/>
        </w:rPr>
      </w:pPr>
      <w:r>
        <w:fldChar w:fldCharType="begin"/>
      </w:r>
      <w:r>
        <w:instrText xml:space="preserve"> HYPERLINK \l "_Toc20063" </w:instrText>
      </w:r>
      <w:r>
        <w:fldChar w:fldCharType="separate"/>
      </w:r>
      <w:r>
        <w:rPr>
          <w:rFonts w:hint="eastAsia" w:ascii="宋体" w:hAnsi="宋体" w:cs="宋体"/>
          <w:szCs w:val="21"/>
        </w:rPr>
        <w:t>附5-2 信息接收登记表</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_Toc20063 </w:instrText>
      </w:r>
      <w:r>
        <w:rPr>
          <w:rFonts w:hint="eastAsia" w:ascii="宋体" w:hAnsi="宋体" w:cs="宋体"/>
          <w:szCs w:val="21"/>
        </w:rPr>
        <w:fldChar w:fldCharType="separate"/>
      </w:r>
      <w:r>
        <w:rPr>
          <w:rFonts w:hint="eastAsia" w:ascii="宋体" w:hAnsi="宋体" w:cs="宋体"/>
          <w:szCs w:val="21"/>
        </w:rPr>
        <w:t>15</w:t>
      </w:r>
      <w:r>
        <w:rPr>
          <w:rFonts w:hint="eastAsia" w:ascii="宋体" w:hAnsi="宋体" w:cs="宋体"/>
          <w:szCs w:val="21"/>
        </w:rPr>
        <w:fldChar w:fldCharType="end"/>
      </w:r>
      <w:r>
        <w:rPr>
          <w:rFonts w:hint="eastAsia" w:ascii="宋体" w:hAnsi="宋体" w:cs="宋体"/>
          <w:szCs w:val="21"/>
        </w:rPr>
        <w:fldChar w:fldCharType="end"/>
      </w:r>
      <w:r>
        <w:rPr>
          <w:rFonts w:hint="eastAsia" w:ascii="宋体" w:hAnsi="宋体" w:cs="宋体"/>
          <w:bCs/>
          <w:kern w:val="44"/>
          <w:szCs w:val="21"/>
        </w:rPr>
        <w:t>3</w:t>
      </w:r>
    </w:p>
    <w:p>
      <w:pPr>
        <w:pStyle w:val="17"/>
        <w:tabs>
          <w:tab w:val="right" w:leader="dot" w:pos="8669"/>
        </w:tabs>
        <w:spacing w:line="300" w:lineRule="exact"/>
        <w:rPr>
          <w:rFonts w:ascii="宋体" w:hAnsi="宋体" w:cs="宋体"/>
          <w:szCs w:val="21"/>
        </w:rPr>
      </w:pPr>
      <w:r>
        <w:fldChar w:fldCharType="begin"/>
      </w:r>
      <w:r>
        <w:instrText xml:space="preserve"> HYPERLINK \l "_Toc26721" </w:instrText>
      </w:r>
      <w:r>
        <w:fldChar w:fldCharType="separate"/>
      </w:r>
      <w:r>
        <w:rPr>
          <w:rFonts w:hint="eastAsia" w:ascii="宋体" w:hAnsi="宋体" w:cs="宋体"/>
          <w:szCs w:val="21"/>
        </w:rPr>
        <w:t>附5-3 事件行动记录单</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_Toc26721 </w:instrText>
      </w:r>
      <w:r>
        <w:rPr>
          <w:rFonts w:hint="eastAsia" w:ascii="宋体" w:hAnsi="宋体" w:cs="宋体"/>
          <w:szCs w:val="21"/>
        </w:rPr>
        <w:fldChar w:fldCharType="separate"/>
      </w:r>
      <w:r>
        <w:rPr>
          <w:rFonts w:hint="eastAsia" w:ascii="宋体" w:hAnsi="宋体" w:cs="宋体"/>
          <w:szCs w:val="21"/>
        </w:rPr>
        <w:t>15</w:t>
      </w:r>
      <w:r>
        <w:rPr>
          <w:rFonts w:hint="eastAsia" w:ascii="宋体" w:hAnsi="宋体" w:cs="宋体"/>
          <w:szCs w:val="21"/>
        </w:rPr>
        <w:fldChar w:fldCharType="end"/>
      </w:r>
      <w:r>
        <w:rPr>
          <w:rFonts w:hint="eastAsia" w:ascii="宋体" w:hAnsi="宋体" w:cs="宋体"/>
          <w:szCs w:val="21"/>
        </w:rPr>
        <w:fldChar w:fldCharType="end"/>
      </w:r>
      <w:r>
        <w:rPr>
          <w:rFonts w:hint="eastAsia" w:ascii="宋体" w:hAnsi="宋体" w:cs="宋体"/>
          <w:bCs/>
          <w:kern w:val="44"/>
          <w:szCs w:val="21"/>
        </w:rPr>
        <w:t>4</w:t>
      </w:r>
    </w:p>
    <w:p>
      <w:pPr>
        <w:pStyle w:val="17"/>
        <w:tabs>
          <w:tab w:val="right" w:leader="dot" w:pos="8669"/>
        </w:tabs>
        <w:spacing w:line="300" w:lineRule="exact"/>
        <w:rPr>
          <w:rFonts w:ascii="宋体" w:hAnsi="宋体" w:cs="宋体"/>
          <w:szCs w:val="21"/>
        </w:rPr>
      </w:pPr>
      <w:r>
        <w:fldChar w:fldCharType="begin"/>
      </w:r>
      <w:r>
        <w:instrText xml:space="preserve"> HYPERLINK \l "_Toc6606" </w:instrText>
      </w:r>
      <w:r>
        <w:fldChar w:fldCharType="separate"/>
      </w:r>
      <w:r>
        <w:rPr>
          <w:rFonts w:hint="eastAsia" w:ascii="宋体" w:hAnsi="宋体" w:cs="宋体"/>
          <w:szCs w:val="21"/>
        </w:rPr>
        <w:t>附5-4 信息处理登记表</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_Toc6606 </w:instrText>
      </w:r>
      <w:r>
        <w:rPr>
          <w:rFonts w:hint="eastAsia" w:ascii="宋体" w:hAnsi="宋体" w:cs="宋体"/>
          <w:szCs w:val="21"/>
        </w:rPr>
        <w:fldChar w:fldCharType="separate"/>
      </w:r>
      <w:r>
        <w:rPr>
          <w:rFonts w:hint="eastAsia" w:ascii="宋体" w:hAnsi="宋体" w:cs="宋体"/>
          <w:szCs w:val="21"/>
        </w:rPr>
        <w:t>15</w:t>
      </w:r>
      <w:r>
        <w:rPr>
          <w:rFonts w:hint="eastAsia" w:ascii="宋体" w:hAnsi="宋体" w:cs="宋体"/>
          <w:szCs w:val="21"/>
        </w:rPr>
        <w:fldChar w:fldCharType="end"/>
      </w:r>
      <w:r>
        <w:rPr>
          <w:rFonts w:hint="eastAsia" w:ascii="宋体" w:hAnsi="宋体" w:cs="宋体"/>
          <w:szCs w:val="21"/>
        </w:rPr>
        <w:fldChar w:fldCharType="end"/>
      </w:r>
      <w:r>
        <w:rPr>
          <w:rFonts w:hint="eastAsia" w:ascii="宋体" w:hAnsi="宋体" w:cs="宋体"/>
          <w:bCs/>
          <w:kern w:val="44"/>
          <w:szCs w:val="21"/>
        </w:rPr>
        <w:t>5</w:t>
      </w:r>
    </w:p>
    <w:p>
      <w:pPr>
        <w:pStyle w:val="17"/>
        <w:tabs>
          <w:tab w:val="right" w:leader="dot" w:pos="8669"/>
        </w:tabs>
        <w:spacing w:line="300" w:lineRule="exact"/>
        <w:rPr>
          <w:rFonts w:ascii="宋体" w:hAnsi="宋体" w:cs="宋体"/>
          <w:szCs w:val="21"/>
        </w:rPr>
      </w:pPr>
      <w:r>
        <w:fldChar w:fldCharType="begin"/>
      </w:r>
      <w:r>
        <w:instrText xml:space="preserve"> HYPERLINK \l "_Toc14299" </w:instrText>
      </w:r>
      <w:r>
        <w:fldChar w:fldCharType="separate"/>
      </w:r>
      <w:r>
        <w:rPr>
          <w:rFonts w:hint="eastAsia" w:ascii="宋体" w:hAnsi="宋体" w:cs="宋体"/>
          <w:szCs w:val="21"/>
        </w:rPr>
        <w:t>附5-5 事故上报表</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_Toc14299 </w:instrText>
      </w:r>
      <w:r>
        <w:rPr>
          <w:rFonts w:hint="eastAsia" w:ascii="宋体" w:hAnsi="宋体" w:cs="宋体"/>
          <w:szCs w:val="21"/>
        </w:rPr>
        <w:fldChar w:fldCharType="separate"/>
      </w:r>
      <w:r>
        <w:rPr>
          <w:rFonts w:hint="eastAsia" w:ascii="宋体" w:hAnsi="宋体" w:cs="宋体"/>
          <w:szCs w:val="21"/>
        </w:rPr>
        <w:t>15</w:t>
      </w:r>
      <w:r>
        <w:rPr>
          <w:rFonts w:hint="eastAsia" w:ascii="宋体" w:hAnsi="宋体" w:cs="宋体"/>
          <w:szCs w:val="21"/>
        </w:rPr>
        <w:fldChar w:fldCharType="end"/>
      </w:r>
      <w:r>
        <w:rPr>
          <w:rFonts w:hint="eastAsia" w:ascii="宋体" w:hAnsi="宋体" w:cs="宋体"/>
          <w:szCs w:val="21"/>
        </w:rPr>
        <w:fldChar w:fldCharType="end"/>
      </w:r>
      <w:r>
        <w:rPr>
          <w:rFonts w:hint="eastAsia" w:ascii="宋体" w:hAnsi="宋体" w:cs="宋体"/>
          <w:bCs/>
          <w:kern w:val="44"/>
          <w:szCs w:val="21"/>
        </w:rPr>
        <w:t>6</w:t>
      </w:r>
    </w:p>
    <w:p>
      <w:pPr>
        <w:pStyle w:val="17"/>
        <w:tabs>
          <w:tab w:val="right" w:leader="dot" w:pos="8669"/>
        </w:tabs>
        <w:spacing w:line="300" w:lineRule="exact"/>
        <w:rPr>
          <w:rFonts w:ascii="宋体" w:hAnsi="宋体" w:cs="宋体"/>
          <w:szCs w:val="21"/>
        </w:rPr>
      </w:pPr>
      <w:r>
        <w:fldChar w:fldCharType="begin"/>
      </w:r>
      <w:r>
        <w:instrText xml:space="preserve"> HYPERLINK \l "_Toc29868" </w:instrText>
      </w:r>
      <w:r>
        <w:fldChar w:fldCharType="separate"/>
      </w:r>
      <w:r>
        <w:rPr>
          <w:rFonts w:hint="eastAsia" w:ascii="宋体" w:hAnsi="宋体" w:cs="宋体"/>
          <w:szCs w:val="21"/>
        </w:rPr>
        <w:t>附5-6 信息上报登记表</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_Toc29868 </w:instrText>
      </w:r>
      <w:r>
        <w:rPr>
          <w:rFonts w:hint="eastAsia" w:ascii="宋体" w:hAnsi="宋体" w:cs="宋体"/>
          <w:szCs w:val="21"/>
        </w:rPr>
        <w:fldChar w:fldCharType="separate"/>
      </w:r>
      <w:r>
        <w:rPr>
          <w:rFonts w:hint="eastAsia" w:ascii="宋体" w:hAnsi="宋体" w:cs="宋体"/>
          <w:szCs w:val="21"/>
        </w:rPr>
        <w:t>15</w:t>
      </w:r>
      <w:r>
        <w:rPr>
          <w:rFonts w:hint="eastAsia" w:ascii="宋体" w:hAnsi="宋体" w:cs="宋体"/>
          <w:szCs w:val="21"/>
        </w:rPr>
        <w:fldChar w:fldCharType="end"/>
      </w:r>
      <w:r>
        <w:rPr>
          <w:rFonts w:hint="eastAsia" w:ascii="宋体" w:hAnsi="宋体" w:cs="宋体"/>
          <w:szCs w:val="21"/>
        </w:rPr>
        <w:fldChar w:fldCharType="end"/>
      </w:r>
      <w:r>
        <w:rPr>
          <w:rFonts w:hint="eastAsia" w:ascii="宋体" w:hAnsi="宋体" w:cs="宋体"/>
          <w:bCs/>
          <w:kern w:val="44"/>
          <w:szCs w:val="21"/>
        </w:rPr>
        <w:t>7</w:t>
      </w:r>
    </w:p>
    <w:p>
      <w:pPr>
        <w:pStyle w:val="17"/>
        <w:tabs>
          <w:tab w:val="right" w:leader="dot" w:pos="8669"/>
        </w:tabs>
        <w:spacing w:line="300" w:lineRule="exact"/>
        <w:rPr>
          <w:rFonts w:ascii="宋体" w:hAnsi="宋体" w:cs="宋体"/>
          <w:szCs w:val="21"/>
        </w:rPr>
      </w:pPr>
      <w:r>
        <w:fldChar w:fldCharType="begin"/>
      </w:r>
      <w:r>
        <w:instrText xml:space="preserve"> HYPERLINK \l "_Toc12161" </w:instrText>
      </w:r>
      <w:r>
        <w:fldChar w:fldCharType="separate"/>
      </w:r>
      <w:r>
        <w:rPr>
          <w:rFonts w:hint="eastAsia" w:ascii="宋体" w:hAnsi="宋体" w:cs="宋体"/>
          <w:szCs w:val="21"/>
        </w:rPr>
        <w:t>附5-7 应急救援演练记录</w:t>
      </w:r>
      <w:r>
        <w:rPr>
          <w:rFonts w:hint="eastAsia" w:ascii="宋体" w:hAnsi="宋体" w:cs="宋体"/>
          <w:szCs w:val="21"/>
        </w:rPr>
        <w:tab/>
      </w:r>
      <w:r>
        <w:rPr>
          <w:rFonts w:hint="eastAsia" w:ascii="宋体" w:hAnsi="宋体" w:cs="宋体"/>
          <w:szCs w:val="21"/>
        </w:rPr>
        <w:t>158</w:t>
      </w:r>
      <w:r>
        <w:rPr>
          <w:rFonts w:hint="eastAsia" w:ascii="宋体" w:hAnsi="宋体" w:cs="宋体"/>
          <w:szCs w:val="21"/>
        </w:rPr>
        <w:fldChar w:fldCharType="end"/>
      </w:r>
    </w:p>
    <w:p>
      <w:pPr>
        <w:pStyle w:val="17"/>
        <w:tabs>
          <w:tab w:val="right" w:leader="dot" w:pos="8669"/>
        </w:tabs>
        <w:spacing w:line="300" w:lineRule="exact"/>
        <w:rPr>
          <w:rFonts w:ascii="宋体" w:hAnsi="宋体" w:cs="宋体"/>
          <w:szCs w:val="21"/>
        </w:rPr>
      </w:pPr>
      <w:r>
        <w:fldChar w:fldCharType="begin"/>
      </w:r>
      <w:r>
        <w:instrText xml:space="preserve"> HYPERLINK \l "_Toc18584" </w:instrText>
      </w:r>
      <w:r>
        <w:fldChar w:fldCharType="separate"/>
      </w:r>
      <w:r>
        <w:rPr>
          <w:rFonts w:hint="eastAsia" w:ascii="宋体" w:hAnsi="宋体" w:cs="宋体"/>
          <w:szCs w:val="21"/>
        </w:rPr>
        <w:t>附5-8 应急预案文件修改控制表</w:t>
      </w:r>
      <w:r>
        <w:rPr>
          <w:rFonts w:hint="eastAsia" w:ascii="宋体" w:hAnsi="宋体" w:cs="宋体"/>
          <w:szCs w:val="21"/>
        </w:rPr>
        <w:tab/>
      </w:r>
      <w:r>
        <w:rPr>
          <w:rFonts w:hint="eastAsia" w:ascii="宋体" w:hAnsi="宋体" w:cs="宋体"/>
          <w:szCs w:val="21"/>
        </w:rPr>
        <w:t>1</w:t>
      </w:r>
      <w:r>
        <w:rPr>
          <w:rFonts w:hint="eastAsia" w:ascii="宋体" w:hAnsi="宋体" w:cs="宋体"/>
          <w:szCs w:val="21"/>
        </w:rPr>
        <w:fldChar w:fldCharType="end"/>
      </w:r>
      <w:r>
        <w:rPr>
          <w:rFonts w:hint="eastAsia" w:ascii="宋体" w:hAnsi="宋体" w:cs="宋体"/>
          <w:bCs/>
          <w:kern w:val="44"/>
          <w:szCs w:val="21"/>
        </w:rPr>
        <w:t>59</w:t>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"_Toc2113" </w:instrText>
      </w:r>
      <w:r>
        <w:fldChar w:fldCharType="separate"/>
      </w:r>
      <w:r>
        <w:rPr>
          <w:rFonts w:hint="eastAsia" w:ascii="宋体" w:hAnsi="宋体" w:eastAsia="宋体" w:cs="宋体"/>
          <w:bCs/>
          <w:iCs w:val="0"/>
          <w:szCs w:val="21"/>
        </w:rPr>
        <w:t>附件6应急处置注意事项</w:t>
      </w:r>
      <w:r>
        <w:rPr>
          <w:rFonts w:hint="eastAsia" w:ascii="宋体" w:hAnsi="宋体" w:eastAsia="宋体" w:cs="宋体"/>
          <w:iCs w:val="0"/>
          <w:szCs w:val="21"/>
        </w:rPr>
        <w:tab/>
      </w:r>
      <w:r>
        <w:rPr>
          <w:rFonts w:hint="eastAsia" w:ascii="宋体" w:hAnsi="宋体" w:eastAsia="宋体" w:cs="宋体"/>
          <w:iCs w:val="0"/>
          <w:szCs w:val="21"/>
        </w:rPr>
        <w:fldChar w:fldCharType="begin"/>
      </w:r>
      <w:r>
        <w:rPr>
          <w:rFonts w:hint="eastAsia" w:ascii="宋体" w:hAnsi="宋体" w:eastAsia="宋体" w:cs="宋体"/>
          <w:iCs w:val="0"/>
          <w:szCs w:val="21"/>
        </w:rPr>
        <w:instrText xml:space="preserve"> PAGEREF _Toc2113 </w:instrText>
      </w:r>
      <w:r>
        <w:rPr>
          <w:rFonts w:hint="eastAsia" w:ascii="宋体" w:hAnsi="宋体" w:eastAsia="宋体" w:cs="宋体"/>
          <w:iCs w:val="0"/>
          <w:szCs w:val="21"/>
        </w:rPr>
        <w:fldChar w:fldCharType="separate"/>
      </w:r>
      <w:r>
        <w:rPr>
          <w:rFonts w:hint="eastAsia" w:ascii="宋体" w:hAnsi="宋体" w:eastAsia="宋体" w:cs="宋体"/>
          <w:iCs w:val="0"/>
          <w:szCs w:val="21"/>
        </w:rPr>
        <w:t>160</w:t>
      </w:r>
      <w:r>
        <w:rPr>
          <w:rFonts w:hint="eastAsia" w:ascii="宋体" w:hAnsi="宋体" w:eastAsia="宋体" w:cs="宋体"/>
          <w:iCs w:val="0"/>
          <w:szCs w:val="21"/>
        </w:rPr>
        <w:fldChar w:fldCharType="end"/>
      </w:r>
      <w:r>
        <w:rPr>
          <w:rFonts w:hint="eastAsia" w:ascii="宋体" w:hAnsi="宋体" w:eastAsia="宋体" w:cs="宋体"/>
          <w:iCs w:val="0"/>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"_Toc12651" </w:instrText>
      </w:r>
      <w:r>
        <w:fldChar w:fldCharType="separate"/>
      </w:r>
      <w:r>
        <w:rPr>
          <w:rFonts w:hint="eastAsia" w:ascii="宋体" w:hAnsi="宋体" w:eastAsia="宋体" w:cs="宋体"/>
          <w:bCs/>
          <w:iCs w:val="0"/>
          <w:szCs w:val="21"/>
        </w:rPr>
        <w:t>附件7简易医疗救护方法</w:t>
      </w:r>
      <w:r>
        <w:rPr>
          <w:rFonts w:hint="eastAsia" w:ascii="宋体" w:hAnsi="宋体" w:eastAsia="宋体" w:cs="宋体"/>
          <w:iCs w:val="0"/>
          <w:szCs w:val="21"/>
        </w:rPr>
        <w:tab/>
      </w:r>
      <w:r>
        <w:rPr>
          <w:rFonts w:hint="eastAsia" w:ascii="宋体" w:hAnsi="宋体" w:eastAsia="宋体" w:cs="宋体"/>
          <w:iCs w:val="0"/>
          <w:szCs w:val="21"/>
        </w:rPr>
        <w:fldChar w:fldCharType="begin"/>
      </w:r>
      <w:r>
        <w:rPr>
          <w:rFonts w:hint="eastAsia" w:ascii="宋体" w:hAnsi="宋体" w:eastAsia="宋体" w:cs="宋体"/>
          <w:iCs w:val="0"/>
          <w:szCs w:val="21"/>
        </w:rPr>
        <w:instrText xml:space="preserve"> PAGEREF _Toc12651 </w:instrText>
      </w:r>
      <w:r>
        <w:rPr>
          <w:rFonts w:hint="eastAsia" w:ascii="宋体" w:hAnsi="宋体" w:eastAsia="宋体" w:cs="宋体"/>
          <w:iCs w:val="0"/>
          <w:szCs w:val="21"/>
        </w:rPr>
        <w:fldChar w:fldCharType="separate"/>
      </w:r>
      <w:r>
        <w:rPr>
          <w:rFonts w:hint="eastAsia" w:ascii="宋体" w:hAnsi="宋体" w:eastAsia="宋体" w:cs="宋体"/>
          <w:iCs w:val="0"/>
          <w:szCs w:val="21"/>
        </w:rPr>
        <w:t>16</w:t>
      </w:r>
      <w:r>
        <w:rPr>
          <w:rFonts w:hint="eastAsia" w:ascii="宋体" w:hAnsi="宋体" w:eastAsia="宋体" w:cs="宋体"/>
          <w:iCs w:val="0"/>
          <w:szCs w:val="21"/>
        </w:rPr>
        <w:fldChar w:fldCharType="end"/>
      </w:r>
      <w:r>
        <w:rPr>
          <w:rFonts w:hint="eastAsia" w:ascii="宋体" w:hAnsi="宋体" w:eastAsia="宋体" w:cs="宋体"/>
          <w:iCs w:val="0"/>
          <w:szCs w:val="21"/>
        </w:rPr>
        <w:fldChar w:fldCharType="end"/>
      </w:r>
      <w:r>
        <w:rPr>
          <w:rFonts w:hint="eastAsia" w:ascii="宋体" w:hAnsi="宋体" w:eastAsia="宋体" w:cs="宋体"/>
          <w:bCs/>
          <w:iCs w:val="0"/>
          <w:kern w:val="44"/>
          <w:szCs w:val="21"/>
        </w:rPr>
        <w:t>2</w:t>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"_Toc8871" </w:instrText>
      </w:r>
      <w:r>
        <w:fldChar w:fldCharType="separate"/>
      </w:r>
      <w:r>
        <w:rPr>
          <w:rFonts w:hint="eastAsia" w:ascii="宋体" w:hAnsi="宋体" w:eastAsia="宋体" w:cs="宋体"/>
          <w:bCs/>
          <w:iCs w:val="0"/>
          <w:szCs w:val="21"/>
        </w:rPr>
        <w:t>附件8重点监管危险化学品（汽油）安全措施和应急处置原则</w:t>
      </w:r>
      <w:r>
        <w:rPr>
          <w:rFonts w:hint="eastAsia" w:ascii="宋体" w:hAnsi="宋体" w:eastAsia="宋体" w:cs="宋体"/>
          <w:iCs w:val="0"/>
          <w:szCs w:val="21"/>
        </w:rPr>
        <w:tab/>
      </w:r>
      <w:r>
        <w:rPr>
          <w:rFonts w:hint="eastAsia" w:ascii="宋体" w:hAnsi="宋体" w:eastAsia="宋体" w:cs="宋体"/>
          <w:iCs w:val="0"/>
          <w:szCs w:val="21"/>
        </w:rPr>
        <w:fldChar w:fldCharType="begin"/>
      </w:r>
      <w:r>
        <w:rPr>
          <w:rFonts w:hint="eastAsia" w:ascii="宋体" w:hAnsi="宋体" w:eastAsia="宋体" w:cs="宋体"/>
          <w:iCs w:val="0"/>
          <w:szCs w:val="21"/>
        </w:rPr>
        <w:instrText xml:space="preserve"> PAGEREF _Toc8871 </w:instrText>
      </w:r>
      <w:r>
        <w:rPr>
          <w:rFonts w:hint="eastAsia" w:ascii="宋体" w:hAnsi="宋体" w:eastAsia="宋体" w:cs="宋体"/>
          <w:iCs w:val="0"/>
          <w:szCs w:val="21"/>
        </w:rPr>
        <w:fldChar w:fldCharType="separate"/>
      </w:r>
      <w:r>
        <w:rPr>
          <w:rFonts w:hint="eastAsia" w:ascii="宋体" w:hAnsi="宋体" w:eastAsia="宋体" w:cs="宋体"/>
          <w:iCs w:val="0"/>
          <w:szCs w:val="21"/>
        </w:rPr>
        <w:t>163</w:t>
      </w:r>
      <w:r>
        <w:rPr>
          <w:rFonts w:hint="eastAsia" w:ascii="宋体" w:hAnsi="宋体" w:eastAsia="宋体" w:cs="宋体"/>
          <w:iCs w:val="0"/>
          <w:szCs w:val="21"/>
        </w:rPr>
        <w:fldChar w:fldCharType="end"/>
      </w:r>
      <w:r>
        <w:rPr>
          <w:rFonts w:hint="eastAsia" w:ascii="宋体" w:hAnsi="宋体" w:eastAsia="宋体" w:cs="宋体"/>
          <w:iCs w:val="0"/>
          <w:szCs w:val="21"/>
        </w:rPr>
        <w:fldChar w:fldCharType="end"/>
      </w:r>
    </w:p>
    <w:p>
      <w:pPr>
        <w:pStyle w:val="26"/>
        <w:tabs>
          <w:tab w:val="right" w:leader="dot" w:pos="8669"/>
        </w:tabs>
        <w:spacing w:line="300" w:lineRule="exact"/>
        <w:rPr>
          <w:rFonts w:ascii="宋体" w:hAnsi="宋体" w:eastAsia="宋体" w:cs="宋体"/>
          <w:iCs w:val="0"/>
          <w:szCs w:val="21"/>
        </w:rPr>
      </w:pPr>
      <w:r>
        <w:fldChar w:fldCharType="begin"/>
      </w:r>
      <w:r>
        <w:instrText xml:space="preserve"> HYPERLINK \l "_Toc22839" </w:instrText>
      </w:r>
      <w:r>
        <w:fldChar w:fldCharType="separate"/>
      </w:r>
      <w:r>
        <w:rPr>
          <w:rFonts w:hint="eastAsia" w:ascii="宋体" w:hAnsi="宋体" w:eastAsia="宋体" w:cs="宋体"/>
          <w:bCs/>
          <w:iCs w:val="0"/>
          <w:szCs w:val="21"/>
        </w:rPr>
        <w:t>附件9</w:t>
      </w:r>
      <w:r>
        <w:rPr>
          <w:rFonts w:hint="eastAsia" w:ascii="宋体" w:hAnsi="宋体" w:eastAsia="宋体" w:cs="宋体"/>
          <w:iCs w:val="0"/>
          <w:szCs w:val="21"/>
        </w:rPr>
        <w:t>主要负责人及安全管理员</w:t>
      </w:r>
      <w:r>
        <w:rPr>
          <w:rFonts w:hint="eastAsia" w:ascii="宋体" w:hAnsi="宋体" w:eastAsia="宋体" w:cs="宋体"/>
          <w:iCs w:val="0"/>
          <w:szCs w:val="21"/>
        </w:rPr>
        <w:tab/>
      </w:r>
      <w:r>
        <w:rPr>
          <w:rFonts w:hint="eastAsia" w:ascii="宋体" w:hAnsi="宋体" w:eastAsia="宋体" w:cs="宋体"/>
          <w:iCs w:val="0"/>
          <w:szCs w:val="21"/>
        </w:rPr>
        <w:fldChar w:fldCharType="begin"/>
      </w:r>
      <w:r>
        <w:rPr>
          <w:rFonts w:hint="eastAsia" w:ascii="宋体" w:hAnsi="宋体" w:eastAsia="宋体" w:cs="宋体"/>
          <w:iCs w:val="0"/>
          <w:szCs w:val="21"/>
        </w:rPr>
        <w:instrText xml:space="preserve"> PAGEREF _Toc22839 </w:instrText>
      </w:r>
      <w:r>
        <w:rPr>
          <w:rFonts w:hint="eastAsia" w:ascii="宋体" w:hAnsi="宋体" w:eastAsia="宋体" w:cs="宋体"/>
          <w:iCs w:val="0"/>
          <w:szCs w:val="21"/>
        </w:rPr>
        <w:fldChar w:fldCharType="separate"/>
      </w:r>
      <w:r>
        <w:rPr>
          <w:rFonts w:hint="eastAsia" w:ascii="宋体" w:hAnsi="宋体" w:eastAsia="宋体" w:cs="宋体"/>
          <w:iCs w:val="0"/>
          <w:szCs w:val="21"/>
        </w:rPr>
        <w:t>16</w:t>
      </w:r>
      <w:r>
        <w:rPr>
          <w:rFonts w:hint="eastAsia" w:ascii="宋体" w:hAnsi="宋体" w:eastAsia="宋体" w:cs="宋体"/>
          <w:iCs w:val="0"/>
          <w:szCs w:val="21"/>
        </w:rPr>
        <w:fldChar w:fldCharType="end"/>
      </w:r>
      <w:r>
        <w:rPr>
          <w:rFonts w:hint="eastAsia" w:ascii="宋体" w:hAnsi="宋体" w:eastAsia="宋体" w:cs="宋体"/>
          <w:iCs w:val="0"/>
          <w:szCs w:val="21"/>
        </w:rPr>
        <w:fldChar w:fldCharType="end"/>
      </w:r>
      <w:r>
        <w:rPr>
          <w:rFonts w:hint="eastAsia" w:ascii="宋体" w:hAnsi="宋体" w:eastAsia="宋体" w:cs="宋体"/>
          <w:bCs/>
          <w:iCs w:val="0"/>
          <w:kern w:val="44"/>
          <w:szCs w:val="21"/>
        </w:rPr>
        <w:t>5</w:t>
      </w:r>
    </w:p>
    <w:p>
      <w:pPr>
        <w:pStyle w:val="26"/>
        <w:spacing w:line="300" w:lineRule="exact"/>
        <w:ind w:left="420"/>
        <w:rPr>
          <w:rFonts w:eastAsia="宋体" w:cs="宋体"/>
          <w:b/>
          <w:bCs/>
          <w:kern w:val="44"/>
          <w:sz w:val="32"/>
          <w:szCs w:val="32"/>
        </w:rPr>
      </w:pPr>
      <w:r>
        <w:rPr>
          <w:rFonts w:hint="eastAsia" w:ascii="宋体" w:hAnsi="宋体" w:eastAsia="宋体" w:cs="宋体"/>
          <w:bCs/>
          <w:iCs w:val="0"/>
          <w:kern w:val="44"/>
          <w:szCs w:val="21"/>
        </w:rPr>
        <w:fldChar w:fldCharType="end"/>
      </w:r>
    </w:p>
    <w:p>
      <w:pPr>
        <w:sectPr>
          <w:footerReference r:id="rId6" w:type="default"/>
          <w:pgSz w:w="11906" w:h="16838"/>
          <w:pgMar w:top="1440" w:right="1440" w:bottom="1440" w:left="1797" w:header="720" w:footer="720" w:gutter="0"/>
          <w:pgNumType w:start="1"/>
          <w:cols w:space="720" w:num="1"/>
          <w:docGrid w:type="lines" w:linePitch="312" w:charSpace="0"/>
        </w:sectPr>
      </w:pPr>
    </w:p>
    <w:p>
      <w:pPr>
        <w:rPr>
          <w:rFonts w:cs="宋体"/>
          <w:b/>
          <w:bCs/>
          <w:sz w:val="44"/>
          <w:szCs w:val="44"/>
        </w:rPr>
      </w:pPr>
      <w:bookmarkStart w:id="16" w:name="_Toc504989515"/>
      <w:bookmarkEnd w:id="16"/>
      <w:bookmarkStart w:id="17" w:name="_Toc10787"/>
      <w:bookmarkEnd w:id="17"/>
      <w:bookmarkStart w:id="18" w:name="_Toc504989514"/>
      <w:bookmarkEnd w:id="18"/>
      <w:bookmarkStart w:id="19" w:name="_Toc19635"/>
      <w:bookmarkStart w:id="20" w:name="_Toc14677"/>
    </w:p>
    <w:p>
      <w:pPr>
        <w:rPr>
          <w:rFonts w:cs="宋体"/>
          <w:b/>
          <w:bCs/>
          <w:sz w:val="44"/>
          <w:szCs w:val="44"/>
        </w:rPr>
      </w:pPr>
    </w:p>
    <w:p>
      <w:pPr>
        <w:rPr>
          <w:rFonts w:cs="宋体"/>
          <w:b/>
          <w:bCs/>
          <w:sz w:val="44"/>
          <w:szCs w:val="44"/>
        </w:rPr>
      </w:pPr>
    </w:p>
    <w:p>
      <w:pPr>
        <w:rPr>
          <w:rFonts w:cs="宋体"/>
          <w:b/>
          <w:bCs/>
          <w:sz w:val="44"/>
          <w:szCs w:val="44"/>
        </w:rPr>
      </w:pPr>
    </w:p>
    <w:p>
      <w:pPr>
        <w:rPr>
          <w:rFonts w:cs="宋体"/>
          <w:b/>
          <w:bCs/>
          <w:sz w:val="44"/>
          <w:szCs w:val="44"/>
        </w:rPr>
      </w:pPr>
    </w:p>
    <w:p>
      <w:pPr>
        <w:rPr>
          <w:rFonts w:cs="宋体"/>
          <w:b/>
          <w:bCs/>
          <w:sz w:val="44"/>
          <w:szCs w:val="44"/>
        </w:rPr>
      </w:pPr>
    </w:p>
    <w:p>
      <w:pPr>
        <w:rPr>
          <w:rFonts w:cs="宋体"/>
          <w:b/>
          <w:bCs/>
          <w:sz w:val="44"/>
          <w:szCs w:val="44"/>
        </w:rPr>
      </w:pPr>
    </w:p>
    <w:p>
      <w:pPr>
        <w:rPr>
          <w:rFonts w:cs="宋体"/>
          <w:b/>
          <w:bCs/>
          <w:sz w:val="44"/>
          <w:szCs w:val="44"/>
        </w:rPr>
      </w:pPr>
    </w:p>
    <w:p>
      <w:pPr>
        <w:rPr>
          <w:rFonts w:cs="宋体"/>
          <w:b/>
          <w:bCs/>
          <w:sz w:val="44"/>
          <w:szCs w:val="44"/>
        </w:rPr>
      </w:pPr>
    </w:p>
    <w:p>
      <w:pPr>
        <w:jc w:val="center"/>
        <w:outlineLvl w:val="0"/>
        <w:rPr>
          <w:sz w:val="44"/>
          <w:szCs w:val="44"/>
        </w:rPr>
      </w:pPr>
      <w:bookmarkStart w:id="21" w:name="_Toc16922"/>
      <w:bookmarkStart w:id="22" w:name="_Toc10174"/>
      <w:bookmarkStart w:id="23" w:name="_Toc23151"/>
      <w:r>
        <w:rPr>
          <w:rFonts w:hint="eastAsia" w:cs="宋体"/>
          <w:b/>
          <w:bCs/>
          <w:sz w:val="44"/>
          <w:szCs w:val="44"/>
        </w:rPr>
        <w:t>第一部分 生产安全事故综合应急预案</w:t>
      </w:r>
      <w:bookmarkEnd w:id="19"/>
      <w:bookmarkEnd w:id="21"/>
      <w:bookmarkEnd w:id="22"/>
      <w:bookmarkEnd w:id="23"/>
    </w:p>
    <w:p/>
    <w:p/>
    <w:p>
      <w:pPr>
        <w:pStyle w:val="3"/>
        <w:rPr>
          <w:rFonts w:eastAsia="宋体" w:cs="宋体"/>
        </w:rPr>
      </w:pPr>
      <w:bookmarkStart w:id="24" w:name="_Toc22169"/>
      <w:bookmarkStart w:id="25" w:name="_Toc29922"/>
      <w:bookmarkStart w:id="26" w:name="_Toc8008"/>
      <w:bookmarkStart w:id="27" w:name="_Toc21939"/>
      <w:r>
        <w:rPr>
          <w:rFonts w:hint="eastAsia" w:eastAsia="宋体" w:cs="宋体"/>
        </w:rPr>
        <w:t>第一章  总则</w:t>
      </w:r>
      <w:bookmarkEnd w:id="20"/>
      <w:bookmarkEnd w:id="24"/>
      <w:bookmarkEnd w:id="25"/>
      <w:bookmarkEnd w:id="26"/>
      <w:bookmarkEnd w:id="27"/>
    </w:p>
    <w:p>
      <w:pPr>
        <w:pStyle w:val="4"/>
        <w:spacing w:before="0" w:after="0" w:line="440" w:lineRule="exact"/>
        <w:rPr>
          <w:rStyle w:val="51"/>
          <w:rFonts w:hint="default" w:ascii="Times New Roman" w:hAnsi="Times New Roman" w:cs="宋体"/>
          <w:b/>
          <w:bCs/>
          <w:sz w:val="24"/>
          <w:szCs w:val="24"/>
        </w:rPr>
      </w:pPr>
      <w:bookmarkStart w:id="28" w:name="_Toc28943"/>
      <w:bookmarkEnd w:id="28"/>
      <w:bookmarkStart w:id="29" w:name="_Toc2419"/>
      <w:bookmarkEnd w:id="29"/>
      <w:bookmarkStart w:id="30" w:name="_Toc504989516"/>
      <w:bookmarkEnd w:id="30"/>
      <w:bookmarkStart w:id="31" w:name="_Toc162252134"/>
      <w:bookmarkEnd w:id="31"/>
      <w:bookmarkStart w:id="32" w:name="_Toc255133865"/>
      <w:bookmarkEnd w:id="32"/>
      <w:bookmarkStart w:id="33" w:name="_Toc17274"/>
      <w:bookmarkStart w:id="34" w:name="_Toc32224"/>
      <w:bookmarkStart w:id="35" w:name="_Toc22877"/>
      <w:bookmarkStart w:id="36" w:name="_Toc12240"/>
      <w:bookmarkStart w:id="37" w:name="_Toc8601"/>
      <w:r>
        <w:rPr>
          <w:rStyle w:val="51"/>
          <w:rFonts w:hint="default" w:ascii="Times New Roman" w:hAnsi="Times New Roman" w:cs="宋体"/>
          <w:b/>
          <w:bCs/>
          <w:sz w:val="24"/>
          <w:szCs w:val="24"/>
        </w:rPr>
        <w:t xml:space="preserve">1.1 </w:t>
      </w:r>
      <w:bookmarkEnd w:id="33"/>
      <w:r>
        <w:rPr>
          <w:rStyle w:val="51"/>
          <w:rFonts w:hint="default" w:ascii="Times New Roman" w:hAnsi="Times New Roman" w:cs="宋体"/>
          <w:b/>
          <w:bCs/>
          <w:sz w:val="24"/>
          <w:szCs w:val="24"/>
        </w:rPr>
        <w:t>编制目的</w:t>
      </w:r>
      <w:bookmarkEnd w:id="34"/>
      <w:bookmarkEnd w:id="35"/>
      <w:bookmarkEnd w:id="36"/>
      <w:bookmarkEnd w:id="37"/>
    </w:p>
    <w:p>
      <w:pPr>
        <w:tabs>
          <w:tab w:val="center" w:pos="4535"/>
          <w:tab w:val="right" w:pos="9070"/>
        </w:tabs>
        <w:jc w:val="left"/>
        <w:rPr>
          <w:rFonts w:ascii="宋体" w:hAnsi="宋体" w:cs="宋体"/>
          <w:sz w:val="28"/>
          <w:szCs w:val="28"/>
        </w:rPr>
      </w:pPr>
      <w:r>
        <w:rPr>
          <w:rFonts w:hint="eastAsia" w:ascii="宋体" w:hAnsi="宋体" w:cs="宋体"/>
          <w:sz w:val="28"/>
          <w:szCs w:val="28"/>
        </w:rPr>
        <w:t>为了加强对危险化学品事故的有效控制，使本站在可能发生的重大事故、事件或灾难时，迅速、有序、高效地开展应急救援行动，控制灾情和事态的进一步蔓延和扩大，最大限度地预防和降低突发事故及其造成的危害、保障本站全体员工及周边群众人身安全和人民群众财产不受损失，根据《中华人民共和国安全生产法》和国务院《危险化学品安全管理条例》、《生产经营单位安全生产事故应急预案编写导则》、《生产安全事故应急预案管理办法》、《政府关于进一步加强化工行业安全生产工作的若干意见》等要求，结合本站具体实际，制定本案制定本应急预案。</w:t>
      </w:r>
    </w:p>
    <w:p>
      <w:pPr>
        <w:pStyle w:val="4"/>
        <w:spacing w:before="0" w:after="0" w:line="440" w:lineRule="exact"/>
        <w:rPr>
          <w:rStyle w:val="51"/>
          <w:rFonts w:hint="default" w:ascii="Times New Roman" w:hAnsi="Times New Roman" w:cs="宋体"/>
          <w:b/>
          <w:bCs/>
          <w:sz w:val="24"/>
          <w:szCs w:val="24"/>
        </w:rPr>
      </w:pPr>
      <w:bookmarkStart w:id="38" w:name="_Toc17389"/>
      <w:bookmarkEnd w:id="38"/>
      <w:bookmarkStart w:id="39" w:name="_Toc504989517"/>
      <w:bookmarkEnd w:id="39"/>
      <w:bookmarkStart w:id="40" w:name="_Toc18567"/>
      <w:bookmarkStart w:id="41" w:name="_Toc16469"/>
      <w:bookmarkStart w:id="42" w:name="_Toc9323"/>
      <w:bookmarkStart w:id="43" w:name="_Toc12936"/>
      <w:bookmarkStart w:id="44" w:name="_Toc32035"/>
      <w:r>
        <w:rPr>
          <w:rStyle w:val="51"/>
          <w:rFonts w:hint="default" w:ascii="Times New Roman" w:hAnsi="Times New Roman" w:cs="宋体"/>
          <w:b/>
          <w:bCs/>
          <w:sz w:val="24"/>
          <w:szCs w:val="24"/>
        </w:rPr>
        <w:t>1.2</w:t>
      </w:r>
      <w:bookmarkEnd w:id="40"/>
      <w:r>
        <w:rPr>
          <w:rStyle w:val="51"/>
          <w:rFonts w:hint="default" w:ascii="Times New Roman" w:hAnsi="Times New Roman" w:cs="宋体"/>
          <w:b/>
          <w:bCs/>
          <w:sz w:val="24"/>
          <w:szCs w:val="24"/>
        </w:rPr>
        <w:t>编制依据</w:t>
      </w:r>
      <w:bookmarkEnd w:id="41"/>
      <w:bookmarkEnd w:id="42"/>
      <w:bookmarkEnd w:id="43"/>
      <w:bookmarkEnd w:id="44"/>
    </w:p>
    <w:p>
      <w:pPr>
        <w:pStyle w:val="5"/>
        <w:spacing w:before="0" w:after="0" w:line="440" w:lineRule="exact"/>
        <w:rPr>
          <w:rStyle w:val="49"/>
          <w:rFonts w:ascii="Times New Roman" w:hAnsi="Times New Roman" w:cs="宋体"/>
          <w:b/>
          <w:bCs/>
          <w:sz w:val="24"/>
          <w:szCs w:val="24"/>
        </w:rPr>
      </w:pPr>
      <w:bookmarkStart w:id="45" w:name="_Toc22811"/>
      <w:bookmarkEnd w:id="45"/>
      <w:bookmarkStart w:id="46" w:name="_Toc10419"/>
      <w:bookmarkEnd w:id="46"/>
      <w:bookmarkStart w:id="47" w:name="_Toc5803"/>
      <w:bookmarkEnd w:id="47"/>
      <w:bookmarkStart w:id="48" w:name="_Toc504989518"/>
      <w:bookmarkStart w:id="49" w:name="_Toc18869"/>
      <w:bookmarkStart w:id="50" w:name="_Toc16222"/>
      <w:bookmarkStart w:id="51" w:name="_Toc18377"/>
      <w:bookmarkStart w:id="52" w:name="_Toc31374"/>
      <w:r>
        <w:rPr>
          <w:rStyle w:val="49"/>
          <w:rFonts w:hint="eastAsia" w:ascii="Times New Roman" w:hAnsi="Times New Roman" w:cs="宋体"/>
          <w:b/>
          <w:bCs/>
          <w:sz w:val="24"/>
          <w:szCs w:val="24"/>
        </w:rPr>
        <w:t>1.2.1</w:t>
      </w:r>
      <w:bookmarkEnd w:id="48"/>
      <w:r>
        <w:rPr>
          <w:rStyle w:val="49"/>
          <w:rFonts w:hint="eastAsia" w:ascii="Times New Roman" w:hAnsi="Times New Roman" w:cs="宋体"/>
          <w:b/>
          <w:bCs/>
          <w:sz w:val="24"/>
          <w:szCs w:val="24"/>
        </w:rPr>
        <w:t>法律法规</w:t>
      </w:r>
      <w:bookmarkEnd w:id="49"/>
      <w:bookmarkEnd w:id="50"/>
      <w:bookmarkEnd w:id="51"/>
      <w:bookmarkEnd w:id="52"/>
    </w:p>
    <w:p>
      <w:pPr>
        <w:pStyle w:val="5"/>
        <w:spacing w:before="0" w:after="0" w:line="440" w:lineRule="exact"/>
        <w:ind w:firstLine="560" w:firstLineChars="200"/>
        <w:rPr>
          <w:rFonts w:ascii="宋体" w:hAnsi="宋体" w:eastAsia="宋体" w:cs="宋体"/>
          <w:b w:val="0"/>
          <w:bCs w:val="0"/>
          <w:kern w:val="2"/>
        </w:rPr>
      </w:pPr>
      <w:r>
        <w:rPr>
          <w:rFonts w:hint="eastAsia" w:ascii="宋体" w:hAnsi="宋体" w:eastAsia="宋体" w:cs="宋体"/>
          <w:b w:val="0"/>
          <w:bCs w:val="0"/>
          <w:kern w:val="2"/>
        </w:rPr>
        <w:t>1.《中华人民共和国安全生产法》（中华人民共和国主席令第13号）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2.《中华人民共和国职业病防治法》（中华人民共和国主席令第24号）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3.《中华人民共和国劳动法》（中华人民共和国主席令第28号）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4.《中华人民共和国消防法》（中华人民共和国主席令第29号）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5.《中华人民共和国突发事件应对法》（中华人民共和国主席令第69号）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6.《中华人民共和国劳动合同法》（中华人民共和国主席令第73号）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7.《中华人民共和国环境保护法》（中华人民共和国主席令第9号）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8.《中华人民共和国防震减灾法》（中华人民共和国主席令第7号）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9.《危险化学品安全管理条例》（国务院令第591号，2013年645号修订）</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10.《工伤保险条例》（国务院第586号令）</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11.《生产安全事故报告和调查处理条例》（国务院令第493号）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12.《生产安全事故应急条例》（国务院令第708号）</w:t>
      </w:r>
    </w:p>
    <w:p>
      <w:pPr>
        <w:pStyle w:val="5"/>
        <w:spacing w:before="0" w:after="0" w:line="440" w:lineRule="exact"/>
        <w:rPr>
          <w:rStyle w:val="49"/>
          <w:rFonts w:ascii="Times New Roman" w:hAnsi="Times New Roman" w:cs="宋体"/>
          <w:b/>
          <w:bCs/>
          <w:sz w:val="24"/>
          <w:szCs w:val="24"/>
        </w:rPr>
      </w:pPr>
      <w:bookmarkStart w:id="53" w:name="_Toc504989519"/>
      <w:bookmarkEnd w:id="53"/>
      <w:bookmarkStart w:id="54" w:name="_Toc15468"/>
      <w:bookmarkEnd w:id="54"/>
      <w:bookmarkStart w:id="55" w:name="_Toc13931"/>
      <w:bookmarkStart w:id="56" w:name="_Toc16583"/>
      <w:bookmarkStart w:id="57" w:name="_Toc1991"/>
      <w:bookmarkStart w:id="58" w:name="_Toc19577"/>
      <w:bookmarkStart w:id="59" w:name="_Toc21158"/>
      <w:r>
        <w:rPr>
          <w:rStyle w:val="49"/>
          <w:rFonts w:hint="eastAsia" w:ascii="Times New Roman" w:hAnsi="Times New Roman" w:cs="宋体"/>
          <w:b/>
          <w:bCs/>
          <w:sz w:val="24"/>
          <w:szCs w:val="24"/>
        </w:rPr>
        <w:t>1.2.2部门规章</w:t>
      </w:r>
      <w:bookmarkEnd w:id="55"/>
      <w:bookmarkEnd w:id="56"/>
      <w:bookmarkEnd w:id="57"/>
      <w:bookmarkEnd w:id="58"/>
      <w:bookmarkEnd w:id="59"/>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1.《机关、团体、企业事业单位消防安全管理规定》（公安部61号令）</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2.《国家安全监管总局办公厅关于印发用人单位劳动防护用品管理规范的通知》（安监总厅安健〔2015〕124号）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3.《国务院关于进一步加强企业安全生产工作的通知》（国发〔2010〕23号）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4.《国务院关于加强安全生产事故应急预案监督管理工作的通知》（安委办字【2005】第48号）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5.《国家安全监管总局办公厅关于印发首批重点监管的危险化学品安全措施和应急处置原则的通知》（安监总厅管三〔2011〕142号）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6.《国家安全监管总局关于公布首批重点监管的危险化学品名录的通知》（安监总管三〔2011〕95号）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7.《危险化学品目录》（2018版，2018年2月发布）</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8.《安全生产事故隐患排查治理暂行规定》（安监总局令第16号）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9.《安全生产培训管理办法》（安监总局令第44号）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10.《国家安全监管总局关于修改〈生产经营单位安全培训规定〉等11件规章的决定》（安监总局令第63号）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11.《国家安全监管总局办公厅关于印发首批重点监管的危险化学品安全措施和应急处置原则的通知》（安监总厅管三[2011]142号）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12.《国家安全监管总局办公厅关于进一步加强加油站安全生产工作的通知》（安监总管三〔2016〕8号）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13.《危险化学品重大危险源监督管理暂行规定》（安监总局令【2011】第40号；安监总局令【2015】第79号修正）</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14.《危险化学品生产、储存装置个人可接受风险标准和社会可接受风险标准（试行）》（安监总局公告【四川省消防条例】第13号）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15.《生产安全事故应急预案管理办法》应急管理部2号令</w:t>
      </w:r>
    </w:p>
    <w:p>
      <w:pPr>
        <w:pStyle w:val="5"/>
        <w:spacing w:before="0" w:after="0" w:line="440" w:lineRule="exact"/>
        <w:rPr>
          <w:rStyle w:val="49"/>
          <w:rFonts w:ascii="Times New Roman" w:hAnsi="Times New Roman" w:cs="宋体"/>
          <w:b/>
          <w:bCs/>
          <w:sz w:val="24"/>
          <w:szCs w:val="24"/>
        </w:rPr>
      </w:pPr>
      <w:bookmarkStart w:id="60" w:name="_Toc504989520"/>
      <w:bookmarkEnd w:id="60"/>
      <w:bookmarkStart w:id="61" w:name="_Toc13976"/>
      <w:bookmarkEnd w:id="61"/>
      <w:bookmarkStart w:id="62" w:name="_Toc19804"/>
      <w:bookmarkStart w:id="63" w:name="_Toc16065"/>
      <w:bookmarkStart w:id="64" w:name="_Toc10841"/>
      <w:bookmarkStart w:id="65" w:name="_Toc21624"/>
      <w:bookmarkStart w:id="66" w:name="_Toc14521"/>
      <w:r>
        <w:rPr>
          <w:rStyle w:val="49"/>
          <w:rFonts w:hint="eastAsia" w:ascii="Times New Roman" w:hAnsi="Times New Roman" w:cs="宋体"/>
          <w:b/>
          <w:bCs/>
          <w:sz w:val="24"/>
          <w:szCs w:val="24"/>
        </w:rPr>
        <w:t>1.2.3</w:t>
      </w:r>
      <w:bookmarkEnd w:id="62"/>
      <w:bookmarkEnd w:id="63"/>
      <w:bookmarkEnd w:id="64"/>
      <w:bookmarkEnd w:id="65"/>
      <w:r>
        <w:rPr>
          <w:rStyle w:val="49"/>
          <w:rFonts w:hint="eastAsia" w:ascii="Times New Roman" w:hAnsi="Times New Roman" w:cs="宋体"/>
          <w:b/>
          <w:bCs/>
          <w:sz w:val="24"/>
          <w:szCs w:val="24"/>
        </w:rPr>
        <w:t>地方性法规</w:t>
      </w:r>
      <w:bookmarkEnd w:id="66"/>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1.《四川省安全生产条例》（2006年11月30日四川省第十届人大常委会第二十四次会议通过）</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2.《四川省政府关于进一步加强安全生产工作和决定》（川府发【2010】59号）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3.《四川省消防条例》（四川省第十一届人民代表大会常务委员会公告第55号）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4.〈关于印发《四川省生产安全事故灾难应急预案》的通知〉（川办函【2017】30号）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5.《四川省安全生产应急预案管理办法（试行）》（川安监【2011】386号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6.关于印发《四川省生产安全事故应急预案管理实施细则》的通知（川安监〔2018〕43号）</w:t>
      </w:r>
    </w:p>
    <w:p>
      <w:pPr>
        <w:pStyle w:val="5"/>
        <w:spacing w:before="0" w:after="0" w:line="440" w:lineRule="exact"/>
        <w:rPr>
          <w:rStyle w:val="49"/>
          <w:rFonts w:ascii="Times New Roman" w:hAnsi="Times New Roman" w:cs="宋体"/>
          <w:b/>
          <w:bCs/>
          <w:sz w:val="24"/>
          <w:szCs w:val="24"/>
        </w:rPr>
      </w:pPr>
      <w:bookmarkStart w:id="67" w:name="_Toc30123"/>
      <w:bookmarkEnd w:id="67"/>
      <w:bookmarkStart w:id="68" w:name="_Toc504989521"/>
      <w:bookmarkEnd w:id="68"/>
      <w:bookmarkStart w:id="69" w:name="_Toc10786"/>
      <w:bookmarkStart w:id="70" w:name="_Toc11193"/>
      <w:bookmarkStart w:id="71" w:name="_Toc28285"/>
      <w:bookmarkStart w:id="72" w:name="_Toc15488"/>
      <w:bookmarkStart w:id="73" w:name="_Toc16528"/>
      <w:r>
        <w:rPr>
          <w:rStyle w:val="49"/>
          <w:rFonts w:hint="eastAsia" w:ascii="Times New Roman" w:hAnsi="Times New Roman" w:cs="宋体"/>
          <w:b/>
          <w:bCs/>
          <w:sz w:val="24"/>
          <w:szCs w:val="24"/>
        </w:rPr>
        <w:t>1.2.4标准规范</w:t>
      </w:r>
      <w:bookmarkEnd w:id="69"/>
      <w:bookmarkEnd w:id="70"/>
      <w:bookmarkEnd w:id="71"/>
      <w:bookmarkEnd w:id="72"/>
      <w:bookmarkEnd w:id="73"/>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1.《个体防护装备选用规范》（GB/T11651-2008）</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2.《易燃易爆性商品储藏养护技术条件》（GB17914－2013）</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3.《生产过程危险和有害因素分类与代码》（GB/T13861-2009）</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4.《加油站作业安全规范》（AQ3010-2007）</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5.《化学品作业场所安全警示标志规范》（AQ/T 3047-2013）</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6.《企业安全生产标准化基本规范》（GB/T 33000-2016）</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7.《生产安全事故应急演练指南》（AQ/T 9007-2011）</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8.《生产经营单位生产安全事故应急预案编制导则》（GB/T 29639-2013）</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9.《汽车加油加气站设计与施工规范》（GB50156-2012，2014年版）</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10.《工作场所有害因素职业接触限值 第1部分：化学有害因素》（GBZ2.1-2019）</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11.《安全标志及其使用导则》（GB2894-2008）</w:t>
      </w:r>
    </w:p>
    <w:p>
      <w:pPr>
        <w:pStyle w:val="5"/>
        <w:spacing w:before="0" w:after="0" w:line="440" w:lineRule="exact"/>
        <w:rPr>
          <w:rStyle w:val="49"/>
          <w:rFonts w:ascii="Times New Roman" w:hAnsi="Times New Roman" w:cs="宋体"/>
          <w:b/>
          <w:bCs/>
          <w:sz w:val="24"/>
          <w:szCs w:val="24"/>
        </w:rPr>
      </w:pPr>
      <w:bookmarkStart w:id="74" w:name="_Toc8670"/>
      <w:bookmarkEnd w:id="74"/>
      <w:bookmarkStart w:id="75" w:name="_Toc504989522"/>
      <w:bookmarkEnd w:id="75"/>
      <w:bookmarkStart w:id="76" w:name="_Toc15508"/>
      <w:bookmarkStart w:id="77" w:name="_Toc25024"/>
      <w:bookmarkStart w:id="78" w:name="_Toc2711"/>
      <w:bookmarkStart w:id="79" w:name="_Toc27182"/>
      <w:bookmarkStart w:id="80" w:name="_Toc20658"/>
      <w:r>
        <w:rPr>
          <w:rStyle w:val="49"/>
          <w:rFonts w:hint="eastAsia" w:ascii="Times New Roman" w:hAnsi="Times New Roman" w:cs="宋体"/>
          <w:b/>
          <w:bCs/>
          <w:sz w:val="24"/>
          <w:szCs w:val="24"/>
        </w:rPr>
        <w:t>1.2.5衔接的上级预案</w:t>
      </w:r>
      <w:bookmarkEnd w:id="76"/>
      <w:bookmarkEnd w:id="77"/>
      <w:bookmarkEnd w:id="78"/>
      <w:bookmarkEnd w:id="79"/>
      <w:bookmarkEnd w:id="80"/>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1.《西充县安全生产事故灾难应急预案》</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2.《西充县危险化学品事故应急预案》</w:t>
      </w:r>
    </w:p>
    <w:p>
      <w:pPr>
        <w:pStyle w:val="8"/>
        <w:ind w:firstLine="560"/>
        <w:rPr>
          <w:rFonts w:ascii="宋体" w:hAnsi="宋体" w:cs="宋体"/>
          <w:sz w:val="28"/>
          <w:szCs w:val="28"/>
        </w:rPr>
      </w:pPr>
      <w:r>
        <w:rPr>
          <w:rFonts w:hint="eastAsia" w:ascii="宋体" w:hAnsi="宋体" w:cs="宋体"/>
          <w:sz w:val="28"/>
          <w:szCs w:val="28"/>
        </w:rPr>
        <w:t>衔接上级预案流程如下：</w:t>
      </w:r>
    </w:p>
    <w:p>
      <w:pPr>
        <w:adjustRightInd w:val="0"/>
        <w:snapToGrid w:val="0"/>
        <w:spacing w:line="360" w:lineRule="auto"/>
        <w:jc w:val="center"/>
      </w:pPr>
      <w:bookmarkStart w:id="81" w:name="_Toc8872"/>
      <w:bookmarkEnd w:id="81"/>
      <w:bookmarkStart w:id="82" w:name="_Toc504989513"/>
      <w:bookmarkEnd w:id="82"/>
      <w:r>
        <w:rPr>
          <w:sz w:val="24"/>
          <w:szCs w:val="24"/>
        </w:rPr>
        <w:pict>
          <v:shape id="_x0000_s1109" o:spid="_x0000_s1109" o:spt="176" type="#_x0000_t176" style="position:absolute;left:0pt;margin-left:299.4pt;margin-top:13.3pt;height:99.65pt;width:138.1pt;z-index:251722752;mso-width-relative:page;mso-height-relative:page;" fillcolor="#4472C4" filled="t" stroked="t" coordsize="21600,21600" o:gfxdata="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01I0NgAAAAKAQAADwAAAAAAAAABACAAAAAiAAAAZHJzL2Rvd25y&#10;ZXYueG1sUEsBAhQAFAAAAAgAh07iQK0k3WtwAgAAxwQAAA4AAAAAAAAAAQAgAAAAJwEAAGRycy9l&#10;Mm9Eb2MueG1sUEsFBgAAAAAGAAYAWQEAAAkGAAAAAA==&#10;">
            <v:path/>
            <v:fill on="t" focussize="0,0"/>
            <v:stroke weight="3pt" color="#F2F2F2" joinstyle="miter"/>
            <v:imagedata o:title=""/>
            <o:lock v:ext="edit"/>
            <v:shadow on="t" color="#1F3763" opacity="32768f" offset="1pt,2pt"/>
            <v:textbox>
              <w:txbxContent>
                <w:p>
                  <w:pPr>
                    <w:rPr>
                      <w:rFonts w:ascii="隶书" w:hAnsi="宋体" w:eastAsia="隶书"/>
                      <w:color w:val="FFFFFF"/>
                      <w:sz w:val="24"/>
                      <w:szCs w:val="24"/>
                    </w:rPr>
                  </w:pPr>
                  <w:r>
                    <w:rPr>
                      <w:rFonts w:hint="eastAsia" w:ascii="隶书" w:hAnsi="宋体" w:eastAsia="隶书"/>
                      <w:color w:val="FFFFFF"/>
                      <w:sz w:val="24"/>
                      <w:szCs w:val="24"/>
                    </w:rPr>
                    <w:t>造成一般安全事故（南充市人民政府、应急管理局）</w:t>
                  </w:r>
                </w:p>
              </w:txbxContent>
            </v:textbox>
          </v:shape>
        </w:pict>
      </w:r>
      <w:r>
        <w:rPr>
          <w:sz w:val="24"/>
          <w:szCs w:val="24"/>
        </w:rPr>
        <w:pict>
          <v:shape id="_x0000_s1108" o:spid="_x0000_s1108" o:spt="176" type="#_x0000_t176" style="position:absolute;left:0pt;margin-left:114.4pt;margin-top:13.55pt;height:104.25pt;width:159.35pt;z-index:251721728;mso-width-relative:page;mso-height-relative:page;" fillcolor="#4472C4" filled="t" stroked="t" coordsize="21600,21600" o:gfxdata="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f5OIhNkAAAAKAQAADwAAAAAAAAABACAAAAAiAAAAZHJzL2Rv&#10;d25yZXYueG1sUEsBAhQAFAAAAAgAh07iQLP7pBhyAgAAxwQAAA4AAAAAAAAAAQAgAAAAKAEAAGRy&#10;cy9lMm9Eb2MueG1sUEsFBgAAAAAGAAYAWQEAAAwGAAAAAA==&#10;">
            <v:path/>
            <v:fill on="t" focussize="0,0"/>
            <v:stroke weight="3pt" color="#F2F2F2" joinstyle="miter"/>
            <v:imagedata o:title=""/>
            <o:lock v:ext="edit"/>
            <v:shadow on="t" color="#1F3763" opacity="32768f" offset="1pt,2pt"/>
            <v:textbox>
              <w:txbxContent>
                <w:p>
                  <w:pPr>
                    <w:rPr>
                      <w:rFonts w:ascii="隶书" w:hAnsi="宋体" w:eastAsia="隶书"/>
                      <w:color w:val="FFFFFF"/>
                      <w:sz w:val="24"/>
                      <w:szCs w:val="24"/>
                    </w:rPr>
                  </w:pPr>
                  <w:r>
                    <w:rPr>
                      <w:rFonts w:hint="eastAsia" w:ascii="隶书" w:hAnsi="宋体" w:eastAsia="隶书"/>
                      <w:color w:val="FFFFFF"/>
                      <w:sz w:val="24"/>
                      <w:szCs w:val="24"/>
                    </w:rPr>
                    <w:t>造成危害但立即得到控制的安全事故（本站与外单位预案）</w:t>
                  </w:r>
                </w:p>
                <w:p/>
              </w:txbxContent>
            </v:textbox>
          </v:shape>
        </w:pict>
      </w:r>
    </w:p>
    <w:p>
      <w:pPr>
        <w:adjustRightInd w:val="0"/>
        <w:snapToGrid w:val="0"/>
        <w:spacing w:line="360" w:lineRule="auto"/>
        <w:jc w:val="center"/>
      </w:pPr>
      <w:r>
        <w:rPr>
          <w:sz w:val="24"/>
        </w:rPr>
        <w:pict>
          <v:shape id="自选图形 182" o:spid="_x0000_s1107" o:spt="176" type="#_x0000_t176" style="position:absolute;left:0pt;margin-left:6.15pt;margin-top:10.95pt;height:66.8pt;width:84.85pt;z-index:251714560;mso-width-relative:page;mso-height-relative:page;" fillcolor="#4472C4" filled="t" stroked="t" coordsize="21600,21600" o:gfxdata="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zoBqdYAAAAJAQAADwAAAAAAAAABACAAAAAiAAAAZHJzL2Rvd25y&#10;ZXYueG1sUEsBAhQAFAAAAAgAh07iQHAGXqdyAgAAxgQAAA4AAAAAAAAAAQAgAAAAJQEAAGRycy9l&#10;Mm9Eb2MueG1sUEsFBgAAAAAGAAYAWQEAAAkGAAAAAA==&#10;">
            <v:path/>
            <v:fill on="t" focussize="0,0"/>
            <v:stroke weight="3pt" color="#F2F2F2" joinstyle="miter"/>
            <v:imagedata o:title=""/>
            <o:lock v:ext="edit"/>
            <v:shadow on="t" color="#1F3763" opacity="32768f" offset="1pt,2pt"/>
            <v:textbox>
              <w:txbxContent>
                <w:p>
                  <w:pPr>
                    <w:jc w:val="center"/>
                    <w:rPr>
                      <w:rFonts w:ascii="隶书" w:hAnsi="宋体" w:eastAsia="隶书"/>
                      <w:color w:val="FFFFFF"/>
                    </w:rPr>
                  </w:pPr>
                  <w:r>
                    <w:rPr>
                      <w:rFonts w:hint="eastAsia" w:ascii="隶书" w:hAnsi="宋体" w:eastAsia="隶书"/>
                      <w:color w:val="FFFFFF"/>
                    </w:rPr>
                    <w:t>未造成危害的</w:t>
                  </w:r>
                </w:p>
                <w:p>
                  <w:pPr>
                    <w:jc w:val="center"/>
                    <w:rPr>
                      <w:rFonts w:ascii="隶书" w:hAnsi="宋体" w:eastAsia="隶书"/>
                      <w:color w:val="FFFFFF"/>
                    </w:rPr>
                  </w:pPr>
                  <w:r>
                    <w:rPr>
                      <w:rFonts w:hint="eastAsia" w:ascii="隶书" w:hAnsi="宋体" w:eastAsia="隶书"/>
                      <w:color w:val="FFFFFF"/>
                    </w:rPr>
                    <w:t>安全事故</w:t>
                  </w:r>
                </w:p>
                <w:p>
                  <w:pPr>
                    <w:jc w:val="center"/>
                    <w:rPr>
                      <w:rFonts w:ascii="隶书" w:hAnsi="宋体" w:eastAsia="隶书"/>
                      <w:color w:val="FFFFFF"/>
                    </w:rPr>
                  </w:pPr>
                  <w:r>
                    <w:rPr>
                      <w:rFonts w:hint="eastAsia" w:ascii="隶书" w:hAnsi="宋体" w:eastAsia="隶书"/>
                      <w:color w:val="FFFFFF"/>
                    </w:rPr>
                    <w:t>（本站预案）</w:t>
                  </w:r>
                </w:p>
                <w:p/>
              </w:txbxContent>
            </v:textbox>
          </v:shape>
        </w:pict>
      </w:r>
    </w:p>
    <w:p>
      <w:pPr>
        <w:adjustRightInd w:val="0"/>
        <w:snapToGrid w:val="0"/>
        <w:spacing w:line="360" w:lineRule="auto"/>
        <w:jc w:val="center"/>
        <w:rPr>
          <w:sz w:val="24"/>
          <w:szCs w:val="24"/>
        </w:rPr>
      </w:pPr>
      <w:r>
        <w:pict>
          <v:shape id="自选图形 185" o:spid="_x0000_s1106" o:spt="13" type="#_x0000_t13" style="position:absolute;left:0pt;margin-left:90.4pt;margin-top:15.7pt;height:32.25pt;width:24.8pt;z-index:251715584;mso-width-relative:page;mso-height-relative:page;" fillcolor="#4472C4" filled="t" stroked="t" coordsize="21600,21600" o:gfxdata="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9mnZtcAAAAJAQAADwAAAAAAAAABACAAAAAiAAAAZHJzL2Rvd25yZXYueG1sUEsBAhQAFAAA&#10;AAgAh07iQEJEu88pAgAAVAQAAA4AAAAAAAAAAQAgAAAAJgEAAGRycy9lMm9Eb2MueG1sUEsFBgAA&#10;AAAGAAYAWQEAAMEFAAAAAA==&#10;">
            <v:path/>
            <v:fill on="t" focussize="0,0"/>
            <v:stroke color="#4472C4" joinstyle="miter"/>
            <v:imagedata o:title=""/>
            <o:lock v:ext="edit"/>
          </v:shape>
        </w:pict>
      </w:r>
      <w:r>
        <w:pict>
          <v:shape id="_x0000_s1105" o:spid="_x0000_s1105" o:spt="13" type="#_x0000_t13" style="position:absolute;left:0pt;margin-left:273.65pt;margin-top:9.7pt;height:32.25pt;width:27.75pt;z-index:251723776;mso-width-relative:page;mso-height-relative:page;" fillcolor="#4472C4" filled="t" stroked="t" coordsize="21600,21600" o:gfxdata="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fyfr9gAAAAJAQAADwAAAAAAAAABACAAAAAiAAAAZHJzL2Rvd25yZXYueG1sUEsBAhQAFAAA&#10;AAgAh07iQLLXD4goAgAAVAQAAA4AAAAAAAAAAQAgAAAAJwEAAGRycy9lMm9Eb2MueG1sUEsFBgAA&#10;AAAGAAYAWQEAAMEFAAAAAA==&#10;">
            <v:path/>
            <v:fill on="t" focussize="0,0"/>
            <v:stroke color="#4472C4" joinstyle="miter"/>
            <v:imagedata o:title=""/>
            <o:lock v:ext="edit"/>
          </v:shape>
        </w:pict>
      </w:r>
    </w:p>
    <w:p>
      <w:pPr>
        <w:adjustRightInd w:val="0"/>
        <w:snapToGrid w:val="0"/>
        <w:spacing w:line="360" w:lineRule="auto"/>
        <w:jc w:val="center"/>
        <w:rPr>
          <w:sz w:val="24"/>
          <w:szCs w:val="24"/>
        </w:rPr>
      </w:pPr>
    </w:p>
    <w:p>
      <w:pPr>
        <w:adjustRightInd w:val="0"/>
        <w:snapToGrid w:val="0"/>
        <w:spacing w:line="360" w:lineRule="auto"/>
        <w:jc w:val="center"/>
        <w:rPr>
          <w:sz w:val="24"/>
          <w:szCs w:val="24"/>
        </w:rPr>
      </w:pPr>
    </w:p>
    <w:p>
      <w:pPr>
        <w:spacing w:line="440" w:lineRule="exact"/>
        <w:ind w:firstLine="480" w:firstLineChars="200"/>
        <w:rPr>
          <w:sz w:val="24"/>
          <w:szCs w:val="24"/>
        </w:rPr>
      </w:pP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生产安全事故未造成危害的，或危害立即控制后得到处置的，由西充太平吉运加油站人员根据吉运加油站预案进行处置。</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生产安全事故已造成危害但达不到上报条件的，由西充太平吉运加油站人员与就近外单位进行处置。</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生产安全事故已造成危害，且危害程度达到上报条件的，由西充太平吉运加油站人员立即上报主管部门，依据《西充太平吉运加油站生产安全事件应急预案》进行处置。当上级行政机关或主管部门介入时，应立即上交现场指挥权，服从其应急预案体系的安排，并配合上级部署安排。</w:t>
      </w:r>
    </w:p>
    <w:p>
      <w:pPr>
        <w:pStyle w:val="4"/>
        <w:spacing w:before="0" w:after="0" w:line="440" w:lineRule="exact"/>
        <w:rPr>
          <w:rFonts w:ascii="宋体" w:hAnsi="宋体" w:eastAsia="宋体" w:cs="宋体"/>
          <w:kern w:val="2"/>
          <w:sz w:val="28"/>
          <w:szCs w:val="28"/>
        </w:rPr>
      </w:pPr>
      <w:bookmarkStart w:id="83" w:name="_Toc19058"/>
      <w:bookmarkEnd w:id="83"/>
      <w:bookmarkStart w:id="84" w:name="_Toc504989523"/>
      <w:bookmarkStart w:id="85" w:name="_Toc3494"/>
      <w:bookmarkStart w:id="86" w:name="_Toc14140"/>
      <w:bookmarkStart w:id="87" w:name="_Toc27343"/>
      <w:bookmarkStart w:id="88" w:name="_Toc1354"/>
      <w:r>
        <w:rPr>
          <w:rFonts w:ascii="宋体" w:hAnsi="宋体" w:eastAsia="宋体" w:cs="宋体"/>
          <w:kern w:val="2"/>
          <w:sz w:val="28"/>
          <w:szCs w:val="28"/>
        </w:rPr>
        <w:t>1.3适用范围</w:t>
      </w:r>
      <w:bookmarkEnd w:id="84"/>
      <w:bookmarkEnd w:id="85"/>
      <w:bookmarkEnd w:id="86"/>
      <w:bookmarkEnd w:id="87"/>
      <w:bookmarkEnd w:id="88"/>
    </w:p>
    <w:p>
      <w:pPr>
        <w:tabs>
          <w:tab w:val="center" w:pos="4535"/>
          <w:tab w:val="right" w:pos="9070"/>
        </w:tabs>
        <w:ind w:firstLine="560" w:firstLineChars="200"/>
        <w:jc w:val="left"/>
        <w:rPr>
          <w:rFonts w:ascii="宋体" w:hAnsi="宋体" w:cs="宋体"/>
          <w:sz w:val="28"/>
          <w:szCs w:val="28"/>
        </w:rPr>
      </w:pPr>
      <w:bookmarkStart w:id="89" w:name="_Toc19679"/>
      <w:bookmarkEnd w:id="89"/>
      <w:r>
        <w:rPr>
          <w:rFonts w:hint="eastAsia" w:ascii="宋体" w:hAnsi="宋体" w:cs="宋体"/>
          <w:sz w:val="28"/>
          <w:szCs w:val="28"/>
        </w:rPr>
        <w:t>本预案适用于加油站内突发的泄漏、火灾、爆炸、中毒等可能造成人员伤亡危险和加油站财产损失的生产安全事故的应急救援处置。</w:t>
      </w:r>
    </w:p>
    <w:p>
      <w:pPr>
        <w:pStyle w:val="5"/>
        <w:spacing w:before="0" w:after="0" w:line="440" w:lineRule="exact"/>
        <w:rPr>
          <w:rStyle w:val="49"/>
          <w:rFonts w:ascii="Times New Roman" w:hAnsi="Times New Roman" w:cs="宋体"/>
          <w:b/>
          <w:bCs/>
          <w:sz w:val="24"/>
          <w:szCs w:val="24"/>
        </w:rPr>
      </w:pPr>
      <w:bookmarkStart w:id="90" w:name="_Toc504989525"/>
      <w:bookmarkEnd w:id="90"/>
      <w:bookmarkStart w:id="91" w:name="_Toc1549"/>
      <w:bookmarkStart w:id="92" w:name="_Toc27295"/>
      <w:bookmarkStart w:id="93" w:name="_Toc12319"/>
      <w:bookmarkStart w:id="94" w:name="_Toc4257"/>
      <w:bookmarkStart w:id="95" w:name="_Toc25785"/>
      <w:r>
        <w:rPr>
          <w:rStyle w:val="49"/>
          <w:rFonts w:hint="eastAsia" w:ascii="Times New Roman" w:hAnsi="Times New Roman" w:cs="宋体"/>
          <w:b/>
          <w:bCs/>
          <w:sz w:val="24"/>
          <w:szCs w:val="24"/>
        </w:rPr>
        <w:t>1.3.1事故类型</w:t>
      </w:r>
      <w:bookmarkEnd w:id="91"/>
      <w:bookmarkEnd w:id="92"/>
      <w:bookmarkEnd w:id="93"/>
      <w:bookmarkEnd w:id="94"/>
      <w:bookmarkEnd w:id="95"/>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加油站生产经营过程中，生产经营过程中可能发生的生产安全事故主要有泄漏、火灾、爆炸、中毒、车辆伤害、电气伤害、机械伤害，其中主要的是泄漏、火灾、爆炸、中毒等事故。</w:t>
      </w:r>
    </w:p>
    <w:p>
      <w:pPr>
        <w:pStyle w:val="5"/>
        <w:spacing w:before="0" w:after="0" w:line="440" w:lineRule="exact"/>
        <w:rPr>
          <w:rStyle w:val="49"/>
          <w:rFonts w:ascii="Times New Roman" w:hAnsi="Times New Roman" w:cs="宋体"/>
          <w:b/>
          <w:bCs/>
          <w:sz w:val="24"/>
          <w:szCs w:val="24"/>
        </w:rPr>
      </w:pPr>
      <w:bookmarkStart w:id="96" w:name="_Toc14929"/>
      <w:bookmarkEnd w:id="96"/>
      <w:bookmarkStart w:id="97" w:name="_Toc504989526"/>
      <w:bookmarkStart w:id="98" w:name="_Toc26338"/>
      <w:bookmarkStart w:id="99" w:name="_Toc1010"/>
      <w:bookmarkStart w:id="100" w:name="_Toc6655"/>
      <w:bookmarkStart w:id="101" w:name="_Toc2612"/>
      <w:r>
        <w:rPr>
          <w:rStyle w:val="49"/>
          <w:rFonts w:hint="eastAsia" w:ascii="Times New Roman" w:hAnsi="Times New Roman" w:cs="宋体"/>
          <w:b/>
          <w:bCs/>
          <w:sz w:val="24"/>
          <w:szCs w:val="24"/>
        </w:rPr>
        <w:t>1.3.2事故级别</w:t>
      </w:r>
      <w:bookmarkEnd w:id="97"/>
      <w:bookmarkEnd w:id="98"/>
      <w:bookmarkEnd w:id="99"/>
      <w:bookmarkEnd w:id="100"/>
      <w:bookmarkEnd w:id="101"/>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根据《生产安全事故报告与调查处理条例》（以下简称条例）规定，生产安全事故按照其性质、严重程度和影响范围等因棊，一般分为四个等级，本站按照事故性质、灾害程度、影响范围等因素，结合自身及周边单位的实际情况，将生产安全事故分为以下三个等级：</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1）严重事故：造成1人以上死亡或重伤的事故；或者造成20万元以上经济损失的事故。</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2）较大事故：无人员重伤或死亡，2人轻伤的；或者造成10万元以上，20万元以下经济损失的事故。</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3）一般事故：无人员重伤或死亡，2人以下轻伤的；或者造成10万元以下经济损失的事故。</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注：上述“以上”含本数；如“1人以上死亡”，指“含1人及以上的死亡”。</w:t>
      </w:r>
    </w:p>
    <w:p>
      <w:pPr>
        <w:pStyle w:val="4"/>
        <w:spacing w:before="0" w:after="0" w:line="440" w:lineRule="exact"/>
        <w:rPr>
          <w:rStyle w:val="51"/>
          <w:rFonts w:hint="default" w:ascii="Times New Roman" w:hAnsi="Times New Roman" w:cs="宋体"/>
          <w:b/>
          <w:bCs/>
          <w:sz w:val="24"/>
          <w:szCs w:val="24"/>
        </w:rPr>
      </w:pPr>
      <w:bookmarkStart w:id="102" w:name="_Toc23184"/>
      <w:bookmarkEnd w:id="102"/>
      <w:bookmarkStart w:id="103" w:name="_Toc32731"/>
      <w:bookmarkEnd w:id="103"/>
      <w:bookmarkStart w:id="104" w:name="_Toc504989527"/>
      <w:bookmarkStart w:id="105" w:name="_Toc22785"/>
      <w:bookmarkStart w:id="106" w:name="_Toc23611"/>
      <w:bookmarkStart w:id="107" w:name="_Toc30614"/>
      <w:bookmarkStart w:id="108" w:name="_Toc23581"/>
      <w:r>
        <w:rPr>
          <w:rStyle w:val="51"/>
          <w:rFonts w:hint="default" w:ascii="Times New Roman" w:hAnsi="Times New Roman" w:cs="宋体"/>
          <w:b/>
          <w:bCs/>
          <w:sz w:val="24"/>
          <w:szCs w:val="24"/>
        </w:rPr>
        <w:t>1.4应急预案体系</w:t>
      </w:r>
      <w:bookmarkEnd w:id="104"/>
      <w:bookmarkEnd w:id="105"/>
      <w:bookmarkEnd w:id="106"/>
      <w:bookmarkEnd w:id="107"/>
      <w:bookmarkEnd w:id="108"/>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我站应急预案体系由综合应急预案、专项应急预案、现场处置方案构成。综合应急预案是西充太平吉运加油站安全生产应急管理的综合要求和基本规范，是指导编制专项应急预案和现场处置方案的准则。</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1、综合应急预案：综合应急预案是应急预案体系的总纲，是应急救援的基础，对突发事件起到一般的应急指导作用。</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2、专项应急预案：专项应急预案是为应对某一类型或某几种类型突发事件而制订的应急预案，对应急的形势、组织机构、应急资源及行动等进行更具体的阐述，具有较强的针对性。</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3、现场处置方案：是在专项预案的基础上，针对某一具体现场的特殊危险及周边环境情况，在详细分析的基础上，对应急救援中的各个方面做出具体的、周密而细致的安排，具有更强的针对性和对现场具体救援活动的指导性。</w:t>
      </w:r>
    </w:p>
    <w:p>
      <w:pPr>
        <w:tabs>
          <w:tab w:val="center" w:pos="4535"/>
          <w:tab w:val="right" w:pos="9070"/>
        </w:tabs>
        <w:ind w:firstLine="480" w:firstLineChars="200"/>
        <w:jc w:val="left"/>
        <w:rPr>
          <w:rFonts w:cs="宋体"/>
          <w:sz w:val="24"/>
          <w:szCs w:val="24"/>
        </w:rPr>
      </w:pPr>
    </w:p>
    <w:p>
      <w:pPr>
        <w:tabs>
          <w:tab w:val="center" w:pos="4535"/>
          <w:tab w:val="right" w:pos="9070"/>
        </w:tabs>
        <w:ind w:firstLine="480" w:firstLineChars="200"/>
        <w:jc w:val="left"/>
        <w:rPr>
          <w:rFonts w:cs="宋体"/>
          <w:sz w:val="24"/>
          <w:szCs w:val="24"/>
        </w:rPr>
      </w:pPr>
      <w:r>
        <w:rPr>
          <w:rFonts w:hint="eastAsia" w:cs="宋体"/>
          <w:sz w:val="24"/>
          <w:szCs w:val="24"/>
        </w:rPr>
        <w:t>应急预案体系构成图如下:</w:t>
      </w:r>
    </w:p>
    <w:p>
      <w:pPr>
        <w:pStyle w:val="2"/>
      </w:pPr>
    </w:p>
    <w:p>
      <w:pPr>
        <w:pStyle w:val="28"/>
        <w:spacing w:line="360" w:lineRule="auto"/>
        <w:ind w:firstLine="480" w:firstLineChars="200"/>
        <w:rPr>
          <w:rFonts w:cs="宋体"/>
          <w:sz w:val="24"/>
          <w:szCs w:val="24"/>
        </w:rPr>
      </w:pPr>
      <w:r>
        <w:rPr>
          <w:sz w:val="24"/>
        </w:rPr>
        <w:pict>
          <v:shape id="文本框 2289" o:spid="_x0000_s1104" o:spt="202" type="#_x0000_t202" style="position:absolute;left:0pt;margin-left:242.2pt;margin-top:17pt;height:21.3pt;width:163.75pt;z-index:251667456;mso-width-relative:page;mso-height-relative:page;" coordsize="21600,21600" o:gfxdata="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36EvLYAAAACQEAAA8AAAAAAAAAAQAgAAAAIgAAAGRycy9kb3ducmV2&#10;LnhtbFBLAQIUABQAAAAIAIdO4kBOz7nt/AEAAPoDAAAOAAAAAAAAAAEAIAAAACcBAABkcnMvZTJv&#10;RG9jLnhtbFBLBQYAAAAABgAGAFkBAACVBQAAAAA=&#10;">
            <v:path/>
            <v:fill focussize="0,0"/>
            <v:stroke joinstyle="miter"/>
            <v:imagedata o:title=""/>
            <o:lock v:ext="edit"/>
            <v:textbox>
              <w:txbxContent>
                <w:p>
                  <w:pPr>
                    <w:jc w:val="center"/>
                    <w:rPr>
                      <w:color w:val="000000"/>
                    </w:rPr>
                  </w:pPr>
                  <w:r>
                    <w:rPr>
                      <w:rFonts w:hint="eastAsia"/>
                      <w:color w:val="000000"/>
                    </w:rPr>
                    <w:t>1.油品泄漏事故专项应急救援预案</w:t>
                  </w:r>
                </w:p>
              </w:txbxContent>
            </v:textbox>
          </v:shape>
        </w:pict>
      </w:r>
      <w:r>
        <w:rPr>
          <w:sz w:val="24"/>
        </w:rPr>
        <w:pict>
          <v:shape id="文本框 221" o:spid="_x0000_s1103" o:spt="202" type="#_x0000_t202" style="position:absolute;left:0pt;margin-left:19.6pt;margin-top:6.2pt;height:22.5pt;width:176.2pt;z-index:251693056;mso-width-relative:page;mso-height-relative:page;" coordsize="21600,21600" o:gfxdata="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kwTSNcAAAAIAQAADwAAAAAAAAABACAAAAAiAAAAZHJzL2Rvd25y&#10;ZXYueG1sUEsBAhQAFAAAAAgAh07iQDJVTfz/AQAA+AMAAA4AAAAAAAAAAQAgAAAAJgEAAGRycy9l&#10;Mm9Eb2MueG1sUEsFBgAAAAAGAAYAWQEAAJcFAAAAAA==&#10;">
            <v:path/>
            <v:fill focussize="0,0"/>
            <v:stroke dashstyle="dash"/>
            <v:imagedata o:title=""/>
            <o:lock v:ext="edit"/>
            <v:textbox>
              <w:txbxContent>
                <w:p>
                  <w:pPr>
                    <w:jc w:val="center"/>
                  </w:pPr>
                  <w:r>
                    <w:rPr>
                      <w:rFonts w:hint="eastAsia"/>
                    </w:rPr>
                    <w:t>上级应急预案</w:t>
                  </w:r>
                </w:p>
              </w:txbxContent>
            </v:textbox>
          </v:shape>
        </w:pict>
      </w:r>
    </w:p>
    <w:p>
      <w:pPr>
        <w:pStyle w:val="28"/>
        <w:spacing w:line="360" w:lineRule="auto"/>
        <w:ind w:firstLine="480" w:firstLineChars="200"/>
        <w:rPr>
          <w:rFonts w:cs="宋体"/>
          <w:sz w:val="24"/>
          <w:szCs w:val="24"/>
        </w:rPr>
      </w:pPr>
      <w:r>
        <w:rPr>
          <w:sz w:val="24"/>
        </w:rPr>
        <w:pict>
          <v:line id="_x0000_s1102" o:spid="_x0000_s1102" o:spt="20" style="position:absolute;left:0pt;margin-left:222.15pt;margin-top:4.05pt;height:0pt;width:19.5pt;z-index:251716608;mso-width-relative:page;mso-height-relative:page;" coordsize="21600,21600" o:gfxdata="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8D0PfWAAAABwEAAA8AAAAAAAAAAQAg&#10;AAAAIgAAAGRycy9kb3ducmV2LnhtbFBLAQIUABQAAAAIAIdO4kDZhCIE1wEAAJQDAAAOAAAAAAAA&#10;AAEAIAAAACUBAABkcnMvZTJvRG9jLnhtbFBLBQYAAAAABgAGAFkBAABuBQAAAAA=&#10;">
            <v:path arrowok="t"/>
            <v:fill focussize="0,0"/>
            <v:stroke endarrow="block"/>
            <v:imagedata o:title=""/>
            <o:lock v:ext="edit"/>
          </v:line>
        </w:pict>
      </w:r>
      <w:r>
        <w:rPr>
          <w:sz w:val="24"/>
        </w:rPr>
        <w:pict>
          <v:line id="_x0000_s1101" o:spid="_x0000_s1101" o:spt="20" style="position:absolute;left:0pt;flip:x;margin-left:222.15pt;margin-top:4.05pt;height:42.5pt;width:0pt;z-index:251717632;mso-width-relative:page;mso-height-relative:page;" coordsize="21600,21600" o:gfxdata="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VeLP7UAAAACAEAAA8AAAAAAAAAAQAg&#10;AAAAIgAAAGRycy9kb3ducmV2LnhtbFBLAQIUABQAAAAIAIdO4kAGeZSd2QEAAJoDAAAOAAAAAAAA&#10;AAEAIAAAACMBAABkcnMvZTJvRG9jLnhtbFBLBQYAAAAABgAGAFkBAABuBQAAAAA=&#10;">
            <v:path arrowok="t"/>
            <v:fill focussize="0,0"/>
            <v:stroke/>
            <v:imagedata o:title=""/>
            <o:lock v:ext="edit"/>
          </v:line>
        </w:pict>
      </w:r>
      <w:r>
        <w:rPr>
          <w:sz w:val="24"/>
        </w:rPr>
        <w:pict>
          <v:line id="直线 222" o:spid="_x0000_s1100" o:spt="20" style="position:absolute;left:0pt;margin-left:106.4pt;margin-top:5.3pt;height:18.75pt;width:0pt;z-index:251694080;mso-width-relative:page;mso-height-relative:page;" coordsize="21600,21600" o:gfxdata="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ogTtcAAAAJAQAADwAAAAAAAAABACAAAAAi&#10;AAAAZHJzL2Rvd25yZXYueG1sUEsBAhQAFAAAAAgAh07iQFYZfh/SAQAAkwMAAA4AAAAAAAAAAQAg&#10;AAAAJgEAAGRycy9lMm9Eb2MueG1sUEsFBgAAAAAGAAYAWQEAAGoFAAAAAA==&#10;">
            <v:path arrowok="t"/>
            <v:fill focussize="0,0"/>
            <v:stroke endarrow="block"/>
            <v:imagedata o:title=""/>
            <o:lock v:ext="edit"/>
          </v:line>
        </w:pict>
      </w:r>
    </w:p>
    <w:p>
      <w:pPr>
        <w:pStyle w:val="28"/>
        <w:spacing w:line="360" w:lineRule="auto"/>
        <w:ind w:firstLine="480" w:firstLineChars="200"/>
        <w:rPr>
          <w:rFonts w:cs="宋体"/>
          <w:sz w:val="24"/>
          <w:szCs w:val="24"/>
        </w:rPr>
      </w:pPr>
      <w:r>
        <w:rPr>
          <w:sz w:val="24"/>
        </w:rPr>
        <w:pict>
          <v:line id="直线 3469" o:spid="_x0000_s1099" o:spt="20" style="position:absolute;left:0pt;margin-left:222.15pt;margin-top:16.3pt;height:0pt;width:19.5pt;z-index:251686912;mso-width-relative:page;mso-height-relative:page;" coordsize="21600,21600" o:gfxdata="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FsAGjZAAAACQEAAA8AAAAAAAAA&#10;AQAgAAAAIgAAAGRycy9kb3ducmV2LnhtbFBLAQIUABQAAAAIAIdO4kANuWF51wEAAJQDAAAOAAAA&#10;AAAAAAEAIAAAACgBAABkcnMvZTJvRG9jLnhtbFBLBQYAAAAABgAGAFkBAABxBQAAAAA=&#10;">
            <v:path arrowok="t"/>
            <v:fill focussize="0,0"/>
            <v:stroke endarrow="block"/>
            <v:imagedata o:title=""/>
            <o:lock v:ext="edit"/>
          </v:line>
        </w:pict>
      </w:r>
      <w:r>
        <w:rPr>
          <w:sz w:val="24"/>
        </w:rPr>
        <w:pict>
          <v:shape id="文本框 3471" o:spid="_x0000_s1098" o:spt="202" type="#_x0000_t202" style="position:absolute;left:0pt;margin-left:243.3pt;margin-top:2.8pt;height:24.95pt;width:164.2pt;z-index:251688960;mso-width-relative:page;mso-height-relative:page;" coordsize="21600,21600" o:gfxdata="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iy+t3WAAAACAEAAA8AAAAAAAAAAQAg&#10;AAAAIgAAAGRycy9kb3ducmV2LnhtbFBLAQIUABQAAAAIAIdO4kChF1GtEAIAACYEAAAOAAAAAAAA&#10;AAEAIAAAACUBAABkcnMvZTJvRG9jLnhtbFBLBQYAAAAABgAGAFkBAACnBQAAAAA=&#10;">
            <v:path/>
            <v:fill focussize="0,0"/>
            <v:stroke joinstyle="miter"/>
            <v:imagedata o:title=""/>
            <o:lock v:ext="edit"/>
            <v:textbox inset="2.54mm,0mm,2.54mm,0mm">
              <w:txbxContent>
                <w:p>
                  <w:pPr>
                    <w:jc w:val="center"/>
                  </w:pPr>
                  <w:r>
                    <w:rPr>
                      <w:rFonts w:hint="eastAsia"/>
                    </w:rPr>
                    <w:t>2.火灾爆炸事故专项应急</w:t>
                  </w:r>
                  <w:r>
                    <w:rPr>
                      <w:rFonts w:hint="eastAsia"/>
                      <w:color w:val="000000"/>
                    </w:rPr>
                    <w:t>救援</w:t>
                  </w:r>
                  <w:r>
                    <w:rPr>
                      <w:rFonts w:hint="eastAsia"/>
                    </w:rPr>
                    <w:t>预案</w:t>
                  </w:r>
                </w:p>
              </w:txbxContent>
            </v:textbox>
          </v:shape>
        </w:pict>
      </w:r>
      <w:r>
        <w:rPr>
          <w:sz w:val="24"/>
        </w:rPr>
        <w:pict>
          <v:line id="直线 3468" o:spid="_x0000_s1097" o:spt="20" style="position:absolute;left:0pt;flip:x;margin-left:222.3pt;margin-top:21.6pt;height:42.5pt;width:0pt;z-index:251685888;mso-width-relative:page;mso-height-relative:page;" coordsize="21600,21600" o:gfxdata="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pqD3dYAAAAKAQAADwAAAAAAAAAB&#10;ACAAAAAiAAAAZHJzL2Rvd25yZXYueG1sUEsBAhQAFAAAAAgAh07iQNhXApjZAQAAmgMAAA4AAAAA&#10;AAAAAQAgAAAAJQEAAGRycy9lMm9Eb2MueG1sUEsFBgAAAAAGAAYAWQEAAHAFAAAAAA==&#10;">
            <v:path arrowok="t"/>
            <v:fill focussize="0,0"/>
            <v:stroke/>
            <v:imagedata o:title=""/>
            <o:lock v:ext="edit"/>
          </v:line>
        </w:pict>
      </w:r>
      <w:r>
        <w:rPr>
          <w:sz w:val="24"/>
        </w:rPr>
        <w:pict>
          <v:line id="直线 3270" o:spid="_x0000_s1096" o:spt="20" style="position:absolute;left:0pt;margin-left:106.4pt;margin-top:23.15pt;height:18.75pt;width:0pt;z-index:251681792;mso-width-relative:page;mso-height-relative:page;" coordsize="21600,21600" o:gfxdata="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bA8Ba2QAAAAkBAAAPAAAAAAAAAAEAIAAA&#10;ACIAAABkcnMvZG93bnJldi54bWxQSwECFAAUAAAACACHTuJAWo+M6NIBAACUAwAADgAAAAAAAAAB&#10;ACAAAAAoAQAAZHJzL2Uyb0RvYy54bWxQSwUGAAAAAAYABgBZAQAAbAUAAAAA&#10;">
            <v:path arrowok="t"/>
            <v:fill focussize="0,0"/>
            <v:stroke endarrow="block"/>
            <v:imagedata o:title=""/>
            <o:lock v:ext="edit"/>
          </v:line>
        </w:pict>
      </w:r>
      <w:r>
        <w:rPr>
          <w:sz w:val="24"/>
        </w:rPr>
        <w:pict>
          <v:shape id="文本框 3269" o:spid="_x0000_s1095" o:spt="202" type="#_x0000_t202" style="position:absolute;left:0pt;margin-left:22.6pt;margin-top:0.65pt;height:22.5pt;width:176.2pt;z-index:251680768;mso-width-relative:page;mso-height-relative:page;" coordsize="21600,21600" o:gfxdata="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14AtXWAAAABwEAAA8AAAAAAAAAAQAgAAAAIgAAAGRycy9kb3du&#10;cmV2LnhtbFBLAQIUABQAAAAIAIdO4kC4kDK1AQIAAPoDAAAOAAAAAAAAAAEAIAAAACUBAABkcnMv&#10;ZTJvRG9jLnhtbFBLBQYAAAAABgAGAFkBAACYBQAAAAA=&#10;">
            <v:path/>
            <v:fill focussize="0,0"/>
            <v:stroke joinstyle="miter"/>
            <v:imagedata o:title=""/>
            <o:lock v:ext="edit"/>
            <v:textbox>
              <w:txbxContent>
                <w:p>
                  <w:pPr>
                    <w:jc w:val="center"/>
                  </w:pPr>
                  <w:r>
                    <w:rPr>
                      <w:rFonts w:hint="eastAsia"/>
                    </w:rPr>
                    <w:t>生产安全事故综合应急预案</w:t>
                  </w:r>
                </w:p>
              </w:txbxContent>
            </v:textbox>
          </v:shape>
        </w:pict>
      </w:r>
    </w:p>
    <w:p>
      <w:pPr>
        <w:pStyle w:val="28"/>
        <w:spacing w:line="360" w:lineRule="auto"/>
        <w:ind w:firstLine="480" w:firstLineChars="200"/>
        <w:rPr>
          <w:rFonts w:cs="宋体"/>
          <w:sz w:val="24"/>
          <w:szCs w:val="24"/>
        </w:rPr>
      </w:pPr>
      <w:r>
        <w:rPr>
          <w:sz w:val="24"/>
        </w:rPr>
        <w:pict>
          <v:shape id="_x0000_s1094" o:spid="_x0000_s1094" o:spt="202" type="#_x0000_t202" style="position:absolute;left:0pt;margin-left:243.5pt;margin-top:6.5pt;height:22.5pt;width:163.45pt;z-index:251718656;mso-width-relative:page;mso-height-relative:page;" coordsize="21600,21600" o:gfxdata="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ZSqDy2QAAAAkBAAAPAAAAAAAAAAEAIAAAACIAAABkcnMvZG93&#10;bnJldi54bWxQSwECFAAUAAAACACHTuJAG4hVBf8BAAD6AwAADgAAAAAAAAABACAAAAAoAQAAZHJz&#10;L2Uyb0RvYy54bWxQSwUGAAAAAAYABgBZAQAAmQUAAAAA&#10;">
            <v:path/>
            <v:fill focussize="0,0"/>
            <v:stroke joinstyle="miter"/>
            <v:imagedata o:title=""/>
            <o:lock v:ext="edit"/>
            <v:textbox>
              <w:txbxContent>
                <w:p>
                  <w:pPr>
                    <w:jc w:val="left"/>
                  </w:pPr>
                  <w:r>
                    <w:rPr>
                      <w:rFonts w:hint="eastAsia"/>
                    </w:rPr>
                    <w:t>3.自然灾害专项应急预案</w:t>
                  </w:r>
                </w:p>
              </w:txbxContent>
            </v:textbox>
          </v:shape>
        </w:pict>
      </w:r>
      <w:r>
        <w:rPr>
          <w:sz w:val="24"/>
        </w:rPr>
        <w:pict>
          <v:line id="_x0000_s1093" o:spid="_x0000_s1093" o:spt="20" style="position:absolute;left:0pt;margin-left:222.85pt;margin-top:17.65pt;height:0pt;width:19.5pt;z-index:251697152;mso-width-relative:page;mso-height-relative:page;" coordsize="21600,21600" o:gfxdata="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X86JA2AAAAAkBAAAPAAAAAAAAAAEA&#10;IAAAACIAAABkcnMvZG93bnJldi54bWxQSwECFAAUAAAACACHTuJAiq8JLdYBAACUAwAADgAAAAAA&#10;AAABACAAAAAnAQAAZHJzL2Uyb0RvYy54bWxQSwUGAAAAAAYABgBZAQAAbwUAAAAA&#10;">
            <v:path arrowok="t"/>
            <v:fill focussize="0,0"/>
            <v:stroke endarrow="block"/>
            <v:imagedata o:title=""/>
            <o:lock v:ext="edit"/>
          </v:line>
        </w:pict>
      </w:r>
      <w:r>
        <w:rPr>
          <w:sz w:val="24"/>
        </w:rPr>
        <w:pict>
          <v:shape id="文本框 3466" o:spid="_x0000_s1092" o:spt="202" type="#_x0000_t202" style="position:absolute;left:0pt;margin-left:18.75pt;margin-top:18.5pt;height:22.5pt;width:176.2pt;z-index:251683840;mso-width-relative:page;mso-height-relative:page;" coordsize="21600,21600" o:gfxdata="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8RcX61wAAAAgBAAAPAAAAAAAAAAEAIAAAACIAAABkcnMvZG93&#10;bnJldi54bWxQSwECFAAUAAAACACHTuJAViCcoQECAAD6AwAADgAAAAAAAAABACAAAAAmAQAAZHJz&#10;L2Uyb0RvYy54bWxQSwUGAAAAAAYABgBZAQAAmQUAAAAA&#10;">
            <v:path/>
            <v:fill focussize="0,0"/>
            <v:stroke joinstyle="miter"/>
            <v:imagedata o:title=""/>
            <o:lock v:ext="edit"/>
            <v:textbox>
              <w:txbxContent>
                <w:p>
                  <w:pPr>
                    <w:jc w:val="center"/>
                  </w:pPr>
                  <w:r>
                    <w:rPr>
                      <w:rFonts w:hint="eastAsia"/>
                    </w:rPr>
                    <w:t>专项应急预案</w:t>
                  </w:r>
                </w:p>
              </w:txbxContent>
            </v:textbox>
          </v:shape>
        </w:pict>
      </w:r>
    </w:p>
    <w:p>
      <w:pPr>
        <w:pStyle w:val="28"/>
        <w:spacing w:line="520" w:lineRule="exact"/>
        <w:ind w:firstLine="480" w:firstLineChars="200"/>
        <w:rPr>
          <w:rFonts w:cs="宋体"/>
          <w:sz w:val="24"/>
          <w:szCs w:val="24"/>
        </w:rPr>
      </w:pPr>
      <w:r>
        <w:rPr>
          <w:sz w:val="24"/>
        </w:rPr>
        <w:pict>
          <v:line id="直线 2302" o:spid="_x0000_s1091" o:spt="20" style="position:absolute;left:0pt;margin-left:106.4pt;margin-top:22.9pt;height:124.3pt;width:0.8pt;z-index:251668480;mso-width-relative:page;mso-height-relative:page;" coordsize="21600,21600" o:gfxdata="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OwSTTaAAAACgEAAA8A&#10;AAAAAAAAAQAgAAAAIgAAAGRycy9kb3ducmV2LnhtbFBLAQIUABQAAAAIAIdO4kCAbHqH3AEAAJkD&#10;AAAOAAAAAAAAAAEAIAAAACkBAABkcnMvZTJvRG9jLnhtbFBLBQYAAAAABgAGAFkBAAB3BQAAAAA=&#10;">
            <v:path arrowok="t"/>
            <v:fill focussize="0,0"/>
            <v:stroke endarrow="block"/>
            <v:imagedata o:title=""/>
            <o:lock v:ext="edit"/>
          </v:line>
        </w:pict>
      </w:r>
      <w:r>
        <w:rPr>
          <w:sz w:val="24"/>
        </w:rPr>
        <w:pict>
          <v:shape id="_x0000_s1090" o:spid="_x0000_s1090" o:spt="202" type="#_x0000_t202" style="position:absolute;left:0pt;margin-left:242.5pt;margin-top:9.1pt;height:22.5pt;width:163.45pt;z-index:251698176;mso-width-relative:page;mso-height-relative:page;" coordsize="21600,21600" o:gfxdata="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lxBkn2QAAAAkBAAAPAAAAAAAAAAEAIAAAACIAAABkcnMvZG93&#10;bnJldi54bWxQSwECFAAUAAAACACHTuJA52PMxv8BAAD6AwAADgAAAAAAAAABACAAAAAoAQAAZHJz&#10;L2Uyb0RvYy54bWxQSwUGAAAAAAYABgBZAQAAmQUAAAAA&#10;">
            <v:path/>
            <v:fill focussize="0,0"/>
            <v:stroke joinstyle="miter"/>
            <v:imagedata o:title=""/>
            <o:lock v:ext="edit"/>
            <v:textbox>
              <w:txbxContent>
                <w:p>
                  <w:pPr>
                    <w:jc w:val="center"/>
                  </w:pPr>
                  <w:r>
                    <w:rPr>
                      <w:rFonts w:hint="eastAsia"/>
                    </w:rPr>
                    <w:t>4.社会治安及防恐反恐专项应急预案</w:t>
                  </w:r>
                </w:p>
              </w:txbxContent>
            </v:textbox>
          </v:shape>
        </w:pict>
      </w:r>
      <w:r>
        <w:rPr>
          <w:sz w:val="24"/>
        </w:rPr>
        <w:pict>
          <v:line id="直线 3470" o:spid="_x0000_s1089" o:spt="20" style="position:absolute;left:0pt;margin-left:222.7pt;margin-top:17.6pt;height:0pt;width:19.5pt;z-index:251687936;mso-width-relative:page;mso-height-relative:page;" coordsize="21600,21600" o:gfxdata="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C3M/YAAAACQEAAA8AAAAAAAAAAQAg&#10;AAAAIgAAAGRycy9kb3ducmV2LnhtbFBLAQIUABQAAAAIAIdO4kBl9ayc1QEAAJQDAAAOAAAAAAAA&#10;AAEAIAAAACcBAABkcnMvZTJvRG9jLnhtbFBLBQYAAAAABgAGAFkBAABuBQAAAAA=&#10;">
            <v:path arrowok="t"/>
            <v:fill focussize="0,0"/>
            <v:stroke endarrow="block"/>
            <v:imagedata o:title=""/>
            <o:lock v:ext="edit"/>
          </v:line>
        </w:pict>
      </w:r>
      <w:r>
        <w:rPr>
          <w:sz w:val="24"/>
        </w:rPr>
        <w:pict>
          <v:line id="直线 3467" o:spid="_x0000_s1088" o:spt="20" style="position:absolute;left:0pt;margin-left:194.95pt;margin-top:7.05pt;height:0pt;width:27.65pt;z-index:251684864;mso-width-relative:page;mso-height-relative:page;" coordsize="21600,21600" o:gfxdata="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OZi6rWAAAACQEAAA8AAAAAAAAAAQAgAAAAIgAA&#10;AGRycy9kb3ducmV2LnhtbFBLAQIUABQAAAAIAIdO4kBtTwIn0QEAAJADAAAOAAAAAAAAAAEAIAAA&#10;ACUBAABkcnMvZTJvRG9jLnhtbFBLBQYAAAAABgAGAFkBAABoBQAAAAA=&#10;">
            <v:path arrowok="t"/>
            <v:fill focussize="0,0"/>
            <v:stroke/>
            <v:imagedata o:title=""/>
            <o:lock v:ext="edit"/>
          </v:line>
        </w:pict>
      </w:r>
    </w:p>
    <w:p>
      <w:pPr>
        <w:pStyle w:val="28"/>
        <w:spacing w:line="520" w:lineRule="exact"/>
        <w:ind w:firstLine="480" w:firstLineChars="200"/>
        <w:rPr>
          <w:rFonts w:cs="宋体"/>
          <w:sz w:val="24"/>
          <w:szCs w:val="24"/>
        </w:rPr>
      </w:pPr>
      <w:r>
        <w:rPr>
          <w:sz w:val="24"/>
        </w:rPr>
        <w:pict>
          <v:shape id="文本框 3472" o:spid="_x0000_s1087" o:spt="202" type="#_x0000_t202" style="position:absolute;left:0pt;margin-left:243.15pt;margin-top:10.35pt;height:22.4pt;width:164.95pt;z-index:251689984;mso-width-relative:page;mso-height-relative:page;" coordsize="21600,21600" o:gfxdata="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nNxuHZAAAACQEAAA8AAAAAAAAAAQAgAAAAIgAAAGRycy9k&#10;b3ducmV2LnhtbFBLAQIUABQAAAAIAIdO4kBVRoSWAQIAAPoDAAAOAAAAAAAAAAEAIAAAACgBAABk&#10;cnMvZTJvRG9jLnhtbFBLBQYAAAAABgAGAFkBAACbBQAAAAA=&#10;">
            <v:path/>
            <v:fill focussize="0,0"/>
            <v:stroke joinstyle="miter"/>
            <v:imagedata o:title=""/>
            <o:lock v:ext="edit"/>
            <v:textbox>
              <w:txbxContent>
                <w:p>
                  <w:pPr>
                    <w:jc w:val="left"/>
                  </w:pPr>
                  <w:r>
                    <w:rPr>
                      <w:rFonts w:hint="eastAsia"/>
                    </w:rPr>
                    <w:t>1.触电事故现场处置方案</w:t>
                  </w:r>
                </w:p>
              </w:txbxContent>
            </v:textbox>
          </v:shape>
        </w:pict>
      </w:r>
      <w:r>
        <w:rPr>
          <w:sz w:val="24"/>
        </w:rPr>
        <w:pict>
          <v:line id="直线 3092" o:spid="_x0000_s1086" o:spt="20" style="position:absolute;left:0pt;flip:x;margin-left:221.15pt;margin-top:18.3pt;height:260.6pt;width:2.15pt;z-index:251669504;mso-width-relative:page;mso-height-relative:page;" coordsize="21600,21600" o:gfxdata="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F+h8PtkAAAAKAQAADwAA&#10;AAAAAAABACAAAAAiAAAAZHJzL2Rvd25yZXYueG1sUEsBAhQAFAAAAAgAh07iQAGYYNjcAQAAnwMA&#10;AA4AAAAAAAAAAQAgAAAAKAEAAGRycy9lMm9Eb2MueG1sUEsFBgAAAAAGAAYAWQEAAHYFAAAAAA==&#10;">
            <v:path arrowok="t"/>
            <v:fill focussize="0,0"/>
            <v:stroke/>
            <v:imagedata o:title=""/>
            <o:lock v:ext="edit"/>
          </v:line>
        </w:pict>
      </w:r>
      <w:r>
        <w:rPr>
          <w:sz w:val="24"/>
        </w:rPr>
        <w:pict>
          <v:line id="直线 3107" o:spid="_x0000_s1085" o:spt="20" style="position:absolute;left:0pt;margin-left:224pt;margin-top:18.3pt;height:0pt;width:19.5pt;z-index:251674624;mso-width-relative:page;mso-height-relative:page;" coordsize="21600,21600" o:gfxdata="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ErqofNgAAAAJAQAADwAAAAAAAAAB&#10;ACAAAAAiAAAAZHJzL2Rvd25yZXYueG1sUEsBAhQAFAAAAAgAh07iQBprOvTXAQAAlAMAAA4AAAAA&#10;AAAAAQAgAAAAJwEAAGRycy9lMm9Eb2MueG1sUEsFBgAAAAAGAAYAWQEAAHAFAAAAAA==&#10;">
            <v:path arrowok="t"/>
            <v:fill focussize="0,0"/>
            <v:stroke endarrow="block"/>
            <v:imagedata o:title=""/>
            <o:lock v:ext="edit"/>
          </v:line>
        </w:pict>
      </w:r>
    </w:p>
    <w:p>
      <w:pPr>
        <w:pStyle w:val="28"/>
        <w:spacing w:line="520" w:lineRule="exact"/>
        <w:ind w:firstLine="480" w:firstLineChars="200"/>
        <w:rPr>
          <w:rFonts w:cs="宋体"/>
          <w:sz w:val="24"/>
          <w:szCs w:val="24"/>
        </w:rPr>
      </w:pPr>
      <w:r>
        <w:rPr>
          <w:sz w:val="24"/>
        </w:rPr>
        <w:pict>
          <v:shape id="文本框 3272" o:spid="_x0000_s1084" o:spt="202" type="#_x0000_t202" style="position:absolute;left:0pt;margin-left:243.3pt;margin-top:18.45pt;height:27.75pt;width:164.2pt;z-index:251682816;mso-width-relative:page;mso-height-relative:page;" coordsize="21600,21600" o:gfxdata="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0kRRtkAAAAJAQAADwAAAAAAAAABACAAAAAiAAAAZHJzL2Rvd25y&#10;ZXYueG1sUEsBAhQAFAAAAAgAh07iQAApXOP9AQAA+gMAAA4AAAAAAAAAAQAgAAAAKAEAAGRycy9l&#10;Mm9Eb2MueG1sUEsFBgAAAAAGAAYAWQEAAJcFAAAAAA==&#10;">
            <v:path/>
            <v:fill focussize="0,0"/>
            <v:stroke joinstyle="miter"/>
            <v:imagedata o:title=""/>
            <o:lock v:ext="edit"/>
            <v:textbox>
              <w:txbxContent>
                <w:p>
                  <w:pPr>
                    <w:jc w:val="left"/>
                  </w:pPr>
                  <w:r>
                    <w:rPr>
                      <w:rFonts w:hint="eastAsia"/>
                    </w:rPr>
                    <w:t>2.中毒窒息事故现场处置方案</w:t>
                  </w:r>
                </w:p>
              </w:txbxContent>
            </v:textbox>
          </v:shape>
        </w:pict>
      </w:r>
    </w:p>
    <w:p>
      <w:pPr>
        <w:pStyle w:val="28"/>
        <w:spacing w:line="520" w:lineRule="exact"/>
        <w:ind w:firstLine="480" w:firstLineChars="200"/>
        <w:rPr>
          <w:rFonts w:cs="宋体"/>
          <w:sz w:val="24"/>
          <w:szCs w:val="24"/>
        </w:rPr>
      </w:pPr>
      <w:r>
        <w:rPr>
          <w:sz w:val="24"/>
        </w:rPr>
        <w:pict>
          <v:line id="直线 3108" o:spid="_x0000_s1083" o:spt="20" style="position:absolute;left:0pt;margin-left:223.3pt;margin-top:4.7pt;height:0pt;width:19.5pt;z-index:251675648;mso-width-relative:page;mso-height-relative:page;" coordsize="21600,21600" o:gfxdata="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BOPLJ1QAAAAcBAAAPAAAAAAAAAAEAIAAA&#10;ACIAAABkcnMvZG93bnJldi54bWxQSwECFAAUAAAACACHTuJAhJxFKdYBAACUAwAADgAAAAAAAAAB&#10;ACAAAAAkAQAAZHJzL2Uyb0RvYy54bWxQSwUGAAAAAAYABgBZAQAAbAUAAAAA&#10;">
            <v:path arrowok="t"/>
            <v:fill focussize="0,0"/>
            <v:stroke endarrow="block"/>
            <v:imagedata o:title=""/>
            <o:lock v:ext="edit"/>
          </v:line>
        </w:pict>
      </w:r>
    </w:p>
    <w:p>
      <w:pPr>
        <w:pStyle w:val="8"/>
        <w:ind w:firstLine="0" w:firstLineChars="0"/>
        <w:jc w:val="center"/>
        <w:rPr>
          <w:rFonts w:cs="宋体"/>
        </w:rPr>
      </w:pPr>
      <w:r>
        <w:pict>
          <v:shape id="文本框 3099" o:spid="_x0000_s1082" o:spt="202" type="#_x0000_t202" style="position:absolute;left:0pt;margin-left:242.4pt;margin-top:3.2pt;height:39.4pt;width:167.2pt;z-index:251671552;mso-width-relative:page;mso-height-relative:page;" coordsize="21600,21600" o:gfxdata="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xpVN3YAAAACAEAAA8AAAAAAAAAAQAgAAAAIgAAAGRycy9kb3du&#10;cmV2LnhtbFBLAQIUABQAAAAIAIdO4kC9faBV/wEAAPoDAAAOAAAAAAAAAAEAIAAAACcBAABkcnMv&#10;ZTJvRG9jLnhtbFBLBQYAAAAABgAGAFkBAACYBQAAAAA=&#10;">
            <v:path/>
            <v:fill focussize="0,0"/>
            <v:stroke joinstyle="miter"/>
            <v:imagedata o:title=""/>
            <o:lock v:ext="edit"/>
            <v:textbox>
              <w:txbxContent>
                <w:p>
                  <w:pPr>
                    <w:jc w:val="center"/>
                  </w:pPr>
                  <w:r>
                    <w:rPr>
                      <w:rFonts w:hint="eastAsia"/>
                    </w:rPr>
                    <w:t>3.火灾爆炸（电气火灾）事故现场</w:t>
                  </w:r>
                </w:p>
                <w:p>
                  <w:pPr>
                    <w:jc w:val="center"/>
                  </w:pPr>
                  <w:r>
                    <w:rPr>
                      <w:rFonts w:hint="eastAsia"/>
                    </w:rPr>
                    <w:t>处置方案</w:t>
                  </w:r>
                </w:p>
              </w:txbxContent>
            </v:textbox>
          </v:shape>
        </w:pict>
      </w:r>
    </w:p>
    <w:p>
      <w:pPr>
        <w:pStyle w:val="8"/>
        <w:ind w:firstLine="0" w:firstLineChars="0"/>
        <w:jc w:val="center"/>
        <w:rPr>
          <w:rFonts w:cs="宋体"/>
        </w:rPr>
      </w:pPr>
      <w:r>
        <w:pict>
          <v:line id="直线 3473" o:spid="_x0000_s1081" o:spt="20" style="position:absolute;left:0pt;margin-left:223.6pt;margin-top:6.8pt;height:0pt;width:19.5pt;z-index:251691008;mso-width-relative:page;mso-height-relative:page;" coordsize="21600,21600" o:gfxdata="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oPtXYAAAACQEAAA8AAAAAAAAA&#10;AQAgAAAAIgAAAGRycy9kb3ducmV2LnhtbFBLAQIUABQAAAAIAIdO4kD2OgXI2AEAAJQDAAAOAAAA&#10;AAAAAAEAIAAAACcBAABkcnMvZTJvRG9jLnhtbFBLBQYAAAAABgAGAFkBAABxBQAAAAA=&#10;">
            <v:path arrowok="t"/>
            <v:fill focussize="0,0"/>
            <v:stroke endarrow="block"/>
            <v:imagedata o:title=""/>
            <o:lock v:ext="edit"/>
          </v:line>
        </w:pict>
      </w:r>
    </w:p>
    <w:p>
      <w:pPr>
        <w:pStyle w:val="8"/>
        <w:ind w:firstLine="0" w:firstLineChars="0"/>
        <w:jc w:val="center"/>
        <w:rPr>
          <w:rFonts w:cs="宋体"/>
        </w:rPr>
      </w:pPr>
      <w:r>
        <w:rPr>
          <w:sz w:val="24"/>
        </w:rPr>
        <w:pict>
          <v:shape id="文本框 3252" o:spid="_x0000_s1080" o:spt="202" type="#_x0000_t202" style="position:absolute;left:0pt;margin-left:24.5pt;margin-top:15pt;height:22.5pt;width:176.2pt;z-index:251678720;mso-width-relative:page;mso-height-relative:page;" coordsize="21600,21600" o:gfxdata="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9lk392AAAAAgBAAAPAAAAAAAAAAEAIAAAACIAAABkcnMvZG93&#10;bnJldi54bWxQSwECFAAUAAAACACHTuJA2nMdOQACAAD6AwAADgAAAAAAAAABACAAAAAnAQAAZHJz&#10;L2Uyb0RvYy54bWxQSwUGAAAAAAYABgBZAQAAmQUAAAAA&#10;">
            <v:path/>
            <v:fill focussize="0,0"/>
            <v:stroke joinstyle="miter"/>
            <v:imagedata o:title=""/>
            <o:lock v:ext="edit"/>
            <v:textbox>
              <w:txbxContent>
                <w:p>
                  <w:pPr>
                    <w:jc w:val="center"/>
                  </w:pPr>
                  <w:r>
                    <w:rPr>
                      <w:rFonts w:hint="eastAsia"/>
                    </w:rPr>
                    <w:t>现场处置方案</w:t>
                  </w:r>
                </w:p>
              </w:txbxContent>
            </v:textbox>
          </v:shape>
        </w:pict>
      </w:r>
    </w:p>
    <w:p>
      <w:pPr>
        <w:pStyle w:val="8"/>
        <w:ind w:firstLine="0" w:firstLineChars="0"/>
        <w:jc w:val="center"/>
        <w:rPr>
          <w:rFonts w:cs="宋体"/>
        </w:rPr>
      </w:pPr>
      <w:r>
        <w:rPr>
          <w:sz w:val="24"/>
        </w:rPr>
        <w:pict>
          <v:line id="直线 3266" o:spid="_x0000_s1079" o:spt="20" style="position:absolute;left:0pt;margin-left:198.8pt;margin-top:8.4pt;height:0pt;width:23.55pt;z-index:251679744;mso-width-relative:page;mso-height-relative:page;" coordsize="21600,21600" o:gfxdata="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uluz9YAAAAJAQAADwAAAAAAAAABACAAAAAiAAAA&#10;ZHJzL2Rvd25yZXYueG1sUEsBAhQAFAAAAAgAh07iQDLtg3LQAQAAkAMAAA4AAAAAAAAAAQAgAAAA&#10;JQEAAGRycy9lMm9Eb2MueG1sUEsFBgAAAAAGAAYAWQEAAGcFAAAAAA==&#10;">
            <v:path arrowok="t"/>
            <v:fill focussize="0,0"/>
            <v:stroke/>
            <v:imagedata o:title=""/>
            <o:lock v:ext="edit"/>
          </v:line>
        </w:pict>
      </w:r>
      <w:r>
        <w:pict>
          <v:shape id="文本框 3103" o:spid="_x0000_s1078" o:spt="202" type="#_x0000_t202" style="position:absolute;left:0pt;margin-left:242.35pt;margin-top:1.8pt;height:27.75pt;width:166.45pt;z-index:251672576;mso-width-relative:page;mso-height-relative:page;" coordsize="21600,21600" o:gfxdata="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kSCKNgAAAAIAQAADwAAAAAAAAABACAAAAAiAAAAZHJzL2Rvd25yZXYu&#10;eG1sUEsBAhQAFAAAAAgAh07iQKbfnGX7AQAA+gMAAA4AAAAAAAAAAQAgAAAAJwEAAGRycy9lMm9E&#10;b2MueG1sUEsFBgAAAAAGAAYAWQEAAJQFAAAAAA==&#10;">
            <v:path/>
            <v:fill focussize="0,0"/>
            <v:stroke joinstyle="miter"/>
            <v:imagedata o:title=""/>
            <o:lock v:ext="edit"/>
            <v:textbox>
              <w:txbxContent>
                <w:p>
                  <w:pPr>
                    <w:jc w:val="left"/>
                  </w:pPr>
                  <w:r>
                    <w:rPr>
                      <w:rFonts w:hint="eastAsia"/>
                    </w:rPr>
                    <w:t>4.油品泄漏处置方案</w:t>
                  </w:r>
                </w:p>
              </w:txbxContent>
            </v:textbox>
          </v:shape>
        </w:pict>
      </w:r>
    </w:p>
    <w:p>
      <w:pPr>
        <w:pStyle w:val="8"/>
        <w:ind w:firstLine="0" w:firstLineChars="0"/>
        <w:jc w:val="center"/>
        <w:rPr>
          <w:rFonts w:cs="宋体"/>
        </w:rPr>
      </w:pPr>
      <w:r>
        <w:pict>
          <v:line id="直线 3094" o:spid="_x0000_s1077" o:spt="20" style="position:absolute;left:0pt;margin-left:223.5pt;margin-top:1.55pt;height:0pt;width:19.5pt;z-index:251670528;mso-width-relative:page;mso-height-relative:page;" coordsize="21600,21600" o:gfxdata="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BV933dcAAAAHAQAADwAAAAAAAAAB&#10;ACAAAAAiAAAAZHJzL2Rvd25yZXYueG1sUEsBAhQAFAAAAAgAh07iQIPxdj3YAQAAlAMAAA4AAAAA&#10;AAAAAQAgAAAAJgEAAGRycy9lMm9Eb2MueG1sUEsFBgAAAAAGAAYAWQEAAHAFAAAAAA==&#10;">
            <v:path arrowok="t"/>
            <v:fill focussize="0,0"/>
            <v:stroke endarrow="block"/>
            <v:imagedata o:title=""/>
            <o:lock v:ext="edit"/>
          </v:line>
        </w:pict>
      </w:r>
    </w:p>
    <w:p>
      <w:pPr>
        <w:pStyle w:val="8"/>
        <w:ind w:firstLine="0" w:firstLineChars="0"/>
        <w:jc w:val="center"/>
        <w:rPr>
          <w:rFonts w:cs="宋体"/>
        </w:rPr>
      </w:pPr>
      <w:r>
        <w:pict>
          <v:shape id="文本框 3104" o:spid="_x0000_s1076" o:spt="202" type="#_x0000_t202" style="position:absolute;left:0pt;margin-left:243.1pt;margin-top:5.1pt;height:23.95pt;width:165.9pt;z-index:251673600;mso-width-relative:page;mso-height-relative:page;" coordsize="21600,21600" o:gfxdata="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GIAra2AAAAAkBAAAPAAAAAAAAAAEAIAAAACIAAABkcnMvZG93bnJl&#10;di54bWxQSwECFAAUAAAACACHTuJAsGDkl/0BAAD6AwAADgAAAAAAAAABACAAAAAnAQAAZHJzL2Uy&#10;b0RvYy54bWxQSwUGAAAAAAYABgBZAQAAlgUAAAAA&#10;">
            <v:path/>
            <v:fill focussize="0,0"/>
            <v:stroke joinstyle="miter"/>
            <v:imagedata o:title=""/>
            <o:lock v:ext="edit"/>
            <v:textbox>
              <w:txbxContent>
                <w:p>
                  <w:pPr>
                    <w:jc w:val="left"/>
                  </w:pPr>
                  <w:r>
                    <w:rPr>
                      <w:rFonts w:hint="eastAsia"/>
                    </w:rPr>
                    <w:t>5.高处坠落现场处置方案</w:t>
                  </w:r>
                </w:p>
              </w:txbxContent>
            </v:textbox>
          </v:shape>
        </w:pict>
      </w:r>
    </w:p>
    <w:p>
      <w:pPr>
        <w:pStyle w:val="8"/>
        <w:ind w:firstLine="0" w:firstLineChars="0"/>
        <w:jc w:val="center"/>
        <w:rPr>
          <w:rFonts w:cs="宋体"/>
        </w:rPr>
      </w:pPr>
      <w:r>
        <w:pict>
          <v:line id="直线 3475" o:spid="_x0000_s1075" o:spt="20" style="position:absolute;left:0pt;margin-left:221.75pt;margin-top:4.85pt;height:0pt;width:22.3pt;z-index:251692032;mso-width-relative:page;mso-height-relative:page;" coordsize="21600,21600" o:gfxdata="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P3tTNcAAAAHAQAADwAAAAAAAAAB&#10;ACAAAAAiAAAAZHJzL2Rvd25yZXYueG1sUEsBAhQAFAAAAAgAh07iQN4wsajYAQAAlAMAAA4AAAAA&#10;AAAAAQAgAAAAJgEAAGRycy9lMm9Eb2MueG1sUEsFBgAAAAAGAAYAWQEAAHAFAAAAAA==&#10;">
            <v:path arrowok="t"/>
            <v:fill focussize="0,0"/>
            <v:stroke endarrow="block"/>
            <v:imagedata o:title=""/>
            <o:lock v:ext="edit"/>
          </v:line>
        </w:pict>
      </w:r>
    </w:p>
    <w:p>
      <w:pPr>
        <w:pStyle w:val="8"/>
        <w:ind w:firstLine="0" w:firstLineChars="0"/>
        <w:jc w:val="center"/>
        <w:rPr>
          <w:rFonts w:cs="宋体"/>
        </w:rPr>
      </w:pPr>
      <w:r>
        <w:pict>
          <v:shape id="文本框 3247" o:spid="_x0000_s1074" o:spt="202" type="#_x0000_t202" style="position:absolute;left:0pt;margin-left:243.7pt;margin-top:4.65pt;height:24.2pt;width:163.45pt;z-index:251677696;mso-width-relative:page;mso-height-relative:page;" coordsize="21600,21600" o:gfxdata="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RKe692AAAAAgBAAAPAAAAAAAAAAEAIAAAACIAAABkcnMvZG93&#10;bnJldi54bWxQSwECFAAUAAAACACHTuJAomAzWAACAAD6AwAADgAAAAAAAAABACAAAAAnAQAAZHJz&#10;L2Uyb0RvYy54bWxQSwUGAAAAAAYABgBZAQAAmQUAAAAA&#10;">
            <v:path/>
            <v:fill focussize="0,0"/>
            <v:stroke joinstyle="miter"/>
            <v:imagedata o:title=""/>
            <o:lock v:ext="edit"/>
            <v:textbox>
              <w:txbxContent>
                <w:p>
                  <w:pPr>
                    <w:jc w:val="left"/>
                  </w:pPr>
                  <w:r>
                    <w:rPr>
                      <w:rFonts w:hint="eastAsia"/>
                    </w:rPr>
                    <w:t>6.车辆伤害事故现场处置方案</w:t>
                  </w:r>
                </w:p>
              </w:txbxContent>
            </v:textbox>
          </v:shape>
        </w:pict>
      </w:r>
    </w:p>
    <w:p>
      <w:pPr>
        <w:pStyle w:val="8"/>
        <w:ind w:firstLine="0" w:firstLineChars="0"/>
        <w:jc w:val="center"/>
        <w:rPr>
          <w:rFonts w:cs="宋体"/>
        </w:rPr>
      </w:pPr>
      <w:r>
        <w:pict>
          <v:line id="_x0000_s1073" o:spid="_x0000_s1073" o:spt="20" style="position:absolute;left:0pt;margin-left:221.4pt;margin-top:0.9pt;height:0pt;width:22.3pt;z-index:251695104;mso-width-relative:page;mso-height-relative:page;" coordsize="21600,21600" o:gfxdata="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MPx/w1gAAAAcBAAAPAAAAAAAAAAEA&#10;IAAAACIAAABkcnMvZG93bnJldi54bWxQSwECFAAUAAAACACHTuJAESxwH9gBAACUAwAADgAAAAAA&#10;AAABACAAAAAlAQAAZHJzL2Uyb0RvYy54bWxQSwUGAAAAAAYABgBZAQAAbwUAAAAA&#10;">
            <v:path arrowok="t"/>
            <v:fill focussize="0,0"/>
            <v:stroke endarrow="block"/>
            <v:imagedata o:title=""/>
            <o:lock v:ext="edit"/>
          </v:line>
        </w:pict>
      </w:r>
    </w:p>
    <w:p>
      <w:pPr>
        <w:pStyle w:val="8"/>
        <w:ind w:firstLine="0" w:firstLineChars="0"/>
        <w:jc w:val="center"/>
        <w:rPr>
          <w:rFonts w:cs="宋体"/>
        </w:rPr>
      </w:pPr>
      <w:r>
        <w:pict>
          <v:shape id="_x0000_s1072" o:spid="_x0000_s1072" o:spt="202" type="#_x0000_t202" style="position:absolute;left:0pt;margin-left:243.7pt;margin-top:2.3pt;height:36.8pt;width:163.45pt;z-index:251696128;mso-width-relative:page;mso-height-relative:page;" coordsize="21600,21600" o:gfxdata="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rtRqE2AAAAAgBAAAPAAAAAAAAAAEAIAAAACIAAABkcnMvZG93&#10;bnJldi54bWxQSwECFAAUAAAACACHTuJA/UgDRgACAAD6AwAADgAAAAAAAAABACAAAAAnAQAAZHJz&#10;L2Uyb0RvYy54bWxQSwUGAAAAAAYABgBZAQAAmQUAAAAA&#10;">
            <v:path/>
            <v:fill focussize="0,0"/>
            <v:stroke joinstyle="miter"/>
            <v:imagedata o:title=""/>
            <o:lock v:ext="edit"/>
            <v:textbox>
              <w:txbxContent>
                <w:p>
                  <w:pPr>
                    <w:jc w:val="center"/>
                  </w:pPr>
                  <w:r>
                    <w:rPr>
                      <w:rFonts w:hint="eastAsia"/>
                    </w:rPr>
                    <w:t>7.防盗抢及恐怖袭击事件现场处置方案</w:t>
                  </w:r>
                </w:p>
              </w:txbxContent>
            </v:textbox>
          </v:shape>
        </w:pict>
      </w:r>
    </w:p>
    <w:p>
      <w:pPr>
        <w:pStyle w:val="8"/>
        <w:ind w:firstLine="0" w:firstLineChars="0"/>
        <w:jc w:val="center"/>
        <w:rPr>
          <w:rFonts w:cs="宋体"/>
        </w:rPr>
      </w:pPr>
      <w:r>
        <w:rPr>
          <w:sz w:val="24"/>
        </w:rPr>
        <w:pict>
          <v:line id="直线 3110" o:spid="_x0000_s1071" o:spt="20" style="position:absolute;left:0pt;margin-left:221.35pt;margin-top:4.05pt;height:0pt;width:22.4pt;z-index:251676672;mso-width-relative:page;mso-height-relative:page;" coordsize="21600,21600" o:gfxdata="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5wjCdcAAAAHAQAADwAAAAAAAAABACAA&#10;AAAiAAAAZHJzL2Rvd25yZXYueG1sUEsBAhQAFAAAAAgAh07iQKVb0MDVAQAAlAMAAA4AAAAAAAAA&#10;AQAgAAAAJgEAAGRycy9lMm9Eb2MueG1sUEsFBgAAAAAGAAYAWQEAAG0FAAAAAA==&#10;">
            <v:path arrowok="t"/>
            <v:fill focussize="0,0"/>
            <v:stroke endarrow="block"/>
            <v:imagedata o:title=""/>
            <o:lock v:ext="edit"/>
          </v:line>
        </w:pict>
      </w:r>
    </w:p>
    <w:p>
      <w:pPr>
        <w:pStyle w:val="8"/>
        <w:ind w:firstLine="0" w:firstLineChars="0"/>
        <w:jc w:val="center"/>
        <w:rPr>
          <w:rFonts w:cs="宋体"/>
        </w:rPr>
      </w:pPr>
      <w:r>
        <w:rPr>
          <w:rFonts w:cs="宋体"/>
        </w:rPr>
        <w:pict>
          <v:shape id="_x0000_s1070" o:spid="_x0000_s1070" o:spt="202" type="#_x0000_t202" style="position:absolute;left:0pt;margin-left:243.1pt;margin-top:14.4pt;height:35.95pt;width:164.2pt;z-index:251720704;mso-width-relative:page;mso-height-relative:page;" coordsize="21600,21600" o:gfxdata="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9vS852AAAAAoBAAAPAAAAAAAAAAEAIAAAACIAAABkcnMvZG93bnJl&#10;di54bWxQSwECFAAUAAAACACHTuJAXUkJl/0BAAD6AwAADgAAAAAAAAABACAAAAAnAQAAZHJzL2Uy&#10;b0RvYy54bWxQSwUGAAAAAAYABgBZAQAAlgUAAAAA&#10;">
            <v:path/>
            <v:fill focussize="0,0"/>
            <v:stroke joinstyle="miter"/>
            <v:imagedata o:title=""/>
            <o:lock v:ext="edit"/>
            <v:textbox>
              <w:txbxContent>
                <w:p>
                  <w:pPr>
                    <w:ind w:left="630" w:hanging="630" w:hangingChars="300"/>
                    <w:jc w:val="left"/>
                  </w:pPr>
                  <w:r>
                    <w:rPr>
                      <w:rFonts w:hint="eastAsia"/>
                    </w:rPr>
                    <w:t>8.油罐人孔井受限空间作业和可燃气体聚集处置措施</w:t>
                  </w:r>
                </w:p>
              </w:txbxContent>
            </v:textbox>
          </v:shape>
        </w:pict>
      </w:r>
    </w:p>
    <w:p>
      <w:pPr>
        <w:pStyle w:val="8"/>
        <w:ind w:firstLine="0" w:firstLineChars="0"/>
        <w:jc w:val="center"/>
        <w:rPr>
          <w:rFonts w:cs="宋体"/>
        </w:rPr>
      </w:pPr>
      <w:r>
        <w:rPr>
          <w:rFonts w:cs="宋体"/>
        </w:rPr>
        <w:pict>
          <v:line id="_x0000_s1069" o:spid="_x0000_s1069" o:spt="20" style="position:absolute;left:0pt;margin-left:221.15pt;margin-top:13.7pt;height:0pt;width:22.4pt;z-index:251719680;mso-width-relative:page;mso-height-relative:page;" coordsize="21600,21600" o:gfxdata="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BUGntoAAAAJAQAADwAAAAAAAAAB&#10;ACAAAAAiAAAAZHJzL2Rvd25yZXYueG1sUEsBAhQAFAAAAAgAh07iQJ48NgzVAQAAlAMAAA4AAAAA&#10;AAAAAQAgAAAAKQEAAGRycy9lMm9Eb2MueG1sUEsFBgAAAAAGAAYAWQEAAHAFAAAAAA==&#10;">
            <v:path arrowok="t"/>
            <v:fill focussize="0,0"/>
            <v:stroke endarrow="block"/>
            <v:imagedata o:title=""/>
            <o:lock v:ext="edit"/>
          </v:line>
        </w:pict>
      </w:r>
    </w:p>
    <w:p>
      <w:pPr>
        <w:pStyle w:val="8"/>
        <w:ind w:firstLine="0" w:firstLineChars="0"/>
        <w:jc w:val="center"/>
        <w:rPr>
          <w:rFonts w:cs="宋体"/>
        </w:rPr>
      </w:pPr>
    </w:p>
    <w:p>
      <w:pPr>
        <w:pStyle w:val="8"/>
        <w:ind w:firstLine="0" w:firstLineChars="0"/>
        <w:jc w:val="center"/>
        <w:rPr>
          <w:rFonts w:cs="宋体"/>
        </w:rPr>
      </w:pPr>
    </w:p>
    <w:p>
      <w:pPr>
        <w:pStyle w:val="4"/>
        <w:spacing w:before="0" w:after="0"/>
        <w:rPr>
          <w:rStyle w:val="51"/>
          <w:rFonts w:hint="default" w:ascii="Times New Roman" w:hAnsi="Times New Roman" w:cs="宋体"/>
          <w:b/>
          <w:bCs/>
          <w:sz w:val="24"/>
          <w:szCs w:val="24"/>
        </w:rPr>
      </w:pPr>
      <w:bookmarkStart w:id="109" w:name="_Toc10096"/>
      <w:bookmarkEnd w:id="109"/>
      <w:bookmarkStart w:id="110" w:name="_Toc28003"/>
      <w:bookmarkEnd w:id="110"/>
      <w:bookmarkStart w:id="111" w:name="_Toc504989528"/>
      <w:bookmarkStart w:id="112" w:name="_Toc11420"/>
      <w:bookmarkStart w:id="113" w:name="_Toc27274"/>
      <w:bookmarkStart w:id="114" w:name="_Toc29484"/>
      <w:bookmarkStart w:id="115" w:name="_Toc13893"/>
      <w:r>
        <w:rPr>
          <w:rStyle w:val="51"/>
          <w:rFonts w:hint="default" w:ascii="Times New Roman" w:hAnsi="Times New Roman" w:cs="宋体"/>
          <w:b/>
          <w:bCs/>
          <w:sz w:val="24"/>
          <w:szCs w:val="24"/>
        </w:rPr>
        <w:t>1.5应急工作原则</w:t>
      </w:r>
      <w:bookmarkEnd w:id="111"/>
      <w:bookmarkEnd w:id="112"/>
      <w:bookmarkEnd w:id="113"/>
      <w:bookmarkEnd w:id="114"/>
      <w:bookmarkEnd w:id="115"/>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快速反应、统一指挥、分级负责、单位自救和社会力量救援相结合。以人为本，安全第一。生产安全事故应急要始终把保障人员的生命安全和身体健康放在首位，切实加强应急救援人员的安全防护，最大限度减少人员伤亡和危害。</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（1）统一领导，分级管理。由应急救援领导小组统一领导下，负责指导、协调安全事故应急救援工作，按照管理职责负责安全事故应急管理和安全事故应急处置工作。</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（2）条块结合，属地为主。安全事故应急现场指挥以发生安全事故发生地点或管理范围的责任部门为主，各部门协助、加油站协调处理安全事故。发生安全事故的部门是安全事故应急救援的第一响应者。</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（3）科学调控，依法规范。不断改进和完善应急的装备、设施和手段，依法规范应急救援工作，确保预案的科学性、权威性和可操作性。</w:t>
      </w:r>
    </w:p>
    <w:p>
      <w:pPr>
        <w:tabs>
          <w:tab w:val="center" w:pos="4535"/>
          <w:tab w:val="right" w:pos="9070"/>
        </w:tabs>
        <w:ind w:firstLine="560" w:firstLineChars="200"/>
        <w:jc w:val="left"/>
        <w:rPr>
          <w:rFonts w:cs="宋体"/>
          <w:sz w:val="24"/>
          <w:szCs w:val="24"/>
        </w:rPr>
      </w:pPr>
      <w:r>
        <w:rPr>
          <w:rFonts w:hint="eastAsia" w:ascii="宋体" w:hAnsi="宋体" w:cs="宋体"/>
          <w:sz w:val="28"/>
          <w:szCs w:val="28"/>
        </w:rPr>
        <w:t>（4）预防为主，平战结合。贯彻落实“安全第一、预防为主、综合治理”的方针，坚持事故应急与预防相结合，长期准备，重点关注。做好应对各种安全事故的思想准备、预案准备、物资、经费和人员准备、工作准备。加强培训和演练，做到常备不懈。将日常安全管理工作和应急救援工作相结合，充分利用现有专业力量，努力实现一专多能，培养兼职应急救援力量并发挥其作用。</w:t>
      </w:r>
    </w:p>
    <w:p>
      <w:pPr>
        <w:pStyle w:val="3"/>
        <w:rPr>
          <w:rFonts w:eastAsia="宋体" w:cs="宋体"/>
        </w:rPr>
      </w:pPr>
      <w:bookmarkStart w:id="116" w:name="_Toc9128"/>
      <w:bookmarkEnd w:id="116"/>
      <w:bookmarkStart w:id="117" w:name="_Toc6700"/>
      <w:bookmarkEnd w:id="117"/>
      <w:bookmarkStart w:id="118" w:name="_Toc504989529"/>
      <w:bookmarkStart w:id="119" w:name="_Toc22484"/>
      <w:bookmarkStart w:id="120" w:name="_Toc717"/>
      <w:bookmarkStart w:id="121" w:name="_Toc32521"/>
      <w:bookmarkStart w:id="122" w:name="_Toc13135"/>
      <w:r>
        <w:rPr>
          <w:rFonts w:hint="eastAsia" w:eastAsia="宋体" w:cs="宋体"/>
        </w:rPr>
        <w:t>第二章  事故风险分析</w:t>
      </w:r>
      <w:bookmarkEnd w:id="118"/>
      <w:bookmarkEnd w:id="119"/>
      <w:bookmarkEnd w:id="120"/>
      <w:bookmarkEnd w:id="121"/>
      <w:bookmarkEnd w:id="122"/>
    </w:p>
    <w:p>
      <w:pPr>
        <w:tabs>
          <w:tab w:val="center" w:pos="4535"/>
          <w:tab w:val="right" w:pos="9070"/>
        </w:tabs>
        <w:ind w:firstLine="560" w:firstLineChars="200"/>
        <w:jc w:val="left"/>
        <w:rPr>
          <w:rFonts w:ascii="宋体" w:hAnsi="宋体" w:cs="宋体"/>
          <w:sz w:val="28"/>
          <w:szCs w:val="28"/>
        </w:rPr>
      </w:pPr>
      <w:bookmarkStart w:id="123" w:name="_Toc16520"/>
      <w:bookmarkEnd w:id="123"/>
      <w:bookmarkStart w:id="124" w:name="_Toc25657"/>
      <w:bookmarkEnd w:id="124"/>
      <w:bookmarkStart w:id="125" w:name="_Toc30751"/>
      <w:bookmarkEnd w:id="125"/>
      <w:bookmarkStart w:id="126" w:name="_Toc5395"/>
      <w:bookmarkEnd w:id="126"/>
      <w:r>
        <w:rPr>
          <w:rFonts w:hint="eastAsia" w:ascii="宋体" w:hAnsi="宋体" w:cs="宋体"/>
          <w:sz w:val="28"/>
          <w:szCs w:val="28"/>
        </w:rPr>
        <w:t>西充太平吉运加油站（以下简称：吉运加油站）位于西充县太平镇太平街33号，总占地面积2196.09m</w:t>
      </w:r>
      <w:r>
        <w:rPr>
          <w:rFonts w:hint="eastAsia" w:ascii="宋体" w:hAnsi="宋体" w:cs="宋体"/>
          <w:sz w:val="28"/>
          <w:szCs w:val="28"/>
          <w:vertAlign w:val="superscript"/>
        </w:rPr>
        <w:t>2</w:t>
      </w:r>
      <w:r>
        <w:rPr>
          <w:rFonts w:hint="eastAsia" w:ascii="宋体" w:hAnsi="宋体" w:cs="宋体"/>
          <w:sz w:val="28"/>
          <w:szCs w:val="28"/>
        </w:rPr>
        <w:t>。其安全负责人：李德斌，安全管理人员为李力，经营范围：成品油零售。吉运加油站现有职工6名，其中安全负责人1名、安全管理员1名、员工3名、洗车工1名，主要经营92号汽油、95号汽油和0号柴油。</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本站设卧式双层埋地油罐4座，其中：1座50m3油罐（92号汽油），1座50m3油罐（95号汽油）,2座50m3油罐（0号柴油），油品总容量达到150m3（柴油折半），该加油站为二级加油站。加油站汽油设施设有一二次油气回收系统。</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该项目西面有一民房（2F，三类保护物）；东面有一有绝缘层架空电力线（杆高7米）；北面有一有绝缘层架空电力线（杆高7米）；南面为农田。</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该项目北面1000米处为太平镇中心卫生院，发生事故时3分钟内到达现场。</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吉运加油站生产经营过程中存在的危险有害因素有泄漏、火灾、爆炸、中毒窒息、车辆伤害、电气伤害、高处坠落、中毒窒息等，具体详见《事故风险辨识评估报告》。</w:t>
      </w:r>
    </w:p>
    <w:p>
      <w:pPr>
        <w:spacing w:line="360" w:lineRule="auto"/>
        <w:jc w:val="center"/>
        <w:rPr>
          <w:rFonts w:cs="宋体"/>
          <w:b/>
          <w:bCs/>
          <w:sz w:val="24"/>
          <w:szCs w:val="24"/>
        </w:rPr>
      </w:pPr>
      <w:r>
        <w:rPr>
          <w:rFonts w:hint="eastAsia" w:cs="宋体"/>
          <w:b/>
          <w:bCs/>
          <w:sz w:val="24"/>
          <w:szCs w:val="24"/>
        </w:rPr>
        <w:t>事故风险分析一览表</w:t>
      </w:r>
    </w:p>
    <w:tbl>
      <w:tblPr>
        <w:tblStyle w:val="35"/>
        <w:tblW w:w="8290" w:type="dxa"/>
        <w:jc w:val="center"/>
        <w:tblInd w:w="399"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69"/>
        <w:gridCol w:w="1272"/>
        <w:gridCol w:w="756"/>
        <w:gridCol w:w="1094"/>
        <w:gridCol w:w="795"/>
        <w:gridCol w:w="1642"/>
        <w:gridCol w:w="19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69" w:type="dxa"/>
            <w:vAlign w:val="center"/>
          </w:tcPr>
          <w:p>
            <w:pPr>
              <w:spacing w:line="320" w:lineRule="exact"/>
              <w:jc w:val="center"/>
              <w:rPr>
                <w:rFonts w:cs="宋体"/>
                <w:b/>
                <w:bCs/>
              </w:rPr>
            </w:pPr>
            <w:r>
              <w:rPr>
                <w:rFonts w:hint="eastAsia" w:cs="宋体"/>
                <w:b/>
                <w:bCs/>
              </w:rPr>
              <w:t>事故类型</w:t>
            </w:r>
          </w:p>
        </w:tc>
        <w:tc>
          <w:tcPr>
            <w:tcW w:w="1272" w:type="dxa"/>
            <w:vAlign w:val="center"/>
          </w:tcPr>
          <w:p>
            <w:pPr>
              <w:spacing w:line="320" w:lineRule="exact"/>
              <w:jc w:val="center"/>
              <w:rPr>
                <w:rFonts w:cs="宋体"/>
                <w:b/>
                <w:bCs/>
              </w:rPr>
            </w:pPr>
            <w:r>
              <w:rPr>
                <w:rFonts w:hint="eastAsia" w:cs="宋体"/>
                <w:b/>
                <w:bCs/>
              </w:rPr>
              <w:t>发生可能性</w:t>
            </w:r>
          </w:p>
        </w:tc>
        <w:tc>
          <w:tcPr>
            <w:tcW w:w="756" w:type="dxa"/>
            <w:vAlign w:val="center"/>
          </w:tcPr>
          <w:p>
            <w:pPr>
              <w:spacing w:line="320" w:lineRule="exact"/>
              <w:jc w:val="center"/>
              <w:rPr>
                <w:rFonts w:cs="宋体"/>
                <w:b/>
                <w:bCs/>
              </w:rPr>
            </w:pPr>
            <w:r>
              <w:rPr>
                <w:rFonts w:hint="eastAsia" w:cs="宋体"/>
                <w:b/>
                <w:bCs/>
              </w:rPr>
              <w:t>危险等级</w:t>
            </w:r>
          </w:p>
        </w:tc>
        <w:tc>
          <w:tcPr>
            <w:tcW w:w="1094" w:type="dxa"/>
            <w:vAlign w:val="center"/>
          </w:tcPr>
          <w:p>
            <w:pPr>
              <w:spacing w:line="320" w:lineRule="exact"/>
              <w:jc w:val="center"/>
              <w:rPr>
                <w:rFonts w:cs="宋体"/>
                <w:b/>
                <w:bCs/>
              </w:rPr>
            </w:pPr>
            <w:r>
              <w:rPr>
                <w:rFonts w:hint="eastAsia" w:cs="宋体"/>
                <w:b/>
                <w:bCs/>
              </w:rPr>
              <w:t>发生的范围</w:t>
            </w:r>
          </w:p>
        </w:tc>
        <w:tc>
          <w:tcPr>
            <w:tcW w:w="795" w:type="dxa"/>
            <w:vAlign w:val="center"/>
          </w:tcPr>
          <w:p>
            <w:pPr>
              <w:spacing w:line="320" w:lineRule="exact"/>
              <w:jc w:val="center"/>
              <w:rPr>
                <w:rFonts w:cs="宋体"/>
                <w:b/>
                <w:bCs/>
              </w:rPr>
            </w:pPr>
            <w:r>
              <w:rPr>
                <w:rFonts w:hint="eastAsia" w:cs="宋体"/>
                <w:b/>
                <w:bCs/>
              </w:rPr>
              <w:t>事故后果</w:t>
            </w:r>
          </w:p>
        </w:tc>
        <w:tc>
          <w:tcPr>
            <w:tcW w:w="1642" w:type="dxa"/>
            <w:vAlign w:val="center"/>
          </w:tcPr>
          <w:p>
            <w:pPr>
              <w:spacing w:line="320" w:lineRule="exact"/>
              <w:jc w:val="center"/>
              <w:rPr>
                <w:rFonts w:cs="宋体"/>
                <w:b/>
                <w:bCs/>
              </w:rPr>
            </w:pPr>
            <w:r>
              <w:rPr>
                <w:rFonts w:hint="eastAsia" w:cs="宋体"/>
                <w:b/>
                <w:bCs/>
              </w:rPr>
              <w:t>影响范围</w:t>
            </w:r>
          </w:p>
        </w:tc>
        <w:tc>
          <w:tcPr>
            <w:tcW w:w="1962" w:type="dxa"/>
            <w:vAlign w:val="center"/>
          </w:tcPr>
          <w:p>
            <w:pPr>
              <w:spacing w:line="320" w:lineRule="exact"/>
              <w:jc w:val="center"/>
              <w:rPr>
                <w:rFonts w:cs="宋体"/>
                <w:b/>
                <w:bCs/>
              </w:rPr>
            </w:pPr>
            <w:r>
              <w:rPr>
                <w:rFonts w:hint="eastAsia" w:cs="宋体"/>
                <w:b/>
                <w:bCs/>
              </w:rPr>
              <w:t>防范措施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69" w:type="dxa"/>
            <w:vAlign w:val="center"/>
          </w:tcPr>
          <w:p>
            <w:pPr>
              <w:spacing w:line="320" w:lineRule="exact"/>
              <w:jc w:val="center"/>
              <w:rPr>
                <w:rFonts w:cs="宋体"/>
              </w:rPr>
            </w:pPr>
            <w:r>
              <w:rPr>
                <w:rFonts w:hint="eastAsia" w:cs="宋体"/>
              </w:rPr>
              <w:t>物料泄漏</w:t>
            </w:r>
          </w:p>
        </w:tc>
        <w:tc>
          <w:tcPr>
            <w:tcW w:w="1272" w:type="dxa"/>
            <w:vAlign w:val="center"/>
          </w:tcPr>
          <w:p>
            <w:pPr>
              <w:spacing w:line="320" w:lineRule="exact"/>
              <w:rPr>
                <w:rFonts w:cs="宋体"/>
              </w:rPr>
            </w:pPr>
            <w:r>
              <w:rPr>
                <w:rFonts w:hint="eastAsia" w:cs="宋体"/>
              </w:rPr>
              <w:t>油罐的液位计损坏，在卸油过程中未发现，可能导致油品溢出；油罐罐体腐蚀穿孔，导致油品泄漏；管理不当，从业人员粗心大意等，在卸油、量油、加油过程中导致油品泄漏。</w:t>
            </w:r>
          </w:p>
        </w:tc>
        <w:tc>
          <w:tcPr>
            <w:tcW w:w="756" w:type="dxa"/>
            <w:vAlign w:val="center"/>
          </w:tcPr>
          <w:p>
            <w:pPr>
              <w:spacing w:line="320" w:lineRule="exact"/>
              <w:jc w:val="center"/>
              <w:rPr>
                <w:rFonts w:cs="宋体"/>
              </w:rPr>
            </w:pPr>
            <w:r>
              <w:rPr>
                <w:rFonts w:hint="eastAsia" w:cs="宋体"/>
              </w:rPr>
              <w:t>严重</w:t>
            </w:r>
          </w:p>
        </w:tc>
        <w:tc>
          <w:tcPr>
            <w:tcW w:w="1094" w:type="dxa"/>
            <w:vAlign w:val="center"/>
          </w:tcPr>
          <w:p>
            <w:pPr>
              <w:spacing w:line="320" w:lineRule="exact"/>
              <w:jc w:val="left"/>
              <w:rPr>
                <w:rFonts w:cs="宋体"/>
              </w:rPr>
            </w:pPr>
            <w:r>
              <w:rPr>
                <w:rFonts w:hint="eastAsia" w:cs="宋体"/>
              </w:rPr>
              <w:t>油罐区、卸油口及加油区、输油管道</w:t>
            </w:r>
          </w:p>
        </w:tc>
        <w:tc>
          <w:tcPr>
            <w:tcW w:w="795" w:type="dxa"/>
            <w:vAlign w:val="center"/>
          </w:tcPr>
          <w:p>
            <w:pPr>
              <w:spacing w:line="320" w:lineRule="exact"/>
              <w:jc w:val="left"/>
              <w:rPr>
                <w:rFonts w:cs="宋体"/>
              </w:rPr>
            </w:pPr>
            <w:r>
              <w:rPr>
                <w:rFonts w:hint="eastAsia" w:cs="宋体"/>
              </w:rPr>
              <w:t>人员伤亡、设备损坏</w:t>
            </w:r>
          </w:p>
        </w:tc>
        <w:tc>
          <w:tcPr>
            <w:tcW w:w="1642" w:type="dxa"/>
            <w:vAlign w:val="center"/>
          </w:tcPr>
          <w:p>
            <w:pPr>
              <w:spacing w:line="320" w:lineRule="exact"/>
              <w:jc w:val="left"/>
              <w:rPr>
                <w:rFonts w:cs="宋体"/>
              </w:rPr>
            </w:pPr>
            <w:r>
              <w:rPr>
                <w:rFonts w:hint="eastAsia" w:cs="宋体"/>
              </w:rPr>
              <w:t>物料泄漏可能导致火灾爆炸事故以及中毒窒息事故，可能危及整个加油站甚至周边农户及过往车辆</w:t>
            </w:r>
          </w:p>
        </w:tc>
        <w:tc>
          <w:tcPr>
            <w:tcW w:w="1962" w:type="dxa"/>
            <w:vAlign w:val="center"/>
          </w:tcPr>
          <w:p>
            <w:pPr>
              <w:spacing w:line="320" w:lineRule="exact"/>
              <w:jc w:val="left"/>
              <w:rPr>
                <w:rFonts w:cs="宋体"/>
              </w:rPr>
            </w:pPr>
            <w:r>
              <w:rPr>
                <w:rFonts w:hint="eastAsia" w:cs="宋体"/>
              </w:rPr>
              <w:t>定期将计量设备送检，保证设备的完好有效；加强对设备的管理、维护等，保证设备完好；加强人员培训，提高安全意识。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69" w:type="dxa"/>
            <w:vAlign w:val="center"/>
          </w:tcPr>
          <w:p>
            <w:pPr>
              <w:spacing w:line="320" w:lineRule="exact"/>
              <w:rPr>
                <w:rFonts w:cs="宋体"/>
              </w:rPr>
            </w:pPr>
            <w:r>
              <w:rPr>
                <w:rFonts w:hint="eastAsia" w:cs="宋体"/>
              </w:rPr>
              <w:t>危险物料火灾、爆炸</w:t>
            </w:r>
          </w:p>
        </w:tc>
        <w:tc>
          <w:tcPr>
            <w:tcW w:w="1272" w:type="dxa"/>
            <w:vAlign w:val="center"/>
          </w:tcPr>
          <w:p>
            <w:pPr>
              <w:spacing w:line="320" w:lineRule="exact"/>
              <w:rPr>
                <w:rFonts w:cs="宋体"/>
              </w:rPr>
            </w:pPr>
            <w:r>
              <w:rPr>
                <w:rFonts w:hint="eastAsia" w:cs="宋体"/>
              </w:rPr>
              <w:t>汽油和（或）柴油泄漏，遇点火源易发生火灾事故；当场所通风不良，与空气形成爆炸性混合物时遇点火源可能导致爆炸。</w:t>
            </w:r>
          </w:p>
        </w:tc>
        <w:tc>
          <w:tcPr>
            <w:tcW w:w="756" w:type="dxa"/>
            <w:vAlign w:val="center"/>
          </w:tcPr>
          <w:p>
            <w:pPr>
              <w:spacing w:line="320" w:lineRule="exact"/>
              <w:jc w:val="center"/>
              <w:rPr>
                <w:rFonts w:cs="宋体"/>
              </w:rPr>
            </w:pPr>
            <w:r>
              <w:rPr>
                <w:rFonts w:hint="eastAsia" w:cs="宋体"/>
              </w:rPr>
              <w:t>严重</w:t>
            </w:r>
          </w:p>
        </w:tc>
        <w:tc>
          <w:tcPr>
            <w:tcW w:w="1094" w:type="dxa"/>
            <w:vAlign w:val="center"/>
          </w:tcPr>
          <w:p>
            <w:pPr>
              <w:spacing w:line="320" w:lineRule="exact"/>
              <w:jc w:val="left"/>
              <w:rPr>
                <w:rFonts w:cs="宋体"/>
              </w:rPr>
            </w:pPr>
            <w:r>
              <w:rPr>
                <w:rFonts w:hint="eastAsia" w:cs="宋体"/>
              </w:rPr>
              <w:t>罐区、卸油口、加油区、输油管道</w:t>
            </w:r>
          </w:p>
        </w:tc>
        <w:tc>
          <w:tcPr>
            <w:tcW w:w="795" w:type="dxa"/>
            <w:vAlign w:val="center"/>
          </w:tcPr>
          <w:p>
            <w:pPr>
              <w:spacing w:line="320" w:lineRule="exact"/>
              <w:jc w:val="left"/>
              <w:rPr>
                <w:rFonts w:cs="宋体"/>
              </w:rPr>
            </w:pPr>
            <w:r>
              <w:rPr>
                <w:rFonts w:hint="eastAsia" w:cs="宋体"/>
              </w:rPr>
              <w:t>人员伤亡，设备损坏</w:t>
            </w:r>
          </w:p>
        </w:tc>
        <w:tc>
          <w:tcPr>
            <w:tcW w:w="1642" w:type="dxa"/>
            <w:vAlign w:val="center"/>
          </w:tcPr>
          <w:p>
            <w:pPr>
              <w:spacing w:line="320" w:lineRule="exact"/>
              <w:jc w:val="left"/>
              <w:rPr>
                <w:rFonts w:cs="宋体"/>
              </w:rPr>
            </w:pPr>
            <w:r>
              <w:rPr>
                <w:rFonts w:hint="eastAsia" w:cs="宋体"/>
              </w:rPr>
              <w:t>火灾爆炸影响范围较大，可能危及整个加油站甚至周边农户及过往车辆</w:t>
            </w:r>
          </w:p>
        </w:tc>
        <w:tc>
          <w:tcPr>
            <w:tcW w:w="1962" w:type="dxa"/>
            <w:vAlign w:val="center"/>
          </w:tcPr>
          <w:p>
            <w:pPr>
              <w:numPr>
                <w:ilvl w:val="0"/>
                <w:numId w:val="1"/>
              </w:numPr>
              <w:spacing w:line="320" w:lineRule="exact"/>
              <w:jc w:val="left"/>
              <w:rPr>
                <w:rFonts w:cs="宋体"/>
              </w:rPr>
            </w:pPr>
            <w:r>
              <w:rPr>
                <w:rFonts w:hint="eastAsia" w:cs="宋体"/>
              </w:rPr>
              <w:t>加强巡检，保证设备管线完好；</w:t>
            </w:r>
          </w:p>
          <w:p>
            <w:pPr>
              <w:numPr>
                <w:ilvl w:val="0"/>
                <w:numId w:val="1"/>
              </w:numPr>
              <w:spacing w:line="320" w:lineRule="exact"/>
              <w:jc w:val="left"/>
              <w:rPr>
                <w:rFonts w:cs="宋体"/>
              </w:rPr>
            </w:pPr>
            <w:r>
              <w:rPr>
                <w:rFonts w:hint="eastAsia" w:cs="宋体"/>
              </w:rPr>
              <w:t>周边区域严禁烟火及其他点火源；</w:t>
            </w:r>
          </w:p>
          <w:p>
            <w:pPr>
              <w:numPr>
                <w:ilvl w:val="0"/>
                <w:numId w:val="1"/>
              </w:numPr>
              <w:spacing w:line="320" w:lineRule="exact"/>
              <w:jc w:val="left"/>
              <w:rPr>
                <w:rFonts w:cs="宋体"/>
              </w:rPr>
            </w:pPr>
            <w:r>
              <w:rPr>
                <w:rFonts w:hint="eastAsia" w:cs="宋体"/>
              </w:rPr>
              <w:t>在易发生可燃气体积聚的场所加强通风</w:t>
            </w:r>
          </w:p>
          <w:p>
            <w:pPr>
              <w:numPr>
                <w:ilvl w:val="0"/>
                <w:numId w:val="1"/>
              </w:numPr>
              <w:spacing w:line="320" w:lineRule="exact"/>
              <w:jc w:val="left"/>
              <w:rPr>
                <w:rFonts w:cs="宋体"/>
              </w:rPr>
            </w:pPr>
            <w:r>
              <w:rPr>
                <w:rFonts w:hint="eastAsia" w:cs="宋体"/>
              </w:rPr>
              <w:t>制定相关的安全管理制度及操作规程，加强人员培训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69" w:type="dxa"/>
            <w:vAlign w:val="center"/>
          </w:tcPr>
          <w:p>
            <w:pPr>
              <w:spacing w:line="320" w:lineRule="exact"/>
              <w:jc w:val="center"/>
              <w:rPr>
                <w:rFonts w:cs="宋体"/>
              </w:rPr>
            </w:pPr>
            <w:r>
              <w:rPr>
                <w:rFonts w:hint="eastAsia" w:cs="宋体"/>
              </w:rPr>
              <w:t>中毒窒息</w:t>
            </w:r>
          </w:p>
        </w:tc>
        <w:tc>
          <w:tcPr>
            <w:tcW w:w="1272" w:type="dxa"/>
            <w:vAlign w:val="center"/>
          </w:tcPr>
          <w:p>
            <w:pPr>
              <w:rPr>
                <w:szCs w:val="28"/>
              </w:rPr>
            </w:pPr>
            <w:bookmarkStart w:id="127" w:name="OLE_LINK6"/>
            <w:r>
              <w:rPr>
                <w:szCs w:val="28"/>
              </w:rPr>
              <w:t>1易燃易爆油品泄漏：</w:t>
            </w:r>
          </w:p>
          <w:p>
            <w:pPr>
              <w:rPr>
                <w:szCs w:val="28"/>
              </w:rPr>
            </w:pPr>
            <w:r>
              <w:rPr>
                <w:szCs w:val="28"/>
              </w:rPr>
              <w:t>(1)加油枪、管线、阀门、法兰等破裂或连接松动或垫片损坏</w:t>
            </w:r>
            <w:r>
              <w:rPr>
                <w:rFonts w:hint="eastAsia"/>
                <w:szCs w:val="28"/>
              </w:rPr>
              <w:t>；</w:t>
            </w:r>
          </w:p>
          <w:p>
            <w:pPr>
              <w:rPr>
                <w:szCs w:val="28"/>
              </w:rPr>
            </w:pPr>
            <w:r>
              <w:rPr>
                <w:szCs w:val="28"/>
              </w:rPr>
              <w:t>(2)储罐、汽车油品溢出；</w:t>
            </w:r>
          </w:p>
          <w:p>
            <w:pPr>
              <w:rPr>
                <w:szCs w:val="28"/>
              </w:rPr>
            </w:pPr>
            <w:r>
              <w:rPr>
                <w:szCs w:val="28"/>
              </w:rPr>
              <w:t>(3)撞击(如</w:t>
            </w:r>
            <w:r>
              <w:rPr>
                <w:rFonts w:hint="eastAsia"/>
                <w:szCs w:val="28"/>
              </w:rPr>
              <w:t>车辆</w:t>
            </w:r>
            <w:r>
              <w:rPr>
                <w:szCs w:val="28"/>
              </w:rPr>
              <w:t>撞击、物体打击)或，或人为破坏造成容器及管线、管件等破坏而泄漏；</w:t>
            </w:r>
          </w:p>
          <w:p>
            <w:pPr>
              <w:rPr>
                <w:szCs w:val="28"/>
              </w:rPr>
            </w:pPr>
            <w:r>
              <w:rPr>
                <w:szCs w:val="28"/>
              </w:rPr>
              <w:t>(4)严重自然灾害造成的破坏泄漏，如：雷击、暴风、地震、洪水等；</w:t>
            </w:r>
          </w:p>
          <w:p>
            <w:pPr>
              <w:rPr>
                <w:szCs w:val="28"/>
              </w:rPr>
            </w:pPr>
            <w:r>
              <w:rPr>
                <w:szCs w:val="28"/>
              </w:rPr>
              <w:t>2、进罐作业</w:t>
            </w:r>
          </w:p>
          <w:p>
            <w:pPr>
              <w:rPr>
                <w:szCs w:val="28"/>
              </w:rPr>
            </w:pPr>
            <w:r>
              <w:rPr>
                <w:szCs w:val="28"/>
              </w:rPr>
              <w:t>(1)进罐之前没有分析</w:t>
            </w:r>
            <w:r>
              <w:rPr>
                <w:rFonts w:hint="eastAsia"/>
                <w:szCs w:val="28"/>
              </w:rPr>
              <w:t>；</w:t>
            </w:r>
          </w:p>
          <w:p>
            <w:pPr>
              <w:rPr>
                <w:szCs w:val="28"/>
              </w:rPr>
            </w:pPr>
            <w:r>
              <w:rPr>
                <w:szCs w:val="28"/>
              </w:rPr>
              <w:t>(2)进罐无人监护；</w:t>
            </w:r>
          </w:p>
          <w:p>
            <w:pPr>
              <w:rPr>
                <w:szCs w:val="28"/>
              </w:rPr>
            </w:pPr>
            <w:r>
              <w:rPr>
                <w:szCs w:val="28"/>
              </w:rPr>
              <w:t>3、缺乏泄漏物料的危险危害因素特性</w:t>
            </w:r>
            <w:r>
              <w:rPr>
                <w:rFonts w:hint="eastAsia"/>
                <w:szCs w:val="28"/>
              </w:rPr>
              <w:t>及</w:t>
            </w:r>
            <w:r>
              <w:rPr>
                <w:szCs w:val="28"/>
              </w:rPr>
              <w:t>其应急与防范方法的知识；</w:t>
            </w:r>
          </w:p>
          <w:p>
            <w:pPr>
              <w:rPr>
                <w:szCs w:val="28"/>
              </w:rPr>
            </w:pPr>
            <w:r>
              <w:rPr>
                <w:szCs w:val="28"/>
              </w:rPr>
              <w:t>4、应急不当</w:t>
            </w:r>
          </w:p>
          <w:p>
            <w:pPr>
              <w:rPr>
                <w:rFonts w:cs="宋体"/>
              </w:rPr>
            </w:pPr>
            <w:r>
              <w:rPr>
                <w:szCs w:val="28"/>
              </w:rPr>
              <w:t>5、防护不当</w:t>
            </w:r>
            <w:bookmarkEnd w:id="127"/>
          </w:p>
        </w:tc>
        <w:tc>
          <w:tcPr>
            <w:tcW w:w="756" w:type="dxa"/>
            <w:vAlign w:val="center"/>
          </w:tcPr>
          <w:p>
            <w:pPr>
              <w:spacing w:line="320" w:lineRule="exact"/>
              <w:jc w:val="center"/>
              <w:rPr>
                <w:rFonts w:cs="宋体"/>
              </w:rPr>
            </w:pPr>
            <w:r>
              <w:rPr>
                <w:rFonts w:hint="eastAsia" w:cs="宋体"/>
              </w:rPr>
              <w:t>较大</w:t>
            </w:r>
          </w:p>
        </w:tc>
        <w:tc>
          <w:tcPr>
            <w:tcW w:w="1094" w:type="dxa"/>
            <w:vAlign w:val="center"/>
          </w:tcPr>
          <w:p>
            <w:pPr>
              <w:spacing w:line="320" w:lineRule="exact"/>
              <w:jc w:val="left"/>
              <w:rPr>
                <w:rFonts w:cs="宋体"/>
              </w:rPr>
            </w:pPr>
            <w:r>
              <w:rPr>
                <w:rFonts w:hint="eastAsia" w:cs="宋体"/>
              </w:rPr>
              <w:t>油罐区和加油区</w:t>
            </w:r>
          </w:p>
        </w:tc>
        <w:tc>
          <w:tcPr>
            <w:tcW w:w="795" w:type="dxa"/>
            <w:vAlign w:val="center"/>
          </w:tcPr>
          <w:p>
            <w:pPr>
              <w:spacing w:line="320" w:lineRule="exact"/>
              <w:jc w:val="left"/>
              <w:rPr>
                <w:rFonts w:cs="宋体"/>
              </w:rPr>
            </w:pPr>
            <w:r>
              <w:rPr>
                <w:rFonts w:hint="eastAsia" w:cs="宋体"/>
              </w:rPr>
              <w:t>人员伤亡</w:t>
            </w:r>
          </w:p>
        </w:tc>
        <w:tc>
          <w:tcPr>
            <w:tcW w:w="1642" w:type="dxa"/>
            <w:vAlign w:val="center"/>
          </w:tcPr>
          <w:p>
            <w:pPr>
              <w:spacing w:line="320" w:lineRule="exact"/>
              <w:jc w:val="left"/>
              <w:rPr>
                <w:rFonts w:cs="宋体"/>
              </w:rPr>
            </w:pPr>
            <w:r>
              <w:rPr>
                <w:rFonts w:hint="eastAsia" w:cs="宋体"/>
              </w:rPr>
              <w:t>影响站区作业人员以及加油客户</w:t>
            </w:r>
          </w:p>
        </w:tc>
        <w:tc>
          <w:tcPr>
            <w:tcW w:w="1962" w:type="dxa"/>
            <w:vAlign w:val="center"/>
          </w:tcPr>
          <w:p>
            <w:pPr>
              <w:rPr>
                <w:szCs w:val="28"/>
              </w:rPr>
            </w:pPr>
            <w:r>
              <w:rPr>
                <w:szCs w:val="28"/>
              </w:rPr>
              <w:t>1、严格控制设备及安装质量，加强管理、严格执行工艺规程，确保安全设施齐全完好，严格控制或消除泄漏；</w:t>
            </w:r>
          </w:p>
          <w:p>
            <w:pPr>
              <w:rPr>
                <w:szCs w:val="28"/>
              </w:rPr>
            </w:pPr>
            <w:r>
              <w:rPr>
                <w:szCs w:val="28"/>
              </w:rPr>
              <w:t>2、泄漏后应采取相应措施</w:t>
            </w:r>
          </w:p>
          <w:p>
            <w:pPr>
              <w:rPr>
                <w:szCs w:val="28"/>
              </w:rPr>
            </w:pPr>
            <w:r>
              <w:rPr>
                <w:szCs w:val="28"/>
              </w:rPr>
              <w:t>(1)查明泄漏点，切断相关阀门，及时处理</w:t>
            </w:r>
            <w:r>
              <w:rPr>
                <w:rFonts w:hint="eastAsia"/>
                <w:szCs w:val="28"/>
              </w:rPr>
              <w:t>；</w:t>
            </w:r>
          </w:p>
          <w:p>
            <w:pPr>
              <w:rPr>
                <w:szCs w:val="28"/>
              </w:rPr>
            </w:pPr>
            <w:r>
              <w:rPr>
                <w:szCs w:val="28"/>
              </w:rPr>
              <w:t>(2)如泄漏量大，应疏散有关人员至安全处</w:t>
            </w:r>
            <w:r>
              <w:rPr>
                <w:rFonts w:hint="eastAsia"/>
                <w:szCs w:val="28"/>
              </w:rPr>
              <w:t>；</w:t>
            </w:r>
          </w:p>
          <w:p>
            <w:pPr>
              <w:rPr>
                <w:szCs w:val="28"/>
              </w:rPr>
            </w:pPr>
            <w:r>
              <w:rPr>
                <w:szCs w:val="28"/>
              </w:rPr>
              <w:t>3、定期检修、维护保养，保持</w:t>
            </w:r>
            <w:r>
              <w:rPr>
                <w:rFonts w:hint="eastAsia"/>
                <w:szCs w:val="28"/>
              </w:rPr>
              <w:t>设备</w:t>
            </w:r>
            <w:r>
              <w:rPr>
                <w:szCs w:val="28"/>
              </w:rPr>
              <w:t>的完好状态。作业时要有监护人员及相应措施，作业人员要穿戴好防护用品；</w:t>
            </w:r>
          </w:p>
          <w:p>
            <w:pPr>
              <w:rPr>
                <w:szCs w:val="28"/>
              </w:rPr>
            </w:pPr>
            <w:r>
              <w:rPr>
                <w:szCs w:val="28"/>
              </w:rPr>
              <w:t>4、组织管理措施：</w:t>
            </w:r>
          </w:p>
          <w:p>
            <w:pPr>
              <w:rPr>
                <w:szCs w:val="28"/>
              </w:rPr>
            </w:pPr>
            <w:bookmarkStart w:id="128" w:name="OLE_LINK7"/>
            <w:r>
              <w:rPr>
                <w:szCs w:val="28"/>
              </w:rPr>
              <w:t>(1)</w:t>
            </w:r>
            <w:bookmarkEnd w:id="128"/>
            <w:r>
              <w:rPr>
                <w:szCs w:val="28"/>
              </w:rPr>
              <w:t>设立危险、有毒、窒息性的警示标志；</w:t>
            </w:r>
          </w:p>
          <w:p>
            <w:pPr>
              <w:rPr>
                <w:szCs w:val="28"/>
              </w:rPr>
            </w:pPr>
            <w:r>
              <w:rPr>
                <w:szCs w:val="28"/>
              </w:rPr>
              <w:t>(</w:t>
            </w:r>
            <w:r>
              <w:rPr>
                <w:rFonts w:hint="eastAsia"/>
                <w:szCs w:val="28"/>
              </w:rPr>
              <w:t>2</w:t>
            </w:r>
            <w:r>
              <w:rPr>
                <w:szCs w:val="28"/>
              </w:rPr>
              <w:t>)教育培训职工掌握有关毒物的毒性，预防中毒、窒息的方法及其急救法；</w:t>
            </w:r>
          </w:p>
          <w:p>
            <w:pPr>
              <w:rPr>
                <w:szCs w:val="28"/>
              </w:rPr>
            </w:pPr>
            <w:r>
              <w:rPr>
                <w:szCs w:val="28"/>
              </w:rPr>
              <w:t>(3)要求职工严格遵守各种规章制度、操作规程；</w:t>
            </w:r>
          </w:p>
          <w:p>
            <w:pPr>
              <w:rPr>
                <w:szCs w:val="28"/>
              </w:rPr>
            </w:pPr>
            <w:r>
              <w:rPr>
                <w:szCs w:val="28"/>
              </w:rPr>
              <w:t>(4)配备相应的急救器材：</w:t>
            </w:r>
          </w:p>
          <w:p>
            <w:pPr>
              <w:rPr>
                <w:rFonts w:cs="宋体"/>
              </w:rPr>
            </w:pPr>
            <w:r>
              <w:rPr>
                <w:szCs w:val="28"/>
              </w:rPr>
              <w:t>(5)加强巡回检查，发现故障及时处理。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69" w:type="dxa"/>
            <w:vAlign w:val="center"/>
          </w:tcPr>
          <w:p>
            <w:pPr>
              <w:spacing w:line="320" w:lineRule="exact"/>
              <w:jc w:val="center"/>
              <w:rPr>
                <w:rFonts w:cs="宋体"/>
              </w:rPr>
            </w:pPr>
            <w:r>
              <w:rPr>
                <w:rFonts w:hint="eastAsia" w:cs="宋体"/>
              </w:rPr>
              <w:t>电气火灾</w:t>
            </w:r>
          </w:p>
        </w:tc>
        <w:tc>
          <w:tcPr>
            <w:tcW w:w="1272" w:type="dxa"/>
            <w:vAlign w:val="center"/>
          </w:tcPr>
          <w:p>
            <w:pPr>
              <w:spacing w:line="320" w:lineRule="exact"/>
              <w:rPr>
                <w:rFonts w:cs="宋体"/>
              </w:rPr>
            </w:pPr>
            <w:r>
              <w:rPr>
                <w:rFonts w:hint="eastAsia" w:cs="宋体"/>
              </w:rPr>
              <w:t>线路老化、破损引起短路；设备漏电；维护保养不到位；玩忽职守、操作失误引起电气火灾</w:t>
            </w:r>
          </w:p>
        </w:tc>
        <w:tc>
          <w:tcPr>
            <w:tcW w:w="756" w:type="dxa"/>
            <w:vAlign w:val="center"/>
          </w:tcPr>
          <w:p>
            <w:pPr>
              <w:spacing w:line="320" w:lineRule="exact"/>
              <w:jc w:val="center"/>
              <w:rPr>
                <w:rFonts w:cs="宋体"/>
              </w:rPr>
            </w:pPr>
            <w:r>
              <w:rPr>
                <w:rFonts w:hint="eastAsia" w:cs="宋体"/>
              </w:rPr>
              <w:t>较大</w:t>
            </w:r>
          </w:p>
        </w:tc>
        <w:tc>
          <w:tcPr>
            <w:tcW w:w="1094" w:type="dxa"/>
            <w:vAlign w:val="center"/>
          </w:tcPr>
          <w:p>
            <w:pPr>
              <w:spacing w:line="320" w:lineRule="exact"/>
              <w:jc w:val="left"/>
              <w:rPr>
                <w:rFonts w:cs="宋体"/>
              </w:rPr>
            </w:pPr>
            <w:r>
              <w:rPr>
                <w:rFonts w:hint="eastAsia" w:cs="宋体"/>
              </w:rPr>
              <w:t>站房、配电箱等用电场所</w:t>
            </w:r>
          </w:p>
        </w:tc>
        <w:tc>
          <w:tcPr>
            <w:tcW w:w="795" w:type="dxa"/>
            <w:vAlign w:val="center"/>
          </w:tcPr>
          <w:p>
            <w:pPr>
              <w:spacing w:line="320" w:lineRule="exact"/>
              <w:jc w:val="left"/>
              <w:rPr>
                <w:rFonts w:cs="宋体"/>
              </w:rPr>
            </w:pPr>
            <w:r>
              <w:rPr>
                <w:rFonts w:hint="eastAsia" w:cs="宋体"/>
              </w:rPr>
              <w:t>人员伤亡、设备损坏</w:t>
            </w:r>
          </w:p>
        </w:tc>
        <w:tc>
          <w:tcPr>
            <w:tcW w:w="1642" w:type="dxa"/>
            <w:vAlign w:val="center"/>
          </w:tcPr>
          <w:p>
            <w:pPr>
              <w:spacing w:line="320" w:lineRule="exact"/>
              <w:jc w:val="left"/>
              <w:rPr>
                <w:rFonts w:cs="宋体"/>
              </w:rPr>
            </w:pPr>
            <w:r>
              <w:rPr>
                <w:rFonts w:hint="eastAsia" w:cs="宋体"/>
              </w:rPr>
              <w:t>若控制不当，可能会造成火灾爆炸等衍生事故；影响整个加油站、周边农户以及过往车辆</w:t>
            </w:r>
          </w:p>
        </w:tc>
        <w:tc>
          <w:tcPr>
            <w:tcW w:w="1962" w:type="dxa"/>
            <w:vAlign w:val="center"/>
          </w:tcPr>
          <w:p>
            <w:pPr>
              <w:numPr>
                <w:ilvl w:val="0"/>
                <w:numId w:val="2"/>
              </w:numPr>
              <w:spacing w:line="320" w:lineRule="exact"/>
              <w:jc w:val="left"/>
              <w:rPr>
                <w:rFonts w:cs="宋体"/>
              </w:rPr>
            </w:pPr>
            <w:r>
              <w:rPr>
                <w:rFonts w:hint="eastAsia" w:cs="宋体"/>
              </w:rPr>
              <w:t>定期检查线路，保证线路完好；</w:t>
            </w:r>
          </w:p>
          <w:p>
            <w:pPr>
              <w:numPr>
                <w:ilvl w:val="0"/>
                <w:numId w:val="2"/>
              </w:numPr>
              <w:spacing w:line="320" w:lineRule="exact"/>
              <w:jc w:val="left"/>
              <w:rPr>
                <w:rFonts w:cs="宋体"/>
              </w:rPr>
            </w:pPr>
            <w:r>
              <w:rPr>
                <w:rFonts w:hint="eastAsia" w:cs="宋体"/>
              </w:rPr>
              <w:t>电气设备周围严禁堆放其他可燃物品；</w:t>
            </w:r>
          </w:p>
          <w:p>
            <w:pPr>
              <w:numPr>
                <w:ilvl w:val="0"/>
                <w:numId w:val="2"/>
              </w:numPr>
              <w:spacing w:line="320" w:lineRule="exact"/>
              <w:jc w:val="left"/>
              <w:rPr>
                <w:rFonts w:cs="宋体"/>
              </w:rPr>
            </w:pPr>
            <w:r>
              <w:rPr>
                <w:rFonts w:hint="eastAsia" w:cs="宋体"/>
              </w:rPr>
              <w:t>制定相关的安全管理制度及操作规程，加强人员培训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69" w:type="dxa"/>
            <w:vAlign w:val="center"/>
          </w:tcPr>
          <w:p>
            <w:pPr>
              <w:spacing w:line="320" w:lineRule="exact"/>
              <w:jc w:val="center"/>
              <w:rPr>
                <w:rFonts w:cs="宋体"/>
              </w:rPr>
            </w:pPr>
            <w:r>
              <w:rPr>
                <w:rFonts w:hint="eastAsia" w:cs="宋体"/>
              </w:rPr>
              <w:t>触电</w:t>
            </w:r>
          </w:p>
        </w:tc>
        <w:tc>
          <w:tcPr>
            <w:tcW w:w="1272" w:type="dxa"/>
            <w:vAlign w:val="center"/>
          </w:tcPr>
          <w:p>
            <w:pPr>
              <w:spacing w:line="320" w:lineRule="exact"/>
              <w:rPr>
                <w:rFonts w:cs="宋体"/>
              </w:rPr>
            </w:pPr>
            <w:r>
              <w:rPr>
                <w:rFonts w:hint="eastAsia" w:cs="宋体"/>
              </w:rPr>
              <w:t>电气设备自身缺陷、线路绝缘老化、超负荷运行、错误操作、雷击等原因；</w:t>
            </w:r>
          </w:p>
        </w:tc>
        <w:tc>
          <w:tcPr>
            <w:tcW w:w="756" w:type="dxa"/>
            <w:vAlign w:val="center"/>
          </w:tcPr>
          <w:p>
            <w:pPr>
              <w:spacing w:line="320" w:lineRule="exact"/>
              <w:jc w:val="center"/>
              <w:rPr>
                <w:rFonts w:cs="宋体"/>
              </w:rPr>
            </w:pPr>
            <w:r>
              <w:rPr>
                <w:rFonts w:hint="eastAsia" w:cs="宋体"/>
              </w:rPr>
              <w:t>一般</w:t>
            </w:r>
          </w:p>
        </w:tc>
        <w:tc>
          <w:tcPr>
            <w:tcW w:w="1094" w:type="dxa"/>
            <w:vAlign w:val="center"/>
          </w:tcPr>
          <w:p>
            <w:pPr>
              <w:spacing w:line="320" w:lineRule="exact"/>
              <w:jc w:val="left"/>
              <w:rPr>
                <w:rFonts w:cs="宋体"/>
              </w:rPr>
            </w:pPr>
            <w:r>
              <w:rPr>
                <w:rFonts w:hint="eastAsia" w:cs="宋体"/>
              </w:rPr>
              <w:t>站房、配电箱等用电场所</w:t>
            </w:r>
          </w:p>
        </w:tc>
        <w:tc>
          <w:tcPr>
            <w:tcW w:w="795" w:type="dxa"/>
            <w:vAlign w:val="center"/>
          </w:tcPr>
          <w:p>
            <w:pPr>
              <w:spacing w:line="320" w:lineRule="exact"/>
              <w:jc w:val="left"/>
              <w:rPr>
                <w:rFonts w:cs="宋体"/>
              </w:rPr>
            </w:pPr>
            <w:r>
              <w:rPr>
                <w:rFonts w:hint="eastAsia" w:cs="宋体"/>
              </w:rPr>
              <w:t>人员伤亡</w:t>
            </w:r>
          </w:p>
        </w:tc>
        <w:tc>
          <w:tcPr>
            <w:tcW w:w="1642" w:type="dxa"/>
            <w:vAlign w:val="center"/>
          </w:tcPr>
          <w:p>
            <w:pPr>
              <w:spacing w:line="320" w:lineRule="exact"/>
              <w:jc w:val="left"/>
              <w:rPr>
                <w:rFonts w:cs="宋体"/>
              </w:rPr>
            </w:pPr>
            <w:r>
              <w:rPr>
                <w:rFonts w:hint="eastAsia" w:cs="宋体"/>
              </w:rPr>
              <w:t>作业人员</w:t>
            </w:r>
          </w:p>
        </w:tc>
        <w:tc>
          <w:tcPr>
            <w:tcW w:w="1962" w:type="dxa"/>
            <w:vAlign w:val="center"/>
          </w:tcPr>
          <w:p>
            <w:pPr>
              <w:numPr>
                <w:ilvl w:val="0"/>
                <w:numId w:val="3"/>
              </w:numPr>
              <w:spacing w:line="320" w:lineRule="exact"/>
              <w:jc w:val="left"/>
              <w:rPr>
                <w:rFonts w:cs="宋体"/>
              </w:rPr>
            </w:pPr>
            <w:r>
              <w:rPr>
                <w:rFonts w:hint="eastAsia" w:cs="宋体"/>
              </w:rPr>
              <w:t>加强巡检、定期检查电气设备及线路；</w:t>
            </w:r>
          </w:p>
          <w:p>
            <w:pPr>
              <w:numPr>
                <w:ilvl w:val="0"/>
                <w:numId w:val="3"/>
              </w:numPr>
              <w:spacing w:line="320" w:lineRule="exact"/>
              <w:jc w:val="left"/>
              <w:rPr>
                <w:rFonts w:cs="宋体"/>
              </w:rPr>
            </w:pPr>
            <w:r>
              <w:rPr>
                <w:rFonts w:hint="eastAsia" w:cs="宋体"/>
              </w:rPr>
              <w:t>张贴相关安全警示标志。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69" w:type="dxa"/>
            <w:vAlign w:val="center"/>
          </w:tcPr>
          <w:p>
            <w:pPr>
              <w:spacing w:line="320" w:lineRule="exact"/>
              <w:jc w:val="center"/>
              <w:rPr>
                <w:rFonts w:cs="宋体"/>
              </w:rPr>
            </w:pPr>
            <w:r>
              <w:rPr>
                <w:rFonts w:hint="eastAsia" w:cs="宋体"/>
              </w:rPr>
              <w:t>车辆伤害</w:t>
            </w:r>
          </w:p>
        </w:tc>
        <w:tc>
          <w:tcPr>
            <w:tcW w:w="1272" w:type="dxa"/>
            <w:vAlign w:val="center"/>
          </w:tcPr>
          <w:p>
            <w:pPr>
              <w:spacing w:line="320" w:lineRule="exact"/>
              <w:rPr>
                <w:rFonts w:cs="宋体"/>
              </w:rPr>
            </w:pPr>
            <w:r>
              <w:rPr>
                <w:rFonts w:hint="eastAsia" w:cs="宋体"/>
              </w:rPr>
              <w:t>违章操作驾驶，未按规定速度行驶，缺少相关安全警示标志等</w:t>
            </w:r>
          </w:p>
        </w:tc>
        <w:tc>
          <w:tcPr>
            <w:tcW w:w="756" w:type="dxa"/>
            <w:vAlign w:val="center"/>
          </w:tcPr>
          <w:p>
            <w:pPr>
              <w:spacing w:line="320" w:lineRule="exact"/>
              <w:jc w:val="center"/>
              <w:rPr>
                <w:rFonts w:cs="宋体"/>
              </w:rPr>
            </w:pPr>
            <w:r>
              <w:rPr>
                <w:rFonts w:hint="eastAsia" w:cs="宋体"/>
              </w:rPr>
              <w:t>较大</w:t>
            </w:r>
          </w:p>
        </w:tc>
        <w:tc>
          <w:tcPr>
            <w:tcW w:w="1094" w:type="dxa"/>
            <w:vAlign w:val="center"/>
          </w:tcPr>
          <w:p>
            <w:pPr>
              <w:spacing w:line="320" w:lineRule="exact"/>
              <w:jc w:val="left"/>
              <w:rPr>
                <w:rFonts w:cs="宋体"/>
              </w:rPr>
            </w:pPr>
            <w:r>
              <w:rPr>
                <w:rFonts w:hint="eastAsia" w:cs="宋体"/>
              </w:rPr>
              <w:t>站区</w:t>
            </w:r>
          </w:p>
        </w:tc>
        <w:tc>
          <w:tcPr>
            <w:tcW w:w="795" w:type="dxa"/>
            <w:vAlign w:val="center"/>
          </w:tcPr>
          <w:p>
            <w:pPr>
              <w:spacing w:line="320" w:lineRule="exact"/>
              <w:jc w:val="left"/>
              <w:rPr>
                <w:rFonts w:cs="宋体"/>
              </w:rPr>
            </w:pPr>
            <w:r>
              <w:rPr>
                <w:rFonts w:hint="eastAsia" w:cs="宋体"/>
              </w:rPr>
              <w:t>人员伤亡、设备损坏</w:t>
            </w:r>
          </w:p>
        </w:tc>
        <w:tc>
          <w:tcPr>
            <w:tcW w:w="1642" w:type="dxa"/>
            <w:vAlign w:val="center"/>
          </w:tcPr>
          <w:p>
            <w:pPr>
              <w:spacing w:line="320" w:lineRule="exact"/>
              <w:jc w:val="left"/>
              <w:rPr>
                <w:rFonts w:cs="宋体"/>
              </w:rPr>
            </w:pPr>
            <w:r>
              <w:rPr>
                <w:rFonts w:hint="eastAsia" w:cs="宋体"/>
              </w:rPr>
              <w:t>影响厂区人员，若撞击充装区、气瓶等可能造成火灾爆炸、压力容器爆炸等次生事故</w:t>
            </w:r>
          </w:p>
        </w:tc>
        <w:tc>
          <w:tcPr>
            <w:tcW w:w="1962" w:type="dxa"/>
            <w:vAlign w:val="center"/>
          </w:tcPr>
          <w:p>
            <w:pPr>
              <w:numPr>
                <w:ilvl w:val="0"/>
                <w:numId w:val="4"/>
              </w:numPr>
              <w:spacing w:line="320" w:lineRule="exact"/>
              <w:jc w:val="left"/>
              <w:rPr>
                <w:rFonts w:cs="宋体"/>
              </w:rPr>
            </w:pPr>
            <w:r>
              <w:rPr>
                <w:rFonts w:hint="eastAsia" w:cs="宋体"/>
              </w:rPr>
              <w:t>驾驶人员应持证操作，按规定操作和行驶；</w:t>
            </w:r>
          </w:p>
          <w:p>
            <w:pPr>
              <w:numPr>
                <w:ilvl w:val="0"/>
                <w:numId w:val="4"/>
              </w:numPr>
              <w:spacing w:line="320" w:lineRule="exact"/>
              <w:jc w:val="left"/>
              <w:rPr>
                <w:rFonts w:cs="宋体"/>
              </w:rPr>
            </w:pPr>
            <w:r>
              <w:rPr>
                <w:rFonts w:hint="eastAsia" w:cs="宋体"/>
              </w:rPr>
              <w:t>相关安全警示标志及限速标志。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69" w:type="dxa"/>
            <w:vAlign w:val="center"/>
          </w:tcPr>
          <w:p>
            <w:pPr>
              <w:spacing w:line="320" w:lineRule="exact"/>
              <w:jc w:val="center"/>
              <w:rPr>
                <w:rFonts w:cs="宋体"/>
              </w:rPr>
            </w:pPr>
            <w:r>
              <w:rPr>
                <w:rFonts w:hint="eastAsia" w:cs="宋体"/>
              </w:rPr>
              <w:t>高处坠落</w:t>
            </w:r>
          </w:p>
        </w:tc>
        <w:tc>
          <w:tcPr>
            <w:tcW w:w="1272" w:type="dxa"/>
            <w:vAlign w:val="center"/>
          </w:tcPr>
          <w:p>
            <w:pPr>
              <w:spacing w:line="320" w:lineRule="exact"/>
            </w:pPr>
            <w:r>
              <w:t>通气口的阻火器、呼吸阀检查保养时，防护措施不到位</w:t>
            </w:r>
            <w:r>
              <w:rPr>
                <w:rFonts w:hint="eastAsia"/>
              </w:rPr>
              <w:t>；</w:t>
            </w:r>
            <w:r>
              <w:t>维修罩棚设施时，防护措施不到位</w:t>
            </w:r>
            <w:r>
              <w:rPr>
                <w:rFonts w:hint="eastAsia"/>
              </w:rPr>
              <w:t>；</w:t>
            </w:r>
            <w:r>
              <w:t>屋顶没有防护措施或措施失</w:t>
            </w:r>
            <w:r>
              <w:rPr>
                <w:rFonts w:hint="eastAsia"/>
              </w:rPr>
              <w:t>；</w:t>
            </w:r>
            <w:r>
              <w:t>违章作业</w:t>
            </w:r>
            <w:r>
              <w:rPr>
                <w:rFonts w:hint="eastAsia"/>
              </w:rPr>
              <w:t>。</w:t>
            </w:r>
          </w:p>
        </w:tc>
        <w:tc>
          <w:tcPr>
            <w:tcW w:w="756" w:type="dxa"/>
            <w:vAlign w:val="center"/>
          </w:tcPr>
          <w:p>
            <w:pPr>
              <w:spacing w:line="320" w:lineRule="exact"/>
              <w:jc w:val="center"/>
              <w:rPr>
                <w:rFonts w:cs="宋体"/>
              </w:rPr>
            </w:pPr>
            <w:r>
              <w:t>一般</w:t>
            </w:r>
          </w:p>
        </w:tc>
        <w:tc>
          <w:tcPr>
            <w:tcW w:w="1094" w:type="dxa"/>
            <w:vAlign w:val="center"/>
          </w:tcPr>
          <w:p>
            <w:pPr>
              <w:spacing w:line="320" w:lineRule="exact"/>
              <w:jc w:val="left"/>
              <w:rPr>
                <w:rFonts w:cs="宋体"/>
              </w:rPr>
            </w:pPr>
            <w:r>
              <w:rPr>
                <w:rFonts w:hint="eastAsia" w:cs="宋体"/>
              </w:rPr>
              <w:t>通气口、罩棚、站房屋顶</w:t>
            </w:r>
          </w:p>
        </w:tc>
        <w:tc>
          <w:tcPr>
            <w:tcW w:w="795" w:type="dxa"/>
            <w:vAlign w:val="center"/>
          </w:tcPr>
          <w:p>
            <w:pPr>
              <w:spacing w:line="320" w:lineRule="exact"/>
              <w:jc w:val="left"/>
              <w:rPr>
                <w:rFonts w:cs="宋体"/>
              </w:rPr>
            </w:pPr>
            <w:r>
              <w:rPr>
                <w:rFonts w:hint="eastAsia" w:cs="宋体"/>
              </w:rPr>
              <w:t>人员伤亡</w:t>
            </w:r>
          </w:p>
        </w:tc>
        <w:tc>
          <w:tcPr>
            <w:tcW w:w="1642" w:type="dxa"/>
            <w:vAlign w:val="center"/>
          </w:tcPr>
          <w:p>
            <w:pPr>
              <w:spacing w:line="320" w:lineRule="exact"/>
              <w:jc w:val="left"/>
              <w:rPr>
                <w:rFonts w:cs="宋体"/>
              </w:rPr>
            </w:pPr>
            <w:r>
              <w:rPr>
                <w:rFonts w:hint="eastAsia" w:cs="宋体"/>
              </w:rPr>
              <w:t>作业人员</w:t>
            </w:r>
          </w:p>
        </w:tc>
        <w:tc>
          <w:tcPr>
            <w:tcW w:w="1962" w:type="dxa"/>
            <w:vAlign w:val="center"/>
          </w:tcPr>
          <w:p>
            <w:pPr>
              <w:jc w:val="left"/>
              <w:rPr>
                <w:szCs w:val="28"/>
              </w:rPr>
            </w:pPr>
            <w:r>
              <w:rPr>
                <w:rFonts w:hint="eastAsia"/>
                <w:szCs w:val="28"/>
              </w:rPr>
              <w:t>1、</w:t>
            </w:r>
            <w:r>
              <w:rPr>
                <w:szCs w:val="28"/>
              </w:rPr>
              <w:t>加强对职工的安全教育、杜绝违章作业，违反劳动纪律</w:t>
            </w:r>
            <w:r>
              <w:rPr>
                <w:rFonts w:hint="eastAsia"/>
                <w:szCs w:val="28"/>
              </w:rPr>
              <w:t>；</w:t>
            </w:r>
            <w:r>
              <w:rPr>
                <w:szCs w:val="28"/>
              </w:rPr>
              <w:t xml:space="preserve">2、工作时要注意力集中，要注意观察；       </w:t>
            </w:r>
          </w:p>
          <w:p>
            <w:pPr>
              <w:spacing w:line="320" w:lineRule="exact"/>
              <w:jc w:val="left"/>
              <w:rPr>
                <w:rFonts w:cs="宋体"/>
              </w:rPr>
            </w:pPr>
            <w:r>
              <w:rPr>
                <w:szCs w:val="28"/>
              </w:rPr>
              <w:t>3、设置</w:t>
            </w:r>
            <w:r>
              <w:rPr>
                <w:rFonts w:hint="eastAsia"/>
                <w:szCs w:val="28"/>
              </w:rPr>
              <w:t>安全</w:t>
            </w:r>
            <w:r>
              <w:rPr>
                <w:szCs w:val="28"/>
              </w:rPr>
              <w:t>警示</w:t>
            </w:r>
            <w:r>
              <w:rPr>
                <w:rFonts w:hint="eastAsia"/>
                <w:szCs w:val="28"/>
              </w:rPr>
              <w:t>标识。</w:t>
            </w:r>
          </w:p>
        </w:tc>
      </w:tr>
    </w:tbl>
    <w:p>
      <w:pPr>
        <w:pStyle w:val="3"/>
        <w:rPr>
          <w:rFonts w:eastAsia="宋体" w:cs="宋体"/>
        </w:rPr>
      </w:pPr>
      <w:bookmarkStart w:id="129" w:name="_Toc3296"/>
      <w:bookmarkEnd w:id="129"/>
      <w:bookmarkStart w:id="130" w:name="_Toc27782"/>
      <w:bookmarkStart w:id="131" w:name="_Toc26656"/>
      <w:bookmarkStart w:id="132" w:name="_Toc14406"/>
      <w:bookmarkStart w:id="133" w:name="_Toc5730"/>
      <w:bookmarkStart w:id="134" w:name="_Toc504989547"/>
      <w:r>
        <w:rPr>
          <w:rFonts w:hint="eastAsia" w:eastAsia="宋体" w:cs="宋体"/>
        </w:rPr>
        <w:t>第三章  应急组织机构及职责</w:t>
      </w:r>
      <w:bookmarkEnd w:id="130"/>
      <w:bookmarkEnd w:id="131"/>
      <w:bookmarkEnd w:id="132"/>
      <w:bookmarkEnd w:id="133"/>
      <w:bookmarkEnd w:id="134"/>
    </w:p>
    <w:p>
      <w:pPr>
        <w:pStyle w:val="4"/>
        <w:spacing w:before="0" w:after="0"/>
        <w:rPr>
          <w:rStyle w:val="51"/>
          <w:rFonts w:hint="default" w:ascii="Times New Roman" w:hAnsi="Times New Roman" w:cs="宋体"/>
          <w:b/>
          <w:bCs/>
          <w:sz w:val="24"/>
          <w:szCs w:val="24"/>
        </w:rPr>
      </w:pPr>
      <w:bookmarkStart w:id="135" w:name="_Toc27032"/>
      <w:bookmarkEnd w:id="135"/>
      <w:bookmarkStart w:id="136" w:name="_Toc504989548"/>
      <w:bookmarkStart w:id="137" w:name="_Toc6804"/>
      <w:bookmarkStart w:id="138" w:name="_Toc13330"/>
      <w:bookmarkStart w:id="139" w:name="_Toc2562"/>
      <w:bookmarkStart w:id="140" w:name="_Toc5306"/>
      <w:r>
        <w:rPr>
          <w:rStyle w:val="51"/>
          <w:rFonts w:hint="default" w:ascii="Times New Roman" w:hAnsi="Times New Roman" w:cs="宋体"/>
          <w:b/>
          <w:bCs/>
          <w:sz w:val="24"/>
          <w:szCs w:val="24"/>
        </w:rPr>
        <w:t>3.1</w:t>
      </w:r>
      <w:bookmarkEnd w:id="136"/>
      <w:r>
        <w:rPr>
          <w:rStyle w:val="51"/>
          <w:rFonts w:hint="default" w:ascii="Times New Roman" w:hAnsi="Times New Roman" w:cs="宋体"/>
          <w:b/>
          <w:bCs/>
          <w:sz w:val="24"/>
          <w:szCs w:val="24"/>
        </w:rPr>
        <w:t>事故应急组织</w:t>
      </w:r>
      <w:bookmarkEnd w:id="137"/>
      <w:bookmarkEnd w:id="138"/>
      <w:bookmarkEnd w:id="139"/>
      <w:bookmarkEnd w:id="140"/>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根据我站实际情况，设立事故应急救援领导小组，进行现场应急救援。</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应急救援组组长：李德斌</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应急救援组副组长：李力</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现场应急处置人员：赵亮、何洪艳、杨瑞萍、李小珍</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应急救援组组长即为应急救援时的现场指挥长；如果应急救援领导小组组长不在加油站时，则由应急救援领导小组副组长任临时总指挥，如果应急领导组长或应急领导副组长均不在加油站时，则由当班加油员代理组长职务，全权负责应急抢险及救护工作。</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李德斌（即站长）为应急救援时的现场应急总指挥；当站长未在现场时，且发生突发生产安全事故时，由副组长行代理职务，展开力所能及的救援工作，并请求外部协助救援。</w:t>
      </w:r>
    </w:p>
    <w:p>
      <w:pPr>
        <w:pStyle w:val="4"/>
        <w:spacing w:before="0" w:after="0"/>
        <w:rPr>
          <w:rStyle w:val="51"/>
          <w:rFonts w:hint="default" w:ascii="Times New Roman" w:hAnsi="Times New Roman" w:cs="宋体"/>
          <w:b/>
          <w:bCs/>
          <w:sz w:val="24"/>
          <w:szCs w:val="24"/>
        </w:rPr>
      </w:pPr>
      <w:bookmarkStart w:id="141" w:name="_Toc17621"/>
      <w:bookmarkEnd w:id="141"/>
      <w:bookmarkStart w:id="142" w:name="_Toc29735"/>
      <w:bookmarkStart w:id="143" w:name="_Toc21105"/>
      <w:bookmarkStart w:id="144" w:name="_Toc17373"/>
      <w:bookmarkStart w:id="145" w:name="_Toc24311"/>
      <w:bookmarkStart w:id="146" w:name="_Toc504989549"/>
      <w:r>
        <w:rPr>
          <w:rStyle w:val="51"/>
          <w:rFonts w:hint="default" w:ascii="Times New Roman" w:hAnsi="Times New Roman" w:cs="宋体"/>
          <w:b/>
          <w:bCs/>
          <w:sz w:val="24"/>
          <w:szCs w:val="24"/>
        </w:rPr>
        <w:t>3.2工作任务及职责</w:t>
      </w:r>
      <w:bookmarkEnd w:id="142"/>
      <w:bookmarkEnd w:id="143"/>
      <w:bookmarkEnd w:id="144"/>
      <w:bookmarkEnd w:id="145"/>
      <w:bookmarkEnd w:id="146"/>
    </w:p>
    <w:p>
      <w:pPr>
        <w:spacing w:line="360" w:lineRule="auto"/>
        <w:rPr>
          <w:rFonts w:ascii="宋体" w:hAnsi="宋体" w:cs="仿宋_GB2312"/>
          <w:b/>
          <w:bCs/>
          <w:sz w:val="28"/>
          <w:szCs w:val="28"/>
        </w:rPr>
      </w:pPr>
      <w:r>
        <w:rPr>
          <w:rFonts w:hint="eastAsia"/>
          <w:b/>
          <w:bCs/>
          <w:sz w:val="30"/>
          <w:szCs w:val="30"/>
        </w:rPr>
        <w:t>3.2.1</w:t>
      </w:r>
      <w:r>
        <w:rPr>
          <w:b/>
          <w:bCs/>
          <w:sz w:val="28"/>
          <w:szCs w:val="28"/>
        </w:rPr>
        <w:t>领导小组</w:t>
      </w:r>
      <w:r>
        <w:rPr>
          <w:rFonts w:hint="eastAsia"/>
          <w:b/>
          <w:bCs/>
          <w:sz w:val="30"/>
          <w:szCs w:val="30"/>
          <w:lang w:val="zh-CN"/>
        </w:rPr>
        <w:t>职责</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（1）</w:t>
      </w:r>
      <w:r>
        <w:rPr>
          <w:rFonts w:hint="eastAsia" w:ascii="宋体" w:hAnsi="宋体" w:cs="仿宋_GB2312"/>
          <w:bCs/>
          <w:sz w:val="28"/>
          <w:szCs w:val="28"/>
          <w:lang w:val="zh-CN"/>
        </w:rPr>
        <w:t>贯彻落实国家有关事故应急处理管理工作的法律、法规和上级部门的有关规章制度，执行政府关于事故应急处理的重大部</w:t>
      </w:r>
      <w:r>
        <w:rPr>
          <w:rFonts w:hint="eastAsia" w:ascii="宋体" w:hAnsi="宋体" w:cs="仿宋_GB2312"/>
          <w:bCs/>
          <w:sz w:val="28"/>
          <w:szCs w:val="28"/>
        </w:rPr>
        <w:t>署。</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（2）危急事件发生后，应立即组织各应急处置工作组按职责分工，赶赴现场组织事故处理。按照“以人为本，安全第一”的原则，进行应急处理。</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（3）指挥开展事故应急处理、救援和生产、生活恢复等各项工作。</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（4）负责向政府有关部门报告事故情况和事故处理进展情况。</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（5）做好事故（发生原因、处理经过、设备损坏和经济损失情况）调查工作。</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（6）发布、启动和解除生产安全事故应急预案的命令。</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（7）审查批准现场救援方案。</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（8）按照预案程序和现场救援方案，组织、协调、指挥生产安全事故应急救援工作的有效实施。</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（9）根据事故发展状态和现场救援过程中出现的新问题，随时变更、修改救援方案，及时采取相应的应急处理措施。</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（10）紧急调用各类救援物资、设备、人员和占用场地，并负责督促归还或给予适当补偿。</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（11）总结应急预案工作经验教训。</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（12）办理政府主管部门交办的其他事项。</w:t>
      </w:r>
    </w:p>
    <w:p>
      <w:pPr>
        <w:pStyle w:val="5"/>
        <w:rPr>
          <w:sz w:val="30"/>
          <w:szCs w:val="30"/>
        </w:rPr>
      </w:pPr>
      <w:bookmarkStart w:id="147" w:name="_Toc12729"/>
      <w:r>
        <w:rPr>
          <w:rFonts w:hint="eastAsia"/>
          <w:sz w:val="30"/>
          <w:szCs w:val="30"/>
        </w:rPr>
        <w:t>3.2.2总指挥及职责</w:t>
      </w:r>
      <w:bookmarkEnd w:id="147"/>
    </w:p>
    <w:p>
      <w:pPr>
        <w:pStyle w:val="5"/>
        <w:ind w:firstLine="560" w:firstLineChars="200"/>
        <w:rPr>
          <w:rFonts w:ascii="宋体" w:hAnsi="宋体" w:eastAsia="宋体" w:cs="仿宋_GB2312"/>
          <w:b w:val="0"/>
          <w:kern w:val="2"/>
        </w:rPr>
      </w:pPr>
      <w:r>
        <w:rPr>
          <w:rFonts w:hint="eastAsia" w:ascii="宋体" w:hAnsi="宋体" w:eastAsia="宋体" w:cs="仿宋_GB2312"/>
          <w:b w:val="0"/>
          <w:kern w:val="2"/>
        </w:rPr>
        <w:t xml:space="preserve">总指挥：李德斌        </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职责：负责加油站突发事故应急处理，全面协调、指挥、制定和实施正确有效的突发事故应急抢险方案，并亲临现场指挥，组织人员对物资、设备进行救援处理，有效地减少事件损失，防止事件蔓延、扩大，具体如下：</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1.分析紧急状态和确定相应报警级别；</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2.指挥、协调应急反应行动；</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3.与外部应急反应机构的联络；</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4.直接监察应急人员的行动；</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5.保护现场和人员的安全；</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6.向政府汇报事故情况，必要时向政府机构发出支援请求；组织事故调查，总结事故经验教训。</w:t>
      </w:r>
    </w:p>
    <w:p>
      <w:pPr>
        <w:pStyle w:val="5"/>
        <w:rPr>
          <w:sz w:val="30"/>
          <w:szCs w:val="30"/>
        </w:rPr>
      </w:pPr>
      <w:bookmarkStart w:id="148" w:name="_Toc22207"/>
      <w:r>
        <w:rPr>
          <w:rFonts w:hint="eastAsia"/>
          <w:sz w:val="30"/>
          <w:szCs w:val="30"/>
        </w:rPr>
        <w:t>3.2.3副总指挥及职责</w:t>
      </w:r>
      <w:bookmarkEnd w:id="148"/>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副总指挥：</w:t>
      </w:r>
      <w:r>
        <w:rPr>
          <w:rFonts w:hint="eastAsia" w:ascii="宋体" w:hAnsi="宋体" w:cs="宋体"/>
          <w:kern w:val="0"/>
          <w:sz w:val="28"/>
          <w:szCs w:val="28"/>
        </w:rPr>
        <w:t>李力</w:t>
      </w:r>
    </w:p>
    <w:p>
      <w:pPr>
        <w:spacing w:line="360" w:lineRule="auto"/>
        <w:ind w:firstLine="560" w:firstLineChars="200"/>
        <w:rPr>
          <w:rFonts w:ascii="宋体" w:hAnsi="宋体" w:cs="宋体"/>
          <w:kern w:val="0"/>
          <w:sz w:val="28"/>
          <w:szCs w:val="28"/>
        </w:rPr>
      </w:pPr>
      <w:r>
        <w:rPr>
          <w:rFonts w:hint="eastAsia" w:ascii="宋体" w:hAnsi="宋体" w:cs="仿宋_GB2312"/>
          <w:bCs/>
          <w:sz w:val="28"/>
          <w:szCs w:val="28"/>
        </w:rPr>
        <w:t>职责：</w:t>
      </w:r>
      <w:r>
        <w:rPr>
          <w:rFonts w:hint="eastAsia" w:ascii="宋体" w:hAnsi="宋体" w:cs="宋体"/>
          <w:kern w:val="0"/>
          <w:sz w:val="28"/>
          <w:szCs w:val="28"/>
        </w:rPr>
        <w:t>紧急情况发生后总指挥尚未到达或由于工作原因无法到场时，由副总指挥负责紧急事件发生时现场应急救援的全面组织、指挥、决策，当总指挥到场后，向总指挥移交指挥权，并在随后的救援工作中密切配合、协助总指挥进行事故报告、事故救援工作；</w:t>
      </w:r>
    </w:p>
    <w:p>
      <w:pPr>
        <w:spacing w:line="360" w:lineRule="auto"/>
        <w:rPr>
          <w:rFonts w:ascii="宋体" w:hAnsi="宋体" w:cs="仿宋_GB2312"/>
          <w:b/>
          <w:bCs/>
          <w:sz w:val="28"/>
          <w:szCs w:val="28"/>
        </w:rPr>
      </w:pPr>
      <w:bookmarkStart w:id="149" w:name="_Toc15022"/>
      <w:r>
        <w:rPr>
          <w:rFonts w:hint="eastAsia"/>
          <w:b/>
          <w:bCs/>
          <w:sz w:val="30"/>
          <w:szCs w:val="30"/>
        </w:rPr>
        <w:t>3.2.</w:t>
      </w:r>
      <w:bookmarkEnd w:id="149"/>
      <w:r>
        <w:rPr>
          <w:rFonts w:hint="eastAsia"/>
          <w:b/>
          <w:bCs/>
          <w:sz w:val="30"/>
          <w:szCs w:val="30"/>
        </w:rPr>
        <w:t>4抢险救援组及职责</w:t>
      </w:r>
    </w:p>
    <w:p>
      <w:pPr>
        <w:spacing w:line="360" w:lineRule="auto"/>
        <w:ind w:firstLine="560" w:firstLineChars="200"/>
        <w:rPr>
          <w:rFonts w:ascii="宋体" w:hAnsi="宋体"/>
          <w:sz w:val="28"/>
          <w:szCs w:val="28"/>
        </w:rPr>
      </w:pPr>
      <w:r>
        <w:rPr>
          <w:rFonts w:hint="eastAsia" w:ascii="宋体" w:hAnsi="宋体"/>
          <w:sz w:val="28"/>
          <w:szCs w:val="28"/>
        </w:rPr>
        <w:t>组  长：</w:t>
      </w:r>
      <w:r>
        <w:rPr>
          <w:rFonts w:hint="eastAsia" w:ascii="宋体" w:hAnsi="宋体" w:cs="宋体"/>
          <w:kern w:val="0"/>
          <w:sz w:val="28"/>
          <w:szCs w:val="28"/>
        </w:rPr>
        <w:t>赵亮</w:t>
      </w:r>
    </w:p>
    <w:p>
      <w:pPr>
        <w:spacing w:line="360" w:lineRule="auto"/>
        <w:ind w:firstLine="560" w:firstLineChars="200"/>
        <w:rPr>
          <w:rFonts w:ascii="宋体" w:hAnsi="宋体"/>
          <w:sz w:val="28"/>
          <w:szCs w:val="28"/>
        </w:rPr>
      </w:pPr>
      <w:r>
        <w:rPr>
          <w:rFonts w:hint="eastAsia" w:ascii="宋体" w:hAnsi="宋体"/>
          <w:sz w:val="28"/>
          <w:szCs w:val="28"/>
        </w:rPr>
        <w:t>成  员：</w:t>
      </w:r>
      <w:r>
        <w:rPr>
          <w:rFonts w:hint="eastAsia" w:ascii="宋体" w:hAnsi="宋体" w:cs="宋体"/>
          <w:kern w:val="0"/>
          <w:sz w:val="28"/>
          <w:szCs w:val="28"/>
        </w:rPr>
        <w:t>何洪艳、杨瑞萍</w:t>
      </w:r>
    </w:p>
    <w:p>
      <w:pPr>
        <w:tabs>
          <w:tab w:val="left" w:pos="630"/>
        </w:tabs>
        <w:spacing w:line="360" w:lineRule="auto"/>
        <w:ind w:firstLine="560" w:firstLineChars="200"/>
        <w:rPr>
          <w:rFonts w:ascii="宋体" w:hAnsi="宋体" w:cs="仿宋_GB2312"/>
          <w:bCs/>
          <w:sz w:val="28"/>
          <w:szCs w:val="28"/>
        </w:rPr>
      </w:pPr>
      <w:r>
        <w:rPr>
          <w:rFonts w:hint="eastAsia" w:ascii="宋体" w:hAnsi="宋体" w:cs="仿宋_GB2312"/>
          <w:bCs/>
          <w:sz w:val="28"/>
          <w:szCs w:val="28"/>
        </w:rPr>
        <w:t>职  责：</w:t>
      </w:r>
    </w:p>
    <w:p>
      <w:pPr>
        <w:tabs>
          <w:tab w:val="left" w:pos="630"/>
        </w:tabs>
        <w:spacing w:line="360" w:lineRule="auto"/>
        <w:ind w:firstLine="560" w:firstLineChars="200"/>
        <w:rPr>
          <w:rFonts w:ascii="宋体" w:hAnsi="宋体" w:cs="仿宋_GB2312"/>
          <w:bCs/>
          <w:sz w:val="28"/>
          <w:szCs w:val="28"/>
        </w:rPr>
      </w:pPr>
      <w:r>
        <w:rPr>
          <w:rFonts w:hint="eastAsia" w:ascii="宋体" w:hAnsi="宋体" w:cs="仿宋_GB2312"/>
          <w:bCs/>
          <w:sz w:val="28"/>
          <w:szCs w:val="28"/>
        </w:rPr>
        <w:t>1.负责控制现场事态，</w:t>
      </w:r>
      <w:r>
        <w:rPr>
          <w:rFonts w:hint="eastAsia" w:ascii="宋体" w:hAnsi="宋体"/>
          <w:sz w:val="28"/>
          <w:szCs w:val="28"/>
        </w:rPr>
        <w:t>现场事故情况监测</w:t>
      </w:r>
      <w:r>
        <w:rPr>
          <w:rFonts w:hint="eastAsia" w:ascii="宋体" w:hAnsi="宋体" w:cs="仿宋_GB2312"/>
          <w:bCs/>
          <w:sz w:val="28"/>
          <w:szCs w:val="28"/>
        </w:rPr>
        <w:t>；</w:t>
      </w:r>
    </w:p>
    <w:p>
      <w:pPr>
        <w:tabs>
          <w:tab w:val="left" w:pos="630"/>
        </w:tabs>
        <w:spacing w:line="360" w:lineRule="auto"/>
        <w:ind w:firstLine="560" w:firstLineChars="200"/>
        <w:rPr>
          <w:rFonts w:ascii="宋体" w:hAnsi="宋体"/>
          <w:sz w:val="28"/>
          <w:szCs w:val="28"/>
        </w:rPr>
      </w:pPr>
      <w:r>
        <w:rPr>
          <w:rFonts w:hint="eastAsia" w:ascii="宋体" w:hAnsi="宋体"/>
          <w:sz w:val="28"/>
          <w:szCs w:val="28"/>
        </w:rPr>
        <w:t>2.负责调整现场应急抢险方案，组织开展抢险工作；</w:t>
      </w:r>
    </w:p>
    <w:p>
      <w:pPr>
        <w:tabs>
          <w:tab w:val="left" w:pos="630"/>
        </w:tabs>
        <w:spacing w:line="360" w:lineRule="auto"/>
        <w:ind w:firstLine="560" w:firstLineChars="200"/>
        <w:rPr>
          <w:rFonts w:ascii="宋体" w:hAnsi="宋体" w:cs="仿宋_GB2312"/>
          <w:bCs/>
          <w:sz w:val="28"/>
          <w:szCs w:val="28"/>
        </w:rPr>
      </w:pPr>
      <w:r>
        <w:rPr>
          <w:rFonts w:hint="eastAsia" w:ascii="宋体" w:hAnsi="宋体" w:cs="仿宋_GB2312"/>
          <w:bCs/>
          <w:sz w:val="28"/>
          <w:szCs w:val="28"/>
        </w:rPr>
        <w:t>3.负责落实指挥部抢险指令和实施抢险方案。</w:t>
      </w:r>
    </w:p>
    <w:p>
      <w:pPr>
        <w:pStyle w:val="5"/>
        <w:rPr>
          <w:sz w:val="30"/>
          <w:szCs w:val="30"/>
        </w:rPr>
      </w:pPr>
      <w:bookmarkStart w:id="150" w:name="_Toc20985"/>
      <w:r>
        <w:rPr>
          <w:rFonts w:hint="eastAsia"/>
          <w:sz w:val="30"/>
          <w:szCs w:val="30"/>
        </w:rPr>
        <w:t>3.2.5警戒后勤组及职责</w:t>
      </w:r>
      <w:bookmarkEnd w:id="150"/>
    </w:p>
    <w:p>
      <w:pPr>
        <w:spacing w:line="360" w:lineRule="auto"/>
        <w:ind w:firstLine="560" w:firstLineChars="200"/>
        <w:rPr>
          <w:rFonts w:ascii="宋体" w:hAnsi="宋体"/>
          <w:sz w:val="28"/>
          <w:szCs w:val="28"/>
        </w:rPr>
      </w:pPr>
      <w:r>
        <w:rPr>
          <w:rFonts w:hint="eastAsia" w:ascii="宋体" w:hAnsi="宋体"/>
          <w:sz w:val="28"/>
          <w:szCs w:val="28"/>
        </w:rPr>
        <w:t>组  长：</w:t>
      </w:r>
      <w:r>
        <w:rPr>
          <w:rFonts w:hint="eastAsia" w:ascii="宋体" w:hAnsi="宋体" w:cs="宋体"/>
          <w:kern w:val="0"/>
          <w:sz w:val="28"/>
          <w:szCs w:val="28"/>
        </w:rPr>
        <w:t>李小珍</w:t>
      </w:r>
    </w:p>
    <w:p>
      <w:pPr>
        <w:spacing w:line="560" w:lineRule="exact"/>
        <w:ind w:firstLine="560" w:firstLineChars="200"/>
        <w:rPr>
          <w:rFonts w:ascii="宋体" w:hAnsi="宋体"/>
          <w:sz w:val="28"/>
          <w:szCs w:val="28"/>
        </w:rPr>
      </w:pPr>
      <w:r>
        <w:rPr>
          <w:rFonts w:hint="eastAsia" w:ascii="宋体" w:hAnsi="宋体"/>
          <w:sz w:val="28"/>
          <w:szCs w:val="28"/>
        </w:rPr>
        <w:t>任  务：组织现场人员疏散、撤离，并确定警戒范围。</w:t>
      </w:r>
    </w:p>
    <w:p>
      <w:pPr>
        <w:spacing w:line="560" w:lineRule="exact"/>
        <w:ind w:firstLine="560" w:firstLineChars="200"/>
        <w:rPr>
          <w:rFonts w:ascii="宋体" w:hAnsi="宋体" w:cs="仿宋_GB2312"/>
          <w:bCs/>
          <w:sz w:val="28"/>
          <w:szCs w:val="28"/>
        </w:rPr>
      </w:pPr>
      <w:r>
        <w:rPr>
          <w:rFonts w:hint="eastAsia" w:ascii="宋体" w:hAnsi="宋体" w:cs="仿宋_GB2312"/>
          <w:bCs/>
          <w:sz w:val="28"/>
          <w:szCs w:val="28"/>
        </w:rPr>
        <w:t>职  责：</w:t>
      </w:r>
    </w:p>
    <w:p>
      <w:pPr>
        <w:spacing w:line="560" w:lineRule="exact"/>
        <w:ind w:firstLine="560" w:firstLineChars="200"/>
        <w:rPr>
          <w:rFonts w:ascii="宋体" w:hAnsi="宋体" w:cs="仿宋_GB2312"/>
          <w:bCs/>
          <w:sz w:val="28"/>
          <w:szCs w:val="28"/>
        </w:rPr>
      </w:pPr>
      <w:r>
        <w:rPr>
          <w:rFonts w:hint="eastAsia" w:ascii="宋体" w:hAnsi="宋体" w:cs="仿宋_GB2312"/>
          <w:bCs/>
          <w:sz w:val="28"/>
          <w:szCs w:val="28"/>
        </w:rPr>
        <w:t>1.保证现场秩序，安全快速地疏散现场无关人员至安全区域。</w:t>
      </w:r>
    </w:p>
    <w:p>
      <w:pPr>
        <w:spacing w:line="560" w:lineRule="exact"/>
        <w:ind w:firstLine="560" w:firstLineChars="200"/>
        <w:rPr>
          <w:rFonts w:ascii="宋体" w:hAnsi="宋体" w:cs="仿宋_GB2312"/>
          <w:bCs/>
          <w:sz w:val="28"/>
          <w:szCs w:val="28"/>
        </w:rPr>
      </w:pPr>
      <w:r>
        <w:rPr>
          <w:rFonts w:hint="eastAsia" w:ascii="宋体" w:hAnsi="宋体" w:cs="仿宋_GB2312"/>
          <w:bCs/>
          <w:sz w:val="28"/>
          <w:szCs w:val="28"/>
        </w:rPr>
        <w:t>2.专用仪器动态检测事故现场油品、天然气泄漏范围，确定警戒范围，标明警戒区域</w:t>
      </w:r>
      <w:r>
        <w:rPr>
          <w:rFonts w:ascii="宋体" w:hAnsi="宋体" w:cs="仿宋_GB2312"/>
          <w:bCs/>
          <w:sz w:val="28"/>
          <w:szCs w:val="28"/>
        </w:rPr>
        <w:t>,</w:t>
      </w:r>
      <w:r>
        <w:rPr>
          <w:rFonts w:hint="eastAsia" w:ascii="宋体" w:hAnsi="宋体" w:cs="仿宋_GB2312"/>
          <w:bCs/>
          <w:sz w:val="28"/>
          <w:szCs w:val="28"/>
        </w:rPr>
        <w:t>保证救援通道顺畅、抢险物资和伤员的顺利进出，禁止无关人员通行或靠近。</w:t>
      </w:r>
    </w:p>
    <w:p>
      <w:pPr>
        <w:pStyle w:val="2"/>
        <w:ind w:firstLine="560" w:firstLineChars="200"/>
      </w:pPr>
      <w:r>
        <w:rPr>
          <w:rFonts w:hint="eastAsia" w:ascii="宋体" w:hAnsi="宋体" w:cs="仿宋_GB2312"/>
          <w:bCs/>
          <w:sz w:val="28"/>
          <w:szCs w:val="28"/>
        </w:rPr>
        <w:t>3.保障抢险救援生活物资的供应、确保应急救援的通讯联络、畅通及其他后勤保障工作。</w:t>
      </w:r>
    </w:p>
    <w:p>
      <w:pPr>
        <w:pStyle w:val="5"/>
        <w:rPr>
          <w:sz w:val="30"/>
          <w:szCs w:val="30"/>
        </w:rPr>
      </w:pPr>
      <w:bookmarkStart w:id="151" w:name="_Toc23263"/>
      <w:r>
        <w:rPr>
          <w:rFonts w:hint="eastAsia"/>
          <w:sz w:val="30"/>
          <w:szCs w:val="30"/>
        </w:rPr>
        <w:t>3.2.6救护调查组及职责</w:t>
      </w:r>
      <w:bookmarkEnd w:id="151"/>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组  长：</w:t>
      </w:r>
      <w:r>
        <w:rPr>
          <w:rFonts w:hint="eastAsia" w:ascii="宋体" w:hAnsi="宋体" w:cs="宋体"/>
          <w:kern w:val="0"/>
          <w:sz w:val="28"/>
          <w:szCs w:val="28"/>
        </w:rPr>
        <w:t>李力</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成  员：</w:t>
      </w:r>
      <w:r>
        <w:rPr>
          <w:rFonts w:hint="eastAsia" w:ascii="宋体" w:hAnsi="宋体" w:cs="宋体"/>
          <w:kern w:val="0"/>
          <w:sz w:val="28"/>
          <w:szCs w:val="28"/>
        </w:rPr>
        <w:t>赵亮</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应急物资：担架、急救药箱</w:t>
      </w:r>
    </w:p>
    <w:p>
      <w:pPr>
        <w:spacing w:line="560" w:lineRule="exact"/>
        <w:ind w:firstLine="560" w:firstLineChars="200"/>
        <w:rPr>
          <w:rFonts w:ascii="宋体" w:hAnsi="宋体" w:cs="仿宋_GB2312"/>
          <w:bCs/>
          <w:sz w:val="28"/>
          <w:szCs w:val="28"/>
        </w:rPr>
      </w:pPr>
      <w:r>
        <w:rPr>
          <w:rFonts w:hint="eastAsia" w:ascii="宋体" w:hAnsi="宋体" w:cs="仿宋_GB2312"/>
          <w:bCs/>
          <w:sz w:val="28"/>
          <w:szCs w:val="28"/>
        </w:rPr>
        <w:t>职  责：</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1.对受伤人员进行初步救护处理、转院运送等工作。</w:t>
      </w:r>
    </w:p>
    <w:p>
      <w:pPr>
        <w:pStyle w:val="2"/>
        <w:ind w:firstLine="560" w:firstLineChars="200"/>
        <w:rPr>
          <w:rFonts w:ascii="宋体" w:hAnsi="宋体" w:cs="仿宋_GB2312"/>
          <w:bCs/>
          <w:sz w:val="28"/>
          <w:szCs w:val="28"/>
        </w:rPr>
      </w:pPr>
      <w:r>
        <w:rPr>
          <w:rFonts w:hint="eastAsia" w:ascii="宋体" w:hAnsi="宋体" w:cs="仿宋_GB2312"/>
          <w:bCs/>
          <w:sz w:val="28"/>
          <w:szCs w:val="28"/>
        </w:rPr>
        <w:t>2.负责做好伤员住院期间临时护理工作；受伤人员的治疗及伤员家属的安抚工作。</w:t>
      </w:r>
    </w:p>
    <w:p>
      <w:pPr>
        <w:pStyle w:val="2"/>
        <w:ind w:firstLine="560" w:firstLineChars="200"/>
        <w:rPr>
          <w:sz w:val="28"/>
          <w:szCs w:val="28"/>
          <w:shd w:val="clear" w:color="auto" w:fill="FFFFFF"/>
        </w:rPr>
      </w:pPr>
      <w:r>
        <w:rPr>
          <w:rFonts w:hint="eastAsia" w:ascii="宋体" w:hAnsi="宋体" w:cs="仿宋_GB2312"/>
          <w:bCs/>
          <w:sz w:val="28"/>
          <w:szCs w:val="28"/>
        </w:rPr>
        <w:t>3.</w:t>
      </w:r>
      <w:r>
        <w:rPr>
          <w:rFonts w:hint="eastAsia"/>
          <w:sz w:val="28"/>
          <w:szCs w:val="28"/>
          <w:shd w:val="clear" w:color="auto" w:fill="FFFFFF"/>
        </w:rPr>
        <w:t>保护事故现场并取证，配合相关职能部门，对事故发生的原因进行分析、调查。</w:t>
      </w:r>
    </w:p>
    <w:p>
      <w:pPr>
        <w:tabs>
          <w:tab w:val="center" w:pos="4535"/>
          <w:tab w:val="right" w:pos="9070"/>
        </w:tabs>
        <w:ind w:firstLine="560" w:firstLineChars="200"/>
        <w:jc w:val="left"/>
        <w:rPr>
          <w:rFonts w:ascii="宋体" w:hAnsi="宋体" w:cs="宋体"/>
          <w:sz w:val="28"/>
          <w:szCs w:val="28"/>
        </w:rPr>
      </w:pPr>
      <w:r>
        <w:rPr>
          <w:rFonts w:hint="eastAsia"/>
          <w:sz w:val="28"/>
          <w:szCs w:val="28"/>
          <w:shd w:val="clear" w:color="auto" w:fill="FFFFFF"/>
        </w:rPr>
        <w:t>4、将事故情况形成书面材料，并对事故提出处理意见或建议。</w:t>
      </w:r>
    </w:p>
    <w:p>
      <w:pPr>
        <w:spacing w:line="360" w:lineRule="auto"/>
        <w:jc w:val="center"/>
        <w:rPr>
          <w:rStyle w:val="53"/>
          <w:rFonts w:hint="eastAsia" w:ascii="Times New Roman" w:hAnsi="Times New Roman"/>
          <w:sz w:val="24"/>
        </w:rPr>
      </w:pPr>
    </w:p>
    <w:p>
      <w:pPr>
        <w:pStyle w:val="2"/>
        <w:rPr>
          <w:rFonts w:hint="eastAsia"/>
        </w:rPr>
      </w:pPr>
    </w:p>
    <w:p>
      <w:pPr>
        <w:pStyle w:val="2"/>
        <w:rPr>
          <w:rFonts w:hint="eastAsia"/>
        </w:rPr>
      </w:pPr>
    </w:p>
    <w:p>
      <w:pPr>
        <w:pStyle w:val="2"/>
        <w:rPr>
          <w:rFonts w:hint="eastAsia"/>
        </w:rPr>
      </w:pPr>
    </w:p>
    <w:p>
      <w:pPr>
        <w:pStyle w:val="2"/>
      </w:pPr>
    </w:p>
    <w:p>
      <w:pPr>
        <w:spacing w:line="360" w:lineRule="auto"/>
        <w:jc w:val="center"/>
        <w:rPr>
          <w:rFonts w:eastAsia="楷体"/>
        </w:rPr>
      </w:pPr>
      <w:r>
        <w:rPr>
          <w:rStyle w:val="53"/>
          <w:rFonts w:ascii="Times New Roman" w:hAnsi="Times New Roman"/>
          <w:sz w:val="24"/>
        </w:rPr>
        <w:t>应急组织架构图</w:t>
      </w:r>
      <w:r>
        <w:rPr>
          <w:rStyle w:val="53"/>
          <w:rFonts w:hint="eastAsia" w:ascii="Times New Roman" w:hAnsi="Times New Roman"/>
          <w:sz w:val="24"/>
        </w:rPr>
        <w:t>如下</w:t>
      </w:r>
    </w:p>
    <w:p>
      <w:pPr>
        <w:pStyle w:val="2"/>
        <w:ind w:firstLine="0"/>
        <w:rPr>
          <w:rFonts w:ascii="宋体" w:hAnsi="宋体" w:cs="宋体"/>
          <w:sz w:val="28"/>
          <w:szCs w:val="28"/>
        </w:rPr>
      </w:pPr>
    </w:p>
    <w:p>
      <w:pPr>
        <w:tabs>
          <w:tab w:val="left" w:pos="3231"/>
          <w:tab w:val="right" w:pos="9070"/>
        </w:tabs>
        <w:ind w:firstLine="2520" w:firstLineChars="900"/>
        <w:jc w:val="left"/>
        <w:rPr>
          <w:rFonts w:ascii="宋体" w:hAnsi="宋体" w:cs="宋体"/>
          <w:sz w:val="28"/>
          <w:szCs w:val="28"/>
        </w:rPr>
      </w:pPr>
      <w:r>
        <w:rPr>
          <w:sz w:val="28"/>
        </w:rPr>
        <w:pict>
          <v:shape id="_x0000_s1068" o:spid="_x0000_s1068" o:spt="202" type="#_x0000_t202" style="position:absolute;left:0pt;margin-left:118.85pt;margin-top:16.35pt;height:44.25pt;width:179.95pt;z-index:251734016;mso-width-relative:page;mso-height-relative:page;" fillcolor="#FFFFFF [3201]" filled="t" coordsize="21600,21600" o:gfxdata="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yWiKQ1gAAAAoBAAAPAAAAAAAA&#10;AAEAIAAAACIAAABkcnMvZG93bnJldi54bWxQSwECFAAUAAAACACHTuJAbZpIxE0CAAB3BAAADgAA&#10;AAAAAAABACAAAAAlAQAAZHJzL2Uyb0RvYy54bWxQSwUGAAAAAAYABgBZAQAA5AUAAAAA&#10;">
            <v:path/>
            <v:fill on="t" focussize="0,0"/>
            <v:stroke weight="0.5pt" joinstyle="round"/>
            <v:imagedata o:title=""/>
            <o:lock v:ext="edit"/>
            <v:textbox>
              <w:txbxContent>
                <w:p>
                  <w:pPr>
                    <w:jc w:val="center"/>
                  </w:pPr>
                  <w:r>
                    <w:rPr>
                      <w:rFonts w:hint="eastAsia" w:ascii="宋体" w:hAnsi="宋体" w:cs="仿宋_GB2312"/>
                      <w:bCs/>
                      <w:sz w:val="28"/>
                      <w:szCs w:val="28"/>
                    </w:rPr>
                    <w:t>总指挥</w:t>
                  </w:r>
                  <w:r>
                    <w:rPr>
                      <w:rFonts w:hint="eastAsia" w:ascii="宋体" w:hAnsi="宋体" w:cs="宋体"/>
                      <w:sz w:val="28"/>
                      <w:szCs w:val="28"/>
                    </w:rPr>
                    <w:t>：李德斌</w:t>
                  </w:r>
                </w:p>
              </w:txbxContent>
            </v:textbox>
          </v:shape>
        </w:pict>
      </w:r>
    </w:p>
    <w:p>
      <w:pPr>
        <w:pStyle w:val="2"/>
        <w:rPr>
          <w:sz w:val="28"/>
        </w:rPr>
      </w:pPr>
      <w:r>
        <w:rPr>
          <w:sz w:val="28"/>
        </w:rPr>
        <w:pict>
          <v:line id="_x0000_s1067" o:spid="_x0000_s1067" o:spt="20" style="position:absolute;left:0pt;flip:y;margin-left:98.55pt;margin-top:112.4pt;height:0.75pt;width:209.25pt;z-index:251741184;mso-width-relative:page;mso-height-relative:page;" stroked="t" coordsize="21600,21600" o:gfxdata="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PAPwrXAAAACwEAAA8AAAAAAAAAAQAgAAAA&#10;IgAAAGRycy9kb3ducmV2LnhtbFBLAQIUABQAAAAIAIdO4kDWPdXC0wEAAGkDAAAOAAAAAAAAAAEA&#10;IAAAACYBAABkcnMvZTJvRG9jLnhtbFBLBQYAAAAABgAGAFkBAABrBQAAAAA=&#10;">
            <v:path arrowok="t"/>
            <v:fill focussize="0,0"/>
            <v:stroke color="#000000 [3213]"/>
            <v:imagedata o:title=""/>
            <o:lock v:ext="edit"/>
          </v:line>
        </w:pict>
      </w:r>
      <w:r>
        <w:rPr>
          <w:sz w:val="28"/>
        </w:rPr>
        <w:pict>
          <v:shape id="_x0000_s1066" o:spid="_x0000_s1066" o:spt="32" type="#_x0000_t32" style="position:absolute;left:0pt;margin-left:305.55pt;margin-top:117.05pt;height:25.5pt;width:0pt;z-index:251912192;mso-width-relative:page;mso-height-relative:page;" filled="f" stroked="t" coordsize="21600,21600" o:gfxdata="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pE8On1wAAAAsBAAAPAAAA&#10;AAAAAAEAIAAAACIAAABkcnMvZG93bnJldi54bWxQSwECFAAUAAAACACHTuJABrsosd0BAAB8AwAA&#10;DgAAAAAAAAABACAAAAAmAQAAZHJzL2Uyb0RvYy54bWxQSwUGAAAAAAYABgBZAQAAdQUAAAAA&#10;">
            <v:path arrowok="t"/>
            <v:fill on="f" focussize="0,0"/>
            <v:stroke color="#000000 [3213]" endarrow="open"/>
            <v:imagedata o:title=""/>
            <o:lock v:ext="edit"/>
          </v:shape>
        </w:pict>
      </w:r>
      <w:r>
        <w:rPr>
          <w:sz w:val="28"/>
        </w:rPr>
        <w:pict>
          <v:shape id="_x0000_s1065" o:spid="_x0000_s1065" o:spt="202" type="#_x0000_t202" style="position:absolute;left:0pt;margin-left:290.55pt;margin-top:141.15pt;height:95.95pt;width:36.8pt;z-index:251738112;mso-width-relative:page;mso-height-relative:page;" fillcolor="#FFFFFF [3201]" filled="t" coordsize="21600,21600" o:gfxdata="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eSui71gAAAAsBAAAPAAAAAAAAAAEA&#10;IAAAACIAAABkcnMvZG93bnJldi54bWxQSwECFAAUAAAACACHTuJAlPQOgUoCAAB5BAAADgAAAAAA&#10;AAABACAAAAAlAQAAZHJzL2Uyb0RvYy54bWxQSwUGAAAAAAYABgBZAQAA4QUAAAAA&#10;">
            <v:path/>
            <v:fill on="t" focussize="0,0"/>
            <v:stroke weight="0.5pt" joinstyle="round"/>
            <v:imagedata o:title=""/>
            <o:lock v:ext="edit"/>
            <v:textbox>
              <w:txbxContent>
                <w:p>
                  <w:pPr>
                    <w:spacing w:line="120" w:lineRule="auto"/>
                    <w:rPr>
                      <w:rFonts w:ascii="宋体" w:hAnsi="宋体" w:cs="宋体"/>
                      <w:spacing w:val="-11"/>
                      <w:sz w:val="24"/>
                      <w:szCs w:val="24"/>
                    </w:rPr>
                  </w:pPr>
                  <w:r>
                    <w:rPr>
                      <w:rFonts w:hint="eastAsia" w:ascii="宋体" w:hAnsi="宋体" w:cs="宋体"/>
                      <w:spacing w:val="-11"/>
                      <w:sz w:val="24"/>
                      <w:szCs w:val="24"/>
                    </w:rPr>
                    <w:t>救</w:t>
                  </w:r>
                </w:p>
                <w:p>
                  <w:pPr>
                    <w:spacing w:line="120" w:lineRule="auto"/>
                    <w:rPr>
                      <w:rFonts w:ascii="宋体" w:hAnsi="宋体" w:cs="宋体"/>
                      <w:spacing w:val="-11"/>
                      <w:sz w:val="24"/>
                      <w:szCs w:val="24"/>
                    </w:rPr>
                  </w:pPr>
                  <w:r>
                    <w:rPr>
                      <w:rFonts w:hint="eastAsia" w:ascii="宋体" w:hAnsi="宋体" w:cs="宋体"/>
                      <w:spacing w:val="-11"/>
                      <w:sz w:val="24"/>
                      <w:szCs w:val="24"/>
                    </w:rPr>
                    <w:t>护</w:t>
                  </w:r>
                </w:p>
                <w:p>
                  <w:pPr>
                    <w:spacing w:line="120" w:lineRule="auto"/>
                    <w:rPr>
                      <w:rFonts w:ascii="宋体" w:hAnsi="宋体" w:cs="宋体"/>
                      <w:spacing w:val="-11"/>
                      <w:sz w:val="24"/>
                      <w:szCs w:val="24"/>
                    </w:rPr>
                  </w:pPr>
                  <w:r>
                    <w:rPr>
                      <w:rFonts w:hint="eastAsia" w:ascii="宋体" w:hAnsi="宋体" w:cs="宋体"/>
                      <w:spacing w:val="-11"/>
                      <w:sz w:val="24"/>
                      <w:szCs w:val="24"/>
                    </w:rPr>
                    <w:t>调</w:t>
                  </w:r>
                </w:p>
                <w:p>
                  <w:pPr>
                    <w:spacing w:line="120" w:lineRule="auto"/>
                    <w:rPr>
                      <w:rFonts w:ascii="宋体" w:hAnsi="宋体" w:cs="宋体"/>
                      <w:spacing w:val="-11"/>
                      <w:sz w:val="24"/>
                      <w:szCs w:val="24"/>
                    </w:rPr>
                  </w:pPr>
                  <w:r>
                    <w:rPr>
                      <w:rFonts w:hint="eastAsia" w:ascii="宋体" w:hAnsi="宋体" w:cs="宋体"/>
                      <w:spacing w:val="-11"/>
                      <w:sz w:val="24"/>
                      <w:szCs w:val="24"/>
                    </w:rPr>
                    <w:t>查</w:t>
                  </w:r>
                </w:p>
                <w:p>
                  <w:pPr>
                    <w:spacing w:line="120" w:lineRule="auto"/>
                    <w:rPr>
                      <w:rFonts w:ascii="宋体" w:hAnsi="宋体" w:cs="宋体"/>
                      <w:spacing w:val="-11"/>
                      <w:sz w:val="24"/>
                      <w:szCs w:val="24"/>
                    </w:rPr>
                  </w:pPr>
                  <w:r>
                    <w:rPr>
                      <w:rFonts w:hint="eastAsia" w:ascii="宋体" w:hAnsi="宋体" w:cs="宋体"/>
                      <w:spacing w:val="-11"/>
                      <w:sz w:val="24"/>
                      <w:szCs w:val="24"/>
                    </w:rPr>
                    <w:t>组</w:t>
                  </w:r>
                </w:p>
                <w:p>
                  <w:pPr>
                    <w:spacing w:line="120" w:lineRule="auto"/>
                    <w:rPr>
                      <w:rFonts w:ascii="宋体" w:hAnsi="宋体" w:cs="宋体"/>
                      <w:spacing w:val="-11"/>
                      <w:sz w:val="24"/>
                      <w:szCs w:val="24"/>
                    </w:rPr>
                  </w:pPr>
                </w:p>
              </w:txbxContent>
            </v:textbox>
          </v:shape>
        </w:pict>
      </w:r>
      <w:r>
        <w:rPr>
          <w:sz w:val="28"/>
        </w:rPr>
        <w:pict>
          <v:shape id="_x0000_s1064" o:spid="_x0000_s1064" o:spt="202" type="#_x0000_t202" style="position:absolute;left:0pt;margin-left:196.05pt;margin-top:144.05pt;height:90pt;width:39.7pt;z-index:251737088;mso-width-relative:page;mso-height-relative:page;" fillcolor="#FFFFFF [3201]" filled="t" coordsize="21600,21600" o:gfxdata="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S4ClbYAAAACwEAAA8AAAAA&#10;AAAAAQAgAAAAIgAAAGRycy9kb3ducmV2LnhtbFBLAQIUABQAAAAIAIdO4kCK05bkTQIAAHkEAAAO&#10;AAAAAAAAAAEAIAAAACcBAABkcnMvZTJvRG9jLnhtbFBLBQYAAAAABgAGAFkBAADmBQAAAAA=&#10;">
            <v:path/>
            <v:fill on="t" focussize="0,0"/>
            <v:stroke weight="0.5pt" joinstyle="round"/>
            <v:imagedata o:title=""/>
            <o:lock v:ext="edit"/>
            <v:textbox>
              <w:txbxContent>
                <w:p>
                  <w:pPr>
                    <w:spacing w:line="120" w:lineRule="auto"/>
                    <w:rPr>
                      <w:rFonts w:ascii="宋体" w:hAnsi="宋体" w:cs="宋体"/>
                      <w:spacing w:val="-11"/>
                      <w:sz w:val="24"/>
                      <w:szCs w:val="24"/>
                    </w:rPr>
                  </w:pPr>
                  <w:r>
                    <w:rPr>
                      <w:rFonts w:hint="eastAsia" w:ascii="宋体" w:hAnsi="宋体" w:cs="宋体"/>
                      <w:spacing w:val="-11"/>
                      <w:sz w:val="24"/>
                      <w:szCs w:val="24"/>
                    </w:rPr>
                    <w:t>警</w:t>
                  </w:r>
                </w:p>
                <w:p>
                  <w:pPr>
                    <w:spacing w:line="120" w:lineRule="auto"/>
                    <w:rPr>
                      <w:rFonts w:ascii="宋体" w:hAnsi="宋体" w:cs="宋体"/>
                      <w:spacing w:val="-11"/>
                      <w:sz w:val="24"/>
                      <w:szCs w:val="24"/>
                    </w:rPr>
                  </w:pPr>
                  <w:r>
                    <w:rPr>
                      <w:rFonts w:hint="eastAsia" w:ascii="宋体" w:hAnsi="宋体" w:cs="宋体"/>
                      <w:spacing w:val="-11"/>
                      <w:sz w:val="24"/>
                      <w:szCs w:val="24"/>
                    </w:rPr>
                    <w:t>戒</w:t>
                  </w:r>
                </w:p>
                <w:p>
                  <w:pPr>
                    <w:spacing w:line="120" w:lineRule="auto"/>
                    <w:rPr>
                      <w:rFonts w:ascii="宋体" w:hAnsi="宋体" w:cs="宋体"/>
                      <w:spacing w:val="-11"/>
                      <w:sz w:val="24"/>
                      <w:szCs w:val="24"/>
                    </w:rPr>
                  </w:pPr>
                  <w:r>
                    <w:rPr>
                      <w:rFonts w:hint="eastAsia" w:ascii="宋体" w:hAnsi="宋体" w:cs="宋体"/>
                      <w:spacing w:val="-11"/>
                      <w:sz w:val="24"/>
                      <w:szCs w:val="24"/>
                    </w:rPr>
                    <w:t>后</w:t>
                  </w:r>
                </w:p>
                <w:p>
                  <w:pPr>
                    <w:spacing w:line="120" w:lineRule="auto"/>
                    <w:rPr>
                      <w:rFonts w:ascii="宋体" w:hAnsi="宋体" w:cs="宋体"/>
                      <w:spacing w:val="-11"/>
                      <w:sz w:val="24"/>
                      <w:szCs w:val="24"/>
                    </w:rPr>
                  </w:pPr>
                  <w:r>
                    <w:rPr>
                      <w:rFonts w:hint="eastAsia" w:ascii="宋体" w:hAnsi="宋体" w:cs="宋体"/>
                      <w:spacing w:val="-11"/>
                      <w:sz w:val="24"/>
                      <w:szCs w:val="24"/>
                    </w:rPr>
                    <w:t>勤</w:t>
                  </w:r>
                </w:p>
                <w:p>
                  <w:pPr>
                    <w:spacing w:line="120" w:lineRule="auto"/>
                    <w:rPr>
                      <w:rFonts w:ascii="宋体" w:hAnsi="宋体" w:cs="宋体"/>
                      <w:spacing w:val="-11"/>
                      <w:sz w:val="24"/>
                      <w:szCs w:val="24"/>
                    </w:rPr>
                  </w:pPr>
                  <w:r>
                    <w:rPr>
                      <w:rFonts w:hint="eastAsia" w:ascii="宋体" w:hAnsi="宋体" w:cs="宋体"/>
                      <w:spacing w:val="-11"/>
                      <w:sz w:val="24"/>
                      <w:szCs w:val="24"/>
                    </w:rPr>
                    <w:t>组</w:t>
                  </w:r>
                </w:p>
              </w:txbxContent>
            </v:textbox>
          </v:shape>
        </w:pict>
      </w:r>
      <w:r>
        <w:rPr>
          <w:sz w:val="28"/>
        </w:rPr>
        <w:pict>
          <v:shape id="_x0000_s1063" o:spid="_x0000_s1063" o:spt="32" type="#_x0000_t32" style="position:absolute;left:0pt;margin-left:208.8pt;margin-top:117.8pt;height:25.5pt;width:0pt;z-index:251827200;mso-width-relative:page;mso-height-relative:page;" filled="f" stroked="t" coordsize="21600,21600" o:gfxdata="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vRLivtgAAAALAQAADwAA&#10;AAAAAAABACAAAAAiAAAAZHJzL2Rvd25yZXYueG1sUEsBAhQAFAAAAAgAh07iQCizY6zdAQAAfAMA&#10;AA4AAAAAAAAAAQAgAAAAJwEAAGRycy9lMm9Eb2MueG1sUEsFBgAAAAAGAAYAWQEAAHYFAAAAAA==&#10;">
            <v:path arrowok="t"/>
            <v:fill on="f" focussize="0,0"/>
            <v:stroke color="#000000 [3213]" endarrow="open"/>
            <v:imagedata o:title=""/>
            <o:lock v:ext="edit"/>
          </v:shape>
        </w:pict>
      </w:r>
      <w:r>
        <w:rPr>
          <w:sz w:val="28"/>
        </w:rPr>
        <w:pict>
          <v:shape id="_x0000_s1062" o:spid="_x0000_s1062" o:spt="32" type="#_x0000_t32" style="position:absolute;left:0pt;margin-left:98.55pt;margin-top:116.3pt;height:25.5pt;width:0pt;z-index:251742208;mso-width-relative:page;mso-height-relative:page;" filled="f" stroked="t" coordsize="21600,21600" o:gfxdata="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yk&#10;b8fXAAAACwEAAA8AAAAAAAAAAQAgAAAAIgAAAGRycy9kb3ducmV2LnhtbFBLAQIUABQAAAAIAIdO&#10;4kBQ/fZ66wEAAIgDAAAOAAAAAAAAAAEAIAAAACYBAABkcnMvZTJvRG9jLnhtbFBLBQYAAAAABgAG&#10;AFkBAACDBQAAAAA=&#10;">
            <v:path arrowok="t"/>
            <v:fill on="f" focussize="0,0"/>
            <v:stroke color="#000000 [3213]" endarrow="open"/>
            <v:imagedata o:title=""/>
            <o:lock v:ext="edit"/>
          </v:shape>
        </w:pict>
      </w:r>
      <w:r>
        <w:rPr>
          <w:sz w:val="28"/>
        </w:rPr>
        <w:pict>
          <v:shape id="_x0000_s1061" o:spid="_x0000_s1061" o:spt="32" type="#_x0000_t32" style="position:absolute;left:0pt;flip:x;margin-left:214.8pt;margin-top:60.8pt;height:0.75pt;width:23.25pt;z-index:251740160;mso-width-relative:page;mso-height-relative:page;" filled="f" stroked="t" coordsize="21600,21600" o:gfxdata="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53leB2gAAAAsB&#10;AAAPAAAAAAAAAAEAIAAAACIAAABkcnMvZG93bnJldi54bWxQSwECFAAUAAAACACHTuJA5TpxIxkC&#10;AAD0AwAADgAAAAAAAAABACAAAAApAQAAZHJzL2Uyb0RvYy54bWxQSwUGAAAAAAYABgBZAQAAtAUA&#10;AAAA&#10;">
            <v:path arrowok="t"/>
            <v:fill on="f" focussize="0,0"/>
            <v:stroke color="#0D0D0D [3069]" endarrow="open"/>
            <v:imagedata o:title=""/>
            <o:lock v:ext="edit"/>
          </v:shape>
        </w:pict>
      </w:r>
      <w:r>
        <w:rPr>
          <w:sz w:val="28"/>
        </w:rPr>
        <w:pict>
          <v:shape id="_x0000_s1060" o:spid="_x0000_s1060" o:spt="32" type="#_x0000_t32" style="position:absolute;left:0pt;flip:x;margin-left:208.8pt;margin-top:29.4pt;height:80.15pt;width:0.05pt;z-index:251739136;mso-width-relative:page;mso-height-relative:page;" filled="f" stroked="t" coordsize="21600,21600" o:gfxdata="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D5c7NgAAAAKAQAADwAAAAAAAAABACAAAAAiAAAAZHJz&#10;L2Rvd25yZXYueG1sUEsBAhQAFAAAAAgAh07iQMl8z4cEAgAAvAMAAA4AAAAAAAAAAQAgAAAAJwEA&#10;AGRycy9lMm9Eb2MueG1sUEsFBgAAAAAGAAYAWQEAAJ0FAAAAAA==&#10;">
            <v:path arrowok="t"/>
            <v:fill on="f" focussize="0,0"/>
            <v:stroke color="#000000 [3213]" endarrow="open"/>
            <v:imagedata o:title=""/>
            <o:lock v:ext="edit"/>
          </v:shape>
        </w:pict>
      </w:r>
      <w:r>
        <w:rPr>
          <w:sz w:val="28"/>
        </w:rPr>
        <w:pict>
          <v:shape id="_x0000_s1059" o:spid="_x0000_s1059" o:spt="202" type="#_x0000_t202" style="position:absolute;left:0pt;margin-left:85.05pt;margin-top:146.35pt;height:89.25pt;width:37.5pt;z-index:251736064;mso-width-relative:page;mso-height-relative:page;" fillcolor="#FFFFFF [3201]" filled="t" coordsize="21600,21600" o:gfxdata="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m0iXWAAAACwEAAA8AAAAAAAAA&#10;AQAgAAAAIgAAAGRycy9kb3ducmV2LnhtbFBLAQIUABQAAAAIAIdO4kCMCOhQTAIAAHcEAAAOAAAA&#10;AAAAAAEAIAAAACUBAABkcnMvZTJvRG9jLnhtbFBLBQYAAAAABgAGAFkBAADjBQAAAAA=&#10;">
            <v:path/>
            <v:fill on="t" focussize="0,0"/>
            <v:stroke weight="0.5pt" joinstyle="round"/>
            <v:imagedata o:title=""/>
            <o:lock v:ext="edit"/>
            <v:textbox>
              <w:txbxContent>
                <w:p>
                  <w:pPr>
                    <w:spacing w:line="120" w:lineRule="auto"/>
                    <w:rPr>
                      <w:rFonts w:ascii="宋体" w:hAnsi="宋体" w:cs="宋体"/>
                      <w:spacing w:val="-11"/>
                      <w:sz w:val="24"/>
                      <w:szCs w:val="24"/>
                    </w:rPr>
                  </w:pPr>
                  <w:r>
                    <w:rPr>
                      <w:rFonts w:hint="eastAsia" w:ascii="宋体" w:hAnsi="宋体" w:cs="宋体"/>
                      <w:spacing w:val="-11"/>
                      <w:sz w:val="24"/>
                      <w:szCs w:val="24"/>
                    </w:rPr>
                    <w:t>抢</w:t>
                  </w:r>
                </w:p>
                <w:p>
                  <w:pPr>
                    <w:spacing w:line="120" w:lineRule="auto"/>
                    <w:rPr>
                      <w:rFonts w:ascii="宋体" w:hAnsi="宋体" w:cs="宋体"/>
                      <w:spacing w:val="-11"/>
                      <w:sz w:val="24"/>
                      <w:szCs w:val="24"/>
                    </w:rPr>
                  </w:pPr>
                  <w:r>
                    <w:rPr>
                      <w:rFonts w:hint="eastAsia" w:ascii="宋体" w:hAnsi="宋体" w:cs="宋体"/>
                      <w:spacing w:val="-11"/>
                      <w:sz w:val="24"/>
                      <w:szCs w:val="24"/>
                    </w:rPr>
                    <w:t>险</w:t>
                  </w:r>
                </w:p>
                <w:p>
                  <w:pPr>
                    <w:spacing w:line="120" w:lineRule="auto"/>
                    <w:rPr>
                      <w:rFonts w:ascii="宋体" w:hAnsi="宋体" w:cs="宋体"/>
                      <w:spacing w:val="-11"/>
                      <w:sz w:val="24"/>
                      <w:szCs w:val="24"/>
                    </w:rPr>
                  </w:pPr>
                  <w:r>
                    <w:rPr>
                      <w:rFonts w:hint="eastAsia" w:ascii="宋体" w:hAnsi="宋体" w:cs="宋体"/>
                      <w:spacing w:val="-11"/>
                      <w:sz w:val="24"/>
                      <w:szCs w:val="24"/>
                    </w:rPr>
                    <w:t>救</w:t>
                  </w:r>
                </w:p>
                <w:p>
                  <w:pPr>
                    <w:spacing w:line="120" w:lineRule="auto"/>
                    <w:rPr>
                      <w:rFonts w:ascii="宋体" w:hAnsi="宋体" w:cs="宋体"/>
                      <w:spacing w:val="-11"/>
                      <w:sz w:val="24"/>
                      <w:szCs w:val="24"/>
                    </w:rPr>
                  </w:pPr>
                  <w:r>
                    <w:rPr>
                      <w:rFonts w:hint="eastAsia" w:ascii="宋体" w:hAnsi="宋体" w:cs="宋体"/>
                      <w:spacing w:val="-11"/>
                      <w:sz w:val="24"/>
                      <w:szCs w:val="24"/>
                    </w:rPr>
                    <w:t>援</w:t>
                  </w:r>
                </w:p>
                <w:p>
                  <w:pPr>
                    <w:spacing w:line="120" w:lineRule="auto"/>
                    <w:rPr>
                      <w:rFonts w:ascii="宋体" w:hAnsi="宋体" w:cs="宋体"/>
                      <w:spacing w:val="-11"/>
                      <w:sz w:val="28"/>
                      <w:szCs w:val="28"/>
                    </w:rPr>
                  </w:pPr>
                  <w:r>
                    <w:rPr>
                      <w:rFonts w:hint="eastAsia" w:ascii="宋体" w:hAnsi="宋体" w:cs="宋体"/>
                      <w:spacing w:val="-11"/>
                      <w:sz w:val="24"/>
                      <w:szCs w:val="24"/>
                    </w:rPr>
                    <w:t>组</w:t>
                  </w:r>
                </w:p>
              </w:txbxContent>
            </v:textbox>
          </v:shape>
        </w:pict>
      </w:r>
      <w:r>
        <w:rPr>
          <w:sz w:val="28"/>
        </w:rPr>
        <w:pict>
          <v:shape id="_x0000_s1058" o:spid="_x0000_s1058" o:spt="202" type="#_x0000_t202" style="position:absolute;left:0pt;margin-left:238.05pt;margin-top:41.3pt;height:39pt;width:111pt;z-index:251735040;mso-width-relative:page;mso-height-relative:page;" fillcolor="#FFFFFF [3201]" filled="t" coordsize="21600,21600" o:gfxdata="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kVkfzWAAAACgEAAA8AAAAAAAAAAQAg&#10;AAAAIgAAAGRycy9kb3ducmV2LnhtbFBLAQIUABQAAAAIAIdO4kBrq7LTSQIAAHcEAAAOAAAAAAAA&#10;AAEAIAAAACUBAABkcnMvZTJvRG9jLnhtbFBLBQYAAAAABgAGAFkBAADgBQAAAAA=&#10;">
            <v:path/>
            <v:fill on="t" focussize="0,0"/>
            <v:stroke weight="0.5pt" joinstyle="round"/>
            <v:imagedata o:title=""/>
            <o:lock v:ext="edit"/>
            <v:textbox>
              <w:txbxContent>
                <w:p>
                  <w:r>
                    <w:rPr>
                      <w:rFonts w:hint="eastAsia" w:ascii="宋体" w:hAnsi="宋体" w:cs="仿宋_GB2312"/>
                      <w:bCs/>
                      <w:sz w:val="28"/>
                      <w:szCs w:val="28"/>
                    </w:rPr>
                    <w:t>副总指挥</w:t>
                  </w:r>
                  <w:r>
                    <w:rPr>
                      <w:rFonts w:hint="eastAsia" w:ascii="宋体" w:hAnsi="宋体" w:cs="宋体"/>
                      <w:sz w:val="28"/>
                      <w:szCs w:val="28"/>
                    </w:rPr>
                    <w:t>：李力</w:t>
                  </w:r>
                </w:p>
              </w:txbxContent>
            </v:textbox>
          </v:shape>
        </w:pict>
      </w:r>
    </w:p>
    <w:p>
      <w:pPr>
        <w:pStyle w:val="3"/>
        <w:rPr>
          <w:rFonts w:eastAsia="宋体" w:cs="宋体"/>
        </w:rPr>
      </w:pPr>
      <w:bookmarkStart w:id="152" w:name="_Toc504989550"/>
      <w:bookmarkEnd w:id="152"/>
      <w:bookmarkStart w:id="153" w:name="_Toc15861"/>
      <w:bookmarkStart w:id="154" w:name="_Toc25176"/>
      <w:bookmarkStart w:id="155" w:name="_Toc6597"/>
      <w:bookmarkStart w:id="156" w:name="_Toc14176"/>
      <w:bookmarkStart w:id="157" w:name="_Toc20638"/>
      <w:r>
        <w:rPr>
          <w:rFonts w:hint="eastAsia" w:eastAsia="宋体" w:cs="宋体"/>
        </w:rPr>
        <w:t>第四章  预警及信息报告</w:t>
      </w:r>
      <w:bookmarkEnd w:id="153"/>
      <w:bookmarkEnd w:id="154"/>
      <w:bookmarkEnd w:id="155"/>
      <w:bookmarkEnd w:id="156"/>
      <w:bookmarkEnd w:id="157"/>
    </w:p>
    <w:p>
      <w:pPr>
        <w:pStyle w:val="4"/>
        <w:spacing w:before="0" w:after="0"/>
        <w:rPr>
          <w:rStyle w:val="51"/>
          <w:rFonts w:hint="default" w:ascii="Times New Roman" w:hAnsi="Times New Roman" w:cs="宋体"/>
          <w:b/>
          <w:bCs/>
          <w:sz w:val="24"/>
          <w:szCs w:val="24"/>
        </w:rPr>
      </w:pPr>
      <w:bookmarkStart w:id="158" w:name="_Toc21313"/>
      <w:bookmarkEnd w:id="158"/>
      <w:bookmarkStart w:id="159" w:name="_Toc504989551"/>
      <w:bookmarkStart w:id="160" w:name="_Toc632"/>
      <w:bookmarkStart w:id="161" w:name="_Toc28472"/>
      <w:bookmarkStart w:id="162" w:name="_Toc14395"/>
      <w:bookmarkStart w:id="163" w:name="_Toc13425"/>
      <w:r>
        <w:rPr>
          <w:rStyle w:val="51"/>
          <w:rFonts w:hint="default" w:ascii="Times New Roman" w:hAnsi="Times New Roman" w:cs="宋体"/>
          <w:b/>
          <w:bCs/>
          <w:sz w:val="24"/>
          <w:szCs w:val="24"/>
        </w:rPr>
        <w:t>4.1</w:t>
      </w:r>
      <w:bookmarkEnd w:id="159"/>
      <w:r>
        <w:rPr>
          <w:rStyle w:val="51"/>
          <w:rFonts w:hint="default" w:ascii="Times New Roman" w:hAnsi="Times New Roman" w:cs="宋体"/>
          <w:b/>
          <w:bCs/>
          <w:sz w:val="24"/>
          <w:szCs w:val="24"/>
        </w:rPr>
        <w:t>危险源监控</w:t>
      </w:r>
      <w:bookmarkEnd w:id="160"/>
      <w:bookmarkEnd w:id="161"/>
      <w:bookmarkEnd w:id="162"/>
      <w:bookmarkEnd w:id="163"/>
    </w:p>
    <w:p>
      <w:pPr>
        <w:spacing w:line="360" w:lineRule="auto"/>
        <w:ind w:firstLine="480"/>
        <w:rPr>
          <w:rFonts w:cs="宋体"/>
        </w:rPr>
      </w:pPr>
      <w:r>
        <w:rPr>
          <w:rFonts w:hint="eastAsia" w:cs="宋体"/>
          <w:b/>
          <w:bCs/>
          <w:sz w:val="24"/>
          <w:szCs w:val="24"/>
        </w:rPr>
        <w:t>1、危险源监测监控的方式、方法</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（1）每个储罐设有液位计；</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（2）在危险源存在区域设置视频监控；</w:t>
      </w:r>
    </w:p>
    <w:p>
      <w:pPr>
        <w:tabs>
          <w:tab w:val="center" w:pos="4535"/>
          <w:tab w:val="right" w:pos="9070"/>
        </w:tabs>
        <w:ind w:firstLine="560" w:firstLineChars="200"/>
        <w:jc w:val="left"/>
        <w:rPr>
          <w:rFonts w:cs="宋体"/>
          <w:sz w:val="24"/>
          <w:szCs w:val="24"/>
        </w:rPr>
      </w:pPr>
      <w:r>
        <w:rPr>
          <w:rFonts w:hint="eastAsia" w:ascii="宋体" w:hAnsi="宋体" w:cs="宋体"/>
          <w:sz w:val="28"/>
          <w:szCs w:val="28"/>
        </w:rPr>
        <w:t>（3）站长定时、定期对危险源巡查和检修。</w:t>
      </w:r>
    </w:p>
    <w:p>
      <w:pPr>
        <w:spacing w:line="360" w:lineRule="auto"/>
        <w:ind w:firstLine="480"/>
        <w:rPr>
          <w:rFonts w:cs="宋体"/>
          <w:sz w:val="24"/>
          <w:szCs w:val="24"/>
        </w:rPr>
      </w:pPr>
      <w:r>
        <w:rPr>
          <w:rFonts w:hint="eastAsia" w:cs="宋体"/>
          <w:b/>
          <w:bCs/>
          <w:sz w:val="24"/>
          <w:szCs w:val="24"/>
        </w:rPr>
        <w:t>2、危险源技术性预防管理措施</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为了消除或控制危化品带来的危险，减轻灾害或降低事故损失，根据本站实际情况，制定如下监控措施：</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定期检测、评估和监控汽油、柴油罐区及加油装卸区。</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配备专用防护器材、报警装置，并定期检查维护，使之始终处于良好备用状态。防护器材为：灭火器、灭火毯、消防沙、手套等。</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加强人员安全培训，确保员工做到持证上岗，特殊作业人员要经过专业培训合格后上岗。</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完善、充实安全操作规程、安全管理制度，严格规程、制度落实。</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对危化品储存进行专项安全检查每月至少3次，形成记录；当班操作人员严格执行充装操作规程，及时巡回检查，发现隐患或问题，立即汇报处理，防止事故的发生。</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站长负责组织从业人员进行应急预案知识、安全防护知识的培训，切实提高人员安全意识，将各类事故隐患消除在萌芽中。</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严格执行《重大危险管理制度》《目标管理方案》和《专项应急预案》，针对关键重点部位及危险源定期演练，使员工掌握应急救援措施，提高应急救援能力。</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定期对罐区进行评价，根据新情况采取相应安全措施，持续改进运行绩效。</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加油站内工艺设备、储存设备、消防设施、防雷设施定期进行检测检验。</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工作场地必须备有和设置应急事故处理的防护设施，以便事故发生时紧急处理。</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加油站设置醒目的：“严禁烟火”、“严禁拨打手机”等安全标志。</w:t>
      </w:r>
    </w:p>
    <w:p>
      <w:pPr>
        <w:pStyle w:val="4"/>
        <w:spacing w:before="0" w:after="0"/>
        <w:rPr>
          <w:rStyle w:val="51"/>
          <w:rFonts w:hint="default" w:ascii="Times New Roman" w:hAnsi="Times New Roman" w:cs="宋体"/>
          <w:b/>
          <w:bCs/>
          <w:sz w:val="24"/>
          <w:szCs w:val="24"/>
        </w:rPr>
      </w:pPr>
      <w:bookmarkStart w:id="164" w:name="_Toc504989552"/>
      <w:bookmarkEnd w:id="164"/>
      <w:bookmarkStart w:id="165" w:name="_Toc31949"/>
      <w:bookmarkEnd w:id="165"/>
      <w:bookmarkStart w:id="166" w:name="_Toc22165"/>
      <w:bookmarkStart w:id="167" w:name="_Toc14753"/>
      <w:bookmarkStart w:id="168" w:name="_Toc23038"/>
      <w:bookmarkStart w:id="169" w:name="_Toc3929"/>
      <w:bookmarkStart w:id="170" w:name="_Toc1359"/>
      <w:r>
        <w:rPr>
          <w:rStyle w:val="51"/>
          <w:rFonts w:hint="default" w:ascii="Times New Roman" w:hAnsi="Times New Roman" w:cs="宋体"/>
          <w:b/>
          <w:bCs/>
          <w:sz w:val="24"/>
          <w:szCs w:val="24"/>
        </w:rPr>
        <w:t>4.2预警行动</w:t>
      </w:r>
      <w:bookmarkEnd w:id="166"/>
      <w:bookmarkEnd w:id="167"/>
      <w:bookmarkEnd w:id="168"/>
      <w:bookmarkEnd w:id="169"/>
      <w:bookmarkEnd w:id="170"/>
    </w:p>
    <w:p>
      <w:pPr>
        <w:pStyle w:val="5"/>
        <w:spacing w:before="0" w:after="0"/>
        <w:rPr>
          <w:rStyle w:val="49"/>
          <w:rFonts w:ascii="Times New Roman" w:hAnsi="Times New Roman" w:cs="宋体"/>
          <w:b/>
          <w:bCs/>
          <w:sz w:val="24"/>
          <w:szCs w:val="24"/>
        </w:rPr>
      </w:pPr>
      <w:bookmarkStart w:id="171" w:name="_Toc21634"/>
      <w:bookmarkEnd w:id="171"/>
      <w:bookmarkStart w:id="172" w:name="_Toc504989553"/>
      <w:bookmarkStart w:id="173" w:name="_Toc13578"/>
      <w:bookmarkStart w:id="174" w:name="_Toc8742"/>
      <w:bookmarkStart w:id="175" w:name="_Toc5998"/>
      <w:bookmarkStart w:id="176" w:name="_Toc22746"/>
      <w:r>
        <w:rPr>
          <w:rStyle w:val="49"/>
          <w:rFonts w:hint="eastAsia" w:ascii="Times New Roman" w:hAnsi="Times New Roman" w:cs="宋体"/>
          <w:b/>
          <w:bCs/>
          <w:sz w:val="24"/>
          <w:szCs w:val="24"/>
        </w:rPr>
        <w:t>4.2.1预警获取方式</w:t>
      </w:r>
      <w:bookmarkEnd w:id="172"/>
      <w:bookmarkEnd w:id="173"/>
      <w:bookmarkEnd w:id="174"/>
      <w:bookmarkEnd w:id="175"/>
      <w:bookmarkEnd w:id="176"/>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1、外部获取信息</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（1）南充市或当地区政府通过新闻媒体公开发布的暴雨、大风等预警信息；</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（2）政府监督部门的监测结论；</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（3）周边企业发布的预警信息或其他外部投诉、报警信息；</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2、内部获取信息</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（1）报警器报警；</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（2）设备配件（阀门、垫圈等）、管道、电气装置出现老化现象；</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（3）加油区、罐区出现点火源；</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（4）设备、配件、开关防爆器件的防爆性能减弱或完全失效；</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（5）安全检查发现的其他可导致泄漏、火灾的安全隐患；</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（6）风险评价发现新的风险；</w:t>
      </w:r>
    </w:p>
    <w:p>
      <w:pPr>
        <w:pStyle w:val="5"/>
        <w:spacing w:before="0" w:after="0"/>
        <w:rPr>
          <w:rStyle w:val="49"/>
          <w:rFonts w:ascii="Times New Roman" w:hAnsi="Times New Roman" w:cs="宋体"/>
          <w:b/>
          <w:bCs/>
          <w:sz w:val="24"/>
          <w:szCs w:val="24"/>
        </w:rPr>
      </w:pPr>
      <w:bookmarkStart w:id="177" w:name="_Toc1286"/>
      <w:bookmarkEnd w:id="177"/>
      <w:bookmarkStart w:id="178" w:name="_Toc14898"/>
      <w:bookmarkStart w:id="179" w:name="_Toc504989554"/>
      <w:bookmarkStart w:id="180" w:name="_Toc26014"/>
      <w:bookmarkStart w:id="181" w:name="_Toc14611"/>
      <w:bookmarkStart w:id="182" w:name="_Toc31768"/>
      <w:r>
        <w:rPr>
          <w:rStyle w:val="49"/>
          <w:rFonts w:hint="eastAsia" w:ascii="Times New Roman" w:hAnsi="Times New Roman" w:cs="宋体"/>
          <w:b/>
          <w:bCs/>
          <w:sz w:val="24"/>
          <w:szCs w:val="24"/>
        </w:rPr>
        <w:t>4.2.2预警级别、预警条件和信息发布方式、方法、程序</w:t>
      </w:r>
      <w:bookmarkEnd w:id="178"/>
      <w:bookmarkEnd w:id="179"/>
      <w:bookmarkEnd w:id="180"/>
      <w:bookmarkEnd w:id="181"/>
      <w:bookmarkEnd w:id="182"/>
    </w:p>
    <w:p>
      <w:pPr>
        <w:spacing w:line="360" w:lineRule="auto"/>
        <w:ind w:firstLine="482"/>
        <w:rPr>
          <w:rFonts w:cs="宋体"/>
          <w:b/>
          <w:bCs/>
        </w:rPr>
      </w:pPr>
      <w:r>
        <w:rPr>
          <w:rFonts w:hint="eastAsia" w:cs="宋体"/>
          <w:b/>
          <w:bCs/>
          <w:sz w:val="24"/>
          <w:szCs w:val="24"/>
        </w:rPr>
        <w:t>1、预警级别</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根据《国家突发公共事件总体应急预案》、《国家安全生产事故灾难应急预案》规定，将事故响应等级分为特别重大事故（Ⅰ级）、重大事故（Ⅱ级）、较大事故（Ⅲ级）和一般事故（Ⅳ级）四级。</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吉运加油站根据国家法律法规、标准规范的规定，结合自身的实际情况，以及事故可能造成的危害程度、发展情况和紧迫性等因素，将预警级别由低到高划分为蓝色（Ⅲ级）、黄色（Ⅱ级）、红色（I级）三个预警级别，分别与Ⅲ级、Ⅱ级、I级三个级别响应相对应。</w:t>
      </w:r>
    </w:p>
    <w:p>
      <w:pPr>
        <w:spacing w:line="360" w:lineRule="auto"/>
        <w:ind w:firstLine="482" w:firstLineChars="200"/>
        <w:rPr>
          <w:rStyle w:val="52"/>
          <w:rFonts w:ascii="Times New Roman" w:hAnsi="Times New Roman" w:cs="宋体"/>
          <w:b/>
          <w:bCs/>
          <w:sz w:val="24"/>
          <w:szCs w:val="24"/>
        </w:rPr>
      </w:pPr>
      <w:r>
        <w:rPr>
          <w:rStyle w:val="52"/>
          <w:rFonts w:hint="eastAsia" w:ascii="Times New Roman" w:hAnsi="Times New Roman" w:cs="宋体"/>
          <w:b/>
          <w:bCs/>
          <w:sz w:val="24"/>
          <w:szCs w:val="24"/>
        </w:rPr>
        <w:t>2、预警条件、</w:t>
      </w:r>
      <w:r>
        <w:rPr>
          <w:rFonts w:hint="eastAsia" w:cs="宋体"/>
          <w:b/>
          <w:bCs/>
          <w:sz w:val="24"/>
          <w:szCs w:val="24"/>
        </w:rPr>
        <w:t>预警信息内容和流程</w:t>
      </w:r>
    </w:p>
    <w:p>
      <w:pPr>
        <w:spacing w:line="360" w:lineRule="auto"/>
        <w:ind w:firstLine="482"/>
        <w:rPr>
          <w:rFonts w:cs="宋体"/>
        </w:rPr>
      </w:pPr>
      <w:r>
        <w:rPr>
          <w:rFonts w:hint="eastAsia" w:cs="宋体"/>
          <w:b/>
          <w:bCs/>
          <w:sz w:val="24"/>
          <w:szCs w:val="24"/>
        </w:rPr>
        <w:t>（1）预警方式</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本站预警分为二级，由低到高依次为二级、一级预警，分别与Ⅱ级、Ⅰ级两个级别响应相对应。</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二级预警是指现场管理人员接到事故报告后，经初步判断认为可能发生的事故不会造成较大损失，不会造成事故扩大且不会造成人员伤亡的情况，由现场管理人员做出相应的预警。</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一级预警是指现场管理人员经初步判断，认为可能发生的事故危害可能进一步扩大危及周边企业或居民，人员伤亡和财产损失已超出或即将超出加油站的控制能力，需要向外部求援，而做出相应的预警。</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（2）预警范围</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应急总指挥根据预警条件信息的可能危害程度、紧急程度和发展势态，做出预警决定，发布预警信息，通知相关部门（主管部门）和相邻单位进入预警状态。</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二级预警范围为本站范围内所有员工及其他人员。</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一级预警范围包括相邻单位、居民、村委会。</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（3）预警信息</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预警信息内容包括：预警信息的类别、预警级别、响应级别、起始时间、可能影响的区域或范围、应重点关注的事项和建议采取的措施、发布部门和时间等。常见预警内容包括人员受伤预警、高温预警、油罐溢油预警、异常天气预警等。</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（4）发布方式</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发布方式包括：口头预警、内部电话、手机通知、内部会议、短信等形式。为保障预警及时有效，加油站办公室配有应急报警电话、24小时值守，以备应急通讯。</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（5）预警准备</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宣布进入预警期后，有关人员应当根据即将发生事故的特点和可能造成的危害，采取下列措施：</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①责令应急救援队伍、负有特定职责的人员进入待命状态，并动员后备人员做好参加应急救援和处置工作的准备；</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②调集应急救援所需物资、设备、工具，准备应急设施，并确保其处于良好状态、随时可以投入正常使用；</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③加强对重点岗位、重要部位和重要基础设施的安全保卫，维护社会治安秩序；</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④责令各相关人员和负有特定职责的人员及时收集、报告有关信息，加强对事故发生、发展情况的监测、预报和预警工作；</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⑤随时对事故信息进行分析评估，预测发生事故可能性的大小、影响范围和强度以及可能发生的事故的级别；定时向加油站应急总指挥报告事故预测信息和分析评估结果；</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⑥转移、疏散或者撤离易受事故危害的人员并予以妥善安置，转移重要财产；</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⑦停止可能诱发事故发生的作业，控制或者限制容易导致危害扩大的一切活动；</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⑧及时向上级监管部门发布有关采取特定措施避免或者减轻危害的报告。</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6）预警解除</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应急救援副组长跟踪事态的发展，及时报告现场处置情况；有事实证明不可能发生重大事故或者危险已经解除的，总指挥宣布预警解除，终止预警期，并解除已经采取的有关措施。加油员向预警发布涉及的单位和人员通知预警解除。</w:t>
      </w:r>
    </w:p>
    <w:p>
      <w:pPr>
        <w:spacing w:line="360" w:lineRule="auto"/>
        <w:ind w:firstLine="482"/>
        <w:rPr>
          <w:rFonts w:cs="宋体"/>
          <w:b/>
          <w:bCs/>
          <w:sz w:val="24"/>
          <w:szCs w:val="24"/>
        </w:rPr>
      </w:pPr>
      <w:r>
        <w:rPr>
          <w:rFonts w:hint="eastAsia" w:cs="宋体"/>
          <w:b/>
          <w:bCs/>
          <w:sz w:val="24"/>
          <w:szCs w:val="24"/>
        </w:rPr>
        <w:t>（2）预警信息的内容</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发布预案信息时应说明清楚：事故类型、规模、影响范围、发生地点、介质、发展变化趋势、有无人员伤亡、报告人姓名和联系方式等。</w:t>
      </w:r>
    </w:p>
    <w:p>
      <w:pPr>
        <w:spacing w:line="360" w:lineRule="auto"/>
        <w:ind w:firstLine="480"/>
        <w:rPr>
          <w:rStyle w:val="52"/>
          <w:rFonts w:ascii="Times New Roman" w:hAnsi="Times New Roman" w:cs="宋体"/>
          <w:b/>
          <w:bCs/>
          <w:sz w:val="24"/>
          <w:szCs w:val="24"/>
        </w:rPr>
      </w:pPr>
      <w:r>
        <w:rPr>
          <w:rFonts w:hint="eastAsia" w:cs="宋体"/>
          <w:b/>
          <w:bCs/>
          <w:sz w:val="24"/>
          <w:szCs w:val="24"/>
        </w:rPr>
        <w:t>3、</w:t>
      </w:r>
      <w:r>
        <w:rPr>
          <w:rStyle w:val="52"/>
          <w:rFonts w:hint="eastAsia" w:ascii="Times New Roman" w:hAnsi="Times New Roman" w:cs="宋体"/>
          <w:b/>
          <w:bCs/>
          <w:sz w:val="24"/>
          <w:szCs w:val="24"/>
        </w:rPr>
        <w:t>预警行动</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（1）符合本预案启动条件时，立即发出启动本预案的指令；</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（2）指令启动相关现场处置方案，通知相关人员进入应急状态；</w:t>
      </w:r>
    </w:p>
    <w:p>
      <w:pPr>
        <w:tabs>
          <w:tab w:val="center" w:pos="4535"/>
          <w:tab w:val="right" w:pos="9070"/>
        </w:tabs>
        <w:ind w:firstLine="560" w:firstLineChars="200"/>
        <w:jc w:val="left"/>
        <w:rPr>
          <w:rFonts w:cs="宋体"/>
        </w:rPr>
      </w:pPr>
      <w:r>
        <w:rPr>
          <w:rFonts w:hint="eastAsia" w:ascii="宋体" w:hAnsi="宋体" w:cs="宋体"/>
          <w:sz w:val="28"/>
          <w:szCs w:val="28"/>
        </w:rPr>
        <w:t>（3）指令相关人员采取防范措施，并连续跟踪事态发展。可能发生的事故隐患排除后，宣布预警解除。</w:t>
      </w:r>
    </w:p>
    <w:p>
      <w:pPr>
        <w:pStyle w:val="5"/>
        <w:spacing w:before="0" w:after="0"/>
        <w:rPr>
          <w:rStyle w:val="49"/>
          <w:rFonts w:ascii="Times New Roman" w:hAnsi="Times New Roman" w:cs="宋体"/>
          <w:b/>
          <w:bCs/>
          <w:sz w:val="24"/>
          <w:szCs w:val="24"/>
        </w:rPr>
      </w:pPr>
      <w:bookmarkStart w:id="183" w:name="_Toc504989555"/>
      <w:bookmarkEnd w:id="183"/>
      <w:bookmarkStart w:id="184" w:name="_Toc9662"/>
      <w:bookmarkStart w:id="185" w:name="_Toc17079"/>
      <w:bookmarkStart w:id="186" w:name="_Toc10987"/>
      <w:bookmarkStart w:id="187" w:name="_Toc5738"/>
      <w:bookmarkStart w:id="188" w:name="_Toc16760"/>
      <w:r>
        <w:rPr>
          <w:rStyle w:val="49"/>
          <w:rFonts w:hint="eastAsia" w:ascii="Times New Roman" w:hAnsi="Times New Roman" w:cs="宋体"/>
          <w:b/>
          <w:bCs/>
          <w:sz w:val="24"/>
          <w:szCs w:val="24"/>
        </w:rPr>
        <w:t>4.2.3预警解除</w:t>
      </w:r>
      <w:bookmarkEnd w:id="184"/>
      <w:bookmarkEnd w:id="185"/>
      <w:bookmarkEnd w:id="186"/>
      <w:bookmarkEnd w:id="187"/>
      <w:bookmarkEnd w:id="188"/>
    </w:p>
    <w:p>
      <w:pPr>
        <w:spacing w:line="360" w:lineRule="auto"/>
        <w:ind w:firstLine="480"/>
        <w:rPr>
          <w:rStyle w:val="52"/>
          <w:rFonts w:ascii="Times New Roman" w:hAnsi="Times New Roman" w:cs="宋体"/>
          <w:sz w:val="24"/>
          <w:szCs w:val="24"/>
        </w:rPr>
      </w:pPr>
      <w:r>
        <w:rPr>
          <w:rFonts w:hint="eastAsia" w:ascii="宋体" w:hAnsi="宋体" w:cs="宋体"/>
          <w:sz w:val="28"/>
          <w:szCs w:val="28"/>
        </w:rPr>
        <w:t>预警启动条件消失，应急领导小组宣布解除预警。</w:t>
      </w:r>
    </w:p>
    <w:p>
      <w:pPr>
        <w:pStyle w:val="4"/>
        <w:keepNext w:val="0"/>
        <w:keepLines w:val="0"/>
        <w:spacing w:before="0" w:after="0"/>
        <w:rPr>
          <w:rStyle w:val="51"/>
          <w:rFonts w:hint="default" w:ascii="Times New Roman" w:hAnsi="Times New Roman" w:cs="宋体"/>
          <w:b/>
          <w:bCs/>
          <w:sz w:val="24"/>
          <w:szCs w:val="24"/>
        </w:rPr>
      </w:pPr>
      <w:bookmarkStart w:id="189" w:name="_Toc17335"/>
      <w:bookmarkEnd w:id="189"/>
      <w:bookmarkStart w:id="190" w:name="_Toc2544"/>
      <w:bookmarkStart w:id="191" w:name="_Toc4256"/>
      <w:bookmarkStart w:id="192" w:name="_Toc504989556"/>
      <w:bookmarkStart w:id="193" w:name="_Toc1783"/>
      <w:bookmarkStart w:id="194" w:name="_Toc1517"/>
      <w:r>
        <w:rPr>
          <w:rStyle w:val="51"/>
          <w:rFonts w:hint="default" w:ascii="Times New Roman" w:hAnsi="Times New Roman" w:cs="宋体"/>
          <w:b/>
          <w:bCs/>
          <w:sz w:val="24"/>
          <w:szCs w:val="24"/>
        </w:rPr>
        <w:t>4.3信息报告与处置</w:t>
      </w:r>
      <w:bookmarkEnd w:id="190"/>
      <w:bookmarkEnd w:id="191"/>
      <w:bookmarkEnd w:id="192"/>
      <w:bookmarkEnd w:id="193"/>
      <w:bookmarkEnd w:id="194"/>
    </w:p>
    <w:p>
      <w:pPr>
        <w:pStyle w:val="5"/>
        <w:keepNext w:val="0"/>
        <w:keepLines w:val="0"/>
        <w:spacing w:before="0" w:after="0"/>
        <w:rPr>
          <w:rFonts w:eastAsia="宋体" w:cs="宋体"/>
          <w:kern w:val="2"/>
          <w:sz w:val="24"/>
          <w:szCs w:val="24"/>
        </w:rPr>
      </w:pPr>
      <w:bookmarkStart w:id="195" w:name="_Toc504989557"/>
      <w:bookmarkEnd w:id="195"/>
      <w:bookmarkStart w:id="196" w:name="_Toc11833"/>
      <w:bookmarkStart w:id="197" w:name="_Toc23580"/>
      <w:bookmarkStart w:id="198" w:name="_Toc7114"/>
      <w:bookmarkStart w:id="199" w:name="_Toc9257"/>
      <w:bookmarkStart w:id="200" w:name="_Toc23743"/>
      <w:r>
        <w:rPr>
          <w:rStyle w:val="49"/>
          <w:rFonts w:hint="eastAsia" w:ascii="Times New Roman" w:hAnsi="Times New Roman" w:cs="宋体"/>
          <w:b/>
          <w:bCs/>
          <w:sz w:val="24"/>
          <w:szCs w:val="24"/>
        </w:rPr>
        <w:t>4.3.1事故报告流程</w:t>
      </w:r>
      <w:bookmarkEnd w:id="196"/>
      <w:bookmarkEnd w:id="197"/>
      <w:bookmarkEnd w:id="198"/>
      <w:bookmarkEnd w:id="199"/>
      <w:bookmarkEnd w:id="200"/>
    </w:p>
    <w:p>
      <w:r>
        <w:pict>
          <v:rect id="矩形 201" o:spid="_x0000_s1057" o:spt="1" style="position:absolute;left:0pt;margin-left:367.5pt;margin-top:6.7pt;height:23.5pt;width:89pt;z-index:251728896;mso-width-relative:page;mso-height-relative:page;" stroked="t" coordsize="21600,21600" o:gfxdata="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KqXXdkAAAAJAQAADwAAAAAAAAABACAAAAAiAAAAZHJzL2Rvd25yZXYueG1s&#10;UEsBAhQAFAAAAAgAh07iQBvK40z3AQAA7AMAAA4AAAAAAAAAAQAgAAAAKAEAAGRycy9lMm9Eb2Mu&#10;eG1sUEsFBgAAAAAGAAYAWQEAAJEFAAAAAA==&#10;">
            <v:path/>
            <v:fill focussize="0,0"/>
            <v:stroke color="#4472C4"/>
            <v:imagedata o:title=""/>
            <o:lock v:ext="edit"/>
            <v:textbox>
              <w:txbxContent>
                <w:p>
                  <w:pPr>
                    <w:jc w:val="center"/>
                    <w:rPr>
                      <w:rFonts w:cs="宋体"/>
                      <w:sz w:val="24"/>
                      <w:szCs w:val="24"/>
                    </w:rPr>
                  </w:pPr>
                  <w:r>
                    <w:rPr>
                      <w:rFonts w:hint="eastAsia" w:cs="宋体"/>
                      <w:sz w:val="24"/>
                      <w:szCs w:val="24"/>
                    </w:rPr>
                    <w:t>应急管理局</w:t>
                  </w:r>
                </w:p>
              </w:txbxContent>
            </v:textbox>
          </v:rect>
        </w:pict>
      </w:r>
      <w:r>
        <w:pict>
          <v:rect id="矩形 200" o:spid="_x0000_s1056" o:spt="1" style="position:absolute;left:0pt;margin-left:244.5pt;margin-top:6.2pt;height:23.5pt;width:89pt;z-index:251727872;mso-width-relative:page;mso-height-relative:page;" stroked="t" coordsize="21600,21600" o:gfxdata="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QDcqvZAAAACQEAAA8AAAAAAAAAAQAgAAAAIgAAAGRycy9kb3ducmV2Lnht&#10;bFBLAQIUABQAAAAIAIdO4kApdvD7+AEAAOwDAAAOAAAAAAAAAAEAIAAAACgBAABkcnMvZTJvRG9j&#10;LnhtbFBLBQYAAAAABgAGAFkBAACSBQAAAAA=&#10;">
            <v:path/>
            <v:fill focussize="0,0"/>
            <v:stroke color="#4472C4"/>
            <v:imagedata o:title=""/>
            <o:lock v:ext="edit"/>
            <v:textbox>
              <w:txbxContent>
                <w:p>
                  <w:pPr>
                    <w:jc w:val="center"/>
                    <w:rPr>
                      <w:rFonts w:cs="宋体"/>
                      <w:sz w:val="24"/>
                      <w:szCs w:val="24"/>
                    </w:rPr>
                  </w:pPr>
                  <w:r>
                    <w:rPr>
                      <w:rFonts w:hint="eastAsia" w:cs="宋体"/>
                      <w:sz w:val="24"/>
                      <w:szCs w:val="24"/>
                    </w:rPr>
                    <w:t>加油站站长</w:t>
                  </w:r>
                </w:p>
              </w:txbxContent>
            </v:textbox>
          </v:rect>
        </w:pict>
      </w:r>
      <w:r>
        <w:pict>
          <v:rect id="矩形 199" o:spid="_x0000_s1055" o:spt="1" style="position:absolute;left:0pt;margin-left:125pt;margin-top:5.7pt;height:23.5pt;width:89pt;z-index:251726848;mso-width-relative:page;mso-height-relative:page;" stroked="t" coordsize="21600,21600" o:gfxdata="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jfWrLYAAAACQEAAA8AAAAAAAAAAQAgAAAAIgAAAGRycy9kb3ducmV2Lnht&#10;bFBLAQIUABQAAAAIAIdO4kDsUd2W+QEAAOwDAAAOAAAAAAAAAAEAIAAAACcBAABkcnMvZTJvRG9j&#10;LnhtbFBLBQYAAAAABgAGAFkBAACSBQAAAAA=&#10;">
            <v:path/>
            <v:fill focussize="0,0"/>
            <v:stroke color="#4472C4"/>
            <v:imagedata o:title=""/>
            <o:lock v:ext="edit"/>
            <v:textbox>
              <w:txbxContent>
                <w:p>
                  <w:pPr>
                    <w:jc w:val="center"/>
                    <w:rPr>
                      <w:rFonts w:cs="宋体"/>
                      <w:sz w:val="24"/>
                      <w:szCs w:val="24"/>
                    </w:rPr>
                  </w:pPr>
                  <w:r>
                    <w:rPr>
                      <w:rFonts w:hint="eastAsia" w:cs="宋体"/>
                      <w:sz w:val="24"/>
                      <w:szCs w:val="24"/>
                    </w:rPr>
                    <w:t>安全管理人员</w:t>
                  </w:r>
                </w:p>
              </w:txbxContent>
            </v:textbox>
          </v:rect>
        </w:pict>
      </w:r>
      <w:r>
        <w:pict>
          <v:rect id="矩形 197" o:spid="_x0000_s1054" o:spt="1" style="position:absolute;left:0pt;margin-left:3.5pt;margin-top:5.7pt;height:23.5pt;width:89pt;z-index:251724800;mso-width-relative:page;mso-height-relative:page;" stroked="t" coordsize="21600,21600" o:gfxdata="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gY1XjXAAAABwEAAA8AAAAAAAAAAQAgAAAAIgAAAGRycy9kb3ducmV2Lnht&#10;bFBLAQIUABQAAAAIAIdO4kDnBfzD+gEAAOwDAAAOAAAAAAAAAAEAIAAAACYBAABkcnMvZTJvRG9j&#10;LnhtbFBLBQYAAAAABgAGAFkBAACSBQAAAAA=&#10;">
            <v:path/>
            <v:fill focussize="0,0"/>
            <v:stroke color="#4472C4"/>
            <v:imagedata o:title=""/>
            <o:lock v:ext="edit"/>
            <v:textbox>
              <w:txbxContent>
                <w:p>
                  <w:pPr>
                    <w:jc w:val="center"/>
                    <w:rPr>
                      <w:rFonts w:cs="宋体"/>
                      <w:sz w:val="24"/>
                      <w:szCs w:val="24"/>
                    </w:rPr>
                  </w:pPr>
                  <w:r>
                    <w:rPr>
                      <w:rFonts w:hint="eastAsia" w:cs="宋体"/>
                      <w:sz w:val="24"/>
                      <w:szCs w:val="24"/>
                    </w:rPr>
                    <w:t>现场发现人员</w:t>
                  </w:r>
                </w:p>
              </w:txbxContent>
            </v:textbox>
          </v:rect>
        </w:pict>
      </w:r>
    </w:p>
    <w:p>
      <w:pPr>
        <w:pStyle w:val="37"/>
      </w:pPr>
      <w:r>
        <w:pict>
          <v:shape id="自选图形 203" o:spid="_x0000_s1053" o:spt="32" type="#_x0000_t32" style="position:absolute;left:0pt;margin-left:339pt;margin-top:4.1pt;height:0pt;width:21.5pt;z-index:251730944;mso-width-relative:page;mso-height-relative:page;" filled="f" stroked="t" coordsize="21600,21600" o:gfxdata="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lhb/X1gAA&#10;AAcBAAAPAAAAAAAAAAEAIAAAACIAAABkcnMvZG93bnJldi54bWxQSwECFAAUAAAACACHTuJA+/FJ&#10;4ucBAACbAwAADgAAAAAAAAABACAAAAAlAQAAZHJzL2Uyb0RvYy54bWxQSwUGAAAAAAYABgBZAQAA&#10;fgUAAAAA&#10;">
            <v:path arrowok="t"/>
            <v:fill on="f" focussize="0,0"/>
            <v:stroke color="#4472C4" endarrow="block"/>
            <v:imagedata o:title=""/>
            <o:lock v:ext="edit"/>
          </v:shape>
        </w:pict>
      </w:r>
      <w:r>
        <w:pict>
          <v:shape id="自选图形 202" o:spid="_x0000_s1052" o:spt="32" type="#_x0000_t32" style="position:absolute;left:0pt;margin-left:217pt;margin-top:3.6pt;height:0pt;width:21.5pt;z-index:251729920;mso-width-relative:page;mso-height-relative:page;" filled="f" stroked="t" coordsize="21600,21600" o:gfxdata="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aPzD/XAAAA&#10;BwEAAA8AAAAAAAAAAQAgAAAAIgAAAGRycy9kb3ducmV2LnhtbFBLAQIUABQAAAAIAIdO4kDEuERJ&#10;5QEAAJsDAAAOAAAAAAAAAAEAIAAAACYBAABkcnMvZTJvRG9jLnhtbFBLBQYAAAAABgAGAFkBAAB9&#10;BQAAAAA=&#10;">
            <v:path arrowok="t"/>
            <v:fill on="f" focussize="0,0"/>
            <v:stroke color="#4472C4" endarrow="block"/>
            <v:imagedata o:title=""/>
            <o:lock v:ext="edit"/>
          </v:shape>
        </w:pict>
      </w:r>
      <w:r>
        <w:pict>
          <v:shape id="自选图形 198" o:spid="_x0000_s1051" o:spt="32" type="#_x0000_t32" style="position:absolute;left:0pt;margin-left:99pt;margin-top:2.1pt;height:0pt;width:21.5pt;z-index:251725824;mso-width-relative:page;mso-height-relative:page;" filled="f" stroked="t" coordsize="21600,21600" o:gfxdata="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3ZWzX1gAA&#10;AAcBAAAPAAAAAAAAAAEAIAAAACIAAABkcnMvZG93bnJldi54bWxQSwECFAAUAAAACACHTuJAXPX8&#10;XecBAACbAwAADgAAAAAAAAABACAAAAAlAQAAZHJzL2Uyb0RvYy54bWxQSwUGAAAAAAYABgBZAQAA&#10;fgUAAAAA&#10;">
            <v:path arrowok="t"/>
            <v:fill on="f" focussize="0,0"/>
            <v:stroke color="#4472C4" endarrow="block"/>
            <v:imagedata o:title=""/>
            <o:lock v:ext="edit"/>
          </v:shape>
        </w:pict>
      </w:r>
    </w:p>
    <w:p>
      <w:pPr>
        <w:pStyle w:val="37"/>
        <w:jc w:val="center"/>
        <w:rPr>
          <w:rFonts w:ascii="Times New Roman" w:eastAsia="宋体" w:cs="宋体"/>
          <w:b/>
          <w:sz w:val="24"/>
        </w:rPr>
      </w:pPr>
    </w:p>
    <w:p>
      <w:pPr>
        <w:pStyle w:val="37"/>
        <w:jc w:val="center"/>
        <w:rPr>
          <w:rFonts w:ascii="Times New Roman"/>
        </w:rPr>
      </w:pPr>
      <w:r>
        <w:rPr>
          <w:rFonts w:hint="eastAsia" w:ascii="Times New Roman" w:eastAsia="宋体" w:cs="宋体"/>
          <w:b/>
          <w:sz w:val="24"/>
        </w:rPr>
        <w:t>安全事故报告流程图</w:t>
      </w:r>
    </w:p>
    <w:p>
      <w:pPr>
        <w:pStyle w:val="5"/>
        <w:spacing w:before="0" w:after="0"/>
        <w:rPr>
          <w:rStyle w:val="49"/>
          <w:rFonts w:ascii="Times New Roman" w:hAnsi="Times New Roman" w:cs="宋体"/>
          <w:b/>
          <w:bCs/>
          <w:sz w:val="24"/>
          <w:szCs w:val="24"/>
        </w:rPr>
      </w:pPr>
      <w:bookmarkStart w:id="201" w:name="_Toc11068"/>
      <w:bookmarkEnd w:id="201"/>
      <w:bookmarkStart w:id="202" w:name="_Toc11707"/>
      <w:bookmarkStart w:id="203" w:name="_Toc11286"/>
      <w:bookmarkStart w:id="204" w:name="_Toc26978"/>
      <w:bookmarkStart w:id="205" w:name="_Toc5809"/>
      <w:bookmarkStart w:id="206" w:name="_Toc504989558"/>
      <w:r>
        <w:rPr>
          <w:rStyle w:val="49"/>
          <w:rFonts w:hint="eastAsia" w:ascii="Times New Roman" w:hAnsi="Times New Roman" w:cs="宋体"/>
          <w:b/>
          <w:bCs/>
          <w:sz w:val="24"/>
          <w:szCs w:val="24"/>
        </w:rPr>
        <w:t>4.3.2信息接收与通报</w:t>
      </w:r>
      <w:bookmarkEnd w:id="202"/>
      <w:bookmarkEnd w:id="203"/>
      <w:bookmarkEnd w:id="204"/>
      <w:bookmarkEnd w:id="205"/>
      <w:bookmarkEnd w:id="206"/>
    </w:p>
    <w:p>
      <w:pPr>
        <w:spacing w:line="360" w:lineRule="auto"/>
        <w:ind w:firstLine="480"/>
        <w:rPr>
          <w:rFonts w:ascii="宋体" w:hAnsi="宋体" w:cs="宋体"/>
          <w:sz w:val="28"/>
          <w:szCs w:val="28"/>
        </w:rPr>
      </w:pPr>
      <w:r>
        <w:rPr>
          <w:rFonts w:hint="eastAsia" w:ascii="宋体" w:hAnsi="宋体" w:cs="宋体"/>
          <w:sz w:val="28"/>
          <w:szCs w:val="28"/>
        </w:rPr>
        <w:t>1、吉运加油站24h应急值班电话：13990758830</w:t>
      </w:r>
    </w:p>
    <w:p>
      <w:pPr>
        <w:spacing w:line="360" w:lineRule="auto"/>
        <w:ind w:firstLine="480"/>
        <w:rPr>
          <w:rFonts w:ascii="宋体" w:hAnsi="宋体" w:cs="宋体"/>
          <w:sz w:val="28"/>
          <w:szCs w:val="28"/>
        </w:rPr>
      </w:pPr>
      <w:bookmarkStart w:id="207" w:name="OLE_LINK4"/>
      <w:bookmarkEnd w:id="207"/>
      <w:r>
        <w:rPr>
          <w:rFonts w:hint="eastAsia" w:ascii="宋体" w:hAnsi="宋体" w:cs="宋体"/>
          <w:sz w:val="28"/>
          <w:szCs w:val="28"/>
        </w:rPr>
        <w:t>2、事故信息接收</w:t>
      </w:r>
    </w:p>
    <w:p>
      <w:pPr>
        <w:spacing w:line="360" w:lineRule="auto"/>
        <w:ind w:firstLine="480"/>
        <w:rPr>
          <w:rFonts w:ascii="宋体" w:hAnsi="宋体" w:cs="宋体"/>
          <w:sz w:val="28"/>
          <w:szCs w:val="28"/>
        </w:rPr>
      </w:pPr>
      <w:r>
        <w:rPr>
          <w:rFonts w:hint="eastAsia" w:ascii="宋体" w:hAnsi="宋体" w:cs="宋体"/>
          <w:sz w:val="28"/>
          <w:szCs w:val="28"/>
        </w:rPr>
        <w:t>吉运加油站应急救援人员之间采用内部、外部电话（防爆区域内不得使用手机）或防爆对讲机进行联系，值班人员要在第一时间通知站长，汇报内容应包括以下但不仅限于以下内容：事故发生时间、具体部位、事故形式、波及范围等。站长根据事故类型启动相应应急处置措施，事故超出本站处理能力的，立即向上级部门求援。</w:t>
      </w:r>
    </w:p>
    <w:p>
      <w:pPr>
        <w:spacing w:line="360" w:lineRule="auto"/>
        <w:ind w:firstLine="480"/>
        <w:rPr>
          <w:rFonts w:ascii="宋体" w:hAnsi="宋体" w:cs="宋体"/>
          <w:sz w:val="28"/>
          <w:szCs w:val="28"/>
        </w:rPr>
      </w:pPr>
      <w:r>
        <w:rPr>
          <w:rFonts w:hint="eastAsia" w:ascii="宋体" w:hAnsi="宋体" w:cs="宋体"/>
          <w:sz w:val="28"/>
          <w:szCs w:val="28"/>
        </w:rPr>
        <w:t>3、通报程序</w:t>
      </w:r>
    </w:p>
    <w:p>
      <w:pPr>
        <w:spacing w:line="360" w:lineRule="auto"/>
        <w:ind w:firstLine="480"/>
        <w:rPr>
          <w:rFonts w:ascii="宋体" w:hAnsi="宋体" w:cs="宋体"/>
          <w:sz w:val="28"/>
          <w:szCs w:val="28"/>
        </w:rPr>
      </w:pPr>
      <w:r>
        <w:rPr>
          <w:rFonts w:hint="eastAsia" w:ascii="宋体" w:hAnsi="宋体" w:cs="宋体"/>
          <w:sz w:val="28"/>
          <w:szCs w:val="28"/>
        </w:rPr>
        <w:t>预警级别发布首先由站长依照生产安全事故不同类别制定的预案所确定的预警等级确定预警级别。</w:t>
      </w:r>
    </w:p>
    <w:p>
      <w:pPr>
        <w:spacing w:line="360" w:lineRule="auto"/>
        <w:ind w:firstLine="480"/>
        <w:rPr>
          <w:rFonts w:ascii="宋体" w:hAnsi="宋体" w:cs="宋体"/>
          <w:sz w:val="28"/>
          <w:szCs w:val="28"/>
        </w:rPr>
      </w:pPr>
      <w:r>
        <w:rPr>
          <w:rFonts w:hint="eastAsia" w:ascii="宋体" w:hAnsi="宋体" w:cs="宋体"/>
          <w:sz w:val="28"/>
          <w:szCs w:val="28"/>
        </w:rPr>
        <w:t>预警信息发布后，应急救援成员立即做出响应，进入相应的应急工作状态，并依据已发布的预警级别，适时启动相应的应急处置预案，履行各自所承担的职责。</w:t>
      </w:r>
    </w:p>
    <w:p>
      <w:pPr>
        <w:spacing w:line="360" w:lineRule="auto"/>
        <w:ind w:firstLine="480"/>
        <w:rPr>
          <w:rFonts w:ascii="宋体" w:hAnsi="宋体" w:cs="宋体"/>
          <w:sz w:val="28"/>
          <w:szCs w:val="28"/>
        </w:rPr>
      </w:pPr>
      <w:r>
        <w:rPr>
          <w:rFonts w:hint="eastAsia" w:ascii="宋体" w:hAnsi="宋体" w:cs="宋体"/>
          <w:sz w:val="28"/>
          <w:szCs w:val="28"/>
        </w:rPr>
        <w:t>本站人员和岗位配备了手机、24小时值守电话，以备应急通讯。</w:t>
      </w:r>
    </w:p>
    <w:p>
      <w:pPr>
        <w:pStyle w:val="5"/>
        <w:spacing w:before="0" w:after="0"/>
        <w:rPr>
          <w:rStyle w:val="49"/>
          <w:rFonts w:ascii="Times New Roman" w:hAnsi="Times New Roman" w:cs="宋体"/>
          <w:b/>
          <w:bCs/>
          <w:sz w:val="24"/>
          <w:szCs w:val="24"/>
        </w:rPr>
      </w:pPr>
      <w:bookmarkStart w:id="208" w:name="_Toc29881"/>
      <w:bookmarkEnd w:id="208"/>
      <w:bookmarkStart w:id="209" w:name="_Toc1941"/>
      <w:bookmarkStart w:id="210" w:name="_Toc2274"/>
      <w:bookmarkStart w:id="211" w:name="_Toc504989559"/>
      <w:bookmarkStart w:id="212" w:name="_Toc17029"/>
      <w:bookmarkStart w:id="213" w:name="_Toc7793"/>
      <w:r>
        <w:rPr>
          <w:rStyle w:val="49"/>
          <w:rFonts w:hint="eastAsia" w:ascii="Times New Roman" w:hAnsi="Times New Roman" w:cs="宋体"/>
          <w:b/>
          <w:bCs/>
          <w:sz w:val="24"/>
          <w:szCs w:val="24"/>
        </w:rPr>
        <w:t>4.3.3信息上报</w:t>
      </w:r>
      <w:bookmarkEnd w:id="209"/>
      <w:bookmarkEnd w:id="210"/>
      <w:bookmarkEnd w:id="211"/>
      <w:bookmarkEnd w:id="212"/>
      <w:bookmarkEnd w:id="213"/>
    </w:p>
    <w:p>
      <w:pPr>
        <w:spacing w:line="360" w:lineRule="auto"/>
        <w:ind w:firstLine="480"/>
        <w:rPr>
          <w:rFonts w:ascii="宋体" w:hAnsi="宋体" w:cs="宋体"/>
          <w:sz w:val="28"/>
          <w:szCs w:val="28"/>
        </w:rPr>
      </w:pPr>
      <w:bookmarkStart w:id="214" w:name="_Toc13403"/>
      <w:bookmarkEnd w:id="214"/>
      <w:bookmarkStart w:id="215" w:name="_Toc327344247"/>
      <w:bookmarkEnd w:id="215"/>
      <w:bookmarkStart w:id="216" w:name="_Toc341795280"/>
      <w:bookmarkEnd w:id="216"/>
      <w:bookmarkStart w:id="217" w:name="_Toc390156167"/>
      <w:bookmarkEnd w:id="217"/>
      <w:bookmarkStart w:id="218" w:name="_Toc28508"/>
      <w:r>
        <w:rPr>
          <w:rFonts w:hint="eastAsia" w:ascii="宋体" w:hAnsi="宋体" w:cs="宋体"/>
          <w:sz w:val="28"/>
          <w:szCs w:val="28"/>
        </w:rPr>
        <w:t>1、应急领导小组接到事故报告后，应立即启动相应应急预案，采取有效措施，积极抢救，防止事故扩大，减少人员伤亡和财产损失。发生应急响应等级为</w:t>
      </w:r>
      <w:bookmarkEnd w:id="218"/>
      <w:r>
        <w:rPr>
          <w:rFonts w:hint="eastAsia" w:ascii="宋体" w:hAnsi="宋体" w:cs="宋体"/>
          <w:sz w:val="28"/>
          <w:szCs w:val="28"/>
        </w:rPr>
        <w:t>I级的事故应该1h内向当地应急管理局和负有安全生产监督管理职责的有关部门（公安、环保等）报告。</w:t>
      </w:r>
    </w:p>
    <w:p>
      <w:pPr>
        <w:spacing w:line="360" w:lineRule="auto"/>
        <w:ind w:firstLine="480"/>
        <w:rPr>
          <w:rFonts w:ascii="宋体" w:hAnsi="宋体" w:cs="宋体"/>
          <w:sz w:val="28"/>
          <w:szCs w:val="28"/>
        </w:rPr>
      </w:pPr>
      <w:r>
        <w:rPr>
          <w:rFonts w:hint="eastAsia" w:ascii="宋体" w:hAnsi="宋体" w:cs="宋体"/>
          <w:sz w:val="28"/>
          <w:szCs w:val="28"/>
        </w:rPr>
        <w:t>2、报告事故应包括下列内容：</w:t>
      </w:r>
    </w:p>
    <w:p>
      <w:pPr>
        <w:spacing w:line="360" w:lineRule="auto"/>
        <w:ind w:firstLine="480"/>
        <w:rPr>
          <w:rFonts w:ascii="宋体" w:hAnsi="宋体" w:cs="宋体"/>
          <w:sz w:val="28"/>
          <w:szCs w:val="28"/>
        </w:rPr>
      </w:pPr>
      <w:r>
        <w:rPr>
          <w:rFonts w:hint="eastAsia" w:ascii="宋体" w:hAnsi="宋体" w:cs="宋体"/>
          <w:sz w:val="28"/>
          <w:szCs w:val="28"/>
        </w:rPr>
        <w:t>单位概况（当向除本站外的其他部门报告时需报告单位概况）；</w:t>
      </w:r>
    </w:p>
    <w:p>
      <w:pPr>
        <w:spacing w:line="360" w:lineRule="auto"/>
        <w:ind w:firstLine="480"/>
        <w:rPr>
          <w:rFonts w:ascii="宋体" w:hAnsi="宋体" w:cs="宋体"/>
          <w:sz w:val="28"/>
          <w:szCs w:val="28"/>
        </w:rPr>
      </w:pPr>
      <w:r>
        <w:rPr>
          <w:rFonts w:hint="eastAsia" w:ascii="宋体" w:hAnsi="宋体" w:cs="宋体"/>
          <w:sz w:val="28"/>
          <w:szCs w:val="28"/>
        </w:rPr>
        <w:t>事故发生时间、地点、事故类型以及事故现场情况；</w:t>
      </w:r>
    </w:p>
    <w:p>
      <w:pPr>
        <w:spacing w:line="360" w:lineRule="auto"/>
        <w:ind w:firstLine="480"/>
        <w:rPr>
          <w:rFonts w:ascii="宋体" w:hAnsi="宋体" w:cs="宋体"/>
          <w:sz w:val="28"/>
          <w:szCs w:val="28"/>
        </w:rPr>
      </w:pPr>
      <w:r>
        <w:rPr>
          <w:rFonts w:hint="eastAsia" w:ascii="宋体" w:hAnsi="宋体" w:cs="宋体"/>
          <w:sz w:val="28"/>
          <w:szCs w:val="28"/>
        </w:rPr>
        <w:t>事故发生的简要经过；</w:t>
      </w:r>
    </w:p>
    <w:p>
      <w:pPr>
        <w:spacing w:line="360" w:lineRule="auto"/>
        <w:ind w:firstLine="480"/>
        <w:rPr>
          <w:rFonts w:ascii="宋体" w:hAnsi="宋体" w:cs="宋体"/>
          <w:sz w:val="28"/>
          <w:szCs w:val="28"/>
        </w:rPr>
      </w:pPr>
      <w:r>
        <w:rPr>
          <w:rFonts w:hint="eastAsia" w:ascii="宋体" w:hAnsi="宋体" w:cs="宋体"/>
          <w:sz w:val="28"/>
          <w:szCs w:val="28"/>
        </w:rPr>
        <w:t>事故已造成的伤亡情况或者可能造成的伤亡人数（包括下落不明的人数）及事故直接经济损失的初步评估；</w:t>
      </w:r>
    </w:p>
    <w:p>
      <w:pPr>
        <w:spacing w:line="360" w:lineRule="auto"/>
        <w:ind w:firstLine="480"/>
        <w:rPr>
          <w:rFonts w:ascii="宋体" w:hAnsi="宋体" w:cs="宋体"/>
          <w:sz w:val="28"/>
          <w:szCs w:val="28"/>
        </w:rPr>
      </w:pPr>
      <w:r>
        <w:rPr>
          <w:rFonts w:hint="eastAsia" w:ascii="宋体" w:hAnsi="宋体" w:cs="宋体"/>
          <w:sz w:val="28"/>
          <w:szCs w:val="28"/>
        </w:rPr>
        <w:t>事故涉及的危险性质、数量；</w:t>
      </w:r>
    </w:p>
    <w:p>
      <w:pPr>
        <w:spacing w:line="360" w:lineRule="auto"/>
        <w:ind w:firstLine="480"/>
        <w:rPr>
          <w:rFonts w:ascii="宋体" w:hAnsi="宋体" w:cs="宋体"/>
          <w:sz w:val="28"/>
          <w:szCs w:val="28"/>
        </w:rPr>
      </w:pPr>
      <w:r>
        <w:rPr>
          <w:rFonts w:hint="eastAsia" w:ascii="宋体" w:hAnsi="宋体" w:cs="宋体"/>
          <w:sz w:val="28"/>
          <w:szCs w:val="28"/>
        </w:rPr>
        <w:t>事故发展趋势，可能影响的范围，现场人员和附近人员分布；</w:t>
      </w:r>
    </w:p>
    <w:p>
      <w:pPr>
        <w:spacing w:line="360" w:lineRule="auto"/>
        <w:ind w:firstLine="480"/>
        <w:rPr>
          <w:rFonts w:ascii="宋体" w:hAnsi="宋体" w:cs="宋体"/>
          <w:sz w:val="28"/>
          <w:szCs w:val="28"/>
        </w:rPr>
      </w:pPr>
      <w:r>
        <w:rPr>
          <w:rFonts w:hint="eastAsia" w:ascii="宋体" w:hAnsi="宋体" w:cs="宋体"/>
          <w:sz w:val="28"/>
          <w:szCs w:val="28"/>
        </w:rPr>
        <w:t>事故的初步原因判断；</w:t>
      </w:r>
    </w:p>
    <w:p>
      <w:pPr>
        <w:spacing w:line="360" w:lineRule="auto"/>
        <w:ind w:firstLine="480"/>
        <w:rPr>
          <w:rFonts w:ascii="宋体" w:hAnsi="宋体" w:cs="宋体"/>
          <w:sz w:val="28"/>
          <w:szCs w:val="28"/>
        </w:rPr>
      </w:pPr>
      <w:r>
        <w:rPr>
          <w:rFonts w:hint="eastAsia" w:ascii="宋体" w:hAnsi="宋体" w:cs="宋体"/>
          <w:sz w:val="28"/>
          <w:szCs w:val="28"/>
        </w:rPr>
        <w:t>已采取的应急抢救措施；</w:t>
      </w:r>
    </w:p>
    <w:p>
      <w:pPr>
        <w:spacing w:line="360" w:lineRule="auto"/>
        <w:ind w:firstLine="480"/>
        <w:rPr>
          <w:rFonts w:ascii="宋体" w:hAnsi="宋体" w:cs="宋体"/>
          <w:sz w:val="28"/>
          <w:szCs w:val="28"/>
        </w:rPr>
      </w:pPr>
      <w:r>
        <w:rPr>
          <w:rFonts w:hint="eastAsia" w:ascii="宋体" w:hAnsi="宋体" w:cs="宋体"/>
          <w:sz w:val="28"/>
          <w:szCs w:val="28"/>
        </w:rPr>
        <w:t>需要有关部门和单位协助救援抢险的事宜；</w:t>
      </w:r>
    </w:p>
    <w:p>
      <w:pPr>
        <w:spacing w:line="360" w:lineRule="auto"/>
        <w:ind w:firstLine="480"/>
        <w:rPr>
          <w:rFonts w:ascii="宋体" w:hAnsi="宋体" w:cs="宋体"/>
          <w:sz w:val="28"/>
          <w:szCs w:val="28"/>
        </w:rPr>
      </w:pPr>
      <w:r>
        <w:rPr>
          <w:rFonts w:hint="eastAsia" w:ascii="宋体" w:hAnsi="宋体" w:cs="宋体"/>
          <w:sz w:val="28"/>
          <w:szCs w:val="28"/>
        </w:rPr>
        <w:t>事故的报告时间、报告单位、报告人及电话联络方式；</w:t>
      </w:r>
    </w:p>
    <w:p>
      <w:pPr>
        <w:spacing w:line="360" w:lineRule="auto"/>
        <w:ind w:firstLine="480"/>
        <w:rPr>
          <w:rFonts w:ascii="宋体" w:hAnsi="宋体" w:cs="宋体"/>
          <w:sz w:val="28"/>
          <w:szCs w:val="28"/>
        </w:rPr>
      </w:pPr>
      <w:r>
        <w:rPr>
          <w:rFonts w:hint="eastAsia" w:ascii="宋体" w:hAnsi="宋体" w:cs="宋体"/>
          <w:sz w:val="28"/>
          <w:szCs w:val="28"/>
        </w:rPr>
        <w:t>其他应当报告的情况。</w:t>
      </w:r>
    </w:p>
    <w:p>
      <w:pPr>
        <w:spacing w:line="360" w:lineRule="auto"/>
        <w:ind w:firstLine="480"/>
        <w:rPr>
          <w:rFonts w:ascii="宋体" w:hAnsi="宋体" w:cs="宋体"/>
          <w:sz w:val="28"/>
          <w:szCs w:val="28"/>
        </w:rPr>
      </w:pPr>
      <w:r>
        <w:rPr>
          <w:rFonts w:hint="eastAsia" w:ascii="宋体" w:hAnsi="宋体" w:cs="宋体"/>
          <w:sz w:val="28"/>
          <w:szCs w:val="28"/>
        </w:rPr>
        <w:t>情况紧急时，事故现场有关人员可以直接向当地应急管理局和负有安全生产监督管理的有关部门报告。</w:t>
      </w:r>
    </w:p>
    <w:p>
      <w:pPr>
        <w:spacing w:line="360" w:lineRule="auto"/>
        <w:ind w:firstLine="480"/>
        <w:rPr>
          <w:rFonts w:ascii="宋体" w:hAnsi="宋体" w:cs="宋体"/>
          <w:sz w:val="28"/>
          <w:szCs w:val="28"/>
        </w:rPr>
      </w:pPr>
      <w:r>
        <w:rPr>
          <w:rFonts w:hint="eastAsia" w:ascii="宋体" w:hAnsi="宋体" w:cs="宋体"/>
          <w:sz w:val="28"/>
          <w:szCs w:val="28"/>
        </w:rPr>
        <w:t>当所发生的事故严重、扩散蔓延的范围等已超出本单位的自救能力，应向当地应急管理局、市应急管理局应急办及专业救援机构发出支援请求。发出请求支援的内容包括：发生事故的单位及详细地址，事故经过及类型，事故已造成的伤亡及财产损失，事故严重程度及波及范围，请求支援的资源及支援形式。</w:t>
      </w:r>
    </w:p>
    <w:p>
      <w:pPr>
        <w:spacing w:line="360" w:lineRule="auto"/>
        <w:ind w:firstLine="480"/>
        <w:rPr>
          <w:rFonts w:ascii="宋体" w:hAnsi="宋体" w:cs="宋体"/>
          <w:sz w:val="28"/>
          <w:szCs w:val="28"/>
        </w:rPr>
      </w:pPr>
      <w:r>
        <w:rPr>
          <w:rFonts w:hint="eastAsia" w:ascii="宋体" w:hAnsi="宋体" w:cs="宋体"/>
          <w:sz w:val="28"/>
          <w:szCs w:val="28"/>
        </w:rPr>
        <w:t>3、事故报告后出现新情况的，应当及时补报。</w:t>
      </w:r>
    </w:p>
    <w:p>
      <w:pPr>
        <w:spacing w:line="360" w:lineRule="auto"/>
        <w:ind w:firstLine="480"/>
        <w:rPr>
          <w:rFonts w:ascii="宋体" w:hAnsi="宋体" w:cs="宋体"/>
          <w:sz w:val="28"/>
          <w:szCs w:val="28"/>
        </w:rPr>
      </w:pPr>
      <w:r>
        <w:rPr>
          <w:rFonts w:hint="eastAsia" w:ascii="宋体" w:hAnsi="宋体" w:cs="宋体"/>
          <w:sz w:val="28"/>
          <w:szCs w:val="28"/>
        </w:rPr>
        <w:t>自事故发生之日起30日内，事故造成的伤亡人数发生变化的，应当及时补报。道路交通事故、火灾事故自发生之日起7日内，事故造成的伤亡人数发生变化的，应当及时补报。</w:t>
      </w:r>
    </w:p>
    <w:p>
      <w:pPr>
        <w:pStyle w:val="5"/>
        <w:spacing w:before="0" w:after="0"/>
        <w:rPr>
          <w:rStyle w:val="49"/>
          <w:rFonts w:ascii="Times New Roman" w:hAnsi="Times New Roman" w:cs="宋体"/>
          <w:b/>
          <w:bCs/>
          <w:sz w:val="24"/>
          <w:szCs w:val="24"/>
        </w:rPr>
      </w:pPr>
      <w:bookmarkStart w:id="219" w:name="_Toc504989560"/>
      <w:bookmarkEnd w:id="219"/>
      <w:bookmarkStart w:id="220" w:name="_Toc8549"/>
      <w:bookmarkStart w:id="221" w:name="_Toc22133"/>
      <w:bookmarkStart w:id="222" w:name="_Toc12883"/>
      <w:bookmarkStart w:id="223" w:name="_Toc24973"/>
      <w:r>
        <w:rPr>
          <w:rStyle w:val="49"/>
          <w:rFonts w:hint="eastAsia" w:ascii="Times New Roman" w:hAnsi="Times New Roman" w:cs="宋体"/>
          <w:b/>
          <w:bCs/>
          <w:sz w:val="24"/>
          <w:szCs w:val="24"/>
        </w:rPr>
        <w:t>4.3.4信息传递</w:t>
      </w:r>
      <w:bookmarkEnd w:id="220"/>
      <w:bookmarkEnd w:id="221"/>
      <w:bookmarkEnd w:id="222"/>
      <w:bookmarkEnd w:id="223"/>
    </w:p>
    <w:p>
      <w:pPr>
        <w:spacing w:line="360" w:lineRule="auto"/>
        <w:ind w:firstLine="480"/>
        <w:rPr>
          <w:rFonts w:ascii="宋体" w:hAnsi="宋体" w:cs="宋体"/>
          <w:sz w:val="28"/>
          <w:szCs w:val="28"/>
        </w:rPr>
      </w:pPr>
      <w:r>
        <w:rPr>
          <w:rFonts w:hint="eastAsia" w:ascii="宋体" w:hAnsi="宋体" w:cs="宋体"/>
          <w:sz w:val="28"/>
          <w:szCs w:val="28"/>
        </w:rPr>
        <w:t>1、传递的对象</w:t>
      </w:r>
    </w:p>
    <w:p>
      <w:pPr>
        <w:spacing w:line="360" w:lineRule="auto"/>
        <w:ind w:firstLine="480"/>
        <w:rPr>
          <w:rFonts w:ascii="宋体" w:hAnsi="宋体" w:cs="宋体"/>
          <w:sz w:val="28"/>
          <w:szCs w:val="28"/>
        </w:rPr>
      </w:pPr>
      <w:r>
        <w:rPr>
          <w:rFonts w:hint="eastAsia" w:ascii="宋体" w:hAnsi="宋体" w:cs="宋体"/>
          <w:sz w:val="28"/>
          <w:szCs w:val="28"/>
        </w:rPr>
        <w:t>信息传递的对象包括：未参与事故救援的人员、可能会受事故影响的周边企业、新闻媒体等。</w:t>
      </w:r>
    </w:p>
    <w:p>
      <w:pPr>
        <w:spacing w:line="360" w:lineRule="auto"/>
        <w:ind w:firstLine="480"/>
        <w:rPr>
          <w:rFonts w:ascii="宋体" w:hAnsi="宋体" w:cs="宋体"/>
          <w:sz w:val="28"/>
          <w:szCs w:val="28"/>
        </w:rPr>
      </w:pPr>
      <w:r>
        <w:rPr>
          <w:rFonts w:hint="eastAsia" w:ascii="宋体" w:hAnsi="宋体" w:cs="宋体"/>
          <w:sz w:val="28"/>
          <w:szCs w:val="28"/>
        </w:rPr>
        <w:t>2、传递的方法</w:t>
      </w:r>
    </w:p>
    <w:p>
      <w:pPr>
        <w:spacing w:line="360" w:lineRule="auto"/>
        <w:ind w:firstLine="480"/>
        <w:rPr>
          <w:rFonts w:ascii="宋体" w:hAnsi="宋体" w:cs="宋体"/>
          <w:sz w:val="28"/>
          <w:szCs w:val="28"/>
        </w:rPr>
      </w:pPr>
      <w:r>
        <w:rPr>
          <w:rFonts w:hint="eastAsia" w:ascii="宋体" w:hAnsi="宋体" w:cs="宋体"/>
          <w:sz w:val="28"/>
          <w:szCs w:val="28"/>
        </w:rPr>
        <w:t>信息传递的方法可以是警报器、喊话器、电话、人工呼喊等。应确保信息所传递对象能及时、清楚地听到事故警报或通知，得以迅速撤离或采取相关应急措施。</w:t>
      </w:r>
    </w:p>
    <w:p>
      <w:pPr>
        <w:spacing w:line="360" w:lineRule="auto"/>
        <w:ind w:firstLine="480"/>
        <w:rPr>
          <w:rFonts w:ascii="宋体" w:hAnsi="宋体" w:cs="宋体"/>
          <w:sz w:val="28"/>
          <w:szCs w:val="28"/>
        </w:rPr>
      </w:pPr>
      <w:r>
        <w:rPr>
          <w:rFonts w:hint="eastAsia" w:ascii="宋体" w:hAnsi="宋体" w:cs="宋体"/>
          <w:sz w:val="28"/>
          <w:szCs w:val="28"/>
        </w:rPr>
        <w:t>3、新闻媒体通报</w:t>
      </w:r>
    </w:p>
    <w:p>
      <w:pPr>
        <w:spacing w:line="360" w:lineRule="auto"/>
        <w:ind w:firstLine="480"/>
        <w:rPr>
          <w:rFonts w:ascii="宋体" w:hAnsi="宋体" w:cs="宋体"/>
          <w:sz w:val="28"/>
          <w:szCs w:val="28"/>
        </w:rPr>
      </w:pPr>
      <w:r>
        <w:rPr>
          <w:rFonts w:hint="eastAsia" w:ascii="宋体" w:hAnsi="宋体" w:cs="宋体"/>
          <w:sz w:val="28"/>
          <w:szCs w:val="28"/>
        </w:rPr>
        <w:t>站长全权负责向有关新闻媒体发布事故有关信息，必要时可邀请媒体人或召开新闻发布会进行通报。</w:t>
      </w:r>
    </w:p>
    <w:p>
      <w:pPr>
        <w:pStyle w:val="3"/>
        <w:rPr>
          <w:rFonts w:eastAsia="宋体" w:cs="宋体"/>
        </w:rPr>
      </w:pPr>
      <w:bookmarkStart w:id="224" w:name="_Toc12374"/>
      <w:bookmarkEnd w:id="224"/>
      <w:bookmarkStart w:id="225" w:name="_Toc504989561"/>
      <w:bookmarkStart w:id="226" w:name="_Toc25926"/>
      <w:bookmarkStart w:id="227" w:name="_Toc29210"/>
      <w:bookmarkStart w:id="228" w:name="_Toc14083"/>
      <w:bookmarkStart w:id="229" w:name="_Toc28595"/>
      <w:r>
        <w:rPr>
          <w:rFonts w:hint="eastAsia" w:eastAsia="宋体" w:cs="宋体"/>
        </w:rPr>
        <w:t>第五章 应急响应</w:t>
      </w:r>
      <w:bookmarkEnd w:id="225"/>
      <w:bookmarkEnd w:id="226"/>
      <w:bookmarkEnd w:id="227"/>
      <w:bookmarkEnd w:id="228"/>
      <w:bookmarkEnd w:id="229"/>
    </w:p>
    <w:p>
      <w:pPr>
        <w:pStyle w:val="4"/>
        <w:spacing w:before="0" w:after="0"/>
        <w:rPr>
          <w:rStyle w:val="51"/>
          <w:rFonts w:hint="default" w:ascii="Times New Roman" w:hAnsi="Times New Roman" w:cs="宋体"/>
          <w:b/>
          <w:bCs/>
          <w:sz w:val="24"/>
          <w:szCs w:val="24"/>
        </w:rPr>
      </w:pPr>
      <w:bookmarkStart w:id="230" w:name="_Toc7727"/>
      <w:bookmarkEnd w:id="230"/>
      <w:bookmarkStart w:id="231" w:name="_Toc504989562"/>
      <w:bookmarkStart w:id="232" w:name="_Toc8530"/>
      <w:bookmarkStart w:id="233" w:name="_Toc14414"/>
      <w:bookmarkStart w:id="234" w:name="_Toc9301"/>
      <w:bookmarkStart w:id="235" w:name="_Toc14653"/>
      <w:r>
        <w:rPr>
          <w:rStyle w:val="51"/>
          <w:rFonts w:hint="default" w:ascii="Times New Roman" w:hAnsi="Times New Roman" w:cs="宋体"/>
          <w:b/>
          <w:bCs/>
          <w:sz w:val="24"/>
          <w:szCs w:val="24"/>
        </w:rPr>
        <w:t>5.1响应分级</w:t>
      </w:r>
      <w:bookmarkEnd w:id="231"/>
      <w:bookmarkEnd w:id="232"/>
      <w:bookmarkEnd w:id="233"/>
      <w:bookmarkEnd w:id="234"/>
      <w:bookmarkEnd w:id="235"/>
    </w:p>
    <w:p>
      <w:pPr>
        <w:pStyle w:val="5"/>
        <w:spacing w:before="0" w:after="0"/>
        <w:rPr>
          <w:rStyle w:val="49"/>
          <w:rFonts w:ascii="Times New Roman" w:hAnsi="Times New Roman" w:cs="宋体"/>
          <w:b/>
          <w:bCs/>
          <w:sz w:val="24"/>
          <w:szCs w:val="24"/>
        </w:rPr>
      </w:pPr>
      <w:bookmarkStart w:id="236" w:name="_Toc14325"/>
      <w:bookmarkEnd w:id="236"/>
      <w:bookmarkStart w:id="237" w:name="_Toc255133905"/>
      <w:bookmarkEnd w:id="237"/>
      <w:bookmarkStart w:id="238" w:name="_Toc7640"/>
      <w:bookmarkEnd w:id="238"/>
      <w:bookmarkStart w:id="239" w:name="_Toc504989563"/>
      <w:bookmarkStart w:id="240" w:name="_Toc1618"/>
      <w:bookmarkStart w:id="241" w:name="_Toc17524"/>
      <w:bookmarkStart w:id="242" w:name="_Toc17196"/>
      <w:bookmarkStart w:id="243" w:name="_Toc20826"/>
      <w:r>
        <w:rPr>
          <w:rStyle w:val="49"/>
          <w:rFonts w:hint="eastAsia" w:ascii="Times New Roman" w:hAnsi="Times New Roman" w:cs="宋体"/>
          <w:b/>
          <w:bCs/>
          <w:sz w:val="24"/>
          <w:szCs w:val="24"/>
        </w:rPr>
        <w:t>5.1.1分级</w:t>
      </w:r>
      <w:bookmarkEnd w:id="239"/>
      <w:bookmarkEnd w:id="240"/>
      <w:bookmarkEnd w:id="241"/>
      <w:bookmarkEnd w:id="242"/>
      <w:bookmarkEnd w:id="243"/>
    </w:p>
    <w:p>
      <w:pPr>
        <w:spacing w:line="360" w:lineRule="auto"/>
        <w:ind w:firstLine="480"/>
        <w:rPr>
          <w:rFonts w:ascii="宋体" w:hAnsi="宋体" w:cs="宋体"/>
          <w:sz w:val="28"/>
          <w:szCs w:val="28"/>
        </w:rPr>
      </w:pPr>
      <w:r>
        <w:rPr>
          <w:rFonts w:hint="eastAsia" w:ascii="宋体" w:hAnsi="宋体" w:cs="宋体"/>
          <w:sz w:val="28"/>
          <w:szCs w:val="28"/>
        </w:rPr>
        <w:t>根据《生产安全事故报告和调查处理条例》中按照生产安全事故造成的人员伤亡或者直接经济损失，事故一般分为以下等级：</w:t>
      </w:r>
    </w:p>
    <w:p>
      <w:pPr>
        <w:spacing w:line="360" w:lineRule="auto"/>
        <w:ind w:firstLine="480"/>
        <w:rPr>
          <w:rFonts w:ascii="宋体" w:hAnsi="宋体" w:cs="宋体"/>
          <w:sz w:val="28"/>
          <w:szCs w:val="28"/>
        </w:rPr>
      </w:pPr>
      <w:r>
        <w:fldChar w:fldCharType="begin"/>
      </w:r>
      <w:r>
        <w:instrText xml:space="preserve"> HYPERLINK "http://baike.so.com/doc/5578876.html" </w:instrText>
      </w:r>
      <w:r>
        <w:fldChar w:fldCharType="separate"/>
      </w:r>
      <w:r>
        <w:rPr>
          <w:rFonts w:hint="eastAsia" w:ascii="宋体" w:hAnsi="宋体" w:cs="宋体"/>
          <w:sz w:val="28"/>
          <w:szCs w:val="28"/>
        </w:rPr>
        <w:t>特别重大事故</w:t>
      </w:r>
      <w:r>
        <w:rPr>
          <w:rFonts w:hint="eastAsia" w:ascii="宋体" w:hAnsi="宋体" w:cs="宋体"/>
          <w:sz w:val="28"/>
          <w:szCs w:val="28"/>
        </w:rPr>
        <w:fldChar w:fldCharType="end"/>
      </w:r>
      <w:r>
        <w:rPr>
          <w:rFonts w:hint="eastAsia" w:ascii="宋体" w:hAnsi="宋体" w:cs="宋体"/>
          <w:sz w:val="28"/>
          <w:szCs w:val="28"/>
        </w:rPr>
        <w:t>，是指造成30人以上死亡，或者100人以上重伤（包括急性工业中毒，下同），或者1亿元以上直接经济损失的事故；</w:t>
      </w:r>
    </w:p>
    <w:p>
      <w:pPr>
        <w:spacing w:line="360" w:lineRule="auto"/>
        <w:ind w:firstLine="480"/>
        <w:rPr>
          <w:rFonts w:ascii="宋体" w:hAnsi="宋体" w:cs="宋体"/>
          <w:sz w:val="28"/>
          <w:szCs w:val="28"/>
        </w:rPr>
      </w:pPr>
      <w:r>
        <w:rPr>
          <w:rFonts w:hint="eastAsia" w:ascii="宋体" w:hAnsi="宋体" w:cs="宋体"/>
          <w:sz w:val="28"/>
          <w:szCs w:val="28"/>
        </w:rPr>
        <w:t>重大事故，是指造成10人以上30人以下死亡，或者50人以上100人以下重伤，或者</w:t>
      </w:r>
      <w:r>
        <w:fldChar w:fldCharType="begin"/>
      </w:r>
      <w:r>
        <w:instrText xml:space="preserve"> HYPERLINK "http://baike.so.com/doc/1148897.html" </w:instrText>
      </w:r>
      <w:r>
        <w:fldChar w:fldCharType="separate"/>
      </w:r>
      <w:r>
        <w:rPr>
          <w:rFonts w:hint="eastAsia" w:ascii="宋体" w:hAnsi="宋体" w:cs="宋体"/>
          <w:sz w:val="28"/>
          <w:szCs w:val="28"/>
        </w:rPr>
        <w:t>5000</w:t>
      </w:r>
      <w:r>
        <w:rPr>
          <w:rFonts w:hint="eastAsia" w:ascii="宋体" w:hAnsi="宋体" w:cs="宋体"/>
          <w:sz w:val="28"/>
          <w:szCs w:val="28"/>
        </w:rPr>
        <w:fldChar w:fldCharType="end"/>
      </w:r>
      <w:r>
        <w:rPr>
          <w:rFonts w:hint="eastAsia" w:ascii="宋体" w:hAnsi="宋体" w:cs="宋体"/>
          <w:sz w:val="28"/>
          <w:szCs w:val="28"/>
        </w:rPr>
        <w:t>万元以上1亿元以下直接经济损失的</w:t>
      </w:r>
      <w:r>
        <w:fldChar w:fldCharType="begin"/>
      </w:r>
      <w:r>
        <w:instrText xml:space="preserve"> HYPERLINK "http://baike.so.com/doc/110095.html" </w:instrText>
      </w:r>
      <w:r>
        <w:fldChar w:fldCharType="separate"/>
      </w:r>
      <w:r>
        <w:rPr>
          <w:rFonts w:hint="eastAsia" w:ascii="宋体" w:hAnsi="宋体" w:cs="宋体"/>
          <w:sz w:val="28"/>
          <w:szCs w:val="28"/>
        </w:rPr>
        <w:t>事故</w:t>
      </w:r>
      <w:r>
        <w:rPr>
          <w:rFonts w:hint="eastAsia" w:ascii="宋体" w:hAnsi="宋体" w:cs="宋体"/>
          <w:sz w:val="28"/>
          <w:szCs w:val="28"/>
        </w:rPr>
        <w:fldChar w:fldCharType="end"/>
      </w:r>
      <w:r>
        <w:rPr>
          <w:rFonts w:hint="eastAsia" w:ascii="宋体" w:hAnsi="宋体" w:cs="宋体"/>
          <w:sz w:val="28"/>
          <w:szCs w:val="28"/>
        </w:rPr>
        <w:t>；</w:t>
      </w:r>
    </w:p>
    <w:p>
      <w:pPr>
        <w:spacing w:line="360" w:lineRule="auto"/>
        <w:ind w:firstLine="480"/>
        <w:rPr>
          <w:rFonts w:ascii="宋体" w:hAnsi="宋体" w:cs="宋体"/>
          <w:sz w:val="28"/>
          <w:szCs w:val="28"/>
        </w:rPr>
      </w:pPr>
      <w:r>
        <w:rPr>
          <w:rFonts w:hint="eastAsia" w:ascii="宋体" w:hAnsi="宋体" w:cs="宋体"/>
          <w:sz w:val="28"/>
          <w:szCs w:val="28"/>
        </w:rPr>
        <w:t>较大事故，是指造成3人以上10人以下死亡，或者10人以上50人以下重伤，或者1000万元以上5000万元以下直接经济损失的事故；</w:t>
      </w:r>
    </w:p>
    <w:p>
      <w:pPr>
        <w:spacing w:line="360" w:lineRule="auto"/>
        <w:ind w:firstLine="480"/>
        <w:rPr>
          <w:rFonts w:ascii="宋体" w:hAnsi="宋体" w:cs="宋体"/>
          <w:sz w:val="28"/>
          <w:szCs w:val="28"/>
        </w:rPr>
      </w:pPr>
      <w:r>
        <w:rPr>
          <w:rFonts w:hint="eastAsia" w:ascii="宋体" w:hAnsi="宋体" w:cs="宋体"/>
          <w:sz w:val="28"/>
          <w:szCs w:val="28"/>
        </w:rPr>
        <w:t>一般事故，是指造成3人以下死亡，或者10人以下重伤，或者1000万元以下直接经济损失的事故。</w:t>
      </w:r>
    </w:p>
    <w:p>
      <w:pPr>
        <w:spacing w:line="360" w:lineRule="auto"/>
        <w:ind w:firstLine="480"/>
        <w:rPr>
          <w:rFonts w:ascii="宋体" w:hAnsi="宋体" w:cs="宋体"/>
          <w:sz w:val="28"/>
          <w:szCs w:val="28"/>
        </w:rPr>
      </w:pPr>
      <w:r>
        <w:rPr>
          <w:rFonts w:hint="eastAsia" w:ascii="宋体" w:hAnsi="宋体" w:cs="宋体"/>
          <w:sz w:val="28"/>
          <w:szCs w:val="28"/>
        </w:rPr>
        <w:t>针对事故危害程度、影响范围和吉运加油站控制事态的能力，结合《生产安全事故报告和调查处理条例》，按照人员伤亡和直接经济损失，吉运加油站的生产安全事故简单划分为以下几个等级：</w:t>
      </w:r>
    </w:p>
    <w:p>
      <w:pPr>
        <w:spacing w:line="360" w:lineRule="auto"/>
        <w:ind w:firstLine="480"/>
        <w:rPr>
          <w:rFonts w:ascii="宋体" w:hAnsi="宋体" w:cs="宋体"/>
          <w:sz w:val="28"/>
          <w:szCs w:val="28"/>
        </w:rPr>
      </w:pPr>
      <w:r>
        <w:rPr>
          <w:rFonts w:hint="eastAsia" w:ascii="宋体" w:hAnsi="宋体" w:cs="宋体"/>
          <w:sz w:val="28"/>
          <w:szCs w:val="28"/>
        </w:rPr>
        <w:t>1）严重事故：造成1人以上死亡或重伤的事故，或者造成20 万元以上经济损失的事故。</w:t>
      </w:r>
    </w:p>
    <w:p>
      <w:pPr>
        <w:spacing w:line="360" w:lineRule="auto"/>
        <w:ind w:firstLine="480"/>
        <w:rPr>
          <w:rFonts w:ascii="宋体" w:hAnsi="宋体" w:cs="宋体"/>
          <w:sz w:val="28"/>
          <w:szCs w:val="28"/>
        </w:rPr>
      </w:pPr>
      <w:r>
        <w:rPr>
          <w:rFonts w:hint="eastAsia" w:ascii="宋体" w:hAnsi="宋体" w:cs="宋体"/>
          <w:sz w:val="28"/>
          <w:szCs w:val="28"/>
        </w:rPr>
        <w:t>2）较大事故：无人员重伤或死亡，2人轻伤的；或者造成10万元以上，20万元以下经济损失的事故。</w:t>
      </w:r>
    </w:p>
    <w:p>
      <w:pPr>
        <w:spacing w:line="360" w:lineRule="auto"/>
        <w:ind w:firstLine="480"/>
        <w:rPr>
          <w:rFonts w:ascii="宋体" w:hAnsi="宋体" w:cs="宋体"/>
          <w:sz w:val="28"/>
          <w:szCs w:val="28"/>
        </w:rPr>
      </w:pPr>
      <w:r>
        <w:rPr>
          <w:rFonts w:hint="eastAsia" w:ascii="宋体" w:hAnsi="宋体" w:cs="宋体"/>
          <w:sz w:val="28"/>
          <w:szCs w:val="28"/>
        </w:rPr>
        <w:t>3）一般事故：无人员重伤或死亡，2人以下轻伤的；或者造成10万元以下经济损失的事故。</w:t>
      </w:r>
    </w:p>
    <w:p>
      <w:pPr>
        <w:spacing w:line="360" w:lineRule="auto"/>
        <w:ind w:firstLine="480"/>
        <w:rPr>
          <w:rFonts w:ascii="宋体" w:hAnsi="宋体" w:cs="宋体"/>
          <w:sz w:val="28"/>
          <w:szCs w:val="28"/>
        </w:rPr>
      </w:pPr>
      <w:r>
        <w:rPr>
          <w:rFonts w:hint="eastAsia" w:ascii="宋体" w:hAnsi="宋体" w:cs="宋体"/>
          <w:sz w:val="28"/>
          <w:szCs w:val="28"/>
        </w:rPr>
        <w:t>注：上述“以上”含本数，如“n人以上死亡”，指含“n人及以上的死亡”。</w:t>
      </w:r>
    </w:p>
    <w:p>
      <w:pPr>
        <w:spacing w:line="360" w:lineRule="auto"/>
        <w:ind w:firstLine="480"/>
        <w:rPr>
          <w:rFonts w:ascii="宋体" w:hAnsi="宋体" w:cs="宋体"/>
          <w:sz w:val="28"/>
          <w:szCs w:val="28"/>
        </w:rPr>
      </w:pPr>
      <w:r>
        <w:rPr>
          <w:rFonts w:hint="eastAsia" w:ascii="宋体" w:hAnsi="宋体" w:cs="宋体"/>
          <w:sz w:val="28"/>
          <w:szCs w:val="28"/>
        </w:rPr>
        <w:t>根据《生产安全事故报告和调查处理条例》和吉运加油站事故分级情况，吉运加油站根据自身人员情况按生产安全事故的可控性、严重程度和影响范围及应急预案的启动要求等，将应急响应分三级。按照分级负责的原则，明确应急响应级别。生产安全事故应急响应坚持属地为主的原则，各应急救救援队伍按照有关规定全面负责生产安全事故应急处置、协调、支援工作。</w:t>
      </w:r>
    </w:p>
    <w:p>
      <w:pPr>
        <w:spacing w:line="360" w:lineRule="auto"/>
        <w:ind w:firstLine="480"/>
        <w:rPr>
          <w:rFonts w:ascii="宋体" w:hAnsi="宋体" w:cs="宋体"/>
          <w:sz w:val="28"/>
          <w:szCs w:val="28"/>
        </w:rPr>
      </w:pPr>
      <w:r>
        <w:rPr>
          <w:rFonts w:hint="eastAsia" w:ascii="宋体" w:hAnsi="宋体" w:cs="宋体"/>
          <w:sz w:val="28"/>
          <w:szCs w:val="28"/>
        </w:rPr>
        <w:t>应急响应分级由低到高分为Ⅲ、Ⅱ、I三个级别。本预案适用于Ⅱ级及以下应急响应，超出Ⅱ级则需向上一级应急机构请求支援；上一级应急预案启动后，吉运加油站服从其指挥，并根据本预案相关内容做好以下工作：</w:t>
      </w:r>
    </w:p>
    <w:p>
      <w:pPr>
        <w:spacing w:line="360" w:lineRule="auto"/>
        <w:ind w:firstLine="480"/>
        <w:rPr>
          <w:rFonts w:ascii="宋体" w:hAnsi="宋体" w:cs="宋体"/>
          <w:sz w:val="28"/>
          <w:szCs w:val="28"/>
        </w:rPr>
      </w:pPr>
      <w:r>
        <w:rPr>
          <w:rFonts w:hint="eastAsia" w:ascii="宋体" w:hAnsi="宋体" w:cs="宋体"/>
          <w:sz w:val="28"/>
          <w:szCs w:val="28"/>
        </w:rPr>
        <w:t>外部救援力量到达前的应急工作；</w:t>
      </w:r>
    </w:p>
    <w:p>
      <w:pPr>
        <w:spacing w:line="360" w:lineRule="auto"/>
        <w:ind w:firstLine="480"/>
        <w:rPr>
          <w:rFonts w:ascii="宋体" w:hAnsi="宋体" w:cs="宋体"/>
          <w:sz w:val="28"/>
          <w:szCs w:val="28"/>
        </w:rPr>
      </w:pPr>
      <w:r>
        <w:rPr>
          <w:rFonts w:hint="eastAsia" w:ascii="宋体" w:hAnsi="宋体" w:cs="宋体"/>
          <w:sz w:val="28"/>
          <w:szCs w:val="28"/>
        </w:rPr>
        <w:t>外部救援力量达到后的配合工作。</w:t>
      </w:r>
    </w:p>
    <w:tbl>
      <w:tblPr>
        <w:tblStyle w:val="35"/>
        <w:tblW w:w="83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40"/>
        <w:gridCol w:w="2164"/>
        <w:gridCol w:w="2519"/>
        <w:gridCol w:w="2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90" w:hRule="atLeast"/>
          <w:jc w:val="center"/>
        </w:trPr>
        <w:tc>
          <w:tcPr>
            <w:tcW w:w="1440" w:type="dxa"/>
            <w:tcBorders>
              <w:top w:val="single" w:color="auto" w:sz="4" w:space="0"/>
              <w:left w:val="single" w:color="auto" w:sz="4" w:space="0"/>
              <w:bottom w:val="single" w:color="auto" w:sz="4" w:space="0"/>
              <w:right w:val="single" w:color="auto" w:sz="4" w:space="0"/>
            </w:tcBorders>
            <w:vAlign w:val="center"/>
          </w:tcPr>
          <w:p>
            <w:pPr>
              <w:jc w:val="center"/>
              <w:rPr>
                <w:rFonts w:cs="宋体"/>
                <w:b/>
                <w:bCs/>
              </w:rPr>
            </w:pPr>
            <w:r>
              <w:rPr>
                <w:rFonts w:hint="eastAsia" w:cs="宋体"/>
                <w:b/>
                <w:bCs/>
              </w:rPr>
              <w:t>名称</w:t>
            </w:r>
          </w:p>
        </w:tc>
        <w:tc>
          <w:tcPr>
            <w:tcW w:w="2164"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Ⅰ级</w:t>
            </w:r>
          </w:p>
        </w:tc>
        <w:tc>
          <w:tcPr>
            <w:tcW w:w="2519"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Ⅱ级</w:t>
            </w:r>
          </w:p>
        </w:tc>
        <w:tc>
          <w:tcPr>
            <w:tcW w:w="2193"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53" w:hRule="atLeast"/>
          <w:jc w:val="center"/>
        </w:trPr>
        <w:tc>
          <w:tcPr>
            <w:tcW w:w="1440" w:type="dxa"/>
            <w:tcBorders>
              <w:top w:val="single" w:color="auto" w:sz="4" w:space="0"/>
              <w:left w:val="single" w:color="auto" w:sz="4" w:space="0"/>
              <w:bottom w:val="single" w:color="auto" w:sz="4" w:space="0"/>
              <w:right w:val="single" w:color="auto" w:sz="4" w:space="0"/>
            </w:tcBorders>
            <w:vAlign w:val="center"/>
          </w:tcPr>
          <w:p>
            <w:pPr>
              <w:jc w:val="center"/>
              <w:rPr>
                <w:rFonts w:cs="宋体"/>
              </w:rPr>
            </w:pPr>
            <w:r>
              <w:rPr>
                <w:rFonts w:hint="eastAsia" w:cs="宋体"/>
              </w:rPr>
              <w:t>人员伤亡情况</w:t>
            </w:r>
          </w:p>
        </w:tc>
        <w:tc>
          <w:tcPr>
            <w:tcW w:w="2164" w:type="dxa"/>
            <w:tcBorders>
              <w:top w:val="single" w:color="auto" w:sz="4" w:space="0"/>
              <w:left w:val="nil"/>
              <w:bottom w:val="single" w:color="auto" w:sz="4" w:space="0"/>
              <w:right w:val="single" w:color="auto" w:sz="4" w:space="0"/>
            </w:tcBorders>
            <w:vAlign w:val="center"/>
          </w:tcPr>
          <w:p>
            <w:pPr>
              <w:jc w:val="center"/>
              <w:rPr>
                <w:rFonts w:cs="宋体"/>
              </w:rPr>
            </w:pPr>
            <w:r>
              <w:rPr>
                <w:rFonts w:hint="eastAsia" w:cs="宋体"/>
              </w:rPr>
              <w:t>1人以上死亡或重伤</w:t>
            </w:r>
          </w:p>
        </w:tc>
        <w:tc>
          <w:tcPr>
            <w:tcW w:w="2519" w:type="dxa"/>
            <w:tcBorders>
              <w:top w:val="single" w:color="auto" w:sz="4" w:space="0"/>
              <w:left w:val="nil"/>
              <w:bottom w:val="single" w:color="auto" w:sz="4" w:space="0"/>
              <w:right w:val="single" w:color="auto" w:sz="4" w:space="0"/>
            </w:tcBorders>
            <w:vAlign w:val="center"/>
          </w:tcPr>
          <w:p>
            <w:pPr>
              <w:jc w:val="center"/>
              <w:rPr>
                <w:rFonts w:cs="宋体"/>
              </w:rPr>
            </w:pPr>
            <w:r>
              <w:rPr>
                <w:rFonts w:hint="eastAsia" w:cs="宋体"/>
              </w:rPr>
              <w:t>2人轻伤</w:t>
            </w:r>
          </w:p>
        </w:tc>
        <w:tc>
          <w:tcPr>
            <w:tcW w:w="2193" w:type="dxa"/>
            <w:tcBorders>
              <w:top w:val="single" w:color="auto" w:sz="4" w:space="0"/>
              <w:left w:val="nil"/>
              <w:bottom w:val="single" w:color="auto" w:sz="4" w:space="0"/>
              <w:right w:val="single" w:color="auto" w:sz="4" w:space="0"/>
            </w:tcBorders>
            <w:vAlign w:val="center"/>
          </w:tcPr>
          <w:p>
            <w:pPr>
              <w:jc w:val="center"/>
              <w:rPr>
                <w:rFonts w:cs="宋体"/>
              </w:rPr>
            </w:pPr>
            <w:r>
              <w:rPr>
                <w:rFonts w:hint="eastAsia" w:cs="宋体"/>
              </w:rPr>
              <w:t>2人以下轻伤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71" w:hRule="atLeast"/>
          <w:jc w:val="center"/>
        </w:trPr>
        <w:tc>
          <w:tcPr>
            <w:tcW w:w="1440" w:type="dxa"/>
            <w:tcBorders>
              <w:top w:val="single" w:color="auto" w:sz="4" w:space="0"/>
              <w:left w:val="single" w:color="auto" w:sz="4" w:space="0"/>
              <w:bottom w:val="single" w:color="auto" w:sz="4" w:space="0"/>
              <w:right w:val="single" w:color="auto" w:sz="4" w:space="0"/>
            </w:tcBorders>
            <w:vAlign w:val="center"/>
          </w:tcPr>
          <w:p>
            <w:pPr>
              <w:jc w:val="center"/>
              <w:rPr>
                <w:rFonts w:cs="宋体"/>
              </w:rPr>
            </w:pPr>
            <w:r>
              <w:rPr>
                <w:rFonts w:hint="eastAsia" w:cs="宋体"/>
              </w:rPr>
              <w:t>财产损失</w:t>
            </w:r>
          </w:p>
        </w:tc>
        <w:tc>
          <w:tcPr>
            <w:tcW w:w="2164" w:type="dxa"/>
            <w:tcBorders>
              <w:top w:val="single" w:color="auto" w:sz="4" w:space="0"/>
              <w:left w:val="nil"/>
              <w:bottom w:val="single" w:color="auto" w:sz="4" w:space="0"/>
              <w:right w:val="single" w:color="auto" w:sz="4" w:space="0"/>
            </w:tcBorders>
            <w:vAlign w:val="center"/>
          </w:tcPr>
          <w:p>
            <w:pPr>
              <w:jc w:val="center"/>
              <w:rPr>
                <w:rFonts w:cs="宋体"/>
              </w:rPr>
            </w:pPr>
            <w:r>
              <w:rPr>
                <w:rFonts w:hint="eastAsia" w:cs="宋体"/>
              </w:rPr>
              <w:t>20万元以上直接经济损失</w:t>
            </w:r>
          </w:p>
        </w:tc>
        <w:tc>
          <w:tcPr>
            <w:tcW w:w="2519" w:type="dxa"/>
            <w:tcBorders>
              <w:top w:val="single" w:color="auto" w:sz="4" w:space="0"/>
              <w:left w:val="nil"/>
              <w:bottom w:val="single" w:color="auto" w:sz="4" w:space="0"/>
              <w:right w:val="single" w:color="auto" w:sz="4" w:space="0"/>
            </w:tcBorders>
            <w:vAlign w:val="center"/>
          </w:tcPr>
          <w:p>
            <w:pPr>
              <w:jc w:val="center"/>
              <w:rPr>
                <w:rFonts w:cs="宋体"/>
              </w:rPr>
            </w:pPr>
            <w:r>
              <w:rPr>
                <w:rFonts w:hint="eastAsia" w:cs="宋体"/>
              </w:rPr>
              <w:t>10万元以上20万元以下直接经济损失</w:t>
            </w:r>
          </w:p>
        </w:tc>
        <w:tc>
          <w:tcPr>
            <w:tcW w:w="2193" w:type="dxa"/>
            <w:tcBorders>
              <w:top w:val="single" w:color="auto" w:sz="4" w:space="0"/>
              <w:left w:val="nil"/>
              <w:bottom w:val="single" w:color="auto" w:sz="4" w:space="0"/>
              <w:right w:val="single" w:color="auto" w:sz="4" w:space="0"/>
            </w:tcBorders>
            <w:vAlign w:val="center"/>
          </w:tcPr>
          <w:p>
            <w:pPr>
              <w:jc w:val="center"/>
              <w:rPr>
                <w:rFonts w:cs="宋体"/>
              </w:rPr>
            </w:pPr>
            <w:r>
              <w:rPr>
                <w:rFonts w:hint="eastAsia" w:cs="宋体"/>
              </w:rPr>
              <w:t>10万元以下直接经济损失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99" w:hRule="atLeast"/>
          <w:jc w:val="center"/>
        </w:trPr>
        <w:tc>
          <w:tcPr>
            <w:tcW w:w="1440" w:type="dxa"/>
            <w:tcBorders>
              <w:top w:val="single" w:color="auto" w:sz="4" w:space="0"/>
              <w:left w:val="single" w:color="auto" w:sz="4" w:space="0"/>
              <w:bottom w:val="single" w:color="auto" w:sz="4" w:space="0"/>
              <w:right w:val="single" w:color="auto" w:sz="4" w:space="0"/>
            </w:tcBorders>
            <w:vAlign w:val="center"/>
          </w:tcPr>
          <w:p>
            <w:pPr>
              <w:jc w:val="center"/>
              <w:rPr>
                <w:rFonts w:cs="宋体"/>
              </w:rPr>
            </w:pPr>
            <w:r>
              <w:rPr>
                <w:rFonts w:hint="eastAsia" w:cs="宋体"/>
              </w:rPr>
              <w:t>环境破坏</w:t>
            </w:r>
          </w:p>
        </w:tc>
        <w:tc>
          <w:tcPr>
            <w:tcW w:w="2164" w:type="dxa"/>
            <w:tcBorders>
              <w:top w:val="single" w:color="auto" w:sz="4" w:space="0"/>
              <w:left w:val="nil"/>
              <w:bottom w:val="single" w:color="auto" w:sz="4" w:space="0"/>
              <w:right w:val="single" w:color="auto" w:sz="4" w:space="0"/>
            </w:tcBorders>
            <w:vAlign w:val="center"/>
          </w:tcPr>
          <w:p>
            <w:pPr>
              <w:jc w:val="center"/>
              <w:rPr>
                <w:rFonts w:cs="宋体"/>
              </w:rPr>
            </w:pPr>
            <w:r>
              <w:rPr>
                <w:rFonts w:hint="eastAsia" w:cs="宋体"/>
              </w:rPr>
              <w:t>严重</w:t>
            </w:r>
          </w:p>
        </w:tc>
        <w:tc>
          <w:tcPr>
            <w:tcW w:w="2519" w:type="dxa"/>
            <w:tcBorders>
              <w:top w:val="single" w:color="auto" w:sz="4" w:space="0"/>
              <w:left w:val="nil"/>
              <w:bottom w:val="single" w:color="auto" w:sz="4" w:space="0"/>
              <w:right w:val="single" w:color="auto" w:sz="4" w:space="0"/>
            </w:tcBorders>
            <w:vAlign w:val="center"/>
          </w:tcPr>
          <w:p>
            <w:pPr>
              <w:jc w:val="center"/>
              <w:rPr>
                <w:rFonts w:cs="宋体"/>
              </w:rPr>
            </w:pPr>
            <w:r>
              <w:rPr>
                <w:rFonts w:hint="eastAsia" w:cs="宋体"/>
              </w:rPr>
              <w:t>较大</w:t>
            </w:r>
          </w:p>
        </w:tc>
        <w:tc>
          <w:tcPr>
            <w:tcW w:w="2193" w:type="dxa"/>
            <w:tcBorders>
              <w:top w:val="single" w:color="auto" w:sz="4" w:space="0"/>
              <w:left w:val="nil"/>
              <w:bottom w:val="single" w:color="auto" w:sz="4" w:space="0"/>
              <w:right w:val="single" w:color="auto" w:sz="4" w:space="0"/>
            </w:tcBorders>
            <w:vAlign w:val="center"/>
          </w:tcPr>
          <w:p>
            <w:pPr>
              <w:jc w:val="center"/>
              <w:rPr>
                <w:rFonts w:cs="宋体"/>
              </w:rPr>
            </w:pPr>
            <w:r>
              <w:rPr>
                <w:rFonts w:hint="eastAsia" w:cs="宋体"/>
              </w:rPr>
              <w:t>一般</w:t>
            </w:r>
          </w:p>
        </w:tc>
      </w:tr>
    </w:tbl>
    <w:p>
      <w:pPr>
        <w:spacing w:line="360" w:lineRule="auto"/>
        <w:ind w:firstLine="480"/>
        <w:rPr>
          <w:rFonts w:ascii="宋体" w:hAnsi="宋体" w:cs="宋体"/>
          <w:b/>
          <w:bCs/>
          <w:sz w:val="28"/>
          <w:szCs w:val="28"/>
        </w:rPr>
      </w:pPr>
      <w:r>
        <w:rPr>
          <w:rFonts w:hint="eastAsia" w:ascii="宋体" w:hAnsi="宋体" w:cs="宋体"/>
          <w:b/>
          <w:bCs/>
          <w:sz w:val="28"/>
          <w:szCs w:val="28"/>
        </w:rPr>
        <w:t>1）Ⅰ级应急响应</w:t>
      </w:r>
    </w:p>
    <w:p>
      <w:pPr>
        <w:spacing w:line="360" w:lineRule="auto"/>
        <w:ind w:firstLine="480"/>
        <w:rPr>
          <w:rFonts w:ascii="宋体" w:hAnsi="宋体" w:cs="宋体"/>
          <w:sz w:val="28"/>
          <w:szCs w:val="28"/>
        </w:rPr>
      </w:pPr>
      <w:r>
        <w:rPr>
          <w:rFonts w:hint="eastAsia" w:ascii="宋体" w:hAnsi="宋体" w:cs="宋体"/>
          <w:sz w:val="28"/>
          <w:szCs w:val="28"/>
        </w:rPr>
        <w:t>发生事故等级在本站所有力量及单靠周边单位、居民应急不能处置，需要立即报告上级部门（政府主管部门），请求协助。</w:t>
      </w:r>
    </w:p>
    <w:p>
      <w:pPr>
        <w:spacing w:line="360" w:lineRule="auto"/>
        <w:ind w:firstLine="480"/>
        <w:rPr>
          <w:rFonts w:ascii="宋体" w:hAnsi="宋体" w:cs="宋体"/>
          <w:b/>
          <w:bCs/>
          <w:sz w:val="28"/>
          <w:szCs w:val="28"/>
        </w:rPr>
      </w:pPr>
      <w:r>
        <w:rPr>
          <w:rFonts w:hint="eastAsia" w:ascii="宋体" w:hAnsi="宋体" w:cs="宋体"/>
          <w:b/>
          <w:bCs/>
          <w:sz w:val="28"/>
          <w:szCs w:val="28"/>
        </w:rPr>
        <w:t>2）Ⅱ级应急响应</w:t>
      </w:r>
    </w:p>
    <w:p>
      <w:pPr>
        <w:spacing w:line="360" w:lineRule="auto"/>
        <w:ind w:firstLine="480"/>
        <w:rPr>
          <w:rFonts w:ascii="宋体" w:hAnsi="宋体" w:cs="宋体"/>
          <w:sz w:val="28"/>
          <w:szCs w:val="28"/>
        </w:rPr>
      </w:pPr>
      <w:r>
        <w:rPr>
          <w:rFonts w:hint="eastAsia" w:ascii="宋体" w:hAnsi="宋体" w:cs="宋体"/>
          <w:sz w:val="28"/>
          <w:szCs w:val="28"/>
        </w:rPr>
        <w:t>发生事故等级在本站所有力量不能尽快解决，需要周边单位、居民协助解决情况，站长及时向周边单位请求协助，并由站长统一指挥。</w:t>
      </w:r>
    </w:p>
    <w:p>
      <w:pPr>
        <w:spacing w:line="360" w:lineRule="auto"/>
        <w:ind w:firstLine="480"/>
        <w:rPr>
          <w:rFonts w:ascii="宋体" w:hAnsi="宋体" w:cs="宋体"/>
          <w:b/>
          <w:bCs/>
          <w:sz w:val="28"/>
          <w:szCs w:val="28"/>
        </w:rPr>
      </w:pPr>
      <w:r>
        <w:rPr>
          <w:rFonts w:hint="eastAsia" w:ascii="宋体" w:hAnsi="宋体" w:cs="宋体"/>
          <w:b/>
          <w:bCs/>
          <w:sz w:val="28"/>
          <w:szCs w:val="28"/>
        </w:rPr>
        <w:t>3）Ⅲ级应急响应</w:t>
      </w:r>
    </w:p>
    <w:p>
      <w:pPr>
        <w:spacing w:line="360" w:lineRule="auto"/>
        <w:ind w:firstLine="480"/>
        <w:rPr>
          <w:rFonts w:ascii="宋体" w:hAnsi="宋体" w:cs="宋体"/>
          <w:sz w:val="28"/>
          <w:szCs w:val="28"/>
        </w:rPr>
      </w:pPr>
      <w:r>
        <w:rPr>
          <w:rFonts w:hint="eastAsia" w:ascii="宋体" w:hAnsi="宋体" w:cs="宋体"/>
          <w:sz w:val="28"/>
          <w:szCs w:val="28"/>
        </w:rPr>
        <w:t>发生事故等级在现场工作人员力量能够处置时，由现场工作人员自行处置。若事态扩大，现场工作人员不能处置时，向本站站长报告，由站长统一指挥，进行处置。</w:t>
      </w:r>
    </w:p>
    <w:p>
      <w:pPr>
        <w:spacing w:line="360" w:lineRule="auto"/>
        <w:ind w:firstLine="480"/>
        <w:rPr>
          <w:rFonts w:ascii="宋体" w:hAnsi="宋体" w:cs="宋体"/>
          <w:sz w:val="28"/>
          <w:szCs w:val="28"/>
        </w:rPr>
      </w:pPr>
      <w:r>
        <w:rPr>
          <w:rFonts w:hint="eastAsia" w:ascii="宋体" w:hAnsi="宋体" w:cs="宋体"/>
          <w:sz w:val="28"/>
          <w:szCs w:val="28"/>
        </w:rPr>
        <w:t>当地政府启动政府应急预案后，现场应急救援指挥权应交接给当地应急救援指挥长。</w:t>
      </w:r>
    </w:p>
    <w:p>
      <w:pPr>
        <w:pStyle w:val="5"/>
        <w:spacing w:before="0" w:after="0"/>
        <w:rPr>
          <w:rStyle w:val="49"/>
          <w:rFonts w:ascii="Times New Roman" w:hAnsi="Times New Roman" w:cs="宋体"/>
          <w:b/>
          <w:bCs/>
          <w:sz w:val="24"/>
          <w:szCs w:val="24"/>
        </w:rPr>
      </w:pPr>
      <w:bookmarkStart w:id="244" w:name="_Toc26272"/>
      <w:bookmarkEnd w:id="244"/>
      <w:bookmarkStart w:id="245" w:name="_Toc504989564"/>
      <w:bookmarkEnd w:id="245"/>
      <w:bookmarkStart w:id="246" w:name="_Toc16448"/>
      <w:bookmarkStart w:id="247" w:name="_Toc15188"/>
      <w:bookmarkStart w:id="248" w:name="_Toc17711"/>
      <w:bookmarkStart w:id="249" w:name="_Toc26483"/>
      <w:bookmarkStart w:id="250" w:name="_Toc30916"/>
      <w:r>
        <w:rPr>
          <w:rStyle w:val="49"/>
          <w:rFonts w:hint="eastAsia" w:ascii="Times New Roman" w:hAnsi="Times New Roman" w:cs="宋体"/>
          <w:b/>
          <w:bCs/>
          <w:sz w:val="24"/>
          <w:szCs w:val="24"/>
        </w:rPr>
        <w:t>5.1.2采取行动</w:t>
      </w:r>
      <w:bookmarkEnd w:id="246"/>
      <w:bookmarkEnd w:id="247"/>
      <w:bookmarkEnd w:id="248"/>
      <w:bookmarkEnd w:id="249"/>
      <w:bookmarkEnd w:id="250"/>
    </w:p>
    <w:p>
      <w:pPr>
        <w:spacing w:line="360" w:lineRule="auto"/>
        <w:ind w:firstLine="480"/>
        <w:rPr>
          <w:rFonts w:ascii="宋体" w:hAnsi="宋体" w:cs="宋体"/>
          <w:sz w:val="28"/>
          <w:szCs w:val="28"/>
        </w:rPr>
      </w:pPr>
      <w:r>
        <w:rPr>
          <w:rFonts w:hint="eastAsia" w:ascii="宋体" w:hAnsi="宋体" w:cs="宋体"/>
          <w:sz w:val="28"/>
          <w:szCs w:val="28"/>
        </w:rPr>
        <w:t xml:space="preserve">有关类别事故专业指挥机构接到特别重大事故息后，主要采取下列行动： </w:t>
      </w:r>
    </w:p>
    <w:p>
      <w:pPr>
        <w:spacing w:line="360" w:lineRule="auto"/>
        <w:ind w:firstLine="480"/>
        <w:rPr>
          <w:rFonts w:ascii="宋体" w:hAnsi="宋体" w:cs="宋体"/>
          <w:sz w:val="28"/>
          <w:szCs w:val="28"/>
        </w:rPr>
      </w:pPr>
      <w:r>
        <w:rPr>
          <w:rFonts w:hint="eastAsia" w:ascii="宋体" w:hAnsi="宋体" w:cs="宋体"/>
          <w:sz w:val="28"/>
          <w:szCs w:val="28"/>
        </w:rPr>
        <w:t xml:space="preserve">（1）结合实际启动并实施相应级别的应急预案，及时向上级有关部门报告； </w:t>
      </w:r>
    </w:p>
    <w:p>
      <w:pPr>
        <w:spacing w:line="360" w:lineRule="auto"/>
        <w:ind w:firstLine="480"/>
        <w:rPr>
          <w:rFonts w:ascii="宋体" w:hAnsi="宋体" w:cs="宋体"/>
          <w:sz w:val="28"/>
          <w:szCs w:val="28"/>
        </w:rPr>
      </w:pPr>
      <w:r>
        <w:rPr>
          <w:rFonts w:hint="eastAsia" w:ascii="宋体" w:hAnsi="宋体" w:cs="宋体"/>
          <w:sz w:val="28"/>
          <w:szCs w:val="28"/>
        </w:rPr>
        <w:t xml:space="preserve">（2）启动本站的应急救援小组； </w:t>
      </w:r>
    </w:p>
    <w:p>
      <w:pPr>
        <w:spacing w:line="360" w:lineRule="auto"/>
        <w:ind w:firstLine="480"/>
        <w:rPr>
          <w:rFonts w:ascii="宋体" w:hAnsi="宋体" w:cs="宋体"/>
          <w:sz w:val="28"/>
          <w:szCs w:val="28"/>
        </w:rPr>
      </w:pPr>
      <w:r>
        <w:rPr>
          <w:rFonts w:hint="eastAsia" w:ascii="宋体" w:hAnsi="宋体" w:cs="宋体"/>
          <w:sz w:val="28"/>
          <w:szCs w:val="28"/>
        </w:rPr>
        <w:t xml:space="preserve">（3）协调组织应急救援力量开展应急救援工作； </w:t>
      </w:r>
    </w:p>
    <w:p>
      <w:pPr>
        <w:spacing w:line="360" w:lineRule="auto"/>
        <w:ind w:firstLine="480"/>
        <w:rPr>
          <w:rFonts w:ascii="宋体" w:hAnsi="宋体" w:cs="宋体"/>
          <w:sz w:val="28"/>
          <w:szCs w:val="28"/>
        </w:rPr>
      </w:pPr>
      <w:r>
        <w:rPr>
          <w:rFonts w:hint="eastAsia" w:ascii="宋体" w:hAnsi="宋体" w:cs="宋体"/>
          <w:sz w:val="28"/>
          <w:szCs w:val="28"/>
        </w:rPr>
        <w:t xml:space="preserve">（4）需要其他应急救援力量支援时，向有关部门提出请求。 </w:t>
      </w:r>
    </w:p>
    <w:p>
      <w:pPr>
        <w:pStyle w:val="4"/>
        <w:spacing w:before="0" w:after="0"/>
        <w:rPr>
          <w:rStyle w:val="51"/>
          <w:rFonts w:hint="default" w:ascii="Times New Roman" w:hAnsi="Times New Roman" w:cs="宋体"/>
          <w:b/>
          <w:bCs/>
          <w:sz w:val="24"/>
          <w:szCs w:val="24"/>
        </w:rPr>
      </w:pPr>
      <w:bookmarkStart w:id="251" w:name="_Toc504989565"/>
      <w:bookmarkEnd w:id="251"/>
      <w:bookmarkStart w:id="252" w:name="_Toc13527"/>
      <w:bookmarkStart w:id="253" w:name="_Toc8702"/>
      <w:bookmarkStart w:id="254" w:name="_Toc20266"/>
      <w:bookmarkStart w:id="255" w:name="_Toc6312"/>
      <w:bookmarkStart w:id="256" w:name="_Toc2422"/>
      <w:r>
        <w:rPr>
          <w:rStyle w:val="51"/>
          <w:rFonts w:hint="default" w:ascii="Times New Roman" w:hAnsi="Times New Roman" w:cs="宋体"/>
          <w:b/>
          <w:bCs/>
          <w:sz w:val="24"/>
          <w:szCs w:val="24"/>
        </w:rPr>
        <w:t>5.2响应程序</w:t>
      </w:r>
      <w:bookmarkEnd w:id="252"/>
      <w:bookmarkEnd w:id="253"/>
      <w:bookmarkEnd w:id="254"/>
      <w:bookmarkEnd w:id="255"/>
      <w:bookmarkEnd w:id="256"/>
    </w:p>
    <w:p>
      <w:pPr>
        <w:spacing w:line="360" w:lineRule="auto"/>
        <w:ind w:firstLine="480"/>
        <w:rPr>
          <w:rFonts w:ascii="宋体" w:hAnsi="宋体" w:cs="宋体"/>
          <w:sz w:val="28"/>
          <w:szCs w:val="28"/>
        </w:rPr>
      </w:pPr>
      <w:r>
        <w:rPr>
          <w:rFonts w:hint="eastAsia" w:ascii="宋体" w:hAnsi="宋体" w:cs="宋体"/>
          <w:sz w:val="28"/>
          <w:szCs w:val="28"/>
        </w:rPr>
        <w:t>当发生安全事故时，现场人员根据事故严重程度报告给应急救援组组长即站长，现场人员能处置时，自行处置；不能处置时，由应急组组长启动预案，指导救援工作，事态得到控制则应急结束；如果事态无法控制，现场人员应在保证自身安全的情况下，保护现场，请求支援。</w:t>
      </w:r>
    </w:p>
    <w:p>
      <w:pPr>
        <w:pStyle w:val="5"/>
        <w:spacing w:before="0" w:after="0"/>
        <w:rPr>
          <w:rStyle w:val="49"/>
          <w:rFonts w:ascii="Times New Roman" w:hAnsi="Times New Roman" w:cs="宋体"/>
          <w:b/>
          <w:bCs/>
          <w:sz w:val="24"/>
          <w:szCs w:val="24"/>
        </w:rPr>
      </w:pPr>
      <w:bookmarkStart w:id="257" w:name="_Toc32006"/>
      <w:bookmarkEnd w:id="257"/>
      <w:bookmarkStart w:id="258" w:name="_Toc4350"/>
      <w:bookmarkEnd w:id="258"/>
      <w:bookmarkStart w:id="259" w:name="_Toc504989566"/>
      <w:bookmarkStart w:id="260" w:name="_Toc2021"/>
      <w:bookmarkStart w:id="261" w:name="_Toc22942"/>
      <w:bookmarkStart w:id="262" w:name="_Toc2464"/>
      <w:bookmarkStart w:id="263" w:name="_Toc0"/>
      <w:r>
        <w:rPr>
          <w:rStyle w:val="49"/>
          <w:rFonts w:hint="eastAsia" w:ascii="Times New Roman" w:hAnsi="Times New Roman" w:cs="宋体"/>
          <w:b/>
          <w:bCs/>
          <w:sz w:val="24"/>
          <w:szCs w:val="24"/>
        </w:rPr>
        <w:t>5.2.1事故相应级别</w:t>
      </w:r>
      <w:bookmarkEnd w:id="259"/>
      <w:bookmarkEnd w:id="260"/>
      <w:bookmarkEnd w:id="261"/>
      <w:bookmarkEnd w:id="262"/>
      <w:bookmarkEnd w:id="263"/>
    </w:p>
    <w:p>
      <w:pPr>
        <w:spacing w:line="360" w:lineRule="auto"/>
        <w:ind w:firstLine="480"/>
        <w:rPr>
          <w:rFonts w:ascii="宋体" w:hAnsi="宋体" w:cs="宋体"/>
          <w:sz w:val="28"/>
          <w:szCs w:val="28"/>
        </w:rPr>
      </w:pPr>
      <w:r>
        <w:rPr>
          <w:rFonts w:hint="eastAsia" w:ascii="宋体" w:hAnsi="宋体" w:cs="宋体"/>
          <w:sz w:val="28"/>
          <w:szCs w:val="28"/>
        </w:rPr>
        <w:t>发生严重事故、较大事故及险情时，启动本预案，并请求周边单位、居民协助，必要时请求上级部门支援；严重事故等级上报当地应急管理局；</w:t>
      </w:r>
    </w:p>
    <w:p>
      <w:pPr>
        <w:spacing w:line="360" w:lineRule="auto"/>
        <w:ind w:firstLine="480"/>
        <w:rPr>
          <w:rFonts w:ascii="宋体" w:hAnsi="宋体" w:cs="宋体"/>
          <w:sz w:val="28"/>
          <w:szCs w:val="28"/>
        </w:rPr>
      </w:pPr>
      <w:r>
        <w:rPr>
          <w:rFonts w:hint="eastAsia" w:ascii="宋体" w:hAnsi="宋体" w:cs="宋体"/>
          <w:sz w:val="28"/>
          <w:szCs w:val="28"/>
        </w:rPr>
        <w:t>发生一般事故及险情时，启动现场应急处置方案，组织实施应急救援。</w:t>
      </w:r>
    </w:p>
    <w:p>
      <w:pPr>
        <w:pStyle w:val="5"/>
        <w:spacing w:before="0" w:after="0"/>
        <w:rPr>
          <w:rStyle w:val="49"/>
          <w:rFonts w:ascii="Times New Roman" w:hAnsi="Times New Roman" w:cs="宋体"/>
          <w:b/>
          <w:bCs/>
          <w:sz w:val="24"/>
          <w:szCs w:val="24"/>
        </w:rPr>
      </w:pPr>
      <w:bookmarkStart w:id="264" w:name="_Toc26580"/>
      <w:bookmarkEnd w:id="264"/>
      <w:bookmarkStart w:id="265" w:name="_Toc1037"/>
      <w:bookmarkEnd w:id="265"/>
      <w:bookmarkStart w:id="266" w:name="_Toc504989567"/>
      <w:bookmarkStart w:id="267" w:name="_Toc18349"/>
      <w:bookmarkStart w:id="268" w:name="_Toc6725"/>
      <w:bookmarkStart w:id="269" w:name="_Toc5339"/>
      <w:bookmarkStart w:id="270" w:name="_Toc10807"/>
      <w:r>
        <w:rPr>
          <w:rStyle w:val="49"/>
          <w:rFonts w:hint="eastAsia" w:ascii="Times New Roman" w:hAnsi="Times New Roman" w:cs="宋体"/>
          <w:b/>
          <w:bCs/>
          <w:sz w:val="24"/>
          <w:szCs w:val="24"/>
        </w:rPr>
        <w:t>5.2.2应急救援预案的启动</w:t>
      </w:r>
      <w:bookmarkEnd w:id="266"/>
      <w:bookmarkEnd w:id="267"/>
      <w:bookmarkEnd w:id="268"/>
      <w:bookmarkEnd w:id="269"/>
      <w:bookmarkEnd w:id="270"/>
    </w:p>
    <w:p>
      <w:pPr>
        <w:spacing w:line="360" w:lineRule="auto"/>
        <w:ind w:firstLine="480"/>
        <w:rPr>
          <w:rFonts w:ascii="宋体" w:hAnsi="宋体" w:cs="宋体"/>
          <w:sz w:val="28"/>
          <w:szCs w:val="28"/>
        </w:rPr>
      </w:pPr>
      <w:r>
        <w:rPr>
          <w:rFonts w:hint="eastAsia" w:ascii="宋体" w:hAnsi="宋体" w:cs="宋体"/>
          <w:sz w:val="28"/>
          <w:szCs w:val="28"/>
        </w:rPr>
        <w:t>当发生安全事故时，现场人员根据事故严重程度报告给应急救援组组长即站长，现场人员能处置时，根据现场处置方案自行处置；不能处置时，由应急组组长启动预案，指导救援工作，事态得到控制则应急结束；如果事态无法控制，现场人员应在保证自身安全的情况下，保护现场，请求支援。</w:t>
      </w:r>
    </w:p>
    <w:p>
      <w:pPr>
        <w:pStyle w:val="5"/>
        <w:spacing w:before="0" w:after="0"/>
        <w:rPr>
          <w:rStyle w:val="49"/>
          <w:rFonts w:ascii="Times New Roman" w:hAnsi="Times New Roman" w:cs="宋体"/>
          <w:b/>
          <w:bCs/>
          <w:sz w:val="24"/>
          <w:szCs w:val="24"/>
        </w:rPr>
      </w:pPr>
      <w:bookmarkStart w:id="271" w:name="_Toc8799"/>
      <w:bookmarkEnd w:id="271"/>
      <w:bookmarkStart w:id="272" w:name="_Toc7136"/>
      <w:bookmarkEnd w:id="272"/>
      <w:bookmarkStart w:id="273" w:name="_Toc504989568"/>
      <w:bookmarkStart w:id="274" w:name="_Toc13899"/>
      <w:bookmarkStart w:id="275" w:name="_Toc27835"/>
      <w:bookmarkStart w:id="276" w:name="_Toc19242"/>
      <w:bookmarkStart w:id="277" w:name="_Toc11009"/>
      <w:r>
        <w:rPr>
          <w:rStyle w:val="49"/>
          <w:rFonts w:hint="eastAsia" w:ascii="Times New Roman" w:hAnsi="Times New Roman" w:cs="宋体"/>
          <w:b/>
          <w:bCs/>
          <w:sz w:val="24"/>
          <w:szCs w:val="24"/>
        </w:rPr>
        <w:t>5.2.3应急救援组组长及成员应做好的工作</w:t>
      </w:r>
      <w:bookmarkEnd w:id="273"/>
      <w:bookmarkEnd w:id="274"/>
      <w:bookmarkEnd w:id="275"/>
      <w:bookmarkEnd w:id="276"/>
      <w:bookmarkEnd w:id="277"/>
    </w:p>
    <w:p>
      <w:pPr>
        <w:spacing w:line="360" w:lineRule="auto"/>
        <w:ind w:firstLine="480"/>
        <w:rPr>
          <w:rFonts w:ascii="宋体" w:hAnsi="宋体" w:cs="宋体"/>
          <w:sz w:val="28"/>
          <w:szCs w:val="28"/>
        </w:rPr>
      </w:pPr>
      <w:r>
        <w:rPr>
          <w:rFonts w:hint="eastAsia" w:ascii="宋体" w:hAnsi="宋体" w:cs="宋体"/>
          <w:sz w:val="28"/>
          <w:szCs w:val="28"/>
        </w:rPr>
        <w:t>在开展应急救援工作时，应急组成员应协助站长做好以下但不限于以下工作内容：</w:t>
      </w:r>
    </w:p>
    <w:p>
      <w:pPr>
        <w:spacing w:line="360" w:lineRule="auto"/>
        <w:ind w:firstLine="480"/>
        <w:rPr>
          <w:rFonts w:ascii="宋体" w:hAnsi="宋体" w:cs="宋体"/>
          <w:sz w:val="28"/>
          <w:szCs w:val="28"/>
        </w:rPr>
      </w:pPr>
      <w:r>
        <w:rPr>
          <w:rFonts w:hint="eastAsia" w:ascii="宋体" w:hAnsi="宋体" w:cs="宋体"/>
          <w:sz w:val="28"/>
          <w:szCs w:val="28"/>
        </w:rPr>
        <w:t>1）迅速隔离事故现场，组织抢救、治疗受伤人员，撤离无关人员及疏散围观群众；</w:t>
      </w:r>
    </w:p>
    <w:p>
      <w:pPr>
        <w:spacing w:line="360" w:lineRule="auto"/>
        <w:ind w:firstLine="480"/>
        <w:rPr>
          <w:rFonts w:ascii="宋体" w:hAnsi="宋体" w:cs="宋体"/>
          <w:sz w:val="28"/>
          <w:szCs w:val="28"/>
        </w:rPr>
      </w:pPr>
      <w:r>
        <w:rPr>
          <w:rFonts w:hint="eastAsia" w:ascii="宋体" w:hAnsi="宋体" w:cs="宋体"/>
          <w:sz w:val="28"/>
          <w:szCs w:val="28"/>
        </w:rPr>
        <w:t>2）迅速收集现场信息，核实现场情况，选定相应预案并负责实施；</w:t>
      </w:r>
    </w:p>
    <w:p>
      <w:pPr>
        <w:spacing w:line="360" w:lineRule="auto"/>
        <w:ind w:firstLine="480"/>
        <w:rPr>
          <w:rFonts w:ascii="宋体" w:hAnsi="宋体" w:cs="宋体"/>
          <w:sz w:val="28"/>
          <w:szCs w:val="28"/>
        </w:rPr>
      </w:pPr>
      <w:r>
        <w:rPr>
          <w:rFonts w:hint="eastAsia" w:ascii="宋体" w:hAnsi="宋体" w:cs="宋体"/>
          <w:sz w:val="28"/>
          <w:szCs w:val="28"/>
        </w:rPr>
        <w:t>3）组织和协调现场各方应急救援力量，统一指挥应急处置工作；</w:t>
      </w:r>
    </w:p>
    <w:p>
      <w:pPr>
        <w:spacing w:line="360" w:lineRule="auto"/>
        <w:ind w:firstLine="480"/>
        <w:rPr>
          <w:rFonts w:ascii="宋体" w:hAnsi="宋体" w:cs="宋体"/>
          <w:sz w:val="28"/>
          <w:szCs w:val="28"/>
        </w:rPr>
      </w:pPr>
      <w:r>
        <w:rPr>
          <w:rFonts w:hint="eastAsia" w:ascii="宋体" w:hAnsi="宋体" w:cs="宋体"/>
          <w:sz w:val="28"/>
          <w:szCs w:val="28"/>
        </w:rPr>
        <w:t xml:space="preserve">4）保证外来车辆停到指定位置，保证厂区消防道路畅通，保证厂区门口道路畅通； </w:t>
      </w:r>
    </w:p>
    <w:p>
      <w:pPr>
        <w:spacing w:line="360" w:lineRule="auto"/>
        <w:ind w:firstLine="480"/>
        <w:rPr>
          <w:rFonts w:ascii="宋体" w:hAnsi="宋体" w:cs="宋体"/>
          <w:sz w:val="28"/>
          <w:szCs w:val="28"/>
        </w:rPr>
      </w:pPr>
      <w:r>
        <w:rPr>
          <w:rFonts w:hint="eastAsia" w:ascii="宋体" w:hAnsi="宋体" w:cs="宋体"/>
          <w:sz w:val="28"/>
          <w:szCs w:val="28"/>
        </w:rPr>
        <w:t>5）保证有现金满足受伤人员基本药物的购进和应急救援物资的支付；</w:t>
      </w:r>
    </w:p>
    <w:p>
      <w:pPr>
        <w:spacing w:line="360" w:lineRule="auto"/>
        <w:ind w:firstLine="480"/>
        <w:rPr>
          <w:rFonts w:ascii="宋体" w:hAnsi="宋体" w:cs="宋体"/>
          <w:sz w:val="28"/>
          <w:szCs w:val="28"/>
        </w:rPr>
      </w:pPr>
      <w:r>
        <w:rPr>
          <w:rFonts w:hint="eastAsia" w:ascii="宋体" w:hAnsi="宋体" w:cs="宋体"/>
          <w:sz w:val="28"/>
          <w:szCs w:val="28"/>
        </w:rPr>
        <w:t>6）确保参与救援人员的安全；</w:t>
      </w:r>
    </w:p>
    <w:p>
      <w:pPr>
        <w:spacing w:line="360" w:lineRule="auto"/>
        <w:ind w:firstLine="480"/>
        <w:rPr>
          <w:rFonts w:ascii="宋体" w:hAnsi="宋体" w:cs="宋体"/>
          <w:sz w:val="28"/>
          <w:szCs w:val="28"/>
        </w:rPr>
      </w:pPr>
      <w:r>
        <w:rPr>
          <w:rFonts w:hint="eastAsia" w:ascii="宋体" w:hAnsi="宋体" w:cs="宋体"/>
          <w:sz w:val="28"/>
          <w:szCs w:val="28"/>
        </w:rPr>
        <w:t>7）保证现场应急救援人员、地方监督管理部门和周边单位及时沟通；</w:t>
      </w:r>
    </w:p>
    <w:p>
      <w:pPr>
        <w:spacing w:line="360" w:lineRule="auto"/>
        <w:ind w:firstLine="480"/>
        <w:rPr>
          <w:rFonts w:ascii="宋体" w:hAnsi="宋体" w:cs="宋体"/>
          <w:sz w:val="28"/>
          <w:szCs w:val="28"/>
        </w:rPr>
      </w:pPr>
      <w:r>
        <w:rPr>
          <w:rFonts w:hint="eastAsia" w:ascii="宋体" w:hAnsi="宋体" w:cs="宋体"/>
          <w:sz w:val="28"/>
          <w:szCs w:val="28"/>
        </w:rPr>
        <w:t>8）完成上级领导（一般指地方应急、消防等单位）的要求，采取其他相应的应急救援措施。</w:t>
      </w:r>
    </w:p>
    <w:p>
      <w:pPr>
        <w:pStyle w:val="5"/>
        <w:spacing w:before="0" w:after="0"/>
        <w:rPr>
          <w:rStyle w:val="49"/>
          <w:rFonts w:ascii="Times New Roman" w:hAnsi="Times New Roman" w:cs="宋体"/>
          <w:b/>
          <w:bCs/>
          <w:sz w:val="24"/>
          <w:szCs w:val="24"/>
        </w:rPr>
      </w:pPr>
      <w:bookmarkStart w:id="278" w:name="_Toc29383"/>
      <w:bookmarkEnd w:id="278"/>
      <w:bookmarkStart w:id="279" w:name="_Toc29525"/>
      <w:bookmarkEnd w:id="279"/>
      <w:bookmarkStart w:id="280" w:name="_Toc504989569"/>
      <w:bookmarkStart w:id="281" w:name="_Toc6463"/>
      <w:bookmarkStart w:id="282" w:name="_Toc23246"/>
      <w:bookmarkStart w:id="283" w:name="_Toc29479"/>
      <w:bookmarkStart w:id="284" w:name="_Toc28548"/>
      <w:r>
        <w:rPr>
          <w:rStyle w:val="49"/>
          <w:rFonts w:hint="eastAsia" w:ascii="Times New Roman" w:hAnsi="Times New Roman" w:cs="宋体"/>
          <w:b/>
          <w:bCs/>
          <w:sz w:val="24"/>
          <w:szCs w:val="24"/>
        </w:rPr>
        <w:t>5.2.4应急扩大</w:t>
      </w:r>
      <w:bookmarkEnd w:id="280"/>
      <w:bookmarkEnd w:id="281"/>
      <w:bookmarkEnd w:id="282"/>
      <w:bookmarkEnd w:id="283"/>
      <w:bookmarkEnd w:id="284"/>
    </w:p>
    <w:p>
      <w:pPr>
        <w:spacing w:line="360" w:lineRule="auto"/>
        <w:ind w:firstLine="480"/>
        <w:rPr>
          <w:rFonts w:ascii="宋体" w:hAnsi="宋体" w:cs="宋体"/>
          <w:sz w:val="28"/>
          <w:szCs w:val="28"/>
        </w:rPr>
      </w:pPr>
      <w:bookmarkStart w:id="285" w:name="_Toc6497"/>
      <w:bookmarkEnd w:id="285"/>
      <w:bookmarkStart w:id="286" w:name="_Toc2535"/>
      <w:r>
        <w:rPr>
          <w:rFonts w:hint="eastAsia" w:ascii="宋体" w:hAnsi="宋体" w:cs="宋体"/>
          <w:sz w:val="28"/>
          <w:szCs w:val="28"/>
        </w:rPr>
        <w:t>1、应急扩大条件</w:t>
      </w:r>
      <w:bookmarkEnd w:id="286"/>
    </w:p>
    <w:p>
      <w:pPr>
        <w:spacing w:line="360" w:lineRule="auto"/>
        <w:ind w:firstLine="480"/>
        <w:rPr>
          <w:rFonts w:ascii="宋体" w:hAnsi="宋体" w:cs="宋体"/>
          <w:sz w:val="28"/>
          <w:szCs w:val="28"/>
        </w:rPr>
      </w:pPr>
      <w:r>
        <w:rPr>
          <w:rFonts w:hint="eastAsia" w:ascii="宋体" w:hAnsi="宋体" w:cs="宋体"/>
          <w:sz w:val="28"/>
          <w:szCs w:val="28"/>
        </w:rPr>
        <w:t>1）事故发展迅猛，可能危及附近及其他设施、居民；</w:t>
      </w:r>
    </w:p>
    <w:p>
      <w:pPr>
        <w:spacing w:line="360" w:lineRule="auto"/>
        <w:ind w:firstLine="480"/>
        <w:rPr>
          <w:rFonts w:ascii="宋体" w:hAnsi="宋体" w:cs="宋体"/>
          <w:sz w:val="28"/>
          <w:szCs w:val="28"/>
        </w:rPr>
      </w:pPr>
      <w:r>
        <w:rPr>
          <w:rFonts w:hint="eastAsia" w:ascii="宋体" w:hAnsi="宋体" w:cs="宋体"/>
          <w:sz w:val="28"/>
          <w:szCs w:val="28"/>
        </w:rPr>
        <w:t>2）事故造成人员伤亡；</w:t>
      </w:r>
    </w:p>
    <w:p>
      <w:pPr>
        <w:spacing w:line="360" w:lineRule="auto"/>
        <w:ind w:firstLine="480"/>
        <w:rPr>
          <w:rFonts w:ascii="宋体" w:hAnsi="宋体" w:cs="宋体"/>
          <w:sz w:val="28"/>
          <w:szCs w:val="28"/>
        </w:rPr>
      </w:pPr>
      <w:r>
        <w:rPr>
          <w:rFonts w:hint="eastAsia" w:ascii="宋体" w:hAnsi="宋体" w:cs="宋体"/>
          <w:sz w:val="28"/>
          <w:szCs w:val="28"/>
        </w:rPr>
        <w:t>3）事故超出本级预案应急能力或我公司控制能力。</w:t>
      </w:r>
    </w:p>
    <w:p>
      <w:pPr>
        <w:spacing w:line="360" w:lineRule="auto"/>
        <w:ind w:firstLine="480"/>
        <w:rPr>
          <w:rFonts w:ascii="宋体" w:hAnsi="宋体" w:cs="宋体"/>
          <w:sz w:val="28"/>
          <w:szCs w:val="28"/>
        </w:rPr>
      </w:pPr>
      <w:r>
        <w:rPr>
          <w:rFonts w:hint="eastAsia" w:ascii="宋体" w:hAnsi="宋体" w:cs="宋体"/>
          <w:sz w:val="28"/>
          <w:szCs w:val="28"/>
        </w:rPr>
        <w:t>2、应急扩大原则</w:t>
      </w:r>
    </w:p>
    <w:p>
      <w:pPr>
        <w:spacing w:line="360" w:lineRule="auto"/>
        <w:ind w:firstLine="480"/>
        <w:rPr>
          <w:rFonts w:ascii="宋体" w:hAnsi="宋体" w:cs="宋体"/>
          <w:sz w:val="28"/>
          <w:szCs w:val="28"/>
        </w:rPr>
      </w:pPr>
      <w:r>
        <w:rPr>
          <w:rFonts w:hint="eastAsia" w:ascii="宋体" w:hAnsi="宋体" w:cs="宋体"/>
          <w:sz w:val="28"/>
          <w:szCs w:val="28"/>
        </w:rPr>
        <w:t>1）坚持以人为本原则；</w:t>
      </w:r>
    </w:p>
    <w:p>
      <w:pPr>
        <w:spacing w:line="360" w:lineRule="auto"/>
        <w:ind w:firstLine="480"/>
        <w:rPr>
          <w:rFonts w:ascii="宋体" w:hAnsi="宋体" w:cs="宋体"/>
          <w:sz w:val="28"/>
          <w:szCs w:val="28"/>
        </w:rPr>
      </w:pPr>
      <w:r>
        <w:rPr>
          <w:rFonts w:hint="eastAsia" w:ascii="宋体" w:hAnsi="宋体" w:cs="宋体"/>
          <w:sz w:val="28"/>
          <w:szCs w:val="28"/>
        </w:rPr>
        <w:t>2）组织服务原则；</w:t>
      </w:r>
    </w:p>
    <w:p>
      <w:pPr>
        <w:spacing w:line="360" w:lineRule="auto"/>
        <w:ind w:firstLine="480"/>
        <w:rPr>
          <w:rFonts w:ascii="宋体" w:hAnsi="宋体" w:cs="宋体"/>
          <w:sz w:val="28"/>
          <w:szCs w:val="28"/>
        </w:rPr>
      </w:pPr>
      <w:r>
        <w:rPr>
          <w:rFonts w:hint="eastAsia" w:ascii="宋体" w:hAnsi="宋体" w:cs="宋体"/>
          <w:sz w:val="28"/>
          <w:szCs w:val="28"/>
        </w:rPr>
        <w:t>3）重视次生灾害原则。</w:t>
      </w:r>
    </w:p>
    <w:p>
      <w:pPr>
        <w:spacing w:line="360" w:lineRule="auto"/>
        <w:ind w:firstLine="480"/>
        <w:rPr>
          <w:rFonts w:ascii="宋体" w:hAnsi="宋体" w:cs="宋体"/>
          <w:sz w:val="28"/>
          <w:szCs w:val="28"/>
        </w:rPr>
      </w:pPr>
      <w:r>
        <w:rPr>
          <w:rFonts w:hint="eastAsia" w:ascii="宋体" w:hAnsi="宋体" w:cs="宋体"/>
          <w:sz w:val="28"/>
          <w:szCs w:val="28"/>
        </w:rPr>
        <w:t>当事故发生现场的危险状态不断加剧，超过本级预案应急能力或吉运加油站控制能力后，应急指挥部应立即将情况报告上级部门，上级部门根据事故情况启动相应级别的应急预案后，现场应急指挥权交给上级部门应急总指挥。</w:t>
      </w:r>
    </w:p>
    <w:p>
      <w:pPr>
        <w:pStyle w:val="5"/>
        <w:spacing w:before="0" w:after="0"/>
        <w:rPr>
          <w:rStyle w:val="49"/>
          <w:rFonts w:ascii="Times New Roman" w:hAnsi="Times New Roman" w:cs="宋体"/>
          <w:b/>
          <w:bCs/>
          <w:sz w:val="24"/>
          <w:szCs w:val="24"/>
        </w:rPr>
      </w:pPr>
      <w:bookmarkStart w:id="287" w:name="_Toc504989570"/>
      <w:bookmarkEnd w:id="287"/>
      <w:bookmarkStart w:id="288" w:name="_Toc31212"/>
      <w:bookmarkStart w:id="289" w:name="_Toc14373"/>
      <w:bookmarkStart w:id="290" w:name="_Toc31072"/>
      <w:bookmarkStart w:id="291" w:name="_Toc15815"/>
      <w:r>
        <w:rPr>
          <w:rStyle w:val="49"/>
          <w:rFonts w:hint="eastAsia" w:ascii="Times New Roman" w:hAnsi="Times New Roman" w:cs="宋体"/>
          <w:b/>
          <w:bCs/>
          <w:sz w:val="24"/>
          <w:szCs w:val="24"/>
        </w:rPr>
        <w:t>5.2.5响应程序流程图</w:t>
      </w:r>
      <w:bookmarkEnd w:id="288"/>
      <w:bookmarkEnd w:id="289"/>
      <w:bookmarkEnd w:id="290"/>
      <w:bookmarkEnd w:id="291"/>
    </w:p>
    <w:p>
      <w:pPr>
        <w:spacing w:line="360" w:lineRule="auto"/>
        <w:ind w:firstLine="482"/>
        <w:rPr>
          <w:rFonts w:cs="宋体"/>
          <w:sz w:val="24"/>
          <w:szCs w:val="24"/>
        </w:rPr>
      </w:pPr>
      <w:r>
        <w:rPr>
          <w:rFonts w:hint="eastAsia" w:cs="宋体"/>
          <w:sz w:val="24"/>
          <w:szCs w:val="24"/>
        </w:rPr>
        <w:t>应急救援体系响应程序见下图：</w:t>
      </w:r>
    </w:p>
    <w:p>
      <w:pPr>
        <w:spacing w:line="360" w:lineRule="auto"/>
        <w:rPr>
          <w:rFonts w:cs="宋体"/>
          <w:sz w:val="24"/>
          <w:szCs w:val="24"/>
        </w:rPr>
      </w:pPr>
      <w:r>
        <w:rPr>
          <w:rFonts w:hint="eastAsia" w:ascii="宋体" w:hAnsi="宋体" w:cs="宋体"/>
          <w:sz w:val="24"/>
          <w:szCs w:val="24"/>
        </w:rPr>
        <w:drawing>
          <wp:inline distT="0" distB="0" distL="114300" distR="114300">
            <wp:extent cx="5448300" cy="5231130"/>
            <wp:effectExtent l="0" t="0" r="0" b="7620"/>
            <wp:docPr id="73" name="图片 189" descr="C:\DOCUME~1\ADMINI~1\LOCALS~1\Temp\ksohtml\wps157.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89" descr="C:\DOCUME~1\ADMINI~1\LOCALS~1\Temp\ksohtml\wps157.tmp.jpg"/>
                    <pic:cNvPicPr>
                      <a:picLocks noChangeAspect="1"/>
                    </pic:cNvPicPr>
                  </pic:nvPicPr>
                  <pic:blipFill>
                    <a:blip r:embed="rId9" r:link="rId10">
                      <a:lum bright="-12000" contrast="17999"/>
                    </a:blip>
                    <a:srcRect t="392"/>
                    <a:stretch>
                      <a:fillRect/>
                    </a:stretch>
                  </pic:blipFill>
                  <pic:spPr>
                    <a:xfrm>
                      <a:off x="0" y="0"/>
                      <a:ext cx="5448300" cy="5231130"/>
                    </a:xfrm>
                    <a:prstGeom prst="rect">
                      <a:avLst/>
                    </a:prstGeom>
                    <a:noFill/>
                    <a:ln w="9525">
                      <a:noFill/>
                    </a:ln>
                  </pic:spPr>
                </pic:pic>
              </a:graphicData>
            </a:graphic>
          </wp:inline>
        </w:drawing>
      </w:r>
    </w:p>
    <w:p>
      <w:pPr>
        <w:spacing w:line="360" w:lineRule="auto"/>
        <w:ind w:firstLine="482"/>
        <w:rPr>
          <w:rFonts w:cs="宋体"/>
          <w:sz w:val="24"/>
          <w:szCs w:val="24"/>
        </w:rPr>
      </w:pPr>
    </w:p>
    <w:p>
      <w:pPr>
        <w:pStyle w:val="4"/>
        <w:spacing w:before="0" w:after="0"/>
        <w:rPr>
          <w:rStyle w:val="51"/>
          <w:rFonts w:hint="default" w:ascii="Times New Roman" w:hAnsi="Times New Roman" w:cs="宋体"/>
          <w:b/>
          <w:bCs/>
          <w:sz w:val="24"/>
          <w:szCs w:val="24"/>
        </w:rPr>
      </w:pPr>
      <w:bookmarkStart w:id="292" w:name="_Toc21033"/>
      <w:bookmarkEnd w:id="292"/>
      <w:bookmarkStart w:id="293" w:name="_Toc504989571"/>
      <w:bookmarkStart w:id="294" w:name="_Toc14712"/>
      <w:bookmarkStart w:id="295" w:name="_Toc24991"/>
      <w:bookmarkStart w:id="296" w:name="_Toc10742"/>
      <w:bookmarkStart w:id="297" w:name="_Toc28233"/>
      <w:r>
        <w:rPr>
          <w:rStyle w:val="51"/>
          <w:rFonts w:hint="default" w:ascii="Times New Roman" w:hAnsi="Times New Roman" w:cs="宋体"/>
          <w:b/>
          <w:bCs/>
          <w:sz w:val="24"/>
          <w:szCs w:val="24"/>
        </w:rPr>
        <w:t>5.3处置措施</w:t>
      </w:r>
      <w:bookmarkEnd w:id="293"/>
      <w:bookmarkEnd w:id="294"/>
      <w:bookmarkEnd w:id="295"/>
      <w:bookmarkEnd w:id="296"/>
      <w:bookmarkEnd w:id="297"/>
    </w:p>
    <w:p>
      <w:pPr>
        <w:pStyle w:val="5"/>
        <w:spacing w:before="0" w:after="0"/>
        <w:rPr>
          <w:rStyle w:val="49"/>
          <w:rFonts w:ascii="Times New Roman" w:hAnsi="Times New Roman" w:cs="宋体"/>
          <w:b/>
          <w:bCs/>
          <w:sz w:val="24"/>
          <w:szCs w:val="24"/>
        </w:rPr>
      </w:pPr>
      <w:bookmarkStart w:id="298" w:name="_Toc7277"/>
      <w:bookmarkEnd w:id="298"/>
      <w:bookmarkStart w:id="299" w:name="_Toc504989572"/>
      <w:bookmarkStart w:id="300" w:name="_Toc7051"/>
      <w:bookmarkStart w:id="301" w:name="_Toc14369"/>
      <w:bookmarkStart w:id="302" w:name="_Toc312"/>
      <w:bookmarkStart w:id="303" w:name="_Toc32464"/>
      <w:r>
        <w:rPr>
          <w:rStyle w:val="49"/>
          <w:rFonts w:hint="eastAsia" w:ascii="Times New Roman" w:hAnsi="Times New Roman" w:cs="宋体"/>
          <w:b/>
          <w:bCs/>
          <w:sz w:val="24"/>
          <w:szCs w:val="24"/>
        </w:rPr>
        <w:t>5.3.1 处置原则和要求</w:t>
      </w:r>
      <w:bookmarkEnd w:id="299"/>
      <w:bookmarkEnd w:id="300"/>
      <w:bookmarkEnd w:id="301"/>
      <w:bookmarkEnd w:id="302"/>
      <w:bookmarkEnd w:id="303"/>
    </w:p>
    <w:p>
      <w:pPr>
        <w:spacing w:line="360" w:lineRule="auto"/>
        <w:ind w:firstLine="480"/>
        <w:rPr>
          <w:rFonts w:ascii="宋体" w:hAnsi="宋体" w:cs="宋体"/>
          <w:sz w:val="28"/>
          <w:szCs w:val="28"/>
        </w:rPr>
      </w:pPr>
      <w:r>
        <w:rPr>
          <w:rFonts w:hint="eastAsia" w:ascii="宋体" w:hAnsi="宋体" w:cs="宋体"/>
          <w:sz w:val="28"/>
          <w:szCs w:val="28"/>
        </w:rPr>
        <w:t>处置原则和要求：对事故进行初始评估，确认紧急状态，迅速有效地进行应急响应决策，建立现场工作区域，确定重点保护区域和应急行动的优先原则，指挥和协调现场的救援队伍开展救援行动，合理有效地调配和使用应急资源。</w:t>
      </w:r>
    </w:p>
    <w:p>
      <w:pPr>
        <w:spacing w:line="360" w:lineRule="auto"/>
        <w:ind w:firstLine="480"/>
        <w:rPr>
          <w:rFonts w:ascii="宋体" w:hAnsi="宋体" w:cs="宋体"/>
          <w:sz w:val="28"/>
          <w:szCs w:val="28"/>
        </w:rPr>
      </w:pPr>
      <w:r>
        <w:rPr>
          <w:rFonts w:hint="eastAsia" w:ascii="宋体" w:hAnsi="宋体" w:cs="宋体"/>
          <w:sz w:val="28"/>
          <w:szCs w:val="28"/>
        </w:rPr>
        <w:t>当发生事故可能达到本预案第5.1节</w:t>
      </w:r>
      <w:r>
        <w:rPr>
          <w:rFonts w:hint="eastAsia" w:ascii="宋体" w:hAnsi="宋体" w:cs="宋体"/>
          <w:b/>
          <w:bCs/>
          <w:sz w:val="28"/>
          <w:szCs w:val="28"/>
        </w:rPr>
        <w:t>一级响应级别</w:t>
      </w:r>
      <w:r>
        <w:rPr>
          <w:rFonts w:hint="eastAsia" w:ascii="宋体" w:hAnsi="宋体" w:cs="宋体"/>
          <w:sz w:val="28"/>
          <w:szCs w:val="28"/>
        </w:rPr>
        <w:t>，事故风险评估结果严重，可能波及较大范围，甚至可能引发周边企业、居民发生次生灾害的可能性大时，应急领导小组可按本节应急处置措施以及相应的事故专项预案应急处置措施开展自救，通知周边单位、居民，并报请上级政府部门组织救援；当上级应急响应后，吉运加油站应急救援队伍服从上级应急指挥部的统一领导。</w:t>
      </w:r>
    </w:p>
    <w:p>
      <w:pPr>
        <w:spacing w:line="360" w:lineRule="auto"/>
        <w:ind w:firstLine="480"/>
        <w:rPr>
          <w:rFonts w:ascii="宋体" w:hAnsi="宋体" w:cs="宋体"/>
          <w:sz w:val="28"/>
          <w:szCs w:val="28"/>
        </w:rPr>
      </w:pPr>
      <w:r>
        <w:rPr>
          <w:rFonts w:hint="eastAsia" w:ascii="宋体" w:hAnsi="宋体" w:cs="宋体"/>
          <w:sz w:val="28"/>
          <w:szCs w:val="28"/>
        </w:rPr>
        <w:t>当事故可能达到本预案第5.1节</w:t>
      </w:r>
      <w:r>
        <w:rPr>
          <w:rFonts w:hint="eastAsia" w:ascii="宋体" w:hAnsi="宋体" w:cs="宋体"/>
          <w:b/>
          <w:bCs/>
          <w:sz w:val="28"/>
          <w:szCs w:val="28"/>
        </w:rPr>
        <w:t>二级响应级别</w:t>
      </w:r>
      <w:r>
        <w:rPr>
          <w:rFonts w:hint="eastAsia" w:ascii="宋体" w:hAnsi="宋体" w:cs="宋体"/>
          <w:sz w:val="28"/>
          <w:szCs w:val="28"/>
        </w:rPr>
        <w:t>，事故风险评估结果较大，估计事故波及范围局限于吉运加油站，能被吉运加油站及周边单位、居民利用正常可利用的应急资源处置的紧急情况时，吉运加油站应急领导小组及周边单位、居民协助人员按本节应急处置措施以及相应的事故专项预案应急处置措施开展自救。当事故有扩大趋势，且可能超出吉运加油站应急处置能力时，应立即上报上级政府部门组织救援。</w:t>
      </w:r>
    </w:p>
    <w:p>
      <w:pPr>
        <w:spacing w:line="360" w:lineRule="auto"/>
        <w:ind w:firstLine="480"/>
        <w:rPr>
          <w:rFonts w:ascii="宋体" w:hAnsi="宋体" w:cs="宋体"/>
          <w:sz w:val="28"/>
          <w:szCs w:val="28"/>
        </w:rPr>
      </w:pPr>
      <w:r>
        <w:rPr>
          <w:rFonts w:hint="eastAsia" w:ascii="宋体" w:hAnsi="宋体" w:cs="宋体"/>
          <w:sz w:val="28"/>
          <w:szCs w:val="28"/>
        </w:rPr>
        <w:t>当事故可能达到本预案第5.1节三级响应级别，事故风险评估结果较轻，可能波及范围局限于某些岗位场所，由事故发现人或事故发现人通知站长按照相应的事故现场处置方案开展救援工作。</w:t>
      </w:r>
    </w:p>
    <w:p>
      <w:pPr>
        <w:pStyle w:val="5"/>
        <w:spacing w:before="0" w:after="0"/>
        <w:rPr>
          <w:rStyle w:val="49"/>
          <w:rFonts w:ascii="Times New Roman" w:hAnsi="Times New Roman" w:cs="宋体"/>
          <w:b/>
          <w:bCs/>
          <w:sz w:val="24"/>
          <w:szCs w:val="24"/>
        </w:rPr>
      </w:pPr>
      <w:bookmarkStart w:id="304" w:name="_Toc18817"/>
      <w:bookmarkEnd w:id="304"/>
      <w:bookmarkStart w:id="305" w:name="_Toc12469"/>
      <w:bookmarkEnd w:id="305"/>
      <w:bookmarkStart w:id="306" w:name="_Toc504989573"/>
      <w:bookmarkStart w:id="307" w:name="_Toc731"/>
      <w:bookmarkStart w:id="308" w:name="_Toc13683"/>
      <w:bookmarkStart w:id="309" w:name="_Toc4116"/>
      <w:bookmarkStart w:id="310" w:name="_Toc19274"/>
      <w:r>
        <w:rPr>
          <w:rStyle w:val="49"/>
          <w:rFonts w:hint="eastAsia" w:ascii="Times New Roman" w:hAnsi="Times New Roman" w:cs="宋体"/>
          <w:b/>
          <w:bCs/>
          <w:sz w:val="24"/>
          <w:szCs w:val="24"/>
        </w:rPr>
        <w:t>5.3.2 危险区隔离</w:t>
      </w:r>
      <w:bookmarkEnd w:id="306"/>
      <w:bookmarkEnd w:id="307"/>
      <w:bookmarkEnd w:id="308"/>
      <w:bookmarkEnd w:id="309"/>
      <w:bookmarkEnd w:id="310"/>
    </w:p>
    <w:p>
      <w:pPr>
        <w:spacing w:line="360" w:lineRule="auto"/>
        <w:ind w:firstLine="480"/>
        <w:rPr>
          <w:rFonts w:ascii="宋体" w:hAnsi="宋体" w:cs="宋体"/>
          <w:sz w:val="28"/>
          <w:szCs w:val="28"/>
        </w:rPr>
      </w:pPr>
      <w:bookmarkStart w:id="311" w:name="_Toc255307802"/>
      <w:bookmarkEnd w:id="311"/>
      <w:bookmarkStart w:id="312" w:name="_Toc17937"/>
      <w:bookmarkEnd w:id="312"/>
      <w:bookmarkStart w:id="313" w:name="_Toc4839"/>
      <w:r>
        <w:rPr>
          <w:rFonts w:hint="eastAsia" w:ascii="宋体" w:hAnsi="宋体" w:cs="宋体"/>
          <w:sz w:val="28"/>
          <w:szCs w:val="28"/>
        </w:rPr>
        <w:t>确定事故发生时现场区域的划分，以确保救援人员和撤离人员都能够处于一个相对安全的活动范围。各区域将由警示带加以分隔，并用警示牌作为提示标志。</w:t>
      </w:r>
      <w:bookmarkEnd w:id="313"/>
    </w:p>
    <w:p>
      <w:pPr>
        <w:spacing w:line="360" w:lineRule="auto"/>
        <w:ind w:firstLine="480"/>
        <w:rPr>
          <w:rFonts w:ascii="宋体" w:hAnsi="宋体" w:cs="宋体"/>
          <w:sz w:val="28"/>
          <w:szCs w:val="28"/>
        </w:rPr>
      </w:pPr>
      <w:r>
        <w:rPr>
          <w:rFonts w:hint="eastAsia" w:ascii="宋体" w:hAnsi="宋体" w:cs="宋体"/>
          <w:sz w:val="28"/>
          <w:szCs w:val="28"/>
        </w:rPr>
        <w:t>（1）危险区域</w:t>
      </w:r>
    </w:p>
    <w:p>
      <w:pPr>
        <w:spacing w:line="360" w:lineRule="auto"/>
        <w:ind w:firstLine="480"/>
        <w:rPr>
          <w:rFonts w:ascii="宋体" w:hAnsi="宋体" w:cs="宋体"/>
          <w:sz w:val="28"/>
          <w:szCs w:val="28"/>
        </w:rPr>
      </w:pPr>
      <w:r>
        <w:rPr>
          <w:rFonts w:hint="eastAsia" w:ascii="宋体" w:hAnsi="宋体" w:cs="宋体"/>
          <w:sz w:val="28"/>
          <w:szCs w:val="28"/>
        </w:rPr>
        <w:t>Ⅲ级响应事故危险区域设定：事故发生岗位；</w:t>
      </w:r>
    </w:p>
    <w:p>
      <w:pPr>
        <w:spacing w:line="360" w:lineRule="auto"/>
        <w:ind w:firstLine="480"/>
        <w:rPr>
          <w:rFonts w:ascii="宋体" w:hAnsi="宋体" w:cs="宋体"/>
          <w:sz w:val="28"/>
          <w:szCs w:val="28"/>
        </w:rPr>
      </w:pPr>
      <w:r>
        <w:rPr>
          <w:rFonts w:hint="eastAsia" w:ascii="宋体" w:hAnsi="宋体" w:cs="宋体"/>
          <w:sz w:val="28"/>
          <w:szCs w:val="28"/>
        </w:rPr>
        <w:t>Ⅱ级响应事故危险区域设定：事故发生所在区域，不超出吉运加油站范围；</w:t>
      </w:r>
    </w:p>
    <w:p>
      <w:pPr>
        <w:spacing w:line="360" w:lineRule="auto"/>
        <w:ind w:firstLine="480"/>
        <w:rPr>
          <w:rFonts w:ascii="宋体" w:hAnsi="宋体" w:cs="宋体"/>
          <w:sz w:val="28"/>
          <w:szCs w:val="28"/>
        </w:rPr>
      </w:pPr>
      <w:r>
        <w:rPr>
          <w:rFonts w:hint="eastAsia" w:ascii="宋体" w:hAnsi="宋体" w:cs="宋体"/>
          <w:sz w:val="28"/>
          <w:szCs w:val="28"/>
        </w:rPr>
        <w:t>Ⅰ级响应事故危险区域设定：吉运加油站外40m范围。</w:t>
      </w:r>
    </w:p>
    <w:p>
      <w:pPr>
        <w:spacing w:line="360" w:lineRule="auto"/>
        <w:ind w:firstLine="480"/>
        <w:rPr>
          <w:rFonts w:ascii="宋体" w:hAnsi="宋体" w:cs="宋体"/>
          <w:sz w:val="28"/>
          <w:szCs w:val="28"/>
        </w:rPr>
      </w:pPr>
      <w:r>
        <w:rPr>
          <w:rFonts w:hint="eastAsia" w:ascii="宋体" w:hAnsi="宋体" w:cs="宋体"/>
          <w:sz w:val="28"/>
          <w:szCs w:val="28"/>
        </w:rPr>
        <w:t>此区域内应有明显的警示标志划分，除受过专门训练和有特殊装备的应急救援小组人员能够在此区域内进行特殊的作业外。其他人员一般不得进入，若必须进入此区域，必须得到事故现场总指挥的授权。现场总指挥要确定所有的救援人员能够通行的紧急入口，并确保此入口到事故地点的相对安全。</w:t>
      </w:r>
    </w:p>
    <w:p>
      <w:pPr>
        <w:spacing w:line="360" w:lineRule="auto"/>
        <w:ind w:firstLine="480"/>
        <w:rPr>
          <w:rFonts w:ascii="宋体" w:hAnsi="宋体" w:cs="宋体"/>
          <w:sz w:val="28"/>
          <w:szCs w:val="28"/>
        </w:rPr>
      </w:pPr>
      <w:r>
        <w:rPr>
          <w:rFonts w:hint="eastAsia" w:ascii="宋体" w:hAnsi="宋体" w:cs="宋体"/>
          <w:sz w:val="28"/>
          <w:szCs w:val="28"/>
        </w:rPr>
        <w:t>（2）安全区域</w:t>
      </w:r>
    </w:p>
    <w:p>
      <w:pPr>
        <w:spacing w:line="360" w:lineRule="auto"/>
        <w:ind w:firstLine="480"/>
        <w:rPr>
          <w:rFonts w:ascii="宋体" w:hAnsi="宋体" w:cs="宋体"/>
          <w:sz w:val="28"/>
          <w:szCs w:val="28"/>
        </w:rPr>
      </w:pPr>
      <w:r>
        <w:rPr>
          <w:rFonts w:hint="eastAsia" w:ascii="宋体" w:hAnsi="宋体" w:cs="宋体"/>
          <w:sz w:val="28"/>
          <w:szCs w:val="28"/>
        </w:rPr>
        <w:t>此区域作为事故发生时的指挥和准备区域。在所有人员都需要疏散的异常情况下，需马上确立现场指挥人员和专家安全的工作区域。安全区域的确认需要考虑的几个条件是：当时的天气情况，事故的危害程度和事故发生地点在加油站的位置等因素。可选择的地点为室外安全开阔地。</w:t>
      </w:r>
    </w:p>
    <w:p>
      <w:pPr>
        <w:pStyle w:val="5"/>
        <w:spacing w:before="0" w:after="0"/>
        <w:rPr>
          <w:rStyle w:val="49"/>
          <w:rFonts w:ascii="Times New Roman" w:hAnsi="Times New Roman" w:cs="宋体"/>
          <w:b/>
          <w:bCs/>
          <w:sz w:val="24"/>
          <w:szCs w:val="24"/>
        </w:rPr>
      </w:pPr>
      <w:bookmarkStart w:id="314" w:name="_Toc504989574"/>
      <w:bookmarkEnd w:id="314"/>
      <w:bookmarkStart w:id="315" w:name="_Toc5444"/>
      <w:bookmarkStart w:id="316" w:name="_Toc3557"/>
      <w:bookmarkStart w:id="317" w:name="_Toc18376"/>
      <w:bookmarkStart w:id="318" w:name="_Toc32544"/>
      <w:r>
        <w:rPr>
          <w:rStyle w:val="49"/>
          <w:rFonts w:hint="eastAsia" w:ascii="Times New Roman" w:hAnsi="Times New Roman" w:cs="宋体"/>
          <w:b/>
          <w:bCs/>
          <w:sz w:val="24"/>
          <w:szCs w:val="24"/>
        </w:rPr>
        <w:t>5.3.3 紧急疏散</w:t>
      </w:r>
      <w:bookmarkEnd w:id="315"/>
      <w:bookmarkEnd w:id="316"/>
      <w:bookmarkEnd w:id="317"/>
      <w:bookmarkEnd w:id="318"/>
    </w:p>
    <w:p>
      <w:pPr>
        <w:spacing w:line="360" w:lineRule="auto"/>
        <w:ind w:firstLine="480"/>
        <w:rPr>
          <w:rFonts w:ascii="宋体" w:hAnsi="宋体" w:cs="宋体"/>
          <w:sz w:val="28"/>
          <w:szCs w:val="28"/>
        </w:rPr>
      </w:pPr>
      <w:r>
        <w:rPr>
          <w:rFonts w:hint="eastAsia" w:ascii="宋体" w:hAnsi="宋体" w:cs="宋体"/>
          <w:sz w:val="28"/>
          <w:szCs w:val="28"/>
        </w:rPr>
        <w:t>（1）紧急疏散的指令：</w:t>
      </w:r>
    </w:p>
    <w:p>
      <w:pPr>
        <w:spacing w:line="360" w:lineRule="auto"/>
        <w:ind w:firstLine="480"/>
        <w:rPr>
          <w:rFonts w:ascii="宋体" w:hAnsi="宋体" w:cs="宋体"/>
          <w:sz w:val="28"/>
          <w:szCs w:val="28"/>
        </w:rPr>
      </w:pPr>
      <w:r>
        <w:rPr>
          <w:rFonts w:hint="eastAsia" w:ascii="宋体" w:hAnsi="宋体" w:cs="宋体"/>
          <w:sz w:val="28"/>
          <w:szCs w:val="28"/>
        </w:rPr>
        <w:t>发生下列情况之一时，应立即组织人员紧急疏散：</w:t>
      </w:r>
    </w:p>
    <w:p>
      <w:pPr>
        <w:spacing w:line="360" w:lineRule="auto"/>
        <w:ind w:firstLine="480"/>
        <w:rPr>
          <w:rFonts w:ascii="宋体" w:hAnsi="宋体" w:cs="宋体"/>
          <w:sz w:val="28"/>
          <w:szCs w:val="28"/>
        </w:rPr>
      </w:pPr>
      <w:r>
        <w:rPr>
          <w:rFonts w:hint="eastAsia" w:ascii="宋体" w:hAnsi="宋体" w:cs="宋体"/>
          <w:sz w:val="28"/>
          <w:szCs w:val="28"/>
        </w:rPr>
        <w:t>①发生突发事件，危及影响范围内人们的生命安全时；</w:t>
      </w:r>
    </w:p>
    <w:p>
      <w:pPr>
        <w:spacing w:line="360" w:lineRule="auto"/>
        <w:ind w:firstLine="480"/>
        <w:rPr>
          <w:rFonts w:ascii="宋体" w:hAnsi="宋体" w:cs="宋体"/>
          <w:sz w:val="28"/>
          <w:szCs w:val="28"/>
        </w:rPr>
      </w:pPr>
      <w:r>
        <w:rPr>
          <w:rFonts w:hint="eastAsia" w:ascii="宋体" w:hAnsi="宋体" w:cs="宋体"/>
          <w:sz w:val="28"/>
          <w:szCs w:val="28"/>
        </w:rPr>
        <w:t>②应急救援组发出紧急疏散命令时；</w:t>
      </w:r>
    </w:p>
    <w:p>
      <w:pPr>
        <w:spacing w:line="360" w:lineRule="auto"/>
        <w:ind w:firstLine="480"/>
        <w:rPr>
          <w:rFonts w:ascii="宋体" w:hAnsi="宋体" w:cs="宋体"/>
          <w:sz w:val="28"/>
          <w:szCs w:val="28"/>
        </w:rPr>
      </w:pPr>
      <w:r>
        <w:rPr>
          <w:rFonts w:hint="eastAsia" w:ascii="宋体" w:hAnsi="宋体" w:cs="宋体"/>
          <w:sz w:val="28"/>
          <w:szCs w:val="28"/>
        </w:rPr>
        <w:t>③紧急疏散也可能由于恐怖破坏活动，地震、洪灾等自然灾害、线路故障停电及其他目前尚不能确定的原因。</w:t>
      </w:r>
    </w:p>
    <w:p>
      <w:pPr>
        <w:spacing w:line="360" w:lineRule="auto"/>
        <w:ind w:firstLine="480"/>
        <w:rPr>
          <w:rFonts w:ascii="宋体" w:hAnsi="宋体" w:cs="宋体"/>
          <w:sz w:val="28"/>
          <w:szCs w:val="28"/>
        </w:rPr>
      </w:pPr>
      <w:r>
        <w:rPr>
          <w:rFonts w:hint="eastAsia" w:ascii="宋体" w:hAnsi="宋体" w:cs="宋体"/>
          <w:sz w:val="28"/>
          <w:szCs w:val="28"/>
        </w:rPr>
        <w:t>（2）紧急疏散的组织：</w:t>
      </w:r>
    </w:p>
    <w:p>
      <w:pPr>
        <w:spacing w:line="360" w:lineRule="auto"/>
        <w:ind w:firstLine="480"/>
        <w:rPr>
          <w:rFonts w:ascii="宋体" w:hAnsi="宋体" w:cs="宋体"/>
          <w:sz w:val="28"/>
          <w:szCs w:val="28"/>
        </w:rPr>
      </w:pPr>
      <w:r>
        <w:rPr>
          <w:rFonts w:hint="eastAsia" w:ascii="宋体" w:hAnsi="宋体" w:cs="宋体"/>
          <w:sz w:val="28"/>
          <w:szCs w:val="28"/>
        </w:rPr>
        <w:t>发生事故后，若发出上述紧急疏散指令，应立即启动警报装置，打开疏散通道，应急救援组立即组织人员按照预定路线有序进行。当预定路线遇阻应选择另外安全路线撤离。原则是人员安全和撤离路线尽量短。</w:t>
      </w:r>
    </w:p>
    <w:p>
      <w:pPr>
        <w:spacing w:line="360" w:lineRule="auto"/>
        <w:ind w:firstLine="480"/>
        <w:rPr>
          <w:rFonts w:ascii="宋体" w:hAnsi="宋体" w:cs="宋体"/>
          <w:sz w:val="28"/>
          <w:szCs w:val="28"/>
        </w:rPr>
      </w:pPr>
      <w:r>
        <w:rPr>
          <w:rFonts w:hint="eastAsia" w:ascii="宋体" w:hAnsi="宋体" w:cs="宋体"/>
          <w:sz w:val="28"/>
          <w:szCs w:val="28"/>
        </w:rPr>
        <w:t>（3）紧急疏散时尽量做的工作</w:t>
      </w:r>
    </w:p>
    <w:p>
      <w:pPr>
        <w:spacing w:line="360" w:lineRule="auto"/>
        <w:ind w:firstLine="480"/>
        <w:rPr>
          <w:rFonts w:ascii="宋体" w:hAnsi="宋体" w:cs="宋体"/>
          <w:sz w:val="28"/>
          <w:szCs w:val="28"/>
        </w:rPr>
      </w:pPr>
      <w:r>
        <w:rPr>
          <w:rFonts w:hint="eastAsia" w:ascii="宋体" w:hAnsi="宋体" w:cs="宋体"/>
          <w:sz w:val="28"/>
          <w:szCs w:val="28"/>
        </w:rPr>
        <w:t>①关闭距离最近的防火门。</w:t>
      </w:r>
    </w:p>
    <w:p>
      <w:pPr>
        <w:spacing w:line="360" w:lineRule="auto"/>
        <w:ind w:firstLine="480"/>
        <w:rPr>
          <w:rFonts w:ascii="宋体" w:hAnsi="宋体" w:cs="宋体"/>
          <w:sz w:val="28"/>
          <w:szCs w:val="28"/>
        </w:rPr>
      </w:pPr>
      <w:r>
        <w:rPr>
          <w:rFonts w:hint="eastAsia" w:ascii="宋体" w:hAnsi="宋体" w:cs="宋体"/>
          <w:sz w:val="28"/>
          <w:szCs w:val="28"/>
        </w:rPr>
        <w:t>②停车、切断电源。</w:t>
      </w:r>
    </w:p>
    <w:p>
      <w:pPr>
        <w:spacing w:line="360" w:lineRule="auto"/>
        <w:ind w:firstLine="480"/>
        <w:rPr>
          <w:rFonts w:ascii="宋体" w:hAnsi="宋体" w:cs="宋体"/>
          <w:sz w:val="28"/>
          <w:szCs w:val="28"/>
        </w:rPr>
      </w:pPr>
      <w:r>
        <w:rPr>
          <w:rFonts w:hint="eastAsia" w:ascii="宋体" w:hAnsi="宋体" w:cs="宋体"/>
          <w:sz w:val="28"/>
          <w:szCs w:val="28"/>
        </w:rPr>
        <w:t>（4）紧急疏散的注意事项：</w:t>
      </w:r>
    </w:p>
    <w:p>
      <w:pPr>
        <w:spacing w:line="360" w:lineRule="auto"/>
        <w:ind w:firstLine="480"/>
        <w:rPr>
          <w:rFonts w:ascii="宋体" w:hAnsi="宋体" w:cs="宋体"/>
          <w:sz w:val="28"/>
          <w:szCs w:val="28"/>
        </w:rPr>
      </w:pPr>
      <w:r>
        <w:rPr>
          <w:rFonts w:hint="eastAsia" w:ascii="宋体" w:hAnsi="宋体" w:cs="宋体"/>
          <w:sz w:val="28"/>
          <w:szCs w:val="28"/>
        </w:rPr>
        <w:t>①及时应清点人数，做到撤离时不漏掉人员。</w:t>
      </w:r>
    </w:p>
    <w:p>
      <w:pPr>
        <w:spacing w:line="360" w:lineRule="auto"/>
        <w:ind w:firstLine="480"/>
        <w:rPr>
          <w:rFonts w:ascii="宋体" w:hAnsi="宋体" w:cs="宋体"/>
          <w:sz w:val="28"/>
          <w:szCs w:val="28"/>
        </w:rPr>
      </w:pPr>
      <w:r>
        <w:rPr>
          <w:rFonts w:hint="eastAsia" w:ascii="宋体" w:hAnsi="宋体" w:cs="宋体"/>
          <w:sz w:val="28"/>
          <w:szCs w:val="28"/>
        </w:rPr>
        <w:t>②应组织有序，避免大声呼叫、拥挤和奔跑。若疏散途中遇有大量烟气，应改道不同方向的安全出入口，绕开烟雾。区域内的来访人员、承包商人员，应随同撤离。（注意：越是接近火灾事故区，烟气越浓、温度越高，因此应判断好撤离方向）</w:t>
      </w:r>
    </w:p>
    <w:p>
      <w:pPr>
        <w:spacing w:line="360" w:lineRule="auto"/>
        <w:ind w:firstLine="480"/>
        <w:rPr>
          <w:rFonts w:ascii="宋体" w:hAnsi="宋体" w:cs="宋体"/>
          <w:sz w:val="28"/>
          <w:szCs w:val="28"/>
        </w:rPr>
      </w:pPr>
      <w:r>
        <w:rPr>
          <w:rFonts w:hint="eastAsia" w:ascii="宋体" w:hAnsi="宋体" w:cs="宋体"/>
          <w:sz w:val="28"/>
          <w:szCs w:val="28"/>
        </w:rPr>
        <w:t>③若到处有烟雾，应尽量俯下身体，因为距离地面越近，空气越是新鲜，并且容易辨别疏散方向。若充满烟雾时，应用湿毛巾放在鼻孔上进行呼吸。不可吸入烟气。</w:t>
      </w:r>
    </w:p>
    <w:p>
      <w:pPr>
        <w:spacing w:line="360" w:lineRule="auto"/>
        <w:ind w:firstLine="480"/>
        <w:rPr>
          <w:rFonts w:ascii="宋体" w:hAnsi="宋体" w:cs="宋体"/>
          <w:sz w:val="28"/>
          <w:szCs w:val="28"/>
        </w:rPr>
      </w:pPr>
      <w:r>
        <w:rPr>
          <w:rFonts w:hint="eastAsia" w:ascii="宋体" w:hAnsi="宋体" w:cs="宋体"/>
          <w:sz w:val="28"/>
          <w:szCs w:val="28"/>
        </w:rPr>
        <w:t>（5）紧急疏散人员的集合</w:t>
      </w:r>
    </w:p>
    <w:p>
      <w:pPr>
        <w:spacing w:line="360" w:lineRule="auto"/>
        <w:ind w:firstLine="480"/>
        <w:rPr>
          <w:rFonts w:ascii="宋体" w:hAnsi="宋体" w:cs="宋体"/>
          <w:sz w:val="28"/>
          <w:szCs w:val="28"/>
        </w:rPr>
      </w:pPr>
      <w:r>
        <w:rPr>
          <w:rFonts w:hint="eastAsia" w:ascii="宋体" w:hAnsi="宋体" w:cs="宋体"/>
          <w:sz w:val="28"/>
          <w:szCs w:val="28"/>
        </w:rPr>
        <w:t>所有人员（包括来访人员、承包商人员）撤离后应到指定区域报到。站长统计人数，成员应协助区域负责人迅速查清人数。</w:t>
      </w:r>
    </w:p>
    <w:p>
      <w:pPr>
        <w:spacing w:line="360" w:lineRule="auto"/>
        <w:ind w:firstLine="480"/>
        <w:rPr>
          <w:rFonts w:ascii="宋体" w:hAnsi="宋体" w:cs="宋体"/>
          <w:sz w:val="28"/>
          <w:szCs w:val="28"/>
        </w:rPr>
      </w:pPr>
      <w:r>
        <w:rPr>
          <w:rFonts w:hint="eastAsia" w:ascii="宋体" w:hAnsi="宋体" w:cs="宋体"/>
          <w:sz w:val="28"/>
          <w:szCs w:val="28"/>
        </w:rPr>
        <w:t>（6）疏散救援</w:t>
      </w:r>
    </w:p>
    <w:p>
      <w:pPr>
        <w:spacing w:line="360" w:lineRule="auto"/>
        <w:ind w:firstLine="480"/>
        <w:rPr>
          <w:rFonts w:ascii="宋体" w:hAnsi="宋体" w:cs="宋体"/>
          <w:sz w:val="28"/>
          <w:szCs w:val="28"/>
        </w:rPr>
      </w:pPr>
      <w:r>
        <w:rPr>
          <w:rFonts w:hint="eastAsia" w:ascii="宋体" w:hAnsi="宋体" w:cs="宋体"/>
          <w:sz w:val="28"/>
          <w:szCs w:val="28"/>
        </w:rPr>
        <w:t>紧急疏散集合后（集合地点设置两处，可根据事故状况和风向等气象条件选择其中比较安全的一处，参见附图标明的位置），点名发现有人员未能撤出，应立即查明原因，派出救援人员现场施救。若被救人员可能在火场范围内或可能压在建筑、设备设施下，超出场内救援施救能力时。若超出本站能力，立即向当地政府求救</w:t>
      </w:r>
    </w:p>
    <w:p>
      <w:pPr>
        <w:spacing w:line="360" w:lineRule="auto"/>
        <w:ind w:firstLine="480"/>
        <w:rPr>
          <w:rFonts w:ascii="宋体" w:hAnsi="宋体" w:cs="宋体"/>
          <w:sz w:val="28"/>
          <w:szCs w:val="28"/>
        </w:rPr>
      </w:pPr>
      <w:r>
        <w:rPr>
          <w:rFonts w:hint="eastAsia" w:ascii="宋体" w:hAnsi="宋体" w:cs="宋体"/>
          <w:sz w:val="28"/>
          <w:szCs w:val="28"/>
        </w:rPr>
        <w:t>注意事项：</w:t>
      </w:r>
    </w:p>
    <w:p>
      <w:pPr>
        <w:spacing w:line="360" w:lineRule="auto"/>
        <w:ind w:firstLine="480"/>
        <w:rPr>
          <w:rFonts w:ascii="宋体" w:hAnsi="宋体" w:cs="宋体"/>
          <w:sz w:val="28"/>
          <w:szCs w:val="28"/>
        </w:rPr>
      </w:pPr>
      <w:r>
        <w:rPr>
          <w:rFonts w:hint="eastAsia" w:ascii="宋体" w:hAnsi="宋体" w:cs="宋体"/>
          <w:sz w:val="28"/>
          <w:szCs w:val="28"/>
        </w:rPr>
        <w:t>（1）操作规程必须包括紧急停机程序；</w:t>
      </w:r>
    </w:p>
    <w:p>
      <w:pPr>
        <w:spacing w:line="360" w:lineRule="auto"/>
        <w:ind w:firstLine="480"/>
        <w:rPr>
          <w:rFonts w:ascii="宋体" w:hAnsi="宋体" w:cs="宋体"/>
          <w:sz w:val="28"/>
          <w:szCs w:val="28"/>
        </w:rPr>
      </w:pPr>
      <w:r>
        <w:rPr>
          <w:rFonts w:hint="eastAsia" w:ascii="宋体" w:hAnsi="宋体" w:cs="宋体"/>
          <w:sz w:val="28"/>
          <w:szCs w:val="28"/>
        </w:rPr>
        <w:t>（2）非吉运加油站人员的安全撤离由吉运加油站人员负责；</w:t>
      </w:r>
    </w:p>
    <w:p>
      <w:pPr>
        <w:spacing w:line="360" w:lineRule="auto"/>
        <w:ind w:firstLine="480"/>
        <w:rPr>
          <w:rFonts w:ascii="宋体" w:hAnsi="宋体" w:cs="宋体"/>
          <w:sz w:val="28"/>
          <w:szCs w:val="28"/>
        </w:rPr>
      </w:pPr>
      <w:r>
        <w:rPr>
          <w:rFonts w:hint="eastAsia" w:ascii="宋体" w:hAnsi="宋体" w:cs="宋体"/>
          <w:sz w:val="28"/>
          <w:szCs w:val="28"/>
        </w:rPr>
        <w:t>（3）宣布应急结束前，任何人不得擅自返回工作地点。</w:t>
      </w:r>
    </w:p>
    <w:p>
      <w:pPr>
        <w:pStyle w:val="5"/>
        <w:spacing w:before="0" w:after="0"/>
        <w:rPr>
          <w:rStyle w:val="49"/>
          <w:rFonts w:ascii="Times New Roman" w:hAnsi="Times New Roman" w:cs="宋体"/>
          <w:b/>
          <w:bCs/>
          <w:sz w:val="24"/>
          <w:szCs w:val="24"/>
        </w:rPr>
      </w:pPr>
      <w:bookmarkStart w:id="319" w:name="_Toc10989"/>
      <w:bookmarkEnd w:id="319"/>
      <w:bookmarkStart w:id="320" w:name="_Toc19729"/>
      <w:bookmarkEnd w:id="320"/>
      <w:bookmarkStart w:id="321" w:name="_Toc504989575"/>
      <w:bookmarkStart w:id="322" w:name="_Toc29229"/>
      <w:bookmarkStart w:id="323" w:name="_Toc23175"/>
      <w:bookmarkStart w:id="324" w:name="_Toc19781"/>
      <w:bookmarkStart w:id="325" w:name="_Toc7548"/>
      <w:r>
        <w:rPr>
          <w:rStyle w:val="49"/>
          <w:rFonts w:hint="eastAsia" w:ascii="Times New Roman" w:hAnsi="Times New Roman" w:cs="宋体"/>
          <w:b/>
          <w:bCs/>
          <w:sz w:val="24"/>
          <w:szCs w:val="24"/>
        </w:rPr>
        <w:t>5.3.4 危险源的</w:t>
      </w:r>
      <w:bookmarkEnd w:id="321"/>
      <w:r>
        <w:rPr>
          <w:rStyle w:val="49"/>
          <w:rFonts w:hint="eastAsia" w:ascii="Times New Roman" w:hAnsi="Times New Roman" w:cs="宋体"/>
          <w:b/>
          <w:bCs/>
          <w:sz w:val="24"/>
          <w:szCs w:val="24"/>
        </w:rPr>
        <w:t>监控措施</w:t>
      </w:r>
      <w:bookmarkEnd w:id="322"/>
      <w:bookmarkEnd w:id="323"/>
      <w:bookmarkEnd w:id="324"/>
      <w:bookmarkEnd w:id="325"/>
    </w:p>
    <w:p>
      <w:pPr>
        <w:spacing w:line="360" w:lineRule="auto"/>
        <w:ind w:firstLine="480"/>
        <w:rPr>
          <w:rFonts w:ascii="宋体" w:hAnsi="宋体" w:cs="宋体"/>
          <w:sz w:val="28"/>
          <w:szCs w:val="28"/>
        </w:rPr>
      </w:pPr>
      <w:r>
        <w:rPr>
          <w:rFonts w:hint="eastAsia" w:ascii="宋体" w:hAnsi="宋体" w:cs="宋体"/>
          <w:sz w:val="28"/>
          <w:szCs w:val="28"/>
        </w:rPr>
        <w:t>1、抢险、救援方式、方法及人员的防护、监控措施：</w:t>
      </w:r>
    </w:p>
    <w:p>
      <w:pPr>
        <w:spacing w:line="360" w:lineRule="auto"/>
        <w:ind w:firstLine="480"/>
        <w:rPr>
          <w:rFonts w:ascii="宋体" w:hAnsi="宋体" w:cs="宋体"/>
          <w:sz w:val="28"/>
          <w:szCs w:val="28"/>
        </w:rPr>
      </w:pPr>
      <w:r>
        <w:rPr>
          <w:rFonts w:hint="eastAsia" w:ascii="宋体" w:hAnsi="宋体" w:cs="宋体"/>
          <w:sz w:val="28"/>
          <w:szCs w:val="28"/>
        </w:rPr>
        <w:t>（1）从业人员在确保自身安全的前提下，必须有序进行事故初期的抢险处置。</w:t>
      </w:r>
    </w:p>
    <w:p>
      <w:pPr>
        <w:spacing w:line="360" w:lineRule="auto"/>
        <w:ind w:firstLine="480"/>
        <w:rPr>
          <w:rFonts w:ascii="宋体" w:hAnsi="宋体" w:cs="宋体"/>
          <w:sz w:val="28"/>
          <w:szCs w:val="28"/>
        </w:rPr>
      </w:pPr>
      <w:r>
        <w:rPr>
          <w:rFonts w:hint="eastAsia" w:ascii="宋体" w:hAnsi="宋体" w:cs="宋体"/>
          <w:sz w:val="28"/>
          <w:szCs w:val="28"/>
        </w:rPr>
        <w:t>（2）危险化学品泄漏事故消除所有点火源。根据液体流动和蒸气扩散的影响区域划定警戒区，无关人员从侧风、上风向撤离至安全区。建议应急处理人员戴正压自给式空气呼吸器，穿防毒、防静电服。作业时使用的所有设备应接地。禁止接触或跨越泄漏物。尽可能切断泄漏源。防止泄漏物进入水体、下水道。小量泄漏：用沙土或其他不燃材料吸收。使用洁净的无火花工具收集吸收材料。大量泄漏：构筑围堤或挖坑收容。用沙土覆盖，减少蒸发。喷水雾能减少蒸发，但不能降低泄漏物在受限制空间内的易燃性。用防爆泵转移至槽车或专用收集器内。作为一项紧急预防措施，泄漏隔离距离至少为50m。如果为大量泄漏，下风向的初始疏散距离应至少为300m。</w:t>
      </w:r>
    </w:p>
    <w:p>
      <w:pPr>
        <w:spacing w:line="360" w:lineRule="auto"/>
        <w:ind w:firstLine="480"/>
        <w:rPr>
          <w:rFonts w:ascii="宋体" w:hAnsi="宋体" w:cs="宋体"/>
          <w:sz w:val="28"/>
          <w:szCs w:val="28"/>
        </w:rPr>
      </w:pPr>
      <w:r>
        <w:rPr>
          <w:rFonts w:hint="eastAsia" w:ascii="宋体" w:hAnsi="宋体" w:cs="宋体"/>
          <w:sz w:val="28"/>
          <w:szCs w:val="28"/>
        </w:rPr>
        <w:t>（3）发生着火灾爆炸事故时，应迅速切断着火源，用干粉、二氧化碳灭火器，同时生产操作人员应迅速对生产装置作紧急停车处置。</w:t>
      </w:r>
    </w:p>
    <w:p>
      <w:pPr>
        <w:spacing w:line="360" w:lineRule="auto"/>
        <w:ind w:firstLine="480"/>
        <w:rPr>
          <w:rFonts w:ascii="宋体" w:hAnsi="宋体" w:cs="宋体"/>
          <w:sz w:val="28"/>
          <w:szCs w:val="28"/>
        </w:rPr>
      </w:pPr>
      <w:r>
        <w:rPr>
          <w:rFonts w:hint="eastAsia" w:ascii="宋体" w:hAnsi="宋体" w:cs="宋体"/>
          <w:sz w:val="28"/>
          <w:szCs w:val="28"/>
        </w:rPr>
        <w:t>（4）发生中毒窒息事故，应迅速将受伤人员移至安全区域，给氧，并立即联系送医院治疗。</w:t>
      </w:r>
    </w:p>
    <w:p>
      <w:pPr>
        <w:spacing w:line="360" w:lineRule="auto"/>
        <w:ind w:firstLine="480"/>
        <w:rPr>
          <w:rFonts w:ascii="宋体" w:hAnsi="宋体" w:cs="宋体"/>
          <w:sz w:val="28"/>
          <w:szCs w:val="28"/>
        </w:rPr>
      </w:pPr>
      <w:r>
        <w:rPr>
          <w:rFonts w:hint="eastAsia" w:ascii="宋体" w:hAnsi="宋体" w:cs="宋体"/>
          <w:sz w:val="28"/>
          <w:szCs w:val="28"/>
        </w:rPr>
        <w:t>2、现场实时检测及异常情况下的抢险人员的撤离条件、方法：</w:t>
      </w:r>
    </w:p>
    <w:p>
      <w:pPr>
        <w:spacing w:line="360" w:lineRule="auto"/>
        <w:ind w:firstLine="480"/>
        <w:rPr>
          <w:rFonts w:ascii="宋体" w:hAnsi="宋体" w:cs="宋体"/>
          <w:sz w:val="28"/>
          <w:szCs w:val="28"/>
        </w:rPr>
      </w:pPr>
      <w:r>
        <w:rPr>
          <w:rFonts w:hint="eastAsia" w:ascii="宋体" w:hAnsi="宋体" w:cs="宋体"/>
          <w:sz w:val="28"/>
          <w:szCs w:val="28"/>
        </w:rPr>
        <w:t>在事故处置过程中如突然发生异常变化，危险物质浓度迅速上升，火情或灾情失去控制，欲引发连锁反应时，现场救援人员应果断进行紧急撤离。撤离方法是所有救援人员迅速撤离至安全区域待命，并做好再次进入的准备。</w:t>
      </w:r>
    </w:p>
    <w:p>
      <w:pPr>
        <w:pStyle w:val="5"/>
        <w:spacing w:before="0" w:after="0"/>
        <w:rPr>
          <w:rStyle w:val="49"/>
          <w:rFonts w:ascii="Times New Roman" w:hAnsi="Times New Roman" w:cs="宋体"/>
          <w:b/>
          <w:bCs/>
          <w:sz w:val="24"/>
          <w:szCs w:val="24"/>
        </w:rPr>
      </w:pPr>
      <w:bookmarkStart w:id="326" w:name="_Toc27075"/>
      <w:bookmarkEnd w:id="326"/>
      <w:bookmarkStart w:id="327" w:name="_Toc9444"/>
      <w:bookmarkEnd w:id="327"/>
      <w:bookmarkStart w:id="328" w:name="_Toc504989576"/>
      <w:bookmarkStart w:id="329" w:name="_Toc6006"/>
      <w:bookmarkStart w:id="330" w:name="_Toc23850"/>
      <w:bookmarkStart w:id="331" w:name="_Toc27315"/>
      <w:bookmarkStart w:id="332" w:name="_Toc17341"/>
      <w:r>
        <w:rPr>
          <w:rStyle w:val="49"/>
          <w:rFonts w:hint="eastAsia" w:ascii="Times New Roman" w:hAnsi="Times New Roman" w:cs="宋体"/>
          <w:b/>
          <w:bCs/>
          <w:sz w:val="24"/>
          <w:szCs w:val="24"/>
        </w:rPr>
        <w:t>5.3.5 搜救和营救行动</w:t>
      </w:r>
      <w:bookmarkEnd w:id="328"/>
      <w:bookmarkEnd w:id="329"/>
      <w:bookmarkEnd w:id="330"/>
      <w:bookmarkEnd w:id="331"/>
      <w:bookmarkEnd w:id="332"/>
    </w:p>
    <w:p>
      <w:pPr>
        <w:spacing w:line="360" w:lineRule="auto"/>
        <w:ind w:firstLine="480"/>
        <w:rPr>
          <w:rFonts w:ascii="宋体" w:hAnsi="宋体" w:cs="宋体"/>
          <w:sz w:val="28"/>
          <w:szCs w:val="28"/>
        </w:rPr>
      </w:pPr>
      <w:r>
        <w:rPr>
          <w:rFonts w:hint="eastAsia" w:ascii="宋体" w:hAnsi="宋体" w:cs="宋体"/>
          <w:sz w:val="28"/>
          <w:szCs w:val="28"/>
        </w:rPr>
        <w:t>（1）如果确定有受伤、失踪或困在危险区域内，救援人员应穿好防护用具（防护服、呼吸器），在能够保证自身安全的情况下，以小组联合行动的方式进行救援；</w:t>
      </w:r>
    </w:p>
    <w:p>
      <w:pPr>
        <w:spacing w:line="360" w:lineRule="auto"/>
        <w:ind w:firstLine="480"/>
        <w:rPr>
          <w:rFonts w:ascii="宋体" w:hAnsi="宋体" w:cs="宋体"/>
          <w:sz w:val="28"/>
          <w:szCs w:val="28"/>
        </w:rPr>
      </w:pPr>
      <w:r>
        <w:rPr>
          <w:rFonts w:hint="eastAsia" w:ascii="宋体" w:hAnsi="宋体" w:cs="宋体"/>
          <w:sz w:val="28"/>
          <w:szCs w:val="28"/>
        </w:rPr>
        <w:t>（2）在救援过程中，救援人员要随时保持通信联络；</w:t>
      </w:r>
    </w:p>
    <w:p>
      <w:pPr>
        <w:spacing w:line="360" w:lineRule="auto"/>
        <w:ind w:firstLine="480"/>
        <w:rPr>
          <w:rFonts w:ascii="宋体" w:hAnsi="宋体" w:cs="宋体"/>
          <w:sz w:val="28"/>
          <w:szCs w:val="28"/>
        </w:rPr>
      </w:pPr>
      <w:r>
        <w:rPr>
          <w:rFonts w:hint="eastAsia" w:ascii="宋体" w:hAnsi="宋体" w:cs="宋体"/>
          <w:sz w:val="28"/>
          <w:szCs w:val="28"/>
        </w:rPr>
        <w:t>（3）其他辅助救援小组要考虑提供水喷淋用作掩护，最低限度减少热量对救援人员的影响。</w:t>
      </w:r>
    </w:p>
    <w:p>
      <w:pPr>
        <w:pStyle w:val="5"/>
        <w:spacing w:before="0" w:after="0"/>
        <w:rPr>
          <w:rStyle w:val="49"/>
          <w:rFonts w:ascii="Times New Roman" w:hAnsi="Times New Roman" w:cs="宋体"/>
          <w:b/>
          <w:bCs/>
          <w:sz w:val="24"/>
          <w:szCs w:val="24"/>
        </w:rPr>
      </w:pPr>
      <w:bookmarkStart w:id="333" w:name="_Toc10698"/>
      <w:bookmarkEnd w:id="333"/>
      <w:bookmarkStart w:id="334" w:name="_Toc21721"/>
      <w:bookmarkEnd w:id="334"/>
      <w:bookmarkStart w:id="335" w:name="_Toc504989577"/>
      <w:bookmarkStart w:id="336" w:name="_Toc19001"/>
      <w:bookmarkStart w:id="337" w:name="_Toc7256"/>
      <w:bookmarkStart w:id="338" w:name="_Toc11691"/>
      <w:bookmarkStart w:id="339" w:name="_Toc48"/>
      <w:r>
        <w:rPr>
          <w:rStyle w:val="49"/>
          <w:rFonts w:hint="eastAsia" w:ascii="Times New Roman" w:hAnsi="Times New Roman" w:cs="宋体"/>
          <w:b/>
          <w:bCs/>
          <w:sz w:val="24"/>
          <w:szCs w:val="24"/>
        </w:rPr>
        <w:t>5.3.6 伤员救治</w:t>
      </w:r>
      <w:bookmarkEnd w:id="335"/>
      <w:bookmarkEnd w:id="336"/>
      <w:bookmarkEnd w:id="337"/>
      <w:bookmarkEnd w:id="338"/>
      <w:bookmarkEnd w:id="339"/>
    </w:p>
    <w:p>
      <w:pPr>
        <w:spacing w:line="360" w:lineRule="auto"/>
        <w:ind w:firstLine="480"/>
        <w:rPr>
          <w:rFonts w:ascii="宋体" w:hAnsi="宋体" w:cs="宋体"/>
          <w:sz w:val="28"/>
          <w:szCs w:val="28"/>
        </w:rPr>
      </w:pPr>
      <w:r>
        <w:rPr>
          <w:rFonts w:hint="eastAsia" w:ascii="宋体" w:hAnsi="宋体" w:cs="宋体"/>
          <w:sz w:val="28"/>
          <w:szCs w:val="28"/>
        </w:rPr>
        <w:t>1、当出现人员意外伤害情况时，受伤人员或目击者应立即报告组长，将受伤人员妥善送至安全地点。如需要送往医院进一步治疗，拨打120或将伤员直送医院治疗。</w:t>
      </w:r>
    </w:p>
    <w:p>
      <w:pPr>
        <w:spacing w:line="360" w:lineRule="auto"/>
        <w:ind w:firstLine="480"/>
        <w:rPr>
          <w:rFonts w:ascii="宋体" w:hAnsi="宋体" w:cs="宋体"/>
          <w:sz w:val="28"/>
          <w:szCs w:val="28"/>
        </w:rPr>
      </w:pPr>
      <w:r>
        <w:rPr>
          <w:rFonts w:hint="eastAsia" w:ascii="宋体" w:hAnsi="宋体" w:cs="宋体"/>
          <w:sz w:val="28"/>
          <w:szCs w:val="28"/>
        </w:rPr>
        <w:t>注意事项：拨打120时，应告知公司名称、详细地址、联系电话、伤害类型、伤员人数等。</w:t>
      </w:r>
    </w:p>
    <w:p>
      <w:pPr>
        <w:spacing w:line="360" w:lineRule="auto"/>
        <w:ind w:firstLine="480"/>
        <w:rPr>
          <w:rFonts w:ascii="宋体" w:hAnsi="宋体" w:cs="宋体"/>
          <w:sz w:val="28"/>
          <w:szCs w:val="28"/>
        </w:rPr>
      </w:pPr>
      <w:r>
        <w:rPr>
          <w:rFonts w:hint="eastAsia" w:ascii="宋体" w:hAnsi="宋体" w:cs="宋体"/>
          <w:sz w:val="28"/>
          <w:szCs w:val="28"/>
        </w:rPr>
        <w:t>2、受伤人员的现场处置措施:</w:t>
      </w:r>
    </w:p>
    <w:p>
      <w:pPr>
        <w:spacing w:line="360" w:lineRule="auto"/>
        <w:ind w:firstLine="480"/>
        <w:rPr>
          <w:rFonts w:ascii="宋体" w:hAnsi="宋体" w:cs="宋体"/>
          <w:sz w:val="28"/>
          <w:szCs w:val="28"/>
        </w:rPr>
      </w:pPr>
      <w:r>
        <w:rPr>
          <w:rFonts w:hint="eastAsia" w:ascii="宋体" w:hAnsi="宋体" w:cs="宋体"/>
          <w:sz w:val="28"/>
          <w:szCs w:val="28"/>
        </w:rPr>
        <w:t>（1）轻伤人员，迅速转移至上风向安全区域由救护小组进行现场治疗。</w:t>
      </w:r>
    </w:p>
    <w:p>
      <w:pPr>
        <w:spacing w:line="360" w:lineRule="auto"/>
        <w:ind w:firstLine="480"/>
        <w:rPr>
          <w:rFonts w:ascii="宋体" w:hAnsi="宋体" w:cs="宋体"/>
          <w:sz w:val="28"/>
          <w:szCs w:val="28"/>
        </w:rPr>
      </w:pPr>
      <w:r>
        <w:rPr>
          <w:rFonts w:hint="eastAsia" w:ascii="宋体" w:hAnsi="宋体" w:cs="宋体"/>
          <w:sz w:val="28"/>
          <w:szCs w:val="28"/>
        </w:rPr>
        <w:t>（2）伤势较重者应立即给氧。</w:t>
      </w:r>
    </w:p>
    <w:p>
      <w:pPr>
        <w:spacing w:line="360" w:lineRule="auto"/>
        <w:ind w:firstLine="480"/>
        <w:rPr>
          <w:rFonts w:ascii="宋体" w:hAnsi="宋体" w:cs="宋体"/>
          <w:sz w:val="28"/>
          <w:szCs w:val="28"/>
        </w:rPr>
      </w:pPr>
      <w:r>
        <w:rPr>
          <w:rFonts w:hint="eastAsia" w:ascii="宋体" w:hAnsi="宋体" w:cs="宋体"/>
          <w:sz w:val="28"/>
          <w:szCs w:val="28"/>
        </w:rPr>
        <w:t>（3）由站长或站长指定人员联系救护车辆，转移伤者，确定进一步救治方案。</w:t>
      </w:r>
    </w:p>
    <w:p>
      <w:pPr>
        <w:spacing w:line="360" w:lineRule="auto"/>
        <w:ind w:firstLine="480"/>
        <w:rPr>
          <w:rFonts w:ascii="宋体" w:hAnsi="宋体" w:cs="宋体"/>
          <w:sz w:val="28"/>
          <w:szCs w:val="28"/>
        </w:rPr>
      </w:pPr>
      <w:r>
        <w:rPr>
          <w:rFonts w:hint="eastAsia" w:ascii="宋体" w:hAnsi="宋体" w:cs="宋体"/>
          <w:sz w:val="28"/>
          <w:szCs w:val="28"/>
        </w:rPr>
        <w:t>3、受伤人员进入医院前的抢救措施：</w:t>
      </w:r>
    </w:p>
    <w:p>
      <w:pPr>
        <w:spacing w:line="360" w:lineRule="auto"/>
        <w:ind w:firstLine="480"/>
        <w:rPr>
          <w:rFonts w:ascii="宋体" w:hAnsi="宋体" w:cs="宋体"/>
          <w:sz w:val="28"/>
          <w:szCs w:val="28"/>
        </w:rPr>
      </w:pPr>
      <w:r>
        <w:rPr>
          <w:rFonts w:hint="eastAsia" w:ascii="宋体" w:hAnsi="宋体" w:cs="宋体"/>
          <w:sz w:val="28"/>
          <w:szCs w:val="28"/>
        </w:rPr>
        <w:t>（1）呼吸困难者给输氧。</w:t>
      </w:r>
    </w:p>
    <w:p>
      <w:pPr>
        <w:spacing w:line="360" w:lineRule="auto"/>
        <w:ind w:firstLine="480"/>
        <w:rPr>
          <w:rFonts w:ascii="宋体" w:hAnsi="宋体" w:cs="宋体"/>
          <w:sz w:val="28"/>
          <w:szCs w:val="28"/>
        </w:rPr>
      </w:pPr>
      <w:r>
        <w:rPr>
          <w:rFonts w:hint="eastAsia" w:ascii="宋体" w:hAnsi="宋体" w:cs="宋体"/>
          <w:sz w:val="28"/>
          <w:szCs w:val="28"/>
        </w:rPr>
        <w:t>（2）大量流血者进行紧急止血.</w:t>
      </w:r>
    </w:p>
    <w:p>
      <w:pPr>
        <w:spacing w:line="360" w:lineRule="auto"/>
        <w:ind w:firstLine="480"/>
        <w:rPr>
          <w:rFonts w:ascii="宋体" w:hAnsi="宋体" w:cs="宋体"/>
          <w:sz w:val="28"/>
          <w:szCs w:val="28"/>
        </w:rPr>
      </w:pPr>
      <w:r>
        <w:rPr>
          <w:rFonts w:hint="eastAsia" w:ascii="宋体" w:hAnsi="宋体" w:cs="宋体"/>
          <w:sz w:val="28"/>
          <w:szCs w:val="28"/>
        </w:rPr>
        <w:t>（3）呼吸停止者做人工呼吸.</w:t>
      </w:r>
    </w:p>
    <w:p>
      <w:pPr>
        <w:spacing w:line="360" w:lineRule="auto"/>
        <w:ind w:firstLine="480"/>
        <w:rPr>
          <w:rFonts w:ascii="宋体" w:hAnsi="宋体" w:cs="宋体"/>
          <w:sz w:val="28"/>
          <w:szCs w:val="28"/>
        </w:rPr>
      </w:pPr>
      <w:r>
        <w:rPr>
          <w:rFonts w:hint="eastAsia" w:ascii="宋体" w:hAnsi="宋体" w:cs="宋体"/>
          <w:sz w:val="28"/>
          <w:szCs w:val="28"/>
        </w:rPr>
        <w:t>（4）中毒者，解开衣着，给氧.</w:t>
      </w:r>
    </w:p>
    <w:p>
      <w:pPr>
        <w:spacing w:line="360" w:lineRule="auto"/>
        <w:ind w:firstLine="480"/>
        <w:rPr>
          <w:rFonts w:ascii="宋体" w:hAnsi="宋体" w:cs="宋体"/>
          <w:sz w:val="28"/>
          <w:szCs w:val="28"/>
        </w:rPr>
      </w:pPr>
      <w:r>
        <w:rPr>
          <w:rFonts w:hint="eastAsia" w:ascii="宋体" w:hAnsi="宋体" w:cs="宋体"/>
          <w:sz w:val="28"/>
          <w:szCs w:val="28"/>
        </w:rPr>
        <w:t>4、提供受伤人员的致伤信息：</w:t>
      </w:r>
    </w:p>
    <w:p>
      <w:pPr>
        <w:spacing w:line="360" w:lineRule="auto"/>
        <w:ind w:firstLine="480"/>
        <w:rPr>
          <w:rFonts w:ascii="宋体" w:hAnsi="宋体" w:cs="宋体"/>
          <w:sz w:val="28"/>
          <w:szCs w:val="28"/>
        </w:rPr>
      </w:pPr>
      <w:r>
        <w:rPr>
          <w:rFonts w:hint="eastAsia" w:ascii="宋体" w:hAnsi="宋体" w:cs="宋体"/>
          <w:sz w:val="28"/>
          <w:szCs w:val="28"/>
        </w:rPr>
        <w:t>由站长负责将受伤人员的受伤过程及致伤信息及时向伤者家属及医疗机构和政府职能部门告知。</w:t>
      </w:r>
    </w:p>
    <w:p>
      <w:pPr>
        <w:pStyle w:val="5"/>
        <w:spacing w:before="0" w:after="0"/>
        <w:rPr>
          <w:rStyle w:val="49"/>
          <w:rFonts w:ascii="Times New Roman" w:hAnsi="Times New Roman" w:cs="宋体"/>
          <w:b/>
          <w:bCs/>
          <w:sz w:val="24"/>
          <w:szCs w:val="24"/>
        </w:rPr>
      </w:pPr>
      <w:bookmarkStart w:id="340" w:name="_5_6_中毒处置方案"/>
      <w:bookmarkEnd w:id="340"/>
      <w:bookmarkStart w:id="341" w:name="_Toc5341"/>
      <w:bookmarkEnd w:id="341"/>
      <w:bookmarkStart w:id="342" w:name="_Toc26061"/>
      <w:bookmarkEnd w:id="342"/>
      <w:bookmarkStart w:id="343" w:name="_Toc504989578"/>
      <w:bookmarkEnd w:id="343"/>
      <w:bookmarkStart w:id="344" w:name="_Toc255307811"/>
      <w:bookmarkEnd w:id="344"/>
      <w:bookmarkStart w:id="345" w:name="_Toc247634192"/>
      <w:bookmarkStart w:id="346" w:name="_Toc1543"/>
      <w:bookmarkStart w:id="347" w:name="_Toc18299"/>
      <w:bookmarkStart w:id="348" w:name="_Toc25642"/>
      <w:bookmarkStart w:id="349" w:name="_Toc25506"/>
      <w:r>
        <w:rPr>
          <w:rStyle w:val="49"/>
          <w:rFonts w:hint="eastAsia" w:ascii="Times New Roman" w:hAnsi="Times New Roman" w:cs="宋体"/>
          <w:b/>
          <w:bCs/>
          <w:sz w:val="24"/>
          <w:szCs w:val="24"/>
        </w:rPr>
        <w:t>5.3.7 化学品泄漏处理方案</w:t>
      </w:r>
      <w:bookmarkEnd w:id="345"/>
      <w:bookmarkEnd w:id="346"/>
      <w:bookmarkEnd w:id="347"/>
      <w:bookmarkEnd w:id="348"/>
      <w:bookmarkEnd w:id="349"/>
    </w:p>
    <w:p>
      <w:pPr>
        <w:spacing w:line="360" w:lineRule="auto"/>
        <w:ind w:firstLine="480"/>
        <w:rPr>
          <w:rFonts w:ascii="宋体" w:hAnsi="宋体" w:cs="宋体"/>
          <w:sz w:val="28"/>
          <w:szCs w:val="28"/>
        </w:rPr>
      </w:pPr>
      <w:r>
        <w:rPr>
          <w:rFonts w:hint="eastAsia" w:ascii="宋体" w:hAnsi="宋体" w:cs="宋体"/>
          <w:sz w:val="28"/>
          <w:szCs w:val="28"/>
        </w:rPr>
        <w:t>泄漏处理包括泄漏源控制及泄漏物处理两大部分：</w:t>
      </w:r>
    </w:p>
    <w:p>
      <w:pPr>
        <w:spacing w:line="360" w:lineRule="auto"/>
        <w:ind w:firstLine="480"/>
        <w:rPr>
          <w:rFonts w:ascii="宋体" w:hAnsi="宋体" w:cs="宋体"/>
          <w:sz w:val="28"/>
          <w:szCs w:val="28"/>
        </w:rPr>
      </w:pPr>
      <w:bookmarkStart w:id="350" w:name="_Toc247108802"/>
      <w:bookmarkEnd w:id="350"/>
      <w:bookmarkStart w:id="351" w:name="_Toc255307806"/>
      <w:bookmarkEnd w:id="351"/>
      <w:bookmarkStart w:id="352" w:name="_Toc246615273"/>
      <w:bookmarkEnd w:id="352"/>
      <w:bookmarkStart w:id="353" w:name="_Toc247884700"/>
      <w:bookmarkEnd w:id="353"/>
      <w:bookmarkStart w:id="354" w:name="_Toc246647869"/>
      <w:bookmarkEnd w:id="354"/>
      <w:bookmarkStart w:id="355" w:name="_Toc247858463"/>
      <w:bookmarkEnd w:id="355"/>
      <w:bookmarkStart w:id="356" w:name="_Toc247252879"/>
      <w:r>
        <w:rPr>
          <w:rFonts w:hint="eastAsia" w:ascii="宋体" w:hAnsi="宋体" w:cs="宋体"/>
          <w:sz w:val="28"/>
          <w:szCs w:val="28"/>
        </w:rPr>
        <w:t>1、泄漏源控制</w:t>
      </w:r>
      <w:bookmarkEnd w:id="356"/>
    </w:p>
    <w:p>
      <w:pPr>
        <w:spacing w:line="360" w:lineRule="auto"/>
        <w:ind w:firstLine="480"/>
        <w:rPr>
          <w:rFonts w:ascii="宋体" w:hAnsi="宋体" w:cs="宋体"/>
          <w:sz w:val="28"/>
          <w:szCs w:val="28"/>
        </w:rPr>
      </w:pPr>
      <w:r>
        <w:rPr>
          <w:rFonts w:hint="eastAsia" w:ascii="宋体" w:hAnsi="宋体" w:cs="宋体"/>
          <w:sz w:val="28"/>
          <w:szCs w:val="28"/>
        </w:rPr>
        <w:t>发生泄漏，应立即采取堵漏措施，并迅速对泄漏物进行收集</w:t>
      </w:r>
      <w:bookmarkStart w:id="357" w:name="_Toc246647870"/>
      <w:bookmarkEnd w:id="357"/>
      <w:bookmarkStart w:id="358" w:name="_Toc247108803"/>
      <w:bookmarkEnd w:id="358"/>
      <w:bookmarkStart w:id="359" w:name="_Toc247252880"/>
      <w:bookmarkEnd w:id="359"/>
      <w:bookmarkStart w:id="360" w:name="_Toc247884701"/>
      <w:bookmarkEnd w:id="360"/>
      <w:bookmarkStart w:id="361" w:name="_Toc255307807"/>
      <w:bookmarkEnd w:id="361"/>
      <w:bookmarkStart w:id="362" w:name="_Toc246615274"/>
      <w:bookmarkEnd w:id="362"/>
      <w:bookmarkStart w:id="363" w:name="_Toc247858464"/>
      <w:r>
        <w:rPr>
          <w:rFonts w:hint="eastAsia" w:ascii="宋体" w:hAnsi="宋体" w:cs="宋体"/>
          <w:sz w:val="28"/>
          <w:szCs w:val="28"/>
        </w:rPr>
        <w:t>。</w:t>
      </w:r>
      <w:bookmarkEnd w:id="363"/>
    </w:p>
    <w:p>
      <w:pPr>
        <w:spacing w:line="360" w:lineRule="auto"/>
        <w:ind w:firstLine="480"/>
        <w:rPr>
          <w:rFonts w:ascii="宋体" w:hAnsi="宋体" w:cs="宋体"/>
          <w:sz w:val="28"/>
          <w:szCs w:val="28"/>
        </w:rPr>
      </w:pPr>
      <w:r>
        <w:rPr>
          <w:rFonts w:hint="eastAsia" w:ascii="宋体" w:hAnsi="宋体" w:cs="宋体"/>
          <w:sz w:val="28"/>
          <w:szCs w:val="28"/>
        </w:rPr>
        <w:t>2、泄漏物处理</w:t>
      </w:r>
    </w:p>
    <w:p>
      <w:pPr>
        <w:spacing w:line="360" w:lineRule="auto"/>
        <w:ind w:firstLine="480"/>
        <w:rPr>
          <w:rFonts w:ascii="宋体" w:hAnsi="宋体" w:cs="宋体"/>
          <w:sz w:val="28"/>
          <w:szCs w:val="28"/>
        </w:rPr>
      </w:pPr>
      <w:r>
        <w:rPr>
          <w:rFonts w:hint="eastAsia" w:ascii="宋体" w:hAnsi="宋体" w:cs="宋体"/>
          <w:sz w:val="28"/>
          <w:szCs w:val="28"/>
        </w:rPr>
        <w:t>停止周边一切动火工作及可能产生火花的工作；</w:t>
      </w:r>
    </w:p>
    <w:p>
      <w:pPr>
        <w:spacing w:line="360" w:lineRule="auto"/>
        <w:ind w:firstLine="480"/>
        <w:rPr>
          <w:rFonts w:ascii="宋体" w:hAnsi="宋体" w:cs="宋体"/>
          <w:sz w:val="28"/>
          <w:szCs w:val="28"/>
        </w:rPr>
      </w:pPr>
      <w:r>
        <w:rPr>
          <w:rFonts w:hint="eastAsia" w:ascii="宋体" w:hAnsi="宋体" w:cs="宋体"/>
          <w:sz w:val="28"/>
          <w:szCs w:val="28"/>
        </w:rPr>
        <w:t>根据液体流动和蒸气扩散的影响区域划定警戒区，无关人员从侧风、上风向撤离至安全区域；</w:t>
      </w:r>
    </w:p>
    <w:p>
      <w:pPr>
        <w:spacing w:line="360" w:lineRule="auto"/>
        <w:ind w:firstLine="480"/>
        <w:rPr>
          <w:rFonts w:ascii="宋体" w:hAnsi="宋体" w:cs="宋体"/>
          <w:sz w:val="28"/>
          <w:szCs w:val="28"/>
        </w:rPr>
      </w:pPr>
      <w:r>
        <w:rPr>
          <w:rFonts w:hint="eastAsia" w:ascii="宋体" w:hAnsi="宋体" w:cs="宋体"/>
          <w:sz w:val="28"/>
          <w:szCs w:val="28"/>
        </w:rPr>
        <w:t>建议应急处理人员戴正压自给式空气呼吸器，穿防毒、防静电服；</w:t>
      </w:r>
    </w:p>
    <w:p>
      <w:pPr>
        <w:spacing w:line="360" w:lineRule="auto"/>
        <w:ind w:firstLine="480"/>
        <w:rPr>
          <w:rFonts w:ascii="宋体" w:hAnsi="宋体" w:cs="宋体"/>
          <w:sz w:val="28"/>
          <w:szCs w:val="28"/>
        </w:rPr>
      </w:pPr>
      <w:r>
        <w:rPr>
          <w:rFonts w:hint="eastAsia" w:ascii="宋体" w:hAnsi="宋体" w:cs="宋体"/>
          <w:sz w:val="28"/>
          <w:szCs w:val="28"/>
        </w:rPr>
        <w:t>作业时使用的所有设备应接地。禁止接触或跨越泄漏物。尽可能切断泄漏源。防止泄漏物进入水体、下水道、地下室或密闭性空间。</w:t>
      </w:r>
    </w:p>
    <w:p>
      <w:pPr>
        <w:spacing w:line="360" w:lineRule="auto"/>
        <w:ind w:firstLine="480"/>
        <w:rPr>
          <w:rFonts w:ascii="宋体" w:hAnsi="宋体" w:cs="宋体"/>
          <w:sz w:val="28"/>
          <w:szCs w:val="28"/>
        </w:rPr>
      </w:pPr>
      <w:r>
        <w:rPr>
          <w:rFonts w:hint="eastAsia" w:ascii="宋体" w:hAnsi="宋体" w:cs="宋体"/>
          <w:sz w:val="28"/>
          <w:szCs w:val="28"/>
        </w:rPr>
        <w:t>小量泄漏：用沙土或其他不燃材料吸收。使用洁净的无火花工具收集吸收材料。</w:t>
      </w:r>
    </w:p>
    <w:p>
      <w:pPr>
        <w:spacing w:line="360" w:lineRule="auto"/>
        <w:ind w:firstLine="480"/>
        <w:rPr>
          <w:rFonts w:ascii="宋体" w:hAnsi="宋体" w:cs="宋体"/>
          <w:sz w:val="28"/>
          <w:szCs w:val="28"/>
        </w:rPr>
      </w:pPr>
      <w:r>
        <w:rPr>
          <w:rFonts w:hint="eastAsia" w:ascii="宋体" w:hAnsi="宋体" w:cs="宋体"/>
          <w:sz w:val="28"/>
          <w:szCs w:val="28"/>
        </w:rPr>
        <w:t>大量泄漏：构筑围堤或挖坑收容。用泡沫覆盖，减少蒸发。喷水雾能减少蒸发，但不能降低泄漏物在受限制空间内的易燃性。用防爆泵转移至槽车或专用收集器内。</w:t>
      </w:r>
    </w:p>
    <w:p>
      <w:pPr>
        <w:spacing w:line="360" w:lineRule="auto"/>
        <w:ind w:firstLine="480"/>
        <w:rPr>
          <w:rFonts w:ascii="宋体" w:hAnsi="宋体" w:cs="宋体"/>
          <w:sz w:val="28"/>
          <w:szCs w:val="28"/>
        </w:rPr>
      </w:pPr>
      <w:r>
        <w:rPr>
          <w:rFonts w:hint="eastAsia" w:ascii="宋体" w:hAnsi="宋体" w:cs="宋体"/>
          <w:sz w:val="28"/>
          <w:szCs w:val="28"/>
        </w:rPr>
        <w:t>失去控制应立即请求有关部门协助。并配合有关部门的相关工作；</w:t>
      </w:r>
    </w:p>
    <w:p>
      <w:pPr>
        <w:spacing w:line="360" w:lineRule="auto"/>
        <w:ind w:firstLine="480"/>
        <w:rPr>
          <w:rFonts w:ascii="宋体" w:hAnsi="宋体" w:cs="宋体"/>
          <w:sz w:val="28"/>
          <w:szCs w:val="28"/>
        </w:rPr>
      </w:pPr>
      <w:r>
        <w:rPr>
          <w:rFonts w:hint="eastAsia" w:ascii="宋体" w:hAnsi="宋体" w:cs="宋体"/>
          <w:sz w:val="28"/>
          <w:szCs w:val="28"/>
        </w:rPr>
        <w:t>3、泄漏处理时安全注意事项：</w:t>
      </w:r>
    </w:p>
    <w:p>
      <w:pPr>
        <w:spacing w:line="360" w:lineRule="auto"/>
        <w:ind w:firstLine="480"/>
        <w:rPr>
          <w:rFonts w:ascii="宋体" w:hAnsi="宋体" w:cs="宋体"/>
          <w:sz w:val="28"/>
          <w:szCs w:val="28"/>
        </w:rPr>
      </w:pPr>
      <w:r>
        <w:rPr>
          <w:rFonts w:hint="eastAsia" w:ascii="宋体" w:hAnsi="宋体" w:cs="宋体"/>
          <w:sz w:val="28"/>
          <w:szCs w:val="28"/>
        </w:rPr>
        <w:t>①进入现场人员必须配备必要的个人防护器具。</w:t>
      </w:r>
    </w:p>
    <w:p>
      <w:pPr>
        <w:spacing w:line="360" w:lineRule="auto"/>
        <w:ind w:firstLine="480"/>
        <w:rPr>
          <w:rFonts w:ascii="宋体" w:hAnsi="宋体" w:cs="宋体"/>
          <w:sz w:val="28"/>
          <w:szCs w:val="28"/>
        </w:rPr>
      </w:pPr>
      <w:r>
        <w:rPr>
          <w:rFonts w:hint="eastAsia" w:ascii="宋体" w:hAnsi="宋体" w:cs="宋体"/>
          <w:sz w:val="28"/>
          <w:szCs w:val="28"/>
        </w:rPr>
        <w:t>②严禁携带火种进入现场，不准操作电气开关，严防电气火花引爆可燃气体与空气的混合物。</w:t>
      </w:r>
    </w:p>
    <w:p>
      <w:pPr>
        <w:spacing w:line="360" w:lineRule="auto"/>
        <w:ind w:firstLine="480"/>
        <w:rPr>
          <w:rFonts w:ascii="宋体" w:hAnsi="宋体" w:cs="宋体"/>
          <w:sz w:val="28"/>
          <w:szCs w:val="28"/>
        </w:rPr>
      </w:pPr>
      <w:r>
        <w:rPr>
          <w:rFonts w:hint="eastAsia" w:ascii="宋体" w:hAnsi="宋体" w:cs="宋体"/>
          <w:sz w:val="28"/>
          <w:szCs w:val="28"/>
        </w:rPr>
        <w:t>③应急处理时不要单独行动。</w:t>
      </w:r>
    </w:p>
    <w:p>
      <w:pPr>
        <w:pStyle w:val="5"/>
        <w:spacing w:before="0" w:after="0"/>
        <w:rPr>
          <w:rStyle w:val="49"/>
          <w:rFonts w:ascii="Times New Roman" w:hAnsi="Times New Roman" w:cs="宋体"/>
          <w:b/>
          <w:bCs/>
          <w:sz w:val="24"/>
          <w:szCs w:val="24"/>
        </w:rPr>
      </w:pPr>
      <w:bookmarkStart w:id="364" w:name="_Toc32676"/>
      <w:bookmarkEnd w:id="364"/>
      <w:bookmarkStart w:id="365" w:name="_Toc16936"/>
      <w:bookmarkEnd w:id="365"/>
      <w:bookmarkStart w:id="366" w:name="_Toc504989579"/>
      <w:bookmarkStart w:id="367" w:name="_Toc25230"/>
      <w:bookmarkStart w:id="368" w:name="_Toc4672"/>
      <w:bookmarkStart w:id="369" w:name="_Toc3814"/>
      <w:bookmarkStart w:id="370" w:name="_Toc15257"/>
      <w:r>
        <w:rPr>
          <w:rStyle w:val="49"/>
          <w:rFonts w:hint="eastAsia" w:ascii="Times New Roman" w:hAnsi="Times New Roman" w:cs="宋体"/>
          <w:b/>
          <w:bCs/>
          <w:sz w:val="24"/>
          <w:szCs w:val="24"/>
        </w:rPr>
        <w:t>5.3.8 火灾、爆炸处置要点</w:t>
      </w:r>
      <w:bookmarkEnd w:id="366"/>
      <w:bookmarkEnd w:id="367"/>
      <w:bookmarkEnd w:id="368"/>
      <w:bookmarkEnd w:id="369"/>
      <w:bookmarkEnd w:id="370"/>
    </w:p>
    <w:p>
      <w:pPr>
        <w:spacing w:line="360" w:lineRule="auto"/>
        <w:ind w:firstLine="480"/>
        <w:rPr>
          <w:rFonts w:ascii="宋体" w:hAnsi="宋体" w:cs="宋体"/>
          <w:sz w:val="28"/>
          <w:szCs w:val="28"/>
        </w:rPr>
      </w:pPr>
      <w:r>
        <w:rPr>
          <w:rFonts w:hint="eastAsia" w:ascii="宋体" w:hAnsi="宋体" w:cs="宋体"/>
          <w:sz w:val="28"/>
          <w:szCs w:val="28"/>
        </w:rPr>
        <w:t>1.迅速查清着火部位、着火物及来源，尽可能地切断物料来源及加热源；</w:t>
      </w:r>
    </w:p>
    <w:p>
      <w:pPr>
        <w:spacing w:line="360" w:lineRule="auto"/>
        <w:ind w:firstLine="480"/>
        <w:rPr>
          <w:rFonts w:ascii="宋体" w:hAnsi="宋体" w:cs="宋体"/>
          <w:sz w:val="28"/>
          <w:szCs w:val="28"/>
        </w:rPr>
      </w:pPr>
      <w:r>
        <w:rPr>
          <w:rFonts w:hint="eastAsia" w:ascii="宋体" w:hAnsi="宋体" w:cs="宋体"/>
          <w:sz w:val="28"/>
          <w:szCs w:val="28"/>
        </w:rPr>
        <w:t>2.发生汽油或者柴油火灾、爆炸事故，采用干粉灭火器、二氧化碳灭火器、沙土等灭火；</w:t>
      </w:r>
    </w:p>
    <w:p>
      <w:pPr>
        <w:spacing w:line="360" w:lineRule="auto"/>
        <w:ind w:firstLine="480"/>
        <w:rPr>
          <w:rFonts w:ascii="宋体" w:hAnsi="宋体" w:cs="宋体"/>
          <w:sz w:val="28"/>
          <w:szCs w:val="28"/>
        </w:rPr>
      </w:pPr>
      <w:r>
        <w:rPr>
          <w:rFonts w:hint="eastAsia" w:ascii="宋体" w:hAnsi="宋体" w:cs="宋体"/>
          <w:sz w:val="28"/>
          <w:szCs w:val="28"/>
        </w:rPr>
        <w:t>3.专业消防人员到达火场时，负责人应主动及时地向校方指挥人员介绍情况；</w:t>
      </w:r>
    </w:p>
    <w:p>
      <w:pPr>
        <w:spacing w:line="360" w:lineRule="auto"/>
        <w:ind w:firstLine="480"/>
        <w:rPr>
          <w:rFonts w:ascii="宋体" w:hAnsi="宋体" w:cs="宋体"/>
          <w:sz w:val="28"/>
          <w:szCs w:val="28"/>
        </w:rPr>
      </w:pPr>
      <w:r>
        <w:rPr>
          <w:rFonts w:hint="eastAsia" w:ascii="宋体" w:hAnsi="宋体" w:cs="宋体"/>
          <w:sz w:val="28"/>
          <w:szCs w:val="28"/>
        </w:rPr>
        <w:t>4.电气设备发生火灾时，来不及断电或其他原因不能断电选用不导电的灭火器如二氧化碳、干粉灭火器等；</w:t>
      </w:r>
    </w:p>
    <w:p>
      <w:pPr>
        <w:spacing w:line="360" w:lineRule="auto"/>
        <w:ind w:firstLine="480"/>
        <w:rPr>
          <w:rFonts w:ascii="宋体" w:hAnsi="宋体" w:cs="宋体"/>
          <w:sz w:val="28"/>
          <w:szCs w:val="28"/>
        </w:rPr>
      </w:pPr>
      <w:r>
        <w:rPr>
          <w:rFonts w:hint="eastAsia" w:ascii="宋体" w:hAnsi="宋体" w:cs="宋体"/>
          <w:sz w:val="28"/>
          <w:szCs w:val="28"/>
        </w:rPr>
        <w:t>5.根据风向标结合道路的指示方向判定，发生火灾事故时，人员应该往风向标反方向进行疏散。</w:t>
      </w:r>
    </w:p>
    <w:p>
      <w:pPr>
        <w:spacing w:line="360" w:lineRule="auto"/>
        <w:ind w:firstLine="480"/>
        <w:rPr>
          <w:rFonts w:ascii="宋体" w:hAnsi="宋体" w:cs="宋体"/>
          <w:sz w:val="28"/>
          <w:szCs w:val="28"/>
        </w:rPr>
      </w:pPr>
      <w:r>
        <w:rPr>
          <w:rFonts w:hint="eastAsia" w:ascii="宋体" w:hAnsi="宋体" w:cs="宋体"/>
          <w:sz w:val="28"/>
          <w:szCs w:val="28"/>
        </w:rPr>
        <w:t>6.依据危害程度级别，划定危险区，对事故现场周边区域进行隔离和交通疏导。</w:t>
      </w:r>
    </w:p>
    <w:p>
      <w:pPr>
        <w:spacing w:line="360" w:lineRule="auto"/>
        <w:ind w:firstLine="480"/>
        <w:rPr>
          <w:rFonts w:ascii="宋体" w:hAnsi="宋体" w:cs="宋体"/>
          <w:sz w:val="28"/>
          <w:szCs w:val="28"/>
        </w:rPr>
      </w:pPr>
      <w:r>
        <w:rPr>
          <w:rFonts w:hint="eastAsia" w:ascii="宋体" w:hAnsi="宋体" w:cs="宋体"/>
          <w:sz w:val="28"/>
          <w:szCs w:val="28"/>
        </w:rPr>
        <w:t>7.当事态超出本站的处理能力时，应及时对外或当地政府部门求救。</w:t>
      </w:r>
    </w:p>
    <w:p>
      <w:pPr>
        <w:spacing w:line="360" w:lineRule="auto"/>
        <w:ind w:firstLine="480"/>
        <w:rPr>
          <w:rFonts w:ascii="宋体" w:hAnsi="宋体" w:cs="宋体"/>
          <w:sz w:val="28"/>
          <w:szCs w:val="28"/>
        </w:rPr>
      </w:pPr>
      <w:r>
        <w:rPr>
          <w:rFonts w:hint="eastAsia" w:ascii="宋体" w:hAnsi="宋体" w:cs="宋体"/>
          <w:sz w:val="28"/>
          <w:szCs w:val="28"/>
        </w:rPr>
        <w:t>8.进行现场救护时，伤员如有需要应立即将伤员送至医院。</w:t>
      </w:r>
    </w:p>
    <w:p>
      <w:pPr>
        <w:spacing w:line="360" w:lineRule="auto"/>
        <w:ind w:firstLine="480"/>
        <w:rPr>
          <w:rFonts w:ascii="宋体" w:hAnsi="宋体" w:cs="宋体"/>
          <w:sz w:val="28"/>
          <w:szCs w:val="28"/>
        </w:rPr>
      </w:pPr>
      <w:r>
        <w:rPr>
          <w:rFonts w:hint="eastAsia" w:ascii="宋体" w:hAnsi="宋体" w:cs="宋体"/>
          <w:sz w:val="28"/>
          <w:szCs w:val="28"/>
        </w:rPr>
        <w:t>9.应急救援人员到明显位置引导消防车。</w:t>
      </w:r>
    </w:p>
    <w:p>
      <w:pPr>
        <w:spacing w:line="360" w:lineRule="auto"/>
        <w:ind w:firstLine="480"/>
        <w:rPr>
          <w:rFonts w:ascii="宋体" w:hAnsi="宋体" w:cs="宋体"/>
          <w:sz w:val="28"/>
          <w:szCs w:val="28"/>
        </w:rPr>
      </w:pPr>
      <w:r>
        <w:rPr>
          <w:rFonts w:hint="eastAsia" w:ascii="宋体" w:hAnsi="宋体" w:cs="宋体"/>
          <w:sz w:val="28"/>
          <w:szCs w:val="28"/>
        </w:rPr>
        <w:t>10.扑救人员要注意人身安全。</w:t>
      </w:r>
    </w:p>
    <w:p>
      <w:pPr>
        <w:pStyle w:val="5"/>
        <w:spacing w:before="0" w:after="0"/>
        <w:rPr>
          <w:rStyle w:val="49"/>
          <w:rFonts w:ascii="Times New Roman" w:hAnsi="Times New Roman" w:cs="宋体"/>
          <w:b/>
          <w:bCs/>
          <w:sz w:val="24"/>
          <w:szCs w:val="24"/>
        </w:rPr>
      </w:pPr>
      <w:bookmarkStart w:id="371" w:name="_Toc11740"/>
      <w:bookmarkEnd w:id="371"/>
      <w:bookmarkStart w:id="372" w:name="_Toc504989580"/>
      <w:bookmarkStart w:id="373" w:name="_Toc14488"/>
      <w:bookmarkStart w:id="374" w:name="_Toc31451"/>
      <w:bookmarkStart w:id="375" w:name="_Toc32446"/>
      <w:bookmarkStart w:id="376" w:name="_Toc1724"/>
      <w:r>
        <w:rPr>
          <w:rStyle w:val="49"/>
          <w:rFonts w:hint="eastAsia" w:ascii="Times New Roman" w:hAnsi="Times New Roman" w:cs="宋体"/>
          <w:b/>
          <w:bCs/>
          <w:sz w:val="24"/>
          <w:szCs w:val="24"/>
        </w:rPr>
        <w:t>5.3.9 中毒处置要点</w:t>
      </w:r>
      <w:bookmarkEnd w:id="372"/>
      <w:bookmarkEnd w:id="373"/>
      <w:bookmarkEnd w:id="374"/>
      <w:bookmarkEnd w:id="375"/>
      <w:bookmarkEnd w:id="376"/>
    </w:p>
    <w:p>
      <w:pPr>
        <w:spacing w:line="360" w:lineRule="auto"/>
        <w:ind w:firstLine="480"/>
        <w:rPr>
          <w:rFonts w:ascii="宋体" w:hAnsi="宋体" w:cs="宋体"/>
          <w:sz w:val="28"/>
          <w:szCs w:val="28"/>
        </w:rPr>
      </w:pPr>
      <w:r>
        <w:rPr>
          <w:rFonts w:hint="eastAsia" w:ascii="宋体" w:hAnsi="宋体" w:cs="宋体"/>
          <w:sz w:val="28"/>
          <w:szCs w:val="28"/>
        </w:rPr>
        <w:t>1.根据液体流动和蒸气扩散的影响区域划定警戒区，无关人员从侧风、上风向撤离至安全区。</w:t>
      </w:r>
    </w:p>
    <w:p>
      <w:pPr>
        <w:spacing w:line="360" w:lineRule="auto"/>
        <w:ind w:firstLine="480"/>
        <w:rPr>
          <w:rFonts w:ascii="宋体" w:hAnsi="宋体" w:cs="宋体"/>
          <w:sz w:val="28"/>
          <w:szCs w:val="28"/>
        </w:rPr>
      </w:pPr>
      <w:r>
        <w:rPr>
          <w:rFonts w:hint="eastAsia" w:ascii="宋体" w:hAnsi="宋体" w:cs="宋体"/>
          <w:sz w:val="28"/>
          <w:szCs w:val="28"/>
        </w:rPr>
        <w:t>2.吸入：迅速脱离现场至空气新鲜处。保持呼吸道畅通。如呼吸困难，给氧。如呼吸停止，立即进行人工呼吸。就医。</w:t>
      </w:r>
    </w:p>
    <w:p>
      <w:pPr>
        <w:spacing w:line="360" w:lineRule="auto"/>
        <w:ind w:firstLine="480"/>
        <w:rPr>
          <w:rFonts w:ascii="宋体" w:hAnsi="宋体" w:cs="宋体"/>
          <w:sz w:val="28"/>
          <w:szCs w:val="28"/>
        </w:rPr>
      </w:pPr>
      <w:r>
        <w:rPr>
          <w:rFonts w:hint="eastAsia" w:ascii="宋体" w:hAnsi="宋体" w:cs="宋体"/>
          <w:sz w:val="28"/>
          <w:szCs w:val="28"/>
        </w:rPr>
        <w:t>3.食入：给饮牛奶或用植物油洗胃和灌肠。就医。</w:t>
      </w:r>
    </w:p>
    <w:p>
      <w:pPr>
        <w:spacing w:line="360" w:lineRule="auto"/>
        <w:ind w:firstLine="480"/>
        <w:rPr>
          <w:rFonts w:ascii="宋体" w:hAnsi="宋体" w:cs="宋体"/>
          <w:sz w:val="28"/>
          <w:szCs w:val="28"/>
        </w:rPr>
      </w:pPr>
      <w:r>
        <w:rPr>
          <w:rFonts w:hint="eastAsia" w:ascii="宋体" w:hAnsi="宋体" w:cs="宋体"/>
          <w:sz w:val="28"/>
          <w:szCs w:val="28"/>
        </w:rPr>
        <w:t>4.皮肤接触：立即脱去污染的衣着，用肥皂水和清水彻底冲洗皮肤。就医。</w:t>
      </w:r>
    </w:p>
    <w:p>
      <w:pPr>
        <w:spacing w:line="360" w:lineRule="auto"/>
        <w:ind w:firstLine="480"/>
        <w:rPr>
          <w:rFonts w:ascii="宋体" w:hAnsi="宋体" w:cs="宋体"/>
          <w:sz w:val="28"/>
          <w:szCs w:val="28"/>
        </w:rPr>
      </w:pPr>
      <w:r>
        <w:rPr>
          <w:rFonts w:hint="eastAsia" w:ascii="宋体" w:hAnsi="宋体" w:cs="宋体"/>
          <w:sz w:val="28"/>
          <w:szCs w:val="28"/>
        </w:rPr>
        <w:t>5.医护人员到达现场后，立即救护中毒和受伤人员。</w:t>
      </w:r>
    </w:p>
    <w:p>
      <w:pPr>
        <w:spacing w:line="360" w:lineRule="auto"/>
        <w:ind w:firstLine="480"/>
        <w:rPr>
          <w:rFonts w:ascii="宋体" w:hAnsi="宋体" w:cs="宋体"/>
          <w:sz w:val="28"/>
          <w:szCs w:val="28"/>
        </w:rPr>
      </w:pPr>
      <w:r>
        <w:rPr>
          <w:rFonts w:hint="eastAsia" w:ascii="宋体" w:hAnsi="宋体" w:cs="宋体"/>
          <w:sz w:val="28"/>
          <w:szCs w:val="28"/>
        </w:rPr>
        <w:t>具体处置措施详见现场处置方案。</w:t>
      </w:r>
    </w:p>
    <w:p>
      <w:pPr>
        <w:pStyle w:val="5"/>
        <w:spacing w:before="0" w:after="0"/>
        <w:rPr>
          <w:rStyle w:val="49"/>
          <w:rFonts w:ascii="Times New Roman" w:hAnsi="Times New Roman" w:cs="宋体"/>
          <w:b/>
          <w:bCs/>
          <w:sz w:val="24"/>
          <w:szCs w:val="24"/>
        </w:rPr>
      </w:pPr>
      <w:bookmarkStart w:id="377" w:name="_Toc504989581"/>
      <w:bookmarkEnd w:id="377"/>
      <w:bookmarkStart w:id="378" w:name="_Toc24907"/>
      <w:bookmarkStart w:id="379" w:name="_Toc7675"/>
      <w:bookmarkStart w:id="380" w:name="_Toc3844"/>
      <w:bookmarkStart w:id="381" w:name="_Toc24175"/>
      <w:r>
        <w:rPr>
          <w:rStyle w:val="49"/>
          <w:rFonts w:hint="eastAsia" w:ascii="Times New Roman" w:hAnsi="Times New Roman" w:cs="宋体"/>
          <w:b/>
          <w:bCs/>
          <w:sz w:val="24"/>
          <w:szCs w:val="24"/>
        </w:rPr>
        <w:t>5.3.10 社会救援</w:t>
      </w:r>
      <w:bookmarkEnd w:id="378"/>
      <w:bookmarkEnd w:id="379"/>
      <w:bookmarkEnd w:id="380"/>
      <w:bookmarkEnd w:id="381"/>
    </w:p>
    <w:p>
      <w:pPr>
        <w:spacing w:line="360" w:lineRule="auto"/>
        <w:ind w:firstLine="480"/>
        <w:rPr>
          <w:rFonts w:ascii="宋体" w:hAnsi="宋体" w:cs="宋体"/>
          <w:sz w:val="28"/>
          <w:szCs w:val="28"/>
        </w:rPr>
      </w:pPr>
      <w:r>
        <w:rPr>
          <w:rFonts w:hint="eastAsia" w:ascii="宋体" w:hAnsi="宋体" w:cs="宋体"/>
          <w:sz w:val="28"/>
          <w:szCs w:val="28"/>
        </w:rPr>
        <w:t>在紧急事故状态下，抢险抢救力量不足或有可能危及社会时，必须立即上报有关部门和告知友邻单位。需要救援组织进行援助时，向地方和友邻单位通报，救援组织进入事故区域时，站长统一领导施救，并告知安全注意事项。</w:t>
      </w:r>
    </w:p>
    <w:p>
      <w:pPr>
        <w:pStyle w:val="5"/>
        <w:spacing w:before="0" w:after="0"/>
        <w:rPr>
          <w:rStyle w:val="49"/>
          <w:rFonts w:ascii="Times New Roman" w:hAnsi="Times New Roman" w:cs="宋体"/>
          <w:b/>
          <w:bCs/>
          <w:sz w:val="24"/>
          <w:szCs w:val="24"/>
        </w:rPr>
      </w:pPr>
      <w:bookmarkStart w:id="382" w:name="_Toc4770"/>
      <w:bookmarkEnd w:id="382"/>
      <w:bookmarkStart w:id="383" w:name="_Toc15170"/>
      <w:bookmarkEnd w:id="383"/>
      <w:bookmarkStart w:id="384" w:name="_Toc504989582"/>
      <w:bookmarkStart w:id="385" w:name="_Toc23984"/>
      <w:bookmarkStart w:id="386" w:name="_Toc14007"/>
      <w:bookmarkStart w:id="387" w:name="_Toc28407"/>
      <w:bookmarkStart w:id="388" w:name="_Toc21876"/>
      <w:r>
        <w:rPr>
          <w:rStyle w:val="49"/>
          <w:rFonts w:hint="eastAsia" w:ascii="Times New Roman" w:hAnsi="Times New Roman" w:cs="宋体"/>
          <w:b/>
          <w:bCs/>
          <w:sz w:val="24"/>
          <w:szCs w:val="24"/>
        </w:rPr>
        <w:t>5.3.11 事故可能扩大的应急措施</w:t>
      </w:r>
      <w:bookmarkEnd w:id="384"/>
      <w:bookmarkEnd w:id="385"/>
      <w:bookmarkEnd w:id="386"/>
      <w:bookmarkEnd w:id="387"/>
      <w:bookmarkEnd w:id="388"/>
    </w:p>
    <w:p>
      <w:pPr>
        <w:spacing w:line="360" w:lineRule="auto"/>
        <w:ind w:firstLine="480"/>
        <w:rPr>
          <w:rFonts w:ascii="宋体" w:hAnsi="宋体" w:cs="宋体"/>
          <w:sz w:val="28"/>
          <w:szCs w:val="28"/>
        </w:rPr>
      </w:pPr>
      <w:r>
        <w:rPr>
          <w:rFonts w:hint="eastAsia" w:ascii="宋体" w:hAnsi="宋体" w:cs="宋体"/>
          <w:sz w:val="28"/>
          <w:szCs w:val="28"/>
        </w:rPr>
        <w:t>当险情发生变化，事故可能扩大时，应立即采取局部或全系统紧急停止作业，疏散可能波及区域的人员，同时向政府及有关部门协调应急救援力量。</w:t>
      </w:r>
    </w:p>
    <w:p>
      <w:pPr>
        <w:pStyle w:val="4"/>
        <w:spacing w:before="0" w:after="0"/>
        <w:rPr>
          <w:rStyle w:val="51"/>
          <w:rFonts w:hint="default" w:ascii="Times New Roman" w:hAnsi="Times New Roman" w:cs="宋体"/>
          <w:b/>
          <w:bCs/>
          <w:sz w:val="24"/>
          <w:szCs w:val="24"/>
        </w:rPr>
      </w:pPr>
      <w:bookmarkStart w:id="389" w:name="_Toc11804"/>
      <w:bookmarkEnd w:id="389"/>
      <w:bookmarkStart w:id="390" w:name="_Toc504989583"/>
      <w:bookmarkStart w:id="391" w:name="_Toc24632"/>
      <w:bookmarkStart w:id="392" w:name="_Toc23392"/>
      <w:bookmarkStart w:id="393" w:name="_Toc19517"/>
      <w:bookmarkStart w:id="394" w:name="_Toc14781"/>
      <w:r>
        <w:rPr>
          <w:rStyle w:val="51"/>
          <w:rFonts w:hint="default" w:ascii="Times New Roman" w:hAnsi="Times New Roman" w:cs="宋体"/>
          <w:b/>
          <w:bCs/>
          <w:sz w:val="24"/>
          <w:szCs w:val="24"/>
        </w:rPr>
        <w:t>5.4应急结束</w:t>
      </w:r>
      <w:bookmarkEnd w:id="390"/>
      <w:bookmarkEnd w:id="391"/>
      <w:bookmarkEnd w:id="392"/>
      <w:bookmarkEnd w:id="393"/>
      <w:bookmarkEnd w:id="394"/>
    </w:p>
    <w:p>
      <w:pPr>
        <w:pStyle w:val="5"/>
        <w:spacing w:before="0" w:after="0"/>
        <w:rPr>
          <w:rStyle w:val="49"/>
          <w:rFonts w:ascii="Times New Roman" w:hAnsi="Times New Roman" w:cs="宋体"/>
          <w:b/>
          <w:bCs/>
          <w:sz w:val="24"/>
          <w:szCs w:val="24"/>
        </w:rPr>
      </w:pPr>
      <w:bookmarkStart w:id="395" w:name="_Toc10545"/>
      <w:bookmarkEnd w:id="395"/>
      <w:bookmarkStart w:id="396" w:name="_Toc31229"/>
      <w:bookmarkEnd w:id="396"/>
      <w:bookmarkStart w:id="397" w:name="_Toc255133909"/>
      <w:bookmarkEnd w:id="397"/>
      <w:bookmarkStart w:id="398" w:name="_Toc504989584"/>
      <w:bookmarkStart w:id="399" w:name="_Toc8165"/>
      <w:bookmarkStart w:id="400" w:name="_Toc316"/>
      <w:bookmarkStart w:id="401" w:name="_Toc28345"/>
      <w:bookmarkStart w:id="402" w:name="_Toc9672"/>
      <w:r>
        <w:rPr>
          <w:rStyle w:val="49"/>
          <w:rFonts w:hint="eastAsia" w:ascii="Times New Roman" w:hAnsi="Times New Roman" w:cs="宋体"/>
          <w:b/>
          <w:bCs/>
          <w:sz w:val="24"/>
          <w:szCs w:val="24"/>
        </w:rPr>
        <w:t>5.4.1 应急终止的条件</w:t>
      </w:r>
      <w:bookmarkEnd w:id="398"/>
      <w:bookmarkEnd w:id="399"/>
      <w:bookmarkEnd w:id="400"/>
      <w:bookmarkEnd w:id="401"/>
      <w:bookmarkEnd w:id="402"/>
    </w:p>
    <w:p>
      <w:pPr>
        <w:spacing w:line="360" w:lineRule="auto"/>
        <w:ind w:firstLine="480"/>
        <w:rPr>
          <w:rFonts w:ascii="宋体" w:hAnsi="宋体" w:cs="宋体"/>
          <w:sz w:val="28"/>
          <w:szCs w:val="28"/>
        </w:rPr>
      </w:pPr>
      <w:bookmarkStart w:id="403" w:name="_Toc5657"/>
      <w:bookmarkEnd w:id="403"/>
      <w:bookmarkStart w:id="404" w:name="_Toc2143"/>
      <w:bookmarkEnd w:id="404"/>
      <w:bookmarkStart w:id="405" w:name="_Toc255133910"/>
      <w:r>
        <w:rPr>
          <w:rFonts w:hint="eastAsia" w:ascii="宋体" w:hAnsi="宋体" w:cs="宋体"/>
          <w:sz w:val="28"/>
          <w:szCs w:val="28"/>
        </w:rPr>
        <w:t>符合下列条件，即满足应急终止条件：</w:t>
      </w:r>
      <w:bookmarkEnd w:id="405"/>
    </w:p>
    <w:p>
      <w:pPr>
        <w:spacing w:line="360" w:lineRule="auto"/>
        <w:ind w:firstLine="480"/>
        <w:rPr>
          <w:rFonts w:ascii="宋体" w:hAnsi="宋体" w:cs="宋体"/>
          <w:sz w:val="28"/>
          <w:szCs w:val="28"/>
        </w:rPr>
      </w:pPr>
      <w:r>
        <w:rPr>
          <w:rFonts w:hint="eastAsia" w:ascii="宋体" w:hAnsi="宋体" w:cs="宋体"/>
          <w:sz w:val="28"/>
          <w:szCs w:val="28"/>
        </w:rPr>
        <w:t>1.事故现场得到控制，事故已经解除；</w:t>
      </w:r>
    </w:p>
    <w:p>
      <w:pPr>
        <w:spacing w:line="360" w:lineRule="auto"/>
        <w:ind w:firstLine="480"/>
        <w:rPr>
          <w:rFonts w:ascii="宋体" w:hAnsi="宋体" w:cs="宋体"/>
          <w:sz w:val="28"/>
          <w:szCs w:val="28"/>
        </w:rPr>
      </w:pPr>
      <w:r>
        <w:rPr>
          <w:rFonts w:hint="eastAsia" w:ascii="宋体" w:hAnsi="宋体" w:cs="宋体"/>
          <w:sz w:val="28"/>
          <w:szCs w:val="28"/>
        </w:rPr>
        <w:t>2.泄漏降至规定限值内，环境监测符合相关标准；</w:t>
      </w:r>
    </w:p>
    <w:p>
      <w:pPr>
        <w:spacing w:line="360" w:lineRule="auto"/>
        <w:ind w:firstLine="480"/>
        <w:rPr>
          <w:rFonts w:ascii="宋体" w:hAnsi="宋体" w:cs="宋体"/>
          <w:sz w:val="28"/>
          <w:szCs w:val="28"/>
        </w:rPr>
      </w:pPr>
      <w:r>
        <w:rPr>
          <w:rFonts w:hint="eastAsia" w:ascii="宋体" w:hAnsi="宋体" w:cs="宋体"/>
          <w:sz w:val="28"/>
          <w:szCs w:val="28"/>
        </w:rPr>
        <w:t>3.事故造成的危害已彻底清除，无继发可能；</w:t>
      </w:r>
    </w:p>
    <w:p>
      <w:pPr>
        <w:spacing w:line="360" w:lineRule="auto"/>
        <w:ind w:firstLine="480"/>
        <w:rPr>
          <w:rFonts w:ascii="宋体" w:hAnsi="宋体" w:cs="宋体"/>
          <w:sz w:val="28"/>
          <w:szCs w:val="28"/>
        </w:rPr>
      </w:pPr>
      <w:r>
        <w:rPr>
          <w:rFonts w:hint="eastAsia" w:ascii="宋体" w:hAnsi="宋体" w:cs="宋体"/>
          <w:sz w:val="28"/>
          <w:szCs w:val="28"/>
        </w:rPr>
        <w:t>4.当事故现场各种专业应急处置已无继续的必要，经应急指挥机构批准后；</w:t>
      </w:r>
    </w:p>
    <w:p>
      <w:pPr>
        <w:spacing w:line="360" w:lineRule="auto"/>
        <w:ind w:firstLine="480"/>
        <w:rPr>
          <w:rFonts w:ascii="宋体" w:hAnsi="宋体" w:cs="宋体"/>
          <w:sz w:val="28"/>
          <w:szCs w:val="28"/>
        </w:rPr>
      </w:pPr>
      <w:r>
        <w:rPr>
          <w:rFonts w:hint="eastAsia" w:ascii="宋体" w:hAnsi="宋体" w:cs="宋体"/>
          <w:sz w:val="28"/>
          <w:szCs w:val="28"/>
        </w:rPr>
        <w:t>5.外部警报解除。</w:t>
      </w:r>
    </w:p>
    <w:p>
      <w:pPr>
        <w:pStyle w:val="5"/>
        <w:spacing w:before="0" w:after="0"/>
        <w:rPr>
          <w:rStyle w:val="49"/>
          <w:rFonts w:ascii="Times New Roman" w:hAnsi="Times New Roman" w:cs="宋体"/>
          <w:b/>
          <w:bCs/>
          <w:sz w:val="24"/>
          <w:szCs w:val="24"/>
        </w:rPr>
      </w:pPr>
      <w:bookmarkStart w:id="406" w:name="_Toc504989585"/>
      <w:bookmarkEnd w:id="406"/>
      <w:bookmarkStart w:id="407" w:name="_Toc16319"/>
      <w:bookmarkStart w:id="408" w:name="_Toc29393"/>
      <w:bookmarkStart w:id="409" w:name="_Toc842"/>
      <w:bookmarkStart w:id="410" w:name="_Toc30754"/>
      <w:r>
        <w:rPr>
          <w:rStyle w:val="49"/>
          <w:rFonts w:hint="eastAsia" w:ascii="Times New Roman" w:hAnsi="Times New Roman" w:cs="宋体"/>
          <w:b/>
          <w:bCs/>
          <w:sz w:val="24"/>
          <w:szCs w:val="24"/>
        </w:rPr>
        <w:t>5.4.2 应急终止命令的程序</w:t>
      </w:r>
      <w:bookmarkEnd w:id="407"/>
      <w:bookmarkEnd w:id="408"/>
      <w:bookmarkEnd w:id="409"/>
      <w:bookmarkEnd w:id="410"/>
    </w:p>
    <w:p>
      <w:pPr>
        <w:spacing w:line="360" w:lineRule="auto"/>
        <w:ind w:firstLine="480"/>
        <w:rPr>
          <w:rFonts w:ascii="宋体" w:hAnsi="宋体" w:cs="宋体"/>
          <w:sz w:val="28"/>
          <w:szCs w:val="28"/>
        </w:rPr>
      </w:pPr>
      <w:r>
        <w:rPr>
          <w:rFonts w:hint="eastAsia" w:ascii="宋体" w:hAnsi="宋体" w:cs="宋体"/>
          <w:sz w:val="28"/>
          <w:szCs w:val="28"/>
        </w:rPr>
        <w:t>1.事故条件已经消除，由应急领导小组组长下达应急终止指令（Ⅱ、Ⅲ级）；</w:t>
      </w:r>
    </w:p>
    <w:p>
      <w:pPr>
        <w:spacing w:line="360" w:lineRule="auto"/>
        <w:ind w:firstLine="480"/>
        <w:rPr>
          <w:rFonts w:ascii="宋体" w:hAnsi="宋体" w:cs="宋体"/>
          <w:sz w:val="28"/>
          <w:szCs w:val="28"/>
        </w:rPr>
      </w:pPr>
      <w:r>
        <w:rPr>
          <w:rFonts w:hint="eastAsia" w:ascii="宋体" w:hAnsi="宋体" w:cs="宋体"/>
          <w:sz w:val="28"/>
          <w:szCs w:val="28"/>
        </w:rPr>
        <w:t>2.应急领导小组提出，经上级应急指挥部批准（I级）；</w:t>
      </w:r>
    </w:p>
    <w:p>
      <w:pPr>
        <w:spacing w:line="360" w:lineRule="auto"/>
        <w:ind w:firstLine="480"/>
        <w:rPr>
          <w:rFonts w:cs="宋体"/>
          <w:sz w:val="24"/>
          <w:szCs w:val="24"/>
        </w:rPr>
      </w:pPr>
      <w:r>
        <w:rPr>
          <w:rFonts w:hint="eastAsia" w:ascii="宋体" w:hAnsi="宋体" w:cs="宋体"/>
          <w:sz w:val="28"/>
          <w:szCs w:val="28"/>
        </w:rPr>
        <w:t>3.应急状态终止后，现场继续进行监测，直到其他补救措施无需继续进</w:t>
      </w:r>
      <w:r>
        <w:rPr>
          <w:rFonts w:hint="eastAsia" w:cs="宋体"/>
          <w:sz w:val="24"/>
          <w:szCs w:val="24"/>
        </w:rPr>
        <w:t>行为止。</w:t>
      </w:r>
    </w:p>
    <w:p>
      <w:pPr>
        <w:pStyle w:val="5"/>
        <w:spacing w:before="0" w:after="0"/>
        <w:rPr>
          <w:rStyle w:val="49"/>
          <w:rFonts w:ascii="Times New Roman" w:hAnsi="Times New Roman" w:cs="宋体"/>
          <w:b/>
          <w:bCs/>
          <w:sz w:val="24"/>
          <w:szCs w:val="24"/>
        </w:rPr>
      </w:pPr>
      <w:bookmarkStart w:id="411" w:name="_Toc715"/>
      <w:bookmarkEnd w:id="411"/>
      <w:bookmarkStart w:id="412" w:name="_Toc504989586"/>
      <w:bookmarkStart w:id="413" w:name="_Toc25984"/>
      <w:bookmarkStart w:id="414" w:name="_Toc22666"/>
      <w:bookmarkStart w:id="415" w:name="_Toc4277"/>
      <w:bookmarkStart w:id="416" w:name="_Toc23055"/>
      <w:r>
        <w:rPr>
          <w:rStyle w:val="49"/>
          <w:rFonts w:hint="eastAsia" w:ascii="Times New Roman" w:hAnsi="Times New Roman" w:cs="宋体"/>
          <w:b/>
          <w:bCs/>
          <w:sz w:val="24"/>
          <w:szCs w:val="24"/>
        </w:rPr>
        <w:t>5.4.3 应急结束后续工作</w:t>
      </w:r>
      <w:bookmarkEnd w:id="412"/>
      <w:bookmarkEnd w:id="413"/>
      <w:bookmarkEnd w:id="414"/>
      <w:bookmarkEnd w:id="415"/>
      <w:bookmarkEnd w:id="416"/>
    </w:p>
    <w:p>
      <w:pPr>
        <w:spacing w:line="360" w:lineRule="auto"/>
        <w:ind w:firstLine="480"/>
        <w:rPr>
          <w:rFonts w:ascii="宋体" w:hAnsi="宋体" w:cs="宋体"/>
          <w:sz w:val="28"/>
          <w:szCs w:val="28"/>
        </w:rPr>
      </w:pPr>
      <w:r>
        <w:rPr>
          <w:rFonts w:hint="eastAsia" w:ascii="宋体" w:hAnsi="宋体" w:cs="宋体"/>
          <w:sz w:val="28"/>
          <w:szCs w:val="28"/>
        </w:rPr>
        <w:t>在应急结束后，应急领导小组应完成如下事项：</w:t>
      </w:r>
    </w:p>
    <w:p>
      <w:pPr>
        <w:spacing w:line="360" w:lineRule="auto"/>
        <w:ind w:firstLine="480"/>
        <w:rPr>
          <w:rFonts w:ascii="宋体" w:hAnsi="宋体" w:cs="宋体"/>
          <w:sz w:val="28"/>
          <w:szCs w:val="28"/>
        </w:rPr>
      </w:pPr>
      <w:r>
        <w:rPr>
          <w:rFonts w:hint="eastAsia" w:ascii="宋体" w:hAnsi="宋体" w:cs="宋体"/>
          <w:sz w:val="28"/>
          <w:szCs w:val="28"/>
        </w:rPr>
        <w:t>1、将事故情况如何向相关安全监管部门报告，报告的内容应包括：</w:t>
      </w:r>
    </w:p>
    <w:p>
      <w:pPr>
        <w:spacing w:line="360" w:lineRule="auto"/>
        <w:ind w:firstLine="480"/>
        <w:rPr>
          <w:rFonts w:ascii="宋体" w:hAnsi="宋体" w:cs="宋体"/>
          <w:sz w:val="28"/>
          <w:szCs w:val="28"/>
        </w:rPr>
      </w:pPr>
      <w:r>
        <w:rPr>
          <w:rFonts w:hint="eastAsia" w:ascii="宋体" w:hAnsi="宋体" w:cs="宋体"/>
          <w:sz w:val="28"/>
          <w:szCs w:val="28"/>
        </w:rPr>
        <w:t>（1）单位概况；</w:t>
      </w:r>
    </w:p>
    <w:p>
      <w:pPr>
        <w:spacing w:line="360" w:lineRule="auto"/>
        <w:ind w:firstLine="480"/>
        <w:rPr>
          <w:rFonts w:ascii="宋体" w:hAnsi="宋体" w:cs="宋体"/>
          <w:sz w:val="28"/>
          <w:szCs w:val="28"/>
        </w:rPr>
      </w:pPr>
      <w:r>
        <w:rPr>
          <w:rFonts w:hint="eastAsia" w:ascii="宋体" w:hAnsi="宋体" w:cs="宋体"/>
          <w:sz w:val="28"/>
          <w:szCs w:val="28"/>
        </w:rPr>
        <w:t>（2）事故发生的时间、地点及简要经过、事故救援情况；</w:t>
      </w:r>
    </w:p>
    <w:p>
      <w:pPr>
        <w:spacing w:line="360" w:lineRule="auto"/>
        <w:ind w:firstLine="480"/>
        <w:rPr>
          <w:rFonts w:ascii="宋体" w:hAnsi="宋体" w:cs="宋体"/>
          <w:sz w:val="28"/>
          <w:szCs w:val="28"/>
        </w:rPr>
      </w:pPr>
      <w:r>
        <w:rPr>
          <w:rFonts w:hint="eastAsia" w:ascii="宋体" w:hAnsi="宋体" w:cs="宋体"/>
          <w:sz w:val="28"/>
          <w:szCs w:val="28"/>
        </w:rPr>
        <w:t>（3）事故造成的人员伤亡和直接经济损失；</w:t>
      </w:r>
    </w:p>
    <w:p>
      <w:pPr>
        <w:spacing w:line="360" w:lineRule="auto"/>
        <w:ind w:firstLine="480"/>
        <w:rPr>
          <w:rFonts w:ascii="宋体" w:hAnsi="宋体" w:cs="宋体"/>
          <w:sz w:val="28"/>
          <w:szCs w:val="28"/>
        </w:rPr>
      </w:pPr>
      <w:r>
        <w:rPr>
          <w:rFonts w:hint="eastAsia" w:ascii="宋体" w:hAnsi="宋体" w:cs="宋体"/>
          <w:sz w:val="28"/>
          <w:szCs w:val="28"/>
        </w:rPr>
        <w:t>（4）事故发生的原因和事故性质；</w:t>
      </w:r>
    </w:p>
    <w:p>
      <w:pPr>
        <w:spacing w:line="360" w:lineRule="auto"/>
        <w:ind w:firstLine="480"/>
        <w:rPr>
          <w:rFonts w:ascii="宋体" w:hAnsi="宋体" w:cs="宋体"/>
          <w:sz w:val="28"/>
          <w:szCs w:val="28"/>
        </w:rPr>
      </w:pPr>
      <w:r>
        <w:rPr>
          <w:rFonts w:hint="eastAsia" w:ascii="宋体" w:hAnsi="宋体" w:cs="宋体"/>
          <w:sz w:val="28"/>
          <w:szCs w:val="28"/>
        </w:rPr>
        <w:t>（5）事故责任的认定以及对事故责任者的处理建议；</w:t>
      </w:r>
    </w:p>
    <w:p>
      <w:pPr>
        <w:spacing w:line="360" w:lineRule="auto"/>
        <w:ind w:firstLine="480"/>
        <w:rPr>
          <w:rFonts w:ascii="宋体" w:hAnsi="宋体" w:cs="宋体"/>
          <w:sz w:val="28"/>
          <w:szCs w:val="28"/>
        </w:rPr>
      </w:pPr>
      <w:r>
        <w:rPr>
          <w:rFonts w:hint="eastAsia" w:ascii="宋体" w:hAnsi="宋体" w:cs="宋体"/>
          <w:sz w:val="28"/>
          <w:szCs w:val="28"/>
        </w:rPr>
        <w:t>（6）事故防范和整改措施及其他应当上报的情况；</w:t>
      </w:r>
    </w:p>
    <w:p>
      <w:pPr>
        <w:spacing w:line="360" w:lineRule="auto"/>
        <w:ind w:firstLine="560" w:firstLineChars="200"/>
        <w:rPr>
          <w:rFonts w:ascii="宋体" w:hAnsi="宋体" w:cs="宋体"/>
          <w:sz w:val="28"/>
          <w:szCs w:val="28"/>
        </w:rPr>
      </w:pPr>
      <w:r>
        <w:rPr>
          <w:rFonts w:hint="eastAsia" w:ascii="宋体" w:hAnsi="宋体" w:cs="宋体"/>
          <w:sz w:val="28"/>
          <w:szCs w:val="28"/>
        </w:rPr>
        <w:t>2、须做好事故现场保护，向事故调查小组移交事故发生及应急处理过程所有记录，配合事故调查小组取得相关证据。</w:t>
      </w:r>
    </w:p>
    <w:p>
      <w:pPr>
        <w:spacing w:line="360" w:lineRule="auto"/>
        <w:ind w:firstLine="560" w:firstLineChars="200"/>
        <w:rPr>
          <w:rFonts w:ascii="宋体" w:hAnsi="宋体" w:cs="宋体"/>
          <w:sz w:val="28"/>
          <w:szCs w:val="28"/>
        </w:rPr>
      </w:pPr>
      <w:r>
        <w:rPr>
          <w:rFonts w:hint="eastAsia" w:ascii="宋体" w:hAnsi="宋体" w:cs="宋体"/>
          <w:sz w:val="28"/>
          <w:szCs w:val="28"/>
        </w:rPr>
        <w:t>3、应急领导小组总结事故原因，提出（或根据相关监管部门）整改要求和整改期限，落实整改资金、人员和措施；总结事故应急救援工作，并报告区、市监管部门。</w:t>
      </w:r>
    </w:p>
    <w:p>
      <w:pPr>
        <w:spacing w:line="360" w:lineRule="auto"/>
        <w:ind w:firstLine="480"/>
        <w:rPr>
          <w:rFonts w:ascii="宋体" w:hAnsi="宋体" w:cs="宋体"/>
          <w:sz w:val="28"/>
          <w:szCs w:val="28"/>
        </w:rPr>
      </w:pPr>
      <w:r>
        <w:rPr>
          <w:rFonts w:hint="eastAsia" w:ascii="宋体" w:hAnsi="宋体" w:cs="宋体"/>
          <w:sz w:val="28"/>
          <w:szCs w:val="28"/>
        </w:rPr>
        <w:t>（1）应急救援工作总结报告主要从以下几个方面进行：</w:t>
      </w:r>
    </w:p>
    <w:p>
      <w:pPr>
        <w:spacing w:line="360" w:lineRule="auto"/>
        <w:ind w:firstLine="480"/>
        <w:rPr>
          <w:rFonts w:ascii="宋体" w:hAnsi="宋体" w:cs="宋体"/>
          <w:sz w:val="28"/>
          <w:szCs w:val="28"/>
        </w:rPr>
      </w:pPr>
      <w:r>
        <w:rPr>
          <w:rFonts w:hint="eastAsia" w:ascii="宋体" w:hAnsi="宋体" w:cs="宋体"/>
          <w:sz w:val="28"/>
          <w:szCs w:val="28"/>
        </w:rPr>
        <w:t>（2）应急预案的实施情况；</w:t>
      </w:r>
    </w:p>
    <w:p>
      <w:pPr>
        <w:spacing w:line="360" w:lineRule="auto"/>
        <w:ind w:firstLine="480"/>
        <w:rPr>
          <w:rFonts w:ascii="宋体" w:hAnsi="宋体" w:cs="宋体"/>
          <w:sz w:val="28"/>
          <w:szCs w:val="28"/>
        </w:rPr>
      </w:pPr>
      <w:r>
        <w:rPr>
          <w:rFonts w:hint="eastAsia" w:ascii="宋体" w:hAnsi="宋体" w:cs="宋体"/>
          <w:sz w:val="28"/>
          <w:szCs w:val="28"/>
        </w:rPr>
        <w:t>（3）应急反应的及时性；</w:t>
      </w:r>
    </w:p>
    <w:p>
      <w:pPr>
        <w:spacing w:line="360" w:lineRule="auto"/>
        <w:ind w:firstLine="480"/>
        <w:rPr>
          <w:rFonts w:ascii="宋体" w:hAnsi="宋体" w:cs="宋体"/>
          <w:sz w:val="28"/>
          <w:szCs w:val="28"/>
        </w:rPr>
      </w:pPr>
      <w:r>
        <w:rPr>
          <w:rFonts w:hint="eastAsia" w:ascii="宋体" w:hAnsi="宋体" w:cs="宋体"/>
          <w:sz w:val="28"/>
          <w:szCs w:val="28"/>
        </w:rPr>
        <w:t>（4）应急组织的协调配合情况；</w:t>
      </w:r>
    </w:p>
    <w:p>
      <w:pPr>
        <w:spacing w:line="360" w:lineRule="auto"/>
        <w:ind w:firstLine="480"/>
        <w:rPr>
          <w:rFonts w:ascii="宋体" w:hAnsi="宋体" w:cs="宋体"/>
          <w:sz w:val="28"/>
          <w:szCs w:val="28"/>
        </w:rPr>
      </w:pPr>
      <w:r>
        <w:rPr>
          <w:rFonts w:hint="eastAsia" w:ascii="宋体" w:hAnsi="宋体" w:cs="宋体"/>
          <w:sz w:val="28"/>
          <w:szCs w:val="28"/>
        </w:rPr>
        <w:t>（5）应急装备和物资的充分性；</w:t>
      </w:r>
    </w:p>
    <w:p>
      <w:pPr>
        <w:spacing w:line="360" w:lineRule="auto"/>
        <w:ind w:firstLine="480"/>
        <w:rPr>
          <w:rFonts w:ascii="宋体" w:hAnsi="宋体" w:cs="宋体"/>
          <w:sz w:val="28"/>
          <w:szCs w:val="28"/>
        </w:rPr>
      </w:pPr>
      <w:r>
        <w:rPr>
          <w:rFonts w:hint="eastAsia" w:ascii="宋体" w:hAnsi="宋体" w:cs="宋体"/>
          <w:sz w:val="28"/>
          <w:szCs w:val="28"/>
        </w:rPr>
        <w:t>（6）人员的疏散情况；</w:t>
      </w:r>
    </w:p>
    <w:p>
      <w:pPr>
        <w:spacing w:line="360" w:lineRule="auto"/>
        <w:ind w:firstLine="480"/>
        <w:rPr>
          <w:rFonts w:ascii="宋体" w:hAnsi="宋体" w:cs="宋体"/>
          <w:sz w:val="28"/>
          <w:szCs w:val="28"/>
        </w:rPr>
      </w:pPr>
      <w:r>
        <w:rPr>
          <w:rFonts w:hint="eastAsia" w:ascii="宋体" w:hAnsi="宋体" w:cs="宋体"/>
          <w:sz w:val="28"/>
          <w:szCs w:val="28"/>
        </w:rPr>
        <w:t>（7）应急医疗救护情况；</w:t>
      </w:r>
    </w:p>
    <w:p>
      <w:pPr>
        <w:spacing w:line="360" w:lineRule="auto"/>
        <w:ind w:firstLine="480"/>
        <w:rPr>
          <w:rFonts w:ascii="宋体" w:hAnsi="宋体" w:cs="宋体"/>
          <w:sz w:val="28"/>
          <w:szCs w:val="28"/>
        </w:rPr>
      </w:pPr>
      <w:r>
        <w:rPr>
          <w:rFonts w:hint="eastAsia" w:ascii="宋体" w:hAnsi="宋体" w:cs="宋体"/>
          <w:sz w:val="28"/>
          <w:szCs w:val="28"/>
        </w:rPr>
        <w:t>（8）人员伤亡情况。</w:t>
      </w:r>
    </w:p>
    <w:p>
      <w:pPr>
        <w:spacing w:line="360" w:lineRule="auto"/>
        <w:ind w:firstLine="480"/>
        <w:rPr>
          <w:rFonts w:ascii="宋体" w:hAnsi="宋体" w:cs="宋体"/>
          <w:sz w:val="28"/>
          <w:szCs w:val="28"/>
        </w:rPr>
      </w:pPr>
      <w:r>
        <w:rPr>
          <w:rFonts w:hint="eastAsia" w:ascii="宋体" w:hAnsi="宋体" w:cs="宋体"/>
          <w:sz w:val="28"/>
          <w:szCs w:val="28"/>
        </w:rPr>
        <w:t>（9）人员的应急能力、应急协作单位的配合程度、周边群众和居民的应急意识、应急演练投入等方面。</w:t>
      </w:r>
    </w:p>
    <w:p>
      <w:pPr>
        <w:spacing w:line="360" w:lineRule="auto"/>
        <w:ind w:firstLine="480"/>
        <w:rPr>
          <w:rFonts w:ascii="宋体" w:hAnsi="宋体" w:cs="宋体"/>
          <w:sz w:val="28"/>
          <w:szCs w:val="28"/>
        </w:rPr>
      </w:pPr>
      <w:r>
        <w:rPr>
          <w:rFonts w:hint="eastAsia" w:ascii="宋体" w:hAnsi="宋体" w:cs="宋体"/>
          <w:sz w:val="28"/>
          <w:szCs w:val="28"/>
        </w:rPr>
        <w:t>4、总结事故原因，举一反三，召开员工会议，落实安全责任制和安全操作规程；进行隐患排查，并按规定整改。</w:t>
      </w:r>
    </w:p>
    <w:p>
      <w:pPr>
        <w:pStyle w:val="3"/>
        <w:rPr>
          <w:rFonts w:eastAsia="宋体" w:cs="宋体"/>
        </w:rPr>
      </w:pPr>
      <w:bookmarkStart w:id="417" w:name="_Toc504989587"/>
      <w:bookmarkEnd w:id="417"/>
      <w:bookmarkStart w:id="418" w:name="_Toc24666"/>
      <w:bookmarkStart w:id="419" w:name="_Toc15995"/>
      <w:bookmarkStart w:id="420" w:name="_Toc3113"/>
      <w:bookmarkStart w:id="421" w:name="_Toc29813"/>
      <w:bookmarkStart w:id="422" w:name="_Toc5130"/>
      <w:r>
        <w:rPr>
          <w:rFonts w:hint="eastAsia" w:eastAsia="宋体" w:cs="宋体"/>
        </w:rPr>
        <w:t>第六章 信息公开</w:t>
      </w:r>
      <w:bookmarkEnd w:id="418"/>
      <w:bookmarkEnd w:id="419"/>
      <w:bookmarkEnd w:id="420"/>
      <w:bookmarkEnd w:id="421"/>
      <w:bookmarkEnd w:id="422"/>
    </w:p>
    <w:p>
      <w:pPr>
        <w:spacing w:line="360" w:lineRule="auto"/>
        <w:ind w:firstLine="480"/>
        <w:rPr>
          <w:rFonts w:ascii="宋体" w:hAnsi="宋体" w:cs="宋体"/>
          <w:sz w:val="28"/>
          <w:szCs w:val="28"/>
        </w:rPr>
      </w:pPr>
      <w:bookmarkStart w:id="423" w:name="_Toc881"/>
      <w:bookmarkEnd w:id="423"/>
      <w:r>
        <w:rPr>
          <w:rFonts w:hint="eastAsia" w:ascii="宋体" w:hAnsi="宋体" w:cs="宋体"/>
          <w:sz w:val="28"/>
          <w:szCs w:val="28"/>
        </w:rPr>
        <w:t>1、事故信息报告要贯穿预测预警、应急处置、善后恢复全过程，应急救援领导小组及时负责收集、整理和研究突发事故的信息，并及时汇总分析。</w:t>
      </w:r>
    </w:p>
    <w:p>
      <w:pPr>
        <w:spacing w:line="360" w:lineRule="auto"/>
        <w:ind w:firstLine="480"/>
        <w:rPr>
          <w:rFonts w:ascii="宋体" w:hAnsi="宋体" w:cs="宋体"/>
          <w:sz w:val="28"/>
          <w:szCs w:val="28"/>
        </w:rPr>
      </w:pPr>
      <w:r>
        <w:rPr>
          <w:rFonts w:hint="eastAsia" w:ascii="宋体" w:hAnsi="宋体" w:cs="宋体"/>
          <w:sz w:val="28"/>
          <w:szCs w:val="28"/>
        </w:rPr>
        <w:t>2、按照“早发现、早报告、早控制、早解决”的原则，对较大或严重事故甚至特别严重的信息，应急领导小组组长在1小时内将详细情况上报西充县应急管理局。</w:t>
      </w:r>
    </w:p>
    <w:p>
      <w:pPr>
        <w:spacing w:line="360" w:lineRule="auto"/>
        <w:ind w:firstLine="480"/>
        <w:rPr>
          <w:rFonts w:ascii="宋体" w:hAnsi="宋体" w:cs="宋体"/>
          <w:sz w:val="28"/>
          <w:szCs w:val="28"/>
        </w:rPr>
      </w:pPr>
      <w:r>
        <w:rPr>
          <w:rFonts w:hint="eastAsia" w:ascii="宋体" w:hAnsi="宋体" w:cs="宋体"/>
          <w:sz w:val="28"/>
          <w:szCs w:val="28"/>
        </w:rPr>
        <w:t>3、事故信息报告须主题鲜明，言简意赅，用词规范，逻辑严密，条理清楚。事故信息报告一般包括以下要素：</w:t>
      </w:r>
    </w:p>
    <w:p>
      <w:pPr>
        <w:spacing w:line="360" w:lineRule="auto"/>
        <w:ind w:firstLine="480"/>
        <w:rPr>
          <w:rFonts w:ascii="宋体" w:hAnsi="宋体" w:cs="宋体"/>
          <w:sz w:val="28"/>
          <w:szCs w:val="28"/>
        </w:rPr>
      </w:pPr>
      <w:r>
        <w:rPr>
          <w:rFonts w:hint="eastAsia" w:ascii="宋体" w:hAnsi="宋体" w:cs="宋体"/>
          <w:sz w:val="28"/>
          <w:szCs w:val="28"/>
        </w:rPr>
        <w:t>（1）单位概况；</w:t>
      </w:r>
    </w:p>
    <w:p>
      <w:pPr>
        <w:spacing w:line="360" w:lineRule="auto"/>
        <w:ind w:firstLine="480"/>
        <w:rPr>
          <w:rFonts w:ascii="宋体" w:hAnsi="宋体" w:cs="宋体"/>
          <w:sz w:val="28"/>
          <w:szCs w:val="28"/>
        </w:rPr>
      </w:pPr>
      <w:r>
        <w:rPr>
          <w:rFonts w:hint="eastAsia" w:ascii="宋体" w:hAnsi="宋体" w:cs="宋体"/>
          <w:sz w:val="28"/>
          <w:szCs w:val="28"/>
        </w:rPr>
        <w:t>（2）事故发生时间、地点、事故类型以及事故现场情况；</w:t>
      </w:r>
    </w:p>
    <w:p>
      <w:pPr>
        <w:spacing w:line="360" w:lineRule="auto"/>
        <w:ind w:firstLine="480"/>
        <w:rPr>
          <w:rFonts w:ascii="宋体" w:hAnsi="宋体" w:cs="宋体"/>
          <w:sz w:val="28"/>
          <w:szCs w:val="28"/>
        </w:rPr>
      </w:pPr>
      <w:r>
        <w:rPr>
          <w:rFonts w:hint="eastAsia" w:ascii="宋体" w:hAnsi="宋体" w:cs="宋体"/>
          <w:sz w:val="28"/>
          <w:szCs w:val="28"/>
        </w:rPr>
        <w:t>（3）事故发生的简要经过；</w:t>
      </w:r>
    </w:p>
    <w:p>
      <w:pPr>
        <w:spacing w:line="360" w:lineRule="auto"/>
        <w:ind w:firstLine="480"/>
        <w:rPr>
          <w:rFonts w:ascii="宋体" w:hAnsi="宋体" w:cs="宋体"/>
          <w:sz w:val="28"/>
          <w:szCs w:val="28"/>
        </w:rPr>
      </w:pPr>
      <w:r>
        <w:rPr>
          <w:rFonts w:hint="eastAsia" w:ascii="宋体" w:hAnsi="宋体" w:cs="宋体"/>
          <w:sz w:val="28"/>
          <w:szCs w:val="28"/>
        </w:rPr>
        <w:t>（4）事故已造成的伤亡情况或者可能造成的伤亡人数（包括下落不明的人数）及事故直接经济损失的初步评估；</w:t>
      </w:r>
    </w:p>
    <w:p>
      <w:pPr>
        <w:spacing w:line="360" w:lineRule="auto"/>
        <w:ind w:firstLine="480"/>
        <w:rPr>
          <w:rFonts w:ascii="宋体" w:hAnsi="宋体" w:cs="宋体"/>
          <w:sz w:val="28"/>
          <w:szCs w:val="28"/>
        </w:rPr>
      </w:pPr>
      <w:r>
        <w:rPr>
          <w:rFonts w:hint="eastAsia" w:ascii="宋体" w:hAnsi="宋体" w:cs="宋体"/>
          <w:sz w:val="28"/>
          <w:szCs w:val="28"/>
        </w:rPr>
        <w:t>（5）事故涉及的危险性质、数量；</w:t>
      </w:r>
    </w:p>
    <w:p>
      <w:pPr>
        <w:spacing w:line="360" w:lineRule="auto"/>
        <w:ind w:firstLine="480"/>
        <w:rPr>
          <w:rFonts w:ascii="宋体" w:hAnsi="宋体" w:cs="宋体"/>
          <w:sz w:val="28"/>
          <w:szCs w:val="28"/>
        </w:rPr>
      </w:pPr>
      <w:r>
        <w:rPr>
          <w:rFonts w:hint="eastAsia" w:ascii="宋体" w:hAnsi="宋体" w:cs="宋体"/>
          <w:sz w:val="28"/>
          <w:szCs w:val="28"/>
        </w:rPr>
        <w:t>（6）事故发展趋势，可能影响的范围，现场人员和附近人员分布；</w:t>
      </w:r>
    </w:p>
    <w:p>
      <w:pPr>
        <w:spacing w:line="360" w:lineRule="auto"/>
        <w:ind w:firstLine="480"/>
        <w:rPr>
          <w:rFonts w:ascii="宋体" w:hAnsi="宋体" w:cs="宋体"/>
          <w:sz w:val="28"/>
          <w:szCs w:val="28"/>
        </w:rPr>
      </w:pPr>
      <w:r>
        <w:rPr>
          <w:rFonts w:hint="eastAsia" w:ascii="宋体" w:hAnsi="宋体" w:cs="宋体"/>
          <w:sz w:val="28"/>
          <w:szCs w:val="28"/>
        </w:rPr>
        <w:t>（7）事故的初步原因判断；</w:t>
      </w:r>
    </w:p>
    <w:p>
      <w:pPr>
        <w:spacing w:line="360" w:lineRule="auto"/>
        <w:ind w:firstLine="480"/>
        <w:rPr>
          <w:rFonts w:ascii="宋体" w:hAnsi="宋体" w:cs="宋体"/>
          <w:sz w:val="28"/>
          <w:szCs w:val="28"/>
        </w:rPr>
      </w:pPr>
      <w:r>
        <w:rPr>
          <w:rFonts w:hint="eastAsia" w:ascii="宋体" w:hAnsi="宋体" w:cs="宋体"/>
          <w:sz w:val="28"/>
          <w:szCs w:val="28"/>
        </w:rPr>
        <w:t>（8）采取的应急抢救措施；</w:t>
      </w:r>
    </w:p>
    <w:p>
      <w:pPr>
        <w:spacing w:line="360" w:lineRule="auto"/>
        <w:ind w:firstLine="480"/>
        <w:rPr>
          <w:rFonts w:ascii="宋体" w:hAnsi="宋体" w:cs="宋体"/>
          <w:sz w:val="28"/>
          <w:szCs w:val="28"/>
        </w:rPr>
      </w:pPr>
      <w:r>
        <w:rPr>
          <w:rFonts w:hint="eastAsia" w:ascii="宋体" w:hAnsi="宋体" w:cs="宋体"/>
          <w:sz w:val="28"/>
          <w:szCs w:val="28"/>
        </w:rPr>
        <w:t>（9）有关部门和单位协助救援抢险的事宜；</w:t>
      </w:r>
    </w:p>
    <w:p>
      <w:pPr>
        <w:spacing w:line="360" w:lineRule="auto"/>
        <w:ind w:firstLine="480"/>
        <w:rPr>
          <w:rFonts w:ascii="宋体" w:hAnsi="宋体" w:cs="宋体"/>
          <w:sz w:val="28"/>
          <w:szCs w:val="28"/>
        </w:rPr>
      </w:pPr>
      <w:r>
        <w:rPr>
          <w:rFonts w:hint="eastAsia" w:ascii="宋体" w:hAnsi="宋体" w:cs="宋体"/>
          <w:sz w:val="28"/>
          <w:szCs w:val="28"/>
        </w:rPr>
        <w:t>（10）事故的报告时间、报告单位、报告人及电话联络方式。</w:t>
      </w:r>
    </w:p>
    <w:p>
      <w:pPr>
        <w:spacing w:line="360" w:lineRule="auto"/>
        <w:ind w:firstLine="480"/>
        <w:rPr>
          <w:rFonts w:ascii="宋体" w:hAnsi="宋体" w:cs="宋体"/>
          <w:sz w:val="28"/>
          <w:szCs w:val="28"/>
        </w:rPr>
      </w:pPr>
      <w:r>
        <w:rPr>
          <w:rFonts w:hint="eastAsia" w:ascii="宋体" w:hAnsi="宋体" w:cs="宋体"/>
          <w:sz w:val="28"/>
          <w:szCs w:val="28"/>
        </w:rPr>
        <w:t>一般情况下，采用书面形式报告。紧急情况下，可先用电话、电台、口头报告，之后采用文字报告。应急工作信息报告采用书面报告形式，涉密信息应遵守相关规定。</w:t>
      </w:r>
    </w:p>
    <w:p>
      <w:pPr>
        <w:spacing w:line="360" w:lineRule="auto"/>
        <w:ind w:firstLine="480"/>
        <w:rPr>
          <w:rFonts w:ascii="宋体" w:hAnsi="宋体" w:cs="宋体"/>
          <w:sz w:val="28"/>
          <w:szCs w:val="28"/>
        </w:rPr>
      </w:pPr>
      <w:r>
        <w:rPr>
          <w:rFonts w:hint="eastAsia" w:ascii="宋体" w:hAnsi="宋体" w:cs="宋体"/>
          <w:sz w:val="28"/>
          <w:szCs w:val="28"/>
        </w:rPr>
        <w:t>4、对外部的信息发布，事故信息发布由应急救援组组长在当地安全生产监督管理部门的指导下进行，发布过程中应遵守国家法律法规，实事求是、客观公正、内容详实、及时准确的原则。</w:t>
      </w:r>
    </w:p>
    <w:p>
      <w:pPr>
        <w:pStyle w:val="3"/>
        <w:rPr>
          <w:rFonts w:eastAsia="宋体" w:cs="宋体"/>
        </w:rPr>
      </w:pPr>
      <w:bookmarkStart w:id="424" w:name="_Toc504989588"/>
      <w:bookmarkEnd w:id="424"/>
      <w:bookmarkStart w:id="425" w:name="_Toc1601"/>
      <w:bookmarkStart w:id="426" w:name="_Toc18014"/>
      <w:bookmarkStart w:id="427" w:name="_Toc18788"/>
      <w:bookmarkStart w:id="428" w:name="_Toc18123"/>
      <w:r>
        <w:rPr>
          <w:rFonts w:hint="eastAsia" w:eastAsia="宋体" w:cs="宋体"/>
        </w:rPr>
        <w:t>第七章 后期处置</w:t>
      </w:r>
      <w:bookmarkEnd w:id="425"/>
      <w:bookmarkEnd w:id="426"/>
      <w:bookmarkEnd w:id="427"/>
      <w:bookmarkEnd w:id="428"/>
    </w:p>
    <w:p>
      <w:pPr>
        <w:pStyle w:val="4"/>
        <w:spacing w:before="0" w:after="0"/>
        <w:rPr>
          <w:rStyle w:val="51"/>
          <w:rFonts w:hint="default" w:ascii="Times New Roman" w:hAnsi="Times New Roman" w:cs="宋体"/>
          <w:b/>
          <w:bCs/>
          <w:sz w:val="24"/>
          <w:szCs w:val="24"/>
        </w:rPr>
      </w:pPr>
      <w:bookmarkStart w:id="429" w:name="_Toc20657"/>
      <w:bookmarkEnd w:id="429"/>
      <w:bookmarkStart w:id="430" w:name="_Toc504989589"/>
      <w:bookmarkEnd w:id="430"/>
      <w:bookmarkStart w:id="431" w:name="_Toc31988"/>
      <w:bookmarkEnd w:id="431"/>
      <w:bookmarkStart w:id="432" w:name="_Toc6319"/>
      <w:bookmarkEnd w:id="432"/>
      <w:bookmarkStart w:id="433" w:name="_Toc15299"/>
      <w:bookmarkEnd w:id="433"/>
      <w:bookmarkStart w:id="434" w:name="_Toc255133913"/>
      <w:bookmarkStart w:id="435" w:name="_Toc25210"/>
      <w:bookmarkStart w:id="436" w:name="_Toc20025"/>
      <w:bookmarkStart w:id="437" w:name="_Toc1993"/>
      <w:bookmarkStart w:id="438" w:name="_Toc19617"/>
      <w:r>
        <w:rPr>
          <w:rStyle w:val="51"/>
          <w:rFonts w:hint="default" w:ascii="Times New Roman" w:hAnsi="Times New Roman" w:cs="宋体"/>
          <w:b/>
          <w:bCs/>
          <w:sz w:val="24"/>
          <w:szCs w:val="24"/>
        </w:rPr>
        <w:t>7.1现场保护</w:t>
      </w:r>
      <w:bookmarkEnd w:id="434"/>
      <w:bookmarkEnd w:id="435"/>
      <w:bookmarkEnd w:id="436"/>
      <w:bookmarkEnd w:id="437"/>
      <w:bookmarkEnd w:id="438"/>
    </w:p>
    <w:p>
      <w:pPr>
        <w:spacing w:line="360" w:lineRule="auto"/>
        <w:ind w:firstLine="480"/>
        <w:rPr>
          <w:rFonts w:ascii="宋体" w:hAnsi="宋体" w:cs="宋体"/>
          <w:sz w:val="28"/>
          <w:szCs w:val="28"/>
        </w:rPr>
      </w:pPr>
      <w:r>
        <w:rPr>
          <w:rFonts w:hint="eastAsia" w:ascii="宋体" w:hAnsi="宋体" w:cs="宋体"/>
          <w:sz w:val="28"/>
          <w:szCs w:val="28"/>
        </w:rPr>
        <w:t>事故控制后，吉运加油站负责保护事故现场，等待事故调查人员取证。</w:t>
      </w:r>
    </w:p>
    <w:p>
      <w:pPr>
        <w:pStyle w:val="4"/>
        <w:spacing w:before="0" w:after="0"/>
        <w:rPr>
          <w:rStyle w:val="51"/>
          <w:rFonts w:hint="default" w:ascii="Times New Roman" w:hAnsi="Times New Roman" w:cs="宋体"/>
          <w:b/>
          <w:bCs/>
          <w:sz w:val="24"/>
          <w:szCs w:val="24"/>
        </w:rPr>
      </w:pPr>
      <w:bookmarkStart w:id="439" w:name="_Toc504989590"/>
      <w:bookmarkEnd w:id="439"/>
      <w:bookmarkStart w:id="440" w:name="_Toc6044"/>
      <w:bookmarkStart w:id="441" w:name="_Toc28705"/>
      <w:bookmarkStart w:id="442" w:name="_Toc12837"/>
      <w:bookmarkStart w:id="443" w:name="_Toc23153"/>
      <w:bookmarkStart w:id="444" w:name="_Toc30620"/>
      <w:r>
        <w:rPr>
          <w:rStyle w:val="51"/>
          <w:rFonts w:hint="default" w:ascii="Times New Roman" w:hAnsi="Times New Roman" w:cs="宋体"/>
          <w:b/>
          <w:bCs/>
          <w:sz w:val="24"/>
          <w:szCs w:val="24"/>
        </w:rPr>
        <w:t>7.2事故调查处理</w:t>
      </w:r>
      <w:bookmarkEnd w:id="440"/>
      <w:bookmarkEnd w:id="441"/>
      <w:bookmarkEnd w:id="442"/>
      <w:bookmarkEnd w:id="443"/>
      <w:bookmarkEnd w:id="444"/>
    </w:p>
    <w:p>
      <w:pPr>
        <w:spacing w:line="360" w:lineRule="auto"/>
        <w:ind w:firstLine="480"/>
        <w:rPr>
          <w:rFonts w:ascii="宋体" w:hAnsi="宋体" w:cs="宋体"/>
          <w:sz w:val="28"/>
          <w:szCs w:val="28"/>
        </w:rPr>
      </w:pPr>
      <w:r>
        <w:rPr>
          <w:rFonts w:hint="eastAsia" w:ascii="宋体" w:hAnsi="宋体" w:cs="宋体"/>
          <w:sz w:val="28"/>
          <w:szCs w:val="28"/>
        </w:rPr>
        <w:t>认真核对参加抢险救灾的人数，清点各种救援机械和设备、监测仪器、个体防护设备、医疗设备及药品、生活保障设施等，对于在救援中损耗的应急物资必须重新更换配备，始终保持完好状态。并整理好抢险救援记录、图纸等，及时总结分析，写出救援总结报告。</w:t>
      </w:r>
    </w:p>
    <w:p>
      <w:pPr>
        <w:spacing w:line="360" w:lineRule="auto"/>
        <w:ind w:firstLine="480"/>
        <w:rPr>
          <w:rFonts w:ascii="宋体" w:hAnsi="宋体" w:cs="宋体"/>
          <w:sz w:val="28"/>
          <w:szCs w:val="28"/>
        </w:rPr>
      </w:pPr>
      <w:r>
        <w:rPr>
          <w:rFonts w:hint="eastAsia" w:ascii="宋体" w:hAnsi="宋体" w:cs="宋体"/>
          <w:sz w:val="28"/>
          <w:szCs w:val="28"/>
        </w:rPr>
        <w:t>按照国家有关事故调查的规定，救援完成后，组织事故调查对事故发生的原因、过程、经济损失和人员伤亡情况进行认真细致的调查，吸取事故教训，从管理、技术等方面采取相应的安全措施。</w:t>
      </w:r>
    </w:p>
    <w:p>
      <w:pPr>
        <w:pStyle w:val="4"/>
        <w:spacing w:before="0" w:after="0"/>
        <w:rPr>
          <w:rStyle w:val="51"/>
          <w:rFonts w:hint="default" w:ascii="Times New Roman" w:hAnsi="Times New Roman" w:cs="宋体"/>
          <w:b/>
          <w:bCs/>
          <w:sz w:val="24"/>
          <w:szCs w:val="24"/>
        </w:rPr>
      </w:pPr>
      <w:bookmarkStart w:id="445" w:name="_Toc10678"/>
      <w:bookmarkEnd w:id="445"/>
      <w:bookmarkStart w:id="446" w:name="_Toc504989591"/>
      <w:bookmarkStart w:id="447" w:name="_Toc26985"/>
      <w:bookmarkStart w:id="448" w:name="_Toc30485"/>
      <w:bookmarkStart w:id="449" w:name="_Toc10400"/>
      <w:bookmarkStart w:id="450" w:name="_Toc13758"/>
      <w:r>
        <w:rPr>
          <w:rStyle w:val="51"/>
          <w:rFonts w:hint="default" w:ascii="Times New Roman" w:hAnsi="Times New Roman" w:cs="宋体"/>
          <w:b/>
          <w:bCs/>
          <w:sz w:val="24"/>
          <w:szCs w:val="24"/>
        </w:rPr>
        <w:t>7.3现场洗消</w:t>
      </w:r>
      <w:bookmarkEnd w:id="446"/>
      <w:bookmarkEnd w:id="447"/>
      <w:bookmarkEnd w:id="448"/>
      <w:bookmarkEnd w:id="449"/>
      <w:bookmarkEnd w:id="450"/>
    </w:p>
    <w:p>
      <w:pPr>
        <w:spacing w:line="360" w:lineRule="auto"/>
        <w:ind w:firstLine="480"/>
        <w:rPr>
          <w:rFonts w:ascii="宋体" w:hAnsi="宋体" w:cs="宋体"/>
          <w:sz w:val="28"/>
          <w:szCs w:val="28"/>
        </w:rPr>
      </w:pPr>
      <w:r>
        <w:rPr>
          <w:rFonts w:hint="eastAsia" w:ascii="宋体" w:hAnsi="宋体" w:cs="宋体"/>
          <w:sz w:val="28"/>
          <w:szCs w:val="28"/>
        </w:rPr>
        <w:t>根据灭火、抢险后事故现场的具体情况，洗消去污可采用以下几种方法：</w:t>
      </w:r>
    </w:p>
    <w:p>
      <w:pPr>
        <w:spacing w:line="360" w:lineRule="auto"/>
        <w:ind w:firstLine="480"/>
        <w:rPr>
          <w:rFonts w:ascii="宋体" w:hAnsi="宋体" w:cs="宋体"/>
          <w:sz w:val="28"/>
          <w:szCs w:val="28"/>
        </w:rPr>
      </w:pPr>
      <w:r>
        <w:rPr>
          <w:rFonts w:hint="eastAsia" w:ascii="宋体" w:hAnsi="宋体" w:cs="宋体"/>
          <w:sz w:val="28"/>
          <w:szCs w:val="28"/>
        </w:rPr>
        <w:t>（1）稀释，用水、清洁剂、清洗液稀释现场污染物料；</w:t>
      </w:r>
    </w:p>
    <w:p>
      <w:pPr>
        <w:spacing w:line="360" w:lineRule="auto"/>
        <w:ind w:firstLine="480"/>
        <w:rPr>
          <w:rFonts w:ascii="宋体" w:hAnsi="宋体" w:cs="宋体"/>
          <w:sz w:val="28"/>
          <w:szCs w:val="28"/>
        </w:rPr>
      </w:pPr>
      <w:r>
        <w:rPr>
          <w:rFonts w:hint="eastAsia" w:ascii="宋体" w:hAnsi="宋体" w:cs="宋体"/>
          <w:sz w:val="28"/>
          <w:szCs w:val="28"/>
        </w:rPr>
        <w:t>（2）处理，对应急行动工作人员使用过后衣服、工具、设备进行处理。当应急人员从现场撤出时，他们的衣物或其他物品应集中储藏，作为污染物处理。</w:t>
      </w:r>
    </w:p>
    <w:p>
      <w:pPr>
        <w:spacing w:line="360" w:lineRule="auto"/>
        <w:ind w:firstLine="480"/>
        <w:rPr>
          <w:rFonts w:ascii="宋体" w:hAnsi="宋体" w:cs="宋体"/>
          <w:sz w:val="28"/>
          <w:szCs w:val="28"/>
        </w:rPr>
      </w:pPr>
      <w:r>
        <w:rPr>
          <w:rFonts w:hint="eastAsia" w:ascii="宋体" w:hAnsi="宋体" w:cs="宋体"/>
          <w:sz w:val="28"/>
          <w:szCs w:val="28"/>
        </w:rPr>
        <w:t>（3）物理去除，使用刷子或吸尘器除去一些颗粒性污染物；</w:t>
      </w:r>
    </w:p>
    <w:p>
      <w:pPr>
        <w:spacing w:line="360" w:lineRule="auto"/>
        <w:ind w:firstLine="480"/>
        <w:rPr>
          <w:rFonts w:ascii="宋体" w:hAnsi="宋体" w:cs="宋体"/>
          <w:sz w:val="28"/>
          <w:szCs w:val="28"/>
        </w:rPr>
      </w:pPr>
      <w:r>
        <w:rPr>
          <w:rFonts w:hint="eastAsia" w:ascii="宋体" w:hAnsi="宋体" w:cs="宋体"/>
          <w:sz w:val="28"/>
          <w:szCs w:val="28"/>
        </w:rPr>
        <w:t>（4）中和，中和一般不直接应用于人体，一般可用苏打粉、碳酸氢钠、醋、漂白剂等用于衣服、设备和受污染环境的清洗；</w:t>
      </w:r>
    </w:p>
    <w:p>
      <w:pPr>
        <w:spacing w:line="360" w:lineRule="auto"/>
        <w:ind w:firstLine="480"/>
        <w:rPr>
          <w:rFonts w:ascii="宋体" w:hAnsi="宋体" w:cs="宋体"/>
          <w:sz w:val="28"/>
          <w:szCs w:val="28"/>
        </w:rPr>
      </w:pPr>
      <w:r>
        <w:rPr>
          <w:rFonts w:hint="eastAsia" w:ascii="宋体" w:hAnsi="宋体" w:cs="宋体"/>
          <w:sz w:val="28"/>
          <w:szCs w:val="28"/>
        </w:rPr>
        <w:t>（5）吸附，可用吸附剂吸收污染物，但吸附剂使用后要回收、处理。</w:t>
      </w:r>
    </w:p>
    <w:p>
      <w:pPr>
        <w:spacing w:line="360" w:lineRule="auto"/>
        <w:ind w:firstLine="480"/>
        <w:rPr>
          <w:rFonts w:ascii="宋体" w:hAnsi="宋体" w:cs="宋体"/>
          <w:sz w:val="28"/>
          <w:szCs w:val="28"/>
        </w:rPr>
      </w:pPr>
      <w:r>
        <w:rPr>
          <w:rFonts w:hint="eastAsia" w:ascii="宋体" w:hAnsi="宋体" w:cs="宋体"/>
          <w:sz w:val="28"/>
          <w:szCs w:val="28"/>
        </w:rPr>
        <w:t>（6）隔离，隔离需要全部隔离或把现场受污染环境全部围起来以免污染扩散，污染物质要待以后处理。</w:t>
      </w:r>
    </w:p>
    <w:p>
      <w:pPr>
        <w:pStyle w:val="4"/>
        <w:spacing w:before="0" w:after="0"/>
        <w:rPr>
          <w:rStyle w:val="51"/>
          <w:rFonts w:hint="default" w:ascii="Times New Roman" w:hAnsi="Times New Roman" w:cs="宋体"/>
          <w:b/>
          <w:bCs/>
          <w:sz w:val="24"/>
          <w:szCs w:val="24"/>
        </w:rPr>
      </w:pPr>
      <w:bookmarkStart w:id="451" w:name="_Toc9180"/>
      <w:bookmarkEnd w:id="451"/>
      <w:bookmarkStart w:id="452" w:name="_Toc11975"/>
      <w:bookmarkEnd w:id="452"/>
      <w:bookmarkStart w:id="453" w:name="_Toc504989592"/>
      <w:bookmarkStart w:id="454" w:name="_Toc15174"/>
      <w:bookmarkStart w:id="455" w:name="_Toc27803"/>
      <w:bookmarkStart w:id="456" w:name="_Toc23692"/>
      <w:bookmarkStart w:id="457" w:name="_Toc15882"/>
      <w:r>
        <w:rPr>
          <w:rStyle w:val="51"/>
          <w:rFonts w:hint="default" w:ascii="Times New Roman" w:hAnsi="Times New Roman" w:cs="宋体"/>
          <w:b/>
          <w:bCs/>
          <w:sz w:val="24"/>
          <w:szCs w:val="24"/>
        </w:rPr>
        <w:t>7.4污染物处理</w:t>
      </w:r>
      <w:bookmarkEnd w:id="453"/>
      <w:bookmarkEnd w:id="454"/>
      <w:bookmarkEnd w:id="455"/>
      <w:bookmarkEnd w:id="456"/>
      <w:bookmarkEnd w:id="457"/>
    </w:p>
    <w:p>
      <w:pPr>
        <w:spacing w:line="360" w:lineRule="auto"/>
        <w:ind w:firstLine="480"/>
        <w:rPr>
          <w:rFonts w:ascii="宋体" w:hAnsi="宋体" w:cs="宋体"/>
          <w:sz w:val="28"/>
          <w:szCs w:val="28"/>
        </w:rPr>
      </w:pPr>
      <w:r>
        <w:rPr>
          <w:rFonts w:hint="eastAsia" w:ascii="宋体" w:hAnsi="宋体" w:cs="宋体"/>
          <w:sz w:val="28"/>
          <w:szCs w:val="28"/>
        </w:rPr>
        <w:t>根据吉运加油站情况，发生事故可能产生的污染物主要有以下几种：</w:t>
      </w:r>
    </w:p>
    <w:p>
      <w:pPr>
        <w:spacing w:line="360" w:lineRule="auto"/>
        <w:ind w:firstLine="480"/>
        <w:rPr>
          <w:rFonts w:ascii="宋体" w:hAnsi="宋体" w:cs="宋体"/>
          <w:sz w:val="28"/>
          <w:szCs w:val="28"/>
        </w:rPr>
      </w:pPr>
      <w:r>
        <w:rPr>
          <w:rFonts w:hint="eastAsia" w:ascii="宋体" w:hAnsi="宋体" w:cs="宋体"/>
          <w:sz w:val="28"/>
          <w:szCs w:val="28"/>
        </w:rPr>
        <w:t>（1）废水：引流至污水专用管道；</w:t>
      </w:r>
    </w:p>
    <w:p>
      <w:pPr>
        <w:spacing w:line="360" w:lineRule="auto"/>
        <w:ind w:firstLine="480"/>
        <w:rPr>
          <w:rFonts w:ascii="宋体" w:hAnsi="宋体" w:cs="宋体"/>
          <w:sz w:val="28"/>
          <w:szCs w:val="28"/>
        </w:rPr>
      </w:pPr>
      <w:r>
        <w:rPr>
          <w:rFonts w:hint="eastAsia" w:ascii="宋体" w:hAnsi="宋体" w:cs="宋体"/>
          <w:sz w:val="28"/>
          <w:szCs w:val="28"/>
        </w:rPr>
        <w:t>（2）应急救援工作人员使用过的衣物、工具和设备；几种收集，处理后符合要求的可以继续使用，其余作为危险废物同意储存并送有资质的公司处置；</w:t>
      </w:r>
    </w:p>
    <w:p>
      <w:pPr>
        <w:spacing w:line="360" w:lineRule="auto"/>
        <w:ind w:firstLine="480"/>
        <w:rPr>
          <w:rFonts w:ascii="宋体" w:hAnsi="宋体" w:cs="宋体"/>
          <w:sz w:val="28"/>
          <w:szCs w:val="28"/>
        </w:rPr>
      </w:pPr>
      <w:r>
        <w:rPr>
          <w:rFonts w:hint="eastAsia" w:ascii="宋体" w:hAnsi="宋体" w:cs="宋体"/>
          <w:sz w:val="28"/>
          <w:szCs w:val="28"/>
        </w:rPr>
        <w:t>（3）泄漏的原料：大量泄漏引流至非密闭管道或集流坑统一收集；小量泄漏采用可吸附材料覆盖吸收，吸收的材料由有资质的单位统一处理。</w:t>
      </w:r>
    </w:p>
    <w:p>
      <w:pPr>
        <w:pStyle w:val="4"/>
        <w:spacing w:before="0" w:after="0"/>
        <w:rPr>
          <w:rStyle w:val="51"/>
          <w:rFonts w:hint="default" w:ascii="Times New Roman" w:hAnsi="Times New Roman" w:cs="宋体"/>
          <w:b/>
          <w:bCs/>
          <w:sz w:val="24"/>
          <w:szCs w:val="24"/>
        </w:rPr>
      </w:pPr>
      <w:bookmarkStart w:id="458" w:name="_Toc23977"/>
      <w:bookmarkEnd w:id="458"/>
      <w:bookmarkStart w:id="459" w:name="_Toc5072"/>
      <w:bookmarkEnd w:id="459"/>
      <w:bookmarkStart w:id="460" w:name="_Toc504989593"/>
      <w:bookmarkStart w:id="461" w:name="_Toc24386"/>
      <w:bookmarkStart w:id="462" w:name="_Toc15283"/>
      <w:bookmarkStart w:id="463" w:name="_Toc21133"/>
      <w:bookmarkStart w:id="464" w:name="_Toc12160"/>
      <w:r>
        <w:rPr>
          <w:rStyle w:val="51"/>
          <w:rFonts w:hint="default" w:ascii="Times New Roman" w:hAnsi="Times New Roman" w:cs="宋体"/>
          <w:b/>
          <w:bCs/>
          <w:sz w:val="24"/>
          <w:szCs w:val="24"/>
        </w:rPr>
        <w:t>7.5事故后果影响消除</w:t>
      </w:r>
      <w:bookmarkEnd w:id="460"/>
      <w:bookmarkEnd w:id="461"/>
      <w:bookmarkEnd w:id="462"/>
      <w:bookmarkEnd w:id="463"/>
      <w:bookmarkEnd w:id="464"/>
    </w:p>
    <w:p>
      <w:pPr>
        <w:spacing w:line="360" w:lineRule="auto"/>
        <w:ind w:firstLine="480"/>
        <w:rPr>
          <w:rFonts w:ascii="宋体" w:hAnsi="宋体" w:cs="宋体"/>
          <w:sz w:val="28"/>
          <w:szCs w:val="28"/>
        </w:rPr>
      </w:pPr>
      <w:r>
        <w:rPr>
          <w:rFonts w:hint="eastAsia" w:ascii="宋体" w:hAnsi="宋体" w:cs="宋体"/>
          <w:sz w:val="28"/>
          <w:szCs w:val="28"/>
        </w:rPr>
        <w:t>事故解除后，应急领导小组将事故原因、应急过程、应急结果、事故程度等相关信息及时、主动向安全监管部门、环境保护部门、新闻媒体、客户、周边企业居民等通报，提出整改措施、计划、整改期限和整改期望等，消除事故影响。</w:t>
      </w:r>
    </w:p>
    <w:p>
      <w:pPr>
        <w:pStyle w:val="4"/>
        <w:spacing w:before="0" w:after="0"/>
        <w:rPr>
          <w:rStyle w:val="51"/>
          <w:rFonts w:hint="default" w:ascii="Times New Roman" w:hAnsi="Times New Roman" w:cs="宋体"/>
          <w:b/>
          <w:bCs/>
          <w:sz w:val="24"/>
          <w:szCs w:val="24"/>
        </w:rPr>
      </w:pPr>
      <w:bookmarkStart w:id="465" w:name="_Toc15901"/>
      <w:bookmarkEnd w:id="465"/>
      <w:bookmarkStart w:id="466" w:name="_Toc1587"/>
      <w:bookmarkEnd w:id="466"/>
      <w:bookmarkStart w:id="467" w:name="_Toc504989594"/>
      <w:bookmarkStart w:id="468" w:name="_Toc28298"/>
      <w:bookmarkStart w:id="469" w:name="_Toc2399"/>
      <w:bookmarkStart w:id="470" w:name="_Toc13232"/>
      <w:bookmarkStart w:id="471" w:name="_Toc1214"/>
      <w:r>
        <w:rPr>
          <w:rStyle w:val="51"/>
          <w:rFonts w:hint="default" w:ascii="Times New Roman" w:hAnsi="Times New Roman" w:cs="宋体"/>
          <w:b/>
          <w:bCs/>
          <w:sz w:val="24"/>
          <w:szCs w:val="24"/>
        </w:rPr>
        <w:t>7.6生产秩序恢复</w:t>
      </w:r>
      <w:bookmarkEnd w:id="467"/>
      <w:bookmarkEnd w:id="468"/>
      <w:bookmarkEnd w:id="469"/>
      <w:bookmarkEnd w:id="470"/>
      <w:bookmarkEnd w:id="471"/>
    </w:p>
    <w:p>
      <w:pPr>
        <w:spacing w:line="360" w:lineRule="auto"/>
        <w:ind w:firstLine="480"/>
        <w:rPr>
          <w:rFonts w:ascii="宋体" w:hAnsi="宋体" w:cs="宋体"/>
          <w:sz w:val="28"/>
          <w:szCs w:val="28"/>
        </w:rPr>
      </w:pPr>
      <w:r>
        <w:rPr>
          <w:rFonts w:hint="eastAsia" w:ascii="宋体" w:hAnsi="宋体" w:cs="宋体"/>
          <w:sz w:val="28"/>
          <w:szCs w:val="28"/>
        </w:rPr>
        <w:t>查清事故发生的原因后，应急救援领导小组组长有权宣布恢复生产，成员负责维持好秩序，并做好恢复生产的各项准备工作，安全装置、应急物资、设施设备、报警装置等一定要完好有效，进行安全条件确认。并对职工进行相应的安全教育，尤其是事故教训吸取后，方可恢复生产。</w:t>
      </w:r>
    </w:p>
    <w:p>
      <w:pPr>
        <w:pStyle w:val="4"/>
        <w:spacing w:before="0" w:after="0"/>
        <w:rPr>
          <w:rStyle w:val="51"/>
          <w:rFonts w:hint="default" w:ascii="Times New Roman" w:hAnsi="Times New Roman" w:cs="宋体"/>
          <w:b/>
          <w:bCs/>
          <w:sz w:val="24"/>
          <w:szCs w:val="24"/>
        </w:rPr>
      </w:pPr>
      <w:bookmarkStart w:id="472" w:name="_Toc6183"/>
      <w:bookmarkEnd w:id="472"/>
      <w:bookmarkStart w:id="473" w:name="_Toc24244"/>
      <w:bookmarkEnd w:id="473"/>
      <w:bookmarkStart w:id="474" w:name="_Toc504989595"/>
      <w:bookmarkStart w:id="475" w:name="_Toc14125"/>
      <w:bookmarkStart w:id="476" w:name="_Toc20915"/>
      <w:bookmarkStart w:id="477" w:name="_Toc7556"/>
      <w:bookmarkStart w:id="478" w:name="_Toc28177"/>
      <w:r>
        <w:rPr>
          <w:rStyle w:val="51"/>
          <w:rFonts w:hint="default" w:ascii="Times New Roman" w:hAnsi="Times New Roman" w:cs="宋体"/>
          <w:b/>
          <w:bCs/>
          <w:sz w:val="24"/>
          <w:szCs w:val="24"/>
        </w:rPr>
        <w:t>7.7人员安置及善后赔偿</w:t>
      </w:r>
      <w:bookmarkEnd w:id="474"/>
      <w:bookmarkEnd w:id="475"/>
      <w:bookmarkEnd w:id="476"/>
      <w:bookmarkEnd w:id="477"/>
      <w:bookmarkEnd w:id="478"/>
    </w:p>
    <w:p>
      <w:pPr>
        <w:spacing w:line="360" w:lineRule="auto"/>
        <w:ind w:firstLine="480"/>
        <w:rPr>
          <w:rFonts w:ascii="宋体" w:hAnsi="宋体" w:cs="宋体"/>
          <w:sz w:val="28"/>
          <w:szCs w:val="28"/>
        </w:rPr>
      </w:pPr>
      <w:r>
        <w:rPr>
          <w:rFonts w:hint="eastAsia" w:ascii="宋体" w:hAnsi="宋体" w:cs="宋体"/>
          <w:sz w:val="28"/>
          <w:szCs w:val="28"/>
        </w:rPr>
        <w:t>1.事故解除后：应急领导小组组长稳定员工心态，安抚受伤和受影响人员、厂商，同时组织相关部门和人员认真分析事故原因，拟定整改计划、措施、期限，按“四不放过”的原则，落实防范、整改措施，落实安全生产责任制，待吉运加油站生产环境、防范措施、安全意识等安全生产条件达到要求并经相关监管部门批准，方可继续生产。</w:t>
      </w:r>
    </w:p>
    <w:p>
      <w:pPr>
        <w:spacing w:line="360" w:lineRule="auto"/>
        <w:ind w:firstLine="480"/>
        <w:rPr>
          <w:rFonts w:ascii="宋体" w:hAnsi="宋体" w:cs="宋体"/>
          <w:sz w:val="28"/>
          <w:szCs w:val="28"/>
        </w:rPr>
      </w:pPr>
      <w:r>
        <w:rPr>
          <w:rFonts w:hint="eastAsia" w:ascii="宋体" w:hAnsi="宋体" w:cs="宋体"/>
          <w:sz w:val="28"/>
          <w:szCs w:val="28"/>
        </w:rPr>
        <w:t>2.事故导致人员伤亡的，应急领导小组应配合政府相关部门做好善后工作，包括伤亡救援人员、遇难人员补偿、亲属安置、征用物资补充、救援费用支付、灾后重建、污染物收集清理及处置等事项；根据政府规定支付相应的丧葬费、医疗费、交通费、住宿费等事故而产生的损失、费用。</w:t>
      </w:r>
    </w:p>
    <w:p>
      <w:pPr>
        <w:spacing w:line="360" w:lineRule="auto"/>
        <w:ind w:firstLine="480"/>
        <w:rPr>
          <w:rFonts w:ascii="宋体" w:hAnsi="宋体" w:cs="宋体"/>
          <w:sz w:val="28"/>
          <w:szCs w:val="28"/>
        </w:rPr>
      </w:pPr>
      <w:r>
        <w:rPr>
          <w:rFonts w:hint="eastAsia" w:ascii="宋体" w:hAnsi="宋体" w:cs="宋体"/>
          <w:sz w:val="28"/>
          <w:szCs w:val="28"/>
        </w:rPr>
        <w:t>3.事故发生后，应急领导小组组长联系保险机构开展相关的保险理赔工作。</w:t>
      </w:r>
    </w:p>
    <w:p>
      <w:pPr>
        <w:pStyle w:val="4"/>
        <w:spacing w:before="0" w:after="0"/>
        <w:rPr>
          <w:rStyle w:val="51"/>
          <w:rFonts w:hint="default" w:ascii="Times New Roman" w:hAnsi="Times New Roman" w:cs="宋体"/>
          <w:b/>
          <w:bCs/>
          <w:sz w:val="24"/>
          <w:szCs w:val="24"/>
        </w:rPr>
      </w:pPr>
      <w:bookmarkStart w:id="479" w:name="_Toc18886"/>
      <w:bookmarkEnd w:id="479"/>
      <w:bookmarkStart w:id="480" w:name="_Toc26861"/>
      <w:bookmarkEnd w:id="480"/>
      <w:bookmarkStart w:id="481" w:name="_Toc504989596"/>
      <w:bookmarkStart w:id="482" w:name="_Toc321"/>
      <w:bookmarkStart w:id="483" w:name="_Toc32288"/>
      <w:bookmarkStart w:id="484" w:name="_Toc29757"/>
      <w:bookmarkStart w:id="485" w:name="_Toc1312"/>
      <w:r>
        <w:rPr>
          <w:rStyle w:val="51"/>
          <w:rFonts w:hint="default" w:ascii="Times New Roman" w:hAnsi="Times New Roman" w:cs="宋体"/>
          <w:b/>
          <w:bCs/>
          <w:sz w:val="24"/>
          <w:szCs w:val="24"/>
        </w:rPr>
        <w:t>7.8应急救援能力评估及应急预案的修订</w:t>
      </w:r>
      <w:bookmarkEnd w:id="481"/>
      <w:bookmarkEnd w:id="482"/>
      <w:bookmarkEnd w:id="483"/>
      <w:bookmarkEnd w:id="484"/>
      <w:bookmarkEnd w:id="485"/>
    </w:p>
    <w:p>
      <w:pPr>
        <w:pStyle w:val="39"/>
        <w:numPr>
          <w:ilvl w:val="0"/>
          <w:numId w:val="5"/>
        </w:numPr>
        <w:spacing w:line="360" w:lineRule="auto"/>
        <w:ind w:firstLine="560" w:firstLineChars="200"/>
        <w:rPr>
          <w:rFonts w:ascii="宋体" w:hAnsi="宋体" w:cs="宋体"/>
          <w:kern w:val="2"/>
        </w:rPr>
      </w:pPr>
      <w:r>
        <w:rPr>
          <w:rFonts w:hint="eastAsia" w:ascii="宋体" w:hAnsi="宋体" w:cs="宋体"/>
          <w:kern w:val="2"/>
        </w:rPr>
        <w:t>应急响应和救援工作结束后，由应急领导小组组长组织从业人员，对事故进行认真分析、总结，提出后续工作重点，落实岗位安全责任、安全操作规程，防止类似事故发生；</w:t>
      </w:r>
    </w:p>
    <w:p>
      <w:pPr>
        <w:pStyle w:val="39"/>
        <w:numPr>
          <w:ilvl w:val="0"/>
          <w:numId w:val="5"/>
        </w:numPr>
        <w:spacing w:line="360" w:lineRule="auto"/>
        <w:ind w:firstLine="560" w:firstLineChars="200"/>
        <w:rPr>
          <w:rFonts w:ascii="宋体" w:hAnsi="宋体" w:cs="宋体"/>
          <w:kern w:val="2"/>
        </w:rPr>
      </w:pPr>
      <w:r>
        <w:rPr>
          <w:rFonts w:hint="eastAsia" w:ascii="宋体" w:hAnsi="宋体" w:cs="宋体"/>
          <w:kern w:val="2"/>
        </w:rPr>
        <w:t>应急领导小组组长负责收集、整理救援工作记录、方案、文件等资料，可邀相关部门、专家对应急救援过程和应急救援保障工作进行总结和评估，提出改进意见和建议；</w:t>
      </w:r>
    </w:p>
    <w:p>
      <w:pPr>
        <w:pStyle w:val="39"/>
        <w:numPr>
          <w:ilvl w:val="0"/>
          <w:numId w:val="5"/>
        </w:numPr>
        <w:spacing w:line="360" w:lineRule="auto"/>
        <w:ind w:firstLine="560" w:firstLineChars="200"/>
        <w:rPr>
          <w:rFonts w:ascii="宋体" w:hAnsi="宋体" w:cs="宋体"/>
          <w:kern w:val="2"/>
        </w:rPr>
      </w:pPr>
      <w:r>
        <w:rPr>
          <w:rFonts w:hint="eastAsia" w:ascii="宋体" w:hAnsi="宋体" w:cs="宋体"/>
          <w:kern w:val="2"/>
        </w:rPr>
        <w:t>应急领导小组组长根据总结和评估，组织人员对应急预案进行评审、修改，副总经理按要求进行宣贯、培训、演练。</w:t>
      </w:r>
    </w:p>
    <w:p>
      <w:pPr>
        <w:pStyle w:val="39"/>
        <w:numPr>
          <w:ilvl w:val="0"/>
          <w:numId w:val="5"/>
        </w:numPr>
        <w:spacing w:line="360" w:lineRule="auto"/>
        <w:ind w:firstLine="560" w:firstLineChars="200"/>
        <w:rPr>
          <w:rFonts w:ascii="宋体" w:hAnsi="宋体" w:cs="宋体"/>
          <w:kern w:val="2"/>
        </w:rPr>
      </w:pPr>
      <w:r>
        <w:rPr>
          <w:rFonts w:hint="eastAsia" w:ascii="宋体" w:hAnsi="宋体" w:cs="宋体"/>
          <w:kern w:val="2"/>
        </w:rPr>
        <w:t>在事故应急处置结束后，应对当前预案的应急处置控制水平和应急处置能力进行评价，经过评价，如果认为目前现行的预案能够满足现有阶段的要求，除了保持现有水平外，还应认真检查、评价是否还有需要进一步提高和完善的地方。如果经过评价发现现行的预案无法完全满足现阶段的救援要求，应提出在哪些地方需要进一步改进，如果配备的应急救援器材不足，应增加相关方面的投入，如果发现的预案在实际处置中与应急现场不恰当，则需要针对相关内容对照国家有关要求进行完善和修订，直至预案满足我站的应急处置要求。</w:t>
      </w:r>
      <w:bookmarkStart w:id="486" w:name="_Toc2271"/>
      <w:bookmarkEnd w:id="486"/>
    </w:p>
    <w:p>
      <w:pPr>
        <w:pStyle w:val="3"/>
        <w:rPr>
          <w:rFonts w:eastAsia="宋体" w:cs="宋体"/>
        </w:rPr>
      </w:pPr>
      <w:bookmarkStart w:id="487" w:name="_Toc7094"/>
      <w:bookmarkEnd w:id="487"/>
      <w:bookmarkStart w:id="488" w:name="_Toc504989597"/>
      <w:bookmarkStart w:id="489" w:name="_Toc24762"/>
      <w:bookmarkStart w:id="490" w:name="_Toc23629"/>
      <w:bookmarkStart w:id="491" w:name="_Toc16290"/>
      <w:bookmarkStart w:id="492" w:name="_Toc23631"/>
      <w:r>
        <w:rPr>
          <w:rFonts w:hint="eastAsia" w:eastAsia="宋体" w:cs="宋体"/>
        </w:rPr>
        <w:t>第八章</w:t>
      </w:r>
      <w:bookmarkEnd w:id="488"/>
      <w:r>
        <w:rPr>
          <w:rFonts w:hint="eastAsia" w:eastAsia="宋体" w:cs="宋体"/>
        </w:rPr>
        <w:t xml:space="preserve">  保障措施</w:t>
      </w:r>
      <w:bookmarkEnd w:id="489"/>
      <w:bookmarkEnd w:id="490"/>
      <w:bookmarkEnd w:id="491"/>
      <w:bookmarkEnd w:id="492"/>
    </w:p>
    <w:p>
      <w:pPr>
        <w:pStyle w:val="4"/>
        <w:spacing w:before="0" w:after="0" w:line="420" w:lineRule="exact"/>
        <w:rPr>
          <w:rStyle w:val="51"/>
          <w:rFonts w:hint="default" w:ascii="Times New Roman" w:hAnsi="Times New Roman" w:cs="宋体"/>
          <w:b/>
          <w:bCs/>
          <w:sz w:val="24"/>
          <w:szCs w:val="24"/>
        </w:rPr>
      </w:pPr>
      <w:bookmarkStart w:id="493" w:name="_Toc1387"/>
      <w:bookmarkEnd w:id="493"/>
      <w:bookmarkStart w:id="494" w:name="_Toc26496"/>
      <w:bookmarkEnd w:id="494"/>
      <w:bookmarkStart w:id="495" w:name="_Toc504989598"/>
      <w:bookmarkEnd w:id="495"/>
      <w:bookmarkStart w:id="496" w:name="_Toc21910"/>
      <w:bookmarkEnd w:id="496"/>
      <w:bookmarkStart w:id="497" w:name="_Toc23833"/>
      <w:bookmarkEnd w:id="497"/>
      <w:bookmarkStart w:id="498" w:name="_Toc162252156"/>
      <w:bookmarkEnd w:id="498"/>
      <w:bookmarkStart w:id="499" w:name="_Toc255133920"/>
      <w:bookmarkStart w:id="500" w:name="_Toc19490"/>
      <w:bookmarkStart w:id="501" w:name="_Toc31831"/>
      <w:bookmarkStart w:id="502" w:name="_Toc2611"/>
      <w:bookmarkStart w:id="503" w:name="_Toc350"/>
      <w:r>
        <w:rPr>
          <w:rStyle w:val="51"/>
          <w:rFonts w:hint="default" w:ascii="Times New Roman" w:hAnsi="Times New Roman" w:cs="宋体"/>
          <w:b/>
          <w:bCs/>
          <w:sz w:val="24"/>
          <w:szCs w:val="24"/>
        </w:rPr>
        <w:t>8.1 通信与信息保障</w:t>
      </w:r>
      <w:bookmarkEnd w:id="499"/>
      <w:bookmarkEnd w:id="500"/>
      <w:bookmarkEnd w:id="501"/>
      <w:bookmarkEnd w:id="502"/>
      <w:bookmarkEnd w:id="503"/>
    </w:p>
    <w:p>
      <w:pPr>
        <w:pStyle w:val="39"/>
        <w:spacing w:line="360" w:lineRule="auto"/>
        <w:ind w:firstLine="560" w:firstLineChars="200"/>
        <w:rPr>
          <w:rFonts w:ascii="宋体" w:hAnsi="宋体" w:cs="宋体"/>
          <w:kern w:val="2"/>
        </w:rPr>
      </w:pPr>
      <w:r>
        <w:rPr>
          <w:rFonts w:hint="eastAsia" w:ascii="宋体" w:hAnsi="宋体" w:cs="宋体"/>
          <w:kern w:val="2"/>
        </w:rPr>
        <w:t>建立、完善应急通信系统，在应急工作中确保应急通信畅通。确保站内电话畅通。同时制定制度要求在站外移动电话的正常使用。（相关电话联系方式见附件。）</w:t>
      </w:r>
    </w:p>
    <w:p>
      <w:pPr>
        <w:pStyle w:val="4"/>
        <w:spacing w:before="0" w:after="0" w:line="420" w:lineRule="exact"/>
        <w:rPr>
          <w:rStyle w:val="51"/>
          <w:rFonts w:hint="default" w:ascii="Times New Roman" w:hAnsi="Times New Roman" w:cs="宋体"/>
          <w:b/>
          <w:bCs/>
          <w:sz w:val="24"/>
          <w:szCs w:val="24"/>
        </w:rPr>
      </w:pPr>
      <w:bookmarkStart w:id="504" w:name="_Toc3381"/>
      <w:bookmarkEnd w:id="504"/>
      <w:bookmarkStart w:id="505" w:name="_Toc6412"/>
      <w:bookmarkEnd w:id="505"/>
      <w:bookmarkStart w:id="506" w:name="_Toc504989599"/>
      <w:bookmarkStart w:id="507" w:name="_Toc25503"/>
      <w:bookmarkStart w:id="508" w:name="_Toc32178"/>
      <w:bookmarkStart w:id="509" w:name="_Toc4594"/>
      <w:bookmarkStart w:id="510" w:name="_Toc21325"/>
      <w:r>
        <w:rPr>
          <w:rStyle w:val="51"/>
          <w:rFonts w:hint="default" w:ascii="Times New Roman" w:hAnsi="Times New Roman" w:cs="宋体"/>
          <w:b/>
          <w:bCs/>
          <w:sz w:val="24"/>
          <w:szCs w:val="24"/>
        </w:rPr>
        <w:t>8.2 应急队伍保障</w:t>
      </w:r>
      <w:bookmarkEnd w:id="506"/>
      <w:bookmarkEnd w:id="507"/>
      <w:bookmarkEnd w:id="508"/>
      <w:bookmarkEnd w:id="509"/>
      <w:bookmarkEnd w:id="510"/>
    </w:p>
    <w:p>
      <w:pPr>
        <w:spacing w:line="360" w:lineRule="auto"/>
        <w:ind w:firstLine="480"/>
        <w:rPr>
          <w:rFonts w:ascii="宋体" w:hAnsi="宋体" w:cs="宋体"/>
          <w:sz w:val="28"/>
          <w:szCs w:val="28"/>
        </w:rPr>
      </w:pPr>
      <w:r>
        <w:rPr>
          <w:rFonts w:hint="eastAsia" w:ascii="宋体" w:hAnsi="宋体" w:cs="宋体"/>
          <w:sz w:val="28"/>
          <w:szCs w:val="28"/>
        </w:rPr>
        <w:t>本着统筹计划，合理不点的原则逐步建立和完善应急系统，加强应急人员的业务培训和应急演练，利用联动协调机制，提高装备水平；充分利用社会应急资源，签订互助协议，提供应急期间的抢险抢修、物资供应、医疗卫生、交通维护和运输等应急救援力量的保障；加强员工应急能力建设，加强对外交流与合作，不断提高本站应急救援人员的素质。（相关电话联系方式见附件。）</w:t>
      </w:r>
    </w:p>
    <w:p>
      <w:pPr>
        <w:spacing w:line="360" w:lineRule="auto"/>
        <w:ind w:firstLine="480"/>
        <w:rPr>
          <w:rFonts w:ascii="宋体" w:hAnsi="宋体" w:cs="宋体"/>
          <w:sz w:val="28"/>
          <w:szCs w:val="28"/>
        </w:rPr>
      </w:pPr>
      <w:r>
        <w:rPr>
          <w:rFonts w:hint="eastAsia" w:ascii="宋体" w:hAnsi="宋体" w:cs="宋体"/>
          <w:sz w:val="28"/>
          <w:szCs w:val="28"/>
        </w:rPr>
        <w:t>专业应急队伍主要依托外部力量，包括公安消防大队、医院和应急管理局。各应急队伍人员联系电话见附件。</w:t>
      </w:r>
    </w:p>
    <w:p>
      <w:pPr>
        <w:pStyle w:val="4"/>
        <w:spacing w:before="0" w:after="0" w:line="420" w:lineRule="exact"/>
        <w:rPr>
          <w:rStyle w:val="51"/>
          <w:rFonts w:hint="default" w:ascii="Times New Roman" w:hAnsi="Times New Roman" w:cs="宋体"/>
          <w:b/>
          <w:bCs/>
          <w:sz w:val="24"/>
          <w:szCs w:val="24"/>
        </w:rPr>
      </w:pPr>
      <w:bookmarkStart w:id="511" w:name="_Toc22351"/>
      <w:bookmarkEnd w:id="511"/>
      <w:bookmarkStart w:id="512" w:name="_Toc9996"/>
      <w:bookmarkEnd w:id="512"/>
      <w:bookmarkStart w:id="513" w:name="_Toc504989600"/>
      <w:bookmarkStart w:id="514" w:name="_Toc27261"/>
      <w:bookmarkStart w:id="515" w:name="_Toc25001"/>
      <w:bookmarkStart w:id="516" w:name="_Toc15187"/>
      <w:bookmarkStart w:id="517" w:name="_Toc5977"/>
      <w:r>
        <w:rPr>
          <w:rStyle w:val="51"/>
          <w:rFonts w:hint="default" w:ascii="Times New Roman" w:hAnsi="Times New Roman" w:cs="宋体"/>
          <w:b/>
          <w:bCs/>
          <w:sz w:val="24"/>
          <w:szCs w:val="24"/>
        </w:rPr>
        <w:t>8.3 应急物资供应保障</w:t>
      </w:r>
      <w:bookmarkEnd w:id="513"/>
      <w:bookmarkEnd w:id="514"/>
      <w:bookmarkEnd w:id="515"/>
      <w:bookmarkEnd w:id="516"/>
      <w:bookmarkEnd w:id="517"/>
    </w:p>
    <w:p>
      <w:pPr>
        <w:spacing w:line="360" w:lineRule="auto"/>
        <w:ind w:firstLine="480"/>
        <w:rPr>
          <w:rFonts w:ascii="宋体" w:hAnsi="宋体" w:cs="宋体"/>
          <w:sz w:val="28"/>
          <w:szCs w:val="28"/>
        </w:rPr>
      </w:pPr>
      <w:r>
        <w:rPr>
          <w:rFonts w:hint="eastAsia" w:ascii="宋体" w:hAnsi="宋体" w:cs="宋体"/>
          <w:sz w:val="28"/>
          <w:szCs w:val="28"/>
        </w:rPr>
        <w:t>依据本预案应急处置的要求，建立健全吉运加油站应急物资储备为主和社会救援物资为辅的应急物资供应保障体系，完善应急物资储备的区域联动机制，做到加油站内外应急物资资源共享的动态管理。在应急状态下由应急救援组统一调配使用。</w:t>
      </w:r>
    </w:p>
    <w:p>
      <w:pPr>
        <w:spacing w:line="360" w:lineRule="auto"/>
        <w:ind w:firstLine="480"/>
        <w:rPr>
          <w:rFonts w:ascii="宋体" w:hAnsi="宋体" w:cs="宋体"/>
          <w:sz w:val="28"/>
          <w:szCs w:val="28"/>
        </w:rPr>
      </w:pPr>
      <w:r>
        <w:rPr>
          <w:rFonts w:hint="eastAsia" w:ascii="宋体" w:hAnsi="宋体" w:cs="宋体"/>
          <w:sz w:val="28"/>
          <w:szCs w:val="28"/>
        </w:rPr>
        <w:t>1、应急和救护设备的配备</w:t>
      </w:r>
    </w:p>
    <w:p>
      <w:pPr>
        <w:spacing w:line="360" w:lineRule="auto"/>
        <w:ind w:firstLine="480"/>
        <w:rPr>
          <w:rFonts w:ascii="宋体" w:hAnsi="宋体" w:cs="宋体"/>
          <w:sz w:val="28"/>
          <w:szCs w:val="28"/>
        </w:rPr>
      </w:pPr>
      <w:r>
        <w:rPr>
          <w:rFonts w:hint="eastAsia" w:ascii="宋体" w:hAnsi="宋体" w:cs="宋体"/>
          <w:sz w:val="28"/>
          <w:szCs w:val="28"/>
        </w:rPr>
        <w:t>配备有应急设备和防护用品，以便在发生安全事故时，能快速、正确的投入到应急救援行动中，以及在应急行动结束后，做好现场洗消及对人员和设备的清理净化。</w:t>
      </w:r>
    </w:p>
    <w:p>
      <w:pPr>
        <w:spacing w:line="360" w:lineRule="auto"/>
        <w:ind w:firstLine="480"/>
        <w:rPr>
          <w:rFonts w:ascii="宋体" w:hAnsi="宋体" w:cs="宋体"/>
          <w:sz w:val="28"/>
          <w:szCs w:val="28"/>
        </w:rPr>
      </w:pPr>
      <w:r>
        <w:rPr>
          <w:rFonts w:hint="eastAsia" w:ascii="宋体" w:hAnsi="宋体" w:cs="宋体"/>
          <w:sz w:val="28"/>
          <w:szCs w:val="28"/>
        </w:rPr>
        <w:t>2、应急救援装备、物资的管理</w:t>
      </w:r>
    </w:p>
    <w:p>
      <w:pPr>
        <w:spacing w:line="360" w:lineRule="auto"/>
        <w:ind w:firstLine="480"/>
        <w:rPr>
          <w:rFonts w:ascii="宋体" w:hAnsi="宋体" w:cs="宋体"/>
          <w:sz w:val="28"/>
          <w:szCs w:val="28"/>
        </w:rPr>
      </w:pPr>
      <w:r>
        <w:rPr>
          <w:rFonts w:hint="eastAsia" w:ascii="宋体" w:hAnsi="宋体" w:cs="宋体"/>
          <w:sz w:val="28"/>
          <w:szCs w:val="28"/>
        </w:rPr>
        <w:t>建立应急设施（备）与物资台账，记录所有应急设施（备）与物资类型、数量、性能、存放位置、管理责任人及联系方式等内容。</w:t>
      </w:r>
    </w:p>
    <w:p>
      <w:pPr>
        <w:spacing w:line="360" w:lineRule="auto"/>
        <w:ind w:firstLine="480"/>
        <w:rPr>
          <w:rFonts w:ascii="宋体" w:hAnsi="宋体" w:cs="宋体"/>
          <w:sz w:val="28"/>
          <w:szCs w:val="28"/>
        </w:rPr>
      </w:pPr>
      <w:r>
        <w:rPr>
          <w:rFonts w:hint="eastAsia" w:ascii="宋体" w:hAnsi="宋体" w:cs="宋体"/>
          <w:sz w:val="28"/>
          <w:szCs w:val="28"/>
        </w:rPr>
        <w:t>所有应急设施（备）与物资由专人管理，随时更换实效、过期的药品、器材，并有相应的跟踪检查制度和措施，保证完好、有效、随时可用。</w:t>
      </w:r>
    </w:p>
    <w:p>
      <w:pPr>
        <w:pStyle w:val="4"/>
        <w:spacing w:before="0" w:after="0" w:line="420" w:lineRule="exact"/>
        <w:rPr>
          <w:rStyle w:val="51"/>
          <w:rFonts w:hint="default" w:ascii="Times New Roman" w:hAnsi="Times New Roman" w:cs="宋体"/>
          <w:b/>
          <w:bCs/>
          <w:sz w:val="24"/>
          <w:szCs w:val="24"/>
        </w:rPr>
      </w:pPr>
      <w:bookmarkStart w:id="518" w:name="_Toc1410"/>
      <w:bookmarkEnd w:id="518"/>
      <w:bookmarkStart w:id="519" w:name="_Toc4180"/>
      <w:bookmarkEnd w:id="519"/>
      <w:bookmarkStart w:id="520" w:name="_Toc504989601"/>
      <w:bookmarkStart w:id="521" w:name="_Toc7828"/>
      <w:bookmarkStart w:id="522" w:name="_Toc6239"/>
      <w:bookmarkStart w:id="523" w:name="_Toc22664"/>
      <w:bookmarkStart w:id="524" w:name="_Toc26143"/>
      <w:r>
        <w:rPr>
          <w:rStyle w:val="51"/>
          <w:rFonts w:hint="default" w:ascii="Times New Roman" w:hAnsi="Times New Roman" w:cs="宋体"/>
          <w:b/>
          <w:bCs/>
          <w:sz w:val="24"/>
          <w:szCs w:val="24"/>
        </w:rPr>
        <w:t>8.4 经费保障</w:t>
      </w:r>
      <w:bookmarkEnd w:id="520"/>
      <w:bookmarkEnd w:id="521"/>
      <w:bookmarkEnd w:id="522"/>
      <w:bookmarkEnd w:id="523"/>
      <w:bookmarkEnd w:id="524"/>
    </w:p>
    <w:p>
      <w:pPr>
        <w:spacing w:line="360" w:lineRule="auto"/>
        <w:ind w:firstLine="480"/>
        <w:rPr>
          <w:rFonts w:ascii="宋体" w:hAnsi="宋体" w:cs="宋体"/>
          <w:sz w:val="28"/>
          <w:szCs w:val="28"/>
        </w:rPr>
      </w:pPr>
      <w:r>
        <w:rPr>
          <w:rFonts w:hint="eastAsia" w:ascii="宋体" w:hAnsi="宋体" w:cs="宋体"/>
          <w:sz w:val="28"/>
          <w:szCs w:val="28"/>
        </w:rPr>
        <w:t>1.根据《企业安全生产费用提取和使用管理办法》财企【2012】16号的规定。以上年度实际营业收入为计提依据，采取超额累退方式按照以下标准逐月提取：营业收入不超过1000万元的部分，按照4%提取。企业的安全费用按照以下范围使用：</w:t>
      </w:r>
    </w:p>
    <w:p>
      <w:pPr>
        <w:spacing w:line="360" w:lineRule="auto"/>
        <w:ind w:firstLine="480"/>
        <w:rPr>
          <w:rFonts w:ascii="宋体" w:hAnsi="宋体" w:cs="宋体"/>
          <w:sz w:val="28"/>
          <w:szCs w:val="28"/>
        </w:rPr>
      </w:pPr>
      <w:r>
        <w:rPr>
          <w:rFonts w:hint="eastAsia" w:ascii="宋体" w:hAnsi="宋体" w:cs="宋体"/>
          <w:sz w:val="28"/>
          <w:szCs w:val="28"/>
        </w:rPr>
        <w:t>2.完善、改造和维护安全防护设施设备支出（不含“三同时”要求初期投入的安全设施），包括站房、罐区等作业场所的监控、监测、通风、防晒、调温、防火、灭火、防爆、泄压、防毒、消毒、防雷、防静电、防腐、防渗漏等设备设施支出。</w:t>
      </w:r>
    </w:p>
    <w:p>
      <w:pPr>
        <w:spacing w:line="360" w:lineRule="auto"/>
        <w:ind w:firstLine="480"/>
        <w:rPr>
          <w:rFonts w:ascii="宋体" w:hAnsi="宋体" w:cs="宋体"/>
          <w:sz w:val="28"/>
          <w:szCs w:val="28"/>
        </w:rPr>
      </w:pPr>
      <w:r>
        <w:rPr>
          <w:rFonts w:hint="eastAsia" w:ascii="宋体" w:hAnsi="宋体" w:cs="宋体"/>
          <w:sz w:val="28"/>
          <w:szCs w:val="28"/>
        </w:rPr>
        <w:t>3.配备、维护、保养应急救援器材、设备支出和应急演练支出；</w:t>
      </w:r>
    </w:p>
    <w:p>
      <w:pPr>
        <w:spacing w:line="360" w:lineRule="auto"/>
        <w:ind w:firstLine="480"/>
        <w:rPr>
          <w:rFonts w:ascii="宋体" w:hAnsi="宋体" w:cs="宋体"/>
          <w:sz w:val="28"/>
          <w:szCs w:val="28"/>
        </w:rPr>
      </w:pPr>
      <w:r>
        <w:rPr>
          <w:rFonts w:hint="eastAsia" w:ascii="宋体" w:hAnsi="宋体" w:cs="宋体"/>
          <w:sz w:val="28"/>
          <w:szCs w:val="28"/>
        </w:rPr>
        <w:t>4.开展重大危险源和事故隐患评估、监控和整改支出；</w:t>
      </w:r>
    </w:p>
    <w:p>
      <w:pPr>
        <w:spacing w:line="360" w:lineRule="auto"/>
        <w:ind w:firstLine="480"/>
        <w:rPr>
          <w:rFonts w:ascii="宋体" w:hAnsi="宋体" w:cs="宋体"/>
          <w:sz w:val="28"/>
          <w:szCs w:val="28"/>
        </w:rPr>
      </w:pPr>
      <w:r>
        <w:rPr>
          <w:rFonts w:hint="eastAsia" w:ascii="宋体" w:hAnsi="宋体" w:cs="宋体"/>
          <w:sz w:val="28"/>
          <w:szCs w:val="28"/>
        </w:rPr>
        <w:t>5.安全生产检查、评价（不包括新建、改建、扩建项目安全评价）、咨询和标准化建设支出；</w:t>
      </w:r>
    </w:p>
    <w:p>
      <w:pPr>
        <w:spacing w:line="360" w:lineRule="auto"/>
        <w:ind w:firstLine="480"/>
        <w:rPr>
          <w:rFonts w:ascii="宋体" w:hAnsi="宋体" w:cs="宋体"/>
          <w:sz w:val="28"/>
          <w:szCs w:val="28"/>
        </w:rPr>
      </w:pPr>
      <w:r>
        <w:rPr>
          <w:rFonts w:hint="eastAsia" w:ascii="宋体" w:hAnsi="宋体" w:cs="宋体"/>
          <w:sz w:val="28"/>
          <w:szCs w:val="28"/>
        </w:rPr>
        <w:t>6.配备和更新现场作业人员安全防护用品支出；</w:t>
      </w:r>
    </w:p>
    <w:p>
      <w:pPr>
        <w:spacing w:line="360" w:lineRule="auto"/>
        <w:ind w:firstLine="480"/>
        <w:rPr>
          <w:rFonts w:ascii="宋体" w:hAnsi="宋体" w:cs="宋体"/>
          <w:sz w:val="28"/>
          <w:szCs w:val="28"/>
        </w:rPr>
      </w:pPr>
      <w:r>
        <w:rPr>
          <w:rFonts w:hint="eastAsia" w:ascii="宋体" w:hAnsi="宋体" w:cs="宋体"/>
          <w:sz w:val="28"/>
          <w:szCs w:val="28"/>
        </w:rPr>
        <w:t>7.安全生产宣传、教育、培训支出；</w:t>
      </w:r>
    </w:p>
    <w:p>
      <w:pPr>
        <w:spacing w:line="360" w:lineRule="auto"/>
        <w:ind w:firstLine="480"/>
        <w:rPr>
          <w:rFonts w:ascii="宋体" w:hAnsi="宋体" w:cs="宋体"/>
          <w:sz w:val="28"/>
          <w:szCs w:val="28"/>
        </w:rPr>
      </w:pPr>
      <w:r>
        <w:rPr>
          <w:rFonts w:hint="eastAsia" w:ascii="宋体" w:hAnsi="宋体" w:cs="宋体"/>
          <w:sz w:val="28"/>
          <w:szCs w:val="28"/>
        </w:rPr>
        <w:t>8.安全生产适用的新技术、新标准、新工艺、新装备的推广应用支出；</w:t>
      </w:r>
    </w:p>
    <w:p>
      <w:pPr>
        <w:spacing w:line="360" w:lineRule="auto"/>
        <w:ind w:firstLine="480"/>
        <w:rPr>
          <w:rFonts w:ascii="宋体" w:hAnsi="宋体" w:cs="宋体"/>
          <w:sz w:val="28"/>
          <w:szCs w:val="28"/>
        </w:rPr>
      </w:pPr>
      <w:r>
        <w:rPr>
          <w:rFonts w:hint="eastAsia" w:ascii="宋体" w:hAnsi="宋体" w:cs="宋体"/>
          <w:sz w:val="28"/>
          <w:szCs w:val="28"/>
        </w:rPr>
        <w:t>9.安全设施及特种设备检测检验支出；</w:t>
      </w:r>
    </w:p>
    <w:p>
      <w:pPr>
        <w:spacing w:line="360" w:lineRule="auto"/>
        <w:ind w:firstLine="480"/>
        <w:rPr>
          <w:rFonts w:ascii="宋体" w:hAnsi="宋体" w:cs="宋体"/>
          <w:sz w:val="28"/>
          <w:szCs w:val="28"/>
        </w:rPr>
      </w:pPr>
      <w:r>
        <w:rPr>
          <w:rFonts w:hint="eastAsia" w:ascii="宋体" w:hAnsi="宋体" w:cs="宋体"/>
          <w:sz w:val="28"/>
          <w:szCs w:val="28"/>
        </w:rPr>
        <w:t>10.其他与安全生产直接相关的支出。</w:t>
      </w:r>
    </w:p>
    <w:p>
      <w:pPr>
        <w:pStyle w:val="4"/>
        <w:spacing w:before="0" w:after="0" w:line="420" w:lineRule="exact"/>
        <w:rPr>
          <w:rStyle w:val="51"/>
          <w:rFonts w:hint="default" w:ascii="Times New Roman" w:hAnsi="Times New Roman" w:cs="宋体"/>
          <w:b/>
          <w:bCs/>
          <w:sz w:val="24"/>
          <w:szCs w:val="24"/>
        </w:rPr>
      </w:pPr>
      <w:bookmarkStart w:id="525" w:name="_Toc23250"/>
      <w:bookmarkEnd w:id="525"/>
      <w:bookmarkStart w:id="526" w:name="_Toc504989602"/>
      <w:bookmarkStart w:id="527" w:name="_Toc22056"/>
      <w:bookmarkStart w:id="528" w:name="_Toc15451"/>
      <w:bookmarkStart w:id="529" w:name="_Toc25423"/>
      <w:bookmarkStart w:id="530" w:name="_Toc4031"/>
      <w:r>
        <w:rPr>
          <w:rStyle w:val="51"/>
          <w:rFonts w:hint="default" w:ascii="Times New Roman" w:hAnsi="Times New Roman" w:cs="宋体"/>
          <w:b/>
          <w:bCs/>
          <w:sz w:val="24"/>
          <w:szCs w:val="24"/>
        </w:rPr>
        <w:t>8.5 交通运输保障</w:t>
      </w:r>
      <w:bookmarkEnd w:id="526"/>
      <w:bookmarkEnd w:id="527"/>
      <w:bookmarkEnd w:id="528"/>
      <w:bookmarkEnd w:id="529"/>
      <w:bookmarkEnd w:id="530"/>
    </w:p>
    <w:p>
      <w:pPr>
        <w:spacing w:line="360" w:lineRule="auto"/>
        <w:ind w:firstLine="480"/>
        <w:rPr>
          <w:rFonts w:ascii="宋体" w:hAnsi="宋体" w:cs="宋体"/>
          <w:sz w:val="28"/>
          <w:szCs w:val="28"/>
        </w:rPr>
      </w:pPr>
      <w:r>
        <w:rPr>
          <w:rFonts w:hint="eastAsia" w:ascii="宋体" w:hAnsi="宋体" w:cs="宋体"/>
          <w:sz w:val="28"/>
          <w:szCs w:val="28"/>
        </w:rPr>
        <w:t>建立当地交通地理信息系统，在应急响应时，利用现有的交通资源，请求交通部门提供交通支持，保证及时调运有关应急救援人员、装备和物资。</w:t>
      </w:r>
    </w:p>
    <w:p>
      <w:pPr>
        <w:pStyle w:val="4"/>
        <w:spacing w:before="0" w:after="0" w:line="420" w:lineRule="exact"/>
        <w:rPr>
          <w:rStyle w:val="51"/>
          <w:rFonts w:hint="default" w:ascii="Times New Roman" w:hAnsi="Times New Roman" w:cs="宋体"/>
          <w:b/>
          <w:bCs/>
          <w:sz w:val="24"/>
          <w:szCs w:val="24"/>
        </w:rPr>
      </w:pPr>
      <w:bookmarkStart w:id="531" w:name="_Toc27353"/>
      <w:bookmarkEnd w:id="531"/>
      <w:bookmarkStart w:id="532" w:name="_Toc504989603"/>
      <w:bookmarkStart w:id="533" w:name="_Toc7109"/>
      <w:bookmarkStart w:id="534" w:name="_Toc26683"/>
      <w:bookmarkStart w:id="535" w:name="_Toc20600"/>
      <w:bookmarkStart w:id="536" w:name="_Toc23800"/>
      <w:r>
        <w:rPr>
          <w:rStyle w:val="51"/>
          <w:rFonts w:hint="default" w:ascii="Times New Roman" w:hAnsi="Times New Roman" w:cs="宋体"/>
          <w:b/>
          <w:bCs/>
          <w:sz w:val="24"/>
          <w:szCs w:val="24"/>
        </w:rPr>
        <w:t>8.6 治安保障</w:t>
      </w:r>
      <w:bookmarkEnd w:id="532"/>
      <w:bookmarkEnd w:id="533"/>
      <w:bookmarkEnd w:id="534"/>
      <w:bookmarkEnd w:id="535"/>
      <w:bookmarkEnd w:id="536"/>
    </w:p>
    <w:p>
      <w:pPr>
        <w:spacing w:line="360" w:lineRule="auto"/>
        <w:ind w:firstLine="480"/>
        <w:rPr>
          <w:rFonts w:ascii="宋体" w:hAnsi="宋体" w:cs="宋体"/>
          <w:sz w:val="28"/>
          <w:szCs w:val="28"/>
        </w:rPr>
      </w:pPr>
      <w:r>
        <w:rPr>
          <w:rFonts w:hint="eastAsia" w:ascii="宋体" w:hAnsi="宋体" w:cs="宋体"/>
          <w:sz w:val="28"/>
          <w:szCs w:val="28"/>
        </w:rPr>
        <w:t>负责事故现场治安警戒和治安管理，加强对重要物资和设备的报告，维持现场秩序，及时疏散群众，必要时请求当地公安分局协助事故灾难现场治安警戒和治安管理。</w:t>
      </w:r>
    </w:p>
    <w:p>
      <w:pPr>
        <w:pStyle w:val="4"/>
        <w:spacing w:before="0" w:after="0" w:line="420" w:lineRule="exact"/>
        <w:rPr>
          <w:rStyle w:val="51"/>
          <w:rFonts w:hint="default" w:ascii="Times New Roman" w:hAnsi="Times New Roman" w:cs="宋体"/>
          <w:b/>
          <w:bCs/>
          <w:sz w:val="24"/>
          <w:szCs w:val="24"/>
        </w:rPr>
      </w:pPr>
      <w:bookmarkStart w:id="537" w:name="_Toc15310"/>
      <w:bookmarkEnd w:id="537"/>
      <w:bookmarkStart w:id="538" w:name="_Toc504989604"/>
      <w:bookmarkStart w:id="539" w:name="_Toc9730"/>
      <w:bookmarkStart w:id="540" w:name="_Toc3212"/>
      <w:bookmarkStart w:id="541" w:name="_Toc622"/>
      <w:bookmarkStart w:id="542" w:name="_Toc13106"/>
      <w:r>
        <w:rPr>
          <w:rStyle w:val="51"/>
          <w:rFonts w:hint="default" w:ascii="Times New Roman" w:hAnsi="Times New Roman" w:cs="宋体"/>
          <w:b/>
          <w:bCs/>
          <w:sz w:val="24"/>
          <w:szCs w:val="24"/>
        </w:rPr>
        <w:t>8.7 技术储备与保障</w:t>
      </w:r>
      <w:bookmarkEnd w:id="538"/>
      <w:bookmarkEnd w:id="539"/>
      <w:bookmarkEnd w:id="540"/>
      <w:bookmarkEnd w:id="541"/>
      <w:bookmarkEnd w:id="542"/>
    </w:p>
    <w:p>
      <w:pPr>
        <w:spacing w:line="360" w:lineRule="auto"/>
        <w:ind w:firstLine="480"/>
        <w:rPr>
          <w:rFonts w:ascii="宋体" w:hAnsi="宋体" w:cs="宋体"/>
          <w:sz w:val="28"/>
          <w:szCs w:val="28"/>
        </w:rPr>
      </w:pPr>
      <w:r>
        <w:rPr>
          <w:rFonts w:hint="eastAsia" w:ascii="宋体" w:hAnsi="宋体" w:cs="宋体"/>
          <w:sz w:val="28"/>
          <w:szCs w:val="28"/>
        </w:rPr>
        <w:t>充分利用现有的技术人才资源和技术设备设施资源，提供在应急状态下的技术支持。在应急响应状态时，请求当地气象部门为应急救援决策和响应行动提供所需要的气象资料和气象技术支持。</w:t>
      </w:r>
    </w:p>
    <w:p>
      <w:pPr>
        <w:spacing w:line="360" w:lineRule="auto"/>
        <w:rPr>
          <w:rFonts w:ascii="宋体" w:hAnsi="宋体" w:cs="宋体"/>
          <w:b/>
          <w:bCs/>
          <w:sz w:val="28"/>
          <w:szCs w:val="28"/>
        </w:rPr>
      </w:pPr>
      <w:bookmarkStart w:id="543" w:name="_Toc29442"/>
      <w:bookmarkEnd w:id="543"/>
      <w:bookmarkStart w:id="544" w:name="_Toc504989605"/>
      <w:bookmarkStart w:id="545" w:name="_Toc12882"/>
      <w:bookmarkStart w:id="546" w:name="_Toc6520"/>
      <w:bookmarkStart w:id="547" w:name="_Toc23147"/>
      <w:bookmarkStart w:id="548" w:name="_Toc25159"/>
      <w:r>
        <w:rPr>
          <w:rFonts w:ascii="宋体" w:hAnsi="宋体" w:cs="宋体"/>
          <w:b/>
          <w:bCs/>
          <w:sz w:val="28"/>
          <w:szCs w:val="28"/>
        </w:rPr>
        <w:t>8.8 医疗卫生保障</w:t>
      </w:r>
      <w:bookmarkEnd w:id="544"/>
      <w:bookmarkEnd w:id="545"/>
      <w:bookmarkEnd w:id="546"/>
      <w:bookmarkEnd w:id="547"/>
      <w:bookmarkEnd w:id="548"/>
    </w:p>
    <w:p>
      <w:pPr>
        <w:spacing w:line="360" w:lineRule="auto"/>
        <w:ind w:firstLine="560" w:firstLineChars="200"/>
        <w:rPr>
          <w:rFonts w:ascii="宋体" w:hAnsi="宋体" w:cs="宋体"/>
          <w:sz w:val="28"/>
          <w:szCs w:val="28"/>
        </w:rPr>
      </w:pPr>
      <w:r>
        <w:rPr>
          <w:rFonts w:hint="eastAsia" w:ascii="宋体" w:hAnsi="宋体" w:cs="宋体"/>
          <w:sz w:val="28"/>
          <w:szCs w:val="28"/>
        </w:rPr>
        <w:t>与当地医疗卫生机构取得联系，医疗机构接到相关部门指令后要迅速进入事故现场实施医疗救治，相关医院负责后续治疗。同时保障应急行动，负责灭火器材、药品的补充、消防沙、交通工具、个体防护用品等物资设备的调用。</w:t>
      </w:r>
    </w:p>
    <w:p>
      <w:pPr>
        <w:pStyle w:val="10"/>
        <w:spacing w:line="420" w:lineRule="exact"/>
        <w:ind w:firstLine="560" w:firstLineChars="200"/>
        <w:rPr>
          <w:rFonts w:cs="宋体"/>
        </w:rPr>
      </w:pPr>
    </w:p>
    <w:p>
      <w:pPr>
        <w:pStyle w:val="3"/>
        <w:rPr>
          <w:rFonts w:eastAsia="宋体" w:cs="宋体"/>
        </w:rPr>
      </w:pPr>
      <w:bookmarkStart w:id="549" w:name="_Toc20811"/>
      <w:bookmarkEnd w:id="549"/>
      <w:bookmarkStart w:id="550" w:name="_Toc504989606"/>
      <w:bookmarkEnd w:id="550"/>
      <w:bookmarkStart w:id="551" w:name="_Toc162252161"/>
      <w:bookmarkEnd w:id="551"/>
      <w:bookmarkStart w:id="552" w:name="_Toc29711"/>
      <w:bookmarkEnd w:id="552"/>
      <w:bookmarkStart w:id="553" w:name="_Toc255133925"/>
      <w:bookmarkStart w:id="554" w:name="_Toc12667"/>
      <w:bookmarkStart w:id="555" w:name="_Toc28681"/>
      <w:bookmarkStart w:id="556" w:name="_Toc14921"/>
      <w:bookmarkStart w:id="557" w:name="_Toc15726"/>
      <w:r>
        <w:rPr>
          <w:rFonts w:hint="eastAsia" w:eastAsia="宋体" w:cs="宋体"/>
        </w:rPr>
        <w:t>第九章 应急预案管理</w:t>
      </w:r>
      <w:bookmarkEnd w:id="553"/>
      <w:bookmarkEnd w:id="554"/>
      <w:bookmarkEnd w:id="555"/>
      <w:bookmarkEnd w:id="556"/>
      <w:bookmarkEnd w:id="557"/>
    </w:p>
    <w:p>
      <w:pPr>
        <w:pStyle w:val="4"/>
        <w:spacing w:before="0" w:after="0" w:line="460" w:lineRule="exact"/>
        <w:rPr>
          <w:rStyle w:val="51"/>
          <w:rFonts w:hint="default" w:ascii="Times New Roman" w:hAnsi="Times New Roman" w:cs="宋体"/>
          <w:b/>
          <w:bCs/>
          <w:sz w:val="24"/>
          <w:szCs w:val="24"/>
        </w:rPr>
      </w:pPr>
      <w:bookmarkStart w:id="558" w:name="_Toc24432"/>
      <w:bookmarkEnd w:id="558"/>
      <w:bookmarkStart w:id="559" w:name="_Toc12760"/>
      <w:bookmarkEnd w:id="559"/>
      <w:bookmarkStart w:id="560" w:name="_Toc504989607"/>
      <w:bookmarkEnd w:id="560"/>
      <w:bookmarkStart w:id="561" w:name="_Toc14461"/>
      <w:bookmarkEnd w:id="561"/>
      <w:bookmarkStart w:id="562" w:name="_Toc8703"/>
      <w:bookmarkEnd w:id="562"/>
      <w:bookmarkStart w:id="563" w:name="_Toc162252162"/>
      <w:bookmarkEnd w:id="563"/>
      <w:bookmarkStart w:id="564" w:name="_Toc255133926"/>
      <w:bookmarkStart w:id="565" w:name="_Toc6180"/>
      <w:bookmarkStart w:id="566" w:name="_Toc29573"/>
      <w:bookmarkStart w:id="567" w:name="_Toc3802"/>
      <w:bookmarkStart w:id="568" w:name="_Toc14777"/>
      <w:r>
        <w:rPr>
          <w:rStyle w:val="51"/>
          <w:rFonts w:hint="default" w:ascii="Times New Roman" w:hAnsi="Times New Roman" w:cs="宋体"/>
          <w:b/>
          <w:bCs/>
          <w:sz w:val="24"/>
          <w:szCs w:val="24"/>
        </w:rPr>
        <w:t>9.1培训</w:t>
      </w:r>
      <w:bookmarkEnd w:id="564"/>
      <w:bookmarkEnd w:id="565"/>
      <w:bookmarkEnd w:id="566"/>
      <w:bookmarkEnd w:id="567"/>
      <w:bookmarkEnd w:id="568"/>
    </w:p>
    <w:p>
      <w:pPr>
        <w:pStyle w:val="5"/>
        <w:spacing w:before="0" w:after="0" w:line="460" w:lineRule="exact"/>
        <w:rPr>
          <w:rStyle w:val="49"/>
          <w:rFonts w:ascii="Times New Roman" w:hAnsi="Times New Roman" w:cs="宋体"/>
          <w:b/>
          <w:bCs/>
          <w:sz w:val="24"/>
          <w:szCs w:val="24"/>
        </w:rPr>
      </w:pPr>
      <w:bookmarkStart w:id="569" w:name="_Toc30445"/>
      <w:bookmarkEnd w:id="569"/>
      <w:bookmarkStart w:id="570" w:name="_Toc504989608"/>
      <w:bookmarkStart w:id="571" w:name="_Toc1645"/>
      <w:bookmarkStart w:id="572" w:name="_Toc5625"/>
      <w:bookmarkStart w:id="573" w:name="_Toc29079"/>
      <w:bookmarkStart w:id="574" w:name="_Toc1734"/>
      <w:r>
        <w:rPr>
          <w:rStyle w:val="49"/>
          <w:rFonts w:hint="eastAsia" w:ascii="Times New Roman" w:hAnsi="Times New Roman" w:cs="宋体"/>
          <w:b/>
          <w:bCs/>
          <w:sz w:val="24"/>
          <w:szCs w:val="24"/>
        </w:rPr>
        <w:t>9.1.1培训内容</w:t>
      </w:r>
      <w:bookmarkEnd w:id="570"/>
      <w:bookmarkEnd w:id="571"/>
      <w:bookmarkEnd w:id="572"/>
      <w:bookmarkEnd w:id="573"/>
      <w:bookmarkEnd w:id="574"/>
    </w:p>
    <w:p>
      <w:pPr>
        <w:pStyle w:val="10"/>
        <w:spacing w:line="460" w:lineRule="exact"/>
        <w:ind w:firstLine="560" w:firstLineChars="200"/>
        <w:rPr>
          <w:rFonts w:cs="宋体"/>
        </w:rPr>
      </w:pPr>
      <w:r>
        <w:rPr>
          <w:rFonts w:hint="eastAsia" w:cs="宋体"/>
        </w:rPr>
        <w:t>为确保快速、有序和有效的应急能力，吉运加油站所有人员应认真学习本预案内容，明确各人员在事故发生时，所承担的责任、避险方法以及吉运加油站周边群众的危险告知。培训内容：</w:t>
      </w:r>
    </w:p>
    <w:p>
      <w:pPr>
        <w:pStyle w:val="10"/>
        <w:numPr>
          <w:ilvl w:val="0"/>
          <w:numId w:val="6"/>
        </w:numPr>
        <w:spacing w:line="460" w:lineRule="exact"/>
        <w:ind w:firstLine="560" w:firstLineChars="200"/>
        <w:rPr>
          <w:rFonts w:cs="宋体"/>
        </w:rPr>
      </w:pPr>
      <w:r>
        <w:rPr>
          <w:rFonts w:hint="eastAsia" w:cs="宋体"/>
        </w:rPr>
        <w:t>如何识别危险；</w:t>
      </w:r>
    </w:p>
    <w:p>
      <w:pPr>
        <w:pStyle w:val="10"/>
        <w:numPr>
          <w:ilvl w:val="0"/>
          <w:numId w:val="6"/>
        </w:numPr>
        <w:spacing w:line="460" w:lineRule="exact"/>
        <w:ind w:firstLine="560" w:firstLineChars="200"/>
        <w:rPr>
          <w:rFonts w:cs="宋体"/>
        </w:rPr>
      </w:pPr>
      <w:r>
        <w:rPr>
          <w:rFonts w:hint="eastAsia" w:cs="宋体"/>
        </w:rPr>
        <w:t>如何启动应急警报系统；</w:t>
      </w:r>
    </w:p>
    <w:p>
      <w:pPr>
        <w:pStyle w:val="10"/>
        <w:numPr>
          <w:ilvl w:val="0"/>
          <w:numId w:val="6"/>
        </w:numPr>
        <w:spacing w:line="460" w:lineRule="exact"/>
        <w:ind w:firstLine="560" w:firstLineChars="200"/>
        <w:rPr>
          <w:rFonts w:cs="宋体"/>
        </w:rPr>
      </w:pPr>
      <w:r>
        <w:rPr>
          <w:rFonts w:hint="eastAsia" w:cs="宋体"/>
        </w:rPr>
        <w:t>危险物质泄漏控制措施；</w:t>
      </w:r>
    </w:p>
    <w:p>
      <w:pPr>
        <w:pStyle w:val="10"/>
        <w:numPr>
          <w:ilvl w:val="0"/>
          <w:numId w:val="6"/>
        </w:numPr>
        <w:spacing w:line="460" w:lineRule="exact"/>
        <w:ind w:firstLine="560" w:firstLineChars="200"/>
        <w:rPr>
          <w:rFonts w:cs="宋体"/>
        </w:rPr>
      </w:pPr>
      <w:r>
        <w:rPr>
          <w:rFonts w:hint="eastAsia" w:cs="宋体"/>
        </w:rPr>
        <w:t>初起火灾灭火方法；</w:t>
      </w:r>
    </w:p>
    <w:p>
      <w:pPr>
        <w:pStyle w:val="10"/>
        <w:numPr>
          <w:ilvl w:val="0"/>
          <w:numId w:val="6"/>
        </w:numPr>
        <w:spacing w:line="460" w:lineRule="exact"/>
        <w:ind w:firstLine="560" w:firstLineChars="200"/>
        <w:rPr>
          <w:rFonts w:cs="宋体"/>
        </w:rPr>
      </w:pPr>
      <w:r>
        <w:rPr>
          <w:rFonts w:hint="eastAsia" w:cs="宋体"/>
        </w:rPr>
        <w:t>各种事故应急方法及事故预防、避险、自救、互救常识；</w:t>
      </w:r>
    </w:p>
    <w:p>
      <w:pPr>
        <w:pStyle w:val="10"/>
        <w:numPr>
          <w:ilvl w:val="0"/>
          <w:numId w:val="6"/>
        </w:numPr>
        <w:spacing w:line="460" w:lineRule="exact"/>
        <w:ind w:firstLine="560" w:firstLineChars="200"/>
        <w:rPr>
          <w:rFonts w:cs="宋体"/>
        </w:rPr>
      </w:pPr>
      <w:r>
        <w:rPr>
          <w:rFonts w:hint="eastAsia" w:cs="宋体"/>
        </w:rPr>
        <w:t>正确使用防护用品；</w:t>
      </w:r>
    </w:p>
    <w:p>
      <w:pPr>
        <w:pStyle w:val="10"/>
        <w:numPr>
          <w:ilvl w:val="0"/>
          <w:numId w:val="6"/>
        </w:numPr>
        <w:spacing w:line="460" w:lineRule="exact"/>
        <w:ind w:firstLine="560" w:firstLineChars="200"/>
        <w:rPr>
          <w:rFonts w:cs="宋体"/>
        </w:rPr>
      </w:pPr>
      <w:r>
        <w:rPr>
          <w:rFonts w:hint="eastAsia" w:cs="宋体"/>
        </w:rPr>
        <w:t>人员的安全疏散；</w:t>
      </w:r>
    </w:p>
    <w:p>
      <w:pPr>
        <w:pStyle w:val="10"/>
        <w:numPr>
          <w:ilvl w:val="0"/>
          <w:numId w:val="6"/>
        </w:numPr>
        <w:spacing w:line="460" w:lineRule="exact"/>
        <w:ind w:firstLine="560" w:firstLineChars="200"/>
        <w:rPr>
          <w:rFonts w:cs="宋体"/>
        </w:rPr>
      </w:pPr>
      <w:r>
        <w:rPr>
          <w:rFonts w:hint="eastAsia" w:cs="宋体"/>
        </w:rPr>
        <w:t>对周边的宣传等；</w:t>
      </w:r>
    </w:p>
    <w:p>
      <w:pPr>
        <w:pStyle w:val="5"/>
        <w:spacing w:before="0" w:after="0" w:line="460" w:lineRule="exact"/>
        <w:rPr>
          <w:rFonts w:ascii="宋体" w:hAnsi="宋体" w:cs="宋体"/>
          <w:kern w:val="2"/>
        </w:rPr>
      </w:pPr>
      <w:bookmarkStart w:id="575" w:name="_Toc10382"/>
      <w:bookmarkEnd w:id="575"/>
      <w:bookmarkStart w:id="576" w:name="_Toc504989609"/>
      <w:bookmarkStart w:id="577" w:name="_Toc10420"/>
      <w:bookmarkStart w:id="578" w:name="_Toc8344"/>
      <w:bookmarkStart w:id="579" w:name="_Toc12608"/>
      <w:bookmarkStart w:id="580" w:name="_Toc22599"/>
      <w:r>
        <w:rPr>
          <w:rFonts w:hint="eastAsia" w:ascii="宋体" w:hAnsi="宋体" w:cs="宋体"/>
          <w:kern w:val="2"/>
        </w:rPr>
        <w:t>9.1.2培训方式</w:t>
      </w:r>
      <w:bookmarkEnd w:id="576"/>
      <w:bookmarkEnd w:id="577"/>
      <w:bookmarkEnd w:id="578"/>
      <w:bookmarkEnd w:id="579"/>
      <w:bookmarkEnd w:id="580"/>
    </w:p>
    <w:p>
      <w:pPr>
        <w:pStyle w:val="10"/>
        <w:spacing w:line="460" w:lineRule="exact"/>
        <w:ind w:firstLine="560" w:firstLineChars="200"/>
        <w:rPr>
          <w:rFonts w:cs="宋体"/>
        </w:rPr>
      </w:pPr>
      <w:r>
        <w:rPr>
          <w:rFonts w:hint="eastAsia" w:cs="宋体"/>
        </w:rPr>
        <w:t>培训方式可以根据吉运加油站实际情况，采取多种形式进行，如定期开设培训班、上课、事故讲座、发放宣传资料以及黑板报、公告栏、墙报等，使教育培训形象生动。</w:t>
      </w:r>
    </w:p>
    <w:p>
      <w:pPr>
        <w:spacing w:line="360" w:lineRule="auto"/>
        <w:ind w:firstLine="480"/>
        <w:rPr>
          <w:rFonts w:ascii="宋体" w:hAnsi="宋体" w:cs="宋体"/>
          <w:sz w:val="28"/>
          <w:szCs w:val="28"/>
        </w:rPr>
      </w:pPr>
      <w:r>
        <w:rPr>
          <w:rFonts w:hint="eastAsia" w:ascii="宋体" w:hAnsi="宋体" w:cs="宋体"/>
          <w:sz w:val="28"/>
          <w:szCs w:val="28"/>
        </w:rPr>
        <w:t>培训要求：</w:t>
      </w:r>
    </w:p>
    <w:p>
      <w:pPr>
        <w:spacing w:line="360" w:lineRule="auto"/>
        <w:ind w:firstLine="480"/>
        <w:rPr>
          <w:rFonts w:ascii="宋体" w:hAnsi="宋体" w:cs="宋体"/>
          <w:sz w:val="28"/>
          <w:szCs w:val="28"/>
        </w:rPr>
      </w:pPr>
      <w:r>
        <w:rPr>
          <w:rFonts w:hint="eastAsia" w:ascii="宋体" w:hAnsi="宋体" w:cs="宋体"/>
          <w:sz w:val="28"/>
          <w:szCs w:val="28"/>
        </w:rPr>
        <w:t>1.针对性：针对可能的安全事故情景及承担的应急职责，不同的人员不同的内容；</w:t>
      </w:r>
    </w:p>
    <w:p>
      <w:pPr>
        <w:spacing w:line="360" w:lineRule="auto"/>
        <w:ind w:firstLine="480"/>
        <w:rPr>
          <w:rFonts w:ascii="宋体" w:hAnsi="宋体" w:cs="宋体"/>
          <w:sz w:val="28"/>
          <w:szCs w:val="28"/>
        </w:rPr>
      </w:pPr>
      <w:r>
        <w:rPr>
          <w:rFonts w:hint="eastAsia" w:ascii="宋体" w:hAnsi="宋体" w:cs="宋体"/>
          <w:sz w:val="28"/>
          <w:szCs w:val="28"/>
        </w:rPr>
        <w:t>2.周期性：至少每年进行一次；</w:t>
      </w:r>
    </w:p>
    <w:p>
      <w:pPr>
        <w:spacing w:line="360" w:lineRule="auto"/>
        <w:ind w:firstLine="480"/>
        <w:rPr>
          <w:rFonts w:ascii="宋体" w:hAnsi="宋体" w:cs="宋体"/>
          <w:sz w:val="28"/>
          <w:szCs w:val="28"/>
        </w:rPr>
      </w:pPr>
      <w:r>
        <w:rPr>
          <w:rFonts w:hint="eastAsia" w:ascii="宋体" w:hAnsi="宋体" w:cs="宋体"/>
          <w:sz w:val="28"/>
          <w:szCs w:val="28"/>
        </w:rPr>
        <w:t>3.定期性：定期进行技能培训；</w:t>
      </w:r>
    </w:p>
    <w:p>
      <w:pPr>
        <w:spacing w:line="360" w:lineRule="auto"/>
        <w:ind w:firstLine="480"/>
        <w:rPr>
          <w:rFonts w:ascii="宋体" w:hAnsi="宋体" w:cs="宋体"/>
          <w:sz w:val="28"/>
          <w:szCs w:val="28"/>
        </w:rPr>
      </w:pPr>
      <w:r>
        <w:rPr>
          <w:rFonts w:hint="eastAsia" w:ascii="宋体" w:hAnsi="宋体" w:cs="宋体"/>
          <w:sz w:val="28"/>
          <w:szCs w:val="28"/>
        </w:rPr>
        <w:t>4.真实性：尽量贴近实际应急行动。</w:t>
      </w:r>
    </w:p>
    <w:p>
      <w:pPr>
        <w:spacing w:line="360" w:lineRule="auto"/>
        <w:ind w:firstLine="480"/>
        <w:rPr>
          <w:rFonts w:ascii="宋体" w:hAnsi="宋体" w:cs="宋体"/>
          <w:sz w:val="28"/>
          <w:szCs w:val="28"/>
        </w:rPr>
      </w:pPr>
      <w:r>
        <w:rPr>
          <w:rFonts w:hint="eastAsia" w:ascii="宋体" w:hAnsi="宋体" w:cs="宋体"/>
          <w:sz w:val="28"/>
          <w:szCs w:val="28"/>
        </w:rPr>
        <w:t>5.应急响应指示宣传</w:t>
      </w:r>
    </w:p>
    <w:p>
      <w:pPr>
        <w:spacing w:line="360" w:lineRule="auto"/>
        <w:ind w:firstLine="480"/>
        <w:rPr>
          <w:rFonts w:ascii="宋体" w:hAnsi="宋体" w:cs="宋体"/>
          <w:sz w:val="28"/>
          <w:szCs w:val="28"/>
        </w:rPr>
      </w:pPr>
      <w:r>
        <w:rPr>
          <w:rFonts w:hint="eastAsia" w:ascii="宋体" w:hAnsi="宋体" w:cs="宋体"/>
          <w:sz w:val="28"/>
          <w:szCs w:val="28"/>
        </w:rPr>
        <w:t>6.定期组织员工学习安全生产法律法规和《事故应急预案》；</w:t>
      </w:r>
    </w:p>
    <w:p>
      <w:pPr>
        <w:spacing w:line="360" w:lineRule="auto"/>
        <w:ind w:firstLine="480"/>
        <w:rPr>
          <w:rFonts w:ascii="宋体" w:hAnsi="宋体" w:cs="宋体"/>
          <w:sz w:val="28"/>
          <w:szCs w:val="28"/>
        </w:rPr>
      </w:pPr>
      <w:r>
        <w:rPr>
          <w:rFonts w:hint="eastAsia" w:ascii="宋体" w:hAnsi="宋体" w:cs="宋体"/>
          <w:sz w:val="28"/>
          <w:szCs w:val="28"/>
        </w:rPr>
        <w:t>7.设立安全生产知识宣传栏、安全标志和警示标志，营造安全生产氛围；</w:t>
      </w:r>
    </w:p>
    <w:p>
      <w:pPr>
        <w:spacing w:line="360" w:lineRule="auto"/>
        <w:ind w:firstLine="480"/>
        <w:rPr>
          <w:rFonts w:ascii="宋体" w:hAnsi="宋体" w:cs="宋体"/>
          <w:sz w:val="28"/>
          <w:szCs w:val="28"/>
        </w:rPr>
      </w:pPr>
      <w:r>
        <w:rPr>
          <w:rFonts w:hint="eastAsia" w:ascii="宋体" w:hAnsi="宋体" w:cs="宋体"/>
          <w:sz w:val="28"/>
          <w:szCs w:val="28"/>
        </w:rPr>
        <w:t>8.利用节假日开展员工安全生产文化活动。</w:t>
      </w:r>
    </w:p>
    <w:p>
      <w:pPr>
        <w:pStyle w:val="4"/>
        <w:spacing w:before="0" w:after="0" w:line="460" w:lineRule="exact"/>
        <w:rPr>
          <w:rStyle w:val="51"/>
          <w:rFonts w:hint="default" w:ascii="Times New Roman" w:hAnsi="Times New Roman" w:cs="宋体"/>
          <w:b/>
          <w:bCs/>
          <w:sz w:val="24"/>
          <w:szCs w:val="24"/>
        </w:rPr>
      </w:pPr>
      <w:bookmarkStart w:id="581" w:name="_Toc27772"/>
      <w:bookmarkEnd w:id="581"/>
      <w:bookmarkStart w:id="582" w:name="_Toc504989610"/>
      <w:bookmarkStart w:id="583" w:name="_Toc16038"/>
      <w:bookmarkStart w:id="584" w:name="_Toc180"/>
      <w:bookmarkStart w:id="585" w:name="_Toc24345"/>
      <w:bookmarkStart w:id="586" w:name="_Toc32375"/>
      <w:r>
        <w:rPr>
          <w:rStyle w:val="51"/>
          <w:rFonts w:hint="default" w:ascii="Times New Roman" w:hAnsi="Times New Roman" w:cs="宋体"/>
          <w:b/>
          <w:bCs/>
          <w:sz w:val="24"/>
          <w:szCs w:val="24"/>
        </w:rPr>
        <w:t>9.2演练</w:t>
      </w:r>
      <w:bookmarkEnd w:id="582"/>
      <w:bookmarkEnd w:id="583"/>
      <w:bookmarkEnd w:id="584"/>
      <w:bookmarkEnd w:id="585"/>
      <w:bookmarkEnd w:id="586"/>
    </w:p>
    <w:p>
      <w:pPr>
        <w:spacing w:line="360" w:lineRule="auto"/>
        <w:ind w:firstLine="480"/>
        <w:rPr>
          <w:rFonts w:ascii="宋体" w:hAnsi="宋体" w:cs="宋体"/>
          <w:sz w:val="28"/>
          <w:szCs w:val="28"/>
        </w:rPr>
      </w:pPr>
      <w:r>
        <w:rPr>
          <w:rFonts w:hint="eastAsia" w:ascii="宋体" w:hAnsi="宋体" w:cs="宋体"/>
          <w:sz w:val="28"/>
          <w:szCs w:val="28"/>
        </w:rPr>
        <w:t>为确保在发生事故时，能够及时组织应急救援，每年都要定期开展事故应急预案的演练。</w:t>
      </w:r>
    </w:p>
    <w:p>
      <w:pPr>
        <w:spacing w:line="480" w:lineRule="exact"/>
        <w:ind w:firstLine="482" w:firstLineChars="200"/>
        <w:rPr>
          <w:rFonts w:cs="宋体"/>
          <w:b/>
          <w:sz w:val="24"/>
        </w:rPr>
      </w:pPr>
      <w:r>
        <w:rPr>
          <w:rFonts w:hint="eastAsia" w:cs="宋体"/>
          <w:b/>
          <w:sz w:val="24"/>
        </w:rPr>
        <w:t>演练准备</w:t>
      </w:r>
    </w:p>
    <w:p>
      <w:pPr>
        <w:spacing w:line="360" w:lineRule="auto"/>
        <w:ind w:firstLine="480"/>
        <w:rPr>
          <w:rFonts w:ascii="宋体" w:hAnsi="宋体" w:cs="宋体"/>
          <w:sz w:val="28"/>
          <w:szCs w:val="28"/>
        </w:rPr>
      </w:pPr>
      <w:r>
        <w:rPr>
          <w:rFonts w:hint="eastAsia" w:ascii="宋体" w:hAnsi="宋体" w:cs="宋体"/>
          <w:sz w:val="28"/>
          <w:szCs w:val="28"/>
        </w:rPr>
        <w:t>演练分为三个层次，即桌面演练、功能演练和全面演练，根据演练的方式和内容，准备演练所需器材，对人员进行演练教育培训，并制定演练的方案和安全措施。</w:t>
      </w:r>
    </w:p>
    <w:p>
      <w:pPr>
        <w:spacing w:line="480" w:lineRule="exact"/>
        <w:ind w:firstLine="482" w:firstLineChars="200"/>
        <w:rPr>
          <w:rFonts w:cs="宋体"/>
          <w:b/>
          <w:sz w:val="24"/>
        </w:rPr>
      </w:pPr>
      <w:r>
        <w:rPr>
          <w:rFonts w:hint="eastAsia" w:cs="宋体"/>
          <w:b/>
          <w:sz w:val="24"/>
        </w:rPr>
        <w:t>演练范围</w:t>
      </w:r>
    </w:p>
    <w:p>
      <w:pPr>
        <w:pStyle w:val="10"/>
        <w:spacing w:line="460" w:lineRule="exact"/>
        <w:ind w:firstLine="560" w:firstLineChars="200"/>
        <w:rPr>
          <w:rFonts w:cs="宋体"/>
        </w:rPr>
      </w:pPr>
      <w:r>
        <w:rPr>
          <w:rFonts w:hint="eastAsia" w:cs="宋体"/>
        </w:rPr>
        <w:t>应急救援演练的范围为全站的应急救援演练，领导要参加演练。</w:t>
      </w:r>
    </w:p>
    <w:p>
      <w:pPr>
        <w:spacing w:line="480" w:lineRule="exact"/>
        <w:ind w:firstLine="482" w:firstLineChars="200"/>
        <w:rPr>
          <w:rFonts w:cs="宋体"/>
          <w:b/>
          <w:sz w:val="24"/>
        </w:rPr>
      </w:pPr>
      <w:r>
        <w:rPr>
          <w:rFonts w:hint="eastAsia" w:cs="宋体"/>
          <w:b/>
          <w:sz w:val="24"/>
        </w:rPr>
        <w:t>演练组织</w:t>
      </w:r>
    </w:p>
    <w:p>
      <w:pPr>
        <w:spacing w:line="360" w:lineRule="auto"/>
        <w:ind w:firstLine="480"/>
        <w:rPr>
          <w:rFonts w:ascii="宋体" w:hAnsi="宋体" w:cs="宋体"/>
          <w:sz w:val="28"/>
          <w:szCs w:val="28"/>
        </w:rPr>
      </w:pPr>
      <w:r>
        <w:rPr>
          <w:rFonts w:hint="eastAsia" w:ascii="宋体" w:hAnsi="宋体" w:cs="宋体"/>
          <w:sz w:val="28"/>
          <w:szCs w:val="28"/>
        </w:rPr>
        <w:t>应急演练由应急领导小组组长直接负责组织协调、组织实施，演练结束后对演练效果进行评估，由应急领导小组组长进行总结，并对吉运加油站应急预案及时进行修正。</w:t>
      </w:r>
    </w:p>
    <w:p>
      <w:pPr>
        <w:spacing w:line="480" w:lineRule="exact"/>
        <w:ind w:firstLine="482" w:firstLineChars="200"/>
        <w:rPr>
          <w:rFonts w:cs="宋体"/>
          <w:b/>
          <w:sz w:val="24"/>
        </w:rPr>
      </w:pPr>
      <w:r>
        <w:rPr>
          <w:rFonts w:hint="eastAsia" w:cs="宋体"/>
          <w:b/>
          <w:bCs/>
          <w:sz w:val="24"/>
          <w:szCs w:val="24"/>
        </w:rPr>
        <w:t>演练</w:t>
      </w:r>
      <w:r>
        <w:rPr>
          <w:rFonts w:hint="eastAsia" w:cs="宋体"/>
          <w:b/>
          <w:sz w:val="24"/>
        </w:rPr>
        <w:t>评估</w:t>
      </w:r>
    </w:p>
    <w:p>
      <w:pPr>
        <w:spacing w:line="360" w:lineRule="auto"/>
        <w:ind w:firstLine="480"/>
        <w:rPr>
          <w:rFonts w:ascii="宋体" w:hAnsi="宋体" w:cs="宋体"/>
          <w:sz w:val="28"/>
          <w:szCs w:val="28"/>
        </w:rPr>
      </w:pPr>
      <w:r>
        <w:rPr>
          <w:rFonts w:hint="eastAsia" w:ascii="宋体" w:hAnsi="宋体" w:cs="宋体"/>
          <w:sz w:val="28"/>
          <w:szCs w:val="28"/>
        </w:rPr>
        <w:t>根据应急预案的演练情况，针对演练中暴露的问题，对预案的可行性和实用性进行自我评估。</w:t>
      </w:r>
    </w:p>
    <w:p>
      <w:pPr>
        <w:pStyle w:val="10"/>
        <w:spacing w:line="460" w:lineRule="exact"/>
        <w:ind w:firstLine="482" w:firstLineChars="200"/>
        <w:rPr>
          <w:rFonts w:ascii="Times New Roman" w:hAnsi="Times New Roman" w:cs="宋体"/>
          <w:b/>
          <w:color w:val="auto"/>
          <w:sz w:val="24"/>
          <w:szCs w:val="24"/>
        </w:rPr>
      </w:pPr>
      <w:r>
        <w:rPr>
          <w:rFonts w:hint="eastAsia" w:ascii="Times New Roman" w:hAnsi="Times New Roman" w:cs="宋体"/>
          <w:b/>
          <w:bCs/>
          <w:color w:val="auto"/>
          <w:sz w:val="24"/>
          <w:szCs w:val="24"/>
        </w:rPr>
        <w:t>演练</w:t>
      </w:r>
      <w:r>
        <w:rPr>
          <w:rFonts w:hint="eastAsia" w:ascii="Times New Roman" w:hAnsi="Times New Roman" w:cs="宋体"/>
          <w:b/>
          <w:color w:val="auto"/>
          <w:sz w:val="24"/>
        </w:rPr>
        <w:t>注意事项</w:t>
      </w:r>
    </w:p>
    <w:p>
      <w:pPr>
        <w:spacing w:line="360" w:lineRule="auto"/>
        <w:ind w:firstLine="480"/>
        <w:rPr>
          <w:rFonts w:ascii="宋体" w:hAnsi="宋体" w:cs="宋体"/>
          <w:sz w:val="28"/>
          <w:szCs w:val="28"/>
        </w:rPr>
      </w:pPr>
      <w:r>
        <w:rPr>
          <w:rFonts w:hint="eastAsia" w:ascii="宋体" w:hAnsi="宋体" w:cs="宋体"/>
          <w:sz w:val="28"/>
          <w:szCs w:val="28"/>
        </w:rPr>
        <w:t>进行事故应急预案的演练主要应：</w:t>
      </w:r>
    </w:p>
    <w:p>
      <w:pPr>
        <w:spacing w:line="360" w:lineRule="auto"/>
        <w:ind w:firstLine="480"/>
        <w:rPr>
          <w:rFonts w:ascii="宋体" w:hAnsi="宋体" w:cs="宋体"/>
          <w:sz w:val="28"/>
          <w:szCs w:val="28"/>
        </w:rPr>
      </w:pPr>
      <w:r>
        <w:rPr>
          <w:rFonts w:hint="eastAsia" w:ascii="宋体" w:hAnsi="宋体" w:cs="宋体"/>
          <w:sz w:val="28"/>
          <w:szCs w:val="28"/>
        </w:rPr>
        <w:t>1、在演练过程中，熟悉危险源的现场人员、有关的安全管理人员要一起参与；</w:t>
      </w:r>
    </w:p>
    <w:p>
      <w:pPr>
        <w:spacing w:line="360" w:lineRule="auto"/>
        <w:ind w:firstLine="480"/>
        <w:rPr>
          <w:rFonts w:ascii="宋体" w:hAnsi="宋体" w:cs="宋体"/>
          <w:sz w:val="28"/>
          <w:szCs w:val="28"/>
        </w:rPr>
      </w:pPr>
      <w:r>
        <w:rPr>
          <w:rFonts w:hint="eastAsia" w:ascii="宋体" w:hAnsi="宋体" w:cs="宋体"/>
          <w:sz w:val="28"/>
          <w:szCs w:val="28"/>
        </w:rPr>
        <w:t>2、一旦事故应急预案编制完成以后，公司应向所有职工以及外部应急服务机构公布；</w:t>
      </w:r>
    </w:p>
    <w:p>
      <w:pPr>
        <w:spacing w:line="360" w:lineRule="auto"/>
        <w:ind w:firstLine="480"/>
        <w:rPr>
          <w:rFonts w:ascii="宋体" w:hAnsi="宋体" w:cs="宋体"/>
          <w:sz w:val="28"/>
          <w:szCs w:val="28"/>
        </w:rPr>
      </w:pPr>
      <w:r>
        <w:rPr>
          <w:rFonts w:hint="eastAsia" w:ascii="宋体" w:hAnsi="宋体" w:cs="宋体"/>
          <w:sz w:val="28"/>
          <w:szCs w:val="28"/>
        </w:rPr>
        <w:t>3、每一次演练后，公司应核对生产安全事故应急预案规定的内容是否都被检查，找出不足和缺点。检查主要包括下列内容：</w:t>
      </w:r>
    </w:p>
    <w:p>
      <w:pPr>
        <w:spacing w:line="360" w:lineRule="auto"/>
        <w:ind w:firstLine="480"/>
        <w:rPr>
          <w:rFonts w:ascii="宋体" w:hAnsi="宋体" w:cs="宋体"/>
          <w:sz w:val="28"/>
          <w:szCs w:val="28"/>
        </w:rPr>
      </w:pPr>
      <w:r>
        <w:rPr>
          <w:rFonts w:hint="eastAsia" w:ascii="宋体" w:hAnsi="宋体" w:cs="宋体"/>
          <w:sz w:val="28"/>
          <w:szCs w:val="28"/>
        </w:rPr>
        <w:t>（1）在事故期间通讯系统是否能运作；</w:t>
      </w:r>
    </w:p>
    <w:p>
      <w:pPr>
        <w:spacing w:line="360" w:lineRule="auto"/>
        <w:ind w:firstLine="480"/>
        <w:rPr>
          <w:rFonts w:ascii="宋体" w:hAnsi="宋体" w:cs="宋体"/>
          <w:sz w:val="28"/>
          <w:szCs w:val="28"/>
        </w:rPr>
      </w:pPr>
      <w:r>
        <w:rPr>
          <w:rFonts w:hint="eastAsia" w:ascii="宋体" w:hAnsi="宋体" w:cs="宋体"/>
          <w:sz w:val="28"/>
          <w:szCs w:val="28"/>
        </w:rPr>
        <w:t>（2）人员是否能安全撤离；</w:t>
      </w:r>
    </w:p>
    <w:p>
      <w:pPr>
        <w:spacing w:line="360" w:lineRule="auto"/>
        <w:ind w:firstLine="480"/>
        <w:rPr>
          <w:rFonts w:ascii="宋体" w:hAnsi="宋体" w:cs="宋体"/>
          <w:sz w:val="28"/>
          <w:szCs w:val="28"/>
        </w:rPr>
      </w:pPr>
      <w:r>
        <w:rPr>
          <w:rFonts w:hint="eastAsia" w:ascii="宋体" w:hAnsi="宋体" w:cs="宋体"/>
          <w:sz w:val="28"/>
          <w:szCs w:val="28"/>
        </w:rPr>
        <w:t>（3）应急组织能否及时参与事故抢救；</w:t>
      </w:r>
    </w:p>
    <w:p>
      <w:pPr>
        <w:spacing w:line="360" w:lineRule="auto"/>
        <w:ind w:firstLine="480"/>
        <w:rPr>
          <w:rFonts w:ascii="宋体" w:hAnsi="宋体" w:cs="宋体"/>
          <w:sz w:val="28"/>
          <w:szCs w:val="28"/>
        </w:rPr>
      </w:pPr>
      <w:r>
        <w:rPr>
          <w:rFonts w:hint="eastAsia" w:ascii="宋体" w:hAnsi="宋体" w:cs="宋体"/>
          <w:sz w:val="28"/>
          <w:szCs w:val="28"/>
        </w:rPr>
        <w:t>（4）能否有效控制事故进一步扩大。</w:t>
      </w:r>
    </w:p>
    <w:p>
      <w:pPr>
        <w:pStyle w:val="10"/>
        <w:spacing w:line="460" w:lineRule="exact"/>
        <w:ind w:firstLine="482" w:firstLineChars="200"/>
        <w:rPr>
          <w:rFonts w:ascii="Times New Roman" w:hAnsi="Times New Roman" w:cs="宋体"/>
          <w:color w:val="auto"/>
          <w:sz w:val="24"/>
          <w:szCs w:val="24"/>
        </w:rPr>
      </w:pPr>
      <w:r>
        <w:rPr>
          <w:rFonts w:hint="eastAsia" w:ascii="Times New Roman" w:hAnsi="Times New Roman" w:cs="宋体"/>
          <w:b/>
          <w:bCs/>
          <w:color w:val="auto"/>
          <w:sz w:val="24"/>
          <w:szCs w:val="24"/>
        </w:rPr>
        <w:t>演练目的</w:t>
      </w:r>
    </w:p>
    <w:p>
      <w:pPr>
        <w:spacing w:line="360" w:lineRule="auto"/>
        <w:ind w:firstLine="480"/>
        <w:rPr>
          <w:rFonts w:ascii="宋体" w:hAnsi="宋体" w:cs="宋体"/>
          <w:sz w:val="28"/>
          <w:szCs w:val="28"/>
        </w:rPr>
      </w:pPr>
      <w:r>
        <w:rPr>
          <w:rFonts w:hint="eastAsia" w:ascii="宋体" w:hAnsi="宋体" w:cs="宋体"/>
          <w:sz w:val="28"/>
          <w:szCs w:val="28"/>
        </w:rPr>
        <w:t>（1）使参与应急反应的各人员熟悉和掌握各自在应急反应行动中职责；</w:t>
      </w:r>
    </w:p>
    <w:p>
      <w:pPr>
        <w:spacing w:line="360" w:lineRule="auto"/>
        <w:ind w:firstLine="480"/>
        <w:rPr>
          <w:rFonts w:ascii="宋体" w:hAnsi="宋体" w:cs="宋体"/>
          <w:sz w:val="28"/>
          <w:szCs w:val="28"/>
        </w:rPr>
      </w:pPr>
      <w:r>
        <w:rPr>
          <w:rFonts w:hint="eastAsia" w:ascii="宋体" w:hAnsi="宋体" w:cs="宋体"/>
          <w:sz w:val="28"/>
          <w:szCs w:val="28"/>
        </w:rPr>
        <w:t>（1）确保应急反应各有关环节快速、协调和有效进行；</w:t>
      </w:r>
    </w:p>
    <w:p>
      <w:pPr>
        <w:spacing w:line="360" w:lineRule="auto"/>
        <w:ind w:firstLine="480"/>
        <w:rPr>
          <w:rFonts w:ascii="宋体" w:hAnsi="宋体" w:cs="宋体"/>
          <w:sz w:val="28"/>
          <w:szCs w:val="28"/>
        </w:rPr>
      </w:pPr>
      <w:r>
        <w:rPr>
          <w:rFonts w:hint="eastAsia" w:ascii="宋体" w:hAnsi="宋体" w:cs="宋体"/>
          <w:sz w:val="28"/>
          <w:szCs w:val="28"/>
        </w:rPr>
        <w:t>（2）验证各级反应人员对所需理论与操作技能熟练掌握程度；</w:t>
      </w:r>
    </w:p>
    <w:p>
      <w:pPr>
        <w:spacing w:line="360" w:lineRule="auto"/>
        <w:ind w:firstLine="480"/>
        <w:rPr>
          <w:rFonts w:ascii="宋体" w:hAnsi="宋体" w:cs="宋体"/>
          <w:sz w:val="28"/>
          <w:szCs w:val="28"/>
        </w:rPr>
      </w:pPr>
      <w:r>
        <w:rPr>
          <w:rFonts w:hint="eastAsia" w:ascii="宋体" w:hAnsi="宋体" w:cs="宋体"/>
          <w:sz w:val="28"/>
          <w:szCs w:val="28"/>
        </w:rPr>
        <w:t>（3）及时发现应急计划和应急系统存在的问题和不足，以便不断改进和完善；</w:t>
      </w:r>
    </w:p>
    <w:p>
      <w:pPr>
        <w:spacing w:line="360" w:lineRule="auto"/>
        <w:ind w:firstLine="480"/>
        <w:rPr>
          <w:rFonts w:ascii="宋体" w:hAnsi="宋体" w:cs="宋体"/>
          <w:sz w:val="28"/>
          <w:szCs w:val="28"/>
        </w:rPr>
      </w:pPr>
      <w:r>
        <w:rPr>
          <w:rFonts w:hint="eastAsia" w:ascii="宋体" w:hAnsi="宋体" w:cs="宋体"/>
          <w:sz w:val="28"/>
          <w:szCs w:val="28"/>
        </w:rPr>
        <w:t>（4）通过演习，使应急组织成员熟悉应急程序和动作要求；</w:t>
      </w:r>
    </w:p>
    <w:p>
      <w:pPr>
        <w:spacing w:line="360" w:lineRule="auto"/>
        <w:ind w:firstLine="480"/>
        <w:rPr>
          <w:rFonts w:cs="宋体"/>
          <w:sz w:val="24"/>
          <w:szCs w:val="24"/>
        </w:rPr>
      </w:pPr>
      <w:r>
        <w:rPr>
          <w:rFonts w:hint="eastAsia" w:ascii="宋体" w:hAnsi="宋体" w:cs="宋体"/>
          <w:sz w:val="28"/>
          <w:szCs w:val="28"/>
        </w:rPr>
        <w:t>（5）演习结束后应进行演习评估，必要时对应急预案进行修订；</w:t>
      </w:r>
    </w:p>
    <w:p>
      <w:pPr>
        <w:pStyle w:val="10"/>
        <w:spacing w:line="460" w:lineRule="exact"/>
        <w:ind w:firstLine="482" w:firstLineChars="200"/>
        <w:rPr>
          <w:rFonts w:ascii="Times New Roman" w:hAnsi="Times New Roman" w:cs="宋体"/>
          <w:b/>
          <w:bCs/>
          <w:color w:val="auto"/>
          <w:sz w:val="24"/>
          <w:szCs w:val="24"/>
        </w:rPr>
      </w:pPr>
      <w:r>
        <w:rPr>
          <w:rFonts w:hint="eastAsia" w:ascii="Times New Roman" w:hAnsi="Times New Roman" w:cs="宋体"/>
          <w:b/>
          <w:bCs/>
          <w:color w:val="auto"/>
          <w:sz w:val="24"/>
          <w:szCs w:val="24"/>
        </w:rPr>
        <w:t>演练频次</w:t>
      </w:r>
    </w:p>
    <w:p>
      <w:pPr>
        <w:spacing w:line="360" w:lineRule="auto"/>
        <w:ind w:firstLine="480"/>
        <w:rPr>
          <w:rFonts w:ascii="宋体" w:hAnsi="宋体" w:cs="宋体"/>
          <w:sz w:val="28"/>
          <w:szCs w:val="28"/>
        </w:rPr>
      </w:pPr>
      <w:r>
        <w:rPr>
          <w:rFonts w:hint="eastAsia" w:ascii="宋体" w:hAnsi="宋体" w:cs="宋体"/>
          <w:sz w:val="28"/>
          <w:szCs w:val="28"/>
        </w:rPr>
        <w:t>本应急预案的演练范围是吉运加油站所有员工，演练的内容包括本预案涉及的所有事故类型，每年至少组织一次综合应急预案演练或者专项应急预案演练，每半年至少组织一次现场处置方案演练。具体时间由应急领导小组根据加油站时间情况确定执行。</w:t>
      </w:r>
    </w:p>
    <w:p>
      <w:pPr>
        <w:pStyle w:val="10"/>
        <w:spacing w:line="460" w:lineRule="exact"/>
        <w:ind w:firstLine="482" w:firstLineChars="200"/>
        <w:rPr>
          <w:rFonts w:ascii="Times New Roman" w:hAnsi="Times New Roman" w:cs="宋体"/>
          <w:b/>
          <w:bCs/>
          <w:color w:val="auto"/>
          <w:sz w:val="24"/>
          <w:szCs w:val="24"/>
        </w:rPr>
      </w:pPr>
      <w:r>
        <w:rPr>
          <w:rFonts w:hint="eastAsia" w:ascii="Times New Roman" w:hAnsi="Times New Roman" w:cs="宋体"/>
          <w:b/>
          <w:bCs/>
          <w:color w:val="auto"/>
          <w:sz w:val="24"/>
          <w:szCs w:val="24"/>
        </w:rPr>
        <w:t>演练总结</w:t>
      </w:r>
    </w:p>
    <w:p>
      <w:pPr>
        <w:spacing w:line="360" w:lineRule="auto"/>
        <w:ind w:firstLine="480"/>
        <w:rPr>
          <w:rFonts w:ascii="宋体" w:hAnsi="宋体" w:cs="宋体"/>
          <w:sz w:val="28"/>
          <w:szCs w:val="28"/>
        </w:rPr>
      </w:pPr>
      <w:r>
        <w:rPr>
          <w:rFonts w:hint="eastAsia" w:ascii="宋体" w:hAnsi="宋体" w:cs="宋体"/>
          <w:sz w:val="28"/>
          <w:szCs w:val="28"/>
        </w:rPr>
        <w:t>应急指挥领导小组办公室应做好演练的策划，演练结束后做好总结，总结内容应包括：</w:t>
      </w:r>
    </w:p>
    <w:p>
      <w:pPr>
        <w:spacing w:line="360" w:lineRule="auto"/>
        <w:ind w:firstLine="480"/>
        <w:rPr>
          <w:rFonts w:ascii="宋体" w:hAnsi="宋体" w:cs="宋体"/>
          <w:sz w:val="28"/>
          <w:szCs w:val="28"/>
        </w:rPr>
      </w:pPr>
      <w:r>
        <w:rPr>
          <w:rFonts w:hint="eastAsia" w:ascii="宋体" w:hAnsi="宋体" w:cs="宋体"/>
          <w:sz w:val="28"/>
          <w:szCs w:val="28"/>
        </w:rPr>
        <w:t>1、参加演练的单位、部门、人员和演练的地点；</w:t>
      </w:r>
    </w:p>
    <w:p>
      <w:pPr>
        <w:spacing w:line="360" w:lineRule="auto"/>
        <w:ind w:firstLine="480"/>
        <w:rPr>
          <w:rFonts w:ascii="宋体" w:hAnsi="宋体" w:cs="宋体"/>
          <w:sz w:val="28"/>
          <w:szCs w:val="28"/>
        </w:rPr>
      </w:pPr>
      <w:r>
        <w:rPr>
          <w:rFonts w:hint="eastAsia" w:ascii="宋体" w:hAnsi="宋体" w:cs="宋体"/>
          <w:sz w:val="28"/>
          <w:szCs w:val="28"/>
        </w:rPr>
        <w:t>2、起止时间；</w:t>
      </w:r>
    </w:p>
    <w:p>
      <w:pPr>
        <w:spacing w:line="360" w:lineRule="auto"/>
        <w:ind w:firstLine="480"/>
        <w:rPr>
          <w:rFonts w:ascii="宋体" w:hAnsi="宋体" w:cs="宋体"/>
          <w:sz w:val="28"/>
          <w:szCs w:val="28"/>
        </w:rPr>
      </w:pPr>
      <w:r>
        <w:rPr>
          <w:rFonts w:hint="eastAsia" w:ascii="宋体" w:hAnsi="宋体" w:cs="宋体"/>
          <w:sz w:val="28"/>
          <w:szCs w:val="28"/>
        </w:rPr>
        <w:t>3、演练项目和内容；</w:t>
      </w:r>
    </w:p>
    <w:p>
      <w:pPr>
        <w:spacing w:line="360" w:lineRule="auto"/>
        <w:ind w:firstLine="480"/>
        <w:rPr>
          <w:rFonts w:ascii="宋体" w:hAnsi="宋体" w:cs="宋体"/>
          <w:sz w:val="28"/>
          <w:szCs w:val="28"/>
        </w:rPr>
      </w:pPr>
      <w:r>
        <w:rPr>
          <w:rFonts w:hint="eastAsia" w:ascii="宋体" w:hAnsi="宋体" w:cs="宋体"/>
          <w:sz w:val="28"/>
          <w:szCs w:val="28"/>
        </w:rPr>
        <w:t>4、演练过程中的环境条件；</w:t>
      </w:r>
    </w:p>
    <w:p>
      <w:pPr>
        <w:spacing w:line="360" w:lineRule="auto"/>
        <w:ind w:firstLine="480"/>
        <w:rPr>
          <w:rFonts w:ascii="宋体" w:hAnsi="宋体" w:cs="宋体"/>
          <w:sz w:val="28"/>
          <w:szCs w:val="28"/>
        </w:rPr>
      </w:pPr>
      <w:r>
        <w:rPr>
          <w:rFonts w:hint="eastAsia" w:ascii="宋体" w:hAnsi="宋体" w:cs="宋体"/>
          <w:sz w:val="28"/>
          <w:szCs w:val="28"/>
        </w:rPr>
        <w:t>5、演练动用设备、物资；</w:t>
      </w:r>
    </w:p>
    <w:p>
      <w:pPr>
        <w:spacing w:line="360" w:lineRule="auto"/>
        <w:ind w:firstLine="480"/>
        <w:rPr>
          <w:rFonts w:ascii="宋体" w:hAnsi="宋体" w:cs="宋体"/>
          <w:sz w:val="28"/>
          <w:szCs w:val="28"/>
        </w:rPr>
      </w:pPr>
      <w:r>
        <w:rPr>
          <w:rFonts w:hint="eastAsia" w:ascii="宋体" w:hAnsi="宋体" w:cs="宋体"/>
          <w:sz w:val="28"/>
          <w:szCs w:val="28"/>
        </w:rPr>
        <w:t>6、演练效果；</w:t>
      </w:r>
    </w:p>
    <w:p>
      <w:pPr>
        <w:spacing w:line="360" w:lineRule="auto"/>
        <w:ind w:firstLine="480"/>
        <w:rPr>
          <w:rFonts w:ascii="宋体" w:hAnsi="宋体" w:cs="宋体"/>
          <w:sz w:val="28"/>
          <w:szCs w:val="28"/>
        </w:rPr>
      </w:pPr>
      <w:r>
        <w:rPr>
          <w:rFonts w:hint="eastAsia" w:ascii="宋体" w:hAnsi="宋体" w:cs="宋体"/>
          <w:sz w:val="28"/>
          <w:szCs w:val="28"/>
        </w:rPr>
        <w:t>7、持续改进的建议；</w:t>
      </w:r>
    </w:p>
    <w:p>
      <w:pPr>
        <w:spacing w:line="360" w:lineRule="auto"/>
        <w:ind w:firstLine="480"/>
        <w:rPr>
          <w:rFonts w:ascii="宋体" w:hAnsi="宋体" w:cs="宋体"/>
          <w:sz w:val="28"/>
          <w:szCs w:val="28"/>
        </w:rPr>
      </w:pPr>
      <w:r>
        <w:rPr>
          <w:rFonts w:hint="eastAsia" w:ascii="宋体" w:hAnsi="宋体" w:cs="宋体"/>
          <w:sz w:val="28"/>
          <w:szCs w:val="28"/>
        </w:rPr>
        <w:t>8、演练过程记录的文字、音像资料等</w:t>
      </w:r>
    </w:p>
    <w:p>
      <w:pPr>
        <w:pStyle w:val="4"/>
        <w:spacing w:before="0" w:after="0" w:line="460" w:lineRule="exact"/>
        <w:rPr>
          <w:rStyle w:val="51"/>
          <w:rFonts w:hint="default" w:ascii="Times New Roman" w:hAnsi="Times New Roman" w:cs="宋体"/>
          <w:b/>
          <w:bCs/>
          <w:sz w:val="24"/>
          <w:szCs w:val="24"/>
        </w:rPr>
      </w:pPr>
      <w:bookmarkStart w:id="587" w:name="_Toc17396"/>
      <w:bookmarkEnd w:id="587"/>
      <w:bookmarkStart w:id="588" w:name="_Toc27016"/>
      <w:bookmarkEnd w:id="588"/>
      <w:bookmarkStart w:id="589" w:name="_Toc504989611"/>
      <w:bookmarkStart w:id="590" w:name="_Toc31215"/>
      <w:bookmarkStart w:id="591" w:name="_Toc7843"/>
      <w:bookmarkStart w:id="592" w:name="_Toc32038"/>
      <w:bookmarkStart w:id="593" w:name="_Toc11708"/>
      <w:r>
        <w:rPr>
          <w:rStyle w:val="51"/>
          <w:rFonts w:hint="default" w:ascii="Times New Roman" w:hAnsi="Times New Roman" w:cs="宋体"/>
          <w:b/>
          <w:bCs/>
          <w:sz w:val="24"/>
          <w:szCs w:val="24"/>
        </w:rPr>
        <w:t>9.3修订</w:t>
      </w:r>
      <w:bookmarkEnd w:id="589"/>
      <w:bookmarkEnd w:id="590"/>
      <w:bookmarkEnd w:id="591"/>
      <w:bookmarkEnd w:id="592"/>
      <w:bookmarkEnd w:id="593"/>
    </w:p>
    <w:p>
      <w:pPr>
        <w:spacing w:line="360" w:lineRule="auto"/>
        <w:ind w:firstLine="480"/>
        <w:rPr>
          <w:rFonts w:ascii="宋体" w:hAnsi="宋体" w:cs="宋体"/>
          <w:sz w:val="28"/>
          <w:szCs w:val="28"/>
        </w:rPr>
      </w:pPr>
      <w:bookmarkStart w:id="594" w:name="_Toc7327"/>
      <w:bookmarkEnd w:id="594"/>
      <w:r>
        <w:rPr>
          <w:rFonts w:hint="eastAsia" w:ascii="宋体" w:hAnsi="宋体" w:cs="宋体"/>
          <w:sz w:val="28"/>
          <w:szCs w:val="28"/>
        </w:rPr>
        <w:t>1、本预案根据各次演练结果加以评估，以确定本预案的有效性，并做相应修改。在实施过程中发现存在问题或者出现新的情况，定期进行评审，至少每三年修订一次，实现可持续改进。</w:t>
      </w:r>
    </w:p>
    <w:p>
      <w:pPr>
        <w:spacing w:line="360" w:lineRule="auto"/>
        <w:ind w:firstLine="480"/>
        <w:rPr>
          <w:rFonts w:ascii="宋体" w:hAnsi="宋体" w:cs="宋体"/>
          <w:sz w:val="28"/>
          <w:szCs w:val="28"/>
        </w:rPr>
      </w:pPr>
      <w:r>
        <w:rPr>
          <w:rFonts w:hint="eastAsia" w:ascii="宋体" w:hAnsi="宋体" w:cs="宋体"/>
          <w:sz w:val="28"/>
          <w:szCs w:val="28"/>
        </w:rPr>
        <w:t>2、生产安全事故发生后，应立即评估预案的有效性，并作相应修改。</w:t>
      </w:r>
    </w:p>
    <w:p>
      <w:pPr>
        <w:spacing w:line="360" w:lineRule="auto"/>
        <w:ind w:firstLine="480"/>
        <w:rPr>
          <w:rFonts w:ascii="宋体" w:hAnsi="宋体" w:cs="宋体"/>
          <w:sz w:val="28"/>
          <w:szCs w:val="28"/>
        </w:rPr>
      </w:pPr>
      <w:r>
        <w:rPr>
          <w:rFonts w:hint="eastAsia" w:ascii="宋体" w:hAnsi="宋体" w:cs="宋体"/>
          <w:sz w:val="28"/>
          <w:szCs w:val="28"/>
        </w:rPr>
        <w:t>3、原则上本预案每三个月核查一次，以改进和完善其应急功能完整性和实用性，注意核查因时间而改变的内容，如应急组织机构，联系人、联系方式、应急器材及放置地点等。</w:t>
      </w:r>
    </w:p>
    <w:p>
      <w:pPr>
        <w:spacing w:line="360" w:lineRule="auto"/>
        <w:ind w:firstLine="480"/>
        <w:rPr>
          <w:rFonts w:ascii="宋体" w:hAnsi="宋体" w:cs="宋体"/>
          <w:sz w:val="28"/>
          <w:szCs w:val="28"/>
        </w:rPr>
      </w:pPr>
      <w:r>
        <w:rPr>
          <w:rFonts w:hint="eastAsia" w:ascii="宋体" w:hAnsi="宋体" w:cs="宋体"/>
          <w:sz w:val="28"/>
          <w:szCs w:val="28"/>
        </w:rPr>
        <w:t>4、有下列情形之一的，本预案应当及时修订：</w:t>
      </w:r>
    </w:p>
    <w:p>
      <w:pPr>
        <w:spacing w:line="360" w:lineRule="auto"/>
        <w:ind w:firstLine="480"/>
        <w:rPr>
          <w:rFonts w:ascii="宋体" w:hAnsi="宋体" w:cs="宋体"/>
          <w:sz w:val="28"/>
          <w:szCs w:val="28"/>
        </w:rPr>
      </w:pPr>
      <w:r>
        <w:rPr>
          <w:rFonts w:hint="eastAsia" w:ascii="宋体" w:hAnsi="宋体" w:cs="宋体"/>
          <w:sz w:val="28"/>
          <w:szCs w:val="28"/>
        </w:rPr>
        <w:t>（1）单位因兼并、重组、转制等导致隶属关系、经营方式、法定代表人发生变化；</w:t>
      </w:r>
    </w:p>
    <w:p>
      <w:pPr>
        <w:spacing w:line="360" w:lineRule="auto"/>
        <w:ind w:firstLine="480"/>
        <w:rPr>
          <w:rFonts w:ascii="宋体" w:hAnsi="宋体" w:cs="宋体"/>
          <w:sz w:val="28"/>
          <w:szCs w:val="28"/>
        </w:rPr>
      </w:pPr>
      <w:r>
        <w:rPr>
          <w:rFonts w:hint="eastAsia" w:ascii="宋体" w:hAnsi="宋体" w:cs="宋体"/>
          <w:sz w:val="28"/>
          <w:szCs w:val="28"/>
        </w:rPr>
        <w:t>（2）工艺或技术发生变化；</w:t>
      </w:r>
    </w:p>
    <w:p>
      <w:pPr>
        <w:spacing w:line="360" w:lineRule="auto"/>
        <w:ind w:firstLine="480"/>
        <w:rPr>
          <w:rFonts w:ascii="宋体" w:hAnsi="宋体" w:cs="宋体"/>
          <w:sz w:val="28"/>
          <w:szCs w:val="28"/>
        </w:rPr>
      </w:pPr>
      <w:r>
        <w:rPr>
          <w:rFonts w:hint="eastAsia" w:ascii="宋体" w:hAnsi="宋体" w:cs="宋体"/>
          <w:sz w:val="28"/>
          <w:szCs w:val="28"/>
        </w:rPr>
        <w:t>（3）周围环境发生变化，形成新的危险源；</w:t>
      </w:r>
    </w:p>
    <w:p>
      <w:pPr>
        <w:spacing w:line="360" w:lineRule="auto"/>
        <w:ind w:firstLine="480"/>
        <w:rPr>
          <w:rFonts w:ascii="宋体" w:hAnsi="宋体" w:cs="宋体"/>
          <w:sz w:val="28"/>
          <w:szCs w:val="28"/>
        </w:rPr>
      </w:pPr>
      <w:r>
        <w:rPr>
          <w:rFonts w:hint="eastAsia" w:ascii="宋体" w:hAnsi="宋体" w:cs="宋体"/>
          <w:sz w:val="28"/>
          <w:szCs w:val="28"/>
        </w:rPr>
        <w:t>（4）应急组织指挥体系或者职责已经调整；</w:t>
      </w:r>
    </w:p>
    <w:p>
      <w:pPr>
        <w:spacing w:line="360" w:lineRule="auto"/>
        <w:ind w:firstLine="480"/>
        <w:rPr>
          <w:rFonts w:ascii="宋体" w:hAnsi="宋体" w:cs="宋体"/>
          <w:sz w:val="28"/>
          <w:szCs w:val="28"/>
        </w:rPr>
      </w:pPr>
      <w:r>
        <w:rPr>
          <w:rFonts w:hint="eastAsia" w:ascii="宋体" w:hAnsi="宋体" w:cs="宋体"/>
          <w:sz w:val="28"/>
          <w:szCs w:val="28"/>
        </w:rPr>
        <w:t>（5）依据的法律、法规、规章和标准发生变化；</w:t>
      </w:r>
    </w:p>
    <w:p>
      <w:pPr>
        <w:spacing w:line="360" w:lineRule="auto"/>
        <w:ind w:firstLine="480"/>
        <w:rPr>
          <w:rFonts w:ascii="宋体" w:hAnsi="宋体" w:cs="宋体"/>
          <w:sz w:val="28"/>
          <w:szCs w:val="28"/>
        </w:rPr>
      </w:pPr>
      <w:r>
        <w:rPr>
          <w:rFonts w:hint="eastAsia" w:ascii="宋体" w:hAnsi="宋体" w:cs="宋体"/>
          <w:sz w:val="28"/>
          <w:szCs w:val="28"/>
        </w:rPr>
        <w:t>（6）应急预案演练评估报告要求修订；</w:t>
      </w:r>
    </w:p>
    <w:p>
      <w:pPr>
        <w:spacing w:line="360" w:lineRule="auto"/>
        <w:ind w:firstLine="480"/>
        <w:rPr>
          <w:rFonts w:ascii="宋体" w:hAnsi="宋体" w:cs="宋体"/>
          <w:sz w:val="28"/>
          <w:szCs w:val="28"/>
        </w:rPr>
      </w:pPr>
      <w:r>
        <w:rPr>
          <w:rFonts w:hint="eastAsia" w:ascii="宋体" w:hAnsi="宋体" w:cs="宋体"/>
          <w:sz w:val="28"/>
          <w:szCs w:val="28"/>
        </w:rPr>
        <w:t>（7）应急预案管理部门要求修订。</w:t>
      </w:r>
    </w:p>
    <w:p>
      <w:pPr>
        <w:spacing w:line="360" w:lineRule="auto"/>
        <w:ind w:firstLine="480"/>
        <w:rPr>
          <w:rFonts w:ascii="宋体" w:hAnsi="宋体" w:cs="宋体"/>
          <w:sz w:val="28"/>
          <w:szCs w:val="28"/>
        </w:rPr>
      </w:pPr>
      <w:r>
        <w:rPr>
          <w:rFonts w:hint="eastAsia" w:ascii="宋体" w:hAnsi="宋体" w:cs="宋体"/>
          <w:sz w:val="28"/>
          <w:szCs w:val="28"/>
        </w:rPr>
        <w:t>5、本预案维护与更新由吉运加油站负责，若需要修改，应及时向有关部门报告应急预案的修改情况，并按照有关应急预案报备程序重新备案。</w:t>
      </w:r>
    </w:p>
    <w:p>
      <w:pPr>
        <w:spacing w:line="360" w:lineRule="auto"/>
        <w:ind w:firstLine="480"/>
        <w:rPr>
          <w:rFonts w:ascii="宋体" w:hAnsi="宋体" w:cs="宋体"/>
          <w:sz w:val="28"/>
          <w:szCs w:val="28"/>
        </w:rPr>
      </w:pPr>
      <w:r>
        <w:rPr>
          <w:rFonts w:hint="eastAsia" w:ascii="宋体" w:hAnsi="宋体" w:cs="宋体"/>
          <w:sz w:val="28"/>
          <w:szCs w:val="28"/>
        </w:rPr>
        <w:t>6、预案修改后，需发布并告知与本预案相关的人员。</w:t>
      </w:r>
    </w:p>
    <w:p>
      <w:pPr>
        <w:pStyle w:val="4"/>
        <w:spacing w:before="0" w:after="0" w:line="460" w:lineRule="exact"/>
        <w:rPr>
          <w:rStyle w:val="51"/>
          <w:rFonts w:hint="default" w:ascii="Times New Roman" w:hAnsi="Times New Roman" w:cs="宋体"/>
          <w:b/>
          <w:bCs/>
          <w:sz w:val="24"/>
          <w:szCs w:val="24"/>
        </w:rPr>
      </w:pPr>
      <w:bookmarkStart w:id="595" w:name="_Toc2744"/>
      <w:bookmarkEnd w:id="595"/>
      <w:bookmarkStart w:id="596" w:name="_Toc504989612"/>
      <w:bookmarkStart w:id="597" w:name="_Toc13930"/>
      <w:bookmarkStart w:id="598" w:name="_Toc3968"/>
      <w:bookmarkStart w:id="599" w:name="_Toc10513"/>
      <w:bookmarkStart w:id="600" w:name="_Toc9375"/>
      <w:r>
        <w:rPr>
          <w:rStyle w:val="51"/>
          <w:rFonts w:hint="default" w:ascii="Times New Roman" w:hAnsi="Times New Roman" w:cs="宋体"/>
          <w:b/>
          <w:bCs/>
          <w:sz w:val="24"/>
          <w:szCs w:val="24"/>
        </w:rPr>
        <w:t>9.4备案</w:t>
      </w:r>
      <w:bookmarkEnd w:id="596"/>
      <w:bookmarkEnd w:id="597"/>
      <w:bookmarkEnd w:id="598"/>
      <w:bookmarkEnd w:id="599"/>
      <w:bookmarkEnd w:id="600"/>
    </w:p>
    <w:p>
      <w:pPr>
        <w:spacing w:line="360" w:lineRule="auto"/>
        <w:ind w:firstLine="480"/>
        <w:rPr>
          <w:rFonts w:ascii="宋体" w:hAnsi="宋体" w:cs="宋体"/>
          <w:sz w:val="28"/>
          <w:szCs w:val="28"/>
        </w:rPr>
      </w:pPr>
      <w:r>
        <w:rPr>
          <w:rFonts w:hint="eastAsia" w:ascii="宋体" w:hAnsi="宋体" w:cs="宋体"/>
          <w:sz w:val="28"/>
          <w:szCs w:val="28"/>
        </w:rPr>
        <w:t>本预案需由吉运加油站组织专家评审，经修改后由负责人批准后，报南充市应急管理局备案。</w:t>
      </w:r>
    </w:p>
    <w:p>
      <w:pPr>
        <w:pStyle w:val="4"/>
        <w:spacing w:before="0" w:after="0" w:line="460" w:lineRule="exact"/>
        <w:rPr>
          <w:rStyle w:val="51"/>
          <w:rFonts w:hint="default" w:ascii="Times New Roman" w:hAnsi="Times New Roman" w:cs="宋体"/>
          <w:b/>
          <w:bCs/>
          <w:sz w:val="24"/>
          <w:szCs w:val="24"/>
        </w:rPr>
      </w:pPr>
      <w:bookmarkStart w:id="601" w:name="_Toc27157"/>
      <w:bookmarkEnd w:id="601"/>
      <w:bookmarkStart w:id="602" w:name="_Toc71"/>
      <w:bookmarkEnd w:id="602"/>
      <w:bookmarkStart w:id="603" w:name="_Toc504989613"/>
      <w:bookmarkStart w:id="604" w:name="_Toc17636"/>
      <w:bookmarkStart w:id="605" w:name="_Toc3232"/>
      <w:bookmarkStart w:id="606" w:name="_Toc12909"/>
      <w:bookmarkStart w:id="607" w:name="_Toc13137"/>
      <w:r>
        <w:rPr>
          <w:rStyle w:val="51"/>
          <w:rFonts w:hint="default" w:ascii="Times New Roman" w:hAnsi="Times New Roman" w:cs="宋体"/>
          <w:b/>
          <w:bCs/>
          <w:sz w:val="24"/>
          <w:szCs w:val="24"/>
        </w:rPr>
        <w:t>9.5维护和更新</w:t>
      </w:r>
      <w:bookmarkEnd w:id="603"/>
      <w:bookmarkEnd w:id="604"/>
      <w:bookmarkEnd w:id="605"/>
      <w:bookmarkEnd w:id="606"/>
      <w:bookmarkEnd w:id="607"/>
    </w:p>
    <w:p>
      <w:pPr>
        <w:spacing w:line="360" w:lineRule="auto"/>
        <w:ind w:firstLine="480"/>
        <w:rPr>
          <w:rFonts w:ascii="宋体" w:hAnsi="宋体" w:cs="宋体"/>
          <w:sz w:val="28"/>
          <w:szCs w:val="28"/>
        </w:rPr>
      </w:pPr>
      <w:r>
        <w:rPr>
          <w:rFonts w:hint="eastAsia" w:ascii="宋体" w:hAnsi="宋体" w:cs="宋体"/>
          <w:sz w:val="28"/>
          <w:szCs w:val="28"/>
        </w:rPr>
        <w:t>本预案所依据的法律法规、上一级应急程序及所涉及的机构、人员发生重大改变，或在执行过程中发现存在重大缺陷时，由吉运加油站应急预案编制小组组织修订，每三年对本预案重新评审和修订，并对修订版本进行必要的标注和说明，将修订的版本报送应急管理局备案。</w:t>
      </w:r>
    </w:p>
    <w:p>
      <w:pPr>
        <w:pStyle w:val="4"/>
        <w:spacing w:before="0" w:after="0" w:line="460" w:lineRule="exact"/>
        <w:rPr>
          <w:rStyle w:val="51"/>
          <w:rFonts w:hint="default" w:ascii="Times New Roman" w:hAnsi="Times New Roman" w:cs="宋体"/>
          <w:b/>
          <w:bCs/>
          <w:sz w:val="24"/>
          <w:szCs w:val="24"/>
        </w:rPr>
      </w:pPr>
      <w:bookmarkStart w:id="608" w:name="_Toc8050"/>
      <w:bookmarkEnd w:id="608"/>
      <w:bookmarkStart w:id="609" w:name="_Toc504989614"/>
      <w:bookmarkStart w:id="610" w:name="_Toc24805"/>
      <w:bookmarkStart w:id="611" w:name="_Toc22282"/>
      <w:bookmarkStart w:id="612" w:name="_Toc6317"/>
      <w:bookmarkStart w:id="613" w:name="_Toc26840"/>
      <w:r>
        <w:rPr>
          <w:rStyle w:val="51"/>
          <w:rFonts w:hint="default" w:ascii="Times New Roman" w:hAnsi="Times New Roman" w:cs="宋体"/>
          <w:b/>
          <w:bCs/>
          <w:sz w:val="24"/>
          <w:szCs w:val="24"/>
        </w:rPr>
        <w:t>9.6制定与解释</w:t>
      </w:r>
      <w:bookmarkEnd w:id="609"/>
      <w:bookmarkEnd w:id="610"/>
      <w:bookmarkEnd w:id="611"/>
      <w:bookmarkEnd w:id="612"/>
      <w:bookmarkEnd w:id="613"/>
    </w:p>
    <w:p>
      <w:pPr>
        <w:spacing w:line="360" w:lineRule="auto"/>
        <w:ind w:firstLine="480"/>
        <w:rPr>
          <w:rFonts w:ascii="宋体" w:hAnsi="宋体" w:cs="宋体"/>
          <w:sz w:val="28"/>
          <w:szCs w:val="28"/>
        </w:rPr>
      </w:pPr>
      <w:r>
        <w:rPr>
          <w:rFonts w:hint="eastAsia" w:ascii="宋体" w:hAnsi="宋体" w:cs="宋体"/>
          <w:sz w:val="28"/>
          <w:szCs w:val="28"/>
        </w:rPr>
        <w:t>本预案由吉运加油站应急预案编制小组组织编制，吉运加油站应急预案编制小组负责解释。</w:t>
      </w:r>
    </w:p>
    <w:p>
      <w:pPr>
        <w:pStyle w:val="4"/>
        <w:spacing w:before="0" w:after="0" w:line="460" w:lineRule="exact"/>
        <w:rPr>
          <w:rStyle w:val="51"/>
          <w:rFonts w:hint="default" w:ascii="Times New Roman" w:hAnsi="Times New Roman" w:cs="宋体"/>
          <w:b/>
          <w:bCs/>
          <w:sz w:val="24"/>
          <w:szCs w:val="24"/>
        </w:rPr>
      </w:pPr>
      <w:bookmarkStart w:id="614" w:name="_Toc31148"/>
      <w:bookmarkEnd w:id="614"/>
      <w:bookmarkStart w:id="615" w:name="_Toc504989615"/>
      <w:bookmarkStart w:id="616" w:name="_Toc15621"/>
      <w:bookmarkStart w:id="617" w:name="_Toc24480"/>
      <w:bookmarkStart w:id="618" w:name="_Toc8674"/>
      <w:bookmarkStart w:id="619" w:name="_Toc12376"/>
      <w:r>
        <w:rPr>
          <w:rStyle w:val="51"/>
          <w:rFonts w:hint="default" w:ascii="Times New Roman" w:hAnsi="Times New Roman" w:cs="宋体"/>
          <w:b/>
          <w:bCs/>
          <w:sz w:val="24"/>
          <w:szCs w:val="24"/>
        </w:rPr>
        <w:t>9.7应急预案实施</w:t>
      </w:r>
      <w:bookmarkEnd w:id="615"/>
      <w:bookmarkEnd w:id="616"/>
      <w:bookmarkEnd w:id="617"/>
      <w:bookmarkEnd w:id="618"/>
      <w:bookmarkEnd w:id="619"/>
    </w:p>
    <w:p>
      <w:pPr>
        <w:spacing w:line="360" w:lineRule="auto"/>
        <w:ind w:firstLine="480"/>
        <w:rPr>
          <w:rFonts w:ascii="宋体" w:hAnsi="宋体" w:cs="宋体"/>
          <w:sz w:val="28"/>
          <w:szCs w:val="28"/>
        </w:rPr>
      </w:pPr>
      <w:r>
        <w:rPr>
          <w:rFonts w:hint="eastAsia" w:ascii="宋体" w:hAnsi="宋体" w:cs="宋体"/>
          <w:sz w:val="28"/>
          <w:szCs w:val="28"/>
        </w:rPr>
        <w:t>本预案自2020年6月2日起开始实施。</w:t>
      </w:r>
    </w:p>
    <w:p>
      <w:pPr>
        <w:spacing w:line="360" w:lineRule="auto"/>
        <w:jc w:val="center"/>
      </w:pPr>
      <w:r>
        <w:rPr>
          <w:rFonts w:hint="eastAsia"/>
        </w:rPr>
        <w:br w:type="page"/>
      </w: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jc w:val="center"/>
        <w:rPr>
          <w:b/>
          <w:bCs/>
          <w:sz w:val="44"/>
          <w:szCs w:val="44"/>
        </w:rPr>
      </w:pPr>
    </w:p>
    <w:p>
      <w:pPr>
        <w:jc w:val="center"/>
        <w:rPr>
          <w:b/>
          <w:bCs/>
          <w:sz w:val="44"/>
          <w:szCs w:val="44"/>
        </w:rPr>
      </w:pPr>
    </w:p>
    <w:p>
      <w:pPr>
        <w:jc w:val="center"/>
        <w:outlineLvl w:val="0"/>
        <w:rPr>
          <w:b/>
          <w:bCs/>
          <w:sz w:val="44"/>
          <w:szCs w:val="44"/>
        </w:rPr>
      </w:pPr>
      <w:bookmarkStart w:id="620" w:name="_Toc18131"/>
      <w:bookmarkStart w:id="621" w:name="_Toc18837"/>
      <w:bookmarkStart w:id="622" w:name="_Toc15052"/>
      <w:r>
        <w:rPr>
          <w:rFonts w:hint="eastAsia"/>
          <w:b/>
          <w:bCs/>
          <w:sz w:val="44"/>
          <w:szCs w:val="44"/>
        </w:rPr>
        <w:t>第二部分 专项应急预案</w:t>
      </w:r>
      <w:bookmarkEnd w:id="620"/>
      <w:bookmarkEnd w:id="621"/>
      <w:bookmarkEnd w:id="622"/>
    </w:p>
    <w:p>
      <w:pPr>
        <w:pStyle w:val="3"/>
        <w:snapToGrid w:val="0"/>
        <w:rPr>
          <w:rFonts w:eastAsia="宋体" w:cs="宋体"/>
        </w:rPr>
      </w:pPr>
      <w:bookmarkStart w:id="623" w:name="_Toc29"/>
      <w:bookmarkEnd w:id="623"/>
      <w:bookmarkStart w:id="624" w:name="_Toc504989621"/>
      <w:bookmarkStart w:id="625" w:name="_Toc530594655"/>
      <w:bookmarkStart w:id="626" w:name="_Toc4700"/>
      <w:bookmarkStart w:id="627" w:name="_Toc9478"/>
      <w:bookmarkStart w:id="628" w:name="_Toc25329"/>
      <w:bookmarkStart w:id="629" w:name="_Toc27913"/>
      <w:r>
        <w:rPr>
          <w:rFonts w:hint="eastAsia" w:eastAsia="宋体" w:cs="宋体"/>
        </w:rPr>
        <w:t>一、油品泄漏事故专项应急预案</w:t>
      </w:r>
      <w:bookmarkEnd w:id="624"/>
      <w:bookmarkEnd w:id="625"/>
      <w:bookmarkEnd w:id="626"/>
      <w:bookmarkEnd w:id="627"/>
      <w:bookmarkEnd w:id="628"/>
      <w:bookmarkEnd w:id="629"/>
    </w:p>
    <w:p>
      <w:pPr>
        <w:pStyle w:val="4"/>
        <w:spacing w:before="0" w:after="0"/>
        <w:rPr>
          <w:rStyle w:val="51"/>
          <w:rFonts w:hint="default" w:ascii="Times New Roman" w:hAnsi="Times New Roman" w:cs="宋体"/>
          <w:b/>
          <w:bCs/>
          <w:sz w:val="24"/>
          <w:szCs w:val="24"/>
        </w:rPr>
      </w:pPr>
      <w:bookmarkStart w:id="630" w:name="_Toc21371"/>
      <w:bookmarkEnd w:id="630"/>
      <w:bookmarkStart w:id="631" w:name="_Toc504989622"/>
      <w:bookmarkStart w:id="632" w:name="_Toc530594656"/>
      <w:bookmarkStart w:id="633" w:name="_Toc3289"/>
      <w:bookmarkStart w:id="634" w:name="_Toc19187"/>
      <w:bookmarkStart w:id="635" w:name="_Toc5680"/>
      <w:bookmarkStart w:id="636" w:name="_Toc17462"/>
      <w:r>
        <w:rPr>
          <w:rStyle w:val="51"/>
          <w:rFonts w:hint="default" w:ascii="Times New Roman" w:hAnsi="Times New Roman" w:cs="宋体"/>
          <w:b/>
          <w:bCs/>
          <w:sz w:val="24"/>
          <w:szCs w:val="24"/>
        </w:rPr>
        <w:t>1.1事故类型和危害程度分析</w:t>
      </w:r>
      <w:bookmarkEnd w:id="631"/>
      <w:bookmarkEnd w:id="632"/>
      <w:bookmarkEnd w:id="633"/>
      <w:bookmarkEnd w:id="634"/>
      <w:bookmarkEnd w:id="635"/>
      <w:bookmarkEnd w:id="636"/>
    </w:p>
    <w:p>
      <w:pPr>
        <w:pStyle w:val="5"/>
        <w:spacing w:before="0" w:after="0"/>
        <w:rPr>
          <w:rStyle w:val="49"/>
          <w:rFonts w:ascii="Times New Roman" w:hAnsi="Times New Roman" w:cs="宋体"/>
          <w:b/>
          <w:bCs/>
          <w:sz w:val="24"/>
          <w:szCs w:val="24"/>
        </w:rPr>
      </w:pPr>
      <w:bookmarkStart w:id="637" w:name="_Toc29548"/>
      <w:bookmarkEnd w:id="637"/>
      <w:bookmarkStart w:id="638" w:name="_Toc24876"/>
      <w:bookmarkEnd w:id="638"/>
      <w:bookmarkStart w:id="639" w:name="_Toc504989623"/>
      <w:bookmarkStart w:id="640" w:name="_Toc530594657"/>
      <w:bookmarkStart w:id="641" w:name="_Toc32342"/>
      <w:bookmarkStart w:id="642" w:name="_Toc25549"/>
      <w:bookmarkStart w:id="643" w:name="_Toc11371"/>
      <w:bookmarkStart w:id="644" w:name="_Toc3311"/>
      <w:r>
        <w:rPr>
          <w:rStyle w:val="49"/>
          <w:rFonts w:hint="eastAsia" w:ascii="Times New Roman" w:hAnsi="Times New Roman" w:cs="宋体"/>
          <w:b/>
          <w:bCs/>
          <w:sz w:val="24"/>
          <w:szCs w:val="24"/>
        </w:rPr>
        <w:t>1.1.1 理化性质分析</w:t>
      </w:r>
      <w:bookmarkEnd w:id="639"/>
      <w:bookmarkEnd w:id="640"/>
      <w:bookmarkEnd w:id="641"/>
      <w:bookmarkEnd w:id="642"/>
      <w:bookmarkEnd w:id="643"/>
      <w:bookmarkEnd w:id="644"/>
    </w:p>
    <w:p>
      <w:pPr>
        <w:spacing w:line="360" w:lineRule="auto"/>
        <w:ind w:firstLine="480"/>
        <w:rPr>
          <w:rFonts w:ascii="宋体" w:hAnsi="宋体" w:cs="宋体"/>
          <w:sz w:val="28"/>
          <w:szCs w:val="28"/>
        </w:rPr>
      </w:pPr>
      <w:r>
        <w:rPr>
          <w:rFonts w:hint="eastAsia" w:ascii="宋体" w:hAnsi="宋体" w:cs="宋体"/>
          <w:sz w:val="28"/>
          <w:szCs w:val="28"/>
        </w:rPr>
        <w:t>汽油：无色或淡黄色易挥发液体，具有特殊臭味；熔点&lt;-60℃，沸点20～200℃，相对密度（水=1）0.72～0.775，易燃，爆炸极限（1.4～7.6）溶解性：不溶于水，易溶于苯、二硫化碳、醇，易溶于脂肪。</w:t>
      </w:r>
    </w:p>
    <w:p>
      <w:pPr>
        <w:spacing w:line="360" w:lineRule="auto"/>
        <w:ind w:firstLine="480"/>
        <w:rPr>
          <w:rFonts w:ascii="宋体" w:hAnsi="宋体" w:cs="宋体"/>
          <w:sz w:val="28"/>
          <w:szCs w:val="28"/>
        </w:rPr>
      </w:pPr>
      <w:r>
        <w:rPr>
          <w:rFonts w:hint="eastAsia" w:ascii="宋体" w:hAnsi="宋体" w:cs="宋体"/>
          <w:sz w:val="28"/>
          <w:szCs w:val="28"/>
        </w:rPr>
        <w:t>柴油：稍有粘性的棕色液体，熔点&lt;-29.56℃，沸点180～370℃，相对密度（水= 1）0.81-0.85。</w:t>
      </w:r>
    </w:p>
    <w:p>
      <w:pPr>
        <w:pStyle w:val="5"/>
        <w:spacing w:before="0" w:after="0"/>
        <w:rPr>
          <w:rStyle w:val="49"/>
          <w:rFonts w:ascii="Times New Roman" w:hAnsi="Times New Roman" w:cs="宋体"/>
          <w:b/>
          <w:bCs/>
          <w:sz w:val="24"/>
          <w:szCs w:val="24"/>
        </w:rPr>
      </w:pPr>
      <w:bookmarkStart w:id="645" w:name="_Toc27308"/>
      <w:bookmarkEnd w:id="645"/>
      <w:bookmarkStart w:id="646" w:name="_Toc504989624"/>
      <w:bookmarkEnd w:id="646"/>
      <w:bookmarkStart w:id="647" w:name="_Toc27863"/>
      <w:bookmarkStart w:id="648" w:name="_Toc530594658"/>
      <w:bookmarkStart w:id="649" w:name="_Toc10928"/>
      <w:bookmarkStart w:id="650" w:name="_Toc21710"/>
      <w:bookmarkStart w:id="651" w:name="_Toc4100"/>
      <w:bookmarkStart w:id="652" w:name="_Toc16435"/>
      <w:r>
        <w:rPr>
          <w:rStyle w:val="49"/>
          <w:rFonts w:hint="eastAsia" w:ascii="Times New Roman" w:hAnsi="Times New Roman" w:cs="宋体"/>
          <w:b/>
          <w:bCs/>
          <w:sz w:val="24"/>
          <w:szCs w:val="24"/>
        </w:rPr>
        <w:t>1.1.2 危险特性分析</w:t>
      </w:r>
      <w:bookmarkEnd w:id="647"/>
      <w:bookmarkEnd w:id="648"/>
      <w:bookmarkEnd w:id="649"/>
      <w:bookmarkEnd w:id="650"/>
      <w:bookmarkEnd w:id="651"/>
      <w:bookmarkEnd w:id="652"/>
    </w:p>
    <w:p>
      <w:pPr>
        <w:spacing w:line="360" w:lineRule="auto"/>
        <w:ind w:firstLine="480"/>
        <w:rPr>
          <w:rFonts w:ascii="宋体" w:hAnsi="宋体" w:cs="宋体"/>
          <w:sz w:val="28"/>
          <w:szCs w:val="28"/>
        </w:rPr>
      </w:pPr>
      <w:r>
        <w:rPr>
          <w:rFonts w:hint="eastAsia" w:ascii="宋体" w:hAnsi="宋体" w:cs="宋体"/>
          <w:sz w:val="28"/>
          <w:szCs w:val="28"/>
        </w:rPr>
        <w:t>汽油：其蒸气与空气形成爆炸性混合物，遇明火、高热极易燃烧爆炸；与氧化剂能发生强烈反应。其蒸气比空气重，能在较低处扩散到相当远的地方，遇明火会引着回燃。</w:t>
      </w:r>
    </w:p>
    <w:p>
      <w:pPr>
        <w:spacing w:line="360" w:lineRule="auto"/>
        <w:ind w:firstLine="480"/>
        <w:rPr>
          <w:rFonts w:ascii="宋体" w:hAnsi="宋体" w:cs="宋体"/>
          <w:sz w:val="28"/>
          <w:szCs w:val="28"/>
        </w:rPr>
      </w:pPr>
      <w:r>
        <w:rPr>
          <w:rFonts w:hint="eastAsia" w:ascii="宋体" w:hAnsi="宋体" w:cs="宋体"/>
          <w:sz w:val="28"/>
          <w:szCs w:val="28"/>
        </w:rPr>
        <w:t>柴油：遇明火、高热或与氧化剂接触，有引起燃烧爆炸的危险。若遇高热，容器内压增大，有开裂和爆炸的危险。</w:t>
      </w:r>
    </w:p>
    <w:p>
      <w:pPr>
        <w:pStyle w:val="5"/>
        <w:spacing w:before="0" w:after="0"/>
        <w:rPr>
          <w:rStyle w:val="49"/>
          <w:rFonts w:ascii="Times New Roman" w:hAnsi="Times New Roman" w:cs="宋体"/>
          <w:b/>
          <w:bCs/>
          <w:sz w:val="24"/>
          <w:szCs w:val="24"/>
        </w:rPr>
      </w:pPr>
      <w:bookmarkStart w:id="653" w:name="_Toc504989625"/>
      <w:bookmarkEnd w:id="653"/>
      <w:bookmarkStart w:id="654" w:name="_Toc27348"/>
      <w:bookmarkEnd w:id="654"/>
      <w:bookmarkStart w:id="655" w:name="_Toc6308"/>
      <w:bookmarkStart w:id="656" w:name="_Toc530594659"/>
      <w:bookmarkStart w:id="657" w:name="_Toc22919"/>
      <w:bookmarkStart w:id="658" w:name="_Toc19132"/>
      <w:bookmarkStart w:id="659" w:name="_Toc4046"/>
      <w:bookmarkStart w:id="660" w:name="_Toc21898"/>
      <w:r>
        <w:rPr>
          <w:rStyle w:val="49"/>
          <w:rFonts w:hint="eastAsia" w:ascii="Times New Roman" w:hAnsi="Times New Roman" w:cs="宋体"/>
          <w:b/>
          <w:bCs/>
          <w:sz w:val="24"/>
          <w:szCs w:val="24"/>
        </w:rPr>
        <w:t>1.1.3 泄漏危害分析</w:t>
      </w:r>
      <w:bookmarkEnd w:id="655"/>
      <w:bookmarkEnd w:id="656"/>
      <w:bookmarkEnd w:id="657"/>
      <w:bookmarkEnd w:id="658"/>
      <w:bookmarkEnd w:id="659"/>
      <w:bookmarkEnd w:id="660"/>
    </w:p>
    <w:p>
      <w:pPr>
        <w:spacing w:line="360" w:lineRule="auto"/>
        <w:ind w:firstLine="480"/>
        <w:rPr>
          <w:rFonts w:ascii="宋体" w:hAnsi="宋体" w:cs="宋体"/>
          <w:sz w:val="28"/>
          <w:szCs w:val="28"/>
        </w:rPr>
      </w:pPr>
      <w:r>
        <w:rPr>
          <w:rFonts w:hint="eastAsia" w:ascii="宋体" w:hAnsi="宋体" w:cs="宋体"/>
          <w:sz w:val="28"/>
          <w:szCs w:val="28"/>
        </w:rPr>
        <w:t>1、泄漏将会造成人员伤亡.</w:t>
      </w:r>
    </w:p>
    <w:p>
      <w:pPr>
        <w:spacing w:line="360" w:lineRule="auto"/>
        <w:ind w:firstLine="480"/>
        <w:rPr>
          <w:rFonts w:ascii="宋体" w:hAnsi="宋体" w:cs="宋体"/>
          <w:sz w:val="28"/>
          <w:szCs w:val="28"/>
        </w:rPr>
      </w:pPr>
      <w:r>
        <w:rPr>
          <w:rFonts w:hint="eastAsia" w:ascii="宋体" w:hAnsi="宋体" w:cs="宋体"/>
          <w:sz w:val="28"/>
          <w:szCs w:val="28"/>
        </w:rPr>
        <w:t>2、贮存和加油作业危害分析：</w:t>
      </w:r>
    </w:p>
    <w:p>
      <w:pPr>
        <w:spacing w:line="360" w:lineRule="auto"/>
        <w:ind w:firstLine="480"/>
        <w:rPr>
          <w:rFonts w:ascii="宋体" w:hAnsi="宋体" w:cs="宋体"/>
          <w:sz w:val="28"/>
          <w:szCs w:val="28"/>
        </w:rPr>
      </w:pPr>
      <w:r>
        <w:rPr>
          <w:rFonts w:hint="eastAsia" w:ascii="宋体" w:hAnsi="宋体" w:cs="宋体"/>
          <w:sz w:val="28"/>
          <w:szCs w:val="28"/>
        </w:rPr>
        <w:t>正常情况下储罐有20%的气相空间，罐的压力是该温度下的饱和蒸汽压。如果未留有气相空间而全部充满液体，则在温度升高时，液体体积膨胀没有余地，罐内压力大幅度上升，而汽油的膨胀系数较大，因此易造成储罐破裂。</w:t>
      </w:r>
    </w:p>
    <w:p>
      <w:pPr>
        <w:spacing w:line="360" w:lineRule="auto"/>
        <w:ind w:firstLine="480"/>
        <w:rPr>
          <w:rFonts w:ascii="宋体" w:hAnsi="宋体" w:cs="宋体"/>
          <w:sz w:val="28"/>
          <w:szCs w:val="28"/>
        </w:rPr>
      </w:pPr>
      <w:r>
        <w:rPr>
          <w:rFonts w:hint="eastAsia" w:ascii="宋体" w:hAnsi="宋体" w:cs="宋体"/>
          <w:sz w:val="28"/>
          <w:szCs w:val="28"/>
        </w:rPr>
        <w:t>3、健康危害分析：</w:t>
      </w:r>
    </w:p>
    <w:p>
      <w:pPr>
        <w:spacing w:line="360" w:lineRule="auto"/>
        <w:ind w:firstLine="480"/>
        <w:rPr>
          <w:rFonts w:ascii="宋体" w:hAnsi="宋体" w:cs="宋体"/>
          <w:sz w:val="28"/>
          <w:szCs w:val="28"/>
        </w:rPr>
      </w:pPr>
      <w:r>
        <w:rPr>
          <w:rFonts w:hint="eastAsia" w:ascii="宋体" w:hAnsi="宋体" w:cs="宋体"/>
          <w:sz w:val="28"/>
          <w:szCs w:val="28"/>
        </w:rPr>
        <w:t>汽油：急性中毒：对中枢神经系统有麻醉作用。轻度中毒症状有头晕、头痛、恶心、呕吐、步态不稳、共济失调。高浓度吸入出现中毒性脑病。极高浓度吸入引起意识突然丧失、反射性呼吸停止。可伴有中毒性周围神经病及化学性肺炎。部分患者出现中毒性精神病。液体吸入呼吸道可引起吸入性肺炎。溅入眼内可致角膜溃疡、穿孔，甚至失明。皮肤接触致急性接触性皮炎，甚至灼伤。吞咽引起急性胃肠炎，重者出现类似急性吸入中毒症状，并可引起肝、肾损害。慢性中毒：神经衰弱综合征、植物神经功能症状类似精神分裂症。皮肤损害。</w:t>
      </w:r>
    </w:p>
    <w:p>
      <w:pPr>
        <w:spacing w:line="360" w:lineRule="auto"/>
        <w:ind w:firstLine="480"/>
        <w:rPr>
          <w:rFonts w:ascii="宋体" w:hAnsi="宋体" w:cs="宋体"/>
          <w:sz w:val="28"/>
          <w:szCs w:val="28"/>
        </w:rPr>
      </w:pPr>
      <w:r>
        <w:rPr>
          <w:rFonts w:hint="eastAsia" w:ascii="宋体" w:hAnsi="宋体" w:cs="宋体"/>
          <w:sz w:val="28"/>
          <w:szCs w:val="28"/>
        </w:rPr>
        <w:t>柴油：皮肤接触可为主要吸收途径，可致急性肾脏损害。柴油可引起接触性皮炎、油性痤疮。吸入其雾滴或液体呛入可引起吸入性肺炎。能经胎盘进入胎儿血中。柴油废气可引起眼、鼻刺激症状，头晕及头痛。</w:t>
      </w:r>
    </w:p>
    <w:p>
      <w:pPr>
        <w:pStyle w:val="5"/>
        <w:spacing w:before="0" w:after="0"/>
        <w:rPr>
          <w:rStyle w:val="49"/>
          <w:rFonts w:ascii="Times New Roman" w:hAnsi="Times New Roman" w:cs="宋体"/>
          <w:b/>
          <w:bCs/>
          <w:sz w:val="24"/>
          <w:szCs w:val="24"/>
        </w:rPr>
      </w:pPr>
      <w:bookmarkStart w:id="661" w:name="_Toc18627"/>
      <w:bookmarkEnd w:id="661"/>
      <w:bookmarkStart w:id="662" w:name="_Toc32207"/>
      <w:bookmarkEnd w:id="662"/>
      <w:bookmarkStart w:id="663" w:name="_Toc504989626"/>
      <w:bookmarkStart w:id="664" w:name="_Toc530594660"/>
      <w:bookmarkStart w:id="665" w:name="_Toc21666"/>
      <w:bookmarkStart w:id="666" w:name="_Toc10842"/>
      <w:bookmarkStart w:id="667" w:name="_Toc30814"/>
      <w:bookmarkStart w:id="668" w:name="_Toc16847"/>
      <w:r>
        <w:rPr>
          <w:rStyle w:val="49"/>
          <w:rFonts w:hint="eastAsia" w:ascii="Times New Roman" w:hAnsi="Times New Roman" w:cs="宋体"/>
          <w:b/>
          <w:bCs/>
          <w:sz w:val="24"/>
          <w:szCs w:val="24"/>
        </w:rPr>
        <w:t>1.1.4 事故预防和应急措施分析</w:t>
      </w:r>
      <w:bookmarkEnd w:id="663"/>
      <w:bookmarkEnd w:id="664"/>
      <w:bookmarkEnd w:id="665"/>
      <w:bookmarkEnd w:id="666"/>
      <w:bookmarkEnd w:id="667"/>
      <w:bookmarkEnd w:id="668"/>
    </w:p>
    <w:p>
      <w:pPr>
        <w:spacing w:line="360" w:lineRule="auto"/>
        <w:ind w:firstLine="480"/>
        <w:rPr>
          <w:rFonts w:ascii="宋体" w:hAnsi="宋体" w:cs="宋体"/>
          <w:sz w:val="28"/>
          <w:szCs w:val="28"/>
        </w:rPr>
      </w:pPr>
      <w:r>
        <w:rPr>
          <w:rFonts w:hint="eastAsia" w:ascii="宋体" w:hAnsi="宋体" w:cs="宋体"/>
          <w:sz w:val="28"/>
          <w:szCs w:val="28"/>
        </w:rPr>
        <w:t>1、健康危害预防和应急措施：</w:t>
      </w:r>
    </w:p>
    <w:p>
      <w:pPr>
        <w:spacing w:line="360" w:lineRule="auto"/>
        <w:ind w:firstLine="480"/>
        <w:rPr>
          <w:rFonts w:ascii="宋体" w:hAnsi="宋体" w:cs="宋体"/>
          <w:sz w:val="28"/>
          <w:szCs w:val="28"/>
        </w:rPr>
      </w:pPr>
      <w:r>
        <w:rPr>
          <w:rFonts w:hint="eastAsia" w:ascii="宋体" w:hAnsi="宋体" w:cs="宋体"/>
          <w:sz w:val="28"/>
          <w:szCs w:val="28"/>
        </w:rPr>
        <w:t>皮肤接触应立即脱去污染的衣着，用大量的流动清水彻底冲洗；眼睛接触应立即提起眼睑，用流动的清水或生理盐水冲洗至少 15 分钟。立即就医；吸入氨气应迅速脱离现场至空气新鲜处。保持呼吸道通畅。呼吸困难时输氧。呼吸停止时，立即进行人工呼吸、就医；</w:t>
      </w:r>
    </w:p>
    <w:p>
      <w:pPr>
        <w:spacing w:line="360" w:lineRule="auto"/>
        <w:ind w:firstLine="480"/>
        <w:rPr>
          <w:rFonts w:ascii="宋体" w:hAnsi="宋体" w:cs="宋体"/>
          <w:sz w:val="28"/>
          <w:szCs w:val="28"/>
        </w:rPr>
      </w:pPr>
      <w:r>
        <w:rPr>
          <w:rFonts w:hint="eastAsia" w:ascii="宋体" w:hAnsi="宋体" w:cs="宋体"/>
          <w:sz w:val="28"/>
          <w:szCs w:val="28"/>
        </w:rPr>
        <w:t>2、泄漏预防和应急处理措施：</w:t>
      </w:r>
    </w:p>
    <w:p>
      <w:pPr>
        <w:spacing w:line="360" w:lineRule="auto"/>
        <w:ind w:firstLine="480"/>
        <w:rPr>
          <w:rFonts w:ascii="宋体" w:hAnsi="宋体" w:cs="宋体"/>
          <w:sz w:val="28"/>
          <w:szCs w:val="28"/>
        </w:rPr>
      </w:pPr>
      <w:r>
        <w:rPr>
          <w:rFonts w:hint="eastAsia" w:ascii="宋体" w:hAnsi="宋体" w:cs="宋体"/>
          <w:sz w:val="28"/>
          <w:szCs w:val="28"/>
        </w:rPr>
        <w:t>迅速撤离泄漏污染区人员至安全区，并进行隔离，严格限制出入。切断火源。建议应急处理人员戴自给正压式呼吸器，穿消防防护服。尽可能切断泄漏源。防止进入下水道、排洪沟等限制性空间。小量泄漏：用沙土、蛭石或其他惰性材料吸收。或在保证安全的情况下，就地焚烧。大量泄漏：构筑围堤或挖坑收容；用泡沫覆盖，降低蒸气灾害。用防爆泵转移至槽车或专用收集器内，回收或运至废物处理场所处置。</w:t>
      </w:r>
    </w:p>
    <w:tbl>
      <w:tblPr>
        <w:tblStyle w:val="35"/>
        <w:tblW w:w="8077" w:type="dxa"/>
        <w:jc w:val="center"/>
        <w:tblInd w:w="1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881"/>
        <w:gridCol w:w="6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cs="宋体"/>
              </w:rPr>
            </w:pPr>
            <w:r>
              <w:rPr>
                <w:rFonts w:hint="eastAsia" w:cs="宋体"/>
              </w:rPr>
              <w:t>序号</w:t>
            </w:r>
          </w:p>
        </w:tc>
        <w:tc>
          <w:tcPr>
            <w:tcW w:w="881" w:type="dxa"/>
            <w:tcBorders>
              <w:top w:val="single" w:color="auto" w:sz="4" w:space="0"/>
              <w:left w:val="nil"/>
              <w:bottom w:val="single" w:color="auto" w:sz="4" w:space="0"/>
              <w:right w:val="single" w:color="auto" w:sz="4" w:space="0"/>
            </w:tcBorders>
            <w:vAlign w:val="center"/>
          </w:tcPr>
          <w:p>
            <w:pPr>
              <w:spacing w:line="300" w:lineRule="exact"/>
              <w:jc w:val="center"/>
              <w:rPr>
                <w:rFonts w:cs="宋体"/>
              </w:rPr>
            </w:pPr>
            <w:r>
              <w:rPr>
                <w:rFonts w:hint="eastAsia" w:cs="宋体"/>
              </w:rPr>
              <w:t>名称</w:t>
            </w:r>
          </w:p>
        </w:tc>
        <w:tc>
          <w:tcPr>
            <w:tcW w:w="6628" w:type="dxa"/>
            <w:tcBorders>
              <w:top w:val="single" w:color="auto" w:sz="4" w:space="0"/>
              <w:left w:val="nil"/>
              <w:bottom w:val="single" w:color="auto" w:sz="4" w:space="0"/>
              <w:right w:val="single" w:color="auto" w:sz="4" w:space="0"/>
            </w:tcBorders>
            <w:vAlign w:val="center"/>
          </w:tcPr>
          <w:p>
            <w:pPr>
              <w:spacing w:line="300" w:lineRule="exact"/>
              <w:jc w:val="center"/>
              <w:rPr>
                <w:rFonts w:cs="宋体"/>
              </w:rPr>
            </w:pPr>
            <w:r>
              <w:rPr>
                <w:rFonts w:hint="eastAsia" w:cs="宋体"/>
              </w:rPr>
              <w:t>应急处置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cs="宋体"/>
              </w:rPr>
            </w:pPr>
            <w:r>
              <w:rPr>
                <w:rFonts w:hint="eastAsia" w:cs="宋体"/>
              </w:rPr>
              <w:t>1</w:t>
            </w:r>
          </w:p>
        </w:tc>
        <w:tc>
          <w:tcPr>
            <w:tcW w:w="881" w:type="dxa"/>
            <w:tcBorders>
              <w:top w:val="single" w:color="auto" w:sz="4" w:space="0"/>
              <w:left w:val="nil"/>
              <w:bottom w:val="single" w:color="auto" w:sz="4" w:space="0"/>
              <w:right w:val="single" w:color="auto" w:sz="4" w:space="0"/>
            </w:tcBorders>
            <w:vAlign w:val="center"/>
          </w:tcPr>
          <w:p>
            <w:pPr>
              <w:spacing w:line="300" w:lineRule="exact"/>
              <w:jc w:val="center"/>
              <w:rPr>
                <w:rFonts w:cs="宋体"/>
              </w:rPr>
            </w:pPr>
            <w:r>
              <w:rPr>
                <w:rFonts w:hint="eastAsia" w:cs="宋体"/>
              </w:rPr>
              <w:t>油品</w:t>
            </w:r>
          </w:p>
          <w:p>
            <w:pPr>
              <w:spacing w:line="300" w:lineRule="exact"/>
              <w:jc w:val="center"/>
              <w:rPr>
                <w:rFonts w:cs="宋体"/>
              </w:rPr>
            </w:pPr>
            <w:r>
              <w:rPr>
                <w:rFonts w:hint="eastAsia" w:cs="宋体"/>
              </w:rPr>
              <w:t>泄漏</w:t>
            </w:r>
          </w:p>
        </w:tc>
        <w:tc>
          <w:tcPr>
            <w:tcW w:w="6628" w:type="dxa"/>
            <w:tcBorders>
              <w:top w:val="single" w:color="auto" w:sz="4" w:space="0"/>
              <w:left w:val="nil"/>
              <w:bottom w:val="single" w:color="auto" w:sz="4" w:space="0"/>
              <w:right w:val="single" w:color="auto" w:sz="4" w:space="0"/>
            </w:tcBorders>
            <w:vAlign w:val="center"/>
          </w:tcPr>
          <w:p>
            <w:pPr>
              <w:spacing w:line="300" w:lineRule="exact"/>
              <w:rPr>
                <w:rFonts w:cs="宋体"/>
                <w:b/>
                <w:bCs/>
                <w:kern w:val="0"/>
                <w:sz w:val="22"/>
                <w:szCs w:val="22"/>
              </w:rPr>
            </w:pPr>
            <w:r>
              <w:rPr>
                <w:rFonts w:hint="eastAsia" w:cs="宋体"/>
                <w:kern w:val="0"/>
                <w:sz w:val="22"/>
                <w:szCs w:val="22"/>
              </w:rPr>
              <w:t>【急救措施】</w:t>
            </w:r>
          </w:p>
          <w:p>
            <w:pPr>
              <w:pStyle w:val="29"/>
              <w:spacing w:before="0" w:beforeAutospacing="0" w:after="0" w:afterAutospacing="0" w:line="300" w:lineRule="exact"/>
              <w:ind w:firstLine="440" w:firstLineChars="200"/>
              <w:rPr>
                <w:rStyle w:val="54"/>
                <w:rFonts w:hint="default" w:ascii="Times New Roman" w:hAnsi="Times New Roman"/>
              </w:rPr>
            </w:pPr>
            <w:r>
              <w:rPr>
                <w:rStyle w:val="54"/>
                <w:rFonts w:hint="default" w:ascii="Times New Roman" w:hAnsi="Times New Roman"/>
              </w:rPr>
              <w:t>吸入：迅速脱离现场至空气新鲜处，保持呼吸道通畅，如呼吸困难，给输氧，如呼吸停止，立即进行人工呼吸；就医</w:t>
            </w:r>
          </w:p>
          <w:p>
            <w:pPr>
              <w:pStyle w:val="29"/>
              <w:spacing w:before="0" w:beforeAutospacing="0" w:after="0" w:afterAutospacing="0" w:line="300" w:lineRule="exact"/>
              <w:ind w:firstLine="440" w:firstLineChars="200"/>
              <w:rPr>
                <w:rStyle w:val="54"/>
                <w:rFonts w:hint="default" w:ascii="Times New Roman" w:hAnsi="Times New Roman"/>
              </w:rPr>
            </w:pPr>
            <w:r>
              <w:rPr>
                <w:rStyle w:val="54"/>
                <w:rFonts w:hint="default" w:ascii="Times New Roman" w:hAnsi="Times New Roman"/>
              </w:rPr>
              <w:t>皮肤接触：立即脱去污染的衣着，应用 肥皂水或大量清水彻底冲洗；</w:t>
            </w:r>
          </w:p>
          <w:p>
            <w:pPr>
              <w:pStyle w:val="29"/>
              <w:spacing w:before="0" w:beforeAutospacing="0" w:after="0" w:afterAutospacing="0" w:line="300" w:lineRule="exact"/>
              <w:ind w:firstLine="440" w:firstLineChars="200"/>
              <w:rPr>
                <w:rStyle w:val="54"/>
                <w:rFonts w:hint="default" w:ascii="Times New Roman" w:hAnsi="Times New Roman"/>
              </w:rPr>
            </w:pPr>
            <w:r>
              <w:rPr>
                <w:rStyle w:val="54"/>
                <w:rFonts w:hint="default" w:ascii="Times New Roman" w:hAnsi="Times New Roman"/>
              </w:rPr>
              <w:t>眼睛接触：立即提起眼睑，用大量流动清水或生理盐水彻底冲洗至少15min；就医。</w:t>
            </w:r>
          </w:p>
          <w:p>
            <w:pPr>
              <w:pStyle w:val="29"/>
              <w:spacing w:before="0" w:beforeAutospacing="0" w:after="0" w:afterAutospacing="0" w:line="300" w:lineRule="exact"/>
              <w:ind w:firstLine="440" w:firstLineChars="200"/>
              <w:rPr>
                <w:rStyle w:val="54"/>
                <w:rFonts w:hint="default" w:ascii="Times New Roman" w:hAnsi="Times New Roman"/>
              </w:rPr>
            </w:pPr>
            <w:r>
              <w:rPr>
                <w:rStyle w:val="54"/>
                <w:rFonts w:hint="default" w:ascii="Times New Roman" w:hAnsi="Times New Roman"/>
              </w:rPr>
              <w:t>食入：给饮牛奶或用植物油洗胃和灌肠，就医</w:t>
            </w:r>
          </w:p>
          <w:p>
            <w:pPr>
              <w:pStyle w:val="29"/>
              <w:spacing w:before="0" w:beforeAutospacing="0" w:after="0" w:afterAutospacing="0" w:line="300" w:lineRule="exact"/>
              <w:ind w:firstLine="440" w:firstLineChars="200"/>
              <w:rPr>
                <w:rFonts w:ascii="Times New Roman" w:hAnsi="Times New Roman"/>
                <w:b/>
                <w:bCs/>
              </w:rPr>
            </w:pPr>
            <w:r>
              <w:rPr>
                <w:rFonts w:hint="eastAsia" w:ascii="Times New Roman" w:hAnsi="Times New Roman"/>
                <w:sz w:val="22"/>
                <w:szCs w:val="22"/>
              </w:rPr>
              <w:t>【灭火方法】</w:t>
            </w:r>
          </w:p>
          <w:p>
            <w:pPr>
              <w:pStyle w:val="29"/>
              <w:spacing w:before="0" w:beforeAutospacing="0" w:after="0" w:afterAutospacing="0" w:line="300" w:lineRule="exact"/>
              <w:ind w:firstLine="440" w:firstLineChars="200"/>
              <w:rPr>
                <w:rStyle w:val="54"/>
                <w:rFonts w:hint="default" w:ascii="Times New Roman" w:hAnsi="Times New Roman"/>
              </w:rPr>
            </w:pPr>
            <w:r>
              <w:rPr>
                <w:rStyle w:val="54"/>
                <w:rFonts w:hint="default" w:ascii="Times New Roman" w:hAnsi="Times New Roman"/>
              </w:rPr>
              <w:t>喷水冷却容器，可能的话将容器从火场移至空旷处。</w:t>
            </w:r>
          </w:p>
          <w:p>
            <w:pPr>
              <w:pStyle w:val="29"/>
              <w:spacing w:before="0" w:beforeAutospacing="0" w:after="0" w:afterAutospacing="0" w:line="300" w:lineRule="exact"/>
              <w:ind w:firstLine="440" w:firstLineChars="200"/>
              <w:jc w:val="both"/>
              <w:rPr>
                <w:rStyle w:val="54"/>
                <w:rFonts w:hint="default" w:ascii="Times New Roman" w:hAnsi="Times New Roman"/>
              </w:rPr>
            </w:pPr>
            <w:r>
              <w:rPr>
                <w:rStyle w:val="54"/>
                <w:rFonts w:hint="default" w:ascii="Times New Roman" w:hAnsi="Times New Roman"/>
              </w:rPr>
              <w:t>灭火剂：泡沫、二氧化碳、干粉。用水灭火无效。</w:t>
            </w:r>
          </w:p>
          <w:p>
            <w:pPr>
              <w:spacing w:line="300" w:lineRule="exact"/>
              <w:rPr>
                <w:rFonts w:cs="宋体"/>
                <w:b/>
                <w:bCs/>
                <w:kern w:val="0"/>
              </w:rPr>
            </w:pPr>
            <w:r>
              <w:rPr>
                <w:rFonts w:hint="eastAsia" w:cs="宋体"/>
                <w:kern w:val="0"/>
                <w:sz w:val="22"/>
                <w:szCs w:val="22"/>
              </w:rPr>
              <w:t>【泄漏应急处置】</w:t>
            </w:r>
          </w:p>
          <w:p>
            <w:pPr>
              <w:spacing w:line="300" w:lineRule="exact"/>
              <w:ind w:firstLine="440" w:firstLineChars="200"/>
              <w:rPr>
                <w:rStyle w:val="54"/>
                <w:rFonts w:hint="default" w:ascii="Times New Roman" w:hAnsi="Times New Roman" w:cs="宋体"/>
              </w:rPr>
            </w:pPr>
            <w:r>
              <w:rPr>
                <w:rStyle w:val="54"/>
                <w:rFonts w:hint="default" w:ascii="Times New Roman" w:hAnsi="Times New Roman" w:cs="宋体"/>
              </w:rPr>
              <w:t>消除所有点火源。根据液体流动和蒸气扩散的影响区域划定警戒区，无关人员从侧风、上风向撤离至安全区。建议应急处理人员戴正压自给式空气呼吸器，穿防毒、防静电服。作业时使用的所有设备应接地，禁止接触或跨域泄漏物，尽可能切断泄漏源。防止泄漏物进入水体、下水道、地下室或密闭性空间。</w:t>
            </w:r>
            <w:r>
              <w:rPr>
                <w:rFonts w:hint="eastAsia" w:cs="宋体"/>
              </w:rPr>
              <w:t>小量泄漏：用沙土、蛭石或其他惰性材料吸收。或在保证安全的情况下，就地焚烧。大量泄漏：构筑围堤或挖坑收容；用泡沫覆盖，降低蒸气灾害。用防爆泵转移至槽车或专用收集器内，回收或运至废物处理场所处置。</w:t>
            </w:r>
          </w:p>
          <w:p>
            <w:pPr>
              <w:spacing w:line="300" w:lineRule="exact"/>
              <w:ind w:firstLine="440" w:firstLineChars="200"/>
              <w:rPr>
                <w:rFonts w:cs="宋体"/>
              </w:rPr>
            </w:pPr>
            <w:r>
              <w:rPr>
                <w:rStyle w:val="54"/>
                <w:rFonts w:hint="default" w:ascii="Times New Roman" w:hAnsi="Times New Roman" w:cs="宋体"/>
              </w:rPr>
              <w:t>作为一项紧急预防措施，泄漏隔离距离至少为50m。如果为大量泄漏，下风向的初始疏散距离应至少为800m。</w:t>
            </w:r>
          </w:p>
        </w:tc>
      </w:tr>
    </w:tbl>
    <w:p>
      <w:pPr>
        <w:spacing w:line="360" w:lineRule="auto"/>
        <w:ind w:firstLine="480"/>
        <w:rPr>
          <w:rFonts w:ascii="宋体" w:hAnsi="宋体" w:cs="宋体"/>
          <w:sz w:val="28"/>
          <w:szCs w:val="28"/>
        </w:rPr>
      </w:pPr>
      <w:r>
        <w:rPr>
          <w:rFonts w:hint="eastAsia" w:ascii="宋体" w:hAnsi="宋体" w:cs="宋体"/>
          <w:sz w:val="28"/>
          <w:szCs w:val="28"/>
        </w:rPr>
        <w:t>3、操作预防和应急措施：</w:t>
      </w:r>
    </w:p>
    <w:p>
      <w:pPr>
        <w:spacing w:line="360" w:lineRule="auto"/>
        <w:ind w:firstLine="480"/>
        <w:rPr>
          <w:rFonts w:ascii="宋体" w:hAnsi="宋体" w:cs="宋体"/>
          <w:sz w:val="28"/>
          <w:szCs w:val="28"/>
        </w:rPr>
      </w:pPr>
      <w:r>
        <w:rPr>
          <w:rFonts w:hint="eastAsia" w:ascii="宋体" w:hAnsi="宋体" w:cs="宋体"/>
          <w:sz w:val="28"/>
          <w:szCs w:val="28"/>
        </w:rPr>
        <w:t>油罐及贮存油桶附近要严禁烟火，禁止将汽油与其他易燃物放在一起；</w:t>
      </w:r>
    </w:p>
    <w:p>
      <w:pPr>
        <w:spacing w:line="360" w:lineRule="auto"/>
        <w:ind w:firstLine="480"/>
        <w:rPr>
          <w:rFonts w:ascii="宋体" w:hAnsi="宋体" w:cs="宋体"/>
          <w:sz w:val="28"/>
          <w:szCs w:val="28"/>
        </w:rPr>
      </w:pPr>
      <w:r>
        <w:rPr>
          <w:rFonts w:hint="eastAsia" w:ascii="宋体" w:hAnsi="宋体" w:cs="宋体"/>
          <w:sz w:val="28"/>
          <w:szCs w:val="28"/>
        </w:rPr>
        <w:t>往油罐或油罐车装油时，输油管要插入油面以下或接近油罐的底部，以减少油料的冲击和与空气的摩擦，沾油料的布、油棉纱头、油手套等不要放在油库、车库内，以免自燃；不要用铁器工具敲击油桶，特别是空油桶更危险；</w:t>
      </w:r>
    </w:p>
    <w:p>
      <w:pPr>
        <w:spacing w:line="360" w:lineRule="auto"/>
        <w:ind w:firstLine="480"/>
        <w:rPr>
          <w:rFonts w:ascii="宋体" w:hAnsi="宋体" w:cs="宋体"/>
          <w:sz w:val="28"/>
          <w:szCs w:val="28"/>
        </w:rPr>
      </w:pPr>
      <w:r>
        <w:rPr>
          <w:rFonts w:hint="eastAsia" w:ascii="宋体" w:hAnsi="宋体" w:cs="宋体"/>
          <w:sz w:val="28"/>
          <w:szCs w:val="28"/>
        </w:rPr>
        <w:t>当进行灌装汽油时，临近的汽车、拖拉机的排气管要戴上防火帽后才能发动，存汽油地点附近严禁检修车辆；</w:t>
      </w:r>
    </w:p>
    <w:p>
      <w:pPr>
        <w:spacing w:line="360" w:lineRule="auto"/>
        <w:ind w:firstLine="480"/>
        <w:rPr>
          <w:rFonts w:ascii="宋体" w:hAnsi="宋体" w:cs="宋体"/>
          <w:sz w:val="28"/>
          <w:szCs w:val="28"/>
        </w:rPr>
      </w:pPr>
      <w:r>
        <w:rPr>
          <w:rFonts w:hint="eastAsia" w:ascii="宋体" w:hAnsi="宋体" w:cs="宋体"/>
          <w:sz w:val="28"/>
          <w:szCs w:val="28"/>
        </w:rPr>
        <w:t>汽油罐和贮存汽油区的上空，不应有电线通过。油罐、库房与电线的距离要为电杆长度的1.5倍以上；</w:t>
      </w:r>
    </w:p>
    <w:p>
      <w:pPr>
        <w:spacing w:line="360" w:lineRule="auto"/>
        <w:ind w:firstLine="480"/>
        <w:rPr>
          <w:rFonts w:ascii="宋体" w:hAnsi="宋体" w:cs="宋体"/>
          <w:sz w:val="28"/>
          <w:szCs w:val="28"/>
        </w:rPr>
      </w:pPr>
      <w:r>
        <w:rPr>
          <w:rFonts w:hint="eastAsia" w:ascii="宋体" w:hAnsi="宋体" w:cs="宋体"/>
          <w:sz w:val="28"/>
          <w:szCs w:val="28"/>
        </w:rPr>
        <w:t>注意仓库及操作场所的通风，使油蒸气容易逸散。</w:t>
      </w:r>
    </w:p>
    <w:p>
      <w:pPr>
        <w:spacing w:line="360" w:lineRule="auto"/>
        <w:ind w:firstLine="480"/>
        <w:rPr>
          <w:rFonts w:ascii="宋体" w:hAnsi="宋体" w:cs="宋体"/>
          <w:sz w:val="28"/>
          <w:szCs w:val="28"/>
        </w:rPr>
      </w:pPr>
      <w:r>
        <w:rPr>
          <w:rFonts w:hint="eastAsia" w:ascii="宋体" w:hAnsi="宋体" w:cs="宋体"/>
          <w:sz w:val="28"/>
          <w:szCs w:val="28"/>
        </w:rPr>
        <w:t>4、储存预防和应急措施：</w:t>
      </w:r>
    </w:p>
    <w:p>
      <w:pPr>
        <w:spacing w:line="360" w:lineRule="auto"/>
        <w:ind w:firstLine="480"/>
        <w:rPr>
          <w:rFonts w:ascii="宋体" w:hAnsi="宋体" w:cs="宋体"/>
          <w:sz w:val="28"/>
          <w:szCs w:val="28"/>
        </w:rPr>
      </w:pPr>
      <w:r>
        <w:rPr>
          <w:rFonts w:hint="eastAsia" w:ascii="宋体" w:hAnsi="宋体" w:cs="宋体"/>
          <w:sz w:val="28"/>
          <w:szCs w:val="28"/>
        </w:rPr>
        <w:t>储存于阴凉、通风的库房。远离火种、热源。库温不宜超过30℃。保持容器密封。应与氧化剂分开存放，切忌混储。采用防爆型照明、通风设施。禁止使用易产生火花的机械设备和工具。储区应备有泄漏应急处理设备和合适的收容材料。</w:t>
      </w:r>
    </w:p>
    <w:p>
      <w:pPr>
        <w:spacing w:line="360" w:lineRule="auto"/>
        <w:ind w:firstLine="480"/>
        <w:rPr>
          <w:rFonts w:ascii="宋体" w:hAnsi="宋体" w:cs="宋体"/>
          <w:sz w:val="28"/>
          <w:szCs w:val="28"/>
        </w:rPr>
      </w:pPr>
      <w:r>
        <w:rPr>
          <w:rFonts w:hint="eastAsia" w:ascii="宋体" w:hAnsi="宋体" w:cs="宋体"/>
          <w:sz w:val="28"/>
          <w:szCs w:val="28"/>
        </w:rPr>
        <w:t>5、个体防护预防和应急措施：</w:t>
      </w:r>
    </w:p>
    <w:tbl>
      <w:tblPr>
        <w:tblStyle w:val="35"/>
        <w:tblW w:w="8168" w:type="dxa"/>
        <w:jc w:val="center"/>
        <w:tblInd w:w="1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168"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皮肤接触：</w:t>
            </w:r>
            <w:r>
              <w:rPr>
                <w:rFonts w:hint="eastAsia" w:cs="宋体"/>
              </w:rPr>
              <w:t>立即脱去污染的衣着，用肥皂水和清水彻底冲洗皮肤。就医。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168"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眼睛接触：</w:t>
            </w:r>
            <w:r>
              <w:rPr>
                <w:rFonts w:hint="eastAsia" w:cs="宋体"/>
              </w:rPr>
              <w:t>提起眼睑，用流动清水或生理盐水冲洗。就医。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168"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吸入：</w:t>
            </w:r>
            <w:r>
              <w:rPr>
                <w:rFonts w:hint="eastAsia" w:cs="宋体"/>
              </w:rPr>
              <w:t>迅速脱离现场至空气新鲜处。保持呼吸道通畅。如呼吸困难，给输氧。如呼吸停止，立即进行人工呼吸。就医。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168"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食入：</w:t>
            </w:r>
            <w:r>
              <w:rPr>
                <w:rFonts w:hint="eastAsia" w:cs="宋体"/>
              </w:rPr>
              <w:t>尽快彻底洗胃。就医。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168"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168"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呼吸系统防护：</w:t>
            </w:r>
            <w:r>
              <w:rPr>
                <w:rFonts w:hint="eastAsia" w:cs="宋体"/>
              </w:rPr>
              <w:t>空气中浓度超标时，建议佩戴自吸过滤式防毒面具（半面罩）。紧急事态抢救或撤离时，应该佩戴空气呼吸器。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168"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眼睛防护：</w:t>
            </w:r>
            <w:r>
              <w:rPr>
                <w:rFonts w:hint="eastAsia" w:cs="宋体"/>
              </w:rPr>
              <w:t>戴化学安全防护眼镜。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168"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身体防护：</w:t>
            </w:r>
            <w:r>
              <w:rPr>
                <w:rFonts w:hint="eastAsia" w:cs="宋体"/>
              </w:rPr>
              <w:t>穿一般作业防护服。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168"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手防护：</w:t>
            </w:r>
            <w:r>
              <w:rPr>
                <w:rFonts w:hint="eastAsia" w:cs="宋体"/>
              </w:rPr>
              <w:t>戴橡胶耐油手套。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168"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其他：</w:t>
            </w:r>
            <w:r>
              <w:rPr>
                <w:rFonts w:hint="eastAsia" w:cs="宋体"/>
              </w:rPr>
              <w:t>工作现场严禁吸烟。避免长期反复接触。</w:t>
            </w:r>
          </w:p>
        </w:tc>
      </w:tr>
    </w:tbl>
    <w:p>
      <w:pPr>
        <w:pStyle w:val="5"/>
        <w:spacing w:before="0" w:after="0"/>
        <w:rPr>
          <w:rStyle w:val="49"/>
          <w:rFonts w:ascii="Times New Roman" w:hAnsi="Times New Roman" w:cs="宋体"/>
          <w:b/>
          <w:bCs/>
          <w:sz w:val="24"/>
          <w:szCs w:val="24"/>
        </w:rPr>
      </w:pPr>
      <w:bookmarkStart w:id="669" w:name="_Toc32251"/>
      <w:bookmarkEnd w:id="669"/>
      <w:bookmarkStart w:id="670" w:name="_Toc504989627"/>
      <w:bookmarkEnd w:id="670"/>
      <w:bookmarkStart w:id="671" w:name="_Toc18471"/>
      <w:bookmarkStart w:id="672" w:name="_Toc530594661"/>
      <w:bookmarkStart w:id="673" w:name="_Toc20489"/>
      <w:bookmarkStart w:id="674" w:name="_Toc7604"/>
      <w:bookmarkStart w:id="675" w:name="_Toc4053"/>
      <w:bookmarkStart w:id="676" w:name="_Toc2838"/>
      <w:r>
        <w:rPr>
          <w:rStyle w:val="49"/>
          <w:rFonts w:hint="eastAsia" w:ascii="Times New Roman" w:hAnsi="Times New Roman" w:cs="宋体"/>
          <w:b/>
          <w:bCs/>
          <w:sz w:val="24"/>
          <w:szCs w:val="24"/>
        </w:rPr>
        <w:t>1.1.5 事故风险分析</w:t>
      </w:r>
      <w:bookmarkEnd w:id="671"/>
      <w:bookmarkEnd w:id="672"/>
      <w:bookmarkEnd w:id="673"/>
      <w:bookmarkEnd w:id="674"/>
      <w:bookmarkEnd w:id="675"/>
      <w:bookmarkEnd w:id="676"/>
    </w:p>
    <w:p>
      <w:pPr>
        <w:rPr>
          <w:rFonts w:cs="宋体"/>
        </w:rPr>
      </w:pPr>
      <w:r>
        <w:rPr>
          <w:rFonts w:hint="eastAsia" w:cs="宋体"/>
          <w:sz w:val="24"/>
          <w:szCs w:val="24"/>
        </w:rPr>
        <w:t>物料发生泄漏事故风险分析见下表：</w:t>
      </w:r>
    </w:p>
    <w:tbl>
      <w:tblPr>
        <w:tblStyle w:val="35"/>
        <w:tblW w:w="8145"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354"/>
        <w:gridCol w:w="687"/>
        <w:gridCol w:w="994"/>
        <w:gridCol w:w="721"/>
        <w:gridCol w:w="1599"/>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0" w:type="dxa"/>
            <w:tcBorders>
              <w:top w:val="single" w:color="auto" w:sz="4" w:space="0"/>
              <w:left w:val="single" w:color="auto" w:sz="4" w:space="0"/>
              <w:bottom w:val="single" w:color="auto" w:sz="4" w:space="0"/>
              <w:right w:val="single" w:color="auto" w:sz="4" w:space="0"/>
            </w:tcBorders>
            <w:vAlign w:val="center"/>
          </w:tcPr>
          <w:p>
            <w:pPr>
              <w:jc w:val="center"/>
              <w:rPr>
                <w:rFonts w:cs="宋体"/>
                <w:b/>
                <w:bCs/>
              </w:rPr>
            </w:pPr>
            <w:r>
              <w:rPr>
                <w:rFonts w:hint="eastAsia" w:cs="宋体"/>
                <w:b/>
                <w:bCs/>
              </w:rPr>
              <w:t>事故类型</w:t>
            </w:r>
          </w:p>
        </w:tc>
        <w:tc>
          <w:tcPr>
            <w:tcW w:w="1354"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发生可能性</w:t>
            </w:r>
          </w:p>
        </w:tc>
        <w:tc>
          <w:tcPr>
            <w:tcW w:w="687"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严重程度</w:t>
            </w:r>
          </w:p>
        </w:tc>
        <w:tc>
          <w:tcPr>
            <w:tcW w:w="994"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发生的范围</w:t>
            </w:r>
          </w:p>
        </w:tc>
        <w:tc>
          <w:tcPr>
            <w:tcW w:w="721"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事故后果</w:t>
            </w:r>
          </w:p>
        </w:tc>
        <w:tc>
          <w:tcPr>
            <w:tcW w:w="1599"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影响范围</w:t>
            </w:r>
          </w:p>
        </w:tc>
        <w:tc>
          <w:tcPr>
            <w:tcW w:w="2130"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防范措施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0" w:type="dxa"/>
            <w:tcBorders>
              <w:top w:val="single" w:color="auto" w:sz="4" w:space="0"/>
              <w:left w:val="single" w:color="auto" w:sz="4" w:space="0"/>
              <w:bottom w:val="single" w:color="auto" w:sz="4" w:space="0"/>
              <w:right w:val="single" w:color="auto" w:sz="4" w:space="0"/>
            </w:tcBorders>
            <w:vAlign w:val="center"/>
          </w:tcPr>
          <w:p>
            <w:pPr>
              <w:jc w:val="center"/>
              <w:rPr>
                <w:rFonts w:cs="宋体"/>
              </w:rPr>
            </w:pPr>
            <w:r>
              <w:rPr>
                <w:rFonts w:hint="eastAsia" w:cs="宋体"/>
              </w:rPr>
              <w:t>物料泄漏</w:t>
            </w:r>
          </w:p>
        </w:tc>
        <w:tc>
          <w:tcPr>
            <w:tcW w:w="1354" w:type="dxa"/>
            <w:tcBorders>
              <w:top w:val="single" w:color="auto" w:sz="4" w:space="0"/>
              <w:left w:val="nil"/>
              <w:bottom w:val="single" w:color="auto" w:sz="4" w:space="0"/>
              <w:right w:val="single" w:color="auto" w:sz="4" w:space="0"/>
            </w:tcBorders>
            <w:vAlign w:val="center"/>
          </w:tcPr>
          <w:p>
            <w:pPr>
              <w:rPr>
                <w:rFonts w:cs="宋体"/>
              </w:rPr>
            </w:pPr>
            <w:r>
              <w:rPr>
                <w:rFonts w:hint="eastAsia" w:cs="宋体"/>
              </w:rPr>
              <w:t>油罐的液位计损坏，在卸油过程中未发现，可能导致油品溢出；油罐罐体腐蚀穿孔，导致油品泄漏；管理不当，从业人员粗心大意等，在卸油、量油、加油过程中导致油品泄漏。</w:t>
            </w:r>
          </w:p>
        </w:tc>
        <w:tc>
          <w:tcPr>
            <w:tcW w:w="687" w:type="dxa"/>
            <w:tcBorders>
              <w:top w:val="single" w:color="auto" w:sz="4" w:space="0"/>
              <w:left w:val="nil"/>
              <w:bottom w:val="single" w:color="auto" w:sz="4" w:space="0"/>
              <w:right w:val="single" w:color="auto" w:sz="4" w:space="0"/>
            </w:tcBorders>
            <w:vAlign w:val="center"/>
          </w:tcPr>
          <w:p>
            <w:pPr>
              <w:jc w:val="center"/>
              <w:rPr>
                <w:rFonts w:cs="宋体"/>
              </w:rPr>
            </w:pPr>
            <w:r>
              <w:rPr>
                <w:rFonts w:hint="eastAsia" w:cs="宋体"/>
              </w:rPr>
              <w:t>少量泄漏事故严重程度一般，大量泄漏可能变严重</w:t>
            </w:r>
          </w:p>
        </w:tc>
        <w:tc>
          <w:tcPr>
            <w:tcW w:w="994" w:type="dxa"/>
            <w:tcBorders>
              <w:top w:val="single" w:color="auto" w:sz="4" w:space="0"/>
              <w:left w:val="nil"/>
              <w:bottom w:val="single" w:color="auto" w:sz="4" w:space="0"/>
              <w:right w:val="single" w:color="auto" w:sz="4" w:space="0"/>
            </w:tcBorders>
            <w:vAlign w:val="center"/>
          </w:tcPr>
          <w:p>
            <w:pPr>
              <w:jc w:val="left"/>
              <w:rPr>
                <w:rFonts w:cs="宋体"/>
              </w:rPr>
            </w:pPr>
            <w:r>
              <w:rPr>
                <w:rFonts w:hint="eastAsia" w:cs="宋体"/>
              </w:rPr>
              <w:t>油罐区、卸油口及加油区、输油管道</w:t>
            </w:r>
          </w:p>
        </w:tc>
        <w:tc>
          <w:tcPr>
            <w:tcW w:w="721" w:type="dxa"/>
            <w:tcBorders>
              <w:top w:val="single" w:color="auto" w:sz="4" w:space="0"/>
              <w:left w:val="nil"/>
              <w:bottom w:val="single" w:color="auto" w:sz="4" w:space="0"/>
              <w:right w:val="single" w:color="auto" w:sz="4" w:space="0"/>
            </w:tcBorders>
            <w:vAlign w:val="center"/>
          </w:tcPr>
          <w:p>
            <w:pPr>
              <w:jc w:val="left"/>
              <w:rPr>
                <w:rFonts w:cs="宋体"/>
              </w:rPr>
            </w:pPr>
            <w:r>
              <w:rPr>
                <w:rFonts w:hint="eastAsia" w:cs="宋体"/>
              </w:rPr>
              <w:t>人员伤亡、设备损坏</w:t>
            </w:r>
          </w:p>
        </w:tc>
        <w:tc>
          <w:tcPr>
            <w:tcW w:w="1599" w:type="dxa"/>
            <w:tcBorders>
              <w:top w:val="single" w:color="auto" w:sz="4" w:space="0"/>
              <w:left w:val="nil"/>
              <w:bottom w:val="single" w:color="auto" w:sz="4" w:space="0"/>
              <w:right w:val="single" w:color="auto" w:sz="4" w:space="0"/>
            </w:tcBorders>
            <w:vAlign w:val="center"/>
          </w:tcPr>
          <w:p>
            <w:pPr>
              <w:jc w:val="left"/>
              <w:rPr>
                <w:rFonts w:cs="宋体"/>
              </w:rPr>
            </w:pPr>
            <w:r>
              <w:rPr>
                <w:rFonts w:hint="eastAsia" w:cs="宋体"/>
              </w:rPr>
              <w:t>物料泄漏可能导致火灾爆炸事故以及中毒窒息事故，少量泄漏可能只危及泄漏部位，大量泄漏可能危及整个加油站甚至周边农户及过往车辆</w:t>
            </w:r>
          </w:p>
        </w:tc>
        <w:tc>
          <w:tcPr>
            <w:tcW w:w="2130" w:type="dxa"/>
            <w:tcBorders>
              <w:top w:val="single" w:color="auto" w:sz="4" w:space="0"/>
              <w:left w:val="nil"/>
              <w:bottom w:val="single" w:color="auto" w:sz="4" w:space="0"/>
              <w:right w:val="single" w:color="auto" w:sz="4" w:space="0"/>
            </w:tcBorders>
            <w:vAlign w:val="center"/>
          </w:tcPr>
          <w:p>
            <w:pPr>
              <w:jc w:val="left"/>
              <w:rPr>
                <w:rFonts w:cs="宋体"/>
              </w:rPr>
            </w:pPr>
            <w:r>
              <w:rPr>
                <w:rFonts w:hint="eastAsia" w:cs="宋体"/>
              </w:rPr>
              <w:t>定期将计量设备送检，保证设备的完好有效；加强对设备的管理、维护等，保证设备完好；加强人员培训，提高安全意识。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0" w:type="dxa"/>
            <w:tcBorders>
              <w:top w:val="single" w:color="auto" w:sz="4" w:space="0"/>
              <w:left w:val="single" w:color="auto" w:sz="4" w:space="0"/>
              <w:bottom w:val="single" w:color="auto" w:sz="4" w:space="0"/>
              <w:right w:val="single" w:color="auto" w:sz="4" w:space="0"/>
            </w:tcBorders>
            <w:vAlign w:val="center"/>
          </w:tcPr>
          <w:p>
            <w:pPr>
              <w:rPr>
                <w:rFonts w:cs="宋体"/>
              </w:rPr>
            </w:pPr>
            <w:r>
              <w:rPr>
                <w:rFonts w:hint="eastAsia" w:cs="宋体"/>
              </w:rPr>
              <w:t>危险物料火灾、爆炸</w:t>
            </w:r>
          </w:p>
        </w:tc>
        <w:tc>
          <w:tcPr>
            <w:tcW w:w="1354" w:type="dxa"/>
            <w:tcBorders>
              <w:top w:val="single" w:color="auto" w:sz="4" w:space="0"/>
              <w:left w:val="nil"/>
              <w:bottom w:val="single" w:color="auto" w:sz="4" w:space="0"/>
              <w:right w:val="single" w:color="auto" w:sz="4" w:space="0"/>
            </w:tcBorders>
            <w:vAlign w:val="center"/>
          </w:tcPr>
          <w:p>
            <w:pPr>
              <w:rPr>
                <w:rFonts w:cs="宋体"/>
              </w:rPr>
            </w:pPr>
            <w:r>
              <w:rPr>
                <w:rFonts w:hint="eastAsia" w:cs="宋体"/>
              </w:rPr>
              <w:t>汽油和（或）柴油泄漏，遇点火源易发生火灾事故；当场所通风不良，与空气形成爆炸性混合物时遇点火源可能导致爆炸。</w:t>
            </w:r>
          </w:p>
        </w:tc>
        <w:tc>
          <w:tcPr>
            <w:tcW w:w="687" w:type="dxa"/>
            <w:tcBorders>
              <w:top w:val="single" w:color="auto" w:sz="4" w:space="0"/>
              <w:left w:val="nil"/>
              <w:bottom w:val="single" w:color="auto" w:sz="4" w:space="0"/>
              <w:right w:val="single" w:color="auto" w:sz="4" w:space="0"/>
            </w:tcBorders>
            <w:vAlign w:val="center"/>
          </w:tcPr>
          <w:p>
            <w:pPr>
              <w:jc w:val="center"/>
              <w:rPr>
                <w:rFonts w:cs="宋体"/>
              </w:rPr>
            </w:pPr>
            <w:r>
              <w:rPr>
                <w:rFonts w:hint="eastAsia" w:cs="宋体"/>
              </w:rPr>
              <w:t>较大或严重</w:t>
            </w:r>
          </w:p>
        </w:tc>
        <w:tc>
          <w:tcPr>
            <w:tcW w:w="994" w:type="dxa"/>
            <w:tcBorders>
              <w:top w:val="single" w:color="auto" w:sz="4" w:space="0"/>
              <w:left w:val="nil"/>
              <w:bottom w:val="single" w:color="auto" w:sz="4" w:space="0"/>
              <w:right w:val="single" w:color="auto" w:sz="4" w:space="0"/>
            </w:tcBorders>
            <w:vAlign w:val="center"/>
          </w:tcPr>
          <w:p>
            <w:pPr>
              <w:jc w:val="left"/>
              <w:rPr>
                <w:rFonts w:cs="宋体"/>
              </w:rPr>
            </w:pPr>
            <w:r>
              <w:rPr>
                <w:rFonts w:hint="eastAsia" w:cs="宋体"/>
              </w:rPr>
              <w:t>罐区、卸油口、加油区、输油管道</w:t>
            </w:r>
          </w:p>
        </w:tc>
        <w:tc>
          <w:tcPr>
            <w:tcW w:w="721" w:type="dxa"/>
            <w:tcBorders>
              <w:top w:val="single" w:color="auto" w:sz="4" w:space="0"/>
              <w:left w:val="nil"/>
              <w:bottom w:val="single" w:color="auto" w:sz="4" w:space="0"/>
              <w:right w:val="single" w:color="auto" w:sz="4" w:space="0"/>
            </w:tcBorders>
            <w:vAlign w:val="center"/>
          </w:tcPr>
          <w:p>
            <w:pPr>
              <w:jc w:val="left"/>
              <w:rPr>
                <w:rFonts w:cs="宋体"/>
              </w:rPr>
            </w:pPr>
            <w:r>
              <w:rPr>
                <w:rFonts w:hint="eastAsia" w:cs="宋体"/>
              </w:rPr>
              <w:t>人员伤亡，设备损坏</w:t>
            </w:r>
          </w:p>
        </w:tc>
        <w:tc>
          <w:tcPr>
            <w:tcW w:w="1599" w:type="dxa"/>
            <w:tcBorders>
              <w:top w:val="single" w:color="auto" w:sz="4" w:space="0"/>
              <w:left w:val="nil"/>
              <w:bottom w:val="single" w:color="auto" w:sz="4" w:space="0"/>
              <w:right w:val="single" w:color="auto" w:sz="4" w:space="0"/>
            </w:tcBorders>
            <w:vAlign w:val="center"/>
          </w:tcPr>
          <w:p>
            <w:pPr>
              <w:jc w:val="left"/>
              <w:rPr>
                <w:rFonts w:cs="宋体"/>
              </w:rPr>
            </w:pPr>
            <w:r>
              <w:rPr>
                <w:rFonts w:hint="eastAsia" w:cs="宋体"/>
              </w:rPr>
              <w:t>火灾爆炸影响范围较大，可能危及整个加油站甚至周边农户及过往车辆</w:t>
            </w:r>
          </w:p>
        </w:tc>
        <w:tc>
          <w:tcPr>
            <w:tcW w:w="2130" w:type="dxa"/>
            <w:tcBorders>
              <w:top w:val="single" w:color="auto" w:sz="4" w:space="0"/>
              <w:left w:val="nil"/>
              <w:bottom w:val="single" w:color="auto" w:sz="4" w:space="0"/>
              <w:right w:val="single" w:color="auto" w:sz="4" w:space="0"/>
            </w:tcBorders>
            <w:vAlign w:val="center"/>
          </w:tcPr>
          <w:p>
            <w:pPr>
              <w:numPr>
                <w:ilvl w:val="0"/>
                <w:numId w:val="7"/>
              </w:numPr>
              <w:jc w:val="left"/>
              <w:rPr>
                <w:rFonts w:cs="宋体"/>
              </w:rPr>
            </w:pPr>
            <w:r>
              <w:rPr>
                <w:rFonts w:hint="eastAsia" w:cs="宋体"/>
              </w:rPr>
              <w:t>加强巡检，保证设备管线完好；</w:t>
            </w:r>
          </w:p>
          <w:p>
            <w:pPr>
              <w:numPr>
                <w:ilvl w:val="0"/>
                <w:numId w:val="7"/>
              </w:numPr>
              <w:jc w:val="left"/>
              <w:rPr>
                <w:rFonts w:cs="宋体"/>
              </w:rPr>
            </w:pPr>
            <w:r>
              <w:rPr>
                <w:rFonts w:hint="eastAsia" w:cs="宋体"/>
              </w:rPr>
              <w:t>周边区域严禁烟火及其他点火源；</w:t>
            </w:r>
          </w:p>
          <w:p>
            <w:pPr>
              <w:numPr>
                <w:ilvl w:val="0"/>
                <w:numId w:val="7"/>
              </w:numPr>
              <w:jc w:val="left"/>
              <w:rPr>
                <w:rFonts w:cs="宋体"/>
              </w:rPr>
            </w:pPr>
            <w:r>
              <w:rPr>
                <w:rFonts w:hint="eastAsia" w:cs="宋体"/>
              </w:rPr>
              <w:t>在易发生可燃气体积聚的场所加强通风；</w:t>
            </w:r>
          </w:p>
          <w:p>
            <w:pPr>
              <w:numPr>
                <w:ilvl w:val="0"/>
                <w:numId w:val="7"/>
              </w:numPr>
              <w:jc w:val="left"/>
              <w:rPr>
                <w:rFonts w:cs="宋体"/>
              </w:rPr>
            </w:pPr>
            <w:r>
              <w:rPr>
                <w:rFonts w:hint="eastAsia" w:cs="宋体"/>
              </w:rPr>
              <w:t>制定相关的安全管理制度及操作规程，加强人员培训</w:t>
            </w:r>
          </w:p>
        </w:tc>
      </w:tr>
    </w:tbl>
    <w:p>
      <w:pPr>
        <w:pStyle w:val="6"/>
        <w:rPr>
          <w:rStyle w:val="49"/>
          <w:rFonts w:ascii="Times New Roman" w:hAnsi="Times New Roman" w:cs="宋体"/>
          <w:b/>
          <w:bCs/>
          <w:sz w:val="24"/>
          <w:szCs w:val="24"/>
        </w:rPr>
      </w:pPr>
      <w:r>
        <w:rPr>
          <w:rStyle w:val="49"/>
          <w:rFonts w:hint="eastAsia" w:ascii="Times New Roman" w:hAnsi="Times New Roman" w:cs="宋体"/>
          <w:b/>
          <w:bCs/>
          <w:sz w:val="24"/>
          <w:szCs w:val="24"/>
        </w:rPr>
        <w:t>1.1.5.1 油品泄漏事故发生部位</w:t>
      </w:r>
    </w:p>
    <w:p>
      <w:pPr>
        <w:spacing w:line="360" w:lineRule="auto"/>
        <w:ind w:firstLine="480"/>
        <w:rPr>
          <w:rFonts w:ascii="宋体" w:hAnsi="宋体" w:cs="宋体"/>
          <w:sz w:val="28"/>
          <w:szCs w:val="28"/>
        </w:rPr>
      </w:pPr>
      <w:r>
        <w:rPr>
          <w:rFonts w:hint="eastAsia" w:ascii="宋体" w:hAnsi="宋体" w:cs="宋体"/>
          <w:sz w:val="28"/>
          <w:szCs w:val="28"/>
        </w:rPr>
        <w:t>储（卸）油区、加油区</w:t>
      </w:r>
    </w:p>
    <w:p>
      <w:pPr>
        <w:pStyle w:val="37"/>
        <w:outlineLvl w:val="3"/>
        <w:rPr>
          <w:rStyle w:val="49"/>
          <w:rFonts w:ascii="Times New Roman" w:hAnsi="Times New Roman" w:cs="宋体"/>
          <w:sz w:val="24"/>
          <w:szCs w:val="24"/>
        </w:rPr>
      </w:pPr>
      <w:r>
        <w:rPr>
          <w:rStyle w:val="49"/>
          <w:rFonts w:hint="eastAsia" w:ascii="Times New Roman" w:hAnsi="Times New Roman" w:cs="宋体"/>
          <w:sz w:val="24"/>
          <w:szCs w:val="24"/>
        </w:rPr>
        <w:t>1.1.5.2 油品泄漏事故发生原因</w:t>
      </w:r>
    </w:p>
    <w:p>
      <w:pPr>
        <w:spacing w:line="360" w:lineRule="auto"/>
        <w:ind w:firstLine="480"/>
        <w:rPr>
          <w:rFonts w:ascii="宋体" w:hAnsi="宋体" w:cs="宋体"/>
          <w:sz w:val="28"/>
          <w:szCs w:val="28"/>
        </w:rPr>
      </w:pPr>
      <w:r>
        <w:rPr>
          <w:rFonts w:hint="eastAsia" w:ascii="宋体" w:hAnsi="宋体" w:cs="宋体"/>
          <w:sz w:val="28"/>
          <w:szCs w:val="28"/>
        </w:rPr>
        <w:t xml:space="preserve">a.在接卸油品时因卸油胶管脱落、接头密闭胶垫破损或无胶垫、胶管破裂； </w:t>
      </w:r>
    </w:p>
    <w:p>
      <w:pPr>
        <w:spacing w:line="360" w:lineRule="auto"/>
        <w:ind w:firstLine="480"/>
        <w:rPr>
          <w:rFonts w:ascii="宋体" w:hAnsi="宋体" w:cs="宋体"/>
          <w:sz w:val="28"/>
          <w:szCs w:val="28"/>
        </w:rPr>
      </w:pPr>
      <w:r>
        <w:rPr>
          <w:rFonts w:hint="eastAsia" w:ascii="宋体" w:hAnsi="宋体" w:cs="宋体"/>
          <w:sz w:val="28"/>
          <w:szCs w:val="28"/>
        </w:rPr>
        <w:t>b.在卸油或加油过程中，进出油管线锈蚀穿孔、破裂；</w:t>
      </w:r>
    </w:p>
    <w:p>
      <w:pPr>
        <w:spacing w:line="360" w:lineRule="auto"/>
        <w:ind w:firstLine="480"/>
        <w:rPr>
          <w:rFonts w:ascii="宋体" w:hAnsi="宋体" w:cs="宋体"/>
          <w:sz w:val="28"/>
          <w:szCs w:val="28"/>
        </w:rPr>
      </w:pPr>
      <w:r>
        <w:rPr>
          <w:rFonts w:hint="eastAsia" w:ascii="宋体" w:hAnsi="宋体" w:cs="宋体"/>
          <w:sz w:val="28"/>
          <w:szCs w:val="28"/>
        </w:rPr>
        <w:t>c.储油罐锈蚀穿孔；</w:t>
      </w:r>
    </w:p>
    <w:p>
      <w:pPr>
        <w:spacing w:line="360" w:lineRule="auto"/>
        <w:ind w:firstLine="480"/>
        <w:rPr>
          <w:rFonts w:ascii="宋体" w:hAnsi="宋体" w:cs="宋体"/>
          <w:sz w:val="28"/>
          <w:szCs w:val="28"/>
        </w:rPr>
      </w:pPr>
      <w:r>
        <w:rPr>
          <w:rFonts w:hint="eastAsia" w:ascii="宋体" w:hAnsi="宋体" w:cs="宋体"/>
          <w:sz w:val="28"/>
          <w:szCs w:val="28"/>
        </w:rPr>
        <w:t>d.加油机部件密闭不严（破损）及与油管线连接处密闭不严；</w:t>
      </w:r>
    </w:p>
    <w:p>
      <w:pPr>
        <w:spacing w:line="360" w:lineRule="auto"/>
        <w:ind w:firstLine="480"/>
        <w:rPr>
          <w:rFonts w:ascii="宋体" w:hAnsi="宋体" w:cs="宋体"/>
          <w:sz w:val="28"/>
          <w:szCs w:val="28"/>
        </w:rPr>
      </w:pPr>
      <w:r>
        <w:rPr>
          <w:rFonts w:hint="eastAsia" w:ascii="宋体" w:hAnsi="宋体" w:cs="宋体"/>
          <w:sz w:val="28"/>
          <w:szCs w:val="28"/>
        </w:rPr>
        <w:t>e.在加油作业中因加油枪失灵、加油员违章操作、加油胶管破损等；</w:t>
      </w:r>
    </w:p>
    <w:p>
      <w:pPr>
        <w:spacing w:line="360" w:lineRule="auto"/>
        <w:ind w:firstLine="480"/>
        <w:rPr>
          <w:rFonts w:ascii="宋体" w:hAnsi="宋体" w:cs="宋体"/>
          <w:sz w:val="28"/>
          <w:szCs w:val="28"/>
        </w:rPr>
      </w:pPr>
      <w:r>
        <w:rPr>
          <w:rFonts w:hint="eastAsia" w:ascii="宋体" w:hAnsi="宋体" w:cs="宋体"/>
          <w:sz w:val="28"/>
          <w:szCs w:val="28"/>
        </w:rPr>
        <w:t>f.计量错误、开放式卸油。</w:t>
      </w:r>
    </w:p>
    <w:p>
      <w:pPr>
        <w:pStyle w:val="4"/>
        <w:spacing w:before="0" w:after="0"/>
        <w:rPr>
          <w:rStyle w:val="51"/>
          <w:rFonts w:hint="default" w:ascii="Times New Roman" w:hAnsi="Times New Roman" w:cs="宋体"/>
          <w:b/>
          <w:bCs/>
          <w:sz w:val="24"/>
          <w:szCs w:val="24"/>
        </w:rPr>
      </w:pPr>
      <w:bookmarkStart w:id="677" w:name="_Toc504989628"/>
      <w:bookmarkStart w:id="678" w:name="_Toc30624"/>
      <w:bookmarkStart w:id="679" w:name="_Toc530594662"/>
      <w:bookmarkStart w:id="680" w:name="_Toc437"/>
      <w:bookmarkStart w:id="681" w:name="_Toc31529"/>
      <w:bookmarkStart w:id="682" w:name="_Toc7337"/>
      <w:r>
        <w:rPr>
          <w:rStyle w:val="51"/>
          <w:rFonts w:hint="default" w:ascii="Times New Roman" w:hAnsi="Times New Roman" w:cs="宋体"/>
          <w:b/>
          <w:bCs/>
          <w:sz w:val="24"/>
          <w:szCs w:val="24"/>
        </w:rPr>
        <w:t>1.</w:t>
      </w:r>
      <w:bookmarkEnd w:id="677"/>
      <w:r>
        <w:rPr>
          <w:rStyle w:val="51"/>
          <w:rFonts w:hint="default" w:ascii="Times New Roman" w:hAnsi="Times New Roman" w:cs="宋体"/>
          <w:b/>
          <w:bCs/>
          <w:sz w:val="24"/>
          <w:szCs w:val="24"/>
        </w:rPr>
        <w:t>2组织机构及职责</w:t>
      </w:r>
      <w:bookmarkEnd w:id="678"/>
      <w:bookmarkEnd w:id="679"/>
      <w:bookmarkEnd w:id="680"/>
      <w:bookmarkEnd w:id="681"/>
      <w:bookmarkEnd w:id="682"/>
    </w:p>
    <w:p>
      <w:pPr>
        <w:spacing w:line="360" w:lineRule="auto"/>
        <w:ind w:firstLine="480"/>
        <w:rPr>
          <w:rFonts w:ascii="宋体" w:hAnsi="宋体" w:cs="宋体"/>
          <w:sz w:val="28"/>
          <w:szCs w:val="28"/>
        </w:rPr>
      </w:pPr>
      <w:r>
        <w:rPr>
          <w:rFonts w:hint="eastAsia" w:ascii="宋体" w:hAnsi="宋体" w:cs="宋体"/>
          <w:sz w:val="28"/>
          <w:szCs w:val="28"/>
        </w:rPr>
        <w:t>1、应急救援领导小组</w:t>
      </w:r>
    </w:p>
    <w:p>
      <w:pPr>
        <w:spacing w:line="360" w:lineRule="auto"/>
        <w:ind w:firstLine="480"/>
        <w:rPr>
          <w:rFonts w:ascii="宋体" w:hAnsi="宋体" w:cs="宋体"/>
          <w:sz w:val="28"/>
          <w:szCs w:val="28"/>
        </w:rPr>
      </w:pPr>
      <w:r>
        <w:rPr>
          <w:rFonts w:hint="eastAsia" w:ascii="宋体" w:hAnsi="宋体" w:cs="宋体"/>
          <w:sz w:val="28"/>
          <w:szCs w:val="28"/>
        </w:rPr>
        <w:t>应急救援组组长：李德斌</w:t>
      </w:r>
    </w:p>
    <w:p>
      <w:pPr>
        <w:spacing w:line="360" w:lineRule="auto"/>
        <w:ind w:firstLine="480"/>
        <w:rPr>
          <w:rFonts w:ascii="宋体" w:hAnsi="宋体" w:cs="宋体"/>
          <w:sz w:val="28"/>
          <w:szCs w:val="28"/>
        </w:rPr>
      </w:pPr>
      <w:r>
        <w:rPr>
          <w:rFonts w:hint="eastAsia" w:ascii="宋体" w:hAnsi="宋体" w:cs="宋体"/>
          <w:sz w:val="28"/>
          <w:szCs w:val="28"/>
        </w:rPr>
        <w:t>应急救援组副组长：李力</w:t>
      </w:r>
    </w:p>
    <w:p>
      <w:pPr>
        <w:spacing w:line="360" w:lineRule="auto"/>
        <w:ind w:firstLine="480"/>
        <w:rPr>
          <w:rFonts w:ascii="宋体" w:hAnsi="宋体" w:cs="宋体"/>
          <w:sz w:val="28"/>
          <w:szCs w:val="28"/>
        </w:rPr>
      </w:pPr>
      <w:r>
        <w:rPr>
          <w:rFonts w:hint="eastAsia" w:ascii="宋体" w:hAnsi="宋体" w:cs="宋体"/>
          <w:sz w:val="28"/>
          <w:szCs w:val="28"/>
        </w:rPr>
        <w:t>现场应急处置人员：赵亮、何洪艳、杨瑞萍、李小珍</w:t>
      </w:r>
    </w:p>
    <w:p>
      <w:pPr>
        <w:spacing w:line="360" w:lineRule="auto"/>
        <w:ind w:firstLine="480"/>
        <w:rPr>
          <w:rFonts w:ascii="宋体" w:hAnsi="宋体" w:cs="宋体"/>
          <w:sz w:val="28"/>
          <w:szCs w:val="28"/>
        </w:rPr>
      </w:pPr>
      <w:r>
        <w:rPr>
          <w:rFonts w:hint="eastAsia" w:ascii="宋体" w:hAnsi="宋体" w:cs="宋体"/>
          <w:sz w:val="28"/>
          <w:szCs w:val="28"/>
        </w:rPr>
        <w:t>本站共6人，分为两个班组，分别有现场应急处置组、警戒疏散组、通讯联络组、后勤保障组，吉运加油站的人员有进行明确分工，以避免事故进一步扩大和产生次生灾害为准则。</w:t>
      </w:r>
    </w:p>
    <w:p>
      <w:pPr>
        <w:spacing w:line="360" w:lineRule="auto"/>
        <w:ind w:firstLine="480"/>
        <w:rPr>
          <w:rFonts w:ascii="宋体" w:hAnsi="宋体" w:cs="宋体"/>
          <w:sz w:val="28"/>
          <w:szCs w:val="28"/>
        </w:rPr>
      </w:pPr>
      <w:r>
        <w:rPr>
          <w:rFonts w:hint="eastAsia" w:ascii="宋体" w:hAnsi="宋体" w:cs="宋体"/>
          <w:sz w:val="28"/>
          <w:szCs w:val="28"/>
        </w:rPr>
        <w:t>应急组长及成员的职责</w:t>
      </w:r>
    </w:p>
    <w:p>
      <w:pPr>
        <w:spacing w:line="360" w:lineRule="auto"/>
        <w:ind w:firstLine="480"/>
        <w:rPr>
          <w:rFonts w:ascii="宋体" w:hAnsi="宋体" w:cs="宋体"/>
          <w:sz w:val="28"/>
          <w:szCs w:val="28"/>
        </w:rPr>
      </w:pPr>
      <w:r>
        <w:rPr>
          <w:rFonts w:hint="eastAsia" w:ascii="宋体" w:hAnsi="宋体" w:cs="宋体"/>
          <w:sz w:val="28"/>
          <w:szCs w:val="28"/>
        </w:rPr>
        <w:t>1）组长负责组织制定和修订本站的应急预案，每年年底公布加油站应急领导成员及联系方式；当应急指挥成员变动时应及时修订并颁发，并上报给辖区内的应急管理局备案；</w:t>
      </w:r>
    </w:p>
    <w:p>
      <w:pPr>
        <w:spacing w:line="360" w:lineRule="auto"/>
        <w:ind w:firstLine="480"/>
        <w:rPr>
          <w:rFonts w:ascii="宋体" w:hAnsi="宋体" w:cs="宋体"/>
          <w:sz w:val="28"/>
          <w:szCs w:val="28"/>
        </w:rPr>
      </w:pPr>
      <w:r>
        <w:rPr>
          <w:rFonts w:hint="eastAsia" w:ascii="宋体" w:hAnsi="宋体" w:cs="宋体"/>
          <w:sz w:val="28"/>
          <w:szCs w:val="28"/>
        </w:rPr>
        <w:t>2）组长负责组织、指挥本站事故应急救援培训和演练；</w:t>
      </w:r>
    </w:p>
    <w:p>
      <w:pPr>
        <w:spacing w:line="360" w:lineRule="auto"/>
        <w:ind w:firstLine="480"/>
        <w:rPr>
          <w:rFonts w:ascii="宋体" w:hAnsi="宋体" w:cs="宋体"/>
          <w:sz w:val="28"/>
          <w:szCs w:val="28"/>
        </w:rPr>
      </w:pPr>
      <w:r>
        <w:rPr>
          <w:rFonts w:hint="eastAsia" w:ascii="宋体" w:hAnsi="宋体" w:cs="宋体"/>
          <w:sz w:val="28"/>
          <w:szCs w:val="28"/>
        </w:rPr>
        <w:t>3）组长负责具体组织实施应急救援小组的日常指示和安排；</w:t>
      </w:r>
    </w:p>
    <w:p>
      <w:pPr>
        <w:spacing w:line="360" w:lineRule="auto"/>
        <w:ind w:firstLine="480"/>
        <w:rPr>
          <w:rFonts w:ascii="宋体" w:hAnsi="宋体" w:cs="宋体"/>
          <w:sz w:val="28"/>
          <w:szCs w:val="28"/>
        </w:rPr>
      </w:pPr>
      <w:r>
        <w:rPr>
          <w:rFonts w:hint="eastAsia" w:ascii="宋体" w:hAnsi="宋体" w:cs="宋体"/>
          <w:sz w:val="28"/>
          <w:szCs w:val="28"/>
        </w:rPr>
        <w:t>4）组长负责联系、协调与相关管理部门的事故应急救援工作，报告事故情况及善后处理情况。</w:t>
      </w:r>
    </w:p>
    <w:p>
      <w:pPr>
        <w:spacing w:line="360" w:lineRule="auto"/>
        <w:ind w:firstLine="480"/>
        <w:rPr>
          <w:rFonts w:ascii="宋体" w:hAnsi="宋体" w:cs="宋体"/>
          <w:sz w:val="28"/>
          <w:szCs w:val="28"/>
        </w:rPr>
      </w:pPr>
      <w:r>
        <w:rPr>
          <w:rFonts w:hint="eastAsia" w:ascii="宋体" w:hAnsi="宋体" w:cs="宋体"/>
          <w:sz w:val="28"/>
          <w:szCs w:val="28"/>
        </w:rPr>
        <w:t>5）应急成员负责协助应急组长开展抢险救援、善后处理等工作。</w:t>
      </w:r>
    </w:p>
    <w:p>
      <w:pPr>
        <w:spacing w:line="360" w:lineRule="auto"/>
        <w:ind w:firstLine="480"/>
        <w:rPr>
          <w:rFonts w:ascii="宋体" w:hAnsi="宋体" w:cs="宋体"/>
          <w:sz w:val="28"/>
          <w:szCs w:val="28"/>
        </w:rPr>
      </w:pPr>
      <w:r>
        <w:rPr>
          <w:rFonts w:hint="eastAsia" w:ascii="宋体" w:hAnsi="宋体" w:cs="宋体"/>
          <w:sz w:val="28"/>
          <w:szCs w:val="28"/>
        </w:rPr>
        <w:t>6）当发生本站能控制的事故时，站长及加油员为应急救援小组组长及成员，开展抢险救援工作；当发生事故较大超出本站的应急处理能力时，站长及加油员主要开展应急疏散、对外通讯联络工作，当有能力对受伤人员进行医疗救护；事故救援结束后，加油员协助站长进行善后处理工作。</w:t>
      </w:r>
    </w:p>
    <w:p>
      <w:pPr>
        <w:spacing w:line="360" w:lineRule="auto"/>
        <w:ind w:firstLine="480"/>
        <w:rPr>
          <w:rFonts w:ascii="宋体" w:hAnsi="宋体" w:cs="宋体"/>
          <w:sz w:val="28"/>
          <w:szCs w:val="28"/>
        </w:rPr>
      </w:pPr>
      <w:r>
        <w:rPr>
          <w:rFonts w:hint="eastAsia" w:ascii="宋体" w:hAnsi="宋体" w:cs="宋体"/>
          <w:sz w:val="28"/>
          <w:szCs w:val="28"/>
        </w:rPr>
        <w:t>3、应急救援过程中工作内容：</w:t>
      </w:r>
    </w:p>
    <w:p>
      <w:pPr>
        <w:spacing w:line="360" w:lineRule="auto"/>
        <w:ind w:firstLine="480"/>
        <w:rPr>
          <w:rFonts w:ascii="宋体" w:hAnsi="宋体" w:cs="宋体"/>
          <w:sz w:val="28"/>
          <w:szCs w:val="28"/>
        </w:rPr>
      </w:pPr>
      <w:r>
        <w:rPr>
          <w:rFonts w:hint="eastAsia" w:ascii="宋体" w:hAnsi="宋体" w:cs="宋体"/>
          <w:sz w:val="28"/>
          <w:szCs w:val="28"/>
        </w:rPr>
        <w:t>1）决定是否启动应急预案，以及预案的级别。</w:t>
      </w:r>
    </w:p>
    <w:p>
      <w:pPr>
        <w:spacing w:line="360" w:lineRule="auto"/>
        <w:ind w:firstLine="480"/>
        <w:rPr>
          <w:rFonts w:ascii="宋体" w:hAnsi="宋体" w:cs="宋体"/>
          <w:sz w:val="28"/>
          <w:szCs w:val="28"/>
        </w:rPr>
      </w:pPr>
      <w:r>
        <w:rPr>
          <w:rFonts w:hint="eastAsia" w:ascii="宋体" w:hAnsi="宋体" w:cs="宋体"/>
          <w:sz w:val="28"/>
          <w:szCs w:val="28"/>
        </w:rPr>
        <w:t>2）决定是否发布应急救援联络信号。</w:t>
      </w:r>
    </w:p>
    <w:p>
      <w:pPr>
        <w:spacing w:line="360" w:lineRule="auto"/>
        <w:ind w:firstLine="480"/>
        <w:rPr>
          <w:rFonts w:ascii="宋体" w:hAnsi="宋体" w:cs="宋体"/>
          <w:sz w:val="28"/>
          <w:szCs w:val="28"/>
        </w:rPr>
      </w:pPr>
      <w:r>
        <w:rPr>
          <w:rFonts w:hint="eastAsia" w:ascii="宋体" w:hAnsi="宋体" w:cs="宋体"/>
          <w:sz w:val="28"/>
          <w:szCs w:val="28"/>
        </w:rPr>
        <w:t>3）决定是否向周边可能受到侵害的农户及时通报情况。</w:t>
      </w:r>
    </w:p>
    <w:p>
      <w:pPr>
        <w:spacing w:line="360" w:lineRule="auto"/>
        <w:ind w:firstLine="480"/>
        <w:rPr>
          <w:rFonts w:ascii="宋体" w:hAnsi="宋体" w:cs="宋体"/>
          <w:sz w:val="28"/>
          <w:szCs w:val="28"/>
        </w:rPr>
      </w:pPr>
      <w:r>
        <w:rPr>
          <w:rFonts w:hint="eastAsia" w:ascii="宋体" w:hAnsi="宋体" w:cs="宋体"/>
          <w:sz w:val="28"/>
          <w:szCs w:val="28"/>
        </w:rPr>
        <w:t>4）决定向上级应急救援组织提出援助请求。</w:t>
      </w:r>
    </w:p>
    <w:p>
      <w:pPr>
        <w:spacing w:line="360" w:lineRule="auto"/>
        <w:ind w:firstLine="480"/>
        <w:rPr>
          <w:rFonts w:ascii="宋体" w:hAnsi="宋体" w:cs="宋体"/>
          <w:sz w:val="28"/>
          <w:szCs w:val="28"/>
        </w:rPr>
      </w:pPr>
      <w:r>
        <w:rPr>
          <w:rFonts w:hint="eastAsia" w:ascii="宋体" w:hAnsi="宋体" w:cs="宋体"/>
          <w:sz w:val="28"/>
          <w:szCs w:val="28"/>
        </w:rPr>
        <w:t>5）指导群众撤离危险区域；</w:t>
      </w:r>
    </w:p>
    <w:p>
      <w:pPr>
        <w:spacing w:line="360" w:lineRule="auto"/>
        <w:ind w:firstLine="480"/>
        <w:rPr>
          <w:rFonts w:ascii="宋体" w:hAnsi="宋体" w:cs="宋体"/>
          <w:sz w:val="28"/>
          <w:szCs w:val="28"/>
        </w:rPr>
      </w:pPr>
      <w:r>
        <w:rPr>
          <w:rFonts w:hint="eastAsia" w:ascii="宋体" w:hAnsi="宋体" w:cs="宋体"/>
          <w:sz w:val="28"/>
          <w:szCs w:val="28"/>
        </w:rPr>
        <w:t>6）实施抢险救援行动，尽最大努力抢救伤员。</w:t>
      </w:r>
    </w:p>
    <w:p>
      <w:pPr>
        <w:spacing w:line="360" w:lineRule="auto"/>
        <w:ind w:firstLine="480"/>
        <w:rPr>
          <w:rFonts w:ascii="宋体" w:hAnsi="宋体" w:cs="宋体"/>
          <w:sz w:val="28"/>
          <w:szCs w:val="28"/>
        </w:rPr>
      </w:pPr>
      <w:r>
        <w:rPr>
          <w:rFonts w:hint="eastAsia" w:ascii="宋体" w:hAnsi="宋体" w:cs="宋体"/>
          <w:sz w:val="28"/>
          <w:szCs w:val="28"/>
        </w:rPr>
        <w:t>7）当外部救援力量实施救援时，配合其行动。</w:t>
      </w:r>
    </w:p>
    <w:p>
      <w:pPr>
        <w:spacing w:line="360" w:lineRule="auto"/>
        <w:ind w:firstLine="480"/>
        <w:rPr>
          <w:rFonts w:ascii="宋体" w:hAnsi="宋体" w:cs="宋体"/>
          <w:sz w:val="28"/>
          <w:szCs w:val="28"/>
        </w:rPr>
      </w:pPr>
      <w:r>
        <w:rPr>
          <w:rFonts w:hint="eastAsia" w:ascii="宋体" w:hAnsi="宋体" w:cs="宋体"/>
          <w:sz w:val="28"/>
          <w:szCs w:val="28"/>
        </w:rPr>
        <w:t>8）负责划定事故现场的警戒区域及警戒任务；负责现场车辆、人员的疏导；维持现场治安管理秩序。</w:t>
      </w:r>
    </w:p>
    <w:p>
      <w:pPr>
        <w:spacing w:line="360" w:lineRule="auto"/>
        <w:ind w:firstLine="480"/>
        <w:rPr>
          <w:rFonts w:ascii="宋体" w:hAnsi="宋体" w:cs="宋体"/>
          <w:sz w:val="28"/>
          <w:szCs w:val="28"/>
        </w:rPr>
      </w:pPr>
      <w:r>
        <w:rPr>
          <w:rFonts w:hint="eastAsia" w:ascii="宋体" w:hAnsi="宋体" w:cs="宋体"/>
          <w:sz w:val="28"/>
          <w:szCs w:val="28"/>
        </w:rPr>
        <w:t>9）及时快速地组织应急反应物资和其他有关资源送达指定的应急现场，并随时准备对事故现场进行其他支援，搞好后勤服务。</w:t>
      </w:r>
    </w:p>
    <w:p>
      <w:pPr>
        <w:spacing w:line="360" w:lineRule="auto"/>
        <w:ind w:firstLine="480"/>
        <w:rPr>
          <w:rFonts w:ascii="宋体" w:hAnsi="宋体" w:cs="宋体"/>
          <w:sz w:val="28"/>
          <w:szCs w:val="28"/>
        </w:rPr>
      </w:pPr>
      <w:r>
        <w:rPr>
          <w:rFonts w:hint="eastAsia" w:ascii="宋体" w:hAnsi="宋体" w:cs="宋体"/>
          <w:sz w:val="28"/>
          <w:szCs w:val="28"/>
        </w:rPr>
        <w:t>10）负责现场伤亡紧急救护；随时观察和记录伤亡情况；协助120和上级部门对伤亡进行抢救。</w:t>
      </w:r>
    </w:p>
    <w:p>
      <w:pPr>
        <w:spacing w:line="360" w:lineRule="auto"/>
        <w:ind w:firstLine="480"/>
        <w:rPr>
          <w:rFonts w:ascii="宋体" w:hAnsi="宋体" w:cs="宋体"/>
          <w:sz w:val="28"/>
          <w:szCs w:val="28"/>
        </w:rPr>
      </w:pPr>
      <w:r>
        <w:rPr>
          <w:rFonts w:hint="eastAsia" w:ascii="宋体" w:hAnsi="宋体" w:cs="宋体"/>
          <w:sz w:val="28"/>
          <w:szCs w:val="28"/>
        </w:rPr>
        <w:t>11）做好伤亡人员及家属的稳定工作，确保事故发生后伤亡人员及家属思想稳定，确保伤亡事故发生后不发生混乱和失控状况；做好伤亡医疗救护跟踪工作，协调处理医疗救护单位的相互矛盾；与保险部门一起做好伤亡人员及财产损失的理赔工作；做好伤员及家属的慰问工作。</w:t>
      </w:r>
    </w:p>
    <w:p>
      <w:pPr>
        <w:spacing w:line="360" w:lineRule="auto"/>
        <w:ind w:firstLine="480"/>
        <w:rPr>
          <w:rFonts w:ascii="宋体" w:hAnsi="宋体" w:cs="宋体"/>
          <w:sz w:val="28"/>
          <w:szCs w:val="28"/>
        </w:rPr>
      </w:pPr>
      <w:r>
        <w:rPr>
          <w:rFonts w:hint="eastAsia" w:ascii="宋体" w:hAnsi="宋体" w:cs="宋体"/>
          <w:sz w:val="28"/>
          <w:szCs w:val="28"/>
        </w:rPr>
        <w:t>12）组织事故调查；总结应急救援经验教训；尽快组织恢复生产。</w:t>
      </w:r>
    </w:p>
    <w:p>
      <w:pPr>
        <w:spacing w:line="360" w:lineRule="auto"/>
        <w:ind w:firstLine="480"/>
        <w:rPr>
          <w:rFonts w:ascii="宋体" w:hAnsi="宋体" w:cs="宋体"/>
          <w:sz w:val="28"/>
          <w:szCs w:val="28"/>
        </w:rPr>
      </w:pPr>
      <w:bookmarkStart w:id="683" w:name="_Toc25366"/>
      <w:bookmarkEnd w:id="683"/>
      <w:bookmarkStart w:id="684" w:name="_Toc504989629"/>
      <w:bookmarkEnd w:id="684"/>
      <w:bookmarkStart w:id="685" w:name="_Toc27003"/>
      <w:r>
        <w:rPr>
          <w:rFonts w:ascii="宋体" w:hAnsi="宋体" w:cs="宋体"/>
          <w:sz w:val="28"/>
          <w:szCs w:val="28"/>
        </w:rPr>
        <w:t>1.3处置程序</w:t>
      </w:r>
      <w:bookmarkEnd w:id="685"/>
    </w:p>
    <w:p>
      <w:pPr>
        <w:widowControl/>
        <w:spacing w:line="360" w:lineRule="auto"/>
        <w:ind w:firstLine="482" w:firstLineChars="200"/>
        <w:jc w:val="left"/>
        <w:rPr>
          <w:rFonts w:cs="宋体"/>
          <w:b/>
          <w:bCs/>
          <w:kern w:val="0"/>
        </w:rPr>
      </w:pPr>
      <w:r>
        <w:rPr>
          <w:rFonts w:hint="eastAsia" w:cs="宋体"/>
          <w:b/>
          <w:bCs/>
          <w:kern w:val="0"/>
          <w:sz w:val="24"/>
          <w:szCs w:val="24"/>
        </w:rPr>
        <w:t>（1）预防与预警</w:t>
      </w:r>
    </w:p>
    <w:p>
      <w:pPr>
        <w:spacing w:line="360" w:lineRule="auto"/>
        <w:ind w:firstLine="480"/>
        <w:rPr>
          <w:rFonts w:ascii="宋体" w:hAnsi="宋体" w:cs="宋体"/>
          <w:sz w:val="28"/>
          <w:szCs w:val="28"/>
        </w:rPr>
      </w:pPr>
      <w:r>
        <w:rPr>
          <w:rFonts w:hint="eastAsia" w:ascii="宋体" w:hAnsi="宋体" w:cs="宋体"/>
          <w:sz w:val="28"/>
          <w:szCs w:val="28"/>
        </w:rPr>
        <w:t>工作人员发现险情，经过应急领导小组组长（站长）确认险情后，即启动应急预案。</w:t>
      </w:r>
    </w:p>
    <w:p>
      <w:pPr>
        <w:spacing w:line="360" w:lineRule="auto"/>
        <w:ind w:firstLine="480"/>
        <w:rPr>
          <w:rFonts w:ascii="宋体" w:hAnsi="宋体" w:cs="宋体"/>
          <w:sz w:val="28"/>
          <w:szCs w:val="28"/>
        </w:rPr>
      </w:pPr>
      <w:r>
        <w:rPr>
          <w:rFonts w:hint="eastAsia" w:ascii="宋体" w:hAnsi="宋体" w:cs="宋体"/>
          <w:sz w:val="28"/>
          <w:szCs w:val="28"/>
        </w:rPr>
        <w:t>站长应当根据现场情况和事态的发展拨打火警电话119，并通知当地应急管理局。</w:t>
      </w:r>
    </w:p>
    <w:p>
      <w:pPr>
        <w:spacing w:line="360" w:lineRule="auto"/>
        <w:ind w:firstLine="480"/>
        <w:rPr>
          <w:rFonts w:ascii="宋体" w:hAnsi="宋体" w:cs="宋体"/>
          <w:sz w:val="28"/>
          <w:szCs w:val="28"/>
        </w:rPr>
      </w:pPr>
      <w:r>
        <w:rPr>
          <w:rFonts w:hint="eastAsia" w:ascii="宋体" w:hAnsi="宋体" w:cs="宋体"/>
          <w:sz w:val="28"/>
          <w:szCs w:val="28"/>
        </w:rPr>
        <w:t xml:space="preserve">如果事态扩大，情况紧急，要及时与周边单位、居民联络，告知本站出现的紧急情况，请求配合疏散及救援。 </w:t>
      </w:r>
    </w:p>
    <w:p>
      <w:pPr>
        <w:widowControl/>
        <w:spacing w:line="360" w:lineRule="auto"/>
        <w:ind w:firstLine="482" w:firstLineChars="200"/>
        <w:jc w:val="left"/>
        <w:rPr>
          <w:rFonts w:cs="宋体"/>
          <w:b/>
          <w:bCs/>
          <w:kern w:val="0"/>
          <w:sz w:val="24"/>
          <w:szCs w:val="24"/>
        </w:rPr>
      </w:pPr>
      <w:bookmarkStart w:id="686" w:name="_Toc337541881"/>
      <w:bookmarkEnd w:id="686"/>
      <w:r>
        <w:rPr>
          <w:rFonts w:hint="eastAsia" w:cs="宋体"/>
          <w:b/>
          <w:bCs/>
          <w:kern w:val="0"/>
          <w:sz w:val="24"/>
          <w:szCs w:val="24"/>
        </w:rPr>
        <w:t>（2）信息报告程序</w:t>
      </w:r>
    </w:p>
    <w:p>
      <w:pPr>
        <w:spacing w:line="360" w:lineRule="auto"/>
        <w:ind w:firstLine="480"/>
        <w:rPr>
          <w:rFonts w:ascii="宋体" w:hAnsi="宋体" w:cs="宋体"/>
          <w:sz w:val="28"/>
          <w:szCs w:val="28"/>
        </w:rPr>
      </w:pPr>
      <w:r>
        <w:rPr>
          <w:rFonts w:hint="eastAsia" w:ascii="宋体" w:hAnsi="宋体" w:cs="宋体"/>
          <w:sz w:val="28"/>
          <w:szCs w:val="28"/>
        </w:rPr>
        <w:t>组长（站长）在接到报告后，启动相应级别的应急救援预案，并根据事故情况，决定是否向当地专业救援部门（消防队119，医疗机构120等）求助，同时应在1小时内向当地应急管理局进行汇报。</w:t>
      </w:r>
    </w:p>
    <w:p>
      <w:pPr>
        <w:spacing w:line="360" w:lineRule="auto"/>
        <w:ind w:firstLine="480"/>
        <w:rPr>
          <w:rFonts w:ascii="宋体" w:hAnsi="宋体" w:cs="宋体"/>
          <w:sz w:val="28"/>
          <w:szCs w:val="28"/>
        </w:rPr>
      </w:pPr>
      <w:r>
        <w:rPr>
          <w:rFonts w:hint="eastAsia" w:ascii="宋体" w:hAnsi="宋体" w:cs="宋体"/>
          <w:sz w:val="28"/>
          <w:szCs w:val="28"/>
        </w:rPr>
        <w:t>报告内容包括：发生事故发生的地点、企业名称、事故种类、事故发生时间及现场伤亡情况。</w:t>
      </w:r>
    </w:p>
    <w:p>
      <w:pPr>
        <w:widowControl/>
        <w:spacing w:line="360" w:lineRule="auto"/>
        <w:ind w:firstLine="482" w:firstLineChars="200"/>
        <w:jc w:val="left"/>
        <w:rPr>
          <w:rFonts w:cs="宋体"/>
          <w:b/>
          <w:bCs/>
          <w:kern w:val="0"/>
          <w:sz w:val="24"/>
          <w:szCs w:val="24"/>
        </w:rPr>
      </w:pPr>
      <w:bookmarkStart w:id="687" w:name="_Toc337541882"/>
      <w:bookmarkEnd w:id="687"/>
      <w:r>
        <w:rPr>
          <w:rFonts w:hint="eastAsia" w:cs="宋体"/>
          <w:b/>
          <w:bCs/>
          <w:kern w:val="0"/>
          <w:sz w:val="24"/>
          <w:szCs w:val="24"/>
        </w:rPr>
        <w:t>（3）响应分级</w:t>
      </w:r>
    </w:p>
    <w:p>
      <w:pPr>
        <w:spacing w:line="360" w:lineRule="auto"/>
        <w:ind w:firstLine="480"/>
        <w:rPr>
          <w:rFonts w:ascii="宋体" w:hAnsi="宋体" w:cs="宋体"/>
          <w:sz w:val="28"/>
          <w:szCs w:val="28"/>
        </w:rPr>
      </w:pPr>
      <w:r>
        <w:rPr>
          <w:rFonts w:hint="eastAsia" w:ascii="宋体" w:hAnsi="宋体" w:cs="宋体"/>
          <w:sz w:val="28"/>
          <w:szCs w:val="28"/>
        </w:rPr>
        <w:t>按综合预案第5章进行应急分级</w:t>
      </w:r>
    </w:p>
    <w:p>
      <w:pPr>
        <w:widowControl/>
        <w:spacing w:line="360" w:lineRule="auto"/>
        <w:ind w:firstLine="482" w:firstLineChars="200"/>
        <w:jc w:val="left"/>
        <w:rPr>
          <w:rFonts w:cs="宋体"/>
          <w:b/>
          <w:bCs/>
          <w:kern w:val="0"/>
          <w:sz w:val="24"/>
          <w:szCs w:val="24"/>
        </w:rPr>
      </w:pPr>
      <w:r>
        <w:rPr>
          <w:rFonts w:hint="eastAsia" w:cs="宋体"/>
          <w:b/>
          <w:bCs/>
          <w:kern w:val="0"/>
          <w:sz w:val="24"/>
          <w:szCs w:val="24"/>
        </w:rPr>
        <w:t>（4）响应程序</w:t>
      </w:r>
    </w:p>
    <w:p>
      <w:pPr>
        <w:spacing w:line="360" w:lineRule="auto"/>
        <w:ind w:firstLine="480"/>
        <w:rPr>
          <w:rFonts w:ascii="宋体" w:hAnsi="宋体" w:cs="宋体"/>
          <w:sz w:val="28"/>
          <w:szCs w:val="28"/>
        </w:rPr>
      </w:pPr>
      <w:r>
        <w:rPr>
          <w:rFonts w:hint="eastAsia" w:ascii="宋体" w:hAnsi="宋体" w:cs="宋体"/>
          <w:sz w:val="28"/>
          <w:szCs w:val="28"/>
        </w:rPr>
        <w:t>（1）事故发现人员（非站长），应立即向救援小组组长（站长）报告，并在确保自己安全的情况下展开先期处置工作。</w:t>
      </w:r>
    </w:p>
    <w:p>
      <w:pPr>
        <w:spacing w:line="360" w:lineRule="auto"/>
        <w:ind w:firstLine="480"/>
        <w:rPr>
          <w:rFonts w:ascii="宋体" w:hAnsi="宋体" w:cs="宋体"/>
          <w:sz w:val="28"/>
          <w:szCs w:val="28"/>
        </w:rPr>
      </w:pPr>
      <w:r>
        <w:rPr>
          <w:rFonts w:hint="eastAsia" w:ascii="宋体" w:hAnsi="宋体" w:cs="宋体"/>
          <w:sz w:val="28"/>
          <w:szCs w:val="28"/>
        </w:rPr>
        <w:t>（2）站长接到报警后，立即启动应急救援预案。</w:t>
      </w:r>
    </w:p>
    <w:p>
      <w:pPr>
        <w:spacing w:line="360" w:lineRule="auto"/>
        <w:ind w:firstLine="480"/>
        <w:rPr>
          <w:rFonts w:ascii="宋体" w:hAnsi="宋体" w:cs="宋体"/>
          <w:sz w:val="28"/>
          <w:szCs w:val="28"/>
        </w:rPr>
      </w:pPr>
      <w:r>
        <w:rPr>
          <w:rFonts w:hint="eastAsia" w:ascii="宋体" w:hAnsi="宋体" w:cs="宋体"/>
          <w:sz w:val="28"/>
          <w:szCs w:val="28"/>
        </w:rPr>
        <w:t>（3）救援小组全面负责应急救援工作；</w:t>
      </w:r>
    </w:p>
    <w:p>
      <w:pPr>
        <w:spacing w:line="360" w:lineRule="auto"/>
        <w:ind w:firstLine="480"/>
        <w:rPr>
          <w:rFonts w:ascii="宋体" w:hAnsi="宋体" w:cs="宋体"/>
          <w:sz w:val="28"/>
          <w:szCs w:val="28"/>
        </w:rPr>
      </w:pPr>
      <w:r>
        <w:rPr>
          <w:rFonts w:hint="eastAsia" w:ascii="宋体" w:hAnsi="宋体" w:cs="宋体"/>
          <w:sz w:val="28"/>
          <w:szCs w:val="28"/>
        </w:rPr>
        <w:t>（4）对受伤人员实施救治，联系有关医院前来增援；</w:t>
      </w:r>
    </w:p>
    <w:p>
      <w:pPr>
        <w:spacing w:line="360" w:lineRule="auto"/>
        <w:ind w:firstLine="480"/>
        <w:rPr>
          <w:rFonts w:ascii="宋体" w:hAnsi="宋体" w:cs="宋体"/>
          <w:sz w:val="28"/>
          <w:szCs w:val="28"/>
        </w:rPr>
      </w:pPr>
      <w:r>
        <w:rPr>
          <w:rFonts w:hint="eastAsia" w:ascii="宋体" w:hAnsi="宋体" w:cs="宋体"/>
          <w:sz w:val="28"/>
          <w:szCs w:val="28"/>
        </w:rPr>
        <w:t>（5）对无关人员实施现场隔离、疏散；</w:t>
      </w:r>
    </w:p>
    <w:p>
      <w:pPr>
        <w:spacing w:line="360" w:lineRule="auto"/>
        <w:ind w:firstLine="480"/>
        <w:rPr>
          <w:rFonts w:ascii="宋体" w:hAnsi="宋体" w:cs="宋体"/>
          <w:sz w:val="28"/>
          <w:szCs w:val="28"/>
        </w:rPr>
      </w:pPr>
      <w:r>
        <w:rPr>
          <w:rFonts w:hint="eastAsia" w:ascii="宋体" w:hAnsi="宋体" w:cs="宋体"/>
          <w:sz w:val="28"/>
          <w:szCs w:val="28"/>
        </w:rPr>
        <w:t>（6）控制或切断电源、火源等；</w:t>
      </w:r>
    </w:p>
    <w:p>
      <w:pPr>
        <w:spacing w:line="360" w:lineRule="auto"/>
        <w:ind w:firstLine="480"/>
        <w:rPr>
          <w:rFonts w:ascii="宋体" w:hAnsi="宋体" w:cs="宋体"/>
          <w:sz w:val="28"/>
          <w:szCs w:val="28"/>
        </w:rPr>
      </w:pPr>
      <w:r>
        <w:rPr>
          <w:rFonts w:hint="eastAsia" w:ascii="宋体" w:hAnsi="宋体" w:cs="宋体"/>
          <w:sz w:val="28"/>
          <w:szCs w:val="28"/>
        </w:rPr>
        <w:t>（7）依据事故情况，决定是否扩大应急救援级别。</w:t>
      </w:r>
    </w:p>
    <w:p>
      <w:pPr>
        <w:widowControl/>
        <w:spacing w:line="360" w:lineRule="auto"/>
        <w:ind w:firstLine="482" w:firstLineChars="200"/>
        <w:jc w:val="left"/>
        <w:rPr>
          <w:rFonts w:cs="宋体"/>
          <w:b/>
          <w:bCs/>
          <w:kern w:val="0"/>
          <w:sz w:val="24"/>
          <w:szCs w:val="24"/>
        </w:rPr>
      </w:pPr>
      <w:bookmarkStart w:id="688" w:name="_Toc337541883"/>
      <w:bookmarkEnd w:id="688"/>
      <w:r>
        <w:rPr>
          <w:rFonts w:hint="eastAsia" w:cs="宋体"/>
          <w:b/>
          <w:bCs/>
          <w:kern w:val="0"/>
          <w:sz w:val="24"/>
          <w:szCs w:val="24"/>
        </w:rPr>
        <w:t>（5）应急物资与装备保障</w:t>
      </w:r>
    </w:p>
    <w:p>
      <w:pPr>
        <w:spacing w:line="360" w:lineRule="auto"/>
        <w:ind w:firstLine="480"/>
        <w:rPr>
          <w:rFonts w:ascii="宋体" w:hAnsi="宋体" w:cs="宋体"/>
          <w:sz w:val="28"/>
          <w:szCs w:val="28"/>
        </w:rPr>
      </w:pPr>
      <w:r>
        <w:rPr>
          <w:rFonts w:hint="eastAsia" w:ascii="宋体" w:hAnsi="宋体" w:cs="宋体"/>
          <w:sz w:val="28"/>
          <w:szCs w:val="28"/>
        </w:rPr>
        <w:t>参见附件。</w:t>
      </w:r>
    </w:p>
    <w:p>
      <w:pPr>
        <w:widowControl/>
        <w:spacing w:line="360" w:lineRule="auto"/>
        <w:ind w:firstLine="482" w:firstLineChars="200"/>
        <w:jc w:val="left"/>
        <w:rPr>
          <w:rFonts w:cs="宋体"/>
          <w:b/>
          <w:bCs/>
          <w:kern w:val="0"/>
          <w:sz w:val="24"/>
          <w:szCs w:val="24"/>
        </w:rPr>
      </w:pPr>
      <w:r>
        <w:rPr>
          <w:rFonts w:hint="eastAsia" w:cs="宋体"/>
          <w:b/>
          <w:bCs/>
          <w:kern w:val="0"/>
          <w:sz w:val="24"/>
          <w:szCs w:val="24"/>
        </w:rPr>
        <w:t>（6）扩大响应</w:t>
      </w:r>
    </w:p>
    <w:p>
      <w:pPr>
        <w:spacing w:line="360" w:lineRule="auto"/>
        <w:ind w:firstLine="480"/>
        <w:rPr>
          <w:rFonts w:ascii="宋体" w:hAnsi="宋体" w:cs="宋体"/>
          <w:sz w:val="28"/>
          <w:szCs w:val="28"/>
        </w:rPr>
      </w:pPr>
      <w:r>
        <w:rPr>
          <w:rFonts w:hint="eastAsia" w:ascii="宋体" w:hAnsi="宋体" w:cs="宋体"/>
          <w:sz w:val="28"/>
          <w:szCs w:val="28"/>
        </w:rPr>
        <w:t>当启动本专项预案救援事故状态仍然得不到有效控制，可能扩大事故影响，则应对外请求援助。</w:t>
      </w:r>
    </w:p>
    <w:p>
      <w:pPr>
        <w:pStyle w:val="37"/>
        <w:outlineLvl w:val="3"/>
        <w:rPr>
          <w:rStyle w:val="49"/>
          <w:rFonts w:ascii="Times New Roman" w:hAnsi="Times New Roman" w:cs="宋体"/>
          <w:sz w:val="24"/>
          <w:szCs w:val="24"/>
        </w:rPr>
      </w:pPr>
      <w:r>
        <w:rPr>
          <w:rStyle w:val="49"/>
          <w:rFonts w:hint="eastAsia" w:ascii="Times New Roman" w:hAnsi="Times New Roman" w:cs="宋体"/>
          <w:sz w:val="24"/>
          <w:szCs w:val="24"/>
        </w:rPr>
        <w:t>1.1.5.3 油品泄漏事故</w:t>
      </w:r>
      <w:r>
        <w:rPr>
          <w:rFonts w:ascii="Times New Roman" w:eastAsia="宋体"/>
          <w:b/>
          <w:bCs/>
          <w:sz w:val="24"/>
          <w:szCs w:val="24"/>
        </w:rPr>
        <w:t>对周边的影响</w:t>
      </w:r>
    </w:p>
    <w:p>
      <w:pPr>
        <w:spacing w:line="360" w:lineRule="auto"/>
        <w:ind w:firstLine="480"/>
        <w:rPr>
          <w:rFonts w:ascii="宋体" w:hAnsi="宋体" w:cs="宋体"/>
          <w:sz w:val="28"/>
          <w:szCs w:val="28"/>
        </w:rPr>
      </w:pPr>
      <w:r>
        <w:rPr>
          <w:rFonts w:hint="eastAsia" w:ascii="宋体" w:hAnsi="宋体" w:cs="宋体"/>
          <w:sz w:val="28"/>
          <w:szCs w:val="28"/>
        </w:rPr>
        <w:t>①发生火灾产生的热辐射造成人员灼伤，并有可能引起邻近油罐及周边构建筑物起火燃烧。</w:t>
      </w:r>
    </w:p>
    <w:p>
      <w:pPr>
        <w:spacing w:line="360" w:lineRule="auto"/>
        <w:ind w:firstLine="480"/>
        <w:rPr>
          <w:rFonts w:ascii="宋体" w:hAnsi="宋体" w:cs="宋体"/>
          <w:sz w:val="28"/>
          <w:szCs w:val="28"/>
        </w:rPr>
      </w:pPr>
      <w:r>
        <w:rPr>
          <w:rFonts w:hint="eastAsia" w:ascii="宋体" w:hAnsi="宋体" w:cs="宋体"/>
          <w:sz w:val="28"/>
          <w:szCs w:val="28"/>
        </w:rPr>
        <w:t>②发生爆炸所产生的冲击波不但造成人员伤亡，并有可能造成邻近油罐燃烧爆炸，引起大面积火灾，严重的将扩大到站外周边构建筑物燃烧或群众伤亡。</w:t>
      </w:r>
    </w:p>
    <w:p>
      <w:pPr>
        <w:spacing w:line="360" w:lineRule="auto"/>
        <w:ind w:firstLine="480"/>
        <w:rPr>
          <w:rFonts w:ascii="宋体" w:hAnsi="宋体" w:cs="宋体"/>
          <w:sz w:val="28"/>
          <w:szCs w:val="28"/>
        </w:rPr>
      </w:pPr>
      <w:r>
        <w:rPr>
          <w:rFonts w:hint="eastAsia" w:ascii="宋体" w:hAnsi="宋体" w:cs="宋体"/>
          <w:sz w:val="28"/>
          <w:szCs w:val="28"/>
        </w:rPr>
        <w:t>③油品燃烧所产生的有毒有害气体使处于下风方向人员中毒、窒息。</w:t>
      </w:r>
    </w:p>
    <w:p>
      <w:pPr>
        <w:spacing w:line="360" w:lineRule="auto"/>
        <w:ind w:firstLine="480"/>
        <w:rPr>
          <w:rFonts w:ascii="宋体" w:hAnsi="宋体" w:cs="宋体"/>
          <w:sz w:val="28"/>
          <w:szCs w:val="28"/>
        </w:rPr>
      </w:pPr>
      <w:r>
        <w:rPr>
          <w:rFonts w:hint="eastAsia" w:ascii="宋体" w:hAnsi="宋体" w:cs="宋体"/>
          <w:sz w:val="28"/>
          <w:szCs w:val="28"/>
        </w:rPr>
        <w:t>④泄漏油品遇明火燃烧，造成巨大财产经济损失。</w:t>
      </w:r>
    </w:p>
    <w:p>
      <w:pPr>
        <w:spacing w:line="360" w:lineRule="auto"/>
        <w:ind w:firstLine="480"/>
        <w:rPr>
          <w:rFonts w:ascii="宋体" w:hAnsi="宋体" w:cs="宋体"/>
          <w:sz w:val="28"/>
          <w:szCs w:val="28"/>
        </w:rPr>
      </w:pPr>
      <w:r>
        <w:rPr>
          <w:rFonts w:hint="eastAsia" w:ascii="宋体" w:hAnsi="宋体" w:cs="宋体"/>
          <w:sz w:val="28"/>
          <w:szCs w:val="28"/>
        </w:rPr>
        <w:t>⑤对环境造成污染。</w:t>
      </w:r>
    </w:p>
    <w:p>
      <w:pPr>
        <w:pStyle w:val="4"/>
        <w:spacing w:before="0" w:after="0"/>
        <w:rPr>
          <w:rStyle w:val="51"/>
          <w:rFonts w:hint="default" w:ascii="Times New Roman" w:hAnsi="Times New Roman" w:cs="宋体"/>
          <w:b/>
          <w:bCs/>
          <w:sz w:val="24"/>
          <w:szCs w:val="24"/>
        </w:rPr>
      </w:pPr>
      <w:bookmarkStart w:id="689" w:name="_Toc29319"/>
      <w:bookmarkEnd w:id="689"/>
      <w:bookmarkStart w:id="690" w:name="_Toc4934"/>
      <w:bookmarkEnd w:id="690"/>
      <w:bookmarkStart w:id="691" w:name="_Toc19831"/>
      <w:bookmarkEnd w:id="691"/>
      <w:bookmarkStart w:id="692" w:name="_Toc504989630"/>
      <w:bookmarkStart w:id="693" w:name="_Toc530594663"/>
      <w:bookmarkStart w:id="694" w:name="_Toc21420"/>
      <w:bookmarkStart w:id="695" w:name="_Toc32116"/>
      <w:bookmarkStart w:id="696" w:name="_Toc29808"/>
      <w:bookmarkStart w:id="697" w:name="_Toc28848"/>
      <w:r>
        <w:rPr>
          <w:rStyle w:val="51"/>
          <w:rFonts w:hint="default" w:ascii="Times New Roman" w:hAnsi="Times New Roman" w:cs="宋体"/>
          <w:b/>
          <w:bCs/>
          <w:sz w:val="24"/>
          <w:szCs w:val="24"/>
        </w:rPr>
        <w:t>1.3处置措施</w:t>
      </w:r>
      <w:bookmarkEnd w:id="692"/>
      <w:bookmarkEnd w:id="693"/>
      <w:bookmarkEnd w:id="694"/>
      <w:bookmarkEnd w:id="695"/>
      <w:bookmarkEnd w:id="696"/>
      <w:bookmarkEnd w:id="697"/>
    </w:p>
    <w:p>
      <w:pPr>
        <w:pStyle w:val="5"/>
        <w:spacing w:before="0" w:after="0"/>
        <w:rPr>
          <w:rStyle w:val="49"/>
          <w:rFonts w:ascii="Times New Roman" w:hAnsi="Times New Roman" w:cs="宋体"/>
          <w:b/>
          <w:bCs/>
          <w:sz w:val="24"/>
          <w:szCs w:val="24"/>
        </w:rPr>
      </w:pPr>
      <w:bookmarkStart w:id="698" w:name="_Toc7371"/>
      <w:bookmarkEnd w:id="698"/>
      <w:bookmarkStart w:id="699" w:name="_Toc1183"/>
      <w:bookmarkEnd w:id="699"/>
      <w:bookmarkStart w:id="700" w:name="_Toc504989631"/>
      <w:bookmarkStart w:id="701" w:name="_Toc530594664"/>
      <w:bookmarkStart w:id="702" w:name="_Toc9859"/>
      <w:bookmarkStart w:id="703" w:name="_Toc11556"/>
      <w:bookmarkStart w:id="704" w:name="_Toc9599"/>
      <w:bookmarkStart w:id="705" w:name="_Toc25078"/>
      <w:r>
        <w:rPr>
          <w:rStyle w:val="49"/>
          <w:rFonts w:hint="eastAsia" w:ascii="Times New Roman" w:hAnsi="Times New Roman" w:cs="宋体"/>
          <w:b/>
          <w:bCs/>
          <w:sz w:val="24"/>
          <w:szCs w:val="24"/>
        </w:rPr>
        <w:t>1.3.1处置原则和要求</w:t>
      </w:r>
      <w:bookmarkEnd w:id="700"/>
      <w:bookmarkEnd w:id="701"/>
      <w:bookmarkEnd w:id="702"/>
      <w:bookmarkEnd w:id="703"/>
      <w:bookmarkEnd w:id="704"/>
      <w:bookmarkEnd w:id="705"/>
    </w:p>
    <w:p>
      <w:pPr>
        <w:spacing w:line="360" w:lineRule="auto"/>
        <w:ind w:firstLine="480"/>
        <w:rPr>
          <w:rFonts w:ascii="宋体" w:hAnsi="宋体" w:cs="宋体"/>
          <w:sz w:val="28"/>
          <w:szCs w:val="28"/>
        </w:rPr>
      </w:pPr>
      <w:r>
        <w:rPr>
          <w:rFonts w:hint="eastAsia" w:ascii="宋体" w:hAnsi="宋体" w:cs="宋体"/>
          <w:sz w:val="28"/>
          <w:szCs w:val="28"/>
        </w:rPr>
        <w:t>处置原则和要求：对事故进行初始评估，确认紧急状态，迅速有效地进行应急响应决策，建立现场工作区域，确定重点保护区域和应急行动的优先原则，指挥和协调现场的救援队伍开展救援行动，合理有效地调配和使用应急资源。避免事故扩大和蔓延，并以最快最有效办法消除事故影响。应急救援人员必须按照“保护自身，快速施救，救人优先”的原则抢险救援。</w:t>
      </w:r>
    </w:p>
    <w:p>
      <w:pPr>
        <w:spacing w:line="360" w:lineRule="auto"/>
        <w:ind w:firstLine="480"/>
        <w:rPr>
          <w:rFonts w:ascii="宋体" w:hAnsi="宋体" w:cs="宋体"/>
          <w:sz w:val="28"/>
          <w:szCs w:val="28"/>
        </w:rPr>
      </w:pPr>
      <w:r>
        <w:rPr>
          <w:rFonts w:hint="eastAsia" w:ascii="宋体" w:hAnsi="宋体" w:cs="宋体"/>
          <w:sz w:val="28"/>
          <w:szCs w:val="28"/>
        </w:rPr>
        <w:t>（1）在发现有人受伤、掩埋时，应以抢救人员为主，抢险救援本着“先活者后亡者，先重伤后轻伤、先易后难”的原则进行抢险救援。</w:t>
      </w:r>
    </w:p>
    <w:p>
      <w:pPr>
        <w:spacing w:line="360" w:lineRule="auto"/>
        <w:ind w:firstLine="480"/>
        <w:rPr>
          <w:rFonts w:ascii="宋体" w:hAnsi="宋体" w:cs="宋体"/>
          <w:sz w:val="28"/>
          <w:szCs w:val="28"/>
        </w:rPr>
      </w:pPr>
      <w:r>
        <w:rPr>
          <w:rFonts w:hint="eastAsia" w:ascii="宋体" w:hAnsi="宋体" w:cs="宋体"/>
          <w:sz w:val="28"/>
          <w:szCs w:val="28"/>
        </w:rPr>
        <w:t>（2）在进入险区侦察时要带防护抢险器材和相关防护用品，在保证救援人员安全的前提下，尽快采取相关安全措施和方案，组织实施抢险救援；</w:t>
      </w:r>
    </w:p>
    <w:p>
      <w:pPr>
        <w:spacing w:line="360" w:lineRule="auto"/>
        <w:ind w:firstLine="480"/>
        <w:rPr>
          <w:rFonts w:ascii="宋体" w:hAnsi="宋体" w:cs="宋体"/>
          <w:sz w:val="28"/>
          <w:szCs w:val="28"/>
        </w:rPr>
      </w:pPr>
      <w:r>
        <w:rPr>
          <w:rFonts w:hint="eastAsia" w:ascii="宋体" w:hAnsi="宋体" w:cs="宋体"/>
          <w:sz w:val="28"/>
          <w:szCs w:val="28"/>
        </w:rPr>
        <w:t>（3）消除点火源，避免发生火灾爆炸事故，造成事故扩大；及时疏散周边群众，确保公众安全；</w:t>
      </w:r>
    </w:p>
    <w:p>
      <w:pPr>
        <w:spacing w:line="360" w:lineRule="auto"/>
        <w:ind w:firstLine="480"/>
        <w:rPr>
          <w:rFonts w:ascii="宋体" w:hAnsi="宋体" w:cs="宋体"/>
          <w:sz w:val="28"/>
          <w:szCs w:val="28"/>
        </w:rPr>
      </w:pPr>
      <w:r>
        <w:rPr>
          <w:rFonts w:hint="eastAsia" w:ascii="宋体" w:hAnsi="宋体" w:cs="宋体"/>
          <w:sz w:val="28"/>
          <w:szCs w:val="28"/>
        </w:rPr>
        <w:t>（4）统一指挥，正确领导，及时控制泄漏事故以及后期可能发生的中毒窒息及火灾爆炸事故。</w:t>
      </w:r>
    </w:p>
    <w:p>
      <w:pPr>
        <w:pStyle w:val="5"/>
        <w:spacing w:before="0" w:after="0"/>
        <w:rPr>
          <w:rStyle w:val="49"/>
          <w:rFonts w:ascii="Times New Roman" w:hAnsi="Times New Roman" w:cs="宋体"/>
          <w:b/>
          <w:bCs/>
          <w:sz w:val="24"/>
          <w:szCs w:val="24"/>
        </w:rPr>
      </w:pPr>
      <w:bookmarkStart w:id="706" w:name="_Toc21588"/>
      <w:bookmarkEnd w:id="706"/>
      <w:bookmarkStart w:id="707" w:name="_Toc14198"/>
      <w:bookmarkEnd w:id="707"/>
      <w:bookmarkStart w:id="708" w:name="_Toc504989632"/>
      <w:bookmarkStart w:id="709" w:name="_Toc530594665"/>
      <w:bookmarkStart w:id="710" w:name="_Toc6839"/>
      <w:bookmarkStart w:id="711" w:name="_Toc9916"/>
      <w:bookmarkStart w:id="712" w:name="_Toc3990"/>
      <w:bookmarkStart w:id="713" w:name="_Toc3136"/>
      <w:r>
        <w:rPr>
          <w:rStyle w:val="49"/>
          <w:rFonts w:hint="eastAsia" w:ascii="Times New Roman" w:hAnsi="Times New Roman" w:cs="宋体"/>
          <w:b/>
          <w:bCs/>
          <w:sz w:val="24"/>
          <w:szCs w:val="24"/>
        </w:rPr>
        <w:t>1.3.2处置措施</w:t>
      </w:r>
      <w:bookmarkEnd w:id="708"/>
      <w:bookmarkEnd w:id="709"/>
      <w:bookmarkEnd w:id="710"/>
      <w:bookmarkEnd w:id="711"/>
      <w:bookmarkEnd w:id="712"/>
      <w:bookmarkEnd w:id="713"/>
    </w:p>
    <w:p>
      <w:pPr>
        <w:spacing w:line="360" w:lineRule="auto"/>
        <w:ind w:firstLine="480"/>
        <w:rPr>
          <w:rFonts w:ascii="宋体" w:hAnsi="宋体" w:cs="宋体"/>
          <w:b/>
          <w:bCs/>
          <w:sz w:val="28"/>
          <w:szCs w:val="28"/>
        </w:rPr>
      </w:pPr>
      <w:r>
        <w:rPr>
          <w:rFonts w:hint="eastAsia" w:ascii="宋体" w:hAnsi="宋体" w:cs="宋体"/>
          <w:b/>
          <w:bCs/>
          <w:sz w:val="28"/>
          <w:szCs w:val="28"/>
        </w:rPr>
        <w:t>1.小量泄漏</w:t>
      </w:r>
    </w:p>
    <w:tbl>
      <w:tblPr>
        <w:tblStyle w:val="35"/>
        <w:tblW w:w="8169" w:type="dxa"/>
        <w:jc w:val="center"/>
        <w:tblInd w:w="1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189"/>
        <w:gridCol w:w="5106"/>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206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事故类别</w:t>
            </w:r>
          </w:p>
        </w:tc>
        <w:tc>
          <w:tcPr>
            <w:tcW w:w="5106" w:type="dxa"/>
            <w:vMerge w:val="restart"/>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应急措施</w:t>
            </w:r>
          </w:p>
        </w:tc>
        <w:tc>
          <w:tcPr>
            <w:tcW w:w="999" w:type="dxa"/>
            <w:vMerge w:val="restart"/>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jc w:val="center"/>
              <w:rPr>
                <w:rFonts w:cs="宋体"/>
                <w:b/>
                <w:bCs/>
                <w:kern w:val="0"/>
              </w:rPr>
            </w:pPr>
            <w:r>
              <w:rPr>
                <w:rFonts w:hint="eastAsia" w:cs="宋体"/>
                <w:b/>
                <w:bCs/>
                <w:kern w:val="0"/>
              </w:rPr>
              <w:t>少量泄漏（Ⅲ</w:t>
            </w:r>
            <w:r>
              <w:rPr>
                <w:rFonts w:hint="eastAsia" w:cs="宋体"/>
                <w:b/>
                <w:bCs/>
              </w:rPr>
              <w:t>级）</w:t>
            </w:r>
          </w:p>
        </w:tc>
        <w:tc>
          <w:tcPr>
            <w:tcW w:w="5106"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c>
          <w:tcPr>
            <w:tcW w:w="999"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jc w:val="center"/>
              <w:rPr>
                <w:rFonts w:cs="宋体"/>
                <w:b/>
                <w:bCs/>
                <w:kern w:val="0"/>
              </w:rPr>
            </w:pPr>
            <w:r>
              <w:rPr>
                <w:rFonts w:hint="eastAsia" w:cs="宋体"/>
                <w:b/>
                <w:bCs/>
                <w:kern w:val="0"/>
              </w:rPr>
              <w:t>事故处理过程</w:t>
            </w:r>
          </w:p>
        </w:tc>
        <w:tc>
          <w:tcPr>
            <w:tcW w:w="5106"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c>
          <w:tcPr>
            <w:tcW w:w="999"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875"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1、事故发现处理程序</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事故发现</w:t>
            </w:r>
          </w:p>
        </w:tc>
        <w:tc>
          <w:tcPr>
            <w:tcW w:w="5106"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◆加油员发现</w:t>
            </w:r>
          </w:p>
          <w:p>
            <w:pPr>
              <w:widowControl/>
              <w:adjustRightInd w:val="0"/>
              <w:snapToGrid w:val="0"/>
              <w:spacing w:line="260" w:lineRule="exact"/>
              <w:rPr>
                <w:rFonts w:cs="宋体"/>
                <w:kern w:val="0"/>
              </w:rPr>
            </w:pPr>
            <w:r>
              <w:rPr>
                <w:rFonts w:hint="eastAsia" w:cs="宋体"/>
                <w:kern w:val="0"/>
              </w:rPr>
              <w:t>◆计量仪器报警</w:t>
            </w:r>
          </w:p>
          <w:p>
            <w:pPr>
              <w:widowControl/>
              <w:adjustRightInd w:val="0"/>
              <w:snapToGrid w:val="0"/>
              <w:spacing w:line="260" w:lineRule="exact"/>
              <w:rPr>
                <w:rFonts w:cs="宋体"/>
                <w:kern w:val="0"/>
              </w:rPr>
            </w:pPr>
            <w:r>
              <w:rPr>
                <w:rFonts w:hint="eastAsia" w:cs="宋体"/>
                <w:kern w:val="0"/>
              </w:rPr>
              <w:t>◆巡检人员（站长）发现</w:t>
            </w:r>
          </w:p>
        </w:tc>
        <w:tc>
          <w:tcPr>
            <w:tcW w:w="999"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8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cs="宋体"/>
                <w:kern w:val="0"/>
              </w:rPr>
            </w:pPr>
          </w:p>
        </w:tc>
        <w:tc>
          <w:tcPr>
            <w:tcW w:w="118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现场确认</w:t>
            </w:r>
          </w:p>
        </w:tc>
        <w:tc>
          <w:tcPr>
            <w:tcW w:w="5106"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◆佩戴适合的防护用品</w:t>
            </w:r>
          </w:p>
          <w:p>
            <w:pPr>
              <w:widowControl/>
              <w:adjustRightInd w:val="0"/>
              <w:snapToGrid w:val="0"/>
              <w:spacing w:line="260" w:lineRule="exact"/>
              <w:rPr>
                <w:rFonts w:cs="宋体"/>
                <w:kern w:val="0"/>
              </w:rPr>
            </w:pPr>
            <w:r>
              <w:rPr>
                <w:rFonts w:hint="eastAsia" w:cs="宋体"/>
                <w:kern w:val="0"/>
              </w:rPr>
              <w:t>◆确认泄漏地点、泄漏量</w:t>
            </w:r>
          </w:p>
        </w:tc>
        <w:tc>
          <w:tcPr>
            <w:tcW w:w="999"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加油员或站长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8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cs="宋体"/>
                <w:kern w:val="0"/>
              </w:rPr>
            </w:pPr>
          </w:p>
        </w:tc>
        <w:tc>
          <w:tcPr>
            <w:tcW w:w="118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报告站长（若事故发现人为站长取消本环节）</w:t>
            </w:r>
          </w:p>
        </w:tc>
        <w:tc>
          <w:tcPr>
            <w:tcW w:w="5106"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◆泄漏地点、物料、泄漏量</w:t>
            </w:r>
          </w:p>
          <w:p>
            <w:pPr>
              <w:widowControl/>
              <w:adjustRightInd w:val="0"/>
              <w:snapToGrid w:val="0"/>
              <w:spacing w:line="260" w:lineRule="exact"/>
              <w:rPr>
                <w:rFonts w:cs="宋体"/>
                <w:kern w:val="0"/>
              </w:rPr>
            </w:pPr>
            <w:r>
              <w:rPr>
                <w:rFonts w:hint="eastAsia" w:cs="宋体"/>
                <w:kern w:val="0"/>
              </w:rPr>
              <w:t>◆是否人员受到伤害</w:t>
            </w:r>
          </w:p>
          <w:p>
            <w:pPr>
              <w:widowControl/>
              <w:adjustRightInd w:val="0"/>
              <w:snapToGrid w:val="0"/>
              <w:spacing w:line="260" w:lineRule="exact"/>
              <w:rPr>
                <w:rFonts w:cs="宋体"/>
                <w:kern w:val="0"/>
              </w:rPr>
            </w:pPr>
            <w:r>
              <w:rPr>
                <w:rFonts w:hint="eastAsia" w:cs="宋体"/>
                <w:kern w:val="0"/>
              </w:rPr>
              <w:t>◆风向</w:t>
            </w:r>
          </w:p>
        </w:tc>
        <w:tc>
          <w:tcPr>
            <w:tcW w:w="999"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2、应急响应</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紧急行动</w:t>
            </w:r>
          </w:p>
        </w:tc>
        <w:tc>
          <w:tcPr>
            <w:tcW w:w="5106"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◆佩戴必要的安全防护用品</w:t>
            </w:r>
          </w:p>
          <w:p>
            <w:pPr>
              <w:widowControl/>
              <w:adjustRightInd w:val="0"/>
              <w:snapToGrid w:val="0"/>
              <w:spacing w:line="260" w:lineRule="exact"/>
              <w:rPr>
                <w:rFonts w:cs="宋体"/>
                <w:kern w:val="0"/>
              </w:rPr>
            </w:pPr>
            <w:r>
              <w:rPr>
                <w:rFonts w:hint="eastAsia" w:cs="宋体"/>
                <w:kern w:val="0"/>
              </w:rPr>
              <w:t>◆停止作业，迅速切断要害部位的电源</w:t>
            </w:r>
          </w:p>
          <w:p>
            <w:pPr>
              <w:widowControl/>
              <w:adjustRightInd w:val="0"/>
              <w:snapToGrid w:val="0"/>
              <w:spacing w:line="260" w:lineRule="exact"/>
              <w:rPr>
                <w:rFonts w:cs="宋体"/>
                <w:kern w:val="0"/>
              </w:rPr>
            </w:pPr>
            <w:r>
              <w:rPr>
                <w:rFonts w:hint="eastAsia" w:cs="宋体"/>
                <w:kern w:val="0"/>
              </w:rPr>
              <w:t>◆关闭与要害部位连通管线的阀门，切断泄漏源、堵漏</w:t>
            </w:r>
          </w:p>
          <w:p>
            <w:pPr>
              <w:widowControl/>
              <w:adjustRightInd w:val="0"/>
              <w:snapToGrid w:val="0"/>
              <w:spacing w:line="260" w:lineRule="exact"/>
              <w:rPr>
                <w:rFonts w:cs="宋体"/>
                <w:kern w:val="0"/>
              </w:rPr>
            </w:pPr>
            <w:r>
              <w:rPr>
                <w:rFonts w:hint="eastAsia" w:cs="宋体"/>
                <w:kern w:val="0"/>
              </w:rPr>
              <w:t>◆通知站长投入救援（若第一发现人是站长跳过此环节）</w:t>
            </w:r>
          </w:p>
        </w:tc>
        <w:tc>
          <w:tcPr>
            <w:tcW w:w="999"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3、应急处置</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p>
        </w:tc>
        <w:tc>
          <w:tcPr>
            <w:tcW w:w="5106"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◆转移事故周围物资、清除点火源</w:t>
            </w:r>
          </w:p>
          <w:p>
            <w:pPr>
              <w:widowControl/>
              <w:adjustRightInd w:val="0"/>
              <w:snapToGrid w:val="0"/>
              <w:spacing w:line="260" w:lineRule="exact"/>
              <w:rPr>
                <w:rFonts w:cs="宋体"/>
                <w:kern w:val="0"/>
              </w:rPr>
            </w:pPr>
            <w:r>
              <w:rPr>
                <w:rFonts w:hint="eastAsia" w:cs="宋体"/>
                <w:kern w:val="0"/>
              </w:rPr>
              <w:t>◆站长组织、指挥第一救援力量，使用附近的消防器材设施进行初级火灾的扑救；</w:t>
            </w:r>
          </w:p>
          <w:p>
            <w:pPr>
              <w:widowControl/>
              <w:adjustRightInd w:val="0"/>
              <w:snapToGrid w:val="0"/>
              <w:spacing w:line="260" w:lineRule="exact"/>
              <w:rPr>
                <w:rFonts w:cs="宋体"/>
                <w:kern w:val="0"/>
              </w:rPr>
            </w:pPr>
            <w:r>
              <w:rPr>
                <w:rFonts w:hint="eastAsia" w:cs="宋体"/>
                <w:kern w:val="0"/>
              </w:rPr>
              <w:t xml:space="preserve">◆用沙土、棉布、集油桶等覆盖、吸附、收容泄漏物 </w:t>
            </w:r>
          </w:p>
          <w:p>
            <w:pPr>
              <w:widowControl/>
              <w:adjustRightInd w:val="0"/>
              <w:snapToGrid w:val="0"/>
              <w:spacing w:line="260" w:lineRule="exact"/>
              <w:rPr>
                <w:rFonts w:cs="宋体"/>
                <w:kern w:val="0"/>
              </w:rPr>
            </w:pPr>
            <w:r>
              <w:rPr>
                <w:rFonts w:hint="eastAsia" w:cs="宋体"/>
                <w:kern w:val="0"/>
              </w:rPr>
              <w:t xml:space="preserve">◆初步控制现场、隔离现场，避免无关人员进入事故发生区域  </w:t>
            </w:r>
          </w:p>
          <w:p>
            <w:pPr>
              <w:widowControl/>
              <w:adjustRightInd w:val="0"/>
              <w:snapToGrid w:val="0"/>
              <w:spacing w:line="260" w:lineRule="exact"/>
              <w:rPr>
                <w:rFonts w:cs="宋体"/>
                <w:kern w:val="0"/>
              </w:rPr>
            </w:pPr>
            <w:r>
              <w:rPr>
                <w:rFonts w:hint="eastAsia" w:cs="宋体"/>
                <w:kern w:val="0"/>
              </w:rPr>
              <w:t>◆当预测事态可能扩大，危及应急人员生命安全时，应立即指挥现场人员全部撤离至疏散集合点并请求外部支援。</w:t>
            </w:r>
          </w:p>
        </w:tc>
        <w:tc>
          <w:tcPr>
            <w:tcW w:w="999"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3"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4、后期处理</w:t>
            </w:r>
          </w:p>
        </w:tc>
        <w:tc>
          <w:tcPr>
            <w:tcW w:w="1189" w:type="dxa"/>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kern w:val="0"/>
              </w:rPr>
            </w:pPr>
          </w:p>
        </w:tc>
        <w:tc>
          <w:tcPr>
            <w:tcW w:w="5106"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◆事故原因分析</w:t>
            </w:r>
          </w:p>
          <w:p>
            <w:pPr>
              <w:widowControl/>
              <w:adjustRightInd w:val="0"/>
              <w:snapToGrid w:val="0"/>
              <w:spacing w:line="260" w:lineRule="exact"/>
              <w:rPr>
                <w:rFonts w:cs="宋体"/>
                <w:kern w:val="0"/>
              </w:rPr>
            </w:pPr>
            <w:r>
              <w:rPr>
                <w:rFonts w:hint="eastAsia" w:cs="宋体"/>
                <w:kern w:val="0"/>
              </w:rPr>
              <w:t>◆视情况决定是否恢复作业</w:t>
            </w:r>
          </w:p>
          <w:p>
            <w:pPr>
              <w:widowControl/>
              <w:adjustRightInd w:val="0"/>
              <w:snapToGrid w:val="0"/>
              <w:spacing w:line="260" w:lineRule="exact"/>
              <w:rPr>
                <w:rFonts w:cs="宋体"/>
                <w:kern w:val="0"/>
              </w:rPr>
            </w:pPr>
            <w:r>
              <w:rPr>
                <w:rFonts w:hint="eastAsia" w:cs="宋体"/>
                <w:kern w:val="0"/>
              </w:rPr>
              <w:t>◆收集的泄漏物、吸附材料交有资质单位处置</w:t>
            </w:r>
          </w:p>
          <w:p>
            <w:pPr>
              <w:widowControl/>
              <w:adjustRightInd w:val="0"/>
              <w:snapToGrid w:val="0"/>
              <w:spacing w:line="260" w:lineRule="exact"/>
              <w:rPr>
                <w:rFonts w:cs="宋体"/>
                <w:kern w:val="0"/>
              </w:rPr>
            </w:pPr>
            <w:r>
              <w:rPr>
                <w:rFonts w:hint="eastAsia" w:cs="宋体"/>
                <w:kern w:val="0"/>
              </w:rPr>
              <w:t>◆开会总结</w:t>
            </w:r>
          </w:p>
          <w:p>
            <w:pPr>
              <w:widowControl/>
              <w:adjustRightInd w:val="0"/>
              <w:snapToGrid w:val="0"/>
              <w:spacing w:line="260" w:lineRule="exact"/>
              <w:rPr>
                <w:rFonts w:cs="宋体"/>
                <w:kern w:val="0"/>
              </w:rPr>
            </w:pPr>
            <w:r>
              <w:rPr>
                <w:rFonts w:hint="eastAsia" w:cs="宋体"/>
                <w:kern w:val="0"/>
              </w:rPr>
              <w:t>◆填写事故报告</w:t>
            </w:r>
          </w:p>
        </w:tc>
        <w:tc>
          <w:tcPr>
            <w:tcW w:w="999"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站长、加油员</w:t>
            </w:r>
          </w:p>
        </w:tc>
      </w:tr>
    </w:tbl>
    <w:p>
      <w:pPr>
        <w:widowControl/>
        <w:adjustRightInd w:val="0"/>
        <w:snapToGrid w:val="0"/>
        <w:spacing w:line="360" w:lineRule="auto"/>
        <w:ind w:firstLine="241" w:firstLineChars="100"/>
        <w:rPr>
          <w:rFonts w:cs="宋体"/>
          <w:b/>
          <w:bCs/>
          <w:kern w:val="0"/>
          <w:sz w:val="24"/>
          <w:szCs w:val="24"/>
        </w:rPr>
      </w:pPr>
    </w:p>
    <w:p>
      <w:pPr>
        <w:widowControl/>
        <w:adjustRightInd w:val="0"/>
        <w:snapToGrid w:val="0"/>
        <w:spacing w:line="360" w:lineRule="auto"/>
        <w:ind w:firstLine="241" w:firstLineChars="100"/>
        <w:rPr>
          <w:rFonts w:cs="宋体"/>
          <w:kern w:val="0"/>
          <w:sz w:val="24"/>
          <w:szCs w:val="24"/>
        </w:rPr>
      </w:pPr>
      <w:r>
        <w:rPr>
          <w:rFonts w:hint="eastAsia" w:cs="宋体"/>
          <w:b/>
          <w:bCs/>
          <w:kern w:val="0"/>
          <w:sz w:val="24"/>
          <w:szCs w:val="24"/>
        </w:rPr>
        <w:t>2.中度泄漏，在加油站控制范围内</w:t>
      </w:r>
    </w:p>
    <w:tbl>
      <w:tblPr>
        <w:tblStyle w:val="35"/>
        <w:tblW w:w="8147" w:type="dxa"/>
        <w:jc w:val="center"/>
        <w:tblInd w:w="1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234"/>
        <w:gridCol w:w="4767"/>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39"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事故类别</w:t>
            </w:r>
          </w:p>
        </w:tc>
        <w:tc>
          <w:tcPr>
            <w:tcW w:w="4767" w:type="dxa"/>
            <w:vMerge w:val="restart"/>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应急措施</w:t>
            </w:r>
          </w:p>
        </w:tc>
        <w:tc>
          <w:tcPr>
            <w:tcW w:w="1041" w:type="dxa"/>
            <w:vMerge w:val="restart"/>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39"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中度泄漏（Ⅱ</w:t>
            </w:r>
            <w:r>
              <w:rPr>
                <w:rFonts w:hint="eastAsia" w:cs="宋体"/>
                <w:b/>
                <w:bCs/>
              </w:rPr>
              <w:t>级）</w:t>
            </w:r>
          </w:p>
        </w:tc>
        <w:tc>
          <w:tcPr>
            <w:tcW w:w="4767"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c>
          <w:tcPr>
            <w:tcW w:w="1041"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39"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事故处理过程</w:t>
            </w:r>
          </w:p>
        </w:tc>
        <w:tc>
          <w:tcPr>
            <w:tcW w:w="4767"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c>
          <w:tcPr>
            <w:tcW w:w="1041"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5" w:type="dxa"/>
            <w:vMerge w:val="restart"/>
            <w:tcBorders>
              <w:top w:val="nil"/>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1、事故发现处理程序</w:t>
            </w:r>
          </w:p>
        </w:tc>
        <w:tc>
          <w:tcPr>
            <w:tcW w:w="1234" w:type="dxa"/>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事故发现</w:t>
            </w:r>
          </w:p>
        </w:tc>
        <w:tc>
          <w:tcPr>
            <w:tcW w:w="4767"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◆加油员发现</w:t>
            </w:r>
          </w:p>
          <w:p>
            <w:pPr>
              <w:widowControl/>
              <w:adjustRightInd w:val="0"/>
              <w:snapToGrid w:val="0"/>
              <w:spacing w:line="260" w:lineRule="exact"/>
              <w:rPr>
                <w:rFonts w:cs="宋体"/>
                <w:kern w:val="0"/>
              </w:rPr>
            </w:pPr>
            <w:r>
              <w:rPr>
                <w:rFonts w:hint="eastAsia" w:cs="宋体"/>
                <w:kern w:val="0"/>
              </w:rPr>
              <w:t>◆计量仪器报警</w:t>
            </w:r>
          </w:p>
          <w:p>
            <w:pPr>
              <w:widowControl/>
              <w:adjustRightInd w:val="0"/>
              <w:snapToGrid w:val="0"/>
              <w:spacing w:line="260" w:lineRule="exact"/>
              <w:rPr>
                <w:rFonts w:cs="宋体"/>
                <w:kern w:val="0"/>
              </w:rPr>
            </w:pPr>
            <w:r>
              <w:rPr>
                <w:rFonts w:hint="eastAsia" w:cs="宋体"/>
                <w:kern w:val="0"/>
              </w:rPr>
              <w:t>◆巡检人员（站长）发现</w:t>
            </w:r>
          </w:p>
        </w:tc>
        <w:tc>
          <w:tcPr>
            <w:tcW w:w="1041"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5" w:type="dxa"/>
            <w:vMerge w:val="continue"/>
            <w:tcBorders>
              <w:top w:val="nil"/>
              <w:left w:val="single" w:color="auto" w:sz="4" w:space="0"/>
              <w:bottom w:val="single" w:color="auto" w:sz="4" w:space="0"/>
              <w:right w:val="single" w:color="auto" w:sz="4" w:space="0"/>
            </w:tcBorders>
            <w:vAlign w:val="center"/>
          </w:tcPr>
          <w:p>
            <w:pPr>
              <w:widowControl/>
              <w:spacing w:line="260" w:lineRule="exact"/>
              <w:jc w:val="center"/>
              <w:rPr>
                <w:rFonts w:cs="宋体"/>
                <w:kern w:val="0"/>
              </w:rPr>
            </w:pPr>
          </w:p>
        </w:tc>
        <w:tc>
          <w:tcPr>
            <w:tcW w:w="1234" w:type="dxa"/>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现场确认</w:t>
            </w:r>
          </w:p>
        </w:tc>
        <w:tc>
          <w:tcPr>
            <w:tcW w:w="4767"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◆佩戴适合的防护用品</w:t>
            </w:r>
          </w:p>
          <w:p>
            <w:pPr>
              <w:widowControl/>
              <w:adjustRightInd w:val="0"/>
              <w:snapToGrid w:val="0"/>
              <w:spacing w:line="260" w:lineRule="exact"/>
              <w:rPr>
                <w:rFonts w:cs="宋体"/>
                <w:kern w:val="0"/>
              </w:rPr>
            </w:pPr>
            <w:r>
              <w:rPr>
                <w:rFonts w:hint="eastAsia" w:cs="宋体"/>
                <w:kern w:val="0"/>
              </w:rPr>
              <w:t>◆确认泄漏地点、泄漏量</w:t>
            </w:r>
          </w:p>
        </w:tc>
        <w:tc>
          <w:tcPr>
            <w:tcW w:w="1041"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105" w:type="dxa"/>
            <w:vMerge w:val="continue"/>
            <w:tcBorders>
              <w:top w:val="nil"/>
              <w:left w:val="single" w:color="auto" w:sz="4" w:space="0"/>
              <w:bottom w:val="single" w:color="auto" w:sz="4" w:space="0"/>
              <w:right w:val="single" w:color="auto" w:sz="4" w:space="0"/>
            </w:tcBorders>
            <w:vAlign w:val="center"/>
          </w:tcPr>
          <w:p>
            <w:pPr>
              <w:widowControl/>
              <w:spacing w:line="260" w:lineRule="exact"/>
              <w:jc w:val="center"/>
              <w:rPr>
                <w:rFonts w:cs="宋体"/>
                <w:kern w:val="0"/>
              </w:rPr>
            </w:pPr>
          </w:p>
        </w:tc>
        <w:tc>
          <w:tcPr>
            <w:tcW w:w="1234" w:type="dxa"/>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报告站长（若事故发现人为站长取消本环节）</w:t>
            </w:r>
          </w:p>
        </w:tc>
        <w:tc>
          <w:tcPr>
            <w:tcW w:w="4767"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◆泄漏地点、物料、泄漏量</w:t>
            </w:r>
          </w:p>
          <w:p>
            <w:pPr>
              <w:widowControl/>
              <w:adjustRightInd w:val="0"/>
              <w:snapToGrid w:val="0"/>
              <w:spacing w:line="260" w:lineRule="exact"/>
              <w:rPr>
                <w:rFonts w:cs="宋体"/>
                <w:kern w:val="0"/>
              </w:rPr>
            </w:pPr>
            <w:r>
              <w:rPr>
                <w:rFonts w:hint="eastAsia" w:cs="宋体"/>
                <w:kern w:val="0"/>
              </w:rPr>
              <w:t>◆是否人员受伤</w:t>
            </w:r>
          </w:p>
          <w:p>
            <w:pPr>
              <w:widowControl/>
              <w:adjustRightInd w:val="0"/>
              <w:snapToGrid w:val="0"/>
              <w:spacing w:line="260" w:lineRule="exact"/>
              <w:rPr>
                <w:rFonts w:cs="宋体"/>
                <w:kern w:val="0"/>
              </w:rPr>
            </w:pPr>
            <w:r>
              <w:rPr>
                <w:rFonts w:hint="eastAsia" w:cs="宋体"/>
                <w:kern w:val="0"/>
              </w:rPr>
              <w:t>◆风向</w:t>
            </w:r>
          </w:p>
        </w:tc>
        <w:tc>
          <w:tcPr>
            <w:tcW w:w="1041"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5"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2、应急响应</w:t>
            </w:r>
          </w:p>
        </w:tc>
        <w:tc>
          <w:tcPr>
            <w:tcW w:w="123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紧急行动</w:t>
            </w:r>
          </w:p>
        </w:tc>
        <w:tc>
          <w:tcPr>
            <w:tcW w:w="4767"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◆佩戴必要的安全防护用品</w:t>
            </w:r>
          </w:p>
          <w:p>
            <w:pPr>
              <w:widowControl/>
              <w:adjustRightInd w:val="0"/>
              <w:snapToGrid w:val="0"/>
              <w:spacing w:line="260" w:lineRule="exact"/>
              <w:rPr>
                <w:rFonts w:cs="宋体"/>
                <w:kern w:val="0"/>
              </w:rPr>
            </w:pPr>
            <w:r>
              <w:rPr>
                <w:rFonts w:hint="eastAsia" w:cs="宋体"/>
                <w:kern w:val="0"/>
              </w:rPr>
              <w:t>◆停止作业，迅速切断要害部位的电源</w:t>
            </w:r>
          </w:p>
          <w:p>
            <w:pPr>
              <w:widowControl/>
              <w:adjustRightInd w:val="0"/>
              <w:snapToGrid w:val="0"/>
              <w:spacing w:line="260" w:lineRule="exact"/>
              <w:rPr>
                <w:rFonts w:cs="宋体"/>
                <w:kern w:val="0"/>
              </w:rPr>
            </w:pPr>
            <w:r>
              <w:rPr>
                <w:rFonts w:hint="eastAsia" w:cs="宋体"/>
                <w:kern w:val="0"/>
              </w:rPr>
              <w:t>◆关闭与要害部位连通管线的阀门，切断泄漏源、堵漏</w:t>
            </w:r>
          </w:p>
          <w:p>
            <w:pPr>
              <w:widowControl/>
              <w:adjustRightInd w:val="0"/>
              <w:snapToGrid w:val="0"/>
              <w:spacing w:line="260" w:lineRule="exact"/>
              <w:rPr>
                <w:rFonts w:cs="宋体"/>
                <w:kern w:val="0"/>
              </w:rPr>
            </w:pPr>
            <w:r>
              <w:rPr>
                <w:rFonts w:hint="eastAsia" w:cs="宋体"/>
                <w:kern w:val="0"/>
              </w:rPr>
              <w:t>◆通知站长投入救援（若第一发现人是站长跳过此环节）</w:t>
            </w:r>
          </w:p>
        </w:tc>
        <w:tc>
          <w:tcPr>
            <w:tcW w:w="1041"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10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cs="宋体"/>
                <w:kern w:val="0"/>
              </w:rPr>
            </w:pPr>
          </w:p>
        </w:tc>
        <w:tc>
          <w:tcPr>
            <w:tcW w:w="123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应急处置</w:t>
            </w:r>
          </w:p>
        </w:tc>
        <w:tc>
          <w:tcPr>
            <w:tcW w:w="4767"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◆转移事故周围物资、清除点火源</w:t>
            </w:r>
          </w:p>
          <w:p>
            <w:pPr>
              <w:widowControl/>
              <w:adjustRightInd w:val="0"/>
              <w:snapToGrid w:val="0"/>
              <w:spacing w:line="260" w:lineRule="exact"/>
              <w:rPr>
                <w:rFonts w:cs="宋体"/>
                <w:kern w:val="0"/>
              </w:rPr>
            </w:pPr>
            <w:r>
              <w:rPr>
                <w:rFonts w:hint="eastAsia" w:cs="宋体"/>
                <w:kern w:val="0"/>
              </w:rPr>
              <w:t>◆站长组织、指挥第一救援力量，用沙土、棉布、集油桶等覆盖、吸附、收容泄漏物</w:t>
            </w:r>
          </w:p>
          <w:p>
            <w:pPr>
              <w:widowControl/>
              <w:adjustRightInd w:val="0"/>
              <w:snapToGrid w:val="0"/>
              <w:spacing w:line="260" w:lineRule="exact"/>
              <w:rPr>
                <w:rFonts w:cs="宋体"/>
                <w:kern w:val="0"/>
              </w:rPr>
            </w:pPr>
            <w:r>
              <w:rPr>
                <w:rFonts w:hint="eastAsia" w:cs="宋体"/>
                <w:kern w:val="0"/>
              </w:rPr>
              <w:t>◆初步控制现场、隔离现场，避免无关人员进入事故发生区域</w:t>
            </w:r>
          </w:p>
          <w:p>
            <w:pPr>
              <w:widowControl/>
              <w:adjustRightInd w:val="0"/>
              <w:snapToGrid w:val="0"/>
              <w:spacing w:line="260" w:lineRule="exact"/>
              <w:rPr>
                <w:rFonts w:cs="宋体"/>
                <w:kern w:val="0"/>
              </w:rPr>
            </w:pPr>
            <w:r>
              <w:rPr>
                <w:rFonts w:hint="eastAsia" w:cs="宋体"/>
                <w:kern w:val="0"/>
              </w:rPr>
              <w:t>◆当预测事态可能扩大，危及应急人员生命安全时，应立即指挥现场人员全部撤离至疏散集合点</w:t>
            </w:r>
          </w:p>
          <w:p>
            <w:pPr>
              <w:widowControl/>
              <w:adjustRightInd w:val="0"/>
              <w:snapToGrid w:val="0"/>
              <w:spacing w:line="260" w:lineRule="exact"/>
              <w:rPr>
                <w:rFonts w:cs="宋体"/>
                <w:kern w:val="0"/>
              </w:rPr>
            </w:pPr>
            <w:r>
              <w:rPr>
                <w:rFonts w:hint="eastAsia" w:cs="宋体"/>
                <w:kern w:val="0"/>
              </w:rPr>
              <w:t>◆尽可能对事故现场进行监控，保持完整的过程记录和其他有效证据</w:t>
            </w:r>
          </w:p>
          <w:p>
            <w:pPr>
              <w:widowControl/>
              <w:adjustRightInd w:val="0"/>
              <w:snapToGrid w:val="0"/>
              <w:spacing w:line="260" w:lineRule="exact"/>
              <w:rPr>
                <w:rFonts w:cs="宋体"/>
                <w:kern w:val="0"/>
              </w:rPr>
            </w:pPr>
            <w:r>
              <w:rPr>
                <w:rFonts w:hint="eastAsia" w:cs="宋体"/>
                <w:kern w:val="0"/>
              </w:rPr>
              <w:t>◆必要时向社会救援资源申请支援</w:t>
            </w:r>
          </w:p>
          <w:p>
            <w:pPr>
              <w:widowControl/>
              <w:adjustRightInd w:val="0"/>
              <w:snapToGrid w:val="0"/>
              <w:spacing w:line="260" w:lineRule="exact"/>
              <w:rPr>
                <w:rFonts w:cs="宋体"/>
                <w:kern w:val="0"/>
              </w:rPr>
            </w:pPr>
            <w:r>
              <w:rPr>
                <w:rFonts w:hint="eastAsia" w:cs="宋体"/>
                <w:kern w:val="0"/>
              </w:rPr>
              <w:t>◆警戒疏散组疏散事故区无关人员至安全区域，在事故周围设置警戒标志，禁止无关人员、车辆进入</w:t>
            </w:r>
          </w:p>
          <w:p>
            <w:pPr>
              <w:widowControl/>
              <w:adjustRightInd w:val="0"/>
              <w:snapToGrid w:val="0"/>
              <w:spacing w:line="260" w:lineRule="exact"/>
              <w:rPr>
                <w:rFonts w:cs="宋体"/>
                <w:kern w:val="0"/>
              </w:rPr>
            </w:pPr>
            <w:r>
              <w:rPr>
                <w:rFonts w:hint="eastAsia" w:cs="宋体"/>
                <w:kern w:val="0"/>
              </w:rPr>
              <w:t>◆通讯联络做好急救资源准备，并通知周边居民做好撤离准备和联系受伤人员家属</w:t>
            </w:r>
          </w:p>
          <w:p>
            <w:pPr>
              <w:widowControl/>
              <w:adjustRightInd w:val="0"/>
              <w:snapToGrid w:val="0"/>
              <w:spacing w:line="260" w:lineRule="exact"/>
              <w:rPr>
                <w:rFonts w:cs="宋体"/>
                <w:kern w:val="0"/>
              </w:rPr>
            </w:pPr>
            <w:r>
              <w:rPr>
                <w:rFonts w:hint="eastAsia" w:cs="宋体"/>
                <w:kern w:val="0"/>
              </w:rPr>
              <w:t>◆站长联系安监、环保等政府部门</w:t>
            </w:r>
          </w:p>
        </w:tc>
        <w:tc>
          <w:tcPr>
            <w:tcW w:w="1041"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3、后期处理</w:t>
            </w:r>
          </w:p>
        </w:tc>
        <w:tc>
          <w:tcPr>
            <w:tcW w:w="123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p>
        </w:tc>
        <w:tc>
          <w:tcPr>
            <w:tcW w:w="4767"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◆事故原因分析</w:t>
            </w:r>
          </w:p>
          <w:p>
            <w:pPr>
              <w:widowControl/>
              <w:adjustRightInd w:val="0"/>
              <w:snapToGrid w:val="0"/>
              <w:spacing w:line="260" w:lineRule="exact"/>
              <w:rPr>
                <w:rFonts w:cs="宋体"/>
                <w:kern w:val="0"/>
              </w:rPr>
            </w:pPr>
            <w:r>
              <w:rPr>
                <w:rFonts w:hint="eastAsia" w:cs="宋体"/>
                <w:kern w:val="0"/>
              </w:rPr>
              <w:t>◆视情况决定是否恢复作业</w:t>
            </w:r>
          </w:p>
          <w:p>
            <w:pPr>
              <w:widowControl/>
              <w:adjustRightInd w:val="0"/>
              <w:snapToGrid w:val="0"/>
              <w:spacing w:line="260" w:lineRule="exact"/>
              <w:rPr>
                <w:rFonts w:cs="宋体"/>
                <w:kern w:val="0"/>
              </w:rPr>
            </w:pPr>
            <w:r>
              <w:rPr>
                <w:rFonts w:hint="eastAsia" w:cs="宋体"/>
                <w:kern w:val="0"/>
              </w:rPr>
              <w:t>◆收集的泄漏物、吸附材料交有资质单位处置</w:t>
            </w:r>
          </w:p>
          <w:p>
            <w:pPr>
              <w:widowControl/>
              <w:adjustRightInd w:val="0"/>
              <w:snapToGrid w:val="0"/>
              <w:spacing w:line="260" w:lineRule="exact"/>
              <w:rPr>
                <w:rFonts w:cs="宋体"/>
                <w:kern w:val="0"/>
              </w:rPr>
            </w:pPr>
            <w:r>
              <w:rPr>
                <w:rFonts w:hint="eastAsia" w:cs="宋体"/>
                <w:kern w:val="0"/>
              </w:rPr>
              <w:t>◆开会总结</w:t>
            </w:r>
          </w:p>
          <w:p>
            <w:pPr>
              <w:widowControl/>
              <w:adjustRightInd w:val="0"/>
              <w:snapToGrid w:val="0"/>
              <w:spacing w:line="260" w:lineRule="exact"/>
              <w:rPr>
                <w:rFonts w:cs="宋体"/>
                <w:kern w:val="0"/>
              </w:rPr>
            </w:pPr>
            <w:r>
              <w:rPr>
                <w:rFonts w:hint="eastAsia" w:cs="宋体"/>
                <w:kern w:val="0"/>
              </w:rPr>
              <w:t>◆填写事故报告</w:t>
            </w:r>
          </w:p>
          <w:p>
            <w:pPr>
              <w:widowControl/>
              <w:adjustRightInd w:val="0"/>
              <w:snapToGrid w:val="0"/>
              <w:spacing w:line="260" w:lineRule="exact"/>
              <w:rPr>
                <w:rFonts w:cs="宋体"/>
                <w:kern w:val="0"/>
              </w:rPr>
            </w:pPr>
            <w:r>
              <w:rPr>
                <w:rFonts w:hint="eastAsia" w:cs="宋体"/>
                <w:kern w:val="0"/>
              </w:rPr>
              <w:t>◆站长对外发布信息</w:t>
            </w:r>
          </w:p>
        </w:tc>
        <w:tc>
          <w:tcPr>
            <w:tcW w:w="1041"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站长、加油员</w:t>
            </w:r>
          </w:p>
        </w:tc>
      </w:tr>
    </w:tbl>
    <w:p>
      <w:pPr>
        <w:widowControl/>
        <w:adjustRightInd w:val="0"/>
        <w:snapToGrid w:val="0"/>
        <w:spacing w:line="360" w:lineRule="auto"/>
        <w:rPr>
          <w:rFonts w:cs="宋体"/>
          <w:kern w:val="0"/>
          <w:sz w:val="24"/>
          <w:szCs w:val="24"/>
        </w:rPr>
      </w:pPr>
      <w:r>
        <w:rPr>
          <w:rFonts w:hint="eastAsia" w:cs="宋体"/>
          <w:kern w:val="0"/>
          <w:sz w:val="24"/>
          <w:szCs w:val="24"/>
        </w:rPr>
        <w:t>3、大量泄漏，超出加油站控制范围</w:t>
      </w:r>
    </w:p>
    <w:tbl>
      <w:tblPr>
        <w:tblStyle w:val="35"/>
        <w:tblW w:w="8307" w:type="dxa"/>
        <w:jc w:val="center"/>
        <w:tblInd w:w="1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1142"/>
        <w:gridCol w:w="4738"/>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57"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事故类别</w:t>
            </w:r>
          </w:p>
        </w:tc>
        <w:tc>
          <w:tcPr>
            <w:tcW w:w="4738" w:type="dxa"/>
            <w:vMerge w:val="restart"/>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应急措施</w:t>
            </w:r>
          </w:p>
        </w:tc>
        <w:tc>
          <w:tcPr>
            <w:tcW w:w="1512" w:type="dxa"/>
            <w:vMerge w:val="restart"/>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57"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大量泄漏（I</w:t>
            </w:r>
            <w:r>
              <w:rPr>
                <w:rFonts w:hint="eastAsia" w:cs="宋体"/>
                <w:b/>
                <w:bCs/>
              </w:rPr>
              <w:t>级）</w:t>
            </w:r>
          </w:p>
        </w:tc>
        <w:tc>
          <w:tcPr>
            <w:tcW w:w="4738"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c>
          <w:tcPr>
            <w:tcW w:w="1512"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57"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事故处理过程</w:t>
            </w:r>
          </w:p>
        </w:tc>
        <w:tc>
          <w:tcPr>
            <w:tcW w:w="4738"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c>
          <w:tcPr>
            <w:tcW w:w="1512"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1、事故发现处理程序</w:t>
            </w:r>
          </w:p>
        </w:tc>
        <w:tc>
          <w:tcPr>
            <w:tcW w:w="11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事故发现</w:t>
            </w:r>
          </w:p>
        </w:tc>
        <w:tc>
          <w:tcPr>
            <w:tcW w:w="4738"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◆加油员发现</w:t>
            </w:r>
          </w:p>
          <w:p>
            <w:pPr>
              <w:widowControl/>
              <w:adjustRightInd w:val="0"/>
              <w:snapToGrid w:val="0"/>
              <w:spacing w:line="260" w:lineRule="exact"/>
              <w:rPr>
                <w:rFonts w:cs="宋体"/>
                <w:kern w:val="0"/>
              </w:rPr>
            </w:pPr>
            <w:r>
              <w:rPr>
                <w:rFonts w:hint="eastAsia" w:cs="宋体"/>
                <w:kern w:val="0"/>
              </w:rPr>
              <w:t>◆计量仪器报警</w:t>
            </w:r>
          </w:p>
          <w:p>
            <w:pPr>
              <w:widowControl/>
              <w:adjustRightInd w:val="0"/>
              <w:snapToGrid w:val="0"/>
              <w:spacing w:line="260" w:lineRule="exact"/>
              <w:rPr>
                <w:rFonts w:cs="宋体"/>
                <w:kern w:val="0"/>
              </w:rPr>
            </w:pPr>
            <w:r>
              <w:rPr>
                <w:rFonts w:hint="eastAsia" w:cs="宋体"/>
                <w:kern w:val="0"/>
              </w:rPr>
              <w:t>◆巡检人员（站长）发现</w:t>
            </w:r>
          </w:p>
        </w:tc>
        <w:tc>
          <w:tcPr>
            <w:tcW w:w="1512"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cs="宋体"/>
                <w:kern w:val="0"/>
              </w:rPr>
            </w:pPr>
          </w:p>
        </w:tc>
        <w:tc>
          <w:tcPr>
            <w:tcW w:w="11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现场确认</w:t>
            </w:r>
          </w:p>
        </w:tc>
        <w:tc>
          <w:tcPr>
            <w:tcW w:w="4738"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◆佩戴适合的防护用品</w:t>
            </w:r>
          </w:p>
          <w:p>
            <w:pPr>
              <w:widowControl/>
              <w:adjustRightInd w:val="0"/>
              <w:snapToGrid w:val="0"/>
              <w:spacing w:line="260" w:lineRule="exact"/>
              <w:rPr>
                <w:rFonts w:cs="宋体"/>
                <w:kern w:val="0"/>
              </w:rPr>
            </w:pPr>
            <w:r>
              <w:rPr>
                <w:rFonts w:hint="eastAsia" w:cs="宋体"/>
                <w:kern w:val="0"/>
              </w:rPr>
              <w:t>◆确认泄漏地点、泄漏量</w:t>
            </w:r>
          </w:p>
        </w:tc>
        <w:tc>
          <w:tcPr>
            <w:tcW w:w="1512"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cs="宋体"/>
                <w:kern w:val="0"/>
              </w:rPr>
            </w:pPr>
          </w:p>
        </w:tc>
        <w:tc>
          <w:tcPr>
            <w:tcW w:w="11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报告站长（若事故发现人为站长取消本环节）</w:t>
            </w:r>
          </w:p>
        </w:tc>
        <w:tc>
          <w:tcPr>
            <w:tcW w:w="4738"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◆泄漏地点、物料、泄漏量</w:t>
            </w:r>
          </w:p>
          <w:p>
            <w:pPr>
              <w:widowControl/>
              <w:adjustRightInd w:val="0"/>
              <w:snapToGrid w:val="0"/>
              <w:spacing w:line="260" w:lineRule="exact"/>
              <w:rPr>
                <w:rFonts w:cs="宋体"/>
                <w:kern w:val="0"/>
              </w:rPr>
            </w:pPr>
            <w:r>
              <w:rPr>
                <w:rFonts w:hint="eastAsia" w:cs="宋体"/>
                <w:kern w:val="0"/>
              </w:rPr>
              <w:t>◆是否人员受伤</w:t>
            </w:r>
          </w:p>
          <w:p>
            <w:pPr>
              <w:widowControl/>
              <w:adjustRightInd w:val="0"/>
              <w:snapToGrid w:val="0"/>
              <w:spacing w:line="260" w:lineRule="exact"/>
              <w:rPr>
                <w:rFonts w:cs="宋体"/>
                <w:kern w:val="0"/>
              </w:rPr>
            </w:pPr>
            <w:r>
              <w:rPr>
                <w:rFonts w:hint="eastAsia" w:cs="宋体"/>
                <w:kern w:val="0"/>
              </w:rPr>
              <w:t>◆风向</w:t>
            </w:r>
          </w:p>
          <w:p>
            <w:pPr>
              <w:widowControl/>
              <w:adjustRightInd w:val="0"/>
              <w:snapToGrid w:val="0"/>
              <w:spacing w:line="260" w:lineRule="exact"/>
              <w:rPr>
                <w:rFonts w:cs="宋体"/>
                <w:kern w:val="0"/>
              </w:rPr>
            </w:pPr>
            <w:r>
              <w:rPr>
                <w:rFonts w:hint="eastAsia" w:cs="宋体"/>
                <w:kern w:val="0"/>
              </w:rPr>
              <w:t>◆若预测情况加油站自身无法控制，直接拨打119或当地政府请求支援</w:t>
            </w:r>
          </w:p>
        </w:tc>
        <w:tc>
          <w:tcPr>
            <w:tcW w:w="1512"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2应急响应</w:t>
            </w:r>
          </w:p>
        </w:tc>
        <w:tc>
          <w:tcPr>
            <w:tcW w:w="11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紧急行动</w:t>
            </w:r>
          </w:p>
        </w:tc>
        <w:tc>
          <w:tcPr>
            <w:tcW w:w="4738"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◆立即报告有关上级部门请求支援，在有能力且不危及自身安全的情况下可采取下列措施：</w:t>
            </w:r>
          </w:p>
          <w:p>
            <w:pPr>
              <w:widowControl/>
              <w:adjustRightInd w:val="0"/>
              <w:snapToGrid w:val="0"/>
              <w:spacing w:line="260" w:lineRule="exact"/>
              <w:rPr>
                <w:rFonts w:cs="宋体"/>
                <w:kern w:val="0"/>
              </w:rPr>
            </w:pPr>
            <w:r>
              <w:rPr>
                <w:rFonts w:hint="eastAsia" w:cs="宋体"/>
                <w:kern w:val="0"/>
              </w:rPr>
              <w:t>◆佩戴必要的安全防护用品</w:t>
            </w:r>
          </w:p>
          <w:p>
            <w:pPr>
              <w:widowControl/>
              <w:adjustRightInd w:val="0"/>
              <w:snapToGrid w:val="0"/>
              <w:spacing w:line="260" w:lineRule="exact"/>
              <w:rPr>
                <w:rFonts w:cs="宋体"/>
                <w:kern w:val="0"/>
              </w:rPr>
            </w:pPr>
            <w:r>
              <w:rPr>
                <w:rFonts w:hint="eastAsia" w:cs="宋体"/>
                <w:kern w:val="0"/>
              </w:rPr>
              <w:t>◆停止作业，迅速切断要害部位的电源</w:t>
            </w:r>
          </w:p>
          <w:p>
            <w:pPr>
              <w:widowControl/>
              <w:adjustRightInd w:val="0"/>
              <w:snapToGrid w:val="0"/>
              <w:spacing w:line="260" w:lineRule="exact"/>
              <w:rPr>
                <w:rFonts w:cs="宋体"/>
                <w:kern w:val="0"/>
              </w:rPr>
            </w:pPr>
            <w:r>
              <w:rPr>
                <w:rFonts w:hint="eastAsia" w:cs="宋体"/>
                <w:kern w:val="0"/>
              </w:rPr>
              <w:t>◆关闭与要害部位连通管线的阀门，切断泄漏源、堵漏</w:t>
            </w:r>
          </w:p>
          <w:p>
            <w:pPr>
              <w:widowControl/>
              <w:adjustRightInd w:val="0"/>
              <w:snapToGrid w:val="0"/>
              <w:spacing w:line="260" w:lineRule="exact"/>
              <w:rPr>
                <w:rFonts w:cs="宋体"/>
                <w:kern w:val="0"/>
              </w:rPr>
            </w:pPr>
            <w:r>
              <w:rPr>
                <w:rFonts w:hint="eastAsia" w:cs="宋体"/>
                <w:kern w:val="0"/>
              </w:rPr>
              <w:t>◆控制和隔离现场，切断现场电源</w:t>
            </w:r>
          </w:p>
        </w:tc>
        <w:tc>
          <w:tcPr>
            <w:tcW w:w="1512"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cs="宋体"/>
                <w:kern w:val="0"/>
              </w:rPr>
            </w:pPr>
          </w:p>
        </w:tc>
        <w:tc>
          <w:tcPr>
            <w:tcW w:w="1142" w:type="dxa"/>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应急处置</w:t>
            </w:r>
          </w:p>
        </w:tc>
        <w:tc>
          <w:tcPr>
            <w:tcW w:w="4738"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◆立即撤离并疏散周边群众，报告有关上级部门请求支援，在有能力且不危及自身安全的情况下可采取下列措施：</w:t>
            </w:r>
          </w:p>
          <w:p>
            <w:pPr>
              <w:widowControl/>
              <w:adjustRightInd w:val="0"/>
              <w:snapToGrid w:val="0"/>
              <w:spacing w:line="260" w:lineRule="exact"/>
              <w:rPr>
                <w:rFonts w:cs="宋体"/>
                <w:kern w:val="0"/>
              </w:rPr>
            </w:pPr>
            <w:r>
              <w:rPr>
                <w:rFonts w:hint="eastAsia" w:cs="宋体"/>
                <w:kern w:val="0"/>
              </w:rPr>
              <w:t>◆转移事故周围物资、清除点火源</w:t>
            </w:r>
          </w:p>
          <w:p>
            <w:pPr>
              <w:widowControl/>
              <w:adjustRightInd w:val="0"/>
              <w:snapToGrid w:val="0"/>
              <w:spacing w:line="260" w:lineRule="exact"/>
              <w:rPr>
                <w:rFonts w:cs="宋体"/>
                <w:kern w:val="0"/>
              </w:rPr>
            </w:pPr>
            <w:r>
              <w:rPr>
                <w:rFonts w:hint="eastAsia" w:cs="宋体"/>
                <w:kern w:val="0"/>
              </w:rPr>
              <w:t xml:space="preserve">◆用沙土、棉布、集油桶等覆盖、吸附、收容泄漏物 </w:t>
            </w:r>
          </w:p>
          <w:p>
            <w:pPr>
              <w:widowControl/>
              <w:adjustRightInd w:val="0"/>
              <w:snapToGrid w:val="0"/>
              <w:spacing w:line="260" w:lineRule="exact"/>
              <w:rPr>
                <w:rFonts w:cs="宋体"/>
                <w:kern w:val="0"/>
              </w:rPr>
            </w:pPr>
            <w:r>
              <w:rPr>
                <w:rFonts w:hint="eastAsia" w:cs="宋体"/>
                <w:kern w:val="0"/>
              </w:rPr>
              <w:t xml:space="preserve">◆初步控制现场、隔离现场，避免无关人员进入事故发生区域  </w:t>
            </w:r>
          </w:p>
          <w:p>
            <w:pPr>
              <w:widowControl/>
              <w:adjustRightInd w:val="0"/>
              <w:snapToGrid w:val="0"/>
              <w:spacing w:line="260" w:lineRule="exact"/>
              <w:rPr>
                <w:rFonts w:cs="宋体"/>
                <w:kern w:val="0"/>
              </w:rPr>
            </w:pPr>
            <w:r>
              <w:rPr>
                <w:rFonts w:hint="eastAsia" w:cs="宋体"/>
                <w:kern w:val="0"/>
              </w:rPr>
              <w:t>◆指挥现场人员全部撤离至疏散集合点</w:t>
            </w:r>
          </w:p>
          <w:p>
            <w:pPr>
              <w:widowControl/>
              <w:adjustRightInd w:val="0"/>
              <w:snapToGrid w:val="0"/>
              <w:spacing w:line="260" w:lineRule="exact"/>
              <w:rPr>
                <w:rFonts w:cs="宋体"/>
                <w:kern w:val="0"/>
              </w:rPr>
            </w:pPr>
            <w:r>
              <w:rPr>
                <w:rFonts w:hint="eastAsia" w:cs="宋体"/>
                <w:kern w:val="0"/>
              </w:rPr>
              <w:t>◆尽可能对事故现场进行监控，保持完整的过程记录和其他有效证据</w:t>
            </w:r>
          </w:p>
          <w:p>
            <w:pPr>
              <w:widowControl/>
              <w:adjustRightInd w:val="0"/>
              <w:snapToGrid w:val="0"/>
              <w:spacing w:line="260" w:lineRule="exact"/>
              <w:rPr>
                <w:rFonts w:cs="宋体"/>
                <w:kern w:val="0"/>
              </w:rPr>
            </w:pPr>
            <w:r>
              <w:rPr>
                <w:rFonts w:hint="eastAsia" w:cs="宋体"/>
                <w:kern w:val="0"/>
              </w:rPr>
              <w:t>◆警戒疏散事故区无关人员至安全区域，在事故周围设置警戒标志，禁止无关人员、车辆进入</w:t>
            </w:r>
          </w:p>
          <w:p>
            <w:pPr>
              <w:widowControl/>
              <w:adjustRightInd w:val="0"/>
              <w:snapToGrid w:val="0"/>
              <w:spacing w:line="260" w:lineRule="exact"/>
              <w:rPr>
                <w:rFonts w:cs="宋体"/>
                <w:kern w:val="0"/>
              </w:rPr>
            </w:pPr>
            <w:r>
              <w:rPr>
                <w:rFonts w:hint="eastAsia" w:cs="宋体"/>
                <w:kern w:val="0"/>
              </w:rPr>
              <w:t>◆联系受伤人员家属</w:t>
            </w:r>
          </w:p>
          <w:p>
            <w:pPr>
              <w:widowControl/>
              <w:adjustRightInd w:val="0"/>
              <w:snapToGrid w:val="0"/>
              <w:spacing w:line="260" w:lineRule="exact"/>
              <w:rPr>
                <w:rFonts w:cs="宋体"/>
                <w:kern w:val="0"/>
              </w:rPr>
            </w:pPr>
            <w:r>
              <w:rPr>
                <w:rFonts w:hint="eastAsia" w:cs="宋体"/>
                <w:kern w:val="0"/>
              </w:rPr>
              <w:t>◆外部支援力量到达后，做好配合工作</w:t>
            </w:r>
          </w:p>
        </w:tc>
        <w:tc>
          <w:tcPr>
            <w:tcW w:w="1512"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3事后处理</w:t>
            </w:r>
          </w:p>
        </w:tc>
        <w:tc>
          <w:tcPr>
            <w:tcW w:w="1142" w:type="dxa"/>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kern w:val="0"/>
              </w:rPr>
            </w:pPr>
          </w:p>
        </w:tc>
        <w:tc>
          <w:tcPr>
            <w:tcW w:w="4738"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◆按照相关政府部门要求，做好事后工作</w:t>
            </w:r>
          </w:p>
          <w:p>
            <w:pPr>
              <w:widowControl/>
              <w:adjustRightInd w:val="0"/>
              <w:snapToGrid w:val="0"/>
              <w:spacing w:line="260" w:lineRule="exact"/>
              <w:rPr>
                <w:rFonts w:cs="宋体"/>
                <w:kern w:val="0"/>
              </w:rPr>
            </w:pPr>
            <w:r>
              <w:rPr>
                <w:rFonts w:hint="eastAsia" w:cs="宋体"/>
                <w:kern w:val="0"/>
              </w:rPr>
              <w:t>◆事故原因分析</w:t>
            </w:r>
          </w:p>
          <w:p>
            <w:pPr>
              <w:widowControl/>
              <w:adjustRightInd w:val="0"/>
              <w:snapToGrid w:val="0"/>
              <w:spacing w:line="260" w:lineRule="exact"/>
              <w:rPr>
                <w:rFonts w:cs="宋体"/>
                <w:kern w:val="0"/>
              </w:rPr>
            </w:pPr>
            <w:r>
              <w:rPr>
                <w:rFonts w:hint="eastAsia" w:cs="宋体"/>
                <w:kern w:val="0"/>
              </w:rPr>
              <w:t>◆恢复作业前评估，视情况决定是否恢复作业</w:t>
            </w:r>
          </w:p>
          <w:p>
            <w:pPr>
              <w:widowControl/>
              <w:adjustRightInd w:val="0"/>
              <w:snapToGrid w:val="0"/>
              <w:spacing w:line="260" w:lineRule="exact"/>
              <w:rPr>
                <w:rFonts w:cs="宋体"/>
                <w:kern w:val="0"/>
              </w:rPr>
            </w:pPr>
            <w:r>
              <w:rPr>
                <w:rFonts w:hint="eastAsia" w:cs="宋体"/>
                <w:kern w:val="0"/>
              </w:rPr>
              <w:t>◆收集的泄漏物、吸附材料交有资质单位处置</w:t>
            </w:r>
          </w:p>
          <w:p>
            <w:pPr>
              <w:widowControl/>
              <w:adjustRightInd w:val="0"/>
              <w:snapToGrid w:val="0"/>
              <w:spacing w:line="260" w:lineRule="exact"/>
              <w:rPr>
                <w:rFonts w:cs="宋体"/>
                <w:kern w:val="0"/>
              </w:rPr>
            </w:pPr>
            <w:r>
              <w:rPr>
                <w:rFonts w:hint="eastAsia" w:cs="宋体"/>
                <w:kern w:val="0"/>
              </w:rPr>
              <w:t>◆开会总结</w:t>
            </w:r>
          </w:p>
          <w:p>
            <w:pPr>
              <w:widowControl/>
              <w:adjustRightInd w:val="0"/>
              <w:snapToGrid w:val="0"/>
              <w:spacing w:line="260" w:lineRule="exact"/>
              <w:rPr>
                <w:rFonts w:cs="宋体"/>
                <w:kern w:val="0"/>
              </w:rPr>
            </w:pPr>
            <w:r>
              <w:rPr>
                <w:rFonts w:hint="eastAsia" w:cs="宋体"/>
                <w:kern w:val="0"/>
              </w:rPr>
              <w:t>◆填写事故报告</w:t>
            </w:r>
          </w:p>
          <w:p>
            <w:pPr>
              <w:widowControl/>
              <w:adjustRightInd w:val="0"/>
              <w:snapToGrid w:val="0"/>
              <w:spacing w:line="260" w:lineRule="exact"/>
              <w:rPr>
                <w:rFonts w:cs="宋体"/>
                <w:kern w:val="0"/>
              </w:rPr>
            </w:pPr>
            <w:r>
              <w:rPr>
                <w:rFonts w:hint="eastAsia" w:cs="宋体"/>
                <w:kern w:val="0"/>
              </w:rPr>
              <w:t>◆站长对外发布信息</w:t>
            </w:r>
          </w:p>
        </w:tc>
        <w:tc>
          <w:tcPr>
            <w:tcW w:w="1512"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站长、加油员</w:t>
            </w:r>
          </w:p>
        </w:tc>
      </w:tr>
    </w:tbl>
    <w:p>
      <w:pPr>
        <w:widowControl/>
        <w:adjustRightInd w:val="0"/>
        <w:snapToGrid w:val="0"/>
        <w:spacing w:line="360" w:lineRule="auto"/>
        <w:ind w:firstLine="480" w:firstLineChars="200"/>
        <w:rPr>
          <w:rFonts w:cs="宋体"/>
          <w:sz w:val="24"/>
          <w:szCs w:val="24"/>
        </w:rPr>
      </w:pPr>
      <w:r>
        <w:rPr>
          <w:rFonts w:hint="eastAsia" w:cs="宋体"/>
          <w:sz w:val="24"/>
          <w:szCs w:val="24"/>
        </w:rPr>
        <w:t>注：危险化学品爆炸燃烧事故现场处置措施（在本站的能力范围内且不危及自身安全的前提下采取现场处置措施）</w:t>
      </w:r>
    </w:p>
    <w:p>
      <w:pPr>
        <w:spacing w:line="360" w:lineRule="auto"/>
        <w:ind w:firstLine="480"/>
        <w:rPr>
          <w:rFonts w:ascii="宋体" w:hAnsi="宋体" w:cs="宋体"/>
          <w:sz w:val="28"/>
          <w:szCs w:val="28"/>
        </w:rPr>
      </w:pPr>
      <w:r>
        <w:rPr>
          <w:rFonts w:hint="eastAsia" w:ascii="宋体" w:hAnsi="宋体" w:cs="宋体"/>
          <w:sz w:val="28"/>
          <w:szCs w:val="28"/>
        </w:rPr>
        <w:t>A.警戒</w:t>
      </w:r>
    </w:p>
    <w:p>
      <w:pPr>
        <w:spacing w:line="360" w:lineRule="auto"/>
        <w:ind w:firstLine="480"/>
        <w:rPr>
          <w:rFonts w:ascii="宋体" w:hAnsi="宋体" w:cs="宋体"/>
          <w:sz w:val="28"/>
          <w:szCs w:val="28"/>
        </w:rPr>
      </w:pPr>
      <w:r>
        <w:rPr>
          <w:rFonts w:hint="eastAsia" w:ascii="宋体" w:hAnsi="宋体" w:cs="宋体"/>
          <w:sz w:val="28"/>
          <w:szCs w:val="28"/>
        </w:rPr>
        <w:t>(1)根据询问、侦察情况确定警戒区域；</w:t>
      </w:r>
    </w:p>
    <w:p>
      <w:pPr>
        <w:spacing w:line="360" w:lineRule="auto"/>
        <w:ind w:firstLine="480"/>
        <w:rPr>
          <w:rFonts w:ascii="宋体" w:hAnsi="宋体" w:cs="宋体"/>
          <w:sz w:val="28"/>
          <w:szCs w:val="28"/>
        </w:rPr>
      </w:pPr>
      <w:r>
        <w:rPr>
          <w:rFonts w:hint="eastAsia" w:ascii="宋体" w:hAnsi="宋体" w:cs="宋体"/>
          <w:sz w:val="28"/>
          <w:szCs w:val="28"/>
        </w:rPr>
        <w:t>(2)将警戒区域划分为重危区、中危区、轻危区和安全区，并设立警戒标志，在安全区设立隔离带；</w:t>
      </w:r>
    </w:p>
    <w:p>
      <w:pPr>
        <w:spacing w:line="360" w:lineRule="auto"/>
        <w:ind w:firstLine="480"/>
        <w:rPr>
          <w:rFonts w:ascii="宋体" w:hAnsi="宋体" w:cs="宋体"/>
          <w:sz w:val="28"/>
          <w:szCs w:val="28"/>
        </w:rPr>
      </w:pPr>
      <w:r>
        <w:rPr>
          <w:rFonts w:hint="eastAsia" w:ascii="宋体" w:hAnsi="宋体" w:cs="宋体"/>
          <w:sz w:val="28"/>
          <w:szCs w:val="28"/>
        </w:rPr>
        <w:t>(3)合理设置出入口，严格控制人员、车辆进出。</w:t>
      </w:r>
    </w:p>
    <w:p>
      <w:pPr>
        <w:spacing w:line="360" w:lineRule="auto"/>
        <w:ind w:firstLine="480"/>
        <w:rPr>
          <w:rFonts w:ascii="宋体" w:hAnsi="宋体" w:cs="宋体"/>
          <w:sz w:val="28"/>
          <w:szCs w:val="28"/>
        </w:rPr>
      </w:pPr>
      <w:r>
        <w:rPr>
          <w:rFonts w:hint="eastAsia" w:ascii="宋体" w:hAnsi="宋体" w:cs="宋体"/>
          <w:sz w:val="28"/>
          <w:szCs w:val="28"/>
        </w:rPr>
        <w:t>B救生</w:t>
      </w:r>
    </w:p>
    <w:p>
      <w:pPr>
        <w:spacing w:line="360" w:lineRule="auto"/>
        <w:ind w:firstLine="480"/>
        <w:rPr>
          <w:rFonts w:ascii="宋体" w:hAnsi="宋体" w:cs="宋体"/>
          <w:sz w:val="28"/>
          <w:szCs w:val="28"/>
        </w:rPr>
      </w:pPr>
      <w:r>
        <w:rPr>
          <w:rFonts w:hint="eastAsia" w:ascii="宋体" w:hAnsi="宋体" w:cs="宋体"/>
          <w:sz w:val="28"/>
          <w:szCs w:val="28"/>
        </w:rPr>
        <w:t>(1)组成救生小组，携带救生器材迅速进入危险区域；</w:t>
      </w:r>
    </w:p>
    <w:p>
      <w:pPr>
        <w:spacing w:line="360" w:lineRule="auto"/>
        <w:ind w:firstLine="480"/>
        <w:rPr>
          <w:rFonts w:ascii="宋体" w:hAnsi="宋体" w:cs="宋体"/>
          <w:sz w:val="28"/>
          <w:szCs w:val="28"/>
        </w:rPr>
      </w:pPr>
      <w:r>
        <w:rPr>
          <w:rFonts w:hint="eastAsia" w:ascii="宋体" w:hAnsi="宋体" w:cs="宋体"/>
          <w:sz w:val="28"/>
          <w:szCs w:val="28"/>
        </w:rPr>
        <w:t>(2)采取正确的救助方式，将所有遇险人员移至安全区域；</w:t>
      </w:r>
    </w:p>
    <w:p>
      <w:pPr>
        <w:spacing w:line="360" w:lineRule="auto"/>
        <w:ind w:firstLine="480"/>
        <w:rPr>
          <w:rFonts w:ascii="宋体" w:hAnsi="宋体" w:cs="宋体"/>
          <w:sz w:val="28"/>
          <w:szCs w:val="28"/>
        </w:rPr>
      </w:pPr>
      <w:r>
        <w:rPr>
          <w:rFonts w:hint="eastAsia" w:ascii="宋体" w:hAnsi="宋体" w:cs="宋体"/>
          <w:sz w:val="28"/>
          <w:szCs w:val="28"/>
        </w:rPr>
        <w:t>(3)对救出人员进行登记，标识和现场急救；</w:t>
      </w:r>
    </w:p>
    <w:p>
      <w:pPr>
        <w:spacing w:line="360" w:lineRule="auto"/>
        <w:ind w:firstLine="480"/>
        <w:rPr>
          <w:rFonts w:ascii="宋体" w:hAnsi="宋体" w:cs="宋体"/>
          <w:sz w:val="28"/>
          <w:szCs w:val="28"/>
        </w:rPr>
      </w:pPr>
      <w:r>
        <w:rPr>
          <w:rFonts w:hint="eastAsia" w:ascii="宋体" w:hAnsi="宋体" w:cs="宋体"/>
          <w:sz w:val="28"/>
          <w:szCs w:val="28"/>
        </w:rPr>
        <w:t>(4)将伤情较重者送交医疗急救部门救治。</w:t>
      </w:r>
    </w:p>
    <w:p>
      <w:pPr>
        <w:spacing w:line="360" w:lineRule="auto"/>
        <w:ind w:firstLine="480"/>
        <w:rPr>
          <w:rFonts w:ascii="宋体" w:hAnsi="宋体" w:cs="宋体"/>
          <w:sz w:val="28"/>
          <w:szCs w:val="28"/>
        </w:rPr>
      </w:pPr>
    </w:p>
    <w:p>
      <w:pPr>
        <w:spacing w:line="360" w:lineRule="auto"/>
        <w:ind w:firstLine="480"/>
        <w:rPr>
          <w:rFonts w:ascii="宋体" w:hAnsi="宋体" w:cs="宋体"/>
          <w:sz w:val="28"/>
          <w:szCs w:val="28"/>
        </w:rPr>
      </w:pPr>
      <w:r>
        <w:rPr>
          <w:rFonts w:hint="eastAsia" w:ascii="宋体" w:hAnsi="宋体" w:cs="宋体"/>
          <w:sz w:val="28"/>
          <w:szCs w:val="28"/>
        </w:rPr>
        <w:t>C控险</w:t>
      </w:r>
    </w:p>
    <w:p>
      <w:pPr>
        <w:spacing w:line="360" w:lineRule="auto"/>
        <w:ind w:firstLine="480"/>
        <w:rPr>
          <w:rFonts w:ascii="宋体" w:hAnsi="宋体" w:cs="宋体"/>
          <w:sz w:val="28"/>
          <w:szCs w:val="28"/>
        </w:rPr>
      </w:pPr>
      <w:r>
        <w:rPr>
          <w:rFonts w:hint="eastAsia" w:ascii="宋体" w:hAnsi="宋体" w:cs="宋体"/>
          <w:sz w:val="28"/>
          <w:szCs w:val="28"/>
        </w:rPr>
        <w:t>用干沙土围堵或导流，防止泄漏物向重要目标或危险源流散。</w:t>
      </w:r>
    </w:p>
    <w:p>
      <w:pPr>
        <w:spacing w:line="360" w:lineRule="auto"/>
        <w:ind w:firstLine="480"/>
        <w:rPr>
          <w:rFonts w:ascii="宋体" w:hAnsi="宋体" w:cs="宋体"/>
          <w:sz w:val="28"/>
          <w:szCs w:val="28"/>
        </w:rPr>
      </w:pPr>
      <w:r>
        <w:rPr>
          <w:rFonts w:hint="eastAsia" w:ascii="宋体" w:hAnsi="宋体" w:cs="宋体"/>
          <w:sz w:val="28"/>
          <w:szCs w:val="28"/>
        </w:rPr>
        <w:t>D排险</w:t>
      </w:r>
    </w:p>
    <w:p>
      <w:pPr>
        <w:spacing w:line="360" w:lineRule="auto"/>
        <w:ind w:firstLine="480"/>
        <w:rPr>
          <w:rFonts w:ascii="宋体" w:hAnsi="宋体" w:cs="宋体"/>
          <w:sz w:val="28"/>
          <w:szCs w:val="28"/>
        </w:rPr>
      </w:pPr>
      <w:r>
        <w:rPr>
          <w:rFonts w:hint="eastAsia" w:ascii="宋体" w:hAnsi="宋体" w:cs="宋体"/>
          <w:sz w:val="28"/>
          <w:szCs w:val="28"/>
        </w:rPr>
        <w:t>外围灭火</w:t>
      </w:r>
    </w:p>
    <w:p>
      <w:pPr>
        <w:spacing w:line="360" w:lineRule="auto"/>
        <w:ind w:firstLine="480"/>
        <w:rPr>
          <w:rFonts w:ascii="宋体" w:hAnsi="宋体" w:cs="宋体"/>
          <w:sz w:val="28"/>
          <w:szCs w:val="28"/>
        </w:rPr>
      </w:pPr>
      <w:r>
        <w:rPr>
          <w:rFonts w:hint="eastAsia" w:ascii="宋体" w:hAnsi="宋体" w:cs="宋体"/>
          <w:sz w:val="28"/>
          <w:szCs w:val="28"/>
        </w:rPr>
        <w:t>向泄漏点、主火点进攻之前，应将外围火点彻底扑灭。</w:t>
      </w:r>
    </w:p>
    <w:p>
      <w:pPr>
        <w:spacing w:line="360" w:lineRule="auto"/>
        <w:ind w:firstLine="480"/>
        <w:rPr>
          <w:rFonts w:ascii="宋体" w:hAnsi="宋体" w:cs="宋体"/>
          <w:sz w:val="28"/>
          <w:szCs w:val="28"/>
        </w:rPr>
      </w:pPr>
      <w:r>
        <w:rPr>
          <w:rFonts w:hint="eastAsia" w:ascii="宋体" w:hAnsi="宋体" w:cs="宋体"/>
          <w:sz w:val="28"/>
          <w:szCs w:val="28"/>
        </w:rPr>
        <w:t>堵漏</w:t>
      </w:r>
    </w:p>
    <w:p>
      <w:pPr>
        <w:spacing w:line="360" w:lineRule="auto"/>
        <w:ind w:firstLine="480"/>
        <w:rPr>
          <w:rFonts w:ascii="宋体" w:hAnsi="宋体" w:cs="宋体"/>
          <w:sz w:val="28"/>
          <w:szCs w:val="28"/>
        </w:rPr>
      </w:pPr>
      <w:r>
        <w:rPr>
          <w:rFonts w:hint="eastAsia" w:ascii="宋体" w:hAnsi="宋体" w:cs="宋体"/>
          <w:sz w:val="28"/>
          <w:szCs w:val="28"/>
        </w:rPr>
        <w:t>①根据现场泄漏情况，研究制定堵漏方案，并严格按照堵漏方案实施；</w:t>
      </w:r>
      <w:r>
        <w:rPr>
          <w:rFonts w:hint="eastAsia" w:ascii="宋体" w:hAnsi="宋体" w:cs="宋体"/>
          <w:sz w:val="28"/>
          <w:szCs w:val="28"/>
        </w:rPr>
        <w:br w:type="textWrapping"/>
      </w:r>
      <w:r>
        <w:rPr>
          <w:rFonts w:hint="eastAsia" w:ascii="宋体" w:hAnsi="宋体" w:cs="宋体"/>
          <w:sz w:val="28"/>
          <w:szCs w:val="28"/>
        </w:rPr>
        <w:t>②所有堵漏行动必须采取防爆措施，确保安全；</w:t>
      </w:r>
      <w:r>
        <w:rPr>
          <w:rFonts w:hint="eastAsia" w:ascii="宋体" w:hAnsi="宋体" w:cs="宋体"/>
          <w:sz w:val="28"/>
          <w:szCs w:val="28"/>
        </w:rPr>
        <w:br w:type="textWrapping"/>
      </w:r>
      <w:r>
        <w:rPr>
          <w:rFonts w:hint="eastAsia" w:ascii="宋体" w:hAnsi="宋体" w:cs="宋体"/>
          <w:sz w:val="28"/>
          <w:szCs w:val="28"/>
        </w:rPr>
        <w:t>③关闭前置阀门，切断泄漏源；</w:t>
      </w:r>
    </w:p>
    <w:p>
      <w:pPr>
        <w:spacing w:line="360" w:lineRule="auto"/>
        <w:ind w:firstLine="480"/>
        <w:rPr>
          <w:rFonts w:ascii="宋体" w:hAnsi="宋体" w:cs="宋体"/>
          <w:sz w:val="28"/>
          <w:szCs w:val="28"/>
        </w:rPr>
      </w:pPr>
      <w:r>
        <w:rPr>
          <w:rFonts w:hint="eastAsia" w:ascii="宋体" w:hAnsi="宋体" w:cs="宋体"/>
          <w:sz w:val="28"/>
          <w:szCs w:val="28"/>
        </w:rPr>
        <w:t>④根据泄漏对象，对非溶于水且比水轻的易燃液体，可向罐内适量注水，抬高液位，形成水垫层，缓解险情，配合堵漏；</w:t>
      </w:r>
    </w:p>
    <w:p>
      <w:pPr>
        <w:spacing w:line="360" w:lineRule="auto"/>
        <w:ind w:firstLine="480"/>
        <w:rPr>
          <w:rFonts w:ascii="宋体" w:hAnsi="宋体" w:cs="宋体"/>
          <w:sz w:val="28"/>
          <w:szCs w:val="28"/>
        </w:rPr>
      </w:pPr>
      <w:r>
        <w:rPr>
          <w:rFonts w:hint="eastAsia" w:ascii="宋体" w:hAnsi="宋体" w:cs="宋体"/>
          <w:sz w:val="28"/>
          <w:szCs w:val="28"/>
        </w:rPr>
        <w:t>⑤堵漏方法，见安全操作规程。</w:t>
      </w:r>
    </w:p>
    <w:p>
      <w:pPr>
        <w:spacing w:line="360" w:lineRule="auto"/>
        <w:ind w:firstLine="480"/>
        <w:rPr>
          <w:rFonts w:ascii="宋体" w:hAnsi="宋体" w:cs="宋体"/>
          <w:sz w:val="28"/>
          <w:szCs w:val="28"/>
        </w:rPr>
      </w:pPr>
      <w:r>
        <w:rPr>
          <w:rFonts w:hint="eastAsia" w:ascii="宋体" w:hAnsi="宋体" w:cs="宋体"/>
          <w:sz w:val="28"/>
          <w:szCs w:val="28"/>
        </w:rPr>
        <w:t>输转</w:t>
      </w:r>
    </w:p>
    <w:p>
      <w:pPr>
        <w:spacing w:line="360" w:lineRule="auto"/>
        <w:ind w:firstLine="480"/>
        <w:rPr>
          <w:rFonts w:ascii="宋体" w:hAnsi="宋体" w:cs="宋体"/>
          <w:sz w:val="28"/>
          <w:szCs w:val="28"/>
        </w:rPr>
      </w:pPr>
      <w:r>
        <w:rPr>
          <w:rFonts w:hint="eastAsia" w:ascii="宋体" w:hAnsi="宋体" w:cs="宋体"/>
          <w:sz w:val="28"/>
          <w:szCs w:val="28"/>
        </w:rPr>
        <w:t>①利用工艺措施导流或倒罐。</w:t>
      </w:r>
    </w:p>
    <w:p>
      <w:pPr>
        <w:spacing w:line="360" w:lineRule="auto"/>
        <w:ind w:firstLine="480"/>
        <w:rPr>
          <w:rFonts w:ascii="宋体" w:hAnsi="宋体" w:cs="宋体"/>
          <w:sz w:val="28"/>
          <w:szCs w:val="28"/>
        </w:rPr>
      </w:pPr>
      <w:r>
        <w:rPr>
          <w:rFonts w:hint="eastAsia" w:ascii="宋体" w:hAnsi="宋体" w:cs="宋体"/>
          <w:sz w:val="28"/>
          <w:szCs w:val="28"/>
        </w:rPr>
        <w:t>E救护</w:t>
      </w:r>
    </w:p>
    <w:p>
      <w:pPr>
        <w:spacing w:line="360" w:lineRule="auto"/>
        <w:ind w:firstLine="480"/>
        <w:rPr>
          <w:rFonts w:ascii="宋体" w:hAnsi="宋体" w:cs="宋体"/>
          <w:sz w:val="28"/>
          <w:szCs w:val="28"/>
        </w:rPr>
      </w:pPr>
      <w:r>
        <w:rPr>
          <w:rFonts w:hint="eastAsia" w:ascii="宋体" w:hAnsi="宋体" w:cs="宋体"/>
          <w:sz w:val="28"/>
          <w:szCs w:val="28"/>
        </w:rPr>
        <w:t>（1）现场救护</w:t>
      </w:r>
    </w:p>
    <w:p>
      <w:pPr>
        <w:spacing w:line="360" w:lineRule="auto"/>
        <w:ind w:firstLine="480"/>
        <w:rPr>
          <w:rFonts w:ascii="宋体" w:hAnsi="宋体" w:cs="宋体"/>
          <w:sz w:val="28"/>
          <w:szCs w:val="28"/>
        </w:rPr>
      </w:pPr>
      <w:r>
        <w:rPr>
          <w:rFonts w:hint="eastAsia" w:ascii="宋体" w:hAnsi="宋体" w:cs="宋体"/>
          <w:sz w:val="28"/>
          <w:szCs w:val="28"/>
        </w:rPr>
        <w:t>①将染毒者迅速撤离现场，转移到上风或侧上风方向空气无污染地区；</w:t>
      </w:r>
      <w:r>
        <w:rPr>
          <w:rFonts w:hint="eastAsia" w:ascii="宋体" w:hAnsi="宋体" w:cs="宋体"/>
          <w:sz w:val="28"/>
          <w:szCs w:val="28"/>
        </w:rPr>
        <w:br w:type="textWrapping"/>
      </w:r>
      <w:r>
        <w:rPr>
          <w:rFonts w:hint="eastAsia" w:ascii="宋体" w:hAnsi="宋体" w:cs="宋体"/>
          <w:sz w:val="28"/>
          <w:szCs w:val="28"/>
        </w:rPr>
        <w:t>②有条件时应立即进行呼吸道及全身防护，防止继续吸入染毒；</w:t>
      </w:r>
    </w:p>
    <w:p>
      <w:pPr>
        <w:spacing w:line="360" w:lineRule="auto"/>
        <w:ind w:firstLine="480"/>
        <w:rPr>
          <w:rFonts w:ascii="宋体" w:hAnsi="宋体" w:cs="宋体"/>
          <w:sz w:val="28"/>
          <w:szCs w:val="28"/>
        </w:rPr>
      </w:pPr>
      <w:r>
        <w:rPr>
          <w:rFonts w:hint="eastAsia" w:ascii="宋体" w:hAnsi="宋体" w:cs="宋体"/>
          <w:sz w:val="28"/>
          <w:szCs w:val="28"/>
        </w:rPr>
        <w:t>③对呼吸、心跳停止者，应立即进行人工呼吸和心脏按压，采取心肺复苏措施，并给予氧气；</w:t>
      </w:r>
    </w:p>
    <w:p>
      <w:pPr>
        <w:spacing w:line="360" w:lineRule="auto"/>
        <w:ind w:firstLine="480"/>
        <w:rPr>
          <w:rFonts w:ascii="宋体" w:hAnsi="宋体" w:cs="宋体"/>
          <w:sz w:val="28"/>
          <w:szCs w:val="28"/>
        </w:rPr>
      </w:pPr>
      <w:r>
        <w:rPr>
          <w:rFonts w:hint="eastAsia" w:ascii="宋体" w:hAnsi="宋体" w:cs="宋体"/>
          <w:sz w:val="28"/>
          <w:szCs w:val="28"/>
        </w:rPr>
        <w:t>④立即脱去被污染者的服装；皮肤污染者，用流动清水或肥皂水彻底冲洗；眼睛污染者，用大量流动清水彻底冲洗。</w:t>
      </w:r>
    </w:p>
    <w:p>
      <w:pPr>
        <w:spacing w:line="360" w:lineRule="auto"/>
        <w:ind w:firstLine="480"/>
        <w:rPr>
          <w:rFonts w:ascii="宋体" w:hAnsi="宋体" w:cs="宋体"/>
          <w:sz w:val="28"/>
          <w:szCs w:val="28"/>
        </w:rPr>
      </w:pPr>
      <w:r>
        <w:rPr>
          <w:rFonts w:hint="eastAsia" w:ascii="宋体" w:hAnsi="宋体" w:cs="宋体"/>
          <w:sz w:val="28"/>
          <w:szCs w:val="28"/>
        </w:rPr>
        <w:t>使用特效药物治疗；</w:t>
      </w:r>
    </w:p>
    <w:p>
      <w:pPr>
        <w:spacing w:line="360" w:lineRule="auto"/>
        <w:ind w:firstLine="480"/>
        <w:rPr>
          <w:rFonts w:ascii="宋体" w:hAnsi="宋体" w:cs="宋体"/>
          <w:sz w:val="28"/>
          <w:szCs w:val="28"/>
        </w:rPr>
      </w:pPr>
      <w:r>
        <w:rPr>
          <w:rFonts w:hint="eastAsia" w:ascii="宋体" w:hAnsi="宋体" w:cs="宋体"/>
          <w:sz w:val="28"/>
          <w:szCs w:val="28"/>
        </w:rPr>
        <w:t>对症治疗；</w:t>
      </w:r>
    </w:p>
    <w:p>
      <w:pPr>
        <w:spacing w:line="360" w:lineRule="auto"/>
        <w:ind w:firstLine="480"/>
        <w:rPr>
          <w:rFonts w:ascii="宋体" w:hAnsi="宋体" w:cs="宋体"/>
          <w:sz w:val="28"/>
          <w:szCs w:val="28"/>
        </w:rPr>
      </w:pPr>
      <w:r>
        <w:rPr>
          <w:rFonts w:hint="eastAsia" w:ascii="宋体" w:hAnsi="宋体" w:cs="宋体"/>
          <w:sz w:val="28"/>
          <w:szCs w:val="28"/>
        </w:rPr>
        <w:t>严重者送医院观察治疗。</w:t>
      </w:r>
    </w:p>
    <w:p>
      <w:pPr>
        <w:spacing w:line="360" w:lineRule="auto"/>
        <w:ind w:firstLine="480"/>
        <w:rPr>
          <w:rFonts w:ascii="宋体" w:hAnsi="宋体" w:cs="宋体"/>
          <w:sz w:val="28"/>
          <w:szCs w:val="28"/>
        </w:rPr>
      </w:pPr>
      <w:r>
        <w:rPr>
          <w:rFonts w:hint="eastAsia" w:ascii="宋体" w:hAnsi="宋体" w:cs="宋体"/>
          <w:sz w:val="28"/>
          <w:szCs w:val="28"/>
        </w:rPr>
        <w:t>F洗消</w:t>
      </w:r>
    </w:p>
    <w:p>
      <w:pPr>
        <w:spacing w:line="360" w:lineRule="auto"/>
        <w:ind w:firstLine="480"/>
        <w:rPr>
          <w:rFonts w:ascii="宋体" w:hAnsi="宋体" w:cs="宋体"/>
          <w:sz w:val="28"/>
          <w:szCs w:val="28"/>
        </w:rPr>
      </w:pPr>
      <w:r>
        <w:rPr>
          <w:rFonts w:hint="eastAsia" w:ascii="宋体" w:hAnsi="宋体" w:cs="宋体"/>
          <w:sz w:val="28"/>
          <w:szCs w:val="28"/>
        </w:rPr>
        <w:t>(1)在危险区与安全区交界处设立洗消站。</w:t>
      </w:r>
    </w:p>
    <w:p>
      <w:pPr>
        <w:spacing w:line="360" w:lineRule="auto"/>
        <w:ind w:firstLine="480"/>
        <w:rPr>
          <w:rFonts w:ascii="宋体" w:hAnsi="宋体" w:cs="宋体"/>
          <w:sz w:val="28"/>
          <w:szCs w:val="28"/>
        </w:rPr>
      </w:pPr>
      <w:r>
        <w:rPr>
          <w:rFonts w:hint="eastAsia" w:ascii="宋体" w:hAnsi="宋体" w:cs="宋体"/>
          <w:sz w:val="28"/>
          <w:szCs w:val="28"/>
        </w:rPr>
        <w:t>(2)洗消的对象</w:t>
      </w:r>
      <w:r>
        <w:rPr>
          <w:rFonts w:hint="eastAsia" w:ascii="宋体" w:hAnsi="宋体" w:cs="宋体"/>
          <w:sz w:val="28"/>
          <w:szCs w:val="28"/>
        </w:rPr>
        <w:br w:type="textWrapping"/>
      </w:r>
      <w:r>
        <w:rPr>
          <w:rFonts w:hint="eastAsia" w:ascii="宋体" w:hAnsi="宋体" w:cs="宋体"/>
          <w:sz w:val="28"/>
          <w:szCs w:val="28"/>
        </w:rPr>
        <w:t>①轻度中毒的人员；</w:t>
      </w:r>
    </w:p>
    <w:p>
      <w:pPr>
        <w:spacing w:line="360" w:lineRule="auto"/>
        <w:ind w:firstLine="480"/>
        <w:rPr>
          <w:rFonts w:ascii="宋体" w:hAnsi="宋体" w:cs="宋体"/>
          <w:sz w:val="28"/>
          <w:szCs w:val="28"/>
        </w:rPr>
      </w:pPr>
      <w:r>
        <w:rPr>
          <w:rFonts w:hint="eastAsia" w:ascii="宋体" w:hAnsi="宋体" w:cs="宋体"/>
          <w:sz w:val="28"/>
          <w:szCs w:val="28"/>
        </w:rPr>
        <w:t>②重度中毒人员在送医院治疗之前；</w:t>
      </w:r>
    </w:p>
    <w:p>
      <w:pPr>
        <w:spacing w:line="360" w:lineRule="auto"/>
        <w:ind w:firstLine="480"/>
        <w:rPr>
          <w:rFonts w:ascii="宋体" w:hAnsi="宋体" w:cs="宋体"/>
          <w:sz w:val="28"/>
          <w:szCs w:val="28"/>
        </w:rPr>
      </w:pPr>
      <w:r>
        <w:rPr>
          <w:rFonts w:hint="eastAsia" w:ascii="宋体" w:hAnsi="宋体" w:cs="宋体"/>
          <w:sz w:val="28"/>
          <w:szCs w:val="28"/>
        </w:rPr>
        <w:t>③现场医务人员；</w:t>
      </w:r>
    </w:p>
    <w:p>
      <w:pPr>
        <w:spacing w:line="360" w:lineRule="auto"/>
        <w:ind w:firstLine="480"/>
        <w:rPr>
          <w:rFonts w:ascii="宋体" w:hAnsi="宋体" w:cs="宋体"/>
          <w:sz w:val="28"/>
          <w:szCs w:val="28"/>
        </w:rPr>
      </w:pPr>
      <w:r>
        <w:rPr>
          <w:rFonts w:hint="eastAsia" w:ascii="宋体" w:hAnsi="宋体" w:cs="宋体"/>
          <w:sz w:val="28"/>
          <w:szCs w:val="28"/>
        </w:rPr>
        <w:t>④消防和其他抢险人员以及群众互救人员；</w:t>
      </w:r>
    </w:p>
    <w:p>
      <w:pPr>
        <w:spacing w:line="360" w:lineRule="auto"/>
        <w:ind w:firstLine="480"/>
        <w:rPr>
          <w:rFonts w:ascii="宋体" w:hAnsi="宋体" w:cs="宋体"/>
          <w:sz w:val="28"/>
          <w:szCs w:val="28"/>
        </w:rPr>
      </w:pPr>
      <w:r>
        <w:rPr>
          <w:rFonts w:hint="eastAsia" w:ascii="宋体" w:hAnsi="宋体" w:cs="宋体"/>
          <w:sz w:val="28"/>
          <w:szCs w:val="28"/>
        </w:rPr>
        <w:t>⑤抢救及染毒器具。</w:t>
      </w:r>
    </w:p>
    <w:p>
      <w:pPr>
        <w:spacing w:line="360" w:lineRule="auto"/>
        <w:ind w:firstLine="480"/>
        <w:rPr>
          <w:rFonts w:ascii="宋体" w:hAnsi="宋体" w:cs="宋体"/>
          <w:sz w:val="28"/>
          <w:szCs w:val="28"/>
        </w:rPr>
      </w:pPr>
      <w:r>
        <w:rPr>
          <w:rFonts w:hint="eastAsia" w:ascii="宋体" w:hAnsi="宋体" w:cs="宋体"/>
          <w:sz w:val="28"/>
          <w:szCs w:val="28"/>
        </w:rPr>
        <w:t>(3)使用相应的洗消药剂；</w:t>
      </w:r>
    </w:p>
    <w:p>
      <w:pPr>
        <w:spacing w:line="360" w:lineRule="auto"/>
        <w:ind w:firstLine="480"/>
        <w:rPr>
          <w:rFonts w:ascii="宋体" w:hAnsi="宋体" w:cs="宋体"/>
          <w:sz w:val="28"/>
          <w:szCs w:val="28"/>
        </w:rPr>
      </w:pPr>
      <w:r>
        <w:rPr>
          <w:rFonts w:hint="eastAsia" w:ascii="宋体" w:hAnsi="宋体" w:cs="宋体"/>
          <w:sz w:val="28"/>
          <w:szCs w:val="28"/>
        </w:rPr>
        <w:t>(4)洗消污水的排放必须经过环保部门的检测，以防造成次生灾害。</w:t>
      </w:r>
    </w:p>
    <w:p>
      <w:pPr>
        <w:spacing w:line="360" w:lineRule="auto"/>
        <w:ind w:firstLine="480"/>
        <w:rPr>
          <w:rFonts w:ascii="宋体" w:hAnsi="宋体" w:cs="宋体"/>
          <w:sz w:val="28"/>
          <w:szCs w:val="28"/>
        </w:rPr>
      </w:pPr>
      <w:r>
        <w:rPr>
          <w:rFonts w:hint="eastAsia" w:ascii="宋体" w:hAnsi="宋体" w:cs="宋体"/>
          <w:sz w:val="28"/>
          <w:szCs w:val="28"/>
        </w:rPr>
        <w:t>G清理</w:t>
      </w:r>
    </w:p>
    <w:p>
      <w:pPr>
        <w:spacing w:line="360" w:lineRule="auto"/>
        <w:ind w:firstLine="480"/>
        <w:rPr>
          <w:rFonts w:ascii="宋体" w:hAnsi="宋体" w:cs="宋体"/>
          <w:sz w:val="28"/>
          <w:szCs w:val="28"/>
        </w:rPr>
      </w:pPr>
      <w:r>
        <w:rPr>
          <w:rFonts w:hint="eastAsia" w:ascii="宋体" w:hAnsi="宋体" w:cs="宋体"/>
          <w:sz w:val="28"/>
          <w:szCs w:val="28"/>
        </w:rPr>
        <w:t>(1)少量残液，用干沙土、吸附剂等吸附，收集后作技术处理或视情况倒至空旷地方掩埋；</w:t>
      </w:r>
    </w:p>
    <w:p>
      <w:pPr>
        <w:spacing w:line="360" w:lineRule="auto"/>
        <w:ind w:firstLine="480"/>
        <w:rPr>
          <w:rFonts w:ascii="宋体" w:hAnsi="宋体" w:cs="宋体"/>
          <w:sz w:val="28"/>
          <w:szCs w:val="28"/>
        </w:rPr>
      </w:pPr>
      <w:r>
        <w:rPr>
          <w:rFonts w:hint="eastAsia" w:ascii="宋体" w:hAnsi="宋体" w:cs="宋体"/>
          <w:sz w:val="28"/>
          <w:szCs w:val="28"/>
        </w:rPr>
        <w:t>(2)大量残液、用防爆泵抽吸或使用无火花容器收集、集中处理；</w:t>
      </w:r>
    </w:p>
    <w:p>
      <w:pPr>
        <w:spacing w:line="360" w:lineRule="auto"/>
        <w:ind w:firstLine="480"/>
        <w:rPr>
          <w:rFonts w:ascii="宋体" w:hAnsi="宋体" w:cs="宋体"/>
          <w:sz w:val="28"/>
          <w:szCs w:val="28"/>
        </w:rPr>
      </w:pPr>
      <w:r>
        <w:rPr>
          <w:rFonts w:hint="eastAsia" w:ascii="宋体" w:hAnsi="宋体" w:cs="宋体"/>
          <w:sz w:val="28"/>
          <w:szCs w:val="28"/>
        </w:rPr>
        <w:t>(3)在污染地面上洒上中和或洗涤剂浸洗，然后用大量直流水清扫现场，特别是低洼、沟渠等处，确保不留残液；</w:t>
      </w:r>
    </w:p>
    <w:p>
      <w:pPr>
        <w:spacing w:line="360" w:lineRule="auto"/>
        <w:ind w:firstLine="480"/>
        <w:rPr>
          <w:rFonts w:ascii="宋体" w:hAnsi="宋体" w:cs="宋体"/>
          <w:sz w:val="28"/>
          <w:szCs w:val="28"/>
        </w:rPr>
      </w:pPr>
      <w:r>
        <w:rPr>
          <w:rFonts w:hint="eastAsia" w:ascii="宋体" w:hAnsi="宋体" w:cs="宋体"/>
          <w:sz w:val="28"/>
          <w:szCs w:val="28"/>
        </w:rPr>
        <w:t>(4)清点人员、车辆及器材；</w:t>
      </w:r>
    </w:p>
    <w:p>
      <w:pPr>
        <w:spacing w:line="360" w:lineRule="auto"/>
        <w:ind w:firstLine="480"/>
        <w:rPr>
          <w:rFonts w:ascii="宋体" w:hAnsi="宋体" w:cs="宋体"/>
          <w:sz w:val="28"/>
          <w:szCs w:val="28"/>
        </w:rPr>
      </w:pPr>
      <w:r>
        <w:rPr>
          <w:rFonts w:hint="eastAsia" w:ascii="宋体" w:hAnsi="宋体" w:cs="宋体"/>
          <w:sz w:val="28"/>
          <w:szCs w:val="28"/>
        </w:rPr>
        <w:t>(5)撤除警戒，做好移交，安全撤离。</w:t>
      </w:r>
    </w:p>
    <w:p>
      <w:pPr>
        <w:spacing w:line="360" w:lineRule="auto"/>
        <w:ind w:firstLine="480"/>
        <w:rPr>
          <w:rFonts w:ascii="宋体" w:hAnsi="宋体" w:cs="宋体"/>
          <w:sz w:val="28"/>
          <w:szCs w:val="28"/>
        </w:rPr>
      </w:pPr>
      <w:r>
        <w:rPr>
          <w:rFonts w:hint="eastAsia" w:ascii="宋体" w:hAnsi="宋体" w:cs="宋体"/>
          <w:sz w:val="28"/>
          <w:szCs w:val="28"/>
        </w:rPr>
        <w:t>H警示</w:t>
      </w:r>
    </w:p>
    <w:p>
      <w:pPr>
        <w:spacing w:line="360" w:lineRule="auto"/>
        <w:ind w:firstLine="480"/>
        <w:rPr>
          <w:rFonts w:ascii="宋体" w:hAnsi="宋体" w:cs="宋体"/>
          <w:sz w:val="28"/>
          <w:szCs w:val="28"/>
        </w:rPr>
      </w:pPr>
      <w:r>
        <w:rPr>
          <w:rFonts w:hint="eastAsia" w:ascii="宋体" w:hAnsi="宋体" w:cs="宋体"/>
          <w:sz w:val="28"/>
          <w:szCs w:val="28"/>
        </w:rPr>
        <w:t>(1)进入现场必须正确选择行车路线、停车位置、作战阵地；</w:t>
      </w:r>
    </w:p>
    <w:p>
      <w:pPr>
        <w:spacing w:line="360" w:lineRule="auto"/>
        <w:ind w:firstLine="480"/>
        <w:rPr>
          <w:rFonts w:ascii="宋体" w:hAnsi="宋体" w:cs="宋体"/>
          <w:sz w:val="28"/>
          <w:szCs w:val="28"/>
        </w:rPr>
      </w:pPr>
      <w:r>
        <w:rPr>
          <w:rFonts w:hint="eastAsia" w:ascii="宋体" w:hAnsi="宋体" w:cs="宋体"/>
          <w:sz w:val="28"/>
          <w:szCs w:val="28"/>
        </w:rPr>
        <w:t>(2)严密监视液体流淌情况，防止灾情扩大；</w:t>
      </w:r>
    </w:p>
    <w:p>
      <w:pPr>
        <w:spacing w:line="360" w:lineRule="auto"/>
        <w:ind w:firstLine="480"/>
        <w:rPr>
          <w:rFonts w:ascii="宋体" w:hAnsi="宋体" w:cs="宋体"/>
          <w:sz w:val="28"/>
          <w:szCs w:val="28"/>
        </w:rPr>
      </w:pPr>
      <w:r>
        <w:rPr>
          <w:rFonts w:hint="eastAsia" w:ascii="宋体" w:hAnsi="宋体" w:cs="宋体"/>
          <w:sz w:val="28"/>
          <w:szCs w:val="28"/>
        </w:rPr>
        <w:t>(3)扑灭流淌火灾时，泡沫覆盖要充分到位，并防止回火或复燃；</w:t>
      </w:r>
    </w:p>
    <w:p>
      <w:pPr>
        <w:spacing w:line="360" w:lineRule="auto"/>
        <w:ind w:firstLine="480"/>
        <w:rPr>
          <w:rFonts w:ascii="宋体" w:hAnsi="宋体" w:cs="宋体"/>
          <w:sz w:val="28"/>
          <w:szCs w:val="28"/>
        </w:rPr>
      </w:pPr>
      <w:r>
        <w:rPr>
          <w:rFonts w:hint="eastAsia" w:ascii="宋体" w:hAnsi="宋体" w:cs="宋体"/>
          <w:sz w:val="28"/>
          <w:szCs w:val="28"/>
        </w:rPr>
        <w:t>(4)着火贮罐或装置出现爆炸征兆时，参战人员应果断撤离；</w:t>
      </w:r>
    </w:p>
    <w:p>
      <w:pPr>
        <w:spacing w:line="360" w:lineRule="auto"/>
        <w:ind w:firstLine="480"/>
        <w:rPr>
          <w:rFonts w:ascii="宋体" w:hAnsi="宋体" w:cs="宋体"/>
          <w:sz w:val="28"/>
          <w:szCs w:val="28"/>
        </w:rPr>
      </w:pPr>
      <w:r>
        <w:rPr>
          <w:rFonts w:hint="eastAsia" w:ascii="宋体" w:hAnsi="宋体" w:cs="宋体"/>
          <w:sz w:val="28"/>
          <w:szCs w:val="28"/>
        </w:rPr>
        <w:t>(5)注意风向变换，适时调整部署；</w:t>
      </w:r>
    </w:p>
    <w:p>
      <w:pPr>
        <w:spacing w:line="360" w:lineRule="auto"/>
        <w:ind w:firstLine="480"/>
        <w:rPr>
          <w:rFonts w:ascii="宋体" w:hAnsi="宋体" w:cs="宋体"/>
          <w:sz w:val="28"/>
          <w:szCs w:val="28"/>
        </w:rPr>
      </w:pPr>
      <w:r>
        <w:rPr>
          <w:rFonts w:hint="eastAsia" w:ascii="宋体" w:hAnsi="宋体" w:cs="宋体"/>
          <w:sz w:val="28"/>
          <w:szCs w:val="28"/>
        </w:rPr>
        <w:t>(6)慎重发布灾情和相关新闻。</w:t>
      </w:r>
    </w:p>
    <w:p>
      <w:pPr>
        <w:pStyle w:val="5"/>
        <w:spacing w:before="0" w:after="0"/>
        <w:rPr>
          <w:rStyle w:val="49"/>
          <w:rFonts w:ascii="Times New Roman" w:hAnsi="Times New Roman" w:cs="宋体"/>
          <w:b/>
          <w:bCs/>
          <w:sz w:val="24"/>
          <w:szCs w:val="24"/>
        </w:rPr>
      </w:pPr>
      <w:bookmarkStart w:id="714" w:name="_Toc330286040"/>
      <w:bookmarkEnd w:id="714"/>
      <w:bookmarkStart w:id="715" w:name="_Toc7825"/>
      <w:bookmarkEnd w:id="715"/>
      <w:bookmarkStart w:id="716" w:name="_Toc27178"/>
      <w:bookmarkEnd w:id="716"/>
      <w:bookmarkStart w:id="717" w:name="_Toc390156211"/>
      <w:bookmarkEnd w:id="717"/>
      <w:bookmarkStart w:id="718" w:name="_Toc504989633"/>
      <w:bookmarkEnd w:id="718"/>
      <w:bookmarkStart w:id="719" w:name="_Toc5018"/>
      <w:bookmarkStart w:id="720" w:name="_Toc530594666"/>
      <w:bookmarkStart w:id="721" w:name="_Toc21215"/>
      <w:bookmarkStart w:id="722" w:name="_Toc2991"/>
      <w:bookmarkStart w:id="723" w:name="_Toc7609"/>
      <w:bookmarkStart w:id="724" w:name="_Toc125"/>
      <w:r>
        <w:rPr>
          <w:rStyle w:val="49"/>
          <w:rFonts w:hint="eastAsia" w:ascii="Times New Roman" w:hAnsi="Times New Roman" w:cs="宋体"/>
          <w:b/>
          <w:bCs/>
          <w:sz w:val="24"/>
          <w:szCs w:val="24"/>
        </w:rPr>
        <w:t>1.3.3后期处置</w:t>
      </w:r>
      <w:bookmarkEnd w:id="719"/>
      <w:r>
        <w:rPr>
          <w:rStyle w:val="49"/>
          <w:rFonts w:hint="eastAsia" w:ascii="Times New Roman" w:hAnsi="Times New Roman" w:cs="宋体"/>
          <w:b/>
          <w:bCs/>
          <w:sz w:val="24"/>
          <w:szCs w:val="24"/>
        </w:rPr>
        <w:t>措施</w:t>
      </w:r>
      <w:bookmarkEnd w:id="720"/>
      <w:bookmarkEnd w:id="721"/>
      <w:bookmarkEnd w:id="722"/>
      <w:bookmarkEnd w:id="723"/>
      <w:bookmarkEnd w:id="724"/>
    </w:p>
    <w:p>
      <w:pPr>
        <w:spacing w:line="360" w:lineRule="auto"/>
        <w:ind w:firstLine="480"/>
        <w:rPr>
          <w:rFonts w:ascii="宋体" w:hAnsi="宋体" w:cs="宋体"/>
          <w:sz w:val="28"/>
          <w:szCs w:val="28"/>
        </w:rPr>
      </w:pPr>
      <w:r>
        <w:rPr>
          <w:rFonts w:hint="eastAsia" w:ascii="宋体" w:hAnsi="宋体" w:cs="宋体"/>
          <w:sz w:val="28"/>
          <w:szCs w:val="28"/>
        </w:rPr>
        <w:t>认真做好事故伤亡人员家属的思想工作，妥善处理事故善后事宜。切实做好事故后场所、设施、设备、器材、物品、用具等的清洁卫生处理，净化内外环境。</w:t>
      </w:r>
    </w:p>
    <w:p>
      <w:pPr>
        <w:spacing w:line="360" w:lineRule="auto"/>
        <w:ind w:firstLine="480"/>
        <w:rPr>
          <w:rFonts w:ascii="宋体" w:hAnsi="宋体" w:cs="宋体"/>
          <w:sz w:val="28"/>
          <w:szCs w:val="28"/>
        </w:rPr>
      </w:pPr>
      <w:r>
        <w:rPr>
          <w:rFonts w:hint="eastAsia" w:ascii="宋体" w:hAnsi="宋体" w:cs="宋体"/>
          <w:sz w:val="28"/>
          <w:szCs w:val="28"/>
        </w:rPr>
        <w:t>事故调查领导小组要积极协助安全、消防、公安机关勘察事故现场及调查取证。按照安全事故“四不放过”(事故原因未查清不放过，责任人员未处理不放过，整改措施未落实不放过，有关人员未受到教育不放过)原则，调查泄漏原因，核定事故损失，查明事故责任人；写出调查报告，提出处理意见。</w:t>
      </w:r>
    </w:p>
    <w:p>
      <w:pPr>
        <w:spacing w:line="360" w:lineRule="auto"/>
        <w:ind w:firstLine="480"/>
        <w:rPr>
          <w:rFonts w:ascii="宋体" w:hAnsi="宋体" w:cs="宋体"/>
          <w:sz w:val="28"/>
          <w:szCs w:val="28"/>
        </w:rPr>
      </w:pPr>
      <w:r>
        <w:rPr>
          <w:rFonts w:hint="eastAsia" w:ascii="宋体" w:hAnsi="宋体" w:cs="宋体"/>
          <w:sz w:val="28"/>
          <w:szCs w:val="28"/>
        </w:rPr>
        <w:t>组织全体员工抗灾自救，抢修设施、设备，尽可能在较短时间内恢复正常工作状态。</w:t>
      </w:r>
    </w:p>
    <w:p>
      <w:pPr>
        <w:pStyle w:val="5"/>
        <w:spacing w:before="0" w:after="0"/>
        <w:rPr>
          <w:rStyle w:val="49"/>
          <w:rFonts w:ascii="Times New Roman" w:hAnsi="Times New Roman" w:cs="宋体"/>
          <w:b/>
          <w:bCs/>
          <w:sz w:val="24"/>
          <w:szCs w:val="24"/>
        </w:rPr>
      </w:pPr>
      <w:bookmarkStart w:id="725" w:name="_Toc2361"/>
      <w:bookmarkEnd w:id="725"/>
      <w:bookmarkStart w:id="726" w:name="_Toc504989634"/>
      <w:bookmarkStart w:id="727" w:name="_Toc530594667"/>
      <w:bookmarkStart w:id="728" w:name="_Toc6992"/>
      <w:bookmarkStart w:id="729" w:name="_Toc25750"/>
      <w:bookmarkStart w:id="730" w:name="_Toc397"/>
      <w:bookmarkStart w:id="731" w:name="_Toc31474"/>
      <w:r>
        <w:rPr>
          <w:rStyle w:val="49"/>
          <w:rFonts w:hint="eastAsia" w:ascii="Times New Roman" w:hAnsi="Times New Roman" w:cs="宋体"/>
          <w:b/>
          <w:bCs/>
          <w:sz w:val="24"/>
          <w:szCs w:val="24"/>
        </w:rPr>
        <w:t>1.3.4实施注意事项</w:t>
      </w:r>
      <w:bookmarkEnd w:id="726"/>
      <w:bookmarkEnd w:id="727"/>
      <w:bookmarkEnd w:id="728"/>
      <w:bookmarkEnd w:id="729"/>
      <w:bookmarkEnd w:id="730"/>
      <w:bookmarkEnd w:id="731"/>
    </w:p>
    <w:p>
      <w:pPr>
        <w:spacing w:line="360" w:lineRule="auto"/>
        <w:ind w:firstLine="480"/>
        <w:rPr>
          <w:rFonts w:ascii="宋体" w:hAnsi="宋体" w:cs="宋体"/>
          <w:sz w:val="28"/>
          <w:szCs w:val="28"/>
        </w:rPr>
      </w:pPr>
      <w:r>
        <w:rPr>
          <w:rFonts w:hint="eastAsia" w:ascii="宋体" w:hAnsi="宋体" w:cs="宋体"/>
          <w:sz w:val="28"/>
          <w:szCs w:val="28"/>
        </w:rPr>
        <w:t>1、应急救援行动必须本着“以人为本”的指导思想，在实施救援行动中应先救人，再处置其他事项。</w:t>
      </w:r>
    </w:p>
    <w:p>
      <w:pPr>
        <w:spacing w:line="360" w:lineRule="auto"/>
        <w:ind w:firstLine="480"/>
        <w:rPr>
          <w:rFonts w:ascii="宋体" w:hAnsi="宋体" w:cs="宋体"/>
          <w:sz w:val="28"/>
          <w:szCs w:val="28"/>
        </w:rPr>
      </w:pPr>
      <w:r>
        <w:rPr>
          <w:rFonts w:hint="eastAsia" w:ascii="宋体" w:hAnsi="宋体" w:cs="宋体"/>
          <w:sz w:val="28"/>
          <w:szCs w:val="28"/>
        </w:rPr>
        <w:t>2、进入事故现场实施应急救援人员必须穿戴有效的防护用品，在确保自身安全的前提下方可进入现场。</w:t>
      </w:r>
    </w:p>
    <w:p>
      <w:pPr>
        <w:spacing w:line="360" w:lineRule="auto"/>
        <w:ind w:firstLine="480"/>
        <w:rPr>
          <w:rFonts w:ascii="宋体" w:hAnsi="宋体" w:cs="宋体"/>
          <w:sz w:val="28"/>
          <w:szCs w:val="28"/>
        </w:rPr>
      </w:pPr>
      <w:r>
        <w:rPr>
          <w:rFonts w:hint="eastAsia" w:ascii="宋体" w:hAnsi="宋体" w:cs="宋体"/>
          <w:sz w:val="28"/>
          <w:szCs w:val="28"/>
        </w:rPr>
        <w:t>3、进入事物现场的救援人员最少2人以上为一组，起到相互监护的作用。</w:t>
      </w:r>
    </w:p>
    <w:p>
      <w:pPr>
        <w:spacing w:line="360" w:lineRule="auto"/>
        <w:ind w:firstLine="480"/>
        <w:rPr>
          <w:rFonts w:ascii="宋体" w:hAnsi="宋体" w:cs="宋体"/>
          <w:sz w:val="28"/>
          <w:szCs w:val="28"/>
        </w:rPr>
      </w:pPr>
      <w:r>
        <w:rPr>
          <w:rFonts w:hint="eastAsia" w:ascii="宋体" w:hAnsi="宋体" w:cs="宋体"/>
          <w:sz w:val="28"/>
          <w:szCs w:val="28"/>
        </w:rPr>
        <w:t>4、所有人员应密切关注风向标，判断风向，人员应处于事故现场的上风向等安全地域。现场应急领导小组应设置在事故现场的上风向等安全地域。</w:t>
      </w:r>
    </w:p>
    <w:p>
      <w:pPr>
        <w:spacing w:line="360" w:lineRule="auto"/>
        <w:ind w:firstLine="480"/>
        <w:rPr>
          <w:rFonts w:ascii="宋体" w:hAnsi="宋体" w:cs="宋体"/>
          <w:sz w:val="28"/>
          <w:szCs w:val="28"/>
        </w:rPr>
      </w:pPr>
      <w:r>
        <w:rPr>
          <w:rFonts w:hint="eastAsia" w:ascii="宋体" w:hAnsi="宋体" w:cs="宋体"/>
          <w:sz w:val="28"/>
          <w:szCs w:val="28"/>
        </w:rPr>
        <w:t>5、处于事故现场下风向的警戒人员，应佩戴相应有效的防护用品。</w:t>
      </w:r>
    </w:p>
    <w:p>
      <w:pPr>
        <w:spacing w:line="360" w:lineRule="auto"/>
        <w:ind w:firstLine="480"/>
        <w:rPr>
          <w:rFonts w:ascii="宋体" w:hAnsi="宋体" w:cs="宋体"/>
          <w:sz w:val="28"/>
          <w:szCs w:val="28"/>
        </w:rPr>
      </w:pPr>
      <w:r>
        <w:rPr>
          <w:rFonts w:hint="eastAsia" w:ascii="宋体" w:hAnsi="宋体" w:cs="宋体"/>
          <w:sz w:val="28"/>
          <w:szCs w:val="28"/>
        </w:rPr>
        <w:t>6、场外人员应密切注意进入事故现场实施救援行动的人员，保持正常的经常的联系。</w:t>
      </w:r>
    </w:p>
    <w:p>
      <w:pPr>
        <w:spacing w:line="360" w:lineRule="auto"/>
        <w:ind w:firstLine="480"/>
        <w:rPr>
          <w:rFonts w:ascii="宋体" w:hAnsi="宋体" w:cs="宋体"/>
          <w:sz w:val="28"/>
          <w:szCs w:val="28"/>
        </w:rPr>
      </w:pPr>
      <w:r>
        <w:rPr>
          <w:rFonts w:hint="eastAsia" w:ascii="宋体" w:hAnsi="宋体" w:cs="宋体"/>
          <w:sz w:val="28"/>
          <w:szCs w:val="28"/>
        </w:rPr>
        <w:t>7、警戒人员应严格执行警戒任务，除有救援标志的救援人员其他人员一律不能进入警戒线内。</w:t>
      </w:r>
    </w:p>
    <w:p>
      <w:pPr>
        <w:spacing w:line="360" w:lineRule="auto"/>
        <w:ind w:firstLine="480"/>
        <w:rPr>
          <w:rFonts w:ascii="宋体" w:hAnsi="宋体" w:cs="宋体"/>
          <w:sz w:val="28"/>
          <w:szCs w:val="28"/>
        </w:rPr>
      </w:pPr>
      <w:r>
        <w:rPr>
          <w:rFonts w:hint="eastAsia" w:ascii="宋体" w:hAnsi="宋体" w:cs="宋体"/>
          <w:sz w:val="28"/>
          <w:szCs w:val="28"/>
        </w:rPr>
        <w:t>8、进入事故现场的救援人员，应针对泄漏点采取有效、科学、合理的处置，严禁冒险、盲目作业，避免事故的扩大。</w:t>
      </w:r>
    </w:p>
    <w:p>
      <w:pPr>
        <w:pStyle w:val="4"/>
        <w:spacing w:before="0" w:after="0"/>
        <w:rPr>
          <w:rStyle w:val="51"/>
          <w:rFonts w:hint="default" w:ascii="Times New Roman" w:hAnsi="Times New Roman" w:cs="宋体"/>
          <w:b/>
          <w:bCs/>
          <w:sz w:val="24"/>
          <w:szCs w:val="24"/>
        </w:rPr>
      </w:pPr>
      <w:bookmarkStart w:id="732" w:name="_Toc21052"/>
      <w:bookmarkEnd w:id="732"/>
      <w:bookmarkStart w:id="733" w:name="_Toc390156212"/>
      <w:bookmarkEnd w:id="733"/>
      <w:bookmarkStart w:id="734" w:name="_Toc31753"/>
      <w:bookmarkEnd w:id="734"/>
      <w:bookmarkStart w:id="735" w:name="_Toc504989635"/>
      <w:bookmarkStart w:id="736" w:name="_Toc530594668"/>
      <w:bookmarkStart w:id="737" w:name="_Toc8622"/>
      <w:bookmarkStart w:id="738" w:name="_Toc3022"/>
      <w:bookmarkStart w:id="739" w:name="_Toc4360"/>
      <w:bookmarkStart w:id="740" w:name="_Toc3168"/>
      <w:r>
        <w:rPr>
          <w:rStyle w:val="51"/>
          <w:rFonts w:hint="default" w:ascii="Times New Roman" w:hAnsi="Times New Roman" w:cs="宋体"/>
          <w:b/>
          <w:bCs/>
          <w:sz w:val="24"/>
          <w:szCs w:val="24"/>
        </w:rPr>
        <w:t>1.4附则</w:t>
      </w:r>
      <w:bookmarkEnd w:id="735"/>
      <w:bookmarkEnd w:id="736"/>
      <w:bookmarkEnd w:id="737"/>
      <w:bookmarkEnd w:id="738"/>
      <w:bookmarkEnd w:id="739"/>
      <w:bookmarkEnd w:id="740"/>
    </w:p>
    <w:p>
      <w:pPr>
        <w:spacing w:line="360" w:lineRule="auto"/>
        <w:ind w:firstLine="480"/>
        <w:rPr>
          <w:rFonts w:ascii="宋体" w:hAnsi="宋体" w:cs="宋体"/>
          <w:sz w:val="28"/>
          <w:szCs w:val="28"/>
        </w:rPr>
      </w:pPr>
      <w:r>
        <w:rPr>
          <w:rFonts w:hint="eastAsia" w:ascii="宋体" w:hAnsi="宋体" w:cs="宋体"/>
          <w:sz w:val="28"/>
          <w:szCs w:val="28"/>
        </w:rPr>
        <w:t>本预案自发布之日起实施。</w:t>
      </w:r>
    </w:p>
    <w:p>
      <w:pPr>
        <w:widowControl/>
        <w:adjustRightInd w:val="0"/>
        <w:snapToGrid w:val="0"/>
        <w:spacing w:line="360" w:lineRule="auto"/>
        <w:ind w:firstLine="480" w:firstLineChars="200"/>
        <w:rPr>
          <w:rFonts w:cs="宋体"/>
          <w:sz w:val="24"/>
          <w:szCs w:val="24"/>
        </w:rPr>
      </w:pPr>
    </w:p>
    <w:p>
      <w:pPr>
        <w:pStyle w:val="3"/>
        <w:snapToGrid w:val="0"/>
        <w:rPr>
          <w:rFonts w:eastAsia="宋体" w:cs="宋体"/>
        </w:rPr>
      </w:pPr>
      <w:bookmarkStart w:id="741" w:name="_Toc6190"/>
      <w:bookmarkStart w:id="742" w:name="_Toc25804"/>
      <w:bookmarkStart w:id="743" w:name="_Toc16546"/>
      <w:bookmarkStart w:id="744" w:name="_Toc17695"/>
      <w:r>
        <w:rPr>
          <w:rFonts w:hint="eastAsia" w:eastAsia="宋体" w:cs="宋体"/>
        </w:rPr>
        <w:t>二、火灾、爆炸事故专项应急救援预案</w:t>
      </w:r>
      <w:bookmarkEnd w:id="741"/>
      <w:bookmarkEnd w:id="742"/>
      <w:bookmarkEnd w:id="743"/>
      <w:bookmarkEnd w:id="744"/>
    </w:p>
    <w:p>
      <w:pPr>
        <w:pStyle w:val="4"/>
        <w:spacing w:before="0" w:after="0"/>
        <w:rPr>
          <w:rStyle w:val="51"/>
          <w:rFonts w:hint="default" w:ascii="Times New Roman" w:hAnsi="Times New Roman" w:cs="宋体"/>
          <w:b/>
          <w:bCs/>
          <w:sz w:val="24"/>
          <w:szCs w:val="24"/>
        </w:rPr>
      </w:pPr>
      <w:bookmarkStart w:id="745" w:name="_Toc24021"/>
      <w:bookmarkStart w:id="746" w:name="_Toc147"/>
      <w:bookmarkStart w:id="747" w:name="_Toc10979"/>
      <w:bookmarkStart w:id="748" w:name="_Toc12924"/>
      <w:r>
        <w:rPr>
          <w:rStyle w:val="51"/>
          <w:rFonts w:hint="default" w:ascii="Times New Roman" w:hAnsi="Times New Roman" w:cs="宋体"/>
          <w:b/>
          <w:bCs/>
          <w:sz w:val="24"/>
          <w:szCs w:val="24"/>
        </w:rPr>
        <w:t>2.1事故类型和危害程度分析</w:t>
      </w:r>
      <w:bookmarkEnd w:id="745"/>
      <w:bookmarkEnd w:id="746"/>
      <w:bookmarkEnd w:id="747"/>
      <w:bookmarkEnd w:id="748"/>
    </w:p>
    <w:p>
      <w:pPr>
        <w:pStyle w:val="5"/>
        <w:spacing w:before="0" w:after="0"/>
        <w:rPr>
          <w:rStyle w:val="49"/>
          <w:rFonts w:ascii="Times New Roman" w:hAnsi="Times New Roman" w:cs="宋体"/>
          <w:b/>
          <w:bCs/>
          <w:sz w:val="24"/>
          <w:szCs w:val="24"/>
        </w:rPr>
      </w:pPr>
      <w:bookmarkStart w:id="749" w:name="_Toc32670"/>
      <w:bookmarkStart w:id="750" w:name="_Toc16617"/>
      <w:bookmarkStart w:id="751" w:name="_Toc1891"/>
      <w:bookmarkStart w:id="752" w:name="_Toc18315"/>
      <w:r>
        <w:rPr>
          <w:rStyle w:val="49"/>
          <w:rFonts w:hint="eastAsia" w:ascii="Times New Roman" w:hAnsi="Times New Roman" w:cs="宋体"/>
          <w:b/>
          <w:bCs/>
          <w:sz w:val="24"/>
          <w:szCs w:val="24"/>
        </w:rPr>
        <w:t>2.1.1理化性质分析</w:t>
      </w:r>
      <w:bookmarkEnd w:id="749"/>
      <w:bookmarkEnd w:id="750"/>
      <w:bookmarkEnd w:id="751"/>
      <w:bookmarkEnd w:id="752"/>
    </w:p>
    <w:p>
      <w:pPr>
        <w:spacing w:line="360" w:lineRule="auto"/>
        <w:ind w:firstLine="480"/>
        <w:rPr>
          <w:rFonts w:ascii="宋体" w:hAnsi="宋体" w:cs="宋体"/>
          <w:sz w:val="28"/>
          <w:szCs w:val="28"/>
        </w:rPr>
      </w:pPr>
      <w:r>
        <w:rPr>
          <w:rFonts w:hint="eastAsia" w:ascii="宋体" w:hAnsi="宋体" w:cs="宋体"/>
          <w:sz w:val="28"/>
          <w:szCs w:val="28"/>
        </w:rPr>
        <w:t>汽油：无色或淡黄色易挥发液体，具有特殊臭味；熔点&lt;-60℃，沸点20～200℃，相对密度（水= 1）0.7～0.79，易燃，爆炸极限（1.4～7.6）溶解性：不溶于水，易溶于苯、二硫化碳、醇，易溶于脂肪。</w:t>
      </w:r>
    </w:p>
    <w:p>
      <w:pPr>
        <w:spacing w:line="360" w:lineRule="auto"/>
        <w:ind w:firstLine="480"/>
        <w:rPr>
          <w:rFonts w:ascii="宋体" w:hAnsi="宋体" w:cs="宋体"/>
          <w:sz w:val="28"/>
          <w:szCs w:val="28"/>
        </w:rPr>
      </w:pPr>
      <w:r>
        <w:rPr>
          <w:rFonts w:hint="eastAsia" w:ascii="宋体" w:hAnsi="宋体" w:cs="宋体"/>
          <w:sz w:val="28"/>
          <w:szCs w:val="28"/>
        </w:rPr>
        <w:t>柴油：稍有粘性的棕色液体，熔点&lt;-29.56℃，沸点180～370℃，相对密度（水= 1）0.81-0.85。</w:t>
      </w:r>
    </w:p>
    <w:p>
      <w:pPr>
        <w:pStyle w:val="5"/>
        <w:spacing w:before="0" w:after="0"/>
        <w:rPr>
          <w:rStyle w:val="49"/>
          <w:rFonts w:ascii="Times New Roman" w:hAnsi="Times New Roman" w:cs="宋体"/>
          <w:b/>
          <w:bCs/>
          <w:sz w:val="24"/>
          <w:szCs w:val="24"/>
        </w:rPr>
      </w:pPr>
      <w:bookmarkStart w:id="753" w:name="_Toc6147"/>
      <w:bookmarkStart w:id="754" w:name="_Toc27923"/>
      <w:bookmarkStart w:id="755" w:name="_Toc19658"/>
      <w:bookmarkStart w:id="756" w:name="_Toc17690"/>
      <w:r>
        <w:rPr>
          <w:rStyle w:val="49"/>
          <w:rFonts w:hint="eastAsia" w:ascii="Times New Roman" w:hAnsi="Times New Roman" w:cs="宋体"/>
          <w:b/>
          <w:bCs/>
          <w:sz w:val="24"/>
          <w:szCs w:val="24"/>
        </w:rPr>
        <w:t>2.1.2危险特性分析</w:t>
      </w:r>
      <w:bookmarkEnd w:id="753"/>
      <w:bookmarkEnd w:id="754"/>
      <w:bookmarkEnd w:id="755"/>
      <w:bookmarkEnd w:id="756"/>
    </w:p>
    <w:p>
      <w:pPr>
        <w:spacing w:line="360" w:lineRule="auto"/>
        <w:ind w:firstLine="480"/>
        <w:rPr>
          <w:rFonts w:ascii="宋体" w:hAnsi="宋体" w:cs="宋体"/>
          <w:sz w:val="28"/>
          <w:szCs w:val="28"/>
        </w:rPr>
      </w:pPr>
      <w:r>
        <w:rPr>
          <w:rFonts w:hint="eastAsia" w:ascii="宋体" w:hAnsi="宋体" w:cs="宋体"/>
          <w:sz w:val="28"/>
          <w:szCs w:val="28"/>
        </w:rPr>
        <w:t>汽油：其蒸气与空气形成爆炸性混合物，遇明火、高热极易燃烧爆炸；与氧化剂能发生强烈反应。其蒸气比空气重，能在较低处扩散到相当远的地方，遇明火会引着回燃。</w:t>
      </w:r>
    </w:p>
    <w:p>
      <w:pPr>
        <w:spacing w:line="360" w:lineRule="auto"/>
        <w:ind w:firstLine="480"/>
        <w:rPr>
          <w:rFonts w:ascii="宋体" w:hAnsi="宋体" w:cs="宋体"/>
          <w:sz w:val="28"/>
          <w:szCs w:val="28"/>
        </w:rPr>
      </w:pPr>
      <w:r>
        <w:rPr>
          <w:rFonts w:hint="eastAsia" w:ascii="宋体" w:hAnsi="宋体" w:cs="宋体"/>
          <w:sz w:val="28"/>
          <w:szCs w:val="28"/>
        </w:rPr>
        <w:t>柴油：遇明火、高热或与氧化剂接触，有引起燃烧爆炸的危险。若遇高热，容器内压增大，有开裂和爆炸的危险。</w:t>
      </w:r>
    </w:p>
    <w:p>
      <w:pPr>
        <w:pStyle w:val="5"/>
        <w:spacing w:before="0" w:after="0"/>
        <w:rPr>
          <w:rStyle w:val="49"/>
          <w:rFonts w:ascii="Times New Roman" w:hAnsi="Times New Roman" w:cs="宋体"/>
          <w:b/>
          <w:bCs/>
          <w:sz w:val="24"/>
          <w:szCs w:val="24"/>
        </w:rPr>
      </w:pPr>
      <w:bookmarkStart w:id="757" w:name="_Toc32530"/>
      <w:bookmarkStart w:id="758" w:name="_Toc26756"/>
      <w:bookmarkStart w:id="759" w:name="_Toc9684"/>
      <w:bookmarkStart w:id="760" w:name="_Toc22958"/>
      <w:r>
        <w:rPr>
          <w:rStyle w:val="49"/>
          <w:rFonts w:hint="eastAsia" w:ascii="Times New Roman" w:hAnsi="Times New Roman" w:cs="宋体"/>
          <w:b/>
          <w:bCs/>
          <w:sz w:val="24"/>
          <w:szCs w:val="24"/>
        </w:rPr>
        <w:t>2.1.3 火灾危险分析</w:t>
      </w:r>
      <w:bookmarkEnd w:id="757"/>
      <w:bookmarkEnd w:id="758"/>
      <w:bookmarkEnd w:id="759"/>
      <w:bookmarkEnd w:id="760"/>
    </w:p>
    <w:p>
      <w:pPr>
        <w:spacing w:line="360" w:lineRule="auto"/>
        <w:ind w:firstLine="480"/>
        <w:rPr>
          <w:rFonts w:ascii="宋体" w:hAnsi="宋体" w:cs="宋体"/>
          <w:sz w:val="28"/>
          <w:szCs w:val="28"/>
        </w:rPr>
      </w:pPr>
      <w:r>
        <w:rPr>
          <w:rFonts w:hint="eastAsia" w:ascii="宋体" w:hAnsi="宋体" w:cs="宋体"/>
          <w:sz w:val="28"/>
          <w:szCs w:val="28"/>
        </w:rPr>
        <w:t>1、火灾、爆炸将会造成人员伤亡.</w:t>
      </w:r>
    </w:p>
    <w:p>
      <w:pPr>
        <w:spacing w:line="360" w:lineRule="auto"/>
        <w:ind w:firstLine="480"/>
        <w:rPr>
          <w:rFonts w:ascii="宋体" w:hAnsi="宋体" w:cs="宋体"/>
          <w:sz w:val="28"/>
          <w:szCs w:val="28"/>
        </w:rPr>
      </w:pPr>
      <w:r>
        <w:rPr>
          <w:rFonts w:hint="eastAsia" w:ascii="宋体" w:hAnsi="宋体" w:cs="宋体"/>
          <w:sz w:val="28"/>
          <w:szCs w:val="28"/>
        </w:rPr>
        <w:t>2、贮存和加油作业危害分析：</w:t>
      </w:r>
    </w:p>
    <w:p>
      <w:pPr>
        <w:spacing w:line="360" w:lineRule="auto"/>
        <w:ind w:firstLine="480"/>
        <w:rPr>
          <w:rFonts w:ascii="宋体" w:hAnsi="宋体" w:cs="宋体"/>
          <w:sz w:val="28"/>
          <w:szCs w:val="28"/>
        </w:rPr>
      </w:pPr>
      <w:r>
        <w:rPr>
          <w:rFonts w:hint="eastAsia" w:ascii="宋体" w:hAnsi="宋体" w:cs="宋体"/>
          <w:sz w:val="28"/>
          <w:szCs w:val="28"/>
        </w:rPr>
        <w:t>正常情况下储罐有 20%的气相空间，罐的压力是该温度下的饱和蒸汽压。如果未留有气相空间而全部充满液体，则在温度升高时，液体体积膨胀没有余地，罐内压力大幅度上升，而汽油的膨胀系数较大，因此易造成储罐破裂。</w:t>
      </w:r>
    </w:p>
    <w:p>
      <w:pPr>
        <w:spacing w:line="360" w:lineRule="auto"/>
        <w:ind w:firstLine="480"/>
        <w:rPr>
          <w:rFonts w:ascii="宋体" w:hAnsi="宋体" w:cs="宋体"/>
          <w:sz w:val="28"/>
          <w:szCs w:val="28"/>
        </w:rPr>
      </w:pPr>
      <w:r>
        <w:rPr>
          <w:rFonts w:hint="eastAsia" w:ascii="宋体" w:hAnsi="宋体" w:cs="宋体"/>
          <w:sz w:val="28"/>
          <w:szCs w:val="28"/>
        </w:rPr>
        <w:t>3、卸油过程危险性分析</w:t>
      </w:r>
    </w:p>
    <w:p>
      <w:pPr>
        <w:spacing w:line="360" w:lineRule="auto"/>
        <w:ind w:firstLine="480"/>
        <w:rPr>
          <w:rFonts w:ascii="宋体" w:hAnsi="宋体" w:cs="宋体"/>
          <w:sz w:val="28"/>
          <w:szCs w:val="28"/>
        </w:rPr>
      </w:pPr>
      <w:r>
        <w:rPr>
          <w:rFonts w:hint="eastAsia" w:ascii="宋体" w:hAnsi="宋体" w:cs="宋体"/>
          <w:sz w:val="28"/>
          <w:szCs w:val="28"/>
        </w:rPr>
        <w:t>（1）卸油过程中，如果油罐车无卸油接地装置，油品在流动时会产生静电放电，成为火灾、爆炸事故的点火源。</w:t>
      </w:r>
    </w:p>
    <w:p>
      <w:pPr>
        <w:spacing w:line="360" w:lineRule="auto"/>
        <w:ind w:firstLine="480"/>
        <w:rPr>
          <w:rFonts w:ascii="宋体" w:hAnsi="宋体" w:cs="宋体"/>
          <w:sz w:val="28"/>
          <w:szCs w:val="28"/>
        </w:rPr>
      </w:pPr>
      <w:r>
        <w:rPr>
          <w:rFonts w:hint="eastAsia" w:ascii="宋体" w:hAnsi="宋体" w:cs="宋体"/>
          <w:sz w:val="28"/>
          <w:szCs w:val="28"/>
        </w:rPr>
        <w:t>（2）油罐的进油管如果无插底管时，油品直接卸入油面，油品喷溅可能会产生静电，油液翻动产生大量油气从通气管溢出。当与空气混合达到爆炸极限时，遇火星就会发生爆炸。</w:t>
      </w:r>
    </w:p>
    <w:p>
      <w:pPr>
        <w:spacing w:line="360" w:lineRule="auto"/>
        <w:ind w:firstLine="480"/>
        <w:rPr>
          <w:rFonts w:ascii="宋体" w:hAnsi="宋体" w:cs="宋体"/>
          <w:sz w:val="28"/>
          <w:szCs w:val="28"/>
        </w:rPr>
      </w:pPr>
      <w:r>
        <w:rPr>
          <w:rFonts w:hint="eastAsia" w:ascii="宋体" w:hAnsi="宋体" w:cs="宋体"/>
          <w:sz w:val="28"/>
          <w:szCs w:val="28"/>
        </w:rPr>
        <w:t>（3）埋地油罐若未设置高液位报警，卸油过程操作失误，油品会从油罐溢出，遇火星会发生火灾事故。</w:t>
      </w:r>
    </w:p>
    <w:p>
      <w:pPr>
        <w:spacing w:line="360" w:lineRule="auto"/>
        <w:ind w:firstLine="480"/>
        <w:rPr>
          <w:rFonts w:ascii="宋体" w:hAnsi="宋体" w:cs="宋体"/>
          <w:sz w:val="28"/>
          <w:szCs w:val="28"/>
        </w:rPr>
      </w:pPr>
      <w:r>
        <w:rPr>
          <w:rFonts w:hint="eastAsia" w:ascii="宋体" w:hAnsi="宋体" w:cs="宋体"/>
          <w:sz w:val="28"/>
          <w:szCs w:val="28"/>
        </w:rPr>
        <w:t>（4）卸油的流速如果过快，产生静电时汽油成为火灾、爆炸事故的点火源。</w:t>
      </w:r>
    </w:p>
    <w:p>
      <w:pPr>
        <w:spacing w:line="360" w:lineRule="auto"/>
        <w:ind w:firstLine="480"/>
        <w:rPr>
          <w:rFonts w:ascii="宋体" w:hAnsi="宋体" w:cs="宋体"/>
          <w:sz w:val="28"/>
          <w:szCs w:val="28"/>
        </w:rPr>
      </w:pPr>
      <w:r>
        <w:rPr>
          <w:rFonts w:hint="eastAsia" w:ascii="宋体" w:hAnsi="宋体" w:cs="宋体"/>
          <w:sz w:val="28"/>
          <w:szCs w:val="28"/>
        </w:rPr>
        <w:t>（5）卸完油如果立即启动油罐车，油罐车周转的油气未消散，可能会引起油气燃烧、爆炸。</w:t>
      </w:r>
    </w:p>
    <w:p>
      <w:pPr>
        <w:spacing w:line="360" w:lineRule="auto"/>
        <w:ind w:firstLine="480"/>
        <w:rPr>
          <w:rFonts w:ascii="宋体" w:hAnsi="宋体" w:cs="宋体"/>
          <w:sz w:val="28"/>
          <w:szCs w:val="28"/>
        </w:rPr>
      </w:pPr>
      <w:r>
        <w:rPr>
          <w:rFonts w:hint="eastAsia" w:ascii="宋体" w:hAnsi="宋体" w:cs="宋体"/>
          <w:sz w:val="28"/>
          <w:szCs w:val="28"/>
        </w:rPr>
        <w:t>4、加油过程危险、有害因素辨识</w:t>
      </w:r>
    </w:p>
    <w:p>
      <w:pPr>
        <w:spacing w:line="360" w:lineRule="auto"/>
        <w:ind w:firstLine="480"/>
        <w:rPr>
          <w:rFonts w:ascii="宋体" w:hAnsi="宋体" w:cs="宋体"/>
          <w:sz w:val="28"/>
          <w:szCs w:val="28"/>
        </w:rPr>
      </w:pPr>
      <w:r>
        <w:rPr>
          <w:rFonts w:hint="eastAsia" w:ascii="宋体" w:hAnsi="宋体" w:cs="宋体"/>
          <w:sz w:val="28"/>
          <w:szCs w:val="28"/>
        </w:rPr>
        <w:t>（1）加油员不严格按照规程操作，可能造成漏油或溢出。</w:t>
      </w:r>
    </w:p>
    <w:p>
      <w:pPr>
        <w:spacing w:line="360" w:lineRule="auto"/>
        <w:ind w:firstLine="480"/>
        <w:rPr>
          <w:rFonts w:ascii="宋体" w:hAnsi="宋体" w:cs="宋体"/>
          <w:sz w:val="28"/>
          <w:szCs w:val="28"/>
        </w:rPr>
      </w:pPr>
      <w:r>
        <w:rPr>
          <w:rFonts w:hint="eastAsia" w:ascii="宋体" w:hAnsi="宋体" w:cs="宋体"/>
          <w:sz w:val="28"/>
          <w:szCs w:val="28"/>
        </w:rPr>
        <w:t>（2）加油员若违反规程向塑料容器加注油品，易造成静电积聚放电，会引起油品或油气燃烧，发生火灾。</w:t>
      </w:r>
    </w:p>
    <w:p>
      <w:pPr>
        <w:spacing w:line="360" w:lineRule="auto"/>
        <w:ind w:firstLine="480"/>
        <w:rPr>
          <w:rFonts w:ascii="宋体" w:hAnsi="宋体" w:cs="宋体"/>
          <w:sz w:val="28"/>
          <w:szCs w:val="28"/>
        </w:rPr>
      </w:pPr>
      <w:r>
        <w:rPr>
          <w:rFonts w:hint="eastAsia" w:ascii="宋体" w:hAnsi="宋体" w:cs="宋体"/>
          <w:sz w:val="28"/>
          <w:szCs w:val="28"/>
        </w:rPr>
        <w:t>（3）加油机若接地不良会引起静电积聚，遇火星或明火发生火灾，甚至爆炸。</w:t>
      </w:r>
    </w:p>
    <w:p>
      <w:pPr>
        <w:spacing w:line="360" w:lineRule="auto"/>
        <w:ind w:firstLine="480"/>
        <w:rPr>
          <w:rFonts w:ascii="宋体" w:hAnsi="宋体" w:cs="宋体"/>
          <w:sz w:val="28"/>
          <w:szCs w:val="28"/>
        </w:rPr>
      </w:pPr>
      <w:r>
        <w:rPr>
          <w:rFonts w:hint="eastAsia" w:ascii="宋体" w:hAnsi="宋体" w:cs="宋体"/>
          <w:sz w:val="28"/>
          <w:szCs w:val="28"/>
        </w:rPr>
        <w:t>（4）加油过程中，如果驾驶员修车、擦拭汽车、车辆不熄火、易引燃油气发生火灾。</w:t>
      </w:r>
    </w:p>
    <w:p>
      <w:pPr>
        <w:spacing w:line="360" w:lineRule="auto"/>
        <w:ind w:firstLine="480"/>
        <w:rPr>
          <w:rFonts w:ascii="宋体" w:hAnsi="宋体" w:cs="宋体"/>
          <w:sz w:val="28"/>
          <w:szCs w:val="28"/>
        </w:rPr>
      </w:pPr>
      <w:r>
        <w:rPr>
          <w:rFonts w:hint="eastAsia" w:ascii="宋体" w:hAnsi="宋体" w:cs="宋体"/>
          <w:sz w:val="28"/>
          <w:szCs w:val="28"/>
        </w:rPr>
        <w:t>（5）加油过程，洒在地上的汽油如果不及时处理或处理不当，会引起地面汽油燃烧，发生火灾危险。</w:t>
      </w:r>
    </w:p>
    <w:p>
      <w:pPr>
        <w:spacing w:line="360" w:lineRule="auto"/>
        <w:ind w:firstLine="480"/>
        <w:rPr>
          <w:rFonts w:ascii="宋体" w:hAnsi="宋体" w:cs="宋体"/>
          <w:sz w:val="28"/>
          <w:szCs w:val="28"/>
        </w:rPr>
      </w:pPr>
      <w:r>
        <w:rPr>
          <w:rFonts w:hint="eastAsia" w:ascii="宋体" w:hAnsi="宋体" w:cs="宋体"/>
          <w:sz w:val="28"/>
          <w:szCs w:val="28"/>
        </w:rPr>
        <w:t>（6）如果油气回收系统未正常投入运行，那么油气逸散，很可能造成火灾爆炸事故。</w:t>
      </w:r>
    </w:p>
    <w:p>
      <w:pPr>
        <w:spacing w:line="360" w:lineRule="auto"/>
        <w:ind w:firstLine="480"/>
        <w:rPr>
          <w:rFonts w:ascii="宋体" w:hAnsi="宋体" w:cs="宋体"/>
          <w:sz w:val="28"/>
          <w:szCs w:val="28"/>
        </w:rPr>
      </w:pPr>
      <w:r>
        <w:rPr>
          <w:rFonts w:hint="eastAsia" w:ascii="宋体" w:hAnsi="宋体" w:cs="宋体"/>
          <w:sz w:val="28"/>
          <w:szCs w:val="28"/>
        </w:rPr>
        <w:t>5、储存系统危险、有害因素辨识</w:t>
      </w:r>
    </w:p>
    <w:p>
      <w:pPr>
        <w:spacing w:line="360" w:lineRule="auto"/>
        <w:ind w:firstLine="480"/>
        <w:rPr>
          <w:rFonts w:ascii="宋体" w:hAnsi="宋体" w:cs="宋体"/>
          <w:sz w:val="28"/>
          <w:szCs w:val="28"/>
        </w:rPr>
      </w:pPr>
      <w:r>
        <w:rPr>
          <w:rFonts w:hint="eastAsia" w:ascii="宋体" w:hAnsi="宋体" w:cs="宋体"/>
          <w:sz w:val="28"/>
          <w:szCs w:val="28"/>
        </w:rPr>
        <w:t>油罐储存系统是法兰、管道与储罐相互连接的相对密闭系统。当储存系统的法兰、管道与储罐因埋地地基塌陷、沉降或地下水位上升产生浮力而导致法兰、管道与储罐之间的相互连接处出现裂缝时，油气会产生跑、冒、滴、漏现象，形成燃烧爆炸条件，此时如遇点火源会引发燃烧爆炸事故发生，造成重大损失。</w:t>
      </w:r>
    </w:p>
    <w:p>
      <w:pPr>
        <w:spacing w:line="360" w:lineRule="auto"/>
        <w:ind w:firstLine="480"/>
        <w:rPr>
          <w:rFonts w:ascii="宋体" w:hAnsi="宋体" w:cs="宋体"/>
          <w:sz w:val="28"/>
          <w:szCs w:val="28"/>
        </w:rPr>
      </w:pPr>
      <w:r>
        <w:rPr>
          <w:rFonts w:hint="eastAsia" w:ascii="宋体" w:hAnsi="宋体" w:cs="宋体"/>
          <w:sz w:val="28"/>
          <w:szCs w:val="28"/>
        </w:rPr>
        <w:t>另外，如果储油罐地埋深度不够，阳光照射会引起储油罐温度上升，油品加速挥发，储油罐压力升高，容易产生储油罐破裂等事故。如果通气管呼吸阀处于常开状态，那么油气逸散，很可能造成火灾爆炸事故。</w:t>
      </w:r>
    </w:p>
    <w:p>
      <w:pPr>
        <w:pStyle w:val="5"/>
        <w:spacing w:before="0" w:after="0"/>
        <w:rPr>
          <w:rStyle w:val="49"/>
          <w:rFonts w:ascii="Times New Roman" w:hAnsi="Times New Roman" w:cs="宋体"/>
          <w:b/>
          <w:bCs/>
          <w:sz w:val="24"/>
          <w:szCs w:val="24"/>
        </w:rPr>
      </w:pPr>
      <w:bookmarkStart w:id="761" w:name="_Toc3315"/>
      <w:bookmarkStart w:id="762" w:name="_Toc24597"/>
      <w:bookmarkStart w:id="763" w:name="_Toc12584"/>
      <w:bookmarkStart w:id="764" w:name="_Toc27100"/>
      <w:r>
        <w:rPr>
          <w:rStyle w:val="49"/>
          <w:rFonts w:hint="eastAsia" w:ascii="Times New Roman" w:hAnsi="Times New Roman" w:cs="宋体"/>
          <w:b/>
          <w:bCs/>
          <w:sz w:val="24"/>
          <w:szCs w:val="24"/>
        </w:rPr>
        <w:t>2.1.4 事故预防和应急措施分析</w:t>
      </w:r>
      <w:bookmarkEnd w:id="761"/>
      <w:bookmarkEnd w:id="762"/>
      <w:bookmarkEnd w:id="763"/>
      <w:bookmarkEnd w:id="764"/>
    </w:p>
    <w:p>
      <w:pPr>
        <w:spacing w:line="360" w:lineRule="auto"/>
        <w:ind w:firstLine="480"/>
        <w:rPr>
          <w:rFonts w:ascii="宋体" w:hAnsi="宋体" w:cs="宋体"/>
          <w:sz w:val="28"/>
          <w:szCs w:val="28"/>
        </w:rPr>
      </w:pPr>
      <w:r>
        <w:rPr>
          <w:rFonts w:hint="eastAsia" w:ascii="宋体" w:hAnsi="宋体" w:cs="宋体"/>
          <w:sz w:val="28"/>
          <w:szCs w:val="28"/>
        </w:rPr>
        <w:t>1、灭火预防和应急措施：消防人员必须穿全身防火防毒服，在上风向灭火。</w:t>
      </w:r>
    </w:p>
    <w:p>
      <w:pPr>
        <w:spacing w:line="360" w:lineRule="auto"/>
        <w:ind w:firstLine="480"/>
        <w:rPr>
          <w:rFonts w:ascii="宋体" w:hAnsi="宋体" w:cs="宋体"/>
          <w:sz w:val="28"/>
          <w:szCs w:val="28"/>
        </w:rPr>
      </w:pPr>
      <w:r>
        <w:rPr>
          <w:rFonts w:hint="eastAsia" w:ascii="宋体" w:hAnsi="宋体" w:cs="宋体"/>
          <w:sz w:val="28"/>
          <w:szCs w:val="28"/>
        </w:rPr>
        <w:t>2、泄漏预防和应急处理措施：</w:t>
      </w:r>
    </w:p>
    <w:p>
      <w:pPr>
        <w:spacing w:line="360" w:lineRule="auto"/>
        <w:ind w:firstLine="480"/>
        <w:rPr>
          <w:rFonts w:ascii="宋体" w:hAnsi="宋体" w:cs="宋体"/>
          <w:sz w:val="28"/>
          <w:szCs w:val="28"/>
        </w:rPr>
      </w:pPr>
      <w:r>
        <w:rPr>
          <w:rFonts w:hint="eastAsia" w:ascii="宋体" w:hAnsi="宋体" w:cs="宋体"/>
          <w:sz w:val="28"/>
          <w:szCs w:val="28"/>
        </w:rPr>
        <w:t>迅速撤离泄漏污染区人员至安全区，并进行隔离，严格限制出入。切断火源。建议应急处理人员戴自给正压式呼吸器，穿消防防护服。尽可能切断泄漏源。防止进入下水道、排洪沟等限制性空间。小量泄漏：用砂土、蛭石或其他惰性材料吸收。或在保证安全的情况下，就地焚烧。大量泄漏：构筑围堤或挖坑收容；用泡沫覆盖，降低蒸气灾害。用防爆泵转移至槽车或专用收集器内，回收或运至废物处理场所处置。</w:t>
      </w:r>
    </w:p>
    <w:p>
      <w:pPr>
        <w:spacing w:line="360" w:lineRule="auto"/>
        <w:ind w:firstLine="480"/>
        <w:rPr>
          <w:rFonts w:ascii="宋体" w:hAnsi="宋体" w:cs="宋体"/>
          <w:sz w:val="28"/>
          <w:szCs w:val="28"/>
        </w:rPr>
      </w:pPr>
      <w:r>
        <w:rPr>
          <w:rFonts w:hint="eastAsia" w:ascii="宋体" w:hAnsi="宋体" w:cs="宋体"/>
          <w:sz w:val="28"/>
          <w:szCs w:val="28"/>
        </w:rPr>
        <w:t>3、杜绝一切点火源</w:t>
      </w:r>
    </w:p>
    <w:p>
      <w:pPr>
        <w:spacing w:line="360" w:lineRule="auto"/>
        <w:ind w:firstLine="480"/>
        <w:rPr>
          <w:rFonts w:ascii="宋体" w:hAnsi="宋体" w:cs="宋体"/>
          <w:sz w:val="28"/>
          <w:szCs w:val="28"/>
        </w:rPr>
      </w:pPr>
      <w:r>
        <w:rPr>
          <w:rFonts w:hint="eastAsia" w:ascii="宋体" w:hAnsi="宋体" w:cs="宋体"/>
          <w:sz w:val="28"/>
          <w:szCs w:val="28"/>
        </w:rPr>
        <w:t>4、操作预防和应急措施：</w:t>
      </w:r>
    </w:p>
    <w:p>
      <w:pPr>
        <w:spacing w:line="360" w:lineRule="auto"/>
        <w:ind w:firstLine="480"/>
        <w:rPr>
          <w:rFonts w:ascii="宋体" w:hAnsi="宋体" w:cs="宋体"/>
          <w:sz w:val="28"/>
          <w:szCs w:val="28"/>
        </w:rPr>
      </w:pPr>
      <w:r>
        <w:rPr>
          <w:rFonts w:hint="eastAsia" w:ascii="宋体" w:hAnsi="宋体" w:cs="宋体"/>
          <w:sz w:val="28"/>
          <w:szCs w:val="28"/>
        </w:rPr>
        <w:t>油罐及贮存油桶附近要严禁烟火，禁止将汽油与其他易燃物放在一起；</w:t>
      </w:r>
    </w:p>
    <w:p>
      <w:pPr>
        <w:spacing w:line="360" w:lineRule="auto"/>
        <w:ind w:firstLine="480"/>
        <w:rPr>
          <w:rFonts w:ascii="宋体" w:hAnsi="宋体" w:cs="宋体"/>
          <w:sz w:val="28"/>
          <w:szCs w:val="28"/>
        </w:rPr>
      </w:pPr>
      <w:r>
        <w:rPr>
          <w:rFonts w:hint="eastAsia" w:ascii="宋体" w:hAnsi="宋体" w:cs="宋体"/>
          <w:sz w:val="28"/>
          <w:szCs w:val="28"/>
        </w:rPr>
        <w:t>往油罐或油罐车装油时，输油管要插入油面以下或接近油罐的底部，以减少油料的冲击和与空气的摩擦，沾油料的布、油棉纱头、油手套等不要放在油库、车库内，以免自燃；不要用铁器工具敲击油桶，特别是空油桶更危险；</w:t>
      </w:r>
    </w:p>
    <w:p>
      <w:pPr>
        <w:spacing w:line="360" w:lineRule="auto"/>
        <w:ind w:firstLine="480"/>
        <w:rPr>
          <w:rFonts w:ascii="宋体" w:hAnsi="宋体" w:cs="宋体"/>
          <w:sz w:val="28"/>
          <w:szCs w:val="28"/>
        </w:rPr>
      </w:pPr>
      <w:r>
        <w:rPr>
          <w:rFonts w:hint="eastAsia" w:ascii="宋体" w:hAnsi="宋体" w:cs="宋体"/>
          <w:sz w:val="28"/>
          <w:szCs w:val="28"/>
        </w:rPr>
        <w:t>当进行灌装汽油时，临近的汽车、拖拉机的排气管要戴上阻火器后才能发动，存汽油地点附近严禁检修车辆；</w:t>
      </w:r>
    </w:p>
    <w:p>
      <w:pPr>
        <w:spacing w:line="360" w:lineRule="auto"/>
        <w:ind w:firstLine="480"/>
        <w:rPr>
          <w:rFonts w:ascii="宋体" w:hAnsi="宋体" w:cs="宋体"/>
          <w:sz w:val="28"/>
          <w:szCs w:val="28"/>
        </w:rPr>
      </w:pPr>
      <w:r>
        <w:rPr>
          <w:rFonts w:hint="eastAsia" w:ascii="宋体" w:hAnsi="宋体" w:cs="宋体"/>
          <w:sz w:val="28"/>
          <w:szCs w:val="28"/>
        </w:rPr>
        <w:t>汽油罐和贮存汽油区的上空，不应有电线跨越。油罐、库房与电线的距离要为电杆长度的1.5倍以上；</w:t>
      </w:r>
    </w:p>
    <w:p>
      <w:pPr>
        <w:spacing w:line="360" w:lineRule="auto"/>
        <w:ind w:firstLine="480"/>
        <w:rPr>
          <w:rFonts w:ascii="宋体" w:hAnsi="宋体" w:cs="宋体"/>
          <w:sz w:val="28"/>
          <w:szCs w:val="28"/>
        </w:rPr>
      </w:pPr>
      <w:r>
        <w:rPr>
          <w:rFonts w:hint="eastAsia" w:ascii="宋体" w:hAnsi="宋体" w:cs="宋体"/>
          <w:sz w:val="28"/>
          <w:szCs w:val="28"/>
        </w:rPr>
        <w:t>注意仓库及操作场所的通风，使油蒸气容易逸散。</w:t>
      </w:r>
    </w:p>
    <w:p>
      <w:pPr>
        <w:spacing w:line="360" w:lineRule="auto"/>
        <w:ind w:firstLine="480"/>
        <w:rPr>
          <w:rFonts w:ascii="宋体" w:hAnsi="宋体" w:cs="宋体"/>
          <w:sz w:val="28"/>
          <w:szCs w:val="28"/>
        </w:rPr>
      </w:pPr>
      <w:r>
        <w:rPr>
          <w:rFonts w:hint="eastAsia" w:ascii="宋体" w:hAnsi="宋体" w:cs="宋体"/>
          <w:sz w:val="28"/>
          <w:szCs w:val="28"/>
        </w:rPr>
        <w:t>5、储存预防和应急措施：</w:t>
      </w:r>
    </w:p>
    <w:p>
      <w:pPr>
        <w:spacing w:line="360" w:lineRule="auto"/>
        <w:ind w:firstLine="480"/>
        <w:rPr>
          <w:rFonts w:ascii="宋体" w:hAnsi="宋体" w:cs="宋体"/>
          <w:sz w:val="28"/>
          <w:szCs w:val="28"/>
        </w:rPr>
      </w:pPr>
      <w:r>
        <w:rPr>
          <w:rFonts w:hint="eastAsia" w:ascii="宋体" w:hAnsi="宋体" w:cs="宋体"/>
          <w:sz w:val="28"/>
          <w:szCs w:val="28"/>
        </w:rPr>
        <w:t>储存于</w:t>
      </w:r>
      <w:r>
        <w:rPr>
          <w:rFonts w:hint="eastAsia" w:ascii="宋体" w:hAnsi="宋体" w:cs="宋体"/>
          <w:sz w:val="28"/>
          <w:szCs w:val="28"/>
        </w:rPr>
        <w:tab/>
      </w:r>
      <w:r>
        <w:rPr>
          <w:rFonts w:hint="eastAsia" w:ascii="宋体" w:hAnsi="宋体" w:cs="宋体"/>
          <w:sz w:val="28"/>
          <w:szCs w:val="28"/>
        </w:rPr>
        <w:t>埋地储罐内。远离火种、热源。库温不宜超过30℃。保持容器密封。应与氧化剂分开存放，切忌混储。采用防爆型照明、通风设施。禁止使用易产生火花的机械设备和工具。储区应备有泄漏应急处理设备和合适的收容材料。</w:t>
      </w:r>
    </w:p>
    <w:p>
      <w:pPr>
        <w:spacing w:line="360" w:lineRule="auto"/>
        <w:ind w:firstLine="480"/>
        <w:rPr>
          <w:rFonts w:ascii="宋体" w:hAnsi="宋体" w:cs="宋体"/>
          <w:sz w:val="28"/>
          <w:szCs w:val="28"/>
        </w:rPr>
      </w:pPr>
      <w:r>
        <w:rPr>
          <w:rFonts w:hint="eastAsia" w:ascii="宋体" w:hAnsi="宋体" w:cs="宋体"/>
          <w:sz w:val="28"/>
          <w:szCs w:val="28"/>
        </w:rPr>
        <w:t>6、个体防护预防和应急措施：</w:t>
      </w:r>
    </w:p>
    <w:tbl>
      <w:tblPr>
        <w:tblStyle w:val="35"/>
        <w:tblW w:w="8162" w:type="dxa"/>
        <w:jc w:val="center"/>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162"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皮肤接触：</w:t>
            </w:r>
            <w:r>
              <w:rPr>
                <w:rFonts w:hint="eastAsia" w:cs="宋体"/>
              </w:rPr>
              <w:t>立即脱去污染的衣着，用肥皂水和清水彻底冲洗皮肤。就医。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162"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眼睛接触：</w:t>
            </w:r>
            <w:r>
              <w:rPr>
                <w:rFonts w:hint="eastAsia" w:cs="宋体"/>
              </w:rPr>
              <w:t>提起眼睑，用流动清水或生理盐水冲洗。就医。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162"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吸入：</w:t>
            </w:r>
            <w:r>
              <w:rPr>
                <w:rFonts w:hint="eastAsia" w:cs="宋体"/>
              </w:rPr>
              <w:t>迅速脱离现场至空气新鲜处。保持呼吸道通畅。如呼吸困难，给输氧。如呼吸停止，立即进行人工呼吸。就医。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162"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食入：</w:t>
            </w:r>
            <w:r>
              <w:rPr>
                <w:rFonts w:hint="eastAsia" w:cs="宋体"/>
              </w:rPr>
              <w:t>尽快彻底洗胃。就医。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162"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162"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呼吸系统防护：</w:t>
            </w:r>
            <w:r>
              <w:rPr>
                <w:rFonts w:hint="eastAsia" w:cs="宋体"/>
              </w:rPr>
              <w:t>空气中浓度超标时，建议佩戴自吸过滤式防毒面具（半面罩）。紧急事态抢救或撤离时，应该佩戴空气呼吸器。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162"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眼睛防护：</w:t>
            </w:r>
            <w:r>
              <w:rPr>
                <w:rFonts w:hint="eastAsia" w:cs="宋体"/>
              </w:rPr>
              <w:t>戴化学安全防护眼镜。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162"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身体防护：</w:t>
            </w:r>
            <w:r>
              <w:rPr>
                <w:rFonts w:hint="eastAsia" w:cs="宋体"/>
              </w:rPr>
              <w:t>穿一般作业防护服。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162"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手防护：</w:t>
            </w:r>
            <w:r>
              <w:rPr>
                <w:rFonts w:hint="eastAsia" w:cs="宋体"/>
              </w:rPr>
              <w:t>戴橡胶耐油手套。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162"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其他：</w:t>
            </w:r>
            <w:r>
              <w:rPr>
                <w:rFonts w:hint="eastAsia" w:cs="宋体"/>
              </w:rPr>
              <w:t>工作现场严禁吸烟。避免长期反复接触。</w:t>
            </w:r>
          </w:p>
        </w:tc>
      </w:tr>
    </w:tbl>
    <w:p>
      <w:pPr>
        <w:pStyle w:val="5"/>
        <w:spacing w:before="0" w:after="0"/>
        <w:rPr>
          <w:rStyle w:val="49"/>
          <w:rFonts w:ascii="Times New Roman" w:hAnsi="Times New Roman" w:cs="宋体"/>
          <w:b/>
          <w:bCs/>
          <w:sz w:val="24"/>
          <w:szCs w:val="24"/>
        </w:rPr>
      </w:pPr>
      <w:bookmarkStart w:id="765" w:name="_Toc21825"/>
      <w:bookmarkStart w:id="766" w:name="_Toc11904"/>
      <w:bookmarkStart w:id="767" w:name="_Toc16037"/>
      <w:bookmarkStart w:id="768" w:name="_Toc17042"/>
      <w:r>
        <w:rPr>
          <w:rStyle w:val="49"/>
          <w:rFonts w:hint="eastAsia" w:ascii="Times New Roman" w:hAnsi="Times New Roman" w:cs="宋体"/>
          <w:b/>
          <w:bCs/>
          <w:sz w:val="24"/>
          <w:szCs w:val="24"/>
        </w:rPr>
        <w:t>2.1.5 事故风险分析</w:t>
      </w:r>
      <w:bookmarkEnd w:id="765"/>
      <w:bookmarkEnd w:id="766"/>
      <w:bookmarkEnd w:id="767"/>
      <w:bookmarkEnd w:id="768"/>
    </w:p>
    <w:p>
      <w:pPr>
        <w:rPr>
          <w:rFonts w:cs="宋体"/>
        </w:rPr>
      </w:pPr>
      <w:r>
        <w:rPr>
          <w:rFonts w:hint="eastAsia" w:ascii="宋体" w:hAnsi="宋体" w:cs="宋体"/>
          <w:sz w:val="28"/>
          <w:szCs w:val="28"/>
        </w:rPr>
        <w:t>物料发生泄漏事故风险分析见下表：</w:t>
      </w:r>
    </w:p>
    <w:tbl>
      <w:tblPr>
        <w:tblStyle w:val="35"/>
        <w:tblW w:w="8160" w:type="dxa"/>
        <w:tblInd w:w="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695"/>
        <w:gridCol w:w="540"/>
        <w:gridCol w:w="930"/>
        <w:gridCol w:w="780"/>
        <w:gridCol w:w="1215"/>
        <w:gridCol w:w="2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5" w:type="dxa"/>
            <w:tcBorders>
              <w:top w:val="single" w:color="auto" w:sz="4" w:space="0"/>
              <w:left w:val="single" w:color="auto" w:sz="4" w:space="0"/>
              <w:bottom w:val="single" w:color="auto" w:sz="4" w:space="0"/>
              <w:right w:val="single" w:color="auto" w:sz="4" w:space="0"/>
            </w:tcBorders>
            <w:vAlign w:val="center"/>
          </w:tcPr>
          <w:p>
            <w:pPr>
              <w:jc w:val="center"/>
              <w:rPr>
                <w:rFonts w:cs="宋体"/>
                <w:b/>
                <w:bCs/>
              </w:rPr>
            </w:pPr>
            <w:r>
              <w:rPr>
                <w:rFonts w:hint="eastAsia" w:cs="宋体"/>
                <w:b/>
                <w:bCs/>
              </w:rPr>
              <w:t>事故类型</w:t>
            </w:r>
          </w:p>
        </w:tc>
        <w:tc>
          <w:tcPr>
            <w:tcW w:w="1695"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发生可能性</w:t>
            </w:r>
          </w:p>
        </w:tc>
        <w:tc>
          <w:tcPr>
            <w:tcW w:w="540"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严重程度</w:t>
            </w:r>
          </w:p>
        </w:tc>
        <w:tc>
          <w:tcPr>
            <w:tcW w:w="930"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发生的范围</w:t>
            </w:r>
          </w:p>
        </w:tc>
        <w:tc>
          <w:tcPr>
            <w:tcW w:w="780"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事故后果</w:t>
            </w:r>
          </w:p>
        </w:tc>
        <w:tc>
          <w:tcPr>
            <w:tcW w:w="1215"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影响范围</w:t>
            </w:r>
          </w:p>
        </w:tc>
        <w:tc>
          <w:tcPr>
            <w:tcW w:w="2295"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防范措施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5" w:type="dxa"/>
            <w:tcBorders>
              <w:top w:val="single" w:color="auto" w:sz="4" w:space="0"/>
              <w:left w:val="single" w:color="auto" w:sz="4" w:space="0"/>
              <w:bottom w:val="single" w:color="auto" w:sz="4" w:space="0"/>
              <w:right w:val="single" w:color="auto" w:sz="4" w:space="0"/>
            </w:tcBorders>
            <w:vAlign w:val="center"/>
          </w:tcPr>
          <w:p>
            <w:pPr>
              <w:rPr>
                <w:rFonts w:cs="宋体"/>
              </w:rPr>
            </w:pPr>
            <w:r>
              <w:rPr>
                <w:rFonts w:hint="eastAsia" w:cs="宋体"/>
              </w:rPr>
              <w:t>危险物料火灾、爆炸</w:t>
            </w:r>
          </w:p>
        </w:tc>
        <w:tc>
          <w:tcPr>
            <w:tcW w:w="1695" w:type="dxa"/>
            <w:tcBorders>
              <w:top w:val="single" w:color="auto" w:sz="4" w:space="0"/>
              <w:left w:val="nil"/>
              <w:bottom w:val="single" w:color="auto" w:sz="4" w:space="0"/>
              <w:right w:val="single" w:color="auto" w:sz="4" w:space="0"/>
            </w:tcBorders>
            <w:vAlign w:val="center"/>
          </w:tcPr>
          <w:p>
            <w:pPr>
              <w:rPr>
                <w:rFonts w:cs="宋体"/>
              </w:rPr>
            </w:pPr>
            <w:r>
              <w:rPr>
                <w:rFonts w:hint="eastAsia" w:cs="宋体"/>
              </w:rPr>
              <w:t>汽油和（或）柴油泄漏，遇点火源易发生火灾事故；当场所通风不良，与空气形成爆炸性混合物时遇点火源可能导致爆炸。</w:t>
            </w:r>
          </w:p>
        </w:tc>
        <w:tc>
          <w:tcPr>
            <w:tcW w:w="540" w:type="dxa"/>
            <w:tcBorders>
              <w:top w:val="single" w:color="auto" w:sz="4" w:space="0"/>
              <w:left w:val="nil"/>
              <w:bottom w:val="single" w:color="auto" w:sz="4" w:space="0"/>
              <w:right w:val="single" w:color="auto" w:sz="4" w:space="0"/>
            </w:tcBorders>
            <w:vAlign w:val="center"/>
          </w:tcPr>
          <w:p>
            <w:pPr>
              <w:jc w:val="center"/>
              <w:rPr>
                <w:rFonts w:cs="宋体"/>
              </w:rPr>
            </w:pPr>
            <w:r>
              <w:rPr>
                <w:rFonts w:hint="eastAsia" w:cs="宋体"/>
              </w:rPr>
              <w:t>较大或严重</w:t>
            </w:r>
          </w:p>
        </w:tc>
        <w:tc>
          <w:tcPr>
            <w:tcW w:w="930" w:type="dxa"/>
            <w:tcBorders>
              <w:top w:val="single" w:color="auto" w:sz="4" w:space="0"/>
              <w:left w:val="nil"/>
              <w:bottom w:val="single" w:color="auto" w:sz="4" w:space="0"/>
              <w:right w:val="single" w:color="auto" w:sz="4" w:space="0"/>
            </w:tcBorders>
            <w:vAlign w:val="center"/>
          </w:tcPr>
          <w:p>
            <w:pPr>
              <w:jc w:val="left"/>
              <w:rPr>
                <w:rFonts w:cs="宋体"/>
              </w:rPr>
            </w:pPr>
            <w:r>
              <w:rPr>
                <w:rFonts w:hint="eastAsia" w:cs="宋体"/>
              </w:rPr>
              <w:t>罐区、卸油口、加油区、输油管道</w:t>
            </w:r>
          </w:p>
        </w:tc>
        <w:tc>
          <w:tcPr>
            <w:tcW w:w="780" w:type="dxa"/>
            <w:tcBorders>
              <w:top w:val="single" w:color="auto" w:sz="4" w:space="0"/>
              <w:left w:val="nil"/>
              <w:bottom w:val="single" w:color="auto" w:sz="4" w:space="0"/>
              <w:right w:val="single" w:color="auto" w:sz="4" w:space="0"/>
            </w:tcBorders>
            <w:vAlign w:val="center"/>
          </w:tcPr>
          <w:p>
            <w:pPr>
              <w:jc w:val="left"/>
              <w:rPr>
                <w:rFonts w:cs="宋体"/>
              </w:rPr>
            </w:pPr>
            <w:r>
              <w:rPr>
                <w:rFonts w:hint="eastAsia" w:cs="宋体"/>
              </w:rPr>
              <w:t>人员伤亡，设备损坏</w:t>
            </w:r>
          </w:p>
        </w:tc>
        <w:tc>
          <w:tcPr>
            <w:tcW w:w="1215" w:type="dxa"/>
            <w:tcBorders>
              <w:top w:val="single" w:color="auto" w:sz="4" w:space="0"/>
              <w:left w:val="nil"/>
              <w:bottom w:val="single" w:color="auto" w:sz="4" w:space="0"/>
              <w:right w:val="single" w:color="auto" w:sz="4" w:space="0"/>
            </w:tcBorders>
            <w:vAlign w:val="center"/>
          </w:tcPr>
          <w:p>
            <w:pPr>
              <w:jc w:val="left"/>
              <w:rPr>
                <w:rFonts w:cs="宋体"/>
              </w:rPr>
            </w:pPr>
            <w:r>
              <w:rPr>
                <w:rFonts w:hint="eastAsia" w:cs="宋体"/>
              </w:rPr>
              <w:t>火灾爆炸影响范围较大，可能危及整个加油站甚至周边农户及过往车辆</w:t>
            </w:r>
          </w:p>
        </w:tc>
        <w:tc>
          <w:tcPr>
            <w:tcW w:w="2295" w:type="dxa"/>
            <w:tcBorders>
              <w:top w:val="single" w:color="auto" w:sz="4" w:space="0"/>
              <w:left w:val="nil"/>
              <w:bottom w:val="single" w:color="auto" w:sz="4" w:space="0"/>
              <w:right w:val="single" w:color="auto" w:sz="4" w:space="0"/>
            </w:tcBorders>
            <w:vAlign w:val="center"/>
          </w:tcPr>
          <w:p>
            <w:pPr>
              <w:jc w:val="left"/>
              <w:rPr>
                <w:rFonts w:cs="宋体"/>
              </w:rPr>
            </w:pPr>
            <w:r>
              <w:rPr>
                <w:rFonts w:hint="eastAsia" w:cs="宋体"/>
              </w:rPr>
              <w:t>1加强巡检，保证设备管线完好；</w:t>
            </w:r>
          </w:p>
          <w:p>
            <w:pPr>
              <w:jc w:val="left"/>
              <w:rPr>
                <w:rFonts w:cs="宋体"/>
              </w:rPr>
            </w:pPr>
            <w:r>
              <w:rPr>
                <w:rFonts w:hint="eastAsia" w:cs="宋体"/>
              </w:rPr>
              <w:t>2周边区域严禁烟火及其他点火源；</w:t>
            </w:r>
          </w:p>
          <w:p>
            <w:pPr>
              <w:jc w:val="left"/>
              <w:rPr>
                <w:rFonts w:cs="宋体"/>
              </w:rPr>
            </w:pPr>
            <w:r>
              <w:rPr>
                <w:rFonts w:hint="eastAsia" w:cs="宋体"/>
              </w:rPr>
              <w:t>3在易发生可燃气体积聚的场所加强通风；</w:t>
            </w:r>
          </w:p>
          <w:p>
            <w:pPr>
              <w:jc w:val="left"/>
              <w:rPr>
                <w:rFonts w:cs="宋体"/>
              </w:rPr>
            </w:pPr>
            <w:r>
              <w:rPr>
                <w:rFonts w:hint="eastAsia" w:cs="宋体"/>
              </w:rPr>
              <w:t>4制定相关的安全管理制度及操作规程，加强人员培训</w:t>
            </w:r>
          </w:p>
        </w:tc>
      </w:tr>
    </w:tbl>
    <w:p>
      <w:pPr>
        <w:spacing w:line="260" w:lineRule="exact"/>
        <w:rPr>
          <w:rFonts w:cs="宋体"/>
          <w:b/>
          <w:bCs/>
        </w:rPr>
      </w:pPr>
    </w:p>
    <w:p>
      <w:pPr>
        <w:pStyle w:val="6"/>
        <w:rPr>
          <w:rStyle w:val="49"/>
          <w:rFonts w:ascii="Times New Roman" w:hAnsi="Times New Roman" w:cs="宋体"/>
          <w:b/>
          <w:bCs/>
          <w:sz w:val="24"/>
          <w:szCs w:val="24"/>
        </w:rPr>
      </w:pPr>
      <w:r>
        <w:rPr>
          <w:rStyle w:val="49"/>
          <w:rFonts w:hint="eastAsia" w:ascii="Times New Roman" w:hAnsi="Times New Roman" w:cs="宋体"/>
          <w:b/>
          <w:bCs/>
          <w:sz w:val="24"/>
          <w:szCs w:val="24"/>
        </w:rPr>
        <w:t>2.1.5.1 火灾、爆炸事故发生部位</w:t>
      </w:r>
    </w:p>
    <w:p>
      <w:pPr>
        <w:ind w:firstLine="560" w:firstLineChars="200"/>
        <w:rPr>
          <w:rFonts w:ascii="宋体" w:hAnsi="宋体" w:cs="宋体"/>
          <w:sz w:val="28"/>
          <w:szCs w:val="28"/>
        </w:rPr>
      </w:pPr>
      <w:r>
        <w:rPr>
          <w:rFonts w:hint="eastAsia" w:ascii="宋体" w:hAnsi="宋体" w:cs="宋体"/>
          <w:sz w:val="28"/>
          <w:szCs w:val="28"/>
        </w:rPr>
        <w:t>储（卸）油区、加油区</w:t>
      </w:r>
    </w:p>
    <w:p>
      <w:pPr>
        <w:pStyle w:val="37"/>
        <w:outlineLvl w:val="3"/>
        <w:rPr>
          <w:rStyle w:val="49"/>
          <w:rFonts w:ascii="Times New Roman" w:hAnsi="Times New Roman" w:cs="宋体"/>
          <w:sz w:val="24"/>
          <w:szCs w:val="24"/>
        </w:rPr>
      </w:pPr>
      <w:r>
        <w:rPr>
          <w:rStyle w:val="49"/>
          <w:rFonts w:hint="eastAsia" w:ascii="Times New Roman" w:hAnsi="Times New Roman" w:cs="宋体"/>
          <w:sz w:val="24"/>
          <w:szCs w:val="24"/>
        </w:rPr>
        <w:t>2.1.5.2 火灾、爆炸事故发生原因</w:t>
      </w:r>
    </w:p>
    <w:p>
      <w:pPr>
        <w:ind w:firstLine="560" w:firstLineChars="200"/>
        <w:rPr>
          <w:rFonts w:ascii="宋体" w:hAnsi="宋体" w:cs="宋体"/>
          <w:sz w:val="28"/>
          <w:szCs w:val="28"/>
        </w:rPr>
      </w:pPr>
      <w:r>
        <w:rPr>
          <w:rFonts w:hint="eastAsia" w:ascii="宋体" w:hAnsi="宋体" w:cs="宋体"/>
          <w:sz w:val="28"/>
          <w:szCs w:val="28"/>
        </w:rPr>
        <w:t xml:space="preserve">油罐火灾事故的原因 </w:t>
      </w:r>
    </w:p>
    <w:p>
      <w:pPr>
        <w:ind w:firstLine="560" w:firstLineChars="200"/>
        <w:rPr>
          <w:rFonts w:ascii="宋体" w:hAnsi="宋体" w:cs="宋体"/>
          <w:sz w:val="28"/>
          <w:szCs w:val="28"/>
        </w:rPr>
      </w:pPr>
      <w:r>
        <w:rPr>
          <w:rFonts w:hint="eastAsia" w:ascii="宋体" w:hAnsi="宋体" w:cs="宋体"/>
          <w:sz w:val="28"/>
          <w:szCs w:val="28"/>
        </w:rPr>
        <w:t>a.计量时，量油尺或温度计金属罩在放入或提起时与量油口壁摩擦产生火花，引燃油罐内油气混合气酿成火灾；</w:t>
      </w:r>
    </w:p>
    <w:p>
      <w:pPr>
        <w:ind w:firstLine="560" w:firstLineChars="200"/>
        <w:rPr>
          <w:rFonts w:ascii="宋体" w:hAnsi="宋体" w:cs="宋体"/>
          <w:sz w:val="28"/>
          <w:szCs w:val="28"/>
        </w:rPr>
      </w:pPr>
      <w:r>
        <w:rPr>
          <w:rFonts w:hint="eastAsia" w:ascii="宋体" w:hAnsi="宋体" w:cs="宋体"/>
          <w:sz w:val="28"/>
          <w:szCs w:val="28"/>
        </w:rPr>
        <w:t>b.油罐阻火器失效或油罐计量口封闭不严，雷电引燃油气 ，造成火灾或爆炸事故；</w:t>
      </w:r>
    </w:p>
    <w:p>
      <w:pPr>
        <w:ind w:firstLine="560" w:firstLineChars="200"/>
        <w:rPr>
          <w:rFonts w:ascii="宋体" w:hAnsi="宋体" w:cs="宋体"/>
          <w:sz w:val="28"/>
          <w:szCs w:val="28"/>
        </w:rPr>
      </w:pPr>
      <w:r>
        <w:rPr>
          <w:rFonts w:hint="eastAsia" w:ascii="宋体" w:hAnsi="宋体" w:cs="宋体"/>
          <w:sz w:val="28"/>
          <w:szCs w:val="28"/>
        </w:rPr>
        <w:t>c.在油罐上作业时使用非防爆工具、移动通讯工具等造成火灾；</w:t>
      </w:r>
    </w:p>
    <w:p>
      <w:pPr>
        <w:ind w:firstLine="560" w:firstLineChars="200"/>
        <w:rPr>
          <w:rFonts w:ascii="宋体" w:hAnsi="宋体" w:cs="宋体"/>
          <w:sz w:val="28"/>
          <w:szCs w:val="28"/>
        </w:rPr>
      </w:pPr>
      <w:r>
        <w:rPr>
          <w:rFonts w:hint="eastAsia" w:ascii="宋体" w:hAnsi="宋体" w:cs="宋体"/>
          <w:sz w:val="28"/>
          <w:szCs w:val="28"/>
        </w:rPr>
        <w:t>d.油气积聚较多的地方，由于铁器碰击或穿钉子鞋与油罐、地面摩擦产生火花造成事故；</w:t>
      </w:r>
    </w:p>
    <w:p>
      <w:pPr>
        <w:ind w:firstLine="560" w:firstLineChars="200"/>
        <w:rPr>
          <w:rFonts w:ascii="宋体" w:hAnsi="宋体" w:cs="宋体"/>
          <w:sz w:val="28"/>
          <w:szCs w:val="28"/>
        </w:rPr>
      </w:pPr>
      <w:r>
        <w:rPr>
          <w:rFonts w:hint="eastAsia" w:ascii="宋体" w:hAnsi="宋体" w:cs="宋体"/>
          <w:sz w:val="28"/>
          <w:szCs w:val="28"/>
        </w:rPr>
        <w:t>e.油罐未安装静电导除装置或失灵，集聚的静电荷达到放电条件产生电火花，造成火灾爆炸事故；</w:t>
      </w:r>
    </w:p>
    <w:p>
      <w:pPr>
        <w:ind w:firstLine="560" w:firstLineChars="200"/>
        <w:rPr>
          <w:rFonts w:ascii="宋体" w:hAnsi="宋体" w:cs="宋体"/>
          <w:sz w:val="28"/>
          <w:szCs w:val="28"/>
        </w:rPr>
      </w:pPr>
      <w:r>
        <w:rPr>
          <w:rFonts w:hint="eastAsia" w:ascii="宋体" w:hAnsi="宋体" w:cs="宋体"/>
          <w:sz w:val="28"/>
          <w:szCs w:val="28"/>
        </w:rPr>
        <w:t>f.油罐防雷接地装置失效遇雷击造成火灾爆炸事故；</w:t>
      </w:r>
    </w:p>
    <w:p>
      <w:pPr>
        <w:ind w:firstLine="560" w:firstLineChars="200"/>
        <w:rPr>
          <w:rFonts w:ascii="宋体" w:hAnsi="宋体" w:cs="宋体"/>
          <w:sz w:val="28"/>
          <w:szCs w:val="28"/>
        </w:rPr>
      </w:pPr>
      <w:r>
        <w:rPr>
          <w:rFonts w:hint="eastAsia" w:ascii="宋体" w:hAnsi="宋体" w:cs="宋体"/>
          <w:sz w:val="28"/>
          <w:szCs w:val="28"/>
        </w:rPr>
        <w:t>g.在油罐未清除油垢或油罐内尚存有大量油气的情况下，使用明火修理油罐设备时造成爆燃事故；</w:t>
      </w:r>
    </w:p>
    <w:p>
      <w:pPr>
        <w:ind w:firstLine="560" w:firstLineChars="200"/>
        <w:rPr>
          <w:rFonts w:ascii="宋体" w:hAnsi="宋体" w:cs="宋体"/>
          <w:sz w:val="28"/>
          <w:szCs w:val="28"/>
        </w:rPr>
      </w:pPr>
      <w:r>
        <w:rPr>
          <w:rFonts w:hint="eastAsia" w:ascii="宋体" w:hAnsi="宋体" w:cs="宋体"/>
          <w:sz w:val="28"/>
          <w:szCs w:val="28"/>
        </w:rPr>
        <w:t>h.罐区杂草或其他易燃物燃烧，蔓延引燃造成火灾。</w:t>
      </w:r>
    </w:p>
    <w:p>
      <w:pPr>
        <w:ind w:firstLine="560" w:firstLineChars="200"/>
        <w:rPr>
          <w:rFonts w:ascii="宋体" w:hAnsi="宋体" w:cs="宋体"/>
          <w:sz w:val="28"/>
          <w:szCs w:val="28"/>
        </w:rPr>
      </w:pPr>
      <w:r>
        <w:rPr>
          <w:rFonts w:hint="eastAsia" w:ascii="宋体" w:hAnsi="宋体" w:cs="宋体"/>
          <w:sz w:val="28"/>
          <w:szCs w:val="28"/>
        </w:rPr>
        <w:t xml:space="preserve">4.2.2 油罐车发生火灾事故的原因 </w:t>
      </w:r>
    </w:p>
    <w:p>
      <w:pPr>
        <w:ind w:firstLine="560" w:firstLineChars="200"/>
        <w:rPr>
          <w:rFonts w:ascii="宋体" w:hAnsi="宋体" w:cs="宋体"/>
          <w:sz w:val="28"/>
          <w:szCs w:val="28"/>
        </w:rPr>
      </w:pPr>
      <w:r>
        <w:rPr>
          <w:rFonts w:hint="eastAsia" w:ascii="宋体" w:hAnsi="宋体" w:cs="宋体"/>
          <w:sz w:val="28"/>
          <w:szCs w:val="28"/>
        </w:rPr>
        <w:t>a.进行收车计量或在卸油时由于操作不慎、与罐口或卸油口碰击产生火花、引燃油气；关启罐口盖时，使用铁制工具碰击或敲打产生火花，引燃油气；</w:t>
      </w:r>
    </w:p>
    <w:p>
      <w:pPr>
        <w:ind w:firstLine="560" w:firstLineChars="200"/>
        <w:rPr>
          <w:rFonts w:ascii="宋体" w:hAnsi="宋体" w:cs="宋体"/>
          <w:sz w:val="28"/>
          <w:szCs w:val="28"/>
        </w:rPr>
      </w:pPr>
      <w:r>
        <w:rPr>
          <w:rFonts w:hint="eastAsia" w:ascii="宋体" w:hAnsi="宋体" w:cs="宋体"/>
          <w:sz w:val="28"/>
          <w:szCs w:val="28"/>
        </w:rPr>
        <w:t>b.油罐车卸油作业时，外界飞入的火源引燃油气；</w:t>
      </w:r>
    </w:p>
    <w:p>
      <w:pPr>
        <w:ind w:firstLine="560" w:firstLineChars="200"/>
        <w:rPr>
          <w:rFonts w:ascii="宋体" w:hAnsi="宋体" w:cs="宋体"/>
          <w:sz w:val="28"/>
          <w:szCs w:val="28"/>
        </w:rPr>
      </w:pPr>
      <w:r>
        <w:rPr>
          <w:rFonts w:hint="eastAsia" w:ascii="宋体" w:hAnsi="宋体" w:cs="宋体"/>
          <w:sz w:val="28"/>
          <w:szCs w:val="28"/>
        </w:rPr>
        <w:t>c.在卸油作业过程中，使用不防爆的工具、器材；</w:t>
      </w:r>
    </w:p>
    <w:p>
      <w:pPr>
        <w:ind w:firstLine="560" w:firstLineChars="200"/>
        <w:rPr>
          <w:rFonts w:ascii="宋体" w:hAnsi="宋体" w:cs="宋体"/>
          <w:sz w:val="28"/>
          <w:szCs w:val="28"/>
        </w:rPr>
      </w:pPr>
      <w:r>
        <w:rPr>
          <w:rFonts w:hint="eastAsia" w:ascii="宋体" w:hAnsi="宋体" w:cs="宋体"/>
          <w:sz w:val="28"/>
          <w:szCs w:val="28"/>
        </w:rPr>
        <w:t>d.卸油作业中未正确使用静电接地装置或装置失灵，静电放电产生火花引燃油气造成火灾爆炸事故；</w:t>
      </w:r>
    </w:p>
    <w:p>
      <w:pPr>
        <w:ind w:firstLine="560" w:firstLineChars="200"/>
        <w:rPr>
          <w:rFonts w:ascii="宋体" w:hAnsi="宋体" w:cs="宋体"/>
          <w:sz w:val="28"/>
          <w:szCs w:val="28"/>
        </w:rPr>
      </w:pPr>
      <w:r>
        <w:rPr>
          <w:rFonts w:hint="eastAsia" w:ascii="宋体" w:hAnsi="宋体" w:cs="宋体"/>
          <w:sz w:val="28"/>
          <w:szCs w:val="28"/>
        </w:rPr>
        <w:t>e.其他意外事故造成火灾。</w:t>
      </w:r>
    </w:p>
    <w:p>
      <w:pPr>
        <w:ind w:firstLine="560" w:firstLineChars="200"/>
        <w:rPr>
          <w:rFonts w:ascii="宋体" w:hAnsi="宋体" w:cs="宋体"/>
          <w:sz w:val="28"/>
          <w:szCs w:val="28"/>
        </w:rPr>
      </w:pPr>
      <w:r>
        <w:rPr>
          <w:rFonts w:hint="eastAsia" w:ascii="宋体" w:hAnsi="宋体" w:cs="宋体"/>
          <w:sz w:val="28"/>
          <w:szCs w:val="28"/>
        </w:rPr>
        <w:t>4.2.3 加油过程中发生火灾事故的原因</w:t>
      </w:r>
    </w:p>
    <w:p>
      <w:pPr>
        <w:ind w:firstLine="560" w:firstLineChars="200"/>
        <w:rPr>
          <w:rFonts w:ascii="宋体" w:hAnsi="宋体" w:cs="宋体"/>
          <w:sz w:val="28"/>
          <w:szCs w:val="28"/>
        </w:rPr>
      </w:pPr>
      <w:r>
        <w:rPr>
          <w:rFonts w:ascii="宋体" w:hAnsi="宋体" w:cs="宋体"/>
          <w:sz w:val="28"/>
          <w:szCs w:val="28"/>
        </w:rPr>
        <w:pict>
          <v:line id="_x0000_s1050" o:spid="_x0000_s1050" o:spt="20" style="position:absolute;left:0pt;margin-left:423pt;margin-top:0pt;height:0pt;width:0.05pt;z-index:251704320;mso-width-relative:page;mso-height-relative:page;" coordsize="21600,21600" o:gfxdata="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BsfLqnTAAAABQEAAA8AAAAAAAAA&#10;AQAgAAAAIgAAAGRycy9kb3ducmV2LnhtbFBLAQIUABQAAAAIAIdO4kAoBE2J3QEAAKQDAAAOAAAA&#10;AAAAAAEAIAAAACIBAABkcnMvZTJvRG9jLnhtbFBLBQYAAAAABgAGAFkBAABxBQAAAAA=&#10;">
            <v:path arrowok="t"/>
            <v:fill focussize="0,0"/>
            <v:stroke/>
            <v:imagedata o:title=""/>
            <o:lock v:ext="edit"/>
          </v:line>
        </w:pict>
      </w:r>
      <w:r>
        <w:rPr>
          <w:rFonts w:ascii="宋体" w:hAnsi="宋体" w:cs="宋体"/>
          <w:sz w:val="28"/>
          <w:szCs w:val="28"/>
        </w:rPr>
        <w:pict>
          <v:line id="_x0000_s1049" o:spid="_x0000_s1049" o:spt="20" style="position:absolute;left:0pt;margin-left:0pt;margin-top:0pt;height:0pt;width:0.05pt;z-index:251703296;mso-width-relative:page;mso-height-relative:page;" coordsize="21600,21600" o:gfxdata="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wSjbHc0AAAD/AAAADwAAAAAAAAABACAAAAAi&#10;AAAAZHJzL2Rvd25yZXYueG1sUEsBAhQAFAAAAAgAh07iQBj5E7bcAQAApAMAAA4AAAAAAAAAAQAg&#10;AAAAHAEAAGRycy9lMm9Eb2MueG1sUEsFBgAAAAAGAAYAWQEAAGoFAAAAAA==&#10;">
            <v:path arrowok="t"/>
            <v:fill focussize="0,0"/>
            <v:stroke/>
            <v:imagedata o:title=""/>
            <o:lock v:ext="edit"/>
          </v:line>
        </w:pict>
      </w:r>
      <w:r>
        <w:rPr>
          <w:rFonts w:ascii="宋体" w:hAnsi="宋体" w:cs="宋体"/>
          <w:sz w:val="28"/>
          <w:szCs w:val="28"/>
        </w:rPr>
        <w:pict>
          <v:line id="_x0000_s1048" o:spid="_x0000_s1048" o:spt="20" style="position:absolute;left:0pt;margin-left:423pt;margin-top:0pt;height:0pt;width:0.05pt;z-index:251702272;mso-width-relative:page;mso-height-relative:page;" coordsize="21600,21600" o:gfxdata="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Gx8uqdMAAAAFAQAADwAAAAAAAAAB&#10;ACAAAAAiAAAAZHJzL2Rvd25yZXYueG1sUEsBAhQAFAAAAAgAh07iQEj+8PfcAQAApAMAAA4AAAAA&#10;AAAAAQAgAAAAIgEAAGRycy9lMm9Eb2MueG1sUEsFBgAAAAAGAAYAWQEAAHAFAAAAAA==&#10;">
            <v:path arrowok="t"/>
            <v:fill focussize="0,0"/>
            <v:stroke/>
            <v:imagedata o:title=""/>
            <o:lock v:ext="edit"/>
          </v:line>
        </w:pict>
      </w:r>
      <w:r>
        <w:rPr>
          <w:rFonts w:ascii="宋体" w:hAnsi="宋体" w:cs="宋体"/>
          <w:sz w:val="28"/>
          <w:szCs w:val="28"/>
        </w:rPr>
        <w:pict>
          <v:line id="_x0000_s1047" o:spid="_x0000_s1047" o:spt="20" style="position:absolute;left:0pt;margin-left:90pt;margin-top:0pt;height:0pt;width:0.05pt;z-index:251705344;mso-width-relative:page;mso-height-relative:page;" coordsize="21600,21600" o:gfxdata="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uWU61tIAAAAFAQAADwAAAAAAAAAB&#10;ACAAAAAiAAAAZHJzL2Rvd25yZXYueG1sUEsBAhQAFAAAAAgAh07iQHgDrsjdAQAApAMAAA4AAAAA&#10;AAAAAQAgAAAAIQEAAGRycy9lMm9Eb2MueG1sUEsFBgAAAAAGAAYAWQEAAHAFAAAAAA==&#10;">
            <v:path arrowok="t"/>
            <v:fill focussize="0,0"/>
            <v:stroke/>
            <v:imagedata o:title=""/>
            <o:lock v:ext="edit"/>
          </v:line>
        </w:pict>
      </w:r>
      <w:r>
        <w:rPr>
          <w:rFonts w:ascii="宋体" w:hAnsi="宋体" w:cs="宋体"/>
          <w:sz w:val="28"/>
          <w:szCs w:val="28"/>
        </w:rPr>
        <w:pict>
          <v:line id="_x0000_s1046" o:spid="_x0000_s1046" o:spt="20" style="position:absolute;left:0pt;margin-left:180pt;margin-top:7.8pt;height:0pt;width:0.05pt;z-index:251706368;mso-width-relative:page;mso-height-relative:page;" coordsize="21600,21600" o:gfxdata="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bKUsS1QAAAAkBAAAPAAAAAAAA&#10;AAEAIAAAACIAAABkcnMvZG93bnJldi54bWxQSwECFAAUAAAACACHTuJAKR+wVdwBAACkAwAADgAA&#10;AAAAAAABACAAAAAkAQAAZHJzL2Uyb0RvYy54bWxQSwUGAAAAAAYABgBZAQAAcgUAAAAA&#10;">
            <v:path arrowok="t"/>
            <v:fill focussize="0,0"/>
            <v:stroke/>
            <v:imagedata o:title=""/>
            <o:lock v:ext="edit"/>
          </v:line>
        </w:pict>
      </w:r>
      <w:r>
        <w:rPr>
          <w:rFonts w:ascii="宋体" w:hAnsi="宋体" w:cs="宋体"/>
          <w:sz w:val="28"/>
          <w:szCs w:val="28"/>
        </w:rPr>
        <w:pict>
          <v:line id="_x0000_s1045" o:spid="_x0000_s1045" o:spt="20" style="position:absolute;left:0pt;margin-left:216pt;margin-top:0pt;height:0pt;width:0pt;z-index:251707392;mso-width-relative:page;mso-height-relative:page;" coordsize="21600,21600" o:gfxdata="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2/XD9IAAAAFAQAADwAAAAAAAAAB&#10;ACAAAAAiAAAAZHJzL2Rvd25yZXYueG1sUEsBAhQAFAAAAAgAh07iQBni7mrdAQAApAMAAA4AAAAA&#10;AAAAAQAgAAAAIQEAAGRycy9lMm9Eb2MueG1sUEsFBgAAAAAGAAYAWQEAAHAFAAAAAA==&#10;">
            <v:path arrowok="t"/>
            <v:fill focussize="0,0"/>
            <v:stroke/>
            <v:imagedata o:title=""/>
            <o:lock v:ext="edit"/>
          </v:line>
        </w:pict>
      </w:r>
      <w:r>
        <w:rPr>
          <w:rFonts w:hint="eastAsia" w:ascii="宋体" w:hAnsi="宋体" w:cs="宋体"/>
          <w:sz w:val="28"/>
          <w:szCs w:val="28"/>
        </w:rPr>
        <w:t>a.加油机静电接地不良或失效，在加油过程中加油枪与加油车辆油箱之间产生静电放电引起火灾事故；</w:t>
      </w:r>
    </w:p>
    <w:p>
      <w:pPr>
        <w:ind w:firstLine="560" w:firstLineChars="200"/>
        <w:rPr>
          <w:rFonts w:ascii="宋体" w:hAnsi="宋体" w:cs="宋体"/>
          <w:sz w:val="28"/>
          <w:szCs w:val="28"/>
        </w:rPr>
      </w:pPr>
      <w:r>
        <w:rPr>
          <w:rFonts w:hint="eastAsia" w:ascii="宋体" w:hAnsi="宋体" w:cs="宋体"/>
          <w:sz w:val="28"/>
          <w:szCs w:val="28"/>
        </w:rPr>
        <w:t>b.加油员操作不当，冒油或溅油在地面，车辆排气管火星或外来火源引起火灾事故；</w:t>
      </w:r>
    </w:p>
    <w:p>
      <w:pPr>
        <w:ind w:firstLine="560" w:firstLineChars="200"/>
        <w:rPr>
          <w:rFonts w:ascii="宋体" w:hAnsi="宋体" w:cs="宋体"/>
          <w:sz w:val="28"/>
          <w:szCs w:val="28"/>
        </w:rPr>
      </w:pPr>
      <w:r>
        <w:rPr>
          <w:rFonts w:hint="eastAsia" w:ascii="宋体" w:hAnsi="宋体" w:cs="宋体"/>
          <w:sz w:val="28"/>
          <w:szCs w:val="28"/>
        </w:rPr>
        <w:t>c.电气短路引起的火灾事故；</w:t>
      </w:r>
    </w:p>
    <w:p>
      <w:pPr>
        <w:ind w:firstLine="560" w:firstLineChars="200"/>
        <w:rPr>
          <w:rFonts w:ascii="宋体" w:hAnsi="宋体" w:cs="宋体"/>
          <w:sz w:val="28"/>
          <w:szCs w:val="28"/>
        </w:rPr>
      </w:pPr>
      <w:r>
        <w:rPr>
          <w:rFonts w:hint="eastAsia" w:ascii="宋体" w:hAnsi="宋体" w:cs="宋体"/>
          <w:sz w:val="28"/>
          <w:szCs w:val="28"/>
        </w:rPr>
        <w:t>d.加油场所使用通讯工具引起油气爆炸事故。</w:t>
      </w:r>
    </w:p>
    <w:p>
      <w:pPr>
        <w:pStyle w:val="37"/>
        <w:outlineLvl w:val="3"/>
        <w:rPr>
          <w:rStyle w:val="49"/>
          <w:rFonts w:ascii="Times New Roman" w:hAnsi="Times New Roman" w:cs="宋体"/>
          <w:sz w:val="24"/>
          <w:szCs w:val="24"/>
        </w:rPr>
      </w:pPr>
      <w:r>
        <w:rPr>
          <w:rStyle w:val="49"/>
          <w:rFonts w:hint="eastAsia" w:ascii="Times New Roman" w:hAnsi="Times New Roman" w:cs="宋体"/>
          <w:sz w:val="24"/>
          <w:szCs w:val="24"/>
        </w:rPr>
        <w:t>2.1.5.3 火灾、爆炸事故</w:t>
      </w:r>
      <w:r>
        <w:rPr>
          <w:rFonts w:ascii="Times New Roman" w:eastAsia="宋体"/>
          <w:b/>
          <w:bCs/>
          <w:sz w:val="24"/>
          <w:szCs w:val="24"/>
        </w:rPr>
        <w:t>对周边的影响</w:t>
      </w:r>
    </w:p>
    <w:p>
      <w:pPr>
        <w:ind w:firstLine="560" w:firstLineChars="200"/>
        <w:rPr>
          <w:rFonts w:ascii="宋体" w:hAnsi="宋体" w:cs="宋体"/>
          <w:sz w:val="28"/>
          <w:szCs w:val="28"/>
        </w:rPr>
      </w:pPr>
      <w:r>
        <w:rPr>
          <w:rFonts w:hint="eastAsia" w:ascii="宋体" w:hAnsi="宋体" w:cs="宋体"/>
          <w:sz w:val="28"/>
          <w:szCs w:val="28"/>
        </w:rPr>
        <w:t>①发生火灾产生的热辐射造成人员灼伤，并有可能引起邻近油罐及周边构建筑物起火燃烧。</w:t>
      </w:r>
    </w:p>
    <w:p>
      <w:pPr>
        <w:ind w:firstLine="560" w:firstLineChars="200"/>
        <w:rPr>
          <w:rFonts w:ascii="宋体" w:hAnsi="宋体" w:cs="宋体"/>
          <w:sz w:val="28"/>
          <w:szCs w:val="28"/>
        </w:rPr>
      </w:pPr>
      <w:r>
        <w:rPr>
          <w:rFonts w:hint="eastAsia" w:ascii="宋体" w:hAnsi="宋体" w:cs="宋体"/>
          <w:sz w:val="28"/>
          <w:szCs w:val="28"/>
        </w:rPr>
        <w:t>②发生爆炸所产生的冲击波不但造成人员伤亡，并有可能造成邻近油罐燃烧爆炸，引起大面积火灾，严重的将扩大到站外周边构建筑物燃烧或群众伤亡。</w:t>
      </w:r>
    </w:p>
    <w:p>
      <w:pPr>
        <w:ind w:firstLine="560" w:firstLineChars="200"/>
        <w:rPr>
          <w:rFonts w:ascii="宋体" w:hAnsi="宋体" w:cs="宋体"/>
          <w:sz w:val="28"/>
          <w:szCs w:val="28"/>
        </w:rPr>
      </w:pPr>
      <w:r>
        <w:rPr>
          <w:rFonts w:hint="eastAsia" w:ascii="宋体" w:hAnsi="宋体" w:cs="宋体"/>
          <w:sz w:val="28"/>
          <w:szCs w:val="28"/>
        </w:rPr>
        <w:t>③油品燃烧所产生的有毒有害气体使处于下风方向人员中毒、窒息。</w:t>
      </w:r>
    </w:p>
    <w:p>
      <w:pPr>
        <w:ind w:firstLine="560" w:firstLineChars="200"/>
        <w:rPr>
          <w:rFonts w:ascii="宋体" w:hAnsi="宋体" w:cs="宋体"/>
          <w:sz w:val="28"/>
          <w:szCs w:val="28"/>
        </w:rPr>
      </w:pPr>
      <w:r>
        <w:rPr>
          <w:rFonts w:hint="eastAsia" w:ascii="宋体" w:hAnsi="宋体" w:cs="宋体"/>
          <w:sz w:val="28"/>
          <w:szCs w:val="28"/>
        </w:rPr>
        <w:t>④泄漏油品遇明火燃烧，造成巨大财产经济损失。</w:t>
      </w:r>
    </w:p>
    <w:p>
      <w:pPr>
        <w:ind w:firstLine="560" w:firstLineChars="200"/>
        <w:rPr>
          <w:rFonts w:ascii="宋体" w:hAnsi="宋体" w:cs="宋体"/>
          <w:sz w:val="28"/>
          <w:szCs w:val="28"/>
        </w:rPr>
      </w:pPr>
      <w:r>
        <w:rPr>
          <w:rFonts w:hint="eastAsia" w:ascii="宋体" w:hAnsi="宋体" w:cs="宋体"/>
          <w:sz w:val="28"/>
          <w:szCs w:val="28"/>
        </w:rPr>
        <w:t>⑤对环境造成污染。</w:t>
      </w:r>
    </w:p>
    <w:p>
      <w:pPr>
        <w:pStyle w:val="37"/>
        <w:rPr>
          <w:rFonts w:ascii="Times New Roman"/>
        </w:rPr>
      </w:pPr>
    </w:p>
    <w:p>
      <w:pPr>
        <w:pStyle w:val="4"/>
        <w:spacing w:before="0" w:after="0"/>
        <w:rPr>
          <w:rStyle w:val="51"/>
          <w:rFonts w:hint="default" w:ascii="Times New Roman" w:hAnsi="Times New Roman" w:cs="宋体"/>
          <w:b/>
          <w:bCs/>
          <w:sz w:val="24"/>
          <w:szCs w:val="24"/>
        </w:rPr>
      </w:pPr>
      <w:bookmarkStart w:id="769" w:name="_Toc9272"/>
      <w:bookmarkStart w:id="770" w:name="_Toc14952"/>
      <w:bookmarkStart w:id="771" w:name="_Toc2650"/>
      <w:bookmarkStart w:id="772" w:name="_Toc19105"/>
      <w:r>
        <w:rPr>
          <w:rStyle w:val="51"/>
          <w:rFonts w:hint="default" w:ascii="Times New Roman" w:hAnsi="Times New Roman" w:cs="宋体"/>
          <w:b/>
          <w:bCs/>
          <w:sz w:val="24"/>
          <w:szCs w:val="24"/>
        </w:rPr>
        <w:t>2.2组织机构及职责</w:t>
      </w:r>
      <w:bookmarkEnd w:id="769"/>
      <w:bookmarkEnd w:id="770"/>
      <w:bookmarkEnd w:id="771"/>
      <w:bookmarkEnd w:id="772"/>
    </w:p>
    <w:p>
      <w:pPr>
        <w:ind w:firstLine="560" w:firstLineChars="200"/>
        <w:rPr>
          <w:rFonts w:ascii="宋体" w:hAnsi="宋体" w:cs="宋体"/>
          <w:sz w:val="28"/>
          <w:szCs w:val="28"/>
        </w:rPr>
      </w:pPr>
      <w:r>
        <w:rPr>
          <w:rFonts w:hint="eastAsia" w:ascii="宋体" w:hAnsi="宋体" w:cs="宋体"/>
          <w:sz w:val="28"/>
          <w:szCs w:val="28"/>
        </w:rPr>
        <w:t>1、应急救援领导小组</w:t>
      </w:r>
    </w:p>
    <w:p>
      <w:pPr>
        <w:ind w:firstLine="560" w:firstLineChars="200"/>
        <w:rPr>
          <w:rFonts w:ascii="宋体" w:hAnsi="宋体" w:cs="宋体"/>
          <w:sz w:val="28"/>
          <w:szCs w:val="28"/>
        </w:rPr>
      </w:pPr>
      <w:r>
        <w:rPr>
          <w:rFonts w:hint="eastAsia" w:ascii="宋体" w:hAnsi="宋体" w:cs="宋体"/>
          <w:sz w:val="28"/>
          <w:szCs w:val="28"/>
        </w:rPr>
        <w:t>应急救援组组长：李德斌</w:t>
      </w:r>
    </w:p>
    <w:p>
      <w:pPr>
        <w:ind w:firstLine="560" w:firstLineChars="200"/>
        <w:rPr>
          <w:rFonts w:ascii="宋体" w:hAnsi="宋体" w:cs="宋体"/>
          <w:sz w:val="28"/>
          <w:szCs w:val="28"/>
        </w:rPr>
      </w:pPr>
      <w:r>
        <w:rPr>
          <w:rFonts w:hint="eastAsia" w:ascii="宋体" w:hAnsi="宋体" w:cs="宋体"/>
          <w:sz w:val="28"/>
          <w:szCs w:val="28"/>
        </w:rPr>
        <w:t>应急救援组副组长：李力</w:t>
      </w:r>
    </w:p>
    <w:p>
      <w:pPr>
        <w:ind w:firstLine="560" w:firstLineChars="200"/>
        <w:rPr>
          <w:rFonts w:ascii="宋体" w:hAnsi="宋体" w:cs="宋体"/>
          <w:sz w:val="28"/>
          <w:szCs w:val="28"/>
        </w:rPr>
      </w:pPr>
      <w:r>
        <w:rPr>
          <w:rFonts w:hint="eastAsia" w:ascii="宋体" w:hAnsi="宋体" w:cs="宋体"/>
          <w:sz w:val="28"/>
          <w:szCs w:val="28"/>
        </w:rPr>
        <w:t>现场应急处置人员：赵亮、何洪艳、杨瑞萍、李小珍</w:t>
      </w:r>
    </w:p>
    <w:p>
      <w:pPr>
        <w:ind w:firstLine="560" w:firstLineChars="200"/>
        <w:rPr>
          <w:rFonts w:ascii="宋体" w:hAnsi="宋体" w:cs="宋体"/>
          <w:sz w:val="28"/>
          <w:szCs w:val="28"/>
        </w:rPr>
      </w:pPr>
      <w:r>
        <w:rPr>
          <w:rFonts w:hint="eastAsia" w:ascii="宋体" w:hAnsi="宋体" w:cs="宋体"/>
          <w:sz w:val="28"/>
          <w:szCs w:val="28"/>
        </w:rPr>
        <w:t>本站共6人，分为两个班组，分别有现场应急处置组、警戒疏散组、通讯联络组、后勤保障组，吉运加油站的人员有进行明确分工，以避免事故进一步扩大和产生次生灾害为准则。</w:t>
      </w:r>
    </w:p>
    <w:p>
      <w:pPr>
        <w:ind w:firstLine="560" w:firstLineChars="200"/>
        <w:rPr>
          <w:rFonts w:ascii="宋体" w:hAnsi="宋体" w:cs="宋体"/>
          <w:sz w:val="28"/>
          <w:szCs w:val="28"/>
        </w:rPr>
      </w:pPr>
      <w:r>
        <w:rPr>
          <w:rFonts w:hint="eastAsia" w:ascii="宋体" w:hAnsi="宋体" w:cs="宋体"/>
          <w:sz w:val="28"/>
          <w:szCs w:val="28"/>
        </w:rPr>
        <w:t>应急组长及成员的职责</w:t>
      </w:r>
    </w:p>
    <w:p>
      <w:pPr>
        <w:ind w:firstLine="560" w:firstLineChars="200"/>
        <w:rPr>
          <w:rFonts w:ascii="宋体" w:hAnsi="宋体" w:cs="宋体"/>
          <w:sz w:val="28"/>
          <w:szCs w:val="28"/>
        </w:rPr>
      </w:pPr>
      <w:r>
        <w:rPr>
          <w:rFonts w:hint="eastAsia" w:ascii="宋体" w:hAnsi="宋体" w:cs="宋体"/>
          <w:sz w:val="28"/>
          <w:szCs w:val="28"/>
        </w:rPr>
        <w:t>1）组长负责组织制定和修订本站的应急预案，每年年底公布加油站应急领导成员及联系方式；当应急指挥成员变动时应及时修订并颁发，并上报给辖区内的应急管理局备案；</w:t>
      </w:r>
    </w:p>
    <w:p>
      <w:pPr>
        <w:ind w:firstLine="560" w:firstLineChars="200"/>
        <w:rPr>
          <w:rFonts w:ascii="宋体" w:hAnsi="宋体" w:cs="宋体"/>
          <w:sz w:val="28"/>
          <w:szCs w:val="28"/>
        </w:rPr>
      </w:pPr>
      <w:r>
        <w:rPr>
          <w:rFonts w:hint="eastAsia" w:ascii="宋体" w:hAnsi="宋体" w:cs="宋体"/>
          <w:sz w:val="28"/>
          <w:szCs w:val="28"/>
        </w:rPr>
        <w:t>2）组长负责组织、指挥本站事故应急救援培训和演练；</w:t>
      </w:r>
    </w:p>
    <w:p>
      <w:pPr>
        <w:ind w:firstLine="560" w:firstLineChars="200"/>
        <w:rPr>
          <w:rFonts w:ascii="宋体" w:hAnsi="宋体" w:cs="宋体"/>
          <w:sz w:val="28"/>
          <w:szCs w:val="28"/>
        </w:rPr>
      </w:pPr>
      <w:r>
        <w:rPr>
          <w:rFonts w:hint="eastAsia" w:ascii="宋体" w:hAnsi="宋体" w:cs="宋体"/>
          <w:sz w:val="28"/>
          <w:szCs w:val="28"/>
        </w:rPr>
        <w:t>3）组长负责具体组织实施应急救援小组的日常指示和安排；</w:t>
      </w:r>
    </w:p>
    <w:p>
      <w:pPr>
        <w:ind w:firstLine="560" w:firstLineChars="200"/>
        <w:rPr>
          <w:rFonts w:ascii="宋体" w:hAnsi="宋体" w:cs="宋体"/>
          <w:sz w:val="28"/>
          <w:szCs w:val="28"/>
        </w:rPr>
      </w:pPr>
      <w:r>
        <w:rPr>
          <w:rFonts w:hint="eastAsia" w:ascii="宋体" w:hAnsi="宋体" w:cs="宋体"/>
          <w:sz w:val="28"/>
          <w:szCs w:val="28"/>
        </w:rPr>
        <w:t>4）组长负责联系、协调与相关管理部门的事故应急救援工作，报告事故情况及善后处理情况。</w:t>
      </w:r>
    </w:p>
    <w:p>
      <w:pPr>
        <w:ind w:firstLine="560" w:firstLineChars="200"/>
        <w:rPr>
          <w:rFonts w:ascii="宋体" w:hAnsi="宋体" w:cs="宋体"/>
          <w:sz w:val="28"/>
          <w:szCs w:val="28"/>
        </w:rPr>
      </w:pPr>
      <w:r>
        <w:rPr>
          <w:rFonts w:hint="eastAsia" w:ascii="宋体" w:hAnsi="宋体" w:cs="宋体"/>
          <w:sz w:val="28"/>
          <w:szCs w:val="28"/>
        </w:rPr>
        <w:t>5）应急成员负责协助应急组长开展抢险救援、善后处理等工作。</w:t>
      </w:r>
    </w:p>
    <w:p>
      <w:pPr>
        <w:ind w:firstLine="560" w:firstLineChars="200"/>
        <w:rPr>
          <w:rFonts w:ascii="宋体" w:hAnsi="宋体" w:cs="宋体"/>
          <w:sz w:val="28"/>
          <w:szCs w:val="28"/>
        </w:rPr>
      </w:pPr>
      <w:r>
        <w:rPr>
          <w:rFonts w:hint="eastAsia" w:ascii="宋体" w:hAnsi="宋体" w:cs="宋体"/>
          <w:sz w:val="28"/>
          <w:szCs w:val="28"/>
        </w:rPr>
        <w:t>6）当发生本站能控制的事故时，站长及加油员为应急救援小组组长及成员，开展抢险救援工作；当发生事故较大超出本站的应急处理能力时，站长及加油员主要开展应急疏散、对外通讯联络工作，当有能力对受伤人员进行医疗救护；事故救援结束后，加油员协助站长进行善后处理工作。</w:t>
      </w:r>
    </w:p>
    <w:p>
      <w:pPr>
        <w:ind w:firstLine="560" w:firstLineChars="200"/>
        <w:rPr>
          <w:rFonts w:ascii="宋体" w:hAnsi="宋体" w:cs="宋体"/>
          <w:sz w:val="28"/>
          <w:szCs w:val="28"/>
        </w:rPr>
      </w:pPr>
      <w:r>
        <w:rPr>
          <w:rFonts w:hint="eastAsia" w:ascii="宋体" w:hAnsi="宋体" w:cs="宋体"/>
          <w:sz w:val="28"/>
          <w:szCs w:val="28"/>
        </w:rPr>
        <w:t>3、应急救援过程中工作内容：</w:t>
      </w:r>
    </w:p>
    <w:p>
      <w:pPr>
        <w:ind w:firstLine="560" w:firstLineChars="200"/>
        <w:rPr>
          <w:rFonts w:ascii="宋体" w:hAnsi="宋体" w:cs="宋体"/>
          <w:sz w:val="28"/>
          <w:szCs w:val="28"/>
        </w:rPr>
      </w:pPr>
      <w:r>
        <w:rPr>
          <w:rFonts w:hint="eastAsia" w:ascii="宋体" w:hAnsi="宋体" w:cs="宋体"/>
          <w:sz w:val="28"/>
          <w:szCs w:val="28"/>
        </w:rPr>
        <w:t>1）决定是否启动应急预案，以及预案的级别。</w:t>
      </w:r>
    </w:p>
    <w:p>
      <w:pPr>
        <w:ind w:firstLine="560" w:firstLineChars="200"/>
        <w:rPr>
          <w:rFonts w:ascii="宋体" w:hAnsi="宋体" w:cs="宋体"/>
          <w:sz w:val="28"/>
          <w:szCs w:val="28"/>
        </w:rPr>
      </w:pPr>
      <w:r>
        <w:rPr>
          <w:rFonts w:hint="eastAsia" w:ascii="宋体" w:hAnsi="宋体" w:cs="宋体"/>
          <w:sz w:val="28"/>
          <w:szCs w:val="28"/>
        </w:rPr>
        <w:t>2）决定是否发布应急救援联络信号。</w:t>
      </w:r>
    </w:p>
    <w:p>
      <w:pPr>
        <w:ind w:firstLine="560" w:firstLineChars="200"/>
        <w:rPr>
          <w:rFonts w:ascii="宋体" w:hAnsi="宋体" w:cs="宋体"/>
          <w:sz w:val="28"/>
          <w:szCs w:val="28"/>
        </w:rPr>
      </w:pPr>
      <w:r>
        <w:rPr>
          <w:rFonts w:hint="eastAsia" w:ascii="宋体" w:hAnsi="宋体" w:cs="宋体"/>
          <w:sz w:val="28"/>
          <w:szCs w:val="28"/>
        </w:rPr>
        <w:t>3）决定是否向周边可能受到侵害的农户及时通报情况。</w:t>
      </w:r>
    </w:p>
    <w:p>
      <w:pPr>
        <w:ind w:firstLine="560" w:firstLineChars="200"/>
        <w:rPr>
          <w:rFonts w:ascii="宋体" w:hAnsi="宋体" w:cs="宋体"/>
          <w:sz w:val="28"/>
          <w:szCs w:val="28"/>
        </w:rPr>
      </w:pPr>
      <w:r>
        <w:rPr>
          <w:rFonts w:hint="eastAsia" w:ascii="宋体" w:hAnsi="宋体" w:cs="宋体"/>
          <w:sz w:val="28"/>
          <w:szCs w:val="28"/>
        </w:rPr>
        <w:t>4）决定向上级应急救援组织提出援助请求。</w:t>
      </w:r>
    </w:p>
    <w:p>
      <w:pPr>
        <w:ind w:firstLine="560" w:firstLineChars="200"/>
        <w:rPr>
          <w:rFonts w:ascii="宋体" w:hAnsi="宋体" w:cs="宋体"/>
          <w:sz w:val="28"/>
          <w:szCs w:val="28"/>
        </w:rPr>
      </w:pPr>
      <w:r>
        <w:rPr>
          <w:rFonts w:hint="eastAsia" w:ascii="宋体" w:hAnsi="宋体" w:cs="宋体"/>
          <w:sz w:val="28"/>
          <w:szCs w:val="28"/>
        </w:rPr>
        <w:t>5）指导群众撤离危险区域；</w:t>
      </w:r>
    </w:p>
    <w:p>
      <w:pPr>
        <w:ind w:firstLine="560" w:firstLineChars="200"/>
        <w:rPr>
          <w:rFonts w:ascii="宋体" w:hAnsi="宋体" w:cs="宋体"/>
          <w:sz w:val="28"/>
          <w:szCs w:val="28"/>
        </w:rPr>
      </w:pPr>
      <w:r>
        <w:rPr>
          <w:rFonts w:hint="eastAsia" w:ascii="宋体" w:hAnsi="宋体" w:cs="宋体"/>
          <w:sz w:val="28"/>
          <w:szCs w:val="28"/>
        </w:rPr>
        <w:t>6）实施抢险救援行动，尽最大努力抢救伤员。</w:t>
      </w:r>
    </w:p>
    <w:p>
      <w:pPr>
        <w:ind w:firstLine="560" w:firstLineChars="200"/>
        <w:rPr>
          <w:rFonts w:ascii="宋体" w:hAnsi="宋体" w:cs="宋体"/>
          <w:sz w:val="28"/>
          <w:szCs w:val="28"/>
        </w:rPr>
      </w:pPr>
      <w:r>
        <w:rPr>
          <w:rFonts w:hint="eastAsia" w:ascii="宋体" w:hAnsi="宋体" w:cs="宋体"/>
          <w:sz w:val="28"/>
          <w:szCs w:val="28"/>
        </w:rPr>
        <w:t>7）当外部救援力量实施救援时，配合其行动。</w:t>
      </w:r>
    </w:p>
    <w:p>
      <w:pPr>
        <w:ind w:firstLine="560" w:firstLineChars="200"/>
        <w:rPr>
          <w:rFonts w:ascii="宋体" w:hAnsi="宋体" w:cs="宋体"/>
          <w:sz w:val="28"/>
          <w:szCs w:val="28"/>
        </w:rPr>
      </w:pPr>
      <w:r>
        <w:rPr>
          <w:rFonts w:hint="eastAsia" w:ascii="宋体" w:hAnsi="宋体" w:cs="宋体"/>
          <w:sz w:val="28"/>
          <w:szCs w:val="28"/>
        </w:rPr>
        <w:t>8）负责划定事故现场的警戒区域及警戒任务；负责现场车辆、人员的疏导；维持现场治安管理秩序。</w:t>
      </w:r>
    </w:p>
    <w:p>
      <w:pPr>
        <w:ind w:firstLine="560" w:firstLineChars="200"/>
        <w:rPr>
          <w:rFonts w:ascii="宋体" w:hAnsi="宋体" w:cs="宋体"/>
          <w:sz w:val="28"/>
          <w:szCs w:val="28"/>
        </w:rPr>
      </w:pPr>
      <w:r>
        <w:rPr>
          <w:rFonts w:hint="eastAsia" w:ascii="宋体" w:hAnsi="宋体" w:cs="宋体"/>
          <w:sz w:val="28"/>
          <w:szCs w:val="28"/>
        </w:rPr>
        <w:t>9）及时快速地组织应急反应物资和其他有关资源送达指定的应急现场，并随时准备对事故现场进行其他支援，搞好后勤服务。</w:t>
      </w:r>
    </w:p>
    <w:p>
      <w:pPr>
        <w:ind w:firstLine="560" w:firstLineChars="200"/>
        <w:rPr>
          <w:rFonts w:ascii="宋体" w:hAnsi="宋体" w:cs="宋体"/>
          <w:sz w:val="28"/>
          <w:szCs w:val="28"/>
        </w:rPr>
      </w:pPr>
      <w:r>
        <w:rPr>
          <w:rFonts w:hint="eastAsia" w:ascii="宋体" w:hAnsi="宋体" w:cs="宋体"/>
          <w:sz w:val="28"/>
          <w:szCs w:val="28"/>
        </w:rPr>
        <w:t>10）负责现场伤亡紧急救护；随时观察和记录伤亡情况；协助120和上级部门对伤亡进行抢救。</w:t>
      </w:r>
    </w:p>
    <w:p>
      <w:pPr>
        <w:ind w:firstLine="560" w:firstLineChars="200"/>
        <w:rPr>
          <w:rFonts w:ascii="宋体" w:hAnsi="宋体" w:cs="宋体"/>
          <w:sz w:val="28"/>
          <w:szCs w:val="28"/>
        </w:rPr>
      </w:pPr>
      <w:r>
        <w:rPr>
          <w:rFonts w:hint="eastAsia" w:ascii="宋体" w:hAnsi="宋体" w:cs="宋体"/>
          <w:sz w:val="28"/>
          <w:szCs w:val="28"/>
        </w:rPr>
        <w:t>11）做好伤亡人员及家属的稳定工作，确保事故发生后伤亡人员及家属思想稳定，确保伤亡事故发生后不发生混乱和失控状况；做好伤亡医疗救护跟踪工作，协调处理医疗救护单位的相互矛盾；与保险部门一起做好伤亡人员及财产损失的理赔工作；做好伤员及家属的慰问工作。</w:t>
      </w:r>
    </w:p>
    <w:p>
      <w:pPr>
        <w:ind w:firstLine="560" w:firstLineChars="200"/>
        <w:rPr>
          <w:rFonts w:ascii="宋体" w:hAnsi="宋体" w:cs="宋体"/>
          <w:sz w:val="28"/>
          <w:szCs w:val="28"/>
        </w:rPr>
      </w:pPr>
      <w:r>
        <w:rPr>
          <w:rFonts w:hint="eastAsia" w:ascii="宋体" w:hAnsi="宋体" w:cs="宋体"/>
          <w:sz w:val="28"/>
          <w:szCs w:val="28"/>
        </w:rPr>
        <w:t>12）组织事故调查；总结应急救援经验教训；尽快组织恢复生产。</w:t>
      </w:r>
    </w:p>
    <w:p>
      <w:pPr>
        <w:pStyle w:val="4"/>
        <w:spacing w:before="0" w:after="0"/>
        <w:rPr>
          <w:rStyle w:val="51"/>
          <w:rFonts w:hint="default" w:ascii="Times New Roman" w:hAnsi="Times New Roman" w:cs="宋体"/>
          <w:b/>
          <w:bCs/>
          <w:sz w:val="24"/>
          <w:szCs w:val="24"/>
        </w:rPr>
      </w:pPr>
      <w:bookmarkStart w:id="773" w:name="_Toc9125"/>
      <w:bookmarkStart w:id="774" w:name="_Toc2942"/>
      <w:bookmarkStart w:id="775" w:name="_Toc27536"/>
      <w:bookmarkStart w:id="776" w:name="_Toc20118"/>
      <w:r>
        <w:rPr>
          <w:rStyle w:val="51"/>
          <w:rFonts w:hint="default" w:ascii="Times New Roman" w:hAnsi="Times New Roman" w:cs="宋体"/>
          <w:b/>
          <w:bCs/>
          <w:sz w:val="24"/>
          <w:szCs w:val="24"/>
        </w:rPr>
        <w:t>2.3处置程序</w:t>
      </w:r>
      <w:bookmarkEnd w:id="773"/>
      <w:bookmarkEnd w:id="774"/>
      <w:bookmarkEnd w:id="775"/>
      <w:bookmarkEnd w:id="776"/>
    </w:p>
    <w:p>
      <w:pPr>
        <w:widowControl/>
        <w:spacing w:line="360" w:lineRule="auto"/>
        <w:ind w:firstLine="482" w:firstLineChars="200"/>
        <w:jc w:val="left"/>
        <w:rPr>
          <w:rFonts w:cs="宋体"/>
          <w:b/>
          <w:bCs/>
          <w:kern w:val="0"/>
        </w:rPr>
      </w:pPr>
      <w:r>
        <w:rPr>
          <w:rFonts w:hint="eastAsia" w:cs="宋体"/>
          <w:b/>
          <w:bCs/>
          <w:kern w:val="0"/>
          <w:sz w:val="24"/>
          <w:szCs w:val="24"/>
        </w:rPr>
        <w:t>（1）预防与预警</w:t>
      </w:r>
    </w:p>
    <w:p>
      <w:pPr>
        <w:ind w:firstLine="560" w:firstLineChars="200"/>
        <w:rPr>
          <w:rFonts w:ascii="宋体" w:hAnsi="宋体" w:cs="宋体"/>
          <w:sz w:val="28"/>
          <w:szCs w:val="28"/>
        </w:rPr>
      </w:pPr>
      <w:r>
        <w:rPr>
          <w:rFonts w:hint="eastAsia" w:ascii="宋体" w:hAnsi="宋体" w:cs="宋体"/>
          <w:sz w:val="28"/>
          <w:szCs w:val="28"/>
        </w:rPr>
        <w:t>工作人员发现险情，经过应急领导小组组长（站长）确认险情后，即启动应急预案。</w:t>
      </w:r>
    </w:p>
    <w:p>
      <w:pPr>
        <w:ind w:firstLine="560" w:firstLineChars="200"/>
        <w:rPr>
          <w:rFonts w:ascii="宋体" w:hAnsi="宋体" w:cs="宋体"/>
          <w:sz w:val="28"/>
          <w:szCs w:val="28"/>
        </w:rPr>
      </w:pPr>
      <w:r>
        <w:rPr>
          <w:rFonts w:hint="eastAsia" w:ascii="宋体" w:hAnsi="宋体" w:cs="宋体"/>
          <w:sz w:val="28"/>
          <w:szCs w:val="28"/>
        </w:rPr>
        <w:t>站长应当根据现场情况和事态的发展拨打火警电话119，并通知当地应急管理局。</w:t>
      </w:r>
    </w:p>
    <w:p>
      <w:pPr>
        <w:ind w:firstLine="560" w:firstLineChars="200"/>
        <w:rPr>
          <w:rFonts w:ascii="宋体" w:hAnsi="宋体" w:cs="宋体"/>
          <w:sz w:val="28"/>
          <w:szCs w:val="28"/>
        </w:rPr>
      </w:pPr>
      <w:r>
        <w:rPr>
          <w:rFonts w:hint="eastAsia" w:ascii="宋体" w:hAnsi="宋体" w:cs="宋体"/>
          <w:sz w:val="28"/>
          <w:szCs w:val="28"/>
        </w:rPr>
        <w:t>如果事态扩大，情况紧急，要及时与周边单位、居民联络，告知本站出现的紧急情况，请求配合疏散及救援。</w:t>
      </w:r>
    </w:p>
    <w:p>
      <w:pPr>
        <w:widowControl/>
        <w:spacing w:line="360" w:lineRule="auto"/>
        <w:ind w:firstLine="482" w:firstLineChars="200"/>
        <w:jc w:val="left"/>
        <w:rPr>
          <w:rFonts w:cs="宋体"/>
          <w:b/>
          <w:bCs/>
          <w:kern w:val="0"/>
          <w:sz w:val="24"/>
          <w:szCs w:val="24"/>
        </w:rPr>
      </w:pPr>
      <w:r>
        <w:rPr>
          <w:rFonts w:hint="eastAsia" w:cs="宋体"/>
          <w:b/>
          <w:bCs/>
          <w:kern w:val="0"/>
          <w:sz w:val="24"/>
          <w:szCs w:val="24"/>
        </w:rPr>
        <w:t>（2）信息报告程序</w:t>
      </w:r>
    </w:p>
    <w:p>
      <w:pPr>
        <w:ind w:firstLine="560" w:firstLineChars="200"/>
        <w:rPr>
          <w:rFonts w:ascii="宋体" w:hAnsi="宋体" w:cs="宋体"/>
          <w:sz w:val="28"/>
          <w:szCs w:val="28"/>
        </w:rPr>
      </w:pPr>
      <w:r>
        <w:rPr>
          <w:rFonts w:hint="eastAsia" w:ascii="宋体" w:hAnsi="宋体" w:cs="宋体"/>
          <w:sz w:val="28"/>
          <w:szCs w:val="28"/>
        </w:rPr>
        <w:t>组长（站长）在接到报告后，启动相应级别的应急救援预案，并根据事故情况，决定是否向当地专业救援部门（消防队119，医疗机构120等）求助，同时应在1小时内向当地应急管理局进行汇报。</w:t>
      </w:r>
    </w:p>
    <w:p>
      <w:pPr>
        <w:ind w:firstLine="560" w:firstLineChars="200"/>
        <w:rPr>
          <w:rFonts w:ascii="宋体" w:hAnsi="宋体" w:cs="宋体"/>
          <w:sz w:val="28"/>
          <w:szCs w:val="28"/>
        </w:rPr>
      </w:pPr>
      <w:r>
        <w:rPr>
          <w:rFonts w:hint="eastAsia" w:ascii="宋体" w:hAnsi="宋体" w:cs="宋体"/>
          <w:sz w:val="28"/>
          <w:szCs w:val="28"/>
        </w:rPr>
        <w:t>报告内容包括：发生事故发生的地点、企业名称、事故种类、事故发生时间及现场伤亡情况。</w:t>
      </w:r>
    </w:p>
    <w:p>
      <w:pPr>
        <w:widowControl/>
        <w:spacing w:line="360" w:lineRule="auto"/>
        <w:ind w:firstLine="482" w:firstLineChars="200"/>
        <w:jc w:val="left"/>
        <w:rPr>
          <w:rFonts w:cs="宋体"/>
          <w:b/>
          <w:bCs/>
          <w:kern w:val="0"/>
          <w:sz w:val="24"/>
          <w:szCs w:val="24"/>
        </w:rPr>
      </w:pPr>
      <w:r>
        <w:rPr>
          <w:rFonts w:hint="eastAsia" w:cs="宋体"/>
          <w:b/>
          <w:bCs/>
          <w:kern w:val="0"/>
          <w:sz w:val="24"/>
          <w:szCs w:val="24"/>
        </w:rPr>
        <w:t>（3）响应分级</w:t>
      </w:r>
    </w:p>
    <w:p>
      <w:pPr>
        <w:ind w:firstLine="560" w:firstLineChars="200"/>
        <w:rPr>
          <w:rFonts w:ascii="宋体" w:hAnsi="宋体" w:cs="宋体"/>
          <w:sz w:val="28"/>
          <w:szCs w:val="28"/>
        </w:rPr>
      </w:pPr>
      <w:r>
        <w:rPr>
          <w:rFonts w:hint="eastAsia" w:ascii="宋体" w:hAnsi="宋体" w:cs="宋体"/>
          <w:sz w:val="28"/>
          <w:szCs w:val="28"/>
        </w:rPr>
        <w:t>按综合预案第5章进行应急分级</w:t>
      </w:r>
    </w:p>
    <w:p>
      <w:pPr>
        <w:widowControl/>
        <w:spacing w:line="360" w:lineRule="auto"/>
        <w:ind w:firstLine="482" w:firstLineChars="200"/>
        <w:jc w:val="left"/>
        <w:rPr>
          <w:rFonts w:cs="宋体"/>
          <w:b/>
          <w:bCs/>
          <w:kern w:val="0"/>
          <w:sz w:val="24"/>
          <w:szCs w:val="24"/>
        </w:rPr>
      </w:pPr>
      <w:r>
        <w:rPr>
          <w:rFonts w:hint="eastAsia" w:cs="宋体"/>
          <w:b/>
          <w:bCs/>
          <w:kern w:val="0"/>
          <w:sz w:val="24"/>
          <w:szCs w:val="24"/>
        </w:rPr>
        <w:t>（4）响应程序</w:t>
      </w:r>
    </w:p>
    <w:p>
      <w:pPr>
        <w:ind w:firstLine="560" w:firstLineChars="200"/>
        <w:rPr>
          <w:rFonts w:ascii="宋体" w:hAnsi="宋体" w:cs="宋体"/>
          <w:b/>
          <w:bCs/>
          <w:sz w:val="28"/>
          <w:szCs w:val="28"/>
        </w:rPr>
      </w:pPr>
      <w:r>
        <w:rPr>
          <w:rFonts w:hint="eastAsia" w:ascii="宋体" w:hAnsi="宋体" w:cs="宋体"/>
          <w:sz w:val="28"/>
          <w:szCs w:val="28"/>
        </w:rPr>
        <w:t>（1）站长接到报警后，立即启动应急救（1）事故发现人员（非站长），应</w:t>
      </w:r>
      <w:r>
        <w:rPr>
          <w:rFonts w:hint="eastAsia" w:ascii="宋体" w:hAnsi="宋体" w:cs="宋体"/>
          <w:b/>
          <w:bCs/>
          <w:sz w:val="28"/>
          <w:szCs w:val="28"/>
        </w:rPr>
        <w:t>立即向救援小组组长（站长）报告，并在确保自己安全的情况下展开先期处置工作。</w:t>
      </w:r>
    </w:p>
    <w:p>
      <w:pPr>
        <w:ind w:firstLine="562" w:firstLineChars="200"/>
        <w:rPr>
          <w:rFonts w:ascii="宋体" w:hAnsi="宋体" w:cs="宋体"/>
          <w:sz w:val="28"/>
          <w:szCs w:val="28"/>
        </w:rPr>
      </w:pPr>
      <w:r>
        <w:rPr>
          <w:rFonts w:hint="eastAsia" w:ascii="宋体" w:hAnsi="宋体" w:cs="宋体"/>
          <w:b/>
          <w:bCs/>
          <w:sz w:val="28"/>
          <w:szCs w:val="28"/>
        </w:rPr>
        <w:t>（2）救</w:t>
      </w:r>
      <w:r>
        <w:rPr>
          <w:rFonts w:hint="eastAsia" w:ascii="宋体" w:hAnsi="宋体" w:cs="宋体"/>
          <w:sz w:val="28"/>
          <w:szCs w:val="28"/>
        </w:rPr>
        <w:t>援小组全面负责应急救援工作；</w:t>
      </w:r>
    </w:p>
    <w:p>
      <w:pPr>
        <w:ind w:firstLine="560" w:firstLineChars="200"/>
        <w:rPr>
          <w:rFonts w:ascii="宋体" w:hAnsi="宋体" w:cs="宋体"/>
          <w:sz w:val="28"/>
          <w:szCs w:val="28"/>
        </w:rPr>
      </w:pPr>
      <w:r>
        <w:rPr>
          <w:rFonts w:hint="eastAsia" w:ascii="宋体" w:hAnsi="宋体" w:cs="宋体"/>
          <w:sz w:val="28"/>
          <w:szCs w:val="28"/>
        </w:rPr>
        <w:t>（3）对受伤人员实施救治，联系有关医院前来增援；</w:t>
      </w:r>
    </w:p>
    <w:p>
      <w:pPr>
        <w:ind w:firstLine="560" w:firstLineChars="200"/>
        <w:rPr>
          <w:rFonts w:ascii="宋体" w:hAnsi="宋体" w:cs="宋体"/>
          <w:sz w:val="28"/>
          <w:szCs w:val="28"/>
        </w:rPr>
      </w:pPr>
      <w:r>
        <w:rPr>
          <w:rFonts w:hint="eastAsia" w:ascii="宋体" w:hAnsi="宋体" w:cs="宋体"/>
          <w:sz w:val="28"/>
          <w:szCs w:val="28"/>
        </w:rPr>
        <w:t>（4）对无关人员实施现场隔离、疏散；</w:t>
      </w:r>
    </w:p>
    <w:p>
      <w:pPr>
        <w:ind w:firstLine="560" w:firstLineChars="200"/>
        <w:rPr>
          <w:rFonts w:ascii="宋体" w:hAnsi="宋体" w:cs="宋体"/>
          <w:sz w:val="28"/>
          <w:szCs w:val="28"/>
        </w:rPr>
      </w:pPr>
      <w:r>
        <w:rPr>
          <w:rFonts w:hint="eastAsia" w:ascii="宋体" w:hAnsi="宋体" w:cs="宋体"/>
          <w:sz w:val="28"/>
          <w:szCs w:val="28"/>
        </w:rPr>
        <w:t>（5）控制或切断电源、火源等；</w:t>
      </w:r>
    </w:p>
    <w:p>
      <w:pPr>
        <w:ind w:firstLine="560" w:firstLineChars="200"/>
        <w:rPr>
          <w:rFonts w:ascii="宋体" w:hAnsi="宋体" w:cs="宋体"/>
          <w:sz w:val="28"/>
          <w:szCs w:val="28"/>
        </w:rPr>
      </w:pPr>
      <w:r>
        <w:rPr>
          <w:rFonts w:hint="eastAsia" w:ascii="宋体" w:hAnsi="宋体" w:cs="宋体"/>
          <w:sz w:val="28"/>
          <w:szCs w:val="28"/>
        </w:rPr>
        <w:t>（6）依据事故情况，决定是否扩大应急救援级别。</w:t>
      </w:r>
    </w:p>
    <w:p>
      <w:pPr>
        <w:widowControl/>
        <w:spacing w:line="360" w:lineRule="auto"/>
        <w:ind w:firstLine="482" w:firstLineChars="200"/>
        <w:jc w:val="left"/>
        <w:rPr>
          <w:rFonts w:cs="宋体"/>
          <w:b/>
          <w:bCs/>
          <w:kern w:val="0"/>
          <w:sz w:val="24"/>
          <w:szCs w:val="24"/>
        </w:rPr>
      </w:pPr>
      <w:r>
        <w:rPr>
          <w:rFonts w:hint="eastAsia" w:cs="宋体"/>
          <w:b/>
          <w:bCs/>
          <w:kern w:val="0"/>
          <w:sz w:val="24"/>
          <w:szCs w:val="24"/>
        </w:rPr>
        <w:t>（5）应急物资与装备保障</w:t>
      </w:r>
    </w:p>
    <w:p>
      <w:pPr>
        <w:ind w:firstLine="1120" w:firstLineChars="400"/>
        <w:rPr>
          <w:rFonts w:ascii="宋体" w:hAnsi="宋体" w:cs="宋体"/>
          <w:sz w:val="28"/>
          <w:szCs w:val="28"/>
        </w:rPr>
      </w:pPr>
      <w:r>
        <w:rPr>
          <w:rFonts w:hint="eastAsia" w:ascii="宋体" w:hAnsi="宋体" w:cs="宋体"/>
          <w:sz w:val="28"/>
          <w:szCs w:val="28"/>
        </w:rPr>
        <w:t>参见附件。</w:t>
      </w:r>
    </w:p>
    <w:p>
      <w:pPr>
        <w:widowControl/>
        <w:spacing w:line="360" w:lineRule="auto"/>
        <w:ind w:firstLine="482" w:firstLineChars="200"/>
        <w:jc w:val="left"/>
        <w:rPr>
          <w:rFonts w:cs="宋体"/>
          <w:b/>
          <w:bCs/>
          <w:kern w:val="0"/>
          <w:sz w:val="24"/>
          <w:szCs w:val="24"/>
        </w:rPr>
      </w:pPr>
      <w:r>
        <w:rPr>
          <w:rFonts w:hint="eastAsia" w:cs="宋体"/>
          <w:b/>
          <w:bCs/>
          <w:kern w:val="0"/>
          <w:sz w:val="24"/>
          <w:szCs w:val="24"/>
        </w:rPr>
        <w:t>（6）扩大响应</w:t>
      </w:r>
    </w:p>
    <w:p>
      <w:pPr>
        <w:ind w:firstLine="560" w:firstLineChars="200"/>
        <w:rPr>
          <w:rFonts w:ascii="宋体" w:hAnsi="宋体" w:cs="宋体"/>
          <w:sz w:val="28"/>
          <w:szCs w:val="28"/>
        </w:rPr>
      </w:pPr>
      <w:r>
        <w:rPr>
          <w:rFonts w:hint="eastAsia" w:ascii="宋体" w:hAnsi="宋体" w:cs="宋体"/>
          <w:sz w:val="28"/>
          <w:szCs w:val="28"/>
        </w:rPr>
        <w:t>当启动本专项预案救援事故状态仍然得不到有效控制，可能扩大事故影响，则应对外请求援助。</w:t>
      </w:r>
    </w:p>
    <w:p>
      <w:pPr>
        <w:pStyle w:val="4"/>
        <w:spacing w:before="0" w:after="0"/>
        <w:rPr>
          <w:rStyle w:val="51"/>
          <w:rFonts w:hint="default" w:ascii="Times New Roman" w:hAnsi="Times New Roman" w:cs="宋体"/>
          <w:b/>
          <w:bCs/>
          <w:sz w:val="24"/>
          <w:szCs w:val="24"/>
        </w:rPr>
      </w:pPr>
      <w:bookmarkStart w:id="777" w:name="_Toc16693"/>
      <w:bookmarkStart w:id="778" w:name="_Toc19446"/>
      <w:bookmarkStart w:id="779" w:name="_Toc30573"/>
      <w:bookmarkStart w:id="780" w:name="_Toc27030"/>
      <w:r>
        <w:rPr>
          <w:rStyle w:val="51"/>
          <w:rFonts w:hint="default" w:ascii="Times New Roman" w:hAnsi="Times New Roman" w:cs="宋体"/>
          <w:b/>
          <w:bCs/>
          <w:sz w:val="24"/>
          <w:szCs w:val="24"/>
        </w:rPr>
        <w:t>2.4处置措施</w:t>
      </w:r>
      <w:bookmarkEnd w:id="777"/>
      <w:bookmarkEnd w:id="778"/>
      <w:bookmarkEnd w:id="779"/>
      <w:bookmarkEnd w:id="780"/>
    </w:p>
    <w:p>
      <w:pPr>
        <w:pStyle w:val="5"/>
        <w:spacing w:before="0" w:after="0"/>
        <w:rPr>
          <w:rStyle w:val="49"/>
          <w:rFonts w:ascii="Times New Roman" w:hAnsi="Times New Roman" w:cs="宋体"/>
          <w:b/>
          <w:bCs/>
          <w:sz w:val="24"/>
          <w:szCs w:val="24"/>
        </w:rPr>
      </w:pPr>
      <w:bookmarkStart w:id="781" w:name="_Toc14879"/>
      <w:bookmarkStart w:id="782" w:name="_Toc11479"/>
      <w:bookmarkStart w:id="783" w:name="_Toc29256"/>
      <w:bookmarkStart w:id="784" w:name="_Toc21561"/>
      <w:r>
        <w:rPr>
          <w:rStyle w:val="49"/>
          <w:rFonts w:hint="eastAsia" w:ascii="Times New Roman" w:hAnsi="Times New Roman" w:cs="宋体"/>
          <w:b/>
          <w:bCs/>
          <w:sz w:val="24"/>
          <w:szCs w:val="24"/>
        </w:rPr>
        <w:t>2.4.1处置原则和要求</w:t>
      </w:r>
      <w:bookmarkEnd w:id="781"/>
      <w:bookmarkEnd w:id="782"/>
      <w:bookmarkEnd w:id="783"/>
      <w:bookmarkEnd w:id="784"/>
    </w:p>
    <w:p>
      <w:pPr>
        <w:ind w:firstLine="560" w:firstLineChars="200"/>
        <w:rPr>
          <w:rFonts w:ascii="宋体" w:hAnsi="宋体" w:cs="宋体"/>
          <w:sz w:val="28"/>
          <w:szCs w:val="28"/>
        </w:rPr>
      </w:pPr>
      <w:r>
        <w:rPr>
          <w:rFonts w:hint="eastAsia" w:ascii="宋体" w:hAnsi="宋体" w:cs="宋体"/>
          <w:sz w:val="28"/>
          <w:szCs w:val="28"/>
        </w:rPr>
        <w:t>处置原则和要求：对事故进行初始评估，确认紧急状态，迅速有效地进行应急响应决策，建立现场工作区域，确定重点保护区域和应急行动的优先原则，指挥和协调现场的救援队伍开展救援行动，合理有效地调配和使用应急资源。避免事故扩大和蔓延，并以最快最有效办法消除事故影响。应急救援人员必须按照“保护自身，快速施救，救人优先”的原则抢险救援。</w:t>
      </w:r>
    </w:p>
    <w:p>
      <w:pPr>
        <w:ind w:firstLine="560" w:firstLineChars="200"/>
        <w:rPr>
          <w:rFonts w:ascii="宋体" w:hAnsi="宋体" w:cs="宋体"/>
          <w:sz w:val="28"/>
          <w:szCs w:val="28"/>
        </w:rPr>
      </w:pPr>
      <w:r>
        <w:rPr>
          <w:rFonts w:hint="eastAsia" w:ascii="宋体" w:hAnsi="宋体" w:cs="宋体"/>
          <w:sz w:val="28"/>
          <w:szCs w:val="28"/>
        </w:rPr>
        <w:t>（1）在发现有人受伤、掩埋时，应以抢救人员为主，抢险救援本着“先活者后亡者，先重伤后轻伤、先易后难”的原则进行抢险救援。</w:t>
      </w:r>
    </w:p>
    <w:p>
      <w:pPr>
        <w:ind w:firstLine="560" w:firstLineChars="200"/>
        <w:rPr>
          <w:rFonts w:ascii="宋体" w:hAnsi="宋体" w:cs="宋体"/>
          <w:sz w:val="28"/>
          <w:szCs w:val="28"/>
        </w:rPr>
      </w:pPr>
      <w:r>
        <w:rPr>
          <w:rFonts w:hint="eastAsia" w:ascii="宋体" w:hAnsi="宋体" w:cs="宋体"/>
          <w:sz w:val="28"/>
          <w:szCs w:val="28"/>
        </w:rPr>
        <w:t>（2）在进入险区侦察时要带防护抢险器材和相关防护用品，在保证救援人员安全的前提下，尽快采取相关安全措施和方案，组织实施抢险救援；</w:t>
      </w:r>
    </w:p>
    <w:p>
      <w:pPr>
        <w:ind w:firstLine="560" w:firstLineChars="200"/>
        <w:rPr>
          <w:rFonts w:ascii="宋体" w:hAnsi="宋体" w:cs="宋体"/>
          <w:sz w:val="28"/>
          <w:szCs w:val="28"/>
        </w:rPr>
      </w:pPr>
      <w:r>
        <w:rPr>
          <w:rFonts w:hint="eastAsia" w:ascii="宋体" w:hAnsi="宋体" w:cs="宋体"/>
          <w:sz w:val="28"/>
          <w:szCs w:val="28"/>
        </w:rPr>
        <w:t>（3）消除点火源，避免发生火灾爆炸事故，造成事故扩大；及时疏散周边群众，确保公众安全；</w:t>
      </w:r>
    </w:p>
    <w:p>
      <w:pPr>
        <w:ind w:firstLine="560" w:firstLineChars="200"/>
        <w:rPr>
          <w:rFonts w:ascii="宋体" w:hAnsi="宋体" w:cs="宋体"/>
          <w:sz w:val="28"/>
          <w:szCs w:val="28"/>
        </w:rPr>
      </w:pPr>
      <w:r>
        <w:rPr>
          <w:rFonts w:hint="eastAsia" w:ascii="宋体" w:hAnsi="宋体" w:cs="宋体"/>
          <w:sz w:val="28"/>
          <w:szCs w:val="28"/>
        </w:rPr>
        <w:t>（4）统一指挥，正确领导，及时控制泄漏事故以及后期可能发生的中毒窒息及火灾爆炸事故。</w:t>
      </w:r>
    </w:p>
    <w:p>
      <w:pPr>
        <w:pStyle w:val="5"/>
        <w:spacing w:before="0" w:after="0"/>
        <w:rPr>
          <w:rStyle w:val="49"/>
          <w:rFonts w:ascii="Times New Roman" w:hAnsi="Times New Roman" w:cs="宋体"/>
          <w:b/>
          <w:bCs/>
          <w:sz w:val="24"/>
          <w:szCs w:val="24"/>
        </w:rPr>
      </w:pPr>
      <w:bookmarkStart w:id="785" w:name="_Toc14398"/>
      <w:bookmarkStart w:id="786" w:name="_Toc6539"/>
      <w:bookmarkStart w:id="787" w:name="_Toc28942"/>
      <w:bookmarkStart w:id="788" w:name="_Toc921"/>
      <w:r>
        <w:rPr>
          <w:rStyle w:val="49"/>
          <w:rFonts w:hint="eastAsia" w:ascii="Times New Roman" w:hAnsi="Times New Roman" w:cs="宋体"/>
          <w:b/>
          <w:bCs/>
          <w:sz w:val="24"/>
          <w:szCs w:val="24"/>
        </w:rPr>
        <w:t>2.4.2处置措施</w:t>
      </w:r>
      <w:bookmarkEnd w:id="785"/>
      <w:bookmarkEnd w:id="786"/>
      <w:bookmarkEnd w:id="787"/>
      <w:bookmarkEnd w:id="788"/>
    </w:p>
    <w:p>
      <w:pPr>
        <w:ind w:firstLine="562" w:firstLineChars="200"/>
        <w:rPr>
          <w:rFonts w:ascii="宋体" w:hAnsi="宋体" w:cs="宋体"/>
          <w:b/>
          <w:bCs/>
          <w:sz w:val="28"/>
          <w:szCs w:val="28"/>
        </w:rPr>
      </w:pPr>
      <w:r>
        <w:rPr>
          <w:rFonts w:hint="eastAsia" w:ascii="宋体" w:hAnsi="宋体" w:cs="宋体"/>
          <w:b/>
          <w:bCs/>
          <w:sz w:val="28"/>
          <w:szCs w:val="28"/>
        </w:rPr>
        <w:t>初起火灾</w:t>
      </w:r>
    </w:p>
    <w:tbl>
      <w:tblPr>
        <w:tblStyle w:val="35"/>
        <w:tblW w:w="8263" w:type="dxa"/>
        <w:jc w:val="center"/>
        <w:tblInd w:w="1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975"/>
        <w:gridCol w:w="4830"/>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2265"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事故类别</w:t>
            </w:r>
          </w:p>
        </w:tc>
        <w:tc>
          <w:tcPr>
            <w:tcW w:w="4830" w:type="dxa"/>
            <w:vMerge w:val="restart"/>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应急措施</w:t>
            </w:r>
          </w:p>
        </w:tc>
        <w:tc>
          <w:tcPr>
            <w:tcW w:w="1168" w:type="dxa"/>
            <w:vMerge w:val="restart"/>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2265" w:type="dxa"/>
            <w:gridSpan w:val="2"/>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b/>
                <w:bCs/>
                <w:kern w:val="0"/>
              </w:rPr>
            </w:pPr>
            <w:r>
              <w:rPr>
                <w:rFonts w:hint="eastAsia" w:cs="宋体"/>
                <w:b/>
                <w:bCs/>
                <w:kern w:val="0"/>
              </w:rPr>
              <w:t>初起火灾（Ⅲ</w:t>
            </w:r>
            <w:r>
              <w:rPr>
                <w:rFonts w:hint="eastAsia" w:cs="宋体"/>
                <w:b/>
                <w:bCs/>
              </w:rPr>
              <w:t>级）</w:t>
            </w:r>
          </w:p>
        </w:tc>
        <w:tc>
          <w:tcPr>
            <w:tcW w:w="4830"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c>
          <w:tcPr>
            <w:tcW w:w="1168"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2265" w:type="dxa"/>
            <w:gridSpan w:val="2"/>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b/>
                <w:bCs/>
                <w:kern w:val="0"/>
              </w:rPr>
            </w:pPr>
            <w:r>
              <w:rPr>
                <w:rFonts w:hint="eastAsia" w:cs="宋体"/>
                <w:b/>
                <w:bCs/>
                <w:kern w:val="0"/>
              </w:rPr>
              <w:t>事故处理过程</w:t>
            </w:r>
          </w:p>
        </w:tc>
        <w:tc>
          <w:tcPr>
            <w:tcW w:w="4830"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c>
          <w:tcPr>
            <w:tcW w:w="1168"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290" w:type="dxa"/>
            <w:vMerge w:val="restart"/>
            <w:tcBorders>
              <w:top w:val="nil"/>
              <w:left w:val="single" w:color="auto" w:sz="4" w:space="0"/>
              <w:bottom w:val="single" w:color="auto" w:sz="4" w:space="0"/>
              <w:right w:val="single" w:color="auto" w:sz="4" w:space="0"/>
            </w:tcBorders>
            <w:vAlign w:val="center"/>
          </w:tcPr>
          <w:p>
            <w:pPr>
              <w:widowControl/>
              <w:adjustRightInd w:val="0"/>
              <w:snapToGrid w:val="0"/>
              <w:spacing w:line="260" w:lineRule="exact"/>
              <w:rPr>
                <w:rFonts w:cs="宋体"/>
                <w:kern w:val="0"/>
              </w:rPr>
            </w:pPr>
            <w:r>
              <w:rPr>
                <w:rFonts w:hint="eastAsia" w:cs="宋体"/>
                <w:kern w:val="0"/>
              </w:rPr>
              <w:t>1、事故发现处理程序</w:t>
            </w:r>
          </w:p>
        </w:tc>
        <w:tc>
          <w:tcPr>
            <w:tcW w:w="975" w:type="dxa"/>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事故发现</w:t>
            </w:r>
          </w:p>
        </w:tc>
        <w:tc>
          <w:tcPr>
            <w:tcW w:w="4830"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◆加油员发现</w:t>
            </w:r>
          </w:p>
          <w:p>
            <w:pPr>
              <w:widowControl/>
              <w:adjustRightInd w:val="0"/>
              <w:snapToGrid w:val="0"/>
              <w:spacing w:line="260" w:lineRule="exact"/>
              <w:rPr>
                <w:rFonts w:cs="宋体"/>
                <w:kern w:val="0"/>
              </w:rPr>
            </w:pPr>
            <w:r>
              <w:rPr>
                <w:rFonts w:hint="eastAsia" w:cs="宋体"/>
                <w:kern w:val="0"/>
              </w:rPr>
              <w:t>◆计量仪器报警</w:t>
            </w:r>
          </w:p>
          <w:p>
            <w:pPr>
              <w:widowControl/>
              <w:adjustRightInd w:val="0"/>
              <w:snapToGrid w:val="0"/>
              <w:spacing w:line="260" w:lineRule="exact"/>
              <w:rPr>
                <w:rFonts w:cs="宋体"/>
                <w:kern w:val="0"/>
              </w:rPr>
            </w:pPr>
            <w:r>
              <w:rPr>
                <w:rFonts w:hint="eastAsia" w:cs="宋体"/>
                <w:kern w:val="0"/>
              </w:rPr>
              <w:t>◆巡检人员（站长）发现</w:t>
            </w:r>
          </w:p>
        </w:tc>
        <w:tc>
          <w:tcPr>
            <w:tcW w:w="1168"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290" w:type="dxa"/>
            <w:vMerge w:val="continue"/>
            <w:tcBorders>
              <w:top w:val="nil"/>
              <w:left w:val="single" w:color="auto" w:sz="4" w:space="0"/>
              <w:bottom w:val="single" w:color="auto" w:sz="4" w:space="0"/>
              <w:right w:val="single" w:color="auto" w:sz="4" w:space="0"/>
            </w:tcBorders>
            <w:vAlign w:val="center"/>
          </w:tcPr>
          <w:p>
            <w:pPr>
              <w:widowControl/>
              <w:spacing w:line="260" w:lineRule="exact"/>
              <w:jc w:val="center"/>
              <w:rPr>
                <w:rFonts w:cs="宋体"/>
                <w:kern w:val="0"/>
              </w:rPr>
            </w:pPr>
          </w:p>
        </w:tc>
        <w:tc>
          <w:tcPr>
            <w:tcW w:w="975" w:type="dxa"/>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现场确认</w:t>
            </w:r>
          </w:p>
        </w:tc>
        <w:tc>
          <w:tcPr>
            <w:tcW w:w="4830"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◆佩戴适合的防护用品</w:t>
            </w:r>
          </w:p>
          <w:p>
            <w:pPr>
              <w:widowControl/>
              <w:adjustRightInd w:val="0"/>
              <w:snapToGrid w:val="0"/>
              <w:spacing w:line="260" w:lineRule="exact"/>
              <w:rPr>
                <w:rFonts w:cs="宋体"/>
                <w:kern w:val="0"/>
              </w:rPr>
            </w:pPr>
            <w:r>
              <w:rPr>
                <w:rFonts w:hint="eastAsia" w:cs="宋体"/>
                <w:kern w:val="0"/>
              </w:rPr>
              <w:t>◆确认泄漏地点、泄漏量</w:t>
            </w:r>
          </w:p>
          <w:p>
            <w:pPr>
              <w:widowControl/>
              <w:adjustRightInd w:val="0"/>
              <w:snapToGrid w:val="0"/>
              <w:spacing w:line="260" w:lineRule="exact"/>
              <w:rPr>
                <w:rFonts w:cs="宋体"/>
                <w:kern w:val="0"/>
              </w:rPr>
            </w:pPr>
            <w:r>
              <w:rPr>
                <w:rFonts w:hint="eastAsia" w:cs="宋体"/>
                <w:kern w:val="0"/>
              </w:rPr>
              <w:t>◆确认火灾现场物料、火势</w:t>
            </w:r>
          </w:p>
        </w:tc>
        <w:tc>
          <w:tcPr>
            <w:tcW w:w="1168"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加油员或站长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290" w:type="dxa"/>
            <w:vMerge w:val="continue"/>
            <w:tcBorders>
              <w:top w:val="nil"/>
              <w:left w:val="single" w:color="auto" w:sz="4" w:space="0"/>
              <w:bottom w:val="single" w:color="auto" w:sz="4" w:space="0"/>
              <w:right w:val="single" w:color="auto" w:sz="4" w:space="0"/>
            </w:tcBorders>
            <w:vAlign w:val="center"/>
          </w:tcPr>
          <w:p>
            <w:pPr>
              <w:widowControl/>
              <w:spacing w:line="260" w:lineRule="exact"/>
              <w:jc w:val="center"/>
              <w:rPr>
                <w:rFonts w:cs="宋体"/>
                <w:kern w:val="0"/>
              </w:rPr>
            </w:pPr>
          </w:p>
        </w:tc>
        <w:tc>
          <w:tcPr>
            <w:tcW w:w="975" w:type="dxa"/>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报告站长（若事故发现人为站长取消本环节）</w:t>
            </w:r>
          </w:p>
        </w:tc>
        <w:tc>
          <w:tcPr>
            <w:tcW w:w="4830"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◆泄漏地点、物料、泄漏量</w:t>
            </w:r>
          </w:p>
          <w:p>
            <w:pPr>
              <w:widowControl/>
              <w:adjustRightInd w:val="0"/>
              <w:snapToGrid w:val="0"/>
              <w:spacing w:line="260" w:lineRule="exact"/>
              <w:rPr>
                <w:rFonts w:cs="宋体"/>
                <w:kern w:val="0"/>
              </w:rPr>
            </w:pPr>
            <w:r>
              <w:rPr>
                <w:rFonts w:hint="eastAsia" w:cs="宋体"/>
                <w:kern w:val="0"/>
              </w:rPr>
              <w:t>◆火灾物料、火灾发展态势及可能造成的后果</w:t>
            </w:r>
          </w:p>
          <w:p>
            <w:pPr>
              <w:widowControl/>
              <w:adjustRightInd w:val="0"/>
              <w:snapToGrid w:val="0"/>
              <w:spacing w:line="260" w:lineRule="exact"/>
              <w:rPr>
                <w:rFonts w:cs="宋体"/>
                <w:kern w:val="0"/>
              </w:rPr>
            </w:pPr>
            <w:r>
              <w:rPr>
                <w:rFonts w:hint="eastAsia" w:cs="宋体"/>
                <w:kern w:val="0"/>
              </w:rPr>
              <w:t>◆是否人员受伤</w:t>
            </w:r>
          </w:p>
          <w:p>
            <w:pPr>
              <w:widowControl/>
              <w:adjustRightInd w:val="0"/>
              <w:snapToGrid w:val="0"/>
              <w:spacing w:line="260" w:lineRule="exact"/>
              <w:rPr>
                <w:rFonts w:cs="宋体"/>
                <w:kern w:val="0"/>
              </w:rPr>
            </w:pPr>
            <w:r>
              <w:rPr>
                <w:rFonts w:hint="eastAsia" w:cs="宋体"/>
                <w:kern w:val="0"/>
              </w:rPr>
              <w:t>◆风向</w:t>
            </w:r>
          </w:p>
        </w:tc>
        <w:tc>
          <w:tcPr>
            <w:tcW w:w="1168"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29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rPr>
                <w:rFonts w:cs="宋体"/>
                <w:kern w:val="0"/>
              </w:rPr>
            </w:pPr>
            <w:r>
              <w:rPr>
                <w:rFonts w:hint="eastAsia" w:cs="宋体"/>
                <w:kern w:val="0"/>
              </w:rPr>
              <w:t>2、应急响应</w:t>
            </w:r>
          </w:p>
        </w:tc>
        <w:tc>
          <w:tcPr>
            <w:tcW w:w="975" w:type="dxa"/>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紧急行动</w:t>
            </w:r>
          </w:p>
        </w:tc>
        <w:tc>
          <w:tcPr>
            <w:tcW w:w="4830"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◆佩戴必要的安全防护用品</w:t>
            </w:r>
          </w:p>
          <w:p>
            <w:pPr>
              <w:widowControl/>
              <w:adjustRightInd w:val="0"/>
              <w:snapToGrid w:val="0"/>
              <w:spacing w:line="260" w:lineRule="exact"/>
              <w:rPr>
                <w:rFonts w:cs="宋体"/>
                <w:kern w:val="0"/>
              </w:rPr>
            </w:pPr>
            <w:r>
              <w:rPr>
                <w:rFonts w:hint="eastAsia" w:cs="宋体"/>
                <w:kern w:val="0"/>
              </w:rPr>
              <w:t>◆停止作业，迅速切断要害部位的电源</w:t>
            </w:r>
          </w:p>
          <w:p>
            <w:pPr>
              <w:widowControl/>
              <w:adjustRightInd w:val="0"/>
              <w:snapToGrid w:val="0"/>
              <w:spacing w:line="260" w:lineRule="exact"/>
              <w:rPr>
                <w:rFonts w:cs="宋体"/>
                <w:kern w:val="0"/>
              </w:rPr>
            </w:pPr>
            <w:r>
              <w:rPr>
                <w:rFonts w:hint="eastAsia" w:cs="宋体"/>
                <w:kern w:val="0"/>
              </w:rPr>
              <w:t>◆关闭与要害部位连通管线的阀门，切断泄漏源、堵漏</w:t>
            </w:r>
          </w:p>
          <w:p>
            <w:pPr>
              <w:widowControl/>
              <w:adjustRightInd w:val="0"/>
              <w:snapToGrid w:val="0"/>
              <w:spacing w:line="260" w:lineRule="exact"/>
              <w:rPr>
                <w:rFonts w:cs="宋体"/>
                <w:kern w:val="0"/>
              </w:rPr>
            </w:pPr>
            <w:r>
              <w:rPr>
                <w:rFonts w:hint="eastAsia" w:cs="宋体"/>
                <w:kern w:val="0"/>
              </w:rPr>
              <w:t>◆通知站长投入救援（若第一发现人是站长跳过此环节）</w:t>
            </w:r>
          </w:p>
        </w:tc>
        <w:tc>
          <w:tcPr>
            <w:tcW w:w="1168"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w:t>
            </w:r>
          </w:p>
          <w:p>
            <w:pPr>
              <w:widowControl/>
              <w:adjustRightInd w:val="0"/>
              <w:snapToGrid w:val="0"/>
              <w:spacing w:line="260" w:lineRule="exact"/>
              <w:rPr>
                <w:rFonts w:cs="宋体"/>
                <w:kern w:val="0"/>
              </w:rPr>
            </w:pPr>
            <w:r>
              <w:rPr>
                <w:rFonts w:hint="eastAsia" w:cs="宋体"/>
                <w:kern w:val="0"/>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29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rPr>
                <w:rFonts w:cs="宋体"/>
                <w:kern w:val="0"/>
              </w:rPr>
            </w:pPr>
            <w:r>
              <w:rPr>
                <w:rFonts w:hint="eastAsia" w:cs="宋体"/>
                <w:kern w:val="0"/>
              </w:rPr>
              <w:t>3、应急处置</w:t>
            </w:r>
          </w:p>
        </w:tc>
        <w:tc>
          <w:tcPr>
            <w:tcW w:w="975" w:type="dxa"/>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kern w:val="0"/>
              </w:rPr>
            </w:pPr>
          </w:p>
        </w:tc>
        <w:tc>
          <w:tcPr>
            <w:tcW w:w="4830"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◆转移事故周围物资、清除点火源</w:t>
            </w:r>
          </w:p>
          <w:p>
            <w:pPr>
              <w:widowControl/>
              <w:adjustRightInd w:val="0"/>
              <w:snapToGrid w:val="0"/>
              <w:spacing w:line="260" w:lineRule="exact"/>
              <w:rPr>
                <w:rFonts w:cs="宋体"/>
                <w:kern w:val="0"/>
              </w:rPr>
            </w:pPr>
            <w:r>
              <w:rPr>
                <w:rFonts w:hint="eastAsia" w:cs="宋体"/>
                <w:kern w:val="0"/>
              </w:rPr>
              <w:t>◆站长组织、指挥第一救援力量，使用附近的消防器材设施进行初级火灾的扑救；</w:t>
            </w:r>
          </w:p>
          <w:p>
            <w:pPr>
              <w:widowControl/>
              <w:adjustRightInd w:val="0"/>
              <w:snapToGrid w:val="0"/>
              <w:spacing w:line="260" w:lineRule="exact"/>
              <w:rPr>
                <w:rFonts w:cs="宋体"/>
                <w:kern w:val="0"/>
              </w:rPr>
            </w:pPr>
            <w:r>
              <w:rPr>
                <w:rFonts w:hint="eastAsia" w:cs="宋体"/>
                <w:kern w:val="0"/>
              </w:rPr>
              <w:t xml:space="preserve">◆用沙土、棉布、集油桶等覆盖、吸附、收容泄漏物 </w:t>
            </w:r>
          </w:p>
          <w:p>
            <w:pPr>
              <w:widowControl/>
              <w:adjustRightInd w:val="0"/>
              <w:snapToGrid w:val="0"/>
              <w:spacing w:line="260" w:lineRule="exact"/>
              <w:rPr>
                <w:rFonts w:cs="宋体"/>
                <w:kern w:val="0"/>
              </w:rPr>
            </w:pPr>
            <w:r>
              <w:rPr>
                <w:rFonts w:hint="eastAsia" w:cs="宋体"/>
                <w:kern w:val="0"/>
              </w:rPr>
              <w:t xml:space="preserve">◆初步控制现场、隔离现场，避免无关人员进入事故发生区域  </w:t>
            </w:r>
          </w:p>
          <w:p>
            <w:pPr>
              <w:widowControl/>
              <w:adjustRightInd w:val="0"/>
              <w:snapToGrid w:val="0"/>
              <w:spacing w:line="260" w:lineRule="exact"/>
              <w:rPr>
                <w:rFonts w:cs="宋体"/>
                <w:kern w:val="0"/>
              </w:rPr>
            </w:pPr>
            <w:r>
              <w:rPr>
                <w:rFonts w:hint="eastAsia" w:cs="宋体"/>
                <w:kern w:val="0"/>
              </w:rPr>
              <w:t>◆当预测事态可能扩大，危及应急人员生命安全时，应立即指挥现场人员全部撤离至疏散集合点并请求外部支援。</w:t>
            </w:r>
          </w:p>
        </w:tc>
        <w:tc>
          <w:tcPr>
            <w:tcW w:w="1168"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w:t>
            </w:r>
          </w:p>
          <w:p>
            <w:pPr>
              <w:widowControl/>
              <w:adjustRightInd w:val="0"/>
              <w:snapToGrid w:val="0"/>
              <w:spacing w:line="260" w:lineRule="exact"/>
              <w:rPr>
                <w:rFonts w:cs="宋体"/>
                <w:kern w:val="0"/>
              </w:rPr>
            </w:pPr>
            <w:r>
              <w:rPr>
                <w:rFonts w:hint="eastAsia" w:cs="宋体"/>
                <w:kern w:val="0"/>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3" w:hRule="atLeast"/>
          <w:jc w:val="center"/>
        </w:trPr>
        <w:tc>
          <w:tcPr>
            <w:tcW w:w="129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rPr>
                <w:rFonts w:cs="宋体"/>
                <w:kern w:val="0"/>
              </w:rPr>
            </w:pPr>
            <w:r>
              <w:rPr>
                <w:rFonts w:hint="eastAsia" w:cs="宋体"/>
                <w:kern w:val="0"/>
              </w:rPr>
              <w:t>4、后期处理</w:t>
            </w:r>
          </w:p>
        </w:tc>
        <w:tc>
          <w:tcPr>
            <w:tcW w:w="975" w:type="dxa"/>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kern w:val="0"/>
              </w:rPr>
            </w:pPr>
          </w:p>
        </w:tc>
        <w:tc>
          <w:tcPr>
            <w:tcW w:w="4830"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◆事故原因分析</w:t>
            </w:r>
          </w:p>
          <w:p>
            <w:pPr>
              <w:widowControl/>
              <w:adjustRightInd w:val="0"/>
              <w:snapToGrid w:val="0"/>
              <w:spacing w:line="260" w:lineRule="exact"/>
              <w:rPr>
                <w:rFonts w:cs="宋体"/>
                <w:kern w:val="0"/>
              </w:rPr>
            </w:pPr>
            <w:r>
              <w:rPr>
                <w:rFonts w:hint="eastAsia" w:cs="宋体"/>
                <w:kern w:val="0"/>
              </w:rPr>
              <w:t>◆视情况决定是否恢复作业</w:t>
            </w:r>
          </w:p>
          <w:p>
            <w:pPr>
              <w:widowControl/>
              <w:adjustRightInd w:val="0"/>
              <w:snapToGrid w:val="0"/>
              <w:spacing w:line="260" w:lineRule="exact"/>
              <w:rPr>
                <w:rFonts w:cs="宋体"/>
                <w:kern w:val="0"/>
              </w:rPr>
            </w:pPr>
            <w:r>
              <w:rPr>
                <w:rFonts w:hint="eastAsia" w:cs="宋体"/>
                <w:kern w:val="0"/>
              </w:rPr>
              <w:t>◆收集的泄漏物、吸附材料交有资质单位处置</w:t>
            </w:r>
          </w:p>
          <w:p>
            <w:pPr>
              <w:widowControl/>
              <w:adjustRightInd w:val="0"/>
              <w:snapToGrid w:val="0"/>
              <w:spacing w:line="260" w:lineRule="exact"/>
              <w:rPr>
                <w:rFonts w:cs="宋体"/>
                <w:kern w:val="0"/>
              </w:rPr>
            </w:pPr>
            <w:r>
              <w:rPr>
                <w:rFonts w:hint="eastAsia" w:cs="宋体"/>
                <w:kern w:val="0"/>
              </w:rPr>
              <w:t>◆开会总结</w:t>
            </w:r>
          </w:p>
          <w:p>
            <w:pPr>
              <w:widowControl/>
              <w:adjustRightInd w:val="0"/>
              <w:snapToGrid w:val="0"/>
              <w:spacing w:line="260" w:lineRule="exact"/>
              <w:rPr>
                <w:rFonts w:cs="宋体"/>
                <w:kern w:val="0"/>
              </w:rPr>
            </w:pPr>
            <w:r>
              <w:rPr>
                <w:rFonts w:hint="eastAsia" w:cs="宋体"/>
                <w:kern w:val="0"/>
              </w:rPr>
              <w:t>◆填写事故报告</w:t>
            </w:r>
          </w:p>
        </w:tc>
        <w:tc>
          <w:tcPr>
            <w:tcW w:w="1168"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w:t>
            </w:r>
          </w:p>
          <w:p>
            <w:pPr>
              <w:widowControl/>
              <w:adjustRightInd w:val="0"/>
              <w:snapToGrid w:val="0"/>
              <w:spacing w:line="260" w:lineRule="exact"/>
              <w:rPr>
                <w:rFonts w:cs="宋体"/>
                <w:kern w:val="0"/>
              </w:rPr>
            </w:pPr>
            <w:r>
              <w:rPr>
                <w:rFonts w:hint="eastAsia" w:cs="宋体"/>
                <w:kern w:val="0"/>
              </w:rPr>
              <w:t>加油员</w:t>
            </w:r>
          </w:p>
        </w:tc>
      </w:tr>
    </w:tbl>
    <w:p>
      <w:pPr>
        <w:widowControl/>
        <w:adjustRightInd w:val="0"/>
        <w:snapToGrid w:val="0"/>
        <w:spacing w:line="360" w:lineRule="auto"/>
        <w:rPr>
          <w:rFonts w:ascii="宋体" w:hAnsi="宋体" w:cs="宋体"/>
          <w:sz w:val="28"/>
          <w:szCs w:val="28"/>
        </w:rPr>
      </w:pPr>
    </w:p>
    <w:p>
      <w:pPr>
        <w:widowControl/>
        <w:adjustRightInd w:val="0"/>
        <w:snapToGrid w:val="0"/>
        <w:spacing w:line="360" w:lineRule="auto"/>
        <w:rPr>
          <w:rFonts w:cs="宋体"/>
          <w:b/>
          <w:bCs/>
          <w:kern w:val="0"/>
          <w:sz w:val="24"/>
          <w:szCs w:val="24"/>
        </w:rPr>
      </w:pPr>
      <w:r>
        <w:rPr>
          <w:rFonts w:hint="eastAsia" w:ascii="宋体" w:hAnsi="宋体" w:cs="宋体"/>
          <w:b/>
          <w:bCs/>
          <w:sz w:val="28"/>
          <w:szCs w:val="28"/>
        </w:rPr>
        <w:t>小规模火灾，在加油站控制范围内</w:t>
      </w:r>
    </w:p>
    <w:tbl>
      <w:tblPr>
        <w:tblStyle w:val="35"/>
        <w:tblW w:w="8178" w:type="dxa"/>
        <w:jc w:val="center"/>
        <w:tblInd w:w="2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230"/>
        <w:gridCol w:w="4644"/>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事故类别</w:t>
            </w:r>
          </w:p>
        </w:tc>
        <w:tc>
          <w:tcPr>
            <w:tcW w:w="4644" w:type="dxa"/>
            <w:vMerge w:val="restart"/>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应急措施</w:t>
            </w:r>
          </w:p>
        </w:tc>
        <w:tc>
          <w:tcPr>
            <w:tcW w:w="1224" w:type="dxa"/>
            <w:vMerge w:val="restart"/>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right"/>
              <w:rPr>
                <w:rFonts w:cs="宋体"/>
                <w:kern w:val="0"/>
              </w:rPr>
            </w:pPr>
            <w:r>
              <w:rPr>
                <w:rFonts w:hint="eastAsia" w:cs="宋体"/>
                <w:kern w:val="0"/>
              </w:rPr>
              <w:t>小规模火灾（Ⅱ级</w:t>
            </w:r>
            <w:r>
              <w:rPr>
                <w:rFonts w:hint="eastAsia" w:cs="宋体"/>
              </w:rPr>
              <w:t>）</w:t>
            </w:r>
          </w:p>
        </w:tc>
        <w:tc>
          <w:tcPr>
            <w:tcW w:w="4644"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c>
          <w:tcPr>
            <w:tcW w:w="1224"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right"/>
              <w:rPr>
                <w:rFonts w:cs="宋体"/>
                <w:kern w:val="0"/>
              </w:rPr>
            </w:pPr>
            <w:r>
              <w:rPr>
                <w:rFonts w:hint="eastAsia" w:cs="宋体"/>
                <w:kern w:val="0"/>
              </w:rPr>
              <w:t>事故处理过程</w:t>
            </w:r>
          </w:p>
        </w:tc>
        <w:tc>
          <w:tcPr>
            <w:tcW w:w="4644"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c>
          <w:tcPr>
            <w:tcW w:w="1224"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0"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rPr>
                <w:rFonts w:cs="宋体"/>
                <w:kern w:val="0"/>
              </w:rPr>
            </w:pPr>
            <w:r>
              <w:rPr>
                <w:rFonts w:hint="eastAsia" w:cs="宋体"/>
                <w:kern w:val="0"/>
              </w:rPr>
              <w:t>1、事故发现处理程序</w:t>
            </w:r>
          </w:p>
        </w:tc>
        <w:tc>
          <w:tcPr>
            <w:tcW w:w="123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right"/>
              <w:rPr>
                <w:rFonts w:cs="宋体"/>
                <w:kern w:val="0"/>
              </w:rPr>
            </w:pPr>
            <w:r>
              <w:rPr>
                <w:rFonts w:hint="eastAsia" w:cs="宋体"/>
                <w:kern w:val="0"/>
              </w:rPr>
              <w:t>事故发现</w:t>
            </w:r>
          </w:p>
        </w:tc>
        <w:tc>
          <w:tcPr>
            <w:tcW w:w="4644"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◆加油员发现</w:t>
            </w:r>
          </w:p>
          <w:p>
            <w:pPr>
              <w:widowControl/>
              <w:adjustRightInd w:val="0"/>
              <w:snapToGrid w:val="0"/>
              <w:spacing w:line="260" w:lineRule="exact"/>
              <w:rPr>
                <w:rFonts w:cs="宋体"/>
                <w:kern w:val="0"/>
              </w:rPr>
            </w:pPr>
            <w:r>
              <w:rPr>
                <w:rFonts w:hint="eastAsia" w:cs="宋体"/>
                <w:kern w:val="0"/>
              </w:rPr>
              <w:t>◆计量仪器报警</w:t>
            </w:r>
          </w:p>
          <w:p>
            <w:pPr>
              <w:widowControl/>
              <w:adjustRightInd w:val="0"/>
              <w:snapToGrid w:val="0"/>
              <w:spacing w:line="260" w:lineRule="exact"/>
              <w:rPr>
                <w:rFonts w:cs="宋体"/>
                <w:kern w:val="0"/>
              </w:rPr>
            </w:pPr>
            <w:r>
              <w:rPr>
                <w:rFonts w:hint="eastAsia" w:cs="宋体"/>
                <w:kern w:val="0"/>
              </w:rPr>
              <w:t>◆巡检人员（站长）发现</w:t>
            </w:r>
          </w:p>
        </w:tc>
        <w:tc>
          <w:tcPr>
            <w:tcW w:w="1224"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right"/>
              <w:rPr>
                <w:rFonts w:cs="宋体"/>
                <w:kern w:val="0"/>
              </w:rPr>
            </w:pPr>
          </w:p>
        </w:tc>
        <w:tc>
          <w:tcPr>
            <w:tcW w:w="123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right"/>
              <w:rPr>
                <w:rFonts w:cs="宋体"/>
                <w:kern w:val="0"/>
              </w:rPr>
            </w:pPr>
            <w:r>
              <w:rPr>
                <w:rFonts w:hint="eastAsia" w:cs="宋体"/>
                <w:kern w:val="0"/>
              </w:rPr>
              <w:t>现场确认</w:t>
            </w:r>
          </w:p>
        </w:tc>
        <w:tc>
          <w:tcPr>
            <w:tcW w:w="4644"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◆佩戴适合的防护用品</w:t>
            </w:r>
          </w:p>
          <w:p>
            <w:pPr>
              <w:widowControl/>
              <w:adjustRightInd w:val="0"/>
              <w:snapToGrid w:val="0"/>
              <w:spacing w:line="260" w:lineRule="exact"/>
              <w:rPr>
                <w:rFonts w:cs="宋体"/>
                <w:kern w:val="0"/>
              </w:rPr>
            </w:pPr>
            <w:r>
              <w:rPr>
                <w:rFonts w:hint="eastAsia" w:cs="宋体"/>
                <w:kern w:val="0"/>
              </w:rPr>
              <w:t>◆确认泄漏地点、泄漏量</w:t>
            </w:r>
          </w:p>
          <w:p>
            <w:pPr>
              <w:widowControl/>
              <w:adjustRightInd w:val="0"/>
              <w:snapToGrid w:val="0"/>
              <w:spacing w:line="260" w:lineRule="exact"/>
              <w:rPr>
                <w:rFonts w:cs="宋体"/>
                <w:kern w:val="0"/>
              </w:rPr>
            </w:pPr>
            <w:r>
              <w:rPr>
                <w:rFonts w:hint="eastAsia" w:cs="宋体"/>
                <w:kern w:val="0"/>
              </w:rPr>
              <w:t>◆确认火灾现场物料、火势</w:t>
            </w:r>
          </w:p>
        </w:tc>
        <w:tc>
          <w:tcPr>
            <w:tcW w:w="1224"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right"/>
              <w:rPr>
                <w:rFonts w:cs="宋体"/>
                <w:kern w:val="0"/>
              </w:rPr>
            </w:pPr>
          </w:p>
        </w:tc>
        <w:tc>
          <w:tcPr>
            <w:tcW w:w="123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right"/>
              <w:rPr>
                <w:rFonts w:cs="宋体"/>
                <w:kern w:val="0"/>
              </w:rPr>
            </w:pPr>
            <w:r>
              <w:rPr>
                <w:rFonts w:hint="eastAsia" w:cs="宋体"/>
                <w:kern w:val="0"/>
              </w:rPr>
              <w:t>报告站长（若事故发现人为站长取消本环节）</w:t>
            </w:r>
          </w:p>
        </w:tc>
        <w:tc>
          <w:tcPr>
            <w:tcW w:w="4644"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◆泄漏地点、物料、泄漏量</w:t>
            </w:r>
          </w:p>
          <w:p>
            <w:pPr>
              <w:widowControl/>
              <w:adjustRightInd w:val="0"/>
              <w:snapToGrid w:val="0"/>
              <w:spacing w:line="260" w:lineRule="exact"/>
              <w:rPr>
                <w:rFonts w:cs="宋体"/>
                <w:kern w:val="0"/>
              </w:rPr>
            </w:pPr>
            <w:r>
              <w:rPr>
                <w:rFonts w:hint="eastAsia" w:cs="宋体"/>
                <w:kern w:val="0"/>
              </w:rPr>
              <w:t>◆火灾物料、火灾发展态势及可能造成的后果</w:t>
            </w:r>
          </w:p>
          <w:p>
            <w:pPr>
              <w:widowControl/>
              <w:adjustRightInd w:val="0"/>
              <w:snapToGrid w:val="0"/>
              <w:spacing w:line="260" w:lineRule="exact"/>
              <w:rPr>
                <w:rFonts w:cs="宋体"/>
                <w:kern w:val="0"/>
              </w:rPr>
            </w:pPr>
            <w:r>
              <w:rPr>
                <w:rFonts w:hint="eastAsia" w:cs="宋体"/>
                <w:kern w:val="0"/>
              </w:rPr>
              <w:t>◆是否人员受伤</w:t>
            </w:r>
          </w:p>
          <w:p>
            <w:pPr>
              <w:widowControl/>
              <w:adjustRightInd w:val="0"/>
              <w:snapToGrid w:val="0"/>
              <w:spacing w:line="260" w:lineRule="exact"/>
              <w:rPr>
                <w:rFonts w:cs="宋体"/>
                <w:kern w:val="0"/>
              </w:rPr>
            </w:pPr>
            <w:r>
              <w:rPr>
                <w:rFonts w:hint="eastAsia" w:cs="宋体"/>
                <w:kern w:val="0"/>
              </w:rPr>
              <w:t>◆风向</w:t>
            </w:r>
          </w:p>
        </w:tc>
        <w:tc>
          <w:tcPr>
            <w:tcW w:w="1224"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0"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rPr>
                <w:rFonts w:cs="宋体"/>
                <w:kern w:val="0"/>
              </w:rPr>
            </w:pPr>
            <w:r>
              <w:rPr>
                <w:rFonts w:hint="eastAsia" w:cs="宋体"/>
                <w:kern w:val="0"/>
              </w:rPr>
              <w:t>2、应急响应</w:t>
            </w:r>
          </w:p>
        </w:tc>
        <w:tc>
          <w:tcPr>
            <w:tcW w:w="123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right"/>
              <w:rPr>
                <w:rFonts w:cs="宋体"/>
                <w:kern w:val="0"/>
              </w:rPr>
            </w:pPr>
            <w:r>
              <w:rPr>
                <w:rFonts w:hint="eastAsia" w:cs="宋体"/>
                <w:kern w:val="0"/>
              </w:rPr>
              <w:t>紧急行动</w:t>
            </w:r>
          </w:p>
        </w:tc>
        <w:tc>
          <w:tcPr>
            <w:tcW w:w="4644"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◆佩戴必要的安全防护用品</w:t>
            </w:r>
          </w:p>
          <w:p>
            <w:pPr>
              <w:widowControl/>
              <w:adjustRightInd w:val="0"/>
              <w:snapToGrid w:val="0"/>
              <w:spacing w:line="260" w:lineRule="exact"/>
              <w:rPr>
                <w:rFonts w:cs="宋体"/>
                <w:kern w:val="0"/>
              </w:rPr>
            </w:pPr>
            <w:r>
              <w:rPr>
                <w:rFonts w:hint="eastAsia" w:cs="宋体"/>
                <w:kern w:val="0"/>
              </w:rPr>
              <w:t>◆停止作业，迅速切断要害部位的电源</w:t>
            </w:r>
          </w:p>
          <w:p>
            <w:pPr>
              <w:widowControl/>
              <w:adjustRightInd w:val="0"/>
              <w:snapToGrid w:val="0"/>
              <w:spacing w:line="260" w:lineRule="exact"/>
              <w:rPr>
                <w:rFonts w:cs="宋体"/>
                <w:kern w:val="0"/>
              </w:rPr>
            </w:pPr>
            <w:r>
              <w:rPr>
                <w:rFonts w:hint="eastAsia" w:cs="宋体"/>
                <w:kern w:val="0"/>
              </w:rPr>
              <w:t>◆关闭与要害部位连通管线的阀门，切断泄漏源、堵漏</w:t>
            </w:r>
          </w:p>
          <w:p>
            <w:pPr>
              <w:widowControl/>
              <w:adjustRightInd w:val="0"/>
              <w:snapToGrid w:val="0"/>
              <w:spacing w:line="260" w:lineRule="exact"/>
              <w:rPr>
                <w:rFonts w:cs="宋体"/>
                <w:kern w:val="0"/>
              </w:rPr>
            </w:pPr>
            <w:r>
              <w:rPr>
                <w:rFonts w:hint="eastAsia" w:cs="宋体"/>
                <w:kern w:val="0"/>
              </w:rPr>
              <w:t>◆通知站长投入救援（若第一发现人是站长跳过此环节）</w:t>
            </w:r>
          </w:p>
        </w:tc>
        <w:tc>
          <w:tcPr>
            <w:tcW w:w="1224"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37" w:hRule="atLeast"/>
          <w:jc w:val="center"/>
        </w:trPr>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right"/>
              <w:rPr>
                <w:rFonts w:cs="宋体"/>
                <w:kern w:val="0"/>
              </w:rPr>
            </w:pPr>
          </w:p>
        </w:tc>
        <w:tc>
          <w:tcPr>
            <w:tcW w:w="123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rPr>
                <w:rFonts w:cs="宋体"/>
                <w:kern w:val="0"/>
              </w:rPr>
            </w:pPr>
            <w:r>
              <w:rPr>
                <w:rFonts w:hint="eastAsia" w:cs="宋体"/>
                <w:kern w:val="0"/>
              </w:rPr>
              <w:t>应急处置</w:t>
            </w:r>
          </w:p>
        </w:tc>
        <w:tc>
          <w:tcPr>
            <w:tcW w:w="4644"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◆转移事故周围物资、清除点火源</w:t>
            </w:r>
          </w:p>
          <w:p>
            <w:pPr>
              <w:widowControl/>
              <w:adjustRightInd w:val="0"/>
              <w:snapToGrid w:val="0"/>
              <w:spacing w:line="260" w:lineRule="exact"/>
              <w:rPr>
                <w:rFonts w:cs="宋体"/>
                <w:kern w:val="0"/>
              </w:rPr>
            </w:pPr>
            <w:r>
              <w:rPr>
                <w:rFonts w:hint="eastAsia" w:cs="宋体"/>
                <w:kern w:val="0"/>
              </w:rPr>
              <w:t>◆站长组织、指挥第一救援力量，使用附近的消防器材设施进行初级火灾的扑救；</w:t>
            </w:r>
          </w:p>
          <w:p>
            <w:pPr>
              <w:widowControl/>
              <w:adjustRightInd w:val="0"/>
              <w:snapToGrid w:val="0"/>
              <w:spacing w:line="260" w:lineRule="exact"/>
              <w:rPr>
                <w:rFonts w:cs="宋体"/>
                <w:kern w:val="0"/>
              </w:rPr>
            </w:pPr>
            <w:r>
              <w:rPr>
                <w:rFonts w:hint="eastAsia" w:cs="宋体"/>
                <w:kern w:val="0"/>
              </w:rPr>
              <w:t xml:space="preserve">◆用沙土、棉布、集油桶等覆盖、吸附、收容泄漏物 </w:t>
            </w:r>
          </w:p>
          <w:p>
            <w:pPr>
              <w:widowControl/>
              <w:adjustRightInd w:val="0"/>
              <w:snapToGrid w:val="0"/>
              <w:spacing w:line="260" w:lineRule="exact"/>
              <w:rPr>
                <w:rFonts w:cs="宋体"/>
                <w:kern w:val="0"/>
              </w:rPr>
            </w:pPr>
            <w:r>
              <w:rPr>
                <w:rFonts w:hint="eastAsia" w:cs="宋体"/>
                <w:kern w:val="0"/>
              </w:rPr>
              <w:t xml:space="preserve">◆初步控制现场、隔离现场，避免无关人员进入事故发生区域  </w:t>
            </w:r>
          </w:p>
          <w:p>
            <w:pPr>
              <w:widowControl/>
              <w:adjustRightInd w:val="0"/>
              <w:snapToGrid w:val="0"/>
              <w:spacing w:line="260" w:lineRule="exact"/>
              <w:rPr>
                <w:rFonts w:cs="宋体"/>
                <w:kern w:val="0"/>
              </w:rPr>
            </w:pPr>
            <w:r>
              <w:rPr>
                <w:rFonts w:hint="eastAsia" w:cs="宋体"/>
                <w:kern w:val="0"/>
              </w:rPr>
              <w:t>◆当预测事态可能扩大，危及应急人员生命安全时，应立即指挥现场人员全部撤离至疏散集合点</w:t>
            </w:r>
          </w:p>
          <w:p>
            <w:pPr>
              <w:widowControl/>
              <w:adjustRightInd w:val="0"/>
              <w:snapToGrid w:val="0"/>
              <w:spacing w:line="260" w:lineRule="exact"/>
              <w:rPr>
                <w:rFonts w:cs="宋体"/>
                <w:kern w:val="0"/>
              </w:rPr>
            </w:pPr>
            <w:r>
              <w:rPr>
                <w:rFonts w:hint="eastAsia" w:cs="宋体"/>
                <w:kern w:val="0"/>
              </w:rPr>
              <w:t>◆尽可能对事故现场进行监控，保持完整的过程记录和其他有效证据</w:t>
            </w:r>
          </w:p>
          <w:p>
            <w:pPr>
              <w:widowControl/>
              <w:adjustRightInd w:val="0"/>
              <w:snapToGrid w:val="0"/>
              <w:spacing w:line="260" w:lineRule="exact"/>
              <w:rPr>
                <w:rFonts w:cs="宋体"/>
                <w:kern w:val="0"/>
              </w:rPr>
            </w:pPr>
            <w:r>
              <w:rPr>
                <w:rFonts w:hint="eastAsia" w:cs="宋体"/>
                <w:kern w:val="0"/>
              </w:rPr>
              <w:t>◆必要时向社会救援资源申请支援</w:t>
            </w:r>
          </w:p>
          <w:p>
            <w:pPr>
              <w:widowControl/>
              <w:adjustRightInd w:val="0"/>
              <w:snapToGrid w:val="0"/>
              <w:spacing w:line="260" w:lineRule="exact"/>
              <w:rPr>
                <w:rFonts w:cs="宋体"/>
                <w:kern w:val="0"/>
              </w:rPr>
            </w:pPr>
            <w:r>
              <w:rPr>
                <w:rFonts w:hint="eastAsia" w:cs="宋体"/>
                <w:kern w:val="0"/>
              </w:rPr>
              <w:t>◆警戒疏散组疏散事故区无关人员至安全区域，在事故周围设置警戒标志，禁止无关人员、车辆进入</w:t>
            </w:r>
          </w:p>
          <w:p>
            <w:pPr>
              <w:widowControl/>
              <w:adjustRightInd w:val="0"/>
              <w:snapToGrid w:val="0"/>
              <w:spacing w:line="260" w:lineRule="exact"/>
              <w:rPr>
                <w:rFonts w:cs="宋体"/>
                <w:kern w:val="0"/>
              </w:rPr>
            </w:pPr>
            <w:r>
              <w:rPr>
                <w:rFonts w:hint="eastAsia" w:cs="宋体"/>
                <w:kern w:val="0"/>
              </w:rPr>
              <w:t>◆通讯联络做好急救资源准备，并通知周边居民做好撤离准备和联系受伤人员家属</w:t>
            </w:r>
          </w:p>
          <w:p>
            <w:pPr>
              <w:widowControl/>
              <w:adjustRightInd w:val="0"/>
              <w:snapToGrid w:val="0"/>
              <w:spacing w:line="260" w:lineRule="exact"/>
              <w:rPr>
                <w:rFonts w:cs="宋体"/>
                <w:kern w:val="0"/>
              </w:rPr>
            </w:pPr>
            <w:r>
              <w:rPr>
                <w:rFonts w:hint="eastAsia" w:cs="宋体"/>
                <w:kern w:val="0"/>
              </w:rPr>
              <w:t>◆站长联系安监、环保等政府部门</w:t>
            </w:r>
          </w:p>
        </w:tc>
        <w:tc>
          <w:tcPr>
            <w:tcW w:w="1224"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rPr>
                <w:rFonts w:cs="宋体"/>
                <w:kern w:val="0"/>
              </w:rPr>
            </w:pPr>
            <w:r>
              <w:rPr>
                <w:rFonts w:hint="eastAsia" w:cs="宋体"/>
                <w:kern w:val="0"/>
              </w:rPr>
              <w:t>3、后期处理</w:t>
            </w:r>
          </w:p>
        </w:tc>
        <w:tc>
          <w:tcPr>
            <w:tcW w:w="1230" w:type="dxa"/>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right"/>
              <w:rPr>
                <w:rFonts w:cs="宋体"/>
                <w:kern w:val="0"/>
              </w:rPr>
            </w:pPr>
          </w:p>
        </w:tc>
        <w:tc>
          <w:tcPr>
            <w:tcW w:w="4644"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◆事故原因分析</w:t>
            </w:r>
          </w:p>
          <w:p>
            <w:pPr>
              <w:widowControl/>
              <w:adjustRightInd w:val="0"/>
              <w:snapToGrid w:val="0"/>
              <w:spacing w:line="260" w:lineRule="exact"/>
              <w:rPr>
                <w:rFonts w:cs="宋体"/>
                <w:kern w:val="0"/>
              </w:rPr>
            </w:pPr>
            <w:r>
              <w:rPr>
                <w:rFonts w:hint="eastAsia" w:cs="宋体"/>
                <w:kern w:val="0"/>
              </w:rPr>
              <w:t>◆视情况决定是否恢复作业</w:t>
            </w:r>
          </w:p>
          <w:p>
            <w:pPr>
              <w:widowControl/>
              <w:adjustRightInd w:val="0"/>
              <w:snapToGrid w:val="0"/>
              <w:spacing w:line="260" w:lineRule="exact"/>
              <w:rPr>
                <w:rFonts w:cs="宋体"/>
                <w:kern w:val="0"/>
              </w:rPr>
            </w:pPr>
            <w:r>
              <w:rPr>
                <w:rFonts w:hint="eastAsia" w:cs="宋体"/>
                <w:kern w:val="0"/>
              </w:rPr>
              <w:t>◆收集的泄漏物、吸附材料交有资质单位处置</w:t>
            </w:r>
          </w:p>
          <w:p>
            <w:pPr>
              <w:widowControl/>
              <w:adjustRightInd w:val="0"/>
              <w:snapToGrid w:val="0"/>
              <w:spacing w:line="260" w:lineRule="exact"/>
              <w:rPr>
                <w:rFonts w:cs="宋体"/>
                <w:kern w:val="0"/>
              </w:rPr>
            </w:pPr>
            <w:r>
              <w:rPr>
                <w:rFonts w:hint="eastAsia" w:cs="宋体"/>
                <w:kern w:val="0"/>
              </w:rPr>
              <w:t>◆开会总结</w:t>
            </w:r>
          </w:p>
          <w:p>
            <w:pPr>
              <w:widowControl/>
              <w:adjustRightInd w:val="0"/>
              <w:snapToGrid w:val="0"/>
              <w:spacing w:line="260" w:lineRule="exact"/>
              <w:rPr>
                <w:rFonts w:cs="宋体"/>
                <w:kern w:val="0"/>
              </w:rPr>
            </w:pPr>
            <w:r>
              <w:rPr>
                <w:rFonts w:hint="eastAsia" w:cs="宋体"/>
                <w:kern w:val="0"/>
              </w:rPr>
              <w:t>◆填写事故报告</w:t>
            </w:r>
          </w:p>
          <w:p>
            <w:pPr>
              <w:widowControl/>
              <w:adjustRightInd w:val="0"/>
              <w:snapToGrid w:val="0"/>
              <w:spacing w:line="260" w:lineRule="exact"/>
              <w:rPr>
                <w:rFonts w:cs="宋体"/>
                <w:kern w:val="0"/>
              </w:rPr>
            </w:pPr>
            <w:r>
              <w:rPr>
                <w:rFonts w:hint="eastAsia" w:cs="宋体"/>
                <w:kern w:val="0"/>
              </w:rPr>
              <w:t>◆站长对外发布信息</w:t>
            </w:r>
          </w:p>
        </w:tc>
        <w:tc>
          <w:tcPr>
            <w:tcW w:w="1224"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站长、加油员</w:t>
            </w:r>
          </w:p>
        </w:tc>
      </w:tr>
    </w:tbl>
    <w:p>
      <w:pPr>
        <w:widowControl/>
        <w:adjustRightInd w:val="0"/>
        <w:snapToGrid w:val="0"/>
        <w:spacing w:line="360" w:lineRule="auto"/>
        <w:rPr>
          <w:rFonts w:cs="宋体"/>
          <w:kern w:val="0"/>
          <w:sz w:val="24"/>
          <w:szCs w:val="24"/>
        </w:rPr>
      </w:pPr>
    </w:p>
    <w:p>
      <w:pPr>
        <w:widowControl/>
        <w:adjustRightInd w:val="0"/>
        <w:snapToGrid w:val="0"/>
        <w:spacing w:line="360" w:lineRule="auto"/>
        <w:rPr>
          <w:rFonts w:cs="宋体"/>
          <w:b/>
          <w:bCs/>
          <w:kern w:val="0"/>
          <w:sz w:val="24"/>
          <w:szCs w:val="24"/>
        </w:rPr>
      </w:pPr>
      <w:r>
        <w:rPr>
          <w:rFonts w:hint="eastAsia" w:cs="宋体"/>
          <w:b/>
          <w:bCs/>
          <w:kern w:val="0"/>
          <w:sz w:val="24"/>
          <w:szCs w:val="24"/>
        </w:rPr>
        <w:t>大规模火灾，超出加油站控制范围</w:t>
      </w:r>
    </w:p>
    <w:tbl>
      <w:tblPr>
        <w:tblStyle w:val="35"/>
        <w:tblW w:w="8180" w:type="dxa"/>
        <w:jc w:val="center"/>
        <w:tblInd w:w="1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180"/>
        <w:gridCol w:w="4738"/>
        <w:gridCol w:w="1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50"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事故类别</w:t>
            </w:r>
          </w:p>
        </w:tc>
        <w:tc>
          <w:tcPr>
            <w:tcW w:w="4738" w:type="dxa"/>
            <w:vMerge w:val="restart"/>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应急措施</w:t>
            </w:r>
          </w:p>
        </w:tc>
        <w:tc>
          <w:tcPr>
            <w:tcW w:w="1392" w:type="dxa"/>
            <w:vMerge w:val="restart"/>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50" w:type="dxa"/>
            <w:gridSpan w:val="2"/>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jc w:val="center"/>
              <w:rPr>
                <w:rFonts w:cs="宋体"/>
                <w:b/>
                <w:bCs/>
                <w:kern w:val="0"/>
              </w:rPr>
            </w:pPr>
            <w:r>
              <w:rPr>
                <w:rFonts w:hint="eastAsia" w:cs="宋体"/>
                <w:b/>
                <w:bCs/>
                <w:kern w:val="0"/>
              </w:rPr>
              <w:t>大规模火灾（I</w:t>
            </w:r>
            <w:r>
              <w:rPr>
                <w:rFonts w:hint="eastAsia" w:cs="宋体"/>
                <w:b/>
                <w:bCs/>
              </w:rPr>
              <w:t>级）</w:t>
            </w:r>
          </w:p>
        </w:tc>
        <w:tc>
          <w:tcPr>
            <w:tcW w:w="4738"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c>
          <w:tcPr>
            <w:tcW w:w="1392"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50" w:type="dxa"/>
            <w:gridSpan w:val="2"/>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jc w:val="center"/>
              <w:rPr>
                <w:rFonts w:cs="宋体"/>
                <w:b/>
                <w:bCs/>
                <w:kern w:val="0"/>
              </w:rPr>
            </w:pPr>
            <w:r>
              <w:rPr>
                <w:rFonts w:hint="eastAsia" w:cs="宋体"/>
                <w:b/>
                <w:bCs/>
                <w:kern w:val="0"/>
              </w:rPr>
              <w:t>事故处理过程</w:t>
            </w:r>
          </w:p>
        </w:tc>
        <w:tc>
          <w:tcPr>
            <w:tcW w:w="473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cs="宋体"/>
                <w:kern w:val="0"/>
              </w:rPr>
            </w:pPr>
          </w:p>
        </w:tc>
        <w:tc>
          <w:tcPr>
            <w:tcW w:w="1392"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0" w:type="dxa"/>
            <w:vMerge w:val="restart"/>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1、事故发现处理程序</w:t>
            </w:r>
          </w:p>
        </w:tc>
        <w:tc>
          <w:tcPr>
            <w:tcW w:w="118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事故发现</w:t>
            </w:r>
          </w:p>
        </w:tc>
        <w:tc>
          <w:tcPr>
            <w:tcW w:w="4738"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◆加油员发现</w:t>
            </w:r>
          </w:p>
          <w:p>
            <w:pPr>
              <w:widowControl/>
              <w:adjustRightInd w:val="0"/>
              <w:snapToGrid w:val="0"/>
              <w:spacing w:line="260" w:lineRule="exact"/>
              <w:rPr>
                <w:rFonts w:cs="宋体"/>
                <w:kern w:val="0"/>
              </w:rPr>
            </w:pPr>
            <w:r>
              <w:rPr>
                <w:rFonts w:hint="eastAsia" w:cs="宋体"/>
                <w:kern w:val="0"/>
              </w:rPr>
              <w:t>◆计量仪器报警</w:t>
            </w:r>
          </w:p>
          <w:p>
            <w:pPr>
              <w:widowControl/>
              <w:adjustRightInd w:val="0"/>
              <w:snapToGrid w:val="0"/>
              <w:spacing w:line="260" w:lineRule="exact"/>
              <w:rPr>
                <w:rFonts w:cs="宋体"/>
                <w:kern w:val="0"/>
              </w:rPr>
            </w:pPr>
            <w:r>
              <w:rPr>
                <w:rFonts w:hint="eastAsia" w:cs="宋体"/>
                <w:kern w:val="0"/>
              </w:rPr>
              <w:t>◆巡检人员（站长）发现</w:t>
            </w:r>
          </w:p>
        </w:tc>
        <w:tc>
          <w:tcPr>
            <w:tcW w:w="1392"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cs="宋体"/>
                <w:kern w:val="0"/>
              </w:rPr>
            </w:pPr>
          </w:p>
        </w:tc>
        <w:tc>
          <w:tcPr>
            <w:tcW w:w="118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现场确认</w:t>
            </w:r>
          </w:p>
        </w:tc>
        <w:tc>
          <w:tcPr>
            <w:tcW w:w="4738"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◆佩戴适合的防护用品</w:t>
            </w:r>
          </w:p>
          <w:p>
            <w:pPr>
              <w:widowControl/>
              <w:adjustRightInd w:val="0"/>
              <w:snapToGrid w:val="0"/>
              <w:spacing w:line="260" w:lineRule="exact"/>
              <w:rPr>
                <w:rFonts w:cs="宋体"/>
                <w:kern w:val="0"/>
              </w:rPr>
            </w:pPr>
            <w:r>
              <w:rPr>
                <w:rFonts w:hint="eastAsia" w:cs="宋体"/>
                <w:kern w:val="0"/>
              </w:rPr>
              <w:t>◆确认泄漏地点、泄漏量</w:t>
            </w:r>
          </w:p>
          <w:p>
            <w:pPr>
              <w:widowControl/>
              <w:adjustRightInd w:val="0"/>
              <w:snapToGrid w:val="0"/>
              <w:spacing w:line="260" w:lineRule="exact"/>
              <w:rPr>
                <w:rFonts w:cs="宋体"/>
                <w:kern w:val="0"/>
              </w:rPr>
            </w:pPr>
            <w:r>
              <w:rPr>
                <w:rFonts w:hint="eastAsia" w:cs="宋体"/>
                <w:kern w:val="0"/>
              </w:rPr>
              <w:t>◆确认火灾现场物料、火势</w:t>
            </w:r>
          </w:p>
        </w:tc>
        <w:tc>
          <w:tcPr>
            <w:tcW w:w="1392"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cs="宋体"/>
                <w:kern w:val="0"/>
              </w:rPr>
            </w:pPr>
          </w:p>
        </w:tc>
        <w:tc>
          <w:tcPr>
            <w:tcW w:w="118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报告站长（若事故发现人为站长取消本环节）</w:t>
            </w:r>
          </w:p>
        </w:tc>
        <w:tc>
          <w:tcPr>
            <w:tcW w:w="4738"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◆泄漏地点、物料、泄漏量</w:t>
            </w:r>
          </w:p>
          <w:p>
            <w:pPr>
              <w:widowControl/>
              <w:adjustRightInd w:val="0"/>
              <w:snapToGrid w:val="0"/>
              <w:spacing w:line="260" w:lineRule="exact"/>
              <w:rPr>
                <w:rFonts w:cs="宋体"/>
                <w:kern w:val="0"/>
              </w:rPr>
            </w:pPr>
            <w:r>
              <w:rPr>
                <w:rFonts w:hint="eastAsia" w:cs="宋体"/>
                <w:kern w:val="0"/>
              </w:rPr>
              <w:t>◆火灾物料、火灾发展态势及可能造成的后果</w:t>
            </w:r>
          </w:p>
          <w:p>
            <w:pPr>
              <w:widowControl/>
              <w:adjustRightInd w:val="0"/>
              <w:snapToGrid w:val="0"/>
              <w:spacing w:line="260" w:lineRule="exact"/>
              <w:rPr>
                <w:rFonts w:cs="宋体"/>
                <w:kern w:val="0"/>
              </w:rPr>
            </w:pPr>
            <w:r>
              <w:rPr>
                <w:rFonts w:hint="eastAsia" w:cs="宋体"/>
                <w:kern w:val="0"/>
              </w:rPr>
              <w:t>◆是否人员受伤</w:t>
            </w:r>
          </w:p>
          <w:p>
            <w:pPr>
              <w:widowControl/>
              <w:adjustRightInd w:val="0"/>
              <w:snapToGrid w:val="0"/>
              <w:spacing w:line="260" w:lineRule="exact"/>
              <w:rPr>
                <w:rFonts w:cs="宋体"/>
                <w:kern w:val="0"/>
              </w:rPr>
            </w:pPr>
            <w:r>
              <w:rPr>
                <w:rFonts w:hint="eastAsia" w:cs="宋体"/>
                <w:kern w:val="0"/>
              </w:rPr>
              <w:t>◆风向</w:t>
            </w:r>
          </w:p>
          <w:p>
            <w:pPr>
              <w:widowControl/>
              <w:adjustRightInd w:val="0"/>
              <w:snapToGrid w:val="0"/>
              <w:spacing w:line="260" w:lineRule="exact"/>
              <w:rPr>
                <w:rFonts w:cs="宋体"/>
                <w:kern w:val="0"/>
              </w:rPr>
            </w:pPr>
            <w:r>
              <w:rPr>
                <w:rFonts w:hint="eastAsia" w:cs="宋体"/>
                <w:kern w:val="0"/>
              </w:rPr>
              <w:t>◆若预测情况加油站自身无法控制，直接拨打119或当地政府请求支援</w:t>
            </w:r>
          </w:p>
        </w:tc>
        <w:tc>
          <w:tcPr>
            <w:tcW w:w="1392"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0" w:type="dxa"/>
            <w:vMerge w:val="restart"/>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2、应急响应</w:t>
            </w:r>
          </w:p>
        </w:tc>
        <w:tc>
          <w:tcPr>
            <w:tcW w:w="118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紧急行动</w:t>
            </w:r>
          </w:p>
        </w:tc>
        <w:tc>
          <w:tcPr>
            <w:tcW w:w="4738"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◆立即报告有关上级部门请求支援，在有能力且不危及自身安全的情况下可采取下列措施：</w:t>
            </w:r>
          </w:p>
          <w:p>
            <w:pPr>
              <w:widowControl/>
              <w:adjustRightInd w:val="0"/>
              <w:snapToGrid w:val="0"/>
              <w:spacing w:line="260" w:lineRule="exact"/>
              <w:rPr>
                <w:rFonts w:cs="宋体"/>
                <w:kern w:val="0"/>
              </w:rPr>
            </w:pPr>
            <w:r>
              <w:rPr>
                <w:rFonts w:hint="eastAsia" w:cs="宋体"/>
                <w:kern w:val="0"/>
              </w:rPr>
              <w:t>◆佩戴必要的安全防护用品</w:t>
            </w:r>
          </w:p>
          <w:p>
            <w:pPr>
              <w:widowControl/>
              <w:adjustRightInd w:val="0"/>
              <w:snapToGrid w:val="0"/>
              <w:spacing w:line="260" w:lineRule="exact"/>
              <w:rPr>
                <w:rFonts w:cs="宋体"/>
                <w:kern w:val="0"/>
              </w:rPr>
            </w:pPr>
            <w:r>
              <w:rPr>
                <w:rFonts w:hint="eastAsia" w:cs="宋体"/>
                <w:kern w:val="0"/>
              </w:rPr>
              <w:t>◆停止作业，迅速切断要害部位的电源</w:t>
            </w:r>
          </w:p>
          <w:p>
            <w:pPr>
              <w:widowControl/>
              <w:adjustRightInd w:val="0"/>
              <w:snapToGrid w:val="0"/>
              <w:spacing w:line="260" w:lineRule="exact"/>
              <w:rPr>
                <w:rFonts w:cs="宋体"/>
                <w:kern w:val="0"/>
              </w:rPr>
            </w:pPr>
            <w:r>
              <w:rPr>
                <w:rFonts w:hint="eastAsia" w:cs="宋体"/>
                <w:kern w:val="0"/>
              </w:rPr>
              <w:t>◆关闭与要害部位连通管线的阀门，切断泄漏源、堵漏</w:t>
            </w:r>
          </w:p>
          <w:p>
            <w:pPr>
              <w:widowControl/>
              <w:adjustRightInd w:val="0"/>
              <w:snapToGrid w:val="0"/>
              <w:spacing w:line="260" w:lineRule="exact"/>
              <w:rPr>
                <w:rFonts w:cs="宋体"/>
                <w:kern w:val="0"/>
              </w:rPr>
            </w:pPr>
            <w:r>
              <w:rPr>
                <w:rFonts w:hint="eastAsia" w:cs="宋体"/>
                <w:kern w:val="0"/>
              </w:rPr>
              <w:t>◆控制和隔离现场，切断现场电源</w:t>
            </w:r>
          </w:p>
        </w:tc>
        <w:tc>
          <w:tcPr>
            <w:tcW w:w="1392"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cs="宋体"/>
                <w:kern w:val="0"/>
              </w:rPr>
            </w:pPr>
          </w:p>
        </w:tc>
        <w:tc>
          <w:tcPr>
            <w:tcW w:w="118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应急处置</w:t>
            </w:r>
          </w:p>
        </w:tc>
        <w:tc>
          <w:tcPr>
            <w:tcW w:w="4738"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◆立即撤离并疏散周边群众，报告有关上级部门请求支援，在有能力且不危及自身安全的情况下可采取下列措施：</w:t>
            </w:r>
          </w:p>
          <w:p>
            <w:pPr>
              <w:widowControl/>
              <w:adjustRightInd w:val="0"/>
              <w:snapToGrid w:val="0"/>
              <w:spacing w:line="260" w:lineRule="exact"/>
              <w:rPr>
                <w:rFonts w:cs="宋体"/>
                <w:kern w:val="0"/>
              </w:rPr>
            </w:pPr>
            <w:r>
              <w:rPr>
                <w:rFonts w:hint="eastAsia" w:cs="宋体"/>
                <w:kern w:val="0"/>
              </w:rPr>
              <w:t>◆转移事故周围物资、清除点火源</w:t>
            </w:r>
          </w:p>
          <w:p>
            <w:pPr>
              <w:widowControl/>
              <w:adjustRightInd w:val="0"/>
              <w:snapToGrid w:val="0"/>
              <w:spacing w:line="260" w:lineRule="exact"/>
              <w:rPr>
                <w:rFonts w:cs="宋体"/>
                <w:kern w:val="0"/>
              </w:rPr>
            </w:pPr>
            <w:r>
              <w:rPr>
                <w:rFonts w:hint="eastAsia" w:cs="宋体"/>
                <w:kern w:val="0"/>
              </w:rPr>
              <w:t>◆站长组织、指挥救援，使用附近的消防器材设施进行初级火灾的扑救；</w:t>
            </w:r>
          </w:p>
          <w:p>
            <w:pPr>
              <w:widowControl/>
              <w:adjustRightInd w:val="0"/>
              <w:snapToGrid w:val="0"/>
              <w:spacing w:line="260" w:lineRule="exact"/>
              <w:rPr>
                <w:rFonts w:cs="宋体"/>
                <w:kern w:val="0"/>
              </w:rPr>
            </w:pPr>
            <w:r>
              <w:rPr>
                <w:rFonts w:hint="eastAsia" w:cs="宋体"/>
                <w:kern w:val="0"/>
              </w:rPr>
              <w:t xml:space="preserve">◆用沙土、棉布、集油桶等覆盖、吸附、收容泄漏物 </w:t>
            </w:r>
          </w:p>
          <w:p>
            <w:pPr>
              <w:widowControl/>
              <w:adjustRightInd w:val="0"/>
              <w:snapToGrid w:val="0"/>
              <w:spacing w:line="260" w:lineRule="exact"/>
              <w:rPr>
                <w:rFonts w:cs="宋体"/>
                <w:kern w:val="0"/>
              </w:rPr>
            </w:pPr>
            <w:r>
              <w:rPr>
                <w:rFonts w:hint="eastAsia" w:cs="宋体"/>
                <w:kern w:val="0"/>
              </w:rPr>
              <w:t xml:space="preserve">◆初步控制现场、隔离现场，避免无关人员进入事故发生区域  </w:t>
            </w:r>
          </w:p>
          <w:p>
            <w:pPr>
              <w:widowControl/>
              <w:adjustRightInd w:val="0"/>
              <w:snapToGrid w:val="0"/>
              <w:spacing w:line="260" w:lineRule="exact"/>
              <w:rPr>
                <w:rFonts w:cs="宋体"/>
                <w:kern w:val="0"/>
              </w:rPr>
            </w:pPr>
            <w:r>
              <w:rPr>
                <w:rFonts w:hint="eastAsia" w:cs="宋体"/>
                <w:kern w:val="0"/>
              </w:rPr>
              <w:t>◆指挥现场人员全部撤离至疏散集合点</w:t>
            </w:r>
          </w:p>
          <w:p>
            <w:pPr>
              <w:widowControl/>
              <w:adjustRightInd w:val="0"/>
              <w:snapToGrid w:val="0"/>
              <w:spacing w:line="260" w:lineRule="exact"/>
              <w:rPr>
                <w:rFonts w:cs="宋体"/>
                <w:kern w:val="0"/>
              </w:rPr>
            </w:pPr>
            <w:r>
              <w:rPr>
                <w:rFonts w:hint="eastAsia" w:cs="宋体"/>
                <w:kern w:val="0"/>
              </w:rPr>
              <w:t>◆尽可能对事故现场进行监控，保持完整的过程记录和其他有效证据</w:t>
            </w:r>
          </w:p>
          <w:p>
            <w:pPr>
              <w:widowControl/>
              <w:adjustRightInd w:val="0"/>
              <w:snapToGrid w:val="0"/>
              <w:spacing w:line="260" w:lineRule="exact"/>
              <w:rPr>
                <w:rFonts w:cs="宋体"/>
                <w:kern w:val="0"/>
              </w:rPr>
            </w:pPr>
            <w:r>
              <w:rPr>
                <w:rFonts w:hint="eastAsia" w:cs="宋体"/>
                <w:kern w:val="0"/>
              </w:rPr>
              <w:t>◆警戒疏散事故区无关人员至安全区域，在事故周围设置警戒标志，禁止无关人员、车辆进入</w:t>
            </w:r>
          </w:p>
          <w:p>
            <w:pPr>
              <w:widowControl/>
              <w:adjustRightInd w:val="0"/>
              <w:snapToGrid w:val="0"/>
              <w:spacing w:line="260" w:lineRule="exact"/>
              <w:rPr>
                <w:rFonts w:cs="宋体"/>
                <w:kern w:val="0"/>
              </w:rPr>
            </w:pPr>
            <w:r>
              <w:rPr>
                <w:rFonts w:hint="eastAsia" w:cs="宋体"/>
                <w:kern w:val="0"/>
              </w:rPr>
              <w:t>◆联系受伤人员家属</w:t>
            </w:r>
          </w:p>
          <w:p>
            <w:pPr>
              <w:widowControl/>
              <w:adjustRightInd w:val="0"/>
              <w:snapToGrid w:val="0"/>
              <w:spacing w:line="260" w:lineRule="exact"/>
              <w:rPr>
                <w:rFonts w:cs="宋体"/>
                <w:kern w:val="0"/>
              </w:rPr>
            </w:pPr>
            <w:r>
              <w:rPr>
                <w:rFonts w:hint="eastAsia" w:cs="宋体"/>
                <w:kern w:val="0"/>
              </w:rPr>
              <w:t>◆外部支援力量到达后，做好配合工作</w:t>
            </w:r>
          </w:p>
        </w:tc>
        <w:tc>
          <w:tcPr>
            <w:tcW w:w="1392"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3、事后处理</w:t>
            </w:r>
          </w:p>
        </w:tc>
        <w:tc>
          <w:tcPr>
            <w:tcW w:w="1180"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p>
        </w:tc>
        <w:tc>
          <w:tcPr>
            <w:tcW w:w="4738"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◆按照相关政府部门要求，做好事后工作</w:t>
            </w:r>
          </w:p>
          <w:p>
            <w:pPr>
              <w:widowControl/>
              <w:adjustRightInd w:val="0"/>
              <w:snapToGrid w:val="0"/>
              <w:spacing w:line="260" w:lineRule="exact"/>
              <w:rPr>
                <w:rFonts w:cs="宋体"/>
                <w:kern w:val="0"/>
              </w:rPr>
            </w:pPr>
            <w:r>
              <w:rPr>
                <w:rFonts w:hint="eastAsia" w:cs="宋体"/>
                <w:kern w:val="0"/>
              </w:rPr>
              <w:t>◆事故原因分析</w:t>
            </w:r>
          </w:p>
          <w:p>
            <w:pPr>
              <w:widowControl/>
              <w:adjustRightInd w:val="0"/>
              <w:snapToGrid w:val="0"/>
              <w:spacing w:line="260" w:lineRule="exact"/>
              <w:rPr>
                <w:rFonts w:cs="宋体"/>
                <w:kern w:val="0"/>
              </w:rPr>
            </w:pPr>
            <w:r>
              <w:rPr>
                <w:rFonts w:hint="eastAsia" w:cs="宋体"/>
                <w:kern w:val="0"/>
              </w:rPr>
              <w:t>◆恢复作业前评估，视情况决定是否恢复作业</w:t>
            </w:r>
          </w:p>
          <w:p>
            <w:pPr>
              <w:widowControl/>
              <w:adjustRightInd w:val="0"/>
              <w:snapToGrid w:val="0"/>
              <w:spacing w:line="260" w:lineRule="exact"/>
              <w:rPr>
                <w:rFonts w:cs="宋体"/>
                <w:kern w:val="0"/>
              </w:rPr>
            </w:pPr>
            <w:r>
              <w:rPr>
                <w:rFonts w:hint="eastAsia" w:cs="宋体"/>
                <w:kern w:val="0"/>
              </w:rPr>
              <w:t>◆收集的泄漏物、吸附材料交有资质单位处置</w:t>
            </w:r>
          </w:p>
          <w:p>
            <w:pPr>
              <w:widowControl/>
              <w:adjustRightInd w:val="0"/>
              <w:snapToGrid w:val="0"/>
              <w:spacing w:line="260" w:lineRule="exact"/>
              <w:rPr>
                <w:rFonts w:cs="宋体"/>
                <w:kern w:val="0"/>
              </w:rPr>
            </w:pPr>
            <w:r>
              <w:rPr>
                <w:rFonts w:hint="eastAsia" w:cs="宋体"/>
                <w:kern w:val="0"/>
              </w:rPr>
              <w:t>◆开会总结</w:t>
            </w:r>
          </w:p>
          <w:p>
            <w:pPr>
              <w:widowControl/>
              <w:adjustRightInd w:val="0"/>
              <w:snapToGrid w:val="0"/>
              <w:spacing w:line="260" w:lineRule="exact"/>
              <w:rPr>
                <w:rFonts w:cs="宋体"/>
                <w:kern w:val="0"/>
              </w:rPr>
            </w:pPr>
            <w:r>
              <w:rPr>
                <w:rFonts w:hint="eastAsia" w:cs="宋体"/>
                <w:kern w:val="0"/>
              </w:rPr>
              <w:t>◆填写事故报告</w:t>
            </w:r>
          </w:p>
          <w:p>
            <w:pPr>
              <w:widowControl/>
              <w:adjustRightInd w:val="0"/>
              <w:snapToGrid w:val="0"/>
              <w:spacing w:line="260" w:lineRule="exact"/>
              <w:rPr>
                <w:rFonts w:cs="宋体"/>
                <w:kern w:val="0"/>
              </w:rPr>
            </w:pPr>
            <w:r>
              <w:rPr>
                <w:rFonts w:hint="eastAsia" w:cs="宋体"/>
                <w:kern w:val="0"/>
              </w:rPr>
              <w:t>◆站长对外发布信息</w:t>
            </w:r>
          </w:p>
        </w:tc>
        <w:tc>
          <w:tcPr>
            <w:tcW w:w="1392"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站长、加油员</w:t>
            </w:r>
          </w:p>
        </w:tc>
      </w:tr>
    </w:tbl>
    <w:p>
      <w:pPr>
        <w:ind w:firstLine="560" w:firstLineChars="200"/>
        <w:rPr>
          <w:rFonts w:ascii="宋体" w:hAnsi="宋体" w:cs="宋体"/>
          <w:sz w:val="28"/>
          <w:szCs w:val="28"/>
        </w:rPr>
      </w:pPr>
      <w:r>
        <w:rPr>
          <w:rFonts w:hint="eastAsia" w:ascii="宋体" w:hAnsi="宋体" w:cs="宋体"/>
          <w:sz w:val="28"/>
          <w:szCs w:val="28"/>
        </w:rPr>
        <w:t>注：危险化学品爆炸燃烧事故现场处置措施（在本站的能力范围内且不危及自身安全的前提下采取现场处置措施）</w:t>
      </w:r>
    </w:p>
    <w:p>
      <w:pPr>
        <w:ind w:firstLine="560" w:firstLineChars="200"/>
        <w:rPr>
          <w:rFonts w:ascii="宋体" w:hAnsi="宋体" w:cs="宋体"/>
          <w:sz w:val="28"/>
          <w:szCs w:val="28"/>
        </w:rPr>
      </w:pPr>
      <w:r>
        <w:rPr>
          <w:rFonts w:hint="eastAsia" w:ascii="宋体" w:hAnsi="宋体" w:cs="宋体"/>
          <w:sz w:val="28"/>
          <w:szCs w:val="28"/>
        </w:rPr>
        <w:t>A.防护</w:t>
      </w:r>
    </w:p>
    <w:p>
      <w:pPr>
        <w:ind w:firstLine="560" w:firstLineChars="200"/>
        <w:rPr>
          <w:rFonts w:ascii="宋体" w:hAnsi="宋体" w:cs="宋体"/>
          <w:sz w:val="28"/>
          <w:szCs w:val="28"/>
        </w:rPr>
      </w:pPr>
      <w:r>
        <w:rPr>
          <w:rFonts w:hint="eastAsia" w:ascii="宋体" w:hAnsi="宋体" w:cs="宋体"/>
          <w:sz w:val="28"/>
          <w:szCs w:val="28"/>
        </w:rPr>
        <w:t xml:space="preserve">(1)根据爆炸燃烧液体的毒性及划定的危险区域，确定相应的防护等级； </w:t>
      </w:r>
    </w:p>
    <w:p>
      <w:pPr>
        <w:ind w:firstLine="560" w:firstLineChars="200"/>
        <w:rPr>
          <w:rFonts w:ascii="宋体" w:hAnsi="宋体" w:cs="宋体"/>
          <w:sz w:val="28"/>
          <w:szCs w:val="28"/>
        </w:rPr>
      </w:pPr>
      <w:r>
        <w:rPr>
          <w:rFonts w:hint="eastAsia" w:ascii="宋体" w:hAnsi="宋体" w:cs="宋体"/>
          <w:sz w:val="28"/>
          <w:szCs w:val="28"/>
        </w:rPr>
        <w:t xml:space="preserve">(2)防护标准 </w:t>
      </w:r>
    </w:p>
    <w:tbl>
      <w:tblPr>
        <w:tblStyle w:val="35"/>
        <w:tblW w:w="8257" w:type="dxa"/>
        <w:jc w:val="center"/>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825"/>
        <w:gridCol w:w="1921"/>
        <w:gridCol w:w="2076"/>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0"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b/>
                <w:bCs/>
                <w:kern w:val="0"/>
              </w:rPr>
            </w:pPr>
            <w:r>
              <w:rPr>
                <w:rFonts w:hint="eastAsia" w:cs="宋体"/>
                <w:b/>
                <w:bCs/>
                <w:kern w:val="0"/>
              </w:rPr>
              <w:t>级别</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cs="宋体"/>
                <w:b/>
                <w:bCs/>
                <w:kern w:val="0"/>
              </w:rPr>
            </w:pPr>
            <w:r>
              <w:rPr>
                <w:rFonts w:hint="eastAsia" w:cs="宋体"/>
                <w:b/>
                <w:bCs/>
                <w:kern w:val="0"/>
              </w:rPr>
              <w:t>形式</w:t>
            </w:r>
          </w:p>
        </w:tc>
        <w:tc>
          <w:tcPr>
            <w:tcW w:w="1921" w:type="dxa"/>
            <w:tcBorders>
              <w:top w:val="single" w:color="auto" w:sz="4" w:space="0"/>
              <w:left w:val="nil"/>
              <w:bottom w:val="single" w:color="auto" w:sz="4" w:space="0"/>
              <w:right w:val="single" w:color="auto" w:sz="4" w:space="0"/>
            </w:tcBorders>
            <w:vAlign w:val="center"/>
          </w:tcPr>
          <w:p>
            <w:pPr>
              <w:widowControl/>
              <w:jc w:val="center"/>
              <w:rPr>
                <w:rFonts w:cs="宋体"/>
                <w:b/>
                <w:bCs/>
                <w:kern w:val="0"/>
              </w:rPr>
            </w:pPr>
            <w:r>
              <w:rPr>
                <w:rFonts w:hint="eastAsia" w:cs="宋体"/>
                <w:b/>
                <w:bCs/>
                <w:kern w:val="0"/>
              </w:rPr>
              <w:t>防化服</w:t>
            </w:r>
          </w:p>
        </w:tc>
        <w:tc>
          <w:tcPr>
            <w:tcW w:w="2076" w:type="dxa"/>
            <w:tcBorders>
              <w:top w:val="single" w:color="auto" w:sz="4" w:space="0"/>
              <w:left w:val="nil"/>
              <w:bottom w:val="single" w:color="auto" w:sz="4" w:space="0"/>
              <w:right w:val="single" w:color="auto" w:sz="4" w:space="0"/>
            </w:tcBorders>
            <w:vAlign w:val="center"/>
          </w:tcPr>
          <w:p>
            <w:pPr>
              <w:widowControl/>
              <w:jc w:val="center"/>
              <w:rPr>
                <w:rFonts w:cs="宋体"/>
                <w:b/>
                <w:bCs/>
                <w:kern w:val="0"/>
              </w:rPr>
            </w:pPr>
            <w:r>
              <w:rPr>
                <w:rFonts w:hint="eastAsia" w:cs="宋体"/>
                <w:b/>
                <w:bCs/>
                <w:kern w:val="0"/>
              </w:rPr>
              <w:t>防护服</w:t>
            </w:r>
          </w:p>
        </w:tc>
        <w:tc>
          <w:tcPr>
            <w:tcW w:w="2625" w:type="dxa"/>
            <w:tcBorders>
              <w:top w:val="single" w:color="auto" w:sz="4" w:space="0"/>
              <w:left w:val="nil"/>
              <w:bottom w:val="single" w:color="auto" w:sz="4" w:space="0"/>
              <w:right w:val="single" w:color="auto" w:sz="4" w:space="0"/>
            </w:tcBorders>
            <w:vAlign w:val="center"/>
          </w:tcPr>
          <w:p>
            <w:pPr>
              <w:widowControl/>
              <w:jc w:val="center"/>
              <w:rPr>
                <w:rFonts w:cs="宋体"/>
                <w:b/>
                <w:bCs/>
                <w:kern w:val="0"/>
              </w:rPr>
            </w:pPr>
            <w:r>
              <w:rPr>
                <w:rFonts w:hint="eastAsia" w:cs="宋体"/>
                <w:b/>
                <w:bCs/>
                <w:kern w:val="0"/>
              </w:rPr>
              <w:t>防护面具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0"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rPr>
            </w:pPr>
            <w:r>
              <w:rPr>
                <w:rFonts w:hint="eastAsia" w:cs="宋体"/>
                <w:kern w:val="0"/>
              </w:rPr>
              <w:t>一级</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cs="宋体"/>
                <w:kern w:val="0"/>
              </w:rPr>
            </w:pPr>
            <w:r>
              <w:rPr>
                <w:rFonts w:hint="eastAsia" w:cs="宋体"/>
                <w:kern w:val="0"/>
              </w:rPr>
              <w:t>全身</w:t>
            </w:r>
          </w:p>
        </w:tc>
        <w:tc>
          <w:tcPr>
            <w:tcW w:w="1921" w:type="dxa"/>
            <w:tcBorders>
              <w:top w:val="single" w:color="auto" w:sz="4" w:space="0"/>
              <w:left w:val="nil"/>
              <w:bottom w:val="single" w:color="auto" w:sz="4" w:space="0"/>
              <w:right w:val="single" w:color="auto" w:sz="4" w:space="0"/>
            </w:tcBorders>
            <w:vAlign w:val="center"/>
          </w:tcPr>
          <w:p>
            <w:pPr>
              <w:widowControl/>
              <w:jc w:val="center"/>
              <w:rPr>
                <w:rFonts w:cs="宋体"/>
                <w:kern w:val="0"/>
              </w:rPr>
            </w:pPr>
            <w:r>
              <w:rPr>
                <w:rFonts w:hint="eastAsia" w:cs="宋体"/>
                <w:kern w:val="0"/>
              </w:rPr>
              <w:t>内置式重型防火服</w:t>
            </w:r>
          </w:p>
        </w:tc>
        <w:tc>
          <w:tcPr>
            <w:tcW w:w="2076" w:type="dxa"/>
            <w:tcBorders>
              <w:top w:val="single" w:color="auto" w:sz="4" w:space="0"/>
              <w:left w:val="nil"/>
              <w:bottom w:val="single" w:color="auto" w:sz="4" w:space="0"/>
              <w:right w:val="single" w:color="auto" w:sz="4" w:space="0"/>
            </w:tcBorders>
            <w:vAlign w:val="center"/>
          </w:tcPr>
          <w:p>
            <w:pPr>
              <w:widowControl/>
              <w:jc w:val="center"/>
              <w:rPr>
                <w:rFonts w:cs="宋体"/>
                <w:kern w:val="0"/>
              </w:rPr>
            </w:pPr>
            <w:r>
              <w:rPr>
                <w:rFonts w:hint="eastAsia" w:cs="宋体"/>
                <w:kern w:val="0"/>
              </w:rPr>
              <w:t>全棉防静电内外衣</w:t>
            </w:r>
          </w:p>
        </w:tc>
        <w:tc>
          <w:tcPr>
            <w:tcW w:w="2625" w:type="dxa"/>
            <w:tcBorders>
              <w:top w:val="single" w:color="auto" w:sz="4" w:space="0"/>
              <w:left w:val="nil"/>
              <w:bottom w:val="single" w:color="auto" w:sz="4" w:space="0"/>
              <w:right w:val="single" w:color="auto" w:sz="4" w:space="0"/>
            </w:tcBorders>
            <w:vAlign w:val="center"/>
          </w:tcPr>
          <w:p>
            <w:pPr>
              <w:widowControl/>
              <w:jc w:val="center"/>
              <w:rPr>
                <w:rFonts w:cs="宋体"/>
                <w:kern w:val="0"/>
              </w:rPr>
            </w:pPr>
            <w:r>
              <w:rPr>
                <w:rFonts w:hint="eastAsia" w:cs="宋体"/>
                <w:kern w:val="0"/>
              </w:rPr>
              <w:t>正压式空气呼吸器或全防</w:t>
            </w:r>
          </w:p>
          <w:p>
            <w:pPr>
              <w:widowControl/>
              <w:jc w:val="center"/>
              <w:rPr>
                <w:rFonts w:cs="宋体"/>
                <w:kern w:val="0"/>
              </w:rPr>
            </w:pPr>
            <w:r>
              <w:rPr>
                <w:rFonts w:hint="eastAsia" w:cs="宋体"/>
                <w:kern w:val="0"/>
              </w:rPr>
              <w:t>型滤毒罐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0"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rPr>
            </w:pPr>
            <w:r>
              <w:rPr>
                <w:rFonts w:hint="eastAsia" w:cs="宋体"/>
                <w:kern w:val="0"/>
              </w:rPr>
              <w:t>二级</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cs="宋体"/>
                <w:kern w:val="0"/>
              </w:rPr>
            </w:pPr>
            <w:r>
              <w:rPr>
                <w:rFonts w:hint="eastAsia" w:cs="宋体"/>
                <w:kern w:val="0"/>
              </w:rPr>
              <w:t>全身</w:t>
            </w:r>
          </w:p>
        </w:tc>
        <w:tc>
          <w:tcPr>
            <w:tcW w:w="1921" w:type="dxa"/>
            <w:tcBorders>
              <w:top w:val="single" w:color="auto" w:sz="4" w:space="0"/>
              <w:left w:val="nil"/>
              <w:bottom w:val="single" w:color="auto" w:sz="4" w:space="0"/>
              <w:right w:val="single" w:color="auto" w:sz="4" w:space="0"/>
            </w:tcBorders>
            <w:vAlign w:val="center"/>
          </w:tcPr>
          <w:p>
            <w:pPr>
              <w:widowControl/>
              <w:jc w:val="center"/>
              <w:rPr>
                <w:rFonts w:cs="宋体"/>
                <w:kern w:val="0"/>
              </w:rPr>
            </w:pPr>
            <w:r>
              <w:rPr>
                <w:rFonts w:hint="eastAsia" w:cs="宋体"/>
                <w:kern w:val="0"/>
              </w:rPr>
              <w:t>隔热服</w:t>
            </w:r>
          </w:p>
        </w:tc>
        <w:tc>
          <w:tcPr>
            <w:tcW w:w="2076" w:type="dxa"/>
            <w:tcBorders>
              <w:top w:val="single" w:color="auto" w:sz="4" w:space="0"/>
              <w:left w:val="nil"/>
              <w:bottom w:val="single" w:color="auto" w:sz="4" w:space="0"/>
              <w:right w:val="single" w:color="auto" w:sz="4" w:space="0"/>
            </w:tcBorders>
            <w:vAlign w:val="center"/>
          </w:tcPr>
          <w:p>
            <w:pPr>
              <w:widowControl/>
              <w:jc w:val="center"/>
              <w:rPr>
                <w:rFonts w:cs="宋体"/>
                <w:kern w:val="0"/>
              </w:rPr>
            </w:pPr>
            <w:r>
              <w:rPr>
                <w:rFonts w:hint="eastAsia" w:cs="宋体"/>
                <w:kern w:val="0"/>
              </w:rPr>
              <w:t>全棉防静电内外衣</w:t>
            </w:r>
          </w:p>
        </w:tc>
        <w:tc>
          <w:tcPr>
            <w:tcW w:w="2625" w:type="dxa"/>
            <w:tcBorders>
              <w:top w:val="single" w:color="auto" w:sz="4" w:space="0"/>
              <w:left w:val="nil"/>
              <w:bottom w:val="single" w:color="auto" w:sz="4" w:space="0"/>
              <w:right w:val="single" w:color="auto" w:sz="4" w:space="0"/>
            </w:tcBorders>
            <w:vAlign w:val="center"/>
          </w:tcPr>
          <w:p>
            <w:pPr>
              <w:widowControl/>
              <w:jc w:val="center"/>
              <w:rPr>
                <w:rFonts w:cs="宋体"/>
                <w:kern w:val="0"/>
              </w:rPr>
            </w:pPr>
            <w:r>
              <w:rPr>
                <w:rFonts w:hint="eastAsia" w:cs="宋体"/>
                <w:kern w:val="0"/>
              </w:rPr>
              <w:t>正压式空气呼吸器或全防</w:t>
            </w:r>
          </w:p>
          <w:p>
            <w:pPr>
              <w:widowControl/>
              <w:jc w:val="center"/>
              <w:rPr>
                <w:rFonts w:cs="宋体"/>
                <w:kern w:val="0"/>
              </w:rPr>
            </w:pPr>
            <w:r>
              <w:rPr>
                <w:rFonts w:hint="eastAsia" w:cs="宋体"/>
                <w:kern w:val="0"/>
              </w:rPr>
              <w:t>型滤毒罐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rPr>
            </w:pPr>
            <w:r>
              <w:rPr>
                <w:rFonts w:hint="eastAsia" w:cs="宋体"/>
                <w:kern w:val="0"/>
              </w:rPr>
              <w:t>三级</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cs="宋体"/>
                <w:kern w:val="0"/>
              </w:rPr>
            </w:pPr>
            <w:r>
              <w:rPr>
                <w:rFonts w:hint="eastAsia" w:cs="宋体"/>
                <w:kern w:val="0"/>
              </w:rPr>
              <w:t>呼吸</w:t>
            </w:r>
          </w:p>
        </w:tc>
        <w:tc>
          <w:tcPr>
            <w:tcW w:w="1921" w:type="dxa"/>
            <w:tcBorders>
              <w:top w:val="single" w:color="auto" w:sz="4" w:space="0"/>
              <w:left w:val="nil"/>
              <w:bottom w:val="single" w:color="auto" w:sz="4" w:space="0"/>
              <w:right w:val="single" w:color="auto" w:sz="4" w:space="0"/>
            </w:tcBorders>
            <w:vAlign w:val="center"/>
          </w:tcPr>
          <w:p>
            <w:pPr>
              <w:widowControl/>
              <w:jc w:val="center"/>
              <w:rPr>
                <w:rFonts w:cs="宋体"/>
                <w:kern w:val="0"/>
              </w:rPr>
            </w:pPr>
            <w:r>
              <w:rPr>
                <w:rFonts w:hint="eastAsia" w:cs="宋体"/>
                <w:kern w:val="0"/>
              </w:rPr>
              <w:t>全身防毒呼吸服</w:t>
            </w:r>
          </w:p>
        </w:tc>
        <w:tc>
          <w:tcPr>
            <w:tcW w:w="2076" w:type="dxa"/>
            <w:tcBorders>
              <w:top w:val="single" w:color="auto" w:sz="4" w:space="0"/>
              <w:left w:val="nil"/>
              <w:bottom w:val="single" w:color="auto" w:sz="4" w:space="0"/>
              <w:right w:val="single" w:color="auto" w:sz="4" w:space="0"/>
            </w:tcBorders>
            <w:vAlign w:val="center"/>
          </w:tcPr>
          <w:p>
            <w:pPr>
              <w:widowControl/>
              <w:jc w:val="center"/>
              <w:rPr>
                <w:rFonts w:cs="宋体"/>
                <w:kern w:val="0"/>
              </w:rPr>
            </w:pPr>
            <w:r>
              <w:rPr>
                <w:rFonts w:hint="eastAsia" w:cs="宋体"/>
                <w:kern w:val="0"/>
              </w:rPr>
              <w:t>全棉防静电内外衣</w:t>
            </w:r>
          </w:p>
        </w:tc>
        <w:tc>
          <w:tcPr>
            <w:tcW w:w="2625" w:type="dxa"/>
            <w:tcBorders>
              <w:top w:val="single" w:color="auto" w:sz="4" w:space="0"/>
              <w:left w:val="nil"/>
              <w:bottom w:val="single" w:color="auto" w:sz="4" w:space="0"/>
              <w:right w:val="single" w:color="auto" w:sz="4" w:space="0"/>
            </w:tcBorders>
            <w:vAlign w:val="center"/>
          </w:tcPr>
          <w:p>
            <w:pPr>
              <w:widowControl/>
              <w:jc w:val="center"/>
              <w:rPr>
                <w:rFonts w:cs="宋体"/>
                <w:kern w:val="0"/>
              </w:rPr>
            </w:pPr>
            <w:r>
              <w:rPr>
                <w:rFonts w:hint="eastAsia" w:cs="宋体"/>
                <w:kern w:val="0"/>
              </w:rPr>
              <w:t>简易滤毒罐、面罩或口罩、毛巾等防护器材</w:t>
            </w:r>
          </w:p>
        </w:tc>
      </w:tr>
    </w:tbl>
    <w:p>
      <w:pPr>
        <w:widowControl/>
        <w:adjustRightInd w:val="0"/>
        <w:snapToGrid w:val="0"/>
        <w:spacing w:line="240" w:lineRule="exact"/>
        <w:ind w:firstLine="420" w:firstLineChars="200"/>
        <w:rPr>
          <w:rFonts w:cs="宋体"/>
        </w:rPr>
      </w:pPr>
    </w:p>
    <w:p>
      <w:pPr>
        <w:ind w:firstLine="560" w:firstLineChars="200"/>
        <w:rPr>
          <w:rFonts w:ascii="宋体" w:hAnsi="宋体" w:cs="宋体"/>
          <w:sz w:val="28"/>
          <w:szCs w:val="28"/>
        </w:rPr>
      </w:pPr>
      <w:r>
        <w:rPr>
          <w:rFonts w:hint="eastAsia" w:ascii="宋体" w:hAnsi="宋体" w:cs="宋体"/>
          <w:sz w:val="28"/>
          <w:szCs w:val="28"/>
        </w:rPr>
        <w:t>B警戒</w:t>
      </w:r>
    </w:p>
    <w:p>
      <w:pPr>
        <w:ind w:firstLine="560" w:firstLineChars="200"/>
        <w:rPr>
          <w:rFonts w:ascii="宋体" w:hAnsi="宋体" w:cs="宋体"/>
          <w:sz w:val="28"/>
          <w:szCs w:val="28"/>
        </w:rPr>
      </w:pPr>
      <w:r>
        <w:rPr>
          <w:rFonts w:hint="eastAsia" w:ascii="宋体" w:hAnsi="宋体" w:cs="宋体"/>
          <w:sz w:val="28"/>
          <w:szCs w:val="28"/>
        </w:rPr>
        <w:t>(1)根据询问、侦察情况确定警戒区域；</w:t>
      </w:r>
    </w:p>
    <w:p>
      <w:pPr>
        <w:ind w:firstLine="560" w:firstLineChars="200"/>
        <w:rPr>
          <w:rFonts w:ascii="宋体" w:hAnsi="宋体" w:cs="宋体"/>
          <w:sz w:val="28"/>
          <w:szCs w:val="28"/>
        </w:rPr>
      </w:pPr>
      <w:r>
        <w:rPr>
          <w:rFonts w:hint="eastAsia" w:ascii="宋体" w:hAnsi="宋体" w:cs="宋体"/>
          <w:sz w:val="28"/>
          <w:szCs w:val="28"/>
        </w:rPr>
        <w:t>(2)将警戒区域划分为重危区、中危区、轻危区和安全区，并设立警戒标志，在安全区设立隔离带；</w:t>
      </w:r>
    </w:p>
    <w:p>
      <w:pPr>
        <w:ind w:firstLine="560" w:firstLineChars="200"/>
        <w:rPr>
          <w:rFonts w:ascii="宋体" w:hAnsi="宋体" w:cs="宋体"/>
          <w:sz w:val="28"/>
          <w:szCs w:val="28"/>
        </w:rPr>
      </w:pPr>
      <w:r>
        <w:rPr>
          <w:rFonts w:hint="eastAsia" w:ascii="宋体" w:hAnsi="宋体" w:cs="宋体"/>
          <w:sz w:val="28"/>
          <w:szCs w:val="28"/>
        </w:rPr>
        <w:t>(3)合理设置出入口，严格控制人员、车辆进出。</w:t>
      </w:r>
    </w:p>
    <w:p>
      <w:pPr>
        <w:ind w:firstLine="560" w:firstLineChars="200"/>
        <w:rPr>
          <w:rFonts w:ascii="宋体" w:hAnsi="宋体" w:cs="宋体"/>
          <w:sz w:val="28"/>
          <w:szCs w:val="28"/>
        </w:rPr>
      </w:pPr>
      <w:r>
        <w:rPr>
          <w:rFonts w:hint="eastAsia" w:ascii="宋体" w:hAnsi="宋体" w:cs="宋体"/>
          <w:sz w:val="28"/>
          <w:szCs w:val="28"/>
        </w:rPr>
        <w:t>C救生</w:t>
      </w:r>
    </w:p>
    <w:p>
      <w:pPr>
        <w:ind w:firstLine="560" w:firstLineChars="200"/>
        <w:rPr>
          <w:rFonts w:ascii="宋体" w:hAnsi="宋体" w:cs="宋体"/>
          <w:sz w:val="28"/>
          <w:szCs w:val="28"/>
        </w:rPr>
      </w:pPr>
      <w:r>
        <w:rPr>
          <w:rFonts w:hint="eastAsia" w:ascii="宋体" w:hAnsi="宋体" w:cs="宋体"/>
          <w:sz w:val="28"/>
          <w:szCs w:val="28"/>
        </w:rPr>
        <w:t>(1)组成救生小组，携带救生器材迅速进入危险区域；</w:t>
      </w:r>
    </w:p>
    <w:p>
      <w:pPr>
        <w:ind w:firstLine="560" w:firstLineChars="200"/>
        <w:rPr>
          <w:rFonts w:ascii="宋体" w:hAnsi="宋体" w:cs="宋体"/>
          <w:sz w:val="28"/>
          <w:szCs w:val="28"/>
        </w:rPr>
      </w:pPr>
      <w:r>
        <w:rPr>
          <w:rFonts w:hint="eastAsia" w:ascii="宋体" w:hAnsi="宋体" w:cs="宋体"/>
          <w:sz w:val="28"/>
          <w:szCs w:val="28"/>
        </w:rPr>
        <w:t>(2)采取正确的救助方式，将所有遇险人员移至安全区域；</w:t>
      </w:r>
    </w:p>
    <w:p>
      <w:pPr>
        <w:ind w:firstLine="560" w:firstLineChars="200"/>
        <w:rPr>
          <w:rFonts w:ascii="宋体" w:hAnsi="宋体" w:cs="宋体"/>
          <w:sz w:val="28"/>
          <w:szCs w:val="28"/>
        </w:rPr>
      </w:pPr>
      <w:r>
        <w:rPr>
          <w:rFonts w:hint="eastAsia" w:ascii="宋体" w:hAnsi="宋体" w:cs="宋体"/>
          <w:sz w:val="28"/>
          <w:szCs w:val="28"/>
        </w:rPr>
        <w:t>(3)对救出人员进行登记，标识和现场急救；</w:t>
      </w:r>
    </w:p>
    <w:p>
      <w:pPr>
        <w:ind w:firstLine="560" w:firstLineChars="200"/>
        <w:rPr>
          <w:rFonts w:ascii="宋体" w:hAnsi="宋体" w:cs="宋体"/>
          <w:sz w:val="28"/>
          <w:szCs w:val="28"/>
        </w:rPr>
      </w:pPr>
      <w:r>
        <w:rPr>
          <w:rFonts w:hint="eastAsia" w:ascii="宋体" w:hAnsi="宋体" w:cs="宋体"/>
          <w:sz w:val="28"/>
          <w:szCs w:val="28"/>
        </w:rPr>
        <w:t>(4)将伤情较重者送交医疗急救部门救治。</w:t>
      </w:r>
    </w:p>
    <w:p>
      <w:pPr>
        <w:ind w:firstLine="560" w:firstLineChars="200"/>
        <w:rPr>
          <w:rFonts w:ascii="宋体" w:hAnsi="宋体" w:cs="宋体"/>
          <w:sz w:val="28"/>
          <w:szCs w:val="28"/>
        </w:rPr>
      </w:pPr>
      <w:r>
        <w:rPr>
          <w:rFonts w:hint="eastAsia" w:ascii="宋体" w:hAnsi="宋体" w:cs="宋体"/>
          <w:sz w:val="28"/>
          <w:szCs w:val="28"/>
        </w:rPr>
        <w:t>D控险</w:t>
      </w:r>
    </w:p>
    <w:p>
      <w:pPr>
        <w:ind w:firstLine="560" w:firstLineChars="200"/>
        <w:rPr>
          <w:rFonts w:ascii="宋体" w:hAnsi="宋体" w:cs="宋体"/>
          <w:sz w:val="28"/>
          <w:szCs w:val="28"/>
        </w:rPr>
      </w:pPr>
      <w:r>
        <w:rPr>
          <w:rFonts w:hint="eastAsia" w:ascii="宋体" w:hAnsi="宋体" w:cs="宋体"/>
          <w:sz w:val="28"/>
          <w:szCs w:val="28"/>
        </w:rPr>
        <w:t>(1)冷却燃烧罐(桶)及其邻近容器，重点应是受火势威胁的一面；</w:t>
      </w:r>
    </w:p>
    <w:p>
      <w:pPr>
        <w:ind w:firstLine="560" w:firstLineChars="200"/>
        <w:rPr>
          <w:rFonts w:ascii="宋体" w:hAnsi="宋体" w:cs="宋体"/>
          <w:sz w:val="28"/>
          <w:szCs w:val="28"/>
        </w:rPr>
      </w:pPr>
      <w:r>
        <w:rPr>
          <w:rFonts w:hint="eastAsia" w:ascii="宋体" w:hAnsi="宋体" w:cs="宋体"/>
          <w:sz w:val="28"/>
          <w:szCs w:val="28"/>
        </w:rPr>
        <w:t>(2)冷却要均匀、不间断；</w:t>
      </w:r>
    </w:p>
    <w:p>
      <w:pPr>
        <w:ind w:firstLine="560" w:firstLineChars="200"/>
        <w:rPr>
          <w:rFonts w:ascii="宋体" w:hAnsi="宋体" w:cs="宋体"/>
          <w:sz w:val="28"/>
          <w:szCs w:val="28"/>
        </w:rPr>
      </w:pPr>
      <w:r>
        <w:rPr>
          <w:rFonts w:hint="eastAsia" w:ascii="宋体" w:hAnsi="宋体" w:cs="宋体"/>
          <w:sz w:val="28"/>
          <w:szCs w:val="28"/>
        </w:rPr>
        <w:t>(3)冷却尽可能利用带架水枪或自动摇摆水枪(炮)；</w:t>
      </w:r>
    </w:p>
    <w:p>
      <w:pPr>
        <w:ind w:firstLine="560" w:firstLineChars="200"/>
        <w:rPr>
          <w:rFonts w:ascii="宋体" w:hAnsi="宋体" w:cs="宋体"/>
          <w:sz w:val="28"/>
          <w:szCs w:val="28"/>
        </w:rPr>
      </w:pPr>
      <w:r>
        <w:rPr>
          <w:rFonts w:hint="eastAsia" w:ascii="宋体" w:hAnsi="宋体" w:cs="宋体"/>
          <w:sz w:val="28"/>
          <w:szCs w:val="28"/>
        </w:rPr>
        <w:t>(4)冷却强度应不小于0.2升/秒、米2；</w:t>
      </w:r>
    </w:p>
    <w:p>
      <w:pPr>
        <w:ind w:firstLine="560" w:firstLineChars="200"/>
        <w:rPr>
          <w:rFonts w:ascii="宋体" w:hAnsi="宋体" w:cs="宋体"/>
          <w:sz w:val="28"/>
          <w:szCs w:val="28"/>
        </w:rPr>
      </w:pPr>
      <w:r>
        <w:rPr>
          <w:rFonts w:hint="eastAsia" w:ascii="宋体" w:hAnsi="宋体" w:cs="宋体"/>
          <w:sz w:val="28"/>
          <w:szCs w:val="28"/>
        </w:rPr>
        <w:t>(5)启用喷淋、泡沫、蒸汽等固定或半固定消防设施；</w:t>
      </w:r>
    </w:p>
    <w:p>
      <w:pPr>
        <w:ind w:firstLine="560" w:firstLineChars="200"/>
        <w:rPr>
          <w:rFonts w:ascii="宋体" w:hAnsi="宋体" w:cs="宋体"/>
          <w:sz w:val="28"/>
          <w:szCs w:val="28"/>
        </w:rPr>
      </w:pPr>
      <w:r>
        <w:rPr>
          <w:rFonts w:hint="eastAsia" w:ascii="宋体" w:hAnsi="宋体" w:cs="宋体"/>
          <w:sz w:val="28"/>
          <w:szCs w:val="28"/>
        </w:rPr>
        <w:t>(6)用干砂土、水泥粉、煤灰等围堵或导流，防止泄漏物向重要目标或危险源流散。</w:t>
      </w:r>
    </w:p>
    <w:p>
      <w:pPr>
        <w:ind w:firstLine="560" w:firstLineChars="200"/>
        <w:rPr>
          <w:rFonts w:ascii="宋体" w:hAnsi="宋体" w:cs="宋体"/>
          <w:sz w:val="28"/>
          <w:szCs w:val="28"/>
        </w:rPr>
      </w:pPr>
      <w:r>
        <w:rPr>
          <w:rFonts w:hint="eastAsia" w:ascii="宋体" w:hAnsi="宋体" w:cs="宋体"/>
          <w:sz w:val="28"/>
          <w:szCs w:val="28"/>
        </w:rPr>
        <w:t>E排险</w:t>
      </w:r>
    </w:p>
    <w:p>
      <w:pPr>
        <w:ind w:firstLine="560" w:firstLineChars="200"/>
        <w:rPr>
          <w:rFonts w:ascii="宋体" w:hAnsi="宋体" w:cs="宋体"/>
          <w:sz w:val="28"/>
          <w:szCs w:val="28"/>
        </w:rPr>
      </w:pPr>
      <w:r>
        <w:rPr>
          <w:rFonts w:hint="eastAsia" w:ascii="宋体" w:hAnsi="宋体" w:cs="宋体"/>
          <w:sz w:val="28"/>
          <w:szCs w:val="28"/>
        </w:rPr>
        <w:t>(1)外围灭火</w:t>
      </w:r>
    </w:p>
    <w:p>
      <w:pPr>
        <w:ind w:firstLine="560" w:firstLineChars="200"/>
        <w:rPr>
          <w:rFonts w:ascii="宋体" w:hAnsi="宋体" w:cs="宋体"/>
          <w:sz w:val="28"/>
          <w:szCs w:val="28"/>
        </w:rPr>
      </w:pPr>
      <w:r>
        <w:rPr>
          <w:rFonts w:hint="eastAsia" w:ascii="宋体" w:hAnsi="宋体" w:cs="宋体"/>
          <w:sz w:val="28"/>
          <w:szCs w:val="28"/>
        </w:rPr>
        <w:t>向泄漏点、主火点进攻之前，应将外围火点彻底扑灭。</w:t>
      </w:r>
    </w:p>
    <w:p>
      <w:pPr>
        <w:ind w:firstLine="560" w:firstLineChars="200"/>
        <w:rPr>
          <w:rFonts w:ascii="宋体" w:hAnsi="宋体" w:cs="宋体"/>
          <w:sz w:val="28"/>
          <w:szCs w:val="28"/>
        </w:rPr>
      </w:pPr>
      <w:r>
        <w:rPr>
          <w:rFonts w:hint="eastAsia" w:ascii="宋体" w:hAnsi="宋体" w:cs="宋体"/>
          <w:sz w:val="28"/>
          <w:szCs w:val="28"/>
        </w:rPr>
        <w:t>（2）堵漏</w:t>
      </w:r>
    </w:p>
    <w:p>
      <w:pPr>
        <w:ind w:firstLine="560" w:firstLineChars="200"/>
        <w:rPr>
          <w:rFonts w:ascii="宋体" w:hAnsi="宋体" w:cs="宋体"/>
          <w:sz w:val="28"/>
          <w:szCs w:val="28"/>
        </w:rPr>
      </w:pPr>
      <w:r>
        <w:rPr>
          <w:rFonts w:hint="eastAsia" w:ascii="宋体" w:hAnsi="宋体" w:cs="宋体"/>
          <w:sz w:val="28"/>
          <w:szCs w:val="28"/>
        </w:rPr>
        <w:t>①根据现场泄漏情况，研究制定堵漏方案，并严格按照堵漏方案实施；</w:t>
      </w:r>
    </w:p>
    <w:p>
      <w:pPr>
        <w:ind w:firstLine="560" w:firstLineChars="200"/>
        <w:rPr>
          <w:rFonts w:ascii="宋体" w:hAnsi="宋体" w:cs="宋体"/>
          <w:sz w:val="28"/>
          <w:szCs w:val="28"/>
        </w:rPr>
      </w:pPr>
      <w:r>
        <w:rPr>
          <w:rFonts w:hint="eastAsia" w:ascii="宋体" w:hAnsi="宋体" w:cs="宋体"/>
          <w:sz w:val="28"/>
          <w:szCs w:val="28"/>
        </w:rPr>
        <w:t>②所有堵漏行动必须采取防爆措施，确保安全；</w:t>
      </w:r>
    </w:p>
    <w:p>
      <w:pPr>
        <w:ind w:firstLine="560" w:firstLineChars="200"/>
        <w:rPr>
          <w:rFonts w:ascii="宋体" w:hAnsi="宋体" w:cs="宋体"/>
          <w:sz w:val="28"/>
          <w:szCs w:val="28"/>
        </w:rPr>
      </w:pPr>
      <w:r>
        <w:rPr>
          <w:rFonts w:hint="eastAsia" w:ascii="宋体" w:hAnsi="宋体" w:cs="宋体"/>
          <w:sz w:val="28"/>
          <w:szCs w:val="28"/>
        </w:rPr>
        <w:t>③关闭前置阀门，切断泄漏源；</w:t>
      </w:r>
    </w:p>
    <w:p>
      <w:pPr>
        <w:ind w:firstLine="560" w:firstLineChars="200"/>
        <w:rPr>
          <w:rFonts w:ascii="宋体" w:hAnsi="宋体" w:cs="宋体"/>
          <w:sz w:val="28"/>
          <w:szCs w:val="28"/>
        </w:rPr>
      </w:pPr>
      <w:r>
        <w:rPr>
          <w:rFonts w:hint="eastAsia" w:ascii="宋体" w:hAnsi="宋体" w:cs="宋体"/>
          <w:sz w:val="28"/>
          <w:szCs w:val="28"/>
        </w:rPr>
        <w:t>④根据泄漏对象，对非溶于水且比水轻的易燃液体，可向罐内适量注水，抬高液位，形成水垫层，缓解险情，配合堵漏；</w:t>
      </w:r>
    </w:p>
    <w:p>
      <w:pPr>
        <w:ind w:firstLine="560" w:firstLineChars="200"/>
        <w:rPr>
          <w:rFonts w:ascii="宋体" w:hAnsi="宋体" w:cs="宋体"/>
          <w:sz w:val="28"/>
          <w:szCs w:val="28"/>
        </w:rPr>
      </w:pPr>
      <w:r>
        <w:rPr>
          <w:rFonts w:hint="eastAsia" w:ascii="宋体" w:hAnsi="宋体" w:cs="宋体"/>
          <w:sz w:val="28"/>
          <w:szCs w:val="28"/>
        </w:rPr>
        <w:t>⑤堵漏方法，见安全操作规程。</w:t>
      </w:r>
    </w:p>
    <w:p>
      <w:pPr>
        <w:ind w:firstLine="560" w:firstLineChars="200"/>
        <w:rPr>
          <w:rFonts w:ascii="宋体" w:hAnsi="宋体" w:cs="宋体"/>
          <w:sz w:val="28"/>
          <w:szCs w:val="28"/>
        </w:rPr>
      </w:pPr>
      <w:r>
        <w:rPr>
          <w:rFonts w:hint="eastAsia" w:ascii="宋体" w:hAnsi="宋体" w:cs="宋体"/>
          <w:sz w:val="28"/>
          <w:szCs w:val="28"/>
        </w:rPr>
        <w:t>（3）输转</w:t>
      </w:r>
    </w:p>
    <w:p>
      <w:pPr>
        <w:ind w:firstLine="560" w:firstLineChars="200"/>
        <w:rPr>
          <w:rFonts w:ascii="宋体" w:hAnsi="宋体" w:cs="宋体"/>
          <w:sz w:val="28"/>
          <w:szCs w:val="28"/>
        </w:rPr>
      </w:pPr>
      <w:r>
        <w:rPr>
          <w:rFonts w:hint="eastAsia" w:ascii="宋体" w:hAnsi="宋体" w:cs="宋体"/>
          <w:sz w:val="28"/>
          <w:szCs w:val="28"/>
        </w:rPr>
        <w:t>①利用工艺措施导流或倒罐；</w:t>
      </w:r>
    </w:p>
    <w:p>
      <w:pPr>
        <w:ind w:firstLine="560" w:firstLineChars="200"/>
        <w:rPr>
          <w:rFonts w:ascii="宋体" w:hAnsi="宋体" w:cs="宋体"/>
          <w:sz w:val="28"/>
          <w:szCs w:val="28"/>
        </w:rPr>
      </w:pPr>
      <w:r>
        <w:rPr>
          <w:rFonts w:hint="eastAsia" w:ascii="宋体" w:hAnsi="宋体" w:cs="宋体"/>
          <w:sz w:val="28"/>
          <w:szCs w:val="28"/>
        </w:rPr>
        <w:t>②转移受火势威胁的瓶(罐、桶)。</w:t>
      </w:r>
    </w:p>
    <w:p>
      <w:pPr>
        <w:ind w:firstLine="560" w:firstLineChars="200"/>
        <w:rPr>
          <w:rFonts w:ascii="宋体" w:hAnsi="宋体" w:cs="宋体"/>
          <w:sz w:val="28"/>
          <w:szCs w:val="28"/>
        </w:rPr>
      </w:pPr>
      <w:r>
        <w:rPr>
          <w:rFonts w:hint="eastAsia" w:ascii="宋体" w:hAnsi="宋体" w:cs="宋体"/>
          <w:sz w:val="28"/>
          <w:szCs w:val="28"/>
        </w:rPr>
        <w:t>F灭火</w:t>
      </w:r>
    </w:p>
    <w:p>
      <w:pPr>
        <w:ind w:firstLine="560" w:firstLineChars="200"/>
        <w:rPr>
          <w:rFonts w:ascii="宋体" w:hAnsi="宋体" w:cs="宋体"/>
          <w:sz w:val="28"/>
          <w:szCs w:val="28"/>
        </w:rPr>
      </w:pPr>
      <w:r>
        <w:rPr>
          <w:rFonts w:hint="eastAsia" w:ascii="宋体" w:hAnsi="宋体" w:cs="宋体"/>
          <w:sz w:val="28"/>
          <w:szCs w:val="28"/>
        </w:rPr>
        <w:t>灭火条件</w:t>
      </w:r>
    </w:p>
    <w:p>
      <w:pPr>
        <w:ind w:firstLine="560" w:firstLineChars="200"/>
        <w:rPr>
          <w:rFonts w:ascii="宋体" w:hAnsi="宋体" w:cs="宋体"/>
          <w:sz w:val="28"/>
          <w:szCs w:val="28"/>
        </w:rPr>
      </w:pPr>
      <w:r>
        <w:rPr>
          <w:rFonts w:hint="eastAsia" w:ascii="宋体" w:hAnsi="宋体" w:cs="宋体"/>
          <w:sz w:val="28"/>
          <w:szCs w:val="28"/>
        </w:rPr>
        <w:t>①外围火点已彻底扑灭，火种等危险源已全部控制；</w:t>
      </w:r>
    </w:p>
    <w:p>
      <w:pPr>
        <w:ind w:firstLine="560" w:firstLineChars="200"/>
        <w:rPr>
          <w:rFonts w:ascii="宋体" w:hAnsi="宋体" w:cs="宋体"/>
          <w:sz w:val="28"/>
          <w:szCs w:val="28"/>
        </w:rPr>
      </w:pPr>
      <w:r>
        <w:rPr>
          <w:rFonts w:hint="eastAsia" w:ascii="宋体" w:hAnsi="宋体" w:cs="宋体"/>
          <w:sz w:val="28"/>
          <w:szCs w:val="28"/>
        </w:rPr>
        <w:t>②堵漏准备就绪；</w:t>
      </w:r>
    </w:p>
    <w:p>
      <w:pPr>
        <w:ind w:firstLine="560" w:firstLineChars="200"/>
        <w:rPr>
          <w:rFonts w:ascii="宋体" w:hAnsi="宋体" w:cs="宋体"/>
          <w:sz w:val="28"/>
          <w:szCs w:val="28"/>
        </w:rPr>
      </w:pPr>
      <w:r>
        <w:rPr>
          <w:rFonts w:hint="eastAsia" w:ascii="宋体" w:hAnsi="宋体" w:cs="宋体"/>
          <w:sz w:val="28"/>
          <w:szCs w:val="28"/>
        </w:rPr>
        <w:t>③着火罐(桶)已得到充分冷却；</w:t>
      </w:r>
    </w:p>
    <w:p>
      <w:pPr>
        <w:ind w:firstLine="560" w:firstLineChars="200"/>
        <w:rPr>
          <w:rFonts w:ascii="宋体" w:hAnsi="宋体" w:cs="宋体"/>
          <w:sz w:val="28"/>
          <w:szCs w:val="28"/>
        </w:rPr>
      </w:pPr>
      <w:r>
        <w:rPr>
          <w:rFonts w:hint="eastAsia" w:ascii="宋体" w:hAnsi="宋体" w:cs="宋体"/>
          <w:sz w:val="28"/>
          <w:szCs w:val="28"/>
        </w:rPr>
        <w:t>④兵力、装备、灭火剂已准备就绪；</w:t>
      </w:r>
    </w:p>
    <w:p>
      <w:pPr>
        <w:ind w:firstLine="560" w:firstLineChars="200"/>
        <w:rPr>
          <w:rFonts w:ascii="宋体" w:hAnsi="宋体" w:cs="宋体"/>
          <w:sz w:val="28"/>
          <w:szCs w:val="28"/>
        </w:rPr>
      </w:pPr>
      <w:r>
        <w:rPr>
          <w:rFonts w:hint="eastAsia" w:ascii="宋体" w:hAnsi="宋体" w:cs="宋体"/>
          <w:sz w:val="28"/>
          <w:szCs w:val="28"/>
        </w:rPr>
        <w:t>灭火方法</w:t>
      </w:r>
    </w:p>
    <w:p>
      <w:pPr>
        <w:ind w:firstLine="560" w:firstLineChars="200"/>
        <w:rPr>
          <w:rFonts w:ascii="宋体" w:hAnsi="宋体" w:cs="宋体"/>
          <w:sz w:val="28"/>
          <w:szCs w:val="28"/>
        </w:rPr>
      </w:pPr>
      <w:r>
        <w:rPr>
          <w:rFonts w:hint="eastAsia" w:ascii="宋体" w:hAnsi="宋体" w:cs="宋体"/>
          <w:sz w:val="28"/>
          <w:szCs w:val="28"/>
        </w:rPr>
        <w:t>①关阀断料法：关阀断料，熄灭火源；</w:t>
      </w:r>
    </w:p>
    <w:p>
      <w:pPr>
        <w:ind w:firstLine="560" w:firstLineChars="200"/>
        <w:rPr>
          <w:rFonts w:ascii="宋体" w:hAnsi="宋体" w:cs="宋体"/>
          <w:sz w:val="28"/>
          <w:szCs w:val="28"/>
        </w:rPr>
      </w:pPr>
      <w:r>
        <w:rPr>
          <w:rFonts w:hint="eastAsia" w:ascii="宋体" w:hAnsi="宋体" w:cs="宋体"/>
          <w:sz w:val="28"/>
          <w:szCs w:val="28"/>
        </w:rPr>
        <w:t>②泡沫覆盖法：对燃烧罐(桶)和地面流淌火喷射泡沫覆盖灭火；</w:t>
      </w:r>
    </w:p>
    <w:p>
      <w:pPr>
        <w:ind w:firstLine="560" w:firstLineChars="200"/>
        <w:rPr>
          <w:rFonts w:ascii="宋体" w:hAnsi="宋体" w:cs="宋体"/>
          <w:sz w:val="28"/>
          <w:szCs w:val="28"/>
        </w:rPr>
      </w:pPr>
      <w:r>
        <w:rPr>
          <w:rFonts w:hint="eastAsia" w:ascii="宋体" w:hAnsi="宋体" w:cs="宋体"/>
          <w:sz w:val="28"/>
          <w:szCs w:val="28"/>
        </w:rPr>
        <w:t>③沙土覆盖法：使用干沙土、水泥粉、煤灰、石墨等覆盖灭火；</w:t>
      </w:r>
    </w:p>
    <w:p>
      <w:pPr>
        <w:ind w:firstLine="560" w:firstLineChars="200"/>
        <w:rPr>
          <w:rFonts w:ascii="宋体" w:hAnsi="宋体" w:cs="宋体"/>
          <w:sz w:val="28"/>
          <w:szCs w:val="28"/>
        </w:rPr>
      </w:pPr>
      <w:r>
        <w:rPr>
          <w:rFonts w:hint="eastAsia" w:ascii="宋体" w:hAnsi="宋体" w:cs="宋体"/>
          <w:sz w:val="28"/>
          <w:szCs w:val="28"/>
        </w:rPr>
        <w:t>④干粉抑制法：视燃烧情况使用车载干粉炮、胶管干粉枪、推车或手提式干粉灭火器灭火。</w:t>
      </w:r>
    </w:p>
    <w:p>
      <w:pPr>
        <w:ind w:firstLine="560" w:firstLineChars="200"/>
        <w:rPr>
          <w:rFonts w:ascii="宋体" w:hAnsi="宋体" w:cs="宋体"/>
          <w:sz w:val="28"/>
          <w:szCs w:val="28"/>
        </w:rPr>
      </w:pPr>
      <w:r>
        <w:rPr>
          <w:rFonts w:hint="eastAsia" w:ascii="宋体" w:hAnsi="宋体" w:cs="宋体"/>
          <w:sz w:val="28"/>
          <w:szCs w:val="28"/>
        </w:rPr>
        <w:t>G救护</w:t>
      </w:r>
    </w:p>
    <w:p>
      <w:pPr>
        <w:ind w:firstLine="560" w:firstLineChars="200"/>
        <w:rPr>
          <w:rFonts w:ascii="宋体" w:hAnsi="宋体" w:cs="宋体"/>
          <w:sz w:val="28"/>
          <w:szCs w:val="28"/>
        </w:rPr>
      </w:pPr>
      <w:r>
        <w:rPr>
          <w:rFonts w:hint="eastAsia" w:ascii="宋体" w:hAnsi="宋体" w:cs="宋体"/>
          <w:sz w:val="28"/>
          <w:szCs w:val="28"/>
        </w:rPr>
        <w:t>现场救护</w:t>
      </w:r>
    </w:p>
    <w:p>
      <w:pPr>
        <w:ind w:firstLine="560" w:firstLineChars="200"/>
        <w:rPr>
          <w:rFonts w:ascii="宋体" w:hAnsi="宋体" w:cs="宋体"/>
          <w:sz w:val="28"/>
          <w:szCs w:val="28"/>
        </w:rPr>
      </w:pPr>
      <w:r>
        <w:rPr>
          <w:rFonts w:hint="eastAsia" w:ascii="宋体" w:hAnsi="宋体" w:cs="宋体"/>
          <w:sz w:val="28"/>
          <w:szCs w:val="28"/>
        </w:rPr>
        <w:t>①将染毒者迅速撤离现场，转移到上风或侧上风方向空气无污染地区；</w:t>
      </w:r>
    </w:p>
    <w:p>
      <w:pPr>
        <w:ind w:firstLine="560" w:firstLineChars="200"/>
        <w:rPr>
          <w:rFonts w:ascii="宋体" w:hAnsi="宋体" w:cs="宋体"/>
          <w:sz w:val="28"/>
          <w:szCs w:val="28"/>
        </w:rPr>
      </w:pPr>
      <w:r>
        <w:rPr>
          <w:rFonts w:hint="eastAsia" w:ascii="宋体" w:hAnsi="宋体" w:cs="宋体"/>
          <w:sz w:val="28"/>
          <w:szCs w:val="28"/>
        </w:rPr>
        <w:t>②有条件时应立即进行呼吸道及全身防护，防止继续吸入染毒；</w:t>
      </w:r>
    </w:p>
    <w:p>
      <w:pPr>
        <w:ind w:firstLine="560" w:firstLineChars="200"/>
        <w:rPr>
          <w:rFonts w:ascii="宋体" w:hAnsi="宋体" w:cs="宋体"/>
          <w:sz w:val="28"/>
          <w:szCs w:val="28"/>
        </w:rPr>
      </w:pPr>
      <w:r>
        <w:rPr>
          <w:rFonts w:hint="eastAsia" w:ascii="宋体" w:hAnsi="宋体" w:cs="宋体"/>
          <w:sz w:val="28"/>
          <w:szCs w:val="28"/>
        </w:rPr>
        <w:t>③对呼吸、心跳停止者，应立即进行人工呼吸和心脏按压，采取心肺复苏措施，并给予氧气；</w:t>
      </w:r>
    </w:p>
    <w:p>
      <w:pPr>
        <w:ind w:firstLine="560" w:firstLineChars="200"/>
        <w:rPr>
          <w:rFonts w:ascii="宋体" w:hAnsi="宋体" w:cs="宋体"/>
          <w:sz w:val="28"/>
          <w:szCs w:val="28"/>
        </w:rPr>
      </w:pPr>
      <w:r>
        <w:rPr>
          <w:rFonts w:hint="eastAsia" w:ascii="宋体" w:hAnsi="宋体" w:cs="宋体"/>
          <w:sz w:val="28"/>
          <w:szCs w:val="28"/>
        </w:rPr>
        <w:t>④立即脱去被污染者的服装；皮肤污染者，用流动清水或肥皂水彻底冲洗；眼睛污染者，用大量流动清水彻底冲洗。</w:t>
      </w:r>
    </w:p>
    <w:p>
      <w:pPr>
        <w:ind w:firstLine="560" w:firstLineChars="200"/>
        <w:rPr>
          <w:rFonts w:ascii="宋体" w:hAnsi="宋体" w:cs="宋体"/>
          <w:sz w:val="28"/>
          <w:szCs w:val="28"/>
        </w:rPr>
      </w:pPr>
      <w:r>
        <w:rPr>
          <w:rFonts w:hint="eastAsia" w:ascii="宋体" w:hAnsi="宋体" w:cs="宋体"/>
          <w:sz w:val="28"/>
          <w:szCs w:val="28"/>
        </w:rPr>
        <w:t>(2)使用特效药物治疗；</w:t>
      </w:r>
    </w:p>
    <w:p>
      <w:pPr>
        <w:ind w:firstLine="560" w:firstLineChars="200"/>
        <w:rPr>
          <w:rFonts w:ascii="宋体" w:hAnsi="宋体" w:cs="宋体"/>
          <w:sz w:val="28"/>
          <w:szCs w:val="28"/>
        </w:rPr>
      </w:pPr>
      <w:r>
        <w:rPr>
          <w:rFonts w:hint="eastAsia" w:ascii="宋体" w:hAnsi="宋体" w:cs="宋体"/>
          <w:sz w:val="28"/>
          <w:szCs w:val="28"/>
        </w:rPr>
        <w:t>(3)对症治疗；</w:t>
      </w:r>
    </w:p>
    <w:p>
      <w:pPr>
        <w:ind w:firstLine="560" w:firstLineChars="200"/>
        <w:rPr>
          <w:rFonts w:ascii="宋体" w:hAnsi="宋体" w:cs="宋体"/>
          <w:sz w:val="28"/>
          <w:szCs w:val="28"/>
        </w:rPr>
      </w:pPr>
      <w:r>
        <w:rPr>
          <w:rFonts w:hint="eastAsia" w:ascii="宋体" w:hAnsi="宋体" w:cs="宋体"/>
          <w:sz w:val="28"/>
          <w:szCs w:val="28"/>
        </w:rPr>
        <w:t>(4)严重者送医院观察治疗。</w:t>
      </w:r>
    </w:p>
    <w:p>
      <w:pPr>
        <w:ind w:firstLine="560" w:firstLineChars="200"/>
        <w:rPr>
          <w:rFonts w:ascii="宋体" w:hAnsi="宋体" w:cs="宋体"/>
          <w:sz w:val="28"/>
          <w:szCs w:val="28"/>
        </w:rPr>
      </w:pPr>
      <w:r>
        <w:rPr>
          <w:rFonts w:hint="eastAsia" w:ascii="宋体" w:hAnsi="宋体" w:cs="宋体"/>
          <w:sz w:val="28"/>
          <w:szCs w:val="28"/>
        </w:rPr>
        <w:t>H洗消</w:t>
      </w:r>
    </w:p>
    <w:p>
      <w:pPr>
        <w:ind w:firstLine="560" w:firstLineChars="200"/>
        <w:rPr>
          <w:rFonts w:ascii="宋体" w:hAnsi="宋体" w:cs="宋体"/>
          <w:sz w:val="28"/>
          <w:szCs w:val="28"/>
        </w:rPr>
      </w:pPr>
      <w:r>
        <w:rPr>
          <w:rFonts w:hint="eastAsia" w:ascii="宋体" w:hAnsi="宋体" w:cs="宋体"/>
          <w:sz w:val="28"/>
          <w:szCs w:val="28"/>
        </w:rPr>
        <w:t>(1)在危险区与安全区交界处设立洗消站。</w:t>
      </w:r>
    </w:p>
    <w:p>
      <w:pPr>
        <w:ind w:firstLine="560" w:firstLineChars="200"/>
        <w:rPr>
          <w:rFonts w:ascii="宋体" w:hAnsi="宋体" w:cs="宋体"/>
          <w:sz w:val="28"/>
          <w:szCs w:val="28"/>
        </w:rPr>
      </w:pPr>
      <w:r>
        <w:rPr>
          <w:rFonts w:hint="eastAsia" w:ascii="宋体" w:hAnsi="宋体" w:cs="宋体"/>
          <w:sz w:val="28"/>
          <w:szCs w:val="28"/>
        </w:rPr>
        <w:t>(2)洗消的对象</w:t>
      </w:r>
    </w:p>
    <w:p>
      <w:pPr>
        <w:ind w:firstLine="560" w:firstLineChars="200"/>
        <w:rPr>
          <w:rFonts w:ascii="宋体" w:hAnsi="宋体" w:cs="宋体"/>
          <w:sz w:val="28"/>
          <w:szCs w:val="28"/>
        </w:rPr>
      </w:pPr>
      <w:r>
        <w:rPr>
          <w:rFonts w:hint="eastAsia" w:ascii="宋体" w:hAnsi="宋体" w:cs="宋体"/>
          <w:sz w:val="28"/>
          <w:szCs w:val="28"/>
        </w:rPr>
        <w:t>①轻度中毒的人员；</w:t>
      </w:r>
    </w:p>
    <w:p>
      <w:pPr>
        <w:ind w:firstLine="560" w:firstLineChars="200"/>
        <w:rPr>
          <w:rFonts w:ascii="宋体" w:hAnsi="宋体" w:cs="宋体"/>
          <w:sz w:val="28"/>
          <w:szCs w:val="28"/>
        </w:rPr>
      </w:pPr>
      <w:r>
        <w:rPr>
          <w:rFonts w:hint="eastAsia" w:ascii="宋体" w:hAnsi="宋体" w:cs="宋体"/>
          <w:sz w:val="28"/>
          <w:szCs w:val="28"/>
        </w:rPr>
        <w:t>②重度中毒人员在送医院治疗之前；</w:t>
      </w:r>
    </w:p>
    <w:p>
      <w:pPr>
        <w:ind w:firstLine="560" w:firstLineChars="200"/>
        <w:rPr>
          <w:rFonts w:ascii="宋体" w:hAnsi="宋体" w:cs="宋体"/>
          <w:sz w:val="28"/>
          <w:szCs w:val="28"/>
        </w:rPr>
      </w:pPr>
      <w:r>
        <w:rPr>
          <w:rFonts w:hint="eastAsia" w:ascii="宋体" w:hAnsi="宋体" w:cs="宋体"/>
          <w:sz w:val="28"/>
          <w:szCs w:val="28"/>
        </w:rPr>
        <w:t>③现场医务人员；</w:t>
      </w:r>
    </w:p>
    <w:p>
      <w:pPr>
        <w:ind w:firstLine="560" w:firstLineChars="200"/>
        <w:rPr>
          <w:rFonts w:ascii="宋体" w:hAnsi="宋体" w:cs="宋体"/>
          <w:sz w:val="28"/>
          <w:szCs w:val="28"/>
        </w:rPr>
      </w:pPr>
      <w:r>
        <w:rPr>
          <w:rFonts w:hint="eastAsia" w:ascii="宋体" w:hAnsi="宋体" w:cs="宋体"/>
          <w:sz w:val="28"/>
          <w:szCs w:val="28"/>
        </w:rPr>
        <w:t>④消防和其他抢险人员以及群众互救人员；</w:t>
      </w:r>
    </w:p>
    <w:p>
      <w:pPr>
        <w:ind w:firstLine="560" w:firstLineChars="200"/>
        <w:rPr>
          <w:rFonts w:ascii="宋体" w:hAnsi="宋体" w:cs="宋体"/>
          <w:sz w:val="28"/>
          <w:szCs w:val="28"/>
        </w:rPr>
      </w:pPr>
      <w:r>
        <w:rPr>
          <w:rFonts w:hint="eastAsia" w:ascii="宋体" w:hAnsi="宋体" w:cs="宋体"/>
          <w:sz w:val="28"/>
          <w:szCs w:val="28"/>
        </w:rPr>
        <w:t>⑤抢救及染毒器具。</w:t>
      </w:r>
    </w:p>
    <w:p>
      <w:pPr>
        <w:ind w:firstLine="560" w:firstLineChars="200"/>
        <w:rPr>
          <w:rFonts w:ascii="宋体" w:hAnsi="宋体" w:cs="宋体"/>
          <w:sz w:val="28"/>
          <w:szCs w:val="28"/>
        </w:rPr>
      </w:pPr>
      <w:r>
        <w:rPr>
          <w:rFonts w:hint="eastAsia" w:ascii="宋体" w:hAnsi="宋体" w:cs="宋体"/>
          <w:sz w:val="28"/>
          <w:szCs w:val="28"/>
        </w:rPr>
        <w:t>使用相应的洗消药剂；</w:t>
      </w:r>
    </w:p>
    <w:p>
      <w:pPr>
        <w:ind w:firstLine="560" w:firstLineChars="200"/>
        <w:rPr>
          <w:rFonts w:ascii="宋体" w:hAnsi="宋体" w:cs="宋体"/>
          <w:sz w:val="28"/>
          <w:szCs w:val="28"/>
        </w:rPr>
      </w:pPr>
      <w:r>
        <w:rPr>
          <w:rFonts w:hint="eastAsia" w:ascii="宋体" w:hAnsi="宋体" w:cs="宋体"/>
          <w:sz w:val="28"/>
          <w:szCs w:val="28"/>
        </w:rPr>
        <w:t>洗消污水的排放必须经过环保部门的检测，以防造成次生灾害。</w:t>
      </w:r>
    </w:p>
    <w:p>
      <w:pPr>
        <w:ind w:firstLine="560" w:firstLineChars="200"/>
        <w:rPr>
          <w:rFonts w:ascii="宋体" w:hAnsi="宋体" w:cs="宋体"/>
          <w:sz w:val="28"/>
          <w:szCs w:val="28"/>
        </w:rPr>
      </w:pPr>
      <w:r>
        <w:rPr>
          <w:rFonts w:hint="eastAsia" w:ascii="宋体" w:hAnsi="宋体" w:cs="宋体"/>
          <w:sz w:val="28"/>
          <w:szCs w:val="28"/>
        </w:rPr>
        <w:t>I清理</w:t>
      </w:r>
    </w:p>
    <w:p>
      <w:pPr>
        <w:ind w:firstLine="560" w:firstLineChars="200"/>
        <w:rPr>
          <w:rFonts w:ascii="宋体" w:hAnsi="宋体" w:cs="宋体"/>
          <w:sz w:val="28"/>
          <w:szCs w:val="28"/>
        </w:rPr>
      </w:pPr>
      <w:r>
        <w:rPr>
          <w:rFonts w:hint="eastAsia" w:ascii="宋体" w:hAnsi="宋体" w:cs="宋体"/>
          <w:sz w:val="28"/>
          <w:szCs w:val="28"/>
        </w:rPr>
        <w:t>(1)少量残液，用干沙土、水泥粉、煤灰、干粉等吸附，收集后作技术处理或视情况倒至空旷地方掩埋；</w:t>
      </w:r>
    </w:p>
    <w:p>
      <w:pPr>
        <w:ind w:firstLine="560" w:firstLineChars="200"/>
        <w:rPr>
          <w:rFonts w:ascii="宋体" w:hAnsi="宋体" w:cs="宋体"/>
          <w:sz w:val="28"/>
          <w:szCs w:val="28"/>
        </w:rPr>
      </w:pPr>
      <w:r>
        <w:rPr>
          <w:rFonts w:hint="eastAsia" w:ascii="宋体" w:hAnsi="宋体" w:cs="宋体"/>
          <w:sz w:val="28"/>
          <w:szCs w:val="28"/>
        </w:rPr>
        <w:t>(2)大量残液、用防爆泵抽吸或使用无火花容器收集、集中处理；</w:t>
      </w:r>
    </w:p>
    <w:p>
      <w:pPr>
        <w:ind w:firstLine="560" w:firstLineChars="200"/>
        <w:rPr>
          <w:rFonts w:ascii="宋体" w:hAnsi="宋体" w:cs="宋体"/>
          <w:sz w:val="28"/>
          <w:szCs w:val="28"/>
        </w:rPr>
      </w:pPr>
      <w:r>
        <w:rPr>
          <w:rFonts w:hint="eastAsia" w:ascii="宋体" w:hAnsi="宋体" w:cs="宋体"/>
          <w:sz w:val="28"/>
          <w:szCs w:val="28"/>
        </w:rPr>
        <w:t>(3)在污染地面上洒上中和或洗涤剂浸洗，然后用大量直流水清扫现场，特别是低洼、沟渠等处，确保不留残液；</w:t>
      </w:r>
    </w:p>
    <w:p>
      <w:pPr>
        <w:ind w:firstLine="560" w:firstLineChars="200"/>
        <w:rPr>
          <w:rFonts w:ascii="宋体" w:hAnsi="宋体" w:cs="宋体"/>
          <w:sz w:val="28"/>
          <w:szCs w:val="28"/>
        </w:rPr>
      </w:pPr>
      <w:r>
        <w:rPr>
          <w:rFonts w:hint="eastAsia" w:ascii="宋体" w:hAnsi="宋体" w:cs="宋体"/>
          <w:sz w:val="28"/>
          <w:szCs w:val="28"/>
        </w:rPr>
        <w:t>(4)清点人员、车辆及器材；</w:t>
      </w:r>
    </w:p>
    <w:p>
      <w:pPr>
        <w:ind w:firstLine="560" w:firstLineChars="200"/>
        <w:rPr>
          <w:rFonts w:ascii="宋体" w:hAnsi="宋体" w:cs="宋体"/>
          <w:sz w:val="28"/>
          <w:szCs w:val="28"/>
        </w:rPr>
      </w:pPr>
      <w:r>
        <w:rPr>
          <w:rFonts w:hint="eastAsia" w:ascii="宋体" w:hAnsi="宋体" w:cs="宋体"/>
          <w:sz w:val="28"/>
          <w:szCs w:val="28"/>
        </w:rPr>
        <w:t>(5)撤除警戒，做好移交，安全撤离。</w:t>
      </w:r>
    </w:p>
    <w:p>
      <w:pPr>
        <w:ind w:firstLine="560" w:firstLineChars="200"/>
        <w:rPr>
          <w:rFonts w:ascii="宋体" w:hAnsi="宋体" w:cs="宋体"/>
          <w:sz w:val="28"/>
          <w:szCs w:val="28"/>
        </w:rPr>
      </w:pPr>
      <w:r>
        <w:rPr>
          <w:rFonts w:hint="eastAsia" w:ascii="宋体" w:hAnsi="宋体" w:cs="宋体"/>
          <w:sz w:val="28"/>
          <w:szCs w:val="28"/>
        </w:rPr>
        <w:t>J警示</w:t>
      </w:r>
    </w:p>
    <w:p>
      <w:pPr>
        <w:ind w:firstLine="560" w:firstLineChars="200"/>
        <w:rPr>
          <w:rFonts w:ascii="宋体" w:hAnsi="宋体" w:cs="宋体"/>
          <w:sz w:val="28"/>
          <w:szCs w:val="28"/>
        </w:rPr>
      </w:pPr>
      <w:r>
        <w:rPr>
          <w:rFonts w:hint="eastAsia" w:ascii="宋体" w:hAnsi="宋体" w:cs="宋体"/>
          <w:sz w:val="28"/>
          <w:szCs w:val="28"/>
        </w:rPr>
        <w:t>(1)进入现场必须正确选择行车路线、停车位置、作战阵地；</w:t>
      </w:r>
    </w:p>
    <w:p>
      <w:pPr>
        <w:ind w:firstLine="560" w:firstLineChars="200"/>
        <w:rPr>
          <w:rFonts w:ascii="宋体" w:hAnsi="宋体" w:cs="宋体"/>
          <w:sz w:val="28"/>
          <w:szCs w:val="28"/>
        </w:rPr>
      </w:pPr>
      <w:r>
        <w:rPr>
          <w:rFonts w:hint="eastAsia" w:ascii="宋体" w:hAnsi="宋体" w:cs="宋体"/>
          <w:sz w:val="28"/>
          <w:szCs w:val="28"/>
        </w:rPr>
        <w:t>(2)严密监视液体流淌情况，防止灾情扩大；</w:t>
      </w:r>
    </w:p>
    <w:p>
      <w:pPr>
        <w:ind w:firstLine="560" w:firstLineChars="200"/>
        <w:rPr>
          <w:rFonts w:ascii="宋体" w:hAnsi="宋体" w:cs="宋体"/>
          <w:sz w:val="28"/>
          <w:szCs w:val="28"/>
        </w:rPr>
      </w:pPr>
      <w:r>
        <w:rPr>
          <w:rFonts w:hint="eastAsia" w:ascii="宋体" w:hAnsi="宋体" w:cs="宋体"/>
          <w:sz w:val="28"/>
          <w:szCs w:val="28"/>
        </w:rPr>
        <w:t>(3)扑灭流淌火灾时，泡沫覆盖要充分到位，并防止回火或复燃；</w:t>
      </w:r>
    </w:p>
    <w:p>
      <w:pPr>
        <w:ind w:firstLine="560" w:firstLineChars="200"/>
        <w:rPr>
          <w:rFonts w:ascii="宋体" w:hAnsi="宋体" w:cs="宋体"/>
          <w:sz w:val="28"/>
          <w:szCs w:val="28"/>
        </w:rPr>
      </w:pPr>
      <w:r>
        <w:rPr>
          <w:rFonts w:hint="eastAsia" w:ascii="宋体" w:hAnsi="宋体" w:cs="宋体"/>
          <w:sz w:val="28"/>
          <w:szCs w:val="28"/>
        </w:rPr>
        <w:t>(4)着火贮罐或装置出现爆炸征兆时，参战人员应果断撤离；</w:t>
      </w:r>
    </w:p>
    <w:p>
      <w:pPr>
        <w:ind w:firstLine="560" w:firstLineChars="200"/>
        <w:rPr>
          <w:rFonts w:ascii="宋体" w:hAnsi="宋体" w:cs="宋体"/>
          <w:sz w:val="28"/>
          <w:szCs w:val="28"/>
        </w:rPr>
      </w:pPr>
      <w:r>
        <w:rPr>
          <w:rFonts w:hint="eastAsia" w:ascii="宋体" w:hAnsi="宋体" w:cs="宋体"/>
          <w:sz w:val="28"/>
          <w:szCs w:val="28"/>
        </w:rPr>
        <w:t>(5)注意风向变换，适时调整部署；</w:t>
      </w:r>
    </w:p>
    <w:p>
      <w:pPr>
        <w:ind w:firstLine="560" w:firstLineChars="200"/>
        <w:rPr>
          <w:rFonts w:ascii="宋体" w:hAnsi="宋体" w:cs="宋体"/>
          <w:sz w:val="28"/>
          <w:szCs w:val="28"/>
        </w:rPr>
      </w:pPr>
      <w:r>
        <w:rPr>
          <w:rFonts w:hint="eastAsia" w:ascii="宋体" w:hAnsi="宋体" w:cs="宋体"/>
          <w:sz w:val="28"/>
          <w:szCs w:val="28"/>
        </w:rPr>
        <w:t>(6)慎重发布灾情和相关新闻。</w:t>
      </w:r>
    </w:p>
    <w:p>
      <w:pPr>
        <w:ind w:firstLine="560" w:firstLineChars="200"/>
        <w:rPr>
          <w:rFonts w:ascii="宋体" w:hAnsi="宋体" w:cs="宋体"/>
          <w:sz w:val="28"/>
          <w:szCs w:val="28"/>
        </w:rPr>
      </w:pPr>
      <w:r>
        <w:rPr>
          <w:rFonts w:hint="eastAsia" w:ascii="宋体" w:hAnsi="宋体" w:cs="宋体"/>
          <w:sz w:val="28"/>
          <w:szCs w:val="28"/>
        </w:rPr>
        <w:t>K人员烧伤、烫伤急救程序</w:t>
      </w:r>
    </w:p>
    <w:p>
      <w:pPr>
        <w:ind w:firstLine="560" w:firstLineChars="200"/>
        <w:rPr>
          <w:rFonts w:ascii="宋体" w:hAnsi="宋体" w:cs="宋体"/>
          <w:sz w:val="28"/>
          <w:szCs w:val="28"/>
        </w:rPr>
      </w:pPr>
      <w:r>
        <w:rPr>
          <w:rFonts w:hint="eastAsia" w:ascii="宋体" w:hAnsi="宋体" w:cs="宋体"/>
          <w:sz w:val="28"/>
          <w:szCs w:val="28"/>
        </w:rPr>
        <w:t>（1）烧伤急救就是采用各种有效的措施灭火，使伤员尽快脱离热源，尽量缩短烧伤时间。</w:t>
      </w:r>
    </w:p>
    <w:p>
      <w:pPr>
        <w:ind w:firstLine="560" w:firstLineChars="200"/>
        <w:rPr>
          <w:rFonts w:ascii="宋体" w:hAnsi="宋体" w:cs="宋体"/>
          <w:sz w:val="28"/>
          <w:szCs w:val="28"/>
        </w:rPr>
      </w:pPr>
      <w:r>
        <w:rPr>
          <w:rFonts w:hint="eastAsia" w:ascii="宋体" w:hAnsi="宋体" w:cs="宋体"/>
          <w:sz w:val="28"/>
          <w:szCs w:val="28"/>
        </w:rPr>
        <w:t xml:space="preserve">（2）对已灭火而未脱衣服的伤员必须仔细检查全身情况，保持伤口清洁。伤员的衣服鞋袜用剪刀剪开后除去，伤口全部用清洁布片覆盖，防止污染。 </w:t>
      </w:r>
    </w:p>
    <w:p>
      <w:pPr>
        <w:ind w:firstLine="560" w:firstLineChars="200"/>
        <w:rPr>
          <w:rFonts w:ascii="宋体" w:hAnsi="宋体" w:cs="宋体"/>
          <w:sz w:val="28"/>
          <w:szCs w:val="28"/>
        </w:rPr>
      </w:pPr>
      <w:r>
        <w:rPr>
          <w:rFonts w:hint="eastAsia" w:ascii="宋体" w:hAnsi="宋体" w:cs="宋体"/>
          <w:sz w:val="28"/>
          <w:szCs w:val="28"/>
        </w:rPr>
        <w:t>（3）四肢烧伤时，先用清洁冷水冲洗，然后用清洁布片、消毒纱布覆盖并送往医院。</w:t>
      </w:r>
    </w:p>
    <w:p>
      <w:pPr>
        <w:ind w:firstLine="560" w:firstLineChars="200"/>
        <w:rPr>
          <w:rFonts w:cs="宋体"/>
          <w:sz w:val="24"/>
          <w:szCs w:val="24"/>
        </w:rPr>
      </w:pPr>
      <w:r>
        <w:rPr>
          <w:rFonts w:hint="eastAsia" w:ascii="宋体" w:hAnsi="宋体" w:cs="宋体"/>
          <w:sz w:val="28"/>
          <w:szCs w:val="28"/>
        </w:rPr>
        <w:t>对爆炸冲击波烧伤的伤员要注意有无脑颅损伤，腹腔损伤和呼吸道损伤。</w:t>
      </w:r>
    </w:p>
    <w:p>
      <w:pPr>
        <w:pStyle w:val="5"/>
        <w:spacing w:before="0" w:after="0"/>
        <w:rPr>
          <w:rStyle w:val="49"/>
          <w:rFonts w:ascii="Times New Roman" w:hAnsi="Times New Roman" w:cs="宋体"/>
          <w:b/>
          <w:bCs/>
          <w:sz w:val="24"/>
          <w:szCs w:val="24"/>
        </w:rPr>
      </w:pPr>
      <w:bookmarkStart w:id="789" w:name="_Toc10812"/>
      <w:bookmarkStart w:id="790" w:name="_Toc1703"/>
      <w:bookmarkStart w:id="791" w:name="_Toc724"/>
      <w:bookmarkStart w:id="792" w:name="_Toc274"/>
      <w:r>
        <w:rPr>
          <w:rStyle w:val="49"/>
          <w:rFonts w:hint="eastAsia" w:ascii="Times New Roman" w:hAnsi="Times New Roman" w:cs="宋体"/>
          <w:b/>
          <w:bCs/>
          <w:sz w:val="24"/>
          <w:szCs w:val="24"/>
        </w:rPr>
        <w:t>2.4.3后期处置措施</w:t>
      </w:r>
      <w:bookmarkEnd w:id="789"/>
      <w:bookmarkEnd w:id="790"/>
      <w:bookmarkEnd w:id="791"/>
      <w:bookmarkEnd w:id="792"/>
    </w:p>
    <w:p>
      <w:pPr>
        <w:ind w:firstLine="560" w:firstLineChars="200"/>
        <w:rPr>
          <w:rFonts w:ascii="宋体" w:hAnsi="宋体" w:cs="宋体"/>
          <w:sz w:val="28"/>
          <w:szCs w:val="28"/>
        </w:rPr>
      </w:pPr>
      <w:r>
        <w:rPr>
          <w:rFonts w:hint="eastAsia" w:ascii="宋体" w:hAnsi="宋体" w:cs="宋体"/>
          <w:sz w:val="28"/>
          <w:szCs w:val="28"/>
        </w:rPr>
        <w:t>认真做好事故伤亡人员家属的思想工作，妥善处理事故善后事宜。切实做好事故后场所、设施、设备、器材、物品、用具等的清洁卫生处理，净化内外环境。</w:t>
      </w:r>
    </w:p>
    <w:p>
      <w:pPr>
        <w:ind w:firstLine="560" w:firstLineChars="200"/>
        <w:rPr>
          <w:rFonts w:ascii="宋体" w:hAnsi="宋体" w:cs="宋体"/>
          <w:sz w:val="28"/>
          <w:szCs w:val="28"/>
        </w:rPr>
      </w:pPr>
      <w:r>
        <w:rPr>
          <w:rFonts w:hint="eastAsia" w:ascii="宋体" w:hAnsi="宋体" w:cs="宋体"/>
          <w:sz w:val="28"/>
          <w:szCs w:val="28"/>
        </w:rPr>
        <w:t>事故调查领导小组要积极协助安全、消防、公安机关勘察事故现场及调查取证。按照安全事故“四不放过”(事故原因未查清不放过，责任人员未处理不放过，整改措施未落实不放过，有关人员未受到教育不放过)原则，调查火灾原因，核定事故损失，查明火灾事故责任人；写出调查报告，提出对火灾事故的处理意见。</w:t>
      </w:r>
    </w:p>
    <w:p>
      <w:pPr>
        <w:ind w:firstLine="560" w:firstLineChars="200"/>
        <w:rPr>
          <w:rFonts w:ascii="宋体" w:hAnsi="宋体" w:cs="宋体"/>
          <w:sz w:val="28"/>
          <w:szCs w:val="28"/>
        </w:rPr>
      </w:pPr>
      <w:r>
        <w:rPr>
          <w:rFonts w:hint="eastAsia" w:ascii="宋体" w:hAnsi="宋体" w:cs="宋体"/>
          <w:sz w:val="28"/>
          <w:szCs w:val="28"/>
        </w:rPr>
        <w:t>组织全体员工抗灾自救，抢修设施、设备，尽可能在较短时间内恢复正常工作状态。</w:t>
      </w:r>
    </w:p>
    <w:p>
      <w:pPr>
        <w:pStyle w:val="5"/>
        <w:spacing w:before="0" w:after="0"/>
        <w:rPr>
          <w:rStyle w:val="49"/>
          <w:rFonts w:ascii="Times New Roman" w:hAnsi="Times New Roman" w:cs="宋体"/>
          <w:b/>
          <w:bCs/>
          <w:sz w:val="24"/>
          <w:szCs w:val="24"/>
        </w:rPr>
      </w:pPr>
      <w:bookmarkStart w:id="793" w:name="_Toc23142"/>
      <w:bookmarkStart w:id="794" w:name="_Toc24695"/>
      <w:bookmarkStart w:id="795" w:name="_Toc12367"/>
      <w:bookmarkStart w:id="796" w:name="_Toc6538"/>
      <w:r>
        <w:rPr>
          <w:rStyle w:val="49"/>
          <w:rFonts w:hint="eastAsia" w:ascii="Times New Roman" w:hAnsi="Times New Roman" w:cs="宋体"/>
          <w:b/>
          <w:bCs/>
          <w:sz w:val="24"/>
          <w:szCs w:val="24"/>
        </w:rPr>
        <w:t>2.4.4实施注意事项</w:t>
      </w:r>
      <w:bookmarkEnd w:id="793"/>
      <w:bookmarkEnd w:id="794"/>
      <w:bookmarkEnd w:id="795"/>
      <w:bookmarkEnd w:id="796"/>
    </w:p>
    <w:p>
      <w:pPr>
        <w:ind w:firstLine="560" w:firstLineChars="200"/>
        <w:rPr>
          <w:rFonts w:ascii="宋体" w:hAnsi="宋体" w:cs="宋体"/>
          <w:sz w:val="28"/>
          <w:szCs w:val="28"/>
        </w:rPr>
      </w:pPr>
      <w:r>
        <w:rPr>
          <w:rFonts w:hint="eastAsia" w:ascii="宋体" w:hAnsi="宋体" w:cs="宋体"/>
          <w:sz w:val="28"/>
          <w:szCs w:val="28"/>
        </w:rPr>
        <w:t>1、应急救援行动必须本着“以人为本”的指导思想，在实施救援行动中应先救人，再处置其他事项。</w:t>
      </w:r>
    </w:p>
    <w:p>
      <w:pPr>
        <w:ind w:firstLine="560" w:firstLineChars="200"/>
        <w:rPr>
          <w:rFonts w:ascii="宋体" w:hAnsi="宋体" w:cs="宋体"/>
          <w:sz w:val="28"/>
          <w:szCs w:val="28"/>
        </w:rPr>
      </w:pPr>
      <w:r>
        <w:rPr>
          <w:rFonts w:hint="eastAsia" w:ascii="宋体" w:hAnsi="宋体" w:cs="宋体"/>
          <w:sz w:val="28"/>
          <w:szCs w:val="28"/>
        </w:rPr>
        <w:t>2、进入事故现场实施应急救援人员必须穿戴有效的防护用品，在确保自身安全的前提下方可进入现场。</w:t>
      </w:r>
    </w:p>
    <w:p>
      <w:pPr>
        <w:ind w:firstLine="560" w:firstLineChars="200"/>
        <w:rPr>
          <w:rFonts w:ascii="宋体" w:hAnsi="宋体" w:cs="宋体"/>
          <w:sz w:val="28"/>
          <w:szCs w:val="28"/>
        </w:rPr>
      </w:pPr>
      <w:r>
        <w:rPr>
          <w:rFonts w:hint="eastAsia" w:ascii="宋体" w:hAnsi="宋体" w:cs="宋体"/>
          <w:sz w:val="28"/>
          <w:szCs w:val="28"/>
        </w:rPr>
        <w:t>3、进入事物现场的救援人员最少2人以上为一组，起到相互监护的作用。</w:t>
      </w:r>
    </w:p>
    <w:p>
      <w:pPr>
        <w:ind w:firstLine="560" w:firstLineChars="200"/>
        <w:rPr>
          <w:rFonts w:ascii="宋体" w:hAnsi="宋体" w:cs="宋体"/>
          <w:sz w:val="28"/>
          <w:szCs w:val="28"/>
        </w:rPr>
      </w:pPr>
      <w:r>
        <w:rPr>
          <w:rFonts w:hint="eastAsia" w:ascii="宋体" w:hAnsi="宋体" w:cs="宋体"/>
          <w:sz w:val="28"/>
          <w:szCs w:val="28"/>
        </w:rPr>
        <w:t>4、所有人员应密切关注风向标，判断风向，人员应处于事故现场的上风向等安全地域。现场应急领导小组应设置在事故现场的上风向等安全地域。</w:t>
      </w:r>
    </w:p>
    <w:p>
      <w:pPr>
        <w:ind w:firstLine="560" w:firstLineChars="200"/>
        <w:rPr>
          <w:rFonts w:ascii="宋体" w:hAnsi="宋体" w:cs="宋体"/>
          <w:sz w:val="28"/>
          <w:szCs w:val="28"/>
        </w:rPr>
      </w:pPr>
      <w:r>
        <w:rPr>
          <w:rFonts w:hint="eastAsia" w:ascii="宋体" w:hAnsi="宋体" w:cs="宋体"/>
          <w:sz w:val="28"/>
          <w:szCs w:val="28"/>
        </w:rPr>
        <w:t>5、进入事故现场的救援人员应密切注意正压式呼吸器的氧（空气）压力（表），当表压报警或表压运行至下限时，应立即撤离事故现场。</w:t>
      </w:r>
    </w:p>
    <w:p>
      <w:pPr>
        <w:ind w:firstLine="560" w:firstLineChars="200"/>
        <w:rPr>
          <w:rFonts w:ascii="宋体" w:hAnsi="宋体" w:cs="宋体"/>
          <w:sz w:val="28"/>
          <w:szCs w:val="28"/>
        </w:rPr>
      </w:pPr>
      <w:r>
        <w:rPr>
          <w:rFonts w:hint="eastAsia" w:ascii="宋体" w:hAnsi="宋体" w:cs="宋体"/>
          <w:sz w:val="28"/>
          <w:szCs w:val="28"/>
        </w:rPr>
        <w:t>6、场外人员应密切注意进入事故现场实施救援行动的人员，保持正常的经常的联系。</w:t>
      </w:r>
    </w:p>
    <w:p>
      <w:pPr>
        <w:ind w:firstLine="560" w:firstLineChars="200"/>
        <w:rPr>
          <w:rFonts w:ascii="宋体" w:hAnsi="宋体" w:cs="宋体"/>
          <w:sz w:val="28"/>
          <w:szCs w:val="28"/>
        </w:rPr>
      </w:pPr>
      <w:r>
        <w:rPr>
          <w:rFonts w:hint="eastAsia" w:ascii="宋体" w:hAnsi="宋体" w:cs="宋体"/>
          <w:sz w:val="28"/>
          <w:szCs w:val="28"/>
        </w:rPr>
        <w:t>7、警戒人员应严格执行警戒任务，除有救援标志的救援人员其他人员一律不能进入警戒线内。</w:t>
      </w:r>
    </w:p>
    <w:p>
      <w:pPr>
        <w:ind w:firstLine="560" w:firstLineChars="200"/>
        <w:rPr>
          <w:rFonts w:ascii="宋体" w:hAnsi="宋体" w:cs="宋体"/>
          <w:sz w:val="28"/>
          <w:szCs w:val="28"/>
        </w:rPr>
      </w:pPr>
      <w:r>
        <w:rPr>
          <w:rFonts w:hint="eastAsia" w:ascii="宋体" w:hAnsi="宋体" w:cs="宋体"/>
          <w:sz w:val="28"/>
          <w:szCs w:val="28"/>
        </w:rPr>
        <w:t>8、处于事故现场下风向的警戒人员，应佩戴相应有效的防护用品。</w:t>
      </w:r>
    </w:p>
    <w:p>
      <w:pPr>
        <w:ind w:firstLine="560" w:firstLineChars="200"/>
        <w:rPr>
          <w:rFonts w:ascii="宋体" w:hAnsi="宋体" w:cs="宋体"/>
          <w:sz w:val="28"/>
          <w:szCs w:val="28"/>
        </w:rPr>
      </w:pPr>
      <w:r>
        <w:rPr>
          <w:rFonts w:hint="eastAsia" w:ascii="宋体" w:hAnsi="宋体" w:cs="宋体"/>
          <w:sz w:val="28"/>
          <w:szCs w:val="28"/>
        </w:rPr>
        <w:t>9、进入事故现场的救援人员，应针对泄漏点采取有效、科学、合理的处置，严禁冒险、盲目作业，避免事故的扩大。</w:t>
      </w:r>
    </w:p>
    <w:p>
      <w:pPr>
        <w:ind w:firstLine="560" w:firstLineChars="200"/>
        <w:rPr>
          <w:rFonts w:ascii="宋体" w:hAnsi="宋体" w:cs="宋体"/>
          <w:sz w:val="28"/>
          <w:szCs w:val="28"/>
        </w:rPr>
      </w:pPr>
      <w:r>
        <w:rPr>
          <w:rFonts w:hint="eastAsia" w:ascii="宋体" w:hAnsi="宋体" w:cs="宋体"/>
          <w:sz w:val="28"/>
          <w:szCs w:val="28"/>
        </w:rPr>
        <w:t>10、基本灭火方法</w:t>
      </w:r>
    </w:p>
    <w:p>
      <w:pPr>
        <w:ind w:firstLine="560" w:firstLineChars="200"/>
        <w:rPr>
          <w:rFonts w:ascii="宋体" w:hAnsi="宋体" w:cs="宋体"/>
          <w:sz w:val="28"/>
          <w:szCs w:val="28"/>
        </w:rPr>
      </w:pPr>
      <w:r>
        <w:rPr>
          <w:rFonts w:hint="eastAsia" w:ascii="宋体" w:hAnsi="宋体" w:cs="宋体"/>
          <w:sz w:val="28"/>
          <w:szCs w:val="28"/>
        </w:rPr>
        <w:t>（1）窒息灭火法</w:t>
      </w:r>
    </w:p>
    <w:p>
      <w:pPr>
        <w:ind w:firstLine="560" w:firstLineChars="200"/>
        <w:rPr>
          <w:rFonts w:ascii="宋体" w:hAnsi="宋体" w:cs="宋体"/>
          <w:sz w:val="28"/>
          <w:szCs w:val="28"/>
        </w:rPr>
      </w:pPr>
      <w:r>
        <w:rPr>
          <w:rFonts w:hint="eastAsia" w:ascii="宋体" w:hAnsi="宋体" w:cs="宋体"/>
          <w:sz w:val="28"/>
          <w:szCs w:val="28"/>
        </w:rPr>
        <w:t>火灾现场可采用沙土、石棉布，浸湿的棉被、帆布等不燃或难燃材料覆盖燃烧物或封闭孔洞；</w:t>
      </w:r>
    </w:p>
    <w:p>
      <w:pPr>
        <w:ind w:firstLine="560" w:firstLineChars="200"/>
        <w:rPr>
          <w:rFonts w:ascii="宋体" w:hAnsi="宋体" w:cs="宋体"/>
          <w:sz w:val="28"/>
          <w:szCs w:val="28"/>
        </w:rPr>
      </w:pPr>
      <w:r>
        <w:rPr>
          <w:rFonts w:hint="eastAsia" w:ascii="宋体" w:hAnsi="宋体" w:cs="宋体"/>
          <w:sz w:val="28"/>
          <w:szCs w:val="28"/>
        </w:rPr>
        <w:t>用水蒸气、惰性气体或二氧化碳冲入燃烧区域内；</w:t>
      </w:r>
    </w:p>
    <w:p>
      <w:pPr>
        <w:ind w:firstLine="560" w:firstLineChars="200"/>
        <w:rPr>
          <w:rFonts w:ascii="宋体" w:hAnsi="宋体" w:cs="宋体"/>
          <w:sz w:val="28"/>
          <w:szCs w:val="28"/>
        </w:rPr>
      </w:pPr>
      <w:r>
        <w:rPr>
          <w:rFonts w:hint="eastAsia" w:ascii="宋体" w:hAnsi="宋体" w:cs="宋体"/>
          <w:sz w:val="28"/>
          <w:szCs w:val="28"/>
        </w:rPr>
        <w:t>利用建筑物原有的门、窗以及生产储运设备上的部件封闭燃烧区，阻止新鲜空气流入，以降低燃烧区内氧气含量，窒息燃烧。</w:t>
      </w:r>
    </w:p>
    <w:p>
      <w:pPr>
        <w:ind w:firstLine="560" w:firstLineChars="200"/>
        <w:rPr>
          <w:rFonts w:ascii="宋体" w:hAnsi="宋体" w:cs="宋体"/>
          <w:sz w:val="28"/>
          <w:szCs w:val="28"/>
        </w:rPr>
      </w:pPr>
      <w:r>
        <w:rPr>
          <w:rFonts w:hint="eastAsia" w:ascii="宋体" w:hAnsi="宋体" w:cs="宋体"/>
          <w:sz w:val="28"/>
          <w:szCs w:val="28"/>
        </w:rPr>
        <w:t>（2）冷却灭火法。</w:t>
      </w:r>
    </w:p>
    <w:p>
      <w:pPr>
        <w:ind w:firstLine="560" w:firstLineChars="200"/>
        <w:rPr>
          <w:rFonts w:ascii="宋体" w:hAnsi="宋体" w:cs="宋体"/>
          <w:sz w:val="28"/>
          <w:szCs w:val="28"/>
        </w:rPr>
      </w:pPr>
      <w:r>
        <w:rPr>
          <w:rFonts w:hint="eastAsia" w:ascii="宋体" w:hAnsi="宋体" w:cs="宋体"/>
          <w:sz w:val="28"/>
          <w:szCs w:val="28"/>
        </w:rPr>
        <w:t>将灭火剂直接喷洒在燃烧物体上，使可燃物质终止燃烧。在必要的情况下，可用冷却剂冷却生产装置、设备容器等，防止建筑构件变形造成更大损失。</w:t>
      </w:r>
    </w:p>
    <w:p>
      <w:pPr>
        <w:ind w:firstLine="560" w:firstLineChars="200"/>
        <w:rPr>
          <w:rFonts w:ascii="宋体" w:hAnsi="宋体" w:cs="宋体"/>
          <w:sz w:val="28"/>
          <w:szCs w:val="28"/>
        </w:rPr>
      </w:pPr>
      <w:r>
        <w:rPr>
          <w:rFonts w:hint="eastAsia" w:ascii="宋体" w:hAnsi="宋体" w:cs="宋体"/>
          <w:sz w:val="28"/>
          <w:szCs w:val="28"/>
        </w:rPr>
        <w:t>（3）隔离灭火法。</w:t>
      </w:r>
    </w:p>
    <w:p>
      <w:pPr>
        <w:ind w:firstLine="560" w:firstLineChars="200"/>
        <w:rPr>
          <w:rFonts w:ascii="宋体" w:hAnsi="宋体" w:cs="宋体"/>
          <w:sz w:val="28"/>
          <w:szCs w:val="28"/>
        </w:rPr>
      </w:pPr>
      <w:r>
        <w:rPr>
          <w:rFonts w:hint="eastAsia" w:ascii="宋体" w:hAnsi="宋体" w:cs="宋体"/>
          <w:sz w:val="28"/>
          <w:szCs w:val="28"/>
        </w:rPr>
        <w:t>将燃烧区域附近的可燃、易燃、易爆和助燃物质转移到安全地点；关闭阀门，阻止气体、液体流入燃烧区；设法阻拦流散的易燃、可燃气体；拆除与燃烧区相毗邻的可燃建筑物，形成防止火势蔓延的间距等。</w:t>
      </w:r>
    </w:p>
    <w:p>
      <w:pPr>
        <w:ind w:firstLine="560" w:firstLineChars="200"/>
        <w:rPr>
          <w:rFonts w:ascii="宋体" w:hAnsi="宋体" w:cs="宋体"/>
          <w:sz w:val="28"/>
          <w:szCs w:val="28"/>
        </w:rPr>
      </w:pPr>
      <w:r>
        <w:rPr>
          <w:rFonts w:hint="eastAsia" w:ascii="宋体" w:hAnsi="宋体" w:cs="宋体"/>
          <w:sz w:val="28"/>
          <w:szCs w:val="28"/>
        </w:rPr>
        <w:t>抑制灭火法。使用常用灭火剂，使燃烧反应停止。</w:t>
      </w:r>
    </w:p>
    <w:p>
      <w:pPr>
        <w:pStyle w:val="4"/>
        <w:spacing w:before="0" w:after="0"/>
        <w:rPr>
          <w:rStyle w:val="51"/>
          <w:rFonts w:hint="default" w:ascii="Times New Roman" w:hAnsi="Times New Roman" w:cs="宋体"/>
          <w:b/>
          <w:bCs/>
          <w:sz w:val="24"/>
          <w:szCs w:val="24"/>
        </w:rPr>
      </w:pPr>
      <w:bookmarkStart w:id="797" w:name="_Toc5609"/>
      <w:bookmarkStart w:id="798" w:name="_Toc17414"/>
      <w:bookmarkStart w:id="799" w:name="_Toc21363"/>
      <w:bookmarkStart w:id="800" w:name="_Toc16997"/>
      <w:r>
        <w:rPr>
          <w:rStyle w:val="51"/>
          <w:rFonts w:hint="default" w:ascii="Times New Roman" w:hAnsi="Times New Roman" w:cs="宋体"/>
          <w:b/>
          <w:bCs/>
          <w:sz w:val="24"/>
          <w:szCs w:val="24"/>
        </w:rPr>
        <w:t>2.5附则</w:t>
      </w:r>
      <w:bookmarkEnd w:id="797"/>
      <w:bookmarkEnd w:id="798"/>
      <w:bookmarkEnd w:id="799"/>
      <w:bookmarkEnd w:id="800"/>
    </w:p>
    <w:p>
      <w:pPr>
        <w:ind w:firstLine="560" w:firstLineChars="200"/>
        <w:rPr>
          <w:rFonts w:ascii="宋体" w:hAnsi="宋体" w:cs="宋体"/>
          <w:sz w:val="28"/>
          <w:szCs w:val="28"/>
        </w:rPr>
      </w:pPr>
      <w:r>
        <w:rPr>
          <w:rFonts w:hint="eastAsia" w:ascii="宋体" w:hAnsi="宋体" w:cs="宋体"/>
          <w:sz w:val="28"/>
          <w:szCs w:val="28"/>
        </w:rPr>
        <w:t>本预案自发布之日起实施。</w:t>
      </w:r>
    </w:p>
    <w:p>
      <w:pPr>
        <w:pStyle w:val="3"/>
        <w:snapToGrid w:val="0"/>
        <w:rPr>
          <w:rFonts w:eastAsia="宋体" w:cs="宋体"/>
        </w:rPr>
      </w:pPr>
      <w:bookmarkStart w:id="801" w:name="_Toc483316019"/>
      <w:bookmarkStart w:id="802" w:name="_Toc488826657"/>
      <w:bookmarkStart w:id="803" w:name="_Toc534983020"/>
      <w:bookmarkStart w:id="804" w:name="_Toc9229"/>
      <w:bookmarkStart w:id="805" w:name="_Toc2338"/>
      <w:bookmarkStart w:id="806" w:name="_Toc11104"/>
      <w:bookmarkStart w:id="807" w:name="_Toc16956"/>
      <w:r>
        <w:rPr>
          <w:rFonts w:hint="eastAsia" w:eastAsia="宋体" w:cs="宋体"/>
        </w:rPr>
        <w:t>三、自然灾害专项应急预案</w:t>
      </w:r>
      <w:bookmarkEnd w:id="801"/>
      <w:bookmarkEnd w:id="802"/>
      <w:bookmarkEnd w:id="803"/>
      <w:bookmarkEnd w:id="804"/>
      <w:bookmarkEnd w:id="805"/>
      <w:bookmarkEnd w:id="806"/>
      <w:bookmarkEnd w:id="807"/>
    </w:p>
    <w:p>
      <w:pPr>
        <w:pStyle w:val="4"/>
        <w:spacing w:before="0" w:after="0"/>
        <w:rPr>
          <w:rStyle w:val="51"/>
          <w:rFonts w:hint="default" w:ascii="Times New Roman" w:hAnsi="Times New Roman" w:cs="宋体"/>
          <w:b/>
          <w:bCs/>
          <w:sz w:val="24"/>
          <w:szCs w:val="24"/>
        </w:rPr>
      </w:pPr>
      <w:bookmarkStart w:id="808" w:name="_Toc483316020"/>
      <w:bookmarkStart w:id="809" w:name="_Toc488826658"/>
      <w:bookmarkStart w:id="810" w:name="_Toc534983021"/>
      <w:bookmarkStart w:id="811" w:name="_Toc2444"/>
      <w:bookmarkStart w:id="812" w:name="_Toc31459"/>
      <w:bookmarkStart w:id="813" w:name="_Toc14970"/>
      <w:bookmarkStart w:id="814" w:name="_Toc8176"/>
      <w:r>
        <w:rPr>
          <w:rStyle w:val="51"/>
          <w:rFonts w:hint="default" w:ascii="Times New Roman" w:hAnsi="Times New Roman" w:cs="宋体"/>
          <w:b/>
          <w:bCs/>
          <w:sz w:val="24"/>
          <w:szCs w:val="24"/>
        </w:rPr>
        <w:t>3.1 事故风险分析</w:t>
      </w:r>
      <w:bookmarkEnd w:id="808"/>
      <w:bookmarkEnd w:id="809"/>
      <w:bookmarkEnd w:id="810"/>
      <w:bookmarkEnd w:id="811"/>
      <w:bookmarkEnd w:id="812"/>
      <w:bookmarkEnd w:id="813"/>
      <w:bookmarkEnd w:id="814"/>
    </w:p>
    <w:p>
      <w:pPr>
        <w:ind w:firstLine="560" w:firstLineChars="200"/>
        <w:rPr>
          <w:rFonts w:ascii="宋体" w:hAnsi="宋体" w:cs="宋体"/>
          <w:sz w:val="28"/>
          <w:szCs w:val="28"/>
        </w:rPr>
      </w:pPr>
      <w:r>
        <w:rPr>
          <w:rFonts w:hint="eastAsia" w:ascii="宋体" w:hAnsi="宋体" w:cs="宋体"/>
          <w:sz w:val="28"/>
          <w:szCs w:val="28"/>
        </w:rPr>
        <w:t>本专项预案的自然灾害（包含雷击、暴雨、大风、地震等）对吉运加油站设备设施破坏、财产损失或人员伤亡等事件。如果发生破坏性自然灾害将会造成物料泄漏、火灾、爆炸等危害性较大的事故，可能造成严重的人员伤亡和财产损失。具体危害分类如下：</w:t>
      </w:r>
    </w:p>
    <w:p>
      <w:pPr>
        <w:ind w:firstLine="560" w:firstLineChars="200"/>
        <w:rPr>
          <w:rFonts w:ascii="宋体" w:hAnsi="宋体" w:cs="宋体"/>
          <w:sz w:val="28"/>
          <w:szCs w:val="28"/>
        </w:rPr>
      </w:pPr>
      <w:r>
        <w:rPr>
          <w:rFonts w:hint="eastAsia" w:ascii="宋体" w:hAnsi="宋体" w:cs="宋体"/>
          <w:sz w:val="28"/>
          <w:szCs w:val="28"/>
        </w:rPr>
        <w:t>1、设备损坏：油罐、加油机等。</w:t>
      </w:r>
    </w:p>
    <w:p>
      <w:pPr>
        <w:ind w:firstLine="560" w:firstLineChars="200"/>
        <w:rPr>
          <w:rFonts w:ascii="宋体" w:hAnsi="宋体" w:cs="宋体"/>
          <w:sz w:val="28"/>
          <w:szCs w:val="28"/>
        </w:rPr>
      </w:pPr>
      <w:r>
        <w:rPr>
          <w:rFonts w:hint="eastAsia" w:ascii="宋体" w:hAnsi="宋体" w:cs="宋体"/>
          <w:sz w:val="28"/>
          <w:szCs w:val="28"/>
        </w:rPr>
        <w:t>2、站房、罩棚损坏。</w:t>
      </w:r>
    </w:p>
    <w:p>
      <w:pPr>
        <w:ind w:firstLine="560" w:firstLineChars="200"/>
        <w:rPr>
          <w:rFonts w:ascii="宋体" w:hAnsi="宋体" w:cs="宋体"/>
          <w:sz w:val="28"/>
          <w:szCs w:val="28"/>
        </w:rPr>
      </w:pPr>
      <w:r>
        <w:rPr>
          <w:rFonts w:hint="eastAsia" w:ascii="宋体" w:hAnsi="宋体" w:cs="宋体"/>
          <w:sz w:val="28"/>
          <w:szCs w:val="28"/>
        </w:rPr>
        <w:t>3、人员伤亡。</w:t>
      </w:r>
    </w:p>
    <w:p>
      <w:pPr>
        <w:pStyle w:val="4"/>
        <w:spacing w:before="0" w:after="0"/>
        <w:rPr>
          <w:rStyle w:val="51"/>
          <w:rFonts w:hint="default" w:ascii="Times New Roman" w:hAnsi="Times New Roman" w:cs="宋体"/>
          <w:b/>
          <w:bCs/>
          <w:sz w:val="24"/>
          <w:szCs w:val="24"/>
        </w:rPr>
      </w:pPr>
      <w:bookmarkStart w:id="815" w:name="_Toc483316021"/>
      <w:bookmarkStart w:id="816" w:name="_Toc488826659"/>
      <w:bookmarkStart w:id="817" w:name="_Toc534983022"/>
      <w:bookmarkStart w:id="818" w:name="_Toc29561"/>
      <w:bookmarkStart w:id="819" w:name="_Toc28947"/>
      <w:bookmarkStart w:id="820" w:name="_Toc30646"/>
      <w:bookmarkStart w:id="821" w:name="_Toc18910"/>
      <w:r>
        <w:rPr>
          <w:rStyle w:val="51"/>
          <w:rFonts w:hint="default" w:ascii="Times New Roman" w:hAnsi="Times New Roman" w:cs="宋体"/>
          <w:b/>
          <w:bCs/>
          <w:sz w:val="24"/>
          <w:szCs w:val="24"/>
        </w:rPr>
        <w:t>3.2 应急指挥机构及职责</w:t>
      </w:r>
      <w:bookmarkEnd w:id="815"/>
      <w:bookmarkEnd w:id="816"/>
      <w:bookmarkEnd w:id="817"/>
      <w:bookmarkEnd w:id="818"/>
      <w:bookmarkEnd w:id="819"/>
      <w:bookmarkEnd w:id="820"/>
      <w:bookmarkEnd w:id="821"/>
    </w:p>
    <w:p>
      <w:pPr>
        <w:pStyle w:val="5"/>
        <w:spacing w:before="0" w:after="0"/>
        <w:rPr>
          <w:rStyle w:val="49"/>
          <w:rFonts w:ascii="Times New Roman" w:hAnsi="Times New Roman" w:cs="宋体"/>
          <w:b/>
          <w:bCs/>
          <w:sz w:val="24"/>
          <w:szCs w:val="24"/>
        </w:rPr>
      </w:pPr>
      <w:bookmarkStart w:id="822" w:name="_Toc448477655"/>
      <w:bookmarkStart w:id="823" w:name="_Toc449517907"/>
      <w:bookmarkStart w:id="824" w:name="_Toc18406"/>
      <w:bookmarkStart w:id="825" w:name="_Toc16407"/>
      <w:bookmarkStart w:id="826" w:name="_Toc13013"/>
      <w:bookmarkStart w:id="827" w:name="_Toc13027"/>
      <w:r>
        <w:rPr>
          <w:rStyle w:val="49"/>
          <w:rFonts w:hint="eastAsia" w:ascii="Times New Roman" w:hAnsi="Times New Roman" w:cs="宋体"/>
          <w:b/>
          <w:bCs/>
          <w:sz w:val="24"/>
          <w:szCs w:val="24"/>
        </w:rPr>
        <w:t>3.2.1指挥部组成及设置</w:t>
      </w:r>
      <w:bookmarkEnd w:id="822"/>
      <w:bookmarkEnd w:id="823"/>
      <w:bookmarkEnd w:id="824"/>
      <w:bookmarkEnd w:id="825"/>
      <w:bookmarkEnd w:id="826"/>
      <w:bookmarkEnd w:id="827"/>
    </w:p>
    <w:p>
      <w:pPr>
        <w:spacing w:line="480" w:lineRule="exact"/>
        <w:ind w:firstLine="560" w:firstLineChars="200"/>
        <w:rPr>
          <w:rFonts w:cs="宋体"/>
          <w:sz w:val="24"/>
        </w:rPr>
      </w:pPr>
      <w:r>
        <w:rPr>
          <w:rFonts w:hint="eastAsia" w:ascii="宋体" w:hAnsi="宋体" w:cs="宋体"/>
          <w:sz w:val="28"/>
          <w:szCs w:val="28"/>
        </w:rPr>
        <w:t>指挥部组成及设置与《综合应急预案》相同</w:t>
      </w:r>
    </w:p>
    <w:p>
      <w:pPr>
        <w:pStyle w:val="5"/>
        <w:spacing w:before="0" w:after="0"/>
        <w:rPr>
          <w:rStyle w:val="49"/>
          <w:rFonts w:ascii="Times New Roman" w:hAnsi="Times New Roman" w:cs="宋体"/>
          <w:b/>
          <w:bCs/>
          <w:sz w:val="24"/>
          <w:szCs w:val="24"/>
        </w:rPr>
      </w:pPr>
      <w:bookmarkStart w:id="828" w:name="_Toc448477656"/>
      <w:bookmarkStart w:id="829" w:name="_Toc449517908"/>
      <w:bookmarkStart w:id="830" w:name="_Toc12213"/>
      <w:bookmarkStart w:id="831" w:name="_Toc17026"/>
      <w:bookmarkStart w:id="832" w:name="_Toc20913"/>
      <w:bookmarkStart w:id="833" w:name="_Toc29594"/>
      <w:r>
        <w:rPr>
          <w:rStyle w:val="49"/>
          <w:rFonts w:hint="eastAsia" w:ascii="Times New Roman" w:hAnsi="Times New Roman" w:cs="宋体"/>
          <w:b/>
          <w:bCs/>
          <w:sz w:val="24"/>
          <w:szCs w:val="24"/>
        </w:rPr>
        <w:t>3.2.2</w:t>
      </w:r>
      <w:bookmarkEnd w:id="828"/>
      <w:bookmarkEnd w:id="829"/>
      <w:r>
        <w:rPr>
          <w:rStyle w:val="49"/>
          <w:rFonts w:hint="eastAsia" w:ascii="Times New Roman" w:hAnsi="Times New Roman" w:cs="宋体"/>
          <w:b/>
          <w:bCs/>
          <w:sz w:val="24"/>
          <w:szCs w:val="24"/>
        </w:rPr>
        <w:t>组织机构职责</w:t>
      </w:r>
      <w:bookmarkEnd w:id="830"/>
      <w:bookmarkEnd w:id="831"/>
      <w:bookmarkEnd w:id="832"/>
      <w:bookmarkEnd w:id="833"/>
    </w:p>
    <w:p>
      <w:pPr>
        <w:spacing w:line="480" w:lineRule="exact"/>
        <w:ind w:firstLine="480" w:firstLineChars="200"/>
        <w:rPr>
          <w:rFonts w:cs="宋体"/>
          <w:sz w:val="24"/>
        </w:rPr>
      </w:pPr>
      <w:r>
        <w:rPr>
          <w:rFonts w:hint="eastAsia" w:cs="宋体"/>
          <w:sz w:val="24"/>
        </w:rPr>
        <w:t>指挥部及各机构职责与《综合应急预案》相同</w:t>
      </w:r>
    </w:p>
    <w:p>
      <w:pPr>
        <w:pStyle w:val="4"/>
        <w:spacing w:before="0" w:after="0"/>
        <w:rPr>
          <w:rStyle w:val="51"/>
          <w:rFonts w:hint="default" w:ascii="Times New Roman" w:hAnsi="Times New Roman" w:cs="宋体"/>
          <w:b/>
          <w:bCs/>
          <w:sz w:val="24"/>
          <w:szCs w:val="24"/>
        </w:rPr>
      </w:pPr>
      <w:bookmarkStart w:id="834" w:name="_Toc483316022"/>
      <w:bookmarkStart w:id="835" w:name="_Toc488826660"/>
      <w:bookmarkStart w:id="836" w:name="_Toc534983023"/>
      <w:bookmarkStart w:id="837" w:name="_Toc13811"/>
      <w:bookmarkStart w:id="838" w:name="_Toc8271"/>
      <w:bookmarkStart w:id="839" w:name="_Toc19043"/>
      <w:bookmarkStart w:id="840" w:name="_Toc28053"/>
      <w:r>
        <w:rPr>
          <w:rStyle w:val="51"/>
          <w:rFonts w:hint="default" w:ascii="Times New Roman" w:hAnsi="Times New Roman" w:cs="宋体"/>
          <w:b/>
          <w:bCs/>
          <w:sz w:val="24"/>
          <w:szCs w:val="24"/>
        </w:rPr>
        <w:t>3.3处置程序</w:t>
      </w:r>
      <w:bookmarkEnd w:id="834"/>
      <w:bookmarkEnd w:id="835"/>
      <w:bookmarkEnd w:id="836"/>
      <w:bookmarkEnd w:id="837"/>
      <w:bookmarkEnd w:id="838"/>
      <w:bookmarkEnd w:id="839"/>
      <w:bookmarkEnd w:id="840"/>
    </w:p>
    <w:p>
      <w:pPr>
        <w:pStyle w:val="5"/>
        <w:spacing w:before="0" w:after="0"/>
        <w:rPr>
          <w:rStyle w:val="49"/>
          <w:rFonts w:ascii="Times New Roman" w:hAnsi="Times New Roman" w:cs="宋体"/>
          <w:b/>
          <w:bCs/>
          <w:sz w:val="24"/>
          <w:szCs w:val="24"/>
        </w:rPr>
      </w:pPr>
      <w:bookmarkStart w:id="841" w:name="_Toc25444"/>
      <w:bookmarkStart w:id="842" w:name="_Toc32109"/>
      <w:bookmarkStart w:id="843" w:name="_Toc20141"/>
      <w:bookmarkStart w:id="844" w:name="_Toc31987"/>
      <w:r>
        <w:rPr>
          <w:rStyle w:val="49"/>
          <w:rFonts w:hint="eastAsia" w:ascii="Times New Roman" w:hAnsi="Times New Roman" w:cs="宋体"/>
          <w:b/>
          <w:bCs/>
          <w:sz w:val="24"/>
          <w:szCs w:val="24"/>
        </w:rPr>
        <w:t>3.3.1 预警行动</w:t>
      </w:r>
      <w:bookmarkEnd w:id="841"/>
      <w:bookmarkEnd w:id="842"/>
      <w:bookmarkEnd w:id="843"/>
      <w:bookmarkEnd w:id="844"/>
    </w:p>
    <w:p>
      <w:pPr>
        <w:ind w:firstLine="560" w:firstLineChars="200"/>
        <w:rPr>
          <w:rFonts w:ascii="宋体" w:hAnsi="宋体" w:cs="宋体"/>
          <w:sz w:val="28"/>
          <w:szCs w:val="28"/>
        </w:rPr>
      </w:pPr>
      <w:r>
        <w:rPr>
          <w:rFonts w:hint="eastAsia" w:ascii="宋体" w:hAnsi="宋体" w:cs="宋体"/>
          <w:sz w:val="28"/>
          <w:szCs w:val="28"/>
        </w:rPr>
        <w:t>吉运加油站应急领导小组根据地方政府应急指挥部发布的自然灾害预报，进行以下预警：</w:t>
      </w:r>
    </w:p>
    <w:p>
      <w:pPr>
        <w:ind w:firstLine="560" w:firstLineChars="200"/>
        <w:rPr>
          <w:rFonts w:ascii="宋体" w:hAnsi="宋体" w:cs="宋体"/>
          <w:sz w:val="28"/>
          <w:szCs w:val="28"/>
        </w:rPr>
      </w:pPr>
      <w:r>
        <w:rPr>
          <w:rFonts w:hint="eastAsia" w:ascii="宋体" w:hAnsi="宋体" w:cs="宋体"/>
          <w:sz w:val="28"/>
          <w:szCs w:val="28"/>
        </w:rPr>
        <w:t>1、符合本专项预案启动条件时，应按照指令立即启动本专项预案；</w:t>
      </w:r>
    </w:p>
    <w:p>
      <w:pPr>
        <w:ind w:firstLine="560" w:firstLineChars="200"/>
        <w:rPr>
          <w:rFonts w:ascii="宋体" w:hAnsi="宋体" w:cs="宋体"/>
          <w:sz w:val="28"/>
          <w:szCs w:val="28"/>
        </w:rPr>
      </w:pPr>
      <w:r>
        <w:rPr>
          <w:rFonts w:hint="eastAsia" w:ascii="宋体" w:hAnsi="宋体" w:cs="宋体"/>
          <w:sz w:val="28"/>
          <w:szCs w:val="28"/>
        </w:rPr>
        <w:t>2、不符合本专项预案启动条件时，但对加油站的生产运行有一定的影响时，指令相关部门进入预警状态，指导各相关单位制定并落实抗震的应对措施，做好防范工作；</w:t>
      </w:r>
    </w:p>
    <w:p>
      <w:pPr>
        <w:ind w:firstLine="560" w:firstLineChars="200"/>
        <w:rPr>
          <w:rFonts w:ascii="宋体" w:hAnsi="宋体" w:cs="宋体"/>
          <w:sz w:val="28"/>
          <w:szCs w:val="28"/>
        </w:rPr>
      </w:pPr>
      <w:r>
        <w:rPr>
          <w:rFonts w:hint="eastAsia" w:ascii="宋体" w:hAnsi="宋体" w:cs="宋体"/>
          <w:sz w:val="28"/>
          <w:szCs w:val="28"/>
        </w:rPr>
        <w:t>3、加强自然灾害监视，随时掌握并向当地政府部门和应急办报告自然灾害变化；</w:t>
      </w:r>
    </w:p>
    <w:p>
      <w:pPr>
        <w:ind w:firstLine="560" w:firstLineChars="200"/>
        <w:rPr>
          <w:rFonts w:ascii="宋体" w:hAnsi="宋体" w:cs="宋体"/>
          <w:sz w:val="28"/>
          <w:szCs w:val="28"/>
        </w:rPr>
      </w:pPr>
      <w:r>
        <w:rPr>
          <w:rFonts w:hint="eastAsia" w:ascii="宋体" w:hAnsi="宋体" w:cs="宋体"/>
          <w:sz w:val="28"/>
          <w:szCs w:val="28"/>
        </w:rPr>
        <w:t>4、加强防自然灾害知识宣传，重点宣传应急避难知识和自救互救知识；</w:t>
      </w:r>
    </w:p>
    <w:p>
      <w:pPr>
        <w:ind w:firstLine="560" w:firstLineChars="200"/>
        <w:rPr>
          <w:rFonts w:ascii="宋体" w:hAnsi="宋体" w:cs="宋体"/>
          <w:sz w:val="28"/>
          <w:szCs w:val="28"/>
        </w:rPr>
      </w:pPr>
      <w:r>
        <w:rPr>
          <w:rFonts w:hint="eastAsia" w:ascii="宋体" w:hAnsi="宋体" w:cs="宋体"/>
          <w:sz w:val="28"/>
          <w:szCs w:val="28"/>
        </w:rPr>
        <w:t>5、组织开展应急检查，做好准备工作；发现谣言或误传事件及时平息，保持社会安定；</w:t>
      </w:r>
    </w:p>
    <w:p>
      <w:pPr>
        <w:ind w:firstLine="560" w:firstLineChars="200"/>
        <w:rPr>
          <w:rFonts w:ascii="宋体" w:hAnsi="宋体" w:cs="宋体"/>
          <w:sz w:val="28"/>
          <w:szCs w:val="28"/>
        </w:rPr>
      </w:pPr>
      <w:r>
        <w:rPr>
          <w:rFonts w:hint="eastAsia" w:ascii="宋体" w:hAnsi="宋体" w:cs="宋体"/>
          <w:sz w:val="28"/>
          <w:szCs w:val="28"/>
        </w:rPr>
        <w:t>6、调集所需应急物资和设备；</w:t>
      </w:r>
    </w:p>
    <w:p>
      <w:pPr>
        <w:ind w:firstLine="560" w:firstLineChars="200"/>
        <w:rPr>
          <w:rFonts w:ascii="宋体" w:hAnsi="宋体" w:cs="宋体"/>
          <w:sz w:val="28"/>
          <w:szCs w:val="28"/>
        </w:rPr>
      </w:pPr>
      <w:r>
        <w:rPr>
          <w:rFonts w:hint="eastAsia" w:ascii="宋体" w:hAnsi="宋体" w:cs="宋体"/>
          <w:sz w:val="28"/>
          <w:szCs w:val="28"/>
        </w:rPr>
        <w:t>7、确保通讯、交通、供水、供电等公用设施的安全和正常运行。</w:t>
      </w:r>
    </w:p>
    <w:p>
      <w:pPr>
        <w:pStyle w:val="5"/>
        <w:spacing w:before="0" w:after="0"/>
        <w:rPr>
          <w:rStyle w:val="49"/>
          <w:rFonts w:ascii="Times New Roman" w:hAnsi="Times New Roman" w:cs="宋体"/>
          <w:b/>
          <w:bCs/>
          <w:sz w:val="24"/>
          <w:szCs w:val="24"/>
        </w:rPr>
      </w:pPr>
      <w:bookmarkStart w:id="845" w:name="_Toc28419"/>
      <w:bookmarkStart w:id="846" w:name="_Toc20846"/>
      <w:bookmarkStart w:id="847" w:name="_Toc27682"/>
      <w:bookmarkStart w:id="848" w:name="_Toc478"/>
      <w:r>
        <w:rPr>
          <w:rStyle w:val="49"/>
          <w:rFonts w:hint="eastAsia" w:ascii="Times New Roman" w:hAnsi="Times New Roman" w:cs="宋体"/>
          <w:b/>
          <w:bCs/>
          <w:sz w:val="24"/>
          <w:szCs w:val="24"/>
        </w:rPr>
        <w:t>3.3.2 信息报告</w:t>
      </w:r>
      <w:bookmarkEnd w:id="845"/>
      <w:bookmarkEnd w:id="846"/>
      <w:bookmarkEnd w:id="847"/>
      <w:bookmarkEnd w:id="848"/>
    </w:p>
    <w:p>
      <w:pPr>
        <w:ind w:firstLine="560" w:firstLineChars="200"/>
        <w:rPr>
          <w:rFonts w:ascii="宋体" w:hAnsi="宋体" w:cs="宋体"/>
          <w:sz w:val="28"/>
          <w:szCs w:val="28"/>
        </w:rPr>
      </w:pPr>
      <w:r>
        <w:rPr>
          <w:rFonts w:hint="eastAsia" w:ascii="宋体" w:hAnsi="宋体" w:cs="宋体"/>
          <w:sz w:val="28"/>
          <w:szCs w:val="28"/>
        </w:rPr>
        <w:t>发生自然灾害事件时，在启动本专项应急预案的同时，迅速按照综合应急预案（应急报告程序框图）规定的程序向负责人报告。</w:t>
      </w:r>
    </w:p>
    <w:p>
      <w:pPr>
        <w:ind w:firstLine="560" w:firstLineChars="200"/>
        <w:rPr>
          <w:rFonts w:ascii="宋体" w:hAnsi="宋体" w:cs="宋体"/>
          <w:sz w:val="28"/>
          <w:szCs w:val="28"/>
        </w:rPr>
      </w:pPr>
      <w:r>
        <w:rPr>
          <w:rFonts w:hint="eastAsia" w:ascii="宋体" w:hAnsi="宋体" w:cs="宋体"/>
          <w:sz w:val="28"/>
          <w:szCs w:val="28"/>
        </w:rPr>
        <w:t>发生自然灾害后，应立即向应急领导小组报告，报告应包括但不限于以下内容：</w:t>
      </w:r>
    </w:p>
    <w:p>
      <w:pPr>
        <w:ind w:firstLine="560" w:firstLineChars="200"/>
        <w:rPr>
          <w:rFonts w:ascii="宋体" w:hAnsi="宋体" w:cs="宋体"/>
          <w:sz w:val="28"/>
          <w:szCs w:val="28"/>
        </w:rPr>
      </w:pPr>
      <w:r>
        <w:rPr>
          <w:rFonts w:hint="eastAsia" w:ascii="宋体" w:hAnsi="宋体" w:cs="宋体"/>
          <w:sz w:val="28"/>
          <w:szCs w:val="28"/>
        </w:rPr>
        <w:t>a）发生时间、自然灾害情况；</w:t>
      </w:r>
    </w:p>
    <w:p>
      <w:pPr>
        <w:ind w:firstLine="560" w:firstLineChars="200"/>
        <w:rPr>
          <w:rFonts w:ascii="宋体" w:hAnsi="宋体" w:cs="宋体"/>
          <w:sz w:val="28"/>
          <w:szCs w:val="28"/>
        </w:rPr>
      </w:pPr>
      <w:r>
        <w:rPr>
          <w:rFonts w:hint="eastAsia" w:ascii="宋体" w:hAnsi="宋体" w:cs="宋体"/>
          <w:sz w:val="28"/>
          <w:szCs w:val="28"/>
        </w:rPr>
        <w:t>b）有无人员伤亡；</w:t>
      </w:r>
    </w:p>
    <w:p>
      <w:pPr>
        <w:ind w:firstLine="560" w:firstLineChars="200"/>
        <w:rPr>
          <w:rFonts w:ascii="宋体" w:hAnsi="宋体" w:cs="宋体"/>
          <w:sz w:val="28"/>
          <w:szCs w:val="28"/>
        </w:rPr>
      </w:pPr>
      <w:r>
        <w:rPr>
          <w:rFonts w:hint="eastAsia" w:ascii="宋体" w:hAnsi="宋体" w:cs="宋体"/>
          <w:sz w:val="28"/>
          <w:szCs w:val="28"/>
        </w:rPr>
        <w:t>c）有无设备设施破坏；</w:t>
      </w:r>
    </w:p>
    <w:p>
      <w:pPr>
        <w:ind w:firstLine="560" w:firstLineChars="200"/>
        <w:rPr>
          <w:rFonts w:ascii="宋体" w:hAnsi="宋体" w:cs="宋体"/>
          <w:sz w:val="28"/>
          <w:szCs w:val="28"/>
        </w:rPr>
      </w:pPr>
      <w:r>
        <w:rPr>
          <w:rFonts w:hint="eastAsia" w:ascii="宋体" w:hAnsi="宋体" w:cs="宋体"/>
          <w:sz w:val="28"/>
          <w:szCs w:val="28"/>
        </w:rPr>
        <w:t>d）有无火灾、爆炸发生；</w:t>
      </w:r>
    </w:p>
    <w:p>
      <w:pPr>
        <w:ind w:firstLine="560" w:firstLineChars="200"/>
        <w:rPr>
          <w:rFonts w:ascii="宋体" w:hAnsi="宋体" w:cs="宋体"/>
          <w:sz w:val="28"/>
          <w:szCs w:val="28"/>
        </w:rPr>
      </w:pPr>
      <w:r>
        <w:rPr>
          <w:rFonts w:hint="eastAsia" w:ascii="宋体" w:hAnsi="宋体" w:cs="宋体"/>
          <w:sz w:val="28"/>
          <w:szCs w:val="28"/>
        </w:rPr>
        <w:t>e）有无油品泄漏；</w:t>
      </w:r>
    </w:p>
    <w:p>
      <w:pPr>
        <w:ind w:firstLine="560" w:firstLineChars="200"/>
        <w:rPr>
          <w:rFonts w:ascii="宋体" w:hAnsi="宋体" w:cs="宋体"/>
          <w:sz w:val="28"/>
          <w:szCs w:val="28"/>
        </w:rPr>
      </w:pPr>
      <w:r>
        <w:rPr>
          <w:rFonts w:hint="eastAsia" w:ascii="宋体" w:hAnsi="宋体" w:cs="宋体"/>
          <w:sz w:val="28"/>
          <w:szCs w:val="28"/>
        </w:rPr>
        <w:t>f）周边道路交通状况，现场气象状况；</w:t>
      </w:r>
    </w:p>
    <w:p>
      <w:pPr>
        <w:ind w:firstLine="560" w:firstLineChars="200"/>
        <w:rPr>
          <w:rFonts w:ascii="宋体" w:hAnsi="宋体" w:cs="宋体"/>
          <w:sz w:val="28"/>
          <w:szCs w:val="28"/>
        </w:rPr>
      </w:pPr>
      <w:r>
        <w:rPr>
          <w:rFonts w:hint="eastAsia" w:ascii="宋体" w:hAnsi="宋体" w:cs="宋体"/>
          <w:sz w:val="28"/>
          <w:szCs w:val="28"/>
        </w:rPr>
        <w:t>g）已采取的措施；</w:t>
      </w:r>
    </w:p>
    <w:p>
      <w:pPr>
        <w:ind w:firstLine="560" w:firstLineChars="200"/>
        <w:rPr>
          <w:rFonts w:ascii="宋体" w:hAnsi="宋体" w:cs="宋体"/>
          <w:sz w:val="28"/>
          <w:szCs w:val="28"/>
        </w:rPr>
      </w:pPr>
      <w:r>
        <w:rPr>
          <w:rFonts w:hint="eastAsia" w:ascii="宋体" w:hAnsi="宋体" w:cs="宋体"/>
          <w:sz w:val="28"/>
          <w:szCs w:val="28"/>
        </w:rPr>
        <w:t>h）救援请求。</w:t>
      </w:r>
    </w:p>
    <w:p>
      <w:pPr>
        <w:ind w:firstLine="560" w:firstLineChars="200"/>
        <w:rPr>
          <w:rFonts w:ascii="宋体" w:hAnsi="宋体" w:cs="宋体"/>
          <w:sz w:val="28"/>
          <w:szCs w:val="28"/>
        </w:rPr>
      </w:pPr>
      <w:r>
        <w:rPr>
          <w:rFonts w:hint="eastAsia" w:ascii="宋体" w:hAnsi="宋体" w:cs="宋体"/>
          <w:sz w:val="28"/>
          <w:szCs w:val="28"/>
        </w:rPr>
        <w:t>在处理过程中，加油站负责人随时向当地政府、应急管理部门报告，报告应包括但不限于以下内容：</w:t>
      </w:r>
    </w:p>
    <w:p>
      <w:pPr>
        <w:ind w:firstLine="560" w:firstLineChars="200"/>
        <w:rPr>
          <w:rFonts w:ascii="宋体" w:hAnsi="宋体" w:cs="宋体"/>
          <w:sz w:val="28"/>
          <w:szCs w:val="28"/>
        </w:rPr>
      </w:pPr>
      <w:r>
        <w:rPr>
          <w:rFonts w:hint="eastAsia" w:ascii="宋体" w:hAnsi="宋体" w:cs="宋体"/>
          <w:sz w:val="28"/>
          <w:szCs w:val="28"/>
        </w:rPr>
        <w:t>a）现场状况；</w:t>
      </w:r>
    </w:p>
    <w:p>
      <w:pPr>
        <w:ind w:firstLine="560" w:firstLineChars="200"/>
        <w:rPr>
          <w:rFonts w:ascii="宋体" w:hAnsi="宋体" w:cs="宋体"/>
          <w:sz w:val="28"/>
          <w:szCs w:val="28"/>
        </w:rPr>
      </w:pPr>
      <w:r>
        <w:rPr>
          <w:rFonts w:hint="eastAsia" w:ascii="宋体" w:hAnsi="宋体" w:cs="宋体"/>
          <w:sz w:val="28"/>
          <w:szCs w:val="28"/>
        </w:rPr>
        <w:t>b）已采取的处理措施、处理效果；</w:t>
      </w:r>
    </w:p>
    <w:p>
      <w:pPr>
        <w:ind w:firstLine="560" w:firstLineChars="200"/>
        <w:rPr>
          <w:rFonts w:ascii="宋体" w:hAnsi="宋体" w:cs="宋体"/>
          <w:sz w:val="28"/>
          <w:szCs w:val="28"/>
        </w:rPr>
      </w:pPr>
      <w:r>
        <w:rPr>
          <w:rFonts w:hint="eastAsia" w:ascii="宋体" w:hAnsi="宋体" w:cs="宋体"/>
          <w:sz w:val="28"/>
          <w:szCs w:val="28"/>
        </w:rPr>
        <w:t>c）物料泄漏情况；</w:t>
      </w:r>
    </w:p>
    <w:p>
      <w:pPr>
        <w:ind w:firstLine="560" w:firstLineChars="200"/>
        <w:rPr>
          <w:rFonts w:ascii="宋体" w:hAnsi="宋体" w:cs="宋体"/>
          <w:sz w:val="28"/>
          <w:szCs w:val="28"/>
        </w:rPr>
      </w:pPr>
      <w:r>
        <w:rPr>
          <w:rFonts w:hint="eastAsia" w:ascii="宋体" w:hAnsi="宋体" w:cs="宋体"/>
          <w:sz w:val="28"/>
          <w:szCs w:val="28"/>
        </w:rPr>
        <w:t>d）若发生火灾、爆炸对设施和人员的损害损伤情况；</w:t>
      </w:r>
    </w:p>
    <w:p>
      <w:pPr>
        <w:ind w:firstLine="560" w:firstLineChars="200"/>
        <w:rPr>
          <w:rFonts w:ascii="宋体" w:hAnsi="宋体" w:cs="宋体"/>
          <w:sz w:val="28"/>
          <w:szCs w:val="28"/>
        </w:rPr>
      </w:pPr>
      <w:r>
        <w:rPr>
          <w:rFonts w:hint="eastAsia" w:ascii="宋体" w:hAnsi="宋体" w:cs="宋体"/>
          <w:sz w:val="28"/>
          <w:szCs w:val="28"/>
        </w:rPr>
        <w:t>e）人员伤亡情况；</w:t>
      </w:r>
    </w:p>
    <w:p>
      <w:pPr>
        <w:ind w:firstLine="560" w:firstLineChars="200"/>
        <w:rPr>
          <w:rFonts w:ascii="宋体" w:hAnsi="宋体" w:cs="宋体"/>
          <w:sz w:val="28"/>
          <w:szCs w:val="28"/>
        </w:rPr>
      </w:pPr>
      <w:r>
        <w:rPr>
          <w:rFonts w:hint="eastAsia" w:ascii="宋体" w:hAnsi="宋体" w:cs="宋体"/>
          <w:sz w:val="28"/>
          <w:szCs w:val="28"/>
        </w:rPr>
        <w:t>f）现场应急物资剩余和补给情况；</w:t>
      </w:r>
    </w:p>
    <w:p>
      <w:pPr>
        <w:ind w:firstLine="560" w:firstLineChars="200"/>
        <w:rPr>
          <w:rFonts w:ascii="宋体" w:hAnsi="宋体" w:cs="宋体"/>
          <w:sz w:val="28"/>
          <w:szCs w:val="28"/>
        </w:rPr>
      </w:pPr>
      <w:r>
        <w:rPr>
          <w:rFonts w:hint="eastAsia" w:ascii="宋体" w:hAnsi="宋体" w:cs="宋体"/>
          <w:sz w:val="28"/>
          <w:szCs w:val="28"/>
        </w:rPr>
        <w:t>g）人员疏散情况；</w:t>
      </w:r>
    </w:p>
    <w:p>
      <w:pPr>
        <w:ind w:firstLine="560" w:firstLineChars="200"/>
        <w:rPr>
          <w:rFonts w:ascii="宋体" w:hAnsi="宋体" w:cs="宋体"/>
          <w:sz w:val="28"/>
          <w:szCs w:val="28"/>
        </w:rPr>
      </w:pPr>
      <w:r>
        <w:rPr>
          <w:rFonts w:hint="eastAsia" w:ascii="宋体" w:hAnsi="宋体" w:cs="宋体"/>
          <w:sz w:val="28"/>
          <w:szCs w:val="28"/>
        </w:rPr>
        <w:t>h）其他救援要求。</w:t>
      </w:r>
    </w:p>
    <w:p>
      <w:pPr>
        <w:ind w:firstLine="560" w:firstLineChars="200"/>
        <w:rPr>
          <w:rFonts w:ascii="宋体" w:hAnsi="宋体" w:cs="宋体"/>
          <w:sz w:val="28"/>
          <w:szCs w:val="28"/>
        </w:rPr>
      </w:pPr>
      <w:r>
        <w:rPr>
          <w:rFonts w:hint="eastAsia" w:ascii="宋体" w:hAnsi="宋体" w:cs="宋体"/>
          <w:sz w:val="28"/>
          <w:szCs w:val="28"/>
        </w:rPr>
        <w:t>在发生火灾时，发现的人员首先报告车间领导，当发生较大火灾时拨打119；当人员中毒时拨打120。</w:t>
      </w:r>
    </w:p>
    <w:p>
      <w:pPr>
        <w:ind w:firstLine="560" w:firstLineChars="200"/>
        <w:rPr>
          <w:rFonts w:ascii="宋体" w:hAnsi="宋体" w:cs="宋体"/>
          <w:sz w:val="28"/>
          <w:szCs w:val="28"/>
        </w:rPr>
      </w:pPr>
      <w:r>
        <w:rPr>
          <w:rFonts w:hint="eastAsia" w:ascii="宋体" w:hAnsi="宋体" w:cs="宋体"/>
          <w:sz w:val="28"/>
          <w:szCs w:val="28"/>
        </w:rPr>
        <w:t>24小时与相关部门的通讯、联络方式，见附件</w:t>
      </w:r>
    </w:p>
    <w:p>
      <w:pPr>
        <w:pStyle w:val="5"/>
        <w:spacing w:before="0" w:after="0"/>
        <w:rPr>
          <w:rStyle w:val="49"/>
          <w:rFonts w:ascii="Times New Roman" w:hAnsi="Times New Roman" w:cs="宋体"/>
          <w:b/>
          <w:bCs/>
          <w:sz w:val="24"/>
          <w:szCs w:val="24"/>
        </w:rPr>
      </w:pPr>
      <w:bookmarkStart w:id="849" w:name="_Toc21251"/>
      <w:bookmarkStart w:id="850" w:name="_Toc26251"/>
      <w:bookmarkStart w:id="851" w:name="_Toc29814"/>
      <w:bookmarkStart w:id="852" w:name="_Toc6457"/>
      <w:r>
        <w:rPr>
          <w:rStyle w:val="49"/>
          <w:rFonts w:hint="eastAsia" w:ascii="Times New Roman" w:hAnsi="Times New Roman" w:cs="宋体"/>
          <w:b/>
          <w:bCs/>
          <w:sz w:val="24"/>
          <w:szCs w:val="24"/>
        </w:rPr>
        <w:t>3.3.3 响应程序</w:t>
      </w:r>
      <w:bookmarkEnd w:id="849"/>
      <w:bookmarkEnd w:id="850"/>
      <w:bookmarkEnd w:id="851"/>
      <w:bookmarkEnd w:id="852"/>
    </w:p>
    <w:p>
      <w:pPr>
        <w:ind w:firstLine="560" w:firstLineChars="200"/>
        <w:rPr>
          <w:rFonts w:ascii="宋体" w:hAnsi="宋体" w:cs="宋体"/>
          <w:sz w:val="28"/>
          <w:szCs w:val="28"/>
        </w:rPr>
      </w:pPr>
      <w:r>
        <w:rPr>
          <w:rFonts w:hint="eastAsia" w:ascii="宋体" w:hAnsi="宋体" w:cs="宋体"/>
          <w:sz w:val="28"/>
          <w:szCs w:val="28"/>
        </w:rPr>
        <w:t>1、基本响应</w:t>
      </w:r>
    </w:p>
    <w:p>
      <w:pPr>
        <w:ind w:firstLine="560" w:firstLineChars="200"/>
        <w:rPr>
          <w:rFonts w:ascii="宋体" w:hAnsi="宋体" w:cs="宋体"/>
          <w:sz w:val="28"/>
          <w:szCs w:val="28"/>
        </w:rPr>
      </w:pPr>
      <w:r>
        <w:rPr>
          <w:rFonts w:hint="eastAsia" w:ascii="宋体" w:hAnsi="宋体" w:cs="宋体"/>
          <w:sz w:val="28"/>
          <w:szCs w:val="28"/>
        </w:rPr>
        <w:t>突发事故一旦发生，现场人员必须立即向负责人报告，由负责人启动应急预案，抢救伤员，保护现场，设置警戒标志。具体为：</w:t>
      </w:r>
    </w:p>
    <w:p>
      <w:pPr>
        <w:ind w:firstLine="560" w:firstLineChars="200"/>
        <w:rPr>
          <w:rFonts w:ascii="宋体" w:hAnsi="宋体" w:cs="宋体"/>
          <w:sz w:val="28"/>
          <w:szCs w:val="28"/>
        </w:rPr>
      </w:pPr>
      <w:r>
        <w:rPr>
          <w:rFonts w:hint="eastAsia" w:ascii="宋体" w:hAnsi="宋体" w:cs="宋体"/>
          <w:sz w:val="28"/>
          <w:szCs w:val="28"/>
        </w:rPr>
        <w:t>事故发生后，事故现场处置救援组根据事故扩散范围建立警戒区，在通往事故现场的主要干道上实行交通管制。在警戒区的边界设置警示标识。</w:t>
      </w:r>
    </w:p>
    <w:p>
      <w:pPr>
        <w:ind w:firstLine="560" w:firstLineChars="200"/>
        <w:rPr>
          <w:rFonts w:ascii="宋体" w:hAnsi="宋体" w:cs="宋体"/>
          <w:sz w:val="28"/>
          <w:szCs w:val="28"/>
        </w:rPr>
      </w:pPr>
      <w:r>
        <w:rPr>
          <w:rFonts w:hint="eastAsia" w:ascii="宋体" w:hAnsi="宋体" w:cs="宋体"/>
          <w:sz w:val="28"/>
          <w:szCs w:val="28"/>
        </w:rPr>
        <w:t>除消防、医疗救护人员、应急处理人员、岗位人员、应急救援车辆外，其他人员及车辆禁止进入警戒区。</w:t>
      </w:r>
    </w:p>
    <w:p>
      <w:pPr>
        <w:ind w:firstLine="560" w:firstLineChars="200"/>
        <w:rPr>
          <w:rFonts w:ascii="宋体" w:hAnsi="宋体" w:cs="宋体"/>
          <w:sz w:val="28"/>
          <w:szCs w:val="28"/>
        </w:rPr>
      </w:pPr>
      <w:r>
        <w:rPr>
          <w:rFonts w:hint="eastAsia" w:ascii="宋体" w:hAnsi="宋体" w:cs="宋体"/>
          <w:sz w:val="28"/>
          <w:szCs w:val="28"/>
        </w:rPr>
        <w:t>事故现场处置救援组迅速将警戒区内与事故应急处理无关的人员撤离，以减少不必要的伤亡。</w:t>
      </w:r>
    </w:p>
    <w:p>
      <w:pPr>
        <w:ind w:firstLine="560" w:firstLineChars="200"/>
        <w:rPr>
          <w:rFonts w:ascii="宋体" w:hAnsi="宋体" w:cs="宋体"/>
          <w:sz w:val="28"/>
          <w:szCs w:val="28"/>
        </w:rPr>
      </w:pPr>
      <w:r>
        <w:rPr>
          <w:rFonts w:hint="eastAsia" w:ascii="宋体" w:hAnsi="宋体" w:cs="宋体"/>
          <w:sz w:val="28"/>
          <w:szCs w:val="28"/>
        </w:rPr>
        <w:t>灾害无法控制时，所有人员应撤离事故现场到安全地带。</w:t>
      </w:r>
    </w:p>
    <w:p>
      <w:pPr>
        <w:ind w:firstLine="560" w:firstLineChars="200"/>
        <w:rPr>
          <w:rFonts w:ascii="宋体" w:hAnsi="宋体" w:cs="宋体"/>
          <w:sz w:val="28"/>
          <w:szCs w:val="28"/>
        </w:rPr>
      </w:pPr>
      <w:r>
        <w:rPr>
          <w:rFonts w:hint="eastAsia" w:ascii="宋体" w:hAnsi="宋体" w:cs="宋体"/>
          <w:sz w:val="28"/>
          <w:szCs w:val="28"/>
        </w:rPr>
        <w:t>应急总指挥负责向政府应急办报告事故险情状况。</w:t>
      </w:r>
    </w:p>
    <w:p>
      <w:pPr>
        <w:ind w:firstLine="560" w:firstLineChars="200"/>
        <w:rPr>
          <w:rFonts w:ascii="宋体" w:hAnsi="宋体" w:cs="宋体"/>
          <w:sz w:val="28"/>
          <w:szCs w:val="28"/>
        </w:rPr>
      </w:pPr>
      <w:r>
        <w:rPr>
          <w:rFonts w:hint="eastAsia" w:ascii="宋体" w:hAnsi="宋体" w:cs="宋体"/>
          <w:sz w:val="28"/>
          <w:szCs w:val="28"/>
        </w:rPr>
        <w:t>保护好事故现场，必要时在事故现场周围建立警戒区域，维护现场秩序，防止与救援无关人员进入事故现场，保障救援队伍、人员疏散、物资运输等的交通畅通，避免发生意外事故。同时，协助发出警报、现场紧急疏散、人员清点、传达紧急信息、事故调查等。</w:t>
      </w:r>
    </w:p>
    <w:p>
      <w:pPr>
        <w:ind w:firstLine="560" w:firstLineChars="200"/>
        <w:rPr>
          <w:rFonts w:ascii="宋体" w:hAnsi="宋体" w:cs="宋体"/>
          <w:sz w:val="28"/>
          <w:szCs w:val="28"/>
        </w:rPr>
      </w:pPr>
      <w:r>
        <w:rPr>
          <w:rFonts w:hint="eastAsia" w:ascii="宋体" w:hAnsi="宋体" w:cs="宋体"/>
          <w:sz w:val="28"/>
          <w:szCs w:val="28"/>
        </w:rPr>
        <w:t>2、一般自然灾害事故的响应</w:t>
      </w:r>
    </w:p>
    <w:p>
      <w:pPr>
        <w:ind w:firstLine="560" w:firstLineChars="200"/>
        <w:rPr>
          <w:rFonts w:ascii="宋体" w:hAnsi="宋体" w:cs="宋体"/>
          <w:sz w:val="28"/>
          <w:szCs w:val="28"/>
        </w:rPr>
      </w:pPr>
      <w:r>
        <w:rPr>
          <w:rFonts w:hint="eastAsia" w:ascii="宋体" w:hAnsi="宋体" w:cs="宋体"/>
          <w:sz w:val="28"/>
          <w:szCs w:val="28"/>
        </w:rPr>
        <w:t>A、站长在现场进行指挥。</w:t>
      </w:r>
    </w:p>
    <w:p>
      <w:pPr>
        <w:ind w:firstLine="560" w:firstLineChars="200"/>
        <w:rPr>
          <w:rFonts w:ascii="宋体" w:hAnsi="宋体" w:cs="宋体"/>
          <w:sz w:val="28"/>
          <w:szCs w:val="28"/>
        </w:rPr>
      </w:pPr>
      <w:r>
        <w:rPr>
          <w:rFonts w:hint="eastAsia" w:ascii="宋体" w:hAnsi="宋体" w:cs="宋体"/>
          <w:sz w:val="28"/>
          <w:szCs w:val="28"/>
        </w:rPr>
        <w:t>B、启动应急预案，向相关成员下发通知。</w:t>
      </w:r>
    </w:p>
    <w:p>
      <w:pPr>
        <w:ind w:firstLine="560" w:firstLineChars="200"/>
        <w:rPr>
          <w:rFonts w:ascii="宋体" w:hAnsi="宋体" w:cs="宋体"/>
          <w:sz w:val="28"/>
          <w:szCs w:val="28"/>
        </w:rPr>
      </w:pPr>
      <w:r>
        <w:rPr>
          <w:rFonts w:hint="eastAsia" w:ascii="宋体" w:hAnsi="宋体" w:cs="宋体"/>
          <w:sz w:val="28"/>
          <w:szCs w:val="28"/>
        </w:rPr>
        <w:t>C、密切关注事故动态，随时掌握事故处置进展情况。</w:t>
      </w:r>
    </w:p>
    <w:p>
      <w:pPr>
        <w:ind w:firstLine="560" w:firstLineChars="200"/>
        <w:rPr>
          <w:rFonts w:ascii="宋体" w:hAnsi="宋体" w:cs="宋体"/>
          <w:sz w:val="28"/>
          <w:szCs w:val="28"/>
        </w:rPr>
      </w:pPr>
      <w:r>
        <w:rPr>
          <w:rFonts w:hint="eastAsia" w:ascii="宋体" w:hAnsi="宋体" w:cs="宋体"/>
          <w:sz w:val="28"/>
          <w:szCs w:val="28"/>
        </w:rPr>
        <w:t>D、将有关情况及时报告上级应急办。</w:t>
      </w:r>
    </w:p>
    <w:p>
      <w:pPr>
        <w:ind w:firstLine="560" w:firstLineChars="200"/>
        <w:rPr>
          <w:rFonts w:ascii="宋体" w:hAnsi="宋体" w:cs="宋体"/>
          <w:sz w:val="28"/>
          <w:szCs w:val="28"/>
        </w:rPr>
      </w:pPr>
      <w:r>
        <w:rPr>
          <w:rFonts w:hint="eastAsia" w:ascii="宋体" w:hAnsi="宋体" w:cs="宋体"/>
          <w:sz w:val="28"/>
          <w:szCs w:val="28"/>
        </w:rPr>
        <w:t>3、较大、重大、特重突发地震灾害事故的响应</w:t>
      </w:r>
    </w:p>
    <w:p>
      <w:pPr>
        <w:ind w:firstLine="560" w:firstLineChars="200"/>
        <w:rPr>
          <w:rFonts w:ascii="宋体" w:hAnsi="宋体" w:cs="宋体"/>
          <w:sz w:val="28"/>
          <w:szCs w:val="28"/>
        </w:rPr>
      </w:pPr>
      <w:r>
        <w:rPr>
          <w:rFonts w:hint="eastAsia" w:ascii="宋体" w:hAnsi="宋体" w:cs="宋体"/>
          <w:sz w:val="28"/>
          <w:szCs w:val="28"/>
        </w:rPr>
        <w:t>A、负责人进行指挥，必要时，按照政府应急办的应急救援程序进行应急救援、现场处置，并组织协调有关部门的专家和人员采取应急措施，防止事故进一步扩大，避免次生灾害可能造成的抢险救援人员伤亡事故。</w:t>
      </w:r>
    </w:p>
    <w:p>
      <w:pPr>
        <w:ind w:firstLine="560" w:firstLineChars="200"/>
        <w:rPr>
          <w:rFonts w:ascii="宋体" w:hAnsi="宋体" w:cs="宋体"/>
          <w:sz w:val="28"/>
          <w:szCs w:val="28"/>
        </w:rPr>
      </w:pPr>
      <w:r>
        <w:rPr>
          <w:rFonts w:hint="eastAsia" w:ascii="宋体" w:hAnsi="宋体" w:cs="宋体"/>
          <w:sz w:val="28"/>
          <w:szCs w:val="28"/>
        </w:rPr>
        <w:t>B、应急指挥部应将有关情况及时报告政府应急办。</w:t>
      </w:r>
    </w:p>
    <w:p>
      <w:pPr>
        <w:pStyle w:val="4"/>
        <w:spacing w:before="0" w:after="0"/>
        <w:rPr>
          <w:rStyle w:val="51"/>
          <w:rFonts w:hint="default" w:ascii="Times New Roman" w:hAnsi="Times New Roman" w:cs="宋体"/>
          <w:b/>
          <w:bCs/>
          <w:sz w:val="24"/>
          <w:szCs w:val="24"/>
        </w:rPr>
      </w:pPr>
      <w:bookmarkStart w:id="853" w:name="_Toc483316023"/>
      <w:bookmarkStart w:id="854" w:name="_Toc488826661"/>
      <w:bookmarkStart w:id="855" w:name="_Toc534983024"/>
      <w:bookmarkStart w:id="856" w:name="_Toc2652"/>
      <w:bookmarkStart w:id="857" w:name="_Toc14920"/>
      <w:bookmarkStart w:id="858" w:name="_Toc23120"/>
      <w:bookmarkStart w:id="859" w:name="_Toc25408"/>
      <w:r>
        <w:rPr>
          <w:rStyle w:val="51"/>
          <w:rFonts w:hint="default" w:ascii="Times New Roman" w:hAnsi="Times New Roman" w:cs="宋体"/>
          <w:b/>
          <w:bCs/>
          <w:sz w:val="24"/>
          <w:szCs w:val="24"/>
        </w:rPr>
        <w:t>3.4 处置措施</w:t>
      </w:r>
      <w:bookmarkEnd w:id="853"/>
      <w:bookmarkEnd w:id="854"/>
      <w:bookmarkEnd w:id="855"/>
      <w:bookmarkEnd w:id="856"/>
      <w:bookmarkEnd w:id="857"/>
      <w:bookmarkEnd w:id="858"/>
      <w:bookmarkEnd w:id="859"/>
    </w:p>
    <w:p>
      <w:pPr>
        <w:ind w:firstLine="560" w:firstLineChars="200"/>
        <w:rPr>
          <w:rFonts w:ascii="宋体" w:hAnsi="宋体" w:cs="宋体"/>
          <w:sz w:val="28"/>
          <w:szCs w:val="28"/>
        </w:rPr>
      </w:pPr>
      <w:r>
        <w:rPr>
          <w:rFonts w:hint="eastAsia" w:ascii="宋体" w:hAnsi="宋体" w:cs="宋体"/>
          <w:sz w:val="28"/>
          <w:szCs w:val="28"/>
        </w:rPr>
        <w:t>1、负责人得到自然灾害消息后，要随时与当地政府部门取得联系。不要轻信无根据的谣言，不要轻举妄动，在总指挥的指导下，保持清醒的头脑，树立鉴定的信心确保人员和物质安全转移。</w:t>
      </w:r>
    </w:p>
    <w:p>
      <w:pPr>
        <w:ind w:firstLine="560" w:firstLineChars="200"/>
        <w:rPr>
          <w:rFonts w:ascii="宋体" w:hAnsi="宋体" w:cs="宋体"/>
          <w:sz w:val="28"/>
          <w:szCs w:val="28"/>
        </w:rPr>
      </w:pPr>
      <w:r>
        <w:rPr>
          <w:rFonts w:hint="eastAsia" w:ascii="宋体" w:hAnsi="宋体" w:cs="宋体"/>
          <w:sz w:val="28"/>
          <w:szCs w:val="28"/>
        </w:rPr>
        <w:t>2、按相应抢险救援技术方案和应急措施组织抢险，积极采取有效措施，进行现场有序施救。确保救护人员的自身安全和遇险人员的紧急撤离，营救事故现场的受害人员，防止抢险施救过程中的次生事故发生。</w:t>
      </w:r>
    </w:p>
    <w:p>
      <w:pPr>
        <w:ind w:firstLine="560" w:firstLineChars="200"/>
        <w:rPr>
          <w:rFonts w:ascii="宋体" w:hAnsi="宋体" w:cs="宋体"/>
          <w:sz w:val="28"/>
          <w:szCs w:val="28"/>
        </w:rPr>
      </w:pPr>
      <w:r>
        <w:rPr>
          <w:rFonts w:hint="eastAsia" w:ascii="宋体" w:hAnsi="宋体" w:cs="宋体"/>
          <w:sz w:val="28"/>
          <w:szCs w:val="28"/>
        </w:rPr>
        <w:t>3、自然灾害发生前后，要关掉电源、各种阀门、备好灭火器材防止火灾发生。涉及火灾、爆炸等事故，其消防和抢险工作的难度和危险性十分巨大，对消防和抢险工作的组织、抢险措施、器材物资、行动方案、人员要求以及现场指挥必须做好周密安排和精心准备。</w:t>
      </w:r>
    </w:p>
    <w:p>
      <w:pPr>
        <w:ind w:firstLine="560" w:firstLineChars="200"/>
        <w:rPr>
          <w:rFonts w:ascii="宋体" w:hAnsi="宋体" w:cs="宋体"/>
          <w:sz w:val="28"/>
          <w:szCs w:val="28"/>
        </w:rPr>
      </w:pPr>
      <w:r>
        <w:rPr>
          <w:rFonts w:hint="eastAsia" w:ascii="宋体" w:hAnsi="宋体" w:cs="宋体"/>
          <w:sz w:val="28"/>
          <w:szCs w:val="28"/>
        </w:rPr>
        <w:t>4、及时通知人员疏散到比较空旷的区域，躲开高大的建筑物、破墙等。在站房内的人员和罩棚下工作人员立即撤出室外空旷地带。</w:t>
      </w:r>
    </w:p>
    <w:p>
      <w:pPr>
        <w:ind w:firstLine="560" w:firstLineChars="200"/>
        <w:rPr>
          <w:rFonts w:ascii="宋体" w:hAnsi="宋体" w:cs="宋体"/>
          <w:sz w:val="28"/>
          <w:szCs w:val="28"/>
        </w:rPr>
      </w:pPr>
      <w:r>
        <w:rPr>
          <w:rFonts w:hint="eastAsia" w:ascii="宋体" w:hAnsi="宋体" w:cs="宋体"/>
          <w:sz w:val="28"/>
          <w:szCs w:val="28"/>
        </w:rPr>
        <w:t>5、灾后救人要服从指挥统一行动。实施先救人，后救物。先救多，后救少。先救生，后救死。先救易，后救难。先救动，后救净。力争减少伤亡事故。</w:t>
      </w:r>
    </w:p>
    <w:p>
      <w:pPr>
        <w:ind w:firstLine="560" w:firstLineChars="200"/>
        <w:rPr>
          <w:rFonts w:ascii="宋体" w:hAnsi="宋体" w:cs="宋体"/>
          <w:sz w:val="28"/>
          <w:szCs w:val="28"/>
        </w:rPr>
      </w:pPr>
      <w:r>
        <w:rPr>
          <w:rFonts w:hint="eastAsia" w:ascii="宋体" w:hAnsi="宋体" w:cs="宋体"/>
          <w:sz w:val="28"/>
          <w:szCs w:val="28"/>
        </w:rPr>
        <w:t>6、及时备好救援工具及药物，确保埋压人员的饮水和食品。埋压过久的人员救出后，及时蒙上双眼，防止见光受损。被救人员不易过急大量饮水和进食。及时与救护人员取得联系，争分夺秒救护伤员。在抢险救灾过程中严防余震发生继续伤人。</w:t>
      </w:r>
    </w:p>
    <w:p>
      <w:pPr>
        <w:ind w:firstLine="560" w:firstLineChars="200"/>
        <w:rPr>
          <w:rFonts w:ascii="宋体" w:hAnsi="宋体" w:cs="宋体"/>
          <w:sz w:val="28"/>
          <w:szCs w:val="28"/>
        </w:rPr>
      </w:pPr>
      <w:r>
        <w:rPr>
          <w:rFonts w:hint="eastAsia" w:ascii="宋体" w:hAnsi="宋体" w:cs="宋体"/>
          <w:sz w:val="28"/>
          <w:szCs w:val="28"/>
        </w:rPr>
        <w:t>7、采取有效措施，控制事态发展，防止事故的蔓延和进一步扩大。在事故处置过程中，必须安排专业人员对事态的发展进行24小时监测，对任何可能产生的危害，必须以各种可能的方式、手段、措施，以最快的速度将预警信息传达给职工，采取有力措施，保护职工安全。同时，采取必要手段遏制事态发生和发展。</w:t>
      </w:r>
    </w:p>
    <w:p>
      <w:pPr>
        <w:ind w:firstLine="560" w:firstLineChars="200"/>
        <w:rPr>
          <w:rFonts w:ascii="宋体" w:hAnsi="宋体" w:cs="宋体"/>
          <w:sz w:val="28"/>
          <w:szCs w:val="28"/>
        </w:rPr>
      </w:pPr>
      <w:r>
        <w:rPr>
          <w:rFonts w:hint="eastAsia" w:ascii="宋体" w:hAnsi="宋体" w:cs="宋体"/>
          <w:sz w:val="28"/>
          <w:szCs w:val="28"/>
        </w:rPr>
        <w:t>8、对可能的二次（次生）事故、受损建筑物垮塌等危险源进行监测控制。在技术支援组充分论证的基础上，制定转移、保护等有效措施，组织专业人员妥善处置。</w:t>
      </w:r>
    </w:p>
    <w:p>
      <w:pPr>
        <w:ind w:firstLine="560" w:firstLineChars="200"/>
        <w:rPr>
          <w:rFonts w:ascii="宋体" w:hAnsi="宋体" w:cs="宋体"/>
          <w:sz w:val="28"/>
          <w:szCs w:val="28"/>
        </w:rPr>
      </w:pPr>
      <w:r>
        <w:rPr>
          <w:rFonts w:hint="eastAsia" w:ascii="宋体" w:hAnsi="宋体" w:cs="宋体"/>
          <w:sz w:val="28"/>
          <w:szCs w:val="28"/>
        </w:rPr>
        <w:t>9、必须对可能的二次（次生）事故进行分析，明确人员躲避、撤离等措施妥善处置。</w:t>
      </w:r>
    </w:p>
    <w:p>
      <w:pPr>
        <w:ind w:firstLine="560" w:firstLineChars="200"/>
        <w:rPr>
          <w:rFonts w:ascii="宋体" w:hAnsi="宋体" w:cs="宋体"/>
          <w:sz w:val="28"/>
          <w:szCs w:val="28"/>
        </w:rPr>
      </w:pPr>
      <w:r>
        <w:rPr>
          <w:rFonts w:hint="eastAsia" w:ascii="宋体" w:hAnsi="宋体" w:cs="宋体"/>
          <w:sz w:val="28"/>
          <w:szCs w:val="28"/>
        </w:rPr>
        <w:t>10、确保道路畅通，安排救护值班车辆，及时联系附近医疗救护队伍，争分夺秒抢救伤员，保证救援不受阻碍。</w:t>
      </w:r>
    </w:p>
    <w:p>
      <w:pPr>
        <w:ind w:firstLine="560" w:firstLineChars="200"/>
        <w:rPr>
          <w:rFonts w:ascii="宋体" w:hAnsi="宋体" w:cs="宋体"/>
          <w:sz w:val="28"/>
          <w:szCs w:val="28"/>
        </w:rPr>
      </w:pPr>
      <w:r>
        <w:rPr>
          <w:rFonts w:hint="eastAsia" w:ascii="宋体" w:hAnsi="宋体" w:cs="宋体"/>
          <w:sz w:val="28"/>
          <w:szCs w:val="28"/>
        </w:rPr>
        <w:t>11、灾后要做好现场清理及消毒工作，严防疫病发生。</w:t>
      </w:r>
    </w:p>
    <w:p>
      <w:pPr>
        <w:pStyle w:val="2"/>
        <w:ind w:firstLine="0"/>
        <w:outlineLvl w:val="2"/>
        <w:rPr>
          <w:rFonts w:cs="宋体"/>
          <w:b/>
          <w:bCs/>
          <w:sz w:val="24"/>
        </w:rPr>
      </w:pPr>
      <w:bookmarkStart w:id="860" w:name="_Toc3479"/>
      <w:r>
        <w:rPr>
          <w:rFonts w:hint="eastAsia" w:cs="宋体"/>
          <w:b/>
          <w:bCs/>
          <w:sz w:val="24"/>
        </w:rPr>
        <w:t>3.4.1</w:t>
      </w:r>
      <w:r>
        <w:rPr>
          <w:rFonts w:hint="eastAsia" w:ascii="宋体" w:hAnsi="宋体" w:cs="宋体"/>
          <w:b/>
          <w:bCs/>
          <w:sz w:val="24"/>
          <w:szCs w:val="24"/>
        </w:rPr>
        <w:t>防雷安全</w:t>
      </w:r>
      <w:r>
        <w:rPr>
          <w:rFonts w:hint="eastAsia" w:ascii="宋体" w:hAnsi="宋体" w:cs="宋体"/>
          <w:b/>
          <w:bCs/>
          <w:color w:val="000000"/>
          <w:sz w:val="24"/>
          <w:szCs w:val="24"/>
        </w:rPr>
        <w:t>预防措施</w:t>
      </w:r>
      <w:bookmarkEnd w:id="860"/>
    </w:p>
    <w:p>
      <w:pPr>
        <w:ind w:firstLine="560" w:firstLineChars="200"/>
        <w:rPr>
          <w:rFonts w:ascii="宋体" w:hAnsi="宋体" w:cs="宋体"/>
          <w:sz w:val="28"/>
          <w:szCs w:val="28"/>
        </w:rPr>
      </w:pPr>
      <w:r>
        <w:rPr>
          <w:rFonts w:hint="eastAsia" w:ascii="宋体" w:hAnsi="宋体" w:cs="宋体"/>
          <w:sz w:val="28"/>
          <w:szCs w:val="28"/>
        </w:rPr>
        <w:t>1、提高对加油站防雷工作重要性的认识。把防雷电工作纳入加油站重要议事日程，针对季节性特点，积极研究防范措施，落实防雷电工作预案。</w:t>
      </w:r>
    </w:p>
    <w:p>
      <w:pPr>
        <w:ind w:firstLine="560" w:firstLineChars="200"/>
        <w:rPr>
          <w:rFonts w:ascii="宋体" w:hAnsi="宋体" w:cs="宋体"/>
          <w:sz w:val="28"/>
          <w:szCs w:val="28"/>
        </w:rPr>
      </w:pPr>
      <w:r>
        <w:rPr>
          <w:rFonts w:hint="eastAsia" w:ascii="宋体" w:hAnsi="宋体" w:cs="宋体"/>
          <w:sz w:val="28"/>
          <w:szCs w:val="28"/>
        </w:rPr>
        <w:t>2、加大宣传教育力度，提高加油站工作人员抵御雷电伤害的意识和防范能力。把防雷电知识的宣传教育与加油站其他安全教育结合起来，多形式、多角度、多层面加强对工作人员防雷电安全知识教育，开展应急预案演练，举办防雷电知识培训，掌握雷电突发时的各种防范方式。全面提高工作人员的依法防雷、科学防雷、主动防雷意识和自救自护能力。加强对加油站防雷电工作人员的培训，努力提高加油站防雷电工作能力。</w:t>
      </w:r>
    </w:p>
    <w:p>
      <w:pPr>
        <w:ind w:firstLine="560" w:firstLineChars="200"/>
        <w:rPr>
          <w:rFonts w:ascii="宋体" w:hAnsi="宋体" w:cs="宋体"/>
          <w:sz w:val="28"/>
          <w:szCs w:val="28"/>
        </w:rPr>
      </w:pPr>
      <w:r>
        <w:rPr>
          <w:rFonts w:hint="eastAsia" w:ascii="宋体" w:hAnsi="宋体" w:cs="宋体"/>
          <w:sz w:val="28"/>
          <w:szCs w:val="28"/>
        </w:rPr>
        <w:t>3、切实抓好防雷电安全检查工作。</w:t>
      </w:r>
    </w:p>
    <w:p>
      <w:pPr>
        <w:ind w:firstLine="560" w:firstLineChars="200"/>
        <w:rPr>
          <w:rFonts w:ascii="宋体" w:hAnsi="宋体" w:cs="宋体"/>
          <w:sz w:val="28"/>
          <w:szCs w:val="28"/>
        </w:rPr>
      </w:pPr>
      <w:r>
        <w:rPr>
          <w:rFonts w:hint="eastAsia" w:ascii="宋体" w:hAnsi="宋体" w:cs="宋体"/>
          <w:sz w:val="28"/>
          <w:szCs w:val="28"/>
        </w:rPr>
        <w:t>1）按规定安装防雷电设施，制定防雷电装置检查维护</w:t>
      </w:r>
      <w:r>
        <w:fldChar w:fldCharType="begin"/>
      </w:r>
      <w:r>
        <w:instrText xml:space="preserve"> HYPERLINK "http://www.789zx.com/fwdq/zd/Index.html" \t "_blank" </w:instrText>
      </w:r>
      <w:r>
        <w:fldChar w:fldCharType="separate"/>
      </w:r>
      <w:r>
        <w:rPr>
          <w:rFonts w:hint="eastAsia" w:ascii="宋体" w:hAnsi="宋体" w:cs="宋体"/>
          <w:sz w:val="28"/>
          <w:szCs w:val="28"/>
        </w:rPr>
        <w:t>制度</w:t>
      </w:r>
      <w:r>
        <w:rPr>
          <w:rFonts w:hint="eastAsia" w:ascii="宋体" w:hAnsi="宋体" w:cs="宋体"/>
          <w:sz w:val="28"/>
          <w:szCs w:val="28"/>
        </w:rPr>
        <w:fldChar w:fldCharType="end"/>
      </w:r>
      <w:r>
        <w:rPr>
          <w:rFonts w:hint="eastAsia" w:ascii="宋体" w:hAnsi="宋体" w:cs="宋体"/>
          <w:sz w:val="28"/>
          <w:szCs w:val="28"/>
        </w:rPr>
        <w:t>，安排具有防雷和电气知识的人员负责日常检查维护工作。雷雨季节前后更应加强检查，及时排除防雷电装置故障。</w:t>
      </w:r>
    </w:p>
    <w:p>
      <w:pPr>
        <w:ind w:firstLine="560" w:firstLineChars="200"/>
        <w:rPr>
          <w:rFonts w:ascii="宋体" w:hAnsi="宋体" w:cs="宋体"/>
          <w:sz w:val="28"/>
          <w:szCs w:val="28"/>
        </w:rPr>
      </w:pPr>
      <w:r>
        <w:rPr>
          <w:rFonts w:hint="eastAsia" w:ascii="宋体" w:hAnsi="宋体" w:cs="宋体"/>
          <w:sz w:val="28"/>
          <w:szCs w:val="28"/>
        </w:rPr>
        <w:t>2）定期对加油站储油罐区、加油罩棚、独立避雷针、输油管道、电源、信号的防雷防静电进行检查，发现隐患及时整改，确保当雷电来临时加油站安全无隐患。</w:t>
      </w:r>
    </w:p>
    <w:p>
      <w:pPr>
        <w:ind w:firstLine="560" w:firstLineChars="200"/>
        <w:rPr>
          <w:rFonts w:ascii="宋体" w:hAnsi="宋体" w:cs="宋体"/>
          <w:sz w:val="28"/>
          <w:szCs w:val="28"/>
        </w:rPr>
      </w:pPr>
      <w:r>
        <w:rPr>
          <w:rFonts w:hint="eastAsia" w:ascii="宋体" w:hAnsi="宋体" w:cs="宋体"/>
          <w:sz w:val="28"/>
          <w:szCs w:val="28"/>
        </w:rPr>
        <w:t>3）建立雷电隐患台账，清除一切不安全设施，并采取有效措施消除隐患。</w:t>
      </w:r>
    </w:p>
    <w:p>
      <w:pPr>
        <w:pStyle w:val="2"/>
        <w:ind w:firstLine="0"/>
        <w:outlineLvl w:val="2"/>
        <w:rPr>
          <w:rFonts w:cs="宋体"/>
          <w:b/>
          <w:bCs/>
          <w:sz w:val="24"/>
        </w:rPr>
      </w:pPr>
      <w:bookmarkStart w:id="861" w:name="_Toc2877"/>
      <w:r>
        <w:rPr>
          <w:rFonts w:hint="eastAsia" w:cs="宋体"/>
          <w:b/>
          <w:bCs/>
          <w:sz w:val="24"/>
        </w:rPr>
        <w:t>3.4.2 防雷处置措施</w:t>
      </w:r>
      <w:bookmarkEnd w:id="861"/>
    </w:p>
    <w:p>
      <w:pPr>
        <w:ind w:firstLine="560" w:firstLineChars="200"/>
        <w:rPr>
          <w:rFonts w:ascii="宋体" w:hAnsi="宋体" w:cs="宋体"/>
          <w:sz w:val="28"/>
          <w:szCs w:val="28"/>
        </w:rPr>
      </w:pPr>
      <w:r>
        <w:rPr>
          <w:rFonts w:hint="eastAsia" w:ascii="宋体" w:hAnsi="宋体" w:cs="宋体"/>
          <w:sz w:val="28"/>
          <w:szCs w:val="28"/>
        </w:rPr>
        <w:t>1、发生雷电灾害事故时，发现人应当立即报告加油站防雷电灾害应急工作领导小组；紧急情况要拨打110、119报警。有伤亡、火灾、爆炸时，应当保护现场并迅速组织抢救人员和财产。</w:t>
      </w:r>
    </w:p>
    <w:p>
      <w:pPr>
        <w:ind w:firstLine="560" w:firstLineChars="200"/>
        <w:rPr>
          <w:rFonts w:ascii="宋体" w:hAnsi="宋体" w:cs="宋体"/>
          <w:sz w:val="28"/>
          <w:szCs w:val="28"/>
        </w:rPr>
      </w:pPr>
      <w:r>
        <w:rPr>
          <w:rFonts w:hint="eastAsia" w:ascii="宋体" w:hAnsi="宋体" w:cs="宋体"/>
          <w:sz w:val="28"/>
          <w:szCs w:val="28"/>
        </w:rPr>
        <w:t>2、事故发生后，领导小组及现场处置组应在第一时间赶到事故现场，按照制定的应急救援预案，立足自救或者实施援救：</w:t>
      </w:r>
    </w:p>
    <w:p>
      <w:pPr>
        <w:ind w:firstLine="560" w:firstLineChars="200"/>
        <w:rPr>
          <w:rFonts w:ascii="宋体" w:hAnsi="宋体" w:cs="宋体"/>
          <w:sz w:val="28"/>
          <w:szCs w:val="28"/>
        </w:rPr>
      </w:pPr>
      <w:r>
        <w:rPr>
          <w:rFonts w:hint="eastAsia" w:ascii="宋体" w:hAnsi="宋体" w:cs="宋体"/>
          <w:sz w:val="28"/>
          <w:szCs w:val="28"/>
        </w:rPr>
        <w:t>1）当雷电引起人员伤亡、火灾、爆炸的，应及时实施消防、医疗救护、人员疏散等措施，努力保证师生人身安全；</w:t>
      </w:r>
    </w:p>
    <w:p>
      <w:pPr>
        <w:ind w:firstLine="560" w:firstLineChars="200"/>
        <w:rPr>
          <w:rFonts w:ascii="宋体" w:hAnsi="宋体" w:cs="宋体"/>
          <w:sz w:val="28"/>
          <w:szCs w:val="28"/>
        </w:rPr>
      </w:pPr>
      <w:r>
        <w:rPr>
          <w:rFonts w:hint="eastAsia" w:ascii="宋体" w:hAnsi="宋体" w:cs="宋体"/>
          <w:sz w:val="28"/>
          <w:szCs w:val="28"/>
        </w:rPr>
        <w:t>2）迅速控制危害源，并对危害源造成的危害进行检验、监测，测定事故的危害区和危害程度；</w:t>
      </w:r>
    </w:p>
    <w:p>
      <w:pPr>
        <w:ind w:firstLine="560" w:firstLineChars="200"/>
        <w:rPr>
          <w:rFonts w:ascii="宋体" w:hAnsi="宋体" w:cs="宋体"/>
          <w:sz w:val="28"/>
          <w:szCs w:val="28"/>
        </w:rPr>
      </w:pPr>
      <w:r>
        <w:rPr>
          <w:rFonts w:hint="eastAsia" w:ascii="宋体" w:hAnsi="宋体" w:cs="宋体"/>
          <w:sz w:val="28"/>
          <w:szCs w:val="28"/>
        </w:rPr>
        <w:t>3）立即向安全管理部门和气象部门报告灾情；</w:t>
      </w:r>
    </w:p>
    <w:p>
      <w:pPr>
        <w:ind w:firstLine="560" w:firstLineChars="200"/>
        <w:rPr>
          <w:rFonts w:ascii="宋体" w:hAnsi="宋体" w:cs="宋体"/>
          <w:sz w:val="28"/>
          <w:szCs w:val="28"/>
        </w:rPr>
      </w:pPr>
      <w:r>
        <w:rPr>
          <w:rFonts w:hint="eastAsia" w:ascii="宋体" w:hAnsi="宋体" w:cs="宋体"/>
          <w:sz w:val="28"/>
          <w:szCs w:val="28"/>
        </w:rPr>
        <w:t>4）保护好现场；</w:t>
      </w:r>
    </w:p>
    <w:p>
      <w:pPr>
        <w:ind w:firstLine="560" w:firstLineChars="200"/>
        <w:rPr>
          <w:rFonts w:ascii="宋体" w:hAnsi="宋体" w:cs="宋体"/>
          <w:sz w:val="28"/>
          <w:szCs w:val="28"/>
        </w:rPr>
      </w:pPr>
      <w:r>
        <w:rPr>
          <w:rFonts w:hint="eastAsia" w:ascii="宋体" w:hAnsi="宋体" w:cs="宋体"/>
          <w:sz w:val="28"/>
          <w:szCs w:val="28"/>
        </w:rPr>
        <w:t>5）保证通信设备完好，内外、上下主要信息联络畅通。</w:t>
      </w:r>
    </w:p>
    <w:p>
      <w:pPr>
        <w:ind w:firstLine="560" w:firstLineChars="200"/>
        <w:rPr>
          <w:rFonts w:ascii="宋体" w:hAnsi="宋体" w:cs="宋体"/>
          <w:sz w:val="28"/>
          <w:szCs w:val="28"/>
        </w:rPr>
      </w:pPr>
      <w:r>
        <w:rPr>
          <w:rFonts w:hint="eastAsia" w:ascii="宋体" w:hAnsi="宋体" w:cs="宋体"/>
          <w:sz w:val="28"/>
          <w:szCs w:val="28"/>
        </w:rPr>
        <w:t>3、当被雷电击倒人的心脏活动和呼吸停止时，应采取人工呼吸和体外心脏按摩的方法进行抢救，同时尽快拨打120请求救助。</w:t>
      </w:r>
    </w:p>
    <w:p>
      <w:pPr>
        <w:ind w:firstLine="560" w:firstLineChars="200"/>
        <w:rPr>
          <w:rFonts w:ascii="宋体" w:hAnsi="宋体" w:cs="宋体"/>
          <w:sz w:val="28"/>
          <w:szCs w:val="28"/>
        </w:rPr>
      </w:pPr>
      <w:r>
        <w:rPr>
          <w:rFonts w:hint="eastAsia" w:ascii="宋体" w:hAnsi="宋体" w:cs="宋体"/>
          <w:sz w:val="28"/>
          <w:szCs w:val="28"/>
        </w:rPr>
        <w:t>4、因雷电导致电脑网络故障时，除了检查在线设备的损坏程度以外，对不在工作状态的网络设备和电脑都应做全面的检查，以便及时发现问题，并采取相应的措施及时处理，把损失降到最低。</w:t>
      </w:r>
    </w:p>
    <w:p>
      <w:pPr>
        <w:ind w:firstLine="560" w:firstLineChars="200"/>
        <w:rPr>
          <w:rFonts w:ascii="宋体" w:hAnsi="宋体" w:cs="宋体"/>
          <w:sz w:val="28"/>
          <w:szCs w:val="28"/>
        </w:rPr>
      </w:pPr>
      <w:r>
        <w:rPr>
          <w:rFonts w:hint="eastAsia" w:ascii="宋体" w:hAnsi="宋体" w:cs="宋体"/>
          <w:sz w:val="28"/>
          <w:szCs w:val="28"/>
        </w:rPr>
        <w:t>5、较大雷电灾害事故，加油站应当在事故发生后第一时间将事故发生的时间、地点、起因、后果、已采取措施等情况报告加油站安全应急领导小组。加油站值班电话和防雷管理员的电话保持 24 小时开通，切实做好上情下达和下情上报。</w:t>
      </w:r>
    </w:p>
    <w:p>
      <w:pPr>
        <w:ind w:firstLine="560" w:firstLineChars="200"/>
        <w:rPr>
          <w:rFonts w:ascii="宋体" w:hAnsi="宋体" w:cs="宋体"/>
          <w:sz w:val="28"/>
          <w:szCs w:val="28"/>
        </w:rPr>
      </w:pPr>
      <w:r>
        <w:rPr>
          <w:rFonts w:hint="eastAsia" w:ascii="宋体" w:hAnsi="宋体" w:cs="宋体"/>
          <w:sz w:val="28"/>
          <w:szCs w:val="28"/>
        </w:rPr>
        <w:t>6、参加抢险救援工作人员，在事故应急领导小组的统一指挥下实施救援，不得拖延、推诿，应当采取有效措施，减少事故损失，防止事故蔓延扩大。</w:t>
      </w:r>
    </w:p>
    <w:p>
      <w:pPr>
        <w:pStyle w:val="2"/>
        <w:ind w:firstLine="0"/>
        <w:outlineLvl w:val="2"/>
        <w:rPr>
          <w:rFonts w:ascii="宋体" w:hAnsi="宋体" w:cs="宋体"/>
          <w:b/>
          <w:bCs/>
          <w:color w:val="000000"/>
          <w:sz w:val="24"/>
          <w:szCs w:val="24"/>
        </w:rPr>
      </w:pPr>
      <w:bookmarkStart w:id="862" w:name="_Toc17734"/>
      <w:bookmarkEnd w:id="862"/>
      <w:bookmarkStart w:id="863" w:name="_Toc6782"/>
      <w:r>
        <w:rPr>
          <w:rFonts w:hint="eastAsia" w:ascii="宋体" w:hAnsi="宋体" w:cs="宋体"/>
          <w:b/>
          <w:bCs/>
          <w:sz w:val="24"/>
          <w:szCs w:val="24"/>
        </w:rPr>
        <w:t xml:space="preserve">3.4.2 </w:t>
      </w:r>
      <w:r>
        <w:rPr>
          <w:rFonts w:hint="eastAsia" w:ascii="宋体" w:hAnsi="宋体" w:cs="宋体"/>
          <w:b/>
          <w:bCs/>
          <w:color w:val="000000"/>
          <w:sz w:val="24"/>
          <w:szCs w:val="24"/>
        </w:rPr>
        <w:t>注意事项</w:t>
      </w:r>
      <w:bookmarkEnd w:id="863"/>
    </w:p>
    <w:p>
      <w:pPr>
        <w:ind w:firstLine="560" w:firstLineChars="200"/>
        <w:rPr>
          <w:rFonts w:ascii="宋体" w:hAnsi="宋体" w:cs="宋体"/>
          <w:sz w:val="28"/>
          <w:szCs w:val="28"/>
        </w:rPr>
      </w:pPr>
      <w:r>
        <w:rPr>
          <w:rFonts w:hint="eastAsia" w:ascii="宋体" w:hAnsi="宋体" w:cs="宋体"/>
          <w:sz w:val="28"/>
          <w:szCs w:val="28"/>
        </w:rPr>
        <w:t>1、事故发生后，救灾过程中要提前考虑是否应切断电、气、水源等，以避免次生灾害发生。</w:t>
      </w:r>
    </w:p>
    <w:p>
      <w:pPr>
        <w:ind w:firstLine="560" w:firstLineChars="200"/>
        <w:rPr>
          <w:rFonts w:ascii="宋体" w:hAnsi="宋体" w:cs="宋体"/>
          <w:sz w:val="28"/>
          <w:szCs w:val="28"/>
        </w:rPr>
      </w:pPr>
      <w:r>
        <w:rPr>
          <w:rFonts w:hint="eastAsia" w:ascii="宋体" w:hAnsi="宋体" w:cs="宋体"/>
          <w:sz w:val="28"/>
          <w:szCs w:val="28"/>
        </w:rPr>
        <w:t>2、如雷击建筑物致使受损严重的，应通知有关部门进行安全性鉴定评估。</w:t>
      </w:r>
    </w:p>
    <w:p>
      <w:pPr>
        <w:ind w:firstLine="560" w:firstLineChars="200"/>
        <w:rPr>
          <w:rFonts w:ascii="宋体" w:hAnsi="宋体" w:cs="宋体"/>
          <w:sz w:val="28"/>
          <w:szCs w:val="28"/>
        </w:rPr>
      </w:pPr>
      <w:r>
        <w:rPr>
          <w:rFonts w:hint="eastAsia" w:ascii="宋体" w:hAnsi="宋体" w:cs="宋体"/>
          <w:sz w:val="28"/>
          <w:szCs w:val="28"/>
        </w:rPr>
        <w:t>3、当雷电引发火灾时，要启动相应的消防应急预案。</w:t>
      </w:r>
    </w:p>
    <w:p>
      <w:pPr>
        <w:ind w:firstLine="560" w:firstLineChars="200"/>
        <w:rPr>
          <w:rFonts w:ascii="宋体" w:hAnsi="宋体" w:cs="宋体"/>
          <w:sz w:val="28"/>
          <w:szCs w:val="28"/>
        </w:rPr>
      </w:pPr>
      <w:r>
        <w:rPr>
          <w:rFonts w:hint="eastAsia" w:ascii="宋体" w:hAnsi="宋体" w:cs="宋体"/>
          <w:sz w:val="28"/>
          <w:szCs w:val="28"/>
        </w:rPr>
        <w:t>4、实行责任追究。对未依法履行安全职责，违反安全规定的行为或在事发应急过程中不听从指挥、不服从安排酿成严重后果的，由加油站依照有关规定对责任人给予罚款或者其他处罚。因失职或者管理失控发生事故造成恶劣影响的，由有关管理部门和公安机关依照法律规定予以处罚。构成犯罪的，依法追究刑事责任。</w:t>
      </w:r>
    </w:p>
    <w:p>
      <w:pPr>
        <w:pStyle w:val="4"/>
        <w:spacing w:before="0" w:after="0"/>
        <w:rPr>
          <w:rStyle w:val="51"/>
          <w:rFonts w:hint="default" w:ascii="Times New Roman" w:hAnsi="Times New Roman" w:cs="宋体"/>
          <w:b/>
          <w:bCs/>
          <w:sz w:val="24"/>
          <w:szCs w:val="24"/>
        </w:rPr>
      </w:pPr>
      <w:r>
        <w:rPr>
          <w:rStyle w:val="51"/>
          <w:rFonts w:hint="default" w:ascii="Times New Roman" w:hAnsi="Times New Roman" w:cs="宋体"/>
          <w:b/>
          <w:bCs/>
          <w:sz w:val="24"/>
          <w:szCs w:val="24"/>
        </w:rPr>
        <w:t>3.5附则</w:t>
      </w:r>
    </w:p>
    <w:p>
      <w:pPr>
        <w:widowControl/>
        <w:adjustRightInd w:val="0"/>
        <w:snapToGrid w:val="0"/>
        <w:spacing w:line="360" w:lineRule="auto"/>
        <w:ind w:firstLine="560" w:firstLineChars="200"/>
        <w:rPr>
          <w:rFonts w:cs="宋体"/>
        </w:rPr>
      </w:pPr>
      <w:r>
        <w:rPr>
          <w:rFonts w:hint="eastAsia" w:ascii="宋体" w:hAnsi="宋体" w:cs="宋体"/>
          <w:sz w:val="28"/>
          <w:szCs w:val="28"/>
        </w:rPr>
        <w:t>本预案自发布之日起实施。</w:t>
      </w:r>
    </w:p>
    <w:p>
      <w:pPr>
        <w:spacing w:line="360" w:lineRule="auto"/>
      </w:pPr>
    </w:p>
    <w:p>
      <w:pPr>
        <w:spacing w:line="360" w:lineRule="auto"/>
      </w:pPr>
    </w:p>
    <w:p>
      <w:pPr>
        <w:spacing w:line="360" w:lineRule="auto"/>
      </w:pPr>
    </w:p>
    <w:p>
      <w:pPr>
        <w:spacing w:line="360" w:lineRule="auto"/>
      </w:pPr>
    </w:p>
    <w:p>
      <w:pPr>
        <w:spacing w:line="360" w:lineRule="auto"/>
      </w:pPr>
    </w:p>
    <w:p>
      <w:pPr>
        <w:pStyle w:val="3"/>
        <w:snapToGrid w:val="0"/>
        <w:rPr>
          <w:rFonts w:eastAsia="宋体" w:cs="宋体"/>
        </w:rPr>
      </w:pPr>
      <w:r>
        <w:rPr>
          <w:rFonts w:hint="eastAsia" w:eastAsia="宋体" w:cs="宋体"/>
        </w:rPr>
        <w:t>四、社会治安及防恐反恐专项应急预案</w:t>
      </w:r>
    </w:p>
    <w:p>
      <w:pPr>
        <w:pStyle w:val="4"/>
        <w:spacing w:before="0" w:after="0"/>
        <w:rPr>
          <w:rStyle w:val="51"/>
          <w:rFonts w:hint="default" w:ascii="Times New Roman" w:hAnsi="Times New Roman" w:cs="宋体"/>
          <w:b/>
          <w:bCs/>
          <w:sz w:val="24"/>
          <w:szCs w:val="24"/>
        </w:rPr>
      </w:pPr>
      <w:r>
        <w:rPr>
          <w:rStyle w:val="51"/>
          <w:rFonts w:hint="default" w:ascii="Times New Roman" w:hAnsi="Times New Roman" w:cs="宋体"/>
          <w:b/>
          <w:bCs/>
          <w:sz w:val="24"/>
          <w:szCs w:val="24"/>
        </w:rPr>
        <w:t>4.1事故风险分析</w:t>
      </w:r>
    </w:p>
    <w:p>
      <w:pPr>
        <w:ind w:firstLine="560" w:firstLineChars="200"/>
        <w:rPr>
          <w:rFonts w:ascii="宋体" w:hAnsi="宋体" w:cs="宋体"/>
          <w:sz w:val="28"/>
          <w:szCs w:val="28"/>
        </w:rPr>
      </w:pPr>
      <w:r>
        <w:rPr>
          <w:rFonts w:hint="eastAsia" w:ascii="宋体" w:hAnsi="宋体" w:cs="宋体"/>
          <w:sz w:val="28"/>
          <w:szCs w:val="28"/>
        </w:rPr>
        <w:t>本专项预案的包含抢劫、盗窃、恐怖袭击、群体性事件等，可能对吉运加油站造成设备设施破坏、财产损失或人员伤亡等。如果发生破坏性恐怖袭击将会造成物料泄露、火灾、爆炸等危害性较大的事故，可能造成严重的人员伤亡和财产损失。具体危害分类如下：</w:t>
      </w:r>
    </w:p>
    <w:p>
      <w:pPr>
        <w:ind w:firstLine="560" w:firstLineChars="200"/>
        <w:rPr>
          <w:rFonts w:ascii="宋体" w:hAnsi="宋体" w:cs="宋体"/>
          <w:sz w:val="28"/>
          <w:szCs w:val="28"/>
        </w:rPr>
      </w:pPr>
      <w:r>
        <w:rPr>
          <w:rFonts w:hint="eastAsia" w:ascii="宋体" w:hAnsi="宋体" w:cs="宋体"/>
          <w:sz w:val="28"/>
          <w:szCs w:val="28"/>
        </w:rPr>
        <w:t>设备损坏：油罐、加油机等。</w:t>
      </w:r>
    </w:p>
    <w:p>
      <w:pPr>
        <w:ind w:firstLine="560" w:firstLineChars="200"/>
        <w:rPr>
          <w:rFonts w:ascii="宋体" w:hAnsi="宋体" w:cs="宋体"/>
          <w:sz w:val="28"/>
          <w:szCs w:val="28"/>
        </w:rPr>
      </w:pPr>
      <w:r>
        <w:rPr>
          <w:rFonts w:hint="eastAsia" w:ascii="宋体" w:hAnsi="宋体" w:cs="宋体"/>
          <w:sz w:val="28"/>
          <w:szCs w:val="28"/>
        </w:rPr>
        <w:t>站房、罩棚损坏。</w:t>
      </w:r>
    </w:p>
    <w:p>
      <w:pPr>
        <w:ind w:firstLine="560" w:firstLineChars="200"/>
        <w:rPr>
          <w:rFonts w:ascii="宋体" w:hAnsi="宋体" w:cs="宋体"/>
          <w:sz w:val="28"/>
          <w:szCs w:val="28"/>
        </w:rPr>
      </w:pPr>
      <w:r>
        <w:rPr>
          <w:rFonts w:hint="eastAsia" w:ascii="宋体" w:hAnsi="宋体" w:cs="宋体"/>
          <w:sz w:val="28"/>
          <w:szCs w:val="28"/>
        </w:rPr>
        <w:t>人员伤亡。</w:t>
      </w:r>
    </w:p>
    <w:p>
      <w:pPr>
        <w:pStyle w:val="4"/>
        <w:spacing w:before="0" w:after="0"/>
        <w:rPr>
          <w:rStyle w:val="51"/>
          <w:rFonts w:hint="default" w:ascii="Times New Roman" w:hAnsi="Times New Roman" w:cs="宋体"/>
          <w:b/>
          <w:bCs/>
          <w:sz w:val="24"/>
          <w:szCs w:val="24"/>
        </w:rPr>
      </w:pPr>
      <w:r>
        <w:rPr>
          <w:rStyle w:val="51"/>
          <w:rFonts w:hint="default" w:ascii="Times New Roman" w:hAnsi="Times New Roman" w:cs="宋体"/>
          <w:b/>
          <w:bCs/>
          <w:sz w:val="24"/>
          <w:szCs w:val="24"/>
        </w:rPr>
        <w:t>4.2 应急指挥机构及职责</w:t>
      </w:r>
    </w:p>
    <w:p>
      <w:pPr>
        <w:pStyle w:val="5"/>
        <w:spacing w:before="0" w:after="0"/>
        <w:rPr>
          <w:rStyle w:val="49"/>
          <w:rFonts w:ascii="Times New Roman" w:hAnsi="Times New Roman" w:cs="宋体"/>
          <w:b/>
          <w:bCs/>
          <w:sz w:val="24"/>
          <w:szCs w:val="24"/>
        </w:rPr>
      </w:pPr>
      <w:r>
        <w:rPr>
          <w:rStyle w:val="49"/>
          <w:rFonts w:hint="eastAsia" w:ascii="Times New Roman" w:hAnsi="Times New Roman" w:cs="宋体"/>
          <w:b/>
          <w:bCs/>
          <w:sz w:val="24"/>
          <w:szCs w:val="24"/>
        </w:rPr>
        <w:t>4.2.1指挥部组成及设置</w:t>
      </w:r>
    </w:p>
    <w:p>
      <w:pPr>
        <w:ind w:firstLine="560" w:firstLineChars="200"/>
        <w:rPr>
          <w:rFonts w:ascii="宋体" w:hAnsi="宋体" w:cs="宋体"/>
          <w:sz w:val="28"/>
          <w:szCs w:val="28"/>
        </w:rPr>
      </w:pPr>
      <w:r>
        <w:rPr>
          <w:rFonts w:hint="eastAsia" w:ascii="宋体" w:hAnsi="宋体" w:cs="宋体"/>
          <w:sz w:val="28"/>
          <w:szCs w:val="28"/>
        </w:rPr>
        <w:t>指挥部组成及设置与《综合应急预案》相同</w:t>
      </w:r>
    </w:p>
    <w:p>
      <w:pPr>
        <w:pStyle w:val="5"/>
        <w:spacing w:before="0" w:after="0"/>
        <w:rPr>
          <w:rStyle w:val="49"/>
          <w:rFonts w:ascii="Times New Roman" w:hAnsi="Times New Roman" w:cs="宋体"/>
          <w:b/>
          <w:bCs/>
          <w:sz w:val="24"/>
          <w:szCs w:val="24"/>
        </w:rPr>
      </w:pPr>
      <w:r>
        <w:rPr>
          <w:rStyle w:val="49"/>
          <w:rFonts w:hint="eastAsia" w:ascii="Times New Roman" w:hAnsi="Times New Roman" w:cs="宋体"/>
          <w:b/>
          <w:bCs/>
          <w:sz w:val="24"/>
          <w:szCs w:val="24"/>
        </w:rPr>
        <w:t>4.2.2组织机构职责</w:t>
      </w:r>
    </w:p>
    <w:p>
      <w:pPr>
        <w:ind w:firstLine="560" w:firstLineChars="200"/>
        <w:rPr>
          <w:rFonts w:ascii="宋体" w:hAnsi="宋体" w:cs="宋体"/>
          <w:sz w:val="28"/>
          <w:szCs w:val="28"/>
        </w:rPr>
      </w:pPr>
      <w:r>
        <w:rPr>
          <w:rFonts w:hint="eastAsia" w:ascii="宋体" w:hAnsi="宋体" w:cs="宋体"/>
          <w:sz w:val="28"/>
          <w:szCs w:val="28"/>
        </w:rPr>
        <w:t>指挥部及各机构职责与《综合应急预案》相同</w:t>
      </w:r>
    </w:p>
    <w:p>
      <w:pPr>
        <w:pStyle w:val="4"/>
        <w:spacing w:before="0" w:after="0"/>
        <w:rPr>
          <w:rStyle w:val="51"/>
          <w:rFonts w:hint="default" w:ascii="Times New Roman" w:hAnsi="Times New Roman" w:cs="宋体"/>
          <w:b/>
          <w:bCs/>
          <w:sz w:val="24"/>
          <w:szCs w:val="24"/>
        </w:rPr>
      </w:pPr>
      <w:r>
        <w:rPr>
          <w:rStyle w:val="51"/>
          <w:rFonts w:hint="default" w:ascii="Times New Roman" w:hAnsi="Times New Roman" w:cs="宋体"/>
          <w:b/>
          <w:bCs/>
          <w:sz w:val="24"/>
          <w:szCs w:val="24"/>
        </w:rPr>
        <w:t>4.3处置程序</w:t>
      </w:r>
    </w:p>
    <w:p>
      <w:pPr>
        <w:pStyle w:val="5"/>
        <w:spacing w:before="0" w:after="0"/>
        <w:rPr>
          <w:rStyle w:val="49"/>
          <w:rFonts w:ascii="Times New Roman" w:hAnsi="Times New Roman" w:cs="宋体"/>
          <w:b/>
          <w:bCs/>
          <w:sz w:val="24"/>
          <w:szCs w:val="24"/>
        </w:rPr>
      </w:pPr>
      <w:r>
        <w:rPr>
          <w:rStyle w:val="49"/>
          <w:rFonts w:hint="eastAsia" w:ascii="Times New Roman" w:hAnsi="Times New Roman" w:cs="宋体"/>
          <w:b/>
          <w:bCs/>
          <w:sz w:val="24"/>
          <w:szCs w:val="24"/>
        </w:rPr>
        <w:t>4.3.1 预警行动</w:t>
      </w:r>
    </w:p>
    <w:p>
      <w:pPr>
        <w:ind w:firstLine="560" w:firstLineChars="200"/>
        <w:rPr>
          <w:rFonts w:ascii="宋体" w:hAnsi="宋体" w:cs="宋体"/>
          <w:sz w:val="28"/>
          <w:szCs w:val="28"/>
        </w:rPr>
      </w:pPr>
      <w:r>
        <w:rPr>
          <w:rFonts w:hint="eastAsia" w:ascii="宋体" w:hAnsi="宋体" w:cs="宋体"/>
          <w:sz w:val="28"/>
          <w:szCs w:val="28"/>
        </w:rPr>
        <w:t>吉运加油站应急领导小组根据加油站突发情况，进行以下预警：</w:t>
      </w:r>
    </w:p>
    <w:p>
      <w:pPr>
        <w:ind w:firstLine="560" w:firstLineChars="200"/>
        <w:rPr>
          <w:rFonts w:ascii="宋体" w:hAnsi="宋体" w:cs="宋体"/>
          <w:sz w:val="28"/>
          <w:szCs w:val="28"/>
        </w:rPr>
      </w:pPr>
      <w:r>
        <w:rPr>
          <w:rFonts w:hint="eastAsia" w:ascii="宋体" w:hAnsi="宋体" w:cs="宋体"/>
          <w:sz w:val="28"/>
          <w:szCs w:val="28"/>
        </w:rPr>
        <w:t>1、符合本专项预案启动条件时，应按照指令立即启动本专项预案；</w:t>
      </w:r>
    </w:p>
    <w:p>
      <w:pPr>
        <w:ind w:firstLine="560" w:firstLineChars="200"/>
        <w:rPr>
          <w:rFonts w:ascii="宋体" w:hAnsi="宋体" w:cs="宋体"/>
          <w:sz w:val="28"/>
          <w:szCs w:val="28"/>
        </w:rPr>
      </w:pPr>
      <w:r>
        <w:rPr>
          <w:rFonts w:hint="eastAsia" w:ascii="宋体" w:hAnsi="宋体" w:cs="宋体"/>
          <w:sz w:val="28"/>
          <w:szCs w:val="28"/>
        </w:rPr>
        <w:t>2、不符合本专项预案启动条件时，但对加油站的生产运行有一定的影响时，指令相关部门进入预警状态，指导各相关单位制定并落实相应的应对措施，做好防范工作；</w:t>
      </w:r>
    </w:p>
    <w:p>
      <w:pPr>
        <w:ind w:firstLine="560" w:firstLineChars="200"/>
        <w:rPr>
          <w:rFonts w:ascii="宋体" w:hAnsi="宋体" w:cs="宋体"/>
          <w:sz w:val="28"/>
          <w:szCs w:val="28"/>
        </w:rPr>
      </w:pPr>
      <w:r>
        <w:rPr>
          <w:rFonts w:hint="eastAsia" w:ascii="宋体" w:hAnsi="宋体" w:cs="宋体"/>
          <w:sz w:val="28"/>
          <w:szCs w:val="28"/>
        </w:rPr>
        <w:t>3、加强日常防范和观察，加强治安知识宣传，重点宣传应急避难知识和自救互救知识；</w:t>
      </w:r>
    </w:p>
    <w:p>
      <w:pPr>
        <w:ind w:firstLine="560" w:firstLineChars="200"/>
        <w:rPr>
          <w:rFonts w:ascii="宋体" w:hAnsi="宋体" w:cs="宋体"/>
          <w:sz w:val="28"/>
          <w:szCs w:val="28"/>
        </w:rPr>
      </w:pPr>
      <w:r>
        <w:rPr>
          <w:rFonts w:hint="eastAsia" w:ascii="宋体" w:hAnsi="宋体" w:cs="宋体"/>
          <w:sz w:val="28"/>
          <w:szCs w:val="28"/>
        </w:rPr>
        <w:t>4、调集所需应急物资和设备；</w:t>
      </w:r>
    </w:p>
    <w:p>
      <w:pPr>
        <w:ind w:firstLine="560" w:firstLineChars="200"/>
        <w:rPr>
          <w:rFonts w:ascii="宋体" w:hAnsi="宋体" w:cs="宋体"/>
          <w:sz w:val="28"/>
          <w:szCs w:val="28"/>
        </w:rPr>
      </w:pPr>
      <w:r>
        <w:rPr>
          <w:rFonts w:hint="eastAsia" w:ascii="宋体" w:hAnsi="宋体" w:cs="宋体"/>
          <w:sz w:val="28"/>
          <w:szCs w:val="28"/>
        </w:rPr>
        <w:t>5、确保通讯、交通、供水、供电等公用设施的安全和正常运行。</w:t>
      </w:r>
    </w:p>
    <w:p>
      <w:pPr>
        <w:pStyle w:val="5"/>
        <w:spacing w:before="0" w:after="0"/>
        <w:rPr>
          <w:rStyle w:val="49"/>
          <w:rFonts w:ascii="Times New Roman" w:hAnsi="Times New Roman" w:cs="宋体"/>
          <w:b/>
          <w:bCs/>
          <w:sz w:val="24"/>
          <w:szCs w:val="24"/>
        </w:rPr>
      </w:pPr>
      <w:r>
        <w:rPr>
          <w:rStyle w:val="49"/>
          <w:rFonts w:hint="eastAsia" w:ascii="Times New Roman" w:hAnsi="Times New Roman" w:cs="宋体"/>
          <w:b/>
          <w:bCs/>
          <w:sz w:val="24"/>
          <w:szCs w:val="24"/>
        </w:rPr>
        <w:t>4.3.2 信息报告</w:t>
      </w:r>
    </w:p>
    <w:p>
      <w:pPr>
        <w:ind w:firstLine="560" w:firstLineChars="200"/>
        <w:rPr>
          <w:rFonts w:ascii="宋体" w:hAnsi="宋体" w:cs="宋体"/>
          <w:sz w:val="28"/>
          <w:szCs w:val="28"/>
        </w:rPr>
      </w:pPr>
      <w:r>
        <w:rPr>
          <w:rFonts w:hint="eastAsia" w:ascii="宋体" w:hAnsi="宋体" w:cs="宋体"/>
          <w:sz w:val="28"/>
          <w:szCs w:val="28"/>
        </w:rPr>
        <w:t>发生社会治安事件时，在启动本专项应急预案的同时，迅速按照综合应急预案（应急报告程序框图）规定的程序向负责人报告。</w:t>
      </w:r>
    </w:p>
    <w:p>
      <w:pPr>
        <w:ind w:firstLine="560" w:firstLineChars="200"/>
        <w:rPr>
          <w:rFonts w:ascii="宋体" w:hAnsi="宋体" w:cs="宋体"/>
          <w:sz w:val="28"/>
          <w:szCs w:val="28"/>
        </w:rPr>
      </w:pPr>
      <w:r>
        <w:rPr>
          <w:rFonts w:hint="eastAsia" w:ascii="宋体" w:hAnsi="宋体" w:cs="宋体"/>
          <w:sz w:val="28"/>
          <w:szCs w:val="28"/>
        </w:rPr>
        <w:t>发生治安事件后，应立即向应急领导小组报告，报告应包括但不限于以下内容：</w:t>
      </w:r>
    </w:p>
    <w:p>
      <w:pPr>
        <w:ind w:firstLine="560" w:firstLineChars="200"/>
        <w:rPr>
          <w:rFonts w:ascii="宋体" w:hAnsi="宋体" w:cs="宋体"/>
          <w:sz w:val="28"/>
          <w:szCs w:val="28"/>
        </w:rPr>
      </w:pPr>
      <w:r>
        <w:rPr>
          <w:rFonts w:hint="eastAsia" w:ascii="宋体" w:hAnsi="宋体" w:cs="宋体"/>
          <w:sz w:val="28"/>
          <w:szCs w:val="28"/>
        </w:rPr>
        <w:t>a）发生时间、事件情况；</w:t>
      </w:r>
    </w:p>
    <w:p>
      <w:pPr>
        <w:ind w:firstLine="560" w:firstLineChars="200"/>
        <w:rPr>
          <w:rFonts w:ascii="宋体" w:hAnsi="宋体" w:cs="宋体"/>
          <w:sz w:val="28"/>
          <w:szCs w:val="28"/>
        </w:rPr>
      </w:pPr>
      <w:r>
        <w:rPr>
          <w:rFonts w:hint="eastAsia" w:ascii="宋体" w:hAnsi="宋体" w:cs="宋体"/>
          <w:sz w:val="28"/>
          <w:szCs w:val="28"/>
        </w:rPr>
        <w:t>b）有无人员伤亡；</w:t>
      </w:r>
    </w:p>
    <w:p>
      <w:pPr>
        <w:ind w:firstLine="560" w:firstLineChars="200"/>
        <w:rPr>
          <w:rFonts w:ascii="宋体" w:hAnsi="宋体" w:cs="宋体"/>
          <w:sz w:val="28"/>
          <w:szCs w:val="28"/>
        </w:rPr>
      </w:pPr>
      <w:r>
        <w:rPr>
          <w:rFonts w:hint="eastAsia" w:ascii="宋体" w:hAnsi="宋体" w:cs="宋体"/>
          <w:sz w:val="28"/>
          <w:szCs w:val="28"/>
        </w:rPr>
        <w:t>c）有无设备设施破坏；</w:t>
      </w:r>
    </w:p>
    <w:p>
      <w:pPr>
        <w:ind w:firstLine="560" w:firstLineChars="200"/>
        <w:rPr>
          <w:rFonts w:ascii="宋体" w:hAnsi="宋体" w:cs="宋体"/>
          <w:sz w:val="28"/>
          <w:szCs w:val="28"/>
        </w:rPr>
      </w:pPr>
      <w:r>
        <w:rPr>
          <w:rFonts w:hint="eastAsia" w:ascii="宋体" w:hAnsi="宋体" w:cs="宋体"/>
          <w:sz w:val="28"/>
          <w:szCs w:val="28"/>
        </w:rPr>
        <w:t>d）有无火灾、爆炸发生；</w:t>
      </w:r>
    </w:p>
    <w:p>
      <w:pPr>
        <w:ind w:firstLine="560" w:firstLineChars="200"/>
        <w:rPr>
          <w:rFonts w:ascii="宋体" w:hAnsi="宋体" w:cs="宋体"/>
          <w:sz w:val="28"/>
          <w:szCs w:val="28"/>
        </w:rPr>
      </w:pPr>
      <w:r>
        <w:rPr>
          <w:rFonts w:hint="eastAsia" w:ascii="宋体" w:hAnsi="宋体" w:cs="宋体"/>
          <w:sz w:val="28"/>
          <w:szCs w:val="28"/>
        </w:rPr>
        <w:t>e）有无油品泄漏；</w:t>
      </w:r>
    </w:p>
    <w:p>
      <w:pPr>
        <w:ind w:firstLine="560" w:firstLineChars="200"/>
        <w:rPr>
          <w:rFonts w:ascii="宋体" w:hAnsi="宋体" w:cs="宋体"/>
          <w:sz w:val="28"/>
          <w:szCs w:val="28"/>
        </w:rPr>
      </w:pPr>
      <w:r>
        <w:rPr>
          <w:rFonts w:hint="eastAsia" w:ascii="宋体" w:hAnsi="宋体" w:cs="宋体"/>
          <w:sz w:val="28"/>
          <w:szCs w:val="28"/>
        </w:rPr>
        <w:t>f）周边道路交通状况，现场气象状况；</w:t>
      </w:r>
    </w:p>
    <w:p>
      <w:pPr>
        <w:ind w:firstLine="560" w:firstLineChars="200"/>
        <w:rPr>
          <w:rFonts w:ascii="宋体" w:hAnsi="宋体" w:cs="宋体"/>
          <w:sz w:val="28"/>
          <w:szCs w:val="28"/>
        </w:rPr>
      </w:pPr>
      <w:r>
        <w:rPr>
          <w:rFonts w:hint="eastAsia" w:ascii="宋体" w:hAnsi="宋体" w:cs="宋体"/>
          <w:sz w:val="28"/>
          <w:szCs w:val="28"/>
        </w:rPr>
        <w:t>g）已采取的措施；</w:t>
      </w:r>
    </w:p>
    <w:p>
      <w:pPr>
        <w:ind w:firstLine="560" w:firstLineChars="200"/>
        <w:rPr>
          <w:rFonts w:ascii="宋体" w:hAnsi="宋体" w:cs="宋体"/>
          <w:sz w:val="28"/>
          <w:szCs w:val="28"/>
        </w:rPr>
      </w:pPr>
      <w:r>
        <w:rPr>
          <w:rFonts w:hint="eastAsia" w:ascii="宋体" w:hAnsi="宋体" w:cs="宋体"/>
          <w:sz w:val="28"/>
          <w:szCs w:val="28"/>
        </w:rPr>
        <w:t>h）救援请求。</w:t>
      </w:r>
    </w:p>
    <w:p>
      <w:pPr>
        <w:ind w:firstLine="560" w:firstLineChars="200"/>
        <w:rPr>
          <w:rFonts w:ascii="宋体" w:hAnsi="宋体" w:cs="宋体"/>
          <w:sz w:val="28"/>
          <w:szCs w:val="28"/>
        </w:rPr>
      </w:pPr>
      <w:r>
        <w:rPr>
          <w:rFonts w:hint="eastAsia" w:ascii="宋体" w:hAnsi="宋体" w:cs="宋体"/>
          <w:sz w:val="28"/>
          <w:szCs w:val="28"/>
        </w:rPr>
        <w:t>在处理过程中，加油站负责人随时向当地政府、应急管理部门报告，报告应包括但不限于以下内容：</w:t>
      </w:r>
    </w:p>
    <w:p>
      <w:pPr>
        <w:ind w:firstLine="560" w:firstLineChars="200"/>
        <w:rPr>
          <w:rFonts w:ascii="宋体" w:hAnsi="宋体" w:cs="宋体"/>
          <w:sz w:val="28"/>
          <w:szCs w:val="28"/>
        </w:rPr>
      </w:pPr>
      <w:r>
        <w:rPr>
          <w:rFonts w:hint="eastAsia" w:ascii="宋体" w:hAnsi="宋体" w:cs="宋体"/>
          <w:sz w:val="28"/>
          <w:szCs w:val="28"/>
        </w:rPr>
        <w:t>a）现场状况；</w:t>
      </w:r>
    </w:p>
    <w:p>
      <w:pPr>
        <w:ind w:firstLine="560" w:firstLineChars="200"/>
        <w:rPr>
          <w:rFonts w:ascii="宋体" w:hAnsi="宋体" w:cs="宋体"/>
          <w:sz w:val="28"/>
          <w:szCs w:val="28"/>
        </w:rPr>
      </w:pPr>
      <w:r>
        <w:rPr>
          <w:rFonts w:hint="eastAsia" w:ascii="宋体" w:hAnsi="宋体" w:cs="宋体"/>
          <w:sz w:val="28"/>
          <w:szCs w:val="28"/>
        </w:rPr>
        <w:t>b）已采取的处理措施、处理效果；</w:t>
      </w:r>
    </w:p>
    <w:p>
      <w:pPr>
        <w:ind w:firstLine="560" w:firstLineChars="200"/>
        <w:rPr>
          <w:rFonts w:ascii="宋体" w:hAnsi="宋体" w:cs="宋体"/>
          <w:sz w:val="28"/>
          <w:szCs w:val="28"/>
        </w:rPr>
      </w:pPr>
      <w:r>
        <w:rPr>
          <w:rFonts w:hint="eastAsia" w:ascii="宋体" w:hAnsi="宋体" w:cs="宋体"/>
          <w:sz w:val="28"/>
          <w:szCs w:val="28"/>
        </w:rPr>
        <w:t>c）物料泄漏情况；</w:t>
      </w:r>
    </w:p>
    <w:p>
      <w:pPr>
        <w:ind w:firstLine="560" w:firstLineChars="200"/>
        <w:rPr>
          <w:rFonts w:ascii="宋体" w:hAnsi="宋体" w:cs="宋体"/>
          <w:sz w:val="28"/>
          <w:szCs w:val="28"/>
        </w:rPr>
      </w:pPr>
      <w:r>
        <w:rPr>
          <w:rFonts w:hint="eastAsia" w:ascii="宋体" w:hAnsi="宋体" w:cs="宋体"/>
          <w:sz w:val="28"/>
          <w:szCs w:val="28"/>
        </w:rPr>
        <w:t>d）若发生火灾、爆炸对设施和人员的损害损伤情况；</w:t>
      </w:r>
    </w:p>
    <w:p>
      <w:pPr>
        <w:ind w:firstLine="560" w:firstLineChars="200"/>
        <w:rPr>
          <w:rFonts w:ascii="宋体" w:hAnsi="宋体" w:cs="宋体"/>
          <w:sz w:val="28"/>
          <w:szCs w:val="28"/>
        </w:rPr>
      </w:pPr>
      <w:r>
        <w:rPr>
          <w:rFonts w:hint="eastAsia" w:ascii="宋体" w:hAnsi="宋体" w:cs="宋体"/>
          <w:sz w:val="28"/>
          <w:szCs w:val="28"/>
        </w:rPr>
        <w:t>e）人员伤亡情况；</w:t>
      </w:r>
    </w:p>
    <w:p>
      <w:pPr>
        <w:ind w:firstLine="560" w:firstLineChars="200"/>
        <w:rPr>
          <w:rFonts w:ascii="宋体" w:hAnsi="宋体" w:cs="宋体"/>
          <w:sz w:val="28"/>
          <w:szCs w:val="28"/>
        </w:rPr>
      </w:pPr>
      <w:r>
        <w:rPr>
          <w:rFonts w:hint="eastAsia" w:ascii="宋体" w:hAnsi="宋体" w:cs="宋体"/>
          <w:sz w:val="28"/>
          <w:szCs w:val="28"/>
        </w:rPr>
        <w:t>f）现场应急物资剩余和补给情况；</w:t>
      </w:r>
    </w:p>
    <w:p>
      <w:pPr>
        <w:ind w:firstLine="560" w:firstLineChars="200"/>
        <w:rPr>
          <w:rFonts w:ascii="宋体" w:hAnsi="宋体" w:cs="宋体"/>
          <w:sz w:val="28"/>
          <w:szCs w:val="28"/>
        </w:rPr>
      </w:pPr>
      <w:r>
        <w:rPr>
          <w:rFonts w:hint="eastAsia" w:ascii="宋体" w:hAnsi="宋体" w:cs="宋体"/>
          <w:sz w:val="28"/>
          <w:szCs w:val="28"/>
        </w:rPr>
        <w:t>g）人员疏散情况；</w:t>
      </w:r>
    </w:p>
    <w:p>
      <w:pPr>
        <w:ind w:firstLine="560" w:firstLineChars="200"/>
        <w:rPr>
          <w:rFonts w:ascii="宋体" w:hAnsi="宋体" w:cs="宋体"/>
          <w:sz w:val="28"/>
          <w:szCs w:val="28"/>
        </w:rPr>
      </w:pPr>
      <w:r>
        <w:rPr>
          <w:rFonts w:hint="eastAsia" w:ascii="宋体" w:hAnsi="宋体" w:cs="宋体"/>
          <w:sz w:val="28"/>
          <w:szCs w:val="28"/>
        </w:rPr>
        <w:t>h）其他救援要求。</w:t>
      </w:r>
    </w:p>
    <w:p>
      <w:pPr>
        <w:ind w:firstLine="560" w:firstLineChars="200"/>
        <w:rPr>
          <w:rFonts w:ascii="宋体" w:hAnsi="宋体" w:cs="宋体"/>
          <w:sz w:val="28"/>
          <w:szCs w:val="28"/>
        </w:rPr>
      </w:pPr>
      <w:r>
        <w:rPr>
          <w:rFonts w:hint="eastAsia" w:ascii="宋体" w:hAnsi="宋体" w:cs="宋体"/>
          <w:sz w:val="28"/>
          <w:szCs w:val="28"/>
        </w:rPr>
        <w:t>在发生火灾时，发现的人员首先报告车间领导，当发生较大火灾时拨打119，当人员中毒时拨打120。</w:t>
      </w:r>
    </w:p>
    <w:p>
      <w:pPr>
        <w:ind w:firstLine="560" w:firstLineChars="200"/>
        <w:rPr>
          <w:rFonts w:ascii="宋体" w:hAnsi="宋体" w:cs="宋体"/>
          <w:sz w:val="28"/>
          <w:szCs w:val="28"/>
        </w:rPr>
      </w:pPr>
      <w:r>
        <w:rPr>
          <w:rFonts w:hint="eastAsia" w:ascii="宋体" w:hAnsi="宋体" w:cs="宋体"/>
          <w:sz w:val="28"/>
          <w:szCs w:val="28"/>
        </w:rPr>
        <w:t>24小时与相关部门的通讯、联络方式，见附件。</w:t>
      </w:r>
    </w:p>
    <w:p>
      <w:pPr>
        <w:pStyle w:val="5"/>
        <w:spacing w:before="0" w:after="0"/>
        <w:rPr>
          <w:rStyle w:val="49"/>
          <w:rFonts w:ascii="Times New Roman" w:hAnsi="Times New Roman" w:cs="宋体"/>
          <w:b/>
          <w:bCs/>
          <w:sz w:val="24"/>
          <w:szCs w:val="24"/>
        </w:rPr>
      </w:pPr>
      <w:r>
        <w:rPr>
          <w:rStyle w:val="49"/>
          <w:rFonts w:hint="eastAsia" w:ascii="Times New Roman" w:hAnsi="Times New Roman" w:cs="宋体"/>
          <w:b/>
          <w:bCs/>
          <w:sz w:val="24"/>
          <w:szCs w:val="24"/>
        </w:rPr>
        <w:t>4.3.3 响应程序</w:t>
      </w:r>
    </w:p>
    <w:p>
      <w:pPr>
        <w:ind w:firstLine="560" w:firstLineChars="200"/>
        <w:rPr>
          <w:rFonts w:ascii="宋体" w:hAnsi="宋体" w:cs="宋体"/>
          <w:sz w:val="28"/>
          <w:szCs w:val="28"/>
        </w:rPr>
      </w:pPr>
      <w:r>
        <w:rPr>
          <w:rFonts w:hint="eastAsia" w:ascii="宋体" w:hAnsi="宋体" w:cs="宋体"/>
          <w:sz w:val="28"/>
          <w:szCs w:val="28"/>
        </w:rPr>
        <w:t>发生事故后，事故现场负责人或最先发现者应立即向应先向应急救援现场指挥报告，相关人员接到事故报告后，立即分别向加油站应急救援指挥部办公室和当地政府有关部门报告。加油站应急救援指挥部办公室或值班室的接报人员立即向指挥长报告。涉及重特大事故损失严重、对员工及周边群众生命形成威胁的，根据具体情况，分别报告当地政府和消防、安全生产监督管理部门及卫生部门等单位。</w:t>
      </w:r>
    </w:p>
    <w:p>
      <w:pPr>
        <w:pStyle w:val="40"/>
        <w:rPr>
          <w:rStyle w:val="51"/>
          <w:rFonts w:hint="default" w:ascii="Times New Roman" w:hAnsi="Times New Roman" w:cs="宋体"/>
          <w:b/>
          <w:bCs/>
          <w:sz w:val="24"/>
          <w:szCs w:val="24"/>
        </w:rPr>
      </w:pPr>
      <w:r>
        <w:rPr>
          <w:rStyle w:val="51"/>
          <w:rFonts w:hint="default" w:ascii="Times New Roman" w:hAnsi="Times New Roman" w:cs="宋体"/>
          <w:b/>
          <w:bCs/>
          <w:sz w:val="24"/>
          <w:szCs w:val="24"/>
        </w:rPr>
        <w:t>4.4 处置措施</w:t>
      </w:r>
    </w:p>
    <w:p>
      <w:pPr>
        <w:pStyle w:val="40"/>
        <w:rPr>
          <w:rStyle w:val="51"/>
          <w:rFonts w:hint="default" w:ascii="Times New Roman" w:hAnsi="Times New Roman" w:cs="宋体"/>
          <w:b/>
          <w:bCs/>
          <w:sz w:val="24"/>
          <w:szCs w:val="24"/>
        </w:rPr>
      </w:pPr>
      <w:bookmarkStart w:id="864" w:name="_Toc336280664"/>
      <w:r>
        <w:rPr>
          <w:rStyle w:val="51"/>
          <w:rFonts w:hint="default" w:ascii="Times New Roman" w:hAnsi="Times New Roman" w:cs="宋体"/>
          <w:b/>
          <w:bCs/>
          <w:sz w:val="24"/>
          <w:szCs w:val="24"/>
        </w:rPr>
        <w:t>4.4.1抢劫应对措施</w:t>
      </w:r>
      <w:bookmarkEnd w:id="864"/>
    </w:p>
    <w:p>
      <w:pPr>
        <w:pStyle w:val="43"/>
        <w:spacing w:beforeLines="0" w:afterLines="0" w:line="560" w:lineRule="exact"/>
        <w:ind w:firstLine="0" w:firstLineChars="0"/>
        <w:rPr>
          <w:rFonts w:ascii="Times New Roman" w:hAnsi="Times New Roman" w:eastAsia="宋体"/>
          <w:b/>
          <w:kern w:val="2"/>
          <w:sz w:val="24"/>
        </w:rPr>
      </w:pPr>
      <w:r>
        <w:rPr>
          <w:rFonts w:hint="eastAsia" w:ascii="黑体" w:hAnsi="黑体" w:eastAsia="黑体"/>
          <w:b/>
          <w:kern w:val="2"/>
          <w:sz w:val="24"/>
        </w:rPr>
        <w:t xml:space="preserve">1、 </w:t>
      </w:r>
      <w:r>
        <w:rPr>
          <w:rFonts w:hint="eastAsia" w:ascii="Times New Roman" w:hAnsi="Times New Roman" w:eastAsia="宋体"/>
          <w:b/>
          <w:kern w:val="2"/>
          <w:sz w:val="24"/>
        </w:rPr>
        <w:t>预防措施</w:t>
      </w:r>
    </w:p>
    <w:p>
      <w:pPr>
        <w:ind w:firstLine="560" w:firstLineChars="200"/>
        <w:rPr>
          <w:rFonts w:ascii="宋体" w:hAnsi="宋体" w:cs="宋体"/>
          <w:sz w:val="28"/>
          <w:szCs w:val="28"/>
        </w:rPr>
      </w:pPr>
      <w:r>
        <w:rPr>
          <w:rFonts w:hint="eastAsia" w:ascii="宋体" w:hAnsi="宋体" w:cs="宋体"/>
          <w:sz w:val="28"/>
          <w:szCs w:val="28"/>
        </w:rPr>
        <w:t>①保持加油站室内明亮，及时开启店外照明。</w:t>
      </w:r>
    </w:p>
    <w:p>
      <w:pPr>
        <w:ind w:firstLine="560" w:firstLineChars="200"/>
        <w:rPr>
          <w:rFonts w:ascii="宋体" w:hAnsi="宋体" w:cs="宋体"/>
          <w:sz w:val="28"/>
          <w:szCs w:val="28"/>
        </w:rPr>
      </w:pPr>
      <w:r>
        <w:rPr>
          <w:rFonts w:hint="eastAsia" w:ascii="宋体" w:hAnsi="宋体" w:cs="宋体"/>
          <w:sz w:val="28"/>
          <w:szCs w:val="28"/>
        </w:rPr>
        <w:t>②在保障隐蔽点款安全的前提下，确保营业室玻璃门、窗视野良好。</w:t>
      </w:r>
    </w:p>
    <w:p>
      <w:pPr>
        <w:ind w:firstLine="560" w:firstLineChars="200"/>
        <w:rPr>
          <w:rFonts w:ascii="宋体" w:hAnsi="宋体" w:cs="宋体"/>
          <w:sz w:val="28"/>
          <w:szCs w:val="28"/>
        </w:rPr>
      </w:pPr>
      <w:r>
        <w:rPr>
          <w:rFonts w:hint="eastAsia" w:ascii="宋体" w:hAnsi="宋体" w:cs="宋体"/>
          <w:sz w:val="28"/>
          <w:szCs w:val="28"/>
        </w:rPr>
        <w:t>③员工及时投币，及时将营业款存入银行。</w:t>
      </w:r>
    </w:p>
    <w:p>
      <w:pPr>
        <w:ind w:firstLine="560" w:firstLineChars="200"/>
        <w:rPr>
          <w:rFonts w:ascii="宋体" w:hAnsi="宋体" w:cs="宋体"/>
          <w:sz w:val="28"/>
          <w:szCs w:val="28"/>
        </w:rPr>
      </w:pPr>
      <w:r>
        <w:rPr>
          <w:rFonts w:hint="eastAsia" w:ascii="宋体" w:hAnsi="宋体" w:cs="宋体"/>
          <w:sz w:val="28"/>
          <w:szCs w:val="28"/>
        </w:rPr>
        <w:t>④保险柜必须固定在地面上，并张贴警告标志，表明钥匙与密码分开保管。所有过夜的备用现金必须全部放进保险柜。</w:t>
      </w:r>
    </w:p>
    <w:p>
      <w:pPr>
        <w:ind w:firstLine="560" w:firstLineChars="200"/>
        <w:rPr>
          <w:rFonts w:ascii="宋体" w:hAnsi="宋体" w:cs="宋体"/>
          <w:sz w:val="28"/>
          <w:szCs w:val="28"/>
        </w:rPr>
      </w:pPr>
      <w:r>
        <w:rPr>
          <w:rFonts w:hint="eastAsia" w:ascii="宋体" w:hAnsi="宋体" w:cs="宋体"/>
          <w:sz w:val="28"/>
          <w:szCs w:val="28"/>
        </w:rPr>
        <w:t>⑤尽量不要将陈列的货品堆积过高、以至于超出货架。</w:t>
      </w:r>
    </w:p>
    <w:p>
      <w:pPr>
        <w:ind w:firstLine="560" w:firstLineChars="200"/>
        <w:rPr>
          <w:rFonts w:ascii="宋体" w:hAnsi="宋体" w:cs="宋体"/>
          <w:sz w:val="28"/>
          <w:szCs w:val="28"/>
        </w:rPr>
      </w:pPr>
      <w:r>
        <w:rPr>
          <w:rFonts w:hint="eastAsia" w:ascii="宋体" w:hAnsi="宋体" w:cs="宋体"/>
          <w:sz w:val="28"/>
          <w:szCs w:val="28"/>
        </w:rPr>
        <w:t>⑥保持警惕，留意站内外闲逛的人和逗留车辆，及时请他们离开。</w:t>
      </w:r>
    </w:p>
    <w:p>
      <w:pPr>
        <w:ind w:firstLine="560" w:firstLineChars="200"/>
        <w:rPr>
          <w:rFonts w:ascii="宋体" w:hAnsi="宋体" w:cs="宋体"/>
          <w:sz w:val="28"/>
          <w:szCs w:val="28"/>
        </w:rPr>
      </w:pPr>
      <w:r>
        <w:rPr>
          <w:rFonts w:hint="eastAsia" w:ascii="宋体" w:hAnsi="宋体" w:cs="宋体"/>
          <w:sz w:val="28"/>
          <w:szCs w:val="28"/>
        </w:rPr>
        <w:t>⑦在管理上严格上门收款，增加电子结算比例、晚上电子监控和加强预案演练等途径降低环境风险，提高员工突发事件处置能力。</w:t>
      </w:r>
    </w:p>
    <w:p>
      <w:pPr>
        <w:pStyle w:val="43"/>
        <w:spacing w:beforeLines="0" w:afterLines="0" w:line="560" w:lineRule="exact"/>
        <w:ind w:firstLine="0" w:firstLineChars="0"/>
        <w:rPr>
          <w:b/>
        </w:rPr>
      </w:pPr>
      <w:r>
        <w:rPr>
          <w:rFonts w:hint="eastAsia" w:ascii="黑体" w:hAnsi="黑体" w:eastAsia="黑体"/>
          <w:b/>
          <w:kern w:val="2"/>
          <w:sz w:val="24"/>
        </w:rPr>
        <w:t xml:space="preserve">2、 </w:t>
      </w:r>
      <w:r>
        <w:rPr>
          <w:rFonts w:ascii="Times New Roman" w:hAnsi="Times New Roman" w:eastAsia="宋体"/>
          <w:b/>
          <w:kern w:val="2"/>
          <w:sz w:val="24"/>
        </w:rPr>
        <w:t>疑似抢劫应对措施</w:t>
      </w:r>
    </w:p>
    <w:p>
      <w:pPr>
        <w:ind w:firstLine="560" w:firstLineChars="200"/>
        <w:rPr>
          <w:rFonts w:ascii="宋体" w:hAnsi="宋体" w:cs="宋体"/>
          <w:sz w:val="28"/>
          <w:szCs w:val="28"/>
        </w:rPr>
      </w:pPr>
      <w:r>
        <w:rPr>
          <w:rFonts w:hint="eastAsia" w:ascii="宋体" w:hAnsi="宋体" w:cs="宋体"/>
          <w:sz w:val="28"/>
          <w:szCs w:val="28"/>
        </w:rPr>
        <w:t>①迅速启动报警装置或打电话给警方、油站经理。</w:t>
      </w:r>
    </w:p>
    <w:p>
      <w:pPr>
        <w:ind w:firstLine="560" w:firstLineChars="200"/>
        <w:rPr>
          <w:rFonts w:ascii="宋体" w:hAnsi="宋体" w:cs="宋体"/>
          <w:sz w:val="28"/>
          <w:szCs w:val="28"/>
        </w:rPr>
      </w:pPr>
      <w:r>
        <w:rPr>
          <w:rFonts w:hint="eastAsia" w:ascii="宋体" w:hAnsi="宋体" w:cs="宋体"/>
          <w:sz w:val="28"/>
          <w:szCs w:val="28"/>
        </w:rPr>
        <w:t>②锁上所有的门、窗。</w:t>
      </w:r>
    </w:p>
    <w:p>
      <w:pPr>
        <w:ind w:firstLine="560" w:firstLineChars="200"/>
        <w:rPr>
          <w:rFonts w:ascii="宋体" w:hAnsi="宋体" w:cs="宋体"/>
          <w:sz w:val="28"/>
          <w:szCs w:val="28"/>
        </w:rPr>
      </w:pPr>
      <w:r>
        <w:rPr>
          <w:rFonts w:hint="eastAsia" w:ascii="宋体" w:hAnsi="宋体" w:cs="宋体"/>
          <w:sz w:val="28"/>
          <w:szCs w:val="28"/>
        </w:rPr>
        <w:t>③尽可能关闭所有油泵。</w:t>
      </w:r>
    </w:p>
    <w:p>
      <w:pPr>
        <w:ind w:firstLine="560" w:firstLineChars="200"/>
        <w:rPr>
          <w:rFonts w:ascii="宋体" w:hAnsi="宋体" w:cs="宋体"/>
          <w:sz w:val="28"/>
          <w:szCs w:val="28"/>
        </w:rPr>
      </w:pPr>
      <w:r>
        <w:rPr>
          <w:rFonts w:hint="eastAsia" w:ascii="宋体" w:hAnsi="宋体" w:cs="宋体"/>
          <w:sz w:val="28"/>
          <w:szCs w:val="28"/>
        </w:rPr>
        <w:t>④离开收银室前尽可能锁上收银机。</w:t>
      </w:r>
    </w:p>
    <w:p>
      <w:pPr>
        <w:ind w:firstLine="560" w:firstLineChars="200"/>
        <w:rPr>
          <w:rFonts w:ascii="宋体" w:hAnsi="宋体" w:cs="宋体"/>
          <w:sz w:val="28"/>
          <w:szCs w:val="28"/>
        </w:rPr>
      </w:pPr>
      <w:r>
        <w:rPr>
          <w:rFonts w:hint="eastAsia" w:ascii="宋体" w:hAnsi="宋体" w:cs="宋体"/>
          <w:sz w:val="28"/>
          <w:szCs w:val="28"/>
        </w:rPr>
        <w:t>⑤躲进歹徒看不见的地方，等候警察到来。</w:t>
      </w:r>
    </w:p>
    <w:p>
      <w:pPr>
        <w:pStyle w:val="43"/>
        <w:spacing w:beforeLines="0" w:afterLines="0" w:line="560" w:lineRule="exact"/>
        <w:ind w:firstLine="0" w:firstLineChars="0"/>
        <w:rPr>
          <w:b/>
        </w:rPr>
      </w:pPr>
      <w:r>
        <w:rPr>
          <w:rFonts w:hint="eastAsia" w:ascii="黑体" w:hAnsi="黑体" w:eastAsia="黑体"/>
          <w:b/>
          <w:kern w:val="2"/>
          <w:sz w:val="24"/>
        </w:rPr>
        <w:t>3、</w:t>
      </w:r>
      <w:r>
        <w:rPr>
          <w:rFonts w:ascii="Times New Roman" w:hAnsi="Times New Roman" w:eastAsia="宋体"/>
          <w:b/>
          <w:kern w:val="2"/>
          <w:sz w:val="24"/>
        </w:rPr>
        <w:t>歹徒实施抢劫应对措施</w:t>
      </w:r>
    </w:p>
    <w:p>
      <w:pPr>
        <w:ind w:firstLine="560" w:firstLineChars="200"/>
        <w:rPr>
          <w:rFonts w:ascii="宋体" w:hAnsi="宋体" w:cs="宋体"/>
          <w:sz w:val="28"/>
          <w:szCs w:val="28"/>
        </w:rPr>
      </w:pPr>
      <w:r>
        <w:rPr>
          <w:rFonts w:hint="eastAsia" w:ascii="宋体" w:hAnsi="宋体" w:cs="宋体"/>
          <w:sz w:val="28"/>
          <w:szCs w:val="28"/>
        </w:rPr>
        <w:t>①保持冷静，在心里对自己默念“不要慌”。</w:t>
      </w:r>
    </w:p>
    <w:p>
      <w:pPr>
        <w:ind w:firstLine="560" w:firstLineChars="200"/>
        <w:rPr>
          <w:rFonts w:ascii="宋体" w:hAnsi="宋体" w:cs="宋体"/>
          <w:sz w:val="28"/>
          <w:szCs w:val="28"/>
        </w:rPr>
      </w:pPr>
      <w:r>
        <w:rPr>
          <w:rFonts w:hint="eastAsia" w:ascii="宋体" w:hAnsi="宋体" w:cs="宋体"/>
          <w:sz w:val="28"/>
          <w:szCs w:val="28"/>
        </w:rPr>
        <w:t>②将之当作特殊客户服务，完全与罪犯合作，而不要试图阻止抢劫，人身安全比财物更重要，除非对方伤害您。</w:t>
      </w:r>
    </w:p>
    <w:p>
      <w:pPr>
        <w:ind w:firstLine="560" w:firstLineChars="200"/>
        <w:rPr>
          <w:rFonts w:ascii="宋体" w:hAnsi="宋体" w:cs="宋体"/>
          <w:sz w:val="28"/>
          <w:szCs w:val="28"/>
        </w:rPr>
      </w:pPr>
      <w:r>
        <w:rPr>
          <w:rFonts w:hint="eastAsia" w:ascii="宋体" w:hAnsi="宋体" w:cs="宋体"/>
          <w:sz w:val="28"/>
          <w:szCs w:val="28"/>
        </w:rPr>
        <w:t>③在匪徒视线范围内不要尝试启动报警器，避免受到伤害。如之前按了报警器现在有电话回拨确认是否发生打劫，请按加油站设定的暗语进行对话。</w:t>
      </w:r>
    </w:p>
    <w:p>
      <w:pPr>
        <w:ind w:firstLine="560" w:firstLineChars="200"/>
        <w:rPr>
          <w:rFonts w:ascii="宋体" w:hAnsi="宋体" w:cs="宋体"/>
          <w:sz w:val="28"/>
          <w:szCs w:val="28"/>
        </w:rPr>
      </w:pPr>
      <w:r>
        <w:rPr>
          <w:rFonts w:hint="eastAsia" w:ascii="宋体" w:hAnsi="宋体" w:cs="宋体"/>
          <w:sz w:val="28"/>
          <w:szCs w:val="28"/>
        </w:rPr>
        <w:t>④如歹徒询问如何打开保险柜、办公室门时，请按加油站现金管理程序及要求统一口径如实回答。如：“银行上门收款，保险柜须加油站和银行共同打开”等。</w:t>
      </w:r>
    </w:p>
    <w:p>
      <w:pPr>
        <w:ind w:firstLine="560" w:firstLineChars="200"/>
        <w:rPr>
          <w:rFonts w:ascii="宋体" w:hAnsi="宋体" w:cs="宋体"/>
          <w:sz w:val="28"/>
          <w:szCs w:val="28"/>
        </w:rPr>
      </w:pPr>
      <w:r>
        <w:rPr>
          <w:rFonts w:hint="eastAsia" w:ascii="宋体" w:hAnsi="宋体" w:cs="宋体"/>
          <w:sz w:val="28"/>
          <w:szCs w:val="28"/>
        </w:rPr>
        <w:t>⑤不要盯着匪徒看，一直让您的手在对方的视线内。</w:t>
      </w:r>
    </w:p>
    <w:p>
      <w:pPr>
        <w:ind w:firstLine="560" w:firstLineChars="200"/>
        <w:rPr>
          <w:rFonts w:ascii="宋体" w:hAnsi="宋体" w:cs="宋体"/>
          <w:sz w:val="28"/>
          <w:szCs w:val="28"/>
        </w:rPr>
      </w:pPr>
      <w:r>
        <w:rPr>
          <w:rFonts w:hint="eastAsia" w:ascii="宋体" w:hAnsi="宋体" w:cs="宋体"/>
          <w:sz w:val="28"/>
          <w:szCs w:val="28"/>
        </w:rPr>
        <w:t>⑥尽量记住匪徒的长相、年龄、性别、身高、体型、口音和服装等特征。</w:t>
      </w:r>
    </w:p>
    <w:p>
      <w:pPr>
        <w:ind w:firstLine="560" w:firstLineChars="200"/>
        <w:rPr>
          <w:rFonts w:ascii="宋体" w:hAnsi="宋体" w:cs="宋体"/>
          <w:sz w:val="28"/>
          <w:szCs w:val="28"/>
        </w:rPr>
      </w:pPr>
      <w:r>
        <w:rPr>
          <w:rFonts w:hint="eastAsia" w:ascii="宋体" w:hAnsi="宋体" w:cs="宋体"/>
          <w:sz w:val="28"/>
          <w:szCs w:val="28"/>
        </w:rPr>
        <w:t>⑦提醒抢劫犯可能发生的意外事件。</w:t>
      </w:r>
    </w:p>
    <w:p>
      <w:pPr>
        <w:ind w:firstLine="560" w:firstLineChars="200"/>
        <w:rPr>
          <w:rFonts w:ascii="宋体" w:hAnsi="宋体" w:cs="宋体"/>
          <w:sz w:val="28"/>
          <w:szCs w:val="28"/>
        </w:rPr>
      </w:pPr>
      <w:r>
        <w:rPr>
          <w:rFonts w:hint="eastAsia" w:ascii="宋体" w:hAnsi="宋体" w:cs="宋体"/>
          <w:sz w:val="28"/>
          <w:szCs w:val="28"/>
        </w:rPr>
        <w:t>⑧等到罪犯全部离开后才可移动，在任何情况下都不要跟踪罪犯或离开油站。</w:t>
      </w:r>
    </w:p>
    <w:p>
      <w:pPr>
        <w:ind w:firstLine="560" w:firstLineChars="200"/>
        <w:rPr>
          <w:rFonts w:ascii="宋体" w:hAnsi="宋体" w:cs="宋体"/>
          <w:sz w:val="28"/>
          <w:szCs w:val="28"/>
        </w:rPr>
      </w:pPr>
      <w:r>
        <w:rPr>
          <w:rFonts w:hint="eastAsia" w:ascii="宋体" w:hAnsi="宋体" w:cs="宋体"/>
          <w:sz w:val="28"/>
          <w:szCs w:val="28"/>
        </w:rPr>
        <w:t>与歹徒对话时，合理用语，避免语言上惹怒歹徒。</w:t>
      </w:r>
    </w:p>
    <w:p>
      <w:pPr>
        <w:pStyle w:val="43"/>
        <w:spacing w:beforeLines="0" w:afterLines="0" w:line="560" w:lineRule="exact"/>
        <w:ind w:firstLine="0" w:firstLineChars="0"/>
        <w:rPr>
          <w:rFonts w:ascii="Times New Roman" w:hAnsi="Times New Roman" w:eastAsia="宋体"/>
          <w:b/>
          <w:kern w:val="2"/>
          <w:sz w:val="24"/>
        </w:rPr>
      </w:pPr>
      <w:r>
        <w:rPr>
          <w:rFonts w:hint="eastAsia" w:ascii="黑体" w:hAnsi="黑体" w:eastAsia="黑体"/>
          <w:b/>
          <w:kern w:val="2"/>
          <w:sz w:val="24"/>
        </w:rPr>
        <w:t>4、</w:t>
      </w:r>
      <w:r>
        <w:rPr>
          <w:rFonts w:ascii="Times New Roman" w:hAnsi="Times New Roman" w:eastAsia="宋体"/>
          <w:b/>
          <w:kern w:val="2"/>
          <w:sz w:val="24"/>
        </w:rPr>
        <w:t>歹徒逃离现场应对措施</w:t>
      </w:r>
    </w:p>
    <w:p>
      <w:pPr>
        <w:ind w:firstLine="560" w:firstLineChars="200"/>
        <w:rPr>
          <w:rFonts w:ascii="宋体" w:hAnsi="宋体" w:cs="宋体"/>
          <w:sz w:val="28"/>
          <w:szCs w:val="28"/>
        </w:rPr>
      </w:pPr>
      <w:r>
        <w:rPr>
          <w:rFonts w:hint="eastAsia" w:ascii="宋体" w:hAnsi="宋体" w:cs="宋体"/>
          <w:sz w:val="28"/>
          <w:szCs w:val="28"/>
        </w:rPr>
        <w:t>①记住歹徒逃离的方向和所使用的交通工具。</w:t>
      </w:r>
    </w:p>
    <w:p>
      <w:pPr>
        <w:ind w:firstLine="560" w:firstLineChars="200"/>
        <w:rPr>
          <w:rFonts w:ascii="宋体" w:hAnsi="宋体" w:cs="宋体"/>
          <w:sz w:val="28"/>
          <w:szCs w:val="28"/>
        </w:rPr>
      </w:pPr>
      <w:r>
        <w:rPr>
          <w:rFonts w:hint="eastAsia" w:ascii="宋体" w:hAnsi="宋体" w:cs="宋体"/>
          <w:sz w:val="28"/>
          <w:szCs w:val="28"/>
        </w:rPr>
        <w:t>②打电话报警，向警方说“刚才遭人抢劫”，在警方未告诉您挂机时，不要自己挂断电话。</w:t>
      </w:r>
    </w:p>
    <w:p>
      <w:pPr>
        <w:ind w:firstLine="560" w:firstLineChars="200"/>
        <w:rPr>
          <w:rFonts w:ascii="宋体" w:hAnsi="宋体" w:cs="宋体"/>
          <w:sz w:val="28"/>
          <w:szCs w:val="28"/>
        </w:rPr>
      </w:pPr>
      <w:r>
        <w:rPr>
          <w:rFonts w:hint="eastAsia" w:ascii="宋体" w:hAnsi="宋体" w:cs="宋体"/>
          <w:sz w:val="28"/>
          <w:szCs w:val="28"/>
        </w:rPr>
        <w:t>③立即用纸记下（写或画）歹徒的体貌特征和作案过程，以及其他所有可能协助破案的线索。主要包括歹徒人数、性别、年龄、身高、体型、长相、口音、着装及行走或奔跑特点、所持凶器、抢劫路径、交通工具颜色、牌号、新旧程度等细节信息和遇袭人员情况等，防止遗忘。</w:t>
      </w:r>
    </w:p>
    <w:p>
      <w:pPr>
        <w:ind w:firstLine="560" w:firstLineChars="200"/>
        <w:rPr>
          <w:rFonts w:ascii="宋体" w:hAnsi="宋体" w:cs="宋体"/>
          <w:sz w:val="28"/>
          <w:szCs w:val="28"/>
        </w:rPr>
      </w:pPr>
      <w:r>
        <w:rPr>
          <w:rFonts w:hint="eastAsia" w:ascii="宋体" w:hAnsi="宋体" w:cs="宋体"/>
          <w:sz w:val="28"/>
          <w:szCs w:val="28"/>
        </w:rPr>
        <w:t>④不要破坏歹徒留下的现场或任何物品。</w:t>
      </w:r>
    </w:p>
    <w:p>
      <w:pPr>
        <w:ind w:firstLine="560" w:firstLineChars="200"/>
        <w:rPr>
          <w:rFonts w:ascii="宋体" w:hAnsi="宋体" w:cs="宋体"/>
          <w:sz w:val="28"/>
          <w:szCs w:val="28"/>
        </w:rPr>
      </w:pPr>
      <w:r>
        <w:rPr>
          <w:rFonts w:hint="eastAsia" w:ascii="宋体" w:hAnsi="宋体" w:cs="宋体"/>
          <w:sz w:val="28"/>
          <w:szCs w:val="28"/>
        </w:rPr>
        <w:t>留住所有现场目击证人，等待警方到场；或者询问每位目击者的姓名、住址和电话号码。</w:t>
      </w:r>
    </w:p>
    <w:p>
      <w:pPr>
        <w:ind w:firstLine="560" w:firstLineChars="200"/>
        <w:rPr>
          <w:rFonts w:ascii="宋体" w:hAnsi="宋体" w:cs="宋体"/>
          <w:sz w:val="28"/>
          <w:szCs w:val="28"/>
        </w:rPr>
      </w:pPr>
      <w:r>
        <w:rPr>
          <w:rFonts w:hint="eastAsia" w:ascii="宋体" w:hAnsi="宋体" w:cs="宋体"/>
          <w:sz w:val="28"/>
          <w:szCs w:val="28"/>
        </w:rPr>
        <w:t>⑤同时迅速拨通所在公司应急值班电话，报告相关情况，并通知加油站经理，根据指令采取适当的善后措施。</w:t>
      </w:r>
    </w:p>
    <w:p>
      <w:pPr>
        <w:ind w:firstLine="560" w:firstLineChars="200"/>
        <w:rPr>
          <w:rFonts w:ascii="宋体" w:hAnsi="宋体" w:cs="宋体"/>
          <w:sz w:val="28"/>
          <w:szCs w:val="28"/>
        </w:rPr>
      </w:pPr>
      <w:r>
        <w:rPr>
          <w:rFonts w:hint="eastAsia" w:ascii="宋体" w:hAnsi="宋体" w:cs="宋体"/>
          <w:sz w:val="28"/>
          <w:szCs w:val="28"/>
        </w:rPr>
        <w:t>⑥将事件的详细情况记录在案，存档备查。</w:t>
      </w:r>
    </w:p>
    <w:p>
      <w:pPr>
        <w:ind w:firstLine="560" w:firstLineChars="200"/>
        <w:rPr>
          <w:rFonts w:ascii="宋体" w:hAnsi="宋体" w:cs="宋体"/>
          <w:sz w:val="28"/>
          <w:szCs w:val="28"/>
        </w:rPr>
      </w:pPr>
      <w:r>
        <w:rPr>
          <w:rFonts w:hint="eastAsia" w:ascii="宋体" w:hAnsi="宋体" w:cs="宋体"/>
          <w:sz w:val="28"/>
          <w:szCs w:val="28"/>
        </w:rPr>
        <w:t>⑦必要时，对曾遭受歹徒胁迫的所有人员给予护理（包括油站员工、顾客或第三方等）。</w:t>
      </w:r>
    </w:p>
    <w:p>
      <w:pPr>
        <w:ind w:firstLine="560" w:firstLineChars="200"/>
        <w:rPr>
          <w:rFonts w:ascii="宋体" w:hAnsi="宋体" w:cs="宋体"/>
          <w:sz w:val="28"/>
          <w:szCs w:val="28"/>
        </w:rPr>
      </w:pPr>
      <w:r>
        <w:rPr>
          <w:rFonts w:hint="eastAsia" w:ascii="宋体" w:hAnsi="宋体" w:cs="宋体"/>
          <w:sz w:val="28"/>
          <w:szCs w:val="28"/>
        </w:rPr>
        <w:t>⑧如果有人遭受伤，应通知当地医院或紧急救护服务中心。</w:t>
      </w:r>
    </w:p>
    <w:p>
      <w:pPr>
        <w:pStyle w:val="40"/>
        <w:rPr>
          <w:rStyle w:val="51"/>
          <w:rFonts w:hint="default" w:ascii="Times New Roman" w:hAnsi="Times New Roman" w:cs="宋体"/>
          <w:b/>
          <w:bCs/>
          <w:sz w:val="24"/>
          <w:szCs w:val="24"/>
        </w:rPr>
      </w:pPr>
      <w:bookmarkStart w:id="865" w:name="_Toc336280665"/>
      <w:r>
        <w:rPr>
          <w:rStyle w:val="51"/>
          <w:rFonts w:hint="default" w:ascii="Times New Roman" w:hAnsi="Times New Roman" w:cs="宋体"/>
          <w:b/>
          <w:bCs/>
          <w:sz w:val="24"/>
          <w:szCs w:val="24"/>
        </w:rPr>
        <w:t>4.4.2 盗窃应对措施</w:t>
      </w:r>
      <w:bookmarkEnd w:id="865"/>
    </w:p>
    <w:p>
      <w:pPr>
        <w:ind w:firstLine="560" w:firstLineChars="200"/>
        <w:rPr>
          <w:rFonts w:ascii="宋体" w:hAnsi="宋体" w:cs="宋体"/>
          <w:sz w:val="28"/>
          <w:szCs w:val="28"/>
        </w:rPr>
      </w:pPr>
      <w:r>
        <w:rPr>
          <w:rFonts w:hint="eastAsia" w:ascii="宋体" w:hAnsi="宋体" w:cs="宋体"/>
          <w:sz w:val="28"/>
          <w:szCs w:val="28"/>
        </w:rPr>
        <w:t>①发现被盗后，报告上级。拨打110。</w:t>
      </w:r>
    </w:p>
    <w:p>
      <w:pPr>
        <w:ind w:firstLine="560" w:firstLineChars="200"/>
        <w:rPr>
          <w:rFonts w:ascii="宋体" w:hAnsi="宋体" w:cs="宋体"/>
          <w:sz w:val="28"/>
          <w:szCs w:val="28"/>
        </w:rPr>
      </w:pPr>
      <w:r>
        <w:rPr>
          <w:rFonts w:hint="eastAsia" w:ascii="宋体" w:hAnsi="宋体" w:cs="宋体"/>
          <w:sz w:val="28"/>
          <w:szCs w:val="28"/>
        </w:rPr>
        <w:t>②组织人员保护现场，等待警察到来。</w:t>
      </w:r>
    </w:p>
    <w:p>
      <w:pPr>
        <w:ind w:firstLine="560" w:firstLineChars="200"/>
        <w:rPr>
          <w:rFonts w:ascii="宋体" w:hAnsi="宋体" w:cs="宋体"/>
          <w:sz w:val="28"/>
          <w:szCs w:val="28"/>
        </w:rPr>
      </w:pPr>
      <w:r>
        <w:rPr>
          <w:rFonts w:hint="eastAsia" w:ascii="宋体" w:hAnsi="宋体" w:cs="宋体"/>
          <w:sz w:val="28"/>
          <w:szCs w:val="28"/>
        </w:rPr>
        <w:t>③设有视频监控系统的，查询并复制盗窃监控录像。</w:t>
      </w:r>
    </w:p>
    <w:p>
      <w:pPr>
        <w:ind w:firstLine="560" w:firstLineChars="200"/>
        <w:rPr>
          <w:rFonts w:ascii="宋体" w:hAnsi="宋体" w:cs="宋体"/>
          <w:sz w:val="28"/>
          <w:szCs w:val="28"/>
        </w:rPr>
      </w:pPr>
      <w:r>
        <w:rPr>
          <w:rFonts w:hint="eastAsia" w:ascii="宋体" w:hAnsi="宋体" w:cs="宋体"/>
          <w:sz w:val="28"/>
          <w:szCs w:val="28"/>
        </w:rPr>
        <w:t>④积极配合现场调查，提供可能的破案线索。</w:t>
      </w:r>
    </w:p>
    <w:p>
      <w:pPr>
        <w:ind w:firstLine="560" w:firstLineChars="200"/>
        <w:rPr>
          <w:rFonts w:ascii="宋体" w:hAnsi="宋体" w:cs="宋体"/>
          <w:sz w:val="28"/>
          <w:szCs w:val="28"/>
        </w:rPr>
      </w:pPr>
      <w:r>
        <w:rPr>
          <w:rFonts w:hint="eastAsia" w:ascii="宋体" w:hAnsi="宋体" w:cs="宋体"/>
          <w:sz w:val="28"/>
          <w:szCs w:val="28"/>
        </w:rPr>
        <w:t>⑤清点、确认损失。</w:t>
      </w:r>
    </w:p>
    <w:p>
      <w:pPr>
        <w:pStyle w:val="40"/>
        <w:rPr>
          <w:rStyle w:val="51"/>
          <w:rFonts w:hint="default" w:ascii="Times New Roman" w:hAnsi="Times New Roman" w:cs="宋体"/>
          <w:b/>
          <w:bCs/>
          <w:sz w:val="24"/>
          <w:szCs w:val="24"/>
        </w:rPr>
      </w:pPr>
      <w:bookmarkStart w:id="866" w:name="_Toc336280666"/>
      <w:r>
        <w:rPr>
          <w:rStyle w:val="51"/>
          <w:rFonts w:hint="default" w:ascii="Times New Roman" w:hAnsi="Times New Roman" w:cs="宋体"/>
          <w:b/>
          <w:bCs/>
          <w:sz w:val="24"/>
          <w:szCs w:val="24"/>
        </w:rPr>
        <w:t>4.4.3恐怖袭击应对措施</w:t>
      </w:r>
      <w:bookmarkEnd w:id="866"/>
    </w:p>
    <w:p>
      <w:pPr>
        <w:pStyle w:val="43"/>
        <w:spacing w:beforeLines="0" w:afterLines="0" w:line="560" w:lineRule="exact"/>
        <w:ind w:firstLine="0" w:firstLineChars="0"/>
        <w:rPr>
          <w:b/>
        </w:rPr>
      </w:pPr>
      <w:r>
        <w:rPr>
          <w:rFonts w:hint="eastAsia" w:ascii="黑体" w:hAnsi="黑体" w:eastAsia="黑体"/>
          <w:b/>
          <w:kern w:val="2"/>
          <w:sz w:val="24"/>
        </w:rPr>
        <w:t>1、</w:t>
      </w:r>
      <w:r>
        <w:rPr>
          <w:rFonts w:ascii="Times New Roman" w:hAnsi="Times New Roman" w:eastAsia="宋体"/>
          <w:b/>
          <w:kern w:val="2"/>
          <w:sz w:val="24"/>
        </w:rPr>
        <w:t>发现可疑物应对措施</w:t>
      </w:r>
    </w:p>
    <w:p>
      <w:pPr>
        <w:ind w:firstLine="560" w:firstLineChars="200"/>
        <w:rPr>
          <w:rFonts w:ascii="宋体" w:hAnsi="宋体" w:cs="宋体"/>
          <w:sz w:val="28"/>
          <w:szCs w:val="28"/>
        </w:rPr>
      </w:pPr>
      <w:r>
        <w:rPr>
          <w:rFonts w:hint="eastAsia" w:ascii="宋体" w:hAnsi="宋体" w:cs="宋体"/>
          <w:sz w:val="28"/>
          <w:szCs w:val="28"/>
        </w:rPr>
        <w:t>①切断总电源、停止作业。</w:t>
      </w:r>
    </w:p>
    <w:p>
      <w:pPr>
        <w:ind w:firstLine="560" w:firstLineChars="200"/>
        <w:rPr>
          <w:rFonts w:ascii="宋体" w:hAnsi="宋体" w:cs="宋体"/>
          <w:sz w:val="28"/>
          <w:szCs w:val="28"/>
        </w:rPr>
      </w:pPr>
      <w:r>
        <w:rPr>
          <w:rFonts w:hint="eastAsia" w:ascii="宋体" w:hAnsi="宋体" w:cs="宋体"/>
          <w:sz w:val="28"/>
          <w:szCs w:val="28"/>
        </w:rPr>
        <w:t>②报告上级。拨打110。</w:t>
      </w:r>
    </w:p>
    <w:p>
      <w:pPr>
        <w:ind w:firstLine="560" w:firstLineChars="200"/>
        <w:rPr>
          <w:rFonts w:ascii="宋体" w:hAnsi="宋体" w:cs="宋体"/>
          <w:sz w:val="28"/>
          <w:szCs w:val="28"/>
        </w:rPr>
      </w:pPr>
      <w:r>
        <w:rPr>
          <w:rFonts w:hint="eastAsia" w:ascii="宋体" w:hAnsi="宋体" w:cs="宋体"/>
          <w:sz w:val="28"/>
          <w:szCs w:val="28"/>
        </w:rPr>
        <w:t>③现场警戒，疏散人员、车辆，迅速撤离。</w:t>
      </w:r>
    </w:p>
    <w:p>
      <w:pPr>
        <w:ind w:firstLine="560" w:firstLineChars="200"/>
        <w:rPr>
          <w:rFonts w:ascii="宋体" w:hAnsi="宋体" w:cs="宋体"/>
          <w:sz w:val="28"/>
          <w:szCs w:val="28"/>
        </w:rPr>
      </w:pPr>
      <w:r>
        <w:rPr>
          <w:rFonts w:hint="eastAsia" w:ascii="宋体" w:hAnsi="宋体" w:cs="宋体"/>
          <w:sz w:val="28"/>
          <w:szCs w:val="28"/>
        </w:rPr>
        <w:t>④如有可能进行照相或录像，为警方提供线索。</w:t>
      </w:r>
    </w:p>
    <w:p>
      <w:pPr>
        <w:ind w:firstLine="560" w:firstLineChars="200"/>
        <w:rPr>
          <w:rFonts w:ascii="宋体" w:hAnsi="宋体" w:cs="宋体"/>
          <w:sz w:val="28"/>
          <w:szCs w:val="28"/>
        </w:rPr>
      </w:pPr>
      <w:r>
        <w:rPr>
          <w:rFonts w:hint="eastAsia" w:ascii="宋体" w:hAnsi="宋体" w:cs="宋体"/>
          <w:sz w:val="28"/>
          <w:szCs w:val="28"/>
        </w:rPr>
        <w:t>⑤设有视频监控系统的，查询并复制现场监控录像。</w:t>
      </w:r>
    </w:p>
    <w:p>
      <w:pPr>
        <w:ind w:firstLine="560" w:firstLineChars="200"/>
        <w:rPr>
          <w:rFonts w:ascii="宋体" w:hAnsi="宋体" w:cs="宋体"/>
          <w:sz w:val="28"/>
          <w:szCs w:val="28"/>
        </w:rPr>
      </w:pPr>
      <w:r>
        <w:rPr>
          <w:rFonts w:hint="eastAsia" w:ascii="宋体" w:hAnsi="宋体" w:cs="宋体"/>
          <w:sz w:val="28"/>
          <w:szCs w:val="28"/>
        </w:rPr>
        <w:t>⑥严禁擅自移动或拆检可疑物品。</w:t>
      </w:r>
    </w:p>
    <w:p>
      <w:pPr>
        <w:pStyle w:val="43"/>
        <w:spacing w:beforeLines="0" w:afterLines="0" w:line="560" w:lineRule="exact"/>
        <w:ind w:firstLine="0" w:firstLineChars="0"/>
        <w:rPr>
          <w:rFonts w:ascii="Times New Roman" w:hAnsi="Times New Roman" w:eastAsia="宋体"/>
          <w:b/>
          <w:kern w:val="2"/>
          <w:sz w:val="24"/>
        </w:rPr>
      </w:pPr>
      <w:r>
        <w:rPr>
          <w:rFonts w:hint="eastAsia" w:ascii="Times New Roman" w:hAnsi="Times New Roman" w:eastAsia="宋体"/>
          <w:b/>
          <w:kern w:val="2"/>
          <w:sz w:val="24"/>
        </w:rPr>
        <w:t xml:space="preserve">2、 </w:t>
      </w:r>
      <w:r>
        <w:rPr>
          <w:rFonts w:ascii="Times New Roman" w:hAnsi="Times New Roman" w:eastAsia="宋体"/>
          <w:b/>
          <w:kern w:val="2"/>
          <w:sz w:val="24"/>
        </w:rPr>
        <w:t>遇匿名威胁爆炸或扬言爆炸应对措施</w:t>
      </w:r>
    </w:p>
    <w:p>
      <w:pPr>
        <w:ind w:firstLine="560" w:firstLineChars="200"/>
        <w:rPr>
          <w:rFonts w:ascii="宋体" w:hAnsi="宋体" w:cs="宋体"/>
          <w:sz w:val="28"/>
          <w:szCs w:val="28"/>
        </w:rPr>
      </w:pPr>
      <w:r>
        <w:rPr>
          <w:rFonts w:hint="eastAsia" w:ascii="宋体" w:hAnsi="宋体" w:cs="宋体"/>
          <w:sz w:val="28"/>
          <w:szCs w:val="28"/>
        </w:rPr>
        <w:t>①认真对待，不能存在侥幸心理。</w:t>
      </w:r>
    </w:p>
    <w:p>
      <w:pPr>
        <w:ind w:firstLine="560" w:firstLineChars="200"/>
        <w:rPr>
          <w:rFonts w:ascii="宋体" w:hAnsi="宋体" w:cs="宋体"/>
          <w:sz w:val="28"/>
          <w:szCs w:val="28"/>
        </w:rPr>
      </w:pPr>
      <w:r>
        <w:rPr>
          <w:rFonts w:hint="eastAsia" w:ascii="宋体" w:hAnsi="宋体" w:cs="宋体"/>
          <w:sz w:val="28"/>
          <w:szCs w:val="28"/>
        </w:rPr>
        <w:t>②报告上级。拨打110。</w:t>
      </w:r>
    </w:p>
    <w:p>
      <w:pPr>
        <w:ind w:firstLine="560" w:firstLineChars="200"/>
        <w:rPr>
          <w:rFonts w:ascii="宋体" w:hAnsi="宋体" w:cs="宋体"/>
          <w:sz w:val="28"/>
          <w:szCs w:val="28"/>
        </w:rPr>
      </w:pPr>
      <w:r>
        <w:rPr>
          <w:rFonts w:hint="eastAsia" w:ascii="宋体" w:hAnsi="宋体" w:cs="宋体"/>
          <w:sz w:val="28"/>
          <w:szCs w:val="28"/>
        </w:rPr>
        <w:t>③尽可能关闭电源，撤离现场。</w:t>
      </w:r>
    </w:p>
    <w:p>
      <w:pPr>
        <w:ind w:firstLine="560" w:firstLineChars="200"/>
        <w:rPr>
          <w:rFonts w:ascii="宋体" w:hAnsi="宋体" w:cs="宋体"/>
          <w:sz w:val="28"/>
          <w:szCs w:val="28"/>
        </w:rPr>
      </w:pPr>
      <w:r>
        <w:rPr>
          <w:rFonts w:hint="eastAsia" w:ascii="宋体" w:hAnsi="宋体" w:cs="宋体"/>
          <w:sz w:val="28"/>
          <w:szCs w:val="28"/>
        </w:rPr>
        <w:t>④撤离后密切关注周围发生的可疑人、事、物。</w:t>
      </w:r>
    </w:p>
    <w:p>
      <w:pPr>
        <w:ind w:firstLine="560" w:firstLineChars="200"/>
        <w:rPr>
          <w:rFonts w:ascii="宋体" w:hAnsi="宋体" w:cs="宋体"/>
          <w:sz w:val="28"/>
          <w:szCs w:val="28"/>
        </w:rPr>
      </w:pPr>
      <w:r>
        <w:rPr>
          <w:rFonts w:hint="eastAsia" w:ascii="宋体" w:hAnsi="宋体" w:cs="宋体"/>
          <w:sz w:val="28"/>
          <w:szCs w:val="28"/>
        </w:rPr>
        <w:t>⑤用手机、照相机或录像机，记录下现场。</w:t>
      </w:r>
    </w:p>
    <w:p>
      <w:pPr>
        <w:pStyle w:val="43"/>
        <w:spacing w:beforeLines="0" w:afterLines="0" w:line="560" w:lineRule="exact"/>
        <w:ind w:firstLine="0" w:firstLineChars="0"/>
        <w:rPr>
          <w:rFonts w:ascii="Times New Roman" w:hAnsi="Times New Roman" w:eastAsia="宋体"/>
          <w:b/>
          <w:kern w:val="2"/>
          <w:sz w:val="24"/>
        </w:rPr>
      </w:pPr>
      <w:r>
        <w:rPr>
          <w:rFonts w:hint="eastAsia" w:ascii="Times New Roman" w:hAnsi="Times New Roman" w:eastAsia="宋体"/>
          <w:b/>
          <w:kern w:val="2"/>
          <w:sz w:val="24"/>
        </w:rPr>
        <w:t>3、</w:t>
      </w:r>
      <w:r>
        <w:rPr>
          <w:rFonts w:ascii="Times New Roman" w:hAnsi="Times New Roman" w:eastAsia="宋体"/>
          <w:b/>
          <w:kern w:val="2"/>
          <w:sz w:val="24"/>
        </w:rPr>
        <w:t>遇纵火恐怖袭击应对措施</w:t>
      </w:r>
    </w:p>
    <w:p>
      <w:pPr>
        <w:ind w:firstLine="560" w:firstLineChars="200"/>
        <w:rPr>
          <w:rFonts w:ascii="宋体" w:hAnsi="宋体" w:cs="宋体"/>
          <w:sz w:val="28"/>
          <w:szCs w:val="28"/>
        </w:rPr>
      </w:pPr>
      <w:r>
        <w:rPr>
          <w:rFonts w:hint="eastAsia" w:ascii="宋体" w:hAnsi="宋体" w:cs="宋体"/>
          <w:sz w:val="28"/>
          <w:szCs w:val="28"/>
        </w:rPr>
        <w:t>①停止作业，呼喊示警。报告上级。拨打110。</w:t>
      </w:r>
    </w:p>
    <w:p>
      <w:pPr>
        <w:ind w:firstLine="560" w:firstLineChars="200"/>
        <w:rPr>
          <w:rFonts w:ascii="宋体" w:hAnsi="宋体" w:cs="宋体"/>
          <w:sz w:val="28"/>
          <w:szCs w:val="28"/>
        </w:rPr>
      </w:pPr>
      <w:r>
        <w:rPr>
          <w:rFonts w:hint="eastAsia" w:ascii="宋体" w:hAnsi="宋体" w:cs="宋体"/>
          <w:sz w:val="28"/>
          <w:szCs w:val="28"/>
        </w:rPr>
        <w:t>②若火势不大，立即就近取用灭火器扑救。</w:t>
      </w:r>
    </w:p>
    <w:p>
      <w:pPr>
        <w:ind w:firstLine="560" w:firstLineChars="200"/>
        <w:rPr>
          <w:rFonts w:ascii="宋体" w:hAnsi="宋体" w:cs="宋体"/>
          <w:sz w:val="28"/>
          <w:szCs w:val="28"/>
        </w:rPr>
      </w:pPr>
      <w:r>
        <w:rPr>
          <w:rFonts w:hint="eastAsia" w:ascii="宋体" w:hAnsi="宋体" w:cs="宋体"/>
          <w:sz w:val="28"/>
          <w:szCs w:val="28"/>
        </w:rPr>
        <w:t>③若发生火灾，采取火灾应急处置措施。</w:t>
      </w:r>
    </w:p>
    <w:p>
      <w:pPr>
        <w:pStyle w:val="43"/>
        <w:spacing w:beforeLines="0" w:afterLines="0" w:line="560" w:lineRule="exact"/>
        <w:ind w:firstLine="0" w:firstLineChars="0"/>
        <w:rPr>
          <w:rFonts w:ascii="Times New Roman" w:hAnsi="Times New Roman" w:eastAsia="宋体"/>
          <w:b/>
          <w:kern w:val="2"/>
          <w:sz w:val="24"/>
        </w:rPr>
      </w:pPr>
      <w:r>
        <w:rPr>
          <w:rFonts w:hint="eastAsia" w:ascii="Times New Roman" w:hAnsi="Times New Roman" w:eastAsia="宋体"/>
          <w:b/>
          <w:kern w:val="2"/>
          <w:sz w:val="24"/>
        </w:rPr>
        <w:t>4、</w:t>
      </w:r>
      <w:r>
        <w:rPr>
          <w:rFonts w:ascii="Times New Roman" w:hAnsi="Times New Roman" w:eastAsia="宋体"/>
          <w:b/>
          <w:kern w:val="2"/>
          <w:sz w:val="24"/>
        </w:rPr>
        <w:t>群体性事件应对措施</w:t>
      </w:r>
    </w:p>
    <w:p>
      <w:pPr>
        <w:ind w:firstLine="560" w:firstLineChars="200"/>
        <w:rPr>
          <w:rFonts w:ascii="宋体" w:hAnsi="宋体" w:cs="宋体"/>
          <w:sz w:val="28"/>
          <w:szCs w:val="28"/>
        </w:rPr>
      </w:pPr>
      <w:r>
        <w:rPr>
          <w:rFonts w:hint="eastAsia" w:ascii="宋体" w:hAnsi="宋体" w:cs="宋体"/>
          <w:sz w:val="28"/>
          <w:szCs w:val="28"/>
        </w:rPr>
        <w:t>①报告上级。通知政府相关部门。</w:t>
      </w:r>
    </w:p>
    <w:p>
      <w:pPr>
        <w:ind w:firstLine="560" w:firstLineChars="200"/>
        <w:rPr>
          <w:rFonts w:ascii="宋体" w:hAnsi="宋体" w:cs="宋体"/>
          <w:sz w:val="28"/>
          <w:szCs w:val="28"/>
        </w:rPr>
      </w:pPr>
      <w:r>
        <w:rPr>
          <w:rFonts w:hint="eastAsia" w:ascii="宋体" w:hAnsi="宋体" w:cs="宋体"/>
          <w:sz w:val="28"/>
          <w:szCs w:val="28"/>
        </w:rPr>
        <w:t>②停止作业，疏散现场车辆、人员。</w:t>
      </w:r>
    </w:p>
    <w:p>
      <w:pPr>
        <w:ind w:firstLine="560" w:firstLineChars="200"/>
        <w:rPr>
          <w:rFonts w:ascii="宋体" w:hAnsi="宋体" w:cs="宋体"/>
          <w:sz w:val="28"/>
          <w:szCs w:val="28"/>
        </w:rPr>
      </w:pPr>
      <w:r>
        <w:rPr>
          <w:rFonts w:hint="eastAsia" w:ascii="宋体" w:hAnsi="宋体" w:cs="宋体"/>
          <w:sz w:val="28"/>
          <w:szCs w:val="28"/>
        </w:rPr>
        <w:t>③转移重要财物或采取防护措施，锁好门窗。</w:t>
      </w:r>
    </w:p>
    <w:p>
      <w:pPr>
        <w:ind w:firstLine="560" w:firstLineChars="200"/>
        <w:rPr>
          <w:rFonts w:ascii="宋体" w:hAnsi="宋体" w:cs="宋体"/>
          <w:sz w:val="28"/>
          <w:szCs w:val="28"/>
        </w:rPr>
      </w:pPr>
      <w:r>
        <w:rPr>
          <w:rFonts w:hint="eastAsia" w:ascii="宋体" w:hAnsi="宋体" w:cs="宋体"/>
          <w:sz w:val="28"/>
          <w:szCs w:val="28"/>
        </w:rPr>
        <w:t>④现场负责人组织先期处理，尽力阻止事态扩大：</w:t>
      </w:r>
    </w:p>
    <w:p>
      <w:pPr>
        <w:ind w:firstLine="560" w:firstLineChars="200"/>
        <w:rPr>
          <w:rFonts w:ascii="宋体" w:hAnsi="宋体" w:cs="宋体"/>
          <w:sz w:val="28"/>
          <w:szCs w:val="28"/>
        </w:rPr>
      </w:pPr>
      <w:r>
        <w:rPr>
          <w:rFonts w:hint="eastAsia" w:ascii="宋体" w:hAnsi="宋体" w:cs="宋体"/>
          <w:sz w:val="28"/>
          <w:szCs w:val="28"/>
        </w:rPr>
        <w:t>⑤对群众反映的问题，能当场答复的给予答复，不能当场答复的要给予合理的解释，并提出初步处理意见。</w:t>
      </w:r>
    </w:p>
    <w:p>
      <w:pPr>
        <w:ind w:firstLine="560" w:firstLineChars="200"/>
        <w:rPr>
          <w:rFonts w:ascii="宋体" w:hAnsi="宋体" w:cs="宋体"/>
          <w:sz w:val="28"/>
          <w:szCs w:val="28"/>
        </w:rPr>
      </w:pPr>
      <w:r>
        <w:rPr>
          <w:rFonts w:hint="eastAsia" w:ascii="宋体" w:hAnsi="宋体" w:cs="宋体"/>
          <w:sz w:val="28"/>
          <w:szCs w:val="28"/>
        </w:rPr>
        <w:t>⑥若人数众多，问题复杂、冲突激烈，则尽量从群众中选择代表谈判。</w:t>
      </w:r>
    </w:p>
    <w:p>
      <w:pPr>
        <w:ind w:firstLine="560" w:firstLineChars="200"/>
        <w:rPr>
          <w:rFonts w:ascii="宋体" w:hAnsi="宋体" w:cs="宋体"/>
          <w:sz w:val="28"/>
          <w:szCs w:val="28"/>
        </w:rPr>
      </w:pPr>
      <w:r>
        <w:rPr>
          <w:rFonts w:hint="eastAsia" w:ascii="宋体" w:hAnsi="宋体" w:cs="宋体"/>
          <w:sz w:val="28"/>
          <w:szCs w:val="28"/>
        </w:rPr>
        <w:t>⑦对于滋事斗殴事件，尽量安抚稳定群众，待政府相关部门到场处理。</w:t>
      </w:r>
    </w:p>
    <w:p>
      <w:pPr>
        <w:ind w:firstLine="560" w:firstLineChars="200"/>
        <w:rPr>
          <w:rFonts w:ascii="宋体" w:hAnsi="宋体" w:cs="宋体"/>
          <w:sz w:val="28"/>
          <w:szCs w:val="28"/>
        </w:rPr>
      </w:pPr>
      <w:r>
        <w:rPr>
          <w:rFonts w:hint="eastAsia" w:ascii="宋体" w:hAnsi="宋体" w:cs="宋体"/>
          <w:sz w:val="28"/>
          <w:szCs w:val="28"/>
        </w:rPr>
        <w:t>⑧若事态进一步扩大，尽量避免发生肢体冲突，同时密切关注、防范情绪激动者可能进行的破坏或袭击，加强重点要害部位的防护。</w:t>
      </w:r>
    </w:p>
    <w:p>
      <w:pPr>
        <w:spacing w:line="480" w:lineRule="exact"/>
        <w:ind w:firstLine="480" w:firstLineChars="200"/>
        <w:rPr>
          <w:rFonts w:cs="宋体"/>
          <w:sz w:val="24"/>
        </w:rPr>
      </w:pPr>
    </w:p>
    <w:p>
      <w:pPr>
        <w:pStyle w:val="2"/>
        <w:ind w:firstLine="0"/>
        <w:outlineLvl w:val="2"/>
        <w:rPr>
          <w:rFonts w:ascii="宋体" w:hAnsi="宋体" w:cs="宋体"/>
          <w:b/>
          <w:bCs/>
          <w:color w:val="000000"/>
          <w:sz w:val="24"/>
          <w:szCs w:val="24"/>
        </w:rPr>
      </w:pPr>
      <w:r>
        <w:rPr>
          <w:rFonts w:hint="eastAsia" w:ascii="宋体" w:hAnsi="宋体" w:cs="宋体"/>
          <w:b/>
          <w:bCs/>
          <w:sz w:val="24"/>
          <w:szCs w:val="24"/>
        </w:rPr>
        <w:t>4.4.4</w:t>
      </w:r>
      <w:r>
        <w:rPr>
          <w:rFonts w:hint="eastAsia" w:ascii="宋体" w:hAnsi="宋体" w:cs="宋体"/>
          <w:b/>
          <w:bCs/>
          <w:color w:val="000000"/>
          <w:sz w:val="24"/>
          <w:szCs w:val="24"/>
        </w:rPr>
        <w:t>注意事项</w:t>
      </w:r>
    </w:p>
    <w:p>
      <w:pPr>
        <w:ind w:firstLine="560" w:firstLineChars="200"/>
        <w:rPr>
          <w:rFonts w:ascii="宋体" w:hAnsi="宋体" w:cs="宋体"/>
          <w:sz w:val="28"/>
          <w:szCs w:val="28"/>
        </w:rPr>
      </w:pPr>
      <w:r>
        <w:rPr>
          <w:rFonts w:hint="eastAsia" w:ascii="宋体" w:hAnsi="宋体" w:cs="宋体"/>
          <w:sz w:val="28"/>
          <w:szCs w:val="28"/>
        </w:rPr>
        <w:t>1、事件发生后，处置过程中要提前考虑是否应切断电、气、水源等，以避免次生灾害发生。</w:t>
      </w:r>
    </w:p>
    <w:p>
      <w:pPr>
        <w:ind w:firstLine="560" w:firstLineChars="200"/>
        <w:rPr>
          <w:rFonts w:ascii="宋体" w:hAnsi="宋体" w:cs="宋体"/>
          <w:sz w:val="28"/>
          <w:szCs w:val="28"/>
        </w:rPr>
      </w:pPr>
      <w:r>
        <w:rPr>
          <w:rFonts w:hint="eastAsia" w:ascii="宋体" w:hAnsi="宋体" w:cs="宋体"/>
          <w:sz w:val="28"/>
          <w:szCs w:val="28"/>
        </w:rPr>
        <w:t>2、如引发油品跑冒或火灾事故时，要启动相应的消防应急预案。</w:t>
      </w:r>
    </w:p>
    <w:p>
      <w:pPr>
        <w:ind w:firstLine="560" w:firstLineChars="200"/>
        <w:rPr>
          <w:rFonts w:ascii="宋体" w:hAnsi="宋体" w:cs="宋体"/>
          <w:sz w:val="28"/>
          <w:szCs w:val="28"/>
        </w:rPr>
      </w:pPr>
      <w:r>
        <w:rPr>
          <w:rFonts w:hint="eastAsia" w:ascii="宋体" w:hAnsi="宋体" w:cs="宋体"/>
          <w:sz w:val="28"/>
          <w:szCs w:val="28"/>
        </w:rPr>
        <w:t>3、实行责任追究。对未依法履行安全职责，违反安全规定的行为或在事发应急过程中不听从指挥、不服从安排酿成严重后果的，由加油站依照有关规定对责任人给予罚款或者其他处罚。因失职或者管理失控发生事故造成恶劣影响的，由有关管理部门和公安机关依照法律规定予以处罚。构成犯罪的，依法追究刑事责任。</w:t>
      </w:r>
    </w:p>
    <w:p>
      <w:pPr>
        <w:pStyle w:val="4"/>
        <w:spacing w:before="0" w:after="0"/>
        <w:rPr>
          <w:rStyle w:val="51"/>
          <w:rFonts w:hint="default" w:ascii="Times New Roman" w:hAnsi="Times New Roman" w:cs="宋体"/>
          <w:b/>
          <w:bCs/>
          <w:sz w:val="24"/>
          <w:szCs w:val="24"/>
        </w:rPr>
      </w:pPr>
      <w:r>
        <w:rPr>
          <w:rStyle w:val="51"/>
          <w:rFonts w:hint="default" w:ascii="Times New Roman" w:hAnsi="Times New Roman" w:cs="宋体"/>
          <w:b/>
          <w:bCs/>
          <w:sz w:val="24"/>
          <w:szCs w:val="24"/>
        </w:rPr>
        <w:t>4.5附则</w:t>
      </w:r>
    </w:p>
    <w:p>
      <w:pPr>
        <w:ind w:firstLine="560" w:firstLineChars="200"/>
        <w:rPr>
          <w:rFonts w:ascii="宋体" w:hAnsi="宋体" w:cs="宋体"/>
          <w:sz w:val="28"/>
          <w:szCs w:val="28"/>
        </w:rPr>
      </w:pPr>
      <w:r>
        <w:rPr>
          <w:rFonts w:hint="eastAsia" w:ascii="宋体" w:hAnsi="宋体" w:cs="宋体"/>
          <w:sz w:val="28"/>
          <w:szCs w:val="28"/>
        </w:rPr>
        <w:t>本预案自发布之日起实施。</w:t>
      </w:r>
    </w:p>
    <w:p>
      <w:pPr>
        <w:spacing w:line="480" w:lineRule="exact"/>
        <w:ind w:firstLine="480" w:firstLineChars="200"/>
        <w:rPr>
          <w:rFonts w:cs="宋体"/>
          <w:sz w:val="24"/>
        </w:rPr>
      </w:pPr>
    </w:p>
    <w:p>
      <w:pPr>
        <w:spacing w:line="360" w:lineRule="auto"/>
      </w:pPr>
    </w:p>
    <w:p>
      <w:pPr>
        <w:spacing w:line="360" w:lineRule="auto"/>
      </w:pPr>
    </w:p>
    <w:p>
      <w:pPr>
        <w:spacing w:line="360" w:lineRule="auto"/>
      </w:pPr>
    </w:p>
    <w:p>
      <w:pPr>
        <w:pStyle w:val="2"/>
      </w:pPr>
    </w:p>
    <w:p>
      <w:pPr>
        <w:pStyle w:val="2"/>
      </w:pPr>
    </w:p>
    <w:p>
      <w:pPr>
        <w:pStyle w:val="2"/>
      </w:pPr>
    </w:p>
    <w:p>
      <w:pPr>
        <w:pStyle w:val="2"/>
      </w:pPr>
    </w:p>
    <w:p>
      <w:pPr>
        <w:pStyle w:val="2"/>
      </w:pPr>
    </w:p>
    <w:p>
      <w:pPr>
        <w:pStyle w:val="2"/>
      </w:pPr>
    </w:p>
    <w:p>
      <w:pPr>
        <w:pStyle w:val="2"/>
      </w:pPr>
    </w:p>
    <w:p>
      <w:pPr>
        <w:spacing w:line="360" w:lineRule="auto"/>
      </w:pPr>
    </w:p>
    <w:p>
      <w:pPr>
        <w:spacing w:line="360" w:lineRule="auto"/>
      </w:pPr>
    </w:p>
    <w:p>
      <w:pPr>
        <w:spacing w:line="360" w:lineRule="auto"/>
      </w:pPr>
    </w:p>
    <w:p>
      <w:pPr>
        <w:pStyle w:val="2"/>
        <w:ind w:firstLine="0"/>
        <w:rPr>
          <w:b/>
          <w:bCs/>
          <w:sz w:val="44"/>
          <w:szCs w:val="44"/>
        </w:rPr>
      </w:pPr>
      <w:bookmarkStart w:id="867" w:name="_Toc29320"/>
      <w:bookmarkStart w:id="868" w:name="_Toc2417"/>
      <w:bookmarkStart w:id="869" w:name="_Toc6547"/>
    </w:p>
    <w:p>
      <w:pPr>
        <w:spacing w:line="360" w:lineRule="auto"/>
        <w:jc w:val="center"/>
        <w:outlineLvl w:val="0"/>
        <w:rPr>
          <w:b/>
          <w:bCs/>
          <w:sz w:val="44"/>
          <w:szCs w:val="44"/>
        </w:rPr>
      </w:pPr>
    </w:p>
    <w:p>
      <w:pPr>
        <w:spacing w:line="360" w:lineRule="auto"/>
        <w:jc w:val="left"/>
        <w:outlineLvl w:val="0"/>
        <w:rPr>
          <w:b/>
          <w:bCs/>
          <w:sz w:val="44"/>
          <w:szCs w:val="44"/>
        </w:rPr>
      </w:pPr>
    </w:p>
    <w:p>
      <w:pPr>
        <w:spacing w:line="360" w:lineRule="auto"/>
        <w:jc w:val="left"/>
        <w:outlineLvl w:val="0"/>
        <w:rPr>
          <w:b/>
          <w:bCs/>
          <w:sz w:val="44"/>
          <w:szCs w:val="44"/>
        </w:rPr>
      </w:pPr>
    </w:p>
    <w:p>
      <w:pPr>
        <w:spacing w:line="360" w:lineRule="auto"/>
        <w:jc w:val="left"/>
        <w:outlineLvl w:val="0"/>
        <w:rPr>
          <w:b/>
          <w:bCs/>
          <w:sz w:val="44"/>
          <w:szCs w:val="44"/>
        </w:rPr>
      </w:pPr>
    </w:p>
    <w:p>
      <w:pPr>
        <w:spacing w:line="360" w:lineRule="auto"/>
        <w:jc w:val="left"/>
        <w:outlineLvl w:val="0"/>
        <w:rPr>
          <w:b/>
          <w:bCs/>
          <w:sz w:val="44"/>
          <w:szCs w:val="44"/>
        </w:rPr>
      </w:pPr>
    </w:p>
    <w:p>
      <w:pPr>
        <w:pStyle w:val="2"/>
        <w:rPr>
          <w:b/>
          <w:bCs/>
          <w:sz w:val="44"/>
          <w:szCs w:val="44"/>
        </w:rPr>
      </w:pPr>
    </w:p>
    <w:p>
      <w:pPr>
        <w:pStyle w:val="2"/>
        <w:rPr>
          <w:b/>
          <w:bCs/>
          <w:sz w:val="44"/>
          <w:szCs w:val="44"/>
        </w:rPr>
      </w:pPr>
    </w:p>
    <w:p>
      <w:pPr>
        <w:pStyle w:val="2"/>
        <w:rPr>
          <w:b/>
          <w:bCs/>
          <w:sz w:val="44"/>
          <w:szCs w:val="44"/>
        </w:rPr>
      </w:pPr>
    </w:p>
    <w:p>
      <w:pPr>
        <w:pStyle w:val="2"/>
        <w:rPr>
          <w:b/>
          <w:bCs/>
          <w:sz w:val="44"/>
          <w:szCs w:val="44"/>
        </w:rPr>
      </w:pPr>
    </w:p>
    <w:p>
      <w:pPr>
        <w:pStyle w:val="2"/>
        <w:rPr>
          <w:b/>
          <w:bCs/>
          <w:sz w:val="44"/>
          <w:szCs w:val="44"/>
        </w:rPr>
      </w:pPr>
    </w:p>
    <w:p>
      <w:pPr>
        <w:ind w:firstLine="883" w:firstLineChars="200"/>
        <w:rPr>
          <w:b/>
          <w:bCs/>
          <w:sz w:val="44"/>
          <w:szCs w:val="44"/>
        </w:rPr>
      </w:pPr>
    </w:p>
    <w:p>
      <w:pPr>
        <w:ind w:firstLine="883" w:firstLineChars="200"/>
        <w:rPr>
          <w:b/>
          <w:bCs/>
          <w:sz w:val="44"/>
          <w:szCs w:val="44"/>
        </w:rPr>
      </w:pPr>
    </w:p>
    <w:p>
      <w:pPr>
        <w:ind w:firstLine="883" w:firstLineChars="200"/>
        <w:rPr>
          <w:b/>
          <w:bCs/>
          <w:sz w:val="44"/>
          <w:szCs w:val="44"/>
        </w:rPr>
      </w:pPr>
    </w:p>
    <w:p>
      <w:pPr>
        <w:ind w:firstLine="883" w:firstLineChars="200"/>
        <w:rPr>
          <w:b/>
          <w:bCs/>
          <w:sz w:val="44"/>
          <w:szCs w:val="44"/>
        </w:rPr>
      </w:pPr>
    </w:p>
    <w:p>
      <w:pPr>
        <w:ind w:firstLine="883" w:firstLineChars="200"/>
        <w:rPr>
          <w:b/>
          <w:bCs/>
          <w:sz w:val="44"/>
          <w:szCs w:val="44"/>
        </w:rPr>
      </w:pPr>
    </w:p>
    <w:p>
      <w:pPr>
        <w:ind w:firstLine="883" w:firstLineChars="200"/>
        <w:rPr>
          <w:b/>
          <w:bCs/>
          <w:sz w:val="44"/>
          <w:szCs w:val="44"/>
        </w:rPr>
      </w:pPr>
    </w:p>
    <w:p>
      <w:pPr>
        <w:ind w:firstLine="883" w:firstLineChars="200"/>
        <w:rPr>
          <w:b/>
          <w:bCs/>
          <w:sz w:val="44"/>
          <w:szCs w:val="44"/>
        </w:rPr>
      </w:pPr>
    </w:p>
    <w:p>
      <w:pPr>
        <w:ind w:firstLine="883" w:firstLineChars="200"/>
        <w:rPr>
          <w:b/>
          <w:bCs/>
          <w:sz w:val="44"/>
          <w:szCs w:val="44"/>
        </w:rPr>
      </w:pPr>
    </w:p>
    <w:p>
      <w:pPr>
        <w:jc w:val="center"/>
        <w:rPr>
          <w:b/>
          <w:bCs/>
          <w:sz w:val="44"/>
          <w:szCs w:val="44"/>
        </w:rPr>
      </w:pPr>
      <w:r>
        <w:rPr>
          <w:rFonts w:hint="eastAsia"/>
          <w:b/>
          <w:bCs/>
          <w:sz w:val="44"/>
          <w:szCs w:val="44"/>
        </w:rPr>
        <w:t>第三部分 现场处置方案</w:t>
      </w:r>
      <w:bookmarkEnd w:id="867"/>
      <w:bookmarkEnd w:id="868"/>
      <w:bookmarkEnd w:id="869"/>
    </w:p>
    <w:p>
      <w:pPr>
        <w:pStyle w:val="3"/>
        <w:rPr>
          <w:rFonts w:eastAsia="宋体" w:cs="宋体"/>
        </w:rPr>
      </w:pPr>
      <w:bookmarkStart w:id="870" w:name="_Toc338079396"/>
      <w:bookmarkEnd w:id="870"/>
      <w:bookmarkStart w:id="871" w:name="_Toc504989637"/>
      <w:bookmarkEnd w:id="871"/>
      <w:bookmarkStart w:id="872" w:name="_Toc26796"/>
      <w:bookmarkStart w:id="873" w:name="_Toc530594670"/>
      <w:bookmarkStart w:id="874" w:name="_Toc10019"/>
      <w:bookmarkStart w:id="875" w:name="_Toc10582"/>
      <w:bookmarkStart w:id="876" w:name="_Toc625"/>
      <w:bookmarkStart w:id="877" w:name="_Toc1404"/>
      <w:r>
        <w:rPr>
          <w:rFonts w:hint="eastAsia" w:eastAsia="宋体" w:cs="宋体"/>
        </w:rPr>
        <w:t>一、触电事故现场处置方案</w:t>
      </w:r>
      <w:bookmarkEnd w:id="872"/>
      <w:bookmarkEnd w:id="873"/>
      <w:bookmarkEnd w:id="874"/>
      <w:bookmarkEnd w:id="875"/>
      <w:bookmarkEnd w:id="876"/>
      <w:bookmarkEnd w:id="877"/>
    </w:p>
    <w:tbl>
      <w:tblPr>
        <w:tblStyle w:val="35"/>
        <w:tblW w:w="8095" w:type="dxa"/>
        <w:jc w:val="center"/>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2034"/>
        <w:gridCol w:w="462"/>
        <w:gridCol w:w="351"/>
        <w:gridCol w:w="3298"/>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975" w:type="dxa"/>
            <w:vMerge w:val="restart"/>
            <w:vAlign w:val="center"/>
          </w:tcPr>
          <w:p>
            <w:pPr>
              <w:jc w:val="center"/>
              <w:rPr>
                <w:rFonts w:cs="宋体"/>
                <w:b/>
                <w:bCs/>
              </w:rPr>
            </w:pPr>
            <w:r>
              <w:rPr>
                <w:rFonts w:hint="eastAsia" w:cs="宋体"/>
                <w:b/>
                <w:bCs/>
              </w:rPr>
              <w:t>事</w:t>
            </w:r>
          </w:p>
          <w:p>
            <w:pPr>
              <w:jc w:val="center"/>
              <w:rPr>
                <w:rFonts w:cs="宋体"/>
                <w:b/>
                <w:bCs/>
              </w:rPr>
            </w:pPr>
            <w:r>
              <w:rPr>
                <w:rFonts w:hint="eastAsia" w:cs="宋体"/>
                <w:b/>
                <w:bCs/>
              </w:rPr>
              <w:t>故</w:t>
            </w:r>
          </w:p>
          <w:p>
            <w:pPr>
              <w:jc w:val="center"/>
              <w:rPr>
                <w:rFonts w:cs="宋体"/>
                <w:b/>
                <w:bCs/>
              </w:rPr>
            </w:pPr>
            <w:r>
              <w:rPr>
                <w:rFonts w:hint="eastAsia" w:cs="宋体"/>
                <w:b/>
                <w:bCs/>
              </w:rPr>
              <w:t>特</w:t>
            </w:r>
          </w:p>
          <w:p>
            <w:pPr>
              <w:jc w:val="center"/>
              <w:rPr>
                <w:rFonts w:cs="宋体"/>
                <w:b/>
                <w:bCs/>
              </w:rPr>
            </w:pPr>
            <w:r>
              <w:rPr>
                <w:rFonts w:hint="eastAsia" w:cs="宋体"/>
                <w:b/>
                <w:bCs/>
              </w:rPr>
              <w:t>征</w:t>
            </w:r>
          </w:p>
        </w:tc>
        <w:tc>
          <w:tcPr>
            <w:tcW w:w="2034" w:type="dxa"/>
            <w:vAlign w:val="center"/>
          </w:tcPr>
          <w:p>
            <w:pPr>
              <w:jc w:val="left"/>
              <w:rPr>
                <w:rFonts w:cs="宋体"/>
              </w:rPr>
            </w:pPr>
            <w:r>
              <w:rPr>
                <w:rFonts w:hint="eastAsia" w:cs="宋体"/>
              </w:rPr>
              <w:t>区域（装置）名称</w:t>
            </w:r>
          </w:p>
        </w:tc>
        <w:tc>
          <w:tcPr>
            <w:tcW w:w="5086" w:type="dxa"/>
            <w:gridSpan w:val="4"/>
            <w:vAlign w:val="center"/>
          </w:tcPr>
          <w:p>
            <w:pPr>
              <w:jc w:val="left"/>
              <w:rPr>
                <w:rFonts w:cs="宋体"/>
              </w:rPr>
            </w:pPr>
            <w:r>
              <w:rPr>
                <w:rFonts w:hint="eastAsia" w:cs="宋体"/>
              </w:rPr>
              <w:t>配电箱以及站房营业室内的其他电器设备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975" w:type="dxa"/>
            <w:vMerge w:val="continue"/>
            <w:vAlign w:val="center"/>
          </w:tcPr>
          <w:p>
            <w:pPr>
              <w:widowControl/>
              <w:jc w:val="left"/>
              <w:rPr>
                <w:rFonts w:cs="宋体"/>
                <w:b/>
                <w:bCs/>
              </w:rPr>
            </w:pPr>
          </w:p>
        </w:tc>
        <w:tc>
          <w:tcPr>
            <w:tcW w:w="2034" w:type="dxa"/>
            <w:vAlign w:val="center"/>
          </w:tcPr>
          <w:p>
            <w:pPr>
              <w:jc w:val="left"/>
              <w:rPr>
                <w:rFonts w:cs="宋体"/>
              </w:rPr>
            </w:pPr>
            <w:r>
              <w:rPr>
                <w:rFonts w:hint="eastAsia" w:cs="宋体"/>
              </w:rPr>
              <w:t>可能发生的事故类型</w:t>
            </w:r>
          </w:p>
        </w:tc>
        <w:tc>
          <w:tcPr>
            <w:tcW w:w="5086" w:type="dxa"/>
            <w:gridSpan w:val="4"/>
            <w:vAlign w:val="center"/>
          </w:tcPr>
          <w:p>
            <w:pPr>
              <w:jc w:val="left"/>
              <w:rPr>
                <w:rFonts w:cs="宋体"/>
              </w:rPr>
            </w:pPr>
            <w:r>
              <w:rPr>
                <w:rFonts w:hint="eastAsia" w:cs="宋体"/>
              </w:rPr>
              <w:t>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975" w:type="dxa"/>
            <w:vMerge w:val="continue"/>
            <w:vAlign w:val="center"/>
          </w:tcPr>
          <w:p>
            <w:pPr>
              <w:widowControl/>
              <w:jc w:val="left"/>
              <w:rPr>
                <w:rFonts w:cs="宋体"/>
                <w:b/>
                <w:bCs/>
              </w:rPr>
            </w:pPr>
          </w:p>
        </w:tc>
        <w:tc>
          <w:tcPr>
            <w:tcW w:w="2034" w:type="dxa"/>
            <w:vAlign w:val="center"/>
          </w:tcPr>
          <w:p>
            <w:pPr>
              <w:jc w:val="left"/>
              <w:rPr>
                <w:rFonts w:cs="宋体"/>
              </w:rPr>
            </w:pPr>
            <w:r>
              <w:rPr>
                <w:rFonts w:hint="eastAsia" w:cs="宋体"/>
              </w:rPr>
              <w:t>可能发生的季节、时段</w:t>
            </w:r>
          </w:p>
        </w:tc>
        <w:tc>
          <w:tcPr>
            <w:tcW w:w="5086" w:type="dxa"/>
            <w:gridSpan w:val="4"/>
            <w:vAlign w:val="center"/>
          </w:tcPr>
          <w:p>
            <w:pPr>
              <w:jc w:val="left"/>
              <w:rPr>
                <w:rFonts w:cs="宋体"/>
              </w:rPr>
            </w:pPr>
            <w:r>
              <w:rPr>
                <w:rFonts w:hint="eastAsia" w:cs="宋体"/>
              </w:rPr>
              <w:t>夏季潮湿季节，设备设施故障、维修期间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975" w:type="dxa"/>
            <w:vMerge w:val="continue"/>
            <w:vAlign w:val="center"/>
          </w:tcPr>
          <w:p>
            <w:pPr>
              <w:widowControl/>
              <w:jc w:val="left"/>
              <w:rPr>
                <w:rFonts w:cs="宋体"/>
                <w:b/>
                <w:bCs/>
              </w:rPr>
            </w:pPr>
          </w:p>
        </w:tc>
        <w:tc>
          <w:tcPr>
            <w:tcW w:w="2034" w:type="dxa"/>
            <w:vAlign w:val="center"/>
          </w:tcPr>
          <w:p>
            <w:pPr>
              <w:jc w:val="left"/>
              <w:rPr>
                <w:rFonts w:cs="宋体"/>
              </w:rPr>
            </w:pPr>
            <w:r>
              <w:rPr>
                <w:rFonts w:hint="eastAsia" w:cs="宋体"/>
              </w:rPr>
              <w:t>事故征兆</w:t>
            </w:r>
          </w:p>
        </w:tc>
        <w:tc>
          <w:tcPr>
            <w:tcW w:w="5086" w:type="dxa"/>
            <w:gridSpan w:val="4"/>
            <w:vAlign w:val="center"/>
          </w:tcPr>
          <w:p>
            <w:pPr>
              <w:jc w:val="left"/>
              <w:rPr>
                <w:rFonts w:cs="宋体"/>
              </w:rPr>
            </w:pPr>
            <w:r>
              <w:rPr>
                <w:rFonts w:hint="eastAsia" w:cs="宋体"/>
              </w:rPr>
              <w:t>违章操作，电气线路或设备设施设计、安装缺陷，运行中缺乏必要的检修维护，缺少安全防护设施等。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975" w:type="dxa"/>
            <w:vMerge w:val="continue"/>
            <w:vAlign w:val="center"/>
          </w:tcPr>
          <w:p>
            <w:pPr>
              <w:widowControl/>
              <w:jc w:val="left"/>
              <w:rPr>
                <w:rFonts w:cs="宋体"/>
                <w:b/>
                <w:bCs/>
              </w:rPr>
            </w:pPr>
          </w:p>
        </w:tc>
        <w:tc>
          <w:tcPr>
            <w:tcW w:w="2034" w:type="dxa"/>
            <w:vAlign w:val="center"/>
          </w:tcPr>
          <w:p>
            <w:pPr>
              <w:jc w:val="left"/>
              <w:rPr>
                <w:rFonts w:cs="宋体"/>
              </w:rPr>
            </w:pPr>
            <w:r>
              <w:rPr>
                <w:rFonts w:hint="eastAsia" w:cs="宋体"/>
              </w:rPr>
              <w:t>事故危害程度</w:t>
            </w:r>
          </w:p>
        </w:tc>
        <w:tc>
          <w:tcPr>
            <w:tcW w:w="5086" w:type="dxa"/>
            <w:gridSpan w:val="4"/>
            <w:vAlign w:val="center"/>
          </w:tcPr>
          <w:p>
            <w:pPr>
              <w:jc w:val="left"/>
              <w:rPr>
                <w:rFonts w:cs="宋体"/>
              </w:rPr>
            </w:pPr>
            <w:r>
              <w:rPr>
                <w:rFonts w:hint="eastAsia" w:cs="宋体"/>
              </w:rPr>
              <w:t>电伤、死亡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975" w:type="dxa"/>
            <w:vMerge w:val="continue"/>
            <w:vAlign w:val="center"/>
          </w:tcPr>
          <w:p>
            <w:pPr>
              <w:widowControl/>
              <w:jc w:val="left"/>
              <w:rPr>
                <w:rFonts w:cs="宋体"/>
                <w:b/>
                <w:bCs/>
              </w:rPr>
            </w:pPr>
          </w:p>
        </w:tc>
        <w:tc>
          <w:tcPr>
            <w:tcW w:w="2034" w:type="dxa"/>
          </w:tcPr>
          <w:p>
            <w:pPr>
              <w:jc w:val="left"/>
              <w:rPr>
                <w:rFonts w:cs="宋体"/>
              </w:rPr>
            </w:pPr>
            <w:r>
              <w:rPr>
                <w:rFonts w:hint="eastAsia" w:cs="宋体"/>
              </w:rPr>
              <w:t>可能引发的次生、衍生事故</w:t>
            </w:r>
          </w:p>
        </w:tc>
        <w:tc>
          <w:tcPr>
            <w:tcW w:w="5086" w:type="dxa"/>
            <w:gridSpan w:val="4"/>
          </w:tcPr>
          <w:p>
            <w:pPr>
              <w:jc w:val="left"/>
              <w:rPr>
                <w:rFonts w:cs="宋体"/>
              </w:rPr>
            </w:pPr>
            <w:r>
              <w:rPr>
                <w:rFonts w:hint="eastAsia" w:cs="宋体"/>
              </w:rPr>
              <w:t>当人体触电，人体与带电体接触不良部分发生的电弧灼伤、电烙印，随着由于被电流熔化和蒸发的金属微粒等侵入人体皮肤引起的皮肤金属化，此伤害会给人体留下伤疤，严重时可能致人于死命；</w:t>
            </w:r>
          </w:p>
          <w:p>
            <w:pPr>
              <w:jc w:val="left"/>
              <w:rPr>
                <w:rFonts w:cs="宋体"/>
              </w:rPr>
            </w:pPr>
            <w:r>
              <w:rPr>
                <w:rFonts w:hint="eastAsia" w:cs="宋体"/>
              </w:rPr>
              <w:t>当人员发生触电时，如果处置不当，可能引起次生、衍生事故，造成救援人员触电；甚至由于救援不当可能引起电气火灾应，甚至危化品火灾爆炸等事故。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5" w:type="dxa"/>
            <w:vMerge w:val="continue"/>
            <w:vAlign w:val="center"/>
          </w:tcPr>
          <w:p>
            <w:pPr>
              <w:widowControl/>
              <w:jc w:val="left"/>
              <w:rPr>
                <w:rFonts w:cs="宋体"/>
                <w:b/>
                <w:bCs/>
              </w:rPr>
            </w:pPr>
          </w:p>
        </w:tc>
        <w:tc>
          <w:tcPr>
            <w:tcW w:w="2034" w:type="dxa"/>
          </w:tcPr>
          <w:p>
            <w:pPr>
              <w:jc w:val="left"/>
              <w:rPr>
                <w:rFonts w:cs="宋体"/>
              </w:rPr>
            </w:pPr>
            <w:r>
              <w:rPr>
                <w:rFonts w:hint="eastAsia" w:cs="宋体"/>
              </w:rPr>
              <w:t>事故影响范围</w:t>
            </w:r>
          </w:p>
        </w:tc>
        <w:tc>
          <w:tcPr>
            <w:tcW w:w="5086" w:type="dxa"/>
            <w:gridSpan w:val="4"/>
          </w:tcPr>
          <w:p>
            <w:pPr>
              <w:jc w:val="left"/>
              <w:rPr>
                <w:rFonts w:cs="宋体"/>
              </w:rPr>
            </w:pPr>
            <w:r>
              <w:rPr>
                <w:rFonts w:hint="eastAsia" w:cs="宋体"/>
              </w:rPr>
              <w:t>一般可控制在事故发生区域；也可能因断电影响厂区内正常运作。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5" w:type="dxa"/>
            <w:vMerge w:val="restart"/>
            <w:vAlign w:val="center"/>
          </w:tcPr>
          <w:p>
            <w:pPr>
              <w:jc w:val="center"/>
              <w:rPr>
                <w:rFonts w:cs="宋体"/>
                <w:b/>
                <w:bCs/>
              </w:rPr>
            </w:pPr>
            <w:r>
              <w:rPr>
                <w:rFonts w:hint="eastAsia" w:cs="宋体"/>
                <w:b/>
                <w:bCs/>
              </w:rPr>
              <w:t>应</w:t>
            </w:r>
          </w:p>
          <w:p>
            <w:pPr>
              <w:jc w:val="center"/>
              <w:rPr>
                <w:rFonts w:cs="宋体"/>
                <w:b/>
                <w:bCs/>
              </w:rPr>
            </w:pPr>
            <w:r>
              <w:rPr>
                <w:rFonts w:hint="eastAsia" w:cs="宋体"/>
                <w:b/>
                <w:bCs/>
              </w:rPr>
              <w:t>急</w:t>
            </w:r>
          </w:p>
          <w:p>
            <w:pPr>
              <w:jc w:val="center"/>
              <w:rPr>
                <w:rFonts w:cs="宋体"/>
                <w:b/>
                <w:bCs/>
              </w:rPr>
            </w:pPr>
            <w:r>
              <w:rPr>
                <w:rFonts w:hint="eastAsia" w:cs="宋体"/>
                <w:b/>
                <w:bCs/>
              </w:rPr>
              <w:t>组</w:t>
            </w:r>
          </w:p>
          <w:p>
            <w:pPr>
              <w:jc w:val="center"/>
              <w:rPr>
                <w:rFonts w:cs="宋体"/>
                <w:b/>
                <w:bCs/>
              </w:rPr>
            </w:pPr>
            <w:r>
              <w:rPr>
                <w:rFonts w:hint="eastAsia" w:cs="宋体"/>
                <w:b/>
                <w:bCs/>
              </w:rPr>
              <w:t>织</w:t>
            </w:r>
          </w:p>
          <w:p>
            <w:pPr>
              <w:jc w:val="center"/>
              <w:rPr>
                <w:rFonts w:cs="宋体"/>
                <w:b/>
                <w:bCs/>
              </w:rPr>
            </w:pPr>
            <w:r>
              <w:rPr>
                <w:rFonts w:hint="eastAsia" w:cs="宋体"/>
                <w:b/>
                <w:bCs/>
              </w:rPr>
              <w:t>与</w:t>
            </w:r>
          </w:p>
          <w:p>
            <w:pPr>
              <w:jc w:val="center"/>
              <w:rPr>
                <w:rFonts w:cs="宋体"/>
                <w:b/>
                <w:bCs/>
              </w:rPr>
            </w:pPr>
            <w:r>
              <w:rPr>
                <w:rFonts w:hint="eastAsia" w:cs="宋体"/>
                <w:b/>
                <w:bCs/>
              </w:rPr>
              <w:t>职</w:t>
            </w:r>
          </w:p>
          <w:p>
            <w:pPr>
              <w:jc w:val="center"/>
              <w:rPr>
                <w:rFonts w:cs="宋体"/>
                <w:b/>
                <w:bCs/>
              </w:rPr>
            </w:pPr>
            <w:r>
              <w:rPr>
                <w:rFonts w:hint="eastAsia" w:cs="宋体"/>
                <w:b/>
                <w:bCs/>
              </w:rPr>
              <w:t>责</w:t>
            </w:r>
          </w:p>
        </w:tc>
        <w:tc>
          <w:tcPr>
            <w:tcW w:w="2034" w:type="dxa"/>
            <w:vAlign w:val="center"/>
          </w:tcPr>
          <w:p>
            <w:pPr>
              <w:jc w:val="left"/>
              <w:rPr>
                <w:rFonts w:cs="宋体"/>
              </w:rPr>
            </w:pPr>
            <w:r>
              <w:rPr>
                <w:rFonts w:hint="eastAsia" w:cs="宋体"/>
              </w:rPr>
              <w:t>组织形式与人员构成</w:t>
            </w:r>
          </w:p>
        </w:tc>
        <w:tc>
          <w:tcPr>
            <w:tcW w:w="5086" w:type="dxa"/>
            <w:gridSpan w:val="4"/>
            <w:vAlign w:val="center"/>
          </w:tcPr>
          <w:p>
            <w:pPr>
              <w:jc w:val="left"/>
              <w:rPr>
                <w:rFonts w:cs="宋体"/>
              </w:rPr>
            </w:pPr>
            <w:r>
              <w:rPr>
                <w:rFonts w:hint="eastAsia" w:cs="宋体"/>
              </w:rPr>
              <w:t>成立站长为组长的事故现场处置小组，组员为营业员陈绍芝。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8" w:hRule="atLeast"/>
          <w:jc w:val="center"/>
        </w:trPr>
        <w:tc>
          <w:tcPr>
            <w:tcW w:w="975" w:type="dxa"/>
            <w:vMerge w:val="continue"/>
            <w:vAlign w:val="center"/>
          </w:tcPr>
          <w:p>
            <w:pPr>
              <w:widowControl/>
              <w:jc w:val="left"/>
              <w:rPr>
                <w:rFonts w:cs="宋体"/>
                <w:b/>
                <w:bCs/>
              </w:rPr>
            </w:pPr>
          </w:p>
        </w:tc>
        <w:tc>
          <w:tcPr>
            <w:tcW w:w="2034" w:type="dxa"/>
            <w:vAlign w:val="center"/>
          </w:tcPr>
          <w:p>
            <w:pPr>
              <w:jc w:val="left"/>
              <w:rPr>
                <w:rFonts w:cs="宋体"/>
              </w:rPr>
            </w:pPr>
            <w:r>
              <w:rPr>
                <w:rFonts w:hint="eastAsia" w:cs="宋体"/>
              </w:rPr>
              <w:t>应急工作职责</w:t>
            </w:r>
          </w:p>
        </w:tc>
        <w:tc>
          <w:tcPr>
            <w:tcW w:w="5086" w:type="dxa"/>
            <w:gridSpan w:val="4"/>
            <w:vAlign w:val="center"/>
          </w:tcPr>
          <w:p>
            <w:pPr>
              <w:jc w:val="left"/>
              <w:rPr>
                <w:rFonts w:cs="宋体"/>
              </w:rPr>
            </w:pPr>
            <w:r>
              <w:rPr>
                <w:rFonts w:hint="eastAsia" w:cs="宋体"/>
              </w:rPr>
              <w:t>1、发现事故和隐患及时处理和报告；</w:t>
            </w:r>
          </w:p>
          <w:p>
            <w:pPr>
              <w:jc w:val="left"/>
              <w:rPr>
                <w:rFonts w:cs="宋体"/>
              </w:rPr>
            </w:pPr>
            <w:r>
              <w:rPr>
                <w:rFonts w:hint="eastAsia" w:cs="宋体"/>
              </w:rPr>
              <w:t>2、事故初起时，实施现场应急处置；</w:t>
            </w:r>
          </w:p>
          <w:p>
            <w:pPr>
              <w:jc w:val="left"/>
              <w:rPr>
                <w:rFonts w:cs="宋体"/>
              </w:rPr>
            </w:pPr>
            <w:r>
              <w:rPr>
                <w:rFonts w:hint="eastAsia" w:cs="宋体"/>
              </w:rPr>
              <w:t>3、听从上一级应急救援指挥机构的指挥进行应急救援；</w:t>
            </w:r>
          </w:p>
          <w:p>
            <w:pPr>
              <w:jc w:val="left"/>
              <w:rPr>
                <w:rFonts w:cs="宋体"/>
              </w:rPr>
            </w:pPr>
            <w:r>
              <w:rPr>
                <w:rFonts w:hint="eastAsia" w:cs="宋体"/>
              </w:rPr>
              <w:t>5、预计事故扩大时报告并请求启动上一级应急救援预案。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975" w:type="dxa"/>
            <w:vMerge w:val="restart"/>
            <w:vAlign w:val="center"/>
          </w:tcPr>
          <w:p>
            <w:pPr>
              <w:jc w:val="center"/>
              <w:rPr>
                <w:rFonts w:cs="宋体"/>
                <w:b/>
                <w:bCs/>
              </w:rPr>
            </w:pPr>
            <w:r>
              <w:rPr>
                <w:rFonts w:hint="eastAsia" w:cs="宋体"/>
                <w:b/>
                <w:bCs/>
              </w:rPr>
              <w:t>应</w:t>
            </w:r>
          </w:p>
          <w:p>
            <w:pPr>
              <w:jc w:val="center"/>
              <w:rPr>
                <w:rFonts w:cs="宋体"/>
                <w:b/>
                <w:bCs/>
              </w:rPr>
            </w:pPr>
            <w:r>
              <w:rPr>
                <w:rFonts w:hint="eastAsia" w:cs="宋体"/>
                <w:b/>
                <w:bCs/>
              </w:rPr>
              <w:t>急</w:t>
            </w:r>
          </w:p>
          <w:p>
            <w:pPr>
              <w:jc w:val="center"/>
              <w:rPr>
                <w:rFonts w:cs="宋体"/>
                <w:b/>
                <w:bCs/>
              </w:rPr>
            </w:pPr>
            <w:r>
              <w:rPr>
                <w:rFonts w:hint="eastAsia" w:cs="宋体"/>
                <w:b/>
                <w:bCs/>
              </w:rPr>
              <w:t>处</w:t>
            </w:r>
          </w:p>
          <w:p>
            <w:pPr>
              <w:jc w:val="center"/>
              <w:rPr>
                <w:rFonts w:cs="宋体"/>
                <w:b/>
                <w:bCs/>
              </w:rPr>
            </w:pPr>
            <w:r>
              <w:rPr>
                <w:rFonts w:hint="eastAsia" w:cs="宋体"/>
                <w:b/>
                <w:bCs/>
              </w:rPr>
              <w:t>置</w:t>
            </w:r>
          </w:p>
          <w:p>
            <w:pPr>
              <w:jc w:val="center"/>
              <w:rPr>
                <w:rFonts w:cs="宋体"/>
                <w:b/>
                <w:bCs/>
              </w:rPr>
            </w:pPr>
          </w:p>
        </w:tc>
        <w:tc>
          <w:tcPr>
            <w:tcW w:w="2496" w:type="dxa"/>
            <w:gridSpan w:val="2"/>
            <w:vAlign w:val="center"/>
          </w:tcPr>
          <w:p>
            <w:pPr>
              <w:jc w:val="left"/>
              <w:rPr>
                <w:rFonts w:cs="宋体"/>
              </w:rPr>
            </w:pPr>
            <w:r>
              <w:rPr>
                <w:rFonts w:hint="eastAsia" w:cs="宋体"/>
              </w:rPr>
              <w:t>步 骤</w:t>
            </w:r>
          </w:p>
        </w:tc>
        <w:tc>
          <w:tcPr>
            <w:tcW w:w="3649" w:type="dxa"/>
            <w:gridSpan w:val="2"/>
            <w:vAlign w:val="center"/>
          </w:tcPr>
          <w:p>
            <w:pPr>
              <w:jc w:val="left"/>
              <w:rPr>
                <w:rFonts w:cs="宋体"/>
              </w:rPr>
            </w:pPr>
            <w:r>
              <w:rPr>
                <w:rFonts w:hint="eastAsia" w:cs="宋体"/>
              </w:rPr>
              <w:t>处  置</w:t>
            </w:r>
          </w:p>
        </w:tc>
        <w:tc>
          <w:tcPr>
            <w:tcW w:w="975" w:type="dxa"/>
            <w:vAlign w:val="center"/>
          </w:tcPr>
          <w:p>
            <w:pPr>
              <w:jc w:val="left"/>
              <w:rPr>
                <w:rFonts w:cs="宋体"/>
              </w:rPr>
            </w:pPr>
            <w:r>
              <w:rPr>
                <w:rFonts w:hint="eastAsia" w:cs="宋体"/>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975" w:type="dxa"/>
            <w:vMerge w:val="continue"/>
            <w:vAlign w:val="center"/>
          </w:tcPr>
          <w:p>
            <w:pPr>
              <w:widowControl/>
              <w:jc w:val="left"/>
              <w:rPr>
                <w:rFonts w:cs="宋体"/>
                <w:b/>
                <w:bCs/>
              </w:rPr>
            </w:pPr>
          </w:p>
        </w:tc>
        <w:tc>
          <w:tcPr>
            <w:tcW w:w="2496" w:type="dxa"/>
            <w:gridSpan w:val="2"/>
            <w:vAlign w:val="center"/>
          </w:tcPr>
          <w:p>
            <w:pPr>
              <w:jc w:val="left"/>
              <w:rPr>
                <w:rFonts w:cs="宋体"/>
              </w:rPr>
            </w:pPr>
            <w:r>
              <w:rPr>
                <w:rFonts w:hint="eastAsia" w:cs="宋体"/>
              </w:rPr>
              <w:t>发现异常</w:t>
            </w:r>
          </w:p>
        </w:tc>
        <w:tc>
          <w:tcPr>
            <w:tcW w:w="3649" w:type="dxa"/>
            <w:gridSpan w:val="2"/>
            <w:vAlign w:val="center"/>
          </w:tcPr>
          <w:p>
            <w:pPr>
              <w:jc w:val="left"/>
              <w:rPr>
                <w:rFonts w:cs="宋体"/>
              </w:rPr>
            </w:pPr>
            <w:r>
              <w:rPr>
                <w:rFonts w:hint="eastAsia" w:cs="宋体"/>
              </w:rPr>
              <w:t>例如：xx和xx在xx区域维修电气设备时，一人突然呆立不动或有其他异常状态。</w:t>
            </w:r>
          </w:p>
        </w:tc>
        <w:tc>
          <w:tcPr>
            <w:tcW w:w="975" w:type="dxa"/>
            <w:vAlign w:val="center"/>
          </w:tcPr>
          <w:p>
            <w:pPr>
              <w:jc w:val="left"/>
              <w:rPr>
                <w:rFonts w:cs="宋体"/>
              </w:rPr>
            </w:pPr>
            <w:r>
              <w:rPr>
                <w:rFonts w:hint="eastAsia" w:cs="宋体"/>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75" w:type="dxa"/>
            <w:vMerge w:val="continue"/>
            <w:vAlign w:val="center"/>
          </w:tcPr>
          <w:p>
            <w:pPr>
              <w:widowControl/>
              <w:jc w:val="left"/>
              <w:rPr>
                <w:rFonts w:cs="宋体"/>
                <w:b/>
                <w:bCs/>
              </w:rPr>
            </w:pPr>
          </w:p>
        </w:tc>
        <w:tc>
          <w:tcPr>
            <w:tcW w:w="2496" w:type="dxa"/>
            <w:gridSpan w:val="2"/>
            <w:vAlign w:val="center"/>
          </w:tcPr>
          <w:p>
            <w:pPr>
              <w:jc w:val="left"/>
              <w:rPr>
                <w:rFonts w:cs="宋体"/>
              </w:rPr>
            </w:pPr>
            <w:r>
              <w:rPr>
                <w:rFonts w:hint="eastAsia" w:cs="宋体"/>
              </w:rPr>
              <w:t>报警</w:t>
            </w:r>
          </w:p>
        </w:tc>
        <w:tc>
          <w:tcPr>
            <w:tcW w:w="3649" w:type="dxa"/>
            <w:gridSpan w:val="2"/>
            <w:vMerge w:val="restart"/>
            <w:vAlign w:val="center"/>
          </w:tcPr>
          <w:p>
            <w:pPr>
              <w:jc w:val="left"/>
              <w:rPr>
                <w:rFonts w:cs="宋体"/>
              </w:rPr>
            </w:pPr>
            <w:r>
              <w:rPr>
                <w:rFonts w:hint="eastAsia" w:cs="宋体"/>
              </w:rPr>
              <w:t>向站长报告：x日x时x分，xx在xx区域维修电气设备时发生触电事故，一人触电倒地，请求支援。</w:t>
            </w:r>
          </w:p>
          <w:p>
            <w:pPr>
              <w:jc w:val="left"/>
              <w:rPr>
                <w:rFonts w:cs="宋体"/>
              </w:rPr>
            </w:pPr>
            <w:r>
              <w:rPr>
                <w:rFonts w:hint="eastAsia" w:cs="宋体"/>
              </w:rPr>
              <w:t>若发现人为本站外来人员，则发现人应直接将情况报告本站工作人员；</w:t>
            </w:r>
          </w:p>
          <w:p>
            <w:pPr>
              <w:jc w:val="left"/>
              <w:rPr>
                <w:rFonts w:cs="宋体"/>
              </w:rPr>
            </w:pPr>
            <w:r>
              <w:rPr>
                <w:rFonts w:hint="eastAsia" w:cs="宋体"/>
              </w:rPr>
              <w:t>若站长发现时间有扩大的可能，立即向上级部门报告，请求支援；</w:t>
            </w:r>
          </w:p>
        </w:tc>
        <w:tc>
          <w:tcPr>
            <w:tcW w:w="975" w:type="dxa"/>
            <w:vMerge w:val="restart"/>
            <w:vAlign w:val="center"/>
          </w:tcPr>
          <w:p>
            <w:pPr>
              <w:jc w:val="left"/>
              <w:rPr>
                <w:rFonts w:cs="宋体"/>
              </w:rPr>
            </w:pPr>
            <w:r>
              <w:rPr>
                <w:rFonts w:hint="eastAsia" w:cs="宋体"/>
              </w:rPr>
              <w:t>发现人</w:t>
            </w:r>
          </w:p>
          <w:p>
            <w:pPr>
              <w:jc w:val="left"/>
              <w:rPr>
                <w:rFonts w:cs="宋体"/>
              </w:rPr>
            </w:pPr>
          </w:p>
          <w:p>
            <w:pPr>
              <w:jc w:val="left"/>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75" w:type="dxa"/>
            <w:vMerge w:val="continue"/>
            <w:vAlign w:val="center"/>
          </w:tcPr>
          <w:p>
            <w:pPr>
              <w:widowControl/>
              <w:jc w:val="left"/>
              <w:rPr>
                <w:rFonts w:cs="宋体"/>
                <w:b/>
                <w:bCs/>
              </w:rPr>
            </w:pPr>
          </w:p>
        </w:tc>
        <w:tc>
          <w:tcPr>
            <w:tcW w:w="2496" w:type="dxa"/>
            <w:gridSpan w:val="2"/>
            <w:vAlign w:val="center"/>
          </w:tcPr>
          <w:p>
            <w:pPr>
              <w:jc w:val="left"/>
              <w:rPr>
                <w:rFonts w:cs="宋体"/>
              </w:rPr>
            </w:pPr>
            <w:r>
              <w:rPr>
                <w:rFonts w:hint="eastAsia" w:cs="宋体"/>
              </w:rPr>
              <w:t>组长李德斌（站长）：13990758830</w:t>
            </w:r>
          </w:p>
          <w:p>
            <w:pPr>
              <w:jc w:val="left"/>
              <w:rPr>
                <w:rFonts w:cs="宋体"/>
              </w:rPr>
            </w:pPr>
            <w:r>
              <w:rPr>
                <w:rFonts w:hint="eastAsia" w:cs="宋体"/>
              </w:rPr>
              <w:t>副组长李力：</w:t>
            </w:r>
          </w:p>
          <w:p>
            <w:pPr>
              <w:jc w:val="left"/>
              <w:rPr>
                <w:color w:val="000000"/>
                <w:kern w:val="0"/>
              </w:rPr>
            </w:pPr>
            <w:r>
              <w:rPr>
                <w:rFonts w:hint="eastAsia"/>
                <w:color w:val="000000"/>
                <w:kern w:val="0"/>
              </w:rPr>
              <w:t>15983763300</w:t>
            </w:r>
          </w:p>
          <w:p>
            <w:pPr>
              <w:jc w:val="left"/>
              <w:rPr>
                <w:rFonts w:cs="宋体"/>
              </w:rPr>
            </w:pPr>
            <w:r>
              <w:rPr>
                <w:rFonts w:hint="eastAsia" w:cs="宋体"/>
              </w:rPr>
              <w:t>成员：</w:t>
            </w:r>
          </w:p>
          <w:p>
            <w:pPr>
              <w:jc w:val="left"/>
              <w:rPr>
                <w:rFonts w:cs="宋体"/>
              </w:rPr>
            </w:pPr>
            <w:r>
              <w:rPr>
                <w:rFonts w:hint="eastAsia" w:cs="宋体"/>
              </w:rPr>
              <w:t>赵亮（加油员）</w:t>
            </w:r>
          </w:p>
          <w:p>
            <w:pPr>
              <w:jc w:val="left"/>
              <w:rPr>
                <w:rFonts w:cs="宋体"/>
              </w:rPr>
            </w:pPr>
            <w:r>
              <w:rPr>
                <w:rFonts w:hint="eastAsia" w:cs="宋体"/>
              </w:rPr>
              <w:t>15984880338</w:t>
            </w:r>
          </w:p>
          <w:p>
            <w:pPr>
              <w:jc w:val="left"/>
              <w:rPr>
                <w:rFonts w:cs="宋体"/>
              </w:rPr>
            </w:pPr>
            <w:r>
              <w:rPr>
                <w:rFonts w:hint="eastAsia" w:cs="宋体"/>
              </w:rPr>
              <w:t>何洪艳（加油员）</w:t>
            </w:r>
          </w:p>
          <w:p>
            <w:pPr>
              <w:jc w:val="left"/>
              <w:rPr>
                <w:rFonts w:cs="宋体"/>
              </w:rPr>
            </w:pPr>
            <w:r>
              <w:rPr>
                <w:rFonts w:hint="eastAsia" w:cs="宋体"/>
              </w:rPr>
              <w:t>17383855935</w:t>
            </w:r>
          </w:p>
          <w:p>
            <w:pPr>
              <w:pStyle w:val="2"/>
              <w:ind w:firstLine="0"/>
              <w:rPr>
                <w:rFonts w:cs="宋体"/>
              </w:rPr>
            </w:pPr>
            <w:r>
              <w:rPr>
                <w:rFonts w:hint="eastAsia" w:cs="宋体"/>
              </w:rPr>
              <w:t>杨瑞萍（加油员）13989196769</w:t>
            </w:r>
          </w:p>
          <w:p>
            <w:pPr>
              <w:pStyle w:val="2"/>
              <w:ind w:firstLine="0"/>
              <w:rPr>
                <w:rFonts w:cs="宋体"/>
              </w:rPr>
            </w:pPr>
            <w:r>
              <w:rPr>
                <w:rFonts w:hint="eastAsia" w:cs="宋体"/>
              </w:rPr>
              <w:t>李小珍（洗车员）15378382951</w:t>
            </w:r>
          </w:p>
          <w:p>
            <w:pPr>
              <w:jc w:val="left"/>
              <w:rPr>
                <w:rFonts w:cs="宋体"/>
              </w:rPr>
            </w:pPr>
            <w:r>
              <w:rPr>
                <w:rFonts w:hint="eastAsia" w:cs="宋体"/>
              </w:rPr>
              <w:t xml:space="preserve">火警：119 </w:t>
            </w:r>
          </w:p>
          <w:p>
            <w:pPr>
              <w:jc w:val="left"/>
              <w:rPr>
                <w:rFonts w:cs="宋体"/>
              </w:rPr>
            </w:pPr>
            <w:r>
              <w:rPr>
                <w:rFonts w:hint="eastAsia" w:cs="宋体"/>
              </w:rPr>
              <w:t>急救：120</w:t>
            </w:r>
          </w:p>
          <w:p>
            <w:pPr>
              <w:jc w:val="left"/>
              <w:rPr>
                <w:rFonts w:cs="宋体"/>
              </w:rPr>
            </w:pPr>
            <w:r>
              <w:rPr>
                <w:rFonts w:hint="eastAsia" w:cs="宋体"/>
              </w:rPr>
              <w:t>匪警：110</w:t>
            </w:r>
          </w:p>
        </w:tc>
        <w:tc>
          <w:tcPr>
            <w:tcW w:w="3649" w:type="dxa"/>
            <w:gridSpan w:val="2"/>
            <w:vMerge w:val="continue"/>
            <w:vAlign w:val="center"/>
          </w:tcPr>
          <w:p>
            <w:pPr>
              <w:widowControl/>
              <w:jc w:val="left"/>
              <w:rPr>
                <w:rFonts w:cs="宋体"/>
              </w:rPr>
            </w:pPr>
          </w:p>
        </w:tc>
        <w:tc>
          <w:tcPr>
            <w:tcW w:w="975" w:type="dxa"/>
            <w:vMerge w:val="continue"/>
            <w:vAlign w:val="center"/>
          </w:tcPr>
          <w:p>
            <w:pPr>
              <w:widowControl/>
              <w:jc w:val="left"/>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975" w:type="dxa"/>
            <w:vMerge w:val="continue"/>
            <w:vAlign w:val="center"/>
          </w:tcPr>
          <w:p>
            <w:pPr>
              <w:widowControl/>
              <w:jc w:val="left"/>
              <w:rPr>
                <w:rFonts w:cs="宋体"/>
                <w:b/>
                <w:bCs/>
              </w:rPr>
            </w:pPr>
          </w:p>
        </w:tc>
        <w:tc>
          <w:tcPr>
            <w:tcW w:w="2496" w:type="dxa"/>
            <w:gridSpan w:val="2"/>
            <w:vMerge w:val="restart"/>
            <w:vAlign w:val="center"/>
          </w:tcPr>
          <w:p>
            <w:pPr>
              <w:jc w:val="left"/>
              <w:rPr>
                <w:rFonts w:cs="宋体"/>
              </w:rPr>
            </w:pPr>
            <w:r>
              <w:rPr>
                <w:rFonts w:hint="eastAsia" w:cs="宋体"/>
              </w:rPr>
              <w:t>应急处置</w:t>
            </w:r>
          </w:p>
        </w:tc>
        <w:tc>
          <w:tcPr>
            <w:tcW w:w="3649" w:type="dxa"/>
            <w:gridSpan w:val="2"/>
            <w:vAlign w:val="center"/>
          </w:tcPr>
          <w:p>
            <w:pPr>
              <w:jc w:val="left"/>
              <w:rPr>
                <w:rFonts w:cs="宋体"/>
              </w:rPr>
            </w:pPr>
            <w:r>
              <w:rPr>
                <w:rFonts w:hint="eastAsia" w:cs="宋体"/>
              </w:rPr>
              <w:t>1、立即切断上一级电源开关。</w:t>
            </w:r>
          </w:p>
        </w:tc>
        <w:tc>
          <w:tcPr>
            <w:tcW w:w="975" w:type="dxa"/>
            <w:vAlign w:val="center"/>
          </w:tcPr>
          <w:p>
            <w:pPr>
              <w:jc w:val="left"/>
              <w:rPr>
                <w:rFonts w:cs="宋体"/>
              </w:rPr>
            </w:pPr>
            <w:r>
              <w:rPr>
                <w:rFonts w:hint="eastAsia" w:cs="宋体"/>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75" w:type="dxa"/>
            <w:vMerge w:val="continue"/>
            <w:vAlign w:val="center"/>
          </w:tcPr>
          <w:p>
            <w:pPr>
              <w:widowControl/>
              <w:jc w:val="left"/>
              <w:rPr>
                <w:rFonts w:cs="宋体"/>
                <w:b/>
                <w:bCs/>
              </w:rPr>
            </w:pPr>
          </w:p>
        </w:tc>
        <w:tc>
          <w:tcPr>
            <w:tcW w:w="2496" w:type="dxa"/>
            <w:gridSpan w:val="2"/>
            <w:vMerge w:val="continue"/>
            <w:vAlign w:val="center"/>
          </w:tcPr>
          <w:p>
            <w:pPr>
              <w:widowControl/>
              <w:jc w:val="left"/>
              <w:rPr>
                <w:rFonts w:cs="宋体"/>
              </w:rPr>
            </w:pPr>
          </w:p>
        </w:tc>
        <w:tc>
          <w:tcPr>
            <w:tcW w:w="3649" w:type="dxa"/>
            <w:gridSpan w:val="2"/>
            <w:vAlign w:val="center"/>
          </w:tcPr>
          <w:p>
            <w:pPr>
              <w:jc w:val="left"/>
              <w:rPr>
                <w:rFonts w:cs="宋体"/>
              </w:rPr>
            </w:pPr>
            <w:r>
              <w:rPr>
                <w:rFonts w:hint="eastAsia" w:cs="宋体"/>
              </w:rPr>
              <w:t>2、指挥人员快速撤离事故现场，设置警戒区域。</w:t>
            </w:r>
          </w:p>
        </w:tc>
        <w:tc>
          <w:tcPr>
            <w:tcW w:w="975" w:type="dxa"/>
            <w:vAlign w:val="center"/>
          </w:tcPr>
          <w:p>
            <w:pPr>
              <w:jc w:val="left"/>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975" w:type="dxa"/>
            <w:vMerge w:val="continue"/>
            <w:vAlign w:val="center"/>
          </w:tcPr>
          <w:p>
            <w:pPr>
              <w:widowControl/>
              <w:jc w:val="left"/>
              <w:rPr>
                <w:rFonts w:cs="宋体"/>
                <w:b/>
                <w:bCs/>
              </w:rPr>
            </w:pPr>
          </w:p>
        </w:tc>
        <w:tc>
          <w:tcPr>
            <w:tcW w:w="2496" w:type="dxa"/>
            <w:gridSpan w:val="2"/>
            <w:vMerge w:val="restart"/>
            <w:vAlign w:val="center"/>
          </w:tcPr>
          <w:p>
            <w:pPr>
              <w:jc w:val="left"/>
              <w:rPr>
                <w:rFonts w:cs="宋体"/>
              </w:rPr>
            </w:pPr>
            <w:r>
              <w:rPr>
                <w:rFonts w:hint="eastAsia" w:cs="宋体"/>
              </w:rPr>
              <w:t>人员救护</w:t>
            </w:r>
          </w:p>
        </w:tc>
        <w:tc>
          <w:tcPr>
            <w:tcW w:w="3649" w:type="dxa"/>
            <w:gridSpan w:val="2"/>
            <w:vAlign w:val="center"/>
          </w:tcPr>
          <w:p>
            <w:pPr>
              <w:jc w:val="left"/>
              <w:rPr>
                <w:rFonts w:cs="宋体"/>
              </w:rPr>
            </w:pPr>
            <w:r>
              <w:rPr>
                <w:rFonts w:hint="eastAsia" w:cs="宋体"/>
              </w:rPr>
              <w:t>1、使触电者脱离电源，救护至安全区域。</w:t>
            </w:r>
          </w:p>
        </w:tc>
        <w:tc>
          <w:tcPr>
            <w:tcW w:w="975" w:type="dxa"/>
            <w:vAlign w:val="center"/>
          </w:tcPr>
          <w:p>
            <w:pPr>
              <w:jc w:val="left"/>
              <w:rPr>
                <w:rFonts w:cs="宋体"/>
              </w:rPr>
            </w:pPr>
            <w:r>
              <w:rPr>
                <w:rFonts w:hint="eastAsia" w:cs="宋体"/>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975" w:type="dxa"/>
            <w:vMerge w:val="continue"/>
            <w:vAlign w:val="center"/>
          </w:tcPr>
          <w:p>
            <w:pPr>
              <w:widowControl/>
              <w:jc w:val="left"/>
              <w:rPr>
                <w:rFonts w:cs="宋体"/>
                <w:b/>
                <w:bCs/>
              </w:rPr>
            </w:pPr>
          </w:p>
        </w:tc>
        <w:tc>
          <w:tcPr>
            <w:tcW w:w="2496" w:type="dxa"/>
            <w:gridSpan w:val="2"/>
            <w:vMerge w:val="continue"/>
            <w:vAlign w:val="center"/>
          </w:tcPr>
          <w:p>
            <w:pPr>
              <w:widowControl/>
              <w:jc w:val="left"/>
              <w:rPr>
                <w:rFonts w:cs="宋体"/>
              </w:rPr>
            </w:pPr>
          </w:p>
        </w:tc>
        <w:tc>
          <w:tcPr>
            <w:tcW w:w="3649" w:type="dxa"/>
            <w:gridSpan w:val="2"/>
            <w:vAlign w:val="center"/>
          </w:tcPr>
          <w:p>
            <w:pPr>
              <w:jc w:val="left"/>
              <w:rPr>
                <w:rFonts w:cs="宋体"/>
              </w:rPr>
            </w:pPr>
            <w:r>
              <w:rPr>
                <w:rFonts w:hint="eastAsia" w:cs="宋体"/>
              </w:rPr>
              <w:t>2、对触电者实施救护（视情况人工呼吸或心肺复苏等）。</w:t>
            </w:r>
          </w:p>
        </w:tc>
        <w:tc>
          <w:tcPr>
            <w:tcW w:w="975" w:type="dxa"/>
            <w:vAlign w:val="center"/>
          </w:tcPr>
          <w:p>
            <w:pPr>
              <w:jc w:val="left"/>
              <w:rPr>
                <w:rFonts w:cs="宋体"/>
              </w:rPr>
            </w:pPr>
            <w:r>
              <w:rPr>
                <w:rFonts w:hint="eastAsia" w:cs="宋体"/>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975" w:type="dxa"/>
            <w:vMerge w:val="continue"/>
            <w:vAlign w:val="center"/>
          </w:tcPr>
          <w:p>
            <w:pPr>
              <w:widowControl/>
              <w:jc w:val="left"/>
              <w:rPr>
                <w:rFonts w:cs="宋体"/>
                <w:b/>
                <w:bCs/>
              </w:rPr>
            </w:pPr>
          </w:p>
        </w:tc>
        <w:tc>
          <w:tcPr>
            <w:tcW w:w="2496" w:type="dxa"/>
            <w:gridSpan w:val="2"/>
            <w:vAlign w:val="center"/>
          </w:tcPr>
          <w:p>
            <w:pPr>
              <w:jc w:val="left"/>
              <w:rPr>
                <w:rFonts w:cs="宋体"/>
              </w:rPr>
            </w:pPr>
            <w:r>
              <w:rPr>
                <w:rFonts w:hint="eastAsia" w:cs="宋体"/>
              </w:rPr>
              <w:t>救援接应</w:t>
            </w:r>
          </w:p>
        </w:tc>
        <w:tc>
          <w:tcPr>
            <w:tcW w:w="3649" w:type="dxa"/>
            <w:gridSpan w:val="2"/>
            <w:vAlign w:val="center"/>
          </w:tcPr>
          <w:p>
            <w:pPr>
              <w:jc w:val="left"/>
              <w:rPr>
                <w:rFonts w:cs="宋体"/>
              </w:rPr>
            </w:pPr>
            <w:r>
              <w:rPr>
                <w:rFonts w:hint="eastAsia" w:cs="宋体"/>
              </w:rPr>
              <w:t>指派人员打开应急救援通道，引导救援力量到达。</w:t>
            </w:r>
          </w:p>
        </w:tc>
        <w:tc>
          <w:tcPr>
            <w:tcW w:w="975" w:type="dxa"/>
            <w:vAlign w:val="center"/>
          </w:tcPr>
          <w:p>
            <w:pPr>
              <w:jc w:val="left"/>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6" w:hRule="atLeast"/>
          <w:jc w:val="center"/>
        </w:trPr>
        <w:tc>
          <w:tcPr>
            <w:tcW w:w="975" w:type="dxa"/>
            <w:vMerge w:val="continue"/>
            <w:vAlign w:val="center"/>
          </w:tcPr>
          <w:p>
            <w:pPr>
              <w:widowControl/>
              <w:jc w:val="left"/>
              <w:rPr>
                <w:rFonts w:cs="宋体"/>
                <w:b/>
                <w:bCs/>
              </w:rPr>
            </w:pPr>
          </w:p>
        </w:tc>
        <w:tc>
          <w:tcPr>
            <w:tcW w:w="2847" w:type="dxa"/>
            <w:gridSpan w:val="3"/>
            <w:vAlign w:val="center"/>
          </w:tcPr>
          <w:p>
            <w:pPr>
              <w:jc w:val="left"/>
              <w:rPr>
                <w:rFonts w:cs="宋体"/>
              </w:rPr>
            </w:pPr>
            <w:r>
              <w:rPr>
                <w:rFonts w:hint="eastAsia" w:cs="宋体"/>
              </w:rPr>
              <w:t>应急扩大</w:t>
            </w:r>
          </w:p>
          <w:p>
            <w:pPr>
              <w:jc w:val="left"/>
              <w:rPr>
                <w:rFonts w:cs="宋体"/>
              </w:rPr>
            </w:pPr>
            <w:r>
              <w:rPr>
                <w:rFonts w:hint="eastAsia" w:cs="宋体"/>
              </w:rPr>
              <w:t>（应急处置失败或人员伤亡扩大）</w:t>
            </w:r>
          </w:p>
        </w:tc>
        <w:tc>
          <w:tcPr>
            <w:tcW w:w="3298" w:type="dxa"/>
            <w:vAlign w:val="center"/>
          </w:tcPr>
          <w:p>
            <w:pPr>
              <w:jc w:val="left"/>
              <w:rPr>
                <w:rFonts w:cs="宋体"/>
              </w:rPr>
            </w:pPr>
            <w:r>
              <w:rPr>
                <w:rFonts w:hint="eastAsia" w:cs="宋体"/>
              </w:rPr>
              <w:t>请求启动上一级应急救援预案。</w:t>
            </w:r>
          </w:p>
        </w:tc>
        <w:tc>
          <w:tcPr>
            <w:tcW w:w="975" w:type="dxa"/>
            <w:vAlign w:val="center"/>
          </w:tcPr>
          <w:p>
            <w:pPr>
              <w:jc w:val="left"/>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975" w:type="dxa"/>
            <w:vMerge w:val="continue"/>
            <w:vAlign w:val="center"/>
          </w:tcPr>
          <w:p>
            <w:pPr>
              <w:widowControl/>
              <w:jc w:val="left"/>
              <w:rPr>
                <w:rFonts w:cs="宋体"/>
                <w:b/>
                <w:bCs/>
              </w:rPr>
            </w:pPr>
          </w:p>
        </w:tc>
        <w:tc>
          <w:tcPr>
            <w:tcW w:w="2496" w:type="dxa"/>
            <w:gridSpan w:val="2"/>
            <w:vAlign w:val="center"/>
          </w:tcPr>
          <w:p>
            <w:pPr>
              <w:jc w:val="left"/>
              <w:rPr>
                <w:rFonts w:cs="宋体"/>
              </w:rPr>
            </w:pPr>
            <w:r>
              <w:rPr>
                <w:rFonts w:hint="eastAsia" w:cs="宋体"/>
              </w:rPr>
              <w:t>处置流程</w:t>
            </w:r>
          </w:p>
        </w:tc>
        <w:tc>
          <w:tcPr>
            <w:tcW w:w="4624" w:type="dxa"/>
            <w:gridSpan w:val="3"/>
            <w:vAlign w:val="center"/>
          </w:tcPr>
          <w:p>
            <w:pPr>
              <w:jc w:val="left"/>
              <w:rPr>
                <w:rFonts w:cs="宋体"/>
              </w:rPr>
            </w:pPr>
            <w:r>
              <w:rPr>
                <w:rFonts w:hint="eastAsia" w:cs="宋体"/>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975" w:type="dxa"/>
            <w:vMerge w:val="continue"/>
            <w:vAlign w:val="center"/>
          </w:tcPr>
          <w:p>
            <w:pPr>
              <w:widowControl/>
              <w:jc w:val="left"/>
              <w:rPr>
                <w:rFonts w:cs="宋体"/>
                <w:b/>
                <w:bCs/>
              </w:rPr>
            </w:pPr>
          </w:p>
        </w:tc>
        <w:tc>
          <w:tcPr>
            <w:tcW w:w="2496" w:type="dxa"/>
            <w:gridSpan w:val="2"/>
            <w:vAlign w:val="center"/>
          </w:tcPr>
          <w:p>
            <w:pPr>
              <w:jc w:val="center"/>
              <w:rPr>
                <w:rFonts w:cs="宋体"/>
              </w:rPr>
            </w:pPr>
            <w:r>
              <w:rPr>
                <w:rFonts w:hint="eastAsia" w:cs="宋体"/>
              </w:rPr>
              <w:t>具体处置措施</w:t>
            </w:r>
          </w:p>
        </w:tc>
        <w:tc>
          <w:tcPr>
            <w:tcW w:w="4624" w:type="dxa"/>
            <w:gridSpan w:val="3"/>
            <w:vAlign w:val="center"/>
          </w:tcPr>
          <w:p>
            <w:pPr>
              <w:jc w:val="left"/>
              <w:rPr>
                <w:rFonts w:cs="宋体"/>
              </w:rPr>
            </w:pPr>
            <w:r>
              <w:rPr>
                <w:rFonts w:hint="eastAsia" w:cs="宋体"/>
              </w:rPr>
              <w:t xml:space="preserve">1、脱离电源   </w:t>
            </w:r>
          </w:p>
          <w:p>
            <w:pPr>
              <w:jc w:val="left"/>
              <w:rPr>
                <w:rFonts w:cs="宋体"/>
              </w:rPr>
            </w:pPr>
            <w:r>
              <w:rPr>
                <w:rFonts w:hint="eastAsia" w:cs="宋体"/>
              </w:rPr>
              <w:t xml:space="preserve">1）低压触电事故脱离电源方法  ：①立即拉掉开关、拔出插销，切断电源。   ②如电源开关距离太远，用有绝缘把的钳子或用木柄的斧子断开电源线。 ③用木板等绝缘物插入触电者身下，以隔断流经人体的电流。④用干燥的衣服、手套、绳索、木板、木棍等绝缘物作为工具，拉开触电者及挑开电线使触电者脱离电源。  </w:t>
            </w:r>
          </w:p>
          <w:p>
            <w:pPr>
              <w:jc w:val="left"/>
              <w:rPr>
                <w:rFonts w:cs="宋体"/>
              </w:rPr>
            </w:pPr>
            <w:r>
              <w:rPr>
                <w:rFonts w:hint="eastAsia" w:cs="宋体"/>
              </w:rPr>
              <w:t xml:space="preserve">2）高压触电事故脱离电源方法：①立即通知有关部门停电。②戴上绝缘手套，穿上绝缘鞋用相应电压等级的绝缘工具拉开开关。③抛掷一端可靠接地的裸金属线使线路接地；迫使保护装置动作，断开电源。  </w:t>
            </w:r>
          </w:p>
          <w:p>
            <w:pPr>
              <w:jc w:val="left"/>
              <w:rPr>
                <w:rFonts w:cs="宋体"/>
              </w:rPr>
            </w:pPr>
            <w:r>
              <w:rPr>
                <w:rFonts w:hint="eastAsia" w:cs="宋体"/>
              </w:rPr>
              <w:t xml:space="preserve">2现场警戒  </w:t>
            </w:r>
          </w:p>
          <w:p>
            <w:pPr>
              <w:jc w:val="left"/>
              <w:rPr>
                <w:rFonts w:cs="宋体"/>
              </w:rPr>
            </w:pPr>
            <w:r>
              <w:rPr>
                <w:rFonts w:hint="eastAsia" w:cs="宋体"/>
              </w:rPr>
              <w:t xml:space="preserve">解救触电人员时，必须俩人以上，设立警戒区域，防止闲杂人员进入危险区域，再次触电。  </w:t>
            </w:r>
          </w:p>
          <w:p>
            <w:pPr>
              <w:jc w:val="left"/>
              <w:rPr>
                <w:rFonts w:cs="宋体"/>
              </w:rPr>
            </w:pPr>
            <w:r>
              <w:rPr>
                <w:rFonts w:hint="eastAsia" w:cs="宋体"/>
              </w:rPr>
              <w:t>解救人员必须穿绝缘鞋，使用绝缘木板或木质探杆，在未切断电源前，不能与触电者直接接触，以防连续触电恶性事故发生。</w:t>
            </w:r>
          </w:p>
          <w:p>
            <w:pPr>
              <w:jc w:val="left"/>
              <w:rPr>
                <w:rFonts w:cs="宋体"/>
              </w:rPr>
            </w:pPr>
            <w:r>
              <w:rPr>
                <w:rFonts w:hint="eastAsia" w:cs="宋体"/>
              </w:rPr>
              <w:t>3、急救伤员</w:t>
            </w:r>
          </w:p>
          <w:p>
            <w:pPr>
              <w:jc w:val="left"/>
              <w:rPr>
                <w:rFonts w:cs="宋体"/>
              </w:rPr>
            </w:pPr>
            <w:r>
              <w:rPr>
                <w:rFonts w:hint="eastAsia" w:cs="宋体"/>
              </w:rPr>
              <w:t>1）当触电者脱离电源后，应根据触电者的具体情况，迅速采取对症救护。</w:t>
            </w:r>
          </w:p>
          <w:p>
            <w:pPr>
              <w:jc w:val="left"/>
              <w:rPr>
                <w:rFonts w:cs="宋体"/>
              </w:rPr>
            </w:pPr>
            <w:r>
              <w:rPr>
                <w:rFonts w:hint="eastAsia" w:cs="宋体"/>
              </w:rPr>
              <w:t>2）触电者伤势不重，应使触电者安静休息，不要走动，严观察并请医生前来诊治或送往医院。</w:t>
            </w:r>
          </w:p>
          <w:p>
            <w:pPr>
              <w:jc w:val="left"/>
              <w:rPr>
                <w:rFonts w:cs="宋体"/>
              </w:rPr>
            </w:pPr>
            <w:r>
              <w:rPr>
                <w:rFonts w:hint="eastAsia" w:cs="宋体"/>
              </w:rPr>
              <w:t>3）触电者失去知觉，但心脏跳动和呼吸还存在，应使触电者舒适、安静地平卧，周围不要围人，使空气流通，解开他的衣服以利呼吸。同时，要速请医生救治或送往医院。</w:t>
            </w:r>
          </w:p>
          <w:p>
            <w:pPr>
              <w:jc w:val="left"/>
              <w:rPr>
                <w:rFonts w:cs="宋体"/>
              </w:rPr>
            </w:pPr>
            <w:r>
              <w:rPr>
                <w:rFonts w:hint="eastAsia" w:cs="宋体"/>
              </w:rPr>
              <w:t>4）触电者呼吸困难、稀少，或发生痉挛，应准备心跳或呼吸停止后立即作进一步的抢救。</w:t>
            </w:r>
          </w:p>
          <w:p>
            <w:pPr>
              <w:jc w:val="left"/>
              <w:rPr>
                <w:rFonts w:cs="宋体"/>
              </w:rPr>
            </w:pPr>
            <w:r>
              <w:rPr>
                <w:rFonts w:hint="eastAsia" w:cs="宋体"/>
              </w:rPr>
              <w:t>5）如果触电者伤势严重，呼吸及心脏停止，应立即施行人工呼吸和胸外挤压，并速请医生诊治或送往医院。在送往医院途中，不能终止急救。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975" w:type="dxa"/>
            <w:vMerge w:val="continue"/>
            <w:vAlign w:val="center"/>
          </w:tcPr>
          <w:p>
            <w:pPr>
              <w:widowControl/>
              <w:jc w:val="left"/>
              <w:rPr>
                <w:rFonts w:cs="宋体"/>
                <w:b/>
                <w:bCs/>
              </w:rPr>
            </w:pPr>
          </w:p>
        </w:tc>
        <w:tc>
          <w:tcPr>
            <w:tcW w:w="2496" w:type="dxa"/>
            <w:gridSpan w:val="2"/>
            <w:vAlign w:val="center"/>
          </w:tcPr>
          <w:p>
            <w:pPr>
              <w:jc w:val="center"/>
              <w:rPr>
                <w:rFonts w:cs="宋体"/>
              </w:rPr>
            </w:pPr>
            <w:r>
              <w:rPr>
                <w:rFonts w:hint="eastAsia" w:cs="宋体"/>
              </w:rPr>
              <w:t>事故报告</w:t>
            </w:r>
          </w:p>
        </w:tc>
        <w:tc>
          <w:tcPr>
            <w:tcW w:w="4624" w:type="dxa"/>
            <w:gridSpan w:val="3"/>
            <w:vAlign w:val="center"/>
          </w:tcPr>
          <w:p>
            <w:pPr>
              <w:rPr>
                <w:rFonts w:cs="宋体"/>
              </w:rPr>
            </w:pPr>
            <w:r>
              <w:rPr>
                <w:rFonts w:hint="eastAsia" w:cs="宋体"/>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975" w:type="dxa"/>
            <w:vMerge w:val="continue"/>
            <w:vAlign w:val="center"/>
          </w:tcPr>
          <w:p>
            <w:pPr>
              <w:widowControl/>
              <w:jc w:val="left"/>
              <w:rPr>
                <w:rFonts w:cs="宋体"/>
                <w:b/>
                <w:bCs/>
              </w:rPr>
            </w:pPr>
          </w:p>
        </w:tc>
        <w:tc>
          <w:tcPr>
            <w:tcW w:w="2496" w:type="dxa"/>
            <w:gridSpan w:val="2"/>
            <w:vAlign w:val="center"/>
          </w:tcPr>
          <w:p>
            <w:pPr>
              <w:jc w:val="center"/>
              <w:rPr>
                <w:rFonts w:cs="宋体"/>
              </w:rPr>
            </w:pPr>
            <w:r>
              <w:rPr>
                <w:rFonts w:hint="eastAsia" w:cs="宋体"/>
              </w:rPr>
              <w:t>现场恢复</w:t>
            </w:r>
          </w:p>
        </w:tc>
        <w:tc>
          <w:tcPr>
            <w:tcW w:w="4624" w:type="dxa"/>
            <w:gridSpan w:val="3"/>
            <w:vAlign w:val="center"/>
          </w:tcPr>
          <w:p>
            <w:pPr>
              <w:rPr>
                <w:rFonts w:cs="宋体"/>
              </w:rPr>
            </w:pPr>
            <w:r>
              <w:rPr>
                <w:rFonts w:hint="eastAsia" w:cs="宋体"/>
              </w:rPr>
              <w:t>电工专业人员查明触电原因后，采取的防护措施到位后方能送电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975" w:type="dxa"/>
            <w:vMerge w:val="restart"/>
            <w:vAlign w:val="center"/>
          </w:tcPr>
          <w:p>
            <w:pPr>
              <w:jc w:val="center"/>
              <w:rPr>
                <w:rFonts w:cs="宋体"/>
                <w:b/>
                <w:bCs/>
              </w:rPr>
            </w:pPr>
            <w:r>
              <w:rPr>
                <w:rFonts w:hint="eastAsia" w:cs="宋体"/>
                <w:b/>
                <w:bCs/>
              </w:rPr>
              <w:t>注</w:t>
            </w:r>
          </w:p>
          <w:p>
            <w:pPr>
              <w:jc w:val="center"/>
              <w:rPr>
                <w:rFonts w:cs="宋体"/>
                <w:b/>
                <w:bCs/>
              </w:rPr>
            </w:pPr>
            <w:r>
              <w:rPr>
                <w:rFonts w:hint="eastAsia" w:cs="宋体"/>
                <w:b/>
                <w:bCs/>
              </w:rPr>
              <w:t>意</w:t>
            </w:r>
          </w:p>
          <w:p>
            <w:pPr>
              <w:jc w:val="center"/>
              <w:rPr>
                <w:rFonts w:cs="宋体"/>
                <w:b/>
                <w:bCs/>
              </w:rPr>
            </w:pPr>
            <w:r>
              <w:rPr>
                <w:rFonts w:hint="eastAsia" w:cs="宋体"/>
                <w:b/>
                <w:bCs/>
              </w:rPr>
              <w:t>事</w:t>
            </w:r>
          </w:p>
          <w:p>
            <w:pPr>
              <w:jc w:val="center"/>
              <w:rPr>
                <w:rFonts w:cs="宋体"/>
                <w:b/>
                <w:bCs/>
              </w:rPr>
            </w:pPr>
            <w:r>
              <w:rPr>
                <w:rFonts w:hint="eastAsia" w:cs="宋体"/>
                <w:b/>
                <w:bCs/>
              </w:rPr>
              <w:t>项</w:t>
            </w:r>
          </w:p>
        </w:tc>
        <w:tc>
          <w:tcPr>
            <w:tcW w:w="2496" w:type="dxa"/>
            <w:gridSpan w:val="2"/>
            <w:vAlign w:val="center"/>
          </w:tcPr>
          <w:p>
            <w:pPr>
              <w:jc w:val="center"/>
              <w:rPr>
                <w:rFonts w:cs="宋体"/>
              </w:rPr>
            </w:pPr>
            <w:r>
              <w:rPr>
                <w:rFonts w:hint="eastAsia" w:cs="宋体"/>
              </w:rPr>
              <w:t>个人防护</w:t>
            </w:r>
          </w:p>
        </w:tc>
        <w:tc>
          <w:tcPr>
            <w:tcW w:w="4624" w:type="dxa"/>
            <w:gridSpan w:val="3"/>
            <w:vAlign w:val="center"/>
          </w:tcPr>
          <w:p>
            <w:pPr>
              <w:spacing w:line="360" w:lineRule="auto"/>
              <w:rPr>
                <w:rFonts w:cs="宋体"/>
              </w:rPr>
            </w:pPr>
            <w:r>
              <w:rPr>
                <w:rFonts w:hint="eastAsia" w:cs="宋体"/>
              </w:rPr>
              <w:t>穿戴绝缘靴和绝缘手套只是辅助手段，仍应尽量避免带电作业。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jc w:val="center"/>
        </w:trPr>
        <w:tc>
          <w:tcPr>
            <w:tcW w:w="975" w:type="dxa"/>
            <w:vMerge w:val="continue"/>
            <w:vAlign w:val="center"/>
          </w:tcPr>
          <w:p>
            <w:pPr>
              <w:widowControl/>
              <w:jc w:val="left"/>
              <w:rPr>
                <w:rFonts w:cs="宋体"/>
                <w:b/>
                <w:bCs/>
              </w:rPr>
            </w:pPr>
          </w:p>
        </w:tc>
        <w:tc>
          <w:tcPr>
            <w:tcW w:w="2496" w:type="dxa"/>
            <w:gridSpan w:val="2"/>
            <w:vAlign w:val="center"/>
          </w:tcPr>
          <w:p>
            <w:pPr>
              <w:jc w:val="center"/>
              <w:rPr>
                <w:rFonts w:cs="宋体"/>
              </w:rPr>
            </w:pPr>
            <w:r>
              <w:rPr>
                <w:rFonts w:hint="eastAsia" w:cs="宋体"/>
              </w:rPr>
              <w:t>救援器材</w:t>
            </w:r>
          </w:p>
        </w:tc>
        <w:tc>
          <w:tcPr>
            <w:tcW w:w="4624" w:type="dxa"/>
            <w:gridSpan w:val="3"/>
            <w:vAlign w:val="center"/>
          </w:tcPr>
          <w:p>
            <w:pPr>
              <w:rPr>
                <w:rFonts w:cs="宋体"/>
              </w:rPr>
            </w:pPr>
            <w:r>
              <w:rPr>
                <w:rFonts w:hint="eastAsia" w:cs="宋体"/>
              </w:rPr>
              <w:t>绝缘靴和绝缘手套，干燥的衣服、手套、木板和有绝缘把的钳子等。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975" w:type="dxa"/>
            <w:vMerge w:val="continue"/>
            <w:vAlign w:val="center"/>
          </w:tcPr>
          <w:p>
            <w:pPr>
              <w:widowControl/>
              <w:jc w:val="left"/>
              <w:rPr>
                <w:rFonts w:cs="宋体"/>
                <w:b/>
                <w:bCs/>
              </w:rPr>
            </w:pPr>
          </w:p>
        </w:tc>
        <w:tc>
          <w:tcPr>
            <w:tcW w:w="2496" w:type="dxa"/>
            <w:gridSpan w:val="2"/>
            <w:vAlign w:val="center"/>
          </w:tcPr>
          <w:p>
            <w:pPr>
              <w:jc w:val="center"/>
              <w:rPr>
                <w:rFonts w:cs="宋体"/>
              </w:rPr>
            </w:pPr>
            <w:r>
              <w:rPr>
                <w:rFonts w:hint="eastAsia" w:cs="宋体"/>
              </w:rPr>
              <w:t>救援对策</w:t>
            </w:r>
          </w:p>
        </w:tc>
        <w:tc>
          <w:tcPr>
            <w:tcW w:w="4624" w:type="dxa"/>
            <w:gridSpan w:val="3"/>
            <w:vAlign w:val="center"/>
          </w:tcPr>
          <w:p>
            <w:pPr>
              <w:rPr>
                <w:rFonts w:cs="宋体"/>
              </w:rPr>
            </w:pPr>
            <w:r>
              <w:rPr>
                <w:rFonts w:hint="eastAsia" w:cs="宋体"/>
              </w:rPr>
              <w:t>1、发现人员触电时，切断电源要快速、果断；</w:t>
            </w:r>
          </w:p>
          <w:p>
            <w:pPr>
              <w:rPr>
                <w:rFonts w:cs="宋体"/>
              </w:rPr>
            </w:pPr>
            <w:r>
              <w:rPr>
                <w:rFonts w:hint="eastAsia" w:cs="宋体"/>
              </w:rPr>
              <w:t>2、切断电源或使触电者脱离电源时必须使用绝缘器材和用具；</w:t>
            </w:r>
          </w:p>
          <w:p>
            <w:pPr>
              <w:rPr>
                <w:rFonts w:cs="宋体"/>
              </w:rPr>
            </w:pPr>
            <w:r>
              <w:rPr>
                <w:rFonts w:hint="eastAsia" w:cs="宋体"/>
              </w:rPr>
              <w:t>3、禁止在情况不明或无防护的情况下，盲目进入事故现场。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975" w:type="dxa"/>
            <w:vMerge w:val="continue"/>
            <w:vAlign w:val="center"/>
          </w:tcPr>
          <w:p>
            <w:pPr>
              <w:widowControl/>
              <w:jc w:val="left"/>
              <w:rPr>
                <w:rFonts w:cs="宋体"/>
                <w:b/>
                <w:bCs/>
              </w:rPr>
            </w:pPr>
          </w:p>
        </w:tc>
        <w:tc>
          <w:tcPr>
            <w:tcW w:w="2496" w:type="dxa"/>
            <w:gridSpan w:val="2"/>
            <w:vAlign w:val="center"/>
          </w:tcPr>
          <w:p>
            <w:pPr>
              <w:jc w:val="center"/>
              <w:rPr>
                <w:rFonts w:cs="宋体"/>
              </w:rPr>
            </w:pPr>
            <w:r>
              <w:rPr>
                <w:rFonts w:hint="eastAsia" w:cs="宋体"/>
              </w:rPr>
              <w:t>自救与互救</w:t>
            </w:r>
          </w:p>
        </w:tc>
        <w:tc>
          <w:tcPr>
            <w:tcW w:w="4624" w:type="dxa"/>
            <w:gridSpan w:val="3"/>
            <w:vAlign w:val="center"/>
          </w:tcPr>
          <w:p>
            <w:pPr>
              <w:rPr>
                <w:rFonts w:cs="宋体"/>
              </w:rPr>
            </w:pPr>
            <w:r>
              <w:rPr>
                <w:rFonts w:hint="eastAsia" w:cs="宋体"/>
              </w:rPr>
              <w:t>1、救护人必须使用适当的绝缘工具，不可直接用手或其他金属及潮湿的构件作为救护工具，且要用一只手操作，以防触电。</w:t>
            </w:r>
          </w:p>
          <w:p>
            <w:pPr>
              <w:rPr>
                <w:rFonts w:cs="宋体"/>
              </w:rPr>
            </w:pPr>
            <w:r>
              <w:rPr>
                <w:rFonts w:hint="eastAsia" w:cs="宋体"/>
              </w:rPr>
              <w:t>2、对触电者实施救护时，应防止触电者脱离电源后可能的摔伤（特别是当触电者在高处时）。</w:t>
            </w:r>
          </w:p>
          <w:p>
            <w:pPr>
              <w:rPr>
                <w:rFonts w:cs="宋体"/>
              </w:rPr>
            </w:pPr>
            <w:r>
              <w:rPr>
                <w:rFonts w:hint="eastAsia" w:cs="宋体"/>
              </w:rPr>
              <w:t>3、如事故发生在夜间或无照明区域，应迅速解决临时照明。</w:t>
            </w:r>
          </w:p>
          <w:p>
            <w:pPr>
              <w:rPr>
                <w:rFonts w:cs="宋体"/>
              </w:rPr>
            </w:pPr>
            <w:r>
              <w:rPr>
                <w:rFonts w:hint="eastAsia" w:cs="宋体"/>
              </w:rPr>
              <w:t>4、使触电者迅速脱离事故现场，至空气流通处，安静平卧，解开衣服以利呼吸，严密观察，等待医生前来救治（较轻者）。</w:t>
            </w:r>
          </w:p>
          <w:p>
            <w:pPr>
              <w:rPr>
                <w:rFonts w:cs="宋体"/>
              </w:rPr>
            </w:pPr>
            <w:r>
              <w:rPr>
                <w:rFonts w:hint="eastAsia" w:cs="宋体"/>
              </w:rPr>
              <w:t>5、触电者伤势严重、经判断呼吸停止时，应立即施行人工呼吸，停止心跳时立即做心脏按压复苏，并联系车辆立即送往医院。</w:t>
            </w:r>
          </w:p>
          <w:p>
            <w:pPr>
              <w:rPr>
                <w:rFonts w:cs="宋体"/>
              </w:rPr>
            </w:pPr>
            <w:r>
              <w:rPr>
                <w:rFonts w:hint="eastAsia" w:cs="宋体"/>
              </w:rPr>
              <w:t>6、在专业救援人员到来之前，对受伤者的急救不能终止。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975" w:type="dxa"/>
            <w:vMerge w:val="continue"/>
            <w:vAlign w:val="center"/>
          </w:tcPr>
          <w:p>
            <w:pPr>
              <w:widowControl/>
              <w:jc w:val="left"/>
              <w:rPr>
                <w:rFonts w:cs="宋体"/>
                <w:b/>
                <w:bCs/>
              </w:rPr>
            </w:pPr>
          </w:p>
        </w:tc>
        <w:tc>
          <w:tcPr>
            <w:tcW w:w="2496" w:type="dxa"/>
            <w:gridSpan w:val="2"/>
            <w:vAlign w:val="center"/>
          </w:tcPr>
          <w:p>
            <w:pPr>
              <w:jc w:val="center"/>
              <w:rPr>
                <w:rFonts w:cs="宋体"/>
              </w:rPr>
            </w:pPr>
            <w:r>
              <w:rPr>
                <w:rFonts w:hint="eastAsia" w:cs="宋体"/>
              </w:rPr>
              <w:t>人员能力确认</w:t>
            </w:r>
          </w:p>
        </w:tc>
        <w:tc>
          <w:tcPr>
            <w:tcW w:w="4624" w:type="dxa"/>
            <w:gridSpan w:val="3"/>
            <w:vAlign w:val="center"/>
          </w:tcPr>
          <w:p>
            <w:pPr>
              <w:rPr>
                <w:rFonts w:cs="宋体"/>
              </w:rPr>
            </w:pPr>
            <w:r>
              <w:rPr>
                <w:rFonts w:hint="eastAsia" w:cs="宋体"/>
              </w:rPr>
              <w:t>1、非电气作业持证人员禁止参加电气作业抢险。</w:t>
            </w:r>
          </w:p>
          <w:p>
            <w:pPr>
              <w:rPr>
                <w:rFonts w:cs="宋体"/>
              </w:rPr>
            </w:pPr>
            <w:r>
              <w:rPr>
                <w:rFonts w:hint="eastAsia" w:cs="宋体"/>
              </w:rPr>
              <w:t>2、进入事故现场救援必须保证2人以上，严禁单独行动。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975" w:type="dxa"/>
            <w:vMerge w:val="continue"/>
            <w:vAlign w:val="center"/>
          </w:tcPr>
          <w:p>
            <w:pPr>
              <w:widowControl/>
              <w:jc w:val="left"/>
              <w:rPr>
                <w:rFonts w:cs="宋体"/>
                <w:b/>
                <w:bCs/>
              </w:rPr>
            </w:pPr>
          </w:p>
        </w:tc>
        <w:tc>
          <w:tcPr>
            <w:tcW w:w="2496" w:type="dxa"/>
            <w:gridSpan w:val="2"/>
            <w:vAlign w:val="center"/>
          </w:tcPr>
          <w:p>
            <w:pPr>
              <w:jc w:val="center"/>
              <w:rPr>
                <w:rFonts w:cs="宋体"/>
              </w:rPr>
            </w:pPr>
            <w:r>
              <w:rPr>
                <w:rFonts w:hint="eastAsia" w:cs="宋体"/>
              </w:rPr>
              <w:t>救援结束</w:t>
            </w:r>
          </w:p>
        </w:tc>
        <w:tc>
          <w:tcPr>
            <w:tcW w:w="4624" w:type="dxa"/>
            <w:gridSpan w:val="3"/>
            <w:vAlign w:val="center"/>
          </w:tcPr>
          <w:p>
            <w:pPr>
              <w:rPr>
                <w:rFonts w:cs="宋体"/>
              </w:rPr>
            </w:pPr>
            <w:r>
              <w:rPr>
                <w:rFonts w:hint="eastAsia" w:cs="宋体"/>
              </w:rPr>
              <w:t>1、险情排除后，应组织人员对现场进行认真的检查，防止遗漏，再次造成事故。</w:t>
            </w:r>
          </w:p>
          <w:p>
            <w:pPr>
              <w:rPr>
                <w:rFonts w:cs="宋体"/>
              </w:rPr>
            </w:pPr>
            <w:r>
              <w:rPr>
                <w:rFonts w:hint="eastAsia" w:cs="宋体"/>
              </w:rPr>
              <w:t>2、保护好现场，以便查清事故原因，吸取教训，制定防范措施，现场清理工作必须征得有关部门同意后方可进行。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975" w:type="dxa"/>
            <w:vMerge w:val="continue"/>
            <w:vAlign w:val="center"/>
          </w:tcPr>
          <w:p>
            <w:pPr>
              <w:widowControl/>
              <w:jc w:val="left"/>
              <w:rPr>
                <w:rFonts w:cs="宋体"/>
                <w:b/>
                <w:bCs/>
              </w:rPr>
            </w:pPr>
          </w:p>
        </w:tc>
        <w:tc>
          <w:tcPr>
            <w:tcW w:w="2496" w:type="dxa"/>
            <w:gridSpan w:val="2"/>
            <w:vAlign w:val="center"/>
          </w:tcPr>
          <w:p>
            <w:pPr>
              <w:jc w:val="center"/>
              <w:rPr>
                <w:rFonts w:cs="宋体"/>
              </w:rPr>
            </w:pPr>
            <w:r>
              <w:rPr>
                <w:rFonts w:hint="eastAsia" w:cs="宋体"/>
              </w:rPr>
              <w:t>其他特别警示</w:t>
            </w:r>
          </w:p>
        </w:tc>
        <w:tc>
          <w:tcPr>
            <w:tcW w:w="4624" w:type="dxa"/>
            <w:gridSpan w:val="3"/>
            <w:vAlign w:val="center"/>
          </w:tcPr>
          <w:p>
            <w:pPr>
              <w:numPr>
                <w:ilvl w:val="0"/>
                <w:numId w:val="8"/>
              </w:numPr>
              <w:rPr>
                <w:rFonts w:cs="宋体"/>
              </w:rPr>
            </w:pPr>
            <w:r>
              <w:rPr>
                <w:rFonts w:hint="eastAsia" w:cs="宋体"/>
              </w:rPr>
              <w:t>保持救援电话畅通；</w:t>
            </w:r>
          </w:p>
          <w:p>
            <w:pPr>
              <w:rPr>
                <w:rFonts w:cs="宋体"/>
              </w:rPr>
            </w:pPr>
            <w:r>
              <w:rPr>
                <w:rFonts w:hint="eastAsia" w:cs="宋体"/>
              </w:rPr>
              <w:t>2、对应急救援器材进行经常性的检查和保养；</w:t>
            </w:r>
          </w:p>
          <w:p>
            <w:pPr>
              <w:rPr>
                <w:rFonts w:cs="宋体"/>
              </w:rPr>
            </w:pPr>
            <w:r>
              <w:rPr>
                <w:rFonts w:hint="eastAsia" w:cs="宋体"/>
              </w:rPr>
              <w:t>3、应急疏散时的人数查点；</w:t>
            </w:r>
          </w:p>
          <w:p>
            <w:pPr>
              <w:rPr>
                <w:rFonts w:cs="宋体"/>
              </w:rPr>
            </w:pPr>
            <w:r>
              <w:rPr>
                <w:rFonts w:hint="eastAsia" w:cs="宋体"/>
              </w:rPr>
              <w:t>4、救援结束后的人员、物资查点。</w:t>
            </w:r>
          </w:p>
        </w:tc>
      </w:tr>
    </w:tbl>
    <w:p>
      <w:pPr>
        <w:spacing w:line="460" w:lineRule="exact"/>
        <w:rPr>
          <w:rFonts w:cs="宋体"/>
          <w:sz w:val="28"/>
          <w:szCs w:val="28"/>
        </w:rPr>
      </w:pPr>
    </w:p>
    <w:p>
      <w:pPr>
        <w:pStyle w:val="3"/>
        <w:rPr>
          <w:rFonts w:eastAsia="宋体" w:cs="宋体"/>
        </w:rPr>
      </w:pPr>
      <w:bookmarkStart w:id="878" w:name="_Toc338079397"/>
      <w:bookmarkEnd w:id="878"/>
      <w:bookmarkStart w:id="879" w:name="_Toc504989638"/>
      <w:bookmarkStart w:id="880" w:name="_Toc530594671"/>
      <w:bookmarkStart w:id="881" w:name="_Toc31707"/>
      <w:bookmarkStart w:id="882" w:name="_Toc14446"/>
      <w:bookmarkStart w:id="883" w:name="_Toc19194"/>
      <w:bookmarkStart w:id="884" w:name="_Toc30522"/>
      <w:r>
        <w:rPr>
          <w:rFonts w:hint="eastAsia" w:eastAsia="宋体" w:cs="宋体"/>
        </w:rPr>
        <w:t>二、中毒窒息现场处置方案</w:t>
      </w:r>
      <w:bookmarkEnd w:id="879"/>
      <w:bookmarkEnd w:id="880"/>
      <w:bookmarkEnd w:id="881"/>
      <w:bookmarkEnd w:id="882"/>
      <w:bookmarkEnd w:id="883"/>
      <w:bookmarkEnd w:id="884"/>
    </w:p>
    <w:tbl>
      <w:tblPr>
        <w:tblStyle w:val="35"/>
        <w:tblW w:w="81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692"/>
        <w:gridCol w:w="717"/>
        <w:gridCol w:w="805"/>
        <w:gridCol w:w="3770"/>
        <w:gridCol w:w="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restart"/>
            <w:vAlign w:val="center"/>
          </w:tcPr>
          <w:p>
            <w:pPr>
              <w:rPr>
                <w:rFonts w:cs="宋体"/>
              </w:rPr>
            </w:pPr>
            <w:r>
              <w:rPr>
                <w:rFonts w:hint="eastAsia" w:cs="宋体"/>
              </w:rPr>
              <w:t>事</w:t>
            </w:r>
          </w:p>
          <w:p>
            <w:pPr>
              <w:rPr>
                <w:rFonts w:cs="宋体"/>
              </w:rPr>
            </w:pPr>
            <w:r>
              <w:rPr>
                <w:rFonts w:hint="eastAsia" w:cs="宋体"/>
              </w:rPr>
              <w:t>故</w:t>
            </w:r>
          </w:p>
          <w:p>
            <w:pPr>
              <w:rPr>
                <w:rFonts w:cs="宋体"/>
              </w:rPr>
            </w:pPr>
            <w:r>
              <w:rPr>
                <w:rFonts w:hint="eastAsia" w:cs="宋体"/>
              </w:rPr>
              <w:t>特</w:t>
            </w:r>
          </w:p>
          <w:p>
            <w:pPr>
              <w:rPr>
                <w:rFonts w:cs="宋体"/>
              </w:rPr>
            </w:pPr>
            <w:r>
              <w:rPr>
                <w:rFonts w:hint="eastAsia" w:cs="宋体"/>
              </w:rPr>
              <w:t>征</w:t>
            </w:r>
          </w:p>
        </w:tc>
        <w:tc>
          <w:tcPr>
            <w:tcW w:w="2409" w:type="dxa"/>
            <w:gridSpan w:val="2"/>
            <w:vAlign w:val="center"/>
          </w:tcPr>
          <w:p>
            <w:pPr>
              <w:rPr>
                <w:rFonts w:cs="宋体"/>
              </w:rPr>
            </w:pPr>
            <w:r>
              <w:rPr>
                <w:rFonts w:hint="eastAsia" w:cs="宋体"/>
              </w:rPr>
              <w:t>区域（装置）名称</w:t>
            </w:r>
          </w:p>
        </w:tc>
        <w:tc>
          <w:tcPr>
            <w:tcW w:w="5318" w:type="dxa"/>
            <w:gridSpan w:val="3"/>
            <w:vAlign w:val="center"/>
          </w:tcPr>
          <w:p>
            <w:pPr>
              <w:rPr>
                <w:rFonts w:cs="宋体"/>
              </w:rPr>
            </w:pPr>
            <w:r>
              <w:rPr>
                <w:rFonts w:hint="eastAsia" w:cs="宋体"/>
              </w:rPr>
              <w:t>油罐区、加油区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2409" w:type="dxa"/>
            <w:gridSpan w:val="2"/>
            <w:vAlign w:val="center"/>
          </w:tcPr>
          <w:p>
            <w:pPr>
              <w:rPr>
                <w:rFonts w:cs="宋体"/>
              </w:rPr>
            </w:pPr>
            <w:r>
              <w:rPr>
                <w:rFonts w:hint="eastAsia" w:cs="宋体"/>
              </w:rPr>
              <w:t>可能发生的事故类型</w:t>
            </w:r>
          </w:p>
        </w:tc>
        <w:tc>
          <w:tcPr>
            <w:tcW w:w="5318" w:type="dxa"/>
            <w:gridSpan w:val="3"/>
            <w:vAlign w:val="center"/>
          </w:tcPr>
          <w:p>
            <w:pPr>
              <w:rPr>
                <w:rFonts w:cs="宋体"/>
              </w:rPr>
            </w:pPr>
            <w:r>
              <w:rPr>
                <w:rFonts w:hint="eastAsia" w:cs="宋体"/>
              </w:rPr>
              <w:t>汽油、柴油引发中毒或窒息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2409" w:type="dxa"/>
            <w:gridSpan w:val="2"/>
            <w:vAlign w:val="center"/>
          </w:tcPr>
          <w:p>
            <w:pPr>
              <w:rPr>
                <w:rFonts w:cs="宋体"/>
              </w:rPr>
            </w:pPr>
            <w:r>
              <w:rPr>
                <w:rFonts w:hint="eastAsia" w:cs="宋体"/>
              </w:rPr>
              <w:t>可能发生的季节、时段</w:t>
            </w:r>
          </w:p>
        </w:tc>
        <w:tc>
          <w:tcPr>
            <w:tcW w:w="5318" w:type="dxa"/>
            <w:gridSpan w:val="3"/>
            <w:vAlign w:val="center"/>
          </w:tcPr>
          <w:p>
            <w:pPr>
              <w:rPr>
                <w:rFonts w:cs="宋体"/>
              </w:rPr>
            </w:pPr>
            <w:r>
              <w:rPr>
                <w:rFonts w:hint="eastAsia" w:cs="宋体"/>
              </w:rPr>
              <w:t>在作业过程、进入油罐易发生中毒窒息事故，并无明显季节性规律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2409" w:type="dxa"/>
            <w:gridSpan w:val="2"/>
            <w:vAlign w:val="center"/>
          </w:tcPr>
          <w:p>
            <w:pPr>
              <w:rPr>
                <w:rFonts w:cs="宋体"/>
              </w:rPr>
            </w:pPr>
            <w:r>
              <w:rPr>
                <w:rFonts w:hint="eastAsia" w:cs="宋体"/>
              </w:rPr>
              <w:t>事故征兆</w:t>
            </w:r>
          </w:p>
        </w:tc>
        <w:tc>
          <w:tcPr>
            <w:tcW w:w="5318" w:type="dxa"/>
            <w:gridSpan w:val="3"/>
            <w:vAlign w:val="center"/>
          </w:tcPr>
          <w:p>
            <w:pPr>
              <w:rPr>
                <w:rFonts w:cs="宋体"/>
              </w:rPr>
            </w:pPr>
            <w:r>
              <w:rPr>
                <w:rFonts w:hint="eastAsia" w:cs="宋体"/>
              </w:rPr>
              <w:t>有刺激性气味；进入油罐内作业不经置换或置换不彻底，作业人员未佩戴安全防护用具或用具不合适进入油罐，可燃气体报警器等安全装置长时间不维护保养等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2409" w:type="dxa"/>
            <w:gridSpan w:val="2"/>
            <w:vAlign w:val="center"/>
          </w:tcPr>
          <w:p>
            <w:pPr>
              <w:rPr>
                <w:rFonts w:cs="宋体"/>
              </w:rPr>
            </w:pPr>
            <w:r>
              <w:rPr>
                <w:rFonts w:hint="eastAsia" w:cs="宋体"/>
              </w:rPr>
              <w:t>事故危害程度</w:t>
            </w:r>
          </w:p>
        </w:tc>
        <w:tc>
          <w:tcPr>
            <w:tcW w:w="5318" w:type="dxa"/>
            <w:gridSpan w:val="3"/>
            <w:vAlign w:val="center"/>
          </w:tcPr>
          <w:p>
            <w:pPr>
              <w:rPr>
                <w:rStyle w:val="54"/>
                <w:rFonts w:hint="default" w:ascii="Times New Roman" w:hAnsi="Times New Roman" w:cs="宋体"/>
                <w:sz w:val="21"/>
                <w:szCs w:val="21"/>
              </w:rPr>
            </w:pPr>
            <w:r>
              <w:rPr>
                <w:rFonts w:hint="eastAsia" w:cs="宋体"/>
                <w:b/>
                <w:bCs/>
              </w:rPr>
              <w:t>汽油：</w:t>
            </w:r>
            <w:r>
              <w:rPr>
                <w:rStyle w:val="54"/>
                <w:rFonts w:hint="default" w:ascii="Times New Roman" w:hAnsi="Times New Roman" w:cs="宋体"/>
                <w:sz w:val="21"/>
                <w:szCs w:val="21"/>
              </w:rPr>
              <w:t>蒸气对上呼吸道有强烈刺激性，在高温时吸入伤害增加。吸入高浓度的气体/蒸气引起肺刺激，伴有咳嗽、恶心；出现头痛、头晕、反射迟钝、疲乏和共济失调等中枢神经抑制症状。如果长时间接触高浓度溶剂蒸气，可导致麻醉、意识不清甚至昏迷和死亡。</w:t>
            </w:r>
          </w:p>
          <w:p>
            <w:pPr>
              <w:rPr>
                <w:rFonts w:cs="宋体"/>
              </w:rPr>
            </w:pPr>
            <w:r>
              <w:rPr>
                <w:rStyle w:val="54"/>
                <w:rFonts w:hint="default" w:ascii="Times New Roman" w:hAnsi="Times New Roman" w:cs="宋体"/>
                <w:b/>
                <w:bCs/>
                <w:sz w:val="21"/>
                <w:szCs w:val="21"/>
              </w:rPr>
              <w:t>柴油：</w:t>
            </w:r>
            <w:r>
              <w:rPr>
                <w:rStyle w:val="54"/>
                <w:rFonts w:hint="default" w:ascii="Times New Roman" w:hAnsi="Times New Roman" w:cs="宋体"/>
                <w:sz w:val="21"/>
                <w:szCs w:val="21"/>
              </w:rPr>
              <w:t>柴油的</w:t>
            </w:r>
            <w:r>
              <w:fldChar w:fldCharType="begin"/>
            </w:r>
            <w:r>
              <w:instrText xml:space="preserve"> HYPERLINK "http://baike.baidu.com/view/173431.htm" </w:instrText>
            </w:r>
            <w:r>
              <w:fldChar w:fldCharType="separate"/>
            </w:r>
            <w:r>
              <w:rPr>
                <w:rStyle w:val="34"/>
                <w:rFonts w:hint="eastAsia" w:cs="宋体"/>
                <w:color w:val="auto"/>
                <w:u w:val="none"/>
              </w:rPr>
              <w:t>雾滴</w:t>
            </w:r>
            <w:r>
              <w:rPr>
                <w:rStyle w:val="34"/>
                <w:rFonts w:hint="eastAsia" w:cs="宋体"/>
                <w:color w:val="auto"/>
                <w:u w:val="none"/>
              </w:rPr>
              <w:fldChar w:fldCharType="end"/>
            </w:r>
            <w:r>
              <w:rPr>
                <w:rFonts w:hint="eastAsia" w:cs="宋体"/>
              </w:rPr>
              <w:t>吸入后可致</w:t>
            </w:r>
            <w:r>
              <w:fldChar w:fldCharType="begin"/>
            </w:r>
            <w:r>
              <w:instrText xml:space="preserve"> HYPERLINK "http://baike.baidu.com/view/124964.htm" </w:instrText>
            </w:r>
            <w:r>
              <w:fldChar w:fldCharType="separate"/>
            </w:r>
            <w:r>
              <w:rPr>
                <w:rStyle w:val="34"/>
                <w:rFonts w:hint="eastAsia" w:cs="宋体"/>
                <w:color w:val="auto"/>
                <w:u w:val="none"/>
              </w:rPr>
              <w:t>吸入性肺炎</w:t>
            </w:r>
            <w:r>
              <w:rPr>
                <w:rStyle w:val="34"/>
                <w:rFonts w:hint="eastAsia" w:cs="宋体"/>
                <w:color w:val="auto"/>
                <w:u w:val="none"/>
              </w:rPr>
              <w:fldChar w:fldCharType="end"/>
            </w:r>
            <w:r>
              <w:rPr>
                <w:rFonts w:hint="eastAsia" w:cs="宋体"/>
              </w:rPr>
              <w:t>。皮肤接触柴油可致接触性皮炎。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2409" w:type="dxa"/>
            <w:gridSpan w:val="2"/>
          </w:tcPr>
          <w:p>
            <w:pPr>
              <w:rPr>
                <w:rFonts w:cs="宋体"/>
              </w:rPr>
            </w:pPr>
            <w:r>
              <w:rPr>
                <w:rFonts w:hint="eastAsia" w:cs="宋体"/>
              </w:rPr>
              <w:t>可能引发的次生、衍生事故</w:t>
            </w:r>
          </w:p>
        </w:tc>
        <w:tc>
          <w:tcPr>
            <w:tcW w:w="5318" w:type="dxa"/>
            <w:gridSpan w:val="3"/>
          </w:tcPr>
          <w:p>
            <w:pPr>
              <w:rPr>
                <w:rStyle w:val="54"/>
                <w:rFonts w:hint="default" w:ascii="Times New Roman" w:hAnsi="Times New Roman" w:cs="宋体"/>
                <w:b/>
                <w:bCs/>
                <w:sz w:val="21"/>
                <w:szCs w:val="21"/>
              </w:rPr>
            </w:pPr>
            <w:r>
              <w:rPr>
                <w:rFonts w:hint="eastAsia" w:cs="宋体"/>
              </w:rPr>
              <w:t>发生中毒事故，如果抢救不及时，可能造成人员伤亡；如果应急处置不当，可能造成施救人员及其他外来人员中毒甚至窒息。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2409" w:type="dxa"/>
            <w:gridSpan w:val="2"/>
          </w:tcPr>
          <w:p>
            <w:pPr>
              <w:rPr>
                <w:rFonts w:cs="宋体"/>
              </w:rPr>
            </w:pPr>
            <w:r>
              <w:rPr>
                <w:rFonts w:hint="eastAsia" w:cs="宋体"/>
              </w:rPr>
              <w:t>事故影响范围</w:t>
            </w:r>
          </w:p>
        </w:tc>
        <w:tc>
          <w:tcPr>
            <w:tcW w:w="5318" w:type="dxa"/>
            <w:gridSpan w:val="3"/>
          </w:tcPr>
          <w:p>
            <w:pPr>
              <w:rPr>
                <w:rFonts w:cs="宋体"/>
              </w:rPr>
            </w:pPr>
            <w:r>
              <w:rPr>
                <w:rFonts w:hint="eastAsia" w:cs="宋体"/>
              </w:rPr>
              <w:t>如果得到及时、恰当地处理，中毒事故影响范围可控制在事故发生区域；如应急处置不及时或控制失效，可能波及其他区域，甚至影响周边企业、人员。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restart"/>
            <w:vAlign w:val="center"/>
          </w:tcPr>
          <w:p>
            <w:pPr>
              <w:rPr>
                <w:rFonts w:cs="宋体"/>
              </w:rPr>
            </w:pPr>
            <w:r>
              <w:rPr>
                <w:rFonts w:hint="eastAsia" w:cs="宋体"/>
              </w:rPr>
              <w:t>应</w:t>
            </w:r>
          </w:p>
          <w:p>
            <w:pPr>
              <w:rPr>
                <w:rFonts w:cs="宋体"/>
              </w:rPr>
            </w:pPr>
            <w:r>
              <w:rPr>
                <w:rFonts w:hint="eastAsia" w:cs="宋体"/>
              </w:rPr>
              <w:t>急</w:t>
            </w:r>
          </w:p>
          <w:p>
            <w:pPr>
              <w:rPr>
                <w:rFonts w:cs="宋体"/>
              </w:rPr>
            </w:pPr>
            <w:r>
              <w:rPr>
                <w:rFonts w:hint="eastAsia" w:cs="宋体"/>
              </w:rPr>
              <w:t>组</w:t>
            </w:r>
          </w:p>
          <w:p>
            <w:pPr>
              <w:rPr>
                <w:rFonts w:cs="宋体"/>
              </w:rPr>
            </w:pPr>
            <w:r>
              <w:rPr>
                <w:rFonts w:hint="eastAsia" w:cs="宋体"/>
              </w:rPr>
              <w:t>织</w:t>
            </w:r>
          </w:p>
          <w:p>
            <w:pPr>
              <w:rPr>
                <w:rFonts w:cs="宋体"/>
              </w:rPr>
            </w:pPr>
            <w:r>
              <w:rPr>
                <w:rFonts w:hint="eastAsia" w:cs="宋体"/>
              </w:rPr>
              <w:t>与</w:t>
            </w:r>
          </w:p>
          <w:p>
            <w:pPr>
              <w:rPr>
                <w:rFonts w:cs="宋体"/>
              </w:rPr>
            </w:pPr>
            <w:r>
              <w:rPr>
                <w:rFonts w:hint="eastAsia" w:cs="宋体"/>
              </w:rPr>
              <w:t>职</w:t>
            </w:r>
          </w:p>
          <w:p>
            <w:pPr>
              <w:rPr>
                <w:rFonts w:cs="宋体"/>
              </w:rPr>
            </w:pPr>
            <w:r>
              <w:rPr>
                <w:rFonts w:hint="eastAsia" w:cs="宋体"/>
              </w:rPr>
              <w:t>责</w:t>
            </w:r>
          </w:p>
        </w:tc>
        <w:tc>
          <w:tcPr>
            <w:tcW w:w="2409" w:type="dxa"/>
            <w:gridSpan w:val="2"/>
            <w:vAlign w:val="center"/>
          </w:tcPr>
          <w:p>
            <w:pPr>
              <w:rPr>
                <w:rFonts w:cs="宋体"/>
              </w:rPr>
            </w:pPr>
            <w:r>
              <w:rPr>
                <w:rFonts w:hint="eastAsia" w:cs="宋体"/>
              </w:rPr>
              <w:t>组织与人员</w:t>
            </w:r>
          </w:p>
        </w:tc>
        <w:tc>
          <w:tcPr>
            <w:tcW w:w="5318" w:type="dxa"/>
            <w:gridSpan w:val="3"/>
            <w:vAlign w:val="center"/>
          </w:tcPr>
          <w:p>
            <w:pPr>
              <w:rPr>
                <w:rFonts w:cs="宋体"/>
              </w:rPr>
            </w:pPr>
            <w:r>
              <w:rPr>
                <w:rFonts w:hint="eastAsia" w:cs="宋体"/>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2409" w:type="dxa"/>
            <w:gridSpan w:val="2"/>
            <w:vAlign w:val="center"/>
          </w:tcPr>
          <w:p>
            <w:pPr>
              <w:rPr>
                <w:rFonts w:cs="宋体"/>
              </w:rPr>
            </w:pPr>
            <w:r>
              <w:rPr>
                <w:rFonts w:hint="eastAsia" w:cs="宋体"/>
              </w:rPr>
              <w:t>应急职责</w:t>
            </w:r>
          </w:p>
        </w:tc>
        <w:tc>
          <w:tcPr>
            <w:tcW w:w="5318" w:type="dxa"/>
            <w:gridSpan w:val="3"/>
            <w:vAlign w:val="center"/>
          </w:tcPr>
          <w:p>
            <w:pPr>
              <w:rPr>
                <w:rFonts w:cs="宋体"/>
              </w:rPr>
            </w:pPr>
            <w:r>
              <w:rPr>
                <w:rFonts w:hint="eastAsia" w:cs="宋体"/>
              </w:rPr>
              <w:t>1、发现事故和隐患及时处理和报告；</w:t>
            </w:r>
          </w:p>
          <w:p>
            <w:pPr>
              <w:rPr>
                <w:rFonts w:cs="宋体"/>
              </w:rPr>
            </w:pPr>
            <w:r>
              <w:rPr>
                <w:rFonts w:hint="eastAsia" w:cs="宋体"/>
              </w:rPr>
              <w:t>2、事故初起时，实施现场应急处置；</w:t>
            </w:r>
          </w:p>
          <w:p>
            <w:pPr>
              <w:rPr>
                <w:rFonts w:cs="宋体"/>
              </w:rPr>
            </w:pPr>
            <w:r>
              <w:rPr>
                <w:rFonts w:hint="eastAsia" w:cs="宋体"/>
              </w:rPr>
              <w:t>3、听从上一级应急救援指挥机构的指挥进行应急救援；</w:t>
            </w:r>
          </w:p>
          <w:p>
            <w:pPr>
              <w:rPr>
                <w:rFonts w:cs="宋体"/>
              </w:rPr>
            </w:pPr>
            <w:r>
              <w:rPr>
                <w:rFonts w:hint="eastAsia" w:cs="宋体"/>
              </w:rPr>
              <w:t>4、预计事故扩大时报告并请求启动上一级应急救援预案。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restart"/>
            <w:vAlign w:val="center"/>
          </w:tcPr>
          <w:p>
            <w:pPr>
              <w:rPr>
                <w:rFonts w:cs="宋体"/>
              </w:rPr>
            </w:pPr>
            <w:r>
              <w:rPr>
                <w:rFonts w:hint="eastAsia" w:cs="宋体"/>
              </w:rPr>
              <w:t>应</w:t>
            </w:r>
          </w:p>
          <w:p>
            <w:pPr>
              <w:rPr>
                <w:rFonts w:cs="宋体"/>
              </w:rPr>
            </w:pPr>
            <w:r>
              <w:rPr>
                <w:rFonts w:hint="eastAsia" w:cs="宋体"/>
              </w:rPr>
              <w:t>急</w:t>
            </w:r>
          </w:p>
          <w:p>
            <w:pPr>
              <w:rPr>
                <w:rFonts w:cs="宋体"/>
              </w:rPr>
            </w:pPr>
            <w:r>
              <w:rPr>
                <w:rFonts w:hint="eastAsia" w:cs="宋体"/>
              </w:rPr>
              <w:t>处</w:t>
            </w:r>
          </w:p>
          <w:p>
            <w:pPr>
              <w:rPr>
                <w:rFonts w:cs="宋体"/>
              </w:rPr>
            </w:pPr>
            <w:r>
              <w:rPr>
                <w:rFonts w:hint="eastAsia" w:cs="宋体"/>
              </w:rPr>
              <w:t>置</w:t>
            </w:r>
          </w:p>
        </w:tc>
        <w:tc>
          <w:tcPr>
            <w:tcW w:w="1692" w:type="dxa"/>
            <w:vAlign w:val="center"/>
          </w:tcPr>
          <w:p>
            <w:pPr>
              <w:jc w:val="center"/>
              <w:rPr>
                <w:rFonts w:cs="宋体"/>
                <w:b/>
                <w:bCs/>
              </w:rPr>
            </w:pPr>
            <w:r>
              <w:rPr>
                <w:rFonts w:hint="eastAsia" w:cs="宋体"/>
                <w:b/>
                <w:bCs/>
              </w:rPr>
              <w:t>步骤</w:t>
            </w:r>
          </w:p>
        </w:tc>
        <w:tc>
          <w:tcPr>
            <w:tcW w:w="5292" w:type="dxa"/>
            <w:gridSpan w:val="3"/>
            <w:vAlign w:val="center"/>
          </w:tcPr>
          <w:p>
            <w:pPr>
              <w:jc w:val="center"/>
              <w:rPr>
                <w:rFonts w:cs="宋体"/>
                <w:b/>
                <w:bCs/>
              </w:rPr>
            </w:pPr>
            <w:r>
              <w:rPr>
                <w:rFonts w:hint="eastAsia" w:cs="宋体"/>
                <w:b/>
                <w:bCs/>
              </w:rPr>
              <w:t>处  置</w:t>
            </w:r>
          </w:p>
        </w:tc>
        <w:tc>
          <w:tcPr>
            <w:tcW w:w="743" w:type="dxa"/>
            <w:vAlign w:val="center"/>
          </w:tcPr>
          <w:p>
            <w:pPr>
              <w:jc w:val="center"/>
              <w:rPr>
                <w:rFonts w:cs="宋体"/>
                <w:b/>
                <w:bCs/>
              </w:rPr>
            </w:pPr>
            <w:r>
              <w:rPr>
                <w:rFonts w:hint="eastAsia" w:cs="宋体"/>
                <w:b/>
                <w:bCs/>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1692" w:type="dxa"/>
            <w:vAlign w:val="center"/>
          </w:tcPr>
          <w:p>
            <w:pPr>
              <w:jc w:val="center"/>
              <w:rPr>
                <w:rFonts w:cs="宋体"/>
              </w:rPr>
            </w:pPr>
            <w:r>
              <w:rPr>
                <w:rFonts w:hint="eastAsia" w:cs="宋体"/>
              </w:rPr>
              <w:t>发现异常</w:t>
            </w:r>
          </w:p>
        </w:tc>
        <w:tc>
          <w:tcPr>
            <w:tcW w:w="5292" w:type="dxa"/>
            <w:gridSpan w:val="3"/>
            <w:vAlign w:val="center"/>
          </w:tcPr>
          <w:p>
            <w:pPr>
              <w:rPr>
                <w:rFonts w:cs="宋体"/>
              </w:rPr>
            </w:pPr>
            <w:r>
              <w:rPr>
                <w:rFonts w:hint="eastAsia" w:cs="宋体"/>
              </w:rPr>
              <w:t>出现汽油、柴油等有害物质泄漏，造成作业人员头晕、恶心。</w:t>
            </w:r>
          </w:p>
        </w:tc>
        <w:tc>
          <w:tcPr>
            <w:tcW w:w="743" w:type="dxa"/>
            <w:vAlign w:val="center"/>
          </w:tcPr>
          <w:p>
            <w:pPr>
              <w:jc w:val="center"/>
              <w:rPr>
                <w:rFonts w:cs="宋体"/>
              </w:rPr>
            </w:pPr>
            <w:r>
              <w:rPr>
                <w:rFonts w:hint="eastAsia" w:cs="宋体"/>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1692" w:type="dxa"/>
            <w:vAlign w:val="center"/>
          </w:tcPr>
          <w:p>
            <w:pPr>
              <w:jc w:val="center"/>
              <w:rPr>
                <w:rFonts w:cs="宋体"/>
              </w:rPr>
            </w:pPr>
            <w:r>
              <w:rPr>
                <w:rFonts w:hint="eastAsia" w:cs="宋体"/>
              </w:rPr>
              <w:t>报警</w:t>
            </w:r>
          </w:p>
        </w:tc>
        <w:tc>
          <w:tcPr>
            <w:tcW w:w="5292" w:type="dxa"/>
            <w:gridSpan w:val="3"/>
            <w:vMerge w:val="restart"/>
            <w:vAlign w:val="center"/>
          </w:tcPr>
          <w:p>
            <w:pPr>
              <w:rPr>
                <w:rFonts w:cs="宋体"/>
              </w:rPr>
            </w:pPr>
            <w:r>
              <w:rPr>
                <w:rFonts w:hint="eastAsia" w:cs="宋体"/>
              </w:rPr>
              <w:t>向站长报告：x日x时x分， xx在油罐清洗过程中中毒窒息昏迷，请求支援。或者x日x时x分， xx在加油或卸油过程由于油品泄漏导致中毒窒息昏迷，请求支援。</w:t>
            </w:r>
          </w:p>
          <w:p>
            <w:pPr>
              <w:rPr>
                <w:rFonts w:cs="宋体"/>
              </w:rPr>
            </w:pPr>
            <w:r>
              <w:rPr>
                <w:rFonts w:hint="eastAsia" w:cs="宋体"/>
              </w:rPr>
              <w:t>若发现人为本站外来人员，则发现人应直接将情况报告本站工作人员；</w:t>
            </w:r>
          </w:p>
          <w:p>
            <w:pPr>
              <w:rPr>
                <w:rFonts w:cs="宋体"/>
              </w:rPr>
            </w:pPr>
            <w:r>
              <w:rPr>
                <w:rFonts w:hint="eastAsia" w:cs="宋体"/>
              </w:rPr>
              <w:t>若站长发现时间有扩大的可能，立即向上级部门报告，请求支援；</w:t>
            </w:r>
          </w:p>
        </w:tc>
        <w:tc>
          <w:tcPr>
            <w:tcW w:w="743" w:type="dxa"/>
            <w:vMerge w:val="restart"/>
            <w:vAlign w:val="center"/>
          </w:tcPr>
          <w:p>
            <w:pPr>
              <w:jc w:val="center"/>
              <w:rPr>
                <w:rFonts w:cs="宋体"/>
              </w:rPr>
            </w:pPr>
            <w:r>
              <w:rPr>
                <w:rFonts w:hint="eastAsia" w:cs="宋体"/>
              </w:rPr>
              <w:t>发现人</w:t>
            </w:r>
          </w:p>
          <w:p>
            <w:pPr>
              <w:jc w:val="center"/>
              <w:rPr>
                <w:rFonts w:cs="宋体"/>
              </w:rPr>
            </w:pPr>
          </w:p>
          <w:p>
            <w:pPr>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26" w:type="dxa"/>
            <w:vMerge w:val="continue"/>
            <w:vAlign w:val="center"/>
          </w:tcPr>
          <w:p>
            <w:pPr>
              <w:widowControl/>
              <w:jc w:val="left"/>
              <w:rPr>
                <w:rFonts w:cs="宋体"/>
              </w:rPr>
            </w:pPr>
          </w:p>
        </w:tc>
        <w:tc>
          <w:tcPr>
            <w:tcW w:w="1692" w:type="dxa"/>
            <w:vAlign w:val="center"/>
          </w:tcPr>
          <w:p>
            <w:pPr>
              <w:jc w:val="left"/>
              <w:rPr>
                <w:rFonts w:cs="宋体"/>
              </w:rPr>
            </w:pPr>
            <w:r>
              <w:rPr>
                <w:rFonts w:hint="eastAsia" w:cs="宋体"/>
              </w:rPr>
              <w:t>组长李德斌（站长）：13990758830</w:t>
            </w:r>
          </w:p>
          <w:p>
            <w:pPr>
              <w:jc w:val="left"/>
              <w:rPr>
                <w:rFonts w:cs="宋体"/>
              </w:rPr>
            </w:pPr>
            <w:r>
              <w:rPr>
                <w:rFonts w:hint="eastAsia" w:cs="宋体"/>
              </w:rPr>
              <w:t>副组长李力：</w:t>
            </w:r>
          </w:p>
          <w:p>
            <w:pPr>
              <w:jc w:val="left"/>
              <w:rPr>
                <w:color w:val="000000"/>
                <w:kern w:val="0"/>
              </w:rPr>
            </w:pPr>
            <w:r>
              <w:rPr>
                <w:rFonts w:hint="eastAsia"/>
                <w:color w:val="000000"/>
                <w:kern w:val="0"/>
              </w:rPr>
              <w:t>15983763300</w:t>
            </w:r>
          </w:p>
          <w:p>
            <w:pPr>
              <w:jc w:val="left"/>
              <w:rPr>
                <w:rFonts w:cs="宋体"/>
              </w:rPr>
            </w:pPr>
            <w:r>
              <w:rPr>
                <w:rFonts w:hint="eastAsia" w:cs="宋体"/>
              </w:rPr>
              <w:t>成员：</w:t>
            </w:r>
          </w:p>
          <w:p>
            <w:pPr>
              <w:jc w:val="left"/>
              <w:rPr>
                <w:rFonts w:cs="宋体"/>
              </w:rPr>
            </w:pPr>
            <w:r>
              <w:rPr>
                <w:rFonts w:hint="eastAsia" w:cs="宋体"/>
              </w:rPr>
              <w:t>赵亮（加油员）</w:t>
            </w:r>
          </w:p>
          <w:p>
            <w:pPr>
              <w:jc w:val="left"/>
              <w:rPr>
                <w:rFonts w:cs="宋体"/>
              </w:rPr>
            </w:pPr>
            <w:r>
              <w:rPr>
                <w:rFonts w:hint="eastAsia" w:cs="宋体"/>
              </w:rPr>
              <w:t>15984880338</w:t>
            </w:r>
          </w:p>
          <w:p>
            <w:pPr>
              <w:jc w:val="left"/>
              <w:rPr>
                <w:rFonts w:cs="宋体"/>
              </w:rPr>
            </w:pPr>
            <w:r>
              <w:rPr>
                <w:rFonts w:hint="eastAsia" w:cs="宋体"/>
              </w:rPr>
              <w:t>何洪艳（加油员）</w:t>
            </w:r>
          </w:p>
          <w:p>
            <w:pPr>
              <w:jc w:val="left"/>
              <w:rPr>
                <w:rFonts w:cs="宋体"/>
              </w:rPr>
            </w:pPr>
            <w:r>
              <w:rPr>
                <w:rFonts w:hint="eastAsia" w:cs="宋体"/>
              </w:rPr>
              <w:t>17383855935</w:t>
            </w:r>
          </w:p>
          <w:p>
            <w:pPr>
              <w:pStyle w:val="2"/>
              <w:ind w:firstLine="0"/>
              <w:rPr>
                <w:rFonts w:cs="宋体"/>
              </w:rPr>
            </w:pPr>
            <w:r>
              <w:rPr>
                <w:rFonts w:hint="eastAsia" w:cs="宋体"/>
              </w:rPr>
              <w:t>杨瑞萍（加油员）13989196769</w:t>
            </w:r>
          </w:p>
          <w:p>
            <w:pPr>
              <w:pStyle w:val="2"/>
              <w:ind w:firstLine="0"/>
              <w:rPr>
                <w:rFonts w:cs="宋体"/>
              </w:rPr>
            </w:pPr>
            <w:r>
              <w:rPr>
                <w:rFonts w:hint="eastAsia" w:cs="宋体"/>
              </w:rPr>
              <w:t>李小珍（洗车员）15378382951</w:t>
            </w:r>
          </w:p>
          <w:p>
            <w:pPr>
              <w:jc w:val="left"/>
              <w:rPr>
                <w:rFonts w:cs="宋体"/>
              </w:rPr>
            </w:pPr>
            <w:r>
              <w:rPr>
                <w:rFonts w:hint="eastAsia" w:cs="宋体"/>
              </w:rPr>
              <w:t xml:space="preserve">火警：119 </w:t>
            </w:r>
          </w:p>
          <w:p>
            <w:pPr>
              <w:jc w:val="left"/>
              <w:rPr>
                <w:rFonts w:cs="宋体"/>
              </w:rPr>
            </w:pPr>
            <w:r>
              <w:rPr>
                <w:rFonts w:hint="eastAsia" w:cs="宋体"/>
              </w:rPr>
              <w:t>急救：120</w:t>
            </w:r>
          </w:p>
          <w:p>
            <w:pPr>
              <w:rPr>
                <w:rFonts w:cs="宋体"/>
              </w:rPr>
            </w:pPr>
            <w:r>
              <w:rPr>
                <w:rFonts w:hint="eastAsia" w:cs="宋体"/>
              </w:rPr>
              <w:t>匪警：110</w:t>
            </w:r>
          </w:p>
        </w:tc>
        <w:tc>
          <w:tcPr>
            <w:tcW w:w="5292" w:type="dxa"/>
            <w:gridSpan w:val="3"/>
            <w:vMerge w:val="continue"/>
            <w:vAlign w:val="center"/>
          </w:tcPr>
          <w:p>
            <w:pPr>
              <w:widowControl/>
              <w:jc w:val="left"/>
              <w:rPr>
                <w:rFonts w:cs="宋体"/>
              </w:rPr>
            </w:pPr>
          </w:p>
        </w:tc>
        <w:tc>
          <w:tcPr>
            <w:tcW w:w="743" w:type="dxa"/>
            <w:vMerge w:val="continue"/>
            <w:vAlign w:val="center"/>
          </w:tcPr>
          <w:p>
            <w:pPr>
              <w:widowControl/>
              <w:jc w:val="left"/>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1692" w:type="dxa"/>
            <w:vMerge w:val="restart"/>
            <w:vAlign w:val="center"/>
          </w:tcPr>
          <w:p>
            <w:pPr>
              <w:jc w:val="center"/>
              <w:rPr>
                <w:rFonts w:cs="宋体"/>
              </w:rPr>
            </w:pPr>
            <w:r>
              <w:rPr>
                <w:rFonts w:hint="eastAsia" w:cs="宋体"/>
              </w:rPr>
              <w:t>应急处置</w:t>
            </w:r>
          </w:p>
        </w:tc>
        <w:tc>
          <w:tcPr>
            <w:tcW w:w="5292" w:type="dxa"/>
            <w:gridSpan w:val="3"/>
            <w:vAlign w:val="center"/>
          </w:tcPr>
          <w:p>
            <w:pPr>
              <w:rPr>
                <w:rFonts w:cs="宋体"/>
              </w:rPr>
            </w:pPr>
            <w:r>
              <w:rPr>
                <w:rFonts w:hint="eastAsia" w:cs="宋体"/>
              </w:rPr>
              <w:t>若在罐内：立即上报加油站站长，并加强罐内通风，在保证安全的条件将伤者从罐内转移到安全的地方。</w:t>
            </w:r>
          </w:p>
          <w:p>
            <w:pPr>
              <w:rPr>
                <w:rFonts w:cs="宋体"/>
              </w:rPr>
            </w:pPr>
            <w:r>
              <w:rPr>
                <w:rFonts w:hint="eastAsia" w:cs="宋体"/>
              </w:rPr>
              <w:t>罐外：在保证安全的条件将伤者从高浓度有害气体环境中转移到安全的地方。</w:t>
            </w:r>
          </w:p>
        </w:tc>
        <w:tc>
          <w:tcPr>
            <w:tcW w:w="743" w:type="dxa"/>
            <w:vAlign w:val="center"/>
          </w:tcPr>
          <w:p>
            <w:pPr>
              <w:jc w:val="center"/>
              <w:rPr>
                <w:rFonts w:cs="宋体"/>
              </w:rPr>
            </w:pPr>
            <w:r>
              <w:rPr>
                <w:rFonts w:hint="eastAsia" w:cs="宋体"/>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1692" w:type="dxa"/>
            <w:vMerge w:val="continue"/>
            <w:vAlign w:val="center"/>
          </w:tcPr>
          <w:p>
            <w:pPr>
              <w:widowControl/>
              <w:jc w:val="left"/>
              <w:rPr>
                <w:rFonts w:cs="宋体"/>
              </w:rPr>
            </w:pPr>
          </w:p>
        </w:tc>
        <w:tc>
          <w:tcPr>
            <w:tcW w:w="5292" w:type="dxa"/>
            <w:gridSpan w:val="3"/>
            <w:vAlign w:val="center"/>
          </w:tcPr>
          <w:p>
            <w:pPr>
              <w:rPr>
                <w:rFonts w:cs="宋体"/>
              </w:rPr>
            </w:pPr>
            <w:r>
              <w:rPr>
                <w:rFonts w:hint="eastAsia" w:cs="宋体"/>
              </w:rPr>
              <w:t xml:space="preserve">立即到达事故现场了解情况，指挥无关人员快速撤离事故现场，设置警戒区域，调集救援器材，组织人员进行现场救助。并报告企业负责人或应急救援指挥部，做好现场灭火处置工作。 </w:t>
            </w:r>
          </w:p>
        </w:tc>
        <w:tc>
          <w:tcPr>
            <w:tcW w:w="743" w:type="dxa"/>
            <w:vAlign w:val="center"/>
          </w:tcPr>
          <w:p>
            <w:pPr>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1692" w:type="dxa"/>
            <w:vAlign w:val="center"/>
          </w:tcPr>
          <w:p>
            <w:pPr>
              <w:jc w:val="center"/>
              <w:rPr>
                <w:rFonts w:cs="宋体"/>
              </w:rPr>
            </w:pPr>
            <w:r>
              <w:rPr>
                <w:rFonts w:hint="eastAsia" w:cs="宋体"/>
              </w:rPr>
              <w:t>人员救护</w:t>
            </w:r>
          </w:p>
        </w:tc>
        <w:tc>
          <w:tcPr>
            <w:tcW w:w="5292" w:type="dxa"/>
            <w:gridSpan w:val="3"/>
            <w:vAlign w:val="center"/>
          </w:tcPr>
          <w:p>
            <w:pPr>
              <w:rPr>
                <w:rFonts w:cs="宋体"/>
              </w:rPr>
            </w:pPr>
            <w:r>
              <w:rPr>
                <w:rFonts w:hint="eastAsia" w:cs="宋体"/>
              </w:rPr>
              <w:t>吸入:迅速脱离现场至空气新鲜处。保持呼吸道通畅。如呼吸困难，给输氧。如呼吸停止，立即进行人工呼吸。</w:t>
            </w:r>
          </w:p>
          <w:p>
            <w:pPr>
              <w:adjustRightInd w:val="0"/>
              <w:snapToGrid w:val="0"/>
              <w:rPr>
                <w:rFonts w:cs="宋体"/>
              </w:rPr>
            </w:pPr>
            <w:r>
              <w:rPr>
                <w:rFonts w:hint="eastAsia" w:cs="宋体"/>
              </w:rPr>
              <w:t>窒息：解开窒息者领口、腰带、文胸使呼吸顺畅并马上进行外胸按摸或人工呼吸，用现场配备的氧气呼吸器为中毒者输氧；如果是由皮肤吸入毒物的中毒者，应立即用大量微热的清水冲洗被污染的皮肤</w:t>
            </w:r>
          </w:p>
          <w:p>
            <w:pPr>
              <w:adjustRightInd w:val="0"/>
              <w:snapToGrid w:val="0"/>
              <w:rPr>
                <w:rFonts w:cs="宋体"/>
              </w:rPr>
            </w:pPr>
            <w:r>
              <w:rPr>
                <w:rFonts w:hint="eastAsia" w:cs="宋体"/>
              </w:rPr>
              <w:t>抢救受伤严重或在进行抢救伤员的同时，应及时拨打急救中心电话（120），由医务人员进行现场抢救伤员的工作，并派人接应急救车辆。</w:t>
            </w:r>
          </w:p>
        </w:tc>
        <w:tc>
          <w:tcPr>
            <w:tcW w:w="743" w:type="dxa"/>
            <w:vAlign w:val="center"/>
          </w:tcPr>
          <w:p>
            <w:pPr>
              <w:jc w:val="center"/>
              <w:rPr>
                <w:rFonts w:cs="宋体"/>
              </w:rPr>
            </w:pPr>
            <w:r>
              <w:rPr>
                <w:rFonts w:hint="eastAsia" w:cs="宋体"/>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1692" w:type="dxa"/>
            <w:vAlign w:val="center"/>
          </w:tcPr>
          <w:p>
            <w:pPr>
              <w:jc w:val="center"/>
              <w:rPr>
                <w:rFonts w:cs="宋体"/>
              </w:rPr>
            </w:pPr>
            <w:r>
              <w:rPr>
                <w:rFonts w:hint="eastAsia" w:cs="宋体"/>
              </w:rPr>
              <w:t>救援接应</w:t>
            </w:r>
          </w:p>
        </w:tc>
        <w:tc>
          <w:tcPr>
            <w:tcW w:w="5292" w:type="dxa"/>
            <w:gridSpan w:val="3"/>
            <w:vAlign w:val="center"/>
          </w:tcPr>
          <w:p>
            <w:pPr>
              <w:spacing w:line="360" w:lineRule="auto"/>
              <w:rPr>
                <w:rFonts w:cs="宋体"/>
              </w:rPr>
            </w:pPr>
            <w:r>
              <w:rPr>
                <w:rFonts w:hint="eastAsia" w:cs="宋体"/>
              </w:rPr>
              <w:t>打开应急救援通道，指派专人引导救援力量到达。</w:t>
            </w:r>
          </w:p>
        </w:tc>
        <w:tc>
          <w:tcPr>
            <w:tcW w:w="743" w:type="dxa"/>
            <w:vAlign w:val="center"/>
          </w:tcPr>
          <w:p>
            <w:pPr>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3214" w:type="dxa"/>
            <w:gridSpan w:val="3"/>
            <w:vAlign w:val="center"/>
          </w:tcPr>
          <w:p>
            <w:pPr>
              <w:jc w:val="center"/>
              <w:rPr>
                <w:rFonts w:cs="宋体"/>
              </w:rPr>
            </w:pPr>
            <w:r>
              <w:rPr>
                <w:rFonts w:hint="eastAsia" w:cs="宋体"/>
              </w:rPr>
              <w:t>应急扩大</w:t>
            </w:r>
          </w:p>
          <w:p>
            <w:pPr>
              <w:jc w:val="center"/>
              <w:rPr>
                <w:rFonts w:cs="宋体"/>
              </w:rPr>
            </w:pPr>
            <w:r>
              <w:rPr>
                <w:rFonts w:hint="eastAsia" w:cs="宋体"/>
              </w:rPr>
              <w:t>（应急处置失败或人员伤亡扩大）</w:t>
            </w:r>
          </w:p>
        </w:tc>
        <w:tc>
          <w:tcPr>
            <w:tcW w:w="3770" w:type="dxa"/>
            <w:vAlign w:val="center"/>
          </w:tcPr>
          <w:p>
            <w:pPr>
              <w:rPr>
                <w:rFonts w:cs="宋体"/>
              </w:rPr>
            </w:pPr>
            <w:r>
              <w:rPr>
                <w:rFonts w:hint="eastAsia" w:cs="宋体"/>
              </w:rPr>
              <w:t>请求启动上一级应急救援预案。</w:t>
            </w:r>
          </w:p>
        </w:tc>
        <w:tc>
          <w:tcPr>
            <w:tcW w:w="743" w:type="dxa"/>
            <w:vAlign w:val="center"/>
          </w:tcPr>
          <w:p>
            <w:pPr>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1692" w:type="dxa"/>
            <w:vAlign w:val="center"/>
          </w:tcPr>
          <w:p>
            <w:pPr>
              <w:jc w:val="center"/>
              <w:rPr>
                <w:rFonts w:cs="宋体"/>
              </w:rPr>
            </w:pPr>
            <w:r>
              <w:rPr>
                <w:rFonts w:hint="eastAsia" w:cs="宋体"/>
              </w:rPr>
              <w:t>处置流程</w:t>
            </w:r>
          </w:p>
        </w:tc>
        <w:tc>
          <w:tcPr>
            <w:tcW w:w="6035" w:type="dxa"/>
            <w:gridSpan w:val="4"/>
            <w:vAlign w:val="center"/>
          </w:tcPr>
          <w:p>
            <w:pPr>
              <w:rPr>
                <w:rFonts w:cs="宋体"/>
              </w:rPr>
            </w:pPr>
            <w:r>
              <w:rPr>
                <w:rFonts w:hint="eastAsia" w:cs="宋体"/>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1692" w:type="dxa"/>
            <w:vAlign w:val="center"/>
          </w:tcPr>
          <w:p>
            <w:pPr>
              <w:jc w:val="center"/>
              <w:rPr>
                <w:rFonts w:cs="宋体"/>
              </w:rPr>
            </w:pPr>
            <w:r>
              <w:rPr>
                <w:rFonts w:hint="eastAsia" w:cs="宋体"/>
              </w:rPr>
              <w:t>具体处置措施</w:t>
            </w:r>
          </w:p>
        </w:tc>
        <w:tc>
          <w:tcPr>
            <w:tcW w:w="6035" w:type="dxa"/>
            <w:gridSpan w:val="4"/>
            <w:vAlign w:val="center"/>
          </w:tcPr>
          <w:p>
            <w:pPr>
              <w:rPr>
                <w:rFonts w:cs="宋体"/>
              </w:rPr>
            </w:pPr>
            <w:r>
              <w:rPr>
                <w:rFonts w:hint="eastAsia" w:cs="宋体"/>
              </w:rPr>
              <w:t>1、发生在罐外时：</w:t>
            </w:r>
          </w:p>
          <w:p>
            <w:pPr>
              <w:rPr>
                <w:rFonts w:cs="宋体"/>
              </w:rPr>
            </w:pPr>
            <w:r>
              <w:rPr>
                <w:rFonts w:hint="eastAsia" w:cs="宋体"/>
              </w:rPr>
              <w:t>由于有毒有害危险化学品跑冒滴漏引起的，则切断泄漏源；并加强通风。</w:t>
            </w:r>
          </w:p>
          <w:p>
            <w:pPr>
              <w:rPr>
                <w:rFonts w:cs="宋体"/>
              </w:rPr>
            </w:pPr>
            <w:r>
              <w:rPr>
                <w:rFonts w:hint="eastAsia" w:cs="宋体"/>
              </w:rPr>
              <w:t>救护人员做好自身防护措施后将中毒窒息人员脱离危险地点。</w:t>
            </w:r>
          </w:p>
          <w:p>
            <w:pPr>
              <w:rPr>
                <w:rFonts w:cs="宋体"/>
              </w:rPr>
            </w:pPr>
            <w:r>
              <w:rPr>
                <w:rFonts w:hint="eastAsia" w:cs="宋体"/>
              </w:rPr>
              <w:t>伤员转移至通风处，松开衣服。当伤者呼吸停止时，施行人工呼吸；心脏停止跳动时，施行胸外按压，促使自动恢复呼吸；严重者就近送往医院。</w:t>
            </w:r>
          </w:p>
          <w:p>
            <w:pPr>
              <w:rPr>
                <w:rFonts w:cs="宋体"/>
              </w:rPr>
            </w:pPr>
            <w:r>
              <w:rPr>
                <w:rFonts w:hint="eastAsia" w:cs="宋体"/>
              </w:rPr>
              <w:t>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rPr>
                <w:rFonts w:cs="宋体"/>
              </w:rPr>
            </w:pPr>
            <w:r>
              <w:rPr>
                <w:rFonts w:hint="eastAsia" w:cs="宋体"/>
              </w:rPr>
              <w:t>当事故现场得以控制，导致次生、衍生事故隐患消除后，事故现场清理后恢复运营。</w:t>
            </w:r>
          </w:p>
          <w:p>
            <w:pPr>
              <w:rPr>
                <w:rFonts w:cs="宋体"/>
              </w:rPr>
            </w:pPr>
            <w:r>
              <w:rPr>
                <w:rFonts w:hint="eastAsia" w:cs="宋体"/>
              </w:rPr>
              <w:t>2、发生在罐内时：</w:t>
            </w:r>
          </w:p>
          <w:p>
            <w:pPr>
              <w:spacing w:line="360" w:lineRule="auto"/>
              <w:ind w:firstLine="480"/>
              <w:rPr>
                <w:rFonts w:cs="宋体"/>
              </w:rPr>
            </w:pPr>
            <w:r>
              <w:rPr>
                <w:rFonts w:hint="eastAsia" w:cs="宋体"/>
              </w:rPr>
              <w:t>由于罐等有限空间内检修引起的，使用通风设施进行通风，救护人员做好自身防护措施后将窒息人员脱离危险地点。其余处置措施同上。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1692" w:type="dxa"/>
            <w:vAlign w:val="center"/>
          </w:tcPr>
          <w:p>
            <w:pPr>
              <w:jc w:val="center"/>
              <w:rPr>
                <w:rFonts w:cs="宋体"/>
              </w:rPr>
            </w:pPr>
            <w:r>
              <w:rPr>
                <w:rFonts w:hint="eastAsia" w:cs="宋体"/>
              </w:rPr>
              <w:t>事故报告</w:t>
            </w:r>
          </w:p>
        </w:tc>
        <w:tc>
          <w:tcPr>
            <w:tcW w:w="6035" w:type="dxa"/>
            <w:gridSpan w:val="4"/>
            <w:vAlign w:val="center"/>
          </w:tcPr>
          <w:p>
            <w:pPr>
              <w:rPr>
                <w:rFonts w:cs="宋体"/>
              </w:rPr>
            </w:pPr>
            <w:r>
              <w:rPr>
                <w:rFonts w:hint="eastAsia" w:cs="宋体"/>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1692" w:type="dxa"/>
            <w:vAlign w:val="center"/>
          </w:tcPr>
          <w:p>
            <w:pPr>
              <w:jc w:val="center"/>
              <w:rPr>
                <w:rFonts w:cs="宋体"/>
              </w:rPr>
            </w:pPr>
            <w:r>
              <w:rPr>
                <w:rFonts w:hint="eastAsia" w:cs="宋体"/>
              </w:rPr>
              <w:t>现场恢复</w:t>
            </w:r>
          </w:p>
        </w:tc>
        <w:tc>
          <w:tcPr>
            <w:tcW w:w="6035" w:type="dxa"/>
            <w:gridSpan w:val="4"/>
            <w:vAlign w:val="center"/>
          </w:tcPr>
          <w:p>
            <w:pPr>
              <w:rPr>
                <w:rFonts w:cs="宋体"/>
              </w:rPr>
            </w:pPr>
            <w:r>
              <w:rPr>
                <w:rFonts w:hint="eastAsia" w:cs="宋体"/>
              </w:rPr>
              <w:t>查明原因，采取有效措施，达到生产设施要求后方可运行。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restart"/>
            <w:vAlign w:val="center"/>
          </w:tcPr>
          <w:p>
            <w:pPr>
              <w:rPr>
                <w:rFonts w:cs="宋体"/>
              </w:rPr>
            </w:pPr>
            <w:r>
              <w:rPr>
                <w:rFonts w:hint="eastAsia" w:cs="宋体"/>
              </w:rPr>
              <w:t>注</w:t>
            </w:r>
          </w:p>
          <w:p>
            <w:pPr>
              <w:rPr>
                <w:rFonts w:cs="宋体"/>
              </w:rPr>
            </w:pPr>
            <w:r>
              <w:rPr>
                <w:rFonts w:hint="eastAsia" w:cs="宋体"/>
              </w:rPr>
              <w:t>意</w:t>
            </w:r>
          </w:p>
          <w:p>
            <w:pPr>
              <w:rPr>
                <w:rFonts w:cs="宋体"/>
              </w:rPr>
            </w:pPr>
            <w:r>
              <w:rPr>
                <w:rFonts w:hint="eastAsia" w:cs="宋体"/>
              </w:rPr>
              <w:t>事</w:t>
            </w:r>
          </w:p>
          <w:p>
            <w:pPr>
              <w:rPr>
                <w:rFonts w:cs="宋体"/>
              </w:rPr>
            </w:pPr>
            <w:r>
              <w:rPr>
                <w:rFonts w:hint="eastAsia" w:cs="宋体"/>
              </w:rPr>
              <w:t>项</w:t>
            </w:r>
          </w:p>
        </w:tc>
        <w:tc>
          <w:tcPr>
            <w:tcW w:w="1692" w:type="dxa"/>
            <w:vAlign w:val="center"/>
          </w:tcPr>
          <w:p>
            <w:pPr>
              <w:ind w:firstLine="315" w:firstLineChars="150"/>
              <w:rPr>
                <w:rFonts w:cs="宋体"/>
              </w:rPr>
            </w:pPr>
            <w:r>
              <w:rPr>
                <w:rFonts w:hint="eastAsia" w:cs="宋体"/>
              </w:rPr>
              <w:t>防护器具</w:t>
            </w:r>
          </w:p>
        </w:tc>
        <w:tc>
          <w:tcPr>
            <w:tcW w:w="6035" w:type="dxa"/>
            <w:gridSpan w:val="4"/>
            <w:vAlign w:val="center"/>
          </w:tcPr>
          <w:p>
            <w:pPr>
              <w:rPr>
                <w:rFonts w:cs="宋体"/>
              </w:rPr>
            </w:pPr>
            <w:r>
              <w:rPr>
                <w:rFonts w:hint="eastAsia" w:cs="宋体"/>
              </w:rPr>
              <w:t>呼吸系统防护:空气中浓度超标时，建议佩戴过滤式防毒面具（半面罩）。紧急事态抢救时，必须佩戴空气呼吸器。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1692" w:type="dxa"/>
            <w:vAlign w:val="center"/>
          </w:tcPr>
          <w:p>
            <w:pPr>
              <w:jc w:val="center"/>
              <w:rPr>
                <w:rFonts w:cs="宋体"/>
              </w:rPr>
            </w:pPr>
            <w:r>
              <w:rPr>
                <w:rFonts w:hint="eastAsia" w:cs="宋体"/>
              </w:rPr>
              <w:t>救援器材</w:t>
            </w:r>
          </w:p>
        </w:tc>
        <w:tc>
          <w:tcPr>
            <w:tcW w:w="6035" w:type="dxa"/>
            <w:gridSpan w:val="4"/>
            <w:vAlign w:val="center"/>
          </w:tcPr>
          <w:p>
            <w:pPr>
              <w:rPr>
                <w:rFonts w:cs="宋体"/>
              </w:rPr>
            </w:pPr>
            <w:r>
              <w:rPr>
                <w:rFonts w:hint="eastAsia" w:cs="宋体"/>
              </w:rPr>
              <w:t>正压式空气呼吸器，防毒面具。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1692" w:type="dxa"/>
            <w:vAlign w:val="center"/>
          </w:tcPr>
          <w:p>
            <w:pPr>
              <w:ind w:firstLine="315" w:firstLineChars="150"/>
              <w:rPr>
                <w:rFonts w:cs="宋体"/>
              </w:rPr>
            </w:pPr>
            <w:r>
              <w:rPr>
                <w:rFonts w:hint="eastAsia" w:cs="宋体"/>
              </w:rPr>
              <w:t>救援对策</w:t>
            </w:r>
          </w:p>
          <w:p>
            <w:pPr>
              <w:jc w:val="center"/>
              <w:rPr>
                <w:rFonts w:cs="宋体"/>
              </w:rPr>
            </w:pPr>
          </w:p>
        </w:tc>
        <w:tc>
          <w:tcPr>
            <w:tcW w:w="6035" w:type="dxa"/>
            <w:gridSpan w:val="4"/>
            <w:vAlign w:val="center"/>
          </w:tcPr>
          <w:p>
            <w:pPr>
              <w:rPr>
                <w:rFonts w:cs="宋体"/>
              </w:rPr>
            </w:pPr>
            <w:r>
              <w:rPr>
                <w:rFonts w:hint="eastAsia" w:cs="宋体"/>
              </w:rPr>
              <w:t>1、应急救援时，应贯彻“以人为本”的原则，先抢救受伤人员。</w:t>
            </w:r>
          </w:p>
          <w:p>
            <w:pPr>
              <w:rPr>
                <w:rFonts w:cs="宋体"/>
              </w:rPr>
            </w:pPr>
            <w:r>
              <w:rPr>
                <w:rFonts w:hint="eastAsia" w:cs="宋体"/>
              </w:rPr>
              <w:t>2、应急救援时应注意，防止事故扩大。</w:t>
            </w:r>
          </w:p>
          <w:p>
            <w:pPr>
              <w:rPr>
                <w:rFonts w:cs="宋体"/>
              </w:rPr>
            </w:pPr>
            <w:r>
              <w:rPr>
                <w:rFonts w:hint="eastAsia" w:cs="宋体"/>
              </w:rPr>
              <w:t>3、应急救援人员必须采取可靠的安全防护措施后方可进入现场，参加应急救援行动。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1692" w:type="dxa"/>
            <w:vAlign w:val="center"/>
          </w:tcPr>
          <w:p>
            <w:pPr>
              <w:jc w:val="center"/>
              <w:rPr>
                <w:rFonts w:cs="宋体"/>
              </w:rPr>
            </w:pPr>
            <w:r>
              <w:rPr>
                <w:rFonts w:hint="eastAsia" w:cs="宋体"/>
              </w:rPr>
              <w:t>自救与互救</w:t>
            </w:r>
          </w:p>
        </w:tc>
        <w:tc>
          <w:tcPr>
            <w:tcW w:w="6035" w:type="dxa"/>
            <w:gridSpan w:val="4"/>
            <w:vAlign w:val="center"/>
          </w:tcPr>
          <w:p>
            <w:pPr>
              <w:rPr>
                <w:rFonts w:cs="宋体"/>
              </w:rPr>
            </w:pPr>
            <w:r>
              <w:rPr>
                <w:rFonts w:hint="eastAsia" w:cs="宋体"/>
              </w:rPr>
              <w:t>1、在空气呼吸器发出警报时，应立即退出毒区。</w:t>
            </w:r>
          </w:p>
          <w:p>
            <w:pPr>
              <w:rPr>
                <w:rFonts w:cs="宋体"/>
              </w:rPr>
            </w:pPr>
            <w:r>
              <w:rPr>
                <w:rFonts w:hint="eastAsia" w:cs="宋体"/>
              </w:rPr>
              <w:t>2、使用滤毒罐时，一旦闻到刺激性气味应立即退出毒区。</w:t>
            </w:r>
          </w:p>
          <w:p>
            <w:pPr>
              <w:rPr>
                <w:rFonts w:cs="宋体"/>
              </w:rPr>
            </w:pPr>
            <w:r>
              <w:rPr>
                <w:rFonts w:hint="eastAsia" w:cs="宋体"/>
              </w:rPr>
              <w:t>3、嗅觉不灵敏者不能使用滤毒罐。</w:t>
            </w:r>
          </w:p>
          <w:p>
            <w:pPr>
              <w:rPr>
                <w:rFonts w:cs="宋体"/>
              </w:rPr>
            </w:pPr>
            <w:r>
              <w:rPr>
                <w:rFonts w:hint="eastAsia" w:cs="宋体"/>
              </w:rPr>
              <w:t>4、在使用保护器具前，切记要进行气密性检查。</w:t>
            </w:r>
          </w:p>
          <w:p>
            <w:pPr>
              <w:rPr>
                <w:rFonts w:cs="宋体"/>
              </w:rPr>
            </w:pPr>
            <w:r>
              <w:rPr>
                <w:rFonts w:hint="eastAsia" w:cs="宋体"/>
              </w:rPr>
              <w:t>5、如事故发生在夜间或无照明区域，应迅速解决临时照明。</w:t>
            </w:r>
          </w:p>
          <w:p>
            <w:pPr>
              <w:rPr>
                <w:rFonts w:cs="宋体"/>
              </w:rPr>
            </w:pPr>
            <w:r>
              <w:rPr>
                <w:rFonts w:hint="eastAsia" w:cs="宋体"/>
              </w:rPr>
              <w:t>6、护送受伤者迅速脱离事故现场，至空气流通处，安静平卧，解开衣服以利呼吸，严密观察，等待医生前来救治（较轻者）。</w:t>
            </w:r>
          </w:p>
          <w:p>
            <w:pPr>
              <w:rPr>
                <w:rFonts w:cs="宋体"/>
              </w:rPr>
            </w:pPr>
            <w:r>
              <w:rPr>
                <w:rFonts w:hint="eastAsia" w:cs="宋体"/>
              </w:rPr>
              <w:t>7、伤势严重者呼吸停止时，应立即施行人工呼吸和心脏按压复苏，并速请医生诊治或立即送往医院。</w:t>
            </w:r>
          </w:p>
          <w:p>
            <w:pPr>
              <w:rPr>
                <w:rFonts w:cs="宋体"/>
              </w:rPr>
            </w:pPr>
            <w:r>
              <w:rPr>
                <w:rFonts w:hint="eastAsia" w:cs="宋体"/>
              </w:rPr>
              <w:t>8、在专业救援人员到来之前，对受伤者的急救不能终止。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1692" w:type="dxa"/>
            <w:vAlign w:val="center"/>
          </w:tcPr>
          <w:p>
            <w:pPr>
              <w:jc w:val="center"/>
              <w:rPr>
                <w:rFonts w:cs="宋体"/>
              </w:rPr>
            </w:pPr>
            <w:r>
              <w:rPr>
                <w:rFonts w:hint="eastAsia" w:cs="宋体"/>
              </w:rPr>
              <w:t>人员能力</w:t>
            </w:r>
          </w:p>
        </w:tc>
        <w:tc>
          <w:tcPr>
            <w:tcW w:w="6035" w:type="dxa"/>
            <w:gridSpan w:val="4"/>
            <w:vAlign w:val="center"/>
          </w:tcPr>
          <w:p>
            <w:pPr>
              <w:rPr>
                <w:rFonts w:cs="宋体"/>
              </w:rPr>
            </w:pPr>
            <w:r>
              <w:rPr>
                <w:rFonts w:hint="eastAsia" w:cs="宋体"/>
              </w:rPr>
              <w:t>1、个人无把握处置时，立即呼叫周围人员共同处理。</w:t>
            </w:r>
          </w:p>
          <w:p>
            <w:pPr>
              <w:rPr>
                <w:rFonts w:cs="宋体"/>
              </w:rPr>
            </w:pPr>
            <w:r>
              <w:rPr>
                <w:rFonts w:hint="eastAsia" w:cs="宋体"/>
              </w:rPr>
              <w:t>2、进入事故现场救援必须保证2人以上，严禁单独行动。</w:t>
            </w:r>
          </w:p>
          <w:p>
            <w:pPr>
              <w:rPr>
                <w:rFonts w:cs="宋体"/>
              </w:rPr>
            </w:pPr>
            <w:r>
              <w:rPr>
                <w:rFonts w:hint="eastAsia" w:cs="宋体"/>
              </w:rPr>
              <w:t>3、进入现场人员身体素质要过硬，没有生病或身体不适。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1692" w:type="dxa"/>
            <w:vAlign w:val="center"/>
          </w:tcPr>
          <w:p>
            <w:pPr>
              <w:jc w:val="center"/>
              <w:rPr>
                <w:rFonts w:cs="宋体"/>
              </w:rPr>
            </w:pPr>
            <w:r>
              <w:rPr>
                <w:rFonts w:hint="eastAsia" w:cs="宋体"/>
              </w:rPr>
              <w:t>救援结束</w:t>
            </w:r>
          </w:p>
        </w:tc>
        <w:tc>
          <w:tcPr>
            <w:tcW w:w="6035" w:type="dxa"/>
            <w:gridSpan w:val="4"/>
            <w:vAlign w:val="center"/>
          </w:tcPr>
          <w:p>
            <w:pPr>
              <w:rPr>
                <w:rFonts w:cs="宋体"/>
              </w:rPr>
            </w:pPr>
            <w:r>
              <w:rPr>
                <w:rFonts w:hint="eastAsia" w:cs="宋体"/>
              </w:rPr>
              <w:t>1、险情排除后，组织相关人员对现场进行认真地检查，防止遗漏，再次造成事故。</w:t>
            </w:r>
          </w:p>
          <w:p>
            <w:pPr>
              <w:rPr>
                <w:rFonts w:cs="宋体"/>
              </w:rPr>
            </w:pPr>
            <w:r>
              <w:rPr>
                <w:rFonts w:hint="eastAsia" w:cs="宋体"/>
              </w:rPr>
              <w:t xml:space="preserve">2、保护好现场，以便查清事故原因，吸取教训，制定防范措施. </w:t>
            </w:r>
          </w:p>
          <w:p>
            <w:pPr>
              <w:rPr>
                <w:rFonts w:cs="宋体"/>
              </w:rPr>
            </w:pPr>
            <w:r>
              <w:rPr>
                <w:rFonts w:hint="eastAsia" w:cs="宋体"/>
              </w:rPr>
              <w:t>3、征得有关部门同意后，对现场进行彻底清洗处理，人员、设备、现场卫生，全面到位。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1692" w:type="dxa"/>
            <w:vAlign w:val="center"/>
          </w:tcPr>
          <w:p>
            <w:pPr>
              <w:jc w:val="center"/>
              <w:rPr>
                <w:rFonts w:cs="宋体"/>
              </w:rPr>
            </w:pPr>
            <w:r>
              <w:rPr>
                <w:rFonts w:hint="eastAsia" w:cs="宋体"/>
              </w:rPr>
              <w:t>特别警示</w:t>
            </w:r>
          </w:p>
        </w:tc>
        <w:tc>
          <w:tcPr>
            <w:tcW w:w="6035" w:type="dxa"/>
            <w:gridSpan w:val="4"/>
            <w:vAlign w:val="center"/>
          </w:tcPr>
          <w:p>
            <w:pPr>
              <w:numPr>
                <w:ilvl w:val="0"/>
                <w:numId w:val="9"/>
              </w:numPr>
              <w:rPr>
                <w:rFonts w:cs="宋体"/>
              </w:rPr>
            </w:pPr>
            <w:r>
              <w:rPr>
                <w:rFonts w:hint="eastAsia" w:cs="宋体"/>
              </w:rPr>
              <w:t>保持救援电话畅通；</w:t>
            </w:r>
          </w:p>
          <w:p>
            <w:pPr>
              <w:numPr>
                <w:ilvl w:val="0"/>
                <w:numId w:val="9"/>
              </w:numPr>
              <w:rPr>
                <w:rFonts w:cs="宋体"/>
              </w:rPr>
            </w:pPr>
            <w:r>
              <w:rPr>
                <w:rFonts w:hint="eastAsia" w:cs="宋体"/>
              </w:rPr>
              <w:t>对应急救援器材进行经常性的检查和保养；</w:t>
            </w:r>
          </w:p>
          <w:p>
            <w:pPr>
              <w:numPr>
                <w:ilvl w:val="0"/>
                <w:numId w:val="9"/>
              </w:numPr>
              <w:rPr>
                <w:rFonts w:cs="宋体"/>
              </w:rPr>
            </w:pPr>
            <w:r>
              <w:rPr>
                <w:rFonts w:hint="eastAsia" w:cs="宋体"/>
              </w:rPr>
              <w:t>应急疏散时的人数查点；</w:t>
            </w:r>
          </w:p>
          <w:p>
            <w:pPr>
              <w:rPr>
                <w:rFonts w:cs="宋体"/>
              </w:rPr>
            </w:pPr>
            <w:r>
              <w:rPr>
                <w:rFonts w:hint="eastAsia" w:cs="宋体"/>
              </w:rPr>
              <w:t>4、救援结束后的人员、物资查点。</w:t>
            </w:r>
          </w:p>
        </w:tc>
      </w:tr>
    </w:tbl>
    <w:p>
      <w:pPr>
        <w:rPr>
          <w:rFonts w:cs="宋体"/>
        </w:rPr>
      </w:pPr>
    </w:p>
    <w:p>
      <w:pPr>
        <w:pStyle w:val="3"/>
        <w:rPr>
          <w:rFonts w:eastAsia="宋体" w:cs="宋体"/>
        </w:rPr>
      </w:pPr>
      <w:bookmarkStart w:id="885" w:name="_Toc338079398"/>
      <w:bookmarkEnd w:id="885"/>
      <w:bookmarkStart w:id="886" w:name="_Toc504989639"/>
      <w:bookmarkStart w:id="887" w:name="_Toc530594672"/>
      <w:bookmarkStart w:id="888" w:name="_Toc14436"/>
      <w:bookmarkStart w:id="889" w:name="_Toc14859"/>
      <w:bookmarkStart w:id="890" w:name="_Toc17073"/>
      <w:bookmarkStart w:id="891" w:name="_Toc28355"/>
      <w:r>
        <w:rPr>
          <w:rFonts w:hint="eastAsia" w:eastAsia="宋体" w:cs="宋体"/>
        </w:rPr>
        <w:t>三、火灾、爆炸（含电气火灾）现场处置方案</w:t>
      </w:r>
      <w:bookmarkEnd w:id="886"/>
      <w:bookmarkEnd w:id="887"/>
      <w:bookmarkEnd w:id="888"/>
      <w:bookmarkEnd w:id="889"/>
      <w:bookmarkEnd w:id="890"/>
      <w:bookmarkEnd w:id="891"/>
    </w:p>
    <w:tbl>
      <w:tblPr>
        <w:tblStyle w:val="35"/>
        <w:tblW w:w="81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1695"/>
        <w:gridCol w:w="601"/>
        <w:gridCol w:w="813"/>
        <w:gridCol w:w="3506"/>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612" w:type="dxa"/>
            <w:vMerge w:val="restart"/>
            <w:vAlign w:val="center"/>
          </w:tcPr>
          <w:p>
            <w:pPr>
              <w:jc w:val="center"/>
              <w:rPr>
                <w:rFonts w:cs="宋体"/>
                <w:b/>
                <w:bCs/>
              </w:rPr>
            </w:pPr>
            <w:r>
              <w:rPr>
                <w:rFonts w:hint="eastAsia" w:cs="宋体"/>
                <w:b/>
                <w:bCs/>
              </w:rPr>
              <w:t>事</w:t>
            </w:r>
          </w:p>
          <w:p>
            <w:pPr>
              <w:jc w:val="center"/>
              <w:rPr>
                <w:rFonts w:cs="宋体"/>
                <w:b/>
                <w:bCs/>
              </w:rPr>
            </w:pPr>
            <w:r>
              <w:rPr>
                <w:rFonts w:hint="eastAsia" w:cs="宋体"/>
                <w:b/>
                <w:bCs/>
              </w:rPr>
              <w:t>故</w:t>
            </w:r>
          </w:p>
          <w:p>
            <w:pPr>
              <w:jc w:val="center"/>
              <w:rPr>
                <w:rFonts w:cs="宋体"/>
                <w:b/>
                <w:bCs/>
              </w:rPr>
            </w:pPr>
            <w:r>
              <w:rPr>
                <w:rFonts w:hint="eastAsia" w:cs="宋体"/>
                <w:b/>
                <w:bCs/>
              </w:rPr>
              <w:t>特</w:t>
            </w:r>
          </w:p>
          <w:p>
            <w:pPr>
              <w:jc w:val="center"/>
              <w:rPr>
                <w:rFonts w:cs="宋体"/>
                <w:b/>
                <w:bCs/>
              </w:rPr>
            </w:pPr>
            <w:r>
              <w:rPr>
                <w:rFonts w:hint="eastAsia" w:cs="宋体"/>
                <w:b/>
                <w:bCs/>
              </w:rPr>
              <w:t>征</w:t>
            </w:r>
          </w:p>
        </w:tc>
        <w:tc>
          <w:tcPr>
            <w:tcW w:w="2296" w:type="dxa"/>
            <w:gridSpan w:val="2"/>
            <w:vAlign w:val="center"/>
          </w:tcPr>
          <w:p>
            <w:pPr>
              <w:jc w:val="center"/>
              <w:rPr>
                <w:rFonts w:cs="宋体"/>
              </w:rPr>
            </w:pPr>
            <w:r>
              <w:rPr>
                <w:rFonts w:hint="eastAsia" w:cs="宋体"/>
              </w:rPr>
              <w:t>区域（装置）名称</w:t>
            </w:r>
          </w:p>
        </w:tc>
        <w:tc>
          <w:tcPr>
            <w:tcW w:w="5204" w:type="dxa"/>
            <w:gridSpan w:val="3"/>
            <w:vAlign w:val="center"/>
          </w:tcPr>
          <w:p>
            <w:pPr>
              <w:rPr>
                <w:rFonts w:cs="宋体"/>
              </w:rPr>
            </w:pPr>
            <w:r>
              <w:rPr>
                <w:rFonts w:hint="eastAsia" w:cs="宋体"/>
              </w:rPr>
              <w:t>罐区、加油区、含电气设备区域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612" w:type="dxa"/>
            <w:vMerge w:val="continue"/>
            <w:vAlign w:val="center"/>
          </w:tcPr>
          <w:p>
            <w:pPr>
              <w:widowControl/>
              <w:jc w:val="left"/>
              <w:rPr>
                <w:rFonts w:cs="宋体"/>
                <w:b/>
                <w:bCs/>
              </w:rPr>
            </w:pPr>
          </w:p>
        </w:tc>
        <w:tc>
          <w:tcPr>
            <w:tcW w:w="2296" w:type="dxa"/>
            <w:gridSpan w:val="2"/>
            <w:vAlign w:val="center"/>
          </w:tcPr>
          <w:p>
            <w:pPr>
              <w:jc w:val="center"/>
              <w:rPr>
                <w:rFonts w:cs="宋体"/>
              </w:rPr>
            </w:pPr>
            <w:r>
              <w:rPr>
                <w:rFonts w:hint="eastAsia" w:cs="宋体"/>
              </w:rPr>
              <w:t>可能发生的事故类型</w:t>
            </w:r>
          </w:p>
        </w:tc>
        <w:tc>
          <w:tcPr>
            <w:tcW w:w="5204" w:type="dxa"/>
            <w:gridSpan w:val="3"/>
            <w:vAlign w:val="center"/>
          </w:tcPr>
          <w:p>
            <w:pPr>
              <w:rPr>
                <w:rFonts w:cs="宋体"/>
              </w:rPr>
            </w:pPr>
            <w:r>
              <w:rPr>
                <w:rFonts w:hint="eastAsia" w:cs="宋体"/>
              </w:rPr>
              <w:t>可燃物火灾爆炸，工艺、设施火灾爆炸、电器火灾爆炸。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612" w:type="dxa"/>
            <w:vMerge w:val="continue"/>
            <w:vAlign w:val="center"/>
          </w:tcPr>
          <w:p>
            <w:pPr>
              <w:widowControl/>
              <w:jc w:val="left"/>
              <w:rPr>
                <w:rFonts w:cs="宋体"/>
                <w:b/>
                <w:bCs/>
              </w:rPr>
            </w:pPr>
          </w:p>
        </w:tc>
        <w:tc>
          <w:tcPr>
            <w:tcW w:w="2296" w:type="dxa"/>
            <w:gridSpan w:val="2"/>
            <w:vAlign w:val="center"/>
          </w:tcPr>
          <w:p>
            <w:pPr>
              <w:jc w:val="center"/>
              <w:rPr>
                <w:rFonts w:cs="宋体"/>
              </w:rPr>
            </w:pPr>
            <w:r>
              <w:rPr>
                <w:rFonts w:hint="eastAsia" w:cs="宋体"/>
              </w:rPr>
              <w:t>可能发生的季节、时段</w:t>
            </w:r>
          </w:p>
        </w:tc>
        <w:tc>
          <w:tcPr>
            <w:tcW w:w="5204" w:type="dxa"/>
            <w:gridSpan w:val="3"/>
            <w:vAlign w:val="center"/>
          </w:tcPr>
          <w:p>
            <w:pPr>
              <w:rPr>
                <w:rFonts w:cs="宋体"/>
              </w:rPr>
            </w:pPr>
            <w:r>
              <w:rPr>
                <w:rFonts w:hint="eastAsia" w:cs="宋体"/>
              </w:rPr>
              <w:t>火灾事故多发生于干燥、高温的春夏季节，但生产作业活动引发的火灾事故则没有明显的季节特征。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612" w:type="dxa"/>
            <w:vMerge w:val="continue"/>
            <w:vAlign w:val="center"/>
          </w:tcPr>
          <w:p>
            <w:pPr>
              <w:widowControl/>
              <w:jc w:val="left"/>
              <w:rPr>
                <w:rFonts w:cs="宋体"/>
                <w:b/>
                <w:bCs/>
              </w:rPr>
            </w:pPr>
          </w:p>
        </w:tc>
        <w:tc>
          <w:tcPr>
            <w:tcW w:w="2296" w:type="dxa"/>
            <w:gridSpan w:val="2"/>
            <w:vAlign w:val="center"/>
          </w:tcPr>
          <w:p>
            <w:pPr>
              <w:jc w:val="center"/>
              <w:rPr>
                <w:rFonts w:cs="宋体"/>
              </w:rPr>
            </w:pPr>
            <w:r>
              <w:rPr>
                <w:rFonts w:hint="eastAsia" w:cs="宋体"/>
              </w:rPr>
              <w:t>事故征兆</w:t>
            </w:r>
          </w:p>
        </w:tc>
        <w:tc>
          <w:tcPr>
            <w:tcW w:w="5204" w:type="dxa"/>
            <w:gridSpan w:val="3"/>
            <w:vAlign w:val="center"/>
          </w:tcPr>
          <w:p>
            <w:pPr>
              <w:rPr>
                <w:rFonts w:cs="宋体"/>
              </w:rPr>
            </w:pPr>
            <w:r>
              <w:rPr>
                <w:rFonts w:hint="eastAsia" w:cs="宋体"/>
              </w:rPr>
              <w:t>如电源线产生火花，可燃气体探测器报警，违规动火，防雷、静电线接地不良等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5" w:hRule="atLeast"/>
          <w:jc w:val="center"/>
        </w:trPr>
        <w:tc>
          <w:tcPr>
            <w:tcW w:w="612" w:type="dxa"/>
            <w:vMerge w:val="continue"/>
            <w:vAlign w:val="center"/>
          </w:tcPr>
          <w:p>
            <w:pPr>
              <w:widowControl/>
              <w:jc w:val="left"/>
              <w:rPr>
                <w:rFonts w:cs="宋体"/>
                <w:b/>
                <w:bCs/>
              </w:rPr>
            </w:pPr>
          </w:p>
        </w:tc>
        <w:tc>
          <w:tcPr>
            <w:tcW w:w="2296" w:type="dxa"/>
            <w:gridSpan w:val="2"/>
            <w:vAlign w:val="center"/>
          </w:tcPr>
          <w:p>
            <w:pPr>
              <w:jc w:val="center"/>
              <w:rPr>
                <w:rFonts w:cs="宋体"/>
              </w:rPr>
            </w:pPr>
            <w:r>
              <w:rPr>
                <w:rFonts w:hint="eastAsia" w:cs="宋体"/>
              </w:rPr>
              <w:t>事故危害程度</w:t>
            </w:r>
          </w:p>
        </w:tc>
        <w:tc>
          <w:tcPr>
            <w:tcW w:w="5204" w:type="dxa"/>
            <w:gridSpan w:val="3"/>
            <w:vAlign w:val="center"/>
          </w:tcPr>
          <w:p>
            <w:pPr>
              <w:rPr>
                <w:rFonts w:cs="宋体"/>
              </w:rPr>
            </w:pPr>
            <w:r>
              <w:rPr>
                <w:rFonts w:hint="eastAsia" w:cs="宋体"/>
              </w:rPr>
              <w:t>在加油区和储罐区，存放易燃、可燃物质。这些易燃、可燃物质遇到明火时，就有可能发生火灾事故，可能造成财产损失和人员伤亡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612" w:type="dxa"/>
            <w:vMerge w:val="continue"/>
            <w:vAlign w:val="center"/>
          </w:tcPr>
          <w:p>
            <w:pPr>
              <w:widowControl/>
              <w:jc w:val="left"/>
              <w:rPr>
                <w:rFonts w:cs="宋体"/>
                <w:b/>
                <w:bCs/>
              </w:rPr>
            </w:pPr>
          </w:p>
        </w:tc>
        <w:tc>
          <w:tcPr>
            <w:tcW w:w="2296" w:type="dxa"/>
            <w:gridSpan w:val="2"/>
          </w:tcPr>
          <w:p>
            <w:pPr>
              <w:jc w:val="center"/>
              <w:rPr>
                <w:rFonts w:cs="宋体"/>
              </w:rPr>
            </w:pPr>
            <w:r>
              <w:rPr>
                <w:rFonts w:hint="eastAsia" w:cs="宋体"/>
              </w:rPr>
              <w:t>可能引发的次生、衍生事故</w:t>
            </w:r>
          </w:p>
        </w:tc>
        <w:tc>
          <w:tcPr>
            <w:tcW w:w="5204" w:type="dxa"/>
            <w:gridSpan w:val="3"/>
            <w:vAlign w:val="center"/>
          </w:tcPr>
          <w:p>
            <w:pPr>
              <w:rPr>
                <w:rFonts w:cs="宋体"/>
              </w:rPr>
            </w:pPr>
            <w:r>
              <w:rPr>
                <w:rFonts w:hint="eastAsia" w:cs="宋体"/>
              </w:rPr>
              <w:t>抢救及时可能减少人员伤亡及财产损失，事故控制不当，将波及周边居民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612" w:type="dxa"/>
            <w:vMerge w:val="continue"/>
            <w:vAlign w:val="center"/>
          </w:tcPr>
          <w:p>
            <w:pPr>
              <w:widowControl/>
              <w:jc w:val="left"/>
              <w:rPr>
                <w:rFonts w:cs="宋体"/>
                <w:b/>
                <w:bCs/>
              </w:rPr>
            </w:pPr>
          </w:p>
        </w:tc>
        <w:tc>
          <w:tcPr>
            <w:tcW w:w="2296" w:type="dxa"/>
            <w:gridSpan w:val="2"/>
          </w:tcPr>
          <w:p>
            <w:pPr>
              <w:jc w:val="center"/>
              <w:rPr>
                <w:rFonts w:cs="宋体"/>
              </w:rPr>
            </w:pPr>
            <w:r>
              <w:rPr>
                <w:rFonts w:hint="eastAsia" w:cs="宋体"/>
              </w:rPr>
              <w:t>事故影响范围</w:t>
            </w:r>
          </w:p>
        </w:tc>
        <w:tc>
          <w:tcPr>
            <w:tcW w:w="5204" w:type="dxa"/>
            <w:gridSpan w:val="3"/>
            <w:vAlign w:val="center"/>
          </w:tcPr>
          <w:p>
            <w:pPr>
              <w:rPr>
                <w:rFonts w:cs="宋体"/>
              </w:rPr>
            </w:pPr>
            <w:r>
              <w:rPr>
                <w:rFonts w:hint="eastAsia" w:cs="宋体"/>
              </w:rPr>
              <w:t>如果得到及时、恰当地处理，中事故影响范围可控制在事故发生区域；如应急处置不及时或控制失效，可能波及厂区其他区域，甚至影响周边企业、人员。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612" w:type="dxa"/>
            <w:vMerge w:val="restart"/>
            <w:vAlign w:val="center"/>
          </w:tcPr>
          <w:p>
            <w:pPr>
              <w:jc w:val="center"/>
              <w:rPr>
                <w:rFonts w:cs="宋体"/>
                <w:b/>
                <w:bCs/>
              </w:rPr>
            </w:pPr>
            <w:r>
              <w:rPr>
                <w:rFonts w:hint="eastAsia" w:cs="宋体"/>
                <w:b/>
                <w:bCs/>
              </w:rPr>
              <w:t>应</w:t>
            </w:r>
          </w:p>
          <w:p>
            <w:pPr>
              <w:jc w:val="center"/>
              <w:rPr>
                <w:rFonts w:cs="宋体"/>
                <w:b/>
                <w:bCs/>
              </w:rPr>
            </w:pPr>
            <w:r>
              <w:rPr>
                <w:rFonts w:hint="eastAsia" w:cs="宋体"/>
                <w:b/>
                <w:bCs/>
              </w:rPr>
              <w:t>急</w:t>
            </w:r>
          </w:p>
          <w:p>
            <w:pPr>
              <w:jc w:val="center"/>
              <w:rPr>
                <w:rFonts w:cs="宋体"/>
                <w:b/>
                <w:bCs/>
              </w:rPr>
            </w:pPr>
            <w:r>
              <w:rPr>
                <w:rFonts w:hint="eastAsia" w:cs="宋体"/>
                <w:b/>
                <w:bCs/>
              </w:rPr>
              <w:t>组</w:t>
            </w:r>
          </w:p>
          <w:p>
            <w:pPr>
              <w:jc w:val="center"/>
              <w:rPr>
                <w:rFonts w:cs="宋体"/>
                <w:b/>
                <w:bCs/>
              </w:rPr>
            </w:pPr>
            <w:r>
              <w:rPr>
                <w:rFonts w:hint="eastAsia" w:cs="宋体"/>
                <w:b/>
                <w:bCs/>
              </w:rPr>
              <w:t>织</w:t>
            </w:r>
          </w:p>
          <w:p>
            <w:pPr>
              <w:jc w:val="center"/>
              <w:rPr>
                <w:rFonts w:cs="宋体"/>
                <w:b/>
                <w:bCs/>
              </w:rPr>
            </w:pPr>
            <w:r>
              <w:rPr>
                <w:rFonts w:hint="eastAsia" w:cs="宋体"/>
                <w:b/>
                <w:bCs/>
              </w:rPr>
              <w:t>与</w:t>
            </w:r>
          </w:p>
          <w:p>
            <w:pPr>
              <w:jc w:val="center"/>
              <w:rPr>
                <w:rFonts w:cs="宋体"/>
                <w:b/>
                <w:bCs/>
              </w:rPr>
            </w:pPr>
            <w:r>
              <w:rPr>
                <w:rFonts w:hint="eastAsia" w:cs="宋体"/>
                <w:b/>
                <w:bCs/>
              </w:rPr>
              <w:t>职</w:t>
            </w:r>
          </w:p>
          <w:p>
            <w:pPr>
              <w:jc w:val="center"/>
              <w:rPr>
                <w:rFonts w:cs="宋体"/>
                <w:b/>
                <w:bCs/>
              </w:rPr>
            </w:pPr>
            <w:r>
              <w:rPr>
                <w:rFonts w:hint="eastAsia" w:cs="宋体"/>
                <w:b/>
                <w:bCs/>
              </w:rPr>
              <w:t>责</w:t>
            </w:r>
          </w:p>
        </w:tc>
        <w:tc>
          <w:tcPr>
            <w:tcW w:w="2296" w:type="dxa"/>
            <w:gridSpan w:val="2"/>
            <w:vAlign w:val="center"/>
          </w:tcPr>
          <w:p>
            <w:pPr>
              <w:jc w:val="center"/>
              <w:rPr>
                <w:rFonts w:cs="宋体"/>
              </w:rPr>
            </w:pPr>
            <w:r>
              <w:rPr>
                <w:rFonts w:hint="eastAsia" w:cs="宋体"/>
              </w:rPr>
              <w:t>组织与人员</w:t>
            </w:r>
          </w:p>
        </w:tc>
        <w:tc>
          <w:tcPr>
            <w:tcW w:w="5204" w:type="dxa"/>
            <w:gridSpan w:val="3"/>
            <w:vAlign w:val="center"/>
          </w:tcPr>
          <w:p>
            <w:pPr>
              <w:rPr>
                <w:rFonts w:cs="宋体"/>
              </w:rPr>
            </w:pPr>
            <w:r>
              <w:rPr>
                <w:rFonts w:hint="eastAsia" w:cs="宋体"/>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612" w:type="dxa"/>
            <w:vMerge w:val="continue"/>
            <w:vAlign w:val="center"/>
          </w:tcPr>
          <w:p>
            <w:pPr>
              <w:widowControl/>
              <w:jc w:val="left"/>
              <w:rPr>
                <w:rFonts w:cs="宋体"/>
                <w:b/>
                <w:bCs/>
              </w:rPr>
            </w:pPr>
          </w:p>
        </w:tc>
        <w:tc>
          <w:tcPr>
            <w:tcW w:w="2296" w:type="dxa"/>
            <w:gridSpan w:val="2"/>
            <w:vAlign w:val="center"/>
          </w:tcPr>
          <w:p>
            <w:pPr>
              <w:jc w:val="center"/>
              <w:rPr>
                <w:rFonts w:cs="宋体"/>
              </w:rPr>
            </w:pPr>
            <w:r>
              <w:rPr>
                <w:rFonts w:hint="eastAsia" w:cs="宋体"/>
              </w:rPr>
              <w:t>应急职责</w:t>
            </w:r>
          </w:p>
        </w:tc>
        <w:tc>
          <w:tcPr>
            <w:tcW w:w="5204" w:type="dxa"/>
            <w:gridSpan w:val="3"/>
            <w:vAlign w:val="center"/>
          </w:tcPr>
          <w:p>
            <w:pPr>
              <w:rPr>
                <w:rFonts w:cs="宋体"/>
              </w:rPr>
            </w:pPr>
            <w:r>
              <w:rPr>
                <w:rFonts w:hint="eastAsia" w:cs="宋体"/>
              </w:rPr>
              <w:t>1、发现事故和隐患及时处理和报告；</w:t>
            </w:r>
          </w:p>
          <w:p>
            <w:pPr>
              <w:rPr>
                <w:rFonts w:cs="宋体"/>
              </w:rPr>
            </w:pPr>
            <w:r>
              <w:rPr>
                <w:rFonts w:hint="eastAsia" w:cs="宋体"/>
              </w:rPr>
              <w:t>2、事故初起时，实施现场应急处置；</w:t>
            </w:r>
          </w:p>
          <w:p>
            <w:pPr>
              <w:rPr>
                <w:rFonts w:cs="宋体"/>
              </w:rPr>
            </w:pPr>
            <w:r>
              <w:rPr>
                <w:rFonts w:hint="eastAsia" w:cs="宋体"/>
              </w:rPr>
              <w:t>3、听从上一级应急救援指挥机构的指挥进行应急救援；</w:t>
            </w:r>
          </w:p>
          <w:p>
            <w:pPr>
              <w:rPr>
                <w:rFonts w:cs="宋体"/>
              </w:rPr>
            </w:pPr>
            <w:r>
              <w:rPr>
                <w:rFonts w:hint="eastAsia" w:cs="宋体"/>
              </w:rPr>
              <w:t>4、预计事故扩大时报告并请求启动上一级应急救援预案。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12" w:type="dxa"/>
            <w:vMerge w:val="restart"/>
            <w:vAlign w:val="center"/>
          </w:tcPr>
          <w:p>
            <w:pPr>
              <w:jc w:val="center"/>
              <w:rPr>
                <w:rFonts w:cs="宋体"/>
                <w:b/>
                <w:bCs/>
              </w:rPr>
            </w:pPr>
            <w:r>
              <w:rPr>
                <w:rFonts w:hint="eastAsia" w:cs="宋体"/>
                <w:b/>
                <w:bCs/>
              </w:rPr>
              <w:t>应</w:t>
            </w:r>
          </w:p>
          <w:p>
            <w:pPr>
              <w:jc w:val="center"/>
              <w:rPr>
                <w:rFonts w:cs="宋体"/>
                <w:b/>
                <w:bCs/>
              </w:rPr>
            </w:pPr>
            <w:r>
              <w:rPr>
                <w:rFonts w:hint="eastAsia" w:cs="宋体"/>
                <w:b/>
                <w:bCs/>
              </w:rPr>
              <w:t>急</w:t>
            </w:r>
          </w:p>
          <w:p>
            <w:pPr>
              <w:jc w:val="center"/>
              <w:rPr>
                <w:rFonts w:cs="宋体"/>
                <w:b/>
                <w:bCs/>
              </w:rPr>
            </w:pPr>
            <w:r>
              <w:rPr>
                <w:rFonts w:hint="eastAsia" w:cs="宋体"/>
                <w:b/>
                <w:bCs/>
              </w:rPr>
              <w:t>处</w:t>
            </w:r>
          </w:p>
          <w:p>
            <w:pPr>
              <w:jc w:val="center"/>
              <w:rPr>
                <w:rFonts w:cs="宋体"/>
                <w:b/>
                <w:bCs/>
              </w:rPr>
            </w:pPr>
            <w:r>
              <w:rPr>
                <w:rFonts w:hint="eastAsia" w:cs="宋体"/>
                <w:b/>
                <w:bCs/>
              </w:rPr>
              <w:t>置</w:t>
            </w:r>
          </w:p>
        </w:tc>
        <w:tc>
          <w:tcPr>
            <w:tcW w:w="1695" w:type="dxa"/>
            <w:vAlign w:val="center"/>
          </w:tcPr>
          <w:p>
            <w:pPr>
              <w:jc w:val="center"/>
              <w:rPr>
                <w:rFonts w:cs="宋体"/>
                <w:b/>
                <w:bCs/>
              </w:rPr>
            </w:pPr>
            <w:r>
              <w:rPr>
                <w:rFonts w:hint="eastAsia" w:cs="宋体"/>
                <w:b/>
                <w:bCs/>
              </w:rPr>
              <w:t>步骤</w:t>
            </w:r>
          </w:p>
        </w:tc>
        <w:tc>
          <w:tcPr>
            <w:tcW w:w="4920" w:type="dxa"/>
            <w:gridSpan w:val="3"/>
            <w:vAlign w:val="center"/>
          </w:tcPr>
          <w:p>
            <w:pPr>
              <w:jc w:val="center"/>
              <w:rPr>
                <w:rFonts w:cs="宋体"/>
                <w:b/>
                <w:bCs/>
              </w:rPr>
            </w:pPr>
            <w:r>
              <w:rPr>
                <w:rFonts w:hint="eastAsia" w:cs="宋体"/>
                <w:b/>
                <w:bCs/>
              </w:rPr>
              <w:t>处  置</w:t>
            </w:r>
          </w:p>
        </w:tc>
        <w:tc>
          <w:tcPr>
            <w:tcW w:w="885" w:type="dxa"/>
            <w:vAlign w:val="center"/>
          </w:tcPr>
          <w:p>
            <w:pPr>
              <w:jc w:val="center"/>
              <w:rPr>
                <w:rFonts w:cs="宋体"/>
                <w:b/>
                <w:bCs/>
              </w:rPr>
            </w:pPr>
            <w:r>
              <w:rPr>
                <w:rFonts w:hint="eastAsia" w:cs="宋体"/>
                <w:b/>
                <w:bCs/>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612" w:type="dxa"/>
            <w:vMerge w:val="continue"/>
            <w:vAlign w:val="center"/>
          </w:tcPr>
          <w:p>
            <w:pPr>
              <w:widowControl/>
              <w:jc w:val="left"/>
              <w:rPr>
                <w:rFonts w:cs="宋体"/>
                <w:b/>
                <w:bCs/>
              </w:rPr>
            </w:pPr>
          </w:p>
        </w:tc>
        <w:tc>
          <w:tcPr>
            <w:tcW w:w="1695" w:type="dxa"/>
            <w:vAlign w:val="center"/>
          </w:tcPr>
          <w:p>
            <w:pPr>
              <w:jc w:val="center"/>
              <w:rPr>
                <w:rFonts w:cs="宋体"/>
              </w:rPr>
            </w:pPr>
            <w:r>
              <w:rPr>
                <w:rFonts w:hint="eastAsia" w:cs="宋体"/>
              </w:rPr>
              <w:t>发现异常</w:t>
            </w:r>
          </w:p>
        </w:tc>
        <w:tc>
          <w:tcPr>
            <w:tcW w:w="4920" w:type="dxa"/>
            <w:gridSpan w:val="3"/>
            <w:vAlign w:val="center"/>
          </w:tcPr>
          <w:p>
            <w:pPr>
              <w:rPr>
                <w:rFonts w:cs="宋体"/>
              </w:rPr>
            </w:pPr>
            <w:r>
              <w:rPr>
                <w:rFonts w:hint="eastAsia" w:cs="宋体"/>
              </w:rPr>
              <w:t>汽油泄漏，现场冒烟、着火，有人烧伤。</w:t>
            </w:r>
          </w:p>
        </w:tc>
        <w:tc>
          <w:tcPr>
            <w:tcW w:w="885" w:type="dxa"/>
            <w:vAlign w:val="center"/>
          </w:tcPr>
          <w:p>
            <w:pPr>
              <w:jc w:val="center"/>
              <w:rPr>
                <w:rFonts w:cs="宋体"/>
              </w:rPr>
            </w:pPr>
            <w:r>
              <w:rPr>
                <w:rFonts w:hint="eastAsia" w:cs="宋体"/>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612" w:type="dxa"/>
            <w:vMerge w:val="continue"/>
            <w:vAlign w:val="center"/>
          </w:tcPr>
          <w:p>
            <w:pPr>
              <w:widowControl/>
              <w:jc w:val="left"/>
              <w:rPr>
                <w:rFonts w:cs="宋体"/>
                <w:b/>
                <w:bCs/>
              </w:rPr>
            </w:pPr>
          </w:p>
        </w:tc>
        <w:tc>
          <w:tcPr>
            <w:tcW w:w="1695" w:type="dxa"/>
            <w:vAlign w:val="center"/>
          </w:tcPr>
          <w:p>
            <w:pPr>
              <w:jc w:val="center"/>
              <w:rPr>
                <w:rFonts w:cs="宋体"/>
              </w:rPr>
            </w:pPr>
            <w:r>
              <w:rPr>
                <w:rFonts w:hint="eastAsia" w:cs="宋体"/>
              </w:rPr>
              <w:t>报警</w:t>
            </w:r>
          </w:p>
        </w:tc>
        <w:tc>
          <w:tcPr>
            <w:tcW w:w="4920" w:type="dxa"/>
            <w:gridSpan w:val="3"/>
            <w:vMerge w:val="restart"/>
            <w:vAlign w:val="center"/>
          </w:tcPr>
          <w:p>
            <w:pPr>
              <w:rPr>
                <w:rFonts w:cs="宋体"/>
              </w:rPr>
            </w:pPr>
            <w:r>
              <w:rPr>
                <w:rFonts w:hint="eastAsia" w:cs="宋体"/>
              </w:rPr>
              <w:t>向站长报告：x日x时x分，在xx装置发生汽油泄漏，起火，请求支援。</w:t>
            </w:r>
          </w:p>
          <w:p>
            <w:pPr>
              <w:rPr>
                <w:rFonts w:cs="宋体"/>
              </w:rPr>
            </w:pPr>
            <w:r>
              <w:rPr>
                <w:rFonts w:hint="eastAsia" w:cs="宋体"/>
              </w:rPr>
              <w:t>若发现人为本站外来人员，则发现人应直接将情况报告本站工作人员；</w:t>
            </w:r>
          </w:p>
          <w:p>
            <w:pPr>
              <w:rPr>
                <w:rFonts w:cs="宋体"/>
              </w:rPr>
            </w:pPr>
            <w:r>
              <w:rPr>
                <w:rFonts w:hint="eastAsia" w:cs="宋体"/>
              </w:rPr>
              <w:t>若站长发现时间有扩大的可能，立即向上级部门报告，请求支援；</w:t>
            </w:r>
          </w:p>
        </w:tc>
        <w:tc>
          <w:tcPr>
            <w:tcW w:w="885" w:type="dxa"/>
            <w:vMerge w:val="restart"/>
            <w:vAlign w:val="center"/>
          </w:tcPr>
          <w:p>
            <w:pPr>
              <w:jc w:val="center"/>
              <w:rPr>
                <w:rFonts w:cs="宋体"/>
              </w:rPr>
            </w:pPr>
            <w:r>
              <w:rPr>
                <w:rFonts w:hint="eastAsia" w:cs="宋体"/>
              </w:rPr>
              <w:t>发现人</w:t>
            </w:r>
          </w:p>
          <w:p>
            <w:pPr>
              <w:jc w:val="center"/>
              <w:rPr>
                <w:rFonts w:cs="宋体"/>
              </w:rPr>
            </w:pPr>
          </w:p>
          <w:p>
            <w:pPr>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1" w:hRule="atLeast"/>
          <w:jc w:val="center"/>
        </w:trPr>
        <w:tc>
          <w:tcPr>
            <w:tcW w:w="612" w:type="dxa"/>
            <w:vMerge w:val="continue"/>
            <w:vAlign w:val="center"/>
          </w:tcPr>
          <w:p>
            <w:pPr>
              <w:widowControl/>
              <w:jc w:val="left"/>
              <w:rPr>
                <w:rFonts w:cs="宋体"/>
                <w:b/>
                <w:bCs/>
              </w:rPr>
            </w:pPr>
          </w:p>
        </w:tc>
        <w:tc>
          <w:tcPr>
            <w:tcW w:w="1695" w:type="dxa"/>
            <w:vAlign w:val="center"/>
          </w:tcPr>
          <w:p>
            <w:pPr>
              <w:jc w:val="left"/>
              <w:rPr>
                <w:rFonts w:cs="宋体"/>
              </w:rPr>
            </w:pPr>
            <w:r>
              <w:rPr>
                <w:rFonts w:hint="eastAsia" w:cs="宋体"/>
              </w:rPr>
              <w:t>组长李德斌（站长）：13990758830</w:t>
            </w:r>
          </w:p>
          <w:p>
            <w:pPr>
              <w:jc w:val="left"/>
              <w:rPr>
                <w:rFonts w:cs="宋体"/>
              </w:rPr>
            </w:pPr>
            <w:r>
              <w:rPr>
                <w:rFonts w:hint="eastAsia" w:cs="宋体"/>
              </w:rPr>
              <w:t>副组长李力：</w:t>
            </w:r>
          </w:p>
          <w:p>
            <w:pPr>
              <w:jc w:val="left"/>
              <w:rPr>
                <w:color w:val="000000"/>
                <w:kern w:val="0"/>
              </w:rPr>
            </w:pPr>
            <w:r>
              <w:rPr>
                <w:rFonts w:hint="eastAsia"/>
                <w:color w:val="000000"/>
                <w:kern w:val="0"/>
              </w:rPr>
              <w:t>15983763300</w:t>
            </w:r>
          </w:p>
          <w:p>
            <w:pPr>
              <w:jc w:val="left"/>
              <w:rPr>
                <w:rFonts w:cs="宋体"/>
              </w:rPr>
            </w:pPr>
            <w:r>
              <w:rPr>
                <w:rFonts w:hint="eastAsia" w:cs="宋体"/>
              </w:rPr>
              <w:t>成员：</w:t>
            </w:r>
          </w:p>
          <w:p>
            <w:pPr>
              <w:jc w:val="left"/>
              <w:rPr>
                <w:rFonts w:cs="宋体"/>
              </w:rPr>
            </w:pPr>
            <w:r>
              <w:rPr>
                <w:rFonts w:hint="eastAsia" w:cs="宋体"/>
              </w:rPr>
              <w:t>赵亮（加油员）</w:t>
            </w:r>
          </w:p>
          <w:p>
            <w:pPr>
              <w:jc w:val="left"/>
              <w:rPr>
                <w:rFonts w:cs="宋体"/>
              </w:rPr>
            </w:pPr>
            <w:r>
              <w:rPr>
                <w:rFonts w:hint="eastAsia" w:cs="宋体"/>
              </w:rPr>
              <w:t>15984880338</w:t>
            </w:r>
          </w:p>
          <w:p>
            <w:pPr>
              <w:jc w:val="left"/>
              <w:rPr>
                <w:rFonts w:cs="宋体"/>
              </w:rPr>
            </w:pPr>
            <w:r>
              <w:rPr>
                <w:rFonts w:hint="eastAsia" w:cs="宋体"/>
              </w:rPr>
              <w:t>何洪艳（加油员）</w:t>
            </w:r>
          </w:p>
          <w:p>
            <w:pPr>
              <w:jc w:val="left"/>
              <w:rPr>
                <w:rFonts w:cs="宋体"/>
              </w:rPr>
            </w:pPr>
            <w:r>
              <w:rPr>
                <w:rFonts w:hint="eastAsia" w:cs="宋体"/>
              </w:rPr>
              <w:t>17383855935</w:t>
            </w:r>
          </w:p>
          <w:p>
            <w:pPr>
              <w:pStyle w:val="2"/>
              <w:ind w:firstLine="0"/>
              <w:rPr>
                <w:rFonts w:cs="宋体"/>
              </w:rPr>
            </w:pPr>
            <w:r>
              <w:rPr>
                <w:rFonts w:hint="eastAsia" w:cs="宋体"/>
              </w:rPr>
              <w:t>杨瑞萍（加油员）13989196769</w:t>
            </w:r>
          </w:p>
          <w:p>
            <w:pPr>
              <w:pStyle w:val="2"/>
              <w:ind w:firstLine="0"/>
              <w:rPr>
                <w:rFonts w:cs="宋体"/>
              </w:rPr>
            </w:pPr>
            <w:r>
              <w:rPr>
                <w:rFonts w:hint="eastAsia" w:cs="宋体"/>
              </w:rPr>
              <w:t>李小珍（洗车员）15378382951</w:t>
            </w:r>
          </w:p>
          <w:p>
            <w:pPr>
              <w:jc w:val="left"/>
              <w:rPr>
                <w:rFonts w:cs="宋体"/>
              </w:rPr>
            </w:pPr>
            <w:r>
              <w:rPr>
                <w:rFonts w:hint="eastAsia" w:cs="宋体"/>
              </w:rPr>
              <w:t xml:space="preserve">火警：119 </w:t>
            </w:r>
          </w:p>
          <w:p>
            <w:pPr>
              <w:jc w:val="left"/>
              <w:rPr>
                <w:rFonts w:cs="宋体"/>
              </w:rPr>
            </w:pPr>
            <w:r>
              <w:rPr>
                <w:rFonts w:hint="eastAsia" w:cs="宋体"/>
              </w:rPr>
              <w:t>急救：120</w:t>
            </w:r>
          </w:p>
          <w:p>
            <w:pPr>
              <w:rPr>
                <w:rFonts w:cs="宋体"/>
                <w:highlight w:val="yellow"/>
              </w:rPr>
            </w:pPr>
            <w:r>
              <w:rPr>
                <w:rFonts w:hint="eastAsia" w:cs="宋体"/>
              </w:rPr>
              <w:t>匪警：110</w:t>
            </w:r>
          </w:p>
        </w:tc>
        <w:tc>
          <w:tcPr>
            <w:tcW w:w="4920" w:type="dxa"/>
            <w:gridSpan w:val="3"/>
            <w:vMerge w:val="continue"/>
            <w:vAlign w:val="center"/>
          </w:tcPr>
          <w:p>
            <w:pPr>
              <w:widowControl/>
              <w:jc w:val="left"/>
              <w:rPr>
                <w:rFonts w:cs="宋体"/>
              </w:rPr>
            </w:pPr>
          </w:p>
        </w:tc>
        <w:tc>
          <w:tcPr>
            <w:tcW w:w="885" w:type="dxa"/>
            <w:vMerge w:val="continue"/>
            <w:vAlign w:val="center"/>
          </w:tcPr>
          <w:p>
            <w:pPr>
              <w:widowControl/>
              <w:jc w:val="left"/>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12" w:type="dxa"/>
            <w:vMerge w:val="continue"/>
            <w:vAlign w:val="center"/>
          </w:tcPr>
          <w:p>
            <w:pPr>
              <w:widowControl/>
              <w:jc w:val="left"/>
              <w:rPr>
                <w:rFonts w:cs="宋体"/>
                <w:b/>
                <w:bCs/>
              </w:rPr>
            </w:pPr>
          </w:p>
        </w:tc>
        <w:tc>
          <w:tcPr>
            <w:tcW w:w="1695" w:type="dxa"/>
            <w:vMerge w:val="restart"/>
            <w:vAlign w:val="center"/>
          </w:tcPr>
          <w:p>
            <w:pPr>
              <w:jc w:val="center"/>
              <w:rPr>
                <w:rFonts w:cs="宋体"/>
              </w:rPr>
            </w:pPr>
            <w:r>
              <w:rPr>
                <w:rFonts w:hint="eastAsia" w:cs="宋体"/>
              </w:rPr>
              <w:t>应急处置</w:t>
            </w:r>
          </w:p>
        </w:tc>
        <w:tc>
          <w:tcPr>
            <w:tcW w:w="4920" w:type="dxa"/>
            <w:gridSpan w:val="3"/>
            <w:vAlign w:val="center"/>
          </w:tcPr>
          <w:p>
            <w:pPr>
              <w:rPr>
                <w:rFonts w:cs="宋体"/>
              </w:rPr>
            </w:pPr>
            <w:r>
              <w:rPr>
                <w:rFonts w:hint="eastAsia" w:cs="宋体"/>
              </w:rPr>
              <w:t>立即切断加油站总电源，进行着火源切断，或利用附近合适灭火器具进行灭火，对泄漏物进行堵截。</w:t>
            </w:r>
          </w:p>
        </w:tc>
        <w:tc>
          <w:tcPr>
            <w:tcW w:w="885" w:type="dxa"/>
            <w:vAlign w:val="center"/>
          </w:tcPr>
          <w:p>
            <w:pPr>
              <w:jc w:val="center"/>
              <w:rPr>
                <w:rFonts w:cs="宋体"/>
              </w:rPr>
            </w:pPr>
            <w:r>
              <w:rPr>
                <w:rFonts w:hint="eastAsia" w:cs="宋体"/>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12" w:type="dxa"/>
            <w:vMerge w:val="continue"/>
            <w:vAlign w:val="center"/>
          </w:tcPr>
          <w:p>
            <w:pPr>
              <w:widowControl/>
              <w:jc w:val="left"/>
              <w:rPr>
                <w:rFonts w:cs="宋体"/>
                <w:b/>
                <w:bCs/>
              </w:rPr>
            </w:pPr>
          </w:p>
        </w:tc>
        <w:tc>
          <w:tcPr>
            <w:tcW w:w="1695" w:type="dxa"/>
            <w:vMerge w:val="continue"/>
            <w:vAlign w:val="center"/>
          </w:tcPr>
          <w:p>
            <w:pPr>
              <w:widowControl/>
              <w:jc w:val="left"/>
              <w:rPr>
                <w:rFonts w:cs="宋体"/>
              </w:rPr>
            </w:pPr>
          </w:p>
        </w:tc>
        <w:tc>
          <w:tcPr>
            <w:tcW w:w="4920" w:type="dxa"/>
            <w:gridSpan w:val="3"/>
            <w:vAlign w:val="center"/>
          </w:tcPr>
          <w:p>
            <w:pPr>
              <w:rPr>
                <w:rFonts w:cs="宋体"/>
              </w:rPr>
            </w:pPr>
            <w:r>
              <w:rPr>
                <w:rFonts w:hint="eastAsia" w:cs="宋体"/>
              </w:rPr>
              <w:t xml:space="preserve">立即到达事故现场了解情况，指挥无关人员快速撤离事故现场，设置警戒区域，组织人员进行自救灭火。报告相关人员在保证安全的情况下切断电源，并报告应急救援指挥部，做好现场灭火处置工作。 </w:t>
            </w:r>
          </w:p>
        </w:tc>
        <w:tc>
          <w:tcPr>
            <w:tcW w:w="885" w:type="dxa"/>
            <w:vAlign w:val="center"/>
          </w:tcPr>
          <w:p>
            <w:pPr>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8" w:hRule="atLeast"/>
          <w:jc w:val="center"/>
        </w:trPr>
        <w:tc>
          <w:tcPr>
            <w:tcW w:w="612" w:type="dxa"/>
            <w:vMerge w:val="continue"/>
            <w:vAlign w:val="center"/>
          </w:tcPr>
          <w:p>
            <w:pPr>
              <w:widowControl/>
              <w:jc w:val="left"/>
              <w:rPr>
                <w:rFonts w:cs="宋体"/>
                <w:b/>
                <w:bCs/>
              </w:rPr>
            </w:pPr>
          </w:p>
        </w:tc>
        <w:tc>
          <w:tcPr>
            <w:tcW w:w="1695" w:type="dxa"/>
            <w:vAlign w:val="center"/>
          </w:tcPr>
          <w:p>
            <w:pPr>
              <w:jc w:val="center"/>
              <w:rPr>
                <w:rFonts w:cs="宋体"/>
              </w:rPr>
            </w:pPr>
            <w:r>
              <w:rPr>
                <w:rFonts w:hint="eastAsia" w:cs="宋体"/>
              </w:rPr>
              <w:t>人员救护</w:t>
            </w:r>
          </w:p>
        </w:tc>
        <w:tc>
          <w:tcPr>
            <w:tcW w:w="4920" w:type="dxa"/>
            <w:gridSpan w:val="3"/>
            <w:vAlign w:val="center"/>
          </w:tcPr>
          <w:p>
            <w:pPr>
              <w:rPr>
                <w:rFonts w:cs="宋体"/>
              </w:rPr>
            </w:pPr>
            <w:r>
              <w:rPr>
                <w:rFonts w:hint="eastAsia" w:cs="宋体"/>
              </w:rPr>
              <w:t>1、被救人员衣服着火时，可就地翻滚，用水或毯子、被褥等物覆盖措施灭火伤处的衣、库、袜应剪开脱去，不可硬行撕拉，伤处用消毒纱布或干净棉布覆盖，并立即送往医院救治。2、对烧伤面积较大的伤员要注意呼吸，心跳的变化，必要时进行心脏复苏。3、对有骨折出血的伤员，应作相应的包扎，固定处理，搬运伤员时，以不压迫伤面和不引起呼吸困难为原则4、抢救受伤严重或在进行抢救伤员的同时，应及时拨打急救中心电话（120），由医务人员进行现场抢救伤员的工作，并派人接应急救车辆。</w:t>
            </w:r>
          </w:p>
        </w:tc>
        <w:tc>
          <w:tcPr>
            <w:tcW w:w="885" w:type="dxa"/>
            <w:vAlign w:val="center"/>
          </w:tcPr>
          <w:p>
            <w:pPr>
              <w:jc w:val="center"/>
              <w:rPr>
                <w:rFonts w:cs="宋体"/>
              </w:rPr>
            </w:pPr>
            <w:r>
              <w:rPr>
                <w:rFonts w:hint="eastAsia" w:cs="宋体"/>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jc w:val="center"/>
        </w:trPr>
        <w:tc>
          <w:tcPr>
            <w:tcW w:w="612" w:type="dxa"/>
            <w:vMerge w:val="continue"/>
            <w:vAlign w:val="center"/>
          </w:tcPr>
          <w:p>
            <w:pPr>
              <w:widowControl/>
              <w:jc w:val="left"/>
              <w:rPr>
                <w:rFonts w:cs="宋体"/>
                <w:b/>
                <w:bCs/>
              </w:rPr>
            </w:pPr>
          </w:p>
        </w:tc>
        <w:tc>
          <w:tcPr>
            <w:tcW w:w="1695" w:type="dxa"/>
            <w:vAlign w:val="center"/>
          </w:tcPr>
          <w:p>
            <w:pPr>
              <w:jc w:val="center"/>
              <w:rPr>
                <w:rFonts w:cs="宋体"/>
              </w:rPr>
            </w:pPr>
            <w:r>
              <w:rPr>
                <w:rFonts w:hint="eastAsia" w:cs="宋体"/>
              </w:rPr>
              <w:t>救援接应</w:t>
            </w:r>
          </w:p>
        </w:tc>
        <w:tc>
          <w:tcPr>
            <w:tcW w:w="4920" w:type="dxa"/>
            <w:gridSpan w:val="3"/>
            <w:vAlign w:val="center"/>
          </w:tcPr>
          <w:p>
            <w:pPr>
              <w:spacing w:line="360" w:lineRule="auto"/>
              <w:rPr>
                <w:rFonts w:cs="宋体"/>
              </w:rPr>
            </w:pPr>
            <w:r>
              <w:rPr>
                <w:rFonts w:hint="eastAsia" w:cs="宋体"/>
              </w:rPr>
              <w:t>指派人员打开应急救援通道，引导救援力量到达。</w:t>
            </w:r>
          </w:p>
        </w:tc>
        <w:tc>
          <w:tcPr>
            <w:tcW w:w="885" w:type="dxa"/>
            <w:vAlign w:val="center"/>
          </w:tcPr>
          <w:p>
            <w:pPr>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612" w:type="dxa"/>
            <w:vMerge w:val="continue"/>
            <w:vAlign w:val="center"/>
          </w:tcPr>
          <w:p>
            <w:pPr>
              <w:widowControl/>
              <w:jc w:val="left"/>
              <w:rPr>
                <w:rFonts w:cs="宋体"/>
                <w:b/>
                <w:bCs/>
              </w:rPr>
            </w:pPr>
          </w:p>
        </w:tc>
        <w:tc>
          <w:tcPr>
            <w:tcW w:w="3109" w:type="dxa"/>
            <w:gridSpan w:val="3"/>
            <w:vMerge w:val="restart"/>
            <w:vAlign w:val="center"/>
          </w:tcPr>
          <w:p>
            <w:pPr>
              <w:jc w:val="center"/>
              <w:rPr>
                <w:rFonts w:cs="宋体"/>
              </w:rPr>
            </w:pPr>
            <w:r>
              <w:rPr>
                <w:rFonts w:hint="eastAsia" w:cs="宋体"/>
              </w:rPr>
              <w:t>应急扩大</w:t>
            </w:r>
          </w:p>
          <w:p>
            <w:pPr>
              <w:jc w:val="center"/>
              <w:rPr>
                <w:rFonts w:cs="宋体"/>
              </w:rPr>
            </w:pPr>
            <w:r>
              <w:rPr>
                <w:rFonts w:hint="eastAsia" w:cs="宋体"/>
              </w:rPr>
              <w:t>（应急处置失败或人员伤亡扩大）</w:t>
            </w:r>
          </w:p>
        </w:tc>
        <w:tc>
          <w:tcPr>
            <w:tcW w:w="3506" w:type="dxa"/>
            <w:vAlign w:val="center"/>
          </w:tcPr>
          <w:p>
            <w:pPr>
              <w:rPr>
                <w:rFonts w:cs="宋体"/>
              </w:rPr>
            </w:pPr>
            <w:r>
              <w:rPr>
                <w:rFonts w:hint="eastAsia" w:cs="宋体"/>
              </w:rPr>
              <w:t>通知周边区域扩大撤离人员区域，增加消防隔离措施</w:t>
            </w:r>
          </w:p>
        </w:tc>
        <w:tc>
          <w:tcPr>
            <w:tcW w:w="885" w:type="dxa"/>
            <w:vMerge w:val="restart"/>
            <w:vAlign w:val="center"/>
          </w:tcPr>
          <w:p>
            <w:pPr>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612" w:type="dxa"/>
            <w:vMerge w:val="continue"/>
            <w:vAlign w:val="center"/>
          </w:tcPr>
          <w:p>
            <w:pPr>
              <w:widowControl/>
              <w:jc w:val="left"/>
              <w:rPr>
                <w:rFonts w:cs="宋体"/>
                <w:b/>
                <w:bCs/>
              </w:rPr>
            </w:pPr>
          </w:p>
        </w:tc>
        <w:tc>
          <w:tcPr>
            <w:tcW w:w="3109" w:type="dxa"/>
            <w:gridSpan w:val="3"/>
            <w:vMerge w:val="continue"/>
            <w:vAlign w:val="center"/>
          </w:tcPr>
          <w:p>
            <w:pPr>
              <w:widowControl/>
              <w:jc w:val="left"/>
              <w:rPr>
                <w:rFonts w:cs="宋体"/>
              </w:rPr>
            </w:pPr>
          </w:p>
        </w:tc>
        <w:tc>
          <w:tcPr>
            <w:tcW w:w="3506" w:type="dxa"/>
            <w:vAlign w:val="center"/>
          </w:tcPr>
          <w:p>
            <w:pPr>
              <w:rPr>
                <w:rFonts w:cs="宋体"/>
              </w:rPr>
            </w:pPr>
            <w:r>
              <w:rPr>
                <w:rFonts w:hint="eastAsia" w:cs="宋体"/>
              </w:rPr>
              <w:t>请求启动上一级应急救援预案。</w:t>
            </w:r>
          </w:p>
        </w:tc>
        <w:tc>
          <w:tcPr>
            <w:tcW w:w="885" w:type="dxa"/>
            <w:vMerge w:val="continue"/>
            <w:vAlign w:val="center"/>
          </w:tcPr>
          <w:p>
            <w:pPr>
              <w:widowControl/>
              <w:jc w:val="left"/>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612" w:type="dxa"/>
            <w:vMerge w:val="continue"/>
            <w:vAlign w:val="center"/>
          </w:tcPr>
          <w:p>
            <w:pPr>
              <w:widowControl/>
              <w:jc w:val="left"/>
              <w:rPr>
                <w:rFonts w:cs="宋体"/>
                <w:b/>
                <w:bCs/>
              </w:rPr>
            </w:pPr>
          </w:p>
        </w:tc>
        <w:tc>
          <w:tcPr>
            <w:tcW w:w="1695" w:type="dxa"/>
            <w:vAlign w:val="center"/>
          </w:tcPr>
          <w:p>
            <w:pPr>
              <w:jc w:val="center"/>
              <w:rPr>
                <w:rFonts w:cs="宋体"/>
              </w:rPr>
            </w:pPr>
            <w:r>
              <w:rPr>
                <w:rFonts w:hint="eastAsia" w:cs="宋体"/>
              </w:rPr>
              <w:t>处置流程</w:t>
            </w:r>
          </w:p>
        </w:tc>
        <w:tc>
          <w:tcPr>
            <w:tcW w:w="5805" w:type="dxa"/>
            <w:gridSpan w:val="4"/>
            <w:vAlign w:val="center"/>
          </w:tcPr>
          <w:p>
            <w:pPr>
              <w:rPr>
                <w:rFonts w:cs="宋体"/>
              </w:rPr>
            </w:pPr>
            <w:r>
              <w:rPr>
                <w:rFonts w:hint="eastAsia" w:cs="宋体"/>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612" w:type="dxa"/>
            <w:vMerge w:val="continue"/>
            <w:vAlign w:val="center"/>
          </w:tcPr>
          <w:p>
            <w:pPr>
              <w:widowControl/>
              <w:jc w:val="center"/>
              <w:rPr>
                <w:rFonts w:cs="宋体"/>
                <w:b/>
                <w:bCs/>
              </w:rPr>
            </w:pPr>
          </w:p>
        </w:tc>
        <w:tc>
          <w:tcPr>
            <w:tcW w:w="1695" w:type="dxa"/>
            <w:vAlign w:val="center"/>
          </w:tcPr>
          <w:p>
            <w:pPr>
              <w:jc w:val="center"/>
              <w:rPr>
                <w:rFonts w:cs="宋体"/>
              </w:rPr>
            </w:pPr>
            <w:r>
              <w:rPr>
                <w:rFonts w:hint="eastAsia" w:cs="宋体"/>
              </w:rPr>
              <w:t>具体处置措施</w:t>
            </w:r>
          </w:p>
        </w:tc>
        <w:tc>
          <w:tcPr>
            <w:tcW w:w="5805" w:type="dxa"/>
            <w:gridSpan w:val="4"/>
            <w:vAlign w:val="center"/>
          </w:tcPr>
          <w:p>
            <w:pPr>
              <w:spacing w:line="360" w:lineRule="exact"/>
              <w:rPr>
                <w:rFonts w:cs="宋体"/>
                <w:b/>
                <w:bCs/>
              </w:rPr>
            </w:pPr>
            <w:r>
              <w:rPr>
                <w:rFonts w:hint="eastAsia" w:cs="宋体"/>
                <w:b/>
                <w:bCs/>
              </w:rPr>
              <w:t>一、加油区火灾爆炸</w:t>
            </w:r>
          </w:p>
          <w:p>
            <w:pPr>
              <w:spacing w:line="360" w:lineRule="exact"/>
              <w:ind w:firstLine="422" w:firstLineChars="200"/>
              <w:rPr>
                <w:rFonts w:cs="宋体"/>
                <w:b/>
                <w:bCs/>
              </w:rPr>
            </w:pPr>
            <w:r>
              <w:rPr>
                <w:rFonts w:hint="eastAsia" w:cs="宋体"/>
                <w:b/>
                <w:bCs/>
              </w:rPr>
              <w:t>1、加油机电器起火</w:t>
            </w:r>
          </w:p>
          <w:p>
            <w:pPr>
              <w:spacing w:line="360" w:lineRule="exact"/>
              <w:ind w:firstLine="480"/>
              <w:rPr>
                <w:rFonts w:cs="宋体"/>
              </w:rPr>
            </w:pPr>
            <w:r>
              <w:rPr>
                <w:rFonts w:hint="eastAsia" w:cs="宋体"/>
              </w:rPr>
              <w:t>(1) 加油员立即停止作业并大声呼喊传递事故信息。</w:t>
            </w:r>
          </w:p>
          <w:p>
            <w:pPr>
              <w:spacing w:line="360" w:lineRule="exact"/>
              <w:ind w:firstLine="480"/>
              <w:rPr>
                <w:rFonts w:cs="宋体"/>
              </w:rPr>
            </w:pPr>
            <w:r>
              <w:rPr>
                <w:rFonts w:hint="eastAsia" w:cs="宋体"/>
              </w:rPr>
              <w:t>(2)加油员直接用4kg对加油机进行灭火，站长闻讯提（推）灭火器前来支援，同时对其他未着火的加油机进行防护，防止火势扩大。</w:t>
            </w:r>
          </w:p>
          <w:p>
            <w:pPr>
              <w:spacing w:line="360" w:lineRule="exact"/>
              <w:ind w:firstLine="480"/>
              <w:rPr>
                <w:rFonts w:cs="宋体"/>
              </w:rPr>
            </w:pPr>
            <w:r>
              <w:rPr>
                <w:rFonts w:hint="eastAsia" w:cs="宋体"/>
              </w:rPr>
              <w:t>(3) 若火势扩大，切断总电源。对火灾、爆炸现场进行警戒，同时疏散站内车辆及加油站周边居民。冬季应将站内取暖锅炉熄灭。</w:t>
            </w:r>
          </w:p>
          <w:p>
            <w:pPr>
              <w:spacing w:line="360" w:lineRule="exact"/>
              <w:ind w:firstLine="480"/>
              <w:rPr>
                <w:rFonts w:cs="宋体"/>
              </w:rPr>
            </w:pPr>
            <w:r>
              <w:rPr>
                <w:rFonts w:hint="eastAsia" w:cs="宋体"/>
              </w:rPr>
              <w:t>(4)预测火灾较大或发生爆炸，加油站自身无力处理时，现场最高指挥者拨打“119”报警电话，站长应果断撤离灭火人员，如有人员伤亡，应立即拨打“120”急救电话。</w:t>
            </w:r>
          </w:p>
          <w:p>
            <w:pPr>
              <w:spacing w:line="360" w:lineRule="exact"/>
              <w:ind w:firstLine="480"/>
              <w:rPr>
                <w:rFonts w:cs="宋体"/>
              </w:rPr>
            </w:pPr>
            <w:r>
              <w:rPr>
                <w:rFonts w:hint="eastAsia" w:cs="宋体"/>
              </w:rPr>
              <w:t>（5）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spacing w:line="360" w:lineRule="exact"/>
              <w:ind w:firstLine="480"/>
              <w:rPr>
                <w:rFonts w:cs="宋体"/>
              </w:rPr>
            </w:pPr>
            <w:r>
              <w:rPr>
                <w:rFonts w:hint="eastAsia" w:cs="宋体"/>
              </w:rPr>
              <w:t>（6）当事故现场得以控制，导致次生、衍生事故隐患消除后，事故现场清理后恢复运营。</w:t>
            </w:r>
          </w:p>
          <w:p>
            <w:pPr>
              <w:spacing w:line="360" w:lineRule="exact"/>
              <w:ind w:firstLine="422" w:firstLineChars="200"/>
              <w:rPr>
                <w:rFonts w:cs="宋体"/>
                <w:b/>
                <w:bCs/>
              </w:rPr>
            </w:pPr>
            <w:r>
              <w:rPr>
                <w:rFonts w:hint="eastAsia" w:cs="宋体"/>
                <w:b/>
                <w:bCs/>
              </w:rPr>
              <w:t>2、加油站汽车、摩托车加油起火</w:t>
            </w:r>
          </w:p>
          <w:p>
            <w:pPr>
              <w:spacing w:line="360" w:lineRule="exact"/>
              <w:ind w:firstLine="480"/>
              <w:rPr>
                <w:rFonts w:cs="宋体"/>
              </w:rPr>
            </w:pPr>
            <w:r>
              <w:rPr>
                <w:rFonts w:hint="eastAsia" w:cs="宋体"/>
              </w:rPr>
              <w:t>(1) 立即停止一切作业，切断总电源，现场加油员大声呼救。</w:t>
            </w:r>
          </w:p>
          <w:p>
            <w:pPr>
              <w:spacing w:line="360" w:lineRule="exact"/>
              <w:ind w:firstLine="480"/>
              <w:rPr>
                <w:rFonts w:cs="宋体"/>
              </w:rPr>
            </w:pPr>
            <w:r>
              <w:rPr>
                <w:rFonts w:hint="eastAsia" w:cs="宋体"/>
              </w:rPr>
              <w:t>(2) 加油员用石棉被覆盖加油汽车油箱口，或直接用灭火器对着火点进行喷射灭火，同时对其他未着火部位用石棉被覆盖，防止火势扩大，现场处置人员要互相配合。</w:t>
            </w:r>
          </w:p>
          <w:p>
            <w:pPr>
              <w:spacing w:line="360" w:lineRule="exact"/>
              <w:ind w:firstLine="480"/>
              <w:rPr>
                <w:rFonts w:cs="宋体"/>
              </w:rPr>
            </w:pPr>
            <w:r>
              <w:rPr>
                <w:rFonts w:hint="eastAsia" w:cs="宋体"/>
              </w:rPr>
              <w:t>(3) 在可能的情况下，将着火车辆驶离或推出站区，再作处理。</w:t>
            </w:r>
          </w:p>
          <w:p>
            <w:pPr>
              <w:spacing w:line="360" w:lineRule="exact"/>
              <w:ind w:firstLine="480"/>
              <w:rPr>
                <w:rFonts w:cs="宋体"/>
              </w:rPr>
            </w:pPr>
            <w:r>
              <w:rPr>
                <w:rFonts w:hint="eastAsia" w:cs="宋体"/>
              </w:rPr>
              <w:t>(4) 做好物资设施供应，如有人员伤亡，应立即拨打“120”急救电话。</w:t>
            </w:r>
          </w:p>
          <w:p>
            <w:pPr>
              <w:spacing w:line="360" w:lineRule="exact"/>
              <w:ind w:firstLine="480"/>
              <w:rPr>
                <w:rFonts w:cs="宋体"/>
              </w:rPr>
            </w:pPr>
            <w:r>
              <w:rPr>
                <w:rFonts w:hint="eastAsia" w:cs="宋体"/>
              </w:rPr>
              <w:t>(5) 对火灾现场进行警戒，同时疏散站内车辆及加油站周围居民。</w:t>
            </w:r>
          </w:p>
          <w:p>
            <w:pPr>
              <w:spacing w:line="360" w:lineRule="exact"/>
              <w:ind w:firstLine="480"/>
              <w:rPr>
                <w:rFonts w:cs="宋体"/>
              </w:rPr>
            </w:pPr>
            <w:r>
              <w:rPr>
                <w:rFonts w:hint="eastAsia" w:cs="宋体"/>
              </w:rPr>
              <w:t>(6) 如抢险人员在急救过程中受伤，由后面的人员自动补缺行使前一位人员的职责。</w:t>
            </w:r>
          </w:p>
          <w:p>
            <w:pPr>
              <w:spacing w:line="360" w:lineRule="exact"/>
              <w:ind w:firstLine="480"/>
              <w:rPr>
                <w:rFonts w:cs="宋体"/>
              </w:rPr>
            </w:pPr>
            <w:r>
              <w:rPr>
                <w:rFonts w:hint="eastAsia" w:cs="宋体"/>
              </w:rPr>
              <w:t>(7) 预测火灾较大或发生爆炸，加油站自身无力处理时，站长拨打“119”报警电话，并果断撤离灭火人员。</w:t>
            </w:r>
          </w:p>
          <w:p>
            <w:pPr>
              <w:spacing w:line="360" w:lineRule="exact"/>
              <w:ind w:firstLine="480"/>
              <w:rPr>
                <w:rFonts w:cs="宋体"/>
              </w:rPr>
            </w:pPr>
            <w:r>
              <w:rPr>
                <w:rFonts w:hint="eastAsia" w:cs="宋体"/>
              </w:rPr>
              <w:t>(8) 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spacing w:line="360" w:lineRule="exact"/>
              <w:ind w:firstLine="480"/>
              <w:rPr>
                <w:rFonts w:cs="宋体"/>
              </w:rPr>
            </w:pPr>
            <w:r>
              <w:rPr>
                <w:rFonts w:hint="eastAsia" w:cs="宋体"/>
              </w:rPr>
              <w:t>(9) 当事故现场得以控制，导致次生、衍生事故隐患消除后，事故现场清理后恢复运营。</w:t>
            </w:r>
          </w:p>
          <w:p>
            <w:pPr>
              <w:spacing w:line="360" w:lineRule="exact"/>
              <w:rPr>
                <w:rFonts w:cs="宋体"/>
                <w:b/>
                <w:bCs/>
              </w:rPr>
            </w:pPr>
            <w:r>
              <w:rPr>
                <w:rFonts w:hint="eastAsia" w:cs="宋体"/>
                <w:b/>
                <w:bCs/>
              </w:rPr>
              <w:t>二、罐区火灾爆炸</w:t>
            </w:r>
          </w:p>
          <w:p>
            <w:pPr>
              <w:widowControl/>
              <w:adjustRightInd w:val="0"/>
              <w:snapToGrid w:val="0"/>
              <w:spacing w:line="360" w:lineRule="exact"/>
              <w:ind w:firstLine="422" w:firstLineChars="200"/>
              <w:rPr>
                <w:rFonts w:cs="宋体"/>
                <w:b/>
                <w:bCs/>
                <w:kern w:val="0"/>
              </w:rPr>
            </w:pPr>
            <w:r>
              <w:rPr>
                <w:rFonts w:hint="eastAsia" w:cs="宋体"/>
                <w:b/>
                <w:bCs/>
                <w:kern w:val="0"/>
              </w:rPr>
              <w:t>油罐车火灾爆炸</w:t>
            </w:r>
          </w:p>
          <w:p>
            <w:pPr>
              <w:spacing w:line="360" w:lineRule="exact"/>
              <w:ind w:firstLine="480"/>
              <w:rPr>
                <w:rFonts w:cs="宋体"/>
              </w:rPr>
            </w:pPr>
            <w:r>
              <w:rPr>
                <w:rFonts w:hint="eastAsia" w:cs="宋体"/>
              </w:rPr>
              <w:t>首先切断加油站电源总开关，并指挥油罐车司机迅速将着火罐车驶离危险区域，到安全地带进行扑救。</w:t>
            </w:r>
          </w:p>
          <w:p>
            <w:pPr>
              <w:spacing w:line="360" w:lineRule="exact"/>
              <w:ind w:firstLine="480"/>
              <w:rPr>
                <w:rFonts w:cs="宋体"/>
              </w:rPr>
            </w:pPr>
            <w:r>
              <w:rPr>
                <w:rFonts w:hint="eastAsia" w:cs="宋体"/>
              </w:rPr>
              <w:t>（1）使用灭火毯封住油罐口，使空气和火隔离将火扑灭，火势较猛时，则先用灭火器对准油罐口将大火扑灭，再用灭火毯覆盖油罐口。然后用水冷却油罐到常温，防止复燃。</w:t>
            </w:r>
          </w:p>
          <w:p>
            <w:pPr>
              <w:spacing w:line="360" w:lineRule="exact"/>
              <w:ind w:firstLine="480"/>
              <w:rPr>
                <w:rFonts w:cs="宋体"/>
              </w:rPr>
            </w:pPr>
            <w:r>
              <w:rPr>
                <w:rFonts w:hint="eastAsia" w:cs="宋体"/>
              </w:rPr>
              <w:t>（2）关闭油罐车卸油口阀门，使用灭火毯封住油罐计量口（卸油口）、油罐通气管。</w:t>
            </w:r>
          </w:p>
          <w:p>
            <w:pPr>
              <w:spacing w:line="360" w:lineRule="exact"/>
              <w:ind w:firstLine="480"/>
              <w:rPr>
                <w:rFonts w:cs="宋体"/>
              </w:rPr>
            </w:pPr>
            <w:r>
              <w:rPr>
                <w:rFonts w:hint="eastAsia" w:cs="宋体"/>
              </w:rPr>
              <w:t>（3）当班加油员立即停止加油，疏散现场车辆及加油站内闲散人员，引导司机将车辆开到着火点上风头方向的百米以外。</w:t>
            </w:r>
          </w:p>
          <w:p>
            <w:pPr>
              <w:spacing w:line="360" w:lineRule="exact"/>
              <w:ind w:firstLine="480"/>
              <w:rPr>
                <w:rFonts w:cs="宋体"/>
              </w:rPr>
            </w:pPr>
            <w:r>
              <w:rPr>
                <w:rFonts w:hint="eastAsia" w:cs="宋体"/>
              </w:rPr>
              <w:t>（4）立即奔赴加油站进出口处（由2人组成）视火情适当封堵道路，首先停止车辆进入加油站，并有效制止过往车辆通过，封闭加油站路段。</w:t>
            </w:r>
          </w:p>
          <w:p>
            <w:pPr>
              <w:spacing w:line="360" w:lineRule="exact"/>
              <w:ind w:firstLine="480"/>
              <w:rPr>
                <w:rFonts w:cs="宋体"/>
              </w:rPr>
            </w:pPr>
            <w:r>
              <w:rPr>
                <w:rFonts w:hint="eastAsia" w:cs="宋体"/>
              </w:rPr>
              <w:t>（5）疏散周边群众，对附近住户或人群进行口头通告，要求立即远离着火点到100米以外的地方。</w:t>
            </w:r>
          </w:p>
          <w:p>
            <w:pPr>
              <w:spacing w:line="360" w:lineRule="exact"/>
              <w:ind w:firstLine="480"/>
              <w:rPr>
                <w:rFonts w:cs="宋体"/>
              </w:rPr>
            </w:pPr>
            <w:r>
              <w:rPr>
                <w:rFonts w:hint="eastAsia" w:cs="宋体"/>
              </w:rPr>
              <w:t>（6）如人身沾上油火时，首先用灭火器进行灭火，或快速脱下衣服，将火扑灭。如实在来不及脱，应就地打滚，把火扑灭。现场人员应冷静的帮他脱下衣服，或用衣物棉被覆盖包裹救助。切记勿用衣物扫帚来回扑打，以免扩大着火范围，着火人也不要惊慌失措，乱跑乱跳、一则影响救助，二则火借风势易扩大着火面积。</w:t>
            </w:r>
          </w:p>
          <w:p>
            <w:pPr>
              <w:spacing w:line="360" w:lineRule="exact"/>
              <w:ind w:firstLine="480"/>
              <w:rPr>
                <w:rFonts w:cs="宋体"/>
              </w:rPr>
            </w:pPr>
            <w:r>
              <w:rPr>
                <w:rFonts w:hint="eastAsia" w:cs="宋体"/>
              </w:rPr>
              <w:t>（7）预测火灾较大或发生爆炸，加油站自身无力处理时，现场最高指挥者拨打“119”报警电话，站长或当班领班（值班主管）应果断撤离灭火人员，如有人员伤亡，应立即拨打“120”急救电话。</w:t>
            </w:r>
          </w:p>
          <w:p>
            <w:pPr>
              <w:spacing w:line="360" w:lineRule="exact"/>
              <w:ind w:firstLine="480"/>
              <w:rPr>
                <w:rFonts w:cs="宋体"/>
              </w:rPr>
            </w:pPr>
            <w:r>
              <w:rPr>
                <w:rFonts w:hint="eastAsia" w:cs="宋体"/>
              </w:rPr>
              <w:t>（8）消防队赶赴现场后，我方应配合消防人员进行扑救，避免火灾扩大。</w:t>
            </w:r>
          </w:p>
          <w:p>
            <w:pPr>
              <w:spacing w:line="360" w:lineRule="exact"/>
              <w:ind w:firstLine="480"/>
              <w:rPr>
                <w:rFonts w:cs="宋体"/>
              </w:rPr>
            </w:pPr>
            <w:r>
              <w:rPr>
                <w:rFonts w:hint="eastAsia" w:cs="宋体"/>
              </w:rPr>
              <w:t>（9）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spacing w:line="360" w:lineRule="exact"/>
              <w:ind w:firstLine="480"/>
              <w:rPr>
                <w:rFonts w:cs="宋体"/>
              </w:rPr>
            </w:pPr>
            <w:r>
              <w:rPr>
                <w:rFonts w:hint="eastAsia" w:cs="宋体"/>
              </w:rPr>
              <w:t>（10）当事故现场得以控制，导致次生、衍生事故隐患消除后，事故现场清理后恢复运营。</w:t>
            </w:r>
          </w:p>
          <w:p>
            <w:pPr>
              <w:spacing w:line="360" w:lineRule="exact"/>
              <w:rPr>
                <w:rFonts w:cs="宋体"/>
                <w:b/>
                <w:bCs/>
              </w:rPr>
            </w:pPr>
            <w:r>
              <w:rPr>
                <w:rFonts w:hint="eastAsia" w:cs="宋体"/>
                <w:b/>
                <w:bCs/>
              </w:rPr>
              <w:t>三、电气火灾</w:t>
            </w:r>
          </w:p>
          <w:p>
            <w:pPr>
              <w:spacing w:line="360" w:lineRule="exact"/>
              <w:ind w:firstLine="480"/>
              <w:rPr>
                <w:rFonts w:cs="宋体"/>
              </w:rPr>
            </w:pPr>
            <w:r>
              <w:rPr>
                <w:rFonts w:hint="eastAsia" w:cs="宋体"/>
              </w:rPr>
              <w:t>发生电气火灾时，首先应切断电源，然后用二氧化碳灭火器或干粉灭火器扑灭电器火灾。严禁用泡沫灭火器或水、包括湿被等进行灭火。</w:t>
            </w:r>
          </w:p>
          <w:p>
            <w:pPr>
              <w:spacing w:line="360" w:lineRule="exact"/>
              <w:ind w:firstLine="480"/>
              <w:rPr>
                <w:rFonts w:cs="宋体"/>
              </w:rPr>
            </w:pPr>
            <w:r>
              <w:rPr>
                <w:rFonts w:hint="eastAsia" w:cs="宋体"/>
              </w:rPr>
              <w:t>当暂时无法切断电源时，灭火者应身着耐火并绝缘的鞋靴、服装，防止触电。然后用CO2灭火器或干粉灭火器直接向电气着火源喷射灭火剂灭火，并应尽快设法切断电源，然后全面灭火。</w:t>
            </w:r>
          </w:p>
          <w:p>
            <w:pPr>
              <w:spacing w:line="360" w:lineRule="exact"/>
              <w:ind w:firstLine="480"/>
              <w:rPr>
                <w:rFonts w:cs="宋体"/>
              </w:rPr>
            </w:pPr>
            <w:r>
              <w:rPr>
                <w:rFonts w:hint="eastAsia" w:cs="宋体"/>
              </w:rPr>
              <w:t>进入火灾现场灭火救援人员应按要求穿戴相应的防护设备，保证自身安全。</w:t>
            </w:r>
          </w:p>
          <w:p>
            <w:pPr>
              <w:spacing w:line="360" w:lineRule="auto"/>
              <w:ind w:firstLine="480"/>
              <w:rPr>
                <w:rFonts w:cs="宋体"/>
              </w:rPr>
            </w:pPr>
            <w:r>
              <w:rPr>
                <w:rFonts w:hint="eastAsia" w:cs="宋体"/>
              </w:rPr>
              <w:t>当发生火灾无法控制时，应立即停止加油作业；防止发生火灾爆炸事故，并及时拨打119申请援助。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12" w:type="dxa"/>
            <w:vMerge w:val="continue"/>
            <w:vAlign w:val="center"/>
          </w:tcPr>
          <w:p>
            <w:pPr>
              <w:widowControl/>
              <w:jc w:val="left"/>
              <w:rPr>
                <w:rFonts w:cs="宋体"/>
                <w:b/>
                <w:bCs/>
              </w:rPr>
            </w:pPr>
          </w:p>
        </w:tc>
        <w:tc>
          <w:tcPr>
            <w:tcW w:w="1695" w:type="dxa"/>
            <w:vAlign w:val="center"/>
          </w:tcPr>
          <w:p>
            <w:pPr>
              <w:jc w:val="center"/>
              <w:rPr>
                <w:rFonts w:cs="宋体"/>
              </w:rPr>
            </w:pPr>
            <w:r>
              <w:rPr>
                <w:rFonts w:hint="eastAsia" w:cs="宋体"/>
              </w:rPr>
              <w:t>事故报告</w:t>
            </w:r>
          </w:p>
        </w:tc>
        <w:tc>
          <w:tcPr>
            <w:tcW w:w="5805" w:type="dxa"/>
            <w:gridSpan w:val="4"/>
            <w:vAlign w:val="center"/>
          </w:tcPr>
          <w:p>
            <w:pPr>
              <w:rPr>
                <w:rFonts w:cs="宋体"/>
              </w:rPr>
            </w:pPr>
            <w:r>
              <w:rPr>
                <w:rFonts w:hint="eastAsia" w:cs="宋体"/>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612" w:type="dxa"/>
            <w:vMerge w:val="continue"/>
            <w:vAlign w:val="center"/>
          </w:tcPr>
          <w:p>
            <w:pPr>
              <w:widowControl/>
              <w:jc w:val="left"/>
              <w:rPr>
                <w:rFonts w:cs="宋体"/>
                <w:b/>
                <w:bCs/>
              </w:rPr>
            </w:pPr>
          </w:p>
        </w:tc>
        <w:tc>
          <w:tcPr>
            <w:tcW w:w="1695" w:type="dxa"/>
            <w:vAlign w:val="center"/>
          </w:tcPr>
          <w:p>
            <w:pPr>
              <w:jc w:val="center"/>
              <w:rPr>
                <w:rFonts w:cs="宋体"/>
              </w:rPr>
            </w:pPr>
            <w:r>
              <w:rPr>
                <w:rFonts w:hint="eastAsia" w:cs="宋体"/>
              </w:rPr>
              <w:t>现场恢复</w:t>
            </w:r>
          </w:p>
        </w:tc>
        <w:tc>
          <w:tcPr>
            <w:tcW w:w="5805" w:type="dxa"/>
            <w:gridSpan w:val="4"/>
            <w:vAlign w:val="center"/>
          </w:tcPr>
          <w:p>
            <w:pPr>
              <w:rPr>
                <w:rFonts w:cs="宋体"/>
              </w:rPr>
            </w:pPr>
            <w:r>
              <w:rPr>
                <w:rFonts w:hint="eastAsia" w:cs="宋体"/>
              </w:rPr>
              <w:t>查明原因，对设备、设施进行维修，达到要求后方能运行。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612" w:type="dxa"/>
            <w:vMerge w:val="restart"/>
            <w:vAlign w:val="center"/>
          </w:tcPr>
          <w:p>
            <w:pPr>
              <w:jc w:val="center"/>
              <w:rPr>
                <w:rFonts w:cs="宋体"/>
                <w:b/>
                <w:bCs/>
              </w:rPr>
            </w:pPr>
            <w:r>
              <w:rPr>
                <w:rFonts w:hint="eastAsia" w:cs="宋体"/>
                <w:b/>
                <w:bCs/>
              </w:rPr>
              <w:t>注</w:t>
            </w:r>
          </w:p>
          <w:p>
            <w:pPr>
              <w:jc w:val="center"/>
              <w:rPr>
                <w:rFonts w:cs="宋体"/>
                <w:b/>
                <w:bCs/>
              </w:rPr>
            </w:pPr>
            <w:r>
              <w:rPr>
                <w:rFonts w:hint="eastAsia" w:cs="宋体"/>
                <w:b/>
                <w:bCs/>
              </w:rPr>
              <w:t>意</w:t>
            </w:r>
          </w:p>
          <w:p>
            <w:pPr>
              <w:jc w:val="center"/>
              <w:rPr>
                <w:rFonts w:cs="宋体"/>
                <w:b/>
                <w:bCs/>
              </w:rPr>
            </w:pPr>
            <w:r>
              <w:rPr>
                <w:rFonts w:hint="eastAsia" w:cs="宋体"/>
                <w:b/>
                <w:bCs/>
              </w:rPr>
              <w:t>事</w:t>
            </w:r>
          </w:p>
          <w:p>
            <w:pPr>
              <w:jc w:val="center"/>
              <w:rPr>
                <w:rFonts w:cs="宋体"/>
                <w:b/>
                <w:bCs/>
              </w:rPr>
            </w:pPr>
            <w:r>
              <w:rPr>
                <w:rFonts w:hint="eastAsia" w:cs="宋体"/>
                <w:b/>
                <w:bCs/>
              </w:rPr>
              <w:t>项</w:t>
            </w:r>
          </w:p>
        </w:tc>
        <w:tc>
          <w:tcPr>
            <w:tcW w:w="1695" w:type="dxa"/>
            <w:vAlign w:val="center"/>
          </w:tcPr>
          <w:p>
            <w:pPr>
              <w:ind w:firstLine="315" w:firstLineChars="150"/>
              <w:rPr>
                <w:rFonts w:cs="宋体"/>
              </w:rPr>
            </w:pPr>
            <w:r>
              <w:rPr>
                <w:rFonts w:hint="eastAsia" w:cs="宋体"/>
              </w:rPr>
              <w:t>防护器具</w:t>
            </w:r>
          </w:p>
        </w:tc>
        <w:tc>
          <w:tcPr>
            <w:tcW w:w="5805" w:type="dxa"/>
            <w:gridSpan w:val="4"/>
            <w:vAlign w:val="center"/>
          </w:tcPr>
          <w:p>
            <w:pPr>
              <w:rPr>
                <w:rFonts w:cs="宋体"/>
              </w:rPr>
            </w:pPr>
            <w:r>
              <w:rPr>
                <w:rFonts w:hint="eastAsia" w:cs="宋体"/>
              </w:rPr>
              <w:t>参加火灾事故应急救援行动，应急救援人员必须佩戴和使用符合要求的防护用品。严禁救援人员在没有采取防护措施的情况下盲目施救。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612" w:type="dxa"/>
            <w:vMerge w:val="continue"/>
            <w:vAlign w:val="center"/>
          </w:tcPr>
          <w:p>
            <w:pPr>
              <w:widowControl/>
              <w:jc w:val="left"/>
              <w:rPr>
                <w:rFonts w:cs="宋体"/>
                <w:b/>
                <w:bCs/>
              </w:rPr>
            </w:pPr>
          </w:p>
        </w:tc>
        <w:tc>
          <w:tcPr>
            <w:tcW w:w="1695" w:type="dxa"/>
            <w:vAlign w:val="center"/>
          </w:tcPr>
          <w:p>
            <w:pPr>
              <w:jc w:val="center"/>
              <w:rPr>
                <w:rFonts w:cs="宋体"/>
              </w:rPr>
            </w:pPr>
            <w:r>
              <w:rPr>
                <w:rFonts w:hint="eastAsia" w:cs="宋体"/>
              </w:rPr>
              <w:t>救援器材</w:t>
            </w:r>
          </w:p>
        </w:tc>
        <w:tc>
          <w:tcPr>
            <w:tcW w:w="5805" w:type="dxa"/>
            <w:gridSpan w:val="4"/>
            <w:vAlign w:val="center"/>
          </w:tcPr>
          <w:p>
            <w:pPr>
              <w:rPr>
                <w:rFonts w:cs="宋体"/>
              </w:rPr>
            </w:pPr>
            <w:r>
              <w:rPr>
                <w:rFonts w:hint="eastAsia" w:cs="宋体"/>
              </w:rPr>
              <w:t>1、应根据易燃物的性质，选择合适的灭火器材。遇水易燃的物质着火不能用水灭火，电器火灾不能用水灭火。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12" w:type="dxa"/>
            <w:vMerge w:val="continue"/>
            <w:vAlign w:val="center"/>
          </w:tcPr>
          <w:p>
            <w:pPr>
              <w:widowControl/>
              <w:jc w:val="left"/>
              <w:rPr>
                <w:rFonts w:cs="宋体"/>
                <w:b/>
                <w:bCs/>
              </w:rPr>
            </w:pPr>
          </w:p>
        </w:tc>
        <w:tc>
          <w:tcPr>
            <w:tcW w:w="1695" w:type="dxa"/>
            <w:vAlign w:val="center"/>
          </w:tcPr>
          <w:p>
            <w:pPr>
              <w:ind w:firstLine="315" w:firstLineChars="150"/>
              <w:rPr>
                <w:rFonts w:cs="宋体"/>
              </w:rPr>
            </w:pPr>
            <w:r>
              <w:rPr>
                <w:rFonts w:hint="eastAsia" w:cs="宋体"/>
              </w:rPr>
              <w:t>救援对策</w:t>
            </w:r>
          </w:p>
        </w:tc>
        <w:tc>
          <w:tcPr>
            <w:tcW w:w="5805" w:type="dxa"/>
            <w:gridSpan w:val="4"/>
            <w:vAlign w:val="center"/>
          </w:tcPr>
          <w:p>
            <w:pPr>
              <w:rPr>
                <w:rFonts w:cs="宋体"/>
              </w:rPr>
            </w:pPr>
            <w:r>
              <w:rPr>
                <w:rFonts w:hint="eastAsia" w:cs="宋体"/>
              </w:rPr>
              <w:t>1、应急救援时，应贯彻“以人为本”的原则，先抢救人员再灭火。</w:t>
            </w:r>
          </w:p>
          <w:p>
            <w:pPr>
              <w:rPr>
                <w:rFonts w:cs="宋体"/>
              </w:rPr>
            </w:pPr>
            <w:r>
              <w:rPr>
                <w:rFonts w:hint="eastAsia" w:cs="宋体"/>
              </w:rPr>
              <w:t>2、初期火灾及时扑灭或控制火情的蔓延，防止事故扩大。</w:t>
            </w:r>
          </w:p>
          <w:p>
            <w:pPr>
              <w:rPr>
                <w:rFonts w:cs="宋体"/>
              </w:rPr>
            </w:pPr>
            <w:r>
              <w:rPr>
                <w:rFonts w:hint="eastAsia" w:cs="宋体"/>
              </w:rPr>
              <w:t>3、应急救援人员必须采取可靠的安全防护措施后方可进入现场，参加应急救援行动。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3" w:hRule="atLeast"/>
          <w:jc w:val="center"/>
        </w:trPr>
        <w:tc>
          <w:tcPr>
            <w:tcW w:w="612" w:type="dxa"/>
            <w:vMerge w:val="continue"/>
            <w:vAlign w:val="center"/>
          </w:tcPr>
          <w:p>
            <w:pPr>
              <w:widowControl/>
              <w:jc w:val="left"/>
              <w:rPr>
                <w:rFonts w:cs="宋体"/>
                <w:b/>
                <w:bCs/>
              </w:rPr>
            </w:pPr>
          </w:p>
        </w:tc>
        <w:tc>
          <w:tcPr>
            <w:tcW w:w="1695" w:type="dxa"/>
            <w:vAlign w:val="center"/>
          </w:tcPr>
          <w:p>
            <w:pPr>
              <w:jc w:val="center"/>
              <w:rPr>
                <w:rFonts w:cs="宋体"/>
              </w:rPr>
            </w:pPr>
            <w:r>
              <w:rPr>
                <w:rFonts w:hint="eastAsia" w:cs="宋体"/>
              </w:rPr>
              <w:t>自救与互救</w:t>
            </w:r>
          </w:p>
        </w:tc>
        <w:tc>
          <w:tcPr>
            <w:tcW w:w="5805" w:type="dxa"/>
            <w:gridSpan w:val="4"/>
            <w:vAlign w:val="center"/>
          </w:tcPr>
          <w:p>
            <w:pPr>
              <w:rPr>
                <w:rFonts w:cs="宋体"/>
              </w:rPr>
            </w:pPr>
            <w:r>
              <w:rPr>
                <w:rFonts w:hint="eastAsia" w:cs="宋体"/>
              </w:rPr>
              <w:t>1、救护人必须使用适当的灭火器具，如果是电气火灾不可直接用手或其他金属及潮湿的构件作为救护工具，且要用一只手操作，以防触电。</w:t>
            </w:r>
          </w:p>
          <w:p>
            <w:pPr>
              <w:rPr>
                <w:rFonts w:cs="宋体"/>
              </w:rPr>
            </w:pPr>
            <w:r>
              <w:rPr>
                <w:rFonts w:hint="eastAsia" w:cs="宋体"/>
              </w:rPr>
              <w:t>2、对受伤者实施救护时，应防止受伤者摔伤（特别是当触电者在高处时）或者对身体烧伤表面造成损伤。</w:t>
            </w:r>
          </w:p>
          <w:p>
            <w:pPr>
              <w:rPr>
                <w:rFonts w:cs="宋体"/>
              </w:rPr>
            </w:pPr>
            <w:r>
              <w:rPr>
                <w:rFonts w:hint="eastAsia" w:cs="宋体"/>
              </w:rPr>
              <w:t>3、如事故发生在夜间或无照明区域，应迅速解决临时照明。</w:t>
            </w:r>
          </w:p>
          <w:p>
            <w:pPr>
              <w:rPr>
                <w:rFonts w:cs="宋体"/>
              </w:rPr>
            </w:pPr>
            <w:r>
              <w:rPr>
                <w:rFonts w:hint="eastAsia" w:cs="宋体"/>
              </w:rPr>
              <w:t>4、使受伤者迅速脱离事故现场，至空气流通处，安静平卧，解开衣服以利呼吸（烧伤皮肤与衣物粘在一起，慎动，避免对皮肤造成二次损伤），严密观察，等待医生前来救治（较轻者）。</w:t>
            </w:r>
          </w:p>
          <w:p>
            <w:pPr>
              <w:rPr>
                <w:rFonts w:cs="宋体"/>
              </w:rPr>
            </w:pPr>
            <w:r>
              <w:rPr>
                <w:rFonts w:hint="eastAsia" w:cs="宋体"/>
              </w:rPr>
              <w:t>5、伤者伤势严重、呼吸停止时，应立即施行人工呼吸和心脏按压复苏，并速请医生诊治或立即送往医院。</w:t>
            </w:r>
          </w:p>
          <w:p>
            <w:pPr>
              <w:rPr>
                <w:rFonts w:cs="宋体"/>
              </w:rPr>
            </w:pPr>
            <w:r>
              <w:rPr>
                <w:rFonts w:hint="eastAsia" w:cs="宋体"/>
              </w:rPr>
              <w:t>6、在专业救援人员到来之前，对受伤者的急救不能终止。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12" w:type="dxa"/>
            <w:vMerge w:val="continue"/>
            <w:vAlign w:val="center"/>
          </w:tcPr>
          <w:p>
            <w:pPr>
              <w:widowControl/>
              <w:jc w:val="left"/>
              <w:rPr>
                <w:rFonts w:cs="宋体"/>
                <w:b/>
                <w:bCs/>
              </w:rPr>
            </w:pPr>
          </w:p>
        </w:tc>
        <w:tc>
          <w:tcPr>
            <w:tcW w:w="1695" w:type="dxa"/>
            <w:vAlign w:val="center"/>
          </w:tcPr>
          <w:p>
            <w:pPr>
              <w:jc w:val="center"/>
              <w:rPr>
                <w:rFonts w:cs="宋体"/>
              </w:rPr>
            </w:pPr>
            <w:r>
              <w:rPr>
                <w:rFonts w:hint="eastAsia" w:cs="宋体"/>
              </w:rPr>
              <w:t>人员能力</w:t>
            </w:r>
          </w:p>
        </w:tc>
        <w:tc>
          <w:tcPr>
            <w:tcW w:w="5805" w:type="dxa"/>
            <w:gridSpan w:val="4"/>
            <w:vAlign w:val="center"/>
          </w:tcPr>
          <w:p>
            <w:pPr>
              <w:rPr>
                <w:rFonts w:cs="宋体"/>
              </w:rPr>
            </w:pPr>
            <w:r>
              <w:rPr>
                <w:rFonts w:hint="eastAsia" w:cs="宋体"/>
              </w:rPr>
              <w:t>1、初期火灾发现者及时用适当灭火器具扑救，并呼叫周边人员协助。</w:t>
            </w:r>
          </w:p>
          <w:p>
            <w:pPr>
              <w:rPr>
                <w:rFonts w:cs="宋体"/>
              </w:rPr>
            </w:pPr>
            <w:r>
              <w:rPr>
                <w:rFonts w:hint="eastAsia" w:cs="宋体"/>
              </w:rPr>
              <w:t>2、无法控制火情时人员撤离到安全地带。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12" w:type="dxa"/>
            <w:vMerge w:val="continue"/>
            <w:vAlign w:val="center"/>
          </w:tcPr>
          <w:p>
            <w:pPr>
              <w:widowControl/>
              <w:jc w:val="left"/>
              <w:rPr>
                <w:rFonts w:cs="宋体"/>
                <w:b/>
                <w:bCs/>
              </w:rPr>
            </w:pPr>
          </w:p>
        </w:tc>
        <w:tc>
          <w:tcPr>
            <w:tcW w:w="1695" w:type="dxa"/>
            <w:vAlign w:val="center"/>
          </w:tcPr>
          <w:p>
            <w:pPr>
              <w:jc w:val="center"/>
              <w:rPr>
                <w:rFonts w:cs="宋体"/>
              </w:rPr>
            </w:pPr>
            <w:r>
              <w:rPr>
                <w:rFonts w:hint="eastAsia" w:cs="宋体"/>
              </w:rPr>
              <w:t>救援结束</w:t>
            </w:r>
          </w:p>
        </w:tc>
        <w:tc>
          <w:tcPr>
            <w:tcW w:w="5805" w:type="dxa"/>
            <w:gridSpan w:val="4"/>
            <w:vAlign w:val="center"/>
          </w:tcPr>
          <w:p>
            <w:pPr>
              <w:rPr>
                <w:rFonts w:cs="宋体"/>
              </w:rPr>
            </w:pPr>
            <w:r>
              <w:rPr>
                <w:rFonts w:hint="eastAsia" w:cs="宋体"/>
              </w:rPr>
              <w:t>1、险情排除后，组织相关人员对现场进行认真地检查，防止遗漏，再次造成事故。</w:t>
            </w:r>
          </w:p>
          <w:p>
            <w:pPr>
              <w:rPr>
                <w:rFonts w:cs="宋体"/>
              </w:rPr>
            </w:pPr>
            <w:r>
              <w:rPr>
                <w:rFonts w:hint="eastAsia" w:cs="宋体"/>
              </w:rPr>
              <w:t xml:space="preserve">2、保护好现场，以便查清事故原因，吸取教训，制定防范措施. </w:t>
            </w:r>
          </w:p>
          <w:p>
            <w:pPr>
              <w:rPr>
                <w:rFonts w:cs="宋体"/>
              </w:rPr>
            </w:pPr>
            <w:r>
              <w:rPr>
                <w:rFonts w:hint="eastAsia" w:cs="宋体"/>
              </w:rPr>
              <w:t>3、征得有关部门同意后，对现场进行彻底清洗处理，人员、设备、现场卫生，全面到位。然后报生产部门检查。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12" w:type="dxa"/>
            <w:vMerge w:val="continue"/>
            <w:vAlign w:val="center"/>
          </w:tcPr>
          <w:p>
            <w:pPr>
              <w:widowControl/>
              <w:jc w:val="left"/>
              <w:rPr>
                <w:rFonts w:cs="宋体"/>
                <w:b/>
                <w:bCs/>
              </w:rPr>
            </w:pPr>
          </w:p>
        </w:tc>
        <w:tc>
          <w:tcPr>
            <w:tcW w:w="1695" w:type="dxa"/>
            <w:vAlign w:val="center"/>
          </w:tcPr>
          <w:p>
            <w:pPr>
              <w:jc w:val="center"/>
              <w:rPr>
                <w:rFonts w:cs="宋体"/>
              </w:rPr>
            </w:pPr>
            <w:r>
              <w:rPr>
                <w:rFonts w:hint="eastAsia" w:cs="宋体"/>
              </w:rPr>
              <w:t>特别警示</w:t>
            </w:r>
          </w:p>
        </w:tc>
        <w:tc>
          <w:tcPr>
            <w:tcW w:w="5805" w:type="dxa"/>
            <w:gridSpan w:val="4"/>
            <w:vAlign w:val="center"/>
          </w:tcPr>
          <w:p>
            <w:pPr>
              <w:numPr>
                <w:ilvl w:val="0"/>
                <w:numId w:val="10"/>
              </w:numPr>
              <w:rPr>
                <w:rFonts w:cs="宋体"/>
              </w:rPr>
            </w:pPr>
            <w:r>
              <w:rPr>
                <w:rFonts w:hint="eastAsia" w:cs="宋体"/>
              </w:rPr>
              <w:t>保持救援电话畅通；</w:t>
            </w:r>
          </w:p>
          <w:p>
            <w:pPr>
              <w:numPr>
                <w:ilvl w:val="0"/>
                <w:numId w:val="10"/>
              </w:numPr>
              <w:rPr>
                <w:rFonts w:cs="宋体"/>
              </w:rPr>
            </w:pPr>
            <w:r>
              <w:rPr>
                <w:rFonts w:hint="eastAsia" w:cs="宋体"/>
              </w:rPr>
              <w:t>对应急救援器材进行经常性的检查和保养；</w:t>
            </w:r>
          </w:p>
          <w:p>
            <w:pPr>
              <w:numPr>
                <w:ilvl w:val="0"/>
                <w:numId w:val="10"/>
              </w:numPr>
              <w:rPr>
                <w:rFonts w:cs="宋体"/>
              </w:rPr>
            </w:pPr>
            <w:r>
              <w:rPr>
                <w:rFonts w:hint="eastAsia" w:cs="宋体"/>
              </w:rPr>
              <w:t>应急疏散时的人数查点；</w:t>
            </w:r>
          </w:p>
          <w:p>
            <w:pPr>
              <w:rPr>
                <w:rFonts w:cs="宋体"/>
              </w:rPr>
            </w:pPr>
            <w:r>
              <w:rPr>
                <w:rFonts w:hint="eastAsia" w:cs="宋体"/>
              </w:rPr>
              <w:t>4、救援结束后的人员、物资查点。</w:t>
            </w:r>
          </w:p>
        </w:tc>
      </w:tr>
    </w:tbl>
    <w:p>
      <w:pPr>
        <w:rPr>
          <w:rFonts w:cs="宋体"/>
        </w:rPr>
      </w:pPr>
    </w:p>
    <w:p>
      <w:pPr>
        <w:pStyle w:val="3"/>
        <w:rPr>
          <w:rFonts w:eastAsia="宋体" w:cs="宋体"/>
        </w:rPr>
      </w:pPr>
      <w:bookmarkStart w:id="892" w:name="_Toc504989640"/>
      <w:bookmarkEnd w:id="892"/>
      <w:bookmarkStart w:id="893" w:name="_Toc530594673"/>
      <w:bookmarkStart w:id="894" w:name="_Toc14827"/>
      <w:bookmarkStart w:id="895" w:name="_Toc3126"/>
      <w:bookmarkStart w:id="896" w:name="_Toc25543"/>
      <w:bookmarkStart w:id="897" w:name="_Toc6735"/>
      <w:r>
        <w:rPr>
          <w:rFonts w:hint="eastAsia" w:eastAsia="宋体" w:cs="宋体"/>
        </w:rPr>
        <w:t>四、油品泄漏事故现场处置方案</w:t>
      </w:r>
      <w:bookmarkEnd w:id="893"/>
      <w:bookmarkEnd w:id="894"/>
      <w:bookmarkEnd w:id="895"/>
      <w:bookmarkEnd w:id="896"/>
      <w:bookmarkEnd w:id="897"/>
    </w:p>
    <w:tbl>
      <w:tblPr>
        <w:tblStyle w:val="35"/>
        <w:tblW w:w="81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
        <w:gridCol w:w="1702"/>
        <w:gridCol w:w="724"/>
        <w:gridCol w:w="813"/>
        <w:gridCol w:w="3680"/>
        <w:gridCol w:w="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482" w:type="dxa"/>
            <w:vMerge w:val="restart"/>
            <w:vAlign w:val="center"/>
          </w:tcPr>
          <w:p>
            <w:pPr>
              <w:jc w:val="center"/>
              <w:rPr>
                <w:rFonts w:cs="宋体"/>
                <w:b/>
                <w:bCs/>
              </w:rPr>
            </w:pPr>
            <w:r>
              <w:rPr>
                <w:rFonts w:hint="eastAsia" w:cs="宋体"/>
                <w:b/>
                <w:bCs/>
              </w:rPr>
              <w:t>事</w:t>
            </w:r>
          </w:p>
          <w:p>
            <w:pPr>
              <w:jc w:val="center"/>
              <w:rPr>
                <w:rFonts w:cs="宋体"/>
                <w:b/>
                <w:bCs/>
              </w:rPr>
            </w:pPr>
            <w:r>
              <w:rPr>
                <w:rFonts w:hint="eastAsia" w:cs="宋体"/>
                <w:b/>
                <w:bCs/>
              </w:rPr>
              <w:t>故</w:t>
            </w:r>
          </w:p>
          <w:p>
            <w:pPr>
              <w:jc w:val="center"/>
              <w:rPr>
                <w:rFonts w:cs="宋体"/>
                <w:b/>
                <w:bCs/>
              </w:rPr>
            </w:pPr>
            <w:r>
              <w:rPr>
                <w:rFonts w:hint="eastAsia" w:cs="宋体"/>
                <w:b/>
                <w:bCs/>
              </w:rPr>
              <w:t>特</w:t>
            </w:r>
          </w:p>
          <w:p>
            <w:pPr>
              <w:jc w:val="center"/>
              <w:rPr>
                <w:rFonts w:cs="宋体"/>
                <w:b/>
                <w:bCs/>
              </w:rPr>
            </w:pPr>
            <w:r>
              <w:rPr>
                <w:rFonts w:hint="eastAsia" w:cs="宋体"/>
                <w:b/>
                <w:bCs/>
              </w:rPr>
              <w:t>征</w:t>
            </w:r>
          </w:p>
        </w:tc>
        <w:tc>
          <w:tcPr>
            <w:tcW w:w="2426" w:type="dxa"/>
            <w:gridSpan w:val="2"/>
            <w:vAlign w:val="center"/>
          </w:tcPr>
          <w:p>
            <w:pPr>
              <w:jc w:val="center"/>
              <w:rPr>
                <w:rFonts w:cs="宋体"/>
              </w:rPr>
            </w:pPr>
            <w:r>
              <w:rPr>
                <w:rFonts w:hint="eastAsia" w:cs="宋体"/>
              </w:rPr>
              <w:t>区域（装置）名称</w:t>
            </w:r>
          </w:p>
        </w:tc>
        <w:tc>
          <w:tcPr>
            <w:tcW w:w="5271" w:type="dxa"/>
            <w:gridSpan w:val="3"/>
            <w:vAlign w:val="center"/>
          </w:tcPr>
          <w:p>
            <w:pPr>
              <w:rPr>
                <w:rFonts w:cs="宋体"/>
              </w:rPr>
            </w:pPr>
            <w:r>
              <w:rPr>
                <w:rFonts w:hint="eastAsia" w:cs="宋体"/>
              </w:rPr>
              <w:t>罐区、加油区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482" w:type="dxa"/>
            <w:vMerge w:val="continue"/>
            <w:vAlign w:val="center"/>
          </w:tcPr>
          <w:p>
            <w:pPr>
              <w:widowControl/>
              <w:jc w:val="left"/>
              <w:rPr>
                <w:rFonts w:cs="宋体"/>
                <w:b/>
                <w:bCs/>
              </w:rPr>
            </w:pPr>
          </w:p>
        </w:tc>
        <w:tc>
          <w:tcPr>
            <w:tcW w:w="2426" w:type="dxa"/>
            <w:gridSpan w:val="2"/>
            <w:vAlign w:val="center"/>
          </w:tcPr>
          <w:p>
            <w:pPr>
              <w:jc w:val="center"/>
              <w:rPr>
                <w:rFonts w:cs="宋体"/>
              </w:rPr>
            </w:pPr>
            <w:r>
              <w:rPr>
                <w:rFonts w:hint="eastAsia" w:cs="宋体"/>
              </w:rPr>
              <w:t>可能发生的事故类型</w:t>
            </w:r>
          </w:p>
        </w:tc>
        <w:tc>
          <w:tcPr>
            <w:tcW w:w="5271" w:type="dxa"/>
            <w:gridSpan w:val="3"/>
            <w:vAlign w:val="center"/>
          </w:tcPr>
          <w:p>
            <w:pPr>
              <w:rPr>
                <w:rFonts w:cs="宋体"/>
              </w:rPr>
            </w:pPr>
            <w:r>
              <w:rPr>
                <w:rFonts w:hint="eastAsia" w:cs="宋体"/>
              </w:rPr>
              <w:t>汽油、柴油发生泄漏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482" w:type="dxa"/>
            <w:vMerge w:val="continue"/>
            <w:vAlign w:val="center"/>
          </w:tcPr>
          <w:p>
            <w:pPr>
              <w:widowControl/>
              <w:jc w:val="left"/>
              <w:rPr>
                <w:rFonts w:cs="宋体"/>
                <w:b/>
                <w:bCs/>
              </w:rPr>
            </w:pPr>
          </w:p>
        </w:tc>
        <w:tc>
          <w:tcPr>
            <w:tcW w:w="2426" w:type="dxa"/>
            <w:gridSpan w:val="2"/>
            <w:vAlign w:val="center"/>
          </w:tcPr>
          <w:p>
            <w:pPr>
              <w:jc w:val="center"/>
              <w:rPr>
                <w:rFonts w:cs="宋体"/>
              </w:rPr>
            </w:pPr>
            <w:r>
              <w:rPr>
                <w:rFonts w:hint="eastAsia" w:cs="宋体"/>
              </w:rPr>
              <w:t>可能发生的季节、时段</w:t>
            </w:r>
          </w:p>
        </w:tc>
        <w:tc>
          <w:tcPr>
            <w:tcW w:w="5271" w:type="dxa"/>
            <w:gridSpan w:val="3"/>
            <w:vAlign w:val="center"/>
          </w:tcPr>
          <w:p>
            <w:pPr>
              <w:rPr>
                <w:rFonts w:cs="宋体"/>
              </w:rPr>
            </w:pPr>
            <w:r>
              <w:rPr>
                <w:rFonts w:hint="eastAsia" w:cs="宋体"/>
              </w:rPr>
              <w:t>生产作业活动引发的泄漏事故则没有明显的季节特征。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482" w:type="dxa"/>
            <w:vMerge w:val="continue"/>
            <w:vAlign w:val="center"/>
          </w:tcPr>
          <w:p>
            <w:pPr>
              <w:widowControl/>
              <w:jc w:val="left"/>
              <w:rPr>
                <w:rFonts w:cs="宋体"/>
                <w:b/>
                <w:bCs/>
              </w:rPr>
            </w:pPr>
          </w:p>
        </w:tc>
        <w:tc>
          <w:tcPr>
            <w:tcW w:w="2426" w:type="dxa"/>
            <w:gridSpan w:val="2"/>
            <w:vAlign w:val="center"/>
          </w:tcPr>
          <w:p>
            <w:pPr>
              <w:jc w:val="center"/>
              <w:rPr>
                <w:rFonts w:cs="宋体"/>
              </w:rPr>
            </w:pPr>
            <w:r>
              <w:rPr>
                <w:rFonts w:hint="eastAsia" w:cs="宋体"/>
              </w:rPr>
              <w:t>事故征兆</w:t>
            </w:r>
          </w:p>
        </w:tc>
        <w:tc>
          <w:tcPr>
            <w:tcW w:w="5271" w:type="dxa"/>
            <w:gridSpan w:val="3"/>
            <w:vAlign w:val="center"/>
          </w:tcPr>
          <w:p>
            <w:pPr>
              <w:rPr>
                <w:rFonts w:cs="宋体"/>
              </w:rPr>
            </w:pPr>
            <w:r>
              <w:rPr>
                <w:rFonts w:hint="eastAsia" w:cs="宋体"/>
              </w:rPr>
              <w:t>油品管道、阀门及腐蚀、油罐腐蚀，或其他外在因素导致损坏；违章操作、加油枪自封故障致油箱溢油；违章驾驶导致罐车撞击破损；液位仪故障、量尺不准、管理不到位导致溢油；卸车软管破损或接管不牢；人为破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5" w:hRule="atLeast"/>
          <w:jc w:val="center"/>
        </w:trPr>
        <w:tc>
          <w:tcPr>
            <w:tcW w:w="482" w:type="dxa"/>
            <w:vMerge w:val="continue"/>
            <w:vAlign w:val="center"/>
          </w:tcPr>
          <w:p>
            <w:pPr>
              <w:widowControl/>
              <w:jc w:val="left"/>
              <w:rPr>
                <w:rFonts w:cs="宋体"/>
                <w:b/>
                <w:bCs/>
              </w:rPr>
            </w:pPr>
          </w:p>
        </w:tc>
        <w:tc>
          <w:tcPr>
            <w:tcW w:w="2426" w:type="dxa"/>
            <w:gridSpan w:val="2"/>
            <w:vAlign w:val="center"/>
          </w:tcPr>
          <w:p>
            <w:pPr>
              <w:jc w:val="center"/>
              <w:rPr>
                <w:rFonts w:cs="宋体"/>
              </w:rPr>
            </w:pPr>
            <w:r>
              <w:rPr>
                <w:rFonts w:hint="eastAsia" w:cs="宋体"/>
              </w:rPr>
              <w:t>事故危害程度</w:t>
            </w:r>
          </w:p>
        </w:tc>
        <w:tc>
          <w:tcPr>
            <w:tcW w:w="5271" w:type="dxa"/>
            <w:gridSpan w:val="3"/>
            <w:vAlign w:val="center"/>
          </w:tcPr>
          <w:p>
            <w:pPr>
              <w:rPr>
                <w:rStyle w:val="54"/>
                <w:rFonts w:hint="default" w:ascii="Times New Roman" w:hAnsi="Times New Roman" w:cs="宋体"/>
                <w:sz w:val="21"/>
                <w:szCs w:val="21"/>
              </w:rPr>
            </w:pPr>
            <w:r>
              <w:rPr>
                <w:rFonts w:hint="eastAsia" w:cs="宋体"/>
                <w:b/>
                <w:bCs/>
              </w:rPr>
              <w:t>汽油：</w:t>
            </w:r>
            <w:r>
              <w:rPr>
                <w:rStyle w:val="54"/>
                <w:rFonts w:hint="default" w:ascii="Times New Roman" w:hAnsi="Times New Roman" w:cs="宋体"/>
                <w:sz w:val="21"/>
                <w:szCs w:val="21"/>
              </w:rPr>
              <w:t>蒸气对上呼吸道有强烈刺激性，在高温时吸入伤害增加。吸入高浓度的气体/蒸气引起肺刺激，伴有咳嗽、恶心；出现头痛、头晕、反射迟钝、疲乏和共济失调等中枢神经抑制症状。如果长时间接触高浓度溶剂蒸气，可导致麻醉、意识不清甚至昏迷和死亡。</w:t>
            </w:r>
          </w:p>
          <w:p>
            <w:pPr>
              <w:rPr>
                <w:rStyle w:val="54"/>
                <w:rFonts w:hint="default" w:ascii="Times New Roman" w:hAnsi="Times New Roman" w:cs="宋体"/>
                <w:sz w:val="21"/>
                <w:szCs w:val="21"/>
              </w:rPr>
            </w:pPr>
            <w:r>
              <w:rPr>
                <w:rStyle w:val="54"/>
                <w:rFonts w:hint="default" w:ascii="Times New Roman" w:hAnsi="Times New Roman" w:cs="宋体"/>
                <w:b/>
                <w:bCs/>
                <w:sz w:val="21"/>
                <w:szCs w:val="21"/>
              </w:rPr>
              <w:t>柴油：</w:t>
            </w:r>
            <w:r>
              <w:rPr>
                <w:rStyle w:val="54"/>
                <w:rFonts w:hint="default" w:ascii="Times New Roman" w:hAnsi="Times New Roman" w:cs="宋体"/>
                <w:sz w:val="21"/>
                <w:szCs w:val="21"/>
              </w:rPr>
              <w:t>柴油的</w:t>
            </w:r>
            <w:r>
              <w:fldChar w:fldCharType="begin"/>
            </w:r>
            <w:r>
              <w:instrText xml:space="preserve"> HYPERLINK "http://baike.baidu.com/view/173431.htm" </w:instrText>
            </w:r>
            <w:r>
              <w:fldChar w:fldCharType="separate"/>
            </w:r>
            <w:r>
              <w:rPr>
                <w:rStyle w:val="34"/>
                <w:rFonts w:hint="eastAsia" w:cs="宋体"/>
                <w:color w:val="auto"/>
                <w:u w:val="none"/>
              </w:rPr>
              <w:t>雾滴</w:t>
            </w:r>
            <w:r>
              <w:rPr>
                <w:rStyle w:val="34"/>
                <w:rFonts w:hint="eastAsia" w:cs="宋体"/>
                <w:color w:val="auto"/>
                <w:u w:val="none"/>
              </w:rPr>
              <w:fldChar w:fldCharType="end"/>
            </w:r>
            <w:r>
              <w:rPr>
                <w:rFonts w:hint="eastAsia" w:cs="宋体"/>
              </w:rPr>
              <w:t>吸入后可致</w:t>
            </w:r>
            <w:r>
              <w:fldChar w:fldCharType="begin"/>
            </w:r>
            <w:r>
              <w:instrText xml:space="preserve"> HYPERLINK "http://baike.baidu.com/view/124964.htm" </w:instrText>
            </w:r>
            <w:r>
              <w:fldChar w:fldCharType="separate"/>
            </w:r>
            <w:r>
              <w:rPr>
                <w:rStyle w:val="34"/>
                <w:rFonts w:hint="eastAsia" w:cs="宋体"/>
                <w:color w:val="auto"/>
                <w:u w:val="none"/>
              </w:rPr>
              <w:t>吸入性肺炎</w:t>
            </w:r>
            <w:r>
              <w:rPr>
                <w:rStyle w:val="34"/>
                <w:rFonts w:hint="eastAsia" w:cs="宋体"/>
                <w:color w:val="auto"/>
                <w:u w:val="none"/>
              </w:rPr>
              <w:fldChar w:fldCharType="end"/>
            </w:r>
            <w:r>
              <w:rPr>
                <w:rFonts w:hint="eastAsia" w:cs="宋体"/>
              </w:rPr>
              <w:t>。皮肤接触柴油可致接触性皮炎。</w:t>
            </w:r>
          </w:p>
          <w:p>
            <w:pPr>
              <w:rPr>
                <w:rStyle w:val="54"/>
                <w:rFonts w:hint="default" w:ascii="Times New Roman" w:hAnsi="Times New Roman" w:cs="宋体"/>
                <w:sz w:val="21"/>
                <w:szCs w:val="21"/>
              </w:rPr>
            </w:pPr>
            <w:r>
              <w:rPr>
                <w:rStyle w:val="54"/>
                <w:rFonts w:hint="default" w:ascii="Times New Roman" w:hAnsi="Times New Roman" w:cs="宋体"/>
                <w:sz w:val="21"/>
                <w:szCs w:val="21"/>
              </w:rPr>
              <w:t>汽油、柴油均可燃，遇点火源可能引发火灾，甚至爆炸事故。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482" w:type="dxa"/>
            <w:vMerge w:val="continue"/>
            <w:vAlign w:val="center"/>
          </w:tcPr>
          <w:p>
            <w:pPr>
              <w:widowControl/>
              <w:jc w:val="left"/>
              <w:rPr>
                <w:rFonts w:cs="宋体"/>
                <w:b/>
                <w:bCs/>
              </w:rPr>
            </w:pPr>
          </w:p>
        </w:tc>
        <w:tc>
          <w:tcPr>
            <w:tcW w:w="2426" w:type="dxa"/>
            <w:gridSpan w:val="2"/>
          </w:tcPr>
          <w:p>
            <w:pPr>
              <w:jc w:val="center"/>
              <w:rPr>
                <w:rFonts w:cs="宋体"/>
              </w:rPr>
            </w:pPr>
            <w:r>
              <w:rPr>
                <w:rFonts w:hint="eastAsia" w:cs="宋体"/>
              </w:rPr>
              <w:t>可能引发的次生、衍生事故</w:t>
            </w:r>
          </w:p>
        </w:tc>
        <w:tc>
          <w:tcPr>
            <w:tcW w:w="5271" w:type="dxa"/>
            <w:gridSpan w:val="3"/>
            <w:vAlign w:val="center"/>
          </w:tcPr>
          <w:p>
            <w:pPr>
              <w:rPr>
                <w:rFonts w:cs="宋体"/>
              </w:rPr>
            </w:pPr>
            <w:r>
              <w:rPr>
                <w:rFonts w:hint="eastAsia" w:cs="宋体"/>
              </w:rPr>
              <w:t>中毒窒息，火灾甚至爆炸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482" w:type="dxa"/>
            <w:vMerge w:val="continue"/>
            <w:vAlign w:val="center"/>
          </w:tcPr>
          <w:p>
            <w:pPr>
              <w:widowControl/>
              <w:jc w:val="left"/>
              <w:rPr>
                <w:rFonts w:cs="宋体"/>
                <w:b/>
                <w:bCs/>
              </w:rPr>
            </w:pPr>
          </w:p>
        </w:tc>
        <w:tc>
          <w:tcPr>
            <w:tcW w:w="2426" w:type="dxa"/>
            <w:gridSpan w:val="2"/>
          </w:tcPr>
          <w:p>
            <w:pPr>
              <w:jc w:val="center"/>
              <w:rPr>
                <w:rFonts w:cs="宋体"/>
              </w:rPr>
            </w:pPr>
            <w:r>
              <w:rPr>
                <w:rFonts w:hint="eastAsia" w:cs="宋体"/>
              </w:rPr>
              <w:t>事故影响范围</w:t>
            </w:r>
          </w:p>
        </w:tc>
        <w:tc>
          <w:tcPr>
            <w:tcW w:w="5271" w:type="dxa"/>
            <w:gridSpan w:val="3"/>
            <w:vAlign w:val="center"/>
          </w:tcPr>
          <w:p>
            <w:pPr>
              <w:rPr>
                <w:rFonts w:cs="宋体"/>
              </w:rPr>
            </w:pPr>
            <w:r>
              <w:rPr>
                <w:rFonts w:hint="eastAsia" w:cs="宋体"/>
              </w:rPr>
              <w:t>如果得到及时、恰当地处理，事故影响范围可控制在事故发生区域；如应急处置不及时或控制失效，可能波及厂区其他区域，甚至影响周边企业、人员。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482" w:type="dxa"/>
            <w:vMerge w:val="restart"/>
            <w:vAlign w:val="center"/>
          </w:tcPr>
          <w:p>
            <w:pPr>
              <w:jc w:val="center"/>
              <w:rPr>
                <w:rFonts w:cs="宋体"/>
                <w:b/>
                <w:bCs/>
              </w:rPr>
            </w:pPr>
            <w:r>
              <w:rPr>
                <w:rFonts w:hint="eastAsia" w:cs="宋体"/>
                <w:b/>
                <w:bCs/>
              </w:rPr>
              <w:t>应</w:t>
            </w:r>
          </w:p>
          <w:p>
            <w:pPr>
              <w:jc w:val="center"/>
              <w:rPr>
                <w:rFonts w:cs="宋体"/>
                <w:b/>
                <w:bCs/>
              </w:rPr>
            </w:pPr>
            <w:r>
              <w:rPr>
                <w:rFonts w:hint="eastAsia" w:cs="宋体"/>
                <w:b/>
                <w:bCs/>
              </w:rPr>
              <w:t>急</w:t>
            </w:r>
          </w:p>
          <w:p>
            <w:pPr>
              <w:jc w:val="center"/>
              <w:rPr>
                <w:rFonts w:cs="宋体"/>
                <w:b/>
                <w:bCs/>
              </w:rPr>
            </w:pPr>
            <w:r>
              <w:rPr>
                <w:rFonts w:hint="eastAsia" w:cs="宋体"/>
                <w:b/>
                <w:bCs/>
              </w:rPr>
              <w:t>组</w:t>
            </w:r>
          </w:p>
          <w:p>
            <w:pPr>
              <w:jc w:val="center"/>
              <w:rPr>
                <w:rFonts w:cs="宋体"/>
                <w:b/>
                <w:bCs/>
              </w:rPr>
            </w:pPr>
            <w:r>
              <w:rPr>
                <w:rFonts w:hint="eastAsia" w:cs="宋体"/>
                <w:b/>
                <w:bCs/>
              </w:rPr>
              <w:t>织</w:t>
            </w:r>
          </w:p>
          <w:p>
            <w:pPr>
              <w:jc w:val="center"/>
              <w:rPr>
                <w:rFonts w:cs="宋体"/>
                <w:b/>
                <w:bCs/>
              </w:rPr>
            </w:pPr>
            <w:r>
              <w:rPr>
                <w:rFonts w:hint="eastAsia" w:cs="宋体"/>
                <w:b/>
                <w:bCs/>
              </w:rPr>
              <w:t>与</w:t>
            </w:r>
          </w:p>
          <w:p>
            <w:pPr>
              <w:jc w:val="center"/>
              <w:rPr>
                <w:rFonts w:cs="宋体"/>
                <w:b/>
                <w:bCs/>
              </w:rPr>
            </w:pPr>
            <w:r>
              <w:rPr>
                <w:rFonts w:hint="eastAsia" w:cs="宋体"/>
                <w:b/>
                <w:bCs/>
              </w:rPr>
              <w:t>职</w:t>
            </w:r>
          </w:p>
          <w:p>
            <w:pPr>
              <w:jc w:val="center"/>
              <w:rPr>
                <w:rFonts w:cs="宋体"/>
                <w:b/>
                <w:bCs/>
              </w:rPr>
            </w:pPr>
            <w:r>
              <w:rPr>
                <w:rFonts w:hint="eastAsia" w:cs="宋体"/>
                <w:b/>
                <w:bCs/>
              </w:rPr>
              <w:t>责</w:t>
            </w:r>
          </w:p>
        </w:tc>
        <w:tc>
          <w:tcPr>
            <w:tcW w:w="2426" w:type="dxa"/>
            <w:gridSpan w:val="2"/>
            <w:vAlign w:val="center"/>
          </w:tcPr>
          <w:p>
            <w:pPr>
              <w:jc w:val="center"/>
              <w:rPr>
                <w:rFonts w:cs="宋体"/>
              </w:rPr>
            </w:pPr>
            <w:r>
              <w:rPr>
                <w:rFonts w:hint="eastAsia" w:cs="宋体"/>
              </w:rPr>
              <w:t>组织与人员</w:t>
            </w:r>
          </w:p>
        </w:tc>
        <w:tc>
          <w:tcPr>
            <w:tcW w:w="5271" w:type="dxa"/>
            <w:gridSpan w:val="3"/>
            <w:vAlign w:val="center"/>
          </w:tcPr>
          <w:p>
            <w:pPr>
              <w:rPr>
                <w:rFonts w:cs="宋体"/>
              </w:rPr>
            </w:pPr>
            <w:r>
              <w:rPr>
                <w:rFonts w:hint="eastAsia" w:cs="宋体"/>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 w:hRule="atLeast"/>
          <w:jc w:val="center"/>
        </w:trPr>
        <w:tc>
          <w:tcPr>
            <w:tcW w:w="482" w:type="dxa"/>
            <w:vMerge w:val="continue"/>
            <w:vAlign w:val="center"/>
          </w:tcPr>
          <w:p>
            <w:pPr>
              <w:widowControl/>
              <w:jc w:val="left"/>
              <w:rPr>
                <w:rFonts w:cs="宋体"/>
                <w:b/>
                <w:bCs/>
              </w:rPr>
            </w:pPr>
          </w:p>
        </w:tc>
        <w:tc>
          <w:tcPr>
            <w:tcW w:w="2426" w:type="dxa"/>
            <w:gridSpan w:val="2"/>
            <w:vAlign w:val="center"/>
          </w:tcPr>
          <w:p>
            <w:pPr>
              <w:jc w:val="center"/>
              <w:rPr>
                <w:rFonts w:cs="宋体"/>
              </w:rPr>
            </w:pPr>
            <w:r>
              <w:rPr>
                <w:rFonts w:hint="eastAsia" w:cs="宋体"/>
              </w:rPr>
              <w:t>应急职责</w:t>
            </w:r>
          </w:p>
        </w:tc>
        <w:tc>
          <w:tcPr>
            <w:tcW w:w="5271" w:type="dxa"/>
            <w:gridSpan w:val="3"/>
            <w:vAlign w:val="center"/>
          </w:tcPr>
          <w:p>
            <w:pPr>
              <w:rPr>
                <w:rFonts w:cs="宋体"/>
              </w:rPr>
            </w:pPr>
            <w:r>
              <w:rPr>
                <w:rFonts w:hint="eastAsia" w:cs="宋体"/>
              </w:rPr>
              <w:t>1、发现事故和隐患及时处理和报告；</w:t>
            </w:r>
          </w:p>
          <w:p>
            <w:pPr>
              <w:rPr>
                <w:rFonts w:cs="宋体"/>
              </w:rPr>
            </w:pPr>
            <w:r>
              <w:rPr>
                <w:rFonts w:hint="eastAsia" w:cs="宋体"/>
              </w:rPr>
              <w:t>2、事故初起时，实施现场应急处置；</w:t>
            </w:r>
          </w:p>
          <w:p>
            <w:pPr>
              <w:rPr>
                <w:rFonts w:cs="宋体"/>
              </w:rPr>
            </w:pPr>
            <w:r>
              <w:rPr>
                <w:rFonts w:hint="eastAsia" w:cs="宋体"/>
              </w:rPr>
              <w:t>3、听从上一级应急救援指挥机构的指挥进行应急救援；</w:t>
            </w:r>
          </w:p>
          <w:p>
            <w:pPr>
              <w:rPr>
                <w:rFonts w:cs="宋体"/>
              </w:rPr>
            </w:pPr>
            <w:r>
              <w:rPr>
                <w:rFonts w:hint="eastAsia" w:cs="宋体"/>
              </w:rPr>
              <w:t>4、预计事故扩大时报告并请求启动上一级应急救援预案。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482" w:type="dxa"/>
            <w:vMerge w:val="restart"/>
            <w:vAlign w:val="center"/>
          </w:tcPr>
          <w:p>
            <w:pPr>
              <w:jc w:val="center"/>
              <w:rPr>
                <w:rFonts w:cs="宋体"/>
                <w:b/>
                <w:bCs/>
              </w:rPr>
            </w:pPr>
            <w:r>
              <w:rPr>
                <w:rFonts w:hint="eastAsia" w:cs="宋体"/>
                <w:b/>
                <w:bCs/>
              </w:rPr>
              <w:t>应</w:t>
            </w:r>
          </w:p>
          <w:p>
            <w:pPr>
              <w:jc w:val="center"/>
              <w:rPr>
                <w:rFonts w:cs="宋体"/>
                <w:b/>
                <w:bCs/>
              </w:rPr>
            </w:pPr>
            <w:r>
              <w:rPr>
                <w:rFonts w:hint="eastAsia" w:cs="宋体"/>
                <w:b/>
                <w:bCs/>
              </w:rPr>
              <w:t>急</w:t>
            </w:r>
          </w:p>
          <w:p>
            <w:pPr>
              <w:jc w:val="center"/>
              <w:rPr>
                <w:rFonts w:cs="宋体"/>
                <w:b/>
                <w:bCs/>
              </w:rPr>
            </w:pPr>
            <w:r>
              <w:rPr>
                <w:rFonts w:hint="eastAsia" w:cs="宋体"/>
                <w:b/>
                <w:bCs/>
              </w:rPr>
              <w:t>处</w:t>
            </w:r>
          </w:p>
          <w:p>
            <w:pPr>
              <w:jc w:val="center"/>
              <w:rPr>
                <w:rFonts w:cs="宋体"/>
                <w:b/>
                <w:bCs/>
              </w:rPr>
            </w:pPr>
            <w:r>
              <w:rPr>
                <w:rFonts w:hint="eastAsia" w:cs="宋体"/>
                <w:b/>
                <w:bCs/>
              </w:rPr>
              <w:t>置</w:t>
            </w:r>
          </w:p>
        </w:tc>
        <w:tc>
          <w:tcPr>
            <w:tcW w:w="1702" w:type="dxa"/>
            <w:vAlign w:val="center"/>
          </w:tcPr>
          <w:p>
            <w:pPr>
              <w:jc w:val="center"/>
              <w:rPr>
                <w:rFonts w:cs="宋体"/>
                <w:b/>
                <w:bCs/>
              </w:rPr>
            </w:pPr>
            <w:r>
              <w:rPr>
                <w:rFonts w:hint="eastAsia" w:cs="宋体"/>
                <w:b/>
                <w:bCs/>
              </w:rPr>
              <w:t>步骤</w:t>
            </w:r>
          </w:p>
        </w:tc>
        <w:tc>
          <w:tcPr>
            <w:tcW w:w="5217" w:type="dxa"/>
            <w:gridSpan w:val="3"/>
            <w:vAlign w:val="center"/>
          </w:tcPr>
          <w:p>
            <w:pPr>
              <w:jc w:val="center"/>
              <w:rPr>
                <w:rFonts w:cs="宋体"/>
                <w:b/>
                <w:bCs/>
              </w:rPr>
            </w:pPr>
            <w:r>
              <w:rPr>
                <w:rFonts w:hint="eastAsia" w:cs="宋体"/>
                <w:b/>
                <w:bCs/>
              </w:rPr>
              <w:t>处  置</w:t>
            </w:r>
          </w:p>
        </w:tc>
        <w:tc>
          <w:tcPr>
            <w:tcW w:w="778" w:type="dxa"/>
            <w:vAlign w:val="center"/>
          </w:tcPr>
          <w:p>
            <w:pPr>
              <w:jc w:val="center"/>
              <w:rPr>
                <w:rFonts w:cs="宋体"/>
                <w:b/>
                <w:bCs/>
              </w:rPr>
            </w:pPr>
            <w:r>
              <w:rPr>
                <w:rFonts w:hint="eastAsia" w:cs="宋体"/>
                <w:b/>
                <w:bCs/>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482" w:type="dxa"/>
            <w:vMerge w:val="continue"/>
            <w:vAlign w:val="center"/>
          </w:tcPr>
          <w:p>
            <w:pPr>
              <w:widowControl/>
              <w:jc w:val="left"/>
              <w:rPr>
                <w:rFonts w:cs="宋体"/>
                <w:b/>
                <w:bCs/>
              </w:rPr>
            </w:pPr>
          </w:p>
        </w:tc>
        <w:tc>
          <w:tcPr>
            <w:tcW w:w="1702" w:type="dxa"/>
            <w:vAlign w:val="center"/>
          </w:tcPr>
          <w:p>
            <w:pPr>
              <w:jc w:val="center"/>
              <w:rPr>
                <w:rFonts w:cs="宋体"/>
              </w:rPr>
            </w:pPr>
            <w:r>
              <w:rPr>
                <w:rFonts w:hint="eastAsia" w:cs="宋体"/>
              </w:rPr>
              <w:t>发现异常</w:t>
            </w:r>
          </w:p>
        </w:tc>
        <w:tc>
          <w:tcPr>
            <w:tcW w:w="5217" w:type="dxa"/>
            <w:gridSpan w:val="3"/>
            <w:vAlign w:val="center"/>
          </w:tcPr>
          <w:p>
            <w:pPr>
              <w:rPr>
                <w:rFonts w:cs="宋体"/>
              </w:rPr>
            </w:pPr>
            <w:r>
              <w:rPr>
                <w:rFonts w:hint="eastAsia" w:cs="宋体"/>
              </w:rPr>
              <w:t>空气中汽油、柴油气味较浓；发现管道、阀门等出现破损。</w:t>
            </w:r>
          </w:p>
        </w:tc>
        <w:tc>
          <w:tcPr>
            <w:tcW w:w="778" w:type="dxa"/>
            <w:vAlign w:val="center"/>
          </w:tcPr>
          <w:p>
            <w:pPr>
              <w:jc w:val="center"/>
              <w:rPr>
                <w:rFonts w:cs="宋体"/>
              </w:rPr>
            </w:pPr>
            <w:r>
              <w:rPr>
                <w:rFonts w:hint="eastAsia" w:cs="宋体"/>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482" w:type="dxa"/>
            <w:vMerge w:val="continue"/>
            <w:vAlign w:val="center"/>
          </w:tcPr>
          <w:p>
            <w:pPr>
              <w:widowControl/>
              <w:jc w:val="left"/>
              <w:rPr>
                <w:rFonts w:cs="宋体"/>
                <w:b/>
                <w:bCs/>
              </w:rPr>
            </w:pPr>
          </w:p>
        </w:tc>
        <w:tc>
          <w:tcPr>
            <w:tcW w:w="1702" w:type="dxa"/>
            <w:vAlign w:val="center"/>
          </w:tcPr>
          <w:p>
            <w:pPr>
              <w:jc w:val="center"/>
              <w:rPr>
                <w:rFonts w:cs="宋体"/>
              </w:rPr>
            </w:pPr>
            <w:r>
              <w:rPr>
                <w:rFonts w:hint="eastAsia" w:cs="宋体"/>
              </w:rPr>
              <w:t>报警</w:t>
            </w:r>
          </w:p>
        </w:tc>
        <w:tc>
          <w:tcPr>
            <w:tcW w:w="5217" w:type="dxa"/>
            <w:gridSpan w:val="3"/>
            <w:vMerge w:val="restart"/>
            <w:vAlign w:val="center"/>
          </w:tcPr>
          <w:p>
            <w:pPr>
              <w:rPr>
                <w:rFonts w:cs="宋体"/>
              </w:rPr>
            </w:pPr>
            <w:r>
              <w:rPr>
                <w:rFonts w:hint="eastAsia" w:cs="宋体"/>
              </w:rPr>
              <w:t>向站长报告：x日x时x分，xx由于xx原因导致xx发生油品泄漏，请求支援。或者x日x时x分，xx区域空气中油品浓度异常超标，疑似油品发生泄漏，请求支援。</w:t>
            </w:r>
          </w:p>
          <w:p>
            <w:pPr>
              <w:rPr>
                <w:rFonts w:cs="宋体"/>
              </w:rPr>
            </w:pPr>
            <w:r>
              <w:rPr>
                <w:rFonts w:hint="eastAsia" w:cs="宋体"/>
              </w:rPr>
              <w:t>若发现人为本站外来人员，则发现人应直接将情况报告本站工作人员；</w:t>
            </w:r>
          </w:p>
          <w:p>
            <w:pPr>
              <w:rPr>
                <w:rFonts w:cs="宋体"/>
              </w:rPr>
            </w:pPr>
            <w:r>
              <w:rPr>
                <w:rFonts w:hint="eastAsia" w:cs="宋体"/>
              </w:rPr>
              <w:t>若站长发现时间有扩大的可能，立即向上级部门报告，请求支援；</w:t>
            </w:r>
          </w:p>
        </w:tc>
        <w:tc>
          <w:tcPr>
            <w:tcW w:w="778" w:type="dxa"/>
            <w:vMerge w:val="restart"/>
            <w:vAlign w:val="center"/>
          </w:tcPr>
          <w:p>
            <w:pPr>
              <w:jc w:val="center"/>
              <w:rPr>
                <w:rFonts w:cs="宋体"/>
              </w:rPr>
            </w:pPr>
            <w:r>
              <w:rPr>
                <w:rFonts w:hint="eastAsia" w:cs="宋体"/>
              </w:rPr>
              <w:t>发现人</w:t>
            </w:r>
          </w:p>
          <w:p>
            <w:pPr>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482" w:type="dxa"/>
            <w:vMerge w:val="continue"/>
            <w:vAlign w:val="center"/>
          </w:tcPr>
          <w:p>
            <w:pPr>
              <w:widowControl/>
              <w:jc w:val="left"/>
              <w:rPr>
                <w:rFonts w:cs="宋体"/>
                <w:b/>
                <w:bCs/>
              </w:rPr>
            </w:pPr>
          </w:p>
        </w:tc>
        <w:tc>
          <w:tcPr>
            <w:tcW w:w="1702" w:type="dxa"/>
            <w:vAlign w:val="center"/>
          </w:tcPr>
          <w:p>
            <w:pPr>
              <w:jc w:val="left"/>
              <w:rPr>
                <w:rFonts w:cs="宋体"/>
              </w:rPr>
            </w:pPr>
            <w:r>
              <w:rPr>
                <w:rFonts w:hint="eastAsia" w:cs="宋体"/>
              </w:rPr>
              <w:t>组长李德斌（站长）：13990758830</w:t>
            </w:r>
          </w:p>
          <w:p>
            <w:pPr>
              <w:jc w:val="left"/>
              <w:rPr>
                <w:rFonts w:cs="宋体"/>
              </w:rPr>
            </w:pPr>
            <w:r>
              <w:rPr>
                <w:rFonts w:hint="eastAsia" w:cs="宋体"/>
              </w:rPr>
              <w:t>副组长李力：</w:t>
            </w:r>
          </w:p>
          <w:p>
            <w:pPr>
              <w:jc w:val="left"/>
              <w:rPr>
                <w:color w:val="000000"/>
                <w:kern w:val="0"/>
              </w:rPr>
            </w:pPr>
            <w:r>
              <w:rPr>
                <w:rFonts w:hint="eastAsia"/>
                <w:color w:val="000000"/>
                <w:kern w:val="0"/>
              </w:rPr>
              <w:t>15983763300</w:t>
            </w:r>
          </w:p>
          <w:p>
            <w:pPr>
              <w:jc w:val="left"/>
              <w:rPr>
                <w:rFonts w:cs="宋体"/>
              </w:rPr>
            </w:pPr>
            <w:r>
              <w:rPr>
                <w:rFonts w:hint="eastAsia" w:cs="宋体"/>
              </w:rPr>
              <w:t>成员：</w:t>
            </w:r>
          </w:p>
          <w:p>
            <w:pPr>
              <w:jc w:val="left"/>
              <w:rPr>
                <w:rFonts w:cs="宋体"/>
              </w:rPr>
            </w:pPr>
            <w:r>
              <w:rPr>
                <w:rFonts w:hint="eastAsia" w:cs="宋体"/>
              </w:rPr>
              <w:t>赵亮（加油员）</w:t>
            </w:r>
          </w:p>
          <w:p>
            <w:pPr>
              <w:jc w:val="left"/>
              <w:rPr>
                <w:rFonts w:cs="宋体"/>
              </w:rPr>
            </w:pPr>
            <w:r>
              <w:rPr>
                <w:rFonts w:hint="eastAsia" w:cs="宋体"/>
              </w:rPr>
              <w:t>15984880338</w:t>
            </w:r>
          </w:p>
          <w:p>
            <w:pPr>
              <w:jc w:val="left"/>
              <w:rPr>
                <w:rFonts w:cs="宋体"/>
              </w:rPr>
            </w:pPr>
            <w:r>
              <w:rPr>
                <w:rFonts w:hint="eastAsia" w:cs="宋体"/>
              </w:rPr>
              <w:t>何洪艳（加油员）</w:t>
            </w:r>
          </w:p>
          <w:p>
            <w:pPr>
              <w:jc w:val="left"/>
              <w:rPr>
                <w:rFonts w:cs="宋体"/>
              </w:rPr>
            </w:pPr>
            <w:r>
              <w:rPr>
                <w:rFonts w:hint="eastAsia" w:cs="宋体"/>
              </w:rPr>
              <w:t>17383855935</w:t>
            </w:r>
          </w:p>
          <w:p>
            <w:pPr>
              <w:pStyle w:val="2"/>
              <w:ind w:firstLine="0"/>
              <w:rPr>
                <w:rFonts w:cs="宋体"/>
              </w:rPr>
            </w:pPr>
            <w:r>
              <w:rPr>
                <w:rFonts w:hint="eastAsia" w:cs="宋体"/>
              </w:rPr>
              <w:t>杨瑞萍（加油员）13989196769</w:t>
            </w:r>
          </w:p>
          <w:p>
            <w:pPr>
              <w:pStyle w:val="2"/>
              <w:ind w:firstLine="0"/>
              <w:rPr>
                <w:rFonts w:cs="宋体"/>
              </w:rPr>
            </w:pPr>
            <w:r>
              <w:rPr>
                <w:rFonts w:hint="eastAsia" w:cs="宋体"/>
              </w:rPr>
              <w:t>李小珍（洗车员）15378382951</w:t>
            </w:r>
          </w:p>
          <w:p>
            <w:pPr>
              <w:jc w:val="left"/>
              <w:rPr>
                <w:rFonts w:cs="宋体"/>
              </w:rPr>
            </w:pPr>
            <w:r>
              <w:rPr>
                <w:rFonts w:hint="eastAsia" w:cs="宋体"/>
              </w:rPr>
              <w:t xml:space="preserve">火警：119 </w:t>
            </w:r>
          </w:p>
          <w:p>
            <w:pPr>
              <w:jc w:val="left"/>
              <w:rPr>
                <w:rFonts w:cs="宋体"/>
              </w:rPr>
            </w:pPr>
            <w:r>
              <w:rPr>
                <w:rFonts w:hint="eastAsia" w:cs="宋体"/>
              </w:rPr>
              <w:t>急救：120</w:t>
            </w:r>
          </w:p>
          <w:p>
            <w:pPr>
              <w:rPr>
                <w:rFonts w:cs="宋体"/>
                <w:highlight w:val="yellow"/>
              </w:rPr>
            </w:pPr>
            <w:r>
              <w:rPr>
                <w:rFonts w:hint="eastAsia" w:cs="宋体"/>
              </w:rPr>
              <w:t>匪警：110</w:t>
            </w:r>
          </w:p>
        </w:tc>
        <w:tc>
          <w:tcPr>
            <w:tcW w:w="5217" w:type="dxa"/>
            <w:gridSpan w:val="3"/>
            <w:vMerge w:val="continue"/>
            <w:vAlign w:val="center"/>
          </w:tcPr>
          <w:p>
            <w:pPr>
              <w:widowControl/>
              <w:jc w:val="left"/>
              <w:rPr>
                <w:rFonts w:cs="宋体"/>
              </w:rPr>
            </w:pPr>
          </w:p>
        </w:tc>
        <w:tc>
          <w:tcPr>
            <w:tcW w:w="778" w:type="dxa"/>
            <w:vMerge w:val="continue"/>
            <w:vAlign w:val="center"/>
          </w:tcPr>
          <w:p>
            <w:pPr>
              <w:widowControl/>
              <w:jc w:val="left"/>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482" w:type="dxa"/>
            <w:vMerge w:val="continue"/>
            <w:vAlign w:val="center"/>
          </w:tcPr>
          <w:p>
            <w:pPr>
              <w:widowControl/>
              <w:jc w:val="left"/>
              <w:rPr>
                <w:rFonts w:cs="宋体"/>
                <w:b/>
                <w:bCs/>
              </w:rPr>
            </w:pPr>
          </w:p>
        </w:tc>
        <w:tc>
          <w:tcPr>
            <w:tcW w:w="1702" w:type="dxa"/>
            <w:vMerge w:val="restart"/>
            <w:vAlign w:val="center"/>
          </w:tcPr>
          <w:p>
            <w:pPr>
              <w:jc w:val="center"/>
              <w:rPr>
                <w:rFonts w:cs="宋体"/>
              </w:rPr>
            </w:pPr>
            <w:r>
              <w:rPr>
                <w:rFonts w:hint="eastAsia" w:cs="宋体"/>
              </w:rPr>
              <w:t>应急处置</w:t>
            </w:r>
          </w:p>
        </w:tc>
        <w:tc>
          <w:tcPr>
            <w:tcW w:w="5217" w:type="dxa"/>
            <w:gridSpan w:val="3"/>
            <w:vAlign w:val="center"/>
          </w:tcPr>
          <w:p>
            <w:pPr>
              <w:rPr>
                <w:rFonts w:cs="宋体"/>
              </w:rPr>
            </w:pPr>
            <w:r>
              <w:rPr>
                <w:rFonts w:hint="eastAsia" w:cs="宋体"/>
              </w:rPr>
              <w:t>立即上报加油站站长</w:t>
            </w:r>
          </w:p>
        </w:tc>
        <w:tc>
          <w:tcPr>
            <w:tcW w:w="778" w:type="dxa"/>
            <w:vAlign w:val="center"/>
          </w:tcPr>
          <w:p>
            <w:pPr>
              <w:jc w:val="center"/>
              <w:rPr>
                <w:rFonts w:cs="宋体"/>
              </w:rPr>
            </w:pPr>
            <w:r>
              <w:rPr>
                <w:rFonts w:hint="eastAsia" w:cs="宋体"/>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82" w:type="dxa"/>
            <w:vMerge w:val="continue"/>
            <w:vAlign w:val="center"/>
          </w:tcPr>
          <w:p>
            <w:pPr>
              <w:widowControl/>
              <w:jc w:val="left"/>
              <w:rPr>
                <w:rFonts w:cs="宋体"/>
                <w:b/>
                <w:bCs/>
              </w:rPr>
            </w:pPr>
          </w:p>
        </w:tc>
        <w:tc>
          <w:tcPr>
            <w:tcW w:w="1702" w:type="dxa"/>
            <w:vMerge w:val="continue"/>
            <w:vAlign w:val="center"/>
          </w:tcPr>
          <w:p>
            <w:pPr>
              <w:widowControl/>
              <w:jc w:val="left"/>
              <w:rPr>
                <w:rFonts w:cs="宋体"/>
              </w:rPr>
            </w:pPr>
          </w:p>
        </w:tc>
        <w:tc>
          <w:tcPr>
            <w:tcW w:w="5217" w:type="dxa"/>
            <w:gridSpan w:val="3"/>
            <w:vAlign w:val="center"/>
          </w:tcPr>
          <w:p>
            <w:pPr>
              <w:rPr>
                <w:rFonts w:cs="宋体"/>
              </w:rPr>
            </w:pPr>
            <w:r>
              <w:rPr>
                <w:rFonts w:hint="eastAsia" w:cs="宋体"/>
              </w:rPr>
              <w:t>立即到达事故现场了解情况，立即查找泄漏源及泄漏原因，并根据实际情况决定是否需要停止作业、断电、疏散人员等；采取堵漏措施。</w:t>
            </w:r>
          </w:p>
        </w:tc>
        <w:tc>
          <w:tcPr>
            <w:tcW w:w="778" w:type="dxa"/>
            <w:vAlign w:val="center"/>
          </w:tcPr>
          <w:p>
            <w:pPr>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7" w:hRule="atLeast"/>
          <w:jc w:val="center"/>
        </w:trPr>
        <w:tc>
          <w:tcPr>
            <w:tcW w:w="482" w:type="dxa"/>
            <w:vMerge w:val="continue"/>
            <w:vAlign w:val="center"/>
          </w:tcPr>
          <w:p>
            <w:pPr>
              <w:widowControl/>
              <w:jc w:val="left"/>
              <w:rPr>
                <w:rFonts w:cs="宋体"/>
                <w:b/>
                <w:bCs/>
              </w:rPr>
            </w:pPr>
          </w:p>
        </w:tc>
        <w:tc>
          <w:tcPr>
            <w:tcW w:w="1702" w:type="dxa"/>
            <w:vAlign w:val="center"/>
          </w:tcPr>
          <w:p>
            <w:pPr>
              <w:jc w:val="center"/>
              <w:rPr>
                <w:rFonts w:cs="宋体"/>
              </w:rPr>
            </w:pPr>
            <w:r>
              <w:rPr>
                <w:rFonts w:hint="eastAsia" w:cs="宋体"/>
              </w:rPr>
              <w:t>人员救护</w:t>
            </w:r>
          </w:p>
        </w:tc>
        <w:tc>
          <w:tcPr>
            <w:tcW w:w="5217" w:type="dxa"/>
            <w:gridSpan w:val="3"/>
            <w:vAlign w:val="center"/>
          </w:tcPr>
          <w:p>
            <w:pPr>
              <w:rPr>
                <w:rFonts w:cs="宋体"/>
              </w:rPr>
            </w:pPr>
            <w:r>
              <w:rPr>
                <w:rFonts w:hint="eastAsia" w:cs="宋体"/>
              </w:rPr>
              <w:t>当空气中油品浓度较大，且急剧增加时，所有人员应立即撤出危险区域，进入危险区域的人员必须佩戴氧气呼吸器；周围严禁火种；</w:t>
            </w:r>
          </w:p>
        </w:tc>
        <w:tc>
          <w:tcPr>
            <w:tcW w:w="778" w:type="dxa"/>
            <w:vAlign w:val="center"/>
          </w:tcPr>
          <w:p>
            <w:pPr>
              <w:jc w:val="center"/>
              <w:rPr>
                <w:rFonts w:cs="宋体"/>
              </w:rPr>
            </w:pPr>
            <w:r>
              <w:rPr>
                <w:rFonts w:hint="eastAsia" w:cs="宋体"/>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jc w:val="center"/>
        </w:trPr>
        <w:tc>
          <w:tcPr>
            <w:tcW w:w="482" w:type="dxa"/>
            <w:vMerge w:val="continue"/>
            <w:vAlign w:val="center"/>
          </w:tcPr>
          <w:p>
            <w:pPr>
              <w:widowControl/>
              <w:jc w:val="left"/>
              <w:rPr>
                <w:rFonts w:cs="宋体"/>
                <w:b/>
                <w:bCs/>
              </w:rPr>
            </w:pPr>
          </w:p>
        </w:tc>
        <w:tc>
          <w:tcPr>
            <w:tcW w:w="1702" w:type="dxa"/>
            <w:vAlign w:val="center"/>
          </w:tcPr>
          <w:p>
            <w:pPr>
              <w:jc w:val="center"/>
              <w:rPr>
                <w:rFonts w:cs="宋体"/>
              </w:rPr>
            </w:pPr>
            <w:r>
              <w:rPr>
                <w:rFonts w:hint="eastAsia" w:cs="宋体"/>
              </w:rPr>
              <w:t>救援接应</w:t>
            </w:r>
          </w:p>
        </w:tc>
        <w:tc>
          <w:tcPr>
            <w:tcW w:w="5217" w:type="dxa"/>
            <w:gridSpan w:val="3"/>
            <w:vAlign w:val="center"/>
          </w:tcPr>
          <w:p>
            <w:pPr>
              <w:spacing w:line="360" w:lineRule="auto"/>
              <w:rPr>
                <w:rFonts w:cs="宋体"/>
              </w:rPr>
            </w:pPr>
            <w:r>
              <w:rPr>
                <w:rFonts w:hint="eastAsia" w:cs="宋体"/>
              </w:rPr>
              <w:t>指派人员打开应急救援通道，引导救援力量到达。</w:t>
            </w:r>
          </w:p>
        </w:tc>
        <w:tc>
          <w:tcPr>
            <w:tcW w:w="778" w:type="dxa"/>
            <w:vAlign w:val="center"/>
          </w:tcPr>
          <w:p>
            <w:pPr>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482" w:type="dxa"/>
            <w:vMerge w:val="continue"/>
            <w:vAlign w:val="center"/>
          </w:tcPr>
          <w:p>
            <w:pPr>
              <w:widowControl/>
              <w:jc w:val="left"/>
              <w:rPr>
                <w:rFonts w:cs="宋体"/>
                <w:b/>
                <w:bCs/>
              </w:rPr>
            </w:pPr>
          </w:p>
        </w:tc>
        <w:tc>
          <w:tcPr>
            <w:tcW w:w="3239" w:type="dxa"/>
            <w:gridSpan w:val="3"/>
            <w:vMerge w:val="restart"/>
            <w:vAlign w:val="center"/>
          </w:tcPr>
          <w:p>
            <w:pPr>
              <w:jc w:val="center"/>
              <w:rPr>
                <w:rFonts w:cs="宋体"/>
              </w:rPr>
            </w:pPr>
            <w:r>
              <w:rPr>
                <w:rFonts w:hint="eastAsia" w:cs="宋体"/>
              </w:rPr>
              <w:t>应急扩大</w:t>
            </w:r>
          </w:p>
          <w:p>
            <w:pPr>
              <w:jc w:val="center"/>
              <w:rPr>
                <w:rFonts w:cs="宋体"/>
              </w:rPr>
            </w:pPr>
            <w:r>
              <w:rPr>
                <w:rFonts w:hint="eastAsia" w:cs="宋体"/>
              </w:rPr>
              <w:t>（应急处置失败或人员伤亡扩大）</w:t>
            </w:r>
          </w:p>
        </w:tc>
        <w:tc>
          <w:tcPr>
            <w:tcW w:w="3680" w:type="dxa"/>
            <w:vAlign w:val="center"/>
          </w:tcPr>
          <w:p>
            <w:pPr>
              <w:rPr>
                <w:rFonts w:cs="宋体"/>
              </w:rPr>
            </w:pPr>
            <w:r>
              <w:rPr>
                <w:rFonts w:hint="eastAsia" w:cs="宋体"/>
              </w:rPr>
              <w:t>通知周边区域扩大撤离人员区域，增加消防隔离措施</w:t>
            </w:r>
          </w:p>
        </w:tc>
        <w:tc>
          <w:tcPr>
            <w:tcW w:w="778" w:type="dxa"/>
            <w:vMerge w:val="restart"/>
            <w:vAlign w:val="center"/>
          </w:tcPr>
          <w:p>
            <w:pPr>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482" w:type="dxa"/>
            <w:vMerge w:val="continue"/>
            <w:vAlign w:val="center"/>
          </w:tcPr>
          <w:p>
            <w:pPr>
              <w:widowControl/>
              <w:jc w:val="left"/>
              <w:rPr>
                <w:rFonts w:cs="宋体"/>
                <w:b/>
                <w:bCs/>
              </w:rPr>
            </w:pPr>
          </w:p>
        </w:tc>
        <w:tc>
          <w:tcPr>
            <w:tcW w:w="3239" w:type="dxa"/>
            <w:gridSpan w:val="3"/>
            <w:vMerge w:val="continue"/>
            <w:vAlign w:val="center"/>
          </w:tcPr>
          <w:p>
            <w:pPr>
              <w:widowControl/>
              <w:jc w:val="left"/>
              <w:rPr>
                <w:rFonts w:cs="宋体"/>
              </w:rPr>
            </w:pPr>
          </w:p>
        </w:tc>
        <w:tc>
          <w:tcPr>
            <w:tcW w:w="3680" w:type="dxa"/>
            <w:vAlign w:val="center"/>
          </w:tcPr>
          <w:p>
            <w:pPr>
              <w:rPr>
                <w:rFonts w:cs="宋体"/>
              </w:rPr>
            </w:pPr>
            <w:r>
              <w:rPr>
                <w:rFonts w:hint="eastAsia" w:cs="宋体"/>
              </w:rPr>
              <w:t>请求启动上一级应急救援预案。</w:t>
            </w:r>
          </w:p>
        </w:tc>
        <w:tc>
          <w:tcPr>
            <w:tcW w:w="778" w:type="dxa"/>
            <w:vMerge w:val="continue"/>
            <w:vAlign w:val="center"/>
          </w:tcPr>
          <w:p>
            <w:pPr>
              <w:widowControl/>
              <w:jc w:val="left"/>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482" w:type="dxa"/>
            <w:vMerge w:val="continue"/>
            <w:vAlign w:val="center"/>
          </w:tcPr>
          <w:p>
            <w:pPr>
              <w:widowControl/>
              <w:jc w:val="left"/>
              <w:rPr>
                <w:rFonts w:cs="宋体"/>
                <w:b/>
                <w:bCs/>
              </w:rPr>
            </w:pPr>
          </w:p>
        </w:tc>
        <w:tc>
          <w:tcPr>
            <w:tcW w:w="1702" w:type="dxa"/>
            <w:vAlign w:val="center"/>
          </w:tcPr>
          <w:p>
            <w:pPr>
              <w:jc w:val="center"/>
              <w:rPr>
                <w:rFonts w:cs="宋体"/>
              </w:rPr>
            </w:pPr>
            <w:r>
              <w:rPr>
                <w:rFonts w:hint="eastAsia" w:cs="宋体"/>
              </w:rPr>
              <w:t>处置流程</w:t>
            </w:r>
          </w:p>
        </w:tc>
        <w:tc>
          <w:tcPr>
            <w:tcW w:w="5995" w:type="dxa"/>
            <w:gridSpan w:val="4"/>
            <w:vAlign w:val="center"/>
          </w:tcPr>
          <w:p>
            <w:pPr>
              <w:rPr>
                <w:rFonts w:cs="宋体"/>
              </w:rPr>
            </w:pPr>
            <w:r>
              <w:rPr>
                <w:rFonts w:hint="eastAsia" w:cs="宋体"/>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482" w:type="dxa"/>
            <w:vMerge w:val="continue"/>
            <w:vAlign w:val="center"/>
          </w:tcPr>
          <w:p>
            <w:pPr>
              <w:widowControl/>
              <w:jc w:val="left"/>
              <w:rPr>
                <w:rFonts w:cs="宋体"/>
                <w:b/>
                <w:bCs/>
              </w:rPr>
            </w:pPr>
          </w:p>
        </w:tc>
        <w:tc>
          <w:tcPr>
            <w:tcW w:w="1702" w:type="dxa"/>
            <w:vAlign w:val="center"/>
          </w:tcPr>
          <w:p>
            <w:pPr>
              <w:jc w:val="center"/>
              <w:rPr>
                <w:rFonts w:cs="宋体"/>
              </w:rPr>
            </w:pPr>
            <w:r>
              <w:rPr>
                <w:rFonts w:hint="eastAsia" w:cs="宋体"/>
              </w:rPr>
              <w:t>具体处置措施</w:t>
            </w:r>
          </w:p>
        </w:tc>
        <w:tc>
          <w:tcPr>
            <w:tcW w:w="5995" w:type="dxa"/>
            <w:gridSpan w:val="4"/>
            <w:vAlign w:val="center"/>
          </w:tcPr>
          <w:p>
            <w:pPr>
              <w:spacing w:line="300" w:lineRule="exact"/>
              <w:ind w:firstLine="422" w:firstLineChars="200"/>
              <w:rPr>
                <w:rFonts w:cs="宋体"/>
                <w:b/>
                <w:bCs/>
              </w:rPr>
            </w:pPr>
            <w:r>
              <w:rPr>
                <w:rFonts w:hint="eastAsia" w:cs="宋体"/>
                <w:b/>
                <w:bCs/>
              </w:rPr>
              <w:t>一、加油机不停机、油枪不回位造成跑油</w:t>
            </w:r>
          </w:p>
          <w:p>
            <w:pPr>
              <w:spacing w:line="300" w:lineRule="exact"/>
              <w:ind w:firstLine="480"/>
              <w:rPr>
                <w:rFonts w:cs="宋体"/>
              </w:rPr>
            </w:pPr>
            <w:r>
              <w:rPr>
                <w:rFonts w:hint="eastAsia" w:cs="宋体"/>
              </w:rPr>
              <w:t>（1）加油员关闭油枪并高声呼喊传递事故信息，由最靠近配电间的其他人员立即拉闸断电，熄灭加油站内的一切火源；</w:t>
            </w:r>
          </w:p>
          <w:p>
            <w:pPr>
              <w:spacing w:line="300" w:lineRule="exact"/>
              <w:ind w:firstLine="480"/>
              <w:rPr>
                <w:rFonts w:cs="宋体"/>
              </w:rPr>
            </w:pPr>
            <w:r>
              <w:rPr>
                <w:rFonts w:hint="eastAsia" w:cs="宋体"/>
              </w:rPr>
              <w:t>（2）将加油站内已熄火的车辆推离现场，严禁重新启动车辆。未熄火的车辆尽快驶离现场。</w:t>
            </w:r>
          </w:p>
          <w:p>
            <w:pPr>
              <w:spacing w:line="300" w:lineRule="exact"/>
              <w:ind w:firstLine="480"/>
              <w:rPr>
                <w:rFonts w:cs="宋体"/>
              </w:rPr>
            </w:pPr>
            <w:r>
              <w:rPr>
                <w:rFonts w:hint="eastAsia" w:cs="宋体"/>
              </w:rPr>
              <w:t>（3）用非化纤棉纱、毛巾或不产生静电的拖把等，对现场的油品进行回收，回收后的油品按照不合格油品进行处理；</w:t>
            </w:r>
          </w:p>
          <w:p>
            <w:pPr>
              <w:spacing w:line="300" w:lineRule="exact"/>
              <w:ind w:firstLine="480"/>
              <w:rPr>
                <w:rFonts w:cs="宋体"/>
              </w:rPr>
            </w:pPr>
            <w:r>
              <w:rPr>
                <w:rFonts w:hint="eastAsia" w:cs="宋体"/>
              </w:rPr>
              <w:t>（4）地面未净油污，用沙土覆盖，待充分吸收残油后清除沙土；待现场处理干净没有油气后，方可拆换油泵或更换密封配件；</w:t>
            </w:r>
          </w:p>
          <w:p>
            <w:pPr>
              <w:spacing w:line="300" w:lineRule="exact"/>
              <w:ind w:firstLine="480"/>
              <w:rPr>
                <w:rFonts w:cs="宋体"/>
              </w:rPr>
            </w:pPr>
            <w:r>
              <w:rPr>
                <w:rFonts w:hint="eastAsia" w:cs="宋体"/>
              </w:rPr>
              <w:t>（5）如跑冒油数量较多时，负责警戒的人员应立即封锁现场，然后再按上述步骤处理。</w:t>
            </w:r>
          </w:p>
          <w:p>
            <w:pPr>
              <w:spacing w:line="300" w:lineRule="exact"/>
              <w:ind w:firstLine="480"/>
              <w:rPr>
                <w:rFonts w:cs="宋体"/>
              </w:rPr>
            </w:pPr>
            <w:r>
              <w:rPr>
                <w:rFonts w:hint="eastAsia" w:cs="宋体"/>
              </w:rPr>
              <w:t>（6）吸附有油品的棉纱、毛巾及沙土应送到指定场所进行无害处理。</w:t>
            </w:r>
          </w:p>
          <w:p>
            <w:pPr>
              <w:spacing w:line="300" w:lineRule="exact"/>
              <w:ind w:firstLine="480"/>
              <w:rPr>
                <w:rFonts w:cs="宋体"/>
              </w:rPr>
            </w:pPr>
            <w:r>
              <w:rPr>
                <w:rFonts w:hint="eastAsia" w:cs="宋体"/>
              </w:rPr>
              <w:t>（7）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spacing w:line="300" w:lineRule="exact"/>
              <w:ind w:firstLine="480"/>
              <w:rPr>
                <w:rFonts w:cs="宋体"/>
              </w:rPr>
            </w:pPr>
            <w:r>
              <w:rPr>
                <w:rFonts w:hint="eastAsia" w:cs="宋体"/>
              </w:rPr>
              <w:t>（8）当事故现场得以控制，导致次生、衍生事故隐患消除后，事故现场清理后恢复运营。</w:t>
            </w:r>
          </w:p>
          <w:p>
            <w:pPr>
              <w:widowControl/>
              <w:adjustRightInd w:val="0"/>
              <w:snapToGrid w:val="0"/>
              <w:spacing w:line="300" w:lineRule="exact"/>
              <w:ind w:firstLine="422" w:firstLineChars="200"/>
              <w:rPr>
                <w:rFonts w:cs="宋体"/>
                <w:b/>
                <w:bCs/>
                <w:kern w:val="0"/>
              </w:rPr>
            </w:pPr>
            <w:r>
              <w:rPr>
                <w:rFonts w:hint="eastAsia" w:cs="宋体"/>
                <w:b/>
                <w:bCs/>
                <w:kern w:val="0"/>
              </w:rPr>
              <w:t>二、卸油时跑冒油应急处置措施</w:t>
            </w:r>
          </w:p>
          <w:p>
            <w:pPr>
              <w:spacing w:line="300" w:lineRule="exact"/>
              <w:ind w:firstLine="480"/>
              <w:rPr>
                <w:rFonts w:cs="宋体"/>
              </w:rPr>
            </w:pPr>
            <w:r>
              <w:rPr>
                <w:rFonts w:hint="eastAsia" w:cs="宋体"/>
              </w:rPr>
              <w:t>（1）应及时关闭油罐车卸油阀和停止加油作业，切断总电源，熄灭锅炉及加油站内一切火源，停止营业，并向站长（或值班主管）汇报；</w:t>
            </w:r>
          </w:p>
          <w:p>
            <w:pPr>
              <w:spacing w:line="300" w:lineRule="exact"/>
              <w:ind w:firstLine="480"/>
              <w:rPr>
                <w:rFonts w:cs="宋体"/>
              </w:rPr>
            </w:pPr>
            <w:r>
              <w:rPr>
                <w:rFonts w:hint="eastAsia" w:cs="宋体"/>
              </w:rPr>
              <w:t>（2）应急救援人员进行现场警戒，疏散人员和站内车辆，已熄火的车辆严禁重新启动，尽快推离现场；未熄火的车辆尽快驶离现场；</w:t>
            </w:r>
          </w:p>
          <w:p>
            <w:pPr>
              <w:spacing w:line="300" w:lineRule="exact"/>
              <w:ind w:firstLine="480"/>
              <w:rPr>
                <w:rFonts w:cs="宋体"/>
              </w:rPr>
            </w:pPr>
            <w:r>
              <w:rPr>
                <w:rFonts w:hint="eastAsia" w:cs="宋体"/>
              </w:rPr>
              <w:t>（3）检查并消除附近的一切火源；在溢油处的上风向，布置消防器材；</w:t>
            </w:r>
          </w:p>
          <w:p>
            <w:pPr>
              <w:spacing w:line="300" w:lineRule="exact"/>
              <w:ind w:firstLine="480"/>
              <w:rPr>
                <w:rFonts w:cs="宋体"/>
              </w:rPr>
            </w:pPr>
            <w:r>
              <w:rPr>
                <w:rFonts w:hint="eastAsia" w:cs="宋体"/>
              </w:rPr>
              <w:t>（4）跑冒油较少时，应用非化纤棉纱、毛巾或拖布等不产生静电的物品对现场的油品进行回收；跑冒油较多时，应用砂土等对跑冒油现场进行围挡，用加油站备用的专用回收工具进行必要的回收，禁止用铁制等易产生火花的器皿进行回收；回收的油品另行处理。回收后，要用沙土覆盖残留油面，待充分吸取残油后将沙土清除干净，必要时应将油浸地面砂土换掉，防止雨水冲刷污染周围环境或地下水源；</w:t>
            </w:r>
          </w:p>
          <w:p>
            <w:pPr>
              <w:spacing w:line="300" w:lineRule="exact"/>
              <w:ind w:firstLine="480"/>
              <w:rPr>
                <w:rFonts w:cs="宋体"/>
              </w:rPr>
            </w:pPr>
            <w:r>
              <w:rPr>
                <w:rFonts w:hint="eastAsia" w:cs="宋体"/>
              </w:rPr>
              <w:t>（5）通知毗邻居民，注意安全，防止造成（或扩大）危害</w:t>
            </w:r>
          </w:p>
          <w:p>
            <w:pPr>
              <w:spacing w:line="300" w:lineRule="exact"/>
              <w:ind w:firstLine="480"/>
              <w:rPr>
                <w:rFonts w:cs="宋体"/>
              </w:rPr>
            </w:pPr>
            <w:r>
              <w:rPr>
                <w:rFonts w:hint="eastAsia" w:cs="宋体"/>
              </w:rPr>
              <w:t>（6）检查所有井及附近的坑、沟、渠内是否有残油，若有残油应及时清理干净，并检查其他可能产生危害的区域是否有隐患存在；</w:t>
            </w:r>
          </w:p>
          <w:p>
            <w:pPr>
              <w:spacing w:line="300" w:lineRule="exact"/>
              <w:ind w:firstLine="480"/>
              <w:rPr>
                <w:rFonts w:cs="宋体"/>
              </w:rPr>
            </w:pPr>
            <w:r>
              <w:rPr>
                <w:rFonts w:hint="eastAsia" w:cs="宋体"/>
              </w:rPr>
              <w:t>（7）计量确定跑、冒油损失，填写好记录和台账。</w:t>
            </w:r>
          </w:p>
          <w:p>
            <w:pPr>
              <w:spacing w:line="300" w:lineRule="exact"/>
              <w:ind w:firstLine="480"/>
              <w:rPr>
                <w:rFonts w:cs="宋体"/>
              </w:rPr>
            </w:pPr>
            <w:r>
              <w:rPr>
                <w:rFonts w:hint="eastAsia" w:cs="宋体"/>
              </w:rPr>
              <w:t>（8）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widowControl/>
              <w:adjustRightInd w:val="0"/>
              <w:snapToGrid w:val="0"/>
              <w:spacing w:line="300" w:lineRule="exact"/>
              <w:ind w:firstLine="420" w:firstLineChars="200"/>
              <w:rPr>
                <w:rFonts w:cs="宋体"/>
              </w:rPr>
            </w:pPr>
            <w:r>
              <w:rPr>
                <w:rFonts w:hint="eastAsia" w:cs="宋体"/>
              </w:rPr>
              <w:t>（9）当事故现场得以控制，导致次生、衍生事故隐患消除后，事故现场清理后</w:t>
            </w:r>
            <w:r>
              <w:rPr>
                <w:rFonts w:hint="eastAsia" w:cs="宋体"/>
                <w:kern w:val="0"/>
              </w:rPr>
              <w:t>恢复运营。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5" w:hRule="atLeast"/>
          <w:jc w:val="center"/>
        </w:trPr>
        <w:tc>
          <w:tcPr>
            <w:tcW w:w="482" w:type="dxa"/>
            <w:vMerge w:val="continue"/>
            <w:vAlign w:val="center"/>
          </w:tcPr>
          <w:p>
            <w:pPr>
              <w:widowControl/>
              <w:jc w:val="left"/>
              <w:rPr>
                <w:rFonts w:cs="宋体"/>
                <w:b/>
                <w:bCs/>
              </w:rPr>
            </w:pPr>
          </w:p>
        </w:tc>
        <w:tc>
          <w:tcPr>
            <w:tcW w:w="1702" w:type="dxa"/>
            <w:vAlign w:val="center"/>
          </w:tcPr>
          <w:p>
            <w:pPr>
              <w:jc w:val="center"/>
              <w:rPr>
                <w:rFonts w:cs="宋体"/>
              </w:rPr>
            </w:pPr>
            <w:r>
              <w:rPr>
                <w:rFonts w:hint="eastAsia" w:cs="宋体"/>
              </w:rPr>
              <w:t>事故报告</w:t>
            </w:r>
          </w:p>
        </w:tc>
        <w:tc>
          <w:tcPr>
            <w:tcW w:w="5995" w:type="dxa"/>
            <w:gridSpan w:val="4"/>
            <w:vAlign w:val="center"/>
          </w:tcPr>
          <w:p>
            <w:pPr>
              <w:spacing w:line="300" w:lineRule="exact"/>
              <w:rPr>
                <w:rFonts w:cs="宋体"/>
              </w:rPr>
            </w:pPr>
            <w:r>
              <w:rPr>
                <w:rFonts w:hint="eastAsia" w:cs="宋体"/>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482" w:type="dxa"/>
            <w:vMerge w:val="continue"/>
            <w:vAlign w:val="center"/>
          </w:tcPr>
          <w:p>
            <w:pPr>
              <w:widowControl/>
              <w:jc w:val="left"/>
              <w:rPr>
                <w:rFonts w:cs="宋体"/>
                <w:b/>
                <w:bCs/>
              </w:rPr>
            </w:pPr>
          </w:p>
        </w:tc>
        <w:tc>
          <w:tcPr>
            <w:tcW w:w="1702" w:type="dxa"/>
            <w:vAlign w:val="center"/>
          </w:tcPr>
          <w:p>
            <w:pPr>
              <w:jc w:val="center"/>
              <w:rPr>
                <w:rFonts w:cs="宋体"/>
              </w:rPr>
            </w:pPr>
            <w:r>
              <w:rPr>
                <w:rFonts w:hint="eastAsia" w:cs="宋体"/>
              </w:rPr>
              <w:t>现场恢复</w:t>
            </w:r>
          </w:p>
        </w:tc>
        <w:tc>
          <w:tcPr>
            <w:tcW w:w="5995" w:type="dxa"/>
            <w:gridSpan w:val="4"/>
            <w:vAlign w:val="center"/>
          </w:tcPr>
          <w:p>
            <w:pPr>
              <w:spacing w:line="300" w:lineRule="exact"/>
              <w:rPr>
                <w:rFonts w:cs="宋体"/>
              </w:rPr>
            </w:pPr>
            <w:r>
              <w:rPr>
                <w:rFonts w:hint="eastAsia" w:cs="宋体"/>
              </w:rPr>
              <w:t>查明原因，对设备、设施进行维修，达到要求后方能运行。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482" w:type="dxa"/>
            <w:vMerge w:val="restart"/>
            <w:vAlign w:val="center"/>
          </w:tcPr>
          <w:p>
            <w:pPr>
              <w:jc w:val="center"/>
              <w:rPr>
                <w:rFonts w:cs="宋体"/>
                <w:b/>
                <w:bCs/>
              </w:rPr>
            </w:pPr>
            <w:r>
              <w:rPr>
                <w:rFonts w:hint="eastAsia" w:cs="宋体"/>
                <w:b/>
                <w:bCs/>
              </w:rPr>
              <w:t>注</w:t>
            </w:r>
          </w:p>
          <w:p>
            <w:pPr>
              <w:jc w:val="center"/>
              <w:rPr>
                <w:rFonts w:cs="宋体"/>
                <w:b/>
                <w:bCs/>
              </w:rPr>
            </w:pPr>
            <w:r>
              <w:rPr>
                <w:rFonts w:hint="eastAsia" w:cs="宋体"/>
                <w:b/>
                <w:bCs/>
              </w:rPr>
              <w:t>意</w:t>
            </w:r>
          </w:p>
          <w:p>
            <w:pPr>
              <w:jc w:val="center"/>
              <w:rPr>
                <w:rFonts w:cs="宋体"/>
                <w:b/>
                <w:bCs/>
              </w:rPr>
            </w:pPr>
            <w:r>
              <w:rPr>
                <w:rFonts w:hint="eastAsia" w:cs="宋体"/>
                <w:b/>
                <w:bCs/>
              </w:rPr>
              <w:t>事</w:t>
            </w:r>
          </w:p>
          <w:p>
            <w:pPr>
              <w:jc w:val="center"/>
              <w:rPr>
                <w:rFonts w:cs="宋体"/>
                <w:b/>
                <w:bCs/>
              </w:rPr>
            </w:pPr>
            <w:r>
              <w:rPr>
                <w:rFonts w:hint="eastAsia" w:cs="宋体"/>
                <w:b/>
                <w:bCs/>
              </w:rPr>
              <w:t>项</w:t>
            </w:r>
          </w:p>
        </w:tc>
        <w:tc>
          <w:tcPr>
            <w:tcW w:w="1702" w:type="dxa"/>
            <w:vAlign w:val="center"/>
          </w:tcPr>
          <w:p>
            <w:pPr>
              <w:ind w:firstLine="315" w:firstLineChars="150"/>
              <w:rPr>
                <w:rFonts w:cs="宋体"/>
              </w:rPr>
            </w:pPr>
            <w:r>
              <w:rPr>
                <w:rFonts w:hint="eastAsia" w:cs="宋体"/>
              </w:rPr>
              <w:t>防护器具</w:t>
            </w:r>
          </w:p>
        </w:tc>
        <w:tc>
          <w:tcPr>
            <w:tcW w:w="5995" w:type="dxa"/>
            <w:gridSpan w:val="4"/>
            <w:vAlign w:val="center"/>
          </w:tcPr>
          <w:p>
            <w:pPr>
              <w:spacing w:line="300" w:lineRule="exact"/>
              <w:rPr>
                <w:rFonts w:cs="宋体"/>
              </w:rPr>
            </w:pPr>
            <w:r>
              <w:rPr>
                <w:rFonts w:hint="eastAsia" w:cs="宋体"/>
              </w:rPr>
              <w:t>应急救援人员必须佩戴和使用符合要求的防护用品。严禁救援人员在没有采取防护措施的情况下盲目施救。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482" w:type="dxa"/>
            <w:vMerge w:val="continue"/>
            <w:vAlign w:val="center"/>
          </w:tcPr>
          <w:p>
            <w:pPr>
              <w:widowControl/>
              <w:jc w:val="left"/>
              <w:rPr>
                <w:rFonts w:cs="宋体"/>
                <w:b/>
                <w:bCs/>
              </w:rPr>
            </w:pPr>
          </w:p>
        </w:tc>
        <w:tc>
          <w:tcPr>
            <w:tcW w:w="1702" w:type="dxa"/>
            <w:vAlign w:val="center"/>
          </w:tcPr>
          <w:p>
            <w:pPr>
              <w:jc w:val="center"/>
              <w:rPr>
                <w:rFonts w:cs="宋体"/>
              </w:rPr>
            </w:pPr>
            <w:r>
              <w:rPr>
                <w:rFonts w:hint="eastAsia" w:cs="宋体"/>
              </w:rPr>
              <w:t>救援器材</w:t>
            </w:r>
          </w:p>
        </w:tc>
        <w:tc>
          <w:tcPr>
            <w:tcW w:w="5995" w:type="dxa"/>
            <w:gridSpan w:val="4"/>
            <w:vAlign w:val="center"/>
          </w:tcPr>
          <w:p>
            <w:pPr>
              <w:spacing w:line="300" w:lineRule="exact"/>
              <w:rPr>
                <w:rFonts w:cs="宋体"/>
              </w:rPr>
            </w:pPr>
            <w:r>
              <w:rPr>
                <w:rFonts w:hint="eastAsia" w:cs="宋体"/>
              </w:rPr>
              <w:t>选择合适的收容材料，或采取盲板堵漏。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482" w:type="dxa"/>
            <w:vMerge w:val="continue"/>
            <w:vAlign w:val="center"/>
          </w:tcPr>
          <w:p>
            <w:pPr>
              <w:widowControl/>
              <w:jc w:val="left"/>
              <w:rPr>
                <w:rFonts w:cs="宋体"/>
                <w:b/>
                <w:bCs/>
              </w:rPr>
            </w:pPr>
          </w:p>
        </w:tc>
        <w:tc>
          <w:tcPr>
            <w:tcW w:w="1702" w:type="dxa"/>
            <w:vAlign w:val="center"/>
          </w:tcPr>
          <w:p>
            <w:pPr>
              <w:ind w:firstLine="315" w:firstLineChars="150"/>
              <w:rPr>
                <w:rFonts w:cs="宋体"/>
              </w:rPr>
            </w:pPr>
            <w:r>
              <w:rPr>
                <w:rFonts w:hint="eastAsia" w:cs="宋体"/>
              </w:rPr>
              <w:t>救援对策</w:t>
            </w:r>
          </w:p>
        </w:tc>
        <w:tc>
          <w:tcPr>
            <w:tcW w:w="5995" w:type="dxa"/>
            <w:gridSpan w:val="4"/>
            <w:vAlign w:val="center"/>
          </w:tcPr>
          <w:p>
            <w:pPr>
              <w:spacing w:line="300" w:lineRule="exact"/>
              <w:rPr>
                <w:rFonts w:cs="宋体"/>
              </w:rPr>
            </w:pPr>
            <w:r>
              <w:rPr>
                <w:rFonts w:hint="eastAsia" w:cs="宋体"/>
              </w:rPr>
              <w:t>1、应急救援时，应贯彻“以人为本”的原则，先抢救人员。</w:t>
            </w:r>
          </w:p>
          <w:p>
            <w:pPr>
              <w:spacing w:line="300" w:lineRule="exact"/>
              <w:rPr>
                <w:rFonts w:cs="宋体"/>
              </w:rPr>
            </w:pPr>
            <w:r>
              <w:rPr>
                <w:rFonts w:hint="eastAsia" w:cs="宋体"/>
              </w:rPr>
              <w:t>2、小量泄漏及时堵漏并用沙子、吸附材料等吸收泄漏物，防止事故扩大。</w:t>
            </w:r>
          </w:p>
          <w:p>
            <w:pPr>
              <w:spacing w:line="300" w:lineRule="exact"/>
              <w:rPr>
                <w:rFonts w:cs="宋体"/>
              </w:rPr>
            </w:pPr>
            <w:r>
              <w:rPr>
                <w:rFonts w:hint="eastAsia" w:cs="宋体"/>
              </w:rPr>
              <w:t>3、应急救援人员必须采取可靠的安全防护措施后方可进入现场，参加应急救援行动。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7" w:hRule="atLeast"/>
          <w:jc w:val="center"/>
        </w:trPr>
        <w:tc>
          <w:tcPr>
            <w:tcW w:w="482" w:type="dxa"/>
            <w:vMerge w:val="continue"/>
            <w:vAlign w:val="center"/>
          </w:tcPr>
          <w:p>
            <w:pPr>
              <w:widowControl/>
              <w:jc w:val="left"/>
              <w:rPr>
                <w:rFonts w:cs="宋体"/>
                <w:b/>
                <w:bCs/>
              </w:rPr>
            </w:pPr>
          </w:p>
        </w:tc>
        <w:tc>
          <w:tcPr>
            <w:tcW w:w="1702" w:type="dxa"/>
            <w:vAlign w:val="center"/>
          </w:tcPr>
          <w:p>
            <w:pPr>
              <w:jc w:val="center"/>
              <w:rPr>
                <w:rFonts w:cs="宋体"/>
              </w:rPr>
            </w:pPr>
            <w:r>
              <w:rPr>
                <w:rFonts w:hint="eastAsia" w:cs="宋体"/>
              </w:rPr>
              <w:t>自救与互救</w:t>
            </w:r>
          </w:p>
        </w:tc>
        <w:tc>
          <w:tcPr>
            <w:tcW w:w="5995" w:type="dxa"/>
            <w:gridSpan w:val="4"/>
            <w:vAlign w:val="center"/>
          </w:tcPr>
          <w:p>
            <w:pPr>
              <w:spacing w:line="300" w:lineRule="exact"/>
              <w:rPr>
                <w:rFonts w:cs="宋体"/>
              </w:rPr>
            </w:pPr>
            <w:r>
              <w:rPr>
                <w:rFonts w:hint="eastAsia" w:cs="宋体"/>
              </w:rPr>
              <w:t>1、救护人必须根据现场情况佩戴空气呼吸器，采用沙子、吸附材料等吸收。并随时监控周围是否有火源产生。</w:t>
            </w:r>
          </w:p>
          <w:p>
            <w:pPr>
              <w:spacing w:line="300" w:lineRule="exact"/>
              <w:rPr>
                <w:rFonts w:cs="宋体"/>
              </w:rPr>
            </w:pPr>
            <w:r>
              <w:rPr>
                <w:rFonts w:hint="eastAsia" w:cs="宋体"/>
              </w:rPr>
              <w:t>2、对受伤者实施救护时，应防止受伤者摔伤或者对身体烧伤表面造成损伤。</w:t>
            </w:r>
          </w:p>
          <w:p>
            <w:pPr>
              <w:spacing w:line="300" w:lineRule="exact"/>
              <w:rPr>
                <w:rFonts w:cs="宋体"/>
              </w:rPr>
            </w:pPr>
            <w:r>
              <w:rPr>
                <w:rFonts w:hint="eastAsia" w:cs="宋体"/>
              </w:rPr>
              <w:t>3、如事故发生在夜间或无照明区域，应迅速解决临时照明。</w:t>
            </w:r>
          </w:p>
          <w:p>
            <w:pPr>
              <w:spacing w:line="300" w:lineRule="exact"/>
              <w:rPr>
                <w:rFonts w:cs="宋体"/>
              </w:rPr>
            </w:pPr>
            <w:r>
              <w:rPr>
                <w:rFonts w:hint="eastAsia" w:cs="宋体"/>
              </w:rPr>
              <w:t>4、使受伤者迅速脱离事故现场，至空气流通处，安静平卧，解开衣服以利呼吸（烧伤皮肤与衣物粘在一起，慎动，避免对皮肤造成二次损伤），严密观察，等待医生前来救治（较轻者）。</w:t>
            </w:r>
          </w:p>
          <w:p>
            <w:pPr>
              <w:spacing w:line="300" w:lineRule="exact"/>
              <w:rPr>
                <w:rFonts w:cs="宋体"/>
              </w:rPr>
            </w:pPr>
            <w:r>
              <w:rPr>
                <w:rFonts w:hint="eastAsia" w:cs="宋体"/>
              </w:rPr>
              <w:t>5、伤者伤势严重、呼吸停止时，应立即施行人工呼吸和心脏按压复苏，并速请医生诊治或立即送往医院。</w:t>
            </w:r>
          </w:p>
          <w:p>
            <w:pPr>
              <w:spacing w:line="300" w:lineRule="exact"/>
              <w:rPr>
                <w:rFonts w:cs="宋体"/>
              </w:rPr>
            </w:pPr>
            <w:r>
              <w:rPr>
                <w:rFonts w:hint="eastAsia" w:cs="宋体"/>
              </w:rPr>
              <w:t>6、在专业救援人员到来之前，对受伤者的急救不能终止。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482" w:type="dxa"/>
            <w:vMerge w:val="continue"/>
            <w:vAlign w:val="center"/>
          </w:tcPr>
          <w:p>
            <w:pPr>
              <w:widowControl/>
              <w:jc w:val="left"/>
              <w:rPr>
                <w:rFonts w:cs="宋体"/>
                <w:b/>
                <w:bCs/>
              </w:rPr>
            </w:pPr>
          </w:p>
        </w:tc>
        <w:tc>
          <w:tcPr>
            <w:tcW w:w="1702" w:type="dxa"/>
            <w:vAlign w:val="center"/>
          </w:tcPr>
          <w:p>
            <w:pPr>
              <w:jc w:val="center"/>
              <w:rPr>
                <w:rFonts w:cs="宋体"/>
              </w:rPr>
            </w:pPr>
            <w:r>
              <w:rPr>
                <w:rFonts w:hint="eastAsia" w:cs="宋体"/>
              </w:rPr>
              <w:t>人员能力</w:t>
            </w:r>
          </w:p>
        </w:tc>
        <w:tc>
          <w:tcPr>
            <w:tcW w:w="5995" w:type="dxa"/>
            <w:gridSpan w:val="4"/>
            <w:vAlign w:val="center"/>
          </w:tcPr>
          <w:p>
            <w:pPr>
              <w:spacing w:line="300" w:lineRule="exact"/>
              <w:rPr>
                <w:rFonts w:cs="宋体"/>
              </w:rPr>
            </w:pPr>
            <w:r>
              <w:rPr>
                <w:rFonts w:hint="eastAsia" w:cs="宋体"/>
              </w:rPr>
              <w:t>1、小量泄漏：采用沙子、吸附材料等吸收。采用盲板进行堵漏，收容器具收集泄漏物，并呼叫周边人员协助。</w:t>
            </w:r>
          </w:p>
          <w:p>
            <w:pPr>
              <w:spacing w:line="300" w:lineRule="exact"/>
              <w:rPr>
                <w:rFonts w:cs="宋体"/>
              </w:rPr>
            </w:pPr>
            <w:r>
              <w:rPr>
                <w:rFonts w:hint="eastAsia" w:cs="宋体"/>
              </w:rPr>
              <w:t>2、当泄漏较大已不能阻止时人员撤离到安全地带。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482" w:type="dxa"/>
            <w:vMerge w:val="continue"/>
            <w:vAlign w:val="center"/>
          </w:tcPr>
          <w:p>
            <w:pPr>
              <w:widowControl/>
              <w:jc w:val="left"/>
              <w:rPr>
                <w:rFonts w:cs="宋体"/>
                <w:b/>
                <w:bCs/>
              </w:rPr>
            </w:pPr>
          </w:p>
        </w:tc>
        <w:tc>
          <w:tcPr>
            <w:tcW w:w="1702" w:type="dxa"/>
            <w:vAlign w:val="center"/>
          </w:tcPr>
          <w:p>
            <w:pPr>
              <w:jc w:val="center"/>
              <w:rPr>
                <w:rFonts w:cs="宋体"/>
              </w:rPr>
            </w:pPr>
            <w:r>
              <w:rPr>
                <w:rFonts w:hint="eastAsia" w:cs="宋体"/>
              </w:rPr>
              <w:t>救援结束</w:t>
            </w:r>
          </w:p>
        </w:tc>
        <w:tc>
          <w:tcPr>
            <w:tcW w:w="5995" w:type="dxa"/>
            <w:gridSpan w:val="4"/>
            <w:vAlign w:val="center"/>
          </w:tcPr>
          <w:p>
            <w:pPr>
              <w:spacing w:line="300" w:lineRule="exact"/>
              <w:rPr>
                <w:rFonts w:cs="宋体"/>
              </w:rPr>
            </w:pPr>
            <w:r>
              <w:rPr>
                <w:rFonts w:hint="eastAsia" w:cs="宋体"/>
              </w:rPr>
              <w:t>1、险情排除后，组织相关人员对现场进行认真地检查，防止遗漏，再次造成事故。</w:t>
            </w:r>
          </w:p>
          <w:p>
            <w:pPr>
              <w:spacing w:line="300" w:lineRule="exact"/>
              <w:rPr>
                <w:rFonts w:cs="宋体"/>
              </w:rPr>
            </w:pPr>
            <w:r>
              <w:rPr>
                <w:rFonts w:hint="eastAsia" w:cs="宋体"/>
              </w:rPr>
              <w:t>2、保护好现场，以便查清事故原因，吸取教训，制定防范措施.</w:t>
            </w:r>
          </w:p>
          <w:p>
            <w:pPr>
              <w:spacing w:line="300" w:lineRule="exact"/>
              <w:rPr>
                <w:rFonts w:cs="宋体"/>
              </w:rPr>
            </w:pPr>
            <w:r>
              <w:rPr>
                <w:rFonts w:hint="eastAsia" w:cs="宋体"/>
              </w:rPr>
              <w:t>3、征得有关部门同意后，对现场进行彻底清洗处理，人员、设备、现场卫生，全面到位。然后报生产部门检查。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 w:hRule="atLeast"/>
          <w:jc w:val="center"/>
        </w:trPr>
        <w:tc>
          <w:tcPr>
            <w:tcW w:w="482" w:type="dxa"/>
            <w:vMerge w:val="continue"/>
            <w:vAlign w:val="center"/>
          </w:tcPr>
          <w:p>
            <w:pPr>
              <w:widowControl/>
              <w:jc w:val="left"/>
              <w:rPr>
                <w:rFonts w:cs="宋体"/>
                <w:b/>
                <w:bCs/>
              </w:rPr>
            </w:pPr>
          </w:p>
        </w:tc>
        <w:tc>
          <w:tcPr>
            <w:tcW w:w="1702" w:type="dxa"/>
            <w:vAlign w:val="center"/>
          </w:tcPr>
          <w:p>
            <w:pPr>
              <w:jc w:val="center"/>
              <w:rPr>
                <w:rFonts w:cs="宋体"/>
              </w:rPr>
            </w:pPr>
            <w:r>
              <w:rPr>
                <w:rFonts w:hint="eastAsia" w:cs="宋体"/>
              </w:rPr>
              <w:t>特别警示</w:t>
            </w:r>
          </w:p>
        </w:tc>
        <w:tc>
          <w:tcPr>
            <w:tcW w:w="5995" w:type="dxa"/>
            <w:gridSpan w:val="4"/>
            <w:vAlign w:val="center"/>
          </w:tcPr>
          <w:p>
            <w:pPr>
              <w:numPr>
                <w:ilvl w:val="0"/>
                <w:numId w:val="11"/>
              </w:numPr>
              <w:spacing w:line="300" w:lineRule="exact"/>
              <w:rPr>
                <w:rFonts w:cs="宋体"/>
              </w:rPr>
            </w:pPr>
            <w:r>
              <w:rPr>
                <w:rFonts w:hint="eastAsia" w:cs="宋体"/>
              </w:rPr>
              <w:t>保持救援电话畅通；</w:t>
            </w:r>
          </w:p>
          <w:p>
            <w:pPr>
              <w:numPr>
                <w:ilvl w:val="0"/>
                <w:numId w:val="11"/>
              </w:numPr>
              <w:spacing w:line="300" w:lineRule="exact"/>
              <w:rPr>
                <w:rFonts w:cs="宋体"/>
              </w:rPr>
            </w:pPr>
            <w:r>
              <w:rPr>
                <w:rFonts w:hint="eastAsia" w:cs="宋体"/>
              </w:rPr>
              <w:t>对应急救援器材进行经常性的检查和保养；</w:t>
            </w:r>
          </w:p>
          <w:p>
            <w:pPr>
              <w:numPr>
                <w:ilvl w:val="0"/>
                <w:numId w:val="11"/>
              </w:numPr>
              <w:spacing w:line="300" w:lineRule="exact"/>
              <w:rPr>
                <w:rFonts w:cs="宋体"/>
              </w:rPr>
            </w:pPr>
            <w:r>
              <w:rPr>
                <w:rFonts w:hint="eastAsia" w:cs="宋体"/>
              </w:rPr>
              <w:t>应急疏散时的人数查点；</w:t>
            </w:r>
          </w:p>
          <w:p>
            <w:pPr>
              <w:spacing w:line="300" w:lineRule="exact"/>
              <w:rPr>
                <w:rFonts w:cs="宋体"/>
              </w:rPr>
            </w:pPr>
            <w:r>
              <w:rPr>
                <w:rFonts w:hint="eastAsia" w:cs="宋体"/>
              </w:rPr>
              <w:t>4、救援结束后的人员、物资查点。</w:t>
            </w:r>
          </w:p>
        </w:tc>
      </w:tr>
    </w:tbl>
    <w:p>
      <w:pPr>
        <w:pStyle w:val="3"/>
        <w:rPr>
          <w:rFonts w:eastAsia="宋体" w:cs="宋体"/>
        </w:rPr>
      </w:pPr>
      <w:bookmarkStart w:id="898" w:name="_Toc504989641"/>
      <w:bookmarkEnd w:id="898"/>
      <w:bookmarkStart w:id="899" w:name="_Toc530594674"/>
      <w:bookmarkStart w:id="900" w:name="_Toc6757"/>
      <w:bookmarkStart w:id="901" w:name="_Toc9635"/>
      <w:bookmarkStart w:id="902" w:name="_Toc13120"/>
      <w:bookmarkStart w:id="903" w:name="_Toc14312"/>
      <w:r>
        <w:rPr>
          <w:rFonts w:hint="eastAsia" w:eastAsia="宋体" w:cs="宋体"/>
        </w:rPr>
        <w:t>五、高处坠落事故现场处置方案</w:t>
      </w:r>
      <w:bookmarkEnd w:id="899"/>
      <w:bookmarkEnd w:id="900"/>
      <w:bookmarkEnd w:id="901"/>
      <w:bookmarkEnd w:id="902"/>
      <w:bookmarkEnd w:id="903"/>
    </w:p>
    <w:tbl>
      <w:tblPr>
        <w:tblStyle w:val="35"/>
        <w:tblW w:w="82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701"/>
        <w:gridCol w:w="726"/>
        <w:gridCol w:w="813"/>
        <w:gridCol w:w="3528"/>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692" w:type="dxa"/>
            <w:vMerge w:val="restart"/>
            <w:vAlign w:val="center"/>
          </w:tcPr>
          <w:p>
            <w:pPr>
              <w:jc w:val="center"/>
              <w:rPr>
                <w:rFonts w:cs="宋体"/>
                <w:b/>
                <w:bCs/>
              </w:rPr>
            </w:pPr>
            <w:r>
              <w:rPr>
                <w:rFonts w:hint="eastAsia" w:cs="宋体"/>
                <w:b/>
                <w:bCs/>
              </w:rPr>
              <w:t>事</w:t>
            </w:r>
          </w:p>
          <w:p>
            <w:pPr>
              <w:jc w:val="center"/>
              <w:rPr>
                <w:rFonts w:cs="宋体"/>
                <w:b/>
                <w:bCs/>
              </w:rPr>
            </w:pPr>
            <w:r>
              <w:rPr>
                <w:rFonts w:hint="eastAsia" w:cs="宋体"/>
                <w:b/>
                <w:bCs/>
              </w:rPr>
              <w:t>故</w:t>
            </w:r>
          </w:p>
          <w:p>
            <w:pPr>
              <w:jc w:val="center"/>
              <w:rPr>
                <w:rFonts w:cs="宋体"/>
                <w:b/>
                <w:bCs/>
              </w:rPr>
            </w:pPr>
            <w:r>
              <w:rPr>
                <w:rFonts w:hint="eastAsia" w:cs="宋体"/>
                <w:b/>
                <w:bCs/>
              </w:rPr>
              <w:t>特</w:t>
            </w:r>
          </w:p>
          <w:p>
            <w:pPr>
              <w:jc w:val="center"/>
              <w:rPr>
                <w:rFonts w:cs="宋体"/>
                <w:b/>
                <w:bCs/>
              </w:rPr>
            </w:pPr>
            <w:r>
              <w:rPr>
                <w:rFonts w:hint="eastAsia" w:cs="宋体"/>
                <w:b/>
                <w:bCs/>
              </w:rPr>
              <w:t>征</w:t>
            </w:r>
          </w:p>
        </w:tc>
        <w:tc>
          <w:tcPr>
            <w:tcW w:w="2427" w:type="dxa"/>
            <w:gridSpan w:val="2"/>
            <w:vAlign w:val="center"/>
          </w:tcPr>
          <w:p>
            <w:pPr>
              <w:rPr>
                <w:rFonts w:cs="宋体"/>
              </w:rPr>
            </w:pPr>
            <w:r>
              <w:rPr>
                <w:rFonts w:hint="eastAsia" w:cs="宋体"/>
              </w:rPr>
              <w:t>区域（装置）名称</w:t>
            </w:r>
          </w:p>
        </w:tc>
        <w:tc>
          <w:tcPr>
            <w:tcW w:w="5106" w:type="dxa"/>
            <w:gridSpan w:val="3"/>
            <w:vAlign w:val="center"/>
          </w:tcPr>
          <w:p>
            <w:pPr>
              <w:rPr>
                <w:rFonts w:cs="宋体"/>
              </w:rPr>
            </w:pPr>
            <w:r>
              <w:rPr>
                <w:rFonts w:hint="eastAsia" w:cs="宋体"/>
              </w:rPr>
              <w:t>罩棚检修、罐车计量及通气管呼吸阀维护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692" w:type="dxa"/>
            <w:vMerge w:val="continue"/>
            <w:vAlign w:val="center"/>
          </w:tcPr>
          <w:p>
            <w:pPr>
              <w:widowControl/>
              <w:jc w:val="left"/>
              <w:rPr>
                <w:rFonts w:cs="宋体"/>
                <w:b/>
                <w:bCs/>
              </w:rPr>
            </w:pPr>
          </w:p>
        </w:tc>
        <w:tc>
          <w:tcPr>
            <w:tcW w:w="2427" w:type="dxa"/>
            <w:gridSpan w:val="2"/>
            <w:vAlign w:val="center"/>
          </w:tcPr>
          <w:p>
            <w:pPr>
              <w:rPr>
                <w:rFonts w:cs="宋体"/>
              </w:rPr>
            </w:pPr>
            <w:r>
              <w:rPr>
                <w:rFonts w:hint="eastAsia" w:cs="宋体"/>
              </w:rPr>
              <w:t>可能发生的事故类型</w:t>
            </w:r>
          </w:p>
        </w:tc>
        <w:tc>
          <w:tcPr>
            <w:tcW w:w="5106" w:type="dxa"/>
            <w:gridSpan w:val="3"/>
            <w:vAlign w:val="center"/>
          </w:tcPr>
          <w:p>
            <w:pPr>
              <w:rPr>
                <w:rFonts w:cs="宋体"/>
              </w:rPr>
            </w:pPr>
            <w:r>
              <w:rPr>
                <w:rFonts w:hint="eastAsia" w:cs="宋体"/>
              </w:rPr>
              <w:t>高处坠落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692" w:type="dxa"/>
            <w:vMerge w:val="continue"/>
            <w:vAlign w:val="center"/>
          </w:tcPr>
          <w:p>
            <w:pPr>
              <w:widowControl/>
              <w:jc w:val="left"/>
              <w:rPr>
                <w:rFonts w:cs="宋体"/>
                <w:b/>
                <w:bCs/>
              </w:rPr>
            </w:pPr>
          </w:p>
        </w:tc>
        <w:tc>
          <w:tcPr>
            <w:tcW w:w="2427" w:type="dxa"/>
            <w:gridSpan w:val="2"/>
            <w:vAlign w:val="center"/>
          </w:tcPr>
          <w:p>
            <w:pPr>
              <w:rPr>
                <w:rFonts w:cs="宋体"/>
              </w:rPr>
            </w:pPr>
            <w:r>
              <w:rPr>
                <w:rFonts w:hint="eastAsia" w:cs="宋体"/>
              </w:rPr>
              <w:t>可能发生的季节、时段</w:t>
            </w:r>
          </w:p>
        </w:tc>
        <w:tc>
          <w:tcPr>
            <w:tcW w:w="5106" w:type="dxa"/>
            <w:gridSpan w:val="3"/>
            <w:vAlign w:val="center"/>
          </w:tcPr>
          <w:p>
            <w:pPr>
              <w:rPr>
                <w:rFonts w:cs="宋体"/>
              </w:rPr>
            </w:pPr>
            <w:r>
              <w:rPr>
                <w:rFonts w:hint="eastAsia" w:cs="宋体"/>
              </w:rPr>
              <w:t>检维修期间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692" w:type="dxa"/>
            <w:vMerge w:val="continue"/>
            <w:vAlign w:val="center"/>
          </w:tcPr>
          <w:p>
            <w:pPr>
              <w:widowControl/>
              <w:jc w:val="left"/>
              <w:rPr>
                <w:rFonts w:cs="宋体"/>
                <w:b/>
                <w:bCs/>
              </w:rPr>
            </w:pPr>
          </w:p>
        </w:tc>
        <w:tc>
          <w:tcPr>
            <w:tcW w:w="2427" w:type="dxa"/>
            <w:gridSpan w:val="2"/>
            <w:vAlign w:val="center"/>
          </w:tcPr>
          <w:p>
            <w:pPr>
              <w:rPr>
                <w:rFonts w:cs="宋体"/>
              </w:rPr>
            </w:pPr>
            <w:r>
              <w:rPr>
                <w:rFonts w:hint="eastAsia" w:cs="宋体"/>
              </w:rPr>
              <w:t>事故征兆</w:t>
            </w:r>
          </w:p>
        </w:tc>
        <w:tc>
          <w:tcPr>
            <w:tcW w:w="5106" w:type="dxa"/>
            <w:gridSpan w:val="3"/>
            <w:vAlign w:val="center"/>
          </w:tcPr>
          <w:p>
            <w:pPr>
              <w:rPr>
                <w:rFonts w:cs="宋体"/>
              </w:rPr>
            </w:pPr>
            <w:r>
              <w:rPr>
                <w:rFonts w:hint="eastAsia" w:cs="宋体"/>
              </w:rPr>
              <w:t>检修时未按规定穿戴防护用品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692" w:type="dxa"/>
            <w:vMerge w:val="continue"/>
            <w:vAlign w:val="center"/>
          </w:tcPr>
          <w:p>
            <w:pPr>
              <w:widowControl/>
              <w:jc w:val="left"/>
              <w:rPr>
                <w:rFonts w:cs="宋体"/>
                <w:b/>
                <w:bCs/>
              </w:rPr>
            </w:pPr>
          </w:p>
        </w:tc>
        <w:tc>
          <w:tcPr>
            <w:tcW w:w="2427" w:type="dxa"/>
            <w:gridSpan w:val="2"/>
            <w:vAlign w:val="center"/>
          </w:tcPr>
          <w:p>
            <w:pPr>
              <w:rPr>
                <w:rFonts w:cs="宋体"/>
              </w:rPr>
            </w:pPr>
            <w:r>
              <w:rPr>
                <w:rFonts w:hint="eastAsia" w:cs="宋体"/>
              </w:rPr>
              <w:t>事故危害程度</w:t>
            </w:r>
          </w:p>
        </w:tc>
        <w:tc>
          <w:tcPr>
            <w:tcW w:w="5106" w:type="dxa"/>
            <w:gridSpan w:val="3"/>
            <w:vAlign w:val="center"/>
          </w:tcPr>
          <w:p>
            <w:pPr>
              <w:rPr>
                <w:rFonts w:cs="宋体"/>
              </w:rPr>
            </w:pPr>
            <w:r>
              <w:rPr>
                <w:rFonts w:hint="eastAsia" w:cs="宋体"/>
              </w:rPr>
              <w:t>高处坠落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692" w:type="dxa"/>
            <w:vMerge w:val="continue"/>
            <w:vAlign w:val="center"/>
          </w:tcPr>
          <w:p>
            <w:pPr>
              <w:widowControl/>
              <w:jc w:val="left"/>
              <w:rPr>
                <w:rFonts w:cs="宋体"/>
                <w:b/>
                <w:bCs/>
              </w:rPr>
            </w:pPr>
          </w:p>
        </w:tc>
        <w:tc>
          <w:tcPr>
            <w:tcW w:w="2427" w:type="dxa"/>
            <w:gridSpan w:val="2"/>
          </w:tcPr>
          <w:p>
            <w:pPr>
              <w:rPr>
                <w:rFonts w:cs="宋体"/>
              </w:rPr>
            </w:pPr>
            <w:r>
              <w:rPr>
                <w:rFonts w:hint="eastAsia" w:cs="宋体"/>
              </w:rPr>
              <w:t>可能引发的次生、衍生事故</w:t>
            </w:r>
          </w:p>
        </w:tc>
        <w:tc>
          <w:tcPr>
            <w:tcW w:w="5106" w:type="dxa"/>
            <w:gridSpan w:val="3"/>
          </w:tcPr>
          <w:p>
            <w:pPr>
              <w:rPr>
                <w:rFonts w:cs="宋体"/>
              </w:rPr>
            </w:pPr>
            <w:r>
              <w:rPr>
                <w:rFonts w:hint="eastAsia" w:cs="宋体"/>
              </w:rPr>
              <w:t>应急处置不当，可能造成人员死亡；影响加油站正常运营。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Merge w:val="continue"/>
            <w:vAlign w:val="center"/>
          </w:tcPr>
          <w:p>
            <w:pPr>
              <w:widowControl/>
              <w:jc w:val="left"/>
              <w:rPr>
                <w:rFonts w:cs="宋体"/>
                <w:b/>
                <w:bCs/>
              </w:rPr>
            </w:pPr>
          </w:p>
        </w:tc>
        <w:tc>
          <w:tcPr>
            <w:tcW w:w="2427" w:type="dxa"/>
            <w:gridSpan w:val="2"/>
          </w:tcPr>
          <w:p>
            <w:pPr>
              <w:rPr>
                <w:rFonts w:cs="宋体"/>
              </w:rPr>
            </w:pPr>
            <w:r>
              <w:rPr>
                <w:rFonts w:hint="eastAsia" w:cs="宋体"/>
              </w:rPr>
              <w:t>事故影响范围</w:t>
            </w:r>
          </w:p>
        </w:tc>
        <w:tc>
          <w:tcPr>
            <w:tcW w:w="5106" w:type="dxa"/>
            <w:gridSpan w:val="3"/>
          </w:tcPr>
          <w:p>
            <w:pPr>
              <w:rPr>
                <w:rFonts w:cs="宋体"/>
              </w:rPr>
            </w:pPr>
            <w:r>
              <w:rPr>
                <w:rFonts w:hint="eastAsia" w:cs="宋体"/>
              </w:rPr>
              <w:t>一般可控制在事故发生区域；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Merge w:val="restart"/>
            <w:vAlign w:val="center"/>
          </w:tcPr>
          <w:p>
            <w:pPr>
              <w:jc w:val="center"/>
              <w:rPr>
                <w:rFonts w:cs="宋体"/>
                <w:b/>
                <w:bCs/>
              </w:rPr>
            </w:pPr>
            <w:r>
              <w:rPr>
                <w:rFonts w:hint="eastAsia" w:cs="宋体"/>
                <w:b/>
                <w:bCs/>
              </w:rPr>
              <w:t>应</w:t>
            </w:r>
          </w:p>
          <w:p>
            <w:pPr>
              <w:jc w:val="center"/>
              <w:rPr>
                <w:rFonts w:cs="宋体"/>
                <w:b/>
                <w:bCs/>
              </w:rPr>
            </w:pPr>
            <w:r>
              <w:rPr>
                <w:rFonts w:hint="eastAsia" w:cs="宋体"/>
                <w:b/>
                <w:bCs/>
              </w:rPr>
              <w:t>急</w:t>
            </w:r>
          </w:p>
          <w:p>
            <w:pPr>
              <w:jc w:val="center"/>
              <w:rPr>
                <w:rFonts w:cs="宋体"/>
                <w:b/>
                <w:bCs/>
              </w:rPr>
            </w:pPr>
            <w:r>
              <w:rPr>
                <w:rFonts w:hint="eastAsia" w:cs="宋体"/>
                <w:b/>
                <w:bCs/>
              </w:rPr>
              <w:t>组</w:t>
            </w:r>
          </w:p>
          <w:p>
            <w:pPr>
              <w:jc w:val="center"/>
              <w:rPr>
                <w:rFonts w:cs="宋体"/>
                <w:b/>
                <w:bCs/>
              </w:rPr>
            </w:pPr>
            <w:r>
              <w:rPr>
                <w:rFonts w:hint="eastAsia" w:cs="宋体"/>
                <w:b/>
                <w:bCs/>
              </w:rPr>
              <w:t>织</w:t>
            </w:r>
          </w:p>
          <w:p>
            <w:pPr>
              <w:jc w:val="center"/>
              <w:rPr>
                <w:rFonts w:cs="宋体"/>
                <w:b/>
                <w:bCs/>
              </w:rPr>
            </w:pPr>
            <w:r>
              <w:rPr>
                <w:rFonts w:hint="eastAsia" w:cs="宋体"/>
                <w:b/>
                <w:bCs/>
              </w:rPr>
              <w:t>与</w:t>
            </w:r>
          </w:p>
          <w:p>
            <w:pPr>
              <w:jc w:val="center"/>
              <w:rPr>
                <w:rFonts w:cs="宋体"/>
                <w:b/>
                <w:bCs/>
              </w:rPr>
            </w:pPr>
            <w:r>
              <w:rPr>
                <w:rFonts w:hint="eastAsia" w:cs="宋体"/>
                <w:b/>
                <w:bCs/>
              </w:rPr>
              <w:t>职</w:t>
            </w:r>
          </w:p>
          <w:p>
            <w:pPr>
              <w:jc w:val="center"/>
              <w:rPr>
                <w:rFonts w:cs="宋体"/>
                <w:b/>
                <w:bCs/>
              </w:rPr>
            </w:pPr>
            <w:r>
              <w:rPr>
                <w:rFonts w:hint="eastAsia" w:cs="宋体"/>
                <w:b/>
                <w:bCs/>
              </w:rPr>
              <w:t>责</w:t>
            </w:r>
          </w:p>
        </w:tc>
        <w:tc>
          <w:tcPr>
            <w:tcW w:w="2427" w:type="dxa"/>
            <w:gridSpan w:val="2"/>
            <w:vAlign w:val="center"/>
          </w:tcPr>
          <w:p>
            <w:pPr>
              <w:rPr>
                <w:rFonts w:cs="宋体"/>
              </w:rPr>
            </w:pPr>
            <w:r>
              <w:rPr>
                <w:rFonts w:hint="eastAsia" w:cs="宋体"/>
              </w:rPr>
              <w:t>组织形式与人员构成</w:t>
            </w:r>
          </w:p>
        </w:tc>
        <w:tc>
          <w:tcPr>
            <w:tcW w:w="5106" w:type="dxa"/>
            <w:gridSpan w:val="3"/>
            <w:vAlign w:val="center"/>
          </w:tcPr>
          <w:p>
            <w:pPr>
              <w:rPr>
                <w:rFonts w:cs="宋体"/>
              </w:rPr>
            </w:pPr>
            <w:r>
              <w:rPr>
                <w:rFonts w:hint="eastAsia" w:cs="宋体"/>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8" w:hRule="atLeast"/>
          <w:jc w:val="center"/>
        </w:trPr>
        <w:tc>
          <w:tcPr>
            <w:tcW w:w="692" w:type="dxa"/>
            <w:vMerge w:val="continue"/>
            <w:vAlign w:val="center"/>
          </w:tcPr>
          <w:p>
            <w:pPr>
              <w:widowControl/>
              <w:jc w:val="left"/>
              <w:rPr>
                <w:rFonts w:cs="宋体"/>
                <w:b/>
                <w:bCs/>
              </w:rPr>
            </w:pPr>
          </w:p>
        </w:tc>
        <w:tc>
          <w:tcPr>
            <w:tcW w:w="2427" w:type="dxa"/>
            <w:gridSpan w:val="2"/>
            <w:vAlign w:val="center"/>
          </w:tcPr>
          <w:p>
            <w:pPr>
              <w:rPr>
                <w:rFonts w:cs="宋体"/>
              </w:rPr>
            </w:pPr>
            <w:r>
              <w:rPr>
                <w:rFonts w:hint="eastAsia" w:cs="宋体"/>
              </w:rPr>
              <w:t>应急工作职责</w:t>
            </w:r>
          </w:p>
        </w:tc>
        <w:tc>
          <w:tcPr>
            <w:tcW w:w="5106" w:type="dxa"/>
            <w:gridSpan w:val="3"/>
            <w:vAlign w:val="center"/>
          </w:tcPr>
          <w:p>
            <w:pPr>
              <w:rPr>
                <w:rFonts w:cs="宋体"/>
              </w:rPr>
            </w:pPr>
            <w:r>
              <w:rPr>
                <w:rFonts w:hint="eastAsia" w:cs="宋体"/>
              </w:rPr>
              <w:t>1、发现事故和隐患及时处理和报告；</w:t>
            </w:r>
          </w:p>
          <w:p>
            <w:pPr>
              <w:rPr>
                <w:rFonts w:cs="宋体"/>
              </w:rPr>
            </w:pPr>
            <w:r>
              <w:rPr>
                <w:rFonts w:hint="eastAsia" w:cs="宋体"/>
              </w:rPr>
              <w:t>2、事故初起时，实施现场应急处置；</w:t>
            </w:r>
          </w:p>
          <w:p>
            <w:pPr>
              <w:rPr>
                <w:rFonts w:cs="宋体"/>
              </w:rPr>
            </w:pPr>
            <w:r>
              <w:rPr>
                <w:rFonts w:hint="eastAsia" w:cs="宋体"/>
              </w:rPr>
              <w:t>3、听从上一级应急救援指挥机构的指挥进行应急救援；</w:t>
            </w:r>
          </w:p>
          <w:p>
            <w:pPr>
              <w:rPr>
                <w:rFonts w:cs="宋体"/>
              </w:rPr>
            </w:pPr>
            <w:r>
              <w:rPr>
                <w:rFonts w:hint="eastAsia" w:cs="宋体"/>
              </w:rPr>
              <w:t>5、预计事故扩大时报告并请求启动上一级应急救援预案。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692" w:type="dxa"/>
            <w:vMerge w:val="restart"/>
            <w:vAlign w:val="center"/>
          </w:tcPr>
          <w:p>
            <w:pPr>
              <w:jc w:val="center"/>
              <w:rPr>
                <w:rFonts w:cs="宋体"/>
                <w:b/>
                <w:bCs/>
              </w:rPr>
            </w:pPr>
            <w:r>
              <w:rPr>
                <w:rFonts w:hint="eastAsia" w:cs="宋体"/>
                <w:b/>
                <w:bCs/>
              </w:rPr>
              <w:t>应</w:t>
            </w:r>
          </w:p>
          <w:p>
            <w:pPr>
              <w:jc w:val="center"/>
              <w:rPr>
                <w:rFonts w:cs="宋体"/>
                <w:b/>
                <w:bCs/>
              </w:rPr>
            </w:pPr>
            <w:r>
              <w:rPr>
                <w:rFonts w:hint="eastAsia" w:cs="宋体"/>
                <w:b/>
                <w:bCs/>
              </w:rPr>
              <w:t>急</w:t>
            </w:r>
          </w:p>
          <w:p>
            <w:pPr>
              <w:jc w:val="center"/>
              <w:rPr>
                <w:rFonts w:cs="宋体"/>
                <w:b/>
                <w:bCs/>
              </w:rPr>
            </w:pPr>
            <w:r>
              <w:rPr>
                <w:rFonts w:hint="eastAsia" w:cs="宋体"/>
                <w:b/>
                <w:bCs/>
              </w:rPr>
              <w:t>处</w:t>
            </w:r>
          </w:p>
          <w:p>
            <w:pPr>
              <w:jc w:val="center"/>
              <w:rPr>
                <w:rFonts w:cs="宋体"/>
                <w:b/>
                <w:bCs/>
              </w:rPr>
            </w:pPr>
            <w:r>
              <w:rPr>
                <w:rFonts w:hint="eastAsia" w:cs="宋体"/>
                <w:b/>
                <w:bCs/>
              </w:rPr>
              <w:t>置</w:t>
            </w:r>
          </w:p>
          <w:p>
            <w:pPr>
              <w:jc w:val="center"/>
              <w:rPr>
                <w:rFonts w:cs="宋体"/>
                <w:b/>
                <w:bCs/>
              </w:rPr>
            </w:pPr>
          </w:p>
        </w:tc>
        <w:tc>
          <w:tcPr>
            <w:tcW w:w="1701" w:type="dxa"/>
            <w:vAlign w:val="center"/>
          </w:tcPr>
          <w:p>
            <w:pPr>
              <w:jc w:val="center"/>
              <w:rPr>
                <w:rFonts w:cs="宋体"/>
                <w:b/>
                <w:bCs/>
              </w:rPr>
            </w:pPr>
            <w:r>
              <w:rPr>
                <w:rFonts w:hint="eastAsia" w:cs="宋体"/>
                <w:b/>
                <w:bCs/>
              </w:rPr>
              <w:t>步 骤</w:t>
            </w:r>
          </w:p>
        </w:tc>
        <w:tc>
          <w:tcPr>
            <w:tcW w:w="5067" w:type="dxa"/>
            <w:gridSpan w:val="3"/>
            <w:vAlign w:val="center"/>
          </w:tcPr>
          <w:p>
            <w:pPr>
              <w:jc w:val="center"/>
              <w:rPr>
                <w:rFonts w:cs="宋体"/>
                <w:b/>
                <w:bCs/>
              </w:rPr>
            </w:pPr>
            <w:r>
              <w:rPr>
                <w:rFonts w:hint="eastAsia" w:cs="宋体"/>
                <w:b/>
                <w:bCs/>
              </w:rPr>
              <w:t>处  置</w:t>
            </w:r>
          </w:p>
        </w:tc>
        <w:tc>
          <w:tcPr>
            <w:tcW w:w="765" w:type="dxa"/>
            <w:vAlign w:val="center"/>
          </w:tcPr>
          <w:p>
            <w:pPr>
              <w:jc w:val="center"/>
              <w:rPr>
                <w:rFonts w:cs="宋体"/>
                <w:b/>
                <w:bCs/>
              </w:rPr>
            </w:pPr>
            <w:r>
              <w:rPr>
                <w:rFonts w:hint="eastAsia" w:cs="宋体"/>
                <w:b/>
                <w:bCs/>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692" w:type="dxa"/>
            <w:vMerge w:val="continue"/>
            <w:vAlign w:val="center"/>
          </w:tcPr>
          <w:p>
            <w:pPr>
              <w:widowControl/>
              <w:jc w:val="left"/>
              <w:rPr>
                <w:rFonts w:cs="宋体"/>
                <w:b/>
                <w:bCs/>
              </w:rPr>
            </w:pPr>
          </w:p>
        </w:tc>
        <w:tc>
          <w:tcPr>
            <w:tcW w:w="1701" w:type="dxa"/>
            <w:vAlign w:val="center"/>
          </w:tcPr>
          <w:p>
            <w:pPr>
              <w:jc w:val="center"/>
              <w:rPr>
                <w:rFonts w:cs="宋体"/>
              </w:rPr>
            </w:pPr>
            <w:r>
              <w:rPr>
                <w:rFonts w:hint="eastAsia" w:cs="宋体"/>
              </w:rPr>
              <w:t>发现异常</w:t>
            </w:r>
          </w:p>
        </w:tc>
        <w:tc>
          <w:tcPr>
            <w:tcW w:w="5067" w:type="dxa"/>
            <w:gridSpan w:val="3"/>
            <w:vAlign w:val="center"/>
          </w:tcPr>
          <w:p>
            <w:pPr>
              <w:rPr>
                <w:rFonts w:cs="宋体"/>
              </w:rPr>
            </w:pPr>
            <w:r>
              <w:rPr>
                <w:rFonts w:hint="eastAsia" w:cs="宋体"/>
              </w:rPr>
              <w:t xml:space="preserve">例如：xx和xx在对罩棚进行检维修时，突然发生坠落。 </w:t>
            </w:r>
          </w:p>
        </w:tc>
        <w:tc>
          <w:tcPr>
            <w:tcW w:w="765" w:type="dxa"/>
            <w:vAlign w:val="center"/>
          </w:tcPr>
          <w:p>
            <w:pPr>
              <w:jc w:val="center"/>
              <w:rPr>
                <w:rFonts w:cs="宋体"/>
              </w:rPr>
            </w:pPr>
            <w:r>
              <w:rPr>
                <w:rFonts w:hint="eastAsia" w:cs="宋体"/>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692" w:type="dxa"/>
            <w:vMerge w:val="continue"/>
            <w:vAlign w:val="center"/>
          </w:tcPr>
          <w:p>
            <w:pPr>
              <w:widowControl/>
              <w:jc w:val="left"/>
              <w:rPr>
                <w:rFonts w:cs="宋体"/>
                <w:b/>
                <w:bCs/>
              </w:rPr>
            </w:pPr>
          </w:p>
        </w:tc>
        <w:tc>
          <w:tcPr>
            <w:tcW w:w="1701" w:type="dxa"/>
            <w:vAlign w:val="center"/>
          </w:tcPr>
          <w:p>
            <w:pPr>
              <w:jc w:val="center"/>
              <w:rPr>
                <w:rFonts w:cs="宋体"/>
              </w:rPr>
            </w:pPr>
            <w:r>
              <w:rPr>
                <w:rFonts w:hint="eastAsia" w:cs="宋体"/>
              </w:rPr>
              <w:t>报警</w:t>
            </w:r>
          </w:p>
        </w:tc>
        <w:tc>
          <w:tcPr>
            <w:tcW w:w="5067" w:type="dxa"/>
            <w:gridSpan w:val="3"/>
            <w:vMerge w:val="restart"/>
            <w:vAlign w:val="center"/>
          </w:tcPr>
          <w:p>
            <w:pPr>
              <w:rPr>
                <w:rFonts w:cs="宋体"/>
              </w:rPr>
            </w:pPr>
            <w:r>
              <w:rPr>
                <w:rFonts w:hint="eastAsia" w:cs="宋体"/>
              </w:rPr>
              <w:t>向站长报告：x日x时x分，xx在对罩棚进行检维修时，突然发生坠落，请求支援。若发现人为本站外来人员，则发现人应直接将情况报告本站工作人员；</w:t>
            </w:r>
          </w:p>
          <w:p>
            <w:pPr>
              <w:rPr>
                <w:rFonts w:cs="宋体"/>
              </w:rPr>
            </w:pPr>
            <w:r>
              <w:rPr>
                <w:rFonts w:hint="eastAsia" w:cs="宋体"/>
              </w:rPr>
              <w:t>若站长发现时间有扩大的可能，立即向上级部门报告，请求支援；</w:t>
            </w:r>
          </w:p>
        </w:tc>
        <w:tc>
          <w:tcPr>
            <w:tcW w:w="765" w:type="dxa"/>
            <w:vMerge w:val="restart"/>
            <w:vAlign w:val="center"/>
          </w:tcPr>
          <w:p>
            <w:pPr>
              <w:jc w:val="center"/>
              <w:rPr>
                <w:rFonts w:cs="宋体"/>
              </w:rPr>
            </w:pPr>
            <w:r>
              <w:rPr>
                <w:rFonts w:hint="eastAsia" w:cs="宋体"/>
              </w:rPr>
              <w:t>发现人</w:t>
            </w:r>
          </w:p>
          <w:p>
            <w:pPr>
              <w:jc w:val="center"/>
              <w:rPr>
                <w:rFonts w:cs="宋体"/>
              </w:rPr>
            </w:pPr>
          </w:p>
          <w:p>
            <w:pPr>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692" w:type="dxa"/>
            <w:vMerge w:val="continue"/>
            <w:vAlign w:val="center"/>
          </w:tcPr>
          <w:p>
            <w:pPr>
              <w:widowControl/>
              <w:jc w:val="left"/>
              <w:rPr>
                <w:rFonts w:cs="宋体"/>
                <w:b/>
                <w:bCs/>
              </w:rPr>
            </w:pPr>
          </w:p>
        </w:tc>
        <w:tc>
          <w:tcPr>
            <w:tcW w:w="1701" w:type="dxa"/>
            <w:vAlign w:val="center"/>
          </w:tcPr>
          <w:p>
            <w:pPr>
              <w:jc w:val="left"/>
              <w:rPr>
                <w:rFonts w:cs="宋体"/>
              </w:rPr>
            </w:pPr>
            <w:r>
              <w:rPr>
                <w:rFonts w:hint="eastAsia" w:cs="宋体"/>
              </w:rPr>
              <w:t>组长李德斌（站长）：13990758830</w:t>
            </w:r>
          </w:p>
          <w:p>
            <w:pPr>
              <w:jc w:val="left"/>
              <w:rPr>
                <w:rFonts w:cs="宋体"/>
              </w:rPr>
            </w:pPr>
            <w:r>
              <w:rPr>
                <w:rFonts w:hint="eastAsia" w:cs="宋体"/>
              </w:rPr>
              <w:t>副组长李力：</w:t>
            </w:r>
          </w:p>
          <w:p>
            <w:pPr>
              <w:jc w:val="left"/>
              <w:rPr>
                <w:color w:val="000000"/>
                <w:kern w:val="0"/>
              </w:rPr>
            </w:pPr>
            <w:r>
              <w:rPr>
                <w:rFonts w:hint="eastAsia"/>
                <w:color w:val="000000"/>
                <w:kern w:val="0"/>
              </w:rPr>
              <w:t>15983763300</w:t>
            </w:r>
          </w:p>
          <w:p>
            <w:pPr>
              <w:jc w:val="left"/>
              <w:rPr>
                <w:rFonts w:cs="宋体"/>
              </w:rPr>
            </w:pPr>
            <w:r>
              <w:rPr>
                <w:rFonts w:hint="eastAsia" w:cs="宋体"/>
              </w:rPr>
              <w:t>成员：</w:t>
            </w:r>
          </w:p>
          <w:p>
            <w:pPr>
              <w:jc w:val="left"/>
              <w:rPr>
                <w:rFonts w:cs="宋体"/>
              </w:rPr>
            </w:pPr>
            <w:r>
              <w:rPr>
                <w:rFonts w:hint="eastAsia" w:cs="宋体"/>
              </w:rPr>
              <w:t>赵亮（加油员）</w:t>
            </w:r>
          </w:p>
          <w:p>
            <w:pPr>
              <w:jc w:val="left"/>
              <w:rPr>
                <w:rFonts w:cs="宋体"/>
              </w:rPr>
            </w:pPr>
            <w:r>
              <w:rPr>
                <w:rFonts w:hint="eastAsia" w:cs="宋体"/>
              </w:rPr>
              <w:t>15984880338</w:t>
            </w:r>
          </w:p>
          <w:p>
            <w:pPr>
              <w:jc w:val="left"/>
              <w:rPr>
                <w:rFonts w:cs="宋体"/>
              </w:rPr>
            </w:pPr>
            <w:r>
              <w:rPr>
                <w:rFonts w:hint="eastAsia" w:cs="宋体"/>
              </w:rPr>
              <w:t>何洪艳（加油员）</w:t>
            </w:r>
          </w:p>
          <w:p>
            <w:pPr>
              <w:jc w:val="left"/>
              <w:rPr>
                <w:rFonts w:cs="宋体"/>
              </w:rPr>
            </w:pPr>
            <w:r>
              <w:rPr>
                <w:rFonts w:hint="eastAsia" w:cs="宋体"/>
              </w:rPr>
              <w:t>17383855935</w:t>
            </w:r>
          </w:p>
          <w:p>
            <w:pPr>
              <w:pStyle w:val="2"/>
              <w:ind w:firstLine="0"/>
              <w:rPr>
                <w:rFonts w:cs="宋体"/>
              </w:rPr>
            </w:pPr>
            <w:r>
              <w:rPr>
                <w:rFonts w:hint="eastAsia" w:cs="宋体"/>
              </w:rPr>
              <w:t>杨瑞萍（加油员）13989196769</w:t>
            </w:r>
          </w:p>
          <w:p>
            <w:pPr>
              <w:pStyle w:val="2"/>
              <w:ind w:firstLine="0"/>
              <w:rPr>
                <w:rFonts w:cs="宋体"/>
              </w:rPr>
            </w:pPr>
            <w:r>
              <w:rPr>
                <w:rFonts w:hint="eastAsia" w:cs="宋体"/>
              </w:rPr>
              <w:t>李小珍（洗车员）15378382951</w:t>
            </w:r>
          </w:p>
          <w:p>
            <w:pPr>
              <w:jc w:val="left"/>
              <w:rPr>
                <w:rFonts w:cs="宋体"/>
              </w:rPr>
            </w:pPr>
            <w:r>
              <w:rPr>
                <w:rFonts w:hint="eastAsia" w:cs="宋体"/>
              </w:rPr>
              <w:t xml:space="preserve">火警：119 </w:t>
            </w:r>
          </w:p>
          <w:p>
            <w:pPr>
              <w:jc w:val="left"/>
              <w:rPr>
                <w:rFonts w:cs="宋体"/>
              </w:rPr>
            </w:pPr>
            <w:r>
              <w:rPr>
                <w:rFonts w:hint="eastAsia" w:cs="宋体"/>
              </w:rPr>
              <w:t>急救：120</w:t>
            </w:r>
          </w:p>
          <w:p>
            <w:pPr>
              <w:rPr>
                <w:rFonts w:cs="宋体"/>
                <w:highlight w:val="yellow"/>
              </w:rPr>
            </w:pPr>
            <w:r>
              <w:rPr>
                <w:rFonts w:hint="eastAsia" w:cs="宋体"/>
              </w:rPr>
              <w:t>匪警：110</w:t>
            </w:r>
          </w:p>
        </w:tc>
        <w:tc>
          <w:tcPr>
            <w:tcW w:w="5067" w:type="dxa"/>
            <w:gridSpan w:val="3"/>
            <w:vMerge w:val="continue"/>
            <w:vAlign w:val="center"/>
          </w:tcPr>
          <w:p>
            <w:pPr>
              <w:widowControl/>
              <w:jc w:val="left"/>
              <w:rPr>
                <w:rFonts w:cs="宋体"/>
              </w:rPr>
            </w:pPr>
          </w:p>
        </w:tc>
        <w:tc>
          <w:tcPr>
            <w:tcW w:w="765" w:type="dxa"/>
            <w:vMerge w:val="continue"/>
            <w:vAlign w:val="center"/>
          </w:tcPr>
          <w:p>
            <w:pPr>
              <w:widowControl/>
              <w:jc w:val="left"/>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92" w:type="dxa"/>
            <w:vMerge w:val="continue"/>
            <w:vAlign w:val="center"/>
          </w:tcPr>
          <w:p>
            <w:pPr>
              <w:widowControl/>
              <w:jc w:val="left"/>
              <w:rPr>
                <w:rFonts w:cs="宋体"/>
                <w:b/>
                <w:bCs/>
              </w:rPr>
            </w:pPr>
          </w:p>
        </w:tc>
        <w:tc>
          <w:tcPr>
            <w:tcW w:w="1701" w:type="dxa"/>
            <w:vMerge w:val="restart"/>
            <w:vAlign w:val="center"/>
          </w:tcPr>
          <w:p>
            <w:pPr>
              <w:jc w:val="center"/>
              <w:rPr>
                <w:rFonts w:cs="宋体"/>
              </w:rPr>
            </w:pPr>
            <w:r>
              <w:rPr>
                <w:rFonts w:hint="eastAsia" w:cs="宋体"/>
              </w:rPr>
              <w:t>应急处置</w:t>
            </w:r>
          </w:p>
        </w:tc>
        <w:tc>
          <w:tcPr>
            <w:tcW w:w="5067" w:type="dxa"/>
            <w:gridSpan w:val="3"/>
            <w:vAlign w:val="center"/>
          </w:tcPr>
          <w:p>
            <w:pPr>
              <w:rPr>
                <w:rFonts w:cs="宋体"/>
              </w:rPr>
            </w:pPr>
            <w:r>
              <w:rPr>
                <w:rFonts w:hint="eastAsia" w:cs="宋体"/>
              </w:rPr>
              <w:t>1、罩棚检维修发生坠落：立即检查伤者情况，拨打救护电话。</w:t>
            </w:r>
          </w:p>
        </w:tc>
        <w:tc>
          <w:tcPr>
            <w:tcW w:w="765" w:type="dxa"/>
            <w:vAlign w:val="center"/>
          </w:tcPr>
          <w:p>
            <w:pPr>
              <w:jc w:val="center"/>
              <w:rPr>
                <w:rFonts w:cs="宋体"/>
              </w:rPr>
            </w:pPr>
            <w:r>
              <w:rPr>
                <w:rFonts w:hint="eastAsia" w:cs="宋体"/>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92" w:type="dxa"/>
            <w:vMerge w:val="continue"/>
            <w:vAlign w:val="center"/>
          </w:tcPr>
          <w:p>
            <w:pPr>
              <w:widowControl/>
              <w:jc w:val="left"/>
              <w:rPr>
                <w:rFonts w:cs="宋体"/>
                <w:b/>
                <w:bCs/>
              </w:rPr>
            </w:pPr>
          </w:p>
        </w:tc>
        <w:tc>
          <w:tcPr>
            <w:tcW w:w="1701" w:type="dxa"/>
            <w:vMerge w:val="continue"/>
            <w:vAlign w:val="center"/>
          </w:tcPr>
          <w:p>
            <w:pPr>
              <w:widowControl/>
              <w:jc w:val="left"/>
              <w:rPr>
                <w:rFonts w:cs="宋体"/>
              </w:rPr>
            </w:pPr>
          </w:p>
        </w:tc>
        <w:tc>
          <w:tcPr>
            <w:tcW w:w="5067" w:type="dxa"/>
            <w:gridSpan w:val="3"/>
            <w:vAlign w:val="center"/>
          </w:tcPr>
          <w:p>
            <w:pPr>
              <w:rPr>
                <w:rFonts w:cs="宋体"/>
              </w:rPr>
            </w:pPr>
            <w:r>
              <w:rPr>
                <w:rFonts w:hint="eastAsia" w:cs="宋体"/>
              </w:rPr>
              <w:t>2、设置警戒区域。</w:t>
            </w:r>
          </w:p>
        </w:tc>
        <w:tc>
          <w:tcPr>
            <w:tcW w:w="765" w:type="dxa"/>
            <w:vAlign w:val="center"/>
          </w:tcPr>
          <w:p>
            <w:pPr>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92" w:type="dxa"/>
            <w:vMerge w:val="continue"/>
            <w:vAlign w:val="center"/>
          </w:tcPr>
          <w:p>
            <w:pPr>
              <w:widowControl/>
              <w:jc w:val="left"/>
              <w:rPr>
                <w:rFonts w:cs="宋体"/>
                <w:b/>
                <w:bCs/>
              </w:rPr>
            </w:pPr>
          </w:p>
        </w:tc>
        <w:tc>
          <w:tcPr>
            <w:tcW w:w="1701" w:type="dxa"/>
            <w:vMerge w:val="restart"/>
            <w:vAlign w:val="center"/>
          </w:tcPr>
          <w:p>
            <w:pPr>
              <w:jc w:val="center"/>
              <w:rPr>
                <w:rFonts w:cs="宋体"/>
              </w:rPr>
            </w:pPr>
            <w:r>
              <w:rPr>
                <w:rFonts w:hint="eastAsia" w:cs="宋体"/>
              </w:rPr>
              <w:t>人员救护</w:t>
            </w:r>
          </w:p>
        </w:tc>
        <w:tc>
          <w:tcPr>
            <w:tcW w:w="5067" w:type="dxa"/>
            <w:gridSpan w:val="3"/>
            <w:vAlign w:val="center"/>
          </w:tcPr>
          <w:p>
            <w:pPr>
              <w:rPr>
                <w:rFonts w:cs="宋体"/>
              </w:rPr>
            </w:pPr>
            <w:r>
              <w:rPr>
                <w:rFonts w:hint="eastAsia" w:cs="宋体"/>
              </w:rPr>
              <w:t>1、使坠落者脱救至安全区域。</w:t>
            </w:r>
          </w:p>
        </w:tc>
        <w:tc>
          <w:tcPr>
            <w:tcW w:w="765" w:type="dxa"/>
            <w:vAlign w:val="center"/>
          </w:tcPr>
          <w:p>
            <w:pPr>
              <w:jc w:val="center"/>
              <w:rPr>
                <w:rFonts w:cs="宋体"/>
              </w:rPr>
            </w:pPr>
            <w:r>
              <w:rPr>
                <w:rFonts w:hint="eastAsia" w:cs="宋体"/>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92" w:type="dxa"/>
            <w:vMerge w:val="continue"/>
            <w:vAlign w:val="center"/>
          </w:tcPr>
          <w:p>
            <w:pPr>
              <w:widowControl/>
              <w:jc w:val="left"/>
              <w:rPr>
                <w:rFonts w:cs="宋体"/>
                <w:b/>
                <w:bCs/>
              </w:rPr>
            </w:pPr>
          </w:p>
        </w:tc>
        <w:tc>
          <w:tcPr>
            <w:tcW w:w="1701" w:type="dxa"/>
            <w:vMerge w:val="continue"/>
            <w:vAlign w:val="center"/>
          </w:tcPr>
          <w:p>
            <w:pPr>
              <w:widowControl/>
              <w:jc w:val="left"/>
              <w:rPr>
                <w:rFonts w:cs="宋体"/>
              </w:rPr>
            </w:pPr>
          </w:p>
        </w:tc>
        <w:tc>
          <w:tcPr>
            <w:tcW w:w="5067" w:type="dxa"/>
            <w:gridSpan w:val="3"/>
            <w:vAlign w:val="center"/>
          </w:tcPr>
          <w:p>
            <w:pPr>
              <w:rPr>
                <w:rFonts w:cs="宋体"/>
              </w:rPr>
            </w:pPr>
            <w:r>
              <w:rPr>
                <w:rFonts w:hint="eastAsia" w:cs="宋体"/>
              </w:rPr>
              <w:t>2、实施救护（视情况人工呼吸或心肺复苏等）。</w:t>
            </w:r>
          </w:p>
        </w:tc>
        <w:tc>
          <w:tcPr>
            <w:tcW w:w="765" w:type="dxa"/>
            <w:vAlign w:val="center"/>
          </w:tcPr>
          <w:p>
            <w:pPr>
              <w:jc w:val="center"/>
              <w:rPr>
                <w:rFonts w:cs="宋体"/>
              </w:rPr>
            </w:pPr>
            <w:r>
              <w:rPr>
                <w:rFonts w:hint="eastAsia" w:cs="宋体"/>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92" w:type="dxa"/>
            <w:vMerge w:val="continue"/>
            <w:vAlign w:val="center"/>
          </w:tcPr>
          <w:p>
            <w:pPr>
              <w:widowControl/>
              <w:jc w:val="left"/>
              <w:rPr>
                <w:rFonts w:cs="宋体"/>
                <w:b/>
                <w:bCs/>
              </w:rPr>
            </w:pPr>
          </w:p>
        </w:tc>
        <w:tc>
          <w:tcPr>
            <w:tcW w:w="1701" w:type="dxa"/>
            <w:vAlign w:val="center"/>
          </w:tcPr>
          <w:p>
            <w:pPr>
              <w:jc w:val="center"/>
              <w:rPr>
                <w:rFonts w:cs="宋体"/>
              </w:rPr>
            </w:pPr>
            <w:r>
              <w:rPr>
                <w:rFonts w:hint="eastAsia" w:cs="宋体"/>
              </w:rPr>
              <w:t>救援接应</w:t>
            </w:r>
          </w:p>
        </w:tc>
        <w:tc>
          <w:tcPr>
            <w:tcW w:w="5067" w:type="dxa"/>
            <w:gridSpan w:val="3"/>
            <w:vAlign w:val="center"/>
          </w:tcPr>
          <w:p>
            <w:pPr>
              <w:spacing w:line="360" w:lineRule="auto"/>
              <w:rPr>
                <w:rFonts w:cs="宋体"/>
              </w:rPr>
            </w:pPr>
            <w:r>
              <w:rPr>
                <w:rFonts w:hint="eastAsia" w:cs="宋体"/>
              </w:rPr>
              <w:t>指派人员打开应急救援通道，引导救援力量到达。</w:t>
            </w:r>
          </w:p>
        </w:tc>
        <w:tc>
          <w:tcPr>
            <w:tcW w:w="765" w:type="dxa"/>
            <w:vAlign w:val="center"/>
          </w:tcPr>
          <w:p>
            <w:pPr>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jc w:val="center"/>
        </w:trPr>
        <w:tc>
          <w:tcPr>
            <w:tcW w:w="692" w:type="dxa"/>
            <w:vMerge w:val="continue"/>
            <w:vAlign w:val="center"/>
          </w:tcPr>
          <w:p>
            <w:pPr>
              <w:widowControl/>
              <w:jc w:val="left"/>
              <w:rPr>
                <w:rFonts w:cs="宋体"/>
                <w:b/>
                <w:bCs/>
              </w:rPr>
            </w:pPr>
          </w:p>
        </w:tc>
        <w:tc>
          <w:tcPr>
            <w:tcW w:w="3240" w:type="dxa"/>
            <w:gridSpan w:val="3"/>
            <w:vAlign w:val="center"/>
          </w:tcPr>
          <w:p>
            <w:pPr>
              <w:jc w:val="center"/>
              <w:rPr>
                <w:rFonts w:cs="宋体"/>
              </w:rPr>
            </w:pPr>
            <w:r>
              <w:rPr>
                <w:rFonts w:hint="eastAsia" w:cs="宋体"/>
              </w:rPr>
              <w:t>应急扩大</w:t>
            </w:r>
          </w:p>
          <w:p>
            <w:pPr>
              <w:jc w:val="center"/>
              <w:rPr>
                <w:rFonts w:cs="宋体"/>
              </w:rPr>
            </w:pPr>
            <w:r>
              <w:rPr>
                <w:rFonts w:hint="eastAsia" w:cs="宋体"/>
              </w:rPr>
              <w:t>（应急处置失败或人员伤亡扩大）</w:t>
            </w:r>
          </w:p>
        </w:tc>
        <w:tc>
          <w:tcPr>
            <w:tcW w:w="3528" w:type="dxa"/>
            <w:vAlign w:val="center"/>
          </w:tcPr>
          <w:p>
            <w:pPr>
              <w:rPr>
                <w:rFonts w:cs="宋体"/>
              </w:rPr>
            </w:pPr>
            <w:r>
              <w:rPr>
                <w:rFonts w:hint="eastAsia" w:cs="宋体"/>
              </w:rPr>
              <w:t>请求启动上一级应急救援预案。</w:t>
            </w:r>
          </w:p>
        </w:tc>
        <w:tc>
          <w:tcPr>
            <w:tcW w:w="765" w:type="dxa"/>
            <w:vAlign w:val="center"/>
          </w:tcPr>
          <w:p>
            <w:pPr>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2" w:type="dxa"/>
            <w:vMerge w:val="continue"/>
            <w:vAlign w:val="center"/>
          </w:tcPr>
          <w:p>
            <w:pPr>
              <w:widowControl/>
              <w:jc w:val="left"/>
              <w:rPr>
                <w:rFonts w:cs="宋体"/>
                <w:b/>
                <w:bCs/>
              </w:rPr>
            </w:pPr>
          </w:p>
        </w:tc>
        <w:tc>
          <w:tcPr>
            <w:tcW w:w="1701" w:type="dxa"/>
            <w:vAlign w:val="center"/>
          </w:tcPr>
          <w:p>
            <w:pPr>
              <w:jc w:val="center"/>
              <w:rPr>
                <w:rFonts w:cs="宋体"/>
              </w:rPr>
            </w:pPr>
            <w:r>
              <w:rPr>
                <w:rFonts w:hint="eastAsia" w:cs="宋体"/>
              </w:rPr>
              <w:t>处置流程</w:t>
            </w:r>
          </w:p>
        </w:tc>
        <w:tc>
          <w:tcPr>
            <w:tcW w:w="5832" w:type="dxa"/>
            <w:gridSpan w:val="4"/>
            <w:vAlign w:val="center"/>
          </w:tcPr>
          <w:p>
            <w:pPr>
              <w:rPr>
                <w:rFonts w:cs="宋体"/>
              </w:rPr>
            </w:pPr>
            <w:r>
              <w:rPr>
                <w:rFonts w:hint="eastAsia" w:cs="宋体"/>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2" w:type="dxa"/>
            <w:vMerge w:val="continue"/>
            <w:vAlign w:val="center"/>
          </w:tcPr>
          <w:p>
            <w:pPr>
              <w:widowControl/>
              <w:jc w:val="left"/>
              <w:rPr>
                <w:rFonts w:cs="宋体"/>
                <w:b/>
                <w:bCs/>
              </w:rPr>
            </w:pPr>
          </w:p>
        </w:tc>
        <w:tc>
          <w:tcPr>
            <w:tcW w:w="1701" w:type="dxa"/>
            <w:vAlign w:val="center"/>
          </w:tcPr>
          <w:p>
            <w:pPr>
              <w:jc w:val="center"/>
              <w:rPr>
                <w:rFonts w:cs="宋体"/>
              </w:rPr>
            </w:pPr>
            <w:r>
              <w:rPr>
                <w:rFonts w:hint="eastAsia" w:cs="宋体"/>
              </w:rPr>
              <w:t>具体处置措施</w:t>
            </w:r>
          </w:p>
        </w:tc>
        <w:tc>
          <w:tcPr>
            <w:tcW w:w="5832" w:type="dxa"/>
            <w:gridSpan w:val="4"/>
            <w:vAlign w:val="center"/>
          </w:tcPr>
          <w:p>
            <w:pPr>
              <w:spacing w:line="300" w:lineRule="exact"/>
              <w:ind w:firstLine="480"/>
              <w:rPr>
                <w:rFonts w:cs="宋体"/>
                <w:b/>
                <w:bCs/>
              </w:rPr>
            </w:pPr>
            <w:r>
              <w:rPr>
                <w:rFonts w:hint="eastAsia" w:cs="宋体"/>
                <w:b/>
                <w:bCs/>
              </w:rPr>
              <w:t>1、加油区、罐区检维修、维护发生坠落</w:t>
            </w:r>
          </w:p>
          <w:p>
            <w:pPr>
              <w:spacing w:line="300" w:lineRule="exact"/>
              <w:ind w:firstLine="480"/>
              <w:rPr>
                <w:rFonts w:cs="宋体"/>
              </w:rPr>
            </w:pPr>
            <w:r>
              <w:rPr>
                <w:rFonts w:hint="eastAsia" w:cs="宋体"/>
              </w:rPr>
              <w:t>（1）对外联络员立即拨打“120”急救电话，同时向站长或上级领导汇报。</w:t>
            </w:r>
          </w:p>
          <w:p>
            <w:pPr>
              <w:spacing w:line="300" w:lineRule="exact"/>
              <w:ind w:firstLine="480"/>
              <w:rPr>
                <w:rFonts w:cs="宋体"/>
              </w:rPr>
            </w:pPr>
            <w:r>
              <w:rPr>
                <w:rFonts w:hint="eastAsia" w:cs="宋体"/>
              </w:rPr>
              <w:t>（2）如伤者出血，抢险员应迅速对出血部位，用急救包进行简单包扎止血；</w:t>
            </w:r>
          </w:p>
          <w:p>
            <w:pPr>
              <w:spacing w:line="300" w:lineRule="exact"/>
              <w:ind w:firstLine="480"/>
              <w:rPr>
                <w:rFonts w:cs="宋体"/>
              </w:rPr>
            </w:pPr>
            <w:r>
              <w:rPr>
                <w:rFonts w:hint="eastAsia" w:cs="宋体"/>
              </w:rPr>
              <w:t>（3）如伤者伤情较重或怀疑有可能骨折时，应就地取材，利用木板、竹竿等制成简易担架，将伤者送往医院，如果没有可用材料的情况下，可将伤者受伤的上肢用绑带固定在身体一侧；将受伤的下肢与另一未受伤的下肢绑在一起，也可将受伤双腿用板条或木棍绑固在一起，千万不要随意搬动伤者，避免伤情加重。</w:t>
            </w:r>
          </w:p>
          <w:p>
            <w:pPr>
              <w:spacing w:line="300" w:lineRule="exact"/>
              <w:ind w:firstLine="480"/>
              <w:rPr>
                <w:rFonts w:cs="宋体"/>
              </w:rPr>
            </w:pPr>
            <w:r>
              <w:rPr>
                <w:rFonts w:hint="eastAsia" w:cs="宋体"/>
              </w:rPr>
              <w:t>（4）如伤者昏迷或心跳停止，应尽快进行人工呼吸处理，待心脏复苏后，再按上述方法施救。如果伤者昏迷、胸闷或胸、腹疼痛应急速送医院，及时进行必要的检查，防止因脑出血或内脏出血而造成人员死亡。</w:t>
            </w:r>
          </w:p>
          <w:p>
            <w:pPr>
              <w:spacing w:line="300" w:lineRule="exact"/>
              <w:ind w:firstLine="480"/>
              <w:rPr>
                <w:rFonts w:cs="宋体"/>
              </w:rPr>
            </w:pPr>
            <w:r>
              <w:rPr>
                <w:rFonts w:hint="eastAsia" w:cs="宋体"/>
              </w:rPr>
              <w:t>（5）若有人员受伤，安抚并做好善后赔偿工作。做好事故记录，分析事故原因，编制事故报告，采取预防纠正措施，防止此类事故再次发生。</w:t>
            </w:r>
          </w:p>
          <w:p>
            <w:pPr>
              <w:spacing w:line="300" w:lineRule="exact"/>
              <w:ind w:firstLine="480"/>
              <w:rPr>
                <w:rFonts w:cs="宋体"/>
              </w:rPr>
            </w:pPr>
            <w:r>
              <w:rPr>
                <w:rFonts w:hint="eastAsia" w:cs="宋体"/>
              </w:rPr>
              <w:t>（6）当事故现场得以控制，导致次生、衍生事故隐患消除后，事故现场清理后恢复运营。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2" w:type="dxa"/>
            <w:vMerge w:val="continue"/>
            <w:vAlign w:val="center"/>
          </w:tcPr>
          <w:p>
            <w:pPr>
              <w:widowControl/>
              <w:jc w:val="left"/>
              <w:rPr>
                <w:rFonts w:cs="宋体"/>
                <w:b/>
                <w:bCs/>
              </w:rPr>
            </w:pPr>
          </w:p>
        </w:tc>
        <w:tc>
          <w:tcPr>
            <w:tcW w:w="1701" w:type="dxa"/>
            <w:vAlign w:val="center"/>
          </w:tcPr>
          <w:p>
            <w:pPr>
              <w:jc w:val="center"/>
              <w:rPr>
                <w:rFonts w:cs="宋体"/>
              </w:rPr>
            </w:pPr>
            <w:r>
              <w:rPr>
                <w:rFonts w:hint="eastAsia" w:cs="宋体"/>
              </w:rPr>
              <w:t>事故报告</w:t>
            </w:r>
          </w:p>
        </w:tc>
        <w:tc>
          <w:tcPr>
            <w:tcW w:w="5832" w:type="dxa"/>
            <w:gridSpan w:val="4"/>
            <w:vAlign w:val="center"/>
          </w:tcPr>
          <w:p>
            <w:pPr>
              <w:spacing w:line="300" w:lineRule="exact"/>
              <w:rPr>
                <w:rFonts w:cs="宋体"/>
              </w:rPr>
            </w:pPr>
            <w:r>
              <w:rPr>
                <w:rFonts w:hint="eastAsia" w:cs="宋体"/>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2" w:type="dxa"/>
            <w:vMerge w:val="continue"/>
            <w:vAlign w:val="center"/>
          </w:tcPr>
          <w:p>
            <w:pPr>
              <w:widowControl/>
              <w:jc w:val="left"/>
              <w:rPr>
                <w:rFonts w:cs="宋体"/>
                <w:b/>
                <w:bCs/>
              </w:rPr>
            </w:pPr>
          </w:p>
        </w:tc>
        <w:tc>
          <w:tcPr>
            <w:tcW w:w="1701" w:type="dxa"/>
            <w:vAlign w:val="center"/>
          </w:tcPr>
          <w:p>
            <w:pPr>
              <w:jc w:val="center"/>
              <w:rPr>
                <w:rFonts w:cs="宋体"/>
              </w:rPr>
            </w:pPr>
            <w:r>
              <w:rPr>
                <w:rFonts w:hint="eastAsia" w:cs="宋体"/>
              </w:rPr>
              <w:t>现场恢复</w:t>
            </w:r>
          </w:p>
        </w:tc>
        <w:tc>
          <w:tcPr>
            <w:tcW w:w="5832" w:type="dxa"/>
            <w:gridSpan w:val="4"/>
            <w:vAlign w:val="center"/>
          </w:tcPr>
          <w:p>
            <w:pPr>
              <w:spacing w:line="300" w:lineRule="exact"/>
              <w:rPr>
                <w:rFonts w:cs="宋体"/>
              </w:rPr>
            </w:pPr>
            <w:r>
              <w:rPr>
                <w:rFonts w:hint="eastAsia" w:cs="宋体"/>
              </w:rPr>
              <w:t>查明事故原因后，采取的防护措施到位后方能投入使用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692" w:type="dxa"/>
            <w:vMerge w:val="restart"/>
            <w:vAlign w:val="center"/>
          </w:tcPr>
          <w:p>
            <w:pPr>
              <w:jc w:val="center"/>
              <w:rPr>
                <w:rFonts w:cs="宋体"/>
                <w:b/>
                <w:bCs/>
              </w:rPr>
            </w:pPr>
            <w:r>
              <w:rPr>
                <w:rFonts w:hint="eastAsia" w:cs="宋体"/>
                <w:b/>
                <w:bCs/>
              </w:rPr>
              <w:t>注</w:t>
            </w:r>
          </w:p>
          <w:p>
            <w:pPr>
              <w:jc w:val="center"/>
              <w:rPr>
                <w:rFonts w:cs="宋体"/>
                <w:b/>
                <w:bCs/>
              </w:rPr>
            </w:pPr>
            <w:r>
              <w:rPr>
                <w:rFonts w:hint="eastAsia" w:cs="宋体"/>
                <w:b/>
                <w:bCs/>
              </w:rPr>
              <w:t>意</w:t>
            </w:r>
          </w:p>
          <w:p>
            <w:pPr>
              <w:jc w:val="center"/>
              <w:rPr>
                <w:rFonts w:cs="宋体"/>
                <w:b/>
                <w:bCs/>
              </w:rPr>
            </w:pPr>
            <w:r>
              <w:rPr>
                <w:rFonts w:hint="eastAsia" w:cs="宋体"/>
                <w:b/>
                <w:bCs/>
              </w:rPr>
              <w:t>事</w:t>
            </w:r>
          </w:p>
          <w:p>
            <w:pPr>
              <w:jc w:val="center"/>
              <w:rPr>
                <w:rFonts w:cs="宋体"/>
                <w:b/>
                <w:bCs/>
              </w:rPr>
            </w:pPr>
            <w:r>
              <w:rPr>
                <w:rFonts w:hint="eastAsia" w:cs="宋体"/>
                <w:b/>
                <w:bCs/>
              </w:rPr>
              <w:t>项</w:t>
            </w:r>
          </w:p>
        </w:tc>
        <w:tc>
          <w:tcPr>
            <w:tcW w:w="1701" w:type="dxa"/>
            <w:vAlign w:val="center"/>
          </w:tcPr>
          <w:p>
            <w:pPr>
              <w:jc w:val="center"/>
              <w:rPr>
                <w:rFonts w:cs="宋体"/>
              </w:rPr>
            </w:pPr>
            <w:r>
              <w:rPr>
                <w:rFonts w:hint="eastAsia" w:cs="宋体"/>
              </w:rPr>
              <w:t>个人防护</w:t>
            </w:r>
          </w:p>
        </w:tc>
        <w:tc>
          <w:tcPr>
            <w:tcW w:w="5832" w:type="dxa"/>
            <w:gridSpan w:val="4"/>
            <w:vAlign w:val="center"/>
          </w:tcPr>
          <w:p>
            <w:pPr>
              <w:spacing w:line="300" w:lineRule="exact"/>
              <w:rPr>
                <w:rFonts w:cs="宋体"/>
              </w:rPr>
            </w:pPr>
            <w:r>
              <w:rPr>
                <w:rFonts w:hint="eastAsia" w:cs="宋体"/>
              </w:rPr>
              <w:t>按固定佩戴安全绳、安全帽等防护用品；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jc w:val="center"/>
        </w:trPr>
        <w:tc>
          <w:tcPr>
            <w:tcW w:w="692" w:type="dxa"/>
            <w:vMerge w:val="continue"/>
            <w:vAlign w:val="center"/>
          </w:tcPr>
          <w:p>
            <w:pPr>
              <w:widowControl/>
              <w:jc w:val="left"/>
              <w:rPr>
                <w:rFonts w:cs="宋体"/>
                <w:b/>
                <w:bCs/>
              </w:rPr>
            </w:pPr>
          </w:p>
        </w:tc>
        <w:tc>
          <w:tcPr>
            <w:tcW w:w="1701" w:type="dxa"/>
            <w:vAlign w:val="center"/>
          </w:tcPr>
          <w:p>
            <w:pPr>
              <w:jc w:val="center"/>
              <w:rPr>
                <w:rFonts w:cs="宋体"/>
              </w:rPr>
            </w:pPr>
            <w:r>
              <w:rPr>
                <w:rFonts w:hint="eastAsia" w:cs="宋体"/>
              </w:rPr>
              <w:t>救援器材</w:t>
            </w:r>
          </w:p>
        </w:tc>
        <w:tc>
          <w:tcPr>
            <w:tcW w:w="5832" w:type="dxa"/>
            <w:gridSpan w:val="4"/>
            <w:vAlign w:val="center"/>
          </w:tcPr>
          <w:p>
            <w:pPr>
              <w:spacing w:line="300" w:lineRule="exact"/>
              <w:rPr>
                <w:rFonts w:cs="宋体"/>
              </w:rPr>
            </w:pPr>
            <w:r>
              <w:rPr>
                <w:rFonts w:hint="eastAsia" w:cs="宋体"/>
              </w:rPr>
              <w:t>担架、包扎止血物品、救生杆、救生圈等。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2" w:type="dxa"/>
            <w:vMerge w:val="continue"/>
            <w:vAlign w:val="center"/>
          </w:tcPr>
          <w:p>
            <w:pPr>
              <w:widowControl/>
              <w:jc w:val="left"/>
              <w:rPr>
                <w:rFonts w:cs="宋体"/>
                <w:b/>
                <w:bCs/>
              </w:rPr>
            </w:pPr>
          </w:p>
        </w:tc>
        <w:tc>
          <w:tcPr>
            <w:tcW w:w="1701" w:type="dxa"/>
            <w:vAlign w:val="center"/>
          </w:tcPr>
          <w:p>
            <w:pPr>
              <w:jc w:val="center"/>
              <w:rPr>
                <w:rFonts w:cs="宋体"/>
              </w:rPr>
            </w:pPr>
            <w:r>
              <w:rPr>
                <w:rFonts w:hint="eastAsia" w:cs="宋体"/>
              </w:rPr>
              <w:t>救援对策</w:t>
            </w:r>
          </w:p>
        </w:tc>
        <w:tc>
          <w:tcPr>
            <w:tcW w:w="5832" w:type="dxa"/>
            <w:gridSpan w:val="4"/>
            <w:vAlign w:val="center"/>
          </w:tcPr>
          <w:p>
            <w:pPr>
              <w:spacing w:line="300" w:lineRule="exact"/>
              <w:rPr>
                <w:rFonts w:cs="宋体"/>
              </w:rPr>
            </w:pPr>
            <w:r>
              <w:rPr>
                <w:rFonts w:hint="eastAsia" w:cs="宋体"/>
              </w:rPr>
              <w:t>1、发现人员坠落时，立即上前检查坠落人员伤情，并根据实际情况判定是否需要通知医院救护。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2" w:type="dxa"/>
            <w:vMerge w:val="continue"/>
            <w:vAlign w:val="center"/>
          </w:tcPr>
          <w:p>
            <w:pPr>
              <w:widowControl/>
              <w:jc w:val="left"/>
              <w:rPr>
                <w:rFonts w:cs="宋体"/>
                <w:b/>
                <w:bCs/>
              </w:rPr>
            </w:pPr>
          </w:p>
        </w:tc>
        <w:tc>
          <w:tcPr>
            <w:tcW w:w="1701" w:type="dxa"/>
            <w:vAlign w:val="center"/>
          </w:tcPr>
          <w:p>
            <w:pPr>
              <w:jc w:val="center"/>
              <w:rPr>
                <w:rFonts w:cs="宋体"/>
              </w:rPr>
            </w:pPr>
            <w:r>
              <w:rPr>
                <w:rFonts w:hint="eastAsia" w:cs="宋体"/>
              </w:rPr>
              <w:t>自救与互救</w:t>
            </w:r>
          </w:p>
        </w:tc>
        <w:tc>
          <w:tcPr>
            <w:tcW w:w="5832" w:type="dxa"/>
            <w:gridSpan w:val="4"/>
            <w:vAlign w:val="center"/>
          </w:tcPr>
          <w:p>
            <w:pPr>
              <w:numPr>
                <w:ilvl w:val="0"/>
                <w:numId w:val="12"/>
              </w:numPr>
              <w:spacing w:line="300" w:lineRule="exact"/>
              <w:rPr>
                <w:rFonts w:cs="宋体"/>
              </w:rPr>
            </w:pPr>
            <w:r>
              <w:rPr>
                <w:rFonts w:hint="eastAsia" w:cs="宋体"/>
              </w:rPr>
              <w:t>救护人员必须按规定使用适当的防护用品、救生用品；</w:t>
            </w:r>
          </w:p>
          <w:p>
            <w:pPr>
              <w:numPr>
                <w:ilvl w:val="0"/>
                <w:numId w:val="12"/>
              </w:numPr>
              <w:spacing w:line="300" w:lineRule="exact"/>
              <w:rPr>
                <w:rFonts w:cs="宋体"/>
              </w:rPr>
            </w:pPr>
            <w:r>
              <w:rPr>
                <w:rFonts w:hint="eastAsia" w:cs="宋体"/>
              </w:rPr>
              <w:t>如事故发生在夜间或无照明区域，应迅速解决临时照明。</w:t>
            </w:r>
          </w:p>
          <w:p>
            <w:pPr>
              <w:numPr>
                <w:ilvl w:val="0"/>
                <w:numId w:val="12"/>
              </w:numPr>
              <w:spacing w:line="300" w:lineRule="exact"/>
              <w:rPr>
                <w:rFonts w:cs="宋体"/>
              </w:rPr>
            </w:pPr>
            <w:r>
              <w:rPr>
                <w:rFonts w:hint="eastAsia" w:cs="宋体"/>
              </w:rPr>
              <w:t>受伤人员伤势严重、经判断呼吸停止时，应立即施行人工呼吸，停止心跳时立即做心脏按压复苏，并联系车辆立即送往医院。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692" w:type="dxa"/>
            <w:vMerge w:val="continue"/>
            <w:vAlign w:val="center"/>
          </w:tcPr>
          <w:p>
            <w:pPr>
              <w:widowControl/>
              <w:jc w:val="left"/>
              <w:rPr>
                <w:rFonts w:cs="宋体"/>
                <w:b/>
                <w:bCs/>
              </w:rPr>
            </w:pPr>
          </w:p>
        </w:tc>
        <w:tc>
          <w:tcPr>
            <w:tcW w:w="1701" w:type="dxa"/>
            <w:vAlign w:val="center"/>
          </w:tcPr>
          <w:p>
            <w:pPr>
              <w:jc w:val="center"/>
              <w:rPr>
                <w:rFonts w:cs="宋体"/>
              </w:rPr>
            </w:pPr>
            <w:r>
              <w:rPr>
                <w:rFonts w:hint="eastAsia" w:cs="宋体"/>
              </w:rPr>
              <w:t>人员能力确认</w:t>
            </w:r>
          </w:p>
        </w:tc>
        <w:tc>
          <w:tcPr>
            <w:tcW w:w="5832" w:type="dxa"/>
            <w:gridSpan w:val="4"/>
            <w:vAlign w:val="center"/>
          </w:tcPr>
          <w:p>
            <w:pPr>
              <w:spacing w:line="300" w:lineRule="exact"/>
              <w:rPr>
                <w:rFonts w:cs="宋体"/>
              </w:rPr>
            </w:pPr>
            <w:r>
              <w:rPr>
                <w:rFonts w:hint="eastAsia" w:cs="宋体"/>
              </w:rPr>
              <w:t>进入事故现场救援必须保证2人以上，严禁单独行动。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2" w:type="dxa"/>
            <w:vMerge w:val="continue"/>
            <w:vAlign w:val="center"/>
          </w:tcPr>
          <w:p>
            <w:pPr>
              <w:widowControl/>
              <w:jc w:val="left"/>
              <w:rPr>
                <w:rFonts w:cs="宋体"/>
                <w:b/>
                <w:bCs/>
              </w:rPr>
            </w:pPr>
          </w:p>
        </w:tc>
        <w:tc>
          <w:tcPr>
            <w:tcW w:w="1701" w:type="dxa"/>
            <w:vAlign w:val="center"/>
          </w:tcPr>
          <w:p>
            <w:pPr>
              <w:jc w:val="center"/>
              <w:rPr>
                <w:rFonts w:cs="宋体"/>
              </w:rPr>
            </w:pPr>
            <w:r>
              <w:rPr>
                <w:rFonts w:hint="eastAsia" w:cs="宋体"/>
              </w:rPr>
              <w:t>救援结束</w:t>
            </w:r>
          </w:p>
        </w:tc>
        <w:tc>
          <w:tcPr>
            <w:tcW w:w="5832" w:type="dxa"/>
            <w:gridSpan w:val="4"/>
            <w:vAlign w:val="center"/>
          </w:tcPr>
          <w:p>
            <w:pPr>
              <w:spacing w:line="300" w:lineRule="exact"/>
              <w:rPr>
                <w:rFonts w:cs="宋体"/>
              </w:rPr>
            </w:pPr>
            <w:r>
              <w:rPr>
                <w:rFonts w:hint="eastAsia" w:cs="宋体"/>
              </w:rPr>
              <w:t>1、险情排除后，应组织人员对现场进行认真地检查，防止遗漏，再次造成事故。</w:t>
            </w:r>
          </w:p>
          <w:p>
            <w:pPr>
              <w:spacing w:line="300" w:lineRule="exact"/>
              <w:rPr>
                <w:rFonts w:cs="宋体"/>
              </w:rPr>
            </w:pPr>
            <w:r>
              <w:rPr>
                <w:rFonts w:hint="eastAsia" w:cs="宋体"/>
              </w:rPr>
              <w:t>2、保护好现场，以便查清事故原因，吸取教训，制定防范措施，现场清理工作必须征得有关部门同意后方可进行。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2" w:type="dxa"/>
            <w:vMerge w:val="continue"/>
            <w:vAlign w:val="center"/>
          </w:tcPr>
          <w:p>
            <w:pPr>
              <w:widowControl/>
              <w:jc w:val="left"/>
              <w:rPr>
                <w:rFonts w:cs="宋体"/>
                <w:b/>
                <w:bCs/>
              </w:rPr>
            </w:pPr>
          </w:p>
        </w:tc>
        <w:tc>
          <w:tcPr>
            <w:tcW w:w="1701" w:type="dxa"/>
            <w:vAlign w:val="center"/>
          </w:tcPr>
          <w:p>
            <w:pPr>
              <w:jc w:val="center"/>
              <w:rPr>
                <w:rFonts w:cs="宋体"/>
              </w:rPr>
            </w:pPr>
            <w:r>
              <w:rPr>
                <w:rFonts w:hint="eastAsia" w:cs="宋体"/>
              </w:rPr>
              <w:t>其他特别警示</w:t>
            </w:r>
          </w:p>
        </w:tc>
        <w:tc>
          <w:tcPr>
            <w:tcW w:w="5832" w:type="dxa"/>
            <w:gridSpan w:val="4"/>
            <w:vAlign w:val="center"/>
          </w:tcPr>
          <w:p>
            <w:pPr>
              <w:spacing w:line="300" w:lineRule="exact"/>
              <w:rPr>
                <w:rFonts w:cs="宋体"/>
              </w:rPr>
            </w:pPr>
            <w:r>
              <w:rPr>
                <w:rFonts w:hint="eastAsia" w:cs="宋体"/>
              </w:rPr>
              <w:t>1、保持救援电话畅通；2、对应急救援器材进行经常性的检查和保养；3、应急疏散时的人数查点；4、救援结束后的人员、物资查点。</w:t>
            </w:r>
          </w:p>
        </w:tc>
      </w:tr>
    </w:tbl>
    <w:p>
      <w:pPr>
        <w:pStyle w:val="3"/>
        <w:rPr>
          <w:rFonts w:eastAsia="宋体" w:cs="宋体"/>
        </w:rPr>
      </w:pPr>
      <w:bookmarkStart w:id="904" w:name="_Toc504989642"/>
      <w:bookmarkEnd w:id="904"/>
      <w:bookmarkStart w:id="905" w:name="_Toc530594675"/>
      <w:bookmarkStart w:id="906" w:name="_Toc27253"/>
      <w:bookmarkStart w:id="907" w:name="_Toc10944"/>
      <w:bookmarkStart w:id="908" w:name="_Toc2643"/>
      <w:bookmarkStart w:id="909" w:name="_Toc14928"/>
      <w:r>
        <w:rPr>
          <w:rFonts w:hint="eastAsia" w:eastAsia="宋体" w:cs="宋体"/>
        </w:rPr>
        <w:t>六、车辆伤害事故现场处置方案</w:t>
      </w:r>
      <w:bookmarkEnd w:id="905"/>
      <w:bookmarkEnd w:id="906"/>
      <w:bookmarkEnd w:id="907"/>
      <w:bookmarkEnd w:id="908"/>
      <w:bookmarkEnd w:id="909"/>
    </w:p>
    <w:tbl>
      <w:tblPr>
        <w:tblStyle w:val="35"/>
        <w:tblW w:w="82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701"/>
        <w:gridCol w:w="726"/>
        <w:gridCol w:w="4341"/>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 w:hRule="atLeast"/>
          <w:jc w:val="center"/>
        </w:trPr>
        <w:tc>
          <w:tcPr>
            <w:tcW w:w="692" w:type="dxa"/>
            <w:vMerge w:val="restart"/>
            <w:vAlign w:val="center"/>
          </w:tcPr>
          <w:p>
            <w:pPr>
              <w:spacing w:line="280" w:lineRule="exact"/>
              <w:jc w:val="center"/>
              <w:rPr>
                <w:rFonts w:cs="宋体"/>
                <w:b/>
                <w:bCs/>
              </w:rPr>
            </w:pPr>
            <w:r>
              <w:rPr>
                <w:rFonts w:hint="eastAsia" w:cs="宋体"/>
                <w:b/>
                <w:bCs/>
              </w:rPr>
              <w:t>事</w:t>
            </w:r>
          </w:p>
          <w:p>
            <w:pPr>
              <w:spacing w:line="280" w:lineRule="exact"/>
              <w:jc w:val="center"/>
              <w:rPr>
                <w:rFonts w:cs="宋体"/>
                <w:b/>
                <w:bCs/>
              </w:rPr>
            </w:pPr>
            <w:r>
              <w:rPr>
                <w:rFonts w:hint="eastAsia" w:cs="宋体"/>
                <w:b/>
                <w:bCs/>
              </w:rPr>
              <w:t>故</w:t>
            </w:r>
          </w:p>
          <w:p>
            <w:pPr>
              <w:spacing w:line="280" w:lineRule="exact"/>
              <w:jc w:val="center"/>
              <w:rPr>
                <w:rFonts w:cs="宋体"/>
                <w:b/>
                <w:bCs/>
              </w:rPr>
            </w:pPr>
            <w:r>
              <w:rPr>
                <w:rFonts w:hint="eastAsia" w:cs="宋体"/>
                <w:b/>
                <w:bCs/>
              </w:rPr>
              <w:t>特</w:t>
            </w:r>
          </w:p>
          <w:p>
            <w:pPr>
              <w:spacing w:line="280" w:lineRule="exact"/>
              <w:jc w:val="center"/>
              <w:rPr>
                <w:rFonts w:cs="宋体"/>
                <w:b/>
                <w:bCs/>
              </w:rPr>
            </w:pPr>
            <w:r>
              <w:rPr>
                <w:rFonts w:hint="eastAsia" w:cs="宋体"/>
                <w:b/>
                <w:bCs/>
              </w:rPr>
              <w:t>征</w:t>
            </w:r>
          </w:p>
        </w:tc>
        <w:tc>
          <w:tcPr>
            <w:tcW w:w="2427" w:type="dxa"/>
            <w:gridSpan w:val="2"/>
            <w:vAlign w:val="center"/>
          </w:tcPr>
          <w:p>
            <w:pPr>
              <w:spacing w:line="280" w:lineRule="exact"/>
              <w:rPr>
                <w:rFonts w:cs="宋体"/>
              </w:rPr>
            </w:pPr>
            <w:r>
              <w:rPr>
                <w:rFonts w:hint="eastAsia" w:cs="宋体"/>
              </w:rPr>
              <w:t>区域（装置）名称</w:t>
            </w:r>
          </w:p>
        </w:tc>
        <w:tc>
          <w:tcPr>
            <w:tcW w:w="5139" w:type="dxa"/>
            <w:gridSpan w:val="2"/>
            <w:vAlign w:val="center"/>
          </w:tcPr>
          <w:p>
            <w:pPr>
              <w:spacing w:line="280" w:lineRule="exact"/>
              <w:rPr>
                <w:rFonts w:cs="宋体"/>
              </w:rPr>
            </w:pPr>
            <w:r>
              <w:rPr>
                <w:rFonts w:hint="eastAsia" w:cs="宋体"/>
              </w:rPr>
              <w:t>室外场地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692" w:type="dxa"/>
            <w:vMerge w:val="continue"/>
            <w:vAlign w:val="center"/>
          </w:tcPr>
          <w:p>
            <w:pPr>
              <w:widowControl/>
              <w:spacing w:line="280" w:lineRule="exact"/>
              <w:jc w:val="left"/>
              <w:rPr>
                <w:rFonts w:cs="宋体"/>
                <w:b/>
                <w:bCs/>
              </w:rPr>
            </w:pPr>
          </w:p>
        </w:tc>
        <w:tc>
          <w:tcPr>
            <w:tcW w:w="2427" w:type="dxa"/>
            <w:gridSpan w:val="2"/>
            <w:vAlign w:val="center"/>
          </w:tcPr>
          <w:p>
            <w:pPr>
              <w:spacing w:line="280" w:lineRule="exact"/>
              <w:rPr>
                <w:rFonts w:cs="宋体"/>
              </w:rPr>
            </w:pPr>
            <w:r>
              <w:rPr>
                <w:rFonts w:hint="eastAsia" w:cs="宋体"/>
              </w:rPr>
              <w:t>可能发生的事故类型</w:t>
            </w:r>
          </w:p>
        </w:tc>
        <w:tc>
          <w:tcPr>
            <w:tcW w:w="5139" w:type="dxa"/>
            <w:gridSpan w:val="2"/>
            <w:vAlign w:val="center"/>
          </w:tcPr>
          <w:p>
            <w:pPr>
              <w:spacing w:line="280" w:lineRule="exact"/>
              <w:rPr>
                <w:rFonts w:cs="宋体"/>
              </w:rPr>
            </w:pPr>
            <w:r>
              <w:rPr>
                <w:rFonts w:hint="eastAsia" w:cs="宋体"/>
              </w:rPr>
              <w:t>车辆伤害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692" w:type="dxa"/>
            <w:vMerge w:val="continue"/>
            <w:vAlign w:val="center"/>
          </w:tcPr>
          <w:p>
            <w:pPr>
              <w:widowControl/>
              <w:spacing w:line="280" w:lineRule="exact"/>
              <w:jc w:val="left"/>
              <w:rPr>
                <w:rFonts w:cs="宋体"/>
                <w:b/>
                <w:bCs/>
              </w:rPr>
            </w:pPr>
          </w:p>
        </w:tc>
        <w:tc>
          <w:tcPr>
            <w:tcW w:w="2427" w:type="dxa"/>
            <w:gridSpan w:val="2"/>
            <w:vAlign w:val="center"/>
          </w:tcPr>
          <w:p>
            <w:pPr>
              <w:spacing w:line="280" w:lineRule="exact"/>
              <w:rPr>
                <w:rFonts w:cs="宋体"/>
              </w:rPr>
            </w:pPr>
            <w:r>
              <w:rPr>
                <w:rFonts w:hint="eastAsia" w:cs="宋体"/>
              </w:rPr>
              <w:t>可能发生的季节、时段</w:t>
            </w:r>
          </w:p>
        </w:tc>
        <w:tc>
          <w:tcPr>
            <w:tcW w:w="5139" w:type="dxa"/>
            <w:gridSpan w:val="2"/>
            <w:vAlign w:val="center"/>
          </w:tcPr>
          <w:p>
            <w:pPr>
              <w:spacing w:line="280" w:lineRule="exact"/>
              <w:rPr>
                <w:rFonts w:cs="宋体"/>
              </w:rPr>
            </w:pPr>
            <w:r>
              <w:rPr>
                <w:rFonts w:hint="eastAsia" w:cs="宋体"/>
              </w:rPr>
              <w:t>无时间、季节闲置，但加油车辆较多夜间更易发生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692" w:type="dxa"/>
            <w:vMerge w:val="continue"/>
            <w:vAlign w:val="center"/>
          </w:tcPr>
          <w:p>
            <w:pPr>
              <w:widowControl/>
              <w:spacing w:line="280" w:lineRule="exact"/>
              <w:jc w:val="left"/>
              <w:rPr>
                <w:rFonts w:cs="宋体"/>
                <w:b/>
                <w:bCs/>
              </w:rPr>
            </w:pPr>
          </w:p>
        </w:tc>
        <w:tc>
          <w:tcPr>
            <w:tcW w:w="2427" w:type="dxa"/>
            <w:gridSpan w:val="2"/>
            <w:vAlign w:val="center"/>
          </w:tcPr>
          <w:p>
            <w:pPr>
              <w:spacing w:line="280" w:lineRule="exact"/>
              <w:rPr>
                <w:rFonts w:cs="宋体"/>
              </w:rPr>
            </w:pPr>
            <w:r>
              <w:rPr>
                <w:rFonts w:hint="eastAsia" w:cs="宋体"/>
              </w:rPr>
              <w:t>事故征兆</w:t>
            </w:r>
          </w:p>
        </w:tc>
        <w:tc>
          <w:tcPr>
            <w:tcW w:w="5139" w:type="dxa"/>
            <w:gridSpan w:val="2"/>
            <w:vAlign w:val="center"/>
          </w:tcPr>
          <w:p>
            <w:pPr>
              <w:spacing w:line="280" w:lineRule="exact"/>
              <w:rPr>
                <w:rFonts w:cs="宋体"/>
              </w:rPr>
            </w:pPr>
            <w:r>
              <w:rPr>
                <w:rFonts w:hint="eastAsia" w:cs="宋体"/>
              </w:rPr>
              <w:t>车辆未按规定路线行驶、驾驶员注意力不集中、视线受阻、车速过快、驾驶员误操作（如错踩油门等），均可造成车辆伤害。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692" w:type="dxa"/>
            <w:vMerge w:val="continue"/>
            <w:vAlign w:val="center"/>
          </w:tcPr>
          <w:p>
            <w:pPr>
              <w:widowControl/>
              <w:spacing w:line="280" w:lineRule="exact"/>
              <w:jc w:val="left"/>
              <w:rPr>
                <w:rFonts w:cs="宋体"/>
                <w:b/>
                <w:bCs/>
              </w:rPr>
            </w:pPr>
          </w:p>
        </w:tc>
        <w:tc>
          <w:tcPr>
            <w:tcW w:w="2427" w:type="dxa"/>
            <w:gridSpan w:val="2"/>
            <w:vAlign w:val="center"/>
          </w:tcPr>
          <w:p>
            <w:pPr>
              <w:spacing w:line="280" w:lineRule="exact"/>
              <w:rPr>
                <w:rFonts w:cs="宋体"/>
              </w:rPr>
            </w:pPr>
            <w:r>
              <w:rPr>
                <w:rFonts w:hint="eastAsia" w:cs="宋体"/>
              </w:rPr>
              <w:t>事故危害程度</w:t>
            </w:r>
          </w:p>
        </w:tc>
        <w:tc>
          <w:tcPr>
            <w:tcW w:w="5139" w:type="dxa"/>
            <w:gridSpan w:val="2"/>
            <w:vAlign w:val="center"/>
          </w:tcPr>
          <w:p>
            <w:pPr>
              <w:spacing w:line="280" w:lineRule="exact"/>
              <w:rPr>
                <w:rFonts w:cs="宋体"/>
              </w:rPr>
            </w:pPr>
            <w:r>
              <w:rPr>
                <w:rFonts w:hint="eastAsia" w:cs="宋体"/>
              </w:rPr>
              <w:t>人员伤亡，设备损坏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692" w:type="dxa"/>
            <w:vMerge w:val="continue"/>
            <w:vAlign w:val="center"/>
          </w:tcPr>
          <w:p>
            <w:pPr>
              <w:widowControl/>
              <w:spacing w:line="280" w:lineRule="exact"/>
              <w:jc w:val="left"/>
              <w:rPr>
                <w:rFonts w:cs="宋体"/>
                <w:b/>
                <w:bCs/>
              </w:rPr>
            </w:pPr>
          </w:p>
        </w:tc>
        <w:tc>
          <w:tcPr>
            <w:tcW w:w="2427" w:type="dxa"/>
            <w:gridSpan w:val="2"/>
          </w:tcPr>
          <w:p>
            <w:pPr>
              <w:spacing w:line="280" w:lineRule="exact"/>
              <w:rPr>
                <w:rFonts w:cs="宋体"/>
              </w:rPr>
            </w:pPr>
            <w:r>
              <w:rPr>
                <w:rFonts w:hint="eastAsia" w:cs="宋体"/>
              </w:rPr>
              <w:t>可能引发的次生、衍生事故</w:t>
            </w:r>
          </w:p>
        </w:tc>
        <w:tc>
          <w:tcPr>
            <w:tcW w:w="5139" w:type="dxa"/>
            <w:gridSpan w:val="2"/>
          </w:tcPr>
          <w:p>
            <w:pPr>
              <w:spacing w:line="280" w:lineRule="exact"/>
              <w:rPr>
                <w:rFonts w:cs="宋体"/>
              </w:rPr>
            </w:pPr>
            <w:r>
              <w:rPr>
                <w:rFonts w:hint="eastAsia" w:cs="宋体"/>
              </w:rPr>
              <w:t>车辆可能撞坏加油站内设备，导致油品发生泄漏，引发中毒、窒息甚至火灾爆炸事故。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Merge w:val="continue"/>
            <w:vAlign w:val="center"/>
          </w:tcPr>
          <w:p>
            <w:pPr>
              <w:widowControl/>
              <w:spacing w:line="280" w:lineRule="exact"/>
              <w:jc w:val="left"/>
              <w:rPr>
                <w:rFonts w:cs="宋体"/>
                <w:b/>
                <w:bCs/>
              </w:rPr>
            </w:pPr>
          </w:p>
        </w:tc>
        <w:tc>
          <w:tcPr>
            <w:tcW w:w="2427" w:type="dxa"/>
            <w:gridSpan w:val="2"/>
          </w:tcPr>
          <w:p>
            <w:pPr>
              <w:spacing w:line="280" w:lineRule="exact"/>
              <w:rPr>
                <w:rFonts w:cs="宋体"/>
              </w:rPr>
            </w:pPr>
            <w:r>
              <w:rPr>
                <w:rFonts w:hint="eastAsia" w:cs="宋体"/>
              </w:rPr>
              <w:t>事故影响范围</w:t>
            </w:r>
          </w:p>
        </w:tc>
        <w:tc>
          <w:tcPr>
            <w:tcW w:w="5139" w:type="dxa"/>
            <w:gridSpan w:val="2"/>
          </w:tcPr>
          <w:p>
            <w:pPr>
              <w:spacing w:line="280" w:lineRule="exact"/>
              <w:rPr>
                <w:rFonts w:cs="宋体"/>
              </w:rPr>
            </w:pPr>
            <w:r>
              <w:rPr>
                <w:rFonts w:hint="eastAsia" w:cs="宋体"/>
              </w:rPr>
              <w:t>一般可控制在事故发生区域；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Merge w:val="restart"/>
            <w:vAlign w:val="center"/>
          </w:tcPr>
          <w:p>
            <w:pPr>
              <w:spacing w:line="280" w:lineRule="exact"/>
              <w:jc w:val="center"/>
              <w:rPr>
                <w:rFonts w:cs="宋体"/>
                <w:b/>
                <w:bCs/>
              </w:rPr>
            </w:pPr>
            <w:r>
              <w:rPr>
                <w:rFonts w:hint="eastAsia" w:cs="宋体"/>
                <w:b/>
                <w:bCs/>
              </w:rPr>
              <w:t>应急</w:t>
            </w:r>
          </w:p>
          <w:p>
            <w:pPr>
              <w:spacing w:line="280" w:lineRule="exact"/>
              <w:jc w:val="center"/>
              <w:rPr>
                <w:rFonts w:cs="宋体"/>
                <w:b/>
                <w:bCs/>
              </w:rPr>
            </w:pPr>
            <w:r>
              <w:rPr>
                <w:rFonts w:hint="eastAsia" w:cs="宋体"/>
                <w:b/>
                <w:bCs/>
              </w:rPr>
              <w:t>组织</w:t>
            </w:r>
          </w:p>
          <w:p>
            <w:pPr>
              <w:spacing w:line="280" w:lineRule="exact"/>
              <w:jc w:val="center"/>
              <w:rPr>
                <w:rFonts w:cs="宋体"/>
                <w:b/>
                <w:bCs/>
              </w:rPr>
            </w:pPr>
            <w:r>
              <w:rPr>
                <w:rFonts w:hint="eastAsia" w:cs="宋体"/>
                <w:b/>
                <w:bCs/>
              </w:rPr>
              <w:t>与职</w:t>
            </w:r>
          </w:p>
          <w:p>
            <w:pPr>
              <w:spacing w:line="280" w:lineRule="exact"/>
              <w:jc w:val="center"/>
              <w:rPr>
                <w:rFonts w:cs="宋体"/>
                <w:b/>
                <w:bCs/>
              </w:rPr>
            </w:pPr>
            <w:r>
              <w:rPr>
                <w:rFonts w:hint="eastAsia" w:cs="宋体"/>
                <w:b/>
                <w:bCs/>
              </w:rPr>
              <w:t>责</w:t>
            </w:r>
          </w:p>
        </w:tc>
        <w:tc>
          <w:tcPr>
            <w:tcW w:w="2427" w:type="dxa"/>
            <w:gridSpan w:val="2"/>
            <w:vAlign w:val="center"/>
          </w:tcPr>
          <w:p>
            <w:pPr>
              <w:spacing w:line="280" w:lineRule="exact"/>
              <w:rPr>
                <w:rFonts w:cs="宋体"/>
              </w:rPr>
            </w:pPr>
            <w:r>
              <w:rPr>
                <w:rFonts w:hint="eastAsia" w:cs="宋体"/>
              </w:rPr>
              <w:t>组织形式与人员构成</w:t>
            </w:r>
          </w:p>
        </w:tc>
        <w:tc>
          <w:tcPr>
            <w:tcW w:w="5139" w:type="dxa"/>
            <w:gridSpan w:val="2"/>
            <w:vAlign w:val="center"/>
          </w:tcPr>
          <w:p>
            <w:pPr>
              <w:spacing w:line="280" w:lineRule="exact"/>
              <w:rPr>
                <w:rFonts w:cs="宋体"/>
              </w:rPr>
            </w:pPr>
            <w:r>
              <w:rPr>
                <w:rFonts w:hint="eastAsia" w:cs="宋体"/>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8" w:hRule="atLeast"/>
          <w:jc w:val="center"/>
        </w:trPr>
        <w:tc>
          <w:tcPr>
            <w:tcW w:w="692" w:type="dxa"/>
            <w:vMerge w:val="continue"/>
            <w:vAlign w:val="center"/>
          </w:tcPr>
          <w:p>
            <w:pPr>
              <w:widowControl/>
              <w:spacing w:line="280" w:lineRule="exact"/>
              <w:jc w:val="left"/>
              <w:rPr>
                <w:rFonts w:cs="宋体"/>
                <w:b/>
                <w:bCs/>
              </w:rPr>
            </w:pPr>
          </w:p>
        </w:tc>
        <w:tc>
          <w:tcPr>
            <w:tcW w:w="2427" w:type="dxa"/>
            <w:gridSpan w:val="2"/>
            <w:vAlign w:val="center"/>
          </w:tcPr>
          <w:p>
            <w:pPr>
              <w:spacing w:line="280" w:lineRule="exact"/>
              <w:rPr>
                <w:rFonts w:cs="宋体"/>
              </w:rPr>
            </w:pPr>
            <w:r>
              <w:rPr>
                <w:rFonts w:hint="eastAsia" w:cs="宋体"/>
              </w:rPr>
              <w:t>应急工作职责</w:t>
            </w:r>
          </w:p>
        </w:tc>
        <w:tc>
          <w:tcPr>
            <w:tcW w:w="5139" w:type="dxa"/>
            <w:gridSpan w:val="2"/>
            <w:vAlign w:val="center"/>
          </w:tcPr>
          <w:p>
            <w:pPr>
              <w:spacing w:line="280" w:lineRule="exact"/>
              <w:rPr>
                <w:rFonts w:cs="宋体"/>
              </w:rPr>
            </w:pPr>
            <w:r>
              <w:rPr>
                <w:rFonts w:hint="eastAsia" w:cs="宋体"/>
              </w:rPr>
              <w:t>1、发现事故和隐患及时处理和报告；</w:t>
            </w:r>
          </w:p>
          <w:p>
            <w:pPr>
              <w:spacing w:line="280" w:lineRule="exact"/>
              <w:rPr>
                <w:rFonts w:cs="宋体"/>
              </w:rPr>
            </w:pPr>
            <w:r>
              <w:rPr>
                <w:rFonts w:hint="eastAsia" w:cs="宋体"/>
              </w:rPr>
              <w:t>2、事故初起时，实施现场应急处置；</w:t>
            </w:r>
          </w:p>
          <w:p>
            <w:pPr>
              <w:spacing w:line="280" w:lineRule="exact"/>
              <w:rPr>
                <w:rFonts w:cs="宋体"/>
              </w:rPr>
            </w:pPr>
            <w:r>
              <w:rPr>
                <w:rFonts w:hint="eastAsia" w:cs="宋体"/>
              </w:rPr>
              <w:t>3、听从上一级应急救援指挥机构的指挥进行应急救援；</w:t>
            </w:r>
          </w:p>
          <w:p>
            <w:pPr>
              <w:spacing w:line="280" w:lineRule="exact"/>
              <w:rPr>
                <w:rFonts w:cs="宋体"/>
              </w:rPr>
            </w:pPr>
            <w:r>
              <w:rPr>
                <w:rFonts w:hint="eastAsia" w:cs="宋体"/>
              </w:rPr>
              <w:t>5、预计事故扩大时报告并请求启动上一级应急救援预案。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692" w:type="dxa"/>
            <w:vMerge w:val="restart"/>
            <w:vAlign w:val="center"/>
          </w:tcPr>
          <w:p>
            <w:pPr>
              <w:spacing w:line="280" w:lineRule="exact"/>
              <w:jc w:val="center"/>
              <w:rPr>
                <w:rFonts w:cs="宋体"/>
                <w:b/>
                <w:bCs/>
              </w:rPr>
            </w:pPr>
            <w:r>
              <w:rPr>
                <w:rFonts w:hint="eastAsia" w:cs="宋体"/>
                <w:b/>
                <w:bCs/>
              </w:rPr>
              <w:t>应</w:t>
            </w:r>
          </w:p>
          <w:p>
            <w:pPr>
              <w:spacing w:line="280" w:lineRule="exact"/>
              <w:jc w:val="center"/>
              <w:rPr>
                <w:rFonts w:cs="宋体"/>
                <w:b/>
                <w:bCs/>
              </w:rPr>
            </w:pPr>
            <w:r>
              <w:rPr>
                <w:rFonts w:hint="eastAsia" w:cs="宋体"/>
                <w:b/>
                <w:bCs/>
              </w:rPr>
              <w:t>急</w:t>
            </w:r>
          </w:p>
          <w:p>
            <w:pPr>
              <w:spacing w:line="280" w:lineRule="exact"/>
              <w:jc w:val="center"/>
              <w:rPr>
                <w:rFonts w:cs="宋体"/>
                <w:b/>
                <w:bCs/>
              </w:rPr>
            </w:pPr>
            <w:r>
              <w:rPr>
                <w:rFonts w:hint="eastAsia" w:cs="宋体"/>
                <w:b/>
                <w:bCs/>
              </w:rPr>
              <w:t>处</w:t>
            </w:r>
          </w:p>
          <w:p>
            <w:pPr>
              <w:spacing w:line="280" w:lineRule="exact"/>
              <w:jc w:val="center"/>
              <w:rPr>
                <w:rFonts w:cs="宋体"/>
                <w:b/>
                <w:bCs/>
              </w:rPr>
            </w:pPr>
            <w:r>
              <w:rPr>
                <w:rFonts w:hint="eastAsia" w:cs="宋体"/>
                <w:b/>
                <w:bCs/>
              </w:rPr>
              <w:t>置</w:t>
            </w:r>
          </w:p>
          <w:p>
            <w:pPr>
              <w:spacing w:line="280" w:lineRule="exact"/>
              <w:jc w:val="center"/>
              <w:rPr>
                <w:rFonts w:cs="宋体"/>
                <w:b/>
                <w:bCs/>
              </w:rPr>
            </w:pPr>
          </w:p>
        </w:tc>
        <w:tc>
          <w:tcPr>
            <w:tcW w:w="1701" w:type="dxa"/>
            <w:vAlign w:val="center"/>
          </w:tcPr>
          <w:p>
            <w:pPr>
              <w:spacing w:line="280" w:lineRule="exact"/>
              <w:jc w:val="center"/>
              <w:rPr>
                <w:rFonts w:cs="宋体"/>
                <w:b/>
                <w:bCs/>
              </w:rPr>
            </w:pPr>
            <w:r>
              <w:rPr>
                <w:rFonts w:hint="eastAsia" w:cs="宋体"/>
                <w:b/>
                <w:bCs/>
              </w:rPr>
              <w:t>步 骤</w:t>
            </w:r>
          </w:p>
        </w:tc>
        <w:tc>
          <w:tcPr>
            <w:tcW w:w="5067" w:type="dxa"/>
            <w:gridSpan w:val="2"/>
            <w:vAlign w:val="center"/>
          </w:tcPr>
          <w:p>
            <w:pPr>
              <w:spacing w:line="280" w:lineRule="exact"/>
              <w:jc w:val="center"/>
              <w:rPr>
                <w:rFonts w:cs="宋体"/>
                <w:b/>
                <w:bCs/>
              </w:rPr>
            </w:pPr>
            <w:r>
              <w:rPr>
                <w:rFonts w:hint="eastAsia" w:cs="宋体"/>
                <w:b/>
                <w:bCs/>
              </w:rPr>
              <w:t>处  置</w:t>
            </w:r>
          </w:p>
        </w:tc>
        <w:tc>
          <w:tcPr>
            <w:tcW w:w="798" w:type="dxa"/>
            <w:vAlign w:val="center"/>
          </w:tcPr>
          <w:p>
            <w:pPr>
              <w:spacing w:line="280" w:lineRule="exact"/>
              <w:jc w:val="center"/>
              <w:rPr>
                <w:rFonts w:cs="宋体"/>
                <w:b/>
                <w:bCs/>
              </w:rPr>
            </w:pPr>
            <w:r>
              <w:rPr>
                <w:rFonts w:hint="eastAsia" w:cs="宋体"/>
                <w:b/>
                <w:bCs/>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692" w:type="dxa"/>
            <w:vMerge w:val="continue"/>
            <w:vAlign w:val="center"/>
          </w:tcPr>
          <w:p>
            <w:pPr>
              <w:widowControl/>
              <w:spacing w:line="280" w:lineRule="exact"/>
              <w:jc w:val="left"/>
              <w:rPr>
                <w:rFonts w:cs="宋体"/>
                <w:b/>
                <w:bCs/>
              </w:rPr>
            </w:pPr>
          </w:p>
        </w:tc>
        <w:tc>
          <w:tcPr>
            <w:tcW w:w="1701" w:type="dxa"/>
            <w:vAlign w:val="center"/>
          </w:tcPr>
          <w:p>
            <w:pPr>
              <w:spacing w:line="280" w:lineRule="exact"/>
              <w:jc w:val="center"/>
              <w:rPr>
                <w:rFonts w:cs="宋体"/>
              </w:rPr>
            </w:pPr>
            <w:r>
              <w:rPr>
                <w:rFonts w:hint="eastAsia" w:cs="宋体"/>
              </w:rPr>
              <w:t>发现异常</w:t>
            </w:r>
          </w:p>
        </w:tc>
        <w:tc>
          <w:tcPr>
            <w:tcW w:w="5067" w:type="dxa"/>
            <w:gridSpan w:val="2"/>
            <w:vAlign w:val="center"/>
          </w:tcPr>
          <w:p>
            <w:pPr>
              <w:spacing w:line="280" w:lineRule="exact"/>
              <w:rPr>
                <w:rFonts w:cs="宋体"/>
              </w:rPr>
            </w:pPr>
            <w:r>
              <w:rPr>
                <w:rFonts w:hint="eastAsia" w:cs="宋体"/>
              </w:rPr>
              <w:t>例如：XX人在xx区域突然撞到XX，导致XX事故发生</w:t>
            </w:r>
          </w:p>
        </w:tc>
        <w:tc>
          <w:tcPr>
            <w:tcW w:w="798" w:type="dxa"/>
            <w:vAlign w:val="center"/>
          </w:tcPr>
          <w:p>
            <w:pPr>
              <w:spacing w:line="280" w:lineRule="exact"/>
              <w:jc w:val="center"/>
              <w:rPr>
                <w:rFonts w:cs="宋体"/>
              </w:rPr>
            </w:pPr>
            <w:r>
              <w:rPr>
                <w:rFonts w:hint="eastAsia" w:cs="宋体"/>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692" w:type="dxa"/>
            <w:vMerge w:val="continue"/>
            <w:vAlign w:val="center"/>
          </w:tcPr>
          <w:p>
            <w:pPr>
              <w:widowControl/>
              <w:spacing w:line="280" w:lineRule="exact"/>
              <w:jc w:val="left"/>
              <w:rPr>
                <w:rFonts w:cs="宋体"/>
                <w:b/>
                <w:bCs/>
              </w:rPr>
            </w:pPr>
          </w:p>
        </w:tc>
        <w:tc>
          <w:tcPr>
            <w:tcW w:w="1701" w:type="dxa"/>
            <w:vAlign w:val="center"/>
          </w:tcPr>
          <w:p>
            <w:pPr>
              <w:spacing w:line="280" w:lineRule="exact"/>
              <w:jc w:val="center"/>
              <w:rPr>
                <w:rFonts w:cs="宋体"/>
              </w:rPr>
            </w:pPr>
            <w:r>
              <w:rPr>
                <w:rFonts w:hint="eastAsia" w:cs="宋体"/>
              </w:rPr>
              <w:t>报警</w:t>
            </w:r>
          </w:p>
        </w:tc>
        <w:tc>
          <w:tcPr>
            <w:tcW w:w="5067" w:type="dxa"/>
            <w:gridSpan w:val="2"/>
            <w:vMerge w:val="restart"/>
            <w:vAlign w:val="center"/>
          </w:tcPr>
          <w:p>
            <w:pPr>
              <w:spacing w:line="280" w:lineRule="exact"/>
              <w:rPr>
                <w:rFonts w:cs="宋体"/>
              </w:rPr>
            </w:pPr>
            <w:r>
              <w:rPr>
                <w:rFonts w:hint="eastAsia" w:cs="宋体"/>
              </w:rPr>
              <w:t>XX人在xx区域突然撞到XX，导致XX事故发生若发现人为本站外来人员，则发现人应直接将情况报告本站工作人员；</w:t>
            </w:r>
          </w:p>
          <w:p>
            <w:pPr>
              <w:spacing w:line="280" w:lineRule="exact"/>
              <w:rPr>
                <w:rFonts w:cs="宋体"/>
              </w:rPr>
            </w:pPr>
            <w:r>
              <w:rPr>
                <w:rFonts w:hint="eastAsia" w:cs="宋体"/>
              </w:rPr>
              <w:t>若站长发现时间有扩大的可能，立即向上级部门报告，请求支援；</w:t>
            </w:r>
          </w:p>
        </w:tc>
        <w:tc>
          <w:tcPr>
            <w:tcW w:w="798" w:type="dxa"/>
            <w:vMerge w:val="restart"/>
            <w:vAlign w:val="center"/>
          </w:tcPr>
          <w:p>
            <w:pPr>
              <w:spacing w:line="280" w:lineRule="exact"/>
              <w:jc w:val="center"/>
              <w:rPr>
                <w:rFonts w:cs="宋体"/>
              </w:rPr>
            </w:pPr>
            <w:r>
              <w:rPr>
                <w:rFonts w:hint="eastAsia" w:cs="宋体"/>
              </w:rPr>
              <w:t>发现人</w:t>
            </w:r>
          </w:p>
          <w:p>
            <w:pPr>
              <w:spacing w:line="280" w:lineRule="exact"/>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692" w:type="dxa"/>
            <w:vMerge w:val="continue"/>
            <w:vAlign w:val="center"/>
          </w:tcPr>
          <w:p>
            <w:pPr>
              <w:widowControl/>
              <w:spacing w:line="280" w:lineRule="exact"/>
              <w:jc w:val="left"/>
              <w:rPr>
                <w:rFonts w:cs="宋体"/>
                <w:b/>
                <w:bCs/>
              </w:rPr>
            </w:pPr>
          </w:p>
        </w:tc>
        <w:tc>
          <w:tcPr>
            <w:tcW w:w="1701" w:type="dxa"/>
            <w:vAlign w:val="center"/>
          </w:tcPr>
          <w:p>
            <w:pPr>
              <w:jc w:val="left"/>
              <w:rPr>
                <w:rFonts w:cs="宋体"/>
              </w:rPr>
            </w:pPr>
            <w:r>
              <w:rPr>
                <w:rFonts w:hint="eastAsia" w:cs="宋体"/>
              </w:rPr>
              <w:t>组长李德斌（站长）：13990758830</w:t>
            </w:r>
          </w:p>
          <w:p>
            <w:pPr>
              <w:jc w:val="left"/>
              <w:rPr>
                <w:rFonts w:cs="宋体"/>
              </w:rPr>
            </w:pPr>
            <w:r>
              <w:rPr>
                <w:rFonts w:hint="eastAsia" w:cs="宋体"/>
              </w:rPr>
              <w:t>副组长李力：</w:t>
            </w:r>
          </w:p>
          <w:p>
            <w:pPr>
              <w:jc w:val="left"/>
              <w:rPr>
                <w:color w:val="000000"/>
                <w:kern w:val="0"/>
              </w:rPr>
            </w:pPr>
            <w:r>
              <w:rPr>
                <w:rFonts w:hint="eastAsia"/>
                <w:color w:val="000000"/>
                <w:kern w:val="0"/>
              </w:rPr>
              <w:t>15983763300</w:t>
            </w:r>
          </w:p>
          <w:p>
            <w:pPr>
              <w:jc w:val="left"/>
              <w:rPr>
                <w:rFonts w:cs="宋体"/>
              </w:rPr>
            </w:pPr>
            <w:r>
              <w:rPr>
                <w:rFonts w:hint="eastAsia" w:cs="宋体"/>
              </w:rPr>
              <w:t>成员：</w:t>
            </w:r>
          </w:p>
          <w:p>
            <w:pPr>
              <w:jc w:val="left"/>
              <w:rPr>
                <w:rFonts w:cs="宋体"/>
              </w:rPr>
            </w:pPr>
            <w:r>
              <w:rPr>
                <w:rFonts w:hint="eastAsia" w:cs="宋体"/>
              </w:rPr>
              <w:t>赵亮（加油员）</w:t>
            </w:r>
          </w:p>
          <w:p>
            <w:pPr>
              <w:jc w:val="left"/>
              <w:rPr>
                <w:rFonts w:cs="宋体"/>
              </w:rPr>
            </w:pPr>
            <w:r>
              <w:rPr>
                <w:rFonts w:hint="eastAsia" w:cs="宋体"/>
              </w:rPr>
              <w:t>15984880338</w:t>
            </w:r>
          </w:p>
          <w:p>
            <w:pPr>
              <w:jc w:val="left"/>
              <w:rPr>
                <w:rFonts w:cs="宋体"/>
              </w:rPr>
            </w:pPr>
            <w:r>
              <w:rPr>
                <w:rFonts w:hint="eastAsia" w:cs="宋体"/>
              </w:rPr>
              <w:t>何洪艳（加油员）</w:t>
            </w:r>
          </w:p>
          <w:p>
            <w:pPr>
              <w:jc w:val="left"/>
              <w:rPr>
                <w:rFonts w:cs="宋体"/>
              </w:rPr>
            </w:pPr>
            <w:r>
              <w:rPr>
                <w:rFonts w:hint="eastAsia" w:cs="宋体"/>
              </w:rPr>
              <w:t>17383855935</w:t>
            </w:r>
          </w:p>
          <w:p>
            <w:pPr>
              <w:pStyle w:val="2"/>
              <w:ind w:firstLine="0"/>
              <w:rPr>
                <w:rFonts w:cs="宋体"/>
              </w:rPr>
            </w:pPr>
            <w:r>
              <w:rPr>
                <w:rFonts w:hint="eastAsia" w:cs="宋体"/>
              </w:rPr>
              <w:t>杨瑞萍（加油员）13989196769</w:t>
            </w:r>
          </w:p>
          <w:p>
            <w:pPr>
              <w:pStyle w:val="2"/>
              <w:ind w:firstLine="0"/>
              <w:rPr>
                <w:rFonts w:cs="宋体"/>
              </w:rPr>
            </w:pPr>
            <w:r>
              <w:rPr>
                <w:rFonts w:hint="eastAsia" w:cs="宋体"/>
              </w:rPr>
              <w:t>李小珍（洗车员）15378382951</w:t>
            </w:r>
          </w:p>
          <w:p>
            <w:pPr>
              <w:jc w:val="left"/>
              <w:rPr>
                <w:rFonts w:cs="宋体"/>
              </w:rPr>
            </w:pPr>
            <w:r>
              <w:rPr>
                <w:rFonts w:hint="eastAsia" w:cs="宋体"/>
              </w:rPr>
              <w:t xml:space="preserve">火警：119 </w:t>
            </w:r>
          </w:p>
          <w:p>
            <w:pPr>
              <w:jc w:val="left"/>
              <w:rPr>
                <w:rFonts w:cs="宋体"/>
              </w:rPr>
            </w:pPr>
            <w:r>
              <w:rPr>
                <w:rFonts w:hint="eastAsia" w:cs="宋体"/>
              </w:rPr>
              <w:t>急救：120</w:t>
            </w:r>
          </w:p>
          <w:p>
            <w:pPr>
              <w:spacing w:line="280" w:lineRule="exact"/>
              <w:rPr>
                <w:rFonts w:cs="宋体"/>
                <w:highlight w:val="yellow"/>
              </w:rPr>
            </w:pPr>
            <w:r>
              <w:rPr>
                <w:rFonts w:hint="eastAsia" w:cs="宋体"/>
              </w:rPr>
              <w:t>匪警：110</w:t>
            </w:r>
          </w:p>
        </w:tc>
        <w:tc>
          <w:tcPr>
            <w:tcW w:w="5067" w:type="dxa"/>
            <w:gridSpan w:val="2"/>
            <w:vMerge w:val="continue"/>
            <w:vAlign w:val="center"/>
          </w:tcPr>
          <w:p>
            <w:pPr>
              <w:widowControl/>
              <w:spacing w:line="280" w:lineRule="exact"/>
              <w:jc w:val="left"/>
              <w:rPr>
                <w:rFonts w:cs="宋体"/>
              </w:rPr>
            </w:pPr>
          </w:p>
        </w:tc>
        <w:tc>
          <w:tcPr>
            <w:tcW w:w="798" w:type="dxa"/>
            <w:vMerge w:val="continue"/>
            <w:vAlign w:val="center"/>
          </w:tcPr>
          <w:p>
            <w:pPr>
              <w:widowControl/>
              <w:spacing w:line="280" w:lineRule="exact"/>
              <w:jc w:val="center"/>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692" w:type="dxa"/>
            <w:vMerge w:val="continue"/>
            <w:vAlign w:val="center"/>
          </w:tcPr>
          <w:p>
            <w:pPr>
              <w:widowControl/>
              <w:spacing w:line="280" w:lineRule="exact"/>
              <w:jc w:val="left"/>
              <w:rPr>
                <w:rFonts w:cs="宋体"/>
                <w:b/>
                <w:bCs/>
              </w:rPr>
            </w:pPr>
          </w:p>
        </w:tc>
        <w:tc>
          <w:tcPr>
            <w:tcW w:w="1701" w:type="dxa"/>
            <w:vMerge w:val="restart"/>
            <w:vAlign w:val="center"/>
          </w:tcPr>
          <w:p>
            <w:pPr>
              <w:spacing w:line="280" w:lineRule="exact"/>
              <w:jc w:val="center"/>
              <w:rPr>
                <w:rFonts w:cs="宋体"/>
              </w:rPr>
            </w:pPr>
            <w:r>
              <w:rPr>
                <w:rFonts w:hint="eastAsia" w:cs="宋体"/>
              </w:rPr>
              <w:t>应急处置</w:t>
            </w:r>
          </w:p>
        </w:tc>
        <w:tc>
          <w:tcPr>
            <w:tcW w:w="5067" w:type="dxa"/>
            <w:gridSpan w:val="2"/>
            <w:vAlign w:val="center"/>
          </w:tcPr>
          <w:p>
            <w:pPr>
              <w:spacing w:line="280" w:lineRule="exact"/>
              <w:rPr>
                <w:rFonts w:cs="宋体"/>
              </w:rPr>
            </w:pPr>
            <w:r>
              <w:rPr>
                <w:rFonts w:hint="eastAsia" w:cs="宋体"/>
              </w:rPr>
              <w:t>1、叫停事故车辆。</w:t>
            </w:r>
          </w:p>
        </w:tc>
        <w:tc>
          <w:tcPr>
            <w:tcW w:w="798" w:type="dxa"/>
            <w:vAlign w:val="center"/>
          </w:tcPr>
          <w:p>
            <w:pPr>
              <w:spacing w:line="280" w:lineRule="exact"/>
              <w:jc w:val="center"/>
              <w:rPr>
                <w:rFonts w:cs="宋体"/>
              </w:rPr>
            </w:pPr>
            <w:r>
              <w:rPr>
                <w:rFonts w:hint="eastAsia" w:cs="宋体"/>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692" w:type="dxa"/>
            <w:vMerge w:val="continue"/>
            <w:vAlign w:val="center"/>
          </w:tcPr>
          <w:p>
            <w:pPr>
              <w:widowControl/>
              <w:spacing w:line="280" w:lineRule="exact"/>
              <w:jc w:val="left"/>
              <w:rPr>
                <w:rFonts w:cs="宋体"/>
                <w:b/>
                <w:bCs/>
              </w:rPr>
            </w:pPr>
          </w:p>
        </w:tc>
        <w:tc>
          <w:tcPr>
            <w:tcW w:w="1701" w:type="dxa"/>
            <w:vMerge w:val="continue"/>
            <w:vAlign w:val="center"/>
          </w:tcPr>
          <w:p>
            <w:pPr>
              <w:widowControl/>
              <w:spacing w:line="280" w:lineRule="exact"/>
              <w:jc w:val="left"/>
              <w:rPr>
                <w:rFonts w:cs="宋体"/>
              </w:rPr>
            </w:pPr>
          </w:p>
        </w:tc>
        <w:tc>
          <w:tcPr>
            <w:tcW w:w="5067" w:type="dxa"/>
            <w:gridSpan w:val="2"/>
            <w:vAlign w:val="center"/>
          </w:tcPr>
          <w:p>
            <w:pPr>
              <w:spacing w:line="280" w:lineRule="exact"/>
              <w:rPr>
                <w:rFonts w:cs="宋体"/>
              </w:rPr>
            </w:pPr>
            <w:r>
              <w:rPr>
                <w:rFonts w:hint="eastAsia" w:cs="宋体"/>
              </w:rPr>
              <w:t>2、设置警戒区域，查看事故受伤人员或受损设备。</w:t>
            </w:r>
          </w:p>
        </w:tc>
        <w:tc>
          <w:tcPr>
            <w:tcW w:w="798" w:type="dxa"/>
            <w:vAlign w:val="center"/>
          </w:tcPr>
          <w:p>
            <w:pPr>
              <w:spacing w:line="280" w:lineRule="exact"/>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692" w:type="dxa"/>
            <w:vMerge w:val="continue"/>
            <w:vAlign w:val="center"/>
          </w:tcPr>
          <w:p>
            <w:pPr>
              <w:widowControl/>
              <w:spacing w:line="280" w:lineRule="exact"/>
              <w:jc w:val="left"/>
              <w:rPr>
                <w:rFonts w:cs="宋体"/>
                <w:b/>
                <w:bCs/>
              </w:rPr>
            </w:pPr>
          </w:p>
        </w:tc>
        <w:tc>
          <w:tcPr>
            <w:tcW w:w="1701" w:type="dxa"/>
            <w:vMerge w:val="restart"/>
            <w:vAlign w:val="center"/>
          </w:tcPr>
          <w:p>
            <w:pPr>
              <w:spacing w:line="280" w:lineRule="exact"/>
              <w:jc w:val="center"/>
              <w:rPr>
                <w:rFonts w:cs="宋体"/>
              </w:rPr>
            </w:pPr>
            <w:r>
              <w:rPr>
                <w:rFonts w:hint="eastAsia" w:cs="宋体"/>
              </w:rPr>
              <w:t>人员救护</w:t>
            </w:r>
          </w:p>
        </w:tc>
        <w:tc>
          <w:tcPr>
            <w:tcW w:w="5067" w:type="dxa"/>
            <w:gridSpan w:val="2"/>
            <w:vAlign w:val="center"/>
          </w:tcPr>
          <w:p>
            <w:pPr>
              <w:spacing w:line="280" w:lineRule="exact"/>
              <w:rPr>
                <w:rFonts w:cs="宋体"/>
              </w:rPr>
            </w:pPr>
            <w:r>
              <w:rPr>
                <w:rFonts w:hint="eastAsia" w:cs="宋体"/>
              </w:rPr>
              <w:t>1、使受害者脱离电源，救护至安全区域。</w:t>
            </w:r>
          </w:p>
        </w:tc>
        <w:tc>
          <w:tcPr>
            <w:tcW w:w="798" w:type="dxa"/>
            <w:vAlign w:val="center"/>
          </w:tcPr>
          <w:p>
            <w:pPr>
              <w:spacing w:line="280" w:lineRule="exact"/>
              <w:jc w:val="center"/>
              <w:rPr>
                <w:rFonts w:cs="宋体"/>
              </w:rPr>
            </w:pPr>
            <w:r>
              <w:rPr>
                <w:rFonts w:hint="eastAsia" w:cs="宋体"/>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692" w:type="dxa"/>
            <w:vMerge w:val="continue"/>
            <w:vAlign w:val="center"/>
          </w:tcPr>
          <w:p>
            <w:pPr>
              <w:widowControl/>
              <w:spacing w:line="280" w:lineRule="exact"/>
              <w:jc w:val="left"/>
              <w:rPr>
                <w:rFonts w:cs="宋体"/>
                <w:b/>
                <w:bCs/>
              </w:rPr>
            </w:pPr>
          </w:p>
        </w:tc>
        <w:tc>
          <w:tcPr>
            <w:tcW w:w="1701" w:type="dxa"/>
            <w:vMerge w:val="continue"/>
            <w:vAlign w:val="center"/>
          </w:tcPr>
          <w:p>
            <w:pPr>
              <w:widowControl/>
              <w:spacing w:line="280" w:lineRule="exact"/>
              <w:jc w:val="left"/>
              <w:rPr>
                <w:rFonts w:cs="宋体"/>
              </w:rPr>
            </w:pPr>
          </w:p>
        </w:tc>
        <w:tc>
          <w:tcPr>
            <w:tcW w:w="5067" w:type="dxa"/>
            <w:gridSpan w:val="2"/>
            <w:vAlign w:val="center"/>
          </w:tcPr>
          <w:p>
            <w:pPr>
              <w:spacing w:line="280" w:lineRule="exact"/>
              <w:rPr>
                <w:rFonts w:cs="宋体"/>
              </w:rPr>
            </w:pPr>
            <w:r>
              <w:rPr>
                <w:rFonts w:hint="eastAsia" w:cs="宋体"/>
              </w:rPr>
              <w:t>2、实施救护（视情况止血、包扎、人工呼吸或心肺复苏等）。</w:t>
            </w:r>
          </w:p>
        </w:tc>
        <w:tc>
          <w:tcPr>
            <w:tcW w:w="798" w:type="dxa"/>
            <w:vAlign w:val="center"/>
          </w:tcPr>
          <w:p>
            <w:pPr>
              <w:spacing w:line="280" w:lineRule="exact"/>
              <w:jc w:val="center"/>
              <w:rPr>
                <w:rFonts w:cs="宋体"/>
              </w:rPr>
            </w:pPr>
            <w:r>
              <w:rPr>
                <w:rFonts w:hint="eastAsia" w:cs="宋体"/>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692" w:type="dxa"/>
            <w:vMerge w:val="continue"/>
            <w:vAlign w:val="center"/>
          </w:tcPr>
          <w:p>
            <w:pPr>
              <w:widowControl/>
              <w:spacing w:line="280" w:lineRule="exact"/>
              <w:jc w:val="left"/>
              <w:rPr>
                <w:rFonts w:cs="宋体"/>
                <w:b/>
                <w:bCs/>
              </w:rPr>
            </w:pPr>
          </w:p>
        </w:tc>
        <w:tc>
          <w:tcPr>
            <w:tcW w:w="1701" w:type="dxa"/>
            <w:vAlign w:val="center"/>
          </w:tcPr>
          <w:p>
            <w:pPr>
              <w:spacing w:line="280" w:lineRule="exact"/>
              <w:jc w:val="center"/>
              <w:rPr>
                <w:rFonts w:cs="宋体"/>
              </w:rPr>
            </w:pPr>
            <w:r>
              <w:rPr>
                <w:rFonts w:hint="eastAsia" w:cs="宋体"/>
              </w:rPr>
              <w:t>救援接应</w:t>
            </w:r>
          </w:p>
        </w:tc>
        <w:tc>
          <w:tcPr>
            <w:tcW w:w="5067" w:type="dxa"/>
            <w:gridSpan w:val="2"/>
            <w:vAlign w:val="center"/>
          </w:tcPr>
          <w:p>
            <w:pPr>
              <w:spacing w:line="280" w:lineRule="exact"/>
              <w:rPr>
                <w:rFonts w:cs="宋体"/>
              </w:rPr>
            </w:pPr>
            <w:r>
              <w:rPr>
                <w:rFonts w:hint="eastAsia" w:cs="宋体"/>
              </w:rPr>
              <w:t>指派人员打开应急救援通道，引导救援力量到达。</w:t>
            </w:r>
          </w:p>
        </w:tc>
        <w:tc>
          <w:tcPr>
            <w:tcW w:w="798" w:type="dxa"/>
            <w:vAlign w:val="center"/>
          </w:tcPr>
          <w:p>
            <w:pPr>
              <w:spacing w:line="280" w:lineRule="exact"/>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6" w:hRule="atLeast"/>
          <w:jc w:val="center"/>
        </w:trPr>
        <w:tc>
          <w:tcPr>
            <w:tcW w:w="692" w:type="dxa"/>
            <w:vMerge w:val="continue"/>
            <w:vAlign w:val="center"/>
          </w:tcPr>
          <w:p>
            <w:pPr>
              <w:widowControl/>
              <w:spacing w:line="280" w:lineRule="exact"/>
              <w:jc w:val="left"/>
              <w:rPr>
                <w:rFonts w:cs="宋体"/>
                <w:b/>
                <w:bCs/>
              </w:rPr>
            </w:pPr>
          </w:p>
        </w:tc>
        <w:tc>
          <w:tcPr>
            <w:tcW w:w="1701" w:type="dxa"/>
            <w:vAlign w:val="center"/>
          </w:tcPr>
          <w:p>
            <w:pPr>
              <w:spacing w:line="280" w:lineRule="exact"/>
              <w:jc w:val="center"/>
              <w:rPr>
                <w:rFonts w:cs="宋体"/>
              </w:rPr>
            </w:pPr>
            <w:r>
              <w:rPr>
                <w:rFonts w:hint="eastAsia" w:cs="宋体"/>
              </w:rPr>
              <w:t>应急扩大</w:t>
            </w:r>
          </w:p>
          <w:p>
            <w:pPr>
              <w:spacing w:line="280" w:lineRule="exact"/>
              <w:jc w:val="center"/>
              <w:rPr>
                <w:rFonts w:cs="宋体"/>
              </w:rPr>
            </w:pPr>
            <w:r>
              <w:rPr>
                <w:rFonts w:hint="eastAsia" w:cs="宋体"/>
              </w:rPr>
              <w:t>（应急处置失败或人员伤亡扩大）</w:t>
            </w:r>
          </w:p>
        </w:tc>
        <w:tc>
          <w:tcPr>
            <w:tcW w:w="5067" w:type="dxa"/>
            <w:gridSpan w:val="2"/>
            <w:vAlign w:val="center"/>
          </w:tcPr>
          <w:p>
            <w:pPr>
              <w:spacing w:line="280" w:lineRule="exact"/>
              <w:rPr>
                <w:rFonts w:cs="宋体"/>
              </w:rPr>
            </w:pPr>
            <w:r>
              <w:rPr>
                <w:rFonts w:hint="eastAsia" w:cs="宋体"/>
              </w:rPr>
              <w:t>请求启动上一级应急救援预案。</w:t>
            </w:r>
          </w:p>
        </w:tc>
        <w:tc>
          <w:tcPr>
            <w:tcW w:w="798" w:type="dxa"/>
            <w:vAlign w:val="center"/>
          </w:tcPr>
          <w:p>
            <w:pPr>
              <w:spacing w:line="280" w:lineRule="exact"/>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2" w:type="dxa"/>
            <w:vMerge w:val="continue"/>
            <w:vAlign w:val="center"/>
          </w:tcPr>
          <w:p>
            <w:pPr>
              <w:widowControl/>
              <w:spacing w:line="280" w:lineRule="exact"/>
              <w:jc w:val="left"/>
              <w:rPr>
                <w:rFonts w:cs="宋体"/>
                <w:b/>
                <w:bCs/>
              </w:rPr>
            </w:pPr>
          </w:p>
        </w:tc>
        <w:tc>
          <w:tcPr>
            <w:tcW w:w="1701" w:type="dxa"/>
            <w:vAlign w:val="center"/>
          </w:tcPr>
          <w:p>
            <w:pPr>
              <w:spacing w:line="280" w:lineRule="exact"/>
              <w:jc w:val="center"/>
              <w:rPr>
                <w:rFonts w:cs="宋体"/>
              </w:rPr>
            </w:pPr>
            <w:r>
              <w:rPr>
                <w:rFonts w:hint="eastAsia" w:cs="宋体"/>
              </w:rPr>
              <w:t>处置流程</w:t>
            </w:r>
          </w:p>
        </w:tc>
        <w:tc>
          <w:tcPr>
            <w:tcW w:w="5865" w:type="dxa"/>
            <w:gridSpan w:val="3"/>
            <w:vAlign w:val="center"/>
          </w:tcPr>
          <w:p>
            <w:pPr>
              <w:spacing w:line="280" w:lineRule="exact"/>
              <w:rPr>
                <w:rFonts w:cs="宋体"/>
              </w:rPr>
            </w:pPr>
            <w:r>
              <w:rPr>
                <w:rFonts w:hint="eastAsia" w:cs="宋体"/>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2" w:type="dxa"/>
            <w:vMerge w:val="continue"/>
            <w:vAlign w:val="center"/>
          </w:tcPr>
          <w:p>
            <w:pPr>
              <w:widowControl/>
              <w:spacing w:line="280" w:lineRule="exact"/>
              <w:jc w:val="left"/>
              <w:rPr>
                <w:rFonts w:cs="宋体"/>
                <w:b/>
                <w:bCs/>
              </w:rPr>
            </w:pPr>
          </w:p>
        </w:tc>
        <w:tc>
          <w:tcPr>
            <w:tcW w:w="1701" w:type="dxa"/>
            <w:vAlign w:val="center"/>
          </w:tcPr>
          <w:p>
            <w:pPr>
              <w:spacing w:line="280" w:lineRule="exact"/>
              <w:jc w:val="center"/>
              <w:rPr>
                <w:rFonts w:cs="宋体"/>
              </w:rPr>
            </w:pPr>
            <w:r>
              <w:rPr>
                <w:rFonts w:hint="eastAsia" w:cs="宋体"/>
              </w:rPr>
              <w:t>具体处置措施</w:t>
            </w:r>
          </w:p>
        </w:tc>
        <w:tc>
          <w:tcPr>
            <w:tcW w:w="5865" w:type="dxa"/>
            <w:gridSpan w:val="3"/>
            <w:vAlign w:val="center"/>
          </w:tcPr>
          <w:p>
            <w:pPr>
              <w:spacing w:line="280" w:lineRule="exact"/>
              <w:rPr>
                <w:rFonts w:cs="宋体"/>
              </w:rPr>
            </w:pPr>
            <w:r>
              <w:rPr>
                <w:rFonts w:hint="eastAsia" w:cs="宋体"/>
              </w:rPr>
              <w:t>（1）进站加油车辆在行驶过程中，发生撞伤人员情况后应立即抢救伤员。</w:t>
            </w:r>
          </w:p>
          <w:p>
            <w:pPr>
              <w:spacing w:line="280" w:lineRule="exact"/>
              <w:rPr>
                <w:rFonts w:cs="宋体"/>
              </w:rPr>
            </w:pPr>
            <w:r>
              <w:rPr>
                <w:rFonts w:hint="eastAsia" w:cs="宋体"/>
              </w:rPr>
              <w:t>（2）发生撞坏设备、设施，应首先留住车辆，记住车号。</w:t>
            </w:r>
          </w:p>
          <w:p>
            <w:pPr>
              <w:spacing w:line="280" w:lineRule="exact"/>
              <w:rPr>
                <w:rFonts w:cs="宋体"/>
              </w:rPr>
            </w:pPr>
            <w:r>
              <w:rPr>
                <w:rFonts w:hint="eastAsia" w:cs="宋体"/>
              </w:rPr>
              <w:t>（3）事故发生后，立即报告站长及110，做好现场保护等待调查处理。</w:t>
            </w:r>
          </w:p>
          <w:p>
            <w:pPr>
              <w:spacing w:line="280" w:lineRule="exact"/>
              <w:rPr>
                <w:rFonts w:cs="宋体"/>
              </w:rPr>
            </w:pPr>
            <w:r>
              <w:rPr>
                <w:rFonts w:hint="eastAsia" w:cs="宋体"/>
              </w:rPr>
              <w:t>（4）若破坏设备发生油品泄漏，按照相关设备油品泄漏事故处理。</w:t>
            </w:r>
          </w:p>
          <w:p>
            <w:pPr>
              <w:spacing w:line="280" w:lineRule="exact"/>
              <w:rPr>
                <w:rFonts w:cs="宋体"/>
              </w:rPr>
            </w:pPr>
            <w:r>
              <w:rPr>
                <w:rFonts w:hint="eastAsia" w:cs="宋体"/>
              </w:rPr>
              <w:t>（5）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spacing w:line="280" w:lineRule="exact"/>
              <w:rPr>
                <w:rFonts w:cs="宋体"/>
              </w:rPr>
            </w:pPr>
            <w:r>
              <w:rPr>
                <w:rFonts w:hint="eastAsia" w:cs="宋体"/>
              </w:rPr>
              <w:t>（6）当事故现场得以控制，导致次生、衍生事故隐患消除后，事故现场清理后恢复运营。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2" w:type="dxa"/>
            <w:vMerge w:val="continue"/>
            <w:vAlign w:val="center"/>
          </w:tcPr>
          <w:p>
            <w:pPr>
              <w:widowControl/>
              <w:spacing w:line="280" w:lineRule="exact"/>
              <w:jc w:val="left"/>
              <w:rPr>
                <w:rFonts w:cs="宋体"/>
                <w:b/>
                <w:bCs/>
              </w:rPr>
            </w:pPr>
          </w:p>
        </w:tc>
        <w:tc>
          <w:tcPr>
            <w:tcW w:w="1701" w:type="dxa"/>
            <w:vAlign w:val="center"/>
          </w:tcPr>
          <w:p>
            <w:pPr>
              <w:spacing w:line="280" w:lineRule="exact"/>
              <w:jc w:val="center"/>
              <w:rPr>
                <w:rFonts w:cs="宋体"/>
              </w:rPr>
            </w:pPr>
            <w:r>
              <w:rPr>
                <w:rFonts w:hint="eastAsia" w:cs="宋体"/>
              </w:rPr>
              <w:t>事故报告</w:t>
            </w:r>
          </w:p>
        </w:tc>
        <w:tc>
          <w:tcPr>
            <w:tcW w:w="5865" w:type="dxa"/>
            <w:gridSpan w:val="3"/>
            <w:vAlign w:val="center"/>
          </w:tcPr>
          <w:p>
            <w:pPr>
              <w:spacing w:line="280" w:lineRule="exact"/>
              <w:rPr>
                <w:rFonts w:cs="宋体"/>
              </w:rPr>
            </w:pPr>
            <w:r>
              <w:rPr>
                <w:rFonts w:hint="eastAsia" w:cs="宋体"/>
              </w:rPr>
              <w:t>（1）单位名称；</w:t>
            </w:r>
          </w:p>
          <w:p>
            <w:pPr>
              <w:spacing w:line="280" w:lineRule="exact"/>
              <w:rPr>
                <w:rFonts w:cs="宋体"/>
              </w:rPr>
            </w:pPr>
            <w:r>
              <w:rPr>
                <w:rFonts w:hint="eastAsia" w:cs="宋体"/>
              </w:rPr>
              <w:t>（2）事故发生时间、地点及事故现场情况；</w:t>
            </w:r>
          </w:p>
          <w:p>
            <w:pPr>
              <w:spacing w:line="280" w:lineRule="exact"/>
              <w:rPr>
                <w:rFonts w:cs="宋体"/>
              </w:rPr>
            </w:pPr>
            <w:r>
              <w:rPr>
                <w:rFonts w:hint="eastAsia" w:cs="宋体"/>
              </w:rPr>
              <w:t>（3）事故简要经过；</w:t>
            </w:r>
          </w:p>
          <w:p>
            <w:pPr>
              <w:spacing w:line="280" w:lineRule="exact"/>
              <w:rPr>
                <w:rFonts w:cs="宋体"/>
              </w:rPr>
            </w:pPr>
            <w:r>
              <w:rPr>
                <w:rFonts w:hint="eastAsia" w:cs="宋体"/>
              </w:rPr>
              <w:t>（4）已经造成或者可能造成的伤亡人数（包括下落不明的人）和初步估计的直接经济损失；</w:t>
            </w:r>
          </w:p>
          <w:p>
            <w:pPr>
              <w:spacing w:line="280" w:lineRule="exact"/>
              <w:rPr>
                <w:rFonts w:cs="宋体"/>
              </w:rPr>
            </w:pPr>
            <w:r>
              <w:rPr>
                <w:rFonts w:hint="eastAsia" w:cs="宋体"/>
              </w:rPr>
              <w:t>（5）已经采取的措施。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2" w:type="dxa"/>
            <w:vMerge w:val="continue"/>
            <w:vAlign w:val="center"/>
          </w:tcPr>
          <w:p>
            <w:pPr>
              <w:widowControl/>
              <w:spacing w:line="280" w:lineRule="exact"/>
              <w:jc w:val="left"/>
              <w:rPr>
                <w:rFonts w:cs="宋体"/>
                <w:b/>
                <w:bCs/>
              </w:rPr>
            </w:pPr>
          </w:p>
        </w:tc>
        <w:tc>
          <w:tcPr>
            <w:tcW w:w="1701" w:type="dxa"/>
            <w:vAlign w:val="center"/>
          </w:tcPr>
          <w:p>
            <w:pPr>
              <w:spacing w:line="280" w:lineRule="exact"/>
              <w:jc w:val="center"/>
              <w:rPr>
                <w:rFonts w:cs="宋体"/>
              </w:rPr>
            </w:pPr>
            <w:r>
              <w:rPr>
                <w:rFonts w:hint="eastAsia" w:cs="宋体"/>
              </w:rPr>
              <w:t>现场恢复</w:t>
            </w:r>
          </w:p>
        </w:tc>
        <w:tc>
          <w:tcPr>
            <w:tcW w:w="5865" w:type="dxa"/>
            <w:gridSpan w:val="3"/>
            <w:vAlign w:val="center"/>
          </w:tcPr>
          <w:p>
            <w:pPr>
              <w:spacing w:line="280" w:lineRule="exact"/>
              <w:rPr>
                <w:rFonts w:cs="宋体"/>
              </w:rPr>
            </w:pPr>
            <w:r>
              <w:rPr>
                <w:rFonts w:hint="eastAsia" w:cs="宋体"/>
              </w:rPr>
              <w:t>专业人员查明受损设备情况，并检维修合格经专业机构鉴定合格后方可投入使用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692" w:type="dxa"/>
            <w:vMerge w:val="restart"/>
            <w:vAlign w:val="center"/>
          </w:tcPr>
          <w:p>
            <w:pPr>
              <w:spacing w:line="280" w:lineRule="exact"/>
              <w:jc w:val="center"/>
              <w:rPr>
                <w:rFonts w:cs="宋体"/>
                <w:b/>
                <w:bCs/>
              </w:rPr>
            </w:pPr>
            <w:r>
              <w:rPr>
                <w:rFonts w:hint="eastAsia" w:cs="宋体"/>
                <w:b/>
                <w:bCs/>
              </w:rPr>
              <w:t>注</w:t>
            </w:r>
          </w:p>
          <w:p>
            <w:pPr>
              <w:spacing w:line="280" w:lineRule="exact"/>
              <w:jc w:val="center"/>
              <w:rPr>
                <w:rFonts w:cs="宋体"/>
                <w:b/>
                <w:bCs/>
              </w:rPr>
            </w:pPr>
            <w:r>
              <w:rPr>
                <w:rFonts w:hint="eastAsia" w:cs="宋体"/>
                <w:b/>
                <w:bCs/>
              </w:rPr>
              <w:t>意</w:t>
            </w:r>
          </w:p>
          <w:p>
            <w:pPr>
              <w:spacing w:line="280" w:lineRule="exact"/>
              <w:jc w:val="center"/>
              <w:rPr>
                <w:rFonts w:cs="宋体"/>
                <w:b/>
                <w:bCs/>
              </w:rPr>
            </w:pPr>
            <w:r>
              <w:rPr>
                <w:rFonts w:hint="eastAsia" w:cs="宋体"/>
                <w:b/>
                <w:bCs/>
              </w:rPr>
              <w:t>事</w:t>
            </w:r>
          </w:p>
          <w:p>
            <w:pPr>
              <w:spacing w:line="280" w:lineRule="exact"/>
              <w:jc w:val="center"/>
              <w:rPr>
                <w:rFonts w:cs="宋体"/>
                <w:b/>
                <w:bCs/>
              </w:rPr>
            </w:pPr>
            <w:r>
              <w:rPr>
                <w:rFonts w:hint="eastAsia" w:cs="宋体"/>
                <w:b/>
                <w:bCs/>
              </w:rPr>
              <w:t>项</w:t>
            </w:r>
          </w:p>
        </w:tc>
        <w:tc>
          <w:tcPr>
            <w:tcW w:w="1701" w:type="dxa"/>
            <w:vAlign w:val="center"/>
          </w:tcPr>
          <w:p>
            <w:pPr>
              <w:spacing w:line="280" w:lineRule="exact"/>
              <w:jc w:val="center"/>
              <w:rPr>
                <w:rFonts w:cs="宋体"/>
              </w:rPr>
            </w:pPr>
            <w:r>
              <w:rPr>
                <w:rFonts w:hint="eastAsia" w:cs="宋体"/>
              </w:rPr>
              <w:t>个人防护</w:t>
            </w:r>
          </w:p>
        </w:tc>
        <w:tc>
          <w:tcPr>
            <w:tcW w:w="5865" w:type="dxa"/>
            <w:gridSpan w:val="3"/>
            <w:vAlign w:val="center"/>
          </w:tcPr>
          <w:p>
            <w:pPr>
              <w:spacing w:line="280" w:lineRule="exact"/>
              <w:rPr>
                <w:rFonts w:cs="宋体"/>
              </w:rPr>
            </w:pPr>
            <w:r>
              <w:rPr>
                <w:rFonts w:hint="eastAsia" w:cs="宋体"/>
              </w:rPr>
              <w:t>若发生油品泄漏，则佩戴相应的氧气呼吸器。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92" w:type="dxa"/>
            <w:vMerge w:val="continue"/>
            <w:vAlign w:val="center"/>
          </w:tcPr>
          <w:p>
            <w:pPr>
              <w:widowControl/>
              <w:spacing w:line="280" w:lineRule="exact"/>
              <w:jc w:val="left"/>
              <w:rPr>
                <w:rFonts w:cs="宋体"/>
                <w:b/>
                <w:bCs/>
              </w:rPr>
            </w:pPr>
          </w:p>
        </w:tc>
        <w:tc>
          <w:tcPr>
            <w:tcW w:w="1701" w:type="dxa"/>
            <w:vAlign w:val="center"/>
          </w:tcPr>
          <w:p>
            <w:pPr>
              <w:spacing w:line="280" w:lineRule="exact"/>
              <w:jc w:val="center"/>
              <w:rPr>
                <w:rFonts w:cs="宋体"/>
              </w:rPr>
            </w:pPr>
            <w:r>
              <w:rPr>
                <w:rFonts w:hint="eastAsia" w:cs="宋体"/>
              </w:rPr>
              <w:t>救援器材</w:t>
            </w:r>
          </w:p>
        </w:tc>
        <w:tc>
          <w:tcPr>
            <w:tcW w:w="5865" w:type="dxa"/>
            <w:gridSpan w:val="3"/>
            <w:vAlign w:val="center"/>
          </w:tcPr>
          <w:p>
            <w:pPr>
              <w:spacing w:line="280" w:lineRule="exact"/>
              <w:rPr>
                <w:rFonts w:cs="宋体"/>
              </w:rPr>
            </w:pPr>
            <w:r>
              <w:rPr>
                <w:rFonts w:hint="eastAsia" w:cs="宋体"/>
              </w:rPr>
              <w:t>担架、绷带、止血药等。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2" w:type="dxa"/>
            <w:vMerge w:val="continue"/>
            <w:vAlign w:val="center"/>
          </w:tcPr>
          <w:p>
            <w:pPr>
              <w:widowControl/>
              <w:spacing w:line="280" w:lineRule="exact"/>
              <w:jc w:val="left"/>
              <w:rPr>
                <w:rFonts w:cs="宋体"/>
                <w:b/>
                <w:bCs/>
              </w:rPr>
            </w:pPr>
          </w:p>
        </w:tc>
        <w:tc>
          <w:tcPr>
            <w:tcW w:w="1701" w:type="dxa"/>
            <w:vAlign w:val="center"/>
          </w:tcPr>
          <w:p>
            <w:pPr>
              <w:spacing w:line="280" w:lineRule="exact"/>
              <w:jc w:val="center"/>
              <w:rPr>
                <w:rFonts w:cs="宋体"/>
              </w:rPr>
            </w:pPr>
            <w:r>
              <w:rPr>
                <w:rFonts w:hint="eastAsia" w:cs="宋体"/>
              </w:rPr>
              <w:t>救援对策</w:t>
            </w:r>
          </w:p>
        </w:tc>
        <w:tc>
          <w:tcPr>
            <w:tcW w:w="5865" w:type="dxa"/>
            <w:gridSpan w:val="3"/>
            <w:vAlign w:val="center"/>
          </w:tcPr>
          <w:p>
            <w:pPr>
              <w:spacing w:line="280" w:lineRule="exact"/>
              <w:rPr>
                <w:rFonts w:cs="宋体"/>
              </w:rPr>
            </w:pPr>
            <w:r>
              <w:rPr>
                <w:rFonts w:hint="eastAsia" w:cs="宋体"/>
              </w:rPr>
              <w:t>1、迅速叫停事故车辆；</w:t>
            </w:r>
          </w:p>
          <w:p>
            <w:pPr>
              <w:spacing w:line="280" w:lineRule="exact"/>
              <w:rPr>
                <w:rFonts w:cs="宋体"/>
              </w:rPr>
            </w:pPr>
            <w:r>
              <w:rPr>
                <w:rFonts w:hint="eastAsia" w:cs="宋体"/>
              </w:rPr>
              <w:t>2、设立警戒区域；</w:t>
            </w:r>
          </w:p>
          <w:p>
            <w:pPr>
              <w:spacing w:line="280" w:lineRule="exact"/>
              <w:rPr>
                <w:rFonts w:cs="宋体"/>
              </w:rPr>
            </w:pPr>
            <w:r>
              <w:rPr>
                <w:rFonts w:hint="eastAsia" w:cs="宋体"/>
              </w:rPr>
              <w:t>3、禁止在情况不明的情况下，随意搬动受伤人员。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2" w:type="dxa"/>
            <w:vMerge w:val="continue"/>
            <w:vAlign w:val="center"/>
          </w:tcPr>
          <w:p>
            <w:pPr>
              <w:widowControl/>
              <w:spacing w:line="280" w:lineRule="exact"/>
              <w:jc w:val="left"/>
              <w:rPr>
                <w:rFonts w:cs="宋体"/>
                <w:b/>
                <w:bCs/>
              </w:rPr>
            </w:pPr>
          </w:p>
        </w:tc>
        <w:tc>
          <w:tcPr>
            <w:tcW w:w="1701" w:type="dxa"/>
            <w:vAlign w:val="center"/>
          </w:tcPr>
          <w:p>
            <w:pPr>
              <w:spacing w:line="280" w:lineRule="exact"/>
              <w:jc w:val="center"/>
              <w:rPr>
                <w:rFonts w:cs="宋体"/>
              </w:rPr>
            </w:pPr>
            <w:r>
              <w:rPr>
                <w:rFonts w:hint="eastAsia" w:cs="宋体"/>
              </w:rPr>
              <w:t>自救与互救</w:t>
            </w:r>
          </w:p>
        </w:tc>
        <w:tc>
          <w:tcPr>
            <w:tcW w:w="5865" w:type="dxa"/>
            <w:gridSpan w:val="3"/>
            <w:vAlign w:val="center"/>
          </w:tcPr>
          <w:p>
            <w:pPr>
              <w:numPr>
                <w:ilvl w:val="0"/>
                <w:numId w:val="13"/>
              </w:numPr>
              <w:spacing w:line="280" w:lineRule="exact"/>
              <w:rPr>
                <w:rFonts w:cs="宋体"/>
              </w:rPr>
            </w:pPr>
            <w:r>
              <w:rPr>
                <w:rFonts w:hint="eastAsia" w:cs="宋体"/>
              </w:rPr>
              <w:t>救护人在保证自身安全的情况下进入事故区域进行施救。</w:t>
            </w:r>
          </w:p>
          <w:p>
            <w:pPr>
              <w:numPr>
                <w:ilvl w:val="0"/>
                <w:numId w:val="13"/>
              </w:numPr>
              <w:spacing w:line="280" w:lineRule="exact"/>
              <w:rPr>
                <w:rFonts w:cs="宋体"/>
              </w:rPr>
            </w:pPr>
            <w:r>
              <w:rPr>
                <w:rFonts w:hint="eastAsia" w:cs="宋体"/>
              </w:rPr>
              <w:t>如事故发生在夜间或无照明区域，应迅速解决临时照明。</w:t>
            </w:r>
          </w:p>
          <w:p>
            <w:pPr>
              <w:numPr>
                <w:ilvl w:val="0"/>
                <w:numId w:val="13"/>
              </w:numPr>
              <w:spacing w:line="280" w:lineRule="exact"/>
              <w:rPr>
                <w:rFonts w:cs="宋体"/>
              </w:rPr>
            </w:pPr>
            <w:r>
              <w:rPr>
                <w:rFonts w:hint="eastAsia" w:cs="宋体"/>
              </w:rPr>
              <w:t>立即对受伤人员进行止血、包扎。</w:t>
            </w:r>
          </w:p>
          <w:p>
            <w:pPr>
              <w:numPr>
                <w:ilvl w:val="0"/>
                <w:numId w:val="13"/>
              </w:numPr>
              <w:spacing w:line="280" w:lineRule="exact"/>
              <w:rPr>
                <w:rFonts w:cs="宋体"/>
              </w:rPr>
            </w:pPr>
            <w:r>
              <w:rPr>
                <w:rFonts w:hint="eastAsia" w:cs="宋体"/>
              </w:rPr>
              <w:t>在专业救援人员到来之前，对受伤者的急救不能终止。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692" w:type="dxa"/>
            <w:vMerge w:val="continue"/>
            <w:vAlign w:val="center"/>
          </w:tcPr>
          <w:p>
            <w:pPr>
              <w:widowControl/>
              <w:spacing w:line="280" w:lineRule="exact"/>
              <w:jc w:val="left"/>
              <w:rPr>
                <w:rFonts w:cs="宋体"/>
                <w:b/>
                <w:bCs/>
              </w:rPr>
            </w:pPr>
          </w:p>
        </w:tc>
        <w:tc>
          <w:tcPr>
            <w:tcW w:w="1701" w:type="dxa"/>
            <w:vAlign w:val="center"/>
          </w:tcPr>
          <w:p>
            <w:pPr>
              <w:spacing w:line="280" w:lineRule="exact"/>
              <w:jc w:val="center"/>
              <w:rPr>
                <w:rFonts w:cs="宋体"/>
              </w:rPr>
            </w:pPr>
            <w:r>
              <w:rPr>
                <w:rFonts w:hint="eastAsia" w:cs="宋体"/>
              </w:rPr>
              <w:t>人员能力确认</w:t>
            </w:r>
          </w:p>
        </w:tc>
        <w:tc>
          <w:tcPr>
            <w:tcW w:w="5865" w:type="dxa"/>
            <w:gridSpan w:val="3"/>
            <w:vAlign w:val="center"/>
          </w:tcPr>
          <w:p>
            <w:pPr>
              <w:spacing w:line="280" w:lineRule="exact"/>
              <w:rPr>
                <w:rFonts w:cs="宋体"/>
              </w:rPr>
            </w:pPr>
            <w:r>
              <w:rPr>
                <w:rFonts w:hint="eastAsia" w:cs="宋体"/>
              </w:rPr>
              <w:t>1、无急救知识人员严禁随意对人员采取不正确的施救。</w:t>
            </w:r>
          </w:p>
          <w:p>
            <w:pPr>
              <w:spacing w:line="280" w:lineRule="exact"/>
              <w:rPr>
                <w:rFonts w:cs="宋体"/>
              </w:rPr>
            </w:pPr>
            <w:r>
              <w:rPr>
                <w:rFonts w:hint="eastAsia" w:cs="宋体"/>
              </w:rPr>
              <w:t>2、进入事故现场救援必须保证2人以上，严禁单独行动。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2" w:type="dxa"/>
            <w:vMerge w:val="continue"/>
            <w:vAlign w:val="center"/>
          </w:tcPr>
          <w:p>
            <w:pPr>
              <w:widowControl/>
              <w:spacing w:line="280" w:lineRule="exact"/>
              <w:jc w:val="left"/>
              <w:rPr>
                <w:rFonts w:cs="宋体"/>
                <w:b/>
                <w:bCs/>
              </w:rPr>
            </w:pPr>
          </w:p>
        </w:tc>
        <w:tc>
          <w:tcPr>
            <w:tcW w:w="1701" w:type="dxa"/>
            <w:vAlign w:val="center"/>
          </w:tcPr>
          <w:p>
            <w:pPr>
              <w:spacing w:line="280" w:lineRule="exact"/>
              <w:jc w:val="center"/>
              <w:rPr>
                <w:rFonts w:cs="宋体"/>
              </w:rPr>
            </w:pPr>
            <w:r>
              <w:rPr>
                <w:rFonts w:hint="eastAsia" w:cs="宋体"/>
              </w:rPr>
              <w:t>救援结束</w:t>
            </w:r>
          </w:p>
        </w:tc>
        <w:tc>
          <w:tcPr>
            <w:tcW w:w="5865" w:type="dxa"/>
            <w:gridSpan w:val="3"/>
            <w:vAlign w:val="center"/>
          </w:tcPr>
          <w:p>
            <w:pPr>
              <w:spacing w:line="280" w:lineRule="exact"/>
              <w:rPr>
                <w:rFonts w:cs="宋体"/>
              </w:rPr>
            </w:pPr>
            <w:r>
              <w:rPr>
                <w:rFonts w:hint="eastAsia" w:cs="宋体"/>
              </w:rPr>
              <w:t>1、险情排除后，应组织人员对现场进行认真地检查，防止遗漏，再次造成事故。</w:t>
            </w:r>
          </w:p>
          <w:p>
            <w:pPr>
              <w:spacing w:line="280" w:lineRule="exact"/>
              <w:rPr>
                <w:rFonts w:cs="宋体"/>
              </w:rPr>
            </w:pPr>
            <w:r>
              <w:rPr>
                <w:rFonts w:hint="eastAsia" w:cs="宋体"/>
              </w:rPr>
              <w:t>2、保护好现场，以便查清事故原因，吸取教训，制定防范措施，现场清理工作必须征得有关部门同意后方可进行。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2" w:type="dxa"/>
            <w:vMerge w:val="continue"/>
            <w:vAlign w:val="center"/>
          </w:tcPr>
          <w:p>
            <w:pPr>
              <w:widowControl/>
              <w:spacing w:line="280" w:lineRule="exact"/>
              <w:jc w:val="left"/>
              <w:rPr>
                <w:rFonts w:cs="宋体"/>
                <w:b/>
                <w:bCs/>
              </w:rPr>
            </w:pPr>
          </w:p>
        </w:tc>
        <w:tc>
          <w:tcPr>
            <w:tcW w:w="1701" w:type="dxa"/>
            <w:vAlign w:val="center"/>
          </w:tcPr>
          <w:p>
            <w:pPr>
              <w:spacing w:line="280" w:lineRule="exact"/>
              <w:jc w:val="center"/>
              <w:rPr>
                <w:rFonts w:cs="宋体"/>
              </w:rPr>
            </w:pPr>
            <w:r>
              <w:rPr>
                <w:rFonts w:hint="eastAsia" w:cs="宋体"/>
              </w:rPr>
              <w:t>其他特别警示</w:t>
            </w:r>
          </w:p>
        </w:tc>
        <w:tc>
          <w:tcPr>
            <w:tcW w:w="5865" w:type="dxa"/>
            <w:gridSpan w:val="3"/>
            <w:vAlign w:val="center"/>
          </w:tcPr>
          <w:p>
            <w:pPr>
              <w:spacing w:line="280" w:lineRule="exact"/>
              <w:rPr>
                <w:rFonts w:cs="宋体"/>
              </w:rPr>
            </w:pPr>
            <w:r>
              <w:rPr>
                <w:rFonts w:hint="eastAsia" w:cs="宋体"/>
              </w:rPr>
              <w:t>1、保持救援电话畅通；2、对应急救援器材进行经常性的检查和保养；3、应急疏散时的人数查点；4、救援结束后的人员、物资查点。</w:t>
            </w:r>
          </w:p>
        </w:tc>
      </w:tr>
    </w:tbl>
    <w:p>
      <w:pPr>
        <w:pStyle w:val="3"/>
        <w:rPr>
          <w:rFonts w:eastAsia="宋体" w:cs="宋体"/>
        </w:rPr>
      </w:pPr>
      <w:bookmarkStart w:id="910" w:name="_Toc504989643"/>
      <w:bookmarkEnd w:id="910"/>
      <w:bookmarkStart w:id="911" w:name="_Toc530594676"/>
      <w:bookmarkStart w:id="912" w:name="_Toc955"/>
      <w:bookmarkStart w:id="913" w:name="_Toc25515"/>
      <w:bookmarkStart w:id="914" w:name="_Toc23445"/>
      <w:bookmarkStart w:id="915" w:name="_Toc11689"/>
      <w:r>
        <w:rPr>
          <w:rFonts w:hint="eastAsia" w:eastAsia="宋体" w:cs="宋体"/>
        </w:rPr>
        <w:t>七、防盗抢及恐怖袭击事件现场处置方案</w:t>
      </w:r>
      <w:bookmarkEnd w:id="911"/>
      <w:bookmarkEnd w:id="912"/>
      <w:bookmarkEnd w:id="913"/>
      <w:bookmarkEnd w:id="914"/>
      <w:bookmarkEnd w:id="915"/>
    </w:p>
    <w:tbl>
      <w:tblPr>
        <w:tblStyle w:val="35"/>
        <w:tblW w:w="82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701"/>
        <w:gridCol w:w="726"/>
        <w:gridCol w:w="4341"/>
        <w:gridCol w:w="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691" w:type="dxa"/>
            <w:vMerge w:val="restart"/>
            <w:vAlign w:val="center"/>
          </w:tcPr>
          <w:p>
            <w:pPr>
              <w:spacing w:line="300" w:lineRule="exact"/>
              <w:jc w:val="center"/>
              <w:rPr>
                <w:rFonts w:cs="宋体"/>
                <w:b/>
                <w:bCs/>
              </w:rPr>
            </w:pPr>
            <w:r>
              <w:rPr>
                <w:rFonts w:hint="eastAsia" w:cs="宋体"/>
                <w:b/>
                <w:bCs/>
              </w:rPr>
              <w:t>事</w:t>
            </w:r>
          </w:p>
          <w:p>
            <w:pPr>
              <w:spacing w:line="300" w:lineRule="exact"/>
              <w:jc w:val="center"/>
              <w:rPr>
                <w:rFonts w:cs="宋体"/>
                <w:b/>
                <w:bCs/>
              </w:rPr>
            </w:pPr>
            <w:r>
              <w:rPr>
                <w:rFonts w:hint="eastAsia" w:cs="宋体"/>
                <w:b/>
                <w:bCs/>
              </w:rPr>
              <w:t>故</w:t>
            </w:r>
          </w:p>
          <w:p>
            <w:pPr>
              <w:spacing w:line="300" w:lineRule="exact"/>
              <w:jc w:val="center"/>
              <w:rPr>
                <w:rFonts w:cs="宋体"/>
                <w:b/>
                <w:bCs/>
              </w:rPr>
            </w:pPr>
            <w:r>
              <w:rPr>
                <w:rFonts w:hint="eastAsia" w:cs="宋体"/>
                <w:b/>
                <w:bCs/>
              </w:rPr>
              <w:t>特</w:t>
            </w:r>
          </w:p>
          <w:p>
            <w:pPr>
              <w:spacing w:line="300" w:lineRule="exact"/>
              <w:jc w:val="center"/>
              <w:rPr>
                <w:rFonts w:cs="宋体"/>
                <w:b/>
                <w:bCs/>
              </w:rPr>
            </w:pPr>
            <w:r>
              <w:rPr>
                <w:rFonts w:hint="eastAsia" w:cs="宋体"/>
                <w:b/>
                <w:bCs/>
              </w:rPr>
              <w:t>征</w:t>
            </w:r>
          </w:p>
        </w:tc>
        <w:tc>
          <w:tcPr>
            <w:tcW w:w="2427" w:type="dxa"/>
            <w:gridSpan w:val="2"/>
            <w:vAlign w:val="center"/>
          </w:tcPr>
          <w:p>
            <w:pPr>
              <w:spacing w:line="300" w:lineRule="exact"/>
              <w:rPr>
                <w:rFonts w:cs="宋体"/>
              </w:rPr>
            </w:pPr>
            <w:r>
              <w:rPr>
                <w:rFonts w:hint="eastAsia" w:cs="宋体"/>
              </w:rPr>
              <w:t>区域（装置）名称</w:t>
            </w:r>
          </w:p>
        </w:tc>
        <w:tc>
          <w:tcPr>
            <w:tcW w:w="5122" w:type="dxa"/>
            <w:gridSpan w:val="2"/>
            <w:vAlign w:val="center"/>
          </w:tcPr>
          <w:p>
            <w:pPr>
              <w:spacing w:line="300" w:lineRule="exact"/>
              <w:rPr>
                <w:rFonts w:cs="宋体"/>
              </w:rPr>
            </w:pPr>
            <w:r>
              <w:rPr>
                <w:rFonts w:hint="eastAsia" w:cs="宋体"/>
              </w:rPr>
              <w:t>加油区、便利店、罐区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 w:hRule="atLeast"/>
          <w:jc w:val="center"/>
        </w:trPr>
        <w:tc>
          <w:tcPr>
            <w:tcW w:w="691" w:type="dxa"/>
            <w:vMerge w:val="continue"/>
            <w:vAlign w:val="center"/>
          </w:tcPr>
          <w:p>
            <w:pPr>
              <w:widowControl/>
              <w:spacing w:line="300" w:lineRule="exact"/>
              <w:jc w:val="left"/>
              <w:rPr>
                <w:rFonts w:cs="宋体"/>
                <w:b/>
                <w:bCs/>
              </w:rPr>
            </w:pPr>
          </w:p>
        </w:tc>
        <w:tc>
          <w:tcPr>
            <w:tcW w:w="2427" w:type="dxa"/>
            <w:gridSpan w:val="2"/>
            <w:vAlign w:val="center"/>
          </w:tcPr>
          <w:p>
            <w:pPr>
              <w:spacing w:line="300" w:lineRule="exact"/>
              <w:rPr>
                <w:rFonts w:cs="宋体"/>
              </w:rPr>
            </w:pPr>
            <w:r>
              <w:rPr>
                <w:rFonts w:hint="eastAsia" w:cs="宋体"/>
              </w:rPr>
              <w:t>可能发生的事故类型</w:t>
            </w:r>
          </w:p>
        </w:tc>
        <w:tc>
          <w:tcPr>
            <w:tcW w:w="5122" w:type="dxa"/>
            <w:gridSpan w:val="2"/>
            <w:vAlign w:val="center"/>
          </w:tcPr>
          <w:p>
            <w:pPr>
              <w:spacing w:line="300" w:lineRule="exact"/>
              <w:rPr>
                <w:rFonts w:cs="宋体"/>
              </w:rPr>
            </w:pPr>
            <w:r>
              <w:rPr>
                <w:rFonts w:hint="eastAsia" w:cs="宋体"/>
              </w:rPr>
              <w:t>盗抢、恐怖袭击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691" w:type="dxa"/>
            <w:vMerge w:val="continue"/>
            <w:vAlign w:val="center"/>
          </w:tcPr>
          <w:p>
            <w:pPr>
              <w:widowControl/>
              <w:spacing w:line="300" w:lineRule="exact"/>
              <w:jc w:val="left"/>
              <w:rPr>
                <w:rFonts w:cs="宋体"/>
                <w:b/>
                <w:bCs/>
              </w:rPr>
            </w:pPr>
          </w:p>
        </w:tc>
        <w:tc>
          <w:tcPr>
            <w:tcW w:w="2427" w:type="dxa"/>
            <w:gridSpan w:val="2"/>
            <w:vAlign w:val="center"/>
          </w:tcPr>
          <w:p>
            <w:pPr>
              <w:spacing w:line="300" w:lineRule="exact"/>
              <w:rPr>
                <w:rFonts w:cs="宋体"/>
              </w:rPr>
            </w:pPr>
            <w:r>
              <w:rPr>
                <w:rFonts w:hint="eastAsia" w:cs="宋体"/>
              </w:rPr>
              <w:t>可能发生的季节、时段</w:t>
            </w:r>
          </w:p>
        </w:tc>
        <w:tc>
          <w:tcPr>
            <w:tcW w:w="5122" w:type="dxa"/>
            <w:gridSpan w:val="2"/>
            <w:vAlign w:val="center"/>
          </w:tcPr>
          <w:p>
            <w:pPr>
              <w:spacing w:line="300" w:lineRule="exact"/>
              <w:rPr>
                <w:rFonts w:cs="宋体"/>
              </w:rPr>
            </w:pPr>
            <w:r>
              <w:rPr>
                <w:rFonts w:hint="eastAsia" w:cs="宋体"/>
              </w:rPr>
              <w:t>无时间、季节限制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 w:hRule="atLeast"/>
          <w:jc w:val="center"/>
        </w:trPr>
        <w:tc>
          <w:tcPr>
            <w:tcW w:w="691" w:type="dxa"/>
            <w:vMerge w:val="continue"/>
            <w:vAlign w:val="center"/>
          </w:tcPr>
          <w:p>
            <w:pPr>
              <w:widowControl/>
              <w:spacing w:line="300" w:lineRule="exact"/>
              <w:jc w:val="left"/>
              <w:rPr>
                <w:rFonts w:cs="宋体"/>
                <w:b/>
                <w:bCs/>
              </w:rPr>
            </w:pPr>
          </w:p>
        </w:tc>
        <w:tc>
          <w:tcPr>
            <w:tcW w:w="2427" w:type="dxa"/>
            <w:gridSpan w:val="2"/>
            <w:vAlign w:val="center"/>
          </w:tcPr>
          <w:p>
            <w:pPr>
              <w:spacing w:line="300" w:lineRule="exact"/>
              <w:rPr>
                <w:rFonts w:cs="宋体"/>
              </w:rPr>
            </w:pPr>
            <w:r>
              <w:rPr>
                <w:rFonts w:hint="eastAsia" w:cs="宋体"/>
              </w:rPr>
              <w:t>事故征兆</w:t>
            </w:r>
          </w:p>
        </w:tc>
        <w:tc>
          <w:tcPr>
            <w:tcW w:w="5122" w:type="dxa"/>
            <w:gridSpan w:val="2"/>
            <w:vAlign w:val="center"/>
          </w:tcPr>
          <w:p>
            <w:pPr>
              <w:spacing w:line="300" w:lineRule="exact"/>
              <w:rPr>
                <w:rFonts w:cs="宋体"/>
              </w:rPr>
            </w:pPr>
            <w:r>
              <w:rPr>
                <w:rFonts w:hint="eastAsia" w:cs="宋体"/>
              </w:rPr>
              <w:t>人员粗心大意；不法分子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 w:hRule="atLeast"/>
          <w:jc w:val="center"/>
        </w:trPr>
        <w:tc>
          <w:tcPr>
            <w:tcW w:w="691" w:type="dxa"/>
            <w:vMerge w:val="continue"/>
            <w:vAlign w:val="center"/>
          </w:tcPr>
          <w:p>
            <w:pPr>
              <w:widowControl/>
              <w:spacing w:line="300" w:lineRule="exact"/>
              <w:jc w:val="left"/>
              <w:rPr>
                <w:rFonts w:cs="宋体"/>
                <w:b/>
                <w:bCs/>
              </w:rPr>
            </w:pPr>
          </w:p>
        </w:tc>
        <w:tc>
          <w:tcPr>
            <w:tcW w:w="2427" w:type="dxa"/>
            <w:gridSpan w:val="2"/>
            <w:vAlign w:val="center"/>
          </w:tcPr>
          <w:p>
            <w:pPr>
              <w:spacing w:line="300" w:lineRule="exact"/>
              <w:rPr>
                <w:rFonts w:cs="宋体"/>
              </w:rPr>
            </w:pPr>
            <w:r>
              <w:rPr>
                <w:rFonts w:hint="eastAsia" w:cs="宋体"/>
              </w:rPr>
              <w:t>事故危害程度</w:t>
            </w:r>
          </w:p>
        </w:tc>
        <w:tc>
          <w:tcPr>
            <w:tcW w:w="5122" w:type="dxa"/>
            <w:gridSpan w:val="2"/>
            <w:vAlign w:val="center"/>
          </w:tcPr>
          <w:p>
            <w:pPr>
              <w:spacing w:line="300" w:lineRule="exact"/>
              <w:rPr>
                <w:rFonts w:cs="宋体"/>
              </w:rPr>
            </w:pPr>
            <w:r>
              <w:rPr>
                <w:rFonts w:hint="eastAsia" w:cs="宋体"/>
              </w:rPr>
              <w:t>财产损失、人员伤亡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691" w:type="dxa"/>
            <w:vMerge w:val="continue"/>
            <w:vAlign w:val="center"/>
          </w:tcPr>
          <w:p>
            <w:pPr>
              <w:widowControl/>
              <w:spacing w:line="300" w:lineRule="exact"/>
              <w:jc w:val="left"/>
              <w:rPr>
                <w:rFonts w:cs="宋体"/>
                <w:b/>
                <w:bCs/>
              </w:rPr>
            </w:pPr>
          </w:p>
        </w:tc>
        <w:tc>
          <w:tcPr>
            <w:tcW w:w="2427" w:type="dxa"/>
            <w:gridSpan w:val="2"/>
          </w:tcPr>
          <w:p>
            <w:pPr>
              <w:spacing w:line="300" w:lineRule="exact"/>
              <w:rPr>
                <w:rFonts w:cs="宋体"/>
              </w:rPr>
            </w:pPr>
            <w:r>
              <w:rPr>
                <w:rFonts w:hint="eastAsia" w:cs="宋体"/>
              </w:rPr>
              <w:t>可能引发的次生、衍生事故</w:t>
            </w:r>
          </w:p>
        </w:tc>
        <w:tc>
          <w:tcPr>
            <w:tcW w:w="5122" w:type="dxa"/>
            <w:gridSpan w:val="2"/>
          </w:tcPr>
          <w:p>
            <w:pPr>
              <w:spacing w:line="300" w:lineRule="exact"/>
              <w:rPr>
                <w:rFonts w:cs="宋体"/>
              </w:rPr>
            </w:pPr>
            <w:r>
              <w:rPr>
                <w:rFonts w:hint="eastAsia" w:cs="宋体"/>
              </w:rPr>
              <w:t>火灾爆炸事故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1" w:type="dxa"/>
            <w:vMerge w:val="continue"/>
            <w:vAlign w:val="center"/>
          </w:tcPr>
          <w:p>
            <w:pPr>
              <w:widowControl/>
              <w:spacing w:line="300" w:lineRule="exact"/>
              <w:jc w:val="left"/>
              <w:rPr>
                <w:rFonts w:cs="宋体"/>
                <w:b/>
                <w:bCs/>
              </w:rPr>
            </w:pPr>
          </w:p>
        </w:tc>
        <w:tc>
          <w:tcPr>
            <w:tcW w:w="2427" w:type="dxa"/>
            <w:gridSpan w:val="2"/>
          </w:tcPr>
          <w:p>
            <w:pPr>
              <w:spacing w:line="300" w:lineRule="exact"/>
              <w:rPr>
                <w:rFonts w:cs="宋体"/>
              </w:rPr>
            </w:pPr>
            <w:r>
              <w:rPr>
                <w:rFonts w:hint="eastAsia" w:cs="宋体"/>
              </w:rPr>
              <w:t>事故影响范围</w:t>
            </w:r>
          </w:p>
        </w:tc>
        <w:tc>
          <w:tcPr>
            <w:tcW w:w="5122" w:type="dxa"/>
            <w:gridSpan w:val="2"/>
          </w:tcPr>
          <w:p>
            <w:pPr>
              <w:spacing w:line="300" w:lineRule="exact"/>
              <w:rPr>
                <w:rFonts w:cs="宋体"/>
              </w:rPr>
            </w:pPr>
            <w:r>
              <w:rPr>
                <w:rFonts w:hint="eastAsia" w:cs="宋体"/>
              </w:rPr>
              <w:t>一般可控制在事故发生区域。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1" w:type="dxa"/>
            <w:vMerge w:val="restart"/>
            <w:vAlign w:val="center"/>
          </w:tcPr>
          <w:p>
            <w:pPr>
              <w:spacing w:line="300" w:lineRule="exact"/>
              <w:jc w:val="center"/>
              <w:rPr>
                <w:rFonts w:cs="宋体"/>
                <w:b/>
                <w:bCs/>
              </w:rPr>
            </w:pPr>
            <w:r>
              <w:rPr>
                <w:rFonts w:hint="eastAsia" w:cs="宋体"/>
                <w:b/>
                <w:bCs/>
              </w:rPr>
              <w:t>应急</w:t>
            </w:r>
          </w:p>
          <w:p>
            <w:pPr>
              <w:spacing w:line="300" w:lineRule="exact"/>
              <w:jc w:val="center"/>
              <w:rPr>
                <w:rFonts w:cs="宋体"/>
                <w:b/>
                <w:bCs/>
              </w:rPr>
            </w:pPr>
            <w:r>
              <w:rPr>
                <w:rFonts w:hint="eastAsia" w:cs="宋体"/>
                <w:b/>
                <w:bCs/>
              </w:rPr>
              <w:t>组织</w:t>
            </w:r>
          </w:p>
          <w:p>
            <w:pPr>
              <w:spacing w:line="300" w:lineRule="exact"/>
              <w:jc w:val="center"/>
              <w:rPr>
                <w:rFonts w:cs="宋体"/>
                <w:b/>
                <w:bCs/>
              </w:rPr>
            </w:pPr>
            <w:r>
              <w:rPr>
                <w:rFonts w:hint="eastAsia" w:cs="宋体"/>
                <w:b/>
                <w:bCs/>
              </w:rPr>
              <w:t>与职责</w:t>
            </w:r>
          </w:p>
        </w:tc>
        <w:tc>
          <w:tcPr>
            <w:tcW w:w="2427" w:type="dxa"/>
            <w:gridSpan w:val="2"/>
            <w:vAlign w:val="center"/>
          </w:tcPr>
          <w:p>
            <w:pPr>
              <w:spacing w:line="300" w:lineRule="exact"/>
              <w:rPr>
                <w:rFonts w:cs="宋体"/>
              </w:rPr>
            </w:pPr>
            <w:r>
              <w:rPr>
                <w:rFonts w:hint="eastAsia" w:cs="宋体"/>
              </w:rPr>
              <w:t>组织形式与人员构成</w:t>
            </w:r>
          </w:p>
        </w:tc>
        <w:tc>
          <w:tcPr>
            <w:tcW w:w="5122" w:type="dxa"/>
            <w:gridSpan w:val="2"/>
            <w:vAlign w:val="center"/>
          </w:tcPr>
          <w:p>
            <w:pPr>
              <w:spacing w:line="300" w:lineRule="exact"/>
              <w:rPr>
                <w:rFonts w:cs="宋体"/>
              </w:rPr>
            </w:pPr>
            <w:r>
              <w:rPr>
                <w:rFonts w:hint="eastAsia" w:cs="宋体"/>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91" w:type="dxa"/>
            <w:vMerge w:val="continue"/>
            <w:vAlign w:val="center"/>
          </w:tcPr>
          <w:p>
            <w:pPr>
              <w:widowControl/>
              <w:spacing w:line="300" w:lineRule="exact"/>
              <w:jc w:val="left"/>
              <w:rPr>
                <w:rFonts w:cs="宋体"/>
                <w:b/>
                <w:bCs/>
              </w:rPr>
            </w:pPr>
          </w:p>
        </w:tc>
        <w:tc>
          <w:tcPr>
            <w:tcW w:w="2427" w:type="dxa"/>
            <w:gridSpan w:val="2"/>
            <w:vAlign w:val="center"/>
          </w:tcPr>
          <w:p>
            <w:pPr>
              <w:spacing w:line="300" w:lineRule="exact"/>
              <w:rPr>
                <w:rFonts w:cs="宋体"/>
              </w:rPr>
            </w:pPr>
            <w:r>
              <w:rPr>
                <w:rFonts w:hint="eastAsia" w:cs="宋体"/>
              </w:rPr>
              <w:t>应急工作职责</w:t>
            </w:r>
          </w:p>
        </w:tc>
        <w:tc>
          <w:tcPr>
            <w:tcW w:w="5122" w:type="dxa"/>
            <w:gridSpan w:val="2"/>
            <w:vAlign w:val="center"/>
          </w:tcPr>
          <w:p>
            <w:pPr>
              <w:spacing w:line="300" w:lineRule="exact"/>
              <w:rPr>
                <w:rFonts w:cs="宋体"/>
              </w:rPr>
            </w:pPr>
            <w:r>
              <w:rPr>
                <w:rFonts w:hint="eastAsia" w:cs="宋体"/>
              </w:rPr>
              <w:t>1、发现事故和隐患及时处理和报告；</w:t>
            </w:r>
          </w:p>
          <w:p>
            <w:pPr>
              <w:spacing w:line="300" w:lineRule="exact"/>
              <w:rPr>
                <w:rFonts w:cs="宋体"/>
              </w:rPr>
            </w:pPr>
            <w:r>
              <w:rPr>
                <w:rFonts w:hint="eastAsia" w:cs="宋体"/>
              </w:rPr>
              <w:t>2、事故初起时，实施现场应急处置；</w:t>
            </w:r>
          </w:p>
          <w:p>
            <w:pPr>
              <w:spacing w:line="300" w:lineRule="exact"/>
              <w:rPr>
                <w:rFonts w:cs="宋体"/>
              </w:rPr>
            </w:pPr>
            <w:r>
              <w:rPr>
                <w:rFonts w:hint="eastAsia" w:cs="宋体"/>
              </w:rPr>
              <w:t>3、听从上一级应急救援指挥机构的指挥进行应急救援；</w:t>
            </w:r>
          </w:p>
          <w:p>
            <w:pPr>
              <w:spacing w:line="300" w:lineRule="exact"/>
              <w:rPr>
                <w:rFonts w:cs="宋体"/>
              </w:rPr>
            </w:pPr>
            <w:r>
              <w:rPr>
                <w:rFonts w:hint="eastAsia" w:cs="宋体"/>
              </w:rPr>
              <w:t>5、预计事故扩大时报告并请求启动上一级应急救援预案。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91" w:type="dxa"/>
            <w:vMerge w:val="restart"/>
            <w:vAlign w:val="center"/>
          </w:tcPr>
          <w:p>
            <w:pPr>
              <w:spacing w:line="300" w:lineRule="exact"/>
              <w:jc w:val="center"/>
              <w:rPr>
                <w:rFonts w:cs="宋体"/>
                <w:b/>
                <w:bCs/>
              </w:rPr>
            </w:pPr>
            <w:r>
              <w:rPr>
                <w:rFonts w:hint="eastAsia" w:cs="宋体"/>
                <w:b/>
                <w:bCs/>
              </w:rPr>
              <w:t>应</w:t>
            </w:r>
          </w:p>
          <w:p>
            <w:pPr>
              <w:spacing w:line="300" w:lineRule="exact"/>
              <w:jc w:val="center"/>
              <w:rPr>
                <w:rFonts w:cs="宋体"/>
                <w:b/>
                <w:bCs/>
              </w:rPr>
            </w:pPr>
            <w:r>
              <w:rPr>
                <w:rFonts w:hint="eastAsia" w:cs="宋体"/>
                <w:b/>
                <w:bCs/>
              </w:rPr>
              <w:t>急</w:t>
            </w:r>
          </w:p>
          <w:p>
            <w:pPr>
              <w:spacing w:line="300" w:lineRule="exact"/>
              <w:jc w:val="center"/>
              <w:rPr>
                <w:rFonts w:cs="宋体"/>
                <w:b/>
                <w:bCs/>
              </w:rPr>
            </w:pPr>
            <w:r>
              <w:rPr>
                <w:rFonts w:hint="eastAsia" w:cs="宋体"/>
                <w:b/>
                <w:bCs/>
              </w:rPr>
              <w:t>处</w:t>
            </w:r>
          </w:p>
          <w:p>
            <w:pPr>
              <w:spacing w:line="300" w:lineRule="exact"/>
              <w:jc w:val="center"/>
              <w:rPr>
                <w:rFonts w:cs="宋体"/>
                <w:b/>
                <w:bCs/>
              </w:rPr>
            </w:pPr>
            <w:r>
              <w:rPr>
                <w:rFonts w:hint="eastAsia" w:cs="宋体"/>
                <w:b/>
                <w:bCs/>
              </w:rPr>
              <w:t>置</w:t>
            </w:r>
          </w:p>
          <w:p>
            <w:pPr>
              <w:spacing w:line="300" w:lineRule="exact"/>
              <w:jc w:val="center"/>
              <w:rPr>
                <w:rFonts w:cs="宋体"/>
                <w:b/>
                <w:bCs/>
              </w:rPr>
            </w:pPr>
          </w:p>
        </w:tc>
        <w:tc>
          <w:tcPr>
            <w:tcW w:w="1701" w:type="dxa"/>
            <w:vAlign w:val="center"/>
          </w:tcPr>
          <w:p>
            <w:pPr>
              <w:spacing w:line="300" w:lineRule="exact"/>
              <w:jc w:val="center"/>
              <w:rPr>
                <w:rFonts w:cs="宋体"/>
                <w:b/>
                <w:bCs/>
              </w:rPr>
            </w:pPr>
            <w:r>
              <w:rPr>
                <w:rFonts w:hint="eastAsia" w:cs="宋体"/>
                <w:b/>
                <w:bCs/>
              </w:rPr>
              <w:t>步 骤</w:t>
            </w:r>
          </w:p>
        </w:tc>
        <w:tc>
          <w:tcPr>
            <w:tcW w:w="5067" w:type="dxa"/>
            <w:gridSpan w:val="2"/>
            <w:vAlign w:val="center"/>
          </w:tcPr>
          <w:p>
            <w:pPr>
              <w:spacing w:line="300" w:lineRule="exact"/>
              <w:jc w:val="center"/>
              <w:rPr>
                <w:rFonts w:cs="宋体"/>
                <w:b/>
                <w:bCs/>
              </w:rPr>
            </w:pPr>
            <w:r>
              <w:rPr>
                <w:rFonts w:hint="eastAsia" w:cs="宋体"/>
                <w:b/>
                <w:bCs/>
              </w:rPr>
              <w:t>处  置</w:t>
            </w:r>
          </w:p>
        </w:tc>
        <w:tc>
          <w:tcPr>
            <w:tcW w:w="781" w:type="dxa"/>
            <w:vAlign w:val="center"/>
          </w:tcPr>
          <w:p>
            <w:pPr>
              <w:spacing w:line="300" w:lineRule="exact"/>
              <w:jc w:val="center"/>
              <w:rPr>
                <w:rFonts w:cs="宋体"/>
                <w:b/>
                <w:bCs/>
              </w:rPr>
            </w:pPr>
            <w:r>
              <w:rPr>
                <w:rFonts w:hint="eastAsia" w:cs="宋体"/>
                <w:b/>
                <w:bCs/>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691" w:type="dxa"/>
            <w:vMerge w:val="continue"/>
            <w:vAlign w:val="center"/>
          </w:tcPr>
          <w:p>
            <w:pPr>
              <w:widowControl/>
              <w:spacing w:line="300" w:lineRule="exact"/>
              <w:jc w:val="left"/>
              <w:rPr>
                <w:rFonts w:cs="宋体"/>
                <w:b/>
                <w:bCs/>
              </w:rPr>
            </w:pPr>
          </w:p>
        </w:tc>
        <w:tc>
          <w:tcPr>
            <w:tcW w:w="1701" w:type="dxa"/>
            <w:vAlign w:val="center"/>
          </w:tcPr>
          <w:p>
            <w:pPr>
              <w:spacing w:line="300" w:lineRule="exact"/>
              <w:jc w:val="center"/>
              <w:rPr>
                <w:rFonts w:cs="宋体"/>
              </w:rPr>
            </w:pPr>
            <w:r>
              <w:rPr>
                <w:rFonts w:hint="eastAsia" w:cs="宋体"/>
              </w:rPr>
              <w:t>发现异常</w:t>
            </w:r>
          </w:p>
        </w:tc>
        <w:tc>
          <w:tcPr>
            <w:tcW w:w="5067" w:type="dxa"/>
            <w:gridSpan w:val="2"/>
            <w:vAlign w:val="center"/>
          </w:tcPr>
          <w:p>
            <w:pPr>
              <w:spacing w:line="300" w:lineRule="exact"/>
              <w:rPr>
                <w:rFonts w:cs="宋体"/>
              </w:rPr>
            </w:pPr>
            <w:r>
              <w:rPr>
                <w:rFonts w:hint="eastAsia" w:cs="宋体"/>
              </w:rPr>
              <w:t>例如：在收银时，XX收银员被嫌疑人挟持，抢持加油站营业款；在加油时，遇到恐怖分子，现场使用打火机；或加油时，加油员被嫌疑人挟持等。</w:t>
            </w:r>
          </w:p>
        </w:tc>
        <w:tc>
          <w:tcPr>
            <w:tcW w:w="781" w:type="dxa"/>
            <w:vAlign w:val="center"/>
          </w:tcPr>
          <w:p>
            <w:pPr>
              <w:spacing w:line="300" w:lineRule="exact"/>
              <w:jc w:val="center"/>
              <w:rPr>
                <w:rFonts w:cs="宋体"/>
              </w:rPr>
            </w:pPr>
            <w:r>
              <w:rPr>
                <w:rFonts w:hint="eastAsia" w:cs="宋体"/>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691" w:type="dxa"/>
            <w:vMerge w:val="continue"/>
            <w:vAlign w:val="center"/>
          </w:tcPr>
          <w:p>
            <w:pPr>
              <w:widowControl/>
              <w:spacing w:line="300" w:lineRule="exact"/>
              <w:jc w:val="left"/>
              <w:rPr>
                <w:rFonts w:cs="宋体"/>
                <w:b/>
                <w:bCs/>
              </w:rPr>
            </w:pPr>
          </w:p>
        </w:tc>
        <w:tc>
          <w:tcPr>
            <w:tcW w:w="1701" w:type="dxa"/>
            <w:vAlign w:val="center"/>
          </w:tcPr>
          <w:p>
            <w:pPr>
              <w:spacing w:line="300" w:lineRule="exact"/>
              <w:jc w:val="center"/>
              <w:rPr>
                <w:rFonts w:cs="宋体"/>
              </w:rPr>
            </w:pPr>
            <w:r>
              <w:rPr>
                <w:rFonts w:hint="eastAsia" w:cs="宋体"/>
              </w:rPr>
              <w:t>报警</w:t>
            </w:r>
          </w:p>
        </w:tc>
        <w:tc>
          <w:tcPr>
            <w:tcW w:w="5067" w:type="dxa"/>
            <w:gridSpan w:val="2"/>
            <w:vMerge w:val="restart"/>
            <w:vAlign w:val="center"/>
          </w:tcPr>
          <w:p>
            <w:pPr>
              <w:spacing w:line="300" w:lineRule="exact"/>
              <w:rPr>
                <w:rFonts w:cs="宋体"/>
              </w:rPr>
            </w:pPr>
            <w:r>
              <w:rPr>
                <w:rFonts w:hint="eastAsia" w:cs="宋体"/>
              </w:rPr>
              <w:t>向站长报告：在收银时，XX收银员被嫌疑人挟持，抢持加油站营业款；在加油时，遇到恐怖分子，现场使用打火机；或加油时，加油员被嫌疑人挟持等。</w:t>
            </w:r>
          </w:p>
          <w:p>
            <w:pPr>
              <w:spacing w:line="300" w:lineRule="exact"/>
              <w:rPr>
                <w:rFonts w:cs="宋体"/>
              </w:rPr>
            </w:pPr>
            <w:r>
              <w:rPr>
                <w:rFonts w:hint="eastAsia" w:cs="宋体"/>
              </w:rPr>
              <w:t>若发现人为本站外来人员，则发现人应直接将情况报告本站工作人员；</w:t>
            </w:r>
          </w:p>
          <w:p>
            <w:pPr>
              <w:spacing w:line="300" w:lineRule="exact"/>
              <w:rPr>
                <w:rFonts w:cs="宋体"/>
              </w:rPr>
            </w:pPr>
            <w:r>
              <w:rPr>
                <w:rFonts w:hint="eastAsia" w:cs="宋体"/>
              </w:rPr>
              <w:t>站长立即向属地派出所报告，请求调查。</w:t>
            </w:r>
          </w:p>
        </w:tc>
        <w:tc>
          <w:tcPr>
            <w:tcW w:w="781" w:type="dxa"/>
            <w:vMerge w:val="restart"/>
            <w:vAlign w:val="center"/>
          </w:tcPr>
          <w:p>
            <w:pPr>
              <w:spacing w:line="300" w:lineRule="exact"/>
              <w:jc w:val="center"/>
              <w:rPr>
                <w:rFonts w:cs="宋体"/>
              </w:rPr>
            </w:pPr>
            <w:r>
              <w:rPr>
                <w:rFonts w:hint="eastAsia" w:cs="宋体"/>
              </w:rPr>
              <w:t>发现人</w:t>
            </w:r>
          </w:p>
          <w:p>
            <w:pPr>
              <w:spacing w:line="300" w:lineRule="exact"/>
              <w:jc w:val="center"/>
              <w:rPr>
                <w:rFonts w:cs="宋体"/>
              </w:rPr>
            </w:pPr>
          </w:p>
          <w:p>
            <w:pPr>
              <w:spacing w:line="300" w:lineRule="exact"/>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8" w:hRule="atLeast"/>
          <w:jc w:val="center"/>
        </w:trPr>
        <w:tc>
          <w:tcPr>
            <w:tcW w:w="691" w:type="dxa"/>
            <w:vMerge w:val="continue"/>
            <w:vAlign w:val="center"/>
          </w:tcPr>
          <w:p>
            <w:pPr>
              <w:widowControl/>
              <w:spacing w:line="300" w:lineRule="exact"/>
              <w:jc w:val="left"/>
              <w:rPr>
                <w:rFonts w:cs="宋体"/>
                <w:b/>
                <w:bCs/>
              </w:rPr>
            </w:pPr>
          </w:p>
        </w:tc>
        <w:tc>
          <w:tcPr>
            <w:tcW w:w="1701" w:type="dxa"/>
            <w:vAlign w:val="center"/>
          </w:tcPr>
          <w:p>
            <w:pPr>
              <w:jc w:val="left"/>
              <w:rPr>
                <w:rFonts w:cs="宋体"/>
              </w:rPr>
            </w:pPr>
            <w:r>
              <w:rPr>
                <w:rFonts w:hint="eastAsia" w:cs="宋体"/>
              </w:rPr>
              <w:t>组长李德斌（站长）：13990758830</w:t>
            </w:r>
          </w:p>
          <w:p>
            <w:pPr>
              <w:jc w:val="left"/>
              <w:rPr>
                <w:rFonts w:cs="宋体"/>
              </w:rPr>
            </w:pPr>
            <w:r>
              <w:rPr>
                <w:rFonts w:hint="eastAsia" w:cs="宋体"/>
              </w:rPr>
              <w:t>副组长李力：</w:t>
            </w:r>
          </w:p>
          <w:p>
            <w:pPr>
              <w:jc w:val="left"/>
              <w:rPr>
                <w:color w:val="000000"/>
                <w:kern w:val="0"/>
              </w:rPr>
            </w:pPr>
            <w:r>
              <w:rPr>
                <w:rFonts w:hint="eastAsia"/>
                <w:color w:val="000000"/>
                <w:kern w:val="0"/>
              </w:rPr>
              <w:t>15983763300</w:t>
            </w:r>
          </w:p>
          <w:p>
            <w:pPr>
              <w:jc w:val="left"/>
              <w:rPr>
                <w:rFonts w:cs="宋体"/>
              </w:rPr>
            </w:pPr>
            <w:r>
              <w:rPr>
                <w:rFonts w:hint="eastAsia" w:cs="宋体"/>
              </w:rPr>
              <w:t>成员：</w:t>
            </w:r>
          </w:p>
          <w:p>
            <w:pPr>
              <w:jc w:val="left"/>
              <w:rPr>
                <w:rFonts w:cs="宋体"/>
              </w:rPr>
            </w:pPr>
            <w:r>
              <w:rPr>
                <w:rFonts w:hint="eastAsia" w:cs="宋体"/>
              </w:rPr>
              <w:t>赵亮（加油员）</w:t>
            </w:r>
          </w:p>
          <w:p>
            <w:pPr>
              <w:jc w:val="left"/>
              <w:rPr>
                <w:rFonts w:cs="宋体"/>
              </w:rPr>
            </w:pPr>
            <w:r>
              <w:rPr>
                <w:rFonts w:hint="eastAsia" w:cs="宋体"/>
              </w:rPr>
              <w:t>15984880338</w:t>
            </w:r>
          </w:p>
          <w:p>
            <w:pPr>
              <w:jc w:val="left"/>
              <w:rPr>
                <w:rFonts w:cs="宋体"/>
              </w:rPr>
            </w:pPr>
            <w:r>
              <w:rPr>
                <w:rFonts w:hint="eastAsia" w:cs="宋体"/>
              </w:rPr>
              <w:t>何洪艳（加油员）</w:t>
            </w:r>
          </w:p>
          <w:p>
            <w:pPr>
              <w:jc w:val="left"/>
              <w:rPr>
                <w:rFonts w:cs="宋体"/>
              </w:rPr>
            </w:pPr>
            <w:r>
              <w:rPr>
                <w:rFonts w:hint="eastAsia" w:cs="宋体"/>
              </w:rPr>
              <w:t>17383855935</w:t>
            </w:r>
          </w:p>
          <w:p>
            <w:pPr>
              <w:pStyle w:val="2"/>
              <w:ind w:firstLine="0"/>
              <w:rPr>
                <w:rFonts w:cs="宋体"/>
              </w:rPr>
            </w:pPr>
            <w:r>
              <w:rPr>
                <w:rFonts w:hint="eastAsia" w:cs="宋体"/>
              </w:rPr>
              <w:t>杨瑞萍（加油员）13989196769</w:t>
            </w:r>
          </w:p>
          <w:p>
            <w:pPr>
              <w:pStyle w:val="2"/>
              <w:ind w:firstLine="0"/>
              <w:rPr>
                <w:rFonts w:cs="宋体"/>
              </w:rPr>
            </w:pPr>
            <w:r>
              <w:rPr>
                <w:rFonts w:hint="eastAsia" w:cs="宋体"/>
              </w:rPr>
              <w:t>李小珍（洗车员）15378382951</w:t>
            </w:r>
          </w:p>
          <w:p>
            <w:pPr>
              <w:jc w:val="left"/>
              <w:rPr>
                <w:rFonts w:cs="宋体"/>
              </w:rPr>
            </w:pPr>
            <w:r>
              <w:rPr>
                <w:rFonts w:hint="eastAsia" w:cs="宋体"/>
              </w:rPr>
              <w:t xml:space="preserve">火警：119 </w:t>
            </w:r>
          </w:p>
          <w:p>
            <w:pPr>
              <w:jc w:val="left"/>
              <w:rPr>
                <w:rFonts w:cs="宋体"/>
              </w:rPr>
            </w:pPr>
            <w:r>
              <w:rPr>
                <w:rFonts w:hint="eastAsia" w:cs="宋体"/>
              </w:rPr>
              <w:t>急救：120</w:t>
            </w:r>
          </w:p>
          <w:p>
            <w:pPr>
              <w:spacing w:line="300" w:lineRule="exact"/>
              <w:rPr>
                <w:rFonts w:cs="宋体"/>
                <w:highlight w:val="yellow"/>
              </w:rPr>
            </w:pPr>
            <w:r>
              <w:rPr>
                <w:rFonts w:hint="eastAsia" w:cs="宋体"/>
              </w:rPr>
              <w:t>匪警：110</w:t>
            </w:r>
          </w:p>
        </w:tc>
        <w:tc>
          <w:tcPr>
            <w:tcW w:w="5067" w:type="dxa"/>
            <w:gridSpan w:val="2"/>
            <w:vMerge w:val="continue"/>
            <w:vAlign w:val="center"/>
          </w:tcPr>
          <w:p>
            <w:pPr>
              <w:widowControl/>
              <w:spacing w:line="300" w:lineRule="exact"/>
              <w:jc w:val="left"/>
              <w:rPr>
                <w:rFonts w:cs="宋体"/>
              </w:rPr>
            </w:pPr>
          </w:p>
        </w:tc>
        <w:tc>
          <w:tcPr>
            <w:tcW w:w="781" w:type="dxa"/>
            <w:vMerge w:val="continue"/>
            <w:vAlign w:val="center"/>
          </w:tcPr>
          <w:p>
            <w:pPr>
              <w:widowControl/>
              <w:spacing w:line="300" w:lineRule="exact"/>
              <w:jc w:val="left"/>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91" w:type="dxa"/>
            <w:vMerge w:val="continue"/>
            <w:vAlign w:val="center"/>
          </w:tcPr>
          <w:p>
            <w:pPr>
              <w:widowControl/>
              <w:spacing w:line="300" w:lineRule="exact"/>
              <w:jc w:val="left"/>
              <w:rPr>
                <w:rFonts w:cs="宋体"/>
                <w:b/>
                <w:bCs/>
              </w:rPr>
            </w:pPr>
          </w:p>
        </w:tc>
        <w:tc>
          <w:tcPr>
            <w:tcW w:w="1701" w:type="dxa"/>
            <w:vMerge w:val="restart"/>
            <w:vAlign w:val="center"/>
          </w:tcPr>
          <w:p>
            <w:pPr>
              <w:spacing w:line="300" w:lineRule="exact"/>
              <w:jc w:val="center"/>
              <w:rPr>
                <w:rFonts w:cs="宋体"/>
              </w:rPr>
            </w:pPr>
            <w:r>
              <w:rPr>
                <w:rFonts w:hint="eastAsia" w:cs="宋体"/>
              </w:rPr>
              <w:t>应急处置</w:t>
            </w:r>
          </w:p>
        </w:tc>
        <w:tc>
          <w:tcPr>
            <w:tcW w:w="5067" w:type="dxa"/>
            <w:gridSpan w:val="2"/>
            <w:vAlign w:val="center"/>
          </w:tcPr>
          <w:p>
            <w:pPr>
              <w:spacing w:line="300" w:lineRule="exact"/>
              <w:rPr>
                <w:rFonts w:cs="宋体"/>
              </w:rPr>
            </w:pPr>
            <w:r>
              <w:rPr>
                <w:rFonts w:hint="eastAsia" w:cs="宋体"/>
              </w:rPr>
              <w:t>1、立即停止作业。</w:t>
            </w:r>
          </w:p>
        </w:tc>
        <w:tc>
          <w:tcPr>
            <w:tcW w:w="781" w:type="dxa"/>
            <w:vAlign w:val="center"/>
          </w:tcPr>
          <w:p>
            <w:pPr>
              <w:spacing w:line="300" w:lineRule="exact"/>
              <w:jc w:val="center"/>
              <w:rPr>
                <w:rFonts w:cs="宋体"/>
              </w:rPr>
            </w:pPr>
            <w:r>
              <w:rPr>
                <w:rFonts w:hint="eastAsia" w:cs="宋体"/>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691" w:type="dxa"/>
            <w:vMerge w:val="continue"/>
            <w:vAlign w:val="center"/>
          </w:tcPr>
          <w:p>
            <w:pPr>
              <w:widowControl/>
              <w:spacing w:line="300" w:lineRule="exact"/>
              <w:jc w:val="left"/>
              <w:rPr>
                <w:rFonts w:cs="宋体"/>
                <w:b/>
                <w:bCs/>
              </w:rPr>
            </w:pPr>
          </w:p>
        </w:tc>
        <w:tc>
          <w:tcPr>
            <w:tcW w:w="1701" w:type="dxa"/>
            <w:vMerge w:val="continue"/>
            <w:vAlign w:val="center"/>
          </w:tcPr>
          <w:p>
            <w:pPr>
              <w:widowControl/>
              <w:spacing w:line="300" w:lineRule="exact"/>
              <w:jc w:val="left"/>
              <w:rPr>
                <w:rFonts w:cs="宋体"/>
              </w:rPr>
            </w:pPr>
          </w:p>
        </w:tc>
        <w:tc>
          <w:tcPr>
            <w:tcW w:w="5067" w:type="dxa"/>
            <w:gridSpan w:val="2"/>
            <w:vAlign w:val="center"/>
          </w:tcPr>
          <w:p>
            <w:pPr>
              <w:spacing w:line="300" w:lineRule="exact"/>
              <w:rPr>
                <w:rFonts w:cs="宋体"/>
              </w:rPr>
            </w:pPr>
            <w:r>
              <w:rPr>
                <w:rFonts w:hint="eastAsia" w:cs="宋体"/>
              </w:rPr>
              <w:t>2、封锁现场，等待警察到来。</w:t>
            </w:r>
          </w:p>
        </w:tc>
        <w:tc>
          <w:tcPr>
            <w:tcW w:w="781" w:type="dxa"/>
            <w:vAlign w:val="center"/>
          </w:tcPr>
          <w:p>
            <w:pPr>
              <w:spacing w:line="300" w:lineRule="exact"/>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1" w:type="dxa"/>
            <w:vMerge w:val="continue"/>
            <w:vAlign w:val="center"/>
          </w:tcPr>
          <w:p>
            <w:pPr>
              <w:widowControl/>
              <w:spacing w:line="300" w:lineRule="exact"/>
              <w:jc w:val="left"/>
              <w:rPr>
                <w:rFonts w:cs="宋体"/>
                <w:b/>
                <w:bCs/>
              </w:rPr>
            </w:pPr>
          </w:p>
        </w:tc>
        <w:tc>
          <w:tcPr>
            <w:tcW w:w="1701" w:type="dxa"/>
            <w:vAlign w:val="center"/>
          </w:tcPr>
          <w:p>
            <w:pPr>
              <w:spacing w:line="300" w:lineRule="exact"/>
              <w:jc w:val="center"/>
              <w:rPr>
                <w:rFonts w:cs="宋体"/>
              </w:rPr>
            </w:pPr>
            <w:r>
              <w:rPr>
                <w:rFonts w:hint="eastAsia" w:cs="宋体"/>
              </w:rPr>
              <w:t>处置流程</w:t>
            </w:r>
          </w:p>
        </w:tc>
        <w:tc>
          <w:tcPr>
            <w:tcW w:w="5848" w:type="dxa"/>
            <w:gridSpan w:val="3"/>
            <w:vAlign w:val="center"/>
          </w:tcPr>
          <w:p>
            <w:pPr>
              <w:spacing w:line="300" w:lineRule="exact"/>
              <w:rPr>
                <w:rFonts w:cs="宋体"/>
              </w:rPr>
            </w:pPr>
            <w:r>
              <w:rPr>
                <w:rFonts w:hint="eastAsia" w:cs="宋体"/>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4" w:hRule="atLeast"/>
          <w:jc w:val="center"/>
        </w:trPr>
        <w:tc>
          <w:tcPr>
            <w:tcW w:w="691" w:type="dxa"/>
            <w:vMerge w:val="continue"/>
            <w:vAlign w:val="center"/>
          </w:tcPr>
          <w:p>
            <w:pPr>
              <w:widowControl/>
              <w:spacing w:line="300" w:lineRule="exact"/>
              <w:jc w:val="left"/>
              <w:rPr>
                <w:rFonts w:cs="宋体"/>
                <w:b/>
                <w:bCs/>
              </w:rPr>
            </w:pPr>
          </w:p>
        </w:tc>
        <w:tc>
          <w:tcPr>
            <w:tcW w:w="1701" w:type="dxa"/>
            <w:vAlign w:val="center"/>
          </w:tcPr>
          <w:p>
            <w:pPr>
              <w:spacing w:line="300" w:lineRule="exact"/>
              <w:jc w:val="center"/>
              <w:rPr>
                <w:rFonts w:cs="宋体"/>
              </w:rPr>
            </w:pPr>
            <w:r>
              <w:rPr>
                <w:rFonts w:hint="eastAsia" w:cs="宋体"/>
              </w:rPr>
              <w:t>具体处置措施</w:t>
            </w:r>
          </w:p>
        </w:tc>
        <w:tc>
          <w:tcPr>
            <w:tcW w:w="5848" w:type="dxa"/>
            <w:gridSpan w:val="3"/>
            <w:vAlign w:val="center"/>
          </w:tcPr>
          <w:p>
            <w:pPr>
              <w:pStyle w:val="43"/>
              <w:spacing w:beforeLines="0" w:afterLines="0" w:line="560" w:lineRule="exact"/>
              <w:ind w:firstLine="0" w:firstLineChars="0"/>
              <w:rPr>
                <w:b/>
              </w:rPr>
            </w:pPr>
            <w:r>
              <w:rPr>
                <w:rFonts w:hint="eastAsia" w:ascii="Times New Roman" w:hAnsi="Times New Roman" w:eastAsia="宋体" w:cs="宋体"/>
                <w:b/>
                <w:bCs/>
              </w:rPr>
              <w:t>一、</w:t>
            </w:r>
            <w:r>
              <w:rPr>
                <w:rFonts w:ascii="Times New Roman" w:hAnsi="Times New Roman" w:eastAsia="宋体"/>
                <w:b/>
                <w:kern w:val="2"/>
                <w:sz w:val="24"/>
              </w:rPr>
              <w:t>歹徒实施抢劫应对措施</w:t>
            </w:r>
          </w:p>
          <w:p>
            <w:pPr>
              <w:pStyle w:val="43"/>
              <w:spacing w:beforeLines="0" w:afterLines="0" w:line="300" w:lineRule="exact"/>
              <w:ind w:firstLine="420"/>
              <w:rPr>
                <w:rFonts w:ascii="宋体" w:eastAsia="宋体" w:cs="宋体"/>
                <w:kern w:val="2"/>
                <w:sz w:val="21"/>
                <w:szCs w:val="21"/>
              </w:rPr>
            </w:pPr>
            <w:r>
              <w:rPr>
                <w:rFonts w:hint="eastAsia" w:ascii="宋体" w:eastAsia="宋体" w:cs="宋体"/>
                <w:kern w:val="2"/>
                <w:sz w:val="21"/>
                <w:szCs w:val="21"/>
              </w:rPr>
              <w:t>（1）保持冷静，在心里对自己默念“不要慌”。</w:t>
            </w:r>
          </w:p>
          <w:p>
            <w:pPr>
              <w:pStyle w:val="43"/>
              <w:spacing w:beforeLines="0" w:afterLines="0" w:line="300" w:lineRule="exact"/>
              <w:ind w:firstLine="420"/>
              <w:rPr>
                <w:rFonts w:ascii="宋体" w:eastAsia="宋体" w:cs="宋体"/>
                <w:kern w:val="2"/>
                <w:sz w:val="21"/>
                <w:szCs w:val="21"/>
              </w:rPr>
            </w:pPr>
            <w:r>
              <w:rPr>
                <w:rFonts w:hint="eastAsia" w:ascii="宋体" w:eastAsia="宋体" w:cs="宋体"/>
                <w:kern w:val="2"/>
                <w:sz w:val="21"/>
                <w:szCs w:val="21"/>
              </w:rPr>
              <w:t>（2）将之当作特殊客户服务，完全与罪犯合作，而不要试图阻止抢劫，人身安全比财物更重要，除非对方伤害您。</w:t>
            </w:r>
          </w:p>
          <w:p>
            <w:pPr>
              <w:pStyle w:val="43"/>
              <w:spacing w:beforeLines="0" w:afterLines="0" w:line="300" w:lineRule="exact"/>
              <w:ind w:firstLine="420"/>
              <w:rPr>
                <w:rFonts w:ascii="宋体" w:eastAsia="宋体" w:cs="宋体"/>
                <w:kern w:val="2"/>
                <w:sz w:val="21"/>
                <w:szCs w:val="21"/>
              </w:rPr>
            </w:pPr>
            <w:r>
              <w:rPr>
                <w:rFonts w:hint="eastAsia" w:ascii="宋体" w:eastAsia="宋体" w:cs="宋体"/>
                <w:kern w:val="2"/>
                <w:sz w:val="21"/>
                <w:szCs w:val="21"/>
              </w:rPr>
              <w:t>（3）在匪徒视线范围内不要尝试启动报警器，避免受到伤害。如之前按了报警器现在有电话回拨确认是否发生打劫，请按加油站设定的暗语进行对话。</w:t>
            </w:r>
          </w:p>
          <w:p>
            <w:pPr>
              <w:pStyle w:val="43"/>
              <w:spacing w:beforeLines="0" w:afterLines="0" w:line="300" w:lineRule="exact"/>
              <w:ind w:firstLine="420"/>
              <w:rPr>
                <w:rFonts w:ascii="宋体" w:eastAsia="宋体" w:cs="宋体"/>
                <w:kern w:val="2"/>
                <w:sz w:val="21"/>
                <w:szCs w:val="21"/>
              </w:rPr>
            </w:pPr>
            <w:r>
              <w:rPr>
                <w:rFonts w:hint="eastAsia" w:ascii="宋体" w:eastAsia="宋体" w:cs="宋体"/>
                <w:kern w:val="2"/>
                <w:sz w:val="21"/>
                <w:szCs w:val="21"/>
              </w:rPr>
              <w:t>（4）如歹徒询问如何打开保险柜、办公室门时，请按加油站现金管理程序及要求统一口径如实回答。如：“银行上门收款，保险柜须加油站和银行共同打开”等。</w:t>
            </w:r>
          </w:p>
          <w:p>
            <w:pPr>
              <w:pStyle w:val="43"/>
              <w:spacing w:beforeLines="0" w:afterLines="0" w:line="300" w:lineRule="exact"/>
              <w:ind w:firstLine="420"/>
              <w:rPr>
                <w:rFonts w:ascii="宋体" w:eastAsia="宋体" w:cs="宋体"/>
                <w:kern w:val="2"/>
                <w:sz w:val="21"/>
                <w:szCs w:val="21"/>
              </w:rPr>
            </w:pPr>
            <w:r>
              <w:rPr>
                <w:rFonts w:hint="eastAsia" w:ascii="宋体" w:eastAsia="宋体" w:cs="宋体"/>
                <w:kern w:val="2"/>
                <w:sz w:val="21"/>
                <w:szCs w:val="21"/>
              </w:rPr>
              <w:t>（5）不要盯着匪徒看，一直让您的手在对方的视线内。</w:t>
            </w:r>
          </w:p>
          <w:p>
            <w:pPr>
              <w:pStyle w:val="43"/>
              <w:spacing w:beforeLines="0" w:afterLines="0" w:line="300" w:lineRule="exact"/>
              <w:ind w:firstLine="420"/>
              <w:rPr>
                <w:rFonts w:ascii="宋体" w:eastAsia="宋体" w:cs="宋体"/>
                <w:kern w:val="2"/>
                <w:sz w:val="21"/>
                <w:szCs w:val="21"/>
              </w:rPr>
            </w:pPr>
            <w:r>
              <w:rPr>
                <w:rFonts w:hint="eastAsia" w:ascii="宋体" w:eastAsia="宋体" w:cs="宋体"/>
                <w:kern w:val="2"/>
                <w:sz w:val="21"/>
                <w:szCs w:val="21"/>
              </w:rPr>
              <w:t>（6）尽量记住匪徒的长相、年龄、性别、身高、体型、口音和服装等特征。</w:t>
            </w:r>
          </w:p>
          <w:p>
            <w:pPr>
              <w:pStyle w:val="43"/>
              <w:spacing w:beforeLines="0" w:afterLines="0" w:line="300" w:lineRule="exact"/>
              <w:ind w:firstLine="420"/>
              <w:rPr>
                <w:rFonts w:ascii="宋体" w:eastAsia="宋体" w:cs="宋体"/>
                <w:kern w:val="2"/>
                <w:sz w:val="21"/>
                <w:szCs w:val="21"/>
              </w:rPr>
            </w:pPr>
            <w:r>
              <w:rPr>
                <w:rFonts w:hint="eastAsia" w:ascii="宋体" w:eastAsia="宋体" w:cs="宋体"/>
                <w:kern w:val="2"/>
                <w:sz w:val="21"/>
                <w:szCs w:val="21"/>
              </w:rPr>
              <w:t>（7）提醒抢劫犯可能发生的意外事件。</w:t>
            </w:r>
          </w:p>
          <w:p>
            <w:pPr>
              <w:pStyle w:val="43"/>
              <w:spacing w:beforeLines="0" w:afterLines="0" w:line="300" w:lineRule="exact"/>
              <w:ind w:firstLine="420"/>
              <w:rPr>
                <w:rFonts w:ascii="宋体" w:eastAsia="宋体" w:cs="宋体"/>
                <w:kern w:val="2"/>
                <w:sz w:val="21"/>
                <w:szCs w:val="21"/>
              </w:rPr>
            </w:pPr>
            <w:r>
              <w:rPr>
                <w:rFonts w:hint="eastAsia" w:ascii="宋体" w:eastAsia="宋体" w:cs="宋体"/>
                <w:kern w:val="2"/>
                <w:sz w:val="21"/>
                <w:szCs w:val="21"/>
              </w:rPr>
              <w:t>（8）等到罪犯全部离开后才可移动，在任何情况下都不要跟踪罪犯或离开油站。</w:t>
            </w:r>
          </w:p>
          <w:p>
            <w:pPr>
              <w:spacing w:line="300" w:lineRule="exact"/>
              <w:ind w:firstLine="420" w:firstLineChars="200"/>
              <w:rPr>
                <w:rFonts w:ascii="宋体" w:hAnsi="宋体" w:cs="宋体"/>
              </w:rPr>
            </w:pPr>
            <w:r>
              <w:rPr>
                <w:rFonts w:hint="eastAsia" w:ascii="宋体" w:hAnsi="宋体" w:cs="宋体"/>
              </w:rPr>
              <w:t>与歹徒对话时，合理用语，避免语言上惹怒歹徒。</w:t>
            </w:r>
          </w:p>
          <w:p>
            <w:pPr>
              <w:spacing w:line="300" w:lineRule="exact"/>
              <w:rPr>
                <w:rFonts w:cs="宋体"/>
                <w:b/>
                <w:bCs/>
              </w:rPr>
            </w:pPr>
            <w:r>
              <w:rPr>
                <w:rFonts w:hint="eastAsia" w:cs="宋体"/>
                <w:b/>
                <w:bCs/>
              </w:rPr>
              <w:t>二、</w:t>
            </w:r>
            <w:r>
              <w:rPr>
                <w:b/>
                <w:sz w:val="24"/>
              </w:rPr>
              <w:t>遇匿名威胁爆炸或扬言爆炸应对措施</w:t>
            </w:r>
          </w:p>
          <w:p>
            <w:pPr>
              <w:pStyle w:val="43"/>
              <w:spacing w:beforeLines="0" w:afterLines="0" w:line="300" w:lineRule="exact"/>
              <w:ind w:firstLine="420"/>
              <w:rPr>
                <w:rFonts w:ascii="Times New Roman" w:hAnsi="Times New Roman" w:eastAsia="宋体" w:cs="宋体"/>
                <w:kern w:val="2"/>
                <w:sz w:val="21"/>
                <w:szCs w:val="21"/>
              </w:rPr>
            </w:pPr>
            <w:r>
              <w:rPr>
                <w:rFonts w:hint="eastAsia" w:ascii="Times New Roman" w:hAnsi="Times New Roman" w:eastAsia="宋体" w:cs="宋体"/>
                <w:kern w:val="2"/>
                <w:sz w:val="21"/>
                <w:szCs w:val="21"/>
              </w:rPr>
              <w:t>（1）认真对待，不能存在侥幸心理。</w:t>
            </w:r>
          </w:p>
          <w:p>
            <w:pPr>
              <w:pStyle w:val="43"/>
              <w:spacing w:beforeLines="0" w:afterLines="0" w:line="300" w:lineRule="exact"/>
              <w:ind w:firstLine="420"/>
              <w:rPr>
                <w:rFonts w:ascii="Times New Roman" w:hAnsi="Times New Roman" w:eastAsia="宋体" w:cs="宋体"/>
                <w:kern w:val="2"/>
                <w:sz w:val="21"/>
                <w:szCs w:val="21"/>
              </w:rPr>
            </w:pPr>
            <w:r>
              <w:rPr>
                <w:rFonts w:hint="eastAsia" w:ascii="Times New Roman" w:hAnsi="Times New Roman" w:eastAsia="宋体" w:cs="宋体"/>
                <w:kern w:val="2"/>
                <w:sz w:val="21"/>
                <w:szCs w:val="21"/>
              </w:rPr>
              <w:t>（2）报告上级。拨打110。</w:t>
            </w:r>
          </w:p>
          <w:p>
            <w:pPr>
              <w:pStyle w:val="43"/>
              <w:spacing w:beforeLines="0" w:afterLines="0" w:line="300" w:lineRule="exact"/>
              <w:ind w:firstLine="420"/>
              <w:rPr>
                <w:rFonts w:ascii="Times New Roman" w:hAnsi="Times New Roman" w:eastAsia="宋体" w:cs="宋体"/>
                <w:kern w:val="2"/>
                <w:sz w:val="21"/>
                <w:szCs w:val="21"/>
              </w:rPr>
            </w:pPr>
            <w:r>
              <w:rPr>
                <w:rFonts w:hint="eastAsia" w:ascii="Times New Roman" w:hAnsi="Times New Roman" w:eastAsia="宋体" w:cs="宋体"/>
                <w:kern w:val="2"/>
                <w:sz w:val="21"/>
                <w:szCs w:val="21"/>
              </w:rPr>
              <w:t>（3）尽可能关闭电源，撤离现场。</w:t>
            </w:r>
          </w:p>
          <w:p>
            <w:pPr>
              <w:pStyle w:val="43"/>
              <w:spacing w:beforeLines="0" w:afterLines="0" w:line="300" w:lineRule="exact"/>
              <w:ind w:firstLine="420"/>
              <w:rPr>
                <w:rFonts w:ascii="Times New Roman" w:hAnsi="Times New Roman" w:eastAsia="宋体" w:cs="宋体"/>
                <w:kern w:val="2"/>
                <w:sz w:val="21"/>
                <w:szCs w:val="21"/>
              </w:rPr>
            </w:pPr>
            <w:r>
              <w:rPr>
                <w:rFonts w:hint="eastAsia" w:ascii="Times New Roman" w:hAnsi="Times New Roman" w:eastAsia="宋体" w:cs="宋体"/>
                <w:kern w:val="2"/>
                <w:sz w:val="21"/>
                <w:szCs w:val="21"/>
              </w:rPr>
              <w:t>（4）撤离后密切关注周围发生的可疑人、事、物。</w:t>
            </w:r>
          </w:p>
          <w:p>
            <w:pPr>
              <w:pStyle w:val="43"/>
              <w:spacing w:beforeLines="0" w:afterLines="0" w:line="300" w:lineRule="exact"/>
              <w:ind w:firstLine="420"/>
              <w:rPr>
                <w:rFonts w:ascii="Times New Roman" w:hAnsi="Times New Roman" w:eastAsia="宋体" w:cs="宋体"/>
                <w:b/>
                <w:bCs/>
              </w:rPr>
            </w:pPr>
            <w:r>
              <w:rPr>
                <w:rFonts w:hint="eastAsia" w:ascii="Times New Roman" w:hAnsi="Times New Roman" w:eastAsia="宋体" w:cs="宋体"/>
                <w:kern w:val="2"/>
                <w:sz w:val="21"/>
                <w:szCs w:val="21"/>
              </w:rPr>
              <w:t>（5）用手机、照相机或录像机，记录下现场。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1" w:type="dxa"/>
            <w:vMerge w:val="continue"/>
            <w:vAlign w:val="center"/>
          </w:tcPr>
          <w:p>
            <w:pPr>
              <w:widowControl/>
              <w:spacing w:line="300" w:lineRule="exact"/>
              <w:jc w:val="left"/>
              <w:rPr>
                <w:rFonts w:cs="宋体"/>
                <w:b/>
                <w:bCs/>
              </w:rPr>
            </w:pPr>
          </w:p>
        </w:tc>
        <w:tc>
          <w:tcPr>
            <w:tcW w:w="1701" w:type="dxa"/>
            <w:vAlign w:val="center"/>
          </w:tcPr>
          <w:p>
            <w:pPr>
              <w:spacing w:line="300" w:lineRule="exact"/>
              <w:jc w:val="center"/>
              <w:rPr>
                <w:rFonts w:cs="宋体"/>
              </w:rPr>
            </w:pPr>
            <w:r>
              <w:rPr>
                <w:rFonts w:hint="eastAsia" w:cs="宋体"/>
              </w:rPr>
              <w:t>事故报告</w:t>
            </w:r>
          </w:p>
        </w:tc>
        <w:tc>
          <w:tcPr>
            <w:tcW w:w="5848" w:type="dxa"/>
            <w:gridSpan w:val="3"/>
            <w:vAlign w:val="center"/>
          </w:tcPr>
          <w:p>
            <w:pPr>
              <w:spacing w:line="300" w:lineRule="exact"/>
              <w:rPr>
                <w:rFonts w:cs="宋体"/>
              </w:rPr>
            </w:pPr>
            <w:r>
              <w:rPr>
                <w:rFonts w:hint="eastAsia" w:cs="宋体"/>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91" w:type="dxa"/>
            <w:vMerge w:val="continue"/>
            <w:vAlign w:val="center"/>
          </w:tcPr>
          <w:p>
            <w:pPr>
              <w:widowControl/>
              <w:spacing w:line="300" w:lineRule="exact"/>
              <w:jc w:val="left"/>
              <w:rPr>
                <w:rFonts w:cs="宋体"/>
                <w:b/>
                <w:bCs/>
              </w:rPr>
            </w:pPr>
          </w:p>
        </w:tc>
        <w:tc>
          <w:tcPr>
            <w:tcW w:w="1701" w:type="dxa"/>
            <w:vAlign w:val="center"/>
          </w:tcPr>
          <w:p>
            <w:pPr>
              <w:spacing w:line="300" w:lineRule="exact"/>
              <w:jc w:val="center"/>
              <w:rPr>
                <w:rFonts w:cs="宋体"/>
              </w:rPr>
            </w:pPr>
            <w:r>
              <w:rPr>
                <w:rFonts w:hint="eastAsia" w:cs="宋体"/>
              </w:rPr>
              <w:t>现场恢复</w:t>
            </w:r>
          </w:p>
        </w:tc>
        <w:tc>
          <w:tcPr>
            <w:tcW w:w="5848" w:type="dxa"/>
            <w:gridSpan w:val="3"/>
            <w:vAlign w:val="center"/>
          </w:tcPr>
          <w:p>
            <w:pPr>
              <w:spacing w:line="300" w:lineRule="exact"/>
              <w:rPr>
                <w:rFonts w:cs="宋体"/>
              </w:rPr>
            </w:pPr>
            <w:r>
              <w:rPr>
                <w:rFonts w:hint="eastAsia" w:cs="宋体"/>
              </w:rPr>
              <w:t>查明原因后，解决纠纷后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91" w:type="dxa"/>
            <w:vAlign w:val="center"/>
          </w:tcPr>
          <w:p>
            <w:pPr>
              <w:spacing w:line="300" w:lineRule="exact"/>
              <w:jc w:val="center"/>
              <w:rPr>
                <w:rFonts w:cs="宋体"/>
                <w:b/>
                <w:bCs/>
              </w:rPr>
            </w:pPr>
            <w:r>
              <w:rPr>
                <w:rFonts w:hint="eastAsia" w:cs="宋体"/>
                <w:b/>
                <w:bCs/>
              </w:rPr>
              <w:t>注意</w:t>
            </w:r>
          </w:p>
          <w:p>
            <w:pPr>
              <w:spacing w:line="300" w:lineRule="exact"/>
              <w:jc w:val="center"/>
              <w:rPr>
                <w:rFonts w:cs="宋体"/>
                <w:b/>
                <w:bCs/>
              </w:rPr>
            </w:pPr>
            <w:r>
              <w:rPr>
                <w:rFonts w:hint="eastAsia" w:cs="宋体"/>
                <w:b/>
                <w:bCs/>
              </w:rPr>
              <w:t>事项</w:t>
            </w:r>
          </w:p>
        </w:tc>
        <w:tc>
          <w:tcPr>
            <w:tcW w:w="7549" w:type="dxa"/>
            <w:gridSpan w:val="4"/>
            <w:vAlign w:val="center"/>
          </w:tcPr>
          <w:p>
            <w:pPr>
              <w:spacing w:line="300" w:lineRule="exact"/>
              <w:rPr>
                <w:rFonts w:cs="宋体"/>
              </w:rPr>
            </w:pPr>
            <w:r>
              <w:rPr>
                <w:rFonts w:hint="eastAsia" w:cs="宋体"/>
              </w:rPr>
              <w:t>1、保持救援电话畅通；2、态度端正</w:t>
            </w:r>
          </w:p>
        </w:tc>
      </w:tr>
    </w:tbl>
    <w:p>
      <w:pPr>
        <w:spacing w:line="360" w:lineRule="auto"/>
        <w:rPr>
          <w:rFonts w:cs="宋体"/>
        </w:rPr>
      </w:pPr>
    </w:p>
    <w:p>
      <w:pPr>
        <w:spacing w:line="360" w:lineRule="auto"/>
        <w:jc w:val="center"/>
        <w:outlineLvl w:val="0"/>
        <w:rPr>
          <w:rFonts w:cs="宋体"/>
          <w:b/>
          <w:bCs/>
          <w:sz w:val="32"/>
          <w:szCs w:val="32"/>
        </w:rPr>
      </w:pPr>
      <w:r>
        <w:rPr>
          <w:rFonts w:hint="eastAsia" w:cs="宋体"/>
        </w:rPr>
        <w:br w:type="page"/>
      </w:r>
      <w:bookmarkStart w:id="916" w:name="_Toc32607"/>
      <w:bookmarkStart w:id="917" w:name="_Toc12179"/>
      <w:bookmarkStart w:id="918" w:name="_Toc27347"/>
      <w:bookmarkStart w:id="919" w:name="_Toc16830"/>
      <w:r>
        <w:rPr>
          <w:rFonts w:hint="eastAsia" w:cs="宋体"/>
          <w:b/>
          <w:bCs/>
          <w:sz w:val="32"/>
          <w:szCs w:val="32"/>
        </w:rPr>
        <w:t>八、油罐人孔井受限空间作业和可燃气体聚集处置措施</w:t>
      </w:r>
      <w:bookmarkEnd w:id="916"/>
      <w:bookmarkEnd w:id="917"/>
      <w:bookmarkEnd w:id="918"/>
      <w:bookmarkEnd w:id="919"/>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8.1 受限空间作业实施作业证管理，作业前应办理《受限空间安全作业证》（以下简称《作业证》）。</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8.2 安全隔绝</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8.2.1 受限空间与其他系统连通的可能危及安全作业的管道应采取有效隔离措施。</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8.2.2 管道安全隔绝可采用插入盲板或拆除一段管道进行隔绝，不能用水封或关闭阀门等代替盲板或拆除管道。</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8.2.3 与受限空间相连通的可能危及安全作业的孔、洞应进行严密地封堵。</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8.2.4 受限空间带有搅拌器等用电设备时，应在停机后切断电源，上锁并加挂警示牌。</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8.3 清洗或置换</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受限空间作业前，应根据受限空间盛装（过）的物料的特性，对受限空间进行清洗或置换，并达到下列要求：</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8.3.1 氧含量一般为18%～21%，在富氧环境下不得大于23.5%。</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8.3.2 有毒气体（物质）浓度应符合GBZ 2 的规定。</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8.3.3 可燃气体浓度：当被测气体或蒸气的爆炸下限大于等于4%时，其被测浓度不大于0.5%（体积百分数）；当被测气体或蒸气的爆炸下限小于4%时，其被测浓度不大于0.2%（体积百分数）。</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8.4 通风</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应采取措施，保持受限空间空气良好流通。</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8.4.1 打开人孔、手孔、料孔、风门、烟门等与大气相通的设施进行自然通风。</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8.4.2 必要时，可采取强制通风。</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8.4.3 采用管道送风时，送风前应对管道内介质和风源进行分析确认。</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8.4.4 禁止向受限空间充氧气或富氧空气。</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8.5 监测</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8.5.1 作业前 30 min 内，应对受限空间进行气体采样分析，分析合格后方可进入。</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8.5.2 分析仪器应在校验有效期内，使用前应保证其处于正常工作状态。</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8.5.3 采样点应有代表性，容积较大的受限空间，应采取上、中、下各部位取样。</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8.5.4 作业中应定时监测，至少每 2 h 监测一次，如监测分析结果有明显变化，则应加大监测频率；作业中断超过 30 min 应重新进行监测分析，对可能释放有害物质的受限空间，应连续监测。情况异常时应立即停止作业，撤离人员，经对现场处理，并取样分析合格后方可恢复作业。</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8.5.5 涂刷具有挥发性溶剂的涂料时，应做连续分析，并采取强制通风措施。</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8.5.6 采样人员深入或探入受限空间采样时应采取 4.6 中规定的防护措施。</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8.6 个体防护措施</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受限空间经清洗或置换不能达到 4.3 的要求时，应采取相应的防护措施方可作业。</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8.6.1 在缺氧或有毒的受限空间作业时，应佩戴隔离式防护面具，必要时作业人员应拴带救生绳。</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8.6.2 在易燃易爆的受限空间作业时，应穿防静电工作服、工作鞋，使用防爆型低压灯具及不发生火花的工具。</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8.6.3 在有酸碱等腐蚀性介质的受限空间作业时，应穿戴好防酸碱工作服、工作鞋、手套等护品。</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8.6.4 在产生噪声的受限空间作业时，应佩戴耳塞或耳罩等防噪声护具。</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8.7 照明及用电安全</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8.7.1 受限空间照明电压应小于等于 36V，在潮湿容器、狭小容器内作业电压应小于等于 12V。</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8.7.2 使用超过安全电压的手持电动工具作业或进行电焊作业时，应配备漏电保护器。在潮湿容器中，</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作业人员应站在绝缘板上，同时保证金属容器接地可靠。</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8.7.3 临时用电应办理用电手续，按 GB/T 13869 规定架设和拆除。</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8.8 监护</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8.8.1 受限空间作业，在受限空间外应设有专人监护。</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8.8.2 进入受限空间前，监护人应会同作业人员检查安全措施，统一联系信号。</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8.8.3 在风险较大的受限空间作业，应增设监护人员，并随时保持与受限空间作业人员的联络。</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8.8.4 监护人员不得脱离岗位，并应掌握受限空间作业人员的人数和身份，对人员和工器具进行清点。</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8.9 其他安全要求</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8.9.1 在受限空间作业时应在受限空间外设置安全警示标志。</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8.9.2 受限空间出入口应保持畅通。</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8.9.3 多工种、多层交叉作业应采取互相之间避免伤害的措施。</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8.9.4 作业人员不得携带与作业无关的物品进入受限空间，作业中不得抛掷材料、工器具等物品。</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8.9.5 受限空间外应备有空气呼吸器(氧气呼吸器)、消防器材和清水等相应的应急用品。</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8.9.6 严禁作业人员在有毒、窒息环境下摘下防毒面具。</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8.9.7 难度大、劳动强度大、时间长的受限空间作业应采取轮换作业。</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8.9.8 在受限空间进行高处作业应按 AQ××××-××××《化学品生产单位高处作业安全规范》的规定进行，应搭设安全梯或安全平台。</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8.9.9 在受限空间进行动火作业应按 AQ××××-××××《化学品生产单位动火作业安全规范》的规定进行。</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8.9.10 作业前后应清点作业人员和作业工器具。作业人员离开受限空间作业点时，应将作业工器具带出。</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8.9.11 作业结束后，由受限空间所在单位和作业单位共同检查受限空间内外，确认无问题后方可封闭受限空间。</w:t>
      </w:r>
    </w:p>
    <w:p>
      <w:pPr>
        <w:spacing w:line="360" w:lineRule="auto"/>
        <w:rPr>
          <w:rFonts w:cs="宋体"/>
          <w:b/>
          <w:sz w:val="32"/>
          <w:szCs w:val="32"/>
        </w:rPr>
      </w:pPr>
      <w:r>
        <w:rPr>
          <w:rFonts w:hint="eastAsia" w:cs="宋体"/>
        </w:rPr>
        <w:br w:type="page"/>
      </w:r>
      <w:bookmarkStart w:id="920" w:name="_Toc28853"/>
      <w:bookmarkEnd w:id="920"/>
      <w:bookmarkStart w:id="921" w:name="_Toc504989644"/>
      <w:r>
        <w:rPr>
          <w:rFonts w:hint="eastAsia" w:cs="宋体"/>
          <w:b/>
          <w:sz w:val="32"/>
          <w:szCs w:val="32"/>
        </w:rPr>
        <w:t>附件</w:t>
      </w:r>
      <w:bookmarkEnd w:id="921"/>
    </w:p>
    <w:p>
      <w:pPr>
        <w:pStyle w:val="4"/>
        <w:spacing w:before="0" w:after="0"/>
        <w:rPr>
          <w:rStyle w:val="51"/>
          <w:rFonts w:hint="default" w:ascii="Times New Roman" w:hAnsi="Times New Roman" w:cs="宋体"/>
          <w:b w:val="0"/>
          <w:bCs w:val="0"/>
          <w:sz w:val="28"/>
          <w:szCs w:val="28"/>
        </w:rPr>
      </w:pPr>
      <w:bookmarkStart w:id="922" w:name="_Toc24919"/>
      <w:bookmarkEnd w:id="922"/>
      <w:bookmarkStart w:id="923" w:name="_Toc5164"/>
      <w:bookmarkEnd w:id="923"/>
      <w:bookmarkStart w:id="924" w:name="_Toc504989645"/>
      <w:bookmarkStart w:id="925" w:name="_Toc29871"/>
      <w:bookmarkStart w:id="926" w:name="_Toc15033"/>
      <w:bookmarkStart w:id="927" w:name="_Toc24470"/>
      <w:bookmarkStart w:id="928" w:name="_Toc14246"/>
      <w:bookmarkStart w:id="929" w:name="_Toc530594677"/>
      <w:r>
        <w:rPr>
          <w:rStyle w:val="51"/>
          <w:rFonts w:hint="default" w:ascii="Times New Roman" w:hAnsi="Times New Roman" w:cs="宋体"/>
          <w:b w:val="0"/>
          <w:bCs w:val="0"/>
          <w:sz w:val="28"/>
          <w:szCs w:val="28"/>
        </w:rPr>
        <w:t xml:space="preserve">附件1 </w:t>
      </w:r>
      <w:bookmarkEnd w:id="924"/>
      <w:r>
        <w:rPr>
          <w:rStyle w:val="51"/>
          <w:rFonts w:hint="default" w:ascii="Times New Roman" w:hAnsi="Times New Roman" w:cs="宋体"/>
          <w:b w:val="0"/>
          <w:bCs w:val="0"/>
          <w:sz w:val="28"/>
          <w:szCs w:val="28"/>
        </w:rPr>
        <w:t>应急领导小组及应急队伍</w:t>
      </w:r>
      <w:bookmarkEnd w:id="925"/>
      <w:bookmarkEnd w:id="926"/>
      <w:bookmarkEnd w:id="927"/>
      <w:bookmarkEnd w:id="928"/>
      <w:bookmarkEnd w:id="929"/>
    </w:p>
    <w:p>
      <w:pPr>
        <w:spacing w:line="360" w:lineRule="auto"/>
        <w:ind w:firstLine="480" w:firstLineChars="200"/>
        <w:rPr>
          <w:rFonts w:cs="宋体"/>
          <w:sz w:val="24"/>
        </w:rPr>
      </w:pPr>
      <w:r>
        <w:rPr>
          <w:rFonts w:hint="eastAsia" w:cs="宋体"/>
          <w:sz w:val="24"/>
        </w:rPr>
        <w:t>应急救援组组长：李德斌</w:t>
      </w:r>
    </w:p>
    <w:p>
      <w:pPr>
        <w:spacing w:line="360" w:lineRule="auto"/>
        <w:ind w:firstLine="480" w:firstLineChars="200"/>
        <w:rPr>
          <w:rFonts w:cs="宋体"/>
          <w:sz w:val="24"/>
        </w:rPr>
      </w:pPr>
      <w:r>
        <w:rPr>
          <w:rFonts w:hint="eastAsia" w:cs="宋体"/>
          <w:sz w:val="24"/>
        </w:rPr>
        <w:t>应急救援组副组长：</w:t>
      </w:r>
      <w:r>
        <w:rPr>
          <w:rFonts w:hint="eastAsia" w:cs="宋体"/>
          <w:kern w:val="0"/>
          <w:sz w:val="24"/>
        </w:rPr>
        <w:t>李力</w:t>
      </w:r>
    </w:p>
    <w:p>
      <w:pPr>
        <w:spacing w:line="360" w:lineRule="auto"/>
        <w:ind w:firstLine="480" w:firstLineChars="200"/>
        <w:rPr>
          <w:rFonts w:cs="宋体"/>
          <w:kern w:val="0"/>
          <w:sz w:val="24"/>
        </w:rPr>
      </w:pPr>
      <w:r>
        <w:rPr>
          <w:rFonts w:hint="eastAsia" w:cs="宋体"/>
          <w:sz w:val="24"/>
        </w:rPr>
        <w:t>现场应急处置人员：</w:t>
      </w:r>
      <w:r>
        <w:rPr>
          <w:rFonts w:hint="eastAsia" w:cs="宋体"/>
          <w:kern w:val="0"/>
          <w:sz w:val="24"/>
        </w:rPr>
        <w:t>赵亮、何洪艳、杨瑞萍、李小珍</w:t>
      </w:r>
    </w:p>
    <w:p>
      <w:pPr>
        <w:pStyle w:val="2"/>
        <w:rPr>
          <w:rFonts w:cs="宋体"/>
          <w:kern w:val="0"/>
          <w:sz w:val="24"/>
        </w:rPr>
      </w:pPr>
    </w:p>
    <w:p>
      <w:pPr>
        <w:pStyle w:val="2"/>
        <w:rPr>
          <w:rFonts w:cs="宋体"/>
          <w:kern w:val="0"/>
          <w:sz w:val="24"/>
        </w:rPr>
      </w:pPr>
    </w:p>
    <w:p>
      <w:pPr>
        <w:outlineLvl w:val="1"/>
        <w:rPr>
          <w:rStyle w:val="51"/>
          <w:rFonts w:hint="default" w:ascii="Times New Roman" w:hAnsi="Times New Roman" w:cs="宋体"/>
          <w:sz w:val="24"/>
          <w:szCs w:val="24"/>
        </w:rPr>
      </w:pPr>
      <w:bookmarkStart w:id="930" w:name="_Toc1697"/>
      <w:bookmarkEnd w:id="930"/>
      <w:bookmarkStart w:id="931" w:name="_Toc26892"/>
      <w:bookmarkEnd w:id="931"/>
      <w:bookmarkStart w:id="932" w:name="_Toc7622"/>
      <w:bookmarkStart w:id="933" w:name="_Toc530594678"/>
      <w:bookmarkStart w:id="934" w:name="_Toc19547"/>
      <w:bookmarkStart w:id="935" w:name="_Toc504989646"/>
      <w:r>
        <w:rPr>
          <w:rStyle w:val="51"/>
          <w:rFonts w:hint="default" w:ascii="Times New Roman" w:hAnsi="Times New Roman" w:cs="宋体"/>
          <w:sz w:val="24"/>
          <w:szCs w:val="24"/>
        </w:rPr>
        <w:t>附件2 站上应急人员、其他有关应急部门、机构联系方式</w:t>
      </w:r>
      <w:bookmarkEnd w:id="932"/>
      <w:bookmarkEnd w:id="933"/>
      <w:bookmarkEnd w:id="934"/>
      <w:bookmarkEnd w:id="935"/>
    </w:p>
    <w:p>
      <w:pPr>
        <w:spacing w:line="460" w:lineRule="exact"/>
        <w:ind w:right="560"/>
        <w:rPr>
          <w:rStyle w:val="51"/>
          <w:rFonts w:hint="default" w:ascii="Times New Roman" w:hAnsi="Times New Roman" w:cs="宋体"/>
        </w:rPr>
      </w:pPr>
      <w:r>
        <w:rPr>
          <w:rStyle w:val="52"/>
          <w:rFonts w:hint="eastAsia" w:ascii="Times New Roman" w:hAnsi="Times New Roman" w:cs="宋体"/>
          <w:sz w:val="28"/>
          <w:szCs w:val="28"/>
        </w:rPr>
        <w:t>表1</w:t>
      </w:r>
    </w:p>
    <w:tbl>
      <w:tblPr>
        <w:tblStyle w:val="35"/>
        <w:tblW w:w="8081" w:type="dxa"/>
        <w:jc w:val="center"/>
        <w:tblInd w:w="26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525"/>
        <w:gridCol w:w="1902"/>
        <w:gridCol w:w="1675"/>
        <w:gridCol w:w="19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525" w:type="dxa"/>
            <w:vAlign w:val="center"/>
          </w:tcPr>
          <w:p>
            <w:pPr>
              <w:jc w:val="center"/>
              <w:rPr>
                <w:rFonts w:ascii="宋体" w:hAnsi="宋体" w:cs="宋体"/>
                <w:b/>
                <w:bCs/>
                <w:sz w:val="24"/>
                <w:szCs w:val="24"/>
              </w:rPr>
            </w:pPr>
            <w:r>
              <w:rPr>
                <w:rFonts w:hint="eastAsia" w:ascii="宋体" w:hAnsi="宋体" w:cs="宋体"/>
                <w:b/>
                <w:bCs/>
                <w:sz w:val="24"/>
                <w:szCs w:val="24"/>
              </w:rPr>
              <w:t>岗 位</w:t>
            </w:r>
          </w:p>
        </w:tc>
        <w:tc>
          <w:tcPr>
            <w:tcW w:w="1902" w:type="dxa"/>
            <w:vAlign w:val="center"/>
          </w:tcPr>
          <w:p>
            <w:pPr>
              <w:jc w:val="center"/>
              <w:rPr>
                <w:rFonts w:ascii="宋体" w:hAnsi="宋体" w:cs="宋体"/>
                <w:b/>
                <w:bCs/>
                <w:sz w:val="24"/>
                <w:szCs w:val="24"/>
              </w:rPr>
            </w:pPr>
            <w:r>
              <w:rPr>
                <w:rFonts w:hint="eastAsia" w:ascii="宋体" w:hAnsi="宋体" w:cs="宋体"/>
                <w:b/>
                <w:bCs/>
                <w:sz w:val="24"/>
                <w:szCs w:val="24"/>
              </w:rPr>
              <w:t>姓名</w:t>
            </w:r>
          </w:p>
        </w:tc>
        <w:tc>
          <w:tcPr>
            <w:tcW w:w="1675" w:type="dxa"/>
            <w:vAlign w:val="center"/>
          </w:tcPr>
          <w:p>
            <w:pPr>
              <w:jc w:val="center"/>
              <w:rPr>
                <w:rFonts w:ascii="宋体" w:hAnsi="宋体" w:cs="宋体"/>
                <w:b/>
                <w:bCs/>
                <w:sz w:val="24"/>
                <w:szCs w:val="24"/>
              </w:rPr>
            </w:pPr>
            <w:r>
              <w:rPr>
                <w:rFonts w:hint="eastAsia" w:ascii="宋体" w:hAnsi="宋体" w:cs="宋体"/>
                <w:b/>
                <w:bCs/>
                <w:sz w:val="24"/>
                <w:szCs w:val="24"/>
              </w:rPr>
              <w:t>职务</w:t>
            </w:r>
          </w:p>
        </w:tc>
        <w:tc>
          <w:tcPr>
            <w:tcW w:w="1979" w:type="dxa"/>
            <w:vAlign w:val="center"/>
          </w:tcPr>
          <w:p>
            <w:pPr>
              <w:jc w:val="center"/>
              <w:rPr>
                <w:rFonts w:ascii="宋体" w:hAnsi="宋体" w:cs="宋体"/>
                <w:b/>
                <w:bCs/>
                <w:sz w:val="24"/>
                <w:szCs w:val="24"/>
              </w:rPr>
            </w:pPr>
            <w:r>
              <w:rPr>
                <w:rFonts w:hint="eastAsia" w:ascii="宋体" w:hAnsi="宋体" w:cs="宋体"/>
                <w:b/>
                <w:bCs/>
                <w:sz w:val="24"/>
                <w:szCs w:val="24"/>
              </w:rPr>
              <w:t>联系方式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525" w:type="dxa"/>
            <w:vAlign w:val="center"/>
          </w:tcPr>
          <w:p>
            <w:pPr>
              <w:jc w:val="center"/>
              <w:rPr>
                <w:rFonts w:ascii="宋体" w:hAnsi="宋体" w:cs="宋体"/>
                <w:sz w:val="24"/>
                <w:szCs w:val="24"/>
              </w:rPr>
            </w:pPr>
            <w:r>
              <w:rPr>
                <w:rFonts w:hint="eastAsia" w:ascii="宋体" w:hAnsi="宋体" w:cs="宋体"/>
                <w:sz w:val="24"/>
                <w:szCs w:val="24"/>
              </w:rPr>
              <w:t>应急救援组组长</w:t>
            </w:r>
          </w:p>
        </w:tc>
        <w:tc>
          <w:tcPr>
            <w:tcW w:w="1902" w:type="dxa"/>
            <w:vAlign w:val="center"/>
          </w:tcPr>
          <w:p>
            <w:pPr>
              <w:widowControl/>
              <w:jc w:val="center"/>
              <w:textAlignment w:val="center"/>
              <w:rPr>
                <w:rFonts w:ascii="宋体" w:hAnsi="宋体" w:cs="宋体"/>
                <w:sz w:val="24"/>
                <w:szCs w:val="24"/>
              </w:rPr>
            </w:pPr>
            <w:r>
              <w:rPr>
                <w:rFonts w:hint="eastAsia" w:cs="宋体"/>
                <w:sz w:val="24"/>
              </w:rPr>
              <w:t>李德斌</w:t>
            </w:r>
          </w:p>
        </w:tc>
        <w:tc>
          <w:tcPr>
            <w:tcW w:w="1675" w:type="dxa"/>
            <w:vAlign w:val="center"/>
          </w:tcPr>
          <w:p>
            <w:pPr>
              <w:widowControl/>
              <w:jc w:val="center"/>
              <w:textAlignment w:val="center"/>
              <w:rPr>
                <w:rFonts w:ascii="宋体" w:hAnsi="宋体" w:cs="宋体"/>
                <w:kern w:val="0"/>
                <w:sz w:val="24"/>
                <w:szCs w:val="24"/>
              </w:rPr>
            </w:pPr>
            <w:r>
              <w:rPr>
                <w:rFonts w:hint="eastAsia" w:ascii="宋体" w:hAnsi="宋体" w:cs="宋体"/>
                <w:kern w:val="0"/>
                <w:sz w:val="24"/>
                <w:szCs w:val="24"/>
              </w:rPr>
              <w:t>站长</w:t>
            </w:r>
          </w:p>
        </w:tc>
        <w:tc>
          <w:tcPr>
            <w:tcW w:w="1979" w:type="dxa"/>
            <w:vAlign w:val="center"/>
          </w:tcPr>
          <w:p>
            <w:pPr>
              <w:jc w:val="center"/>
              <w:rPr>
                <w:rFonts w:ascii="宋体" w:hAnsi="宋体" w:cs="宋体"/>
                <w:sz w:val="24"/>
                <w:szCs w:val="24"/>
              </w:rPr>
            </w:pPr>
            <w:r>
              <w:rPr>
                <w:rFonts w:hint="eastAsia" w:ascii="宋体" w:hAnsi="宋体" w:cs="宋体"/>
                <w:sz w:val="24"/>
                <w:szCs w:val="24"/>
              </w:rPr>
              <w:t>13990758830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jc w:val="center"/>
        </w:trPr>
        <w:tc>
          <w:tcPr>
            <w:tcW w:w="2525" w:type="dxa"/>
          </w:tcPr>
          <w:p>
            <w:pPr>
              <w:jc w:val="center"/>
              <w:rPr>
                <w:rFonts w:ascii="宋体" w:hAnsi="宋体" w:cs="宋体"/>
                <w:sz w:val="24"/>
                <w:szCs w:val="24"/>
              </w:rPr>
            </w:pPr>
            <w:r>
              <w:rPr>
                <w:rFonts w:hint="eastAsia" w:ascii="宋体" w:hAnsi="宋体" w:cs="宋体"/>
                <w:sz w:val="24"/>
                <w:szCs w:val="24"/>
              </w:rPr>
              <w:t>应急救援组副组长</w:t>
            </w:r>
          </w:p>
        </w:tc>
        <w:tc>
          <w:tcPr>
            <w:tcW w:w="1902" w:type="dxa"/>
            <w:vAlign w:val="center"/>
          </w:tcPr>
          <w:p>
            <w:pPr>
              <w:jc w:val="center"/>
              <w:rPr>
                <w:rFonts w:ascii="宋体" w:hAnsi="宋体" w:cs="宋体"/>
                <w:sz w:val="24"/>
                <w:szCs w:val="24"/>
              </w:rPr>
            </w:pPr>
            <w:r>
              <w:rPr>
                <w:rFonts w:hint="eastAsia" w:ascii="宋体" w:hAnsi="宋体" w:cs="宋体"/>
                <w:sz w:val="24"/>
                <w:szCs w:val="24"/>
              </w:rPr>
              <w:t>李力</w:t>
            </w:r>
          </w:p>
        </w:tc>
        <w:tc>
          <w:tcPr>
            <w:tcW w:w="1675" w:type="dxa"/>
            <w:vAlign w:val="center"/>
          </w:tcPr>
          <w:p>
            <w:pPr>
              <w:jc w:val="center"/>
              <w:rPr>
                <w:rFonts w:ascii="宋体" w:hAnsi="宋体" w:cs="宋体"/>
                <w:sz w:val="24"/>
                <w:szCs w:val="24"/>
              </w:rPr>
            </w:pPr>
            <w:r>
              <w:rPr>
                <w:rFonts w:hint="eastAsia" w:ascii="宋体" w:hAnsi="宋体" w:cs="宋体"/>
                <w:sz w:val="24"/>
                <w:szCs w:val="24"/>
              </w:rPr>
              <w:t>副站长</w:t>
            </w:r>
          </w:p>
        </w:tc>
        <w:tc>
          <w:tcPr>
            <w:tcW w:w="1979" w:type="dxa"/>
            <w:vAlign w:val="bottom"/>
          </w:tcPr>
          <w:p>
            <w:pPr>
              <w:widowControl/>
              <w:jc w:val="center"/>
              <w:textAlignment w:val="bottom"/>
              <w:rPr>
                <w:rFonts w:ascii="宋体" w:hAnsi="宋体" w:cs="宋体"/>
                <w:sz w:val="24"/>
                <w:szCs w:val="24"/>
              </w:rPr>
            </w:pPr>
            <w:r>
              <w:rPr>
                <w:rFonts w:hint="eastAsia" w:ascii="宋体" w:hAnsi="宋体" w:cs="宋体"/>
                <w:kern w:val="0"/>
                <w:sz w:val="24"/>
              </w:rPr>
              <w:t>15983763300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2525" w:type="dxa"/>
          </w:tcPr>
          <w:p>
            <w:pPr>
              <w:jc w:val="center"/>
              <w:rPr>
                <w:rFonts w:ascii="宋体" w:hAnsi="宋体" w:cs="宋体"/>
                <w:sz w:val="24"/>
                <w:szCs w:val="24"/>
              </w:rPr>
            </w:pPr>
            <w:r>
              <w:rPr>
                <w:rFonts w:hint="eastAsia" w:ascii="宋体" w:hAnsi="宋体" w:cs="宋体"/>
                <w:sz w:val="24"/>
                <w:szCs w:val="24"/>
              </w:rPr>
              <w:t>应急处置组</w:t>
            </w:r>
          </w:p>
        </w:tc>
        <w:tc>
          <w:tcPr>
            <w:tcW w:w="1902" w:type="dxa"/>
            <w:vAlign w:val="bottom"/>
          </w:tcPr>
          <w:p>
            <w:pPr>
              <w:jc w:val="center"/>
              <w:rPr>
                <w:rFonts w:ascii="宋体" w:hAnsi="宋体" w:cs="宋体"/>
                <w:sz w:val="24"/>
                <w:szCs w:val="24"/>
              </w:rPr>
            </w:pPr>
            <w:r>
              <w:rPr>
                <w:rFonts w:hint="eastAsia" w:ascii="宋体" w:hAnsi="宋体" w:cs="宋体"/>
                <w:sz w:val="24"/>
                <w:szCs w:val="24"/>
              </w:rPr>
              <w:t>赵亮</w:t>
            </w:r>
          </w:p>
        </w:tc>
        <w:tc>
          <w:tcPr>
            <w:tcW w:w="1675" w:type="dxa"/>
            <w:vAlign w:val="center"/>
          </w:tcPr>
          <w:p>
            <w:pPr>
              <w:jc w:val="center"/>
              <w:rPr>
                <w:rFonts w:ascii="宋体" w:hAnsi="宋体" w:cs="宋体"/>
                <w:sz w:val="24"/>
                <w:szCs w:val="24"/>
              </w:rPr>
            </w:pPr>
            <w:r>
              <w:rPr>
                <w:rFonts w:hint="eastAsia" w:ascii="宋体" w:hAnsi="宋体" w:cs="宋体"/>
                <w:sz w:val="24"/>
                <w:szCs w:val="24"/>
              </w:rPr>
              <w:t>加油员</w:t>
            </w:r>
          </w:p>
        </w:tc>
        <w:tc>
          <w:tcPr>
            <w:tcW w:w="1979" w:type="dxa"/>
            <w:vAlign w:val="bottom"/>
          </w:tcPr>
          <w:p>
            <w:pPr>
              <w:widowControl/>
              <w:jc w:val="center"/>
              <w:textAlignment w:val="bottom"/>
              <w:rPr>
                <w:rFonts w:ascii="宋体" w:hAnsi="宋体" w:cs="宋体"/>
                <w:sz w:val="24"/>
                <w:szCs w:val="24"/>
              </w:rPr>
            </w:pPr>
            <w:r>
              <w:rPr>
                <w:rFonts w:hint="eastAsia" w:ascii="宋体" w:hAnsi="宋体" w:cs="宋体"/>
                <w:kern w:val="0"/>
                <w:sz w:val="24"/>
              </w:rPr>
              <w:t>15984880335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2525" w:type="dxa"/>
          </w:tcPr>
          <w:p>
            <w:pPr>
              <w:jc w:val="center"/>
              <w:rPr>
                <w:rFonts w:ascii="宋体" w:hAnsi="宋体" w:cs="宋体"/>
                <w:sz w:val="24"/>
                <w:szCs w:val="24"/>
              </w:rPr>
            </w:pPr>
          </w:p>
        </w:tc>
        <w:tc>
          <w:tcPr>
            <w:tcW w:w="1902" w:type="dxa"/>
            <w:vAlign w:val="bottom"/>
          </w:tcPr>
          <w:p>
            <w:pPr>
              <w:jc w:val="center"/>
              <w:rPr>
                <w:rFonts w:ascii="宋体" w:hAnsi="宋体" w:cs="宋体"/>
                <w:sz w:val="24"/>
                <w:szCs w:val="24"/>
              </w:rPr>
            </w:pPr>
            <w:r>
              <w:rPr>
                <w:rFonts w:hint="eastAsia" w:ascii="宋体" w:hAnsi="宋体" w:cs="宋体"/>
                <w:sz w:val="24"/>
                <w:szCs w:val="24"/>
              </w:rPr>
              <w:t>何洪艳</w:t>
            </w:r>
          </w:p>
        </w:tc>
        <w:tc>
          <w:tcPr>
            <w:tcW w:w="1675" w:type="dxa"/>
            <w:vAlign w:val="center"/>
          </w:tcPr>
          <w:p>
            <w:pPr>
              <w:jc w:val="center"/>
              <w:rPr>
                <w:rFonts w:ascii="宋体" w:hAnsi="宋体" w:cs="宋体"/>
                <w:sz w:val="24"/>
                <w:szCs w:val="24"/>
              </w:rPr>
            </w:pPr>
            <w:r>
              <w:rPr>
                <w:rFonts w:hint="eastAsia" w:ascii="宋体" w:hAnsi="宋体" w:cs="宋体"/>
                <w:sz w:val="24"/>
                <w:szCs w:val="24"/>
              </w:rPr>
              <w:t>加油员</w:t>
            </w:r>
          </w:p>
        </w:tc>
        <w:tc>
          <w:tcPr>
            <w:tcW w:w="1979" w:type="dxa"/>
            <w:vAlign w:val="bottom"/>
          </w:tcPr>
          <w:p>
            <w:pPr>
              <w:widowControl/>
              <w:jc w:val="center"/>
              <w:textAlignment w:val="bottom"/>
              <w:rPr>
                <w:rFonts w:ascii="宋体" w:hAnsi="宋体" w:cs="宋体"/>
                <w:color w:val="000000"/>
                <w:kern w:val="0"/>
                <w:sz w:val="24"/>
                <w:szCs w:val="24"/>
              </w:rPr>
            </w:pPr>
            <w:r>
              <w:rPr>
                <w:rFonts w:hint="eastAsia" w:ascii="宋体" w:hAnsi="宋体" w:cs="宋体"/>
                <w:kern w:val="0"/>
                <w:sz w:val="24"/>
              </w:rPr>
              <w:t>17383855935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2525" w:type="dxa"/>
          </w:tcPr>
          <w:p>
            <w:pPr>
              <w:jc w:val="center"/>
              <w:rPr>
                <w:rFonts w:ascii="宋体" w:hAnsi="宋体" w:cs="宋体"/>
                <w:sz w:val="24"/>
                <w:szCs w:val="24"/>
              </w:rPr>
            </w:pPr>
          </w:p>
        </w:tc>
        <w:tc>
          <w:tcPr>
            <w:tcW w:w="1902" w:type="dxa"/>
            <w:vAlign w:val="bottom"/>
          </w:tcPr>
          <w:p>
            <w:pPr>
              <w:jc w:val="center"/>
              <w:rPr>
                <w:rFonts w:ascii="宋体" w:hAnsi="宋体" w:cs="宋体"/>
                <w:sz w:val="24"/>
                <w:szCs w:val="24"/>
              </w:rPr>
            </w:pPr>
            <w:r>
              <w:rPr>
                <w:rFonts w:hint="eastAsia" w:ascii="宋体" w:hAnsi="宋体" w:cs="宋体"/>
                <w:sz w:val="24"/>
                <w:szCs w:val="24"/>
              </w:rPr>
              <w:t>杨瑞萍</w:t>
            </w:r>
          </w:p>
        </w:tc>
        <w:tc>
          <w:tcPr>
            <w:tcW w:w="1675" w:type="dxa"/>
            <w:vAlign w:val="center"/>
          </w:tcPr>
          <w:p>
            <w:pPr>
              <w:jc w:val="center"/>
              <w:rPr>
                <w:rFonts w:ascii="宋体" w:hAnsi="宋体" w:cs="宋体"/>
                <w:sz w:val="24"/>
                <w:szCs w:val="24"/>
              </w:rPr>
            </w:pPr>
            <w:r>
              <w:rPr>
                <w:rFonts w:hint="eastAsia" w:ascii="宋体" w:hAnsi="宋体" w:cs="宋体"/>
                <w:sz w:val="24"/>
                <w:szCs w:val="24"/>
              </w:rPr>
              <w:t>加油员</w:t>
            </w:r>
          </w:p>
        </w:tc>
        <w:tc>
          <w:tcPr>
            <w:tcW w:w="1979" w:type="dxa"/>
            <w:vAlign w:val="bottom"/>
          </w:tcPr>
          <w:p>
            <w:pPr>
              <w:widowControl/>
              <w:jc w:val="center"/>
              <w:textAlignment w:val="bottom"/>
              <w:rPr>
                <w:rFonts w:ascii="宋体" w:hAnsi="宋体" w:cs="宋体"/>
                <w:color w:val="000000"/>
                <w:kern w:val="0"/>
                <w:sz w:val="24"/>
                <w:szCs w:val="24"/>
              </w:rPr>
            </w:pPr>
            <w:r>
              <w:rPr>
                <w:rFonts w:hint="eastAsia" w:ascii="宋体" w:hAnsi="宋体" w:cs="宋体"/>
                <w:kern w:val="0"/>
                <w:sz w:val="24"/>
              </w:rPr>
              <w:t>13989196769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525" w:type="dxa"/>
            <w:vAlign w:val="center"/>
          </w:tcPr>
          <w:p>
            <w:pPr>
              <w:jc w:val="center"/>
              <w:rPr>
                <w:rFonts w:ascii="宋体" w:hAnsi="宋体" w:cs="宋体"/>
                <w:sz w:val="24"/>
                <w:szCs w:val="24"/>
              </w:rPr>
            </w:pPr>
            <w:r>
              <w:rPr>
                <w:rFonts w:hint="eastAsia" w:ascii="宋体" w:hAnsi="宋体" w:cs="宋体"/>
                <w:sz w:val="24"/>
                <w:szCs w:val="24"/>
              </w:rPr>
              <w:t>警戒后勤组</w:t>
            </w:r>
          </w:p>
        </w:tc>
        <w:tc>
          <w:tcPr>
            <w:tcW w:w="1902" w:type="dxa"/>
            <w:vAlign w:val="bottom"/>
          </w:tcPr>
          <w:p>
            <w:pPr>
              <w:jc w:val="center"/>
              <w:rPr>
                <w:rFonts w:ascii="宋体" w:hAnsi="宋体" w:cs="宋体"/>
                <w:sz w:val="24"/>
                <w:szCs w:val="24"/>
              </w:rPr>
            </w:pPr>
            <w:r>
              <w:rPr>
                <w:rFonts w:hint="eastAsia" w:ascii="宋体" w:hAnsi="宋体" w:cs="宋体"/>
                <w:sz w:val="24"/>
                <w:szCs w:val="24"/>
              </w:rPr>
              <w:t>李小珍</w:t>
            </w:r>
          </w:p>
        </w:tc>
        <w:tc>
          <w:tcPr>
            <w:tcW w:w="1675" w:type="dxa"/>
            <w:vAlign w:val="center"/>
          </w:tcPr>
          <w:p>
            <w:pPr>
              <w:jc w:val="center"/>
              <w:rPr>
                <w:rFonts w:ascii="宋体" w:hAnsi="宋体" w:cs="宋体"/>
                <w:sz w:val="24"/>
                <w:szCs w:val="24"/>
              </w:rPr>
            </w:pPr>
            <w:r>
              <w:rPr>
                <w:rFonts w:hint="eastAsia" w:ascii="宋体" w:hAnsi="宋体" w:cs="宋体"/>
                <w:sz w:val="24"/>
                <w:szCs w:val="24"/>
              </w:rPr>
              <w:t>加油员</w:t>
            </w:r>
          </w:p>
        </w:tc>
        <w:tc>
          <w:tcPr>
            <w:tcW w:w="1979" w:type="dxa"/>
            <w:vAlign w:val="bottom"/>
          </w:tcPr>
          <w:p>
            <w:pPr>
              <w:widowControl/>
              <w:jc w:val="center"/>
              <w:textAlignment w:val="bottom"/>
              <w:rPr>
                <w:rFonts w:ascii="宋体" w:hAnsi="宋体" w:cs="宋体"/>
                <w:sz w:val="24"/>
                <w:szCs w:val="24"/>
              </w:rPr>
            </w:pPr>
            <w:r>
              <w:rPr>
                <w:rFonts w:hint="eastAsia" w:ascii="宋体" w:hAnsi="宋体" w:cs="宋体"/>
                <w:kern w:val="0"/>
                <w:sz w:val="24"/>
              </w:rPr>
              <w:t>15378382951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525" w:type="dxa"/>
            <w:vAlign w:val="center"/>
          </w:tcPr>
          <w:p>
            <w:pPr>
              <w:jc w:val="center"/>
              <w:rPr>
                <w:rFonts w:ascii="宋体" w:hAnsi="宋体" w:cs="宋体"/>
                <w:sz w:val="24"/>
                <w:szCs w:val="24"/>
              </w:rPr>
            </w:pPr>
            <w:r>
              <w:rPr>
                <w:rFonts w:hint="eastAsia" w:ascii="宋体" w:hAnsi="宋体" w:cs="宋体"/>
                <w:sz w:val="24"/>
                <w:szCs w:val="24"/>
              </w:rPr>
              <w:t>救护调查组</w:t>
            </w:r>
          </w:p>
        </w:tc>
        <w:tc>
          <w:tcPr>
            <w:tcW w:w="1902" w:type="dxa"/>
            <w:vAlign w:val="center"/>
          </w:tcPr>
          <w:p>
            <w:pPr>
              <w:jc w:val="center"/>
              <w:rPr>
                <w:rFonts w:ascii="宋体" w:hAnsi="宋体" w:cs="宋体"/>
                <w:sz w:val="24"/>
                <w:szCs w:val="24"/>
              </w:rPr>
            </w:pPr>
            <w:r>
              <w:rPr>
                <w:rFonts w:hint="eastAsia" w:ascii="宋体" w:hAnsi="宋体" w:cs="宋体"/>
                <w:sz w:val="24"/>
                <w:szCs w:val="24"/>
              </w:rPr>
              <w:t>李力</w:t>
            </w:r>
          </w:p>
        </w:tc>
        <w:tc>
          <w:tcPr>
            <w:tcW w:w="1675" w:type="dxa"/>
            <w:vAlign w:val="center"/>
          </w:tcPr>
          <w:p>
            <w:pPr>
              <w:jc w:val="center"/>
              <w:rPr>
                <w:rFonts w:ascii="宋体" w:hAnsi="宋体" w:cs="宋体"/>
                <w:sz w:val="24"/>
                <w:szCs w:val="24"/>
              </w:rPr>
            </w:pPr>
            <w:r>
              <w:rPr>
                <w:rFonts w:hint="eastAsia" w:ascii="宋体" w:hAnsi="宋体" w:cs="宋体"/>
                <w:sz w:val="24"/>
                <w:szCs w:val="24"/>
              </w:rPr>
              <w:t>洗车员</w:t>
            </w:r>
          </w:p>
        </w:tc>
        <w:tc>
          <w:tcPr>
            <w:tcW w:w="1979" w:type="dxa"/>
            <w:vAlign w:val="bottom"/>
          </w:tcPr>
          <w:p>
            <w:pPr>
              <w:widowControl/>
              <w:jc w:val="center"/>
              <w:textAlignment w:val="bottom"/>
              <w:rPr>
                <w:rFonts w:ascii="宋体" w:hAnsi="宋体" w:cs="宋体"/>
                <w:kern w:val="0"/>
                <w:sz w:val="24"/>
                <w:szCs w:val="24"/>
              </w:rPr>
            </w:pPr>
            <w:r>
              <w:rPr>
                <w:rFonts w:hint="eastAsia" w:ascii="宋体" w:hAnsi="宋体" w:cs="宋体"/>
                <w:kern w:val="0"/>
                <w:sz w:val="24"/>
              </w:rPr>
              <w:t>15983763300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525" w:type="dxa"/>
            <w:vAlign w:val="center"/>
          </w:tcPr>
          <w:p>
            <w:pPr>
              <w:jc w:val="center"/>
              <w:rPr>
                <w:rFonts w:ascii="宋体" w:hAnsi="宋体" w:cs="宋体"/>
                <w:sz w:val="24"/>
                <w:szCs w:val="24"/>
              </w:rPr>
            </w:pPr>
          </w:p>
        </w:tc>
        <w:tc>
          <w:tcPr>
            <w:tcW w:w="1902" w:type="dxa"/>
            <w:vAlign w:val="center"/>
          </w:tcPr>
          <w:p>
            <w:pPr>
              <w:jc w:val="center"/>
              <w:rPr>
                <w:rFonts w:ascii="宋体" w:hAnsi="宋体" w:cs="宋体"/>
                <w:sz w:val="24"/>
                <w:szCs w:val="24"/>
              </w:rPr>
            </w:pPr>
            <w:r>
              <w:rPr>
                <w:rFonts w:hint="eastAsia" w:ascii="宋体" w:hAnsi="宋体" w:cs="宋体"/>
                <w:sz w:val="24"/>
                <w:szCs w:val="24"/>
              </w:rPr>
              <w:t>赵亮</w:t>
            </w:r>
          </w:p>
        </w:tc>
        <w:tc>
          <w:tcPr>
            <w:tcW w:w="1675" w:type="dxa"/>
            <w:vAlign w:val="center"/>
          </w:tcPr>
          <w:p>
            <w:pPr>
              <w:jc w:val="center"/>
              <w:rPr>
                <w:rFonts w:ascii="宋体" w:hAnsi="宋体" w:cs="宋体"/>
                <w:sz w:val="24"/>
                <w:szCs w:val="24"/>
              </w:rPr>
            </w:pPr>
            <w:r>
              <w:rPr>
                <w:rFonts w:hint="eastAsia" w:ascii="宋体" w:hAnsi="宋体" w:cs="宋体"/>
                <w:sz w:val="24"/>
                <w:szCs w:val="24"/>
              </w:rPr>
              <w:t>加油员</w:t>
            </w:r>
          </w:p>
        </w:tc>
        <w:tc>
          <w:tcPr>
            <w:tcW w:w="1979" w:type="dxa"/>
            <w:vAlign w:val="bottom"/>
          </w:tcPr>
          <w:p>
            <w:pPr>
              <w:widowControl/>
              <w:jc w:val="center"/>
              <w:textAlignment w:val="bottom"/>
              <w:rPr>
                <w:rFonts w:ascii="宋体" w:hAnsi="宋体" w:cs="宋体"/>
                <w:color w:val="000000"/>
                <w:kern w:val="0"/>
                <w:sz w:val="24"/>
                <w:szCs w:val="24"/>
              </w:rPr>
            </w:pPr>
            <w:r>
              <w:rPr>
                <w:rFonts w:hint="eastAsia" w:ascii="宋体" w:hAnsi="宋体" w:cs="宋体"/>
                <w:kern w:val="0"/>
                <w:sz w:val="24"/>
              </w:rPr>
              <w:t>15984880335</w:t>
            </w:r>
          </w:p>
        </w:tc>
      </w:tr>
    </w:tbl>
    <w:p>
      <w:pPr>
        <w:rPr>
          <w:rFonts w:cs="宋体"/>
          <w:vanish/>
        </w:rPr>
      </w:pPr>
    </w:p>
    <w:p>
      <w:pPr>
        <w:spacing w:line="520" w:lineRule="exact"/>
        <w:rPr>
          <w:rFonts w:cs="宋体"/>
          <w:sz w:val="28"/>
          <w:szCs w:val="28"/>
        </w:rPr>
      </w:pPr>
      <w:r>
        <w:rPr>
          <w:rStyle w:val="51"/>
          <w:rFonts w:ascii="Times New Roman" w:hAnsi="Times New Roman" w:cs="宋体"/>
          <w:sz w:val="24"/>
          <w:szCs w:val="24"/>
        </w:rPr>
        <w:t>表2外部社会</w:t>
      </w:r>
      <w:r>
        <w:rPr>
          <w:rStyle w:val="51"/>
          <w:rFonts w:hint="default" w:ascii="Times New Roman" w:hAnsi="Times New Roman" w:cs="宋体"/>
          <w:sz w:val="24"/>
          <w:szCs w:val="24"/>
        </w:rPr>
        <w:t>应急部门联系方式</w:t>
      </w:r>
    </w:p>
    <w:tbl>
      <w:tblPr>
        <w:tblStyle w:val="35"/>
        <w:tblW w:w="8111" w:type="dxa"/>
        <w:jc w:val="center"/>
        <w:tblInd w:w="32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048"/>
        <w:gridCol w:w="2720"/>
        <w:gridCol w:w="13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4048" w:type="dxa"/>
            <w:vAlign w:val="center"/>
          </w:tcPr>
          <w:p>
            <w:pPr>
              <w:spacing w:line="380" w:lineRule="exact"/>
              <w:jc w:val="center"/>
              <w:rPr>
                <w:rFonts w:cs="宋体"/>
                <w:b/>
                <w:bCs/>
                <w:sz w:val="24"/>
              </w:rPr>
            </w:pPr>
            <w:r>
              <w:rPr>
                <w:rFonts w:hint="eastAsia" w:cs="宋体"/>
                <w:b/>
                <w:bCs/>
                <w:sz w:val="24"/>
              </w:rPr>
              <w:t>部门或职务</w:t>
            </w:r>
          </w:p>
        </w:tc>
        <w:tc>
          <w:tcPr>
            <w:tcW w:w="2720" w:type="dxa"/>
            <w:vAlign w:val="center"/>
          </w:tcPr>
          <w:p>
            <w:pPr>
              <w:spacing w:line="380" w:lineRule="exact"/>
              <w:jc w:val="center"/>
              <w:rPr>
                <w:rFonts w:cs="宋体"/>
                <w:b/>
                <w:bCs/>
                <w:sz w:val="24"/>
              </w:rPr>
            </w:pPr>
            <w:r>
              <w:rPr>
                <w:rFonts w:hint="eastAsia" w:cs="宋体"/>
                <w:b/>
                <w:bCs/>
                <w:sz w:val="24"/>
              </w:rPr>
              <w:t>联系电话</w:t>
            </w:r>
          </w:p>
        </w:tc>
        <w:tc>
          <w:tcPr>
            <w:tcW w:w="1343" w:type="dxa"/>
            <w:vAlign w:val="center"/>
          </w:tcPr>
          <w:p>
            <w:pPr>
              <w:spacing w:line="380" w:lineRule="exact"/>
              <w:jc w:val="center"/>
              <w:rPr>
                <w:rFonts w:cs="宋体"/>
                <w:b/>
                <w:bCs/>
              </w:rPr>
            </w:pPr>
            <w:r>
              <w:rPr>
                <w:rFonts w:hint="eastAsia" w:cs="宋体"/>
                <w:b/>
                <w:bCs/>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4048" w:type="dxa"/>
            <w:vAlign w:val="center"/>
          </w:tcPr>
          <w:p>
            <w:pPr>
              <w:spacing w:line="380" w:lineRule="exact"/>
              <w:jc w:val="center"/>
              <w:rPr>
                <w:rFonts w:cs="宋体"/>
                <w:sz w:val="24"/>
                <w:szCs w:val="24"/>
              </w:rPr>
            </w:pPr>
            <w:r>
              <w:rPr>
                <w:rFonts w:hint="eastAsia" w:cs="宋体"/>
                <w:sz w:val="24"/>
                <w:szCs w:val="24"/>
              </w:rPr>
              <w:t>李德斌（安全负责人）</w:t>
            </w:r>
          </w:p>
        </w:tc>
        <w:tc>
          <w:tcPr>
            <w:tcW w:w="2720" w:type="dxa"/>
            <w:vAlign w:val="center"/>
          </w:tcPr>
          <w:p>
            <w:pPr>
              <w:spacing w:line="380" w:lineRule="exact"/>
              <w:jc w:val="center"/>
              <w:rPr>
                <w:rFonts w:cs="宋体"/>
                <w:sz w:val="24"/>
                <w:szCs w:val="24"/>
              </w:rPr>
            </w:pPr>
            <w:r>
              <w:rPr>
                <w:rFonts w:hint="eastAsia" w:ascii="宋体" w:hAnsi="宋体" w:cs="宋体"/>
                <w:sz w:val="24"/>
                <w:szCs w:val="24"/>
              </w:rPr>
              <w:t>13990758830</w:t>
            </w:r>
          </w:p>
        </w:tc>
        <w:tc>
          <w:tcPr>
            <w:tcW w:w="1343" w:type="dxa"/>
            <w:vAlign w:val="center"/>
          </w:tcPr>
          <w:p>
            <w:pPr>
              <w:spacing w:line="380" w:lineRule="exact"/>
              <w:jc w:val="center"/>
              <w:rPr>
                <w:rFonts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4048" w:type="dxa"/>
            <w:vAlign w:val="center"/>
          </w:tcPr>
          <w:p>
            <w:pPr>
              <w:spacing w:line="380" w:lineRule="exact"/>
              <w:jc w:val="center"/>
              <w:rPr>
                <w:rFonts w:cs="宋体"/>
                <w:sz w:val="24"/>
              </w:rPr>
            </w:pPr>
            <w:r>
              <w:rPr>
                <w:rFonts w:hint="eastAsia" w:cs="宋体"/>
                <w:sz w:val="24"/>
              </w:rPr>
              <w:t>李力（安全管理人）</w:t>
            </w:r>
          </w:p>
        </w:tc>
        <w:tc>
          <w:tcPr>
            <w:tcW w:w="2720" w:type="dxa"/>
            <w:vAlign w:val="center"/>
          </w:tcPr>
          <w:p>
            <w:pPr>
              <w:spacing w:line="380" w:lineRule="exact"/>
              <w:jc w:val="center"/>
              <w:rPr>
                <w:rFonts w:cs="宋体"/>
                <w:sz w:val="24"/>
              </w:rPr>
            </w:pPr>
            <w:r>
              <w:rPr>
                <w:rFonts w:hint="eastAsia" w:ascii="宋体" w:hAnsi="宋体" w:cs="宋体"/>
                <w:color w:val="000000"/>
                <w:kern w:val="0"/>
                <w:sz w:val="24"/>
                <w:szCs w:val="24"/>
              </w:rPr>
              <w:t>15983763300</w:t>
            </w:r>
          </w:p>
        </w:tc>
        <w:tc>
          <w:tcPr>
            <w:tcW w:w="1343" w:type="dxa"/>
            <w:vAlign w:val="center"/>
          </w:tcPr>
          <w:p>
            <w:pPr>
              <w:pStyle w:val="2"/>
              <w:ind w:firstLine="0"/>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048" w:type="dxa"/>
            <w:vAlign w:val="center"/>
          </w:tcPr>
          <w:p>
            <w:pPr>
              <w:spacing w:line="380" w:lineRule="exact"/>
              <w:jc w:val="center"/>
              <w:rPr>
                <w:rFonts w:cs="宋体"/>
                <w:sz w:val="24"/>
              </w:rPr>
            </w:pPr>
            <w:r>
              <w:rPr>
                <w:rFonts w:hint="eastAsia" w:cs="宋体"/>
                <w:sz w:val="24"/>
              </w:rPr>
              <w:t>火警</w:t>
            </w:r>
          </w:p>
        </w:tc>
        <w:tc>
          <w:tcPr>
            <w:tcW w:w="2720" w:type="dxa"/>
            <w:vAlign w:val="center"/>
          </w:tcPr>
          <w:p>
            <w:pPr>
              <w:spacing w:line="380" w:lineRule="exact"/>
              <w:jc w:val="center"/>
              <w:rPr>
                <w:rFonts w:cs="宋体"/>
                <w:sz w:val="24"/>
              </w:rPr>
            </w:pPr>
            <w:r>
              <w:rPr>
                <w:rFonts w:hint="eastAsia" w:cs="宋体"/>
                <w:sz w:val="24"/>
              </w:rPr>
              <w:t>119</w:t>
            </w:r>
          </w:p>
        </w:tc>
        <w:tc>
          <w:tcPr>
            <w:tcW w:w="1343" w:type="dxa"/>
            <w:vAlign w:val="center"/>
          </w:tcPr>
          <w:p>
            <w:pPr>
              <w:spacing w:line="380" w:lineRule="exact"/>
              <w:jc w:val="center"/>
              <w:rPr>
                <w:rFonts w:cs="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048" w:type="dxa"/>
            <w:vAlign w:val="center"/>
          </w:tcPr>
          <w:p>
            <w:pPr>
              <w:spacing w:line="380" w:lineRule="exact"/>
              <w:jc w:val="center"/>
              <w:rPr>
                <w:rFonts w:cs="宋体"/>
                <w:sz w:val="24"/>
              </w:rPr>
            </w:pPr>
            <w:r>
              <w:rPr>
                <w:rFonts w:hint="eastAsia" w:cs="宋体"/>
                <w:sz w:val="24"/>
              </w:rPr>
              <w:t>盗警</w:t>
            </w:r>
          </w:p>
        </w:tc>
        <w:tc>
          <w:tcPr>
            <w:tcW w:w="2720" w:type="dxa"/>
            <w:vAlign w:val="center"/>
          </w:tcPr>
          <w:p>
            <w:pPr>
              <w:spacing w:line="380" w:lineRule="exact"/>
              <w:jc w:val="center"/>
              <w:rPr>
                <w:rFonts w:cs="宋体"/>
                <w:sz w:val="24"/>
              </w:rPr>
            </w:pPr>
            <w:r>
              <w:rPr>
                <w:rFonts w:hint="eastAsia" w:cs="宋体"/>
                <w:sz w:val="24"/>
              </w:rPr>
              <w:t>110</w:t>
            </w:r>
          </w:p>
        </w:tc>
        <w:tc>
          <w:tcPr>
            <w:tcW w:w="1343" w:type="dxa"/>
            <w:vAlign w:val="center"/>
          </w:tcPr>
          <w:p>
            <w:pPr>
              <w:spacing w:line="380" w:lineRule="exact"/>
              <w:jc w:val="center"/>
              <w:rPr>
                <w:rFonts w:cs="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048" w:type="dxa"/>
            <w:vAlign w:val="center"/>
          </w:tcPr>
          <w:p>
            <w:pPr>
              <w:spacing w:line="380" w:lineRule="exact"/>
              <w:jc w:val="center"/>
              <w:rPr>
                <w:rFonts w:cs="宋体"/>
                <w:sz w:val="24"/>
              </w:rPr>
            </w:pPr>
            <w:r>
              <w:rPr>
                <w:rFonts w:hint="eastAsia" w:cs="宋体"/>
                <w:sz w:val="24"/>
              </w:rPr>
              <w:t>急性中毒、窒息事故、伤亡事故</w:t>
            </w:r>
          </w:p>
        </w:tc>
        <w:tc>
          <w:tcPr>
            <w:tcW w:w="2720" w:type="dxa"/>
            <w:vAlign w:val="center"/>
          </w:tcPr>
          <w:p>
            <w:pPr>
              <w:spacing w:line="380" w:lineRule="exact"/>
              <w:jc w:val="center"/>
              <w:rPr>
                <w:rFonts w:cs="宋体"/>
                <w:sz w:val="24"/>
              </w:rPr>
            </w:pPr>
            <w:r>
              <w:rPr>
                <w:rFonts w:hint="eastAsia" w:cs="宋体"/>
                <w:sz w:val="24"/>
              </w:rPr>
              <w:t>120（急救中心）</w:t>
            </w:r>
          </w:p>
        </w:tc>
        <w:tc>
          <w:tcPr>
            <w:tcW w:w="1343" w:type="dxa"/>
            <w:vAlign w:val="center"/>
          </w:tcPr>
          <w:p>
            <w:pPr>
              <w:spacing w:line="380" w:lineRule="exact"/>
              <w:jc w:val="center"/>
              <w:rPr>
                <w:rFonts w:cs="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048" w:type="dxa"/>
            <w:vAlign w:val="center"/>
          </w:tcPr>
          <w:p>
            <w:pPr>
              <w:widowControl/>
              <w:spacing w:line="380" w:lineRule="exact"/>
              <w:jc w:val="center"/>
              <w:rPr>
                <w:rFonts w:cs="宋体"/>
                <w:sz w:val="24"/>
              </w:rPr>
            </w:pPr>
            <w:r>
              <w:rPr>
                <w:rFonts w:hint="eastAsia" w:cs="宋体"/>
                <w:sz w:val="24"/>
              </w:rPr>
              <w:t>交通事故报警电话</w:t>
            </w:r>
          </w:p>
        </w:tc>
        <w:tc>
          <w:tcPr>
            <w:tcW w:w="2720" w:type="dxa"/>
            <w:vAlign w:val="center"/>
          </w:tcPr>
          <w:p>
            <w:pPr>
              <w:widowControl/>
              <w:spacing w:line="380" w:lineRule="exact"/>
              <w:jc w:val="center"/>
              <w:rPr>
                <w:rFonts w:cs="宋体"/>
                <w:sz w:val="24"/>
              </w:rPr>
            </w:pPr>
            <w:r>
              <w:rPr>
                <w:rFonts w:hint="eastAsia" w:cs="宋体"/>
                <w:sz w:val="24"/>
              </w:rPr>
              <w:t>122</w:t>
            </w:r>
          </w:p>
        </w:tc>
        <w:tc>
          <w:tcPr>
            <w:tcW w:w="1343" w:type="dxa"/>
            <w:vAlign w:val="center"/>
          </w:tcPr>
          <w:p>
            <w:pPr>
              <w:widowControl/>
              <w:spacing w:line="380" w:lineRule="exact"/>
              <w:jc w:val="center"/>
              <w:rPr>
                <w:rFonts w:cs="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4048" w:type="dxa"/>
            <w:vAlign w:val="center"/>
          </w:tcPr>
          <w:p>
            <w:pPr>
              <w:widowControl/>
              <w:spacing w:line="380" w:lineRule="exact"/>
              <w:jc w:val="center"/>
              <w:rPr>
                <w:rFonts w:cs="宋体"/>
                <w:sz w:val="24"/>
                <w:szCs w:val="24"/>
              </w:rPr>
            </w:pPr>
            <w:r>
              <w:rPr>
                <w:rFonts w:hint="eastAsia" w:cs="宋体"/>
                <w:sz w:val="24"/>
              </w:rPr>
              <w:t>南充市应急管理局</w:t>
            </w:r>
          </w:p>
        </w:tc>
        <w:tc>
          <w:tcPr>
            <w:tcW w:w="2720" w:type="dxa"/>
            <w:vAlign w:val="center"/>
          </w:tcPr>
          <w:p>
            <w:pPr>
              <w:widowControl/>
              <w:spacing w:line="380" w:lineRule="exact"/>
              <w:jc w:val="center"/>
              <w:rPr>
                <w:sz w:val="24"/>
                <w:szCs w:val="24"/>
              </w:rPr>
            </w:pPr>
            <w:r>
              <w:rPr>
                <w:rFonts w:hint="eastAsia"/>
                <w:sz w:val="24"/>
                <w:szCs w:val="24"/>
              </w:rPr>
              <w:t>0817-2222419</w:t>
            </w:r>
          </w:p>
        </w:tc>
        <w:tc>
          <w:tcPr>
            <w:tcW w:w="1343" w:type="dxa"/>
            <w:vAlign w:val="center"/>
          </w:tcPr>
          <w:p>
            <w:pPr>
              <w:widowControl/>
              <w:spacing w:line="380" w:lineRule="exact"/>
              <w:jc w:val="center"/>
              <w:rPr>
                <w:rFonts w:cs="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4048" w:type="dxa"/>
            <w:vAlign w:val="center"/>
          </w:tcPr>
          <w:p>
            <w:pPr>
              <w:widowControl/>
              <w:spacing w:line="380" w:lineRule="exact"/>
              <w:jc w:val="center"/>
              <w:rPr>
                <w:rFonts w:cs="宋体"/>
                <w:sz w:val="24"/>
                <w:szCs w:val="24"/>
              </w:rPr>
            </w:pPr>
            <w:r>
              <w:rPr>
                <w:rFonts w:hint="eastAsia" w:cs="宋体"/>
                <w:sz w:val="24"/>
              </w:rPr>
              <w:t>太平镇派出所</w:t>
            </w:r>
          </w:p>
        </w:tc>
        <w:tc>
          <w:tcPr>
            <w:tcW w:w="2720" w:type="dxa"/>
            <w:vAlign w:val="center"/>
          </w:tcPr>
          <w:p>
            <w:pPr>
              <w:widowControl/>
              <w:spacing w:line="380" w:lineRule="exact"/>
              <w:jc w:val="center"/>
              <w:rPr>
                <w:sz w:val="24"/>
                <w:szCs w:val="24"/>
              </w:rPr>
            </w:pPr>
            <w:r>
              <w:rPr>
                <w:rFonts w:hint="eastAsia"/>
                <w:sz w:val="24"/>
                <w:szCs w:val="24"/>
              </w:rPr>
              <w:t>0817-4311017</w:t>
            </w:r>
          </w:p>
        </w:tc>
        <w:tc>
          <w:tcPr>
            <w:tcW w:w="1343" w:type="dxa"/>
            <w:vAlign w:val="center"/>
          </w:tcPr>
          <w:p>
            <w:pPr>
              <w:widowControl/>
              <w:spacing w:line="380" w:lineRule="exact"/>
              <w:jc w:val="center"/>
              <w:rPr>
                <w:rFonts w:cs="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4048" w:type="dxa"/>
            <w:vAlign w:val="center"/>
          </w:tcPr>
          <w:p>
            <w:pPr>
              <w:widowControl/>
              <w:spacing w:line="380" w:lineRule="exact"/>
              <w:jc w:val="center"/>
              <w:rPr>
                <w:rFonts w:cs="宋体"/>
                <w:sz w:val="24"/>
                <w:szCs w:val="24"/>
              </w:rPr>
            </w:pPr>
            <w:r>
              <w:rPr>
                <w:rFonts w:hint="eastAsia" w:cs="宋体"/>
                <w:sz w:val="24"/>
                <w:szCs w:val="24"/>
              </w:rPr>
              <w:t>西充消防中心</w:t>
            </w:r>
          </w:p>
        </w:tc>
        <w:tc>
          <w:tcPr>
            <w:tcW w:w="2720" w:type="dxa"/>
            <w:vAlign w:val="center"/>
          </w:tcPr>
          <w:p>
            <w:pPr>
              <w:widowControl/>
              <w:spacing w:line="380" w:lineRule="exact"/>
              <w:jc w:val="center"/>
              <w:rPr>
                <w:sz w:val="24"/>
                <w:szCs w:val="24"/>
              </w:rPr>
            </w:pPr>
            <w:r>
              <w:rPr>
                <w:rFonts w:hint="eastAsia"/>
                <w:sz w:val="24"/>
                <w:szCs w:val="24"/>
                <w:shd w:val="clear" w:color="auto" w:fill="FFFFFF"/>
              </w:rPr>
              <w:t>119</w:t>
            </w:r>
          </w:p>
        </w:tc>
        <w:tc>
          <w:tcPr>
            <w:tcW w:w="1343" w:type="dxa"/>
            <w:vAlign w:val="center"/>
          </w:tcPr>
          <w:p>
            <w:pPr>
              <w:widowControl/>
              <w:spacing w:line="380" w:lineRule="exact"/>
              <w:jc w:val="center"/>
              <w:rPr>
                <w:rFonts w:cs="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4048" w:type="dxa"/>
            <w:vAlign w:val="center"/>
          </w:tcPr>
          <w:p>
            <w:pPr>
              <w:widowControl/>
              <w:spacing w:line="380" w:lineRule="exact"/>
              <w:jc w:val="center"/>
              <w:rPr>
                <w:rFonts w:cs="宋体"/>
                <w:sz w:val="24"/>
                <w:szCs w:val="24"/>
              </w:rPr>
            </w:pPr>
            <w:r>
              <w:rPr>
                <w:rFonts w:hint="eastAsia" w:cs="宋体"/>
                <w:sz w:val="24"/>
                <w:szCs w:val="24"/>
                <w:shd w:val="clear" w:color="auto" w:fill="FFFFFF"/>
              </w:rPr>
              <w:t>太平镇中心卫生院</w:t>
            </w:r>
          </w:p>
        </w:tc>
        <w:tc>
          <w:tcPr>
            <w:tcW w:w="2720" w:type="dxa"/>
            <w:vAlign w:val="center"/>
          </w:tcPr>
          <w:p>
            <w:pPr>
              <w:widowControl/>
              <w:spacing w:line="380" w:lineRule="exact"/>
              <w:jc w:val="center"/>
              <w:rPr>
                <w:sz w:val="24"/>
                <w:szCs w:val="24"/>
              </w:rPr>
            </w:pPr>
            <w:r>
              <w:rPr>
                <w:sz w:val="24"/>
                <w:szCs w:val="24"/>
              </w:rPr>
              <w:t>08</w:t>
            </w:r>
            <w:r>
              <w:rPr>
                <w:rFonts w:hint="eastAsia"/>
                <w:sz w:val="24"/>
                <w:szCs w:val="24"/>
              </w:rPr>
              <w:t>17-4311021</w:t>
            </w:r>
          </w:p>
        </w:tc>
        <w:tc>
          <w:tcPr>
            <w:tcW w:w="1343" w:type="dxa"/>
            <w:vAlign w:val="center"/>
          </w:tcPr>
          <w:p>
            <w:pPr>
              <w:widowControl/>
              <w:spacing w:line="380" w:lineRule="exact"/>
              <w:jc w:val="center"/>
              <w:rPr>
                <w:rFonts w:cs="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4048" w:type="dxa"/>
            <w:vAlign w:val="center"/>
          </w:tcPr>
          <w:p>
            <w:pPr>
              <w:widowControl/>
              <w:spacing w:line="380" w:lineRule="exact"/>
              <w:jc w:val="center"/>
              <w:rPr>
                <w:rFonts w:cs="宋体"/>
                <w:sz w:val="24"/>
                <w:szCs w:val="24"/>
              </w:rPr>
            </w:pPr>
            <w:r>
              <w:rPr>
                <w:rFonts w:hint="eastAsia" w:cs="宋体"/>
                <w:sz w:val="24"/>
              </w:rPr>
              <w:t>太平镇人民</w:t>
            </w:r>
            <w:r>
              <w:rPr>
                <w:rFonts w:hint="eastAsia" w:cs="宋体"/>
                <w:sz w:val="24"/>
                <w:szCs w:val="24"/>
              </w:rPr>
              <w:t>政府</w:t>
            </w:r>
          </w:p>
        </w:tc>
        <w:tc>
          <w:tcPr>
            <w:tcW w:w="2720" w:type="dxa"/>
            <w:vAlign w:val="center"/>
          </w:tcPr>
          <w:p>
            <w:pPr>
              <w:widowControl/>
              <w:spacing w:line="380" w:lineRule="exact"/>
              <w:jc w:val="center"/>
              <w:rPr>
                <w:sz w:val="24"/>
                <w:szCs w:val="24"/>
              </w:rPr>
            </w:pPr>
            <w:r>
              <w:rPr>
                <w:rFonts w:hint="eastAsia"/>
                <w:sz w:val="24"/>
                <w:szCs w:val="24"/>
              </w:rPr>
              <w:t>4311047</w:t>
            </w:r>
          </w:p>
        </w:tc>
        <w:tc>
          <w:tcPr>
            <w:tcW w:w="1343" w:type="dxa"/>
            <w:vAlign w:val="center"/>
          </w:tcPr>
          <w:p>
            <w:pPr>
              <w:widowControl/>
              <w:spacing w:line="380" w:lineRule="exact"/>
              <w:jc w:val="center"/>
              <w:rPr>
                <w:rFonts w:cs="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4048" w:type="dxa"/>
            <w:vAlign w:val="center"/>
          </w:tcPr>
          <w:p>
            <w:pPr>
              <w:widowControl/>
              <w:spacing w:line="380" w:lineRule="exact"/>
              <w:jc w:val="center"/>
              <w:rPr>
                <w:rFonts w:cs="宋体"/>
                <w:sz w:val="24"/>
                <w:szCs w:val="24"/>
              </w:rPr>
            </w:pPr>
            <w:r>
              <w:rPr>
                <w:rFonts w:hint="eastAsia" w:cs="宋体"/>
                <w:sz w:val="24"/>
                <w:szCs w:val="24"/>
              </w:rPr>
              <w:t>西充生态环境局</w:t>
            </w:r>
          </w:p>
        </w:tc>
        <w:tc>
          <w:tcPr>
            <w:tcW w:w="2720" w:type="dxa"/>
            <w:vAlign w:val="center"/>
          </w:tcPr>
          <w:p>
            <w:pPr>
              <w:widowControl/>
              <w:spacing w:line="380" w:lineRule="exact"/>
              <w:jc w:val="center"/>
              <w:rPr>
                <w:sz w:val="24"/>
                <w:szCs w:val="24"/>
              </w:rPr>
            </w:pPr>
            <w:r>
              <w:rPr>
                <w:rFonts w:hint="eastAsia"/>
                <w:sz w:val="24"/>
                <w:szCs w:val="24"/>
              </w:rPr>
              <w:t>7927000</w:t>
            </w:r>
          </w:p>
        </w:tc>
        <w:tc>
          <w:tcPr>
            <w:tcW w:w="1343" w:type="dxa"/>
            <w:vAlign w:val="center"/>
          </w:tcPr>
          <w:p>
            <w:pPr>
              <w:widowControl/>
              <w:spacing w:line="380" w:lineRule="exact"/>
              <w:jc w:val="center"/>
              <w:rPr>
                <w:rFonts w:cs="宋体"/>
              </w:rPr>
            </w:pPr>
          </w:p>
        </w:tc>
      </w:tr>
    </w:tbl>
    <w:p>
      <w:pPr>
        <w:spacing w:line="520" w:lineRule="exact"/>
        <w:jc w:val="center"/>
        <w:rPr>
          <w:rFonts w:cs="宋体"/>
          <w:sz w:val="30"/>
          <w:szCs w:val="30"/>
        </w:rPr>
      </w:pPr>
    </w:p>
    <w:p>
      <w:pPr>
        <w:pStyle w:val="4"/>
        <w:pageBreakBefore/>
        <w:spacing w:before="0" w:after="0"/>
        <w:rPr>
          <w:rStyle w:val="51"/>
          <w:rFonts w:hint="default" w:ascii="Times New Roman" w:hAnsi="Times New Roman" w:cs="宋体"/>
          <w:b/>
          <w:bCs/>
          <w:sz w:val="24"/>
          <w:szCs w:val="24"/>
        </w:rPr>
      </w:pPr>
      <w:bookmarkStart w:id="936" w:name="_Toc504989647"/>
      <w:bookmarkEnd w:id="936"/>
      <w:bookmarkStart w:id="937" w:name="_Toc11023"/>
      <w:bookmarkEnd w:id="937"/>
      <w:bookmarkStart w:id="938" w:name="_Toc17102"/>
      <w:bookmarkStart w:id="939" w:name="_Toc10388"/>
      <w:bookmarkStart w:id="940" w:name="_Toc31151"/>
      <w:bookmarkStart w:id="941" w:name="_Toc19660"/>
      <w:bookmarkStart w:id="942" w:name="_Toc530594679"/>
      <w:bookmarkStart w:id="943" w:name="_Toc870"/>
      <w:r>
        <w:rPr>
          <w:rStyle w:val="51"/>
          <w:rFonts w:hint="default" w:ascii="Times New Roman" w:hAnsi="Times New Roman" w:cs="宋体"/>
          <w:b/>
          <w:bCs/>
          <w:sz w:val="24"/>
          <w:szCs w:val="24"/>
        </w:rPr>
        <w:t>附件3 应急物资装备清单</w:t>
      </w:r>
      <w:bookmarkEnd w:id="938"/>
      <w:bookmarkEnd w:id="939"/>
      <w:bookmarkEnd w:id="940"/>
      <w:bookmarkEnd w:id="941"/>
      <w:bookmarkEnd w:id="942"/>
      <w:bookmarkEnd w:id="943"/>
    </w:p>
    <w:p>
      <w:pPr>
        <w:spacing w:line="360" w:lineRule="auto"/>
        <w:jc w:val="center"/>
        <w:rPr>
          <w:rFonts w:cs="宋体"/>
          <w:b/>
          <w:sz w:val="24"/>
          <w:szCs w:val="24"/>
        </w:rPr>
      </w:pPr>
      <w:r>
        <w:rPr>
          <w:rFonts w:hint="eastAsia" w:cs="宋体"/>
          <w:b/>
          <w:sz w:val="24"/>
          <w:szCs w:val="24"/>
        </w:rPr>
        <w:t>应急物资清单</w:t>
      </w:r>
    </w:p>
    <w:p>
      <w:pPr>
        <w:pStyle w:val="4"/>
        <w:keepNext w:val="0"/>
        <w:keepLines w:val="0"/>
        <w:spacing w:before="0" w:after="0"/>
        <w:rPr>
          <w:rStyle w:val="51"/>
          <w:rFonts w:hint="default" w:ascii="Times New Roman" w:hAnsi="Times New Roman" w:cs="宋体"/>
          <w:b/>
          <w:bCs/>
          <w:sz w:val="24"/>
          <w:szCs w:val="24"/>
        </w:rPr>
      </w:pPr>
      <w:bookmarkStart w:id="944" w:name="_Toc504989648"/>
      <w:bookmarkEnd w:id="944"/>
      <w:bookmarkStart w:id="945" w:name="_Toc13466"/>
      <w:bookmarkEnd w:id="945"/>
      <w:bookmarkStart w:id="946" w:name="_Toc255133951"/>
      <w:bookmarkEnd w:id="946"/>
      <w:bookmarkStart w:id="947" w:name="_Toc238976697"/>
      <w:bookmarkEnd w:id="947"/>
      <w:bookmarkStart w:id="948" w:name="_Toc27435"/>
      <w:bookmarkEnd w:id="948"/>
      <w:bookmarkStart w:id="949" w:name="_Toc4252"/>
      <w:bookmarkStart w:id="950" w:name="_Toc530594680"/>
      <w:bookmarkStart w:id="951" w:name="_Toc12478"/>
      <w:bookmarkStart w:id="952" w:name="_Toc29713"/>
      <w:bookmarkStart w:id="953" w:name="_Toc783"/>
    </w:p>
    <w:tbl>
      <w:tblPr>
        <w:tblStyle w:val="35"/>
        <w:tblW w:w="8070" w:type="dxa"/>
        <w:tblInd w:w="2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287"/>
        <w:gridCol w:w="2670"/>
        <w:gridCol w:w="1725"/>
        <w:gridCol w:w="630"/>
        <w:gridCol w:w="1373"/>
        <w:gridCol w:w="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70" w:type="dxa"/>
            <w:gridSpan w:val="2"/>
            <w:vAlign w:val="center"/>
          </w:tcPr>
          <w:p>
            <w:pPr>
              <w:pStyle w:val="15"/>
              <w:spacing w:after="0" w:line="360" w:lineRule="auto"/>
              <w:ind w:left="0" w:leftChars="0" w:right="0" w:rightChars="0"/>
              <w:jc w:val="center"/>
            </w:pPr>
            <w:r>
              <w:rPr>
                <w:rFonts w:hint="eastAsia"/>
              </w:rPr>
              <w:t>序号</w:t>
            </w:r>
          </w:p>
        </w:tc>
        <w:tc>
          <w:tcPr>
            <w:tcW w:w="5025" w:type="dxa"/>
            <w:gridSpan w:val="3"/>
            <w:vAlign w:val="center"/>
          </w:tcPr>
          <w:p>
            <w:pPr>
              <w:pStyle w:val="15"/>
              <w:spacing w:after="0" w:line="360" w:lineRule="auto"/>
              <w:ind w:left="0" w:leftChars="0" w:right="0" w:rightChars="0"/>
              <w:jc w:val="center"/>
            </w:pPr>
            <w:r>
              <w:rPr>
                <w:rFonts w:hint="eastAsia"/>
              </w:rPr>
              <w:t>器材设备名称</w:t>
            </w:r>
          </w:p>
        </w:tc>
        <w:tc>
          <w:tcPr>
            <w:tcW w:w="2175" w:type="dxa"/>
            <w:gridSpan w:val="2"/>
            <w:vAlign w:val="center"/>
          </w:tcPr>
          <w:p>
            <w:pPr>
              <w:pStyle w:val="15"/>
              <w:spacing w:after="0" w:line="360" w:lineRule="auto"/>
              <w:ind w:left="0" w:leftChars="0" w:right="0" w:rightChars="0"/>
              <w:jc w:val="center"/>
            </w:pPr>
            <w:r>
              <w:rPr>
                <w:rFonts w:hint="eastAsia"/>
              </w:rPr>
              <w:t>配备数量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70" w:type="dxa"/>
            <w:gridSpan w:val="2"/>
            <w:vAlign w:val="center"/>
          </w:tcPr>
          <w:p>
            <w:pPr>
              <w:pStyle w:val="15"/>
              <w:spacing w:after="0" w:line="360" w:lineRule="auto"/>
              <w:ind w:left="0" w:leftChars="0" w:right="0" w:rightChars="0"/>
              <w:jc w:val="center"/>
            </w:pPr>
            <w:r>
              <w:rPr>
                <w:rFonts w:hint="eastAsia"/>
              </w:rPr>
              <w:t>1</w:t>
            </w:r>
          </w:p>
        </w:tc>
        <w:tc>
          <w:tcPr>
            <w:tcW w:w="5025" w:type="dxa"/>
            <w:gridSpan w:val="3"/>
            <w:vAlign w:val="center"/>
          </w:tcPr>
          <w:p>
            <w:pPr>
              <w:pStyle w:val="15"/>
              <w:spacing w:after="0" w:line="360" w:lineRule="auto"/>
              <w:ind w:left="0" w:leftChars="0" w:right="0" w:rightChars="0"/>
              <w:jc w:val="center"/>
            </w:pPr>
            <w:r>
              <w:rPr>
                <w:rFonts w:hint="eastAsia"/>
              </w:rPr>
              <w:t>防爆对讲机</w:t>
            </w:r>
          </w:p>
        </w:tc>
        <w:tc>
          <w:tcPr>
            <w:tcW w:w="2175" w:type="dxa"/>
            <w:gridSpan w:val="2"/>
            <w:vAlign w:val="center"/>
          </w:tcPr>
          <w:p>
            <w:pPr>
              <w:pStyle w:val="15"/>
              <w:spacing w:after="0" w:line="360" w:lineRule="auto"/>
              <w:ind w:left="0" w:leftChars="0" w:right="0" w:rightChars="0"/>
              <w:jc w:val="center"/>
            </w:pPr>
            <w:r>
              <w:rPr>
                <w:rFonts w:hint="eastAsia"/>
              </w:rPr>
              <w:t>2部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70" w:type="dxa"/>
            <w:gridSpan w:val="2"/>
            <w:vAlign w:val="center"/>
          </w:tcPr>
          <w:p>
            <w:pPr>
              <w:pStyle w:val="15"/>
              <w:spacing w:after="0" w:line="360" w:lineRule="auto"/>
              <w:ind w:left="0" w:leftChars="0" w:right="0" w:rightChars="0"/>
              <w:jc w:val="center"/>
            </w:pPr>
            <w:r>
              <w:rPr>
                <w:rFonts w:hint="eastAsia"/>
              </w:rPr>
              <w:t>2</w:t>
            </w:r>
          </w:p>
        </w:tc>
        <w:tc>
          <w:tcPr>
            <w:tcW w:w="5025" w:type="dxa"/>
            <w:gridSpan w:val="3"/>
            <w:vAlign w:val="center"/>
          </w:tcPr>
          <w:p>
            <w:pPr>
              <w:pStyle w:val="15"/>
              <w:spacing w:after="0" w:line="360" w:lineRule="auto"/>
              <w:ind w:left="0" w:leftChars="0" w:right="0" w:rightChars="0"/>
              <w:jc w:val="center"/>
            </w:pPr>
            <w:r>
              <w:rPr>
                <w:rFonts w:hint="eastAsia"/>
              </w:rPr>
              <w:t>消防服、消防手套、消防鞋</w:t>
            </w:r>
          </w:p>
        </w:tc>
        <w:tc>
          <w:tcPr>
            <w:tcW w:w="2175" w:type="dxa"/>
            <w:gridSpan w:val="2"/>
            <w:vAlign w:val="center"/>
          </w:tcPr>
          <w:p>
            <w:pPr>
              <w:pStyle w:val="15"/>
              <w:spacing w:after="0" w:line="360" w:lineRule="auto"/>
              <w:ind w:left="0" w:leftChars="0" w:right="0" w:rightChars="0"/>
              <w:jc w:val="center"/>
            </w:pPr>
            <w:r>
              <w:rPr>
                <w:rFonts w:hint="eastAsia"/>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70" w:type="dxa"/>
            <w:gridSpan w:val="2"/>
            <w:vAlign w:val="center"/>
          </w:tcPr>
          <w:p>
            <w:pPr>
              <w:pStyle w:val="15"/>
              <w:spacing w:after="0" w:line="360" w:lineRule="auto"/>
              <w:ind w:left="0" w:leftChars="0" w:right="0" w:rightChars="0"/>
              <w:jc w:val="center"/>
            </w:pPr>
            <w:r>
              <w:rPr>
                <w:rFonts w:hint="eastAsia"/>
              </w:rPr>
              <w:t>3</w:t>
            </w:r>
          </w:p>
        </w:tc>
        <w:tc>
          <w:tcPr>
            <w:tcW w:w="5025" w:type="dxa"/>
            <w:gridSpan w:val="3"/>
            <w:vAlign w:val="center"/>
          </w:tcPr>
          <w:p>
            <w:pPr>
              <w:pStyle w:val="15"/>
              <w:spacing w:after="0" w:line="360" w:lineRule="auto"/>
              <w:ind w:left="0" w:leftChars="0" w:right="0" w:rightChars="0"/>
              <w:jc w:val="center"/>
            </w:pPr>
            <w:r>
              <w:rPr>
                <w:rFonts w:hint="eastAsia"/>
              </w:rPr>
              <w:t>消防头盔</w:t>
            </w:r>
          </w:p>
        </w:tc>
        <w:tc>
          <w:tcPr>
            <w:tcW w:w="2175" w:type="dxa"/>
            <w:gridSpan w:val="2"/>
            <w:vAlign w:val="center"/>
          </w:tcPr>
          <w:p>
            <w:pPr>
              <w:pStyle w:val="15"/>
              <w:spacing w:after="0" w:line="360" w:lineRule="auto"/>
              <w:ind w:left="0" w:leftChars="0" w:right="0" w:rightChars="0"/>
              <w:jc w:val="center"/>
            </w:pPr>
            <w:r>
              <w:rPr>
                <w:rFonts w:hint="eastAsia"/>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70" w:type="dxa"/>
            <w:gridSpan w:val="2"/>
            <w:vAlign w:val="center"/>
          </w:tcPr>
          <w:p>
            <w:pPr>
              <w:pStyle w:val="15"/>
              <w:spacing w:after="0" w:line="360" w:lineRule="auto"/>
              <w:ind w:left="0" w:leftChars="0" w:right="0" w:rightChars="0"/>
              <w:jc w:val="center"/>
            </w:pPr>
            <w:r>
              <w:rPr>
                <w:rFonts w:hint="eastAsia"/>
              </w:rPr>
              <w:t>4</w:t>
            </w:r>
          </w:p>
        </w:tc>
        <w:tc>
          <w:tcPr>
            <w:tcW w:w="5025" w:type="dxa"/>
            <w:gridSpan w:val="3"/>
            <w:vAlign w:val="center"/>
          </w:tcPr>
          <w:p>
            <w:pPr>
              <w:pStyle w:val="15"/>
              <w:spacing w:after="0" w:line="360" w:lineRule="auto"/>
              <w:ind w:left="0" w:leftChars="0" w:right="0" w:rightChars="0"/>
              <w:jc w:val="center"/>
            </w:pPr>
            <w:r>
              <w:rPr>
                <w:rFonts w:hint="eastAsia"/>
              </w:rPr>
              <w:t>消防安全带和保险钩</w:t>
            </w:r>
          </w:p>
        </w:tc>
        <w:tc>
          <w:tcPr>
            <w:tcW w:w="2175" w:type="dxa"/>
            <w:gridSpan w:val="2"/>
            <w:vAlign w:val="center"/>
          </w:tcPr>
          <w:p>
            <w:pPr>
              <w:pStyle w:val="15"/>
              <w:spacing w:after="0" w:line="360" w:lineRule="auto"/>
              <w:ind w:left="0" w:leftChars="0" w:right="0" w:rightChars="0"/>
              <w:jc w:val="center"/>
            </w:pPr>
            <w:r>
              <w:rPr>
                <w:rFonts w:hint="eastAsia"/>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70" w:type="dxa"/>
            <w:gridSpan w:val="2"/>
            <w:vAlign w:val="center"/>
          </w:tcPr>
          <w:p>
            <w:pPr>
              <w:pStyle w:val="15"/>
              <w:spacing w:after="0" w:line="360" w:lineRule="auto"/>
              <w:ind w:left="0" w:leftChars="0" w:right="0" w:rightChars="0"/>
              <w:jc w:val="center"/>
            </w:pPr>
            <w:r>
              <w:rPr>
                <w:rFonts w:hint="eastAsia"/>
              </w:rPr>
              <w:t>5</w:t>
            </w:r>
          </w:p>
        </w:tc>
        <w:tc>
          <w:tcPr>
            <w:tcW w:w="5025" w:type="dxa"/>
            <w:gridSpan w:val="3"/>
            <w:vAlign w:val="center"/>
          </w:tcPr>
          <w:p>
            <w:pPr>
              <w:pStyle w:val="15"/>
              <w:spacing w:after="0" w:line="360" w:lineRule="auto"/>
              <w:ind w:left="0" w:leftChars="0" w:right="0" w:rightChars="0"/>
              <w:jc w:val="center"/>
            </w:pPr>
            <w:r>
              <w:rPr>
                <w:rFonts w:hint="eastAsia"/>
              </w:rPr>
              <w:t>便携式可燃气体检测报警器</w:t>
            </w:r>
          </w:p>
        </w:tc>
        <w:tc>
          <w:tcPr>
            <w:tcW w:w="2175" w:type="dxa"/>
            <w:gridSpan w:val="2"/>
            <w:vAlign w:val="center"/>
          </w:tcPr>
          <w:p>
            <w:pPr>
              <w:pStyle w:val="15"/>
              <w:spacing w:after="0" w:line="360" w:lineRule="auto"/>
              <w:ind w:left="0" w:leftChars="0" w:right="0" w:rightChars="0"/>
              <w:jc w:val="center"/>
            </w:pPr>
            <w:r>
              <w:rPr>
                <w:rFonts w:hint="eastAsia"/>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70" w:type="dxa"/>
            <w:gridSpan w:val="2"/>
            <w:vAlign w:val="center"/>
          </w:tcPr>
          <w:p>
            <w:pPr>
              <w:pStyle w:val="15"/>
              <w:spacing w:after="0" w:line="360" w:lineRule="auto"/>
              <w:ind w:left="0" w:leftChars="0" w:right="0" w:rightChars="0"/>
              <w:jc w:val="center"/>
            </w:pPr>
            <w:r>
              <w:rPr>
                <w:rFonts w:hint="eastAsia"/>
              </w:rPr>
              <w:t>6</w:t>
            </w:r>
          </w:p>
        </w:tc>
        <w:tc>
          <w:tcPr>
            <w:tcW w:w="5025" w:type="dxa"/>
            <w:gridSpan w:val="3"/>
            <w:vAlign w:val="center"/>
          </w:tcPr>
          <w:p>
            <w:pPr>
              <w:pStyle w:val="15"/>
              <w:spacing w:after="0" w:line="360" w:lineRule="auto"/>
              <w:ind w:left="0" w:leftChars="0" w:right="0" w:rightChars="0"/>
              <w:jc w:val="center"/>
            </w:pPr>
            <w:r>
              <w:rPr>
                <w:rFonts w:hint="eastAsia"/>
              </w:rPr>
              <w:t>消防器材</w:t>
            </w:r>
          </w:p>
        </w:tc>
        <w:tc>
          <w:tcPr>
            <w:tcW w:w="2175" w:type="dxa"/>
            <w:gridSpan w:val="2"/>
            <w:vAlign w:val="center"/>
          </w:tcPr>
          <w:p>
            <w:pPr>
              <w:pStyle w:val="15"/>
              <w:spacing w:after="0" w:line="360" w:lineRule="auto"/>
              <w:ind w:left="0" w:leftChars="0" w:right="0" w:rightChars="0"/>
              <w:jc w:val="center"/>
            </w:pPr>
            <w:r>
              <w:rPr>
                <w:rFonts w:hint="eastAsia"/>
              </w:rPr>
              <w:t>见消防器材配备表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0" w:type="dxa"/>
            <w:gridSpan w:val="2"/>
            <w:vAlign w:val="center"/>
          </w:tcPr>
          <w:p>
            <w:pPr>
              <w:pStyle w:val="15"/>
              <w:spacing w:after="0" w:line="360" w:lineRule="auto"/>
              <w:ind w:left="0" w:leftChars="0" w:right="0" w:rightChars="0"/>
              <w:jc w:val="center"/>
            </w:pPr>
            <w:r>
              <w:rPr>
                <w:rFonts w:hint="eastAsia"/>
              </w:rPr>
              <w:t>7</w:t>
            </w:r>
          </w:p>
        </w:tc>
        <w:tc>
          <w:tcPr>
            <w:tcW w:w="5025" w:type="dxa"/>
            <w:gridSpan w:val="3"/>
            <w:vAlign w:val="center"/>
          </w:tcPr>
          <w:p>
            <w:pPr>
              <w:pStyle w:val="15"/>
              <w:spacing w:after="0" w:line="360" w:lineRule="auto"/>
              <w:ind w:left="0" w:leftChars="0" w:right="0" w:rightChars="0"/>
              <w:jc w:val="center"/>
            </w:pPr>
            <w:r>
              <w:rPr>
                <w:rFonts w:hint="eastAsia"/>
              </w:rPr>
              <w:t>急救药箱（含解毒、烧伤等药品）</w:t>
            </w:r>
          </w:p>
        </w:tc>
        <w:tc>
          <w:tcPr>
            <w:tcW w:w="2175" w:type="dxa"/>
            <w:gridSpan w:val="2"/>
            <w:vAlign w:val="center"/>
          </w:tcPr>
          <w:p>
            <w:pPr>
              <w:pStyle w:val="15"/>
              <w:spacing w:after="0" w:line="360" w:lineRule="auto"/>
              <w:ind w:left="0" w:leftChars="0" w:right="0" w:rightChars="0"/>
              <w:jc w:val="center"/>
            </w:pPr>
            <w:r>
              <w:rPr>
                <w:rFonts w:hint="eastAsia"/>
              </w:rPr>
              <w:t>1只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0" w:type="dxa"/>
            <w:gridSpan w:val="2"/>
            <w:vAlign w:val="center"/>
          </w:tcPr>
          <w:p>
            <w:pPr>
              <w:pStyle w:val="15"/>
              <w:spacing w:after="0" w:line="360" w:lineRule="auto"/>
              <w:ind w:left="0" w:leftChars="0" w:right="0" w:rightChars="0"/>
              <w:jc w:val="center"/>
            </w:pPr>
            <w:r>
              <w:rPr>
                <w:rFonts w:hint="eastAsia"/>
              </w:rPr>
              <w:t>8</w:t>
            </w:r>
          </w:p>
        </w:tc>
        <w:tc>
          <w:tcPr>
            <w:tcW w:w="5025" w:type="dxa"/>
            <w:gridSpan w:val="3"/>
            <w:vAlign w:val="center"/>
          </w:tcPr>
          <w:p>
            <w:pPr>
              <w:pStyle w:val="15"/>
              <w:spacing w:after="0" w:line="360" w:lineRule="auto"/>
              <w:ind w:left="0" w:leftChars="0" w:right="0" w:rightChars="0"/>
              <w:jc w:val="center"/>
            </w:pPr>
            <w:r>
              <w:rPr>
                <w:rFonts w:hint="eastAsia"/>
              </w:rPr>
              <w:t>口罩</w:t>
            </w:r>
          </w:p>
        </w:tc>
        <w:tc>
          <w:tcPr>
            <w:tcW w:w="2175" w:type="dxa"/>
            <w:gridSpan w:val="2"/>
            <w:vAlign w:val="center"/>
          </w:tcPr>
          <w:p>
            <w:pPr>
              <w:pStyle w:val="15"/>
              <w:spacing w:after="0" w:line="360" w:lineRule="auto"/>
              <w:ind w:left="0" w:leftChars="0" w:right="0" w:rightChars="0"/>
              <w:jc w:val="center"/>
            </w:pPr>
            <w:r>
              <w:rPr>
                <w:rFonts w:hint="eastAsia"/>
              </w:rPr>
              <w:t>4只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0" w:type="dxa"/>
            <w:gridSpan w:val="2"/>
            <w:vAlign w:val="center"/>
          </w:tcPr>
          <w:p>
            <w:pPr>
              <w:pStyle w:val="15"/>
              <w:spacing w:after="0" w:line="360" w:lineRule="auto"/>
              <w:ind w:left="0" w:leftChars="0" w:right="0" w:rightChars="0"/>
              <w:jc w:val="center"/>
            </w:pPr>
            <w:r>
              <w:rPr>
                <w:rFonts w:hint="eastAsia"/>
              </w:rPr>
              <w:t>9</w:t>
            </w:r>
          </w:p>
        </w:tc>
        <w:tc>
          <w:tcPr>
            <w:tcW w:w="5025" w:type="dxa"/>
            <w:gridSpan w:val="3"/>
            <w:vAlign w:val="center"/>
          </w:tcPr>
          <w:p>
            <w:pPr>
              <w:pStyle w:val="15"/>
              <w:spacing w:after="0" w:line="360" w:lineRule="auto"/>
              <w:ind w:left="0" w:leftChars="0" w:right="0" w:rightChars="0"/>
              <w:jc w:val="center"/>
            </w:pPr>
            <w:r>
              <w:rPr>
                <w:rFonts w:hint="eastAsia"/>
              </w:rPr>
              <w:t>密封胶泥</w:t>
            </w:r>
          </w:p>
        </w:tc>
        <w:tc>
          <w:tcPr>
            <w:tcW w:w="2175" w:type="dxa"/>
            <w:gridSpan w:val="2"/>
            <w:vAlign w:val="center"/>
          </w:tcPr>
          <w:p>
            <w:pPr>
              <w:pStyle w:val="15"/>
              <w:spacing w:after="0" w:line="360" w:lineRule="auto"/>
              <w:ind w:left="0" w:leftChars="0" w:right="0" w:rightChars="0"/>
              <w:jc w:val="center"/>
            </w:pPr>
            <w:r>
              <w:rPr>
                <w:rFonts w:hint="eastAsia"/>
              </w:rPr>
              <w:t>3块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0" w:type="dxa"/>
            <w:gridSpan w:val="2"/>
            <w:vAlign w:val="center"/>
          </w:tcPr>
          <w:p>
            <w:pPr>
              <w:pStyle w:val="15"/>
              <w:spacing w:after="0" w:line="360" w:lineRule="auto"/>
              <w:ind w:left="0" w:leftChars="0" w:right="0" w:rightChars="0"/>
              <w:jc w:val="center"/>
            </w:pPr>
            <w:r>
              <w:rPr>
                <w:rFonts w:hint="eastAsia"/>
              </w:rPr>
              <w:t>10</w:t>
            </w:r>
          </w:p>
        </w:tc>
        <w:tc>
          <w:tcPr>
            <w:tcW w:w="5025" w:type="dxa"/>
            <w:gridSpan w:val="3"/>
            <w:vAlign w:val="center"/>
          </w:tcPr>
          <w:p>
            <w:pPr>
              <w:pStyle w:val="15"/>
              <w:spacing w:after="0" w:line="360" w:lineRule="auto"/>
              <w:ind w:left="0" w:leftChars="0" w:right="0" w:rightChars="0"/>
              <w:jc w:val="center"/>
            </w:pPr>
            <w:r>
              <w:rPr>
                <w:rFonts w:hint="eastAsia"/>
              </w:rPr>
              <w:t>手持扩音器</w:t>
            </w:r>
          </w:p>
        </w:tc>
        <w:tc>
          <w:tcPr>
            <w:tcW w:w="2175" w:type="dxa"/>
            <w:gridSpan w:val="2"/>
            <w:vAlign w:val="center"/>
          </w:tcPr>
          <w:p>
            <w:pPr>
              <w:pStyle w:val="15"/>
              <w:spacing w:after="0" w:line="360" w:lineRule="auto"/>
              <w:ind w:left="0" w:leftChars="0" w:right="0" w:rightChars="0"/>
              <w:jc w:val="center"/>
            </w:pPr>
            <w:r>
              <w:rPr>
                <w:rFonts w:hint="eastAsia"/>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70" w:type="dxa"/>
            <w:gridSpan w:val="2"/>
            <w:vAlign w:val="center"/>
          </w:tcPr>
          <w:p>
            <w:pPr>
              <w:pStyle w:val="15"/>
              <w:spacing w:after="0" w:line="360" w:lineRule="auto"/>
              <w:ind w:left="0" w:leftChars="0" w:right="0" w:rightChars="0"/>
              <w:jc w:val="center"/>
            </w:pPr>
            <w:r>
              <w:rPr>
                <w:rFonts w:hint="eastAsia"/>
              </w:rPr>
              <w:t>11</w:t>
            </w:r>
          </w:p>
        </w:tc>
        <w:tc>
          <w:tcPr>
            <w:tcW w:w="5025" w:type="dxa"/>
            <w:gridSpan w:val="3"/>
            <w:vAlign w:val="center"/>
          </w:tcPr>
          <w:p>
            <w:pPr>
              <w:pStyle w:val="15"/>
              <w:spacing w:after="0" w:line="360" w:lineRule="auto"/>
              <w:ind w:left="0" w:leftChars="0" w:right="0" w:rightChars="0"/>
              <w:jc w:val="center"/>
            </w:pPr>
            <w:r>
              <w:rPr>
                <w:rFonts w:hint="eastAsia"/>
              </w:rPr>
              <w:t>SY型氧气袋</w:t>
            </w:r>
          </w:p>
        </w:tc>
        <w:tc>
          <w:tcPr>
            <w:tcW w:w="2175" w:type="dxa"/>
            <w:gridSpan w:val="2"/>
            <w:vAlign w:val="center"/>
          </w:tcPr>
          <w:p>
            <w:pPr>
              <w:pStyle w:val="15"/>
              <w:spacing w:after="0" w:line="360" w:lineRule="auto"/>
              <w:ind w:left="0" w:leftChars="0" w:right="0" w:rightChars="0"/>
              <w:jc w:val="center"/>
            </w:pPr>
            <w:r>
              <w:rPr>
                <w:rFonts w:hint="eastAsia"/>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70" w:type="dxa"/>
            <w:gridSpan w:val="2"/>
            <w:vAlign w:val="center"/>
          </w:tcPr>
          <w:p>
            <w:pPr>
              <w:pStyle w:val="15"/>
              <w:spacing w:after="0" w:line="360" w:lineRule="auto"/>
              <w:ind w:left="0" w:leftChars="0" w:right="0" w:rightChars="0"/>
              <w:jc w:val="center"/>
            </w:pPr>
            <w:r>
              <w:rPr>
                <w:rFonts w:hint="eastAsia"/>
              </w:rPr>
              <w:t>12</w:t>
            </w:r>
          </w:p>
        </w:tc>
        <w:tc>
          <w:tcPr>
            <w:tcW w:w="5025" w:type="dxa"/>
            <w:gridSpan w:val="3"/>
            <w:vAlign w:val="center"/>
          </w:tcPr>
          <w:p>
            <w:pPr>
              <w:pStyle w:val="15"/>
              <w:spacing w:after="0" w:line="360" w:lineRule="auto"/>
              <w:ind w:left="0" w:leftChars="0" w:right="0" w:rightChars="0"/>
              <w:jc w:val="center"/>
            </w:pPr>
            <w:r>
              <w:rPr>
                <w:rFonts w:hint="eastAsia"/>
              </w:rPr>
              <w:t>护目镜</w:t>
            </w:r>
          </w:p>
        </w:tc>
        <w:tc>
          <w:tcPr>
            <w:tcW w:w="2175" w:type="dxa"/>
            <w:gridSpan w:val="2"/>
            <w:vAlign w:val="center"/>
          </w:tcPr>
          <w:p>
            <w:pPr>
              <w:pStyle w:val="15"/>
              <w:spacing w:after="0" w:line="360" w:lineRule="auto"/>
              <w:ind w:left="0" w:leftChars="0" w:right="0" w:rightChars="0"/>
              <w:jc w:val="center"/>
            </w:pPr>
            <w:r>
              <w:rPr>
                <w:rFonts w:hint="eastAsia"/>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070" w:type="dxa"/>
            <w:gridSpan w:val="7"/>
            <w:vAlign w:val="center"/>
          </w:tcPr>
          <w:p>
            <w:pPr>
              <w:pStyle w:val="15"/>
              <w:spacing w:after="0" w:line="360" w:lineRule="auto"/>
              <w:ind w:left="0" w:leftChars="0" w:right="0" w:rightChars="0"/>
              <w:jc w:val="center"/>
            </w:pPr>
            <w:r>
              <w:rPr>
                <w:rFonts w:hint="eastAsia"/>
              </w:rPr>
              <w:t>消防器材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83" w:type="dxa"/>
            <w:vAlign w:val="center"/>
          </w:tcPr>
          <w:p>
            <w:pPr>
              <w:pStyle w:val="15"/>
              <w:spacing w:after="0" w:line="360" w:lineRule="auto"/>
              <w:ind w:left="0" w:leftChars="0" w:right="0" w:rightChars="0"/>
              <w:jc w:val="center"/>
            </w:pPr>
            <w:r>
              <w:rPr>
                <w:rFonts w:hint="eastAsia"/>
              </w:rPr>
              <w:t>序号</w:t>
            </w:r>
          </w:p>
        </w:tc>
        <w:tc>
          <w:tcPr>
            <w:tcW w:w="2957" w:type="dxa"/>
            <w:gridSpan w:val="2"/>
            <w:vAlign w:val="center"/>
          </w:tcPr>
          <w:p>
            <w:pPr>
              <w:pStyle w:val="15"/>
              <w:spacing w:after="0" w:line="360" w:lineRule="auto"/>
              <w:ind w:left="0" w:leftChars="0" w:right="0" w:rightChars="0"/>
              <w:jc w:val="center"/>
            </w:pPr>
            <w:r>
              <w:rPr>
                <w:rFonts w:hint="eastAsia"/>
              </w:rPr>
              <w:t>名称</w:t>
            </w:r>
          </w:p>
        </w:tc>
        <w:tc>
          <w:tcPr>
            <w:tcW w:w="1725" w:type="dxa"/>
            <w:vAlign w:val="center"/>
          </w:tcPr>
          <w:p>
            <w:pPr>
              <w:pStyle w:val="15"/>
              <w:spacing w:after="0" w:line="360" w:lineRule="auto"/>
              <w:ind w:left="0" w:leftChars="0" w:right="0" w:rightChars="0"/>
              <w:jc w:val="center"/>
            </w:pPr>
            <w:r>
              <w:rPr>
                <w:rFonts w:hint="eastAsia"/>
              </w:rPr>
              <w:t>规格</w:t>
            </w:r>
          </w:p>
        </w:tc>
        <w:tc>
          <w:tcPr>
            <w:tcW w:w="630" w:type="dxa"/>
            <w:vAlign w:val="center"/>
          </w:tcPr>
          <w:p>
            <w:pPr>
              <w:pStyle w:val="15"/>
              <w:spacing w:after="0" w:line="360" w:lineRule="auto"/>
              <w:ind w:left="0" w:leftChars="0" w:right="0" w:rightChars="0"/>
              <w:jc w:val="center"/>
            </w:pPr>
            <w:r>
              <w:rPr>
                <w:rFonts w:hint="eastAsia"/>
              </w:rPr>
              <w:t>单位</w:t>
            </w:r>
          </w:p>
        </w:tc>
        <w:tc>
          <w:tcPr>
            <w:tcW w:w="1373" w:type="dxa"/>
            <w:vAlign w:val="center"/>
          </w:tcPr>
          <w:p>
            <w:pPr>
              <w:pStyle w:val="15"/>
              <w:spacing w:after="0" w:line="360" w:lineRule="auto"/>
              <w:ind w:left="0" w:leftChars="0" w:right="0" w:rightChars="0"/>
              <w:jc w:val="center"/>
            </w:pPr>
            <w:r>
              <w:rPr>
                <w:rFonts w:hint="eastAsia"/>
              </w:rPr>
              <w:t>数量</w:t>
            </w:r>
          </w:p>
        </w:tc>
        <w:tc>
          <w:tcPr>
            <w:tcW w:w="802" w:type="dxa"/>
            <w:vAlign w:val="center"/>
          </w:tcPr>
          <w:p>
            <w:pPr>
              <w:pStyle w:val="15"/>
              <w:spacing w:after="0" w:line="360" w:lineRule="auto"/>
              <w:ind w:left="0" w:leftChars="0" w:right="0" w:rightChars="0"/>
              <w:jc w:val="center"/>
            </w:pPr>
            <w:r>
              <w:rPr>
                <w:rFonts w:hint="eastAsia"/>
              </w:rPr>
              <w:t>配置场所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83" w:type="dxa"/>
            <w:vAlign w:val="center"/>
          </w:tcPr>
          <w:p>
            <w:pPr>
              <w:pStyle w:val="15"/>
              <w:spacing w:after="0" w:line="360" w:lineRule="auto"/>
              <w:ind w:left="0" w:leftChars="0" w:right="0" w:rightChars="0"/>
              <w:jc w:val="center"/>
            </w:pPr>
            <w:r>
              <w:rPr>
                <w:rFonts w:hint="eastAsia"/>
              </w:rPr>
              <w:t>1</w:t>
            </w:r>
          </w:p>
        </w:tc>
        <w:tc>
          <w:tcPr>
            <w:tcW w:w="2957" w:type="dxa"/>
            <w:gridSpan w:val="2"/>
            <w:vAlign w:val="center"/>
          </w:tcPr>
          <w:p>
            <w:pPr>
              <w:pStyle w:val="15"/>
              <w:spacing w:after="0" w:line="360" w:lineRule="auto"/>
              <w:ind w:left="0" w:leftChars="0" w:right="0" w:rightChars="0"/>
              <w:jc w:val="center"/>
            </w:pPr>
            <w:r>
              <w:rPr>
                <w:rFonts w:hint="eastAsia"/>
              </w:rPr>
              <w:t>手提式磷酸铵盐干粉灭火器</w:t>
            </w:r>
          </w:p>
        </w:tc>
        <w:tc>
          <w:tcPr>
            <w:tcW w:w="1725" w:type="dxa"/>
            <w:vAlign w:val="center"/>
          </w:tcPr>
          <w:p>
            <w:pPr>
              <w:pStyle w:val="15"/>
              <w:spacing w:after="0" w:line="360" w:lineRule="auto"/>
              <w:ind w:left="0" w:leftChars="0" w:right="0" w:rightChars="0"/>
              <w:jc w:val="center"/>
            </w:pPr>
            <w:r>
              <w:rPr>
                <w:rFonts w:hint="eastAsia"/>
              </w:rPr>
              <w:t>MF/ABC4</w:t>
            </w:r>
          </w:p>
        </w:tc>
        <w:tc>
          <w:tcPr>
            <w:tcW w:w="630" w:type="dxa"/>
            <w:vAlign w:val="center"/>
          </w:tcPr>
          <w:p>
            <w:pPr>
              <w:pStyle w:val="15"/>
              <w:spacing w:after="0" w:line="360" w:lineRule="auto"/>
              <w:ind w:left="0" w:leftChars="0" w:right="0" w:rightChars="0"/>
              <w:jc w:val="center"/>
            </w:pPr>
            <w:r>
              <w:rPr>
                <w:rFonts w:hint="eastAsia"/>
              </w:rPr>
              <w:t>具</w:t>
            </w:r>
          </w:p>
        </w:tc>
        <w:tc>
          <w:tcPr>
            <w:tcW w:w="1373" w:type="dxa"/>
            <w:vAlign w:val="center"/>
          </w:tcPr>
          <w:p>
            <w:pPr>
              <w:pStyle w:val="15"/>
              <w:spacing w:after="0" w:line="360" w:lineRule="auto"/>
              <w:ind w:left="0" w:leftChars="0" w:right="0" w:rightChars="0"/>
              <w:jc w:val="center"/>
            </w:pPr>
            <w:r>
              <w:rPr>
                <w:rFonts w:hint="eastAsia"/>
              </w:rPr>
              <w:t>4</w:t>
            </w:r>
          </w:p>
        </w:tc>
        <w:tc>
          <w:tcPr>
            <w:tcW w:w="802" w:type="dxa"/>
            <w:vAlign w:val="center"/>
          </w:tcPr>
          <w:p>
            <w:pPr>
              <w:pStyle w:val="15"/>
              <w:spacing w:after="0" w:line="360" w:lineRule="auto"/>
              <w:ind w:left="0" w:leftChars="0" w:right="0" w:rightChars="0"/>
              <w:jc w:val="center"/>
            </w:pPr>
            <w:r>
              <w:rPr>
                <w:rFonts w:hint="eastAsia"/>
              </w:rPr>
              <w:t>加油区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83" w:type="dxa"/>
            <w:vAlign w:val="center"/>
          </w:tcPr>
          <w:p>
            <w:pPr>
              <w:pStyle w:val="15"/>
              <w:spacing w:after="0" w:line="360" w:lineRule="auto"/>
              <w:ind w:left="0" w:leftChars="0" w:right="0" w:rightChars="0"/>
              <w:jc w:val="center"/>
            </w:pPr>
            <w:r>
              <w:rPr>
                <w:rFonts w:hint="eastAsia"/>
              </w:rPr>
              <w:t>2</w:t>
            </w:r>
          </w:p>
        </w:tc>
        <w:tc>
          <w:tcPr>
            <w:tcW w:w="2957" w:type="dxa"/>
            <w:gridSpan w:val="2"/>
            <w:vAlign w:val="center"/>
          </w:tcPr>
          <w:p>
            <w:pPr>
              <w:pStyle w:val="15"/>
              <w:spacing w:after="0" w:line="360" w:lineRule="auto"/>
              <w:ind w:left="0" w:leftChars="0" w:right="0" w:rightChars="0"/>
              <w:jc w:val="center"/>
            </w:pPr>
            <w:r>
              <w:rPr>
                <w:rFonts w:hint="eastAsia"/>
              </w:rPr>
              <w:t>手提式磷酸铵盐干粉灭火器</w:t>
            </w:r>
          </w:p>
        </w:tc>
        <w:tc>
          <w:tcPr>
            <w:tcW w:w="1725" w:type="dxa"/>
            <w:vAlign w:val="center"/>
          </w:tcPr>
          <w:p>
            <w:pPr>
              <w:pStyle w:val="15"/>
              <w:spacing w:after="0" w:line="360" w:lineRule="auto"/>
              <w:ind w:left="0" w:leftChars="0" w:right="0" w:rightChars="0"/>
              <w:jc w:val="center"/>
            </w:pPr>
            <w:r>
              <w:rPr>
                <w:rFonts w:hint="eastAsia"/>
              </w:rPr>
              <w:t>MF/ABC8</w:t>
            </w:r>
          </w:p>
        </w:tc>
        <w:tc>
          <w:tcPr>
            <w:tcW w:w="630" w:type="dxa"/>
            <w:vAlign w:val="center"/>
          </w:tcPr>
          <w:p>
            <w:pPr>
              <w:pStyle w:val="15"/>
              <w:spacing w:after="0" w:line="360" w:lineRule="auto"/>
              <w:ind w:left="0" w:leftChars="0" w:right="0" w:rightChars="0"/>
              <w:jc w:val="center"/>
            </w:pPr>
            <w:r>
              <w:rPr>
                <w:rFonts w:hint="eastAsia"/>
              </w:rPr>
              <w:t>具</w:t>
            </w:r>
          </w:p>
        </w:tc>
        <w:tc>
          <w:tcPr>
            <w:tcW w:w="1373" w:type="dxa"/>
            <w:vAlign w:val="center"/>
          </w:tcPr>
          <w:p>
            <w:pPr>
              <w:pStyle w:val="15"/>
              <w:spacing w:after="0" w:line="360" w:lineRule="auto"/>
              <w:ind w:left="0" w:leftChars="0" w:right="0" w:rightChars="0"/>
              <w:jc w:val="center"/>
            </w:pPr>
            <w:r>
              <w:rPr>
                <w:rFonts w:hint="eastAsia"/>
              </w:rPr>
              <w:t>4</w:t>
            </w:r>
          </w:p>
        </w:tc>
        <w:tc>
          <w:tcPr>
            <w:tcW w:w="802" w:type="dxa"/>
            <w:vAlign w:val="center"/>
          </w:tcPr>
          <w:p>
            <w:pPr>
              <w:pStyle w:val="15"/>
              <w:spacing w:after="0" w:line="360" w:lineRule="auto"/>
              <w:ind w:left="0" w:leftChars="0" w:right="0" w:rightChars="0"/>
              <w:jc w:val="center"/>
            </w:pPr>
            <w:r>
              <w:rPr>
                <w:rFonts w:hint="eastAsia"/>
              </w:rPr>
              <w:t>加油区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83" w:type="dxa"/>
            <w:vAlign w:val="center"/>
          </w:tcPr>
          <w:p>
            <w:pPr>
              <w:pStyle w:val="15"/>
              <w:spacing w:after="0" w:line="360" w:lineRule="auto"/>
              <w:ind w:left="0" w:leftChars="0" w:right="0" w:rightChars="0"/>
              <w:jc w:val="center"/>
            </w:pPr>
            <w:r>
              <w:rPr>
                <w:rFonts w:hint="eastAsia"/>
              </w:rPr>
              <w:t>3</w:t>
            </w:r>
          </w:p>
        </w:tc>
        <w:tc>
          <w:tcPr>
            <w:tcW w:w="2957" w:type="dxa"/>
            <w:gridSpan w:val="2"/>
            <w:vAlign w:val="center"/>
          </w:tcPr>
          <w:p>
            <w:pPr>
              <w:pStyle w:val="15"/>
              <w:spacing w:after="0" w:line="360" w:lineRule="auto"/>
              <w:ind w:left="0" w:leftChars="0" w:right="0" w:rightChars="0"/>
              <w:jc w:val="center"/>
            </w:pPr>
            <w:r>
              <w:rPr>
                <w:rFonts w:hint="eastAsia"/>
              </w:rPr>
              <w:t>手提式磷酸铵盐干粉灭火器</w:t>
            </w:r>
          </w:p>
        </w:tc>
        <w:tc>
          <w:tcPr>
            <w:tcW w:w="1725" w:type="dxa"/>
            <w:vAlign w:val="center"/>
          </w:tcPr>
          <w:p>
            <w:pPr>
              <w:pStyle w:val="15"/>
              <w:spacing w:after="0" w:line="360" w:lineRule="auto"/>
              <w:ind w:left="0" w:leftChars="0" w:right="0" w:rightChars="0"/>
              <w:jc w:val="center"/>
            </w:pPr>
            <w:r>
              <w:rPr>
                <w:rFonts w:hint="eastAsia"/>
              </w:rPr>
              <w:t>MF/ABC4</w:t>
            </w:r>
          </w:p>
        </w:tc>
        <w:tc>
          <w:tcPr>
            <w:tcW w:w="630" w:type="dxa"/>
            <w:vAlign w:val="center"/>
          </w:tcPr>
          <w:p>
            <w:pPr>
              <w:pStyle w:val="15"/>
              <w:spacing w:after="0" w:line="360" w:lineRule="auto"/>
              <w:ind w:left="0" w:leftChars="0" w:right="0" w:rightChars="0"/>
              <w:jc w:val="center"/>
            </w:pPr>
            <w:r>
              <w:rPr>
                <w:rFonts w:hint="eastAsia"/>
              </w:rPr>
              <w:t>具</w:t>
            </w:r>
          </w:p>
        </w:tc>
        <w:tc>
          <w:tcPr>
            <w:tcW w:w="1373" w:type="dxa"/>
            <w:vAlign w:val="center"/>
          </w:tcPr>
          <w:p>
            <w:pPr>
              <w:pStyle w:val="15"/>
              <w:spacing w:after="0" w:line="360" w:lineRule="auto"/>
              <w:ind w:left="0" w:leftChars="0" w:right="0" w:rightChars="0"/>
              <w:jc w:val="center"/>
            </w:pPr>
            <w:r>
              <w:rPr>
                <w:rFonts w:hint="eastAsia"/>
              </w:rPr>
              <w:t>8</w:t>
            </w:r>
          </w:p>
        </w:tc>
        <w:tc>
          <w:tcPr>
            <w:tcW w:w="802" w:type="dxa"/>
            <w:vAlign w:val="center"/>
          </w:tcPr>
          <w:p>
            <w:pPr>
              <w:pStyle w:val="15"/>
              <w:spacing w:after="0" w:line="360" w:lineRule="auto"/>
              <w:ind w:left="0" w:leftChars="0" w:right="0" w:rightChars="0"/>
              <w:jc w:val="center"/>
            </w:pPr>
            <w:r>
              <w:rPr>
                <w:rFonts w:hint="eastAsia"/>
              </w:rPr>
              <w:t>站房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83" w:type="dxa"/>
            <w:vAlign w:val="center"/>
          </w:tcPr>
          <w:p>
            <w:pPr>
              <w:pStyle w:val="15"/>
              <w:spacing w:after="0" w:line="360" w:lineRule="auto"/>
              <w:ind w:left="0" w:leftChars="0" w:right="0" w:rightChars="0"/>
              <w:jc w:val="center"/>
            </w:pPr>
            <w:r>
              <w:rPr>
                <w:rFonts w:hint="eastAsia"/>
              </w:rPr>
              <w:t>4</w:t>
            </w:r>
          </w:p>
        </w:tc>
        <w:tc>
          <w:tcPr>
            <w:tcW w:w="2957" w:type="dxa"/>
            <w:gridSpan w:val="2"/>
            <w:vAlign w:val="center"/>
          </w:tcPr>
          <w:p>
            <w:pPr>
              <w:pStyle w:val="15"/>
              <w:spacing w:after="0" w:line="360" w:lineRule="auto"/>
              <w:ind w:left="0" w:leftChars="0" w:right="0" w:rightChars="0"/>
              <w:jc w:val="center"/>
            </w:pPr>
            <w:r>
              <w:rPr>
                <w:rFonts w:hint="eastAsia"/>
              </w:rPr>
              <w:t>手提式磷酸铵盐干粉灭火器</w:t>
            </w:r>
          </w:p>
        </w:tc>
        <w:tc>
          <w:tcPr>
            <w:tcW w:w="1725" w:type="dxa"/>
            <w:vAlign w:val="center"/>
          </w:tcPr>
          <w:p>
            <w:pPr>
              <w:pStyle w:val="15"/>
              <w:spacing w:after="0" w:line="360" w:lineRule="auto"/>
              <w:ind w:left="0" w:leftChars="0" w:right="0" w:rightChars="0"/>
              <w:jc w:val="center"/>
            </w:pPr>
            <w:r>
              <w:rPr>
                <w:rFonts w:hint="eastAsia"/>
              </w:rPr>
              <w:t>MFT/ABC35</w:t>
            </w:r>
          </w:p>
        </w:tc>
        <w:tc>
          <w:tcPr>
            <w:tcW w:w="630" w:type="dxa"/>
            <w:vAlign w:val="center"/>
          </w:tcPr>
          <w:p>
            <w:pPr>
              <w:pStyle w:val="15"/>
              <w:spacing w:after="0" w:line="360" w:lineRule="auto"/>
              <w:ind w:left="0" w:leftChars="0" w:right="0" w:rightChars="0"/>
              <w:jc w:val="center"/>
            </w:pPr>
            <w:r>
              <w:rPr>
                <w:rFonts w:hint="eastAsia"/>
              </w:rPr>
              <w:t>台</w:t>
            </w:r>
          </w:p>
        </w:tc>
        <w:tc>
          <w:tcPr>
            <w:tcW w:w="1373" w:type="dxa"/>
            <w:vAlign w:val="center"/>
          </w:tcPr>
          <w:p>
            <w:pPr>
              <w:pStyle w:val="15"/>
              <w:spacing w:after="0" w:line="360" w:lineRule="auto"/>
              <w:ind w:left="0" w:leftChars="0" w:right="0" w:rightChars="0"/>
              <w:jc w:val="center"/>
            </w:pPr>
            <w:r>
              <w:rPr>
                <w:rFonts w:hint="eastAsia"/>
              </w:rPr>
              <w:t>1</w:t>
            </w:r>
          </w:p>
        </w:tc>
        <w:tc>
          <w:tcPr>
            <w:tcW w:w="802" w:type="dxa"/>
            <w:vAlign w:val="center"/>
          </w:tcPr>
          <w:p>
            <w:pPr>
              <w:pStyle w:val="15"/>
              <w:spacing w:after="0" w:line="360" w:lineRule="auto"/>
              <w:ind w:left="0" w:leftChars="0" w:right="0" w:rightChars="0"/>
              <w:jc w:val="center"/>
            </w:pPr>
            <w:r>
              <w:rPr>
                <w:rFonts w:hint="eastAsia"/>
              </w:rPr>
              <w:t>油罐区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83" w:type="dxa"/>
            <w:vAlign w:val="center"/>
          </w:tcPr>
          <w:p>
            <w:pPr>
              <w:pStyle w:val="15"/>
              <w:spacing w:after="0" w:line="360" w:lineRule="auto"/>
              <w:ind w:left="0" w:leftChars="0" w:right="0" w:rightChars="0"/>
              <w:jc w:val="center"/>
            </w:pPr>
            <w:r>
              <w:rPr>
                <w:rFonts w:hint="eastAsia"/>
              </w:rPr>
              <w:t>5</w:t>
            </w:r>
          </w:p>
        </w:tc>
        <w:tc>
          <w:tcPr>
            <w:tcW w:w="2957" w:type="dxa"/>
            <w:gridSpan w:val="2"/>
            <w:vAlign w:val="center"/>
          </w:tcPr>
          <w:p>
            <w:pPr>
              <w:pStyle w:val="15"/>
              <w:spacing w:after="0" w:line="360" w:lineRule="auto"/>
              <w:ind w:left="0" w:leftChars="0" w:right="0" w:rightChars="0"/>
              <w:jc w:val="center"/>
            </w:pPr>
            <w:r>
              <w:rPr>
                <w:rFonts w:hint="eastAsia"/>
              </w:rPr>
              <w:t>手提式磷酸铵盐干粉灭火器</w:t>
            </w:r>
          </w:p>
        </w:tc>
        <w:tc>
          <w:tcPr>
            <w:tcW w:w="1725" w:type="dxa"/>
            <w:vAlign w:val="center"/>
          </w:tcPr>
          <w:p>
            <w:pPr>
              <w:pStyle w:val="15"/>
              <w:spacing w:after="0" w:line="360" w:lineRule="auto"/>
              <w:ind w:left="0" w:leftChars="0" w:right="0" w:rightChars="0"/>
              <w:jc w:val="center"/>
            </w:pPr>
            <w:r>
              <w:rPr>
                <w:rFonts w:hint="eastAsia"/>
              </w:rPr>
              <w:t>MT8</w:t>
            </w:r>
          </w:p>
        </w:tc>
        <w:tc>
          <w:tcPr>
            <w:tcW w:w="630" w:type="dxa"/>
            <w:vAlign w:val="center"/>
          </w:tcPr>
          <w:p>
            <w:pPr>
              <w:pStyle w:val="15"/>
              <w:spacing w:after="0" w:line="360" w:lineRule="auto"/>
              <w:ind w:left="0" w:leftChars="0" w:right="0" w:rightChars="0"/>
              <w:jc w:val="center"/>
            </w:pPr>
            <w:r>
              <w:rPr>
                <w:rFonts w:hint="eastAsia"/>
              </w:rPr>
              <w:t>具</w:t>
            </w:r>
          </w:p>
        </w:tc>
        <w:tc>
          <w:tcPr>
            <w:tcW w:w="1373" w:type="dxa"/>
            <w:vAlign w:val="center"/>
          </w:tcPr>
          <w:p>
            <w:pPr>
              <w:pStyle w:val="15"/>
              <w:spacing w:after="0" w:line="360" w:lineRule="auto"/>
              <w:ind w:left="0" w:leftChars="0" w:right="0" w:rightChars="0"/>
              <w:jc w:val="center"/>
            </w:pPr>
            <w:r>
              <w:rPr>
                <w:rFonts w:hint="eastAsia"/>
              </w:rPr>
              <w:t>2</w:t>
            </w:r>
          </w:p>
        </w:tc>
        <w:tc>
          <w:tcPr>
            <w:tcW w:w="802" w:type="dxa"/>
            <w:vAlign w:val="center"/>
          </w:tcPr>
          <w:p>
            <w:pPr>
              <w:pStyle w:val="15"/>
              <w:spacing w:after="0" w:line="360" w:lineRule="auto"/>
              <w:ind w:left="0" w:leftChars="0" w:right="0" w:rightChars="0"/>
              <w:jc w:val="center"/>
            </w:pPr>
            <w:r>
              <w:rPr>
                <w:rFonts w:hint="eastAsia"/>
              </w:rPr>
              <w:t>油罐区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83" w:type="dxa"/>
            <w:vAlign w:val="center"/>
          </w:tcPr>
          <w:p>
            <w:pPr>
              <w:pStyle w:val="15"/>
              <w:spacing w:after="0" w:line="360" w:lineRule="auto"/>
              <w:ind w:left="0" w:leftChars="0" w:right="0" w:rightChars="0"/>
              <w:jc w:val="center"/>
            </w:pPr>
            <w:r>
              <w:rPr>
                <w:rFonts w:hint="eastAsia"/>
              </w:rPr>
              <w:t>6</w:t>
            </w:r>
          </w:p>
        </w:tc>
        <w:tc>
          <w:tcPr>
            <w:tcW w:w="2957" w:type="dxa"/>
            <w:gridSpan w:val="2"/>
            <w:vAlign w:val="center"/>
          </w:tcPr>
          <w:p>
            <w:pPr>
              <w:pStyle w:val="15"/>
              <w:spacing w:after="0" w:line="360" w:lineRule="auto"/>
              <w:ind w:left="0" w:leftChars="0" w:right="0" w:rightChars="0"/>
              <w:jc w:val="center"/>
            </w:pPr>
            <w:r>
              <w:rPr>
                <w:rFonts w:hint="eastAsia"/>
              </w:rPr>
              <w:t>二氧化碳灭火器</w:t>
            </w:r>
          </w:p>
        </w:tc>
        <w:tc>
          <w:tcPr>
            <w:tcW w:w="1725" w:type="dxa"/>
            <w:vAlign w:val="center"/>
          </w:tcPr>
          <w:p>
            <w:pPr>
              <w:pStyle w:val="15"/>
              <w:spacing w:after="0" w:line="360" w:lineRule="auto"/>
              <w:ind w:left="0" w:leftChars="0" w:right="0" w:rightChars="0"/>
              <w:jc w:val="center"/>
            </w:pPr>
            <w:r>
              <w:rPr>
                <w:rFonts w:hint="eastAsia"/>
              </w:rPr>
              <w:t>/</w:t>
            </w:r>
          </w:p>
        </w:tc>
        <w:tc>
          <w:tcPr>
            <w:tcW w:w="630" w:type="dxa"/>
            <w:vAlign w:val="center"/>
          </w:tcPr>
          <w:p>
            <w:pPr>
              <w:pStyle w:val="15"/>
              <w:spacing w:after="0" w:line="360" w:lineRule="auto"/>
              <w:ind w:left="0" w:leftChars="0" w:right="0" w:rightChars="0"/>
              <w:jc w:val="center"/>
            </w:pPr>
            <w:r>
              <w:rPr>
                <w:rFonts w:hint="eastAsia"/>
              </w:rPr>
              <w:t>台</w:t>
            </w:r>
          </w:p>
        </w:tc>
        <w:tc>
          <w:tcPr>
            <w:tcW w:w="1373" w:type="dxa"/>
            <w:vAlign w:val="center"/>
          </w:tcPr>
          <w:p>
            <w:pPr>
              <w:pStyle w:val="15"/>
              <w:spacing w:after="0" w:line="360" w:lineRule="auto"/>
              <w:ind w:left="0" w:leftChars="0" w:right="0" w:rightChars="0"/>
              <w:jc w:val="center"/>
            </w:pPr>
            <w:r>
              <w:rPr>
                <w:rFonts w:hint="eastAsia"/>
              </w:rPr>
              <w:t>2</w:t>
            </w:r>
          </w:p>
        </w:tc>
        <w:tc>
          <w:tcPr>
            <w:tcW w:w="802" w:type="dxa"/>
            <w:vAlign w:val="center"/>
          </w:tcPr>
          <w:p>
            <w:pPr>
              <w:pStyle w:val="15"/>
              <w:spacing w:after="0" w:line="360" w:lineRule="auto"/>
              <w:ind w:left="0" w:leftChars="0" w:right="0" w:rightChars="0"/>
              <w:jc w:val="center"/>
            </w:pPr>
            <w:r>
              <w:rPr>
                <w:rFonts w:hint="eastAsia"/>
              </w:rPr>
              <w:t>发配电间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83" w:type="dxa"/>
            <w:vAlign w:val="center"/>
          </w:tcPr>
          <w:p>
            <w:pPr>
              <w:pStyle w:val="15"/>
              <w:spacing w:after="0" w:line="360" w:lineRule="auto"/>
              <w:ind w:left="0" w:leftChars="0" w:right="0" w:rightChars="0"/>
              <w:jc w:val="center"/>
            </w:pPr>
            <w:r>
              <w:rPr>
                <w:rFonts w:hint="eastAsia"/>
              </w:rPr>
              <w:t>7</w:t>
            </w:r>
          </w:p>
        </w:tc>
        <w:tc>
          <w:tcPr>
            <w:tcW w:w="2957" w:type="dxa"/>
            <w:gridSpan w:val="2"/>
            <w:vAlign w:val="center"/>
          </w:tcPr>
          <w:p>
            <w:pPr>
              <w:pStyle w:val="15"/>
              <w:spacing w:after="0" w:line="360" w:lineRule="auto"/>
              <w:ind w:left="0" w:leftChars="0" w:right="0" w:rightChars="0"/>
              <w:jc w:val="center"/>
            </w:pPr>
            <w:r>
              <w:rPr>
                <w:rFonts w:hint="eastAsia"/>
              </w:rPr>
              <w:t>灭火毯</w:t>
            </w:r>
          </w:p>
        </w:tc>
        <w:tc>
          <w:tcPr>
            <w:tcW w:w="1725" w:type="dxa"/>
            <w:vAlign w:val="center"/>
          </w:tcPr>
          <w:p>
            <w:pPr>
              <w:pStyle w:val="15"/>
              <w:spacing w:after="0" w:line="360" w:lineRule="auto"/>
              <w:ind w:left="0" w:leftChars="0" w:right="0" w:rightChars="0"/>
              <w:jc w:val="center"/>
            </w:pPr>
            <w:r>
              <w:rPr>
                <w:rFonts w:hint="eastAsia"/>
              </w:rPr>
              <w:t>/</w:t>
            </w:r>
          </w:p>
        </w:tc>
        <w:tc>
          <w:tcPr>
            <w:tcW w:w="630" w:type="dxa"/>
            <w:vAlign w:val="center"/>
          </w:tcPr>
          <w:p>
            <w:pPr>
              <w:pStyle w:val="15"/>
              <w:spacing w:after="0" w:line="360" w:lineRule="auto"/>
              <w:ind w:left="0" w:leftChars="0" w:right="0" w:rightChars="0"/>
              <w:jc w:val="center"/>
            </w:pPr>
            <w:r>
              <w:rPr>
                <w:rFonts w:hint="eastAsia"/>
              </w:rPr>
              <w:t>块</w:t>
            </w:r>
          </w:p>
        </w:tc>
        <w:tc>
          <w:tcPr>
            <w:tcW w:w="1373" w:type="dxa"/>
            <w:vAlign w:val="center"/>
          </w:tcPr>
          <w:p>
            <w:pPr>
              <w:pStyle w:val="15"/>
              <w:spacing w:after="0" w:line="360" w:lineRule="auto"/>
              <w:ind w:left="0" w:leftChars="0" w:right="0" w:rightChars="0"/>
              <w:jc w:val="center"/>
            </w:pPr>
            <w:r>
              <w:rPr>
                <w:rFonts w:hint="eastAsia"/>
              </w:rPr>
              <w:t>5</w:t>
            </w:r>
          </w:p>
        </w:tc>
        <w:tc>
          <w:tcPr>
            <w:tcW w:w="802" w:type="dxa"/>
            <w:vAlign w:val="center"/>
          </w:tcPr>
          <w:p>
            <w:pPr>
              <w:pStyle w:val="15"/>
              <w:spacing w:after="0" w:line="360" w:lineRule="auto"/>
              <w:ind w:left="0" w:leftChars="0" w:right="0" w:rightChars="0"/>
              <w:jc w:val="center"/>
            </w:pPr>
            <w:r>
              <w:rPr>
                <w:rFonts w:hint="eastAsia"/>
              </w:rPr>
              <w:t>加油机、卸油口区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3" w:type="dxa"/>
            <w:vAlign w:val="center"/>
          </w:tcPr>
          <w:p>
            <w:pPr>
              <w:pStyle w:val="15"/>
              <w:spacing w:after="0" w:line="360" w:lineRule="auto"/>
              <w:ind w:left="0" w:leftChars="0" w:right="0" w:rightChars="0"/>
              <w:jc w:val="center"/>
            </w:pPr>
            <w:r>
              <w:rPr>
                <w:rFonts w:hint="eastAsia"/>
              </w:rPr>
              <w:t>8</w:t>
            </w:r>
          </w:p>
        </w:tc>
        <w:tc>
          <w:tcPr>
            <w:tcW w:w="2957" w:type="dxa"/>
            <w:gridSpan w:val="2"/>
            <w:vAlign w:val="center"/>
          </w:tcPr>
          <w:p>
            <w:pPr>
              <w:pStyle w:val="15"/>
              <w:spacing w:after="0" w:line="360" w:lineRule="auto"/>
              <w:ind w:left="0" w:leftChars="0" w:right="0" w:rightChars="0"/>
              <w:jc w:val="center"/>
            </w:pPr>
            <w:r>
              <w:rPr>
                <w:rFonts w:hint="eastAsia"/>
              </w:rPr>
              <w:t>消防沙</w:t>
            </w:r>
          </w:p>
        </w:tc>
        <w:tc>
          <w:tcPr>
            <w:tcW w:w="1725" w:type="dxa"/>
            <w:vAlign w:val="center"/>
          </w:tcPr>
          <w:p>
            <w:pPr>
              <w:pStyle w:val="15"/>
              <w:spacing w:after="0" w:line="360" w:lineRule="auto"/>
              <w:ind w:left="0" w:leftChars="0" w:right="0" w:rightChars="0"/>
              <w:jc w:val="center"/>
            </w:pPr>
            <w:r>
              <w:rPr>
                <w:rFonts w:hint="eastAsia"/>
              </w:rPr>
              <w:t>/</w:t>
            </w:r>
          </w:p>
        </w:tc>
        <w:tc>
          <w:tcPr>
            <w:tcW w:w="630" w:type="dxa"/>
            <w:vAlign w:val="center"/>
          </w:tcPr>
          <w:p>
            <w:pPr>
              <w:pStyle w:val="15"/>
              <w:spacing w:after="0" w:line="360" w:lineRule="auto"/>
              <w:ind w:left="0" w:leftChars="0" w:right="0" w:rightChars="0"/>
              <w:jc w:val="center"/>
            </w:pPr>
            <w:r>
              <w:rPr>
                <w:rFonts w:hint="eastAsia"/>
              </w:rPr>
              <w:t>m</w:t>
            </w:r>
            <w:r>
              <w:rPr>
                <w:rFonts w:hint="eastAsia"/>
                <w:vertAlign w:val="superscript"/>
              </w:rPr>
              <w:t>3</w:t>
            </w:r>
          </w:p>
        </w:tc>
        <w:tc>
          <w:tcPr>
            <w:tcW w:w="1373" w:type="dxa"/>
            <w:vAlign w:val="center"/>
          </w:tcPr>
          <w:p>
            <w:pPr>
              <w:pStyle w:val="15"/>
              <w:spacing w:after="0" w:line="360" w:lineRule="auto"/>
              <w:ind w:left="0" w:leftChars="0" w:right="0" w:rightChars="0"/>
              <w:jc w:val="center"/>
            </w:pPr>
            <w:r>
              <w:rPr>
                <w:rFonts w:hint="eastAsia"/>
              </w:rPr>
              <w:t>2</w:t>
            </w:r>
          </w:p>
        </w:tc>
        <w:tc>
          <w:tcPr>
            <w:tcW w:w="802" w:type="dxa"/>
            <w:vAlign w:val="center"/>
          </w:tcPr>
          <w:p>
            <w:pPr>
              <w:pStyle w:val="15"/>
              <w:spacing w:after="0" w:line="360" w:lineRule="auto"/>
              <w:ind w:left="0" w:leftChars="0" w:right="0" w:rightChars="0"/>
              <w:jc w:val="center"/>
            </w:pPr>
            <w:r>
              <w:rPr>
                <w:rFonts w:hint="eastAsia"/>
              </w:rPr>
              <w:t>消防沙池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3" w:type="dxa"/>
            <w:vAlign w:val="center"/>
          </w:tcPr>
          <w:p>
            <w:pPr>
              <w:pStyle w:val="15"/>
              <w:spacing w:after="0" w:line="360" w:lineRule="auto"/>
              <w:ind w:left="0" w:leftChars="0" w:right="0" w:rightChars="0"/>
              <w:jc w:val="center"/>
            </w:pPr>
            <w:r>
              <w:rPr>
                <w:rFonts w:hint="eastAsia"/>
              </w:rPr>
              <w:t>9</w:t>
            </w:r>
          </w:p>
        </w:tc>
        <w:tc>
          <w:tcPr>
            <w:tcW w:w="2957" w:type="dxa"/>
            <w:gridSpan w:val="2"/>
            <w:vAlign w:val="center"/>
          </w:tcPr>
          <w:p>
            <w:pPr>
              <w:pStyle w:val="15"/>
              <w:spacing w:after="0" w:line="360" w:lineRule="auto"/>
              <w:ind w:left="0" w:leftChars="0" w:right="0" w:rightChars="0"/>
              <w:jc w:val="center"/>
            </w:pPr>
            <w:r>
              <w:rPr>
                <w:rFonts w:hint="eastAsia"/>
              </w:rPr>
              <w:t>消防铲</w:t>
            </w:r>
          </w:p>
        </w:tc>
        <w:tc>
          <w:tcPr>
            <w:tcW w:w="1725" w:type="dxa"/>
            <w:vAlign w:val="center"/>
          </w:tcPr>
          <w:p>
            <w:pPr>
              <w:pStyle w:val="15"/>
              <w:spacing w:after="0" w:line="360" w:lineRule="auto"/>
              <w:ind w:left="0" w:leftChars="0" w:right="0" w:rightChars="0"/>
              <w:jc w:val="center"/>
            </w:pPr>
            <w:r>
              <w:rPr>
                <w:rFonts w:hint="eastAsia"/>
              </w:rPr>
              <w:t>/</w:t>
            </w:r>
          </w:p>
        </w:tc>
        <w:tc>
          <w:tcPr>
            <w:tcW w:w="630" w:type="dxa"/>
            <w:vAlign w:val="center"/>
          </w:tcPr>
          <w:p>
            <w:pPr>
              <w:pStyle w:val="15"/>
              <w:spacing w:after="0" w:line="360" w:lineRule="auto"/>
              <w:ind w:left="0" w:leftChars="0" w:right="0" w:rightChars="0"/>
              <w:jc w:val="center"/>
            </w:pPr>
            <w:r>
              <w:rPr>
                <w:rFonts w:hint="eastAsia"/>
              </w:rPr>
              <w:t>把</w:t>
            </w:r>
          </w:p>
        </w:tc>
        <w:tc>
          <w:tcPr>
            <w:tcW w:w="1373" w:type="dxa"/>
            <w:vAlign w:val="center"/>
          </w:tcPr>
          <w:p>
            <w:pPr>
              <w:pStyle w:val="15"/>
              <w:spacing w:after="0" w:line="360" w:lineRule="auto"/>
              <w:ind w:left="0" w:leftChars="0" w:right="0" w:rightChars="0"/>
              <w:jc w:val="center"/>
            </w:pPr>
            <w:r>
              <w:rPr>
                <w:rFonts w:hint="eastAsia"/>
              </w:rPr>
              <w:t>5</w:t>
            </w:r>
          </w:p>
        </w:tc>
        <w:tc>
          <w:tcPr>
            <w:tcW w:w="802" w:type="dxa"/>
            <w:vAlign w:val="center"/>
          </w:tcPr>
          <w:p>
            <w:pPr>
              <w:pStyle w:val="15"/>
              <w:spacing w:after="0" w:line="360" w:lineRule="auto"/>
              <w:ind w:left="0" w:leftChars="0" w:right="0" w:rightChars="0"/>
              <w:jc w:val="center"/>
            </w:pPr>
            <w:r>
              <w:rPr>
                <w:rFonts w:hint="eastAsia"/>
              </w:rPr>
              <w:t>消防器材箱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3" w:type="dxa"/>
            <w:vAlign w:val="center"/>
          </w:tcPr>
          <w:p>
            <w:pPr>
              <w:pStyle w:val="15"/>
              <w:spacing w:after="0" w:line="360" w:lineRule="auto"/>
              <w:ind w:left="0" w:leftChars="0" w:right="0" w:rightChars="0"/>
              <w:jc w:val="center"/>
            </w:pPr>
            <w:r>
              <w:rPr>
                <w:rFonts w:hint="eastAsia"/>
              </w:rPr>
              <w:t>10</w:t>
            </w:r>
          </w:p>
        </w:tc>
        <w:tc>
          <w:tcPr>
            <w:tcW w:w="2957" w:type="dxa"/>
            <w:gridSpan w:val="2"/>
            <w:vAlign w:val="center"/>
          </w:tcPr>
          <w:p>
            <w:pPr>
              <w:pStyle w:val="15"/>
              <w:spacing w:after="0" w:line="360" w:lineRule="auto"/>
              <w:ind w:left="0" w:leftChars="0" w:right="0" w:rightChars="0"/>
              <w:jc w:val="center"/>
            </w:pPr>
            <w:r>
              <w:rPr>
                <w:rFonts w:hint="eastAsia"/>
              </w:rPr>
              <w:t>消防桶</w:t>
            </w:r>
          </w:p>
        </w:tc>
        <w:tc>
          <w:tcPr>
            <w:tcW w:w="1725" w:type="dxa"/>
            <w:vAlign w:val="center"/>
          </w:tcPr>
          <w:p>
            <w:pPr>
              <w:pStyle w:val="15"/>
              <w:spacing w:after="0" w:line="360" w:lineRule="auto"/>
              <w:ind w:left="0" w:leftChars="0" w:right="0" w:rightChars="0"/>
              <w:jc w:val="center"/>
            </w:pPr>
            <w:r>
              <w:rPr>
                <w:rFonts w:hint="eastAsia"/>
              </w:rPr>
              <w:t>/</w:t>
            </w:r>
          </w:p>
        </w:tc>
        <w:tc>
          <w:tcPr>
            <w:tcW w:w="630" w:type="dxa"/>
            <w:vAlign w:val="center"/>
          </w:tcPr>
          <w:p>
            <w:pPr>
              <w:pStyle w:val="15"/>
              <w:spacing w:after="0" w:line="360" w:lineRule="auto"/>
              <w:ind w:left="0" w:leftChars="0" w:right="0" w:rightChars="0"/>
              <w:jc w:val="center"/>
            </w:pPr>
            <w:r>
              <w:rPr>
                <w:rFonts w:hint="eastAsia"/>
              </w:rPr>
              <w:t>只</w:t>
            </w:r>
          </w:p>
        </w:tc>
        <w:tc>
          <w:tcPr>
            <w:tcW w:w="1373" w:type="dxa"/>
            <w:vAlign w:val="center"/>
          </w:tcPr>
          <w:p>
            <w:pPr>
              <w:pStyle w:val="15"/>
              <w:spacing w:after="0" w:line="360" w:lineRule="auto"/>
              <w:ind w:left="0" w:leftChars="0" w:right="0" w:rightChars="0"/>
              <w:jc w:val="center"/>
            </w:pPr>
            <w:r>
              <w:rPr>
                <w:rFonts w:hint="eastAsia"/>
              </w:rPr>
              <w:t>5</w:t>
            </w:r>
          </w:p>
        </w:tc>
        <w:tc>
          <w:tcPr>
            <w:tcW w:w="802" w:type="dxa"/>
            <w:vAlign w:val="center"/>
          </w:tcPr>
          <w:p>
            <w:pPr>
              <w:pStyle w:val="15"/>
              <w:spacing w:after="0" w:line="360" w:lineRule="auto"/>
              <w:ind w:left="0" w:leftChars="0" w:right="0" w:rightChars="0"/>
              <w:jc w:val="center"/>
            </w:pPr>
            <w:r>
              <w:rPr>
                <w:rFonts w:hint="eastAsia"/>
              </w:rPr>
              <w:t>消防器材箱</w:t>
            </w:r>
          </w:p>
        </w:tc>
      </w:tr>
    </w:tbl>
    <w:p>
      <w:pPr>
        <w:sectPr>
          <w:footerReference r:id="rId7" w:type="default"/>
          <w:pgSz w:w="11906" w:h="16838"/>
          <w:pgMar w:top="1440" w:right="1800" w:bottom="1440" w:left="1800" w:header="851" w:footer="992" w:gutter="0"/>
          <w:pgNumType w:start="1"/>
          <w:cols w:space="720" w:num="1"/>
          <w:docGrid w:type="lines" w:linePitch="312" w:charSpace="0"/>
        </w:sectPr>
      </w:pPr>
    </w:p>
    <w:p>
      <w:pPr>
        <w:pStyle w:val="4"/>
        <w:keepNext w:val="0"/>
        <w:keepLines w:val="0"/>
        <w:spacing w:before="0" w:after="0"/>
        <w:rPr>
          <w:rStyle w:val="51"/>
          <w:rFonts w:hint="default" w:ascii="Times New Roman" w:hAnsi="Times New Roman" w:cs="宋体"/>
          <w:b/>
          <w:bCs/>
          <w:sz w:val="24"/>
          <w:szCs w:val="24"/>
        </w:rPr>
      </w:pPr>
      <w:bookmarkStart w:id="954" w:name="_Toc792"/>
      <w:r>
        <w:rPr>
          <w:rStyle w:val="51"/>
          <w:rFonts w:hint="default" w:ascii="Times New Roman" w:hAnsi="Times New Roman" w:cs="宋体"/>
          <w:b/>
          <w:bCs/>
          <w:sz w:val="24"/>
          <w:szCs w:val="24"/>
        </w:rPr>
        <w:t>附件4附图</w:t>
      </w:r>
      <w:bookmarkEnd w:id="949"/>
      <w:bookmarkEnd w:id="950"/>
      <w:bookmarkEnd w:id="951"/>
      <w:bookmarkEnd w:id="952"/>
      <w:bookmarkEnd w:id="953"/>
      <w:bookmarkEnd w:id="954"/>
    </w:p>
    <w:p>
      <w:pPr>
        <w:pStyle w:val="5"/>
        <w:keepNext w:val="0"/>
        <w:keepLines w:val="0"/>
        <w:spacing w:before="0" w:after="0"/>
        <w:rPr>
          <w:rStyle w:val="49"/>
          <w:rFonts w:ascii="Times New Roman" w:hAnsi="Times New Roman" w:cs="宋体"/>
          <w:b/>
          <w:bCs/>
          <w:sz w:val="24"/>
          <w:szCs w:val="24"/>
        </w:rPr>
      </w:pPr>
      <w:bookmarkStart w:id="955" w:name="_Toc28829"/>
      <w:bookmarkEnd w:id="955"/>
      <w:bookmarkStart w:id="956" w:name="_Toc504989649"/>
      <w:bookmarkStart w:id="957" w:name="_Toc12594"/>
      <w:bookmarkStart w:id="958" w:name="_Toc20903"/>
      <w:bookmarkStart w:id="959" w:name="_Toc26463"/>
      <w:bookmarkStart w:id="960" w:name="_Toc12872"/>
      <w:bookmarkStart w:id="961" w:name="_Toc530594681"/>
      <w:r>
        <w:rPr>
          <w:rStyle w:val="49"/>
          <w:rFonts w:hint="eastAsia" w:ascii="Times New Roman" w:hAnsi="Times New Roman" w:cs="宋体"/>
          <w:b/>
          <w:bCs/>
          <w:sz w:val="24"/>
          <w:szCs w:val="24"/>
        </w:rPr>
        <w:t xml:space="preserve">图4-1 </w:t>
      </w:r>
      <w:bookmarkEnd w:id="956"/>
      <w:r>
        <w:rPr>
          <w:rStyle w:val="49"/>
          <w:rFonts w:hint="eastAsia" w:ascii="Times New Roman" w:hAnsi="Times New Roman" w:cs="宋体"/>
          <w:b/>
          <w:bCs/>
          <w:sz w:val="24"/>
          <w:szCs w:val="24"/>
        </w:rPr>
        <w:t>周边关系图</w:t>
      </w:r>
      <w:bookmarkEnd w:id="957"/>
      <w:bookmarkEnd w:id="958"/>
      <w:bookmarkEnd w:id="959"/>
      <w:bookmarkEnd w:id="960"/>
      <w:bookmarkEnd w:id="961"/>
    </w:p>
    <w:p>
      <w:pPr>
        <w:pStyle w:val="5"/>
        <w:keepNext w:val="0"/>
        <w:keepLines w:val="0"/>
        <w:spacing w:before="0" w:after="0"/>
      </w:pPr>
      <w:bookmarkStart w:id="962" w:name="_Toc17534"/>
      <w:bookmarkEnd w:id="962"/>
      <w:bookmarkStart w:id="963" w:name="_Toc504989650"/>
      <w:bookmarkEnd w:id="963"/>
      <w:bookmarkStart w:id="964" w:name="_Toc3444"/>
      <w:bookmarkStart w:id="965" w:name="_Toc8704"/>
      <w:bookmarkStart w:id="966" w:name="_Toc11572"/>
      <w:bookmarkStart w:id="967" w:name="_Toc25659"/>
      <w:bookmarkStart w:id="968" w:name="_Toc530594682"/>
    </w:p>
    <w:p>
      <w:pPr>
        <w:sectPr>
          <w:pgSz w:w="11906" w:h="16838"/>
          <w:pgMar w:top="1417" w:right="1417" w:bottom="1417" w:left="1417" w:header="851" w:footer="992" w:gutter="0"/>
          <w:cols w:space="720" w:num="1"/>
          <w:docGrid w:type="lines" w:linePitch="312" w:charSpace="0"/>
        </w:sectPr>
      </w:pPr>
      <w:r>
        <w:rPr>
          <w:rFonts w:hint="eastAsia" w:ascii="宋体" w:hAnsi="宋体" w:cs="宋体"/>
          <w:b/>
          <w:color w:val="000000"/>
        </w:rPr>
        <w:drawing>
          <wp:anchor distT="0" distB="0" distL="114300" distR="114300" simplePos="0" relativeHeight="251713536" behindDoc="0" locked="0" layoutInCell="1" allowOverlap="1">
            <wp:simplePos x="0" y="0"/>
            <wp:positionH relativeFrom="column">
              <wp:posOffset>543560</wp:posOffset>
            </wp:positionH>
            <wp:positionV relativeFrom="paragraph">
              <wp:posOffset>20320</wp:posOffset>
            </wp:positionV>
            <wp:extent cx="5430520" cy="2997835"/>
            <wp:effectExtent l="0" t="0" r="17780" b="12065"/>
            <wp:wrapTopAndBottom/>
            <wp:docPr id="55" name="图片 20" descr="ea8545c4ace20e1c4a82da76dd3fa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descr="ea8545c4ace20e1c4a82da76dd3faf9"/>
                    <pic:cNvPicPr>
                      <a:picLocks noChangeAspect="1"/>
                    </pic:cNvPicPr>
                  </pic:nvPicPr>
                  <pic:blipFill>
                    <a:blip r:embed="rId11"/>
                    <a:stretch>
                      <a:fillRect/>
                    </a:stretch>
                  </pic:blipFill>
                  <pic:spPr>
                    <a:xfrm>
                      <a:off x="0" y="0"/>
                      <a:ext cx="5430520" cy="2997835"/>
                    </a:xfrm>
                    <a:prstGeom prst="rect">
                      <a:avLst/>
                    </a:prstGeom>
                    <a:noFill/>
                    <a:ln w="9525">
                      <a:noFill/>
                    </a:ln>
                  </pic:spPr>
                </pic:pic>
              </a:graphicData>
            </a:graphic>
          </wp:anchor>
        </w:drawing>
      </w:r>
    </w:p>
    <w:p>
      <w:pPr>
        <w:pStyle w:val="5"/>
        <w:keepNext w:val="0"/>
        <w:keepLines w:val="0"/>
        <w:spacing w:before="0" w:after="0"/>
        <w:rPr>
          <w:rStyle w:val="49"/>
          <w:rFonts w:ascii="Times New Roman" w:hAnsi="Times New Roman" w:cs="宋体"/>
          <w:b/>
          <w:bCs/>
          <w:sz w:val="24"/>
          <w:szCs w:val="24"/>
        </w:rPr>
      </w:pPr>
      <w:bookmarkStart w:id="969" w:name="_Toc30980"/>
      <w:r>
        <w:rPr>
          <w:rStyle w:val="49"/>
          <w:rFonts w:hint="eastAsia" w:ascii="Times New Roman" w:hAnsi="Times New Roman" w:cs="宋体"/>
          <w:b/>
          <w:bCs/>
          <w:sz w:val="24"/>
          <w:szCs w:val="24"/>
        </w:rPr>
        <w:t xml:space="preserve">图4-2 </w:t>
      </w:r>
      <w:bookmarkEnd w:id="964"/>
      <w:r>
        <w:rPr>
          <w:rStyle w:val="49"/>
          <w:rFonts w:hint="eastAsia" w:ascii="Times New Roman" w:hAnsi="Times New Roman" w:cs="宋体"/>
          <w:b/>
          <w:bCs/>
          <w:sz w:val="24"/>
          <w:szCs w:val="24"/>
        </w:rPr>
        <w:t>重点防护区域</w:t>
      </w:r>
      <w:bookmarkEnd w:id="965"/>
      <w:bookmarkEnd w:id="966"/>
      <w:bookmarkEnd w:id="967"/>
      <w:bookmarkEnd w:id="968"/>
      <w:bookmarkEnd w:id="969"/>
    </w:p>
    <w:p>
      <w:pPr>
        <w:rPr>
          <w:rFonts w:cs="宋体"/>
        </w:rPr>
      </w:pPr>
    </w:p>
    <w:p>
      <w:pPr>
        <w:rPr>
          <w:rFonts w:cs="宋体"/>
        </w:rPr>
      </w:pPr>
      <w:r>
        <w:drawing>
          <wp:inline distT="0" distB="0" distL="114300" distR="114300">
            <wp:extent cx="5761355" cy="5387975"/>
            <wp:effectExtent l="0" t="0" r="10795" b="3175"/>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12"/>
                    <a:stretch>
                      <a:fillRect/>
                    </a:stretch>
                  </pic:blipFill>
                  <pic:spPr>
                    <a:xfrm>
                      <a:off x="0" y="0"/>
                      <a:ext cx="5761355" cy="5387975"/>
                    </a:xfrm>
                    <a:prstGeom prst="rect">
                      <a:avLst/>
                    </a:prstGeom>
                    <a:noFill/>
                    <a:ln w="9525">
                      <a:noFill/>
                    </a:ln>
                  </pic:spPr>
                </pic:pic>
              </a:graphicData>
            </a:graphic>
          </wp:inline>
        </w:drawing>
      </w:r>
    </w:p>
    <w:p>
      <w:pPr>
        <w:rPr>
          <w:rFonts w:cs="宋体"/>
        </w:rPr>
      </w:pPr>
      <w:r>
        <w:pict>
          <v:rect id="矩形 8" o:spid="_x0000_s1044" o:spt="1" style="position:absolute;left:0pt;margin-left:73.25pt;margin-top:14.5pt;height:17.8pt;width:41.25pt;z-index:251701248;v-text-anchor:middle;mso-width-relative:page;mso-height-relative:page;" fillcolor="#000000" filled="t" coordsize="21600,21600" o:gfxdata="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04r84dYAAAAJAQAADwAAAAAAAAABACAAAAAiAAAAZHJzL2Rvd25yZXYueG1sUEsBAhQAFAAA&#10;AAgAh07iQN92TfjxAQAA7AMAAA4AAAAAAAAAAQAgAAAAJQEAAGRycy9lMm9Eb2MueG1sUEsFBgAA&#10;AAAGAAYAWQEAAIgFAAAAAA==&#10;">
            <v:path/>
            <v:fill on="t" focussize="0,0"/>
            <v:stroke weight="2pt" joinstyle="round"/>
            <v:imagedata o:title=""/>
            <o:lock v:ext="edit"/>
          </v:rect>
        </w:pict>
      </w:r>
    </w:p>
    <w:p>
      <w:pPr>
        <w:rPr>
          <w:rFonts w:cs="宋体"/>
        </w:rPr>
      </w:pPr>
      <w:r>
        <w:rPr>
          <w:rFonts w:hint="eastAsia" w:cs="宋体"/>
        </w:rPr>
        <w:t>重点防护区域：</w:t>
      </w:r>
    </w:p>
    <w:p>
      <w:pPr>
        <w:pStyle w:val="5"/>
        <w:keepNext w:val="0"/>
        <w:keepLines w:val="0"/>
        <w:spacing w:before="0" w:after="0"/>
        <w:rPr>
          <w:rStyle w:val="49"/>
          <w:rFonts w:ascii="Times New Roman" w:hAnsi="Times New Roman" w:cs="宋体"/>
          <w:b/>
          <w:bCs/>
          <w:sz w:val="24"/>
          <w:szCs w:val="24"/>
        </w:rPr>
      </w:pPr>
      <w:bookmarkStart w:id="970" w:name="_Toc122"/>
      <w:bookmarkEnd w:id="970"/>
      <w:bookmarkStart w:id="971" w:name="_Toc504989651"/>
      <w:bookmarkStart w:id="972" w:name="_Toc24644"/>
      <w:bookmarkStart w:id="973" w:name="_Toc17969"/>
      <w:bookmarkStart w:id="974" w:name="_Toc11936"/>
      <w:bookmarkStart w:id="975" w:name="_Toc530594683"/>
      <w:r>
        <w:rPr>
          <w:rStyle w:val="49"/>
          <w:rFonts w:hint="eastAsia" w:ascii="Times New Roman" w:hAnsi="Times New Roman" w:cs="宋体"/>
          <w:b/>
          <w:bCs/>
          <w:sz w:val="24"/>
          <w:szCs w:val="24"/>
        </w:rPr>
        <w:br w:type="page"/>
      </w:r>
      <w:bookmarkStart w:id="976" w:name="_Toc26047"/>
      <w:r>
        <w:rPr>
          <w:rStyle w:val="49"/>
          <w:rFonts w:hint="eastAsia" w:ascii="Times New Roman" w:hAnsi="Times New Roman" w:cs="宋体"/>
          <w:b/>
          <w:bCs/>
          <w:sz w:val="24"/>
          <w:szCs w:val="24"/>
        </w:rPr>
        <w:t xml:space="preserve">图4-3 </w:t>
      </w:r>
      <w:bookmarkEnd w:id="971"/>
      <w:r>
        <w:rPr>
          <w:rStyle w:val="49"/>
          <w:rFonts w:hint="eastAsia" w:ascii="Times New Roman" w:hAnsi="Times New Roman" w:cs="宋体"/>
          <w:b/>
          <w:bCs/>
          <w:sz w:val="24"/>
          <w:szCs w:val="24"/>
        </w:rPr>
        <w:t>救援队伍行动路线图</w:t>
      </w:r>
      <w:bookmarkEnd w:id="972"/>
      <w:bookmarkEnd w:id="973"/>
      <w:bookmarkEnd w:id="974"/>
      <w:bookmarkEnd w:id="975"/>
      <w:bookmarkEnd w:id="976"/>
    </w:p>
    <w:p>
      <w:pPr>
        <w:rPr>
          <w:rFonts w:cs="宋体"/>
        </w:rPr>
      </w:pPr>
    </w:p>
    <w:p>
      <w:pPr>
        <w:rPr>
          <w:rFonts w:cs="宋体"/>
        </w:rPr>
      </w:pPr>
      <w:r>
        <w:drawing>
          <wp:inline distT="0" distB="0" distL="114300" distR="114300">
            <wp:extent cx="5763260" cy="5481955"/>
            <wp:effectExtent l="0" t="0" r="8890" b="4445"/>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pic:cNvPicPr>
                  </pic:nvPicPr>
                  <pic:blipFill>
                    <a:blip r:embed="rId13"/>
                    <a:stretch>
                      <a:fillRect/>
                    </a:stretch>
                  </pic:blipFill>
                  <pic:spPr>
                    <a:xfrm>
                      <a:off x="0" y="0"/>
                      <a:ext cx="5763260" cy="5481955"/>
                    </a:xfrm>
                    <a:prstGeom prst="rect">
                      <a:avLst/>
                    </a:prstGeom>
                    <a:noFill/>
                    <a:ln w="9525">
                      <a:noFill/>
                    </a:ln>
                  </pic:spPr>
                </pic:pic>
              </a:graphicData>
            </a:graphic>
          </wp:inline>
        </w:drawing>
      </w:r>
    </w:p>
    <w:p>
      <w:pPr>
        <w:rPr>
          <w:rFonts w:cs="宋体"/>
        </w:rPr>
      </w:pPr>
    </w:p>
    <w:p>
      <w:pPr>
        <w:rPr>
          <w:rFonts w:cs="宋体"/>
        </w:rPr>
      </w:pPr>
      <w:r>
        <w:rPr>
          <w:rFonts w:ascii="宋体" w:hAnsi="宋体" w:cs="宋体"/>
        </w:rPr>
        <w:pict>
          <v:line id="直线 102" o:spid="_x0000_s1043" o:spt="20" style="position:absolute;left:0pt;margin-left:54.75pt;margin-top:6.3pt;height:0pt;width:33pt;z-index:251664384;mso-width-relative:page;mso-height-relative:page;" coordsize="21600,21600" o:gfxdata="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fEOEP1AAAAAkBAAAPAAAAAAAAAAEAIAAAACIA&#10;AABkcnMvZG93bnJldi54bWxQSwECFAAUAAAACACHTuJADE0UxNQBAACSAwAADgAAAAAAAAABACAA&#10;AAAjAQAAZHJzL2Uyb0RvYy54bWxQSwUGAAAAAAYABgBZAQAAaQUAAAAA&#10;">
            <v:path arrowok="t"/>
            <v:fill focussize="0,0"/>
            <v:stroke weight="5pt" endarrow="classic"/>
            <v:imagedata o:title=""/>
            <o:lock v:ext="edit"/>
          </v:line>
        </w:pict>
      </w:r>
      <w:r>
        <w:rPr>
          <w:rFonts w:hint="eastAsia" w:cs="宋体"/>
        </w:rPr>
        <w:t>救援路线</w:t>
      </w:r>
    </w:p>
    <w:p>
      <w:pPr>
        <w:pStyle w:val="5"/>
        <w:spacing w:before="0" w:after="0"/>
        <w:rPr>
          <w:rStyle w:val="49"/>
          <w:rFonts w:ascii="Times New Roman" w:hAnsi="Times New Roman" w:cs="宋体"/>
          <w:b/>
          <w:bCs/>
          <w:sz w:val="24"/>
          <w:szCs w:val="24"/>
        </w:rPr>
      </w:pPr>
      <w:bookmarkStart w:id="977" w:name="_Toc504989652"/>
      <w:bookmarkEnd w:id="977"/>
      <w:bookmarkStart w:id="978" w:name="_Toc22068"/>
      <w:r>
        <w:rPr>
          <w:rStyle w:val="49"/>
          <w:rFonts w:hint="eastAsia" w:ascii="Times New Roman" w:hAnsi="Times New Roman" w:cs="宋体"/>
          <w:b/>
          <w:bCs/>
          <w:sz w:val="24"/>
          <w:szCs w:val="24"/>
        </w:rPr>
        <w:br w:type="page"/>
      </w:r>
      <w:bookmarkStart w:id="979" w:name="_Toc25311"/>
      <w:bookmarkStart w:id="980" w:name="_Toc530594684"/>
      <w:bookmarkStart w:id="981" w:name="_Toc26689"/>
      <w:bookmarkStart w:id="982" w:name="_Toc25316"/>
      <w:bookmarkStart w:id="983" w:name="_Toc30394"/>
      <w:r>
        <w:rPr>
          <w:rStyle w:val="49"/>
          <w:rFonts w:hint="eastAsia" w:ascii="Times New Roman" w:hAnsi="Times New Roman" w:cs="宋体"/>
          <w:b/>
          <w:bCs/>
          <w:sz w:val="24"/>
          <w:szCs w:val="24"/>
        </w:rPr>
        <w:t>图4-4</w:t>
      </w:r>
      <w:bookmarkEnd w:id="978"/>
      <w:r>
        <w:rPr>
          <w:rStyle w:val="49"/>
          <w:rFonts w:hint="eastAsia" w:ascii="Times New Roman" w:hAnsi="Times New Roman" w:cs="宋体"/>
          <w:b/>
          <w:bCs/>
          <w:sz w:val="24"/>
          <w:szCs w:val="24"/>
        </w:rPr>
        <w:t xml:space="preserve"> 应急疏散图</w:t>
      </w:r>
      <w:bookmarkEnd w:id="979"/>
      <w:bookmarkEnd w:id="980"/>
      <w:bookmarkEnd w:id="981"/>
      <w:bookmarkEnd w:id="982"/>
      <w:bookmarkEnd w:id="983"/>
    </w:p>
    <w:p>
      <w:pPr>
        <w:rPr>
          <w:rFonts w:cs="宋体"/>
        </w:rPr>
      </w:pPr>
    </w:p>
    <w:p>
      <w:pPr>
        <w:rPr>
          <w:rFonts w:cs="宋体"/>
        </w:rPr>
      </w:pPr>
      <w:r>
        <w:drawing>
          <wp:inline distT="0" distB="0" distL="114300" distR="114300">
            <wp:extent cx="5760085" cy="5504180"/>
            <wp:effectExtent l="0" t="0" r="12065" b="1270"/>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pic:cNvPicPr>
                  </pic:nvPicPr>
                  <pic:blipFill>
                    <a:blip r:embed="rId14"/>
                    <a:stretch>
                      <a:fillRect/>
                    </a:stretch>
                  </pic:blipFill>
                  <pic:spPr>
                    <a:xfrm>
                      <a:off x="0" y="0"/>
                      <a:ext cx="5760085" cy="5504180"/>
                    </a:xfrm>
                    <a:prstGeom prst="rect">
                      <a:avLst/>
                    </a:prstGeom>
                    <a:noFill/>
                    <a:ln w="9525">
                      <a:noFill/>
                    </a:ln>
                  </pic:spPr>
                </pic:pic>
              </a:graphicData>
            </a:graphic>
          </wp:inline>
        </w:drawing>
      </w:r>
    </w:p>
    <w:p>
      <w:pPr>
        <w:rPr>
          <w:rFonts w:cs="宋体"/>
        </w:rPr>
      </w:pPr>
    </w:p>
    <w:p>
      <w:pPr>
        <w:rPr>
          <w:rFonts w:cs="宋体"/>
        </w:rPr>
      </w:pPr>
      <w:r>
        <w:rPr>
          <w:rFonts w:ascii="宋体" w:hAnsi="宋体" w:cs="宋体"/>
        </w:rPr>
        <w:pict>
          <v:line id="直线 141" o:spid="_x0000_s1042" o:spt="20" style="position:absolute;left:0pt;margin-left:51.8pt;margin-top:7.35pt;height:0pt;width:33pt;z-index:251665408;mso-width-relative:page;mso-height-relative:page;" coordsize="21600,21600" o:gfxdata="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ALpY1QAAAAkBAAAPAAAAAAAAAAEAIAAAACIA&#10;AABkcnMvZG93bnJldi54bWxQSwECFAAUAAAACACHTuJAuPM2QNMBAACSAwAADgAAAAAAAAABACAA&#10;AAAkAQAAZHJzL2Uyb0RvYy54bWxQSwUGAAAAAAYABgBZAQAAaQUAAAAA&#10;">
            <v:path arrowok="t"/>
            <v:fill focussize="0,0"/>
            <v:stroke weight="5pt" endarrow="classic"/>
            <v:imagedata o:title=""/>
            <o:lock v:ext="edit"/>
          </v:line>
        </w:pict>
      </w:r>
      <w:r>
        <w:rPr>
          <w:rFonts w:hint="eastAsia" w:cs="宋体"/>
        </w:rPr>
        <w:t>疏散路线</w:t>
      </w:r>
    </w:p>
    <w:p>
      <w:pPr>
        <w:pStyle w:val="5"/>
        <w:spacing w:before="0" w:after="0"/>
        <w:rPr>
          <w:rStyle w:val="49"/>
          <w:rFonts w:ascii="Times New Roman" w:hAnsi="Times New Roman" w:cs="宋体"/>
          <w:b/>
          <w:bCs/>
          <w:sz w:val="24"/>
          <w:szCs w:val="24"/>
        </w:rPr>
      </w:pPr>
      <w:bookmarkStart w:id="984" w:name="_Toc504989653"/>
      <w:bookmarkEnd w:id="984"/>
      <w:r>
        <w:rPr>
          <w:rStyle w:val="49"/>
          <w:rFonts w:hint="eastAsia" w:ascii="Times New Roman" w:hAnsi="Times New Roman" w:cs="宋体"/>
          <w:b/>
          <w:bCs/>
          <w:sz w:val="24"/>
          <w:szCs w:val="24"/>
        </w:rPr>
        <w:br w:type="page"/>
      </w:r>
      <w:bookmarkStart w:id="985" w:name="_Toc530594685"/>
      <w:bookmarkStart w:id="986" w:name="_Toc12081"/>
      <w:bookmarkStart w:id="987" w:name="_Toc16088"/>
      <w:bookmarkStart w:id="988" w:name="_Toc217"/>
      <w:bookmarkStart w:id="989" w:name="_Toc31545"/>
      <w:r>
        <w:rPr>
          <w:rStyle w:val="49"/>
          <w:rFonts w:hint="eastAsia" w:ascii="Times New Roman" w:hAnsi="Times New Roman" w:cs="宋体"/>
          <w:b/>
          <w:bCs/>
          <w:sz w:val="24"/>
          <w:szCs w:val="24"/>
        </w:rPr>
        <w:t>图4-5 应急器材分布图</w:t>
      </w:r>
      <w:bookmarkEnd w:id="985"/>
      <w:bookmarkEnd w:id="986"/>
      <w:bookmarkEnd w:id="987"/>
      <w:bookmarkEnd w:id="988"/>
      <w:bookmarkEnd w:id="989"/>
    </w:p>
    <w:p>
      <w:pPr>
        <w:jc w:val="left"/>
        <w:rPr>
          <w:rFonts w:cs="宋体"/>
        </w:rPr>
      </w:pPr>
      <w:r>
        <w:drawing>
          <wp:inline distT="0" distB="0" distL="114300" distR="114300">
            <wp:extent cx="5761355" cy="5474970"/>
            <wp:effectExtent l="0" t="0" r="10795" b="11430"/>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pic:cNvPicPr>
                      <a:picLocks noChangeAspect="1"/>
                    </pic:cNvPicPr>
                  </pic:nvPicPr>
                  <pic:blipFill>
                    <a:blip r:embed="rId15"/>
                    <a:stretch>
                      <a:fillRect/>
                    </a:stretch>
                  </pic:blipFill>
                  <pic:spPr>
                    <a:xfrm>
                      <a:off x="0" y="0"/>
                      <a:ext cx="5761355" cy="5474970"/>
                    </a:xfrm>
                    <a:prstGeom prst="rect">
                      <a:avLst/>
                    </a:prstGeom>
                    <a:noFill/>
                    <a:ln w="9525">
                      <a:noFill/>
                    </a:ln>
                  </pic:spPr>
                </pic:pic>
              </a:graphicData>
            </a:graphic>
          </wp:inline>
        </w:drawing>
      </w:r>
    </w:p>
    <w:p>
      <w:pPr>
        <w:jc w:val="center"/>
        <w:rPr>
          <w:rFonts w:cs="宋体"/>
        </w:rPr>
      </w:pPr>
      <w:r>
        <w:rPr>
          <w:rFonts w:ascii="宋体" w:hAnsi="宋体" w:cs="宋体"/>
        </w:rPr>
        <w:pict>
          <v:rect id="_x0000_s1041" o:spid="_x0000_s1041" o:spt="1" style="position:absolute;left:0pt;margin-left:124.5pt;margin-top:401.65pt;height:16.65pt;width:13.95pt;z-index:251712512;mso-width-relative:page;mso-height-relative:page;" fillcolor="#000000" filled="t" coordsize="21600,21600" o:gfxdata="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USvjNgAAAALAQAADwAAAAAAAAABACAAAAAiAAAA&#10;ZHJzL2Rvd25yZXYueG1sUEsBAhQAFAAAAAgAh07iQPcc/z8HAgAALwQAAA4AAAAAAAAAAQAgAAAA&#10;JwEAAGRycy9lMm9Eb2MueG1sUEsFBgAAAAAGAAYAWQEAAKAFAAAAAA==&#10;">
            <v:path/>
            <v:fill type="pattern" on="t" focussize="0,0"/>
            <v:stroke/>
            <v:imagedata o:title=""/>
            <o:lock v:ext="edit"/>
          </v:rect>
        </w:pict>
      </w:r>
      <w:r>
        <w:rPr>
          <w:rFonts w:ascii="宋体" w:hAnsi="宋体" w:cs="宋体"/>
        </w:rPr>
        <w:pict>
          <v:group id="_x0000_s1037" o:spid="_x0000_s1037" o:spt="203" style="position:absolute;left:0pt;margin-left:120.75pt;margin-top:382.35pt;height:9.15pt;width:21.35pt;z-index:251711488;mso-width-relative:page;mso-height-relative:page;" coordorigin="4305,11970" coordsize="427,183203" o:gfxdata="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">
            <o:lock v:ext="edit"/>
            <v:shape id="自选图形 790" o:spid="_x0000_s1040" o:spt="100" style="position:absolute;left:4305;top:11978;height:170;width:170;" coordsize="21600,21600" o:gfxdata="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traf7gAAADbAAAA&#10;DwAAAAAAAAABACAAAAAiAAAAZHJzL2Rvd25yZXYueG1sUEsBAhQAFAAAAAgAh07iQDMvBZ47AAAA&#10;OQAAABAAAAAAAAAAAQAgAAAABwEAAGRycy9zaGFwZXhtbC54bWxQSwUGAAAAAAYABgBbAQAAsQMA&#10;AAAA&#10;" adj=",," path="m0,10800c0,4835,4835,0,10800,0c16765,0,21600,4835,21600,10800c21600,16765,16765,21600,10800,21600c4835,21600,0,16765,0,10800xm5400,10800c5400,13782,7818,16200,10800,16200c13782,16200,16200,13782,16200,10800c16200,7818,13782,5400,10800,5400c7818,5400,5400,7818,5400,10800xe">
              <v:path o:connecttype="segments" o:connectlocs="10800,0;3163,3163;0,10800;3163,18437;10800,21600;18437,18437;21600,10800;18437,3163" o:connectangles="0,0,0,0,0,0,0,0"/>
              <v:fill focussize="0,0"/>
              <v:stroke joinstyle="round"/>
              <v:imagedata o:title=""/>
              <o:lock v:ext="edit"/>
            </v:shape>
            <v:shape id="自选图形 791" o:spid="_x0000_s1039" o:spt="100" style="position:absolute;left:4562;top:11983;height:170;width:170;" coordsize="21600,21600" o:gfxdata="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Wf+S8AAAA&#10;2wAAAA8AAAAAAAAAAQAgAAAAIgAAAGRycy9kb3ducmV2LnhtbFBLAQIUABQAAAAIAIdO4kAzLwWe&#10;OwAAADkAAAAQAAAAAAAAAAEAIAAAAAsBAABkcnMvc2hhcGV4bWwueG1sUEsFBgAAAAAGAAYAWwEA&#10;ALUDAAAAAA==&#10;" adj=",," path="m0,10800c0,4835,4835,0,10800,0c16765,0,21600,4835,21600,10800c21600,16765,16765,21600,10800,21600c4835,21600,0,16765,0,10800xm5400,10800c5400,13782,7818,16200,10800,16200c13782,16200,16200,13782,16200,10800c16200,7818,13782,5400,10800,5400c7818,5400,5400,7818,5400,10800xe">
              <v:path o:connecttype="segments" o:connectlocs="10800,0;3163,3163;0,10800;3163,18437;10800,21600;18437,18437;21600,10800;18437,3163" o:connectangles="0,0,0,0,0,0,0,0"/>
              <v:fill focussize="0,0"/>
              <v:stroke joinstyle="round"/>
              <v:imagedata o:title=""/>
              <o:lock v:ext="edit"/>
            </v:shape>
            <v:line id="直线 792" o:spid="_x0000_s1038" o:spt="20" style="position:absolute;left:4317;top:11970;flip:y;height:0;width:408;" coordsize="21600,21600" o:gfxdata="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bK68AAAA&#10;2wAAAA8AAAAAAAAAAQAgAAAAIgAAAGRycy9kb3ducmV2LnhtbFBLAQIUABQAAAAIAIdO4kAzLwWe&#10;OwAAADkAAAAQAAAAAAAAAAEAIAAAAAsBAABkcnMvc2hhcGV4bWwueG1sUEsFBgAAAAAGAAYAWwEA&#10;ALUDAAAAAA==&#10;">
              <v:path arrowok="t"/>
              <v:fill focussize="0,0"/>
              <v:stroke/>
              <v:imagedata o:title=""/>
              <o:lock v:ext="edit"/>
            </v:line>
          </v:group>
        </w:pict>
      </w:r>
      <w:r>
        <w:rPr>
          <w:rFonts w:ascii="宋体" w:hAnsi="宋体" w:cs="宋体"/>
        </w:rPr>
        <w:pict>
          <v:rect id="_x0000_s1036" o:spid="_x0000_s1036" o:spt="1" style="position:absolute;left:0pt;margin-left:126pt;margin-top:368.8pt;height:9.9pt;width:12.45pt;z-index:251710464;mso-width-relative:page;mso-height-relative:page;" fillcolor="#000000" filled="t" coordsize="21600,21600" o:gfxdata="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gT&#10;AeHaAAAACwEAAA8AAAAAAAAAAQAgAAAAIgAAAGRycy9kb3ducmV2LnhtbFBLAQIUABQAAAAIAIdO&#10;4kC/iFPg6AEAAOADAAAOAAAAAAAAAAEAIAAAACkBAABkcnMvZTJvRG9jLnhtbFBLBQYAAAAABgAG&#10;AFkBAACDBQAAAAA=&#10;">
            <v:path/>
            <v:fill on="t" focussize="0,0"/>
            <v:stroke/>
            <v:imagedata o:title=""/>
            <o:lock v:ext="edit"/>
          </v:rect>
        </w:pict>
      </w:r>
    </w:p>
    <w:p>
      <w:pPr>
        <w:rPr>
          <w:rFonts w:cs="宋体"/>
        </w:rPr>
      </w:pPr>
      <w:r>
        <w:rPr>
          <w:rFonts w:ascii="宋体" w:hAnsi="宋体" w:cs="宋体"/>
        </w:rPr>
        <w:pict>
          <v:rect id="矩形 177" o:spid="_x0000_s1035" o:spt="1" style="position:absolute;left:0pt;margin-left:114.5pt;margin-top:2.5pt;height:9.9pt;width:12.45pt;z-index:251666432;mso-width-relative:page;mso-height-relative:page;" fillcolor="#000000" filled="t" coordsize="21600,21600" o:gfxdata="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VLWoPY&#10;AAAACAEAAA8AAAAAAAAAAQAgAAAAIgAAAGRycy9kb3ducmV2LnhtbFBLAQIUABQAAAAIAIdO4kDU&#10;fTMY5wEAAN8DAAAOAAAAAAAAAAEAIAAAACcBAABkcnMvZTJvRG9jLnhtbFBLBQYAAAAABgAGAFkB&#10;AACABQAAAAA=&#10;">
            <v:path/>
            <v:fill on="t" focussize="0,0"/>
            <v:stroke/>
            <v:imagedata o:title=""/>
            <o:lock v:ext="edit"/>
          </v:rect>
        </w:pict>
      </w:r>
      <w:r>
        <w:rPr>
          <w:rFonts w:hint="eastAsia" w:cs="宋体"/>
        </w:rPr>
        <w:t>4KG、8</w:t>
      </w:r>
      <w:r>
        <w:rPr>
          <w:rFonts w:cs="宋体"/>
        </w:rPr>
        <w:t>KG</w:t>
      </w:r>
      <w:r>
        <w:rPr>
          <w:rFonts w:hint="eastAsia" w:cs="宋体"/>
        </w:rPr>
        <w:t xml:space="preserve">干粉灭火器： </w:t>
      </w:r>
    </w:p>
    <w:p>
      <w:pPr>
        <w:rPr>
          <w:rFonts w:cs="宋体"/>
        </w:rPr>
      </w:pPr>
    </w:p>
    <w:p>
      <w:pPr>
        <w:rPr>
          <w:rFonts w:cs="宋体"/>
        </w:rPr>
      </w:pPr>
      <w:r>
        <w:rPr>
          <w:rFonts w:ascii="宋体" w:hAnsi="宋体" w:cs="宋体"/>
        </w:rPr>
        <w:pict>
          <v:group id="组合 793" o:spid="_x0000_s1031" o:spt="203" style="position:absolute;left:0pt;margin-left:125.25pt;margin-top:3.9pt;height:9.15pt;width:21.35pt;z-index:251699200;mso-width-relative:page;mso-height-relative:page;" coordorigin="4305,11970" coordsize="427,183203" o:gfxdata="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">
            <o:lock v:ext="edit"/>
            <v:shape id="自选图形 790" o:spid="_x0000_s1034" o:spt="100" style="position:absolute;left:4305;top:11978;height:170;width:170;" coordsize="21600,21600" o:gfxdata="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E/pObsAAADb&#10;AAAADwAAAAAAAAABACAAAAAiAAAAZHJzL2Rvd25yZXYueG1sUEsBAhQAFAAAAAgAh07iQDMvBZ47&#10;AAAAOQAAABAAAAAAAAAAAQAgAAAACgEAAGRycy9zaGFwZXhtbC54bWxQSwUGAAAAAAYABgBbAQAA&#10;tAMAAAAA&#10;" adj=",," path="m0,10800c0,4835,4835,0,10800,0c16765,0,21600,4835,21600,10800c21600,16765,16765,21600,10800,21600c4835,21600,0,16765,0,10800xm5400,10800c5400,13782,7818,16200,10800,16200c13782,16200,16200,13782,16200,10800c16200,7818,13782,5400,10800,5400c7818,5400,5400,7818,5400,10800xe">
              <v:path o:connecttype="segments" o:connectlocs="10800,0;3163,3163;0,10800;3163,18437;10800,21600;18437,18437;21600,10800;18437,3163" o:connectangles="0,0,0,0,0,0,0,0"/>
              <v:fill focussize="0,0"/>
              <v:stroke joinstyle="round"/>
              <v:imagedata o:title=""/>
              <o:lock v:ext="edit"/>
            </v:shape>
            <v:shape id="自选图形 791" o:spid="_x0000_s1033" o:spt="100" style="position:absolute;left:4562;top:11983;height:170;width:170;" coordsize="21600,21600" o:gfxdata="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dd068AAAA&#10;2wAAAA8AAAAAAAAAAQAgAAAAIgAAAGRycy9kb3ducmV2LnhtbFBLAQIUABQAAAAIAIdO4kAzLwWe&#10;OwAAADkAAAAQAAAAAAAAAAEAIAAAAAsBAABkcnMvc2hhcGV4bWwueG1sUEsFBgAAAAAGAAYAWwEA&#10;ALUDAAAAAA==&#10;" adj=",," path="m0,10800c0,4835,4835,0,10800,0c16765,0,21600,4835,21600,10800c21600,16765,16765,21600,10800,21600c4835,21600,0,16765,0,10800xm5400,10800c5400,13782,7818,16200,10800,16200c13782,16200,16200,13782,16200,10800c16200,7818,13782,5400,10800,5400c7818,5400,5400,7818,5400,10800xe">
              <v:path o:connecttype="segments" o:connectlocs="10800,0;3163,3163;0,10800;3163,18437;10800,21600;18437,18437;21600,10800;18437,3163" o:connectangles="0,0,0,0,0,0,0,0"/>
              <v:fill focussize="0,0"/>
              <v:stroke joinstyle="round"/>
              <v:imagedata o:title=""/>
              <o:lock v:ext="edit"/>
            </v:shape>
            <v:line id="直线 792" o:spid="_x0000_s1032" o:spt="20" style="position:absolute;left:4317;top:11970;flip:y;height:0;width:408;" coordsize="21600,21600" o:gfxdata="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U1/ovQAA&#10;ANsAAAAPAAAAAAAAAAEAIAAAACIAAABkcnMvZG93bnJldi54bWxQSwECFAAUAAAACACHTuJAMy8F&#10;njsAAAA5AAAAEAAAAAAAAAABACAAAAAMAQAAZHJzL3NoYXBleG1sLnhtbFBLBQYAAAAABgAGAFsB&#10;AAC2AwAAAAA=&#10;">
              <v:path arrowok="t"/>
              <v:fill focussize="0,0"/>
              <v:stroke/>
              <v:imagedata o:title=""/>
              <o:lock v:ext="edit"/>
            </v:line>
          </v:group>
        </w:pict>
      </w:r>
      <w:r>
        <w:rPr>
          <w:rFonts w:hint="eastAsia" w:cs="宋体"/>
        </w:rPr>
        <w:t>35KG推车式干粉灭火器：</w:t>
      </w:r>
    </w:p>
    <w:p>
      <w:pPr>
        <w:rPr>
          <w:rFonts w:cs="宋体"/>
        </w:rPr>
      </w:pPr>
    </w:p>
    <w:p>
      <w:pPr>
        <w:rPr>
          <w:rFonts w:cs="宋体"/>
        </w:rPr>
      </w:pPr>
      <w:r>
        <w:rPr>
          <w:rFonts w:ascii="宋体" w:hAnsi="宋体" w:cs="宋体"/>
        </w:rPr>
        <w:pict>
          <v:rect id="矩形 806" o:spid="_x0000_s1030" o:spt="1" style="position:absolute;left:0pt;margin-left:54.75pt;margin-top:1.45pt;height:9.9pt;width:12.45pt;z-index:251700224;mso-width-relative:page;mso-height-relative:page;" fillcolor="#000000" filled="t" coordsize="21600,21600" o:gfxdata="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5wxcN1QAAAAgBAAAPAAAAAAAAAAEAIAAAACIAAABk&#10;cnMvZG93bnJldi54bWxQSwECFAAUAAAACACHTuJA5J9LSQkCAAAvBAAADgAAAAAAAAABACAAAAAk&#10;AQAAZHJzL2Uyb0RvYy54bWxQSwUGAAAAAAYABgBZAQAAnwUAAAAA&#10;">
            <v:path/>
            <v:fill type="pattern" on="t" focussize="0,0"/>
            <v:stroke/>
            <v:imagedata o:title=""/>
            <o:lock v:ext="edit"/>
          </v:rect>
        </w:pict>
      </w:r>
      <w:r>
        <w:rPr>
          <w:rFonts w:hint="eastAsia" w:cs="宋体"/>
        </w:rPr>
        <w:t>消防沙池：</w:t>
      </w:r>
    </w:p>
    <w:p>
      <w:pPr>
        <w:pStyle w:val="5"/>
        <w:spacing w:before="0" w:after="0"/>
        <w:rPr>
          <w:rStyle w:val="49"/>
          <w:rFonts w:ascii="Times New Roman" w:hAnsi="Times New Roman" w:cs="宋体"/>
          <w:b/>
          <w:bCs/>
          <w:sz w:val="24"/>
          <w:szCs w:val="24"/>
        </w:rPr>
      </w:pPr>
      <w:bookmarkStart w:id="990" w:name="_Toc504989654"/>
      <w:bookmarkEnd w:id="990"/>
      <w:r>
        <w:rPr>
          <w:rStyle w:val="49"/>
          <w:rFonts w:hint="eastAsia" w:ascii="Times New Roman" w:hAnsi="Times New Roman" w:cs="宋体"/>
          <w:b/>
          <w:bCs/>
          <w:sz w:val="24"/>
          <w:szCs w:val="24"/>
        </w:rPr>
        <w:br w:type="page"/>
      </w:r>
      <w:bookmarkStart w:id="991" w:name="_Toc530594686"/>
      <w:bookmarkStart w:id="992" w:name="_Toc25773"/>
      <w:bookmarkStart w:id="993" w:name="_Toc2730"/>
      <w:bookmarkStart w:id="994" w:name="_Toc2556"/>
      <w:bookmarkStart w:id="995" w:name="_Toc20634"/>
      <w:r>
        <w:rPr>
          <w:rStyle w:val="49"/>
          <w:rFonts w:hint="eastAsia" w:ascii="Times New Roman" w:hAnsi="Times New Roman" w:cs="宋体"/>
          <w:b/>
          <w:bCs/>
          <w:sz w:val="24"/>
          <w:szCs w:val="24"/>
        </w:rPr>
        <w:t xml:space="preserve">图4-6 </w:t>
      </w:r>
      <w:r>
        <w:rPr>
          <w:rStyle w:val="49"/>
          <w:rFonts w:hint="eastAsia" w:ascii="Times New Roman" w:hAnsi="Times New Roman" w:cs="宋体"/>
          <w:b/>
          <w:bCs w:val="0"/>
          <w:sz w:val="24"/>
          <w:szCs w:val="24"/>
        </w:rPr>
        <w:t>重要防护目标、危险源一览表、分布图</w:t>
      </w:r>
      <w:bookmarkEnd w:id="991"/>
      <w:bookmarkEnd w:id="992"/>
      <w:bookmarkEnd w:id="993"/>
      <w:bookmarkEnd w:id="994"/>
      <w:bookmarkEnd w:id="995"/>
    </w:p>
    <w:tbl>
      <w:tblPr>
        <w:tblStyle w:val="35"/>
        <w:tblW w:w="8976" w:type="dxa"/>
        <w:jc w:val="center"/>
        <w:tblInd w:w="3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368"/>
        <w:gridCol w:w="3870"/>
        <w:gridCol w:w="3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1368" w:type="dxa"/>
            <w:tcBorders>
              <w:top w:val="single" w:color="auto" w:sz="4" w:space="0"/>
              <w:left w:val="single" w:color="auto" w:sz="4" w:space="0"/>
              <w:bottom w:val="single" w:color="auto" w:sz="4" w:space="0"/>
              <w:right w:val="single" w:color="auto" w:sz="4" w:space="0"/>
            </w:tcBorders>
            <w:vAlign w:val="center"/>
          </w:tcPr>
          <w:p>
            <w:pPr>
              <w:jc w:val="center"/>
              <w:rPr>
                <w:rFonts w:cs="宋体"/>
                <w:b/>
                <w:bCs/>
              </w:rPr>
            </w:pPr>
            <w:r>
              <w:rPr>
                <w:rFonts w:hint="eastAsia" w:cs="宋体"/>
                <w:b/>
                <w:bCs/>
              </w:rPr>
              <w:t>区域名称</w:t>
            </w:r>
          </w:p>
        </w:tc>
        <w:tc>
          <w:tcPr>
            <w:tcW w:w="3870"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图例</w:t>
            </w:r>
          </w:p>
        </w:tc>
        <w:tc>
          <w:tcPr>
            <w:tcW w:w="3738"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危险区域范围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925"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pPr>
              <w:rPr>
                <w:rFonts w:cs="宋体"/>
              </w:rPr>
            </w:pPr>
            <w:r>
              <w:rPr>
                <w:rFonts w:hint="eastAsia" w:cs="宋体"/>
              </w:rPr>
              <w:t>汽车油罐车卸易燃油品时爆炸危险区域划分</w:t>
            </w:r>
          </w:p>
        </w:tc>
        <w:tc>
          <w:tcPr>
            <w:tcW w:w="3870" w:type="dxa"/>
            <w:tcBorders>
              <w:top w:val="single" w:color="auto" w:sz="4" w:space="0"/>
              <w:left w:val="nil"/>
              <w:bottom w:val="single" w:color="auto" w:sz="4" w:space="0"/>
              <w:right w:val="single" w:color="auto" w:sz="4" w:space="0"/>
            </w:tcBorders>
            <w:vAlign w:val="center"/>
          </w:tcPr>
          <w:p>
            <w:pPr>
              <w:jc w:val="center"/>
              <w:rPr>
                <w:rFonts w:cs="宋体"/>
              </w:rPr>
            </w:pPr>
            <w:r>
              <w:rPr>
                <w:rFonts w:hint="eastAsia" w:ascii="宋体" w:hAnsi="宋体" w:cs="宋体"/>
              </w:rPr>
              <w:drawing>
                <wp:inline distT="0" distB="0" distL="114300" distR="114300">
                  <wp:extent cx="2076450" cy="1457325"/>
                  <wp:effectExtent l="0" t="0" r="0" b="9525"/>
                  <wp:docPr id="78" name="图片 1" descr="wps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descr="wps80"/>
                          <pic:cNvPicPr>
                            <a:picLocks noChangeAspect="1"/>
                          </pic:cNvPicPr>
                        </pic:nvPicPr>
                        <pic:blipFill>
                          <a:blip r:embed="rId16">
                            <a:lum bright="-17999" contrast="30000"/>
                          </a:blip>
                          <a:stretch>
                            <a:fillRect/>
                          </a:stretch>
                        </pic:blipFill>
                        <pic:spPr>
                          <a:xfrm>
                            <a:off x="0" y="0"/>
                            <a:ext cx="2076450" cy="1457325"/>
                          </a:xfrm>
                          <a:prstGeom prst="rect">
                            <a:avLst/>
                          </a:prstGeom>
                          <a:noFill/>
                          <a:ln w="9525">
                            <a:noFill/>
                          </a:ln>
                        </pic:spPr>
                      </pic:pic>
                    </a:graphicData>
                  </a:graphic>
                </wp:inline>
              </w:drawing>
            </w:r>
          </w:p>
        </w:tc>
        <w:tc>
          <w:tcPr>
            <w:tcW w:w="3738" w:type="dxa"/>
            <w:tcBorders>
              <w:top w:val="single" w:color="auto" w:sz="4" w:space="0"/>
              <w:left w:val="nil"/>
              <w:bottom w:val="single" w:color="auto" w:sz="4" w:space="0"/>
              <w:right w:val="single" w:color="auto" w:sz="4" w:space="0"/>
            </w:tcBorders>
            <w:vAlign w:val="center"/>
          </w:tcPr>
          <w:p>
            <w:pPr>
              <w:rPr>
                <w:rFonts w:cs="宋体"/>
              </w:rPr>
            </w:pPr>
            <w:r>
              <w:rPr>
                <w:rFonts w:hint="eastAsia" w:cs="宋体"/>
              </w:rPr>
              <w:t>1、油罐车内液体表面以上的空间划为0区。</w:t>
            </w:r>
          </w:p>
          <w:p>
            <w:pPr>
              <w:rPr>
                <w:rFonts w:cs="宋体"/>
              </w:rPr>
            </w:pPr>
            <w:r>
              <w:rPr>
                <w:rFonts w:hint="eastAsia" w:cs="宋体"/>
              </w:rPr>
              <w:t>2、以卸油为中心、半径为1.5m的球形空间和以密闭卸油口为中心、半径为0.5m的球形空间划为1区。</w:t>
            </w:r>
          </w:p>
          <w:p>
            <w:pPr>
              <w:rPr>
                <w:rFonts w:cs="宋体"/>
              </w:rPr>
            </w:pPr>
            <w:r>
              <w:rPr>
                <w:rFonts w:hint="eastAsia" w:cs="宋体"/>
              </w:rPr>
              <w:t>3、以卸油口为中心、半径为3m的球形并延至地面的空间和以密闭卸油口为中心、半径1.5m的球形并延至地面的空间划为2区。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722"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pPr>
              <w:rPr>
                <w:rFonts w:cs="宋体"/>
              </w:rPr>
            </w:pPr>
            <w:r>
              <w:rPr>
                <w:rFonts w:hint="eastAsia" w:cs="宋体"/>
              </w:rPr>
              <w:t>易燃油品管沟爆炸危险区域划分</w:t>
            </w:r>
          </w:p>
        </w:tc>
        <w:tc>
          <w:tcPr>
            <w:tcW w:w="3870" w:type="dxa"/>
            <w:tcBorders>
              <w:top w:val="single" w:color="auto" w:sz="4" w:space="0"/>
              <w:left w:val="nil"/>
              <w:bottom w:val="single" w:color="auto" w:sz="4" w:space="0"/>
              <w:right w:val="single" w:color="auto" w:sz="4" w:space="0"/>
            </w:tcBorders>
            <w:vAlign w:val="center"/>
          </w:tcPr>
          <w:p>
            <w:pPr>
              <w:jc w:val="center"/>
              <w:rPr>
                <w:rFonts w:cs="宋体"/>
              </w:rPr>
            </w:pPr>
            <w:r>
              <w:rPr>
                <w:rFonts w:hint="eastAsia" w:ascii="宋体" w:hAnsi="宋体" w:cs="宋体"/>
              </w:rPr>
              <w:drawing>
                <wp:inline distT="0" distB="0" distL="114300" distR="114300">
                  <wp:extent cx="2219325" cy="904875"/>
                  <wp:effectExtent l="0" t="0" r="9525" b="9525"/>
                  <wp:docPr id="79" name="图片 2" descr="wps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 descr="wps81"/>
                          <pic:cNvPicPr>
                            <a:picLocks noChangeAspect="1"/>
                          </pic:cNvPicPr>
                        </pic:nvPicPr>
                        <pic:blipFill>
                          <a:blip r:embed="rId17">
                            <a:lum bright="-12000" contrast="24000"/>
                          </a:blip>
                          <a:stretch>
                            <a:fillRect/>
                          </a:stretch>
                        </pic:blipFill>
                        <pic:spPr>
                          <a:xfrm>
                            <a:off x="0" y="0"/>
                            <a:ext cx="2219325" cy="904875"/>
                          </a:xfrm>
                          <a:prstGeom prst="rect">
                            <a:avLst/>
                          </a:prstGeom>
                          <a:noFill/>
                          <a:ln w="9525">
                            <a:noFill/>
                          </a:ln>
                        </pic:spPr>
                      </pic:pic>
                    </a:graphicData>
                  </a:graphic>
                </wp:inline>
              </w:drawing>
            </w:r>
          </w:p>
        </w:tc>
        <w:tc>
          <w:tcPr>
            <w:tcW w:w="3738" w:type="dxa"/>
            <w:tcBorders>
              <w:top w:val="single" w:color="auto" w:sz="4" w:space="0"/>
              <w:left w:val="nil"/>
              <w:bottom w:val="single" w:color="auto" w:sz="4" w:space="0"/>
              <w:right w:val="single" w:color="auto" w:sz="4" w:space="0"/>
            </w:tcBorders>
            <w:vAlign w:val="center"/>
          </w:tcPr>
          <w:p>
            <w:pPr>
              <w:rPr>
                <w:rFonts w:cs="宋体"/>
              </w:rPr>
            </w:pPr>
            <w:r>
              <w:rPr>
                <w:rFonts w:hint="eastAsia" w:cs="宋体"/>
              </w:rPr>
              <w:t>1、有盖板的内部空间划为1区。</w:t>
            </w:r>
          </w:p>
          <w:p>
            <w:pPr>
              <w:rPr>
                <w:rFonts w:cs="宋体"/>
                <w:spacing w:val="-8"/>
              </w:rPr>
            </w:pPr>
            <w:r>
              <w:rPr>
                <w:rFonts w:hint="eastAsia" w:cs="宋体"/>
                <w:spacing w:val="-8"/>
              </w:rPr>
              <w:t>2、无盖板管沟内部空间划为2区。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65"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pPr>
              <w:rPr>
                <w:rFonts w:cs="宋体"/>
              </w:rPr>
            </w:pPr>
            <w:r>
              <w:rPr>
                <w:rFonts w:hint="eastAsia" w:cs="宋体"/>
              </w:rPr>
              <w:t>汽油加油机爆炸危险区域划分</w:t>
            </w:r>
          </w:p>
        </w:tc>
        <w:tc>
          <w:tcPr>
            <w:tcW w:w="3870" w:type="dxa"/>
            <w:tcBorders>
              <w:top w:val="single" w:color="auto" w:sz="4" w:space="0"/>
              <w:left w:val="nil"/>
              <w:bottom w:val="single" w:color="auto" w:sz="4" w:space="0"/>
              <w:right w:val="single" w:color="auto" w:sz="4" w:space="0"/>
            </w:tcBorders>
            <w:vAlign w:val="center"/>
          </w:tcPr>
          <w:p>
            <w:pPr>
              <w:jc w:val="center"/>
              <w:rPr>
                <w:rFonts w:cs="宋体"/>
              </w:rPr>
            </w:pPr>
            <w:r>
              <w:rPr>
                <w:rFonts w:hint="eastAsia" w:ascii="宋体" w:hAnsi="宋体" w:cs="宋体"/>
              </w:rPr>
              <w:drawing>
                <wp:inline distT="0" distB="0" distL="114300" distR="114300">
                  <wp:extent cx="1809750" cy="1438275"/>
                  <wp:effectExtent l="0" t="0" r="0" b="9525"/>
                  <wp:docPr id="80" name="图片 3" descr="wps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descr="wps82"/>
                          <pic:cNvPicPr>
                            <a:picLocks noChangeAspect="1"/>
                          </pic:cNvPicPr>
                        </pic:nvPicPr>
                        <pic:blipFill>
                          <a:blip r:embed="rId18">
                            <a:lum bright="-12000" contrast="18000"/>
                          </a:blip>
                          <a:stretch>
                            <a:fillRect/>
                          </a:stretch>
                        </pic:blipFill>
                        <pic:spPr>
                          <a:xfrm>
                            <a:off x="0" y="0"/>
                            <a:ext cx="1809750" cy="1438275"/>
                          </a:xfrm>
                          <a:prstGeom prst="rect">
                            <a:avLst/>
                          </a:prstGeom>
                          <a:noFill/>
                          <a:ln w="9525">
                            <a:noFill/>
                          </a:ln>
                        </pic:spPr>
                      </pic:pic>
                    </a:graphicData>
                  </a:graphic>
                </wp:inline>
              </w:drawing>
            </w:r>
          </w:p>
        </w:tc>
        <w:tc>
          <w:tcPr>
            <w:tcW w:w="3738" w:type="dxa"/>
            <w:tcBorders>
              <w:top w:val="single" w:color="auto" w:sz="4" w:space="0"/>
              <w:left w:val="nil"/>
              <w:bottom w:val="single" w:color="auto" w:sz="4" w:space="0"/>
              <w:right w:val="single" w:color="auto" w:sz="4" w:space="0"/>
            </w:tcBorders>
            <w:vAlign w:val="center"/>
          </w:tcPr>
          <w:p>
            <w:pPr>
              <w:rPr>
                <w:rFonts w:cs="宋体"/>
              </w:rPr>
            </w:pPr>
            <w:r>
              <w:rPr>
                <w:rFonts w:hint="eastAsia" w:cs="宋体"/>
              </w:rPr>
              <w:t>1、加油机内部空间划为1区。</w:t>
            </w:r>
          </w:p>
          <w:p>
            <w:pPr>
              <w:rPr>
                <w:rFonts w:cs="宋体"/>
              </w:rPr>
            </w:pPr>
            <w:r>
              <w:rPr>
                <w:rFonts w:hint="eastAsia" w:cs="宋体"/>
              </w:rPr>
              <w:t>2、以加油机中心线，以半径为5m(3m)的地面区域为底面和以加油机顶部以上0.15m半径为3m(1.5m)的平面为顶面的圆合形空间划为2区。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273"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pPr>
              <w:rPr>
                <w:rFonts w:cs="宋体"/>
              </w:rPr>
            </w:pPr>
            <w:r>
              <w:rPr>
                <w:rFonts w:hint="eastAsia" w:cs="宋体"/>
              </w:rPr>
              <w:t>油罐汽车卸汽油时爆炸危险区域划分</w:t>
            </w:r>
          </w:p>
        </w:tc>
        <w:tc>
          <w:tcPr>
            <w:tcW w:w="3870" w:type="dxa"/>
            <w:tcBorders>
              <w:top w:val="single" w:color="auto" w:sz="4" w:space="0"/>
              <w:left w:val="nil"/>
              <w:bottom w:val="single" w:color="auto" w:sz="4" w:space="0"/>
              <w:right w:val="single" w:color="auto" w:sz="4" w:space="0"/>
            </w:tcBorders>
            <w:vAlign w:val="center"/>
          </w:tcPr>
          <w:p>
            <w:pPr>
              <w:jc w:val="center"/>
              <w:rPr>
                <w:rFonts w:cs="宋体"/>
              </w:rPr>
            </w:pPr>
            <w:r>
              <w:rPr>
                <w:rFonts w:hint="eastAsia" w:ascii="宋体" w:hAnsi="宋体" w:cs="宋体"/>
              </w:rPr>
              <w:drawing>
                <wp:inline distT="0" distB="0" distL="114300" distR="114300">
                  <wp:extent cx="2372360" cy="1457325"/>
                  <wp:effectExtent l="0" t="0" r="8890" b="9525"/>
                  <wp:docPr id="81" name="图片 4" descr="wps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 descr="wps83"/>
                          <pic:cNvPicPr>
                            <a:picLocks noChangeAspect="1"/>
                          </pic:cNvPicPr>
                        </pic:nvPicPr>
                        <pic:blipFill>
                          <a:blip r:embed="rId19">
                            <a:lum bright="-6000" contrast="12000"/>
                          </a:blip>
                          <a:stretch>
                            <a:fillRect/>
                          </a:stretch>
                        </pic:blipFill>
                        <pic:spPr>
                          <a:xfrm>
                            <a:off x="0" y="0"/>
                            <a:ext cx="2372360" cy="1457325"/>
                          </a:xfrm>
                          <a:prstGeom prst="rect">
                            <a:avLst/>
                          </a:prstGeom>
                          <a:noFill/>
                          <a:ln w="9525">
                            <a:noFill/>
                          </a:ln>
                        </pic:spPr>
                      </pic:pic>
                    </a:graphicData>
                  </a:graphic>
                </wp:inline>
              </w:drawing>
            </w:r>
          </w:p>
        </w:tc>
        <w:tc>
          <w:tcPr>
            <w:tcW w:w="3738" w:type="dxa"/>
            <w:tcBorders>
              <w:top w:val="single" w:color="auto" w:sz="4" w:space="0"/>
              <w:left w:val="nil"/>
              <w:bottom w:val="single" w:color="auto" w:sz="4" w:space="0"/>
              <w:right w:val="single" w:color="auto" w:sz="4" w:space="0"/>
            </w:tcBorders>
            <w:vAlign w:val="center"/>
          </w:tcPr>
          <w:p>
            <w:pPr>
              <w:rPr>
                <w:rFonts w:cs="宋体"/>
              </w:rPr>
            </w:pPr>
            <w:r>
              <w:rPr>
                <w:rFonts w:hint="eastAsia" w:cs="宋体"/>
              </w:rPr>
              <w:t>1、油罐车罐内部的油料表面以上空间划分为0区。</w:t>
            </w:r>
          </w:p>
          <w:p>
            <w:pPr>
              <w:rPr>
                <w:rFonts w:cs="宋体"/>
              </w:rPr>
            </w:pPr>
            <w:r>
              <w:rPr>
                <w:rFonts w:hint="eastAsia" w:cs="宋体"/>
              </w:rPr>
              <w:t>2、以通气口为中心，半径为1.5m的球形空间和以密闭卸油口为中心，半径为0.5m的球形空间划为1区。</w:t>
            </w:r>
          </w:p>
          <w:p>
            <w:pPr>
              <w:rPr>
                <w:rFonts w:cs="宋体"/>
              </w:rPr>
            </w:pPr>
            <w:r>
              <w:rPr>
                <w:rFonts w:hint="eastAsia" w:cs="宋体"/>
              </w:rPr>
              <w:t>3、以通气口为中心，半径为3m的球形并延至地面的空间和以密闭卸油口为中心，半径为1.5m的球形并延至地面的空间划为2区。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70"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pPr>
              <w:rPr>
                <w:rFonts w:cs="宋体"/>
              </w:rPr>
            </w:pPr>
            <w:r>
              <w:rPr>
                <w:rFonts w:hint="eastAsia" w:cs="宋体"/>
              </w:rPr>
              <w:t>埋地卧式汽油储罐爆炸危险区域划分</w:t>
            </w:r>
          </w:p>
        </w:tc>
        <w:tc>
          <w:tcPr>
            <w:tcW w:w="3870" w:type="dxa"/>
            <w:tcBorders>
              <w:top w:val="single" w:color="auto" w:sz="4" w:space="0"/>
              <w:left w:val="nil"/>
              <w:bottom w:val="single" w:color="auto" w:sz="4" w:space="0"/>
              <w:right w:val="single" w:color="auto" w:sz="4" w:space="0"/>
            </w:tcBorders>
            <w:vAlign w:val="center"/>
          </w:tcPr>
          <w:p>
            <w:pPr>
              <w:jc w:val="center"/>
              <w:rPr>
                <w:rFonts w:cs="宋体"/>
              </w:rPr>
            </w:pPr>
            <w:r>
              <w:rPr>
                <w:rFonts w:hint="eastAsia" w:ascii="宋体" w:hAnsi="宋体" w:cs="宋体"/>
              </w:rPr>
              <w:drawing>
                <wp:inline distT="0" distB="0" distL="114300" distR="114300">
                  <wp:extent cx="1991360" cy="1667510"/>
                  <wp:effectExtent l="0" t="0" r="8890" b="8890"/>
                  <wp:docPr id="82" name="图片 5" descr="wps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 descr="wps84"/>
                          <pic:cNvPicPr>
                            <a:picLocks noChangeAspect="1"/>
                          </pic:cNvPicPr>
                        </pic:nvPicPr>
                        <pic:blipFill>
                          <a:blip r:embed="rId20">
                            <a:lum bright="-12000" contrast="36000"/>
                          </a:blip>
                          <a:stretch>
                            <a:fillRect/>
                          </a:stretch>
                        </pic:blipFill>
                        <pic:spPr>
                          <a:xfrm>
                            <a:off x="0" y="0"/>
                            <a:ext cx="1991360" cy="1667510"/>
                          </a:xfrm>
                          <a:prstGeom prst="rect">
                            <a:avLst/>
                          </a:prstGeom>
                          <a:noFill/>
                          <a:ln w="9525">
                            <a:noFill/>
                          </a:ln>
                        </pic:spPr>
                      </pic:pic>
                    </a:graphicData>
                  </a:graphic>
                </wp:inline>
              </w:drawing>
            </w:r>
          </w:p>
        </w:tc>
        <w:tc>
          <w:tcPr>
            <w:tcW w:w="3738" w:type="dxa"/>
            <w:tcBorders>
              <w:top w:val="single" w:color="auto" w:sz="4" w:space="0"/>
              <w:left w:val="nil"/>
              <w:bottom w:val="single" w:color="auto" w:sz="4" w:space="0"/>
              <w:right w:val="single" w:color="auto" w:sz="4" w:space="0"/>
            </w:tcBorders>
            <w:vAlign w:val="center"/>
          </w:tcPr>
          <w:p>
            <w:pPr>
              <w:rPr>
                <w:rFonts w:cs="宋体"/>
                <w:sz w:val="18"/>
                <w:szCs w:val="18"/>
              </w:rPr>
            </w:pPr>
            <w:r>
              <w:rPr>
                <w:rFonts w:hint="eastAsia" w:cs="宋体"/>
                <w:sz w:val="18"/>
                <w:szCs w:val="18"/>
              </w:rPr>
              <w:t>1、油罐内部的油料表面以上空间划分为0区。</w:t>
            </w:r>
          </w:p>
          <w:p>
            <w:pPr>
              <w:rPr>
                <w:rFonts w:cs="宋体"/>
                <w:sz w:val="18"/>
                <w:szCs w:val="18"/>
              </w:rPr>
            </w:pPr>
            <w:r>
              <w:rPr>
                <w:rFonts w:hint="eastAsia" w:cs="宋体"/>
                <w:sz w:val="18"/>
                <w:szCs w:val="18"/>
              </w:rPr>
              <w:t>2、人孔(阀)井的内部空间、以通气管管口为中心，半径为1.5m(0.75m)的球形空间和以密闭卸油口为中心，半径为0.5m的球形空间划为1区。</w:t>
            </w:r>
          </w:p>
          <w:p>
            <w:pPr>
              <w:rPr>
                <w:rFonts w:cs="宋体"/>
              </w:rPr>
            </w:pPr>
            <w:r>
              <w:rPr>
                <w:rFonts w:hint="eastAsia" w:cs="宋体"/>
                <w:sz w:val="18"/>
                <w:szCs w:val="18"/>
              </w:rPr>
              <w:t>3、距离人孔（阀）井外边缘1.5m以内，自地面算起1m高的圆柱形空间；以通气管管口为中心，半径为3m(2m)的球形空间和以密闭卸油口为中心，半径为1.5m的球形并延至地面的空间划为2区。</w:t>
            </w:r>
          </w:p>
        </w:tc>
      </w:tr>
    </w:tbl>
    <w:p>
      <w:pPr>
        <w:jc w:val="center"/>
        <w:rPr>
          <w:rFonts w:cs="宋体"/>
        </w:rPr>
      </w:pPr>
    </w:p>
    <w:p>
      <w:pPr>
        <w:pStyle w:val="5"/>
        <w:spacing w:before="0" w:after="0"/>
        <w:rPr>
          <w:rStyle w:val="49"/>
          <w:rFonts w:ascii="Times New Roman" w:hAnsi="Times New Roman" w:cs="宋体"/>
          <w:b/>
          <w:bCs w:val="0"/>
          <w:sz w:val="24"/>
          <w:szCs w:val="24"/>
        </w:rPr>
      </w:pPr>
      <w:bookmarkStart w:id="996" w:name="_Toc19531"/>
      <w:bookmarkStart w:id="997" w:name="_Toc2063"/>
      <w:bookmarkStart w:id="998" w:name="_Toc26274"/>
      <w:bookmarkStart w:id="999" w:name="_Toc13311"/>
      <w:bookmarkStart w:id="1000" w:name="_Toc530594687"/>
      <w:r>
        <w:rPr>
          <w:rStyle w:val="49"/>
          <w:rFonts w:hint="eastAsia" w:ascii="Times New Roman" w:hAnsi="Times New Roman" w:cs="宋体"/>
          <w:b/>
          <w:bCs w:val="0"/>
          <w:sz w:val="24"/>
          <w:szCs w:val="24"/>
        </w:rPr>
        <w:t>图4-7 监测报警系统图</w:t>
      </w:r>
      <w:bookmarkEnd w:id="996"/>
      <w:bookmarkEnd w:id="997"/>
      <w:bookmarkEnd w:id="998"/>
      <w:bookmarkEnd w:id="999"/>
      <w:bookmarkEnd w:id="1000"/>
    </w:p>
    <w:p>
      <w:pPr>
        <w:jc w:val="center"/>
        <w:rPr>
          <w:rFonts w:cs="宋体"/>
        </w:rPr>
      </w:pPr>
    </w:p>
    <w:p>
      <w:pPr>
        <w:jc w:val="center"/>
        <w:rPr>
          <w:rFonts w:cs="宋体"/>
        </w:rPr>
      </w:pPr>
    </w:p>
    <w:p>
      <w:pPr>
        <w:jc w:val="center"/>
        <w:rPr>
          <w:rFonts w:cs="宋体"/>
        </w:rPr>
      </w:pPr>
      <w:r>
        <w:rPr>
          <w:rFonts w:hint="eastAsia" w:ascii="宋体" w:hAnsi="宋体" w:cs="宋体"/>
        </w:rPr>
        <w:drawing>
          <wp:anchor distT="0" distB="0" distL="114300" distR="114300" simplePos="0" relativeHeight="251661312" behindDoc="1" locked="0" layoutInCell="1" allowOverlap="1">
            <wp:simplePos x="0" y="0"/>
            <wp:positionH relativeFrom="column">
              <wp:posOffset>0</wp:posOffset>
            </wp:positionH>
            <wp:positionV relativeFrom="paragraph">
              <wp:posOffset>55880</wp:posOffset>
            </wp:positionV>
            <wp:extent cx="5407025" cy="3173095"/>
            <wp:effectExtent l="0" t="0" r="3175" b="8255"/>
            <wp:wrapNone/>
            <wp:docPr id="4" name="图片 28" descr="C:\DOCUME~1\ADMINI~1\LOCALS~1\Temp\ksohtml\wps7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8" descr="C:\DOCUME~1\ADMINI~1\LOCALS~1\Temp\ksohtml\wps7F.tmp.png"/>
                    <pic:cNvPicPr>
                      <a:picLocks noChangeAspect="1"/>
                    </pic:cNvPicPr>
                  </pic:nvPicPr>
                  <pic:blipFill>
                    <a:blip r:embed="rId21" r:link="rId22"/>
                    <a:stretch>
                      <a:fillRect/>
                    </a:stretch>
                  </pic:blipFill>
                  <pic:spPr>
                    <a:xfrm>
                      <a:off x="0" y="0"/>
                      <a:ext cx="5407025" cy="3173095"/>
                    </a:xfrm>
                    <a:prstGeom prst="rect">
                      <a:avLst/>
                    </a:prstGeom>
                    <a:noFill/>
                    <a:ln w="9525">
                      <a:noFill/>
                    </a:ln>
                  </pic:spPr>
                </pic:pic>
              </a:graphicData>
            </a:graphic>
          </wp:anchor>
        </w:drawing>
      </w:r>
      <w:r>
        <w:rPr>
          <w:rFonts w:ascii="宋体" w:hAnsi="宋体" w:cs="宋体"/>
        </w:rPr>
        <w:pict>
          <v:line id="直线 29" o:spid="_x0000_s1029" o:spt="20" style="position:absolute;left:0pt;flip:y;margin-left:146.25pt;margin-top:230.95pt;height:54.6pt;width:36pt;z-index:251662336;mso-width-relative:page;mso-height-relative:page;" stroked="t" coordsize="21600,21600" o:gfxdata="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ZOu8Dd&#10;AAAACwEAAA8AAAAAAAAAAQAgAAAAIgAAAGRycy9kb3ducmV2LnhtbFBLAQIUABQAAAAIAIdO4kCF&#10;bwUE4gEAAKADAAAOAAAAAAAAAAEAIAAAACwBAABkcnMvZTJvRG9jLnhtbFBLBQYAAAAABgAGAFkB&#10;AACABQAAAAA=&#10;">
            <v:path arrowok="t"/>
            <v:fill focussize="0,0"/>
            <v:stroke weight="3pt" color="#00CCFF" endarrow="classic"/>
            <v:imagedata o:title=""/>
            <o:lock v:ext="edit"/>
          </v:line>
        </w:pict>
      </w: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r>
        <w:rPr>
          <w:rFonts w:ascii="宋体" w:hAnsi="宋体" w:cs="宋体"/>
        </w:rPr>
        <w:pict>
          <v:rect id="矩形 30" o:spid="_x0000_s1028" o:spt="1" style="position:absolute;left:0pt;margin-left:71.25pt;margin-top:4.7pt;height:39.4pt;width:109.5pt;z-index:251663360;mso-width-relative:page;mso-height-relative:page;" fillcolor="#FFFF00" filled="t" stroked="t" coordsize="21600,21600" o:gfxdata="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tab6dYAAAAIAQAADwAAAAAAAAABACAAAAAiAAAAZHJzL2Rvd25yZXYueG1sUEsB&#10;AhQAFAAAAAgAh07iQCaGyT/3AQAA6wMAAA4AAAAAAAAAAQAgAAAAJQEAAGRycy9lMm9Eb2MueG1s&#10;UEsFBgAAAAAGAAYAWQEAAI4FAAAAAA==&#10;">
            <v:path/>
            <v:fill on="t" focussize="0,0"/>
            <v:stroke weight="2.5pt" color="#00CCFF"/>
            <v:imagedata o:title=""/>
            <o:lock v:ext="edit"/>
            <v:textbox>
              <w:txbxContent>
                <w:p>
                  <w:pPr>
                    <w:jc w:val="center"/>
                    <w:rPr>
                      <w:b/>
                      <w:color w:val="008000"/>
                      <w:sz w:val="24"/>
                      <w:szCs w:val="24"/>
                    </w:rPr>
                  </w:pPr>
                  <w:r>
                    <w:rPr>
                      <w:rFonts w:hint="eastAsia"/>
                      <w:b/>
                      <w:color w:val="008000"/>
                      <w:sz w:val="24"/>
                      <w:szCs w:val="24"/>
                    </w:rPr>
                    <w:t>液位检测报警系统</w:t>
                  </w:r>
                </w:p>
              </w:txbxContent>
            </v:textbox>
          </v:rect>
        </w:pict>
      </w: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pStyle w:val="5"/>
        <w:spacing w:before="0" w:after="0"/>
        <w:rPr>
          <w:rStyle w:val="49"/>
          <w:rFonts w:ascii="Times New Roman" w:hAnsi="Times New Roman" w:cs="宋体"/>
          <w:b w:val="0"/>
          <w:bCs w:val="0"/>
          <w:sz w:val="24"/>
          <w:szCs w:val="24"/>
        </w:rPr>
      </w:pPr>
      <w:bookmarkStart w:id="1001" w:name="_Toc14441"/>
      <w:bookmarkStart w:id="1002" w:name="_Toc14670"/>
      <w:bookmarkStart w:id="1003" w:name="_Toc18912"/>
      <w:bookmarkStart w:id="1004" w:name="_Toc31204"/>
      <w:r>
        <w:rPr>
          <w:rStyle w:val="49"/>
          <w:rFonts w:hint="eastAsia" w:ascii="Times New Roman" w:hAnsi="Times New Roman" w:cs="宋体"/>
          <w:b/>
          <w:bCs w:val="0"/>
          <w:sz w:val="24"/>
          <w:szCs w:val="24"/>
        </w:rPr>
        <w:t>图4-8 总平面布置图</w:t>
      </w:r>
      <w:bookmarkEnd w:id="1001"/>
      <w:bookmarkEnd w:id="1002"/>
      <w:bookmarkEnd w:id="1003"/>
      <w:bookmarkEnd w:id="1004"/>
    </w:p>
    <w:p>
      <w:pPr>
        <w:jc w:val="center"/>
        <w:rPr>
          <w:rFonts w:cs="宋体"/>
        </w:rPr>
      </w:pPr>
    </w:p>
    <w:p>
      <w:pPr>
        <w:jc w:val="center"/>
        <w:rPr>
          <w:rFonts w:cs="宋体"/>
        </w:rPr>
      </w:pPr>
      <w:r>
        <w:drawing>
          <wp:inline distT="0" distB="0" distL="114300" distR="114300">
            <wp:extent cx="5758180" cy="5581015"/>
            <wp:effectExtent l="0" t="0" r="13970" b="635"/>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23"/>
                    <a:stretch>
                      <a:fillRect/>
                    </a:stretch>
                  </pic:blipFill>
                  <pic:spPr>
                    <a:xfrm>
                      <a:off x="0" y="0"/>
                      <a:ext cx="5758180" cy="5581015"/>
                    </a:xfrm>
                    <a:prstGeom prst="rect">
                      <a:avLst/>
                    </a:prstGeom>
                    <a:noFill/>
                    <a:ln w="9525">
                      <a:noFill/>
                    </a:ln>
                  </pic:spPr>
                </pic:pic>
              </a:graphicData>
            </a:graphic>
          </wp:inline>
        </w:drawing>
      </w:r>
    </w:p>
    <w:p>
      <w:pPr>
        <w:rPr>
          <w:rStyle w:val="49"/>
          <w:rFonts w:ascii="Times New Roman" w:hAnsi="Times New Roman" w:cs="宋体"/>
          <w:bCs w:val="0"/>
          <w:sz w:val="24"/>
          <w:szCs w:val="24"/>
        </w:rPr>
      </w:pPr>
      <w:bookmarkStart w:id="1005" w:name="_Toc17174"/>
    </w:p>
    <w:p>
      <w:pPr>
        <w:pStyle w:val="5"/>
        <w:spacing w:before="0" w:after="0"/>
        <w:rPr>
          <w:rStyle w:val="49"/>
          <w:rFonts w:ascii="Times New Roman" w:hAnsi="Times New Roman"/>
          <w:b/>
          <w:bCs w:val="0"/>
          <w:sz w:val="24"/>
          <w:szCs w:val="24"/>
        </w:rPr>
      </w:pPr>
      <w:r>
        <w:rPr>
          <w:rStyle w:val="49"/>
          <w:rFonts w:hint="eastAsia" w:ascii="Times New Roman" w:hAnsi="Times New Roman" w:cs="宋体"/>
          <w:b/>
          <w:bCs w:val="0"/>
          <w:sz w:val="24"/>
          <w:szCs w:val="24"/>
        </w:rPr>
        <w:br w:type="page"/>
      </w:r>
      <w:bookmarkStart w:id="1006" w:name="_Toc7789"/>
      <w:bookmarkStart w:id="1007" w:name="_Toc31576"/>
      <w:bookmarkStart w:id="1008" w:name="_Toc23144"/>
      <w:r>
        <w:rPr>
          <w:rStyle w:val="49"/>
          <w:rFonts w:hint="eastAsia" w:ascii="Times New Roman" w:hAnsi="Times New Roman"/>
          <w:b/>
          <w:bCs w:val="0"/>
          <w:sz w:val="24"/>
          <w:szCs w:val="24"/>
        </w:rPr>
        <w:t>图4-9 警戒范围标识图</w:t>
      </w:r>
      <w:bookmarkEnd w:id="1006"/>
      <w:bookmarkEnd w:id="1007"/>
      <w:bookmarkEnd w:id="1008"/>
    </w:p>
    <w:p>
      <w:r>
        <w:drawing>
          <wp:inline distT="0" distB="0" distL="114300" distR="114300">
            <wp:extent cx="5761355" cy="5387975"/>
            <wp:effectExtent l="0" t="0" r="10795" b="3175"/>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pic:cNvPicPr>
                  </pic:nvPicPr>
                  <pic:blipFill>
                    <a:blip r:embed="rId12"/>
                    <a:stretch>
                      <a:fillRect/>
                    </a:stretch>
                  </pic:blipFill>
                  <pic:spPr>
                    <a:xfrm>
                      <a:off x="0" y="0"/>
                      <a:ext cx="5761355" cy="5387975"/>
                    </a:xfrm>
                    <a:prstGeom prst="rect">
                      <a:avLst/>
                    </a:prstGeom>
                    <a:noFill/>
                    <a:ln w="9525">
                      <a:noFill/>
                    </a:ln>
                  </pic:spPr>
                </pic:pic>
              </a:graphicData>
            </a:graphic>
          </wp:inline>
        </w:drawing>
      </w:r>
    </w:p>
    <w:p>
      <w:pPr>
        <w:rPr>
          <w:rFonts w:cs="宋体"/>
        </w:rPr>
      </w:pPr>
      <w:r>
        <w:pict>
          <v:rect id="_x0000_s1027" o:spid="_x0000_s1027" o:spt="1" style="position:absolute;left:0pt;margin-left:75.5pt;margin-top:0.4pt;height:17.8pt;width:41.25pt;z-index:251708416;v-text-anchor:middle;mso-width-relative:page;mso-height-relative:page;" fillcolor="#000000" filled="t" coordsize="21600,21600" o:gfxdata="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Pw9/51QAAAAcBAAAPAAAAAAAAAAEAIAAAACIAAABkcnMvZG93bnJldi54bWxQSwECFAAUAAAA&#10;CACHTuJArt1WzfEBAADsAwAADgAAAAAAAAABACAAAAAkAQAAZHJzL2Uyb0RvYy54bWxQSwUGAAAA&#10;AAYABgBZAQAAhwUAAAAA&#10;">
            <v:path/>
            <v:fill on="t" focussize="0,0"/>
            <v:stroke weight="2pt" joinstyle="round"/>
            <v:imagedata o:title=""/>
            <o:lock v:ext="edit"/>
          </v:rect>
        </w:pict>
      </w:r>
      <w:r>
        <w:rPr>
          <w:rFonts w:hint="eastAsia"/>
        </w:rPr>
        <w:t>警戒范围</w:t>
      </w:r>
      <w:r>
        <w:rPr>
          <w:rFonts w:hint="eastAsia" w:cs="宋体"/>
        </w:rPr>
        <w:t>区域：</w:t>
      </w:r>
    </w:p>
    <w:p>
      <w:pPr>
        <w:pStyle w:val="5"/>
        <w:spacing w:before="0" w:after="0"/>
        <w:rPr>
          <w:rStyle w:val="49"/>
          <w:rFonts w:ascii="Times New Roman" w:hAnsi="Times New Roman" w:cs="宋体"/>
          <w:b/>
          <w:bCs w:val="0"/>
          <w:sz w:val="24"/>
          <w:szCs w:val="24"/>
        </w:rPr>
      </w:pPr>
      <w:r>
        <w:rPr>
          <w:rStyle w:val="49"/>
          <w:rFonts w:hint="eastAsia" w:ascii="Times New Roman" w:hAnsi="Times New Roman" w:cs="宋体"/>
          <w:b/>
          <w:bCs w:val="0"/>
          <w:sz w:val="24"/>
          <w:szCs w:val="24"/>
        </w:rPr>
        <w:br w:type="page"/>
      </w:r>
      <w:bookmarkStart w:id="1009" w:name="_Toc24591"/>
      <w:bookmarkStart w:id="1010" w:name="_Toc27478"/>
      <w:bookmarkStart w:id="1011" w:name="_Toc21884"/>
      <w:r>
        <w:rPr>
          <w:rStyle w:val="49"/>
          <w:rFonts w:hint="eastAsia" w:ascii="Times New Roman" w:hAnsi="Times New Roman" w:cs="宋体"/>
          <w:b/>
          <w:bCs w:val="0"/>
          <w:sz w:val="24"/>
          <w:szCs w:val="24"/>
        </w:rPr>
        <w:t>图4-</w:t>
      </w:r>
      <w:bookmarkEnd w:id="1005"/>
      <w:bookmarkStart w:id="1012" w:name="_Toc13202"/>
      <w:r>
        <w:rPr>
          <w:rStyle w:val="49"/>
          <w:rFonts w:hint="eastAsia" w:ascii="Times New Roman" w:hAnsi="Times New Roman" w:cs="宋体"/>
          <w:b/>
          <w:bCs w:val="0"/>
          <w:sz w:val="24"/>
          <w:szCs w:val="24"/>
        </w:rPr>
        <w:t>10 外部救援力量分布图</w:t>
      </w:r>
      <w:bookmarkEnd w:id="1009"/>
      <w:bookmarkEnd w:id="1010"/>
      <w:bookmarkEnd w:id="1011"/>
      <w:bookmarkEnd w:id="1012"/>
    </w:p>
    <w:p>
      <w:pPr>
        <w:rPr>
          <w:rStyle w:val="49"/>
          <w:rFonts w:ascii="Times New Roman" w:hAnsi="Times New Roman" w:cs="宋体"/>
          <w:bCs w:val="0"/>
          <w:sz w:val="24"/>
          <w:szCs w:val="24"/>
        </w:rPr>
      </w:pPr>
    </w:p>
    <w:p>
      <w:pPr>
        <w:jc w:val="center"/>
        <w:rPr>
          <w:rFonts w:cs="宋体"/>
        </w:rPr>
      </w:pPr>
      <w:r>
        <w:rPr>
          <w:rFonts w:ascii="宋体" w:hAnsi="宋体" w:cs="宋体"/>
          <w:sz w:val="24"/>
          <w:szCs w:val="24"/>
        </w:rPr>
        <w:drawing>
          <wp:inline distT="0" distB="0" distL="114300" distR="114300">
            <wp:extent cx="5987415" cy="3576955"/>
            <wp:effectExtent l="0" t="0" r="13335" b="4445"/>
            <wp:docPr id="85" name="图片 7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9" descr="IMG_256"/>
                    <pic:cNvPicPr>
                      <a:picLocks noChangeAspect="1"/>
                    </pic:cNvPicPr>
                  </pic:nvPicPr>
                  <pic:blipFill>
                    <a:blip r:embed="rId24"/>
                    <a:stretch>
                      <a:fillRect/>
                    </a:stretch>
                  </pic:blipFill>
                  <pic:spPr>
                    <a:xfrm>
                      <a:off x="0" y="0"/>
                      <a:ext cx="5987415" cy="3576955"/>
                    </a:xfrm>
                    <a:prstGeom prst="rect">
                      <a:avLst/>
                    </a:prstGeom>
                    <a:noFill/>
                    <a:ln w="9525">
                      <a:noFill/>
                    </a:ln>
                  </pic:spPr>
                </pic:pic>
              </a:graphicData>
            </a:graphic>
          </wp:inline>
        </w:drawing>
      </w:r>
    </w:p>
    <w:p>
      <w:pPr>
        <w:pStyle w:val="4"/>
        <w:pageBreakBefore/>
        <w:spacing w:before="0" w:after="0" w:line="520" w:lineRule="exact"/>
        <w:rPr>
          <w:rStyle w:val="51"/>
          <w:rFonts w:hint="default" w:ascii="Times New Roman" w:hAnsi="Times New Roman" w:cs="宋体"/>
          <w:b/>
          <w:bCs/>
          <w:sz w:val="24"/>
          <w:szCs w:val="24"/>
        </w:rPr>
      </w:pPr>
      <w:bookmarkStart w:id="1013" w:name="_Toc504989655"/>
      <w:bookmarkEnd w:id="1013"/>
      <w:bookmarkStart w:id="1014" w:name="_Toc31853"/>
      <w:bookmarkStart w:id="1015" w:name="_Toc4796"/>
      <w:bookmarkStart w:id="1016" w:name="_Toc9459"/>
      <w:bookmarkStart w:id="1017" w:name="_Toc26585"/>
      <w:bookmarkStart w:id="1018" w:name="_Toc530594688"/>
      <w:bookmarkStart w:id="1019" w:name="_Toc26196"/>
      <w:r>
        <w:rPr>
          <w:rStyle w:val="51"/>
          <w:rFonts w:hint="default" w:ascii="Times New Roman" w:hAnsi="Times New Roman" w:cs="宋体"/>
          <w:b/>
          <w:bCs/>
          <w:sz w:val="24"/>
          <w:szCs w:val="24"/>
        </w:rPr>
        <w:t>附件5规范化文件格式</w:t>
      </w:r>
      <w:bookmarkEnd w:id="1014"/>
      <w:bookmarkEnd w:id="1015"/>
      <w:bookmarkEnd w:id="1016"/>
      <w:bookmarkEnd w:id="1017"/>
      <w:bookmarkEnd w:id="1018"/>
      <w:bookmarkEnd w:id="1019"/>
    </w:p>
    <w:p>
      <w:pPr>
        <w:pStyle w:val="5"/>
        <w:spacing w:before="0" w:after="0"/>
        <w:rPr>
          <w:rStyle w:val="49"/>
          <w:rFonts w:ascii="Times New Roman" w:hAnsi="Times New Roman" w:cs="宋体"/>
          <w:b/>
          <w:bCs/>
          <w:sz w:val="24"/>
          <w:szCs w:val="24"/>
        </w:rPr>
      </w:pPr>
      <w:bookmarkStart w:id="1020" w:name="_Toc26876"/>
      <w:bookmarkEnd w:id="1020"/>
      <w:bookmarkStart w:id="1021" w:name="_Toc504989656"/>
      <w:bookmarkStart w:id="1022" w:name="_Toc530594689"/>
      <w:bookmarkStart w:id="1023" w:name="_Toc15362"/>
      <w:bookmarkStart w:id="1024" w:name="_Toc24671"/>
      <w:bookmarkStart w:id="1025" w:name="_Toc10586"/>
      <w:bookmarkStart w:id="1026" w:name="_Toc19694"/>
      <w:r>
        <w:rPr>
          <w:rStyle w:val="49"/>
          <w:rFonts w:hint="eastAsia" w:ascii="Times New Roman" w:hAnsi="Times New Roman" w:cs="宋体"/>
          <w:b/>
          <w:bCs/>
          <w:sz w:val="24"/>
          <w:szCs w:val="24"/>
        </w:rPr>
        <w:t>附5-1安全事故报告表</w:t>
      </w:r>
      <w:bookmarkEnd w:id="1021"/>
      <w:bookmarkEnd w:id="1022"/>
      <w:bookmarkEnd w:id="1023"/>
      <w:bookmarkEnd w:id="1024"/>
      <w:bookmarkEnd w:id="1025"/>
      <w:bookmarkEnd w:id="1026"/>
    </w:p>
    <w:tbl>
      <w:tblPr>
        <w:tblStyle w:val="35"/>
        <w:tblW w:w="84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2825"/>
        <w:gridCol w:w="1439"/>
        <w:gridCol w:w="2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190"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单位名称</w:t>
            </w:r>
          </w:p>
        </w:tc>
        <w:tc>
          <w:tcPr>
            <w:tcW w:w="282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439"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姓名</w:t>
            </w:r>
          </w:p>
        </w:tc>
        <w:tc>
          <w:tcPr>
            <w:tcW w:w="2986"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190"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联系电话</w:t>
            </w:r>
          </w:p>
        </w:tc>
        <w:tc>
          <w:tcPr>
            <w:tcW w:w="282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439"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报告时间</w:t>
            </w:r>
          </w:p>
        </w:tc>
        <w:tc>
          <w:tcPr>
            <w:tcW w:w="2986"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190"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事故类型</w:t>
            </w:r>
          </w:p>
        </w:tc>
        <w:tc>
          <w:tcPr>
            <w:tcW w:w="282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439"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事故位置</w:t>
            </w:r>
          </w:p>
        </w:tc>
        <w:tc>
          <w:tcPr>
            <w:tcW w:w="2986"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190"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死亡人数</w:t>
            </w:r>
          </w:p>
        </w:tc>
        <w:tc>
          <w:tcPr>
            <w:tcW w:w="282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439"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受伤人数</w:t>
            </w:r>
          </w:p>
        </w:tc>
        <w:tc>
          <w:tcPr>
            <w:tcW w:w="2986"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3" w:hRule="atLeast"/>
          <w:jc w:val="center"/>
        </w:trPr>
        <w:tc>
          <w:tcPr>
            <w:tcW w:w="1190"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事故简要情况</w:t>
            </w:r>
          </w:p>
        </w:tc>
        <w:tc>
          <w:tcPr>
            <w:tcW w:w="7250" w:type="dxa"/>
            <w:gridSpan w:val="3"/>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p>
            <w:pPr>
              <w:pStyle w:val="29"/>
              <w:adjustRightInd w:val="0"/>
              <w:snapToGrid w:val="0"/>
              <w:jc w:val="center"/>
              <w:rPr>
                <w:rFonts w:ascii="Times New Roman" w:hAnsi="Times New Roman"/>
                <w:b/>
                <w:bCs/>
                <w:sz w:val="21"/>
                <w:szCs w:val="21"/>
              </w:rPr>
            </w:pPr>
          </w:p>
          <w:p>
            <w:pPr>
              <w:pStyle w:val="29"/>
              <w:adjustRightInd w:val="0"/>
              <w:snapToGrid w:val="0"/>
              <w:jc w:val="center"/>
              <w:rPr>
                <w:rFonts w:ascii="Times New Roman" w:hAnsi="Times New Roman"/>
                <w:b/>
                <w:bCs/>
                <w:sz w:val="21"/>
                <w:szCs w:val="21"/>
              </w:rPr>
            </w:pPr>
          </w:p>
          <w:p>
            <w:pPr>
              <w:pStyle w:val="29"/>
              <w:adjustRightInd w:val="0"/>
              <w:snapToGrid w:val="0"/>
              <w:jc w:val="center"/>
              <w:rPr>
                <w:rFonts w:ascii="Times New Roman" w:hAnsi="Times New Roman"/>
                <w:b/>
                <w:bCs/>
                <w:sz w:val="21"/>
                <w:szCs w:val="21"/>
              </w:rPr>
            </w:pPr>
          </w:p>
          <w:p>
            <w:pPr>
              <w:pStyle w:val="29"/>
              <w:adjustRightInd w:val="0"/>
              <w:snapToGrid w:val="0"/>
              <w:jc w:val="center"/>
              <w:rPr>
                <w:rFonts w:ascii="Times New Roman" w:hAnsi="Times New Roman"/>
                <w:b/>
                <w:bCs/>
                <w:sz w:val="21"/>
                <w:szCs w:val="21"/>
              </w:rPr>
            </w:pPr>
          </w:p>
          <w:p>
            <w:pPr>
              <w:pStyle w:val="29"/>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3" w:hRule="atLeast"/>
          <w:jc w:val="center"/>
        </w:trPr>
        <w:tc>
          <w:tcPr>
            <w:tcW w:w="1190"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已采取的处置措施</w:t>
            </w:r>
          </w:p>
        </w:tc>
        <w:tc>
          <w:tcPr>
            <w:tcW w:w="7250" w:type="dxa"/>
            <w:gridSpan w:val="3"/>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p>
            <w:pPr>
              <w:pStyle w:val="29"/>
              <w:adjustRightInd w:val="0"/>
              <w:snapToGrid w:val="0"/>
              <w:jc w:val="center"/>
              <w:rPr>
                <w:rFonts w:ascii="Times New Roman" w:hAnsi="Times New Roman"/>
                <w:b/>
                <w:bCs/>
                <w:sz w:val="21"/>
                <w:szCs w:val="21"/>
              </w:rPr>
            </w:pPr>
          </w:p>
          <w:p>
            <w:pPr>
              <w:pStyle w:val="29"/>
              <w:adjustRightInd w:val="0"/>
              <w:snapToGrid w:val="0"/>
              <w:jc w:val="center"/>
              <w:rPr>
                <w:rFonts w:ascii="Times New Roman" w:hAnsi="Times New Roman"/>
                <w:b/>
                <w:bCs/>
                <w:sz w:val="21"/>
                <w:szCs w:val="21"/>
              </w:rPr>
            </w:pPr>
          </w:p>
          <w:p>
            <w:pPr>
              <w:pStyle w:val="29"/>
              <w:adjustRightInd w:val="0"/>
              <w:snapToGrid w:val="0"/>
              <w:jc w:val="center"/>
              <w:rPr>
                <w:rFonts w:ascii="Times New Roman" w:hAnsi="Times New Roman"/>
                <w:b/>
                <w:bCs/>
                <w:sz w:val="21"/>
                <w:szCs w:val="21"/>
              </w:rPr>
            </w:pPr>
          </w:p>
          <w:p>
            <w:pPr>
              <w:pStyle w:val="29"/>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3" w:hRule="atLeast"/>
          <w:jc w:val="center"/>
        </w:trPr>
        <w:tc>
          <w:tcPr>
            <w:tcW w:w="1190"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事故原因初步分析</w:t>
            </w:r>
          </w:p>
        </w:tc>
        <w:tc>
          <w:tcPr>
            <w:tcW w:w="7250" w:type="dxa"/>
            <w:gridSpan w:val="3"/>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p>
            <w:pPr>
              <w:pStyle w:val="29"/>
              <w:adjustRightInd w:val="0"/>
              <w:snapToGrid w:val="0"/>
              <w:jc w:val="center"/>
              <w:rPr>
                <w:rFonts w:ascii="Times New Roman" w:hAnsi="Times New Roman"/>
                <w:b/>
                <w:bCs/>
                <w:sz w:val="21"/>
                <w:szCs w:val="21"/>
              </w:rPr>
            </w:pPr>
          </w:p>
          <w:p>
            <w:pPr>
              <w:pStyle w:val="29"/>
              <w:adjustRightInd w:val="0"/>
              <w:snapToGrid w:val="0"/>
              <w:jc w:val="center"/>
              <w:rPr>
                <w:rFonts w:ascii="Times New Roman" w:hAnsi="Times New Roman"/>
                <w:b/>
                <w:bCs/>
                <w:sz w:val="21"/>
                <w:szCs w:val="21"/>
              </w:rPr>
            </w:pPr>
          </w:p>
          <w:p>
            <w:pPr>
              <w:pStyle w:val="29"/>
              <w:adjustRightInd w:val="0"/>
              <w:snapToGrid w:val="0"/>
              <w:jc w:val="center"/>
              <w:rPr>
                <w:rFonts w:ascii="Times New Roman" w:hAnsi="Times New Roman"/>
                <w:b/>
                <w:bCs/>
                <w:sz w:val="21"/>
                <w:szCs w:val="21"/>
              </w:rPr>
            </w:pPr>
          </w:p>
          <w:p>
            <w:pPr>
              <w:pStyle w:val="29"/>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8" w:hRule="atLeast"/>
          <w:jc w:val="center"/>
        </w:trPr>
        <w:tc>
          <w:tcPr>
            <w:tcW w:w="1190"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备注</w:t>
            </w:r>
          </w:p>
        </w:tc>
        <w:tc>
          <w:tcPr>
            <w:tcW w:w="7250" w:type="dxa"/>
            <w:gridSpan w:val="3"/>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p>
            <w:pPr>
              <w:pStyle w:val="29"/>
              <w:adjustRightInd w:val="0"/>
              <w:snapToGrid w:val="0"/>
              <w:jc w:val="both"/>
              <w:rPr>
                <w:rFonts w:ascii="Times New Roman" w:hAnsi="Times New Roman"/>
                <w:b/>
                <w:bCs/>
                <w:sz w:val="21"/>
                <w:szCs w:val="21"/>
              </w:rPr>
            </w:pPr>
          </w:p>
        </w:tc>
      </w:tr>
    </w:tbl>
    <w:p>
      <w:pPr>
        <w:pStyle w:val="5"/>
        <w:spacing w:before="0" w:after="0"/>
        <w:rPr>
          <w:rStyle w:val="49"/>
          <w:rFonts w:ascii="Times New Roman" w:hAnsi="Times New Roman" w:cs="宋体"/>
          <w:b/>
          <w:bCs/>
          <w:sz w:val="24"/>
          <w:szCs w:val="24"/>
        </w:rPr>
      </w:pPr>
      <w:bookmarkStart w:id="1027" w:name="_Toc504989657"/>
      <w:bookmarkEnd w:id="1027"/>
      <w:bookmarkStart w:id="1028" w:name="_Toc530594690"/>
      <w:bookmarkStart w:id="1029" w:name="_Toc21272"/>
      <w:r>
        <w:rPr>
          <w:rStyle w:val="49"/>
          <w:rFonts w:hint="eastAsia" w:ascii="Times New Roman" w:hAnsi="Times New Roman" w:cs="宋体"/>
          <w:b/>
          <w:bCs/>
          <w:sz w:val="24"/>
          <w:szCs w:val="24"/>
        </w:rPr>
        <w:br w:type="page"/>
      </w:r>
      <w:bookmarkStart w:id="1030" w:name="_Toc9792"/>
      <w:bookmarkStart w:id="1031" w:name="_Toc15294"/>
      <w:bookmarkStart w:id="1032" w:name="_Toc9721"/>
      <w:bookmarkStart w:id="1033" w:name="_Toc20063"/>
      <w:r>
        <w:rPr>
          <w:rStyle w:val="49"/>
          <w:rFonts w:hint="eastAsia" w:ascii="Times New Roman" w:hAnsi="Times New Roman" w:cs="宋体"/>
          <w:b/>
          <w:bCs/>
          <w:sz w:val="24"/>
          <w:szCs w:val="24"/>
        </w:rPr>
        <w:t>附5-2 信息接收登记表</w:t>
      </w:r>
      <w:bookmarkEnd w:id="1028"/>
      <w:bookmarkEnd w:id="1029"/>
      <w:bookmarkEnd w:id="1030"/>
      <w:bookmarkEnd w:id="1031"/>
      <w:bookmarkEnd w:id="1032"/>
      <w:bookmarkEnd w:id="1033"/>
    </w:p>
    <w:tbl>
      <w:tblPr>
        <w:tblStyle w:val="35"/>
        <w:tblW w:w="9008" w:type="dxa"/>
        <w:jc w:val="center"/>
        <w:tblInd w:w="1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992"/>
        <w:gridCol w:w="2095"/>
        <w:gridCol w:w="1846"/>
        <w:gridCol w:w="2292"/>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15"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r>
              <w:rPr>
                <w:rFonts w:hint="eastAsia" w:ascii="Times New Roman" w:hAnsi="Times New Roman"/>
                <w:bCs/>
                <w:sz w:val="21"/>
                <w:szCs w:val="21"/>
              </w:rPr>
              <w:t>序号</w:t>
            </w:r>
          </w:p>
        </w:tc>
        <w:tc>
          <w:tcPr>
            <w:tcW w:w="992"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r>
              <w:rPr>
                <w:rFonts w:hint="eastAsia" w:ascii="Times New Roman" w:hAnsi="Times New Roman"/>
                <w:bCs/>
                <w:sz w:val="21"/>
                <w:szCs w:val="21"/>
              </w:rPr>
              <w:t>时间</w:t>
            </w:r>
          </w:p>
        </w:tc>
        <w:tc>
          <w:tcPr>
            <w:tcW w:w="209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r>
              <w:rPr>
                <w:rFonts w:hint="eastAsia" w:ascii="Times New Roman" w:hAnsi="Times New Roman"/>
                <w:bCs/>
                <w:sz w:val="21"/>
                <w:szCs w:val="21"/>
              </w:rPr>
              <w:t>事故报告的主要内容</w:t>
            </w:r>
          </w:p>
        </w:tc>
        <w:tc>
          <w:tcPr>
            <w:tcW w:w="1846"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r>
              <w:rPr>
                <w:rFonts w:hint="eastAsia" w:ascii="Times New Roman" w:hAnsi="Times New Roman"/>
                <w:bCs/>
                <w:sz w:val="21"/>
                <w:szCs w:val="21"/>
              </w:rPr>
              <w:t>报告人及联系电话</w:t>
            </w:r>
          </w:p>
        </w:tc>
        <w:tc>
          <w:tcPr>
            <w:tcW w:w="2292"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r>
              <w:rPr>
                <w:rFonts w:hint="eastAsia" w:ascii="Times New Roman" w:hAnsi="Times New Roman"/>
                <w:bCs/>
                <w:sz w:val="21"/>
                <w:szCs w:val="21"/>
              </w:rPr>
              <w:t>接收人姓名及接受地址</w:t>
            </w:r>
          </w:p>
        </w:tc>
        <w:tc>
          <w:tcPr>
            <w:tcW w:w="1168"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r>
              <w:rPr>
                <w:rFonts w:hint="eastAsia" w:ascii="Times New Roman" w:hAnsi="Times New Roman"/>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9" w:hRule="atLeast"/>
          <w:jc w:val="center"/>
        </w:trPr>
        <w:tc>
          <w:tcPr>
            <w:tcW w:w="615"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992"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09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846"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292"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168"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0" w:hRule="atLeast"/>
          <w:jc w:val="center"/>
        </w:trPr>
        <w:tc>
          <w:tcPr>
            <w:tcW w:w="615"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992"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09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846"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292"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168"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9" w:hRule="atLeast"/>
          <w:jc w:val="center"/>
        </w:trPr>
        <w:tc>
          <w:tcPr>
            <w:tcW w:w="615"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992"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09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846"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292"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168"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0" w:hRule="atLeast"/>
          <w:jc w:val="center"/>
        </w:trPr>
        <w:tc>
          <w:tcPr>
            <w:tcW w:w="615"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992"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09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846"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292"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168"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0" w:hRule="atLeast"/>
          <w:jc w:val="center"/>
        </w:trPr>
        <w:tc>
          <w:tcPr>
            <w:tcW w:w="615"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992"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09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846"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292"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168"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9" w:hRule="atLeast"/>
          <w:jc w:val="center"/>
        </w:trPr>
        <w:tc>
          <w:tcPr>
            <w:tcW w:w="615"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992"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09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846"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292"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168"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0" w:hRule="atLeast"/>
          <w:jc w:val="center"/>
        </w:trPr>
        <w:tc>
          <w:tcPr>
            <w:tcW w:w="615"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992"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09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846"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292"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168"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r>
    </w:tbl>
    <w:p>
      <w:pPr>
        <w:pStyle w:val="8"/>
        <w:rPr>
          <w:rFonts w:cs="宋体"/>
        </w:rPr>
      </w:pPr>
      <w:bookmarkStart w:id="1034" w:name="_Toc504989658"/>
      <w:bookmarkEnd w:id="1034"/>
      <w:bookmarkStart w:id="1035" w:name="_Toc23799"/>
    </w:p>
    <w:p>
      <w:pPr>
        <w:pStyle w:val="5"/>
        <w:spacing w:before="0" w:after="0"/>
        <w:rPr>
          <w:rStyle w:val="49"/>
          <w:rFonts w:ascii="Times New Roman" w:hAnsi="Times New Roman" w:cs="宋体"/>
          <w:b/>
          <w:bCs/>
          <w:sz w:val="24"/>
          <w:szCs w:val="24"/>
        </w:rPr>
      </w:pPr>
      <w:r>
        <w:rPr>
          <w:rFonts w:hint="eastAsia" w:eastAsia="宋体" w:cs="宋体"/>
        </w:rPr>
        <w:br w:type="page"/>
      </w:r>
      <w:bookmarkStart w:id="1036" w:name="_Toc26721"/>
      <w:bookmarkStart w:id="1037" w:name="_Toc15598"/>
      <w:bookmarkStart w:id="1038" w:name="_Toc30655"/>
      <w:bookmarkStart w:id="1039" w:name="_Toc18544"/>
      <w:bookmarkStart w:id="1040" w:name="_Toc530594691"/>
      <w:r>
        <w:rPr>
          <w:rStyle w:val="49"/>
          <w:rFonts w:hint="eastAsia" w:ascii="Times New Roman" w:hAnsi="Times New Roman" w:cs="宋体"/>
          <w:b/>
          <w:bCs/>
          <w:sz w:val="24"/>
          <w:szCs w:val="24"/>
        </w:rPr>
        <w:t>附5-3 事件行动记录单</w:t>
      </w:r>
      <w:bookmarkEnd w:id="1035"/>
      <w:bookmarkEnd w:id="1036"/>
      <w:bookmarkEnd w:id="1037"/>
      <w:bookmarkEnd w:id="1038"/>
      <w:bookmarkEnd w:id="1039"/>
      <w:bookmarkEnd w:id="1040"/>
    </w:p>
    <w:p>
      <w:pPr>
        <w:snapToGrid w:val="0"/>
        <w:spacing w:line="520" w:lineRule="exact"/>
        <w:ind w:firstLine="602" w:firstLineChars="200"/>
        <w:jc w:val="center"/>
        <w:rPr>
          <w:rFonts w:cs="宋体"/>
          <w:b/>
          <w:bCs/>
          <w:sz w:val="30"/>
          <w:szCs w:val="30"/>
        </w:rPr>
      </w:pPr>
      <w:r>
        <w:rPr>
          <w:rFonts w:hint="eastAsia" w:cs="宋体"/>
          <w:b/>
          <w:bCs/>
          <w:sz w:val="30"/>
          <w:szCs w:val="30"/>
        </w:rPr>
        <w:t>事件行动记录单</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应急指挥小组组长：        日期：</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（应急行动单位）：</w:t>
      </w:r>
    </w:p>
    <w:tbl>
      <w:tblPr>
        <w:tblStyle w:val="35"/>
        <w:tblW w:w="8835" w:type="dxa"/>
        <w:tblInd w:w="1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521"/>
        <w:gridCol w:w="1226"/>
        <w:gridCol w:w="2933"/>
        <w:gridCol w:w="2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 w:hRule="atLeast"/>
        </w:trPr>
        <w:tc>
          <w:tcPr>
            <w:tcW w:w="834"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事件号</w:t>
            </w:r>
          </w:p>
        </w:tc>
        <w:tc>
          <w:tcPr>
            <w:tcW w:w="1521"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时间</w:t>
            </w:r>
          </w:p>
        </w:tc>
        <w:tc>
          <w:tcPr>
            <w:tcW w:w="1226"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姓名</w:t>
            </w:r>
          </w:p>
        </w:tc>
        <w:tc>
          <w:tcPr>
            <w:tcW w:w="2933"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事件</w:t>
            </w:r>
          </w:p>
        </w:tc>
        <w:tc>
          <w:tcPr>
            <w:tcW w:w="2321"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应急行动措施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3" w:hRule="atLeast"/>
        </w:trPr>
        <w:tc>
          <w:tcPr>
            <w:tcW w:w="834"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1</w:t>
            </w:r>
          </w:p>
        </w:tc>
        <w:tc>
          <w:tcPr>
            <w:tcW w:w="1521"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226"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933"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321"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p>
            <w:pPr>
              <w:pStyle w:val="29"/>
              <w:adjustRightInd w:val="0"/>
              <w:snapToGrid w:val="0"/>
              <w:jc w:val="center"/>
              <w:rPr>
                <w:rFonts w:ascii="Times New Roman" w:hAnsi="Times New Roman"/>
                <w:b/>
                <w:bCs/>
                <w:sz w:val="21"/>
                <w:szCs w:val="21"/>
              </w:rPr>
            </w:pPr>
          </w:p>
          <w:p>
            <w:pPr>
              <w:pStyle w:val="29"/>
              <w:adjustRightInd w:val="0"/>
              <w:snapToGrid w:val="0"/>
              <w:jc w:val="center"/>
              <w:rPr>
                <w:rFonts w:ascii="Times New Roman" w:hAnsi="Times New Roman"/>
                <w:b/>
                <w:bCs/>
                <w:sz w:val="21"/>
                <w:szCs w:val="21"/>
              </w:rPr>
            </w:pPr>
          </w:p>
          <w:p>
            <w:pPr>
              <w:pStyle w:val="29"/>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Borders>
              <w:top w:val="single" w:color="000000" w:sz="6" w:space="0"/>
              <w:left w:val="single" w:color="auto" w:sz="4" w:space="0"/>
              <w:bottom w:val="single" w:color="000000" w:sz="6" w:space="0"/>
              <w:right w:val="single" w:color="000000" w:sz="6"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2</w:t>
            </w:r>
          </w:p>
        </w:tc>
        <w:tc>
          <w:tcPr>
            <w:tcW w:w="1521" w:type="dxa"/>
            <w:tcBorders>
              <w:top w:val="single" w:color="000000" w:sz="6" w:space="0"/>
              <w:left w:val="single" w:color="auto" w:sz="4" w:space="0"/>
              <w:bottom w:val="single" w:color="000000" w:sz="6"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226" w:type="dxa"/>
            <w:tcBorders>
              <w:top w:val="single" w:color="000000" w:sz="6" w:space="0"/>
              <w:left w:val="nil"/>
              <w:bottom w:val="single" w:color="000000" w:sz="6"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933" w:type="dxa"/>
            <w:tcBorders>
              <w:top w:val="single" w:color="000000" w:sz="6" w:space="0"/>
              <w:left w:val="nil"/>
              <w:bottom w:val="single" w:color="000000" w:sz="6"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321" w:type="dxa"/>
            <w:tcBorders>
              <w:top w:val="single" w:color="000000" w:sz="6" w:space="0"/>
              <w:left w:val="nil"/>
              <w:bottom w:val="single" w:color="000000" w:sz="6" w:space="0"/>
              <w:right w:val="single" w:color="auto" w:sz="4" w:space="0"/>
            </w:tcBorders>
            <w:vAlign w:val="center"/>
          </w:tcPr>
          <w:p>
            <w:pPr>
              <w:pStyle w:val="29"/>
              <w:adjustRightInd w:val="0"/>
              <w:snapToGrid w:val="0"/>
              <w:jc w:val="center"/>
              <w:rPr>
                <w:rFonts w:ascii="Times New Roman" w:hAnsi="Times New Roman"/>
                <w:b/>
                <w:bCs/>
                <w:sz w:val="21"/>
                <w:szCs w:val="21"/>
              </w:rPr>
            </w:pPr>
          </w:p>
          <w:p>
            <w:pPr>
              <w:pStyle w:val="29"/>
              <w:adjustRightInd w:val="0"/>
              <w:snapToGrid w:val="0"/>
              <w:jc w:val="center"/>
              <w:rPr>
                <w:rFonts w:ascii="Times New Roman" w:hAnsi="Times New Roman"/>
                <w:b/>
                <w:bCs/>
                <w:sz w:val="21"/>
                <w:szCs w:val="21"/>
              </w:rPr>
            </w:pPr>
          </w:p>
          <w:p>
            <w:pPr>
              <w:pStyle w:val="29"/>
              <w:adjustRightInd w:val="0"/>
              <w:snapToGrid w:val="0"/>
              <w:jc w:val="center"/>
              <w:rPr>
                <w:rFonts w:ascii="Times New Roman" w:hAnsi="Times New Roman"/>
                <w:b/>
                <w:bCs/>
                <w:sz w:val="21"/>
                <w:szCs w:val="21"/>
              </w:rPr>
            </w:pPr>
          </w:p>
          <w:p>
            <w:pPr>
              <w:pStyle w:val="29"/>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Borders>
              <w:top w:val="single" w:color="000000" w:sz="6" w:space="0"/>
              <w:left w:val="single" w:color="auto" w:sz="4" w:space="0"/>
              <w:bottom w:val="single" w:color="000000" w:sz="6" w:space="0"/>
              <w:right w:val="single" w:color="000000" w:sz="6"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3</w:t>
            </w:r>
          </w:p>
        </w:tc>
        <w:tc>
          <w:tcPr>
            <w:tcW w:w="1521" w:type="dxa"/>
            <w:tcBorders>
              <w:top w:val="single" w:color="000000" w:sz="6" w:space="0"/>
              <w:left w:val="single" w:color="auto" w:sz="4" w:space="0"/>
              <w:bottom w:val="single" w:color="000000" w:sz="6"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226" w:type="dxa"/>
            <w:tcBorders>
              <w:top w:val="single" w:color="000000" w:sz="6" w:space="0"/>
              <w:left w:val="nil"/>
              <w:bottom w:val="single" w:color="000000" w:sz="6"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933" w:type="dxa"/>
            <w:tcBorders>
              <w:top w:val="single" w:color="000000" w:sz="6" w:space="0"/>
              <w:left w:val="nil"/>
              <w:bottom w:val="single" w:color="000000" w:sz="6"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321" w:type="dxa"/>
            <w:tcBorders>
              <w:top w:val="single" w:color="000000" w:sz="6" w:space="0"/>
              <w:left w:val="nil"/>
              <w:bottom w:val="single" w:color="000000" w:sz="6" w:space="0"/>
              <w:right w:val="single" w:color="auto" w:sz="4" w:space="0"/>
            </w:tcBorders>
            <w:vAlign w:val="center"/>
          </w:tcPr>
          <w:p>
            <w:pPr>
              <w:pStyle w:val="29"/>
              <w:adjustRightInd w:val="0"/>
              <w:snapToGrid w:val="0"/>
              <w:jc w:val="center"/>
              <w:rPr>
                <w:rFonts w:ascii="Times New Roman" w:hAnsi="Times New Roman"/>
                <w:b/>
                <w:bCs/>
                <w:sz w:val="21"/>
                <w:szCs w:val="21"/>
              </w:rPr>
            </w:pPr>
          </w:p>
          <w:p>
            <w:pPr>
              <w:pStyle w:val="29"/>
              <w:adjustRightInd w:val="0"/>
              <w:snapToGrid w:val="0"/>
              <w:jc w:val="center"/>
              <w:rPr>
                <w:rFonts w:ascii="Times New Roman" w:hAnsi="Times New Roman"/>
                <w:b/>
                <w:bCs/>
                <w:sz w:val="21"/>
                <w:szCs w:val="21"/>
              </w:rPr>
            </w:pPr>
          </w:p>
          <w:p>
            <w:pPr>
              <w:pStyle w:val="29"/>
              <w:adjustRightInd w:val="0"/>
              <w:snapToGrid w:val="0"/>
              <w:jc w:val="center"/>
              <w:rPr>
                <w:rFonts w:ascii="Times New Roman" w:hAnsi="Times New Roman"/>
                <w:b/>
                <w:bCs/>
                <w:sz w:val="21"/>
                <w:szCs w:val="21"/>
              </w:rPr>
            </w:pPr>
          </w:p>
          <w:p>
            <w:pPr>
              <w:pStyle w:val="29"/>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Borders>
              <w:top w:val="single" w:color="000000" w:sz="6" w:space="0"/>
              <w:left w:val="single" w:color="auto" w:sz="4" w:space="0"/>
              <w:bottom w:val="single" w:color="auto" w:sz="4" w:space="0"/>
              <w:right w:val="single" w:color="000000" w:sz="6"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4</w:t>
            </w:r>
          </w:p>
        </w:tc>
        <w:tc>
          <w:tcPr>
            <w:tcW w:w="1521" w:type="dxa"/>
            <w:tcBorders>
              <w:top w:val="single" w:color="000000" w:sz="6"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226" w:type="dxa"/>
            <w:tcBorders>
              <w:top w:val="single" w:color="000000" w:sz="6"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933" w:type="dxa"/>
            <w:tcBorders>
              <w:top w:val="single" w:color="000000" w:sz="6"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321" w:type="dxa"/>
            <w:tcBorders>
              <w:top w:val="single" w:color="000000" w:sz="6"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p>
            <w:pPr>
              <w:pStyle w:val="29"/>
              <w:adjustRightInd w:val="0"/>
              <w:snapToGrid w:val="0"/>
              <w:jc w:val="center"/>
              <w:rPr>
                <w:rFonts w:ascii="Times New Roman" w:hAnsi="Times New Roman"/>
                <w:b/>
                <w:bCs/>
                <w:sz w:val="21"/>
                <w:szCs w:val="21"/>
              </w:rPr>
            </w:pPr>
          </w:p>
          <w:p>
            <w:pPr>
              <w:pStyle w:val="29"/>
              <w:adjustRightInd w:val="0"/>
              <w:snapToGrid w:val="0"/>
              <w:jc w:val="center"/>
              <w:rPr>
                <w:rFonts w:ascii="Times New Roman" w:hAnsi="Times New Roman"/>
                <w:b/>
                <w:bCs/>
                <w:sz w:val="21"/>
                <w:szCs w:val="21"/>
              </w:rPr>
            </w:pPr>
          </w:p>
          <w:p>
            <w:pPr>
              <w:pStyle w:val="29"/>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7" w:hRule="atLeast"/>
        </w:trPr>
        <w:tc>
          <w:tcPr>
            <w:tcW w:w="834" w:type="dxa"/>
            <w:tcBorders>
              <w:top w:val="single" w:color="000000" w:sz="6" w:space="0"/>
              <w:left w:val="single" w:color="auto" w:sz="4" w:space="0"/>
              <w:bottom w:val="single" w:color="auto" w:sz="4" w:space="0"/>
              <w:right w:val="single" w:color="000000" w:sz="6"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5</w:t>
            </w:r>
          </w:p>
        </w:tc>
        <w:tc>
          <w:tcPr>
            <w:tcW w:w="1521" w:type="dxa"/>
            <w:tcBorders>
              <w:top w:val="single" w:color="000000" w:sz="6"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226" w:type="dxa"/>
            <w:tcBorders>
              <w:top w:val="single" w:color="000000" w:sz="6"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933" w:type="dxa"/>
            <w:tcBorders>
              <w:top w:val="single" w:color="000000" w:sz="6"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321" w:type="dxa"/>
            <w:tcBorders>
              <w:top w:val="single" w:color="000000" w:sz="6" w:space="0"/>
              <w:left w:val="nil"/>
              <w:bottom w:val="single" w:color="auto" w:sz="4" w:space="0"/>
              <w:right w:val="single" w:color="auto" w:sz="4" w:space="0"/>
            </w:tcBorders>
            <w:vAlign w:val="center"/>
          </w:tcPr>
          <w:p>
            <w:pPr>
              <w:pStyle w:val="29"/>
              <w:adjustRightInd w:val="0"/>
              <w:snapToGrid w:val="0"/>
              <w:jc w:val="both"/>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5" w:hRule="atLeast"/>
        </w:trPr>
        <w:tc>
          <w:tcPr>
            <w:tcW w:w="834" w:type="dxa"/>
            <w:tcBorders>
              <w:top w:val="single" w:color="000000" w:sz="6" w:space="0"/>
              <w:left w:val="single" w:color="auto" w:sz="4" w:space="0"/>
              <w:bottom w:val="single" w:color="auto" w:sz="4" w:space="0"/>
              <w:right w:val="single" w:color="000000" w:sz="6"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6</w:t>
            </w:r>
          </w:p>
        </w:tc>
        <w:tc>
          <w:tcPr>
            <w:tcW w:w="1521" w:type="dxa"/>
            <w:tcBorders>
              <w:top w:val="single" w:color="000000" w:sz="6"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226" w:type="dxa"/>
            <w:tcBorders>
              <w:top w:val="single" w:color="000000" w:sz="6"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933" w:type="dxa"/>
            <w:tcBorders>
              <w:top w:val="single" w:color="000000" w:sz="6"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321" w:type="dxa"/>
            <w:tcBorders>
              <w:top w:val="single" w:color="000000" w:sz="6"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r>
    </w:tbl>
    <w:p>
      <w:pPr>
        <w:pStyle w:val="5"/>
        <w:spacing w:before="0" w:after="0"/>
        <w:rPr>
          <w:rStyle w:val="49"/>
          <w:rFonts w:ascii="Times New Roman" w:hAnsi="Times New Roman" w:cs="宋体"/>
          <w:b/>
          <w:bCs/>
          <w:sz w:val="24"/>
          <w:szCs w:val="24"/>
        </w:rPr>
      </w:pPr>
      <w:bookmarkStart w:id="1041" w:name="_Toc19319"/>
      <w:bookmarkEnd w:id="1041"/>
      <w:bookmarkStart w:id="1042" w:name="_Toc504989659"/>
      <w:r>
        <w:rPr>
          <w:rStyle w:val="49"/>
          <w:rFonts w:hint="eastAsia" w:ascii="Times New Roman" w:hAnsi="Times New Roman" w:cs="宋体"/>
          <w:b/>
          <w:bCs/>
          <w:sz w:val="24"/>
          <w:szCs w:val="24"/>
        </w:rPr>
        <w:br w:type="page"/>
      </w:r>
      <w:bookmarkStart w:id="1043" w:name="_Toc6606"/>
      <w:bookmarkStart w:id="1044" w:name="_Toc19295"/>
      <w:bookmarkStart w:id="1045" w:name="_Toc2794"/>
      <w:bookmarkStart w:id="1046" w:name="_Toc17637"/>
      <w:bookmarkStart w:id="1047" w:name="_Toc530594692"/>
      <w:r>
        <w:rPr>
          <w:rStyle w:val="49"/>
          <w:rFonts w:hint="eastAsia" w:ascii="Times New Roman" w:hAnsi="Times New Roman" w:cs="宋体"/>
          <w:b/>
          <w:bCs/>
          <w:sz w:val="24"/>
          <w:szCs w:val="24"/>
        </w:rPr>
        <w:t>附5-4 信息处理登记表</w:t>
      </w:r>
      <w:bookmarkEnd w:id="1042"/>
      <w:bookmarkEnd w:id="1043"/>
      <w:bookmarkEnd w:id="1044"/>
      <w:bookmarkEnd w:id="1045"/>
      <w:bookmarkEnd w:id="1046"/>
      <w:bookmarkEnd w:id="1047"/>
    </w:p>
    <w:tbl>
      <w:tblPr>
        <w:tblStyle w:val="35"/>
        <w:tblW w:w="9030" w:type="dxa"/>
        <w:jc w:val="center"/>
        <w:tblInd w:w="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1217"/>
        <w:gridCol w:w="1494"/>
        <w:gridCol w:w="1629"/>
        <w:gridCol w:w="1670"/>
        <w:gridCol w:w="1191"/>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序号</w:t>
            </w:r>
          </w:p>
        </w:tc>
        <w:tc>
          <w:tcPr>
            <w:tcW w:w="1217"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时间</w:t>
            </w:r>
          </w:p>
        </w:tc>
        <w:tc>
          <w:tcPr>
            <w:tcW w:w="1494"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信息情况</w:t>
            </w:r>
          </w:p>
        </w:tc>
        <w:tc>
          <w:tcPr>
            <w:tcW w:w="1629"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处理意见</w:t>
            </w:r>
          </w:p>
        </w:tc>
        <w:tc>
          <w:tcPr>
            <w:tcW w:w="1670"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落实责任人</w:t>
            </w:r>
          </w:p>
        </w:tc>
        <w:tc>
          <w:tcPr>
            <w:tcW w:w="1191"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签发人</w:t>
            </w:r>
          </w:p>
        </w:tc>
        <w:tc>
          <w:tcPr>
            <w:tcW w:w="126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处理结果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9"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217"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494"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629"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670"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191"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26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0"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217"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494"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629"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670"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191"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26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9"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217"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494"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629"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670"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191"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26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0"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217"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494"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629"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670"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191"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26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0"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217"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494"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629"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670"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191"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26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9"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217"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494"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629"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670"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191"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26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0"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217"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494"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629"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670"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191"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26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9"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217"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494"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629"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670"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191"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26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0"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217"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494"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629"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670"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191"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26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r>
    </w:tbl>
    <w:p>
      <w:pPr>
        <w:pStyle w:val="8"/>
        <w:ind w:firstLine="0" w:firstLineChars="0"/>
        <w:rPr>
          <w:rFonts w:cs="宋体"/>
        </w:rPr>
      </w:pPr>
    </w:p>
    <w:p>
      <w:pPr>
        <w:pStyle w:val="5"/>
        <w:spacing w:before="0" w:after="0"/>
        <w:rPr>
          <w:rStyle w:val="49"/>
          <w:rFonts w:ascii="Times New Roman" w:hAnsi="Times New Roman" w:cs="宋体"/>
          <w:b/>
          <w:bCs/>
          <w:sz w:val="24"/>
          <w:szCs w:val="24"/>
        </w:rPr>
      </w:pPr>
      <w:bookmarkStart w:id="1048" w:name="_Toc504989660"/>
      <w:bookmarkEnd w:id="1048"/>
      <w:bookmarkStart w:id="1049" w:name="_Toc28051"/>
      <w:r>
        <w:rPr>
          <w:rStyle w:val="49"/>
          <w:rFonts w:hint="eastAsia" w:ascii="Times New Roman" w:hAnsi="Times New Roman" w:cs="宋体"/>
          <w:b/>
          <w:bCs/>
          <w:sz w:val="24"/>
          <w:szCs w:val="24"/>
        </w:rPr>
        <w:br w:type="page"/>
      </w:r>
      <w:bookmarkStart w:id="1050" w:name="_Toc530594693"/>
      <w:bookmarkStart w:id="1051" w:name="_Toc21799"/>
      <w:bookmarkStart w:id="1052" w:name="_Toc18945"/>
      <w:bookmarkStart w:id="1053" w:name="_Toc22035"/>
      <w:bookmarkStart w:id="1054" w:name="_Toc14299"/>
      <w:r>
        <w:rPr>
          <w:rStyle w:val="49"/>
          <w:rFonts w:hint="eastAsia" w:ascii="Times New Roman" w:hAnsi="Times New Roman" w:cs="宋体"/>
          <w:b/>
          <w:bCs/>
          <w:sz w:val="24"/>
          <w:szCs w:val="24"/>
        </w:rPr>
        <w:t>附5-5 事故上报表</w:t>
      </w:r>
      <w:bookmarkEnd w:id="1049"/>
      <w:bookmarkEnd w:id="1050"/>
      <w:bookmarkEnd w:id="1051"/>
      <w:bookmarkEnd w:id="1052"/>
      <w:bookmarkEnd w:id="1053"/>
      <w:bookmarkEnd w:id="1054"/>
    </w:p>
    <w:tbl>
      <w:tblPr>
        <w:tblStyle w:val="35"/>
        <w:tblW w:w="9030" w:type="dxa"/>
        <w:jc w:val="center"/>
        <w:tblInd w:w="1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2914"/>
        <w:gridCol w:w="1582"/>
        <w:gridCol w:w="3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r>
              <w:rPr>
                <w:rFonts w:hint="eastAsia" w:ascii="Times New Roman" w:hAnsi="Times New Roman"/>
                <w:bCs/>
                <w:sz w:val="21"/>
                <w:szCs w:val="21"/>
              </w:rPr>
              <w:t>报告单位</w:t>
            </w:r>
          </w:p>
        </w:tc>
        <w:tc>
          <w:tcPr>
            <w:tcW w:w="2914"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p>
        </w:tc>
        <w:tc>
          <w:tcPr>
            <w:tcW w:w="1582"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r>
              <w:rPr>
                <w:rFonts w:hint="eastAsia" w:ascii="Times New Roman" w:hAnsi="Times New Roman"/>
                <w:bCs/>
                <w:sz w:val="21"/>
                <w:szCs w:val="21"/>
              </w:rPr>
              <w:t>地理位置</w:t>
            </w:r>
          </w:p>
        </w:tc>
        <w:tc>
          <w:tcPr>
            <w:tcW w:w="3184"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r>
              <w:rPr>
                <w:rFonts w:hint="eastAsia" w:ascii="Times New Roman" w:hAnsi="Times New Roman"/>
                <w:bCs/>
                <w:sz w:val="21"/>
                <w:szCs w:val="21"/>
              </w:rPr>
              <w:t>报告人</w:t>
            </w:r>
          </w:p>
        </w:tc>
        <w:tc>
          <w:tcPr>
            <w:tcW w:w="2914"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p>
        </w:tc>
        <w:tc>
          <w:tcPr>
            <w:tcW w:w="1582"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r>
              <w:rPr>
                <w:rFonts w:hint="eastAsia" w:ascii="Times New Roman" w:hAnsi="Times New Roman"/>
                <w:bCs/>
                <w:sz w:val="21"/>
                <w:szCs w:val="21"/>
              </w:rPr>
              <w:t>职务</w:t>
            </w:r>
          </w:p>
        </w:tc>
        <w:tc>
          <w:tcPr>
            <w:tcW w:w="3184"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r>
              <w:rPr>
                <w:rFonts w:hint="eastAsia" w:ascii="Times New Roman" w:hAnsi="Times New Roman"/>
                <w:bCs/>
                <w:sz w:val="21"/>
                <w:szCs w:val="21"/>
              </w:rPr>
              <w:t>联系电话</w:t>
            </w:r>
          </w:p>
        </w:tc>
        <w:tc>
          <w:tcPr>
            <w:tcW w:w="2914"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p>
        </w:tc>
        <w:tc>
          <w:tcPr>
            <w:tcW w:w="1582"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r>
              <w:rPr>
                <w:rFonts w:hint="eastAsia" w:ascii="Times New Roman" w:hAnsi="Times New Roman"/>
                <w:bCs/>
                <w:sz w:val="21"/>
                <w:szCs w:val="21"/>
              </w:rPr>
              <w:t>报告时间</w:t>
            </w:r>
          </w:p>
        </w:tc>
        <w:tc>
          <w:tcPr>
            <w:tcW w:w="3184"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r>
              <w:rPr>
                <w:rFonts w:hint="eastAsia" w:ascii="Times New Roman" w:hAnsi="Times New Roman"/>
                <w:bCs/>
                <w:sz w:val="21"/>
                <w:szCs w:val="21"/>
              </w:rPr>
              <w:t>事故类型</w:t>
            </w:r>
          </w:p>
        </w:tc>
        <w:tc>
          <w:tcPr>
            <w:tcW w:w="2914"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p>
        </w:tc>
        <w:tc>
          <w:tcPr>
            <w:tcW w:w="1582"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r>
              <w:rPr>
                <w:rFonts w:hint="eastAsia" w:ascii="Times New Roman" w:hAnsi="Times New Roman"/>
                <w:bCs/>
                <w:sz w:val="21"/>
                <w:szCs w:val="21"/>
              </w:rPr>
              <w:t>事故位置</w:t>
            </w:r>
          </w:p>
        </w:tc>
        <w:tc>
          <w:tcPr>
            <w:tcW w:w="3184"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r>
              <w:rPr>
                <w:rFonts w:hint="eastAsia" w:ascii="Times New Roman" w:hAnsi="Times New Roman"/>
                <w:bCs/>
                <w:sz w:val="21"/>
                <w:szCs w:val="21"/>
              </w:rPr>
              <w:t>死亡人数</w:t>
            </w:r>
          </w:p>
        </w:tc>
        <w:tc>
          <w:tcPr>
            <w:tcW w:w="2914"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p>
        </w:tc>
        <w:tc>
          <w:tcPr>
            <w:tcW w:w="1582"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r>
              <w:rPr>
                <w:rFonts w:hint="eastAsia" w:ascii="Times New Roman" w:hAnsi="Times New Roman"/>
                <w:bCs/>
                <w:sz w:val="21"/>
                <w:szCs w:val="21"/>
              </w:rPr>
              <w:t>受伤人数</w:t>
            </w:r>
          </w:p>
        </w:tc>
        <w:tc>
          <w:tcPr>
            <w:tcW w:w="3184"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3"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r>
              <w:rPr>
                <w:rFonts w:hint="eastAsia" w:ascii="Times New Roman" w:hAnsi="Times New Roman"/>
                <w:bCs/>
                <w:sz w:val="21"/>
                <w:szCs w:val="21"/>
              </w:rPr>
              <w:t>事故简要情况</w:t>
            </w:r>
          </w:p>
        </w:tc>
        <w:tc>
          <w:tcPr>
            <w:tcW w:w="7680" w:type="dxa"/>
            <w:gridSpan w:val="3"/>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p>
          <w:p>
            <w:pPr>
              <w:pStyle w:val="29"/>
              <w:adjustRightInd w:val="0"/>
              <w:snapToGrid w:val="0"/>
              <w:jc w:val="both"/>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3"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r>
              <w:rPr>
                <w:rFonts w:hint="eastAsia" w:ascii="Times New Roman" w:hAnsi="Times New Roman"/>
                <w:bCs/>
                <w:sz w:val="21"/>
                <w:szCs w:val="21"/>
              </w:rPr>
              <w:t>事故原因初步分析</w:t>
            </w:r>
          </w:p>
        </w:tc>
        <w:tc>
          <w:tcPr>
            <w:tcW w:w="7680" w:type="dxa"/>
            <w:gridSpan w:val="3"/>
            <w:tcBorders>
              <w:top w:val="single" w:color="auto" w:sz="4" w:space="0"/>
              <w:left w:val="nil"/>
              <w:bottom w:val="single" w:color="auto" w:sz="4" w:space="0"/>
              <w:right w:val="single" w:color="auto" w:sz="4" w:space="0"/>
            </w:tcBorders>
            <w:vAlign w:val="center"/>
          </w:tcPr>
          <w:p>
            <w:pPr>
              <w:pStyle w:val="29"/>
              <w:adjustRightInd w:val="0"/>
              <w:snapToGrid w:val="0"/>
              <w:jc w:val="both"/>
              <w:rPr>
                <w:rFonts w:ascii="Times New Roman" w:hAnsi="Times New Roman"/>
                <w:bCs/>
                <w:sz w:val="21"/>
                <w:szCs w:val="21"/>
              </w:rPr>
            </w:pPr>
          </w:p>
          <w:p>
            <w:pPr>
              <w:pStyle w:val="29"/>
              <w:adjustRightInd w:val="0"/>
              <w:snapToGrid w:val="0"/>
              <w:jc w:val="center"/>
              <w:rPr>
                <w:rFonts w:ascii="Times New Roman" w:hAnsi="Times New Roman"/>
                <w:bCs/>
                <w:sz w:val="21"/>
                <w:szCs w:val="21"/>
              </w:rPr>
            </w:pPr>
          </w:p>
          <w:p>
            <w:pPr>
              <w:pStyle w:val="29"/>
              <w:adjustRightInd w:val="0"/>
              <w:snapToGrid w:val="0"/>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3"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r>
              <w:rPr>
                <w:rFonts w:hint="eastAsia" w:ascii="Times New Roman" w:hAnsi="Times New Roman"/>
                <w:bCs/>
                <w:sz w:val="21"/>
                <w:szCs w:val="21"/>
              </w:rPr>
              <w:t>事故状况</w:t>
            </w:r>
          </w:p>
        </w:tc>
        <w:tc>
          <w:tcPr>
            <w:tcW w:w="7680" w:type="dxa"/>
            <w:gridSpan w:val="3"/>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p>
          <w:p>
            <w:pPr>
              <w:pStyle w:val="29"/>
              <w:adjustRightInd w:val="0"/>
              <w:snapToGrid w:val="0"/>
              <w:jc w:val="center"/>
              <w:rPr>
                <w:rFonts w:ascii="Times New Roman" w:hAnsi="Times New Roman"/>
                <w:bCs/>
                <w:sz w:val="21"/>
                <w:szCs w:val="21"/>
              </w:rPr>
            </w:pPr>
          </w:p>
          <w:p>
            <w:pPr>
              <w:pStyle w:val="29"/>
              <w:adjustRightInd w:val="0"/>
              <w:snapToGrid w:val="0"/>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3"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r>
              <w:rPr>
                <w:rFonts w:hint="eastAsia" w:ascii="Times New Roman" w:hAnsi="Times New Roman"/>
                <w:bCs/>
                <w:sz w:val="21"/>
                <w:szCs w:val="21"/>
              </w:rPr>
              <w:t>处理方式</w:t>
            </w:r>
          </w:p>
        </w:tc>
        <w:tc>
          <w:tcPr>
            <w:tcW w:w="7680" w:type="dxa"/>
            <w:gridSpan w:val="3"/>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p>
          <w:p>
            <w:pPr>
              <w:pStyle w:val="29"/>
              <w:adjustRightInd w:val="0"/>
              <w:snapToGrid w:val="0"/>
              <w:jc w:val="both"/>
              <w:rPr>
                <w:rFonts w:ascii="Times New Roman" w:hAnsi="Times New Roman"/>
                <w:bCs/>
                <w:sz w:val="21"/>
                <w:szCs w:val="21"/>
              </w:rPr>
            </w:pPr>
          </w:p>
          <w:p>
            <w:pPr>
              <w:pStyle w:val="29"/>
              <w:adjustRightInd w:val="0"/>
              <w:snapToGrid w:val="0"/>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8"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r>
              <w:rPr>
                <w:rFonts w:hint="eastAsia" w:ascii="Times New Roman" w:hAnsi="Times New Roman"/>
                <w:bCs/>
                <w:sz w:val="21"/>
                <w:szCs w:val="21"/>
              </w:rPr>
              <w:t>处理结果</w:t>
            </w:r>
          </w:p>
        </w:tc>
        <w:tc>
          <w:tcPr>
            <w:tcW w:w="7680" w:type="dxa"/>
            <w:gridSpan w:val="3"/>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p>
          <w:p>
            <w:pPr>
              <w:pStyle w:val="29"/>
              <w:adjustRightInd w:val="0"/>
              <w:snapToGrid w:val="0"/>
              <w:jc w:val="both"/>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8"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r>
              <w:rPr>
                <w:rFonts w:hint="eastAsia" w:ascii="Times New Roman" w:hAnsi="Times New Roman"/>
                <w:bCs/>
                <w:sz w:val="21"/>
                <w:szCs w:val="21"/>
              </w:rPr>
              <w:t>相关建议</w:t>
            </w:r>
          </w:p>
        </w:tc>
        <w:tc>
          <w:tcPr>
            <w:tcW w:w="7680" w:type="dxa"/>
            <w:gridSpan w:val="3"/>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p>
          <w:p>
            <w:pPr>
              <w:pStyle w:val="29"/>
              <w:adjustRightInd w:val="0"/>
              <w:snapToGrid w:val="0"/>
              <w:jc w:val="center"/>
              <w:rPr>
                <w:rFonts w:ascii="Times New Roman" w:hAnsi="Times New Roman"/>
                <w:bCs/>
                <w:sz w:val="21"/>
                <w:szCs w:val="21"/>
              </w:rPr>
            </w:pPr>
          </w:p>
          <w:p>
            <w:pPr>
              <w:pStyle w:val="29"/>
              <w:adjustRightInd w:val="0"/>
              <w:snapToGrid w:val="0"/>
              <w:jc w:val="center"/>
              <w:rPr>
                <w:rFonts w:ascii="Times New Roman" w:hAnsi="Times New Roman"/>
                <w:bCs/>
                <w:sz w:val="21"/>
                <w:szCs w:val="21"/>
              </w:rPr>
            </w:pPr>
          </w:p>
          <w:p>
            <w:pPr>
              <w:pStyle w:val="29"/>
              <w:adjustRightInd w:val="0"/>
              <w:snapToGrid w:val="0"/>
              <w:jc w:val="center"/>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8"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r>
              <w:rPr>
                <w:rFonts w:hint="eastAsia" w:ascii="Times New Roman" w:hAnsi="Times New Roman"/>
                <w:bCs/>
                <w:sz w:val="21"/>
                <w:szCs w:val="21"/>
              </w:rPr>
              <w:t>备注</w:t>
            </w:r>
          </w:p>
        </w:tc>
        <w:tc>
          <w:tcPr>
            <w:tcW w:w="7680" w:type="dxa"/>
            <w:gridSpan w:val="3"/>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Cs/>
                <w:sz w:val="21"/>
                <w:szCs w:val="21"/>
              </w:rPr>
            </w:pPr>
          </w:p>
          <w:p>
            <w:pPr>
              <w:pStyle w:val="29"/>
              <w:adjustRightInd w:val="0"/>
              <w:snapToGrid w:val="0"/>
              <w:jc w:val="center"/>
              <w:rPr>
                <w:rFonts w:ascii="Times New Roman" w:hAnsi="Times New Roman"/>
                <w:bCs/>
                <w:sz w:val="21"/>
                <w:szCs w:val="21"/>
              </w:rPr>
            </w:pPr>
          </w:p>
        </w:tc>
      </w:tr>
    </w:tbl>
    <w:p>
      <w:pPr>
        <w:rPr>
          <w:rFonts w:cs="宋体"/>
        </w:rPr>
      </w:pPr>
    </w:p>
    <w:p>
      <w:pPr>
        <w:pStyle w:val="5"/>
        <w:spacing w:before="0" w:after="0"/>
        <w:rPr>
          <w:rStyle w:val="49"/>
          <w:rFonts w:ascii="Times New Roman" w:hAnsi="Times New Roman" w:cs="宋体"/>
          <w:b/>
          <w:bCs/>
          <w:sz w:val="24"/>
          <w:szCs w:val="24"/>
        </w:rPr>
      </w:pPr>
      <w:bookmarkStart w:id="1055" w:name="_Toc18585"/>
      <w:bookmarkEnd w:id="1055"/>
      <w:bookmarkStart w:id="1056" w:name="_Toc504989661"/>
      <w:r>
        <w:rPr>
          <w:rStyle w:val="49"/>
          <w:rFonts w:hint="eastAsia" w:ascii="Times New Roman" w:hAnsi="Times New Roman" w:cs="宋体"/>
          <w:b/>
          <w:bCs/>
          <w:sz w:val="24"/>
          <w:szCs w:val="24"/>
        </w:rPr>
        <w:br w:type="page"/>
      </w:r>
      <w:bookmarkStart w:id="1057" w:name="_Toc29868"/>
      <w:bookmarkStart w:id="1058" w:name="_Toc19307"/>
      <w:bookmarkStart w:id="1059" w:name="_Toc30852"/>
      <w:bookmarkStart w:id="1060" w:name="_Toc16368"/>
      <w:bookmarkStart w:id="1061" w:name="_Toc530594694"/>
      <w:r>
        <w:rPr>
          <w:rStyle w:val="49"/>
          <w:rFonts w:hint="eastAsia" w:ascii="Times New Roman" w:hAnsi="Times New Roman" w:cs="宋体"/>
          <w:b/>
          <w:bCs/>
          <w:sz w:val="24"/>
          <w:szCs w:val="24"/>
        </w:rPr>
        <w:t>附5-6 信息上报登记表</w:t>
      </w:r>
      <w:bookmarkEnd w:id="1056"/>
      <w:bookmarkEnd w:id="1057"/>
      <w:bookmarkEnd w:id="1058"/>
      <w:bookmarkEnd w:id="1059"/>
      <w:bookmarkEnd w:id="1060"/>
      <w:bookmarkEnd w:id="1061"/>
    </w:p>
    <w:tbl>
      <w:tblPr>
        <w:tblStyle w:val="35"/>
        <w:tblW w:w="9015" w:type="dxa"/>
        <w:jc w:val="center"/>
        <w:tblInd w:w="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24"/>
        <w:gridCol w:w="1540"/>
        <w:gridCol w:w="1085"/>
        <w:gridCol w:w="1395"/>
        <w:gridCol w:w="1575"/>
        <w:gridCol w:w="1146"/>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序号</w:t>
            </w:r>
          </w:p>
        </w:tc>
        <w:tc>
          <w:tcPr>
            <w:tcW w:w="924"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时间</w:t>
            </w:r>
          </w:p>
        </w:tc>
        <w:tc>
          <w:tcPr>
            <w:tcW w:w="1540"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报告名称及信息摘要</w:t>
            </w:r>
          </w:p>
        </w:tc>
        <w:tc>
          <w:tcPr>
            <w:tcW w:w="108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上报部门</w:t>
            </w:r>
          </w:p>
        </w:tc>
        <w:tc>
          <w:tcPr>
            <w:tcW w:w="139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信息上报</w:t>
            </w:r>
          </w:p>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方式</w:t>
            </w:r>
          </w:p>
        </w:tc>
        <w:tc>
          <w:tcPr>
            <w:tcW w:w="157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信息上报</w:t>
            </w:r>
          </w:p>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经办人</w:t>
            </w:r>
          </w:p>
        </w:tc>
        <w:tc>
          <w:tcPr>
            <w:tcW w:w="1146"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接报人</w:t>
            </w:r>
          </w:p>
        </w:tc>
        <w:tc>
          <w:tcPr>
            <w:tcW w:w="67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pStyle w:val="29"/>
              <w:adjustRightInd w:val="0"/>
              <w:spacing w:before="156" w:beforeAutospacing="0"/>
              <w:jc w:val="center"/>
              <w:rPr>
                <w:rFonts w:ascii="Times New Roman" w:hAnsi="Times New Roman"/>
                <w:sz w:val="28"/>
                <w:szCs w:val="28"/>
              </w:rPr>
            </w:pPr>
          </w:p>
        </w:tc>
        <w:tc>
          <w:tcPr>
            <w:tcW w:w="924" w:type="dxa"/>
            <w:tcBorders>
              <w:top w:val="single" w:color="auto" w:sz="4" w:space="0"/>
              <w:left w:val="nil"/>
              <w:bottom w:val="single" w:color="auto" w:sz="4" w:space="0"/>
              <w:right w:val="single" w:color="auto" w:sz="4" w:space="0"/>
            </w:tcBorders>
            <w:vAlign w:val="center"/>
          </w:tcPr>
          <w:p>
            <w:pPr>
              <w:pStyle w:val="29"/>
              <w:adjustRightInd w:val="0"/>
              <w:spacing w:before="156" w:beforeAutospacing="0"/>
              <w:jc w:val="center"/>
              <w:rPr>
                <w:rFonts w:ascii="Times New Roman" w:hAnsi="Times New Roman"/>
                <w:sz w:val="28"/>
                <w:szCs w:val="28"/>
              </w:rPr>
            </w:pPr>
          </w:p>
        </w:tc>
        <w:tc>
          <w:tcPr>
            <w:tcW w:w="1540" w:type="dxa"/>
            <w:tcBorders>
              <w:top w:val="single" w:color="auto" w:sz="4" w:space="0"/>
              <w:left w:val="nil"/>
              <w:bottom w:val="single" w:color="auto" w:sz="4" w:space="0"/>
              <w:right w:val="single" w:color="auto" w:sz="4" w:space="0"/>
            </w:tcBorders>
            <w:vAlign w:val="center"/>
          </w:tcPr>
          <w:p>
            <w:pPr>
              <w:pStyle w:val="29"/>
              <w:adjustRightInd w:val="0"/>
              <w:spacing w:before="156" w:beforeAutospacing="0"/>
              <w:jc w:val="center"/>
              <w:rPr>
                <w:rFonts w:ascii="Times New Roman" w:hAnsi="Times New Roman"/>
                <w:sz w:val="28"/>
                <w:szCs w:val="28"/>
              </w:rPr>
            </w:pPr>
          </w:p>
        </w:tc>
        <w:tc>
          <w:tcPr>
            <w:tcW w:w="1085" w:type="dxa"/>
            <w:tcBorders>
              <w:top w:val="single" w:color="auto" w:sz="4" w:space="0"/>
              <w:left w:val="nil"/>
              <w:bottom w:val="single" w:color="auto" w:sz="4" w:space="0"/>
              <w:right w:val="single" w:color="auto" w:sz="4" w:space="0"/>
            </w:tcBorders>
            <w:vAlign w:val="center"/>
          </w:tcPr>
          <w:p>
            <w:pPr>
              <w:pStyle w:val="29"/>
              <w:adjustRightInd w:val="0"/>
              <w:spacing w:before="156" w:beforeAutospacing="0"/>
              <w:jc w:val="center"/>
              <w:rPr>
                <w:rFonts w:ascii="Times New Roman" w:hAnsi="Times New Roman"/>
                <w:sz w:val="28"/>
                <w:szCs w:val="28"/>
              </w:rPr>
            </w:pPr>
          </w:p>
        </w:tc>
        <w:tc>
          <w:tcPr>
            <w:tcW w:w="1395" w:type="dxa"/>
            <w:tcBorders>
              <w:top w:val="single" w:color="auto" w:sz="4" w:space="0"/>
              <w:left w:val="nil"/>
              <w:bottom w:val="single" w:color="auto" w:sz="4" w:space="0"/>
              <w:right w:val="single" w:color="auto" w:sz="4" w:space="0"/>
            </w:tcBorders>
            <w:vAlign w:val="center"/>
          </w:tcPr>
          <w:p>
            <w:pPr>
              <w:pStyle w:val="29"/>
              <w:adjustRightInd w:val="0"/>
              <w:spacing w:before="156" w:beforeAutospacing="0"/>
              <w:jc w:val="center"/>
              <w:rPr>
                <w:rFonts w:ascii="Times New Roman" w:hAnsi="Times New Roman"/>
                <w:sz w:val="28"/>
                <w:szCs w:val="28"/>
              </w:rPr>
            </w:pPr>
          </w:p>
        </w:tc>
        <w:tc>
          <w:tcPr>
            <w:tcW w:w="1575" w:type="dxa"/>
            <w:tcBorders>
              <w:top w:val="single" w:color="auto" w:sz="4" w:space="0"/>
              <w:left w:val="nil"/>
              <w:bottom w:val="single" w:color="auto" w:sz="4" w:space="0"/>
              <w:right w:val="single" w:color="auto" w:sz="4" w:space="0"/>
            </w:tcBorders>
            <w:vAlign w:val="center"/>
          </w:tcPr>
          <w:p>
            <w:pPr>
              <w:pStyle w:val="29"/>
              <w:adjustRightInd w:val="0"/>
              <w:spacing w:before="156" w:beforeAutospacing="0"/>
              <w:jc w:val="center"/>
              <w:rPr>
                <w:rFonts w:ascii="Times New Roman" w:hAnsi="Times New Roman"/>
                <w:sz w:val="28"/>
                <w:szCs w:val="28"/>
              </w:rPr>
            </w:pPr>
          </w:p>
        </w:tc>
        <w:tc>
          <w:tcPr>
            <w:tcW w:w="1146" w:type="dxa"/>
            <w:tcBorders>
              <w:top w:val="single" w:color="auto" w:sz="4" w:space="0"/>
              <w:left w:val="nil"/>
              <w:bottom w:val="single" w:color="auto" w:sz="4" w:space="0"/>
              <w:right w:val="single" w:color="auto" w:sz="4" w:space="0"/>
            </w:tcBorders>
            <w:vAlign w:val="center"/>
          </w:tcPr>
          <w:p>
            <w:pPr>
              <w:pStyle w:val="29"/>
              <w:adjustRightInd w:val="0"/>
              <w:spacing w:before="156" w:beforeAutospacing="0"/>
              <w:jc w:val="center"/>
              <w:rPr>
                <w:rFonts w:ascii="Times New Roman" w:hAnsi="Times New Roman"/>
                <w:sz w:val="28"/>
                <w:szCs w:val="28"/>
              </w:rPr>
            </w:pPr>
          </w:p>
        </w:tc>
        <w:tc>
          <w:tcPr>
            <w:tcW w:w="675" w:type="dxa"/>
            <w:tcBorders>
              <w:top w:val="single" w:color="auto" w:sz="4" w:space="0"/>
              <w:left w:val="nil"/>
              <w:bottom w:val="single" w:color="auto" w:sz="4" w:space="0"/>
              <w:right w:val="single" w:color="auto" w:sz="4" w:space="0"/>
            </w:tcBorders>
            <w:vAlign w:val="center"/>
          </w:tcPr>
          <w:p>
            <w:pPr>
              <w:pStyle w:val="29"/>
              <w:adjustRightInd w:val="0"/>
              <w:spacing w:before="156" w:beforeAutospacing="0"/>
              <w:jc w:val="cente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1"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pStyle w:val="29"/>
              <w:adjustRightInd w:val="0"/>
              <w:spacing w:before="156" w:beforeAutospacing="0"/>
              <w:jc w:val="center"/>
              <w:rPr>
                <w:rFonts w:ascii="Times New Roman" w:hAnsi="Times New Roman"/>
                <w:sz w:val="28"/>
                <w:szCs w:val="28"/>
              </w:rPr>
            </w:pPr>
          </w:p>
        </w:tc>
        <w:tc>
          <w:tcPr>
            <w:tcW w:w="924" w:type="dxa"/>
            <w:tcBorders>
              <w:top w:val="single" w:color="auto" w:sz="4" w:space="0"/>
              <w:left w:val="nil"/>
              <w:bottom w:val="single" w:color="auto" w:sz="4" w:space="0"/>
              <w:right w:val="single" w:color="auto" w:sz="4" w:space="0"/>
            </w:tcBorders>
            <w:vAlign w:val="center"/>
          </w:tcPr>
          <w:p>
            <w:pPr>
              <w:pStyle w:val="29"/>
              <w:adjustRightInd w:val="0"/>
              <w:spacing w:before="156" w:beforeAutospacing="0"/>
              <w:jc w:val="center"/>
              <w:rPr>
                <w:rFonts w:ascii="Times New Roman" w:hAnsi="Times New Roman"/>
                <w:sz w:val="28"/>
                <w:szCs w:val="28"/>
              </w:rPr>
            </w:pPr>
          </w:p>
        </w:tc>
        <w:tc>
          <w:tcPr>
            <w:tcW w:w="1540" w:type="dxa"/>
            <w:tcBorders>
              <w:top w:val="single" w:color="auto" w:sz="4" w:space="0"/>
              <w:left w:val="nil"/>
              <w:bottom w:val="single" w:color="auto" w:sz="4" w:space="0"/>
              <w:right w:val="single" w:color="auto" w:sz="4" w:space="0"/>
            </w:tcBorders>
            <w:vAlign w:val="center"/>
          </w:tcPr>
          <w:p>
            <w:pPr>
              <w:pStyle w:val="29"/>
              <w:adjustRightInd w:val="0"/>
              <w:spacing w:before="156" w:beforeAutospacing="0"/>
              <w:jc w:val="center"/>
              <w:rPr>
                <w:rFonts w:ascii="Times New Roman" w:hAnsi="Times New Roman"/>
                <w:sz w:val="28"/>
                <w:szCs w:val="28"/>
              </w:rPr>
            </w:pPr>
          </w:p>
        </w:tc>
        <w:tc>
          <w:tcPr>
            <w:tcW w:w="1085" w:type="dxa"/>
            <w:tcBorders>
              <w:top w:val="single" w:color="auto" w:sz="4" w:space="0"/>
              <w:left w:val="nil"/>
              <w:bottom w:val="single" w:color="auto" w:sz="4" w:space="0"/>
              <w:right w:val="single" w:color="auto" w:sz="4" w:space="0"/>
            </w:tcBorders>
            <w:vAlign w:val="center"/>
          </w:tcPr>
          <w:p>
            <w:pPr>
              <w:pStyle w:val="29"/>
              <w:adjustRightInd w:val="0"/>
              <w:spacing w:before="156" w:beforeAutospacing="0"/>
              <w:jc w:val="center"/>
              <w:rPr>
                <w:rFonts w:ascii="Times New Roman" w:hAnsi="Times New Roman"/>
                <w:sz w:val="28"/>
                <w:szCs w:val="28"/>
              </w:rPr>
            </w:pPr>
          </w:p>
        </w:tc>
        <w:tc>
          <w:tcPr>
            <w:tcW w:w="1395" w:type="dxa"/>
            <w:tcBorders>
              <w:top w:val="single" w:color="auto" w:sz="4" w:space="0"/>
              <w:left w:val="nil"/>
              <w:bottom w:val="single" w:color="auto" w:sz="4" w:space="0"/>
              <w:right w:val="single" w:color="auto" w:sz="4" w:space="0"/>
            </w:tcBorders>
            <w:vAlign w:val="center"/>
          </w:tcPr>
          <w:p>
            <w:pPr>
              <w:pStyle w:val="29"/>
              <w:adjustRightInd w:val="0"/>
              <w:spacing w:before="156" w:beforeAutospacing="0"/>
              <w:jc w:val="center"/>
              <w:rPr>
                <w:rFonts w:ascii="Times New Roman" w:hAnsi="Times New Roman"/>
                <w:sz w:val="28"/>
                <w:szCs w:val="28"/>
              </w:rPr>
            </w:pPr>
          </w:p>
        </w:tc>
        <w:tc>
          <w:tcPr>
            <w:tcW w:w="1575" w:type="dxa"/>
            <w:tcBorders>
              <w:top w:val="single" w:color="auto" w:sz="4" w:space="0"/>
              <w:left w:val="nil"/>
              <w:bottom w:val="single" w:color="auto" w:sz="4" w:space="0"/>
              <w:right w:val="single" w:color="auto" w:sz="4" w:space="0"/>
            </w:tcBorders>
            <w:vAlign w:val="center"/>
          </w:tcPr>
          <w:p>
            <w:pPr>
              <w:pStyle w:val="29"/>
              <w:adjustRightInd w:val="0"/>
              <w:spacing w:before="156" w:beforeAutospacing="0"/>
              <w:jc w:val="center"/>
              <w:rPr>
                <w:rFonts w:ascii="Times New Roman" w:hAnsi="Times New Roman"/>
                <w:sz w:val="28"/>
                <w:szCs w:val="28"/>
              </w:rPr>
            </w:pPr>
          </w:p>
        </w:tc>
        <w:tc>
          <w:tcPr>
            <w:tcW w:w="1146" w:type="dxa"/>
            <w:tcBorders>
              <w:top w:val="single" w:color="auto" w:sz="4" w:space="0"/>
              <w:left w:val="nil"/>
              <w:bottom w:val="single" w:color="auto" w:sz="4" w:space="0"/>
              <w:right w:val="single" w:color="auto" w:sz="4" w:space="0"/>
            </w:tcBorders>
            <w:vAlign w:val="center"/>
          </w:tcPr>
          <w:p>
            <w:pPr>
              <w:pStyle w:val="29"/>
              <w:adjustRightInd w:val="0"/>
              <w:spacing w:before="156" w:beforeAutospacing="0"/>
              <w:jc w:val="center"/>
              <w:rPr>
                <w:rFonts w:ascii="Times New Roman" w:hAnsi="Times New Roman"/>
                <w:sz w:val="28"/>
                <w:szCs w:val="28"/>
              </w:rPr>
            </w:pPr>
          </w:p>
        </w:tc>
        <w:tc>
          <w:tcPr>
            <w:tcW w:w="675" w:type="dxa"/>
            <w:tcBorders>
              <w:top w:val="single" w:color="auto" w:sz="4" w:space="0"/>
              <w:left w:val="nil"/>
              <w:bottom w:val="single" w:color="auto" w:sz="4" w:space="0"/>
              <w:right w:val="single" w:color="auto" w:sz="4" w:space="0"/>
            </w:tcBorders>
            <w:vAlign w:val="center"/>
          </w:tcPr>
          <w:p>
            <w:pPr>
              <w:pStyle w:val="29"/>
              <w:adjustRightInd w:val="0"/>
              <w:spacing w:before="156" w:beforeAutospacing="0"/>
              <w:jc w:val="cente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pStyle w:val="29"/>
              <w:adjustRightInd w:val="0"/>
              <w:spacing w:before="156" w:beforeAutospacing="0"/>
              <w:jc w:val="center"/>
              <w:rPr>
                <w:rFonts w:ascii="Times New Roman" w:hAnsi="Times New Roman"/>
                <w:sz w:val="28"/>
                <w:szCs w:val="28"/>
              </w:rPr>
            </w:pPr>
          </w:p>
        </w:tc>
        <w:tc>
          <w:tcPr>
            <w:tcW w:w="924" w:type="dxa"/>
            <w:tcBorders>
              <w:top w:val="single" w:color="auto" w:sz="4" w:space="0"/>
              <w:left w:val="nil"/>
              <w:bottom w:val="single" w:color="auto" w:sz="4" w:space="0"/>
              <w:right w:val="single" w:color="auto" w:sz="4" w:space="0"/>
            </w:tcBorders>
            <w:vAlign w:val="center"/>
          </w:tcPr>
          <w:p>
            <w:pPr>
              <w:pStyle w:val="29"/>
              <w:adjustRightInd w:val="0"/>
              <w:spacing w:before="156" w:beforeAutospacing="0"/>
              <w:jc w:val="center"/>
              <w:rPr>
                <w:rFonts w:ascii="Times New Roman" w:hAnsi="Times New Roman"/>
                <w:sz w:val="28"/>
                <w:szCs w:val="28"/>
              </w:rPr>
            </w:pPr>
          </w:p>
        </w:tc>
        <w:tc>
          <w:tcPr>
            <w:tcW w:w="1540" w:type="dxa"/>
            <w:tcBorders>
              <w:top w:val="single" w:color="auto" w:sz="4" w:space="0"/>
              <w:left w:val="nil"/>
              <w:bottom w:val="single" w:color="auto" w:sz="4" w:space="0"/>
              <w:right w:val="single" w:color="auto" w:sz="4" w:space="0"/>
            </w:tcBorders>
            <w:vAlign w:val="center"/>
          </w:tcPr>
          <w:p>
            <w:pPr>
              <w:pStyle w:val="29"/>
              <w:adjustRightInd w:val="0"/>
              <w:spacing w:before="156" w:beforeAutospacing="0"/>
              <w:jc w:val="center"/>
              <w:rPr>
                <w:rFonts w:ascii="Times New Roman" w:hAnsi="Times New Roman"/>
                <w:sz w:val="28"/>
                <w:szCs w:val="28"/>
              </w:rPr>
            </w:pPr>
          </w:p>
        </w:tc>
        <w:tc>
          <w:tcPr>
            <w:tcW w:w="1085" w:type="dxa"/>
            <w:tcBorders>
              <w:top w:val="single" w:color="auto" w:sz="4" w:space="0"/>
              <w:left w:val="nil"/>
              <w:bottom w:val="single" w:color="auto" w:sz="4" w:space="0"/>
              <w:right w:val="single" w:color="auto" w:sz="4" w:space="0"/>
            </w:tcBorders>
            <w:vAlign w:val="center"/>
          </w:tcPr>
          <w:p>
            <w:pPr>
              <w:pStyle w:val="29"/>
              <w:adjustRightInd w:val="0"/>
              <w:spacing w:before="156" w:beforeAutospacing="0"/>
              <w:jc w:val="center"/>
              <w:rPr>
                <w:rFonts w:ascii="Times New Roman" w:hAnsi="Times New Roman"/>
                <w:sz w:val="28"/>
                <w:szCs w:val="28"/>
              </w:rPr>
            </w:pPr>
          </w:p>
        </w:tc>
        <w:tc>
          <w:tcPr>
            <w:tcW w:w="1395" w:type="dxa"/>
            <w:tcBorders>
              <w:top w:val="single" w:color="auto" w:sz="4" w:space="0"/>
              <w:left w:val="nil"/>
              <w:bottom w:val="single" w:color="auto" w:sz="4" w:space="0"/>
              <w:right w:val="single" w:color="auto" w:sz="4" w:space="0"/>
            </w:tcBorders>
            <w:vAlign w:val="center"/>
          </w:tcPr>
          <w:p>
            <w:pPr>
              <w:pStyle w:val="29"/>
              <w:adjustRightInd w:val="0"/>
              <w:spacing w:before="156" w:beforeAutospacing="0"/>
              <w:jc w:val="center"/>
              <w:rPr>
                <w:rFonts w:ascii="Times New Roman" w:hAnsi="Times New Roman"/>
                <w:sz w:val="28"/>
                <w:szCs w:val="28"/>
              </w:rPr>
            </w:pPr>
          </w:p>
        </w:tc>
        <w:tc>
          <w:tcPr>
            <w:tcW w:w="1575" w:type="dxa"/>
            <w:tcBorders>
              <w:top w:val="single" w:color="auto" w:sz="4" w:space="0"/>
              <w:left w:val="nil"/>
              <w:bottom w:val="single" w:color="auto" w:sz="4" w:space="0"/>
              <w:right w:val="single" w:color="auto" w:sz="4" w:space="0"/>
            </w:tcBorders>
            <w:vAlign w:val="center"/>
          </w:tcPr>
          <w:p>
            <w:pPr>
              <w:pStyle w:val="29"/>
              <w:adjustRightInd w:val="0"/>
              <w:spacing w:before="156" w:beforeAutospacing="0"/>
              <w:jc w:val="center"/>
              <w:rPr>
                <w:rFonts w:ascii="Times New Roman" w:hAnsi="Times New Roman"/>
                <w:sz w:val="28"/>
                <w:szCs w:val="28"/>
              </w:rPr>
            </w:pPr>
          </w:p>
        </w:tc>
        <w:tc>
          <w:tcPr>
            <w:tcW w:w="1146" w:type="dxa"/>
            <w:tcBorders>
              <w:top w:val="single" w:color="auto" w:sz="4" w:space="0"/>
              <w:left w:val="nil"/>
              <w:bottom w:val="single" w:color="auto" w:sz="4" w:space="0"/>
              <w:right w:val="single" w:color="auto" w:sz="4" w:space="0"/>
            </w:tcBorders>
            <w:vAlign w:val="center"/>
          </w:tcPr>
          <w:p>
            <w:pPr>
              <w:pStyle w:val="29"/>
              <w:adjustRightInd w:val="0"/>
              <w:spacing w:before="156" w:beforeAutospacing="0"/>
              <w:jc w:val="center"/>
              <w:rPr>
                <w:rFonts w:ascii="Times New Roman" w:hAnsi="Times New Roman"/>
                <w:sz w:val="28"/>
                <w:szCs w:val="28"/>
              </w:rPr>
            </w:pPr>
          </w:p>
        </w:tc>
        <w:tc>
          <w:tcPr>
            <w:tcW w:w="675" w:type="dxa"/>
            <w:tcBorders>
              <w:top w:val="single" w:color="auto" w:sz="4" w:space="0"/>
              <w:left w:val="nil"/>
              <w:bottom w:val="single" w:color="auto" w:sz="4" w:space="0"/>
              <w:right w:val="single" w:color="auto" w:sz="4" w:space="0"/>
            </w:tcBorders>
            <w:vAlign w:val="center"/>
          </w:tcPr>
          <w:p>
            <w:pPr>
              <w:pStyle w:val="29"/>
              <w:adjustRightInd w:val="0"/>
              <w:spacing w:before="156" w:beforeAutospacing="0"/>
              <w:jc w:val="cente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1" w:hRule="atLeast"/>
          <w:jc w:val="center"/>
        </w:trPr>
        <w:tc>
          <w:tcPr>
            <w:tcW w:w="675" w:type="dxa"/>
            <w:tcBorders>
              <w:top w:val="single" w:color="auto" w:sz="4" w:space="0"/>
              <w:left w:val="single" w:color="auto" w:sz="4" w:space="0"/>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924"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1540"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1085"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1395"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1575"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1146"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675"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1" w:hRule="atLeast"/>
          <w:jc w:val="center"/>
        </w:trPr>
        <w:tc>
          <w:tcPr>
            <w:tcW w:w="675" w:type="dxa"/>
            <w:tcBorders>
              <w:top w:val="single" w:color="auto" w:sz="4" w:space="0"/>
              <w:left w:val="single" w:color="auto" w:sz="4" w:space="0"/>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924"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1540"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1085"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1395"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1575"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1146"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675"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0" w:hRule="atLeast"/>
          <w:jc w:val="center"/>
        </w:trPr>
        <w:tc>
          <w:tcPr>
            <w:tcW w:w="675" w:type="dxa"/>
            <w:tcBorders>
              <w:top w:val="single" w:color="auto" w:sz="4" w:space="0"/>
              <w:left w:val="single" w:color="auto" w:sz="4" w:space="0"/>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924"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1540"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1085"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1395"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1575"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1146"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675"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1" w:hRule="atLeast"/>
          <w:jc w:val="center"/>
        </w:trPr>
        <w:tc>
          <w:tcPr>
            <w:tcW w:w="675" w:type="dxa"/>
            <w:tcBorders>
              <w:top w:val="single" w:color="auto" w:sz="4" w:space="0"/>
              <w:left w:val="single" w:color="auto" w:sz="4" w:space="0"/>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924"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1540"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1085"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1395"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1575"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1146"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675"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1" w:hRule="atLeast"/>
          <w:jc w:val="center"/>
        </w:trPr>
        <w:tc>
          <w:tcPr>
            <w:tcW w:w="675" w:type="dxa"/>
            <w:tcBorders>
              <w:top w:val="single" w:color="auto" w:sz="4" w:space="0"/>
              <w:left w:val="single" w:color="auto" w:sz="4" w:space="0"/>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924"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1540"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1085"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1395"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1575"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1146"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675"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0" w:hRule="atLeast"/>
          <w:jc w:val="center"/>
        </w:trPr>
        <w:tc>
          <w:tcPr>
            <w:tcW w:w="675" w:type="dxa"/>
            <w:tcBorders>
              <w:top w:val="single" w:color="auto" w:sz="4" w:space="0"/>
              <w:left w:val="single" w:color="auto" w:sz="4" w:space="0"/>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924"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1540"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1085"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1395"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1575"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1146"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c>
          <w:tcPr>
            <w:tcW w:w="675" w:type="dxa"/>
            <w:tcBorders>
              <w:top w:val="single" w:color="auto" w:sz="4" w:space="0"/>
              <w:left w:val="nil"/>
              <w:bottom w:val="single" w:color="auto" w:sz="4" w:space="0"/>
              <w:right w:val="single" w:color="auto" w:sz="4" w:space="0"/>
            </w:tcBorders>
          </w:tcPr>
          <w:p>
            <w:pPr>
              <w:pStyle w:val="29"/>
              <w:adjustRightInd w:val="0"/>
              <w:spacing w:before="156" w:beforeAutospacing="0"/>
              <w:jc w:val="center"/>
              <w:rPr>
                <w:rFonts w:ascii="Times New Roman" w:hAnsi="Times New Roman"/>
                <w:sz w:val="28"/>
                <w:szCs w:val="28"/>
              </w:rPr>
            </w:pPr>
          </w:p>
        </w:tc>
      </w:tr>
    </w:tbl>
    <w:p>
      <w:pPr>
        <w:pStyle w:val="8"/>
        <w:spacing w:line="260" w:lineRule="exact"/>
        <w:ind w:firstLine="0" w:firstLineChars="0"/>
        <w:rPr>
          <w:rFonts w:cs="宋体"/>
        </w:rPr>
      </w:pPr>
    </w:p>
    <w:p>
      <w:pPr>
        <w:pStyle w:val="8"/>
        <w:spacing w:line="260" w:lineRule="exact"/>
        <w:ind w:firstLine="0" w:firstLineChars="0"/>
        <w:rPr>
          <w:rFonts w:cs="宋体"/>
        </w:rPr>
      </w:pPr>
    </w:p>
    <w:p>
      <w:pPr>
        <w:pStyle w:val="5"/>
        <w:spacing w:before="0" w:after="0"/>
        <w:rPr>
          <w:rStyle w:val="49"/>
          <w:rFonts w:ascii="Times New Roman" w:hAnsi="Times New Roman" w:cs="宋体"/>
          <w:b w:val="0"/>
          <w:bCs w:val="0"/>
          <w:sz w:val="24"/>
          <w:szCs w:val="24"/>
        </w:rPr>
      </w:pPr>
      <w:bookmarkStart w:id="1062" w:name="_Toc504989662"/>
      <w:bookmarkEnd w:id="1062"/>
      <w:bookmarkStart w:id="1063" w:name="_Toc5354"/>
      <w:r>
        <w:rPr>
          <w:rStyle w:val="49"/>
          <w:rFonts w:hint="eastAsia" w:ascii="Times New Roman" w:hAnsi="Times New Roman" w:cs="宋体"/>
          <w:b/>
          <w:bCs/>
          <w:sz w:val="24"/>
          <w:szCs w:val="24"/>
        </w:rPr>
        <w:br w:type="page"/>
      </w:r>
      <w:bookmarkStart w:id="1064" w:name="_Toc26520"/>
      <w:bookmarkStart w:id="1065" w:name="_Toc530594695"/>
      <w:bookmarkStart w:id="1066" w:name="_Toc13521"/>
      <w:bookmarkStart w:id="1067" w:name="_Toc30838"/>
      <w:bookmarkStart w:id="1068" w:name="_Toc12161"/>
      <w:r>
        <w:rPr>
          <w:rStyle w:val="49"/>
          <w:rFonts w:hint="eastAsia" w:ascii="Times New Roman" w:hAnsi="Times New Roman" w:cs="宋体"/>
          <w:b/>
          <w:bCs/>
          <w:sz w:val="24"/>
          <w:szCs w:val="24"/>
        </w:rPr>
        <w:t>附5-7 应急救援演练记录</w:t>
      </w:r>
      <w:bookmarkEnd w:id="1063"/>
      <w:bookmarkEnd w:id="1064"/>
      <w:bookmarkEnd w:id="1065"/>
      <w:bookmarkEnd w:id="1066"/>
      <w:bookmarkEnd w:id="1067"/>
      <w:bookmarkEnd w:id="1068"/>
    </w:p>
    <w:p>
      <w:pPr>
        <w:snapToGrid w:val="0"/>
        <w:spacing w:line="520" w:lineRule="exact"/>
        <w:ind w:firstLine="602" w:firstLineChars="200"/>
        <w:jc w:val="center"/>
        <w:rPr>
          <w:rFonts w:cs="宋体"/>
          <w:b/>
          <w:bCs/>
          <w:sz w:val="30"/>
          <w:szCs w:val="30"/>
        </w:rPr>
      </w:pPr>
      <w:r>
        <w:rPr>
          <w:rFonts w:hint="eastAsia" w:cs="宋体"/>
          <w:b/>
          <w:bCs/>
          <w:sz w:val="30"/>
          <w:szCs w:val="30"/>
        </w:rPr>
        <w:t>应急救援演练记录单</w:t>
      </w:r>
    </w:p>
    <w:p>
      <w:pPr>
        <w:snapToGrid w:val="0"/>
        <w:spacing w:line="520" w:lineRule="exact"/>
        <w:ind w:firstLine="480" w:firstLineChars="200"/>
        <w:rPr>
          <w:rFonts w:cs="宋体"/>
          <w:kern w:val="0"/>
          <w:sz w:val="24"/>
          <w:szCs w:val="24"/>
        </w:rPr>
      </w:pPr>
      <w:r>
        <w:rPr>
          <w:rFonts w:hint="eastAsia" w:cs="宋体"/>
          <w:kern w:val="0"/>
          <w:sz w:val="24"/>
          <w:szCs w:val="24"/>
        </w:rPr>
        <w:t xml:space="preserve">应急指挥小组组长：              日期：       </w:t>
      </w:r>
    </w:p>
    <w:tbl>
      <w:tblPr>
        <w:tblStyle w:val="35"/>
        <w:tblW w:w="9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8"/>
        <w:gridCol w:w="976"/>
        <w:gridCol w:w="1255"/>
        <w:gridCol w:w="2213"/>
        <w:gridCol w:w="1978"/>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08" w:hRule="atLeast"/>
        </w:trPr>
        <w:tc>
          <w:tcPr>
            <w:tcW w:w="1008"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演练主题内容</w:t>
            </w:r>
          </w:p>
        </w:tc>
        <w:tc>
          <w:tcPr>
            <w:tcW w:w="976"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时间</w:t>
            </w:r>
          </w:p>
        </w:tc>
        <w:tc>
          <w:tcPr>
            <w:tcW w:w="125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参与人员</w:t>
            </w:r>
          </w:p>
        </w:tc>
        <w:tc>
          <w:tcPr>
            <w:tcW w:w="2213"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事故模拟情景描述</w:t>
            </w:r>
          </w:p>
        </w:tc>
        <w:tc>
          <w:tcPr>
            <w:tcW w:w="1978"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应急行动过程</w:t>
            </w:r>
          </w:p>
        </w:tc>
        <w:tc>
          <w:tcPr>
            <w:tcW w:w="1648"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总结及改进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94" w:hRule="atLeast"/>
        </w:trPr>
        <w:tc>
          <w:tcPr>
            <w:tcW w:w="1008"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976"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25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213"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978"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648"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94" w:hRule="atLeast"/>
        </w:trPr>
        <w:tc>
          <w:tcPr>
            <w:tcW w:w="1008"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976"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25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213"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978"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648"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94" w:hRule="atLeast"/>
        </w:trPr>
        <w:tc>
          <w:tcPr>
            <w:tcW w:w="1008"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976"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25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213"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978"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648"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94" w:hRule="atLeast"/>
        </w:trPr>
        <w:tc>
          <w:tcPr>
            <w:tcW w:w="1008"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976"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25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213"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978"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648"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94" w:hRule="atLeast"/>
        </w:trPr>
        <w:tc>
          <w:tcPr>
            <w:tcW w:w="1008"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976"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25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213"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978"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648"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94" w:hRule="atLeast"/>
        </w:trPr>
        <w:tc>
          <w:tcPr>
            <w:tcW w:w="1008"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976"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25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213"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978"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648"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94" w:hRule="atLeast"/>
        </w:trPr>
        <w:tc>
          <w:tcPr>
            <w:tcW w:w="1008"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976"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25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213"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978"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648"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94" w:hRule="atLeast"/>
        </w:trPr>
        <w:tc>
          <w:tcPr>
            <w:tcW w:w="1008"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976"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25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213"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978"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648"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52" w:hRule="atLeast"/>
        </w:trPr>
        <w:tc>
          <w:tcPr>
            <w:tcW w:w="1008" w:type="dxa"/>
            <w:tcBorders>
              <w:top w:val="single" w:color="auto" w:sz="4" w:space="0"/>
              <w:left w:val="single" w:color="auto" w:sz="4" w:space="0"/>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976"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255"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2213"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978"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c>
          <w:tcPr>
            <w:tcW w:w="1648" w:type="dxa"/>
            <w:tcBorders>
              <w:top w:val="single" w:color="auto" w:sz="4" w:space="0"/>
              <w:left w:val="nil"/>
              <w:bottom w:val="single" w:color="auto" w:sz="4" w:space="0"/>
              <w:right w:val="single" w:color="auto" w:sz="4" w:space="0"/>
            </w:tcBorders>
            <w:vAlign w:val="center"/>
          </w:tcPr>
          <w:p>
            <w:pPr>
              <w:pStyle w:val="29"/>
              <w:adjustRightInd w:val="0"/>
              <w:snapToGrid w:val="0"/>
              <w:jc w:val="center"/>
              <w:rPr>
                <w:rFonts w:ascii="Times New Roman" w:hAnsi="Times New Roman"/>
                <w:b/>
                <w:bCs/>
                <w:sz w:val="21"/>
                <w:szCs w:val="21"/>
              </w:rPr>
            </w:pPr>
          </w:p>
        </w:tc>
      </w:tr>
    </w:tbl>
    <w:p>
      <w:pPr>
        <w:pStyle w:val="8"/>
        <w:rPr>
          <w:rFonts w:cs="宋体"/>
        </w:rPr>
      </w:pPr>
    </w:p>
    <w:p>
      <w:pPr>
        <w:pStyle w:val="5"/>
        <w:spacing w:before="0" w:after="0"/>
        <w:rPr>
          <w:rStyle w:val="49"/>
          <w:rFonts w:ascii="Times New Roman" w:hAnsi="Times New Roman" w:cs="宋体"/>
          <w:b/>
          <w:bCs/>
          <w:sz w:val="24"/>
          <w:szCs w:val="24"/>
        </w:rPr>
      </w:pPr>
      <w:bookmarkStart w:id="1069" w:name="_Toc29563"/>
      <w:bookmarkEnd w:id="1069"/>
      <w:bookmarkStart w:id="1070" w:name="_Toc504989663"/>
      <w:r>
        <w:rPr>
          <w:rStyle w:val="49"/>
          <w:rFonts w:hint="eastAsia" w:ascii="Times New Roman" w:hAnsi="Times New Roman" w:cs="宋体"/>
          <w:b/>
          <w:bCs/>
          <w:sz w:val="24"/>
          <w:szCs w:val="24"/>
        </w:rPr>
        <w:br w:type="page"/>
      </w:r>
      <w:bookmarkStart w:id="1071" w:name="_Toc530594696"/>
      <w:bookmarkStart w:id="1072" w:name="_Toc18141"/>
      <w:bookmarkStart w:id="1073" w:name="_Toc8656"/>
      <w:bookmarkStart w:id="1074" w:name="_Toc18584"/>
      <w:bookmarkStart w:id="1075" w:name="_Toc18568"/>
      <w:r>
        <w:rPr>
          <w:rStyle w:val="49"/>
          <w:rFonts w:hint="eastAsia" w:ascii="Times New Roman" w:hAnsi="Times New Roman" w:cs="宋体"/>
          <w:b/>
          <w:bCs/>
          <w:sz w:val="24"/>
          <w:szCs w:val="24"/>
        </w:rPr>
        <w:t>附5-8 应急预案文件修改控制表</w:t>
      </w:r>
      <w:bookmarkEnd w:id="1070"/>
      <w:bookmarkEnd w:id="1071"/>
      <w:bookmarkEnd w:id="1072"/>
      <w:bookmarkEnd w:id="1073"/>
      <w:bookmarkEnd w:id="1074"/>
      <w:bookmarkEnd w:id="1075"/>
    </w:p>
    <w:tbl>
      <w:tblPr>
        <w:tblStyle w:val="35"/>
        <w:tblW w:w="8970" w:type="dxa"/>
        <w:jc w:val="center"/>
        <w:tblInd w:w="18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73"/>
        <w:gridCol w:w="3486"/>
        <w:gridCol w:w="1427"/>
        <w:gridCol w:w="1295"/>
        <w:gridCol w:w="1152"/>
        <w:gridCol w:w="10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80" w:hRule="atLeast"/>
          <w:jc w:val="center"/>
        </w:trPr>
        <w:tc>
          <w:tcPr>
            <w:tcW w:w="573" w:type="dxa"/>
            <w:tcBorders>
              <w:top w:val="single" w:color="auto" w:sz="12" w:space="0"/>
              <w:left w:val="single" w:color="auto" w:sz="12" w:space="0"/>
              <w:bottom w:val="single" w:color="auto" w:sz="6" w:space="0"/>
              <w:right w:val="single" w:color="auto" w:sz="6"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序号</w:t>
            </w:r>
          </w:p>
        </w:tc>
        <w:tc>
          <w:tcPr>
            <w:tcW w:w="3486" w:type="dxa"/>
            <w:tcBorders>
              <w:top w:val="single" w:color="auto" w:sz="12" w:space="0"/>
              <w:left w:val="single" w:color="auto" w:sz="6" w:space="0"/>
              <w:bottom w:val="single" w:color="auto" w:sz="6" w:space="0"/>
              <w:right w:val="single" w:color="auto" w:sz="6"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修改页次、条款</w:t>
            </w:r>
          </w:p>
        </w:tc>
        <w:tc>
          <w:tcPr>
            <w:tcW w:w="1427" w:type="dxa"/>
            <w:tcBorders>
              <w:top w:val="single" w:color="auto" w:sz="12" w:space="0"/>
              <w:left w:val="single" w:color="auto" w:sz="6" w:space="0"/>
              <w:bottom w:val="single" w:color="auto" w:sz="6" w:space="0"/>
              <w:right w:val="single" w:color="auto" w:sz="6"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修改日期</w:t>
            </w:r>
          </w:p>
        </w:tc>
        <w:tc>
          <w:tcPr>
            <w:tcW w:w="1295" w:type="dxa"/>
            <w:tcBorders>
              <w:top w:val="single" w:color="auto" w:sz="12" w:space="0"/>
              <w:left w:val="single" w:color="auto" w:sz="6" w:space="0"/>
              <w:bottom w:val="single" w:color="auto" w:sz="6" w:space="0"/>
              <w:right w:val="single" w:color="auto" w:sz="6"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修改人</w:t>
            </w:r>
          </w:p>
        </w:tc>
        <w:tc>
          <w:tcPr>
            <w:tcW w:w="1152" w:type="dxa"/>
            <w:tcBorders>
              <w:top w:val="single" w:color="auto" w:sz="12" w:space="0"/>
              <w:left w:val="single" w:color="auto" w:sz="6" w:space="0"/>
              <w:bottom w:val="single" w:color="auto" w:sz="6" w:space="0"/>
              <w:right w:val="single" w:color="auto" w:sz="6"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审核</w:t>
            </w:r>
          </w:p>
        </w:tc>
        <w:tc>
          <w:tcPr>
            <w:tcW w:w="1037" w:type="dxa"/>
            <w:tcBorders>
              <w:top w:val="single" w:color="auto" w:sz="12" w:space="0"/>
              <w:left w:val="single" w:color="auto" w:sz="6" w:space="0"/>
              <w:bottom w:val="single" w:color="auto" w:sz="6" w:space="0"/>
              <w:right w:val="single" w:color="auto" w:sz="12" w:space="0"/>
            </w:tcBorders>
            <w:vAlign w:val="center"/>
          </w:tcPr>
          <w:p>
            <w:pPr>
              <w:pStyle w:val="29"/>
              <w:adjustRightInd w:val="0"/>
              <w:snapToGrid w:val="0"/>
              <w:jc w:val="center"/>
              <w:rPr>
                <w:rFonts w:ascii="Times New Roman" w:hAnsi="Times New Roman"/>
                <w:b/>
                <w:bCs/>
                <w:sz w:val="21"/>
                <w:szCs w:val="21"/>
              </w:rPr>
            </w:pPr>
            <w:r>
              <w:rPr>
                <w:rFonts w:hint="eastAsia" w:ascii="Times New Roman" w:hAnsi="Times New Roman"/>
                <w:b/>
                <w:bCs/>
                <w:sz w:val="21"/>
                <w:szCs w:val="21"/>
              </w:rPr>
              <w:t>批准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985" w:hRule="atLeast"/>
          <w:jc w:val="center"/>
        </w:trPr>
        <w:tc>
          <w:tcPr>
            <w:tcW w:w="573" w:type="dxa"/>
            <w:tcBorders>
              <w:top w:val="single" w:color="auto" w:sz="6" w:space="0"/>
              <w:left w:val="single" w:color="auto" w:sz="12" w:space="0"/>
              <w:bottom w:val="single" w:color="auto" w:sz="6" w:space="0"/>
              <w:right w:val="single" w:color="auto" w:sz="6" w:space="0"/>
            </w:tcBorders>
            <w:vAlign w:val="center"/>
          </w:tcPr>
          <w:p>
            <w:pPr>
              <w:pStyle w:val="29"/>
              <w:adjustRightInd w:val="0"/>
              <w:snapToGrid w:val="0"/>
              <w:jc w:val="center"/>
              <w:rPr>
                <w:rFonts w:ascii="Times New Roman" w:hAnsi="Times New Roman"/>
                <w:b/>
                <w:bCs/>
                <w:sz w:val="21"/>
                <w:szCs w:val="21"/>
              </w:rPr>
            </w:pPr>
          </w:p>
        </w:tc>
        <w:tc>
          <w:tcPr>
            <w:tcW w:w="3486" w:type="dxa"/>
            <w:tcBorders>
              <w:top w:val="single" w:color="auto" w:sz="6" w:space="0"/>
              <w:left w:val="single" w:color="auto" w:sz="6" w:space="0"/>
              <w:bottom w:val="single" w:color="auto" w:sz="6" w:space="0"/>
              <w:right w:val="single" w:color="auto" w:sz="6" w:space="0"/>
            </w:tcBorders>
            <w:vAlign w:val="center"/>
          </w:tcPr>
          <w:p>
            <w:pPr>
              <w:pStyle w:val="29"/>
              <w:adjustRightInd w:val="0"/>
              <w:snapToGrid w:val="0"/>
              <w:jc w:val="center"/>
              <w:rPr>
                <w:rFonts w:ascii="Times New Roman" w:hAnsi="Times New Roman"/>
                <w:b/>
                <w:bCs/>
                <w:sz w:val="21"/>
                <w:szCs w:val="21"/>
              </w:rPr>
            </w:pPr>
          </w:p>
        </w:tc>
        <w:tc>
          <w:tcPr>
            <w:tcW w:w="1427" w:type="dxa"/>
            <w:tcBorders>
              <w:top w:val="single" w:color="auto" w:sz="6" w:space="0"/>
              <w:left w:val="single" w:color="auto" w:sz="6" w:space="0"/>
              <w:bottom w:val="single" w:color="auto" w:sz="6" w:space="0"/>
              <w:right w:val="single" w:color="auto" w:sz="6" w:space="0"/>
            </w:tcBorders>
            <w:vAlign w:val="center"/>
          </w:tcPr>
          <w:p>
            <w:pPr>
              <w:pStyle w:val="29"/>
              <w:adjustRightInd w:val="0"/>
              <w:snapToGrid w:val="0"/>
              <w:jc w:val="center"/>
              <w:rPr>
                <w:rFonts w:ascii="Times New Roman" w:hAnsi="Times New Roman"/>
                <w:b/>
                <w:bCs/>
                <w:sz w:val="21"/>
                <w:szCs w:val="21"/>
              </w:rPr>
            </w:pPr>
          </w:p>
        </w:tc>
        <w:tc>
          <w:tcPr>
            <w:tcW w:w="1295" w:type="dxa"/>
            <w:tcBorders>
              <w:top w:val="single" w:color="auto" w:sz="6" w:space="0"/>
              <w:left w:val="single" w:color="auto" w:sz="6" w:space="0"/>
              <w:bottom w:val="single" w:color="auto" w:sz="6" w:space="0"/>
              <w:right w:val="single" w:color="auto" w:sz="6" w:space="0"/>
            </w:tcBorders>
            <w:vAlign w:val="center"/>
          </w:tcPr>
          <w:p>
            <w:pPr>
              <w:pStyle w:val="29"/>
              <w:adjustRightInd w:val="0"/>
              <w:snapToGrid w:val="0"/>
              <w:jc w:val="center"/>
              <w:rPr>
                <w:rFonts w:ascii="Times New Roman" w:hAnsi="Times New Roman"/>
                <w:b/>
                <w:bCs/>
                <w:sz w:val="21"/>
                <w:szCs w:val="21"/>
              </w:rPr>
            </w:pPr>
          </w:p>
        </w:tc>
        <w:tc>
          <w:tcPr>
            <w:tcW w:w="1152" w:type="dxa"/>
            <w:tcBorders>
              <w:top w:val="single" w:color="auto" w:sz="6" w:space="0"/>
              <w:left w:val="single" w:color="auto" w:sz="6" w:space="0"/>
              <w:bottom w:val="single" w:color="auto" w:sz="6" w:space="0"/>
              <w:right w:val="single" w:color="auto" w:sz="6" w:space="0"/>
            </w:tcBorders>
            <w:vAlign w:val="center"/>
          </w:tcPr>
          <w:p>
            <w:pPr>
              <w:pStyle w:val="29"/>
              <w:adjustRightInd w:val="0"/>
              <w:snapToGrid w:val="0"/>
              <w:jc w:val="center"/>
              <w:rPr>
                <w:rFonts w:ascii="Times New Roman" w:hAnsi="Times New Roman"/>
                <w:b/>
                <w:bCs/>
                <w:sz w:val="21"/>
                <w:szCs w:val="21"/>
              </w:rPr>
            </w:pPr>
          </w:p>
        </w:tc>
        <w:tc>
          <w:tcPr>
            <w:tcW w:w="1037" w:type="dxa"/>
            <w:tcBorders>
              <w:top w:val="single" w:color="auto" w:sz="6" w:space="0"/>
              <w:left w:val="single" w:color="auto" w:sz="6" w:space="0"/>
              <w:bottom w:val="single" w:color="auto" w:sz="6" w:space="0"/>
              <w:right w:val="single" w:color="auto" w:sz="12" w:space="0"/>
            </w:tcBorders>
            <w:vAlign w:val="center"/>
          </w:tcPr>
          <w:p>
            <w:pPr>
              <w:pStyle w:val="29"/>
              <w:adjustRightInd w:val="0"/>
              <w:snapToGrid w:val="0"/>
              <w:jc w:val="center"/>
              <w:rPr>
                <w:rFonts w:ascii="Times New Roman" w:hAnsi="Times New Roman"/>
                <w:b/>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985" w:hRule="atLeast"/>
          <w:jc w:val="center"/>
        </w:trPr>
        <w:tc>
          <w:tcPr>
            <w:tcW w:w="573" w:type="dxa"/>
            <w:tcBorders>
              <w:top w:val="single" w:color="auto" w:sz="6" w:space="0"/>
              <w:left w:val="single" w:color="auto" w:sz="12" w:space="0"/>
              <w:bottom w:val="single" w:color="auto" w:sz="6" w:space="0"/>
              <w:right w:val="single" w:color="auto" w:sz="6" w:space="0"/>
            </w:tcBorders>
            <w:vAlign w:val="center"/>
          </w:tcPr>
          <w:p>
            <w:pPr>
              <w:pStyle w:val="29"/>
              <w:adjustRightInd w:val="0"/>
              <w:snapToGrid w:val="0"/>
              <w:jc w:val="center"/>
              <w:rPr>
                <w:rFonts w:ascii="Times New Roman" w:hAnsi="Times New Roman"/>
                <w:b/>
                <w:bCs/>
                <w:sz w:val="21"/>
                <w:szCs w:val="21"/>
              </w:rPr>
            </w:pPr>
          </w:p>
        </w:tc>
        <w:tc>
          <w:tcPr>
            <w:tcW w:w="3486" w:type="dxa"/>
            <w:tcBorders>
              <w:top w:val="single" w:color="auto" w:sz="6" w:space="0"/>
              <w:left w:val="single" w:color="auto" w:sz="6" w:space="0"/>
              <w:bottom w:val="single" w:color="auto" w:sz="6" w:space="0"/>
              <w:right w:val="single" w:color="auto" w:sz="6" w:space="0"/>
            </w:tcBorders>
            <w:vAlign w:val="center"/>
          </w:tcPr>
          <w:p>
            <w:pPr>
              <w:pStyle w:val="29"/>
              <w:adjustRightInd w:val="0"/>
              <w:snapToGrid w:val="0"/>
              <w:jc w:val="center"/>
              <w:rPr>
                <w:rFonts w:ascii="Times New Roman" w:hAnsi="Times New Roman"/>
                <w:b/>
                <w:bCs/>
                <w:sz w:val="21"/>
                <w:szCs w:val="21"/>
              </w:rPr>
            </w:pPr>
          </w:p>
        </w:tc>
        <w:tc>
          <w:tcPr>
            <w:tcW w:w="1427" w:type="dxa"/>
            <w:tcBorders>
              <w:top w:val="single" w:color="auto" w:sz="6" w:space="0"/>
              <w:left w:val="single" w:color="auto" w:sz="6" w:space="0"/>
              <w:bottom w:val="single" w:color="auto" w:sz="6" w:space="0"/>
              <w:right w:val="single" w:color="auto" w:sz="6" w:space="0"/>
            </w:tcBorders>
            <w:vAlign w:val="center"/>
          </w:tcPr>
          <w:p>
            <w:pPr>
              <w:pStyle w:val="29"/>
              <w:adjustRightInd w:val="0"/>
              <w:snapToGrid w:val="0"/>
              <w:jc w:val="center"/>
              <w:rPr>
                <w:rFonts w:ascii="Times New Roman" w:hAnsi="Times New Roman"/>
                <w:b/>
                <w:bCs/>
                <w:sz w:val="21"/>
                <w:szCs w:val="21"/>
              </w:rPr>
            </w:pPr>
          </w:p>
        </w:tc>
        <w:tc>
          <w:tcPr>
            <w:tcW w:w="1295" w:type="dxa"/>
            <w:tcBorders>
              <w:top w:val="single" w:color="auto" w:sz="6" w:space="0"/>
              <w:left w:val="single" w:color="auto" w:sz="6" w:space="0"/>
              <w:bottom w:val="single" w:color="auto" w:sz="6" w:space="0"/>
              <w:right w:val="single" w:color="auto" w:sz="6" w:space="0"/>
            </w:tcBorders>
            <w:vAlign w:val="center"/>
          </w:tcPr>
          <w:p>
            <w:pPr>
              <w:pStyle w:val="29"/>
              <w:adjustRightInd w:val="0"/>
              <w:snapToGrid w:val="0"/>
              <w:jc w:val="center"/>
              <w:rPr>
                <w:rFonts w:ascii="Times New Roman" w:hAnsi="Times New Roman"/>
                <w:b/>
                <w:bCs/>
                <w:sz w:val="21"/>
                <w:szCs w:val="21"/>
              </w:rPr>
            </w:pPr>
          </w:p>
        </w:tc>
        <w:tc>
          <w:tcPr>
            <w:tcW w:w="1152" w:type="dxa"/>
            <w:tcBorders>
              <w:top w:val="single" w:color="auto" w:sz="6" w:space="0"/>
              <w:left w:val="single" w:color="auto" w:sz="6" w:space="0"/>
              <w:bottom w:val="single" w:color="auto" w:sz="6" w:space="0"/>
              <w:right w:val="single" w:color="auto" w:sz="6" w:space="0"/>
            </w:tcBorders>
            <w:vAlign w:val="center"/>
          </w:tcPr>
          <w:p>
            <w:pPr>
              <w:pStyle w:val="29"/>
              <w:adjustRightInd w:val="0"/>
              <w:snapToGrid w:val="0"/>
              <w:jc w:val="center"/>
              <w:rPr>
                <w:rFonts w:ascii="Times New Roman" w:hAnsi="Times New Roman"/>
                <w:b/>
                <w:bCs/>
                <w:sz w:val="21"/>
                <w:szCs w:val="21"/>
              </w:rPr>
            </w:pPr>
          </w:p>
        </w:tc>
        <w:tc>
          <w:tcPr>
            <w:tcW w:w="1037" w:type="dxa"/>
            <w:tcBorders>
              <w:top w:val="single" w:color="auto" w:sz="6" w:space="0"/>
              <w:left w:val="single" w:color="auto" w:sz="6" w:space="0"/>
              <w:bottom w:val="single" w:color="auto" w:sz="6" w:space="0"/>
              <w:right w:val="single" w:color="auto" w:sz="12" w:space="0"/>
            </w:tcBorders>
            <w:vAlign w:val="center"/>
          </w:tcPr>
          <w:p>
            <w:pPr>
              <w:pStyle w:val="29"/>
              <w:adjustRightInd w:val="0"/>
              <w:snapToGrid w:val="0"/>
              <w:jc w:val="center"/>
              <w:rPr>
                <w:rFonts w:ascii="Times New Roman" w:hAnsi="Times New Roman"/>
                <w:b/>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985" w:hRule="atLeast"/>
          <w:jc w:val="center"/>
        </w:trPr>
        <w:tc>
          <w:tcPr>
            <w:tcW w:w="573" w:type="dxa"/>
            <w:tcBorders>
              <w:top w:val="single" w:color="auto" w:sz="6" w:space="0"/>
              <w:left w:val="single" w:color="auto" w:sz="12" w:space="0"/>
              <w:bottom w:val="single" w:color="auto" w:sz="6" w:space="0"/>
              <w:right w:val="single" w:color="auto" w:sz="6" w:space="0"/>
            </w:tcBorders>
            <w:vAlign w:val="center"/>
          </w:tcPr>
          <w:p>
            <w:pPr>
              <w:pStyle w:val="29"/>
              <w:adjustRightInd w:val="0"/>
              <w:snapToGrid w:val="0"/>
              <w:jc w:val="center"/>
              <w:rPr>
                <w:rFonts w:ascii="Times New Roman" w:hAnsi="Times New Roman"/>
                <w:b/>
                <w:bCs/>
                <w:sz w:val="21"/>
                <w:szCs w:val="21"/>
              </w:rPr>
            </w:pPr>
          </w:p>
        </w:tc>
        <w:tc>
          <w:tcPr>
            <w:tcW w:w="3486" w:type="dxa"/>
            <w:tcBorders>
              <w:top w:val="single" w:color="auto" w:sz="6" w:space="0"/>
              <w:left w:val="single" w:color="auto" w:sz="6" w:space="0"/>
              <w:bottom w:val="single" w:color="auto" w:sz="6" w:space="0"/>
              <w:right w:val="single" w:color="auto" w:sz="6" w:space="0"/>
            </w:tcBorders>
            <w:vAlign w:val="center"/>
          </w:tcPr>
          <w:p>
            <w:pPr>
              <w:pStyle w:val="29"/>
              <w:adjustRightInd w:val="0"/>
              <w:snapToGrid w:val="0"/>
              <w:jc w:val="center"/>
              <w:rPr>
                <w:rFonts w:ascii="Times New Roman" w:hAnsi="Times New Roman"/>
                <w:b/>
                <w:bCs/>
                <w:sz w:val="21"/>
                <w:szCs w:val="21"/>
              </w:rPr>
            </w:pPr>
          </w:p>
        </w:tc>
        <w:tc>
          <w:tcPr>
            <w:tcW w:w="1427" w:type="dxa"/>
            <w:tcBorders>
              <w:top w:val="single" w:color="auto" w:sz="6" w:space="0"/>
              <w:left w:val="single" w:color="auto" w:sz="6" w:space="0"/>
              <w:bottom w:val="single" w:color="auto" w:sz="6" w:space="0"/>
              <w:right w:val="single" w:color="auto" w:sz="6" w:space="0"/>
            </w:tcBorders>
            <w:vAlign w:val="center"/>
          </w:tcPr>
          <w:p>
            <w:pPr>
              <w:pStyle w:val="29"/>
              <w:adjustRightInd w:val="0"/>
              <w:snapToGrid w:val="0"/>
              <w:jc w:val="center"/>
              <w:rPr>
                <w:rFonts w:ascii="Times New Roman" w:hAnsi="Times New Roman"/>
                <w:b/>
                <w:bCs/>
                <w:sz w:val="21"/>
                <w:szCs w:val="21"/>
              </w:rPr>
            </w:pPr>
          </w:p>
        </w:tc>
        <w:tc>
          <w:tcPr>
            <w:tcW w:w="1295" w:type="dxa"/>
            <w:tcBorders>
              <w:top w:val="single" w:color="auto" w:sz="6" w:space="0"/>
              <w:left w:val="single" w:color="auto" w:sz="6" w:space="0"/>
              <w:bottom w:val="single" w:color="auto" w:sz="6" w:space="0"/>
              <w:right w:val="single" w:color="auto" w:sz="6" w:space="0"/>
            </w:tcBorders>
            <w:vAlign w:val="center"/>
          </w:tcPr>
          <w:p>
            <w:pPr>
              <w:pStyle w:val="29"/>
              <w:adjustRightInd w:val="0"/>
              <w:snapToGrid w:val="0"/>
              <w:jc w:val="center"/>
              <w:rPr>
                <w:rFonts w:ascii="Times New Roman" w:hAnsi="Times New Roman"/>
                <w:b/>
                <w:bCs/>
                <w:sz w:val="21"/>
                <w:szCs w:val="21"/>
              </w:rPr>
            </w:pPr>
          </w:p>
        </w:tc>
        <w:tc>
          <w:tcPr>
            <w:tcW w:w="1152" w:type="dxa"/>
            <w:tcBorders>
              <w:top w:val="single" w:color="auto" w:sz="6" w:space="0"/>
              <w:left w:val="single" w:color="auto" w:sz="6" w:space="0"/>
              <w:bottom w:val="single" w:color="auto" w:sz="6" w:space="0"/>
              <w:right w:val="single" w:color="auto" w:sz="6" w:space="0"/>
            </w:tcBorders>
            <w:vAlign w:val="center"/>
          </w:tcPr>
          <w:p>
            <w:pPr>
              <w:pStyle w:val="29"/>
              <w:adjustRightInd w:val="0"/>
              <w:snapToGrid w:val="0"/>
              <w:jc w:val="center"/>
              <w:rPr>
                <w:rFonts w:ascii="Times New Roman" w:hAnsi="Times New Roman"/>
                <w:b/>
                <w:bCs/>
                <w:sz w:val="21"/>
                <w:szCs w:val="21"/>
              </w:rPr>
            </w:pPr>
          </w:p>
        </w:tc>
        <w:tc>
          <w:tcPr>
            <w:tcW w:w="1037" w:type="dxa"/>
            <w:tcBorders>
              <w:top w:val="single" w:color="auto" w:sz="6" w:space="0"/>
              <w:left w:val="single" w:color="auto" w:sz="6" w:space="0"/>
              <w:bottom w:val="single" w:color="auto" w:sz="6" w:space="0"/>
              <w:right w:val="single" w:color="auto" w:sz="12" w:space="0"/>
            </w:tcBorders>
            <w:vAlign w:val="center"/>
          </w:tcPr>
          <w:p>
            <w:pPr>
              <w:pStyle w:val="29"/>
              <w:adjustRightInd w:val="0"/>
              <w:snapToGrid w:val="0"/>
              <w:jc w:val="center"/>
              <w:rPr>
                <w:rFonts w:ascii="Times New Roman" w:hAnsi="Times New Roman"/>
                <w:b/>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985" w:hRule="atLeast"/>
          <w:jc w:val="center"/>
        </w:trPr>
        <w:tc>
          <w:tcPr>
            <w:tcW w:w="573" w:type="dxa"/>
            <w:tcBorders>
              <w:top w:val="single" w:color="auto" w:sz="6" w:space="0"/>
              <w:left w:val="single" w:color="auto" w:sz="12" w:space="0"/>
              <w:bottom w:val="single" w:color="auto" w:sz="6" w:space="0"/>
              <w:right w:val="single" w:color="auto" w:sz="6" w:space="0"/>
            </w:tcBorders>
            <w:vAlign w:val="center"/>
          </w:tcPr>
          <w:p>
            <w:pPr>
              <w:pStyle w:val="29"/>
              <w:adjustRightInd w:val="0"/>
              <w:snapToGrid w:val="0"/>
              <w:jc w:val="center"/>
              <w:rPr>
                <w:rFonts w:ascii="Times New Roman" w:hAnsi="Times New Roman"/>
                <w:b/>
                <w:bCs/>
                <w:sz w:val="21"/>
                <w:szCs w:val="21"/>
              </w:rPr>
            </w:pPr>
          </w:p>
        </w:tc>
        <w:tc>
          <w:tcPr>
            <w:tcW w:w="3486" w:type="dxa"/>
            <w:tcBorders>
              <w:top w:val="single" w:color="auto" w:sz="6" w:space="0"/>
              <w:left w:val="single" w:color="auto" w:sz="6" w:space="0"/>
              <w:bottom w:val="single" w:color="auto" w:sz="6" w:space="0"/>
              <w:right w:val="single" w:color="auto" w:sz="6" w:space="0"/>
            </w:tcBorders>
            <w:vAlign w:val="center"/>
          </w:tcPr>
          <w:p>
            <w:pPr>
              <w:pStyle w:val="29"/>
              <w:adjustRightInd w:val="0"/>
              <w:snapToGrid w:val="0"/>
              <w:jc w:val="center"/>
              <w:rPr>
                <w:rFonts w:ascii="Times New Roman" w:hAnsi="Times New Roman"/>
                <w:b/>
                <w:bCs/>
                <w:sz w:val="21"/>
                <w:szCs w:val="21"/>
              </w:rPr>
            </w:pPr>
          </w:p>
        </w:tc>
        <w:tc>
          <w:tcPr>
            <w:tcW w:w="1427" w:type="dxa"/>
            <w:tcBorders>
              <w:top w:val="single" w:color="auto" w:sz="6" w:space="0"/>
              <w:left w:val="single" w:color="auto" w:sz="6" w:space="0"/>
              <w:bottom w:val="single" w:color="auto" w:sz="6" w:space="0"/>
              <w:right w:val="single" w:color="auto" w:sz="6" w:space="0"/>
            </w:tcBorders>
            <w:vAlign w:val="center"/>
          </w:tcPr>
          <w:p>
            <w:pPr>
              <w:pStyle w:val="29"/>
              <w:adjustRightInd w:val="0"/>
              <w:snapToGrid w:val="0"/>
              <w:jc w:val="center"/>
              <w:rPr>
                <w:rFonts w:ascii="Times New Roman" w:hAnsi="Times New Roman"/>
                <w:b/>
                <w:bCs/>
                <w:sz w:val="21"/>
                <w:szCs w:val="21"/>
              </w:rPr>
            </w:pPr>
          </w:p>
        </w:tc>
        <w:tc>
          <w:tcPr>
            <w:tcW w:w="1295" w:type="dxa"/>
            <w:tcBorders>
              <w:top w:val="single" w:color="auto" w:sz="6" w:space="0"/>
              <w:left w:val="single" w:color="auto" w:sz="6" w:space="0"/>
              <w:bottom w:val="single" w:color="auto" w:sz="6" w:space="0"/>
              <w:right w:val="single" w:color="auto" w:sz="6" w:space="0"/>
            </w:tcBorders>
            <w:vAlign w:val="center"/>
          </w:tcPr>
          <w:p>
            <w:pPr>
              <w:pStyle w:val="29"/>
              <w:adjustRightInd w:val="0"/>
              <w:snapToGrid w:val="0"/>
              <w:jc w:val="center"/>
              <w:rPr>
                <w:rFonts w:ascii="Times New Roman" w:hAnsi="Times New Roman"/>
                <w:b/>
                <w:bCs/>
                <w:sz w:val="21"/>
                <w:szCs w:val="21"/>
              </w:rPr>
            </w:pPr>
          </w:p>
        </w:tc>
        <w:tc>
          <w:tcPr>
            <w:tcW w:w="1152" w:type="dxa"/>
            <w:tcBorders>
              <w:top w:val="single" w:color="auto" w:sz="6" w:space="0"/>
              <w:left w:val="single" w:color="auto" w:sz="6" w:space="0"/>
              <w:bottom w:val="single" w:color="auto" w:sz="6" w:space="0"/>
              <w:right w:val="single" w:color="auto" w:sz="6" w:space="0"/>
            </w:tcBorders>
            <w:vAlign w:val="center"/>
          </w:tcPr>
          <w:p>
            <w:pPr>
              <w:pStyle w:val="29"/>
              <w:adjustRightInd w:val="0"/>
              <w:snapToGrid w:val="0"/>
              <w:jc w:val="center"/>
              <w:rPr>
                <w:rFonts w:ascii="Times New Roman" w:hAnsi="Times New Roman"/>
                <w:b/>
                <w:bCs/>
                <w:sz w:val="21"/>
                <w:szCs w:val="21"/>
              </w:rPr>
            </w:pPr>
          </w:p>
        </w:tc>
        <w:tc>
          <w:tcPr>
            <w:tcW w:w="1037" w:type="dxa"/>
            <w:tcBorders>
              <w:top w:val="single" w:color="auto" w:sz="6" w:space="0"/>
              <w:left w:val="single" w:color="auto" w:sz="6" w:space="0"/>
              <w:bottom w:val="single" w:color="auto" w:sz="6" w:space="0"/>
              <w:right w:val="single" w:color="auto" w:sz="12" w:space="0"/>
            </w:tcBorders>
            <w:vAlign w:val="center"/>
          </w:tcPr>
          <w:p>
            <w:pPr>
              <w:pStyle w:val="29"/>
              <w:adjustRightInd w:val="0"/>
              <w:snapToGrid w:val="0"/>
              <w:jc w:val="center"/>
              <w:rPr>
                <w:rFonts w:ascii="Times New Roman" w:hAnsi="Times New Roman"/>
                <w:b/>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985" w:hRule="atLeast"/>
          <w:jc w:val="center"/>
        </w:trPr>
        <w:tc>
          <w:tcPr>
            <w:tcW w:w="573" w:type="dxa"/>
            <w:tcBorders>
              <w:top w:val="single" w:color="auto" w:sz="6" w:space="0"/>
              <w:left w:val="single" w:color="auto" w:sz="12" w:space="0"/>
              <w:bottom w:val="single" w:color="auto" w:sz="12" w:space="0"/>
              <w:right w:val="single" w:color="auto" w:sz="6" w:space="0"/>
            </w:tcBorders>
            <w:vAlign w:val="center"/>
          </w:tcPr>
          <w:p>
            <w:pPr>
              <w:pStyle w:val="29"/>
              <w:adjustRightInd w:val="0"/>
              <w:snapToGrid w:val="0"/>
              <w:jc w:val="center"/>
              <w:rPr>
                <w:rFonts w:ascii="Times New Roman" w:hAnsi="Times New Roman"/>
                <w:b/>
                <w:bCs/>
                <w:sz w:val="21"/>
                <w:szCs w:val="21"/>
              </w:rPr>
            </w:pPr>
          </w:p>
        </w:tc>
        <w:tc>
          <w:tcPr>
            <w:tcW w:w="3486" w:type="dxa"/>
            <w:tcBorders>
              <w:top w:val="single" w:color="auto" w:sz="6" w:space="0"/>
              <w:left w:val="single" w:color="auto" w:sz="6" w:space="0"/>
              <w:bottom w:val="single" w:color="auto" w:sz="12" w:space="0"/>
              <w:right w:val="single" w:color="auto" w:sz="6" w:space="0"/>
            </w:tcBorders>
            <w:vAlign w:val="center"/>
          </w:tcPr>
          <w:p>
            <w:pPr>
              <w:pStyle w:val="29"/>
              <w:adjustRightInd w:val="0"/>
              <w:snapToGrid w:val="0"/>
              <w:jc w:val="center"/>
              <w:rPr>
                <w:rFonts w:ascii="Times New Roman" w:hAnsi="Times New Roman"/>
                <w:b/>
                <w:bCs/>
                <w:sz w:val="21"/>
                <w:szCs w:val="21"/>
              </w:rPr>
            </w:pPr>
          </w:p>
        </w:tc>
        <w:tc>
          <w:tcPr>
            <w:tcW w:w="1427" w:type="dxa"/>
            <w:tcBorders>
              <w:top w:val="single" w:color="auto" w:sz="6" w:space="0"/>
              <w:left w:val="single" w:color="auto" w:sz="6" w:space="0"/>
              <w:bottom w:val="single" w:color="auto" w:sz="12" w:space="0"/>
              <w:right w:val="single" w:color="auto" w:sz="6" w:space="0"/>
            </w:tcBorders>
            <w:vAlign w:val="center"/>
          </w:tcPr>
          <w:p>
            <w:pPr>
              <w:pStyle w:val="29"/>
              <w:adjustRightInd w:val="0"/>
              <w:snapToGrid w:val="0"/>
              <w:jc w:val="center"/>
              <w:rPr>
                <w:rFonts w:ascii="Times New Roman" w:hAnsi="Times New Roman"/>
                <w:b/>
                <w:bCs/>
                <w:sz w:val="21"/>
                <w:szCs w:val="21"/>
              </w:rPr>
            </w:pPr>
          </w:p>
        </w:tc>
        <w:tc>
          <w:tcPr>
            <w:tcW w:w="1295" w:type="dxa"/>
            <w:tcBorders>
              <w:top w:val="single" w:color="auto" w:sz="6" w:space="0"/>
              <w:left w:val="single" w:color="auto" w:sz="6" w:space="0"/>
              <w:bottom w:val="single" w:color="auto" w:sz="12" w:space="0"/>
              <w:right w:val="single" w:color="auto" w:sz="6" w:space="0"/>
            </w:tcBorders>
            <w:vAlign w:val="center"/>
          </w:tcPr>
          <w:p>
            <w:pPr>
              <w:pStyle w:val="29"/>
              <w:adjustRightInd w:val="0"/>
              <w:snapToGrid w:val="0"/>
              <w:jc w:val="center"/>
              <w:rPr>
                <w:rFonts w:ascii="Times New Roman" w:hAnsi="Times New Roman"/>
                <w:b/>
                <w:bCs/>
                <w:sz w:val="21"/>
                <w:szCs w:val="21"/>
              </w:rPr>
            </w:pPr>
          </w:p>
        </w:tc>
        <w:tc>
          <w:tcPr>
            <w:tcW w:w="1152" w:type="dxa"/>
            <w:tcBorders>
              <w:top w:val="single" w:color="auto" w:sz="6" w:space="0"/>
              <w:left w:val="single" w:color="auto" w:sz="6" w:space="0"/>
              <w:bottom w:val="single" w:color="auto" w:sz="12" w:space="0"/>
              <w:right w:val="single" w:color="auto" w:sz="6" w:space="0"/>
            </w:tcBorders>
            <w:vAlign w:val="center"/>
          </w:tcPr>
          <w:p>
            <w:pPr>
              <w:pStyle w:val="29"/>
              <w:adjustRightInd w:val="0"/>
              <w:snapToGrid w:val="0"/>
              <w:jc w:val="center"/>
              <w:rPr>
                <w:rFonts w:ascii="Times New Roman" w:hAnsi="Times New Roman"/>
                <w:b/>
                <w:bCs/>
                <w:sz w:val="21"/>
                <w:szCs w:val="21"/>
              </w:rPr>
            </w:pPr>
          </w:p>
        </w:tc>
        <w:tc>
          <w:tcPr>
            <w:tcW w:w="1037" w:type="dxa"/>
            <w:tcBorders>
              <w:top w:val="single" w:color="auto" w:sz="6" w:space="0"/>
              <w:left w:val="single" w:color="auto" w:sz="6" w:space="0"/>
              <w:bottom w:val="single" w:color="auto" w:sz="12" w:space="0"/>
              <w:right w:val="single" w:color="auto" w:sz="12" w:space="0"/>
            </w:tcBorders>
            <w:vAlign w:val="center"/>
          </w:tcPr>
          <w:p>
            <w:pPr>
              <w:pStyle w:val="29"/>
              <w:adjustRightInd w:val="0"/>
              <w:snapToGrid w:val="0"/>
              <w:jc w:val="center"/>
              <w:rPr>
                <w:rFonts w:ascii="Times New Roman" w:hAnsi="Times New Roman"/>
                <w:b/>
                <w:bCs/>
                <w:sz w:val="21"/>
                <w:szCs w:val="21"/>
              </w:rPr>
            </w:pPr>
          </w:p>
        </w:tc>
      </w:tr>
    </w:tbl>
    <w:p>
      <w:pPr>
        <w:rPr>
          <w:rFonts w:cs="宋体"/>
        </w:rPr>
      </w:pPr>
      <w:bookmarkStart w:id="1076" w:name="_Toc14885"/>
      <w:bookmarkEnd w:id="1076"/>
      <w:bookmarkStart w:id="1077" w:name="_Toc504989665"/>
      <w:bookmarkEnd w:id="1077"/>
    </w:p>
    <w:p>
      <w:pPr>
        <w:pStyle w:val="4"/>
        <w:pageBreakBefore/>
        <w:spacing w:line="520" w:lineRule="exact"/>
        <w:rPr>
          <w:rStyle w:val="51"/>
          <w:rFonts w:hint="default" w:ascii="Times New Roman" w:hAnsi="Times New Roman" w:cs="宋体"/>
          <w:b/>
          <w:bCs/>
          <w:sz w:val="24"/>
          <w:szCs w:val="24"/>
        </w:rPr>
      </w:pPr>
      <w:bookmarkStart w:id="1078" w:name="_Toc504989668"/>
      <w:bookmarkEnd w:id="1078"/>
      <w:bookmarkStart w:id="1079" w:name="_Toc8494"/>
      <w:bookmarkEnd w:id="1079"/>
      <w:bookmarkStart w:id="1080" w:name="_Toc530594697"/>
      <w:bookmarkStart w:id="1081" w:name="_Toc11828"/>
      <w:bookmarkStart w:id="1082" w:name="_Toc8340"/>
      <w:bookmarkStart w:id="1083" w:name="_Toc27019"/>
      <w:bookmarkStart w:id="1084" w:name="_Toc2113"/>
      <w:r>
        <w:rPr>
          <w:rStyle w:val="51"/>
          <w:rFonts w:hint="default" w:ascii="Times New Roman" w:hAnsi="Times New Roman" w:cs="宋体"/>
          <w:b/>
          <w:bCs/>
          <w:sz w:val="24"/>
          <w:szCs w:val="24"/>
        </w:rPr>
        <w:t>附件6应急处置注意事项</w:t>
      </w:r>
      <w:bookmarkEnd w:id="1080"/>
      <w:bookmarkEnd w:id="1081"/>
      <w:bookmarkEnd w:id="1082"/>
      <w:bookmarkEnd w:id="1083"/>
      <w:bookmarkEnd w:id="1084"/>
    </w:p>
    <w:p>
      <w:pPr>
        <w:widowControl/>
        <w:adjustRightInd w:val="0"/>
        <w:snapToGrid w:val="0"/>
        <w:spacing w:line="360" w:lineRule="auto"/>
        <w:ind w:firstLine="482" w:firstLineChars="200"/>
        <w:rPr>
          <w:rFonts w:cs="宋体"/>
          <w:kern w:val="0"/>
          <w:sz w:val="24"/>
          <w:szCs w:val="24"/>
        </w:rPr>
      </w:pPr>
      <w:bookmarkStart w:id="1085" w:name="_Toc6128"/>
      <w:bookmarkEnd w:id="1085"/>
      <w:r>
        <w:rPr>
          <w:rFonts w:hint="eastAsia" w:cs="宋体"/>
          <w:b/>
          <w:bCs/>
          <w:kern w:val="0"/>
          <w:sz w:val="24"/>
          <w:szCs w:val="24"/>
        </w:rPr>
        <w:t>1、佩戴个人防护器具方面的注意事项</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1）防护用品应满足本单位工作和事故救援的要求</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2）从业人员必须正确佩戴防护用品；</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3）劳动防护用品应定期进行更换；</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4）作业期间不得随意脱下防护用品。</w:t>
      </w:r>
    </w:p>
    <w:p>
      <w:pPr>
        <w:widowControl/>
        <w:adjustRightInd w:val="0"/>
        <w:snapToGrid w:val="0"/>
        <w:spacing w:line="360" w:lineRule="auto"/>
        <w:ind w:firstLine="482" w:firstLineChars="200"/>
        <w:rPr>
          <w:rFonts w:cs="宋体"/>
          <w:b/>
          <w:bCs/>
          <w:kern w:val="0"/>
          <w:sz w:val="24"/>
          <w:szCs w:val="24"/>
        </w:rPr>
      </w:pPr>
      <w:bookmarkStart w:id="1086" w:name="_Toc18888"/>
      <w:bookmarkEnd w:id="1086"/>
      <w:r>
        <w:rPr>
          <w:rFonts w:hint="eastAsia" w:cs="宋体"/>
          <w:b/>
          <w:bCs/>
          <w:kern w:val="0"/>
          <w:sz w:val="24"/>
          <w:szCs w:val="24"/>
        </w:rPr>
        <w:t>2、使用抢险救援器材方面的注意事项</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1）应配备和使用适合本企业事故抢救的救援器材；</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2）对从业人员进行培训，使从业人员熟练使用救援器材；</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3）救援器材应放置在便于取用的部位。</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4）保养和维护好救援器材，不适宜再作为救援器材的应进行更新或更换。</w:t>
      </w:r>
    </w:p>
    <w:p>
      <w:pPr>
        <w:widowControl/>
        <w:adjustRightInd w:val="0"/>
        <w:snapToGrid w:val="0"/>
        <w:spacing w:line="360" w:lineRule="auto"/>
        <w:ind w:firstLine="482" w:firstLineChars="200"/>
        <w:rPr>
          <w:rFonts w:cs="宋体"/>
          <w:b/>
          <w:bCs/>
          <w:kern w:val="0"/>
          <w:sz w:val="24"/>
          <w:szCs w:val="24"/>
        </w:rPr>
      </w:pPr>
      <w:bookmarkStart w:id="1087" w:name="_Toc19740"/>
      <w:bookmarkEnd w:id="1087"/>
      <w:r>
        <w:rPr>
          <w:rFonts w:hint="eastAsia" w:cs="宋体"/>
          <w:b/>
          <w:bCs/>
          <w:kern w:val="0"/>
          <w:sz w:val="24"/>
          <w:szCs w:val="24"/>
        </w:rPr>
        <w:t>3、采取救援对策或措施方面的注意事项</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1）各岗位职工在接到警报后，要迅速赶赴现场，根据方案参加现场处置；</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2）参加人员，必须按照综合应急预案的分工和现场处置方案的步骤行动，不得自行其事，要有组织的进行抢救和抢修；</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3）要沉着冷静，遇事不慌，处理问题要果断；</w:t>
      </w:r>
    </w:p>
    <w:p>
      <w:pPr>
        <w:widowControl/>
        <w:adjustRightInd w:val="0"/>
        <w:snapToGrid w:val="0"/>
        <w:spacing w:line="360" w:lineRule="auto"/>
        <w:ind w:firstLine="482" w:firstLineChars="200"/>
        <w:rPr>
          <w:rFonts w:cs="宋体"/>
          <w:b/>
          <w:bCs/>
          <w:kern w:val="0"/>
          <w:sz w:val="24"/>
          <w:szCs w:val="24"/>
        </w:rPr>
      </w:pPr>
      <w:bookmarkStart w:id="1088" w:name="_Toc8701"/>
      <w:bookmarkEnd w:id="1088"/>
      <w:r>
        <w:rPr>
          <w:rFonts w:hint="eastAsia" w:cs="宋体"/>
          <w:b/>
          <w:bCs/>
          <w:kern w:val="0"/>
          <w:sz w:val="24"/>
          <w:szCs w:val="24"/>
        </w:rPr>
        <w:t>4、现场自救和互救注意事项</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1）事故发生后，在事故抢险、医疗救护小组到达之前，事故地点及附近的职工应迅速组织自救和互救。利用现场一切器材和条件，及时采取救护措施，尽量减少人员伤亡；</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2）保持镇定，在周围环境不危及生命条件下，一般不要轻易随便搬动伤员。</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3）暂不要给伤员喝任何饮料和进食。</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4）如现场无人时，应向周围大声呼救，请求来人帮助或设法联系有关部门，不要单独留下伤员无人照管。</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5）遇到严重事故、灾害，除急救呼叫外，应立即上报事故应急救援指挥部。</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6）根据伤情，对伤员边分类边抢救，处理的原则是先重后轻，先急后缓，先近后远。</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7）对呼吸困难、窒息和心跳停止的伤病员。从速臵头于后仰位、托起下颌、使呼吸道畅通，同时施行人工呼吸、脚外心脏按压等复苏操作，原地抢救。</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8）对伤情稳定，估计转运途中不会加重伤情的伤病员，迅速组织人力，利用各种交通工具将伤员分别转运到附近的医疗单位急救。</w:t>
      </w:r>
    </w:p>
    <w:p>
      <w:pPr>
        <w:spacing w:line="360" w:lineRule="auto"/>
        <w:ind w:firstLine="480"/>
        <w:rPr>
          <w:rFonts w:cs="宋体"/>
          <w:sz w:val="24"/>
          <w:szCs w:val="24"/>
        </w:rPr>
      </w:pPr>
      <w:r>
        <w:rPr>
          <w:rFonts w:hint="eastAsia" w:cs="宋体"/>
          <w:sz w:val="24"/>
          <w:szCs w:val="24"/>
        </w:rPr>
        <w:t>常用急救措施及注意事项见下表：</w:t>
      </w:r>
    </w:p>
    <w:tbl>
      <w:tblPr>
        <w:tblStyle w:val="35"/>
        <w:tblW w:w="8843" w:type="dxa"/>
        <w:jc w:val="center"/>
        <w:tblInd w:w="69"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60"/>
        <w:gridCol w:w="728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560" w:type="dxa"/>
            <w:vAlign w:val="center"/>
          </w:tcPr>
          <w:p>
            <w:pPr>
              <w:spacing w:line="300" w:lineRule="exact"/>
              <w:rPr>
                <w:rFonts w:cs="宋体"/>
              </w:rPr>
            </w:pPr>
            <w:r>
              <w:rPr>
                <w:rFonts w:hint="eastAsia" w:cs="宋体"/>
              </w:rPr>
              <w:t>轻微损伤</w:t>
            </w:r>
          </w:p>
        </w:tc>
        <w:tc>
          <w:tcPr>
            <w:tcW w:w="7283" w:type="dxa"/>
          </w:tcPr>
          <w:p>
            <w:pPr>
              <w:spacing w:line="300" w:lineRule="exact"/>
              <w:rPr>
                <w:rFonts w:cs="宋体"/>
              </w:rPr>
            </w:pPr>
            <w:r>
              <w:rPr>
                <w:rFonts w:hint="eastAsia" w:cs="宋体"/>
              </w:rPr>
              <w:t>·立即用消毒剂清洗伤口周围，但要小心勿触及伤口；</w:t>
            </w:r>
          </w:p>
          <w:p>
            <w:pPr>
              <w:spacing w:line="300" w:lineRule="exact"/>
              <w:rPr>
                <w:rFonts w:cs="宋体"/>
              </w:rPr>
            </w:pPr>
            <w:r>
              <w:rPr>
                <w:rFonts w:hint="eastAsia" w:cs="宋体"/>
              </w:rPr>
              <w:t>·如无消毒药水，可以用清水洗涤伤口，并用消毒纱布遮盖伤口；</w:t>
            </w:r>
          </w:p>
          <w:p>
            <w:pPr>
              <w:spacing w:line="300" w:lineRule="exact"/>
              <w:rPr>
                <w:rFonts w:cs="宋体"/>
              </w:rPr>
            </w:pPr>
            <w:r>
              <w:rPr>
                <w:rFonts w:hint="eastAsia" w:cs="宋体"/>
              </w:rPr>
              <w:t>·提醒伤者，若伤口发生红肿或刺痛时，应看医生；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560" w:type="dxa"/>
            <w:vAlign w:val="center"/>
          </w:tcPr>
          <w:p>
            <w:pPr>
              <w:spacing w:line="300" w:lineRule="exact"/>
              <w:rPr>
                <w:rFonts w:cs="宋体"/>
              </w:rPr>
            </w:pPr>
            <w:r>
              <w:rPr>
                <w:rFonts w:hint="eastAsia" w:cs="宋体"/>
              </w:rPr>
              <w:t>流血</w:t>
            </w:r>
          </w:p>
        </w:tc>
        <w:tc>
          <w:tcPr>
            <w:tcW w:w="7283" w:type="dxa"/>
          </w:tcPr>
          <w:p>
            <w:pPr>
              <w:spacing w:line="300" w:lineRule="exact"/>
              <w:rPr>
                <w:rFonts w:cs="宋体"/>
              </w:rPr>
            </w:pPr>
            <w:r>
              <w:rPr>
                <w:rFonts w:hint="eastAsia" w:cs="宋体"/>
              </w:rPr>
              <w:t>·若伤口没有异物，用消毒纱布包扎伤口，并用手紧压该处；</w:t>
            </w:r>
          </w:p>
          <w:p>
            <w:pPr>
              <w:spacing w:line="300" w:lineRule="exact"/>
              <w:rPr>
                <w:rFonts w:cs="宋体"/>
              </w:rPr>
            </w:pPr>
            <w:r>
              <w:rPr>
                <w:rFonts w:hint="eastAsia" w:cs="宋体"/>
              </w:rPr>
              <w:t>·若伤口有异物，在伤口旁施压，包扎前放上敷垫来遮盖伤口包扎；</w:t>
            </w:r>
          </w:p>
          <w:p>
            <w:pPr>
              <w:spacing w:line="300" w:lineRule="exact"/>
              <w:rPr>
                <w:rFonts w:cs="宋体"/>
              </w:rPr>
            </w:pPr>
            <w:r>
              <w:rPr>
                <w:rFonts w:hint="eastAsia" w:cs="宋体"/>
              </w:rPr>
              <w:t>·提高并支持受伤部位；</w:t>
            </w:r>
          </w:p>
          <w:p>
            <w:pPr>
              <w:spacing w:line="300" w:lineRule="exact"/>
              <w:rPr>
                <w:rFonts w:cs="宋体"/>
              </w:rPr>
            </w:pPr>
            <w:r>
              <w:rPr>
                <w:rFonts w:hint="eastAsia" w:cs="宋体"/>
              </w:rPr>
              <w:t>·如严重出血，立刻拨打救护车电话（120）或马上送往就近的医院；</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560" w:type="dxa"/>
            <w:vAlign w:val="center"/>
          </w:tcPr>
          <w:p>
            <w:pPr>
              <w:spacing w:line="300" w:lineRule="exact"/>
              <w:rPr>
                <w:rFonts w:cs="宋体"/>
              </w:rPr>
            </w:pPr>
            <w:r>
              <w:rPr>
                <w:rFonts w:hint="eastAsia" w:cs="宋体"/>
              </w:rPr>
              <w:t>骨折</w:t>
            </w:r>
          </w:p>
        </w:tc>
        <w:tc>
          <w:tcPr>
            <w:tcW w:w="7283" w:type="dxa"/>
          </w:tcPr>
          <w:p>
            <w:pPr>
              <w:spacing w:line="300" w:lineRule="exact"/>
              <w:rPr>
                <w:rFonts w:cs="宋体"/>
              </w:rPr>
            </w:pPr>
            <w:r>
              <w:rPr>
                <w:rFonts w:hint="eastAsia" w:cs="宋体"/>
              </w:rPr>
              <w:t>·稳定支持受伤部位，不要轻易移动伤者；</w:t>
            </w:r>
          </w:p>
          <w:p>
            <w:pPr>
              <w:spacing w:line="300" w:lineRule="exact"/>
              <w:rPr>
                <w:rFonts w:cs="宋体"/>
              </w:rPr>
            </w:pPr>
            <w:r>
              <w:rPr>
                <w:rFonts w:hint="eastAsia" w:cs="宋体"/>
              </w:rPr>
              <w:t>·用护垫保护伤者；</w:t>
            </w:r>
          </w:p>
          <w:p>
            <w:pPr>
              <w:spacing w:line="300" w:lineRule="exact"/>
              <w:rPr>
                <w:rFonts w:cs="宋体"/>
              </w:rPr>
            </w:pPr>
            <w:r>
              <w:rPr>
                <w:rFonts w:hint="eastAsia" w:cs="宋体"/>
              </w:rPr>
              <w:t>·将伤者送往医院；</w:t>
            </w:r>
          </w:p>
          <w:p>
            <w:pPr>
              <w:spacing w:line="300" w:lineRule="exact"/>
              <w:rPr>
                <w:rFonts w:cs="宋体"/>
              </w:rPr>
            </w:pPr>
            <w:r>
              <w:rPr>
                <w:rFonts w:hint="eastAsia" w:cs="宋体"/>
              </w:rPr>
              <w:t>·如无法送往医院，应拨打救护车电话（１２０）；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560" w:type="dxa"/>
            <w:vAlign w:val="center"/>
          </w:tcPr>
          <w:p>
            <w:pPr>
              <w:spacing w:line="300" w:lineRule="exact"/>
              <w:rPr>
                <w:rFonts w:cs="宋体"/>
              </w:rPr>
            </w:pPr>
            <w:r>
              <w:rPr>
                <w:rFonts w:hint="eastAsia" w:cs="宋体"/>
              </w:rPr>
              <w:t>休克</w:t>
            </w:r>
          </w:p>
        </w:tc>
        <w:tc>
          <w:tcPr>
            <w:tcW w:w="7283" w:type="dxa"/>
          </w:tcPr>
          <w:p>
            <w:pPr>
              <w:spacing w:line="300" w:lineRule="exact"/>
              <w:rPr>
                <w:rFonts w:cs="宋体"/>
              </w:rPr>
            </w:pPr>
            <w:r>
              <w:rPr>
                <w:rFonts w:hint="eastAsia" w:cs="宋体"/>
              </w:rPr>
              <w:t>·使伤者平躺着，将他的头部靠低，尽量提高并支持他的足踝；</w:t>
            </w:r>
          </w:p>
          <w:p>
            <w:pPr>
              <w:spacing w:line="300" w:lineRule="exact"/>
              <w:rPr>
                <w:rFonts w:cs="宋体"/>
              </w:rPr>
            </w:pPr>
            <w:r>
              <w:rPr>
                <w:rFonts w:hint="eastAsia" w:cs="宋体"/>
              </w:rPr>
              <w:t>·松开伤者的衣邻及皮带；</w:t>
            </w:r>
          </w:p>
          <w:p>
            <w:pPr>
              <w:spacing w:line="300" w:lineRule="exact"/>
              <w:rPr>
                <w:rFonts w:cs="宋体"/>
              </w:rPr>
            </w:pPr>
            <w:r>
              <w:rPr>
                <w:rFonts w:hint="eastAsia" w:cs="宋体"/>
              </w:rPr>
              <w:t>·立刻拨打救护车电话（120）；</w:t>
            </w:r>
          </w:p>
          <w:p>
            <w:pPr>
              <w:spacing w:line="300" w:lineRule="exact"/>
              <w:rPr>
                <w:rFonts w:cs="宋体"/>
              </w:rPr>
            </w:pPr>
            <w:r>
              <w:rPr>
                <w:rFonts w:hint="eastAsia" w:cs="宋体"/>
              </w:rPr>
              <w:t>·切勿给伤者食物、饮料、吸烟，随便移动伤者；</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560" w:type="dxa"/>
            <w:vAlign w:val="center"/>
          </w:tcPr>
          <w:p>
            <w:pPr>
              <w:spacing w:line="300" w:lineRule="exact"/>
              <w:rPr>
                <w:rFonts w:cs="宋体"/>
              </w:rPr>
            </w:pPr>
            <w:r>
              <w:rPr>
                <w:rFonts w:hint="eastAsia" w:cs="宋体"/>
              </w:rPr>
              <w:t>处理昏迷的伤者</w:t>
            </w:r>
          </w:p>
        </w:tc>
        <w:tc>
          <w:tcPr>
            <w:tcW w:w="7283" w:type="dxa"/>
          </w:tcPr>
          <w:p>
            <w:pPr>
              <w:spacing w:line="300" w:lineRule="exact"/>
              <w:rPr>
                <w:rFonts w:cs="宋体"/>
              </w:rPr>
            </w:pPr>
            <w:r>
              <w:rPr>
                <w:rFonts w:hint="eastAsia" w:cs="宋体"/>
              </w:rPr>
              <w:t>·评估伤者反应，轻摇伤者肩膀，大声清楚向伤者发问，观察反应程度；</w:t>
            </w:r>
          </w:p>
          <w:p>
            <w:pPr>
              <w:spacing w:line="300" w:lineRule="exact"/>
              <w:rPr>
                <w:rFonts w:cs="宋体"/>
              </w:rPr>
            </w:pPr>
            <w:r>
              <w:rPr>
                <w:rFonts w:hint="eastAsia" w:cs="宋体"/>
              </w:rPr>
              <w:t>·发现伤者无反应，清除伤者鼻咽部位分泌物或异物，保持呼吸道畅通；</w:t>
            </w:r>
          </w:p>
          <w:p>
            <w:pPr>
              <w:spacing w:line="300" w:lineRule="exact"/>
              <w:rPr>
                <w:rFonts w:cs="宋体"/>
              </w:rPr>
            </w:pPr>
            <w:r>
              <w:rPr>
                <w:rFonts w:hint="eastAsia" w:cs="宋体"/>
              </w:rPr>
              <w:t>·检查伤者，制止出血；</w:t>
            </w:r>
          </w:p>
          <w:p>
            <w:pPr>
              <w:spacing w:line="300" w:lineRule="exact"/>
              <w:rPr>
                <w:rFonts w:cs="宋体"/>
              </w:rPr>
            </w:pPr>
            <w:r>
              <w:rPr>
                <w:rFonts w:hint="eastAsia" w:cs="宋体"/>
              </w:rPr>
              <w:t>·使伤者侧卧位躺下，拨打救护车电话（１２０）；</w:t>
            </w:r>
          </w:p>
        </w:tc>
      </w:tr>
    </w:tbl>
    <w:p>
      <w:pPr>
        <w:widowControl/>
        <w:adjustRightInd w:val="0"/>
        <w:snapToGrid w:val="0"/>
        <w:spacing w:line="360" w:lineRule="auto"/>
        <w:ind w:firstLine="482" w:firstLineChars="200"/>
        <w:rPr>
          <w:rFonts w:cs="宋体"/>
          <w:b/>
          <w:bCs/>
          <w:kern w:val="0"/>
          <w:sz w:val="24"/>
          <w:szCs w:val="24"/>
        </w:rPr>
      </w:pPr>
      <w:bookmarkStart w:id="1089" w:name="_Toc19057"/>
      <w:bookmarkEnd w:id="1089"/>
      <w:r>
        <w:rPr>
          <w:rFonts w:hint="eastAsia" w:cs="宋体"/>
          <w:b/>
          <w:bCs/>
          <w:kern w:val="0"/>
          <w:sz w:val="24"/>
          <w:szCs w:val="24"/>
        </w:rPr>
        <w:t>5、现场应急处置能力确认和人员安全防护等事项</w:t>
      </w:r>
    </w:p>
    <w:p>
      <w:pPr>
        <w:spacing w:line="360" w:lineRule="auto"/>
        <w:ind w:firstLine="480"/>
        <w:rPr>
          <w:rFonts w:cs="宋体"/>
          <w:sz w:val="24"/>
          <w:szCs w:val="24"/>
        </w:rPr>
      </w:pPr>
      <w:r>
        <w:rPr>
          <w:rFonts w:hint="eastAsia" w:cs="宋体"/>
          <w:sz w:val="24"/>
          <w:szCs w:val="24"/>
        </w:rPr>
        <w:t>（1）现场指挥人员应对进入事故现场以下事项进行检查，在确认其符合性和完好有效性满足应急救援要求后，方可同意其进入现场；并进行随时注意观测，一旦发现不符合，应及时退场或停用：</w:t>
      </w:r>
    </w:p>
    <w:p>
      <w:pPr>
        <w:spacing w:line="360" w:lineRule="auto"/>
        <w:ind w:firstLine="480"/>
        <w:rPr>
          <w:rFonts w:cs="宋体"/>
          <w:sz w:val="24"/>
          <w:szCs w:val="24"/>
        </w:rPr>
      </w:pPr>
      <w:r>
        <w:rPr>
          <w:rFonts w:hint="eastAsia" w:cs="宋体"/>
          <w:sz w:val="24"/>
          <w:szCs w:val="24"/>
        </w:rPr>
        <w:t>（2）应急救援人员的应急处置能力；</w:t>
      </w:r>
    </w:p>
    <w:p>
      <w:pPr>
        <w:spacing w:line="360" w:lineRule="auto"/>
        <w:ind w:firstLine="480"/>
        <w:rPr>
          <w:rFonts w:cs="宋体"/>
          <w:sz w:val="24"/>
          <w:szCs w:val="24"/>
        </w:rPr>
      </w:pPr>
      <w:r>
        <w:rPr>
          <w:rFonts w:hint="eastAsia" w:cs="宋体"/>
          <w:sz w:val="24"/>
          <w:szCs w:val="24"/>
        </w:rPr>
        <w:t>（3）应急救援人员的安全防护；</w:t>
      </w:r>
    </w:p>
    <w:p>
      <w:pPr>
        <w:spacing w:line="360" w:lineRule="auto"/>
        <w:ind w:firstLine="480"/>
        <w:rPr>
          <w:rFonts w:cs="宋体"/>
          <w:sz w:val="24"/>
          <w:szCs w:val="24"/>
        </w:rPr>
      </w:pPr>
      <w:r>
        <w:rPr>
          <w:rFonts w:hint="eastAsia" w:cs="宋体"/>
          <w:sz w:val="24"/>
          <w:szCs w:val="24"/>
        </w:rPr>
        <w:t>（4）应急救援使用的设备、工器具。</w:t>
      </w:r>
    </w:p>
    <w:p>
      <w:pPr>
        <w:widowControl/>
        <w:adjustRightInd w:val="0"/>
        <w:snapToGrid w:val="0"/>
        <w:spacing w:line="360" w:lineRule="auto"/>
        <w:ind w:firstLine="482" w:firstLineChars="200"/>
        <w:rPr>
          <w:rFonts w:cs="宋体"/>
          <w:b/>
          <w:bCs/>
          <w:kern w:val="0"/>
          <w:sz w:val="24"/>
          <w:szCs w:val="24"/>
        </w:rPr>
      </w:pPr>
      <w:bookmarkStart w:id="1090" w:name="_Toc20668"/>
      <w:bookmarkEnd w:id="1090"/>
      <w:r>
        <w:rPr>
          <w:rFonts w:hint="eastAsia" w:cs="宋体"/>
          <w:b/>
          <w:bCs/>
          <w:kern w:val="0"/>
          <w:sz w:val="24"/>
          <w:szCs w:val="24"/>
        </w:rPr>
        <w:t>6、应急救援结束后的注意事项</w:t>
      </w:r>
    </w:p>
    <w:p>
      <w:pPr>
        <w:spacing w:line="360" w:lineRule="auto"/>
        <w:ind w:firstLine="480" w:firstLineChars="200"/>
        <w:rPr>
          <w:rFonts w:cs="宋体"/>
          <w:sz w:val="24"/>
          <w:szCs w:val="24"/>
        </w:rPr>
      </w:pPr>
      <w:r>
        <w:rPr>
          <w:rFonts w:hint="eastAsia" w:cs="宋体"/>
          <w:sz w:val="24"/>
          <w:szCs w:val="24"/>
        </w:rPr>
        <w:t>应急处置组组长应组织人员进行：清点现场人数、持续监控、防止次生和衍生事故。</w:t>
      </w:r>
    </w:p>
    <w:p>
      <w:pPr>
        <w:widowControl/>
        <w:adjustRightInd w:val="0"/>
        <w:snapToGrid w:val="0"/>
        <w:spacing w:line="360" w:lineRule="auto"/>
        <w:ind w:firstLine="482" w:firstLineChars="200"/>
        <w:rPr>
          <w:rFonts w:cs="宋体"/>
          <w:b/>
          <w:bCs/>
          <w:kern w:val="0"/>
          <w:sz w:val="24"/>
          <w:szCs w:val="24"/>
        </w:rPr>
      </w:pPr>
      <w:bookmarkStart w:id="1091" w:name="_Toc8215"/>
      <w:bookmarkEnd w:id="1091"/>
      <w:r>
        <w:rPr>
          <w:rFonts w:hint="eastAsia" w:cs="宋体"/>
          <w:b/>
          <w:bCs/>
          <w:kern w:val="0"/>
          <w:sz w:val="24"/>
          <w:szCs w:val="24"/>
        </w:rPr>
        <w:t>7、其他需要特别警示的事项</w:t>
      </w:r>
    </w:p>
    <w:p>
      <w:pPr>
        <w:spacing w:line="360" w:lineRule="auto"/>
        <w:ind w:firstLine="480" w:firstLineChars="200"/>
        <w:rPr>
          <w:rFonts w:cs="宋体"/>
          <w:sz w:val="24"/>
          <w:szCs w:val="24"/>
        </w:rPr>
      </w:pPr>
      <w:r>
        <w:rPr>
          <w:rFonts w:hint="eastAsia" w:cs="宋体"/>
          <w:sz w:val="24"/>
          <w:szCs w:val="24"/>
        </w:rPr>
        <w:t>未经应急处置组组长允许，任何人不得进入事故现场。</w:t>
      </w:r>
    </w:p>
    <w:p>
      <w:pPr>
        <w:pStyle w:val="4"/>
        <w:pageBreakBefore/>
        <w:spacing w:line="520" w:lineRule="exact"/>
        <w:rPr>
          <w:rStyle w:val="51"/>
          <w:rFonts w:hint="default" w:ascii="Times New Roman" w:hAnsi="Times New Roman" w:cs="宋体"/>
          <w:b/>
          <w:bCs/>
          <w:sz w:val="24"/>
          <w:szCs w:val="24"/>
        </w:rPr>
      </w:pPr>
      <w:bookmarkStart w:id="1092" w:name="_Toc86"/>
      <w:bookmarkEnd w:id="1092"/>
      <w:bookmarkStart w:id="1093" w:name="_Toc9141"/>
      <w:bookmarkEnd w:id="1093"/>
      <w:bookmarkStart w:id="1094" w:name="_Toc530594698"/>
      <w:bookmarkStart w:id="1095" w:name="_Toc504989669"/>
      <w:bookmarkStart w:id="1096" w:name="_Toc29481"/>
      <w:bookmarkStart w:id="1097" w:name="_Toc30157"/>
      <w:bookmarkStart w:id="1098" w:name="_Toc14650"/>
      <w:bookmarkStart w:id="1099" w:name="_Toc12651"/>
      <w:r>
        <w:rPr>
          <w:rStyle w:val="51"/>
          <w:rFonts w:hint="default" w:ascii="Times New Roman" w:hAnsi="Times New Roman" w:cs="宋体"/>
          <w:b/>
          <w:bCs/>
          <w:sz w:val="24"/>
          <w:szCs w:val="24"/>
        </w:rPr>
        <w:t>附件7简易医疗救护方法</w:t>
      </w:r>
      <w:bookmarkEnd w:id="1094"/>
      <w:bookmarkEnd w:id="1095"/>
      <w:bookmarkEnd w:id="1096"/>
      <w:bookmarkEnd w:id="1097"/>
      <w:bookmarkEnd w:id="1098"/>
      <w:bookmarkEnd w:id="1099"/>
    </w:p>
    <w:p>
      <w:pPr>
        <w:widowControl/>
        <w:adjustRightInd w:val="0"/>
        <w:snapToGrid w:val="0"/>
        <w:spacing w:line="360" w:lineRule="auto"/>
        <w:ind w:firstLine="480" w:firstLineChars="200"/>
        <w:rPr>
          <w:rFonts w:cs="宋体"/>
          <w:kern w:val="0"/>
          <w:sz w:val="24"/>
          <w:szCs w:val="24"/>
        </w:rPr>
      </w:pPr>
      <w:bookmarkStart w:id="1100" w:name="_Toc238976698"/>
      <w:bookmarkEnd w:id="1100"/>
      <w:r>
        <w:rPr>
          <w:rFonts w:hint="eastAsia" w:cs="宋体"/>
          <w:kern w:val="0"/>
          <w:sz w:val="24"/>
          <w:szCs w:val="24"/>
        </w:rPr>
        <w:t>1、口对口吹气，人工呼吸的操作</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（1）病人仰卧。</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（2）清除口内异物。</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（3）头部后仰。</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4）具体操作：先用一手捏住病人的下巴，把下巴提起，另一手捏住鼻子，不使漏气。救治者深吸一口气，俯首将嘴紧贴住病人的嘴，吹气入口；同时，要观察病人的胸膛看看吹气时胸膛是否高起，吹完气，嘴立刻离开，让病人把肺内的气“呼”出。最初吹的六、七口气要快些，以后，不必太快，只要看到高起的胸膛下落，表示肺内的气已排出，就可以接着吹下一口气。</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对一个成年人来说，每分钟吹气14～16次即可。</w:t>
      </w:r>
    </w:p>
    <w:p>
      <w:pPr>
        <w:widowControl/>
        <w:adjustRightInd w:val="0"/>
        <w:snapToGrid w:val="0"/>
        <w:spacing w:line="360" w:lineRule="auto"/>
        <w:ind w:firstLine="480" w:firstLineChars="200"/>
        <w:rPr>
          <w:rFonts w:cs="宋体"/>
          <w:kern w:val="0"/>
          <w:sz w:val="24"/>
          <w:szCs w:val="24"/>
        </w:rPr>
      </w:pPr>
      <w:bookmarkStart w:id="1101" w:name="_Toc238976699"/>
      <w:bookmarkEnd w:id="1101"/>
      <w:r>
        <w:rPr>
          <w:rFonts w:hint="eastAsia" w:cs="宋体"/>
          <w:kern w:val="0"/>
          <w:sz w:val="24"/>
          <w:szCs w:val="24"/>
        </w:rPr>
        <w:t>2、心脏按压的方法</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（1）准备工作：把暂时没有心跳的病人，平躺在地上或硬床上，动作要快。救治者，靠在他的胸部。</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2）操作方法：将手掌跟部放在病人胸骨下半部，另一手的掌跟叠放在这只手上，再伸直两只胳臂，以均匀的力量，向下按压。按压的力量要适中，刚刚能把胸骨下移4-5cm（指成年人）即可。按压之后，立刻抬手，抬手要快，让胸骨迅速复原，血就从大血管灌入心脏，这样一压一松，即称为“胸外心脏按压”。</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每分钟下压的次数，以80次左右为宜，假如只有一个人时，即每按压心脏15次，再转过身作人工呼吸，连吹气二次，接着再压心脏。</w:t>
      </w:r>
    </w:p>
    <w:p>
      <w:pPr>
        <w:pStyle w:val="4"/>
        <w:pageBreakBefore/>
        <w:spacing w:line="520" w:lineRule="exact"/>
        <w:rPr>
          <w:rFonts w:ascii="Times New Roman" w:hAnsi="Times New Roman" w:eastAsia="宋体" w:cs="宋体"/>
          <w:sz w:val="24"/>
          <w:szCs w:val="24"/>
        </w:rPr>
      </w:pPr>
      <w:bookmarkStart w:id="1102" w:name="_Toc18652"/>
      <w:bookmarkEnd w:id="1102"/>
      <w:bookmarkStart w:id="1103" w:name="_Toc504989670"/>
      <w:bookmarkStart w:id="1104" w:name="_Toc530594699"/>
      <w:bookmarkStart w:id="1105" w:name="_Toc21520"/>
      <w:bookmarkStart w:id="1106" w:name="_Toc22842"/>
      <w:bookmarkStart w:id="1107" w:name="_Toc7003"/>
      <w:bookmarkStart w:id="1108" w:name="_Toc8871"/>
      <w:r>
        <w:rPr>
          <w:rStyle w:val="51"/>
          <w:rFonts w:hint="default" w:ascii="Times New Roman" w:hAnsi="Times New Roman" w:cs="宋体"/>
          <w:b/>
          <w:bCs/>
          <w:sz w:val="24"/>
          <w:szCs w:val="24"/>
        </w:rPr>
        <w:t>附件8重点监管危险化学品（</w:t>
      </w:r>
      <w:bookmarkStart w:id="1109" w:name="_Toc284969806"/>
      <w:r>
        <w:rPr>
          <w:rFonts w:hint="eastAsia" w:ascii="Times New Roman" w:hAnsi="Times New Roman" w:eastAsia="宋体" w:cs="宋体"/>
          <w:sz w:val="24"/>
          <w:szCs w:val="24"/>
        </w:rPr>
        <w:t>汽油</w:t>
      </w:r>
      <w:bookmarkEnd w:id="1109"/>
      <w:r>
        <w:rPr>
          <w:rStyle w:val="51"/>
          <w:rFonts w:hint="default" w:ascii="Times New Roman" w:hAnsi="Times New Roman" w:cs="宋体"/>
          <w:b/>
          <w:bCs/>
          <w:sz w:val="24"/>
          <w:szCs w:val="24"/>
        </w:rPr>
        <w:t>）安全措施和应急处置原则</w:t>
      </w:r>
      <w:bookmarkEnd w:id="1103"/>
      <w:bookmarkEnd w:id="1104"/>
      <w:bookmarkEnd w:id="1105"/>
      <w:bookmarkEnd w:id="1106"/>
      <w:bookmarkEnd w:id="1107"/>
      <w:bookmarkEnd w:id="1108"/>
      <w:bookmarkStart w:id="1110" w:name="_Toc292543295"/>
      <w:bookmarkEnd w:id="1110"/>
    </w:p>
    <w:tbl>
      <w:tblPr>
        <w:tblStyle w:val="35"/>
        <w:tblW w:w="889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65"/>
        <w:gridCol w:w="77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50" w:hRule="atLeast"/>
          <w:jc w:val="center"/>
        </w:trPr>
        <w:tc>
          <w:tcPr>
            <w:tcW w:w="1165" w:type="dxa"/>
            <w:vAlign w:val="center"/>
          </w:tcPr>
          <w:p>
            <w:pPr>
              <w:pStyle w:val="44"/>
              <w:widowControl w:val="0"/>
              <w:spacing w:before="0" w:beforeAutospacing="0" w:after="0" w:afterAutospacing="0" w:line="260" w:lineRule="exact"/>
              <w:jc w:val="center"/>
              <w:rPr>
                <w:rFonts w:ascii="Times New Roman" w:hAnsi="Times New Roman"/>
                <w:b/>
                <w:bCs/>
                <w:sz w:val="21"/>
                <w:szCs w:val="21"/>
              </w:rPr>
            </w:pPr>
            <w:r>
              <w:rPr>
                <w:rFonts w:hint="eastAsia" w:ascii="Times New Roman" w:hAnsi="Times New Roman"/>
                <w:b/>
                <w:bCs/>
                <w:sz w:val="21"/>
                <w:szCs w:val="21"/>
              </w:rPr>
              <w:t>特别警示</w:t>
            </w:r>
          </w:p>
        </w:tc>
        <w:tc>
          <w:tcPr>
            <w:tcW w:w="7731" w:type="dxa"/>
            <w:vAlign w:val="center"/>
          </w:tcPr>
          <w:p>
            <w:pPr>
              <w:pStyle w:val="29"/>
              <w:spacing w:before="0" w:beforeAutospacing="0" w:after="0" w:afterAutospacing="0" w:line="260" w:lineRule="exact"/>
              <w:jc w:val="both"/>
              <w:rPr>
                <w:rStyle w:val="54"/>
                <w:rFonts w:hint="default" w:ascii="Times New Roman" w:hAnsi="Times New Roman"/>
                <w:sz w:val="21"/>
                <w:szCs w:val="21"/>
              </w:rPr>
            </w:pPr>
            <w:r>
              <w:rPr>
                <w:rStyle w:val="54"/>
                <w:rFonts w:hint="default" w:ascii="Times New Roman" w:hAnsi="Times New Roman"/>
                <w:sz w:val="21"/>
                <w:szCs w:val="21"/>
              </w:rPr>
              <w:t>汽油属高度易燃液体；不得使用直流水扑救（用水灭火无效）。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65" w:type="dxa"/>
            <w:vAlign w:val="center"/>
          </w:tcPr>
          <w:p>
            <w:pPr>
              <w:pStyle w:val="44"/>
              <w:widowControl w:val="0"/>
              <w:spacing w:before="0" w:beforeAutospacing="0" w:after="0" w:afterAutospacing="0" w:line="260" w:lineRule="exact"/>
              <w:jc w:val="center"/>
              <w:rPr>
                <w:rFonts w:ascii="Times New Roman" w:hAnsi="Times New Roman"/>
                <w:b/>
                <w:bCs/>
                <w:sz w:val="21"/>
                <w:szCs w:val="21"/>
              </w:rPr>
            </w:pPr>
            <w:r>
              <w:rPr>
                <w:rFonts w:hint="eastAsia" w:ascii="Times New Roman" w:hAnsi="Times New Roman"/>
                <w:b/>
                <w:bCs/>
                <w:sz w:val="21"/>
                <w:szCs w:val="21"/>
              </w:rPr>
              <w:t>理</w:t>
            </w:r>
          </w:p>
          <w:p>
            <w:pPr>
              <w:pStyle w:val="44"/>
              <w:widowControl w:val="0"/>
              <w:spacing w:before="0" w:beforeAutospacing="0" w:after="0" w:afterAutospacing="0" w:line="260" w:lineRule="exact"/>
              <w:jc w:val="center"/>
              <w:rPr>
                <w:rFonts w:ascii="Times New Roman" w:hAnsi="Times New Roman"/>
                <w:b/>
                <w:bCs/>
                <w:sz w:val="21"/>
                <w:szCs w:val="21"/>
              </w:rPr>
            </w:pPr>
            <w:r>
              <w:rPr>
                <w:rFonts w:hint="eastAsia" w:ascii="Times New Roman" w:hAnsi="Times New Roman"/>
                <w:b/>
                <w:bCs/>
                <w:sz w:val="21"/>
                <w:szCs w:val="21"/>
              </w:rPr>
              <w:t>化</w:t>
            </w:r>
          </w:p>
          <w:p>
            <w:pPr>
              <w:pStyle w:val="44"/>
              <w:widowControl w:val="0"/>
              <w:spacing w:before="0" w:beforeAutospacing="0" w:after="0" w:afterAutospacing="0" w:line="260" w:lineRule="exact"/>
              <w:jc w:val="center"/>
              <w:rPr>
                <w:rFonts w:ascii="Times New Roman" w:hAnsi="Times New Roman"/>
                <w:b/>
                <w:bCs/>
                <w:sz w:val="21"/>
                <w:szCs w:val="21"/>
              </w:rPr>
            </w:pPr>
            <w:r>
              <w:rPr>
                <w:rFonts w:hint="eastAsia" w:ascii="Times New Roman" w:hAnsi="Times New Roman"/>
                <w:b/>
                <w:bCs/>
                <w:sz w:val="21"/>
                <w:szCs w:val="21"/>
              </w:rPr>
              <w:t>特</w:t>
            </w:r>
          </w:p>
          <w:p>
            <w:pPr>
              <w:pStyle w:val="44"/>
              <w:widowControl w:val="0"/>
              <w:spacing w:before="0" w:beforeAutospacing="0" w:after="0" w:afterAutospacing="0" w:line="260" w:lineRule="exact"/>
              <w:jc w:val="center"/>
              <w:rPr>
                <w:rFonts w:ascii="Times New Roman" w:hAnsi="Times New Roman"/>
                <w:sz w:val="21"/>
                <w:szCs w:val="21"/>
              </w:rPr>
            </w:pPr>
            <w:r>
              <w:rPr>
                <w:rFonts w:hint="eastAsia" w:ascii="Times New Roman" w:hAnsi="Times New Roman"/>
                <w:b/>
                <w:bCs/>
                <w:sz w:val="21"/>
                <w:szCs w:val="21"/>
              </w:rPr>
              <w:t>性</w:t>
            </w:r>
          </w:p>
        </w:tc>
        <w:tc>
          <w:tcPr>
            <w:tcW w:w="7731" w:type="dxa"/>
          </w:tcPr>
          <w:p>
            <w:pPr>
              <w:pStyle w:val="29"/>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汽油为无色到浅黄色的透明液体。依据《车用无铅汽油》(GB17930)生产的车用无铅汽油，按研究法辛烷值(RON)分为90号、93号和95号三个牌号，相对密度（水=1）0.70～0.80，相对蒸气密度（空气=1）3～4，闪点-46℃，爆炸极限1.4～7.6%（体积比），自燃温度415～530℃，最大爆炸压力0.813MPa；石脑油主要成分为C4～C6的烷烃，相对密度0.78～0.97，闪点-2℃，爆炸极限1.1～8.7%（体积比）。</w:t>
            </w:r>
          </w:p>
          <w:p>
            <w:pPr>
              <w:pStyle w:val="29"/>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主要用途：汽油主要用作汽油机的燃料， 可用于橡胶、制鞋、印刷、制革、颜料等行业， 也可用作机械零件的去污剂；石脑油主要用作裂解、催化重整和制氨原料，也可作为化工原料或一般溶剂，在石油炼制方面是制作清洁汽油的主要原料。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65" w:type="dxa"/>
            <w:vAlign w:val="center"/>
          </w:tcPr>
          <w:p>
            <w:pPr>
              <w:pStyle w:val="44"/>
              <w:widowControl w:val="0"/>
              <w:spacing w:before="0" w:beforeAutospacing="0" w:after="0" w:afterAutospacing="0" w:line="260" w:lineRule="exact"/>
              <w:jc w:val="center"/>
              <w:rPr>
                <w:rFonts w:ascii="Times New Roman" w:hAnsi="Times New Roman"/>
                <w:b/>
                <w:bCs/>
                <w:sz w:val="21"/>
                <w:szCs w:val="21"/>
              </w:rPr>
            </w:pPr>
            <w:r>
              <w:rPr>
                <w:rFonts w:hint="eastAsia" w:ascii="Times New Roman" w:hAnsi="Times New Roman"/>
                <w:b/>
                <w:bCs/>
                <w:sz w:val="21"/>
                <w:szCs w:val="21"/>
              </w:rPr>
              <w:t>危</w:t>
            </w:r>
          </w:p>
          <w:p>
            <w:pPr>
              <w:pStyle w:val="44"/>
              <w:widowControl w:val="0"/>
              <w:spacing w:before="0" w:beforeAutospacing="0" w:after="0" w:afterAutospacing="0" w:line="260" w:lineRule="exact"/>
              <w:jc w:val="center"/>
              <w:rPr>
                <w:rFonts w:ascii="Times New Roman" w:hAnsi="Times New Roman"/>
                <w:b/>
                <w:bCs/>
                <w:sz w:val="21"/>
                <w:szCs w:val="21"/>
              </w:rPr>
            </w:pPr>
            <w:r>
              <w:rPr>
                <w:rFonts w:hint="eastAsia" w:ascii="Times New Roman" w:hAnsi="Times New Roman"/>
                <w:b/>
                <w:bCs/>
                <w:sz w:val="21"/>
                <w:szCs w:val="21"/>
              </w:rPr>
              <w:t>害</w:t>
            </w:r>
          </w:p>
          <w:p>
            <w:pPr>
              <w:pStyle w:val="44"/>
              <w:widowControl w:val="0"/>
              <w:spacing w:before="0" w:beforeAutospacing="0" w:after="0" w:afterAutospacing="0" w:line="260" w:lineRule="exact"/>
              <w:jc w:val="center"/>
              <w:rPr>
                <w:rFonts w:ascii="Times New Roman" w:hAnsi="Times New Roman"/>
                <w:b/>
                <w:bCs/>
                <w:sz w:val="21"/>
                <w:szCs w:val="21"/>
              </w:rPr>
            </w:pPr>
            <w:r>
              <w:rPr>
                <w:rFonts w:hint="eastAsia" w:ascii="Times New Roman" w:hAnsi="Times New Roman"/>
                <w:b/>
                <w:bCs/>
                <w:sz w:val="21"/>
                <w:szCs w:val="21"/>
              </w:rPr>
              <w:t>信</w:t>
            </w:r>
          </w:p>
          <w:p>
            <w:pPr>
              <w:pStyle w:val="44"/>
              <w:widowControl w:val="0"/>
              <w:spacing w:before="0" w:beforeAutospacing="0" w:after="0" w:afterAutospacing="0" w:line="260" w:lineRule="exact"/>
              <w:jc w:val="center"/>
              <w:rPr>
                <w:rFonts w:ascii="Times New Roman" w:hAnsi="Times New Roman"/>
                <w:sz w:val="21"/>
                <w:szCs w:val="21"/>
              </w:rPr>
            </w:pPr>
            <w:r>
              <w:rPr>
                <w:rFonts w:hint="eastAsia" w:ascii="Times New Roman" w:hAnsi="Times New Roman"/>
                <w:b/>
                <w:bCs/>
                <w:sz w:val="21"/>
                <w:szCs w:val="21"/>
              </w:rPr>
              <w:t>息</w:t>
            </w:r>
          </w:p>
        </w:tc>
        <w:tc>
          <w:tcPr>
            <w:tcW w:w="7731" w:type="dxa"/>
          </w:tcPr>
          <w:p>
            <w:pPr>
              <w:pStyle w:val="29"/>
              <w:spacing w:before="0" w:beforeAutospacing="0" w:after="0" w:afterAutospacing="0" w:line="260" w:lineRule="exact"/>
              <w:jc w:val="both"/>
              <w:rPr>
                <w:rFonts w:ascii="Times New Roman" w:hAnsi="Times New Roman"/>
                <w:b/>
                <w:bCs/>
                <w:sz w:val="21"/>
                <w:szCs w:val="21"/>
              </w:rPr>
            </w:pPr>
            <w:r>
              <w:rPr>
                <w:rFonts w:hint="eastAsia" w:ascii="Times New Roman" w:hAnsi="Times New Roman"/>
                <w:sz w:val="21"/>
                <w:szCs w:val="21"/>
              </w:rPr>
              <w:t>【燃烧和爆炸危险性】</w:t>
            </w:r>
          </w:p>
          <w:p>
            <w:pPr>
              <w:pStyle w:val="29"/>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高度易燃，蒸气与空气能形成爆炸性混合物，遇明火、高热能引起燃烧爆炸。高速冲击、流动、激荡后可因产生静电火花放电引起燃烧爆炸。蒸气比空气重，能在较低处扩散到相当远的地方，遇火源会着火回燃和爆炸。</w:t>
            </w:r>
          </w:p>
          <w:p>
            <w:pPr>
              <w:pStyle w:val="29"/>
              <w:spacing w:before="0" w:beforeAutospacing="0" w:after="0" w:afterAutospacing="0" w:line="260" w:lineRule="exact"/>
              <w:rPr>
                <w:rStyle w:val="54"/>
                <w:rFonts w:hint="default" w:ascii="Times New Roman" w:hAnsi="Times New Roman"/>
                <w:b/>
                <w:bCs/>
                <w:sz w:val="21"/>
                <w:szCs w:val="21"/>
              </w:rPr>
            </w:pPr>
            <w:r>
              <w:rPr>
                <w:rFonts w:hint="eastAsia" w:ascii="Times New Roman" w:hAnsi="Times New Roman"/>
                <w:sz w:val="21"/>
                <w:szCs w:val="21"/>
              </w:rPr>
              <w:t>【健康危害】</w:t>
            </w:r>
          </w:p>
          <w:p>
            <w:pPr>
              <w:pStyle w:val="29"/>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汽油为麻醉性毒物，高浓度吸入出现中毒性脑病，极高浓度吸入引起意识突然丧失、反射性呼吸停止。误将汽油吸入呼吸道可引起吸入性肺炎。</w:t>
            </w:r>
          </w:p>
          <w:p>
            <w:pPr>
              <w:pStyle w:val="29"/>
              <w:spacing w:before="0" w:beforeAutospacing="0" w:after="0" w:afterAutospacing="0" w:line="260" w:lineRule="exact"/>
              <w:ind w:firstLine="420" w:firstLineChars="200"/>
              <w:rPr>
                <w:rFonts w:ascii="Times New Roman" w:hAnsi="Times New Roman"/>
                <w:sz w:val="21"/>
                <w:szCs w:val="21"/>
              </w:rPr>
            </w:pPr>
            <w:r>
              <w:rPr>
                <w:rStyle w:val="54"/>
                <w:rFonts w:hint="default" w:ascii="Times New Roman" w:hAnsi="Times New Roman"/>
                <w:sz w:val="21"/>
                <w:szCs w:val="21"/>
              </w:rPr>
              <w:t>职业接触限值：PC-TWA(时间加权平均容许浓度)(mg/m</w:t>
            </w:r>
            <w:r>
              <w:rPr>
                <w:rStyle w:val="54"/>
                <w:rFonts w:hint="default" w:ascii="Times New Roman" w:hAnsi="Times New Roman"/>
                <w:sz w:val="21"/>
                <w:szCs w:val="21"/>
                <w:vertAlign w:val="superscript"/>
              </w:rPr>
              <w:t>3</w:t>
            </w:r>
            <w:r>
              <w:rPr>
                <w:rStyle w:val="54"/>
                <w:rFonts w:hint="default" w:ascii="Times New Roman" w:hAnsi="Times New Roman"/>
                <w:sz w:val="21"/>
                <w:szCs w:val="21"/>
              </w:rPr>
              <w:t>):300（汽油）。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65" w:type="dxa"/>
            <w:vAlign w:val="center"/>
          </w:tcPr>
          <w:p>
            <w:pPr>
              <w:pStyle w:val="44"/>
              <w:widowControl w:val="0"/>
              <w:spacing w:before="0" w:beforeAutospacing="0" w:after="0" w:afterAutospacing="0" w:line="260" w:lineRule="exact"/>
              <w:jc w:val="center"/>
              <w:rPr>
                <w:rFonts w:ascii="Times New Roman" w:hAnsi="Times New Roman"/>
                <w:b/>
                <w:bCs/>
                <w:sz w:val="21"/>
                <w:szCs w:val="21"/>
              </w:rPr>
            </w:pPr>
            <w:r>
              <w:rPr>
                <w:rFonts w:hint="eastAsia" w:ascii="Times New Roman" w:hAnsi="Times New Roman"/>
                <w:b/>
                <w:bCs/>
                <w:sz w:val="21"/>
                <w:szCs w:val="21"/>
              </w:rPr>
              <w:t>安</w:t>
            </w:r>
          </w:p>
          <w:p>
            <w:pPr>
              <w:pStyle w:val="44"/>
              <w:widowControl w:val="0"/>
              <w:spacing w:before="0" w:beforeAutospacing="0" w:after="0" w:afterAutospacing="0" w:line="260" w:lineRule="exact"/>
              <w:jc w:val="center"/>
              <w:rPr>
                <w:rFonts w:ascii="Times New Roman" w:hAnsi="Times New Roman"/>
                <w:b/>
                <w:bCs/>
                <w:sz w:val="21"/>
                <w:szCs w:val="21"/>
              </w:rPr>
            </w:pPr>
            <w:r>
              <w:rPr>
                <w:rFonts w:hint="eastAsia" w:ascii="Times New Roman" w:hAnsi="Times New Roman"/>
                <w:b/>
                <w:bCs/>
                <w:sz w:val="21"/>
                <w:szCs w:val="21"/>
              </w:rPr>
              <w:t>全</w:t>
            </w:r>
          </w:p>
          <w:p>
            <w:pPr>
              <w:pStyle w:val="44"/>
              <w:widowControl w:val="0"/>
              <w:spacing w:before="0" w:beforeAutospacing="0" w:after="0" w:afterAutospacing="0" w:line="260" w:lineRule="exact"/>
              <w:jc w:val="center"/>
              <w:rPr>
                <w:rFonts w:ascii="Times New Roman" w:hAnsi="Times New Roman"/>
                <w:b/>
                <w:bCs/>
                <w:sz w:val="21"/>
                <w:szCs w:val="21"/>
              </w:rPr>
            </w:pPr>
            <w:r>
              <w:rPr>
                <w:rFonts w:hint="eastAsia" w:ascii="Times New Roman" w:hAnsi="Times New Roman"/>
                <w:b/>
                <w:bCs/>
                <w:sz w:val="21"/>
                <w:szCs w:val="21"/>
              </w:rPr>
              <w:t>措</w:t>
            </w:r>
          </w:p>
          <w:p>
            <w:pPr>
              <w:pStyle w:val="44"/>
              <w:widowControl w:val="0"/>
              <w:spacing w:before="0" w:beforeAutospacing="0" w:after="0" w:afterAutospacing="0" w:line="260" w:lineRule="exact"/>
              <w:jc w:val="center"/>
              <w:rPr>
                <w:rFonts w:ascii="Times New Roman" w:hAnsi="Times New Roman"/>
                <w:sz w:val="21"/>
                <w:szCs w:val="21"/>
              </w:rPr>
            </w:pPr>
            <w:r>
              <w:rPr>
                <w:rFonts w:hint="eastAsia" w:ascii="Times New Roman" w:hAnsi="Times New Roman"/>
                <w:b/>
                <w:bCs/>
                <w:sz w:val="21"/>
                <w:szCs w:val="21"/>
              </w:rPr>
              <w:t>施</w:t>
            </w:r>
          </w:p>
        </w:tc>
        <w:tc>
          <w:tcPr>
            <w:tcW w:w="7731" w:type="dxa"/>
          </w:tcPr>
          <w:p>
            <w:pPr>
              <w:pStyle w:val="29"/>
              <w:spacing w:before="0" w:beforeAutospacing="0" w:after="0" w:afterAutospacing="0" w:line="260" w:lineRule="exact"/>
              <w:rPr>
                <w:rFonts w:ascii="Times New Roman" w:hAnsi="Times New Roman"/>
                <w:b/>
                <w:bCs/>
                <w:sz w:val="21"/>
                <w:szCs w:val="21"/>
              </w:rPr>
            </w:pPr>
            <w:r>
              <w:rPr>
                <w:rFonts w:hint="eastAsia" w:ascii="Times New Roman" w:hAnsi="Times New Roman"/>
                <w:sz w:val="21"/>
                <w:szCs w:val="21"/>
              </w:rPr>
              <w:t>【一般要求】</w:t>
            </w:r>
          </w:p>
          <w:p>
            <w:pPr>
              <w:pStyle w:val="29"/>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操作人员必须经过专门培训，严格遵守操作规程，熟练掌握操作技能，具备应急处置知识。</w:t>
            </w:r>
          </w:p>
          <w:p>
            <w:pPr>
              <w:pStyle w:val="29"/>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密闭操作，防止泄漏，工作场所全面通风。远离火种、热源，工作场所严禁吸烟。配备易燃气体泄漏监测报警仪，使用防爆型通风系统和设备，配备两套以上重型防护服。操作人员穿防静电工作服，戴耐油橡胶手套。</w:t>
            </w:r>
          </w:p>
          <w:p>
            <w:pPr>
              <w:pStyle w:val="29"/>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储罐等容器和设备应设置液位计、温度计，并应装有带液位、温度远传记录和报警功能的安全装置。</w:t>
            </w:r>
          </w:p>
          <w:p>
            <w:pPr>
              <w:pStyle w:val="29"/>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避免与氧化剂接触。</w:t>
            </w:r>
          </w:p>
          <w:p>
            <w:pPr>
              <w:pStyle w:val="29"/>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生产、储存区域应设置安全警示标志。灌装时应控制流速，且有接地装置，防止静电积聚。搬运时要轻装轻卸，防止包装及容器损坏。配备相应品种和数量的消防器材及泄漏应急处理设备。</w:t>
            </w:r>
          </w:p>
          <w:p>
            <w:pPr>
              <w:pStyle w:val="29"/>
              <w:spacing w:before="0" w:beforeAutospacing="0" w:after="0" w:afterAutospacing="0" w:line="260" w:lineRule="exact"/>
              <w:rPr>
                <w:rFonts w:ascii="Times New Roman" w:hAnsi="Times New Roman"/>
                <w:b/>
                <w:bCs/>
                <w:sz w:val="21"/>
                <w:szCs w:val="21"/>
              </w:rPr>
            </w:pPr>
            <w:r>
              <w:rPr>
                <w:rFonts w:hint="eastAsia" w:ascii="Times New Roman" w:hAnsi="Times New Roman"/>
                <w:sz w:val="21"/>
                <w:szCs w:val="21"/>
              </w:rPr>
              <w:t>【特殊要求】</w:t>
            </w:r>
          </w:p>
          <w:p>
            <w:pPr>
              <w:pStyle w:val="29"/>
              <w:spacing w:before="0" w:beforeAutospacing="0" w:after="0" w:afterAutospacing="0" w:line="260" w:lineRule="exact"/>
              <w:rPr>
                <w:rStyle w:val="54"/>
                <w:rFonts w:hint="default" w:ascii="Times New Roman" w:hAnsi="Times New Roman"/>
                <w:sz w:val="21"/>
                <w:szCs w:val="21"/>
              </w:rPr>
            </w:pPr>
            <w:r>
              <w:rPr>
                <w:rFonts w:hint="eastAsia" w:ascii="Times New Roman" w:hAnsi="Times New Roman"/>
                <w:b/>
                <w:bCs/>
                <w:sz w:val="21"/>
                <w:szCs w:val="21"/>
              </w:rPr>
              <w:t>【</w:t>
            </w:r>
            <w:r>
              <w:rPr>
                <w:rStyle w:val="54"/>
                <w:rFonts w:hint="default" w:ascii="Times New Roman" w:hAnsi="Times New Roman"/>
                <w:sz w:val="21"/>
                <w:szCs w:val="21"/>
              </w:rPr>
              <w:t>操作安全</w:t>
            </w:r>
            <w:r>
              <w:rPr>
                <w:rFonts w:hint="eastAsia" w:ascii="Times New Roman" w:hAnsi="Times New Roman"/>
                <w:b/>
                <w:bCs/>
                <w:sz w:val="21"/>
                <w:szCs w:val="21"/>
              </w:rPr>
              <w:t>】</w:t>
            </w:r>
          </w:p>
          <w:p>
            <w:pPr>
              <w:pStyle w:val="29"/>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（1）油罐及贮存桶装汽油附近要严禁烟火。禁止将汽油与其他易燃物放在一起。</w:t>
            </w:r>
          </w:p>
          <w:p>
            <w:pPr>
              <w:pStyle w:val="29"/>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2）往油罐或油罐汽车装油时，输油管要插入油面以下或接近罐的底部，以减少油料的冲击和与空气的摩擦。沾油料的布、油棉纱头、油手套等不要放在油库、车库内，以免自燃。不要用铁器工具敲击汽油桶，特别是空汽油桶更危险。因为桶内充满汽油与空气的混合气，而且经常处于爆炸极限之内，一遇明火，就能引起爆炸。</w:t>
            </w:r>
          </w:p>
          <w:p>
            <w:pPr>
              <w:pStyle w:val="29"/>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（3）当进行灌装汽油时，邻近的汽车、拖拉机的排气管要戴上防火帽后才能发动，存汽油地点附近严禁检修车辆。</w:t>
            </w:r>
          </w:p>
          <w:p>
            <w:pPr>
              <w:pStyle w:val="29"/>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（4）汽油油罐和贮存汽油区的上空，不应有电线通过。油罐、库房与电线的距离要为电杆长度的1.5倍以上。</w:t>
            </w:r>
          </w:p>
          <w:p>
            <w:pPr>
              <w:pStyle w:val="29"/>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（5）注意仓库及操作场所的通风，使油蒸气容易逸散。</w:t>
            </w:r>
          </w:p>
          <w:p>
            <w:pPr>
              <w:pStyle w:val="44"/>
              <w:widowControl w:val="0"/>
              <w:spacing w:before="0" w:beforeAutospacing="0" w:after="0" w:afterAutospacing="0" w:line="260" w:lineRule="exact"/>
              <w:jc w:val="both"/>
              <w:rPr>
                <w:rFonts w:ascii="Times New Roman" w:hAnsi="Times New Roman"/>
                <w:b/>
                <w:bCs/>
                <w:sz w:val="21"/>
                <w:szCs w:val="21"/>
              </w:rPr>
            </w:pPr>
            <w:r>
              <w:rPr>
                <w:rFonts w:hint="eastAsia" w:ascii="Times New Roman" w:hAnsi="Times New Roman"/>
                <w:sz w:val="21"/>
                <w:szCs w:val="21"/>
              </w:rPr>
              <w:t>【储存安全】</w:t>
            </w:r>
          </w:p>
          <w:p>
            <w:pPr>
              <w:pStyle w:val="29"/>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（1）储存于阴凉、通风的库房。远离火种、热源。库房温度不宜超过30℃。炎热季节应采取喷淋、通风等降温措施。</w:t>
            </w:r>
          </w:p>
          <w:p>
            <w:pPr>
              <w:pStyle w:val="29"/>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（2）应与氧化剂分开存放，切忌混储。用储罐、铁桶等容器盛装，不要用塑料桶来存放汽油。盛装时，切不可充满，要留出必要的安全空间。</w:t>
            </w:r>
          </w:p>
          <w:p>
            <w:pPr>
              <w:pStyle w:val="29"/>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（3）采用防爆型照明、通风设施。禁止使用易产生火花的机械设备和工具。储存区应备有泄漏应急处理设备和合适的收容材料。罐储时要有防火防爆技术措施。对于1000m</w:t>
            </w:r>
            <w:r>
              <w:rPr>
                <w:rStyle w:val="54"/>
                <w:rFonts w:hint="default" w:ascii="Times New Roman" w:hAnsi="Times New Roman"/>
                <w:sz w:val="21"/>
                <w:szCs w:val="21"/>
                <w:vertAlign w:val="superscript"/>
              </w:rPr>
              <w:t>3</w:t>
            </w:r>
            <w:r>
              <w:rPr>
                <w:rStyle w:val="54"/>
                <w:rFonts w:hint="default" w:ascii="Times New Roman" w:hAnsi="Times New Roman"/>
                <w:sz w:val="21"/>
                <w:szCs w:val="21"/>
              </w:rPr>
              <w:t>及以上的储罐顶部应有泡沫灭火设施等。</w:t>
            </w:r>
          </w:p>
          <w:p>
            <w:pPr>
              <w:spacing w:line="260" w:lineRule="exact"/>
              <w:rPr>
                <w:rFonts w:cs="宋体"/>
                <w:b/>
                <w:bCs/>
                <w:kern w:val="0"/>
              </w:rPr>
            </w:pPr>
            <w:r>
              <w:rPr>
                <w:rFonts w:hint="eastAsia" w:cs="宋体"/>
                <w:kern w:val="0"/>
              </w:rPr>
              <w:t>【运输安全】</w:t>
            </w:r>
          </w:p>
          <w:p>
            <w:pPr>
              <w:pStyle w:val="29"/>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（1）运输车辆应有危险货物运输标志、安装具有行驶记录功能的卫星定位装置。未经公安机关批准，运输车辆不得进入危险化学品运输车辆限制通行的区域。</w:t>
            </w:r>
          </w:p>
          <w:p>
            <w:pPr>
              <w:pStyle w:val="29"/>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（2）汽油装于专用的槽车(船)内运输，槽车(船)应定期清理；用其他包装容器运输时，容器须用盖密封。运送汽油的油罐汽车，必须有导静电拖线。对有每分钟0.5m</w:t>
            </w:r>
            <w:r>
              <w:rPr>
                <w:rStyle w:val="54"/>
                <w:rFonts w:hint="default" w:ascii="Times New Roman" w:hAnsi="Times New Roman"/>
                <w:sz w:val="21"/>
                <w:szCs w:val="21"/>
                <w:vertAlign w:val="superscript"/>
              </w:rPr>
              <w:t>3</w:t>
            </w:r>
            <w:r>
              <w:rPr>
                <w:rStyle w:val="54"/>
                <w:rFonts w:hint="default" w:ascii="Times New Roman" w:hAnsi="Times New Roman"/>
                <w:sz w:val="21"/>
                <w:szCs w:val="21"/>
              </w:rPr>
              <w:t>以上的快速装卸油设备的油罐汽车，在装卸油时，除了保证铁链接地外，更要将车上油罐的接地线插入地下并不得浅于100mm。运输时运输车辆应配备相应品种和数量的消防器材。装运该物品的车辆排气管必须配备阻火装置，禁止使用易产生火花的机械设备和工具装卸。汽车槽罐内可设孔隔板以减少震荡产生静电。</w:t>
            </w:r>
          </w:p>
          <w:p>
            <w:pPr>
              <w:pStyle w:val="29"/>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（3）严禁与氧化剂等混装混运。夏季最好早晚运输，运输途中应防曝晒、防雨淋、防高温。中途停留时应远离火种、热源、高温区及人口密集地段。</w:t>
            </w:r>
          </w:p>
          <w:p>
            <w:pPr>
              <w:pStyle w:val="29"/>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4）输送汽油的管道不应靠近热源敷设；管道采用地上敷设时，应在人员活动较多和易遭车辆、外来物撞击的地段，采取保护措施并设置明显的警示标志；汽油管道架空敷设时，管道应敷设在非燃烧体的支架或栈桥上。在已敷设的汽油管道下面，不得修建与汽油管道无关的建筑物和堆放易燃物品；汽油管道外壁颜色、标志应执行《工业管道的基本识别色、识别符号和安全标识》（GB 7231）的规定。</w:t>
            </w:r>
          </w:p>
          <w:p>
            <w:pPr>
              <w:pStyle w:val="29"/>
              <w:spacing w:before="0" w:beforeAutospacing="0" w:after="0" w:afterAutospacing="0" w:line="260" w:lineRule="exact"/>
              <w:ind w:firstLine="420" w:firstLineChars="200"/>
              <w:rPr>
                <w:rFonts w:ascii="Times New Roman" w:hAnsi="Times New Roman"/>
                <w:sz w:val="21"/>
                <w:szCs w:val="21"/>
              </w:rPr>
            </w:pPr>
            <w:r>
              <w:rPr>
                <w:rStyle w:val="54"/>
                <w:rFonts w:hint="default" w:ascii="Times New Roman" w:hAnsi="Times New Roman"/>
                <w:sz w:val="21"/>
                <w:szCs w:val="21"/>
              </w:rPr>
              <w:t>（5）输油管道地下铺设时，沿线应设置里程桩、转角桩、标志桩和测试桩，并设警示标志。运行应符合有关法律法规规定。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65" w:type="dxa"/>
            <w:vAlign w:val="center"/>
          </w:tcPr>
          <w:p>
            <w:pPr>
              <w:pStyle w:val="44"/>
              <w:widowControl w:val="0"/>
              <w:spacing w:before="0" w:beforeAutospacing="0" w:after="0" w:afterAutospacing="0" w:line="260" w:lineRule="exact"/>
              <w:jc w:val="center"/>
              <w:rPr>
                <w:rFonts w:ascii="Times New Roman" w:hAnsi="Times New Roman"/>
                <w:b/>
                <w:bCs/>
                <w:sz w:val="21"/>
                <w:szCs w:val="21"/>
              </w:rPr>
            </w:pPr>
            <w:r>
              <w:rPr>
                <w:rFonts w:hint="eastAsia" w:ascii="Times New Roman" w:hAnsi="Times New Roman"/>
                <w:b/>
                <w:bCs/>
                <w:sz w:val="21"/>
                <w:szCs w:val="21"/>
              </w:rPr>
              <w:t>应</w:t>
            </w:r>
          </w:p>
          <w:p>
            <w:pPr>
              <w:pStyle w:val="44"/>
              <w:widowControl w:val="0"/>
              <w:spacing w:before="0" w:beforeAutospacing="0" w:after="0" w:afterAutospacing="0" w:line="260" w:lineRule="exact"/>
              <w:jc w:val="center"/>
              <w:rPr>
                <w:rFonts w:ascii="Times New Roman" w:hAnsi="Times New Roman"/>
                <w:b/>
                <w:bCs/>
                <w:sz w:val="21"/>
                <w:szCs w:val="21"/>
              </w:rPr>
            </w:pPr>
            <w:r>
              <w:rPr>
                <w:rFonts w:hint="eastAsia" w:ascii="Times New Roman" w:hAnsi="Times New Roman"/>
                <w:b/>
                <w:bCs/>
                <w:sz w:val="21"/>
                <w:szCs w:val="21"/>
              </w:rPr>
              <w:t>急</w:t>
            </w:r>
          </w:p>
          <w:p>
            <w:pPr>
              <w:pStyle w:val="44"/>
              <w:widowControl w:val="0"/>
              <w:spacing w:before="0" w:beforeAutospacing="0" w:after="0" w:afterAutospacing="0" w:line="260" w:lineRule="exact"/>
              <w:jc w:val="center"/>
              <w:rPr>
                <w:rFonts w:ascii="Times New Roman" w:hAnsi="Times New Roman"/>
                <w:b/>
                <w:bCs/>
                <w:sz w:val="21"/>
                <w:szCs w:val="21"/>
              </w:rPr>
            </w:pPr>
            <w:r>
              <w:rPr>
                <w:rFonts w:hint="eastAsia" w:ascii="Times New Roman" w:hAnsi="Times New Roman"/>
                <w:b/>
                <w:bCs/>
                <w:sz w:val="21"/>
                <w:szCs w:val="21"/>
              </w:rPr>
              <w:t>处</w:t>
            </w:r>
          </w:p>
          <w:p>
            <w:pPr>
              <w:pStyle w:val="44"/>
              <w:widowControl w:val="0"/>
              <w:spacing w:before="0" w:beforeAutospacing="0" w:after="0" w:afterAutospacing="0" w:line="260" w:lineRule="exact"/>
              <w:jc w:val="center"/>
              <w:rPr>
                <w:rFonts w:ascii="Times New Roman" w:hAnsi="Times New Roman"/>
                <w:b/>
                <w:bCs/>
                <w:sz w:val="21"/>
                <w:szCs w:val="21"/>
              </w:rPr>
            </w:pPr>
            <w:r>
              <w:rPr>
                <w:rFonts w:hint="eastAsia" w:ascii="Times New Roman" w:hAnsi="Times New Roman"/>
                <w:b/>
                <w:bCs/>
                <w:sz w:val="21"/>
                <w:szCs w:val="21"/>
              </w:rPr>
              <w:t>置</w:t>
            </w:r>
          </w:p>
          <w:p>
            <w:pPr>
              <w:pStyle w:val="44"/>
              <w:widowControl w:val="0"/>
              <w:spacing w:before="0" w:beforeAutospacing="0" w:after="0" w:afterAutospacing="0" w:line="260" w:lineRule="exact"/>
              <w:jc w:val="center"/>
              <w:rPr>
                <w:rFonts w:ascii="Times New Roman" w:hAnsi="Times New Roman"/>
                <w:b/>
                <w:bCs/>
                <w:sz w:val="21"/>
                <w:szCs w:val="21"/>
              </w:rPr>
            </w:pPr>
            <w:r>
              <w:rPr>
                <w:rFonts w:hint="eastAsia" w:ascii="Times New Roman" w:hAnsi="Times New Roman"/>
                <w:b/>
                <w:bCs/>
                <w:sz w:val="21"/>
                <w:szCs w:val="21"/>
              </w:rPr>
              <w:t>原</w:t>
            </w:r>
          </w:p>
          <w:p>
            <w:pPr>
              <w:pStyle w:val="44"/>
              <w:widowControl w:val="0"/>
              <w:spacing w:before="0" w:beforeAutospacing="0" w:after="0" w:afterAutospacing="0" w:line="260" w:lineRule="exact"/>
              <w:jc w:val="center"/>
              <w:rPr>
                <w:rFonts w:ascii="Times New Roman" w:hAnsi="Times New Roman"/>
                <w:sz w:val="21"/>
                <w:szCs w:val="21"/>
              </w:rPr>
            </w:pPr>
            <w:r>
              <w:rPr>
                <w:rFonts w:hint="eastAsia" w:ascii="Times New Roman" w:hAnsi="Times New Roman"/>
                <w:b/>
                <w:bCs/>
                <w:sz w:val="21"/>
                <w:szCs w:val="21"/>
              </w:rPr>
              <w:t>则</w:t>
            </w:r>
          </w:p>
        </w:tc>
        <w:tc>
          <w:tcPr>
            <w:tcW w:w="7731" w:type="dxa"/>
          </w:tcPr>
          <w:p>
            <w:pPr>
              <w:spacing w:line="260" w:lineRule="exact"/>
              <w:rPr>
                <w:rFonts w:cs="宋体"/>
                <w:b/>
                <w:bCs/>
                <w:kern w:val="0"/>
              </w:rPr>
            </w:pPr>
            <w:r>
              <w:rPr>
                <w:rFonts w:hint="eastAsia" w:cs="宋体"/>
                <w:kern w:val="0"/>
              </w:rPr>
              <w:t>【急救措施】</w:t>
            </w:r>
          </w:p>
          <w:p>
            <w:pPr>
              <w:pStyle w:val="29"/>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吸入：迅速脱离现场至空气新鲜处。保持呼吸道通畅。如呼吸困难，给氧。如呼吸停止，立即进行人工呼吸。就医。</w:t>
            </w:r>
          </w:p>
          <w:p>
            <w:pPr>
              <w:pStyle w:val="29"/>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食入：给饮牛奶或用植物油洗胃和灌肠。就医。</w:t>
            </w:r>
          </w:p>
          <w:p>
            <w:pPr>
              <w:pStyle w:val="29"/>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皮肤接触：立即脱去污染的衣着，用肥皂水和清水彻底冲洗皮肤。就医。</w:t>
            </w:r>
          </w:p>
          <w:p>
            <w:pPr>
              <w:pStyle w:val="29"/>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眼睛接触：立即提起眼睑，用大量流动清水或生理盐水彻底冲洗至少15分钟。就医。</w:t>
            </w:r>
          </w:p>
          <w:p>
            <w:pPr>
              <w:spacing w:line="260" w:lineRule="exact"/>
              <w:rPr>
                <w:rFonts w:cs="宋体"/>
                <w:b/>
                <w:bCs/>
                <w:kern w:val="0"/>
              </w:rPr>
            </w:pPr>
            <w:r>
              <w:rPr>
                <w:rFonts w:hint="eastAsia" w:cs="宋体"/>
                <w:kern w:val="0"/>
              </w:rPr>
              <w:t>【灭火方法】</w:t>
            </w:r>
          </w:p>
          <w:p>
            <w:pPr>
              <w:pStyle w:val="29"/>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喷水冷却容器，尽可能将容器从火场移至空旷处。</w:t>
            </w:r>
          </w:p>
          <w:p>
            <w:pPr>
              <w:pStyle w:val="29"/>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灭火剂：泡沫、干粉、二氧化碳。用水灭火无效。</w:t>
            </w:r>
          </w:p>
          <w:p>
            <w:pPr>
              <w:spacing w:line="260" w:lineRule="exact"/>
              <w:rPr>
                <w:rFonts w:cs="宋体"/>
                <w:b/>
                <w:bCs/>
                <w:kern w:val="0"/>
              </w:rPr>
            </w:pPr>
            <w:r>
              <w:rPr>
                <w:rFonts w:hint="eastAsia" w:cs="宋体"/>
                <w:kern w:val="0"/>
              </w:rPr>
              <w:t>【泄漏应急处置】</w:t>
            </w:r>
          </w:p>
          <w:p>
            <w:pPr>
              <w:pStyle w:val="29"/>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消除所有点火源。根据液体流动和蒸气扩散的影响区域划定警戒区，无关人员从侧风、上风向撤离至安全区。建议应急处理人员戴正压自给式空气呼吸器，穿防毒、防静电服。作业时使用的所有设备应接地。禁止接触或跨越泄漏物。尽可能切断泄漏源。防止泄漏物进入水体、下水道、地下室或密闭性空间。小量泄漏：用砂土或其它不燃材料吸收。使用洁净的无火花工具收集吸收材料。大量泄漏：构筑围堤或挖坑收容。用泡沫覆盖，减少蒸发。喷水雾能减少蒸发，但不能降低泄漏物在受限制空间内的易燃性。用防爆泵转移至槽车或专用收集器内。</w:t>
            </w:r>
          </w:p>
          <w:p>
            <w:pPr>
              <w:pStyle w:val="29"/>
              <w:spacing w:before="0" w:beforeAutospacing="0" w:after="0" w:afterAutospacing="0" w:line="260" w:lineRule="exact"/>
              <w:ind w:firstLine="420" w:firstLineChars="200"/>
              <w:rPr>
                <w:rFonts w:ascii="Times New Roman" w:hAnsi="Times New Roman"/>
                <w:sz w:val="21"/>
                <w:szCs w:val="21"/>
              </w:rPr>
            </w:pPr>
            <w:r>
              <w:rPr>
                <w:rStyle w:val="54"/>
                <w:rFonts w:hint="default" w:ascii="Times New Roman" w:hAnsi="Times New Roman"/>
                <w:sz w:val="21"/>
                <w:szCs w:val="21"/>
              </w:rPr>
              <w:t>作为一项紧急预防措施，泄漏隔离距离至少为50m。如果为大量泄漏，下风向的初始疏散距离应至少为300m。</w:t>
            </w:r>
          </w:p>
        </w:tc>
      </w:tr>
    </w:tbl>
    <w:p>
      <w:pPr>
        <w:pStyle w:val="4"/>
        <w:pageBreakBefore/>
        <w:spacing w:line="520" w:lineRule="exact"/>
        <w:rPr>
          <w:rFonts w:ascii="Times New Roman" w:hAnsi="Times New Roman" w:eastAsia="宋体" w:cs="宋体"/>
          <w:sz w:val="24"/>
          <w:szCs w:val="24"/>
        </w:rPr>
      </w:pPr>
      <w:bookmarkStart w:id="1111" w:name="_Toc9986"/>
      <w:bookmarkEnd w:id="1111"/>
      <w:bookmarkStart w:id="1112" w:name="_Toc4964"/>
      <w:bookmarkEnd w:id="1112"/>
      <w:bookmarkStart w:id="1113" w:name="_Toc10005"/>
      <w:bookmarkStart w:id="1114" w:name="_Toc1367"/>
      <w:bookmarkStart w:id="1115" w:name="_Toc22839"/>
      <w:r>
        <w:rPr>
          <w:rStyle w:val="51"/>
          <w:rFonts w:hint="default" w:ascii="Times New Roman" w:hAnsi="Times New Roman" w:cs="宋体"/>
          <w:b/>
          <w:bCs/>
          <w:sz w:val="24"/>
          <w:szCs w:val="24"/>
        </w:rPr>
        <w:t>附件9</w:t>
      </w:r>
      <w:r>
        <w:rPr>
          <w:rStyle w:val="53"/>
          <w:rFonts w:ascii="Times New Roman" w:hAnsi="Times New Roman" w:eastAsia="宋体"/>
          <w:b/>
          <w:bCs/>
          <w:sz w:val="24"/>
          <w:szCs w:val="24"/>
        </w:rPr>
        <w:t>主要负责人及安全管理员</w:t>
      </w:r>
      <w:bookmarkEnd w:id="1113"/>
      <w:bookmarkEnd w:id="1114"/>
      <w:bookmarkEnd w:id="1115"/>
    </w:p>
    <w:p>
      <w:pPr>
        <w:snapToGrid w:val="0"/>
      </w:pPr>
    </w:p>
    <w:p>
      <w:pPr>
        <w:pStyle w:val="37"/>
      </w:pPr>
    </w:p>
    <w:p>
      <w:pPr>
        <w:snapToGrid w:val="0"/>
        <w:jc w:val="center"/>
      </w:pPr>
      <w:r>
        <w:drawing>
          <wp:inline distT="0" distB="0" distL="114300" distR="114300">
            <wp:extent cx="3893185" cy="2286635"/>
            <wp:effectExtent l="0" t="0" r="12065" b="18415"/>
            <wp:docPr id="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pic:cNvPicPr>
                      <a:picLocks noChangeAspect="1"/>
                    </pic:cNvPicPr>
                  </pic:nvPicPr>
                  <pic:blipFill>
                    <a:blip r:embed="rId25"/>
                    <a:stretch>
                      <a:fillRect/>
                    </a:stretch>
                  </pic:blipFill>
                  <pic:spPr>
                    <a:xfrm>
                      <a:off x="0" y="0"/>
                      <a:ext cx="3893185" cy="2286635"/>
                    </a:xfrm>
                    <a:prstGeom prst="rect">
                      <a:avLst/>
                    </a:prstGeom>
                    <a:noFill/>
                    <a:ln w="9525">
                      <a:noFill/>
                    </a:ln>
                  </pic:spPr>
                </pic:pic>
              </a:graphicData>
            </a:graphic>
          </wp:inline>
        </w:drawing>
      </w:r>
    </w:p>
    <w:p>
      <w:pPr>
        <w:pStyle w:val="2"/>
        <w:ind w:firstLine="0"/>
        <w:jc w:val="center"/>
      </w:pPr>
    </w:p>
    <w:p>
      <w:pPr>
        <w:pStyle w:val="2"/>
        <w:ind w:firstLine="0"/>
        <w:jc w:val="center"/>
      </w:pPr>
    </w:p>
    <w:p>
      <w:pPr>
        <w:pStyle w:val="2"/>
        <w:ind w:firstLine="0"/>
        <w:jc w:val="center"/>
      </w:pPr>
      <w:r>
        <w:drawing>
          <wp:inline distT="0" distB="0" distL="114300" distR="114300">
            <wp:extent cx="3945255" cy="2407920"/>
            <wp:effectExtent l="0" t="0" r="17145" b="11430"/>
            <wp:docPr id="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pic:cNvPicPr>
                      <a:picLocks noChangeAspect="1"/>
                    </pic:cNvPicPr>
                  </pic:nvPicPr>
                  <pic:blipFill>
                    <a:blip r:embed="rId26"/>
                    <a:stretch>
                      <a:fillRect/>
                    </a:stretch>
                  </pic:blipFill>
                  <pic:spPr>
                    <a:xfrm>
                      <a:off x="0" y="0"/>
                      <a:ext cx="3945255" cy="2407920"/>
                    </a:xfrm>
                    <a:prstGeom prst="rect">
                      <a:avLst/>
                    </a:prstGeom>
                    <a:noFill/>
                    <a:ln w="9525">
                      <a:noFill/>
                    </a:ln>
                  </pic:spPr>
                </pic:pic>
              </a:graphicData>
            </a:graphic>
          </wp:inline>
        </w:drawing>
      </w:r>
    </w:p>
    <w:p>
      <w:pPr>
        <w:pStyle w:val="37"/>
        <w:jc w:val="center"/>
        <w:rPr>
          <w:rFonts w:ascii="Times New Roman"/>
        </w:rPr>
      </w:pPr>
      <w:r>
        <w:rPr>
          <w:rFonts w:hint="eastAsia" w:ascii="Times New Roman"/>
        </w:rPr>
        <w:br w:type="page"/>
      </w:r>
    </w:p>
    <w:p>
      <w:pPr>
        <w:pStyle w:val="37"/>
        <w:jc w:val="center"/>
        <w:rPr>
          <w:rFonts w:ascii="Times New Roman"/>
        </w:rPr>
      </w:pPr>
    </w:p>
    <w:p>
      <w:pPr>
        <w:pStyle w:val="37"/>
        <w:jc w:val="center"/>
        <w:rPr>
          <w:rFonts w:ascii="Times New Roman"/>
        </w:rPr>
      </w:pPr>
      <w:r>
        <w:drawing>
          <wp:inline distT="0" distB="0" distL="114300" distR="114300">
            <wp:extent cx="4127500" cy="2430780"/>
            <wp:effectExtent l="0" t="0" r="6350" b="7620"/>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pic:cNvPicPr>
                  </pic:nvPicPr>
                  <pic:blipFill>
                    <a:blip r:embed="rId27"/>
                    <a:stretch>
                      <a:fillRect/>
                    </a:stretch>
                  </pic:blipFill>
                  <pic:spPr>
                    <a:xfrm>
                      <a:off x="0" y="0"/>
                      <a:ext cx="4127500" cy="2430780"/>
                    </a:xfrm>
                    <a:prstGeom prst="rect">
                      <a:avLst/>
                    </a:prstGeom>
                    <a:noFill/>
                    <a:ln w="9525">
                      <a:noFill/>
                    </a:ln>
                  </pic:spPr>
                </pic:pic>
              </a:graphicData>
            </a:graphic>
          </wp:inline>
        </w:drawing>
      </w:r>
    </w:p>
    <w:p>
      <w:pPr>
        <w:pStyle w:val="37"/>
        <w:jc w:val="center"/>
        <w:rPr>
          <w:rFonts w:ascii="Times New Roman"/>
        </w:rPr>
      </w:pPr>
    </w:p>
    <w:p>
      <w:pPr>
        <w:pStyle w:val="37"/>
        <w:jc w:val="center"/>
        <w:rPr>
          <w:rFonts w:ascii="Times New Roman"/>
        </w:rPr>
      </w:pPr>
    </w:p>
    <w:p>
      <w:pPr>
        <w:pStyle w:val="37"/>
        <w:jc w:val="center"/>
      </w:pPr>
      <w:r>
        <w:drawing>
          <wp:inline distT="0" distB="0" distL="114300" distR="114300">
            <wp:extent cx="4089400" cy="2635250"/>
            <wp:effectExtent l="0" t="0" r="6350" b="1270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pic:cNvPicPr>
                      <a:picLocks noChangeAspect="1"/>
                    </pic:cNvPicPr>
                  </pic:nvPicPr>
                  <pic:blipFill>
                    <a:blip r:embed="rId28"/>
                    <a:stretch>
                      <a:fillRect/>
                    </a:stretch>
                  </pic:blipFill>
                  <pic:spPr>
                    <a:xfrm>
                      <a:off x="0" y="0"/>
                      <a:ext cx="4089400" cy="2635250"/>
                    </a:xfrm>
                    <a:prstGeom prst="rect">
                      <a:avLst/>
                    </a:prstGeom>
                    <a:noFill/>
                    <a:ln w="9525">
                      <a:noFill/>
                    </a:ln>
                  </pic:spPr>
                </pic:pic>
              </a:graphicData>
            </a:graphic>
          </wp:inline>
        </w:drawing>
      </w:r>
    </w:p>
    <w:p>
      <w:pPr>
        <w:pStyle w:val="37"/>
        <w:jc w:val="center"/>
      </w:pPr>
    </w:p>
    <w:p>
      <w:pPr>
        <w:pStyle w:val="37"/>
        <w:jc w:val="center"/>
      </w:pPr>
    </w:p>
    <w:p>
      <w:pPr>
        <w:pStyle w:val="37"/>
        <w:jc w:val="center"/>
      </w:pPr>
    </w:p>
    <w:p>
      <w:pPr>
        <w:pStyle w:val="37"/>
        <w:jc w:val="center"/>
      </w:pPr>
    </w:p>
    <w:p>
      <w:pPr>
        <w:pStyle w:val="37"/>
        <w:jc w:val="center"/>
      </w:pPr>
    </w:p>
    <w:p>
      <w:pPr>
        <w:pStyle w:val="37"/>
        <w:jc w:val="center"/>
      </w:pPr>
    </w:p>
    <w:p>
      <w:pPr>
        <w:pStyle w:val="37"/>
        <w:jc w:val="center"/>
      </w:pPr>
    </w:p>
    <w:p>
      <w:pPr>
        <w:pStyle w:val="37"/>
        <w:jc w:val="center"/>
      </w:pPr>
    </w:p>
    <w:p>
      <w:pPr>
        <w:pStyle w:val="37"/>
        <w:jc w:val="center"/>
      </w:pPr>
    </w:p>
    <w:p>
      <w:pPr>
        <w:pStyle w:val="37"/>
        <w:jc w:val="center"/>
      </w:pPr>
    </w:p>
    <w:p>
      <w:pPr>
        <w:pStyle w:val="37"/>
        <w:jc w:val="center"/>
      </w:pPr>
    </w:p>
    <w:p>
      <w:pPr>
        <w:pStyle w:val="37"/>
        <w:jc w:val="center"/>
      </w:pPr>
    </w:p>
    <w:p>
      <w:pPr>
        <w:pStyle w:val="37"/>
        <w:jc w:val="center"/>
      </w:pPr>
    </w:p>
    <w:p>
      <w:pPr>
        <w:pStyle w:val="37"/>
        <w:jc w:val="center"/>
      </w:pPr>
    </w:p>
    <w:p>
      <w:pPr>
        <w:pStyle w:val="37"/>
        <w:jc w:val="center"/>
        <w:rPr>
          <w:rFonts w:hint="eastAsia" w:eastAsia="宋体"/>
          <w:lang w:eastAsia="zh-CN"/>
        </w:rPr>
      </w:pPr>
      <w:r>
        <w:rPr>
          <w:rFonts w:hint="eastAsia" w:eastAsia="宋体"/>
          <w:lang w:eastAsia="zh-CN"/>
        </w:rPr>
        <w:pict>
          <v:shape id="_x0000_i1025" o:spt="75" alt="医疗协议" type="#_x0000_t75" style="height:675.45pt;width:453.55pt;" filled="f" o:preferrelative="t" stroked="f" coordsize="21600,21600">
            <v:path/>
            <v:fill on="f" focussize="0,0"/>
            <v:stroke on="f"/>
            <v:imagedata r:id="rId29" o:title="医疗协议"/>
            <o:lock v:ext="edit" aspectratio="t"/>
            <w10:wrap type="none"/>
            <w10:anchorlock/>
          </v:shape>
        </w:pict>
      </w:r>
    </w:p>
    <w:p>
      <w:pPr>
        <w:pStyle w:val="37"/>
        <w:jc w:val="center"/>
        <w:rPr>
          <w:rFonts w:hint="eastAsia" w:eastAsia="宋体"/>
          <w:lang w:eastAsia="zh-CN"/>
        </w:rPr>
      </w:pPr>
      <w:r>
        <w:rPr>
          <w:rFonts w:hint="eastAsia" w:eastAsia="宋体"/>
          <w:lang w:eastAsia="zh-CN"/>
        </w:rPr>
        <w:pict>
          <v:shape id="_x0000_i1026" o:spt="75" alt="站相片4" type="#_x0000_t75" style="height:338.65pt;width:451.55pt;" filled="f" o:preferrelative="t" stroked="f" coordsize="21600,21600">
            <v:path/>
            <v:fill on="f" focussize="0,0"/>
            <v:stroke on="f"/>
            <v:imagedata r:id="rId30" o:title="站相片4"/>
            <o:lock v:ext="edit" aspectratio="t"/>
            <w10:wrap type="none"/>
            <w10:anchorlock/>
          </v:shape>
        </w:pict>
      </w:r>
      <w:bookmarkStart w:id="1116" w:name="_GoBack"/>
      <w:bookmarkEnd w:id="1116"/>
    </w:p>
    <w:sectPr>
      <w:pgSz w:w="11906" w:h="16838"/>
      <w:pgMar w:top="1417" w:right="1417" w:bottom="1417"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MHei-Medium">
    <w:altName w:val="Times New Roman"/>
    <w:panose1 w:val="00000000000000000000"/>
    <w:charset w:val="00"/>
    <w:family w:val="auto"/>
    <w:pitch w:val="default"/>
    <w:sig w:usb0="00000000" w:usb1="00000000" w:usb2="00000000" w:usb3="00000000" w:csb0="00040001" w:csb1="00000000"/>
  </w:font>
  <w:font w:name="方正黑体简体">
    <w:altName w:val="微软雅黑"/>
    <w:panose1 w:val="00000000000000000000"/>
    <w:charset w:val="86"/>
    <w:family w:val="auto"/>
    <w:pitch w:val="default"/>
    <w:sig w:usb0="00000000" w:usb1="00000000" w:usb2="00000010" w:usb3="00000000" w:csb0="00040000" w:csb1="00000000"/>
  </w:font>
  <w:font w:name="方正仿宋简体">
    <w:altName w:val="微软雅黑"/>
    <w:panose1 w:val="00000000000000000000"/>
    <w:charset w:val="86"/>
    <w:family w:val="auto"/>
    <w:pitch w:val="default"/>
    <w:sig w:usb0="00000000" w:usb1="00000000" w:usb2="00000010" w:usb3="00000000" w:csb0="00040000" w:csb1="00000000"/>
  </w:font>
  <w:font w:name="FZSSJW--GB1-0">
    <w:altName w:val="黑体"/>
    <w:panose1 w:val="00000000000000000000"/>
    <w:charset w:val="86"/>
    <w:family w:val="auto"/>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right" w:y="1"/>
      <w:rPr>
        <w:rStyle w:val="32"/>
      </w:rPr>
    </w:pPr>
    <w:r>
      <w:fldChar w:fldCharType="begin"/>
    </w:r>
    <w:r>
      <w:rPr>
        <w:rStyle w:val="32"/>
      </w:rPr>
      <w:instrText xml:space="preserve">PAGE  </w:instrText>
    </w:r>
    <w:r>
      <w:fldChar w:fldCharType="end"/>
    </w:r>
  </w:p>
  <w:p>
    <w:pPr>
      <w:pStyle w:val="2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pPr>
    <w:r>
      <w:pict>
        <v:shape id="文本框 6" o:spid="_x0000_s2050" o:spt="202" type="#_x0000_t202" style="position:absolute;left:0pt;margin-left:214.45pt;margin-top:-15.75pt;height:144pt;width:144pt;mso-position-horizontal-relative:margin;mso-wrap-style:none;z-index:251659264;mso-width-relative:page;mso-height-relative:page;" filled="f" stroked="f" coordsize="21600,21600" o:gfxdata="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NXaDS2AAAAAsBAAAPAAAAAAAAAAEAIAAAACIAAABkcnMvZG93bnJldi54bWxQSwECFAAU&#10;AAAACACHTuJAdwLmyrgBAABVAwAADgAAAAAAAAABACAAAAAnAQAAZHJzL2Uyb0RvYy54bWxQSwUG&#10;AAAAAAYABgBZAQAAUQUAAAAA&#10;">
          <v:path/>
          <v:fill on="f" focussize="0,0"/>
          <v:stroke on="f" joinstyle="miter"/>
          <v:imagedata o:title=""/>
          <o:lock v:ext="edit"/>
          <v:textbox inset="0mm,0mm,0mm,0mm" style="mso-fit-shape-to-text:t;">
            <w:txbxContent>
              <w:p>
                <w:pPr>
                  <w:pStyle w:val="21"/>
                  <w:rPr>
                    <w:rStyle w:val="32"/>
                  </w:rPr>
                </w:pPr>
                <w:r>
                  <w:fldChar w:fldCharType="begin"/>
                </w:r>
                <w:r>
                  <w:rPr>
                    <w:rStyle w:val="32"/>
                  </w:rPr>
                  <w:instrText xml:space="preserve">PAGE  </w:instrText>
                </w:r>
                <w:r>
                  <w:fldChar w:fldCharType="separate"/>
                </w:r>
                <w:r>
                  <w:rPr>
                    <w:rStyle w:val="32"/>
                  </w:rPr>
                  <w:t>2</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pPr>
    <w:r>
      <w:pict>
        <v:shape id="文本框 1026" o:spid="_x0000_s2049"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j2UUHLgBAABYAwAADgAAAAAAAAABACAAAAAeAQAAZHJzL2Uyb0RvYy54bWxQSwUGAAAAAAYABgBZ&#10;AQAASAUAAAAA&#10;">
          <v:path/>
          <v:fill on="f" focussize="0,0"/>
          <v:stroke on="f" joinstyle="miter"/>
          <v:imagedata o:title=""/>
          <o:lock v:ext="edit"/>
          <v:textbox inset="0mm,0mm,0mm,0mm" style="mso-fit-shape-to-text:t;">
            <w:txbxContent>
              <w:p>
                <w:pPr>
                  <w:pStyle w:val="21"/>
                  <w:rPr>
                    <w:rStyle w:val="32"/>
                  </w:rPr>
                </w:pPr>
                <w:r>
                  <w:fldChar w:fldCharType="begin"/>
                </w:r>
                <w:r>
                  <w:rPr>
                    <w:rStyle w:val="32"/>
                  </w:rPr>
                  <w:instrText xml:space="preserve">PAGE  </w:instrText>
                </w:r>
                <w:r>
                  <w:fldChar w:fldCharType="separate"/>
                </w:r>
                <w:r>
                  <w:rPr>
                    <w:rStyle w:val="32"/>
                  </w:rP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D6702D"/>
    <w:multiLevelType w:val="singleLevel"/>
    <w:tmpl w:val="8FD6702D"/>
    <w:lvl w:ilvl="0" w:tentative="0">
      <w:start w:val="1"/>
      <w:numFmt w:val="decimal"/>
      <w:suff w:val="nothing"/>
      <w:lvlText w:val="%1、"/>
      <w:lvlJc w:val="left"/>
    </w:lvl>
  </w:abstractNum>
  <w:abstractNum w:abstractNumId="1">
    <w:nsid w:val="D68A45B9"/>
    <w:multiLevelType w:val="singleLevel"/>
    <w:tmpl w:val="D68A45B9"/>
    <w:lvl w:ilvl="0" w:tentative="0">
      <w:start w:val="1"/>
      <w:numFmt w:val="decimal"/>
      <w:suff w:val="nothing"/>
      <w:lvlText w:val="%1、"/>
      <w:lvlJc w:val="left"/>
    </w:lvl>
  </w:abstractNum>
  <w:abstractNum w:abstractNumId="2">
    <w:nsid w:val="DA95B765"/>
    <w:multiLevelType w:val="singleLevel"/>
    <w:tmpl w:val="DA95B765"/>
    <w:lvl w:ilvl="0" w:tentative="0">
      <w:start w:val="1"/>
      <w:numFmt w:val="decimal"/>
      <w:suff w:val="nothing"/>
      <w:lvlText w:val="%1、"/>
      <w:lvlJc w:val="left"/>
    </w:lvl>
  </w:abstractNum>
  <w:abstractNum w:abstractNumId="3">
    <w:nsid w:val="07422F00"/>
    <w:multiLevelType w:val="multilevel"/>
    <w:tmpl w:val="07422F00"/>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2FBE5B98"/>
    <w:multiLevelType w:val="multilevel"/>
    <w:tmpl w:val="2FBE5B98"/>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3886314E"/>
    <w:multiLevelType w:val="multilevel"/>
    <w:tmpl w:val="3886314E"/>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39F097C7"/>
    <w:multiLevelType w:val="singleLevel"/>
    <w:tmpl w:val="39F097C7"/>
    <w:lvl w:ilvl="0" w:tentative="0">
      <w:start w:val="1"/>
      <w:numFmt w:val="decimal"/>
      <w:suff w:val="nothing"/>
      <w:lvlText w:val="%1、"/>
      <w:lvlJc w:val="left"/>
    </w:lvl>
  </w:abstractNum>
  <w:abstractNum w:abstractNumId="7">
    <w:nsid w:val="3CD73ABF"/>
    <w:multiLevelType w:val="multilevel"/>
    <w:tmpl w:val="3CD73ABF"/>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3E0F0D37"/>
    <w:multiLevelType w:val="multilevel"/>
    <w:tmpl w:val="3E0F0D37"/>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46A03BE3"/>
    <w:multiLevelType w:val="multilevel"/>
    <w:tmpl w:val="46A03BE3"/>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59462BEE"/>
    <w:multiLevelType w:val="multilevel"/>
    <w:tmpl w:val="59462BEE"/>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675F044F"/>
    <w:multiLevelType w:val="multilevel"/>
    <w:tmpl w:val="675F044F"/>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783136A5"/>
    <w:multiLevelType w:val="multilevel"/>
    <w:tmpl w:val="783136A5"/>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2"/>
  </w:num>
  <w:num w:numId="10">
    <w:abstractNumId w:val="1"/>
  </w:num>
  <w:num w:numId="11">
    <w:abstractNumId w:val="6"/>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hideSpellingError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1"/>
  </w:compat>
  <w:rsids>
    <w:rsidRoot w:val="00605F2C"/>
    <w:rsid w:val="0000030D"/>
    <w:rsid w:val="000004CC"/>
    <w:rsid w:val="000202B9"/>
    <w:rsid w:val="0002193D"/>
    <w:rsid w:val="000254EE"/>
    <w:rsid w:val="00025706"/>
    <w:rsid w:val="0003660F"/>
    <w:rsid w:val="00037001"/>
    <w:rsid w:val="00037C23"/>
    <w:rsid w:val="00042523"/>
    <w:rsid w:val="00043D24"/>
    <w:rsid w:val="0005068A"/>
    <w:rsid w:val="00051B8F"/>
    <w:rsid w:val="00052618"/>
    <w:rsid w:val="00056817"/>
    <w:rsid w:val="00060062"/>
    <w:rsid w:val="0006553D"/>
    <w:rsid w:val="00067836"/>
    <w:rsid w:val="00076938"/>
    <w:rsid w:val="000807FF"/>
    <w:rsid w:val="00085303"/>
    <w:rsid w:val="00087EFD"/>
    <w:rsid w:val="000913BC"/>
    <w:rsid w:val="00095E72"/>
    <w:rsid w:val="000A10C1"/>
    <w:rsid w:val="000A4ED2"/>
    <w:rsid w:val="000A653D"/>
    <w:rsid w:val="000B7C7F"/>
    <w:rsid w:val="000D38F9"/>
    <w:rsid w:val="000D7338"/>
    <w:rsid w:val="000E1C2A"/>
    <w:rsid w:val="000E3137"/>
    <w:rsid w:val="000F09EA"/>
    <w:rsid w:val="000F2449"/>
    <w:rsid w:val="0010098F"/>
    <w:rsid w:val="00103559"/>
    <w:rsid w:val="00105FE8"/>
    <w:rsid w:val="001063F1"/>
    <w:rsid w:val="001174C1"/>
    <w:rsid w:val="0012166D"/>
    <w:rsid w:val="00124280"/>
    <w:rsid w:val="001312C1"/>
    <w:rsid w:val="0014345D"/>
    <w:rsid w:val="001442E1"/>
    <w:rsid w:val="001510BF"/>
    <w:rsid w:val="00156669"/>
    <w:rsid w:val="001567B8"/>
    <w:rsid w:val="0016289A"/>
    <w:rsid w:val="00192519"/>
    <w:rsid w:val="001949BE"/>
    <w:rsid w:val="001A1DED"/>
    <w:rsid w:val="001A7C26"/>
    <w:rsid w:val="001C2627"/>
    <w:rsid w:val="001E0A07"/>
    <w:rsid w:val="001E19A7"/>
    <w:rsid w:val="001E1D65"/>
    <w:rsid w:val="001E7312"/>
    <w:rsid w:val="001F1DD6"/>
    <w:rsid w:val="001F5253"/>
    <w:rsid w:val="001F5B83"/>
    <w:rsid w:val="001F69CE"/>
    <w:rsid w:val="00207084"/>
    <w:rsid w:val="002134B3"/>
    <w:rsid w:val="00224897"/>
    <w:rsid w:val="00237222"/>
    <w:rsid w:val="00242D65"/>
    <w:rsid w:val="002517A8"/>
    <w:rsid w:val="002518F9"/>
    <w:rsid w:val="002566AB"/>
    <w:rsid w:val="00267BC4"/>
    <w:rsid w:val="0027477F"/>
    <w:rsid w:val="00287C35"/>
    <w:rsid w:val="0029027E"/>
    <w:rsid w:val="002A57D8"/>
    <w:rsid w:val="002B671E"/>
    <w:rsid w:val="002C1FDA"/>
    <w:rsid w:val="002C23A1"/>
    <w:rsid w:val="002D7FBE"/>
    <w:rsid w:val="002F1D6D"/>
    <w:rsid w:val="002F3BE6"/>
    <w:rsid w:val="003136B5"/>
    <w:rsid w:val="00320BE3"/>
    <w:rsid w:val="00321C6F"/>
    <w:rsid w:val="00325236"/>
    <w:rsid w:val="003254F2"/>
    <w:rsid w:val="00333541"/>
    <w:rsid w:val="003342F6"/>
    <w:rsid w:val="00335952"/>
    <w:rsid w:val="00341EA2"/>
    <w:rsid w:val="00352B68"/>
    <w:rsid w:val="00353575"/>
    <w:rsid w:val="00365E09"/>
    <w:rsid w:val="0037240E"/>
    <w:rsid w:val="003742CE"/>
    <w:rsid w:val="00380639"/>
    <w:rsid w:val="00381251"/>
    <w:rsid w:val="00383B7F"/>
    <w:rsid w:val="00392F5E"/>
    <w:rsid w:val="003937F2"/>
    <w:rsid w:val="0039690B"/>
    <w:rsid w:val="003A27B2"/>
    <w:rsid w:val="003C1FC1"/>
    <w:rsid w:val="003D4DE4"/>
    <w:rsid w:val="003D64B4"/>
    <w:rsid w:val="003E1300"/>
    <w:rsid w:val="003E2C3C"/>
    <w:rsid w:val="003E3AAC"/>
    <w:rsid w:val="003E6117"/>
    <w:rsid w:val="003F0BFA"/>
    <w:rsid w:val="003F3616"/>
    <w:rsid w:val="003F61B1"/>
    <w:rsid w:val="00403608"/>
    <w:rsid w:val="00411ADF"/>
    <w:rsid w:val="00422595"/>
    <w:rsid w:val="00427E26"/>
    <w:rsid w:val="00431BD8"/>
    <w:rsid w:val="00432CEE"/>
    <w:rsid w:val="004404E8"/>
    <w:rsid w:val="004466AF"/>
    <w:rsid w:val="00454B51"/>
    <w:rsid w:val="004555A6"/>
    <w:rsid w:val="004611DD"/>
    <w:rsid w:val="00467C00"/>
    <w:rsid w:val="00472719"/>
    <w:rsid w:val="00473CF6"/>
    <w:rsid w:val="00475564"/>
    <w:rsid w:val="00475F7B"/>
    <w:rsid w:val="0048337D"/>
    <w:rsid w:val="004901E2"/>
    <w:rsid w:val="004970F5"/>
    <w:rsid w:val="004A44B5"/>
    <w:rsid w:val="004A48FC"/>
    <w:rsid w:val="004A4F16"/>
    <w:rsid w:val="004B536A"/>
    <w:rsid w:val="004C21F7"/>
    <w:rsid w:val="004C72C0"/>
    <w:rsid w:val="004D0454"/>
    <w:rsid w:val="004D10BF"/>
    <w:rsid w:val="004D7B0B"/>
    <w:rsid w:val="004E3489"/>
    <w:rsid w:val="004E398C"/>
    <w:rsid w:val="004E403F"/>
    <w:rsid w:val="004F05D0"/>
    <w:rsid w:val="004F4534"/>
    <w:rsid w:val="004F5A89"/>
    <w:rsid w:val="00505249"/>
    <w:rsid w:val="00507464"/>
    <w:rsid w:val="0051120D"/>
    <w:rsid w:val="00512DAE"/>
    <w:rsid w:val="00512E09"/>
    <w:rsid w:val="005203F4"/>
    <w:rsid w:val="00525E55"/>
    <w:rsid w:val="005440A0"/>
    <w:rsid w:val="00556725"/>
    <w:rsid w:val="0057390C"/>
    <w:rsid w:val="00585168"/>
    <w:rsid w:val="00594031"/>
    <w:rsid w:val="00595DD3"/>
    <w:rsid w:val="0059619F"/>
    <w:rsid w:val="005A76E0"/>
    <w:rsid w:val="005B085F"/>
    <w:rsid w:val="005B78E2"/>
    <w:rsid w:val="005D6F45"/>
    <w:rsid w:val="005E0CDA"/>
    <w:rsid w:val="005E1A02"/>
    <w:rsid w:val="005E3EF7"/>
    <w:rsid w:val="005F3E0D"/>
    <w:rsid w:val="005F714E"/>
    <w:rsid w:val="00605F2C"/>
    <w:rsid w:val="0062632B"/>
    <w:rsid w:val="00626A85"/>
    <w:rsid w:val="00627E70"/>
    <w:rsid w:val="00630670"/>
    <w:rsid w:val="0064180B"/>
    <w:rsid w:val="00643B10"/>
    <w:rsid w:val="00645D94"/>
    <w:rsid w:val="00651523"/>
    <w:rsid w:val="00651B50"/>
    <w:rsid w:val="0065659E"/>
    <w:rsid w:val="006571A7"/>
    <w:rsid w:val="00666EE7"/>
    <w:rsid w:val="00667810"/>
    <w:rsid w:val="006705B4"/>
    <w:rsid w:val="00671ADF"/>
    <w:rsid w:val="00674012"/>
    <w:rsid w:val="00677055"/>
    <w:rsid w:val="006844BF"/>
    <w:rsid w:val="00685F0C"/>
    <w:rsid w:val="00687665"/>
    <w:rsid w:val="00692425"/>
    <w:rsid w:val="0069561D"/>
    <w:rsid w:val="006A1247"/>
    <w:rsid w:val="006A594F"/>
    <w:rsid w:val="006A6A3D"/>
    <w:rsid w:val="006A6B8D"/>
    <w:rsid w:val="006B46F6"/>
    <w:rsid w:val="006B6C26"/>
    <w:rsid w:val="006C1281"/>
    <w:rsid w:val="006C3069"/>
    <w:rsid w:val="006E0F10"/>
    <w:rsid w:val="006E3F02"/>
    <w:rsid w:val="007000A2"/>
    <w:rsid w:val="007047F2"/>
    <w:rsid w:val="0070535E"/>
    <w:rsid w:val="007056A4"/>
    <w:rsid w:val="00707217"/>
    <w:rsid w:val="007115FE"/>
    <w:rsid w:val="00711ABD"/>
    <w:rsid w:val="007121D6"/>
    <w:rsid w:val="0073728A"/>
    <w:rsid w:val="00737A70"/>
    <w:rsid w:val="00740541"/>
    <w:rsid w:val="00742585"/>
    <w:rsid w:val="00754AA8"/>
    <w:rsid w:val="00755830"/>
    <w:rsid w:val="00760D34"/>
    <w:rsid w:val="00762F8F"/>
    <w:rsid w:val="00762FDD"/>
    <w:rsid w:val="00781828"/>
    <w:rsid w:val="00786F39"/>
    <w:rsid w:val="007945F8"/>
    <w:rsid w:val="00794FE7"/>
    <w:rsid w:val="00797379"/>
    <w:rsid w:val="007A148B"/>
    <w:rsid w:val="007A49B2"/>
    <w:rsid w:val="007B062B"/>
    <w:rsid w:val="007B151E"/>
    <w:rsid w:val="007B2412"/>
    <w:rsid w:val="007B6F41"/>
    <w:rsid w:val="007E619A"/>
    <w:rsid w:val="007F6583"/>
    <w:rsid w:val="00805E51"/>
    <w:rsid w:val="00806B10"/>
    <w:rsid w:val="0081025D"/>
    <w:rsid w:val="00816265"/>
    <w:rsid w:val="008278C7"/>
    <w:rsid w:val="008363A7"/>
    <w:rsid w:val="00837560"/>
    <w:rsid w:val="00837996"/>
    <w:rsid w:val="0086051F"/>
    <w:rsid w:val="008667CE"/>
    <w:rsid w:val="0087004E"/>
    <w:rsid w:val="008719C5"/>
    <w:rsid w:val="00875626"/>
    <w:rsid w:val="00880869"/>
    <w:rsid w:val="008836B7"/>
    <w:rsid w:val="00887C90"/>
    <w:rsid w:val="00891FE9"/>
    <w:rsid w:val="008931EC"/>
    <w:rsid w:val="00895257"/>
    <w:rsid w:val="008A5EEB"/>
    <w:rsid w:val="008B0107"/>
    <w:rsid w:val="008C6FB1"/>
    <w:rsid w:val="008C7A82"/>
    <w:rsid w:val="008D0BA0"/>
    <w:rsid w:val="008D36C1"/>
    <w:rsid w:val="008D4118"/>
    <w:rsid w:val="008D6E60"/>
    <w:rsid w:val="008F67E5"/>
    <w:rsid w:val="008F76AC"/>
    <w:rsid w:val="00902181"/>
    <w:rsid w:val="00907F1D"/>
    <w:rsid w:val="009152A1"/>
    <w:rsid w:val="00917380"/>
    <w:rsid w:val="009219CA"/>
    <w:rsid w:val="00924F7E"/>
    <w:rsid w:val="0092749D"/>
    <w:rsid w:val="0092798E"/>
    <w:rsid w:val="00932CD3"/>
    <w:rsid w:val="00932D5A"/>
    <w:rsid w:val="00943131"/>
    <w:rsid w:val="00944D1F"/>
    <w:rsid w:val="00945B27"/>
    <w:rsid w:val="00950DAF"/>
    <w:rsid w:val="00951C62"/>
    <w:rsid w:val="00952078"/>
    <w:rsid w:val="009522F6"/>
    <w:rsid w:val="009719A9"/>
    <w:rsid w:val="00973635"/>
    <w:rsid w:val="0097414D"/>
    <w:rsid w:val="00977A2A"/>
    <w:rsid w:val="00980529"/>
    <w:rsid w:val="00985C94"/>
    <w:rsid w:val="00992758"/>
    <w:rsid w:val="00994F26"/>
    <w:rsid w:val="009979AA"/>
    <w:rsid w:val="009A1622"/>
    <w:rsid w:val="009A7D4A"/>
    <w:rsid w:val="009B2EB8"/>
    <w:rsid w:val="009B4739"/>
    <w:rsid w:val="009B520A"/>
    <w:rsid w:val="009D7702"/>
    <w:rsid w:val="009E2658"/>
    <w:rsid w:val="009E30DB"/>
    <w:rsid w:val="009F0930"/>
    <w:rsid w:val="009F30B1"/>
    <w:rsid w:val="009F4ED8"/>
    <w:rsid w:val="009F69F1"/>
    <w:rsid w:val="00A05BCE"/>
    <w:rsid w:val="00A15B19"/>
    <w:rsid w:val="00A1607B"/>
    <w:rsid w:val="00A16E83"/>
    <w:rsid w:val="00A23CCF"/>
    <w:rsid w:val="00A25E1B"/>
    <w:rsid w:val="00A27974"/>
    <w:rsid w:val="00A30541"/>
    <w:rsid w:val="00A31E1F"/>
    <w:rsid w:val="00A32319"/>
    <w:rsid w:val="00A36C44"/>
    <w:rsid w:val="00A46F95"/>
    <w:rsid w:val="00A52819"/>
    <w:rsid w:val="00A65F49"/>
    <w:rsid w:val="00A676D2"/>
    <w:rsid w:val="00A7111D"/>
    <w:rsid w:val="00A820A9"/>
    <w:rsid w:val="00A843D3"/>
    <w:rsid w:val="00AA14BB"/>
    <w:rsid w:val="00AA2BF6"/>
    <w:rsid w:val="00AB09DA"/>
    <w:rsid w:val="00AB0E63"/>
    <w:rsid w:val="00AB2134"/>
    <w:rsid w:val="00AB644D"/>
    <w:rsid w:val="00AC14F2"/>
    <w:rsid w:val="00AE00A4"/>
    <w:rsid w:val="00AE2B26"/>
    <w:rsid w:val="00AE3CAC"/>
    <w:rsid w:val="00AF44BC"/>
    <w:rsid w:val="00AF4E5A"/>
    <w:rsid w:val="00AF6E76"/>
    <w:rsid w:val="00B11858"/>
    <w:rsid w:val="00B11DA9"/>
    <w:rsid w:val="00B337AB"/>
    <w:rsid w:val="00B421EA"/>
    <w:rsid w:val="00B44C9C"/>
    <w:rsid w:val="00B513CF"/>
    <w:rsid w:val="00B52465"/>
    <w:rsid w:val="00B53042"/>
    <w:rsid w:val="00B56472"/>
    <w:rsid w:val="00B64808"/>
    <w:rsid w:val="00B67EA8"/>
    <w:rsid w:val="00B73CED"/>
    <w:rsid w:val="00B7638C"/>
    <w:rsid w:val="00B82361"/>
    <w:rsid w:val="00B83690"/>
    <w:rsid w:val="00B90128"/>
    <w:rsid w:val="00B9372E"/>
    <w:rsid w:val="00B94E08"/>
    <w:rsid w:val="00B973CD"/>
    <w:rsid w:val="00BA122E"/>
    <w:rsid w:val="00BA4A9F"/>
    <w:rsid w:val="00BB01EE"/>
    <w:rsid w:val="00BB06D1"/>
    <w:rsid w:val="00BB2A26"/>
    <w:rsid w:val="00BE354E"/>
    <w:rsid w:val="00BE50FC"/>
    <w:rsid w:val="00BF21E7"/>
    <w:rsid w:val="00BF55F9"/>
    <w:rsid w:val="00BF61E3"/>
    <w:rsid w:val="00BF64E2"/>
    <w:rsid w:val="00C00874"/>
    <w:rsid w:val="00C03AD6"/>
    <w:rsid w:val="00C076E9"/>
    <w:rsid w:val="00C07808"/>
    <w:rsid w:val="00C1351A"/>
    <w:rsid w:val="00C33462"/>
    <w:rsid w:val="00C44923"/>
    <w:rsid w:val="00C44CE1"/>
    <w:rsid w:val="00C472FB"/>
    <w:rsid w:val="00C51563"/>
    <w:rsid w:val="00C51A31"/>
    <w:rsid w:val="00C53268"/>
    <w:rsid w:val="00C55EE2"/>
    <w:rsid w:val="00C611A4"/>
    <w:rsid w:val="00C761A1"/>
    <w:rsid w:val="00C765BF"/>
    <w:rsid w:val="00C85377"/>
    <w:rsid w:val="00CA5195"/>
    <w:rsid w:val="00CC1F2C"/>
    <w:rsid w:val="00CC4B0D"/>
    <w:rsid w:val="00CD2658"/>
    <w:rsid w:val="00CE6C35"/>
    <w:rsid w:val="00CF3345"/>
    <w:rsid w:val="00D0032A"/>
    <w:rsid w:val="00D01218"/>
    <w:rsid w:val="00D04B9D"/>
    <w:rsid w:val="00D2414B"/>
    <w:rsid w:val="00D25AA7"/>
    <w:rsid w:val="00D2747A"/>
    <w:rsid w:val="00D33DC6"/>
    <w:rsid w:val="00D36E73"/>
    <w:rsid w:val="00D42624"/>
    <w:rsid w:val="00D44F53"/>
    <w:rsid w:val="00D45C9D"/>
    <w:rsid w:val="00D56F79"/>
    <w:rsid w:val="00D60E40"/>
    <w:rsid w:val="00D6608B"/>
    <w:rsid w:val="00D67FEE"/>
    <w:rsid w:val="00D776BE"/>
    <w:rsid w:val="00D81E2E"/>
    <w:rsid w:val="00D84853"/>
    <w:rsid w:val="00D97364"/>
    <w:rsid w:val="00DB5DC2"/>
    <w:rsid w:val="00DC0912"/>
    <w:rsid w:val="00DC1427"/>
    <w:rsid w:val="00DC59B7"/>
    <w:rsid w:val="00DC6E7F"/>
    <w:rsid w:val="00DD2280"/>
    <w:rsid w:val="00DD7B19"/>
    <w:rsid w:val="00DE2A13"/>
    <w:rsid w:val="00DF54E2"/>
    <w:rsid w:val="00DF76F7"/>
    <w:rsid w:val="00E03361"/>
    <w:rsid w:val="00E13014"/>
    <w:rsid w:val="00E15178"/>
    <w:rsid w:val="00E22685"/>
    <w:rsid w:val="00E266D7"/>
    <w:rsid w:val="00E26894"/>
    <w:rsid w:val="00E33A1B"/>
    <w:rsid w:val="00E33B19"/>
    <w:rsid w:val="00E35B29"/>
    <w:rsid w:val="00E403BC"/>
    <w:rsid w:val="00E41846"/>
    <w:rsid w:val="00E41EB1"/>
    <w:rsid w:val="00E426C1"/>
    <w:rsid w:val="00E43309"/>
    <w:rsid w:val="00E4513D"/>
    <w:rsid w:val="00E47C56"/>
    <w:rsid w:val="00E47CEE"/>
    <w:rsid w:val="00E55741"/>
    <w:rsid w:val="00E564EA"/>
    <w:rsid w:val="00E60E8C"/>
    <w:rsid w:val="00E64BC1"/>
    <w:rsid w:val="00E72FD6"/>
    <w:rsid w:val="00E75D00"/>
    <w:rsid w:val="00E773FB"/>
    <w:rsid w:val="00E836F0"/>
    <w:rsid w:val="00E8622D"/>
    <w:rsid w:val="00E876D5"/>
    <w:rsid w:val="00E90C0F"/>
    <w:rsid w:val="00E91022"/>
    <w:rsid w:val="00E9496C"/>
    <w:rsid w:val="00EA0383"/>
    <w:rsid w:val="00EA03AB"/>
    <w:rsid w:val="00EA7DD7"/>
    <w:rsid w:val="00EB27F4"/>
    <w:rsid w:val="00EC3737"/>
    <w:rsid w:val="00EC4234"/>
    <w:rsid w:val="00EC7FA2"/>
    <w:rsid w:val="00EC7FB9"/>
    <w:rsid w:val="00ED646E"/>
    <w:rsid w:val="00ED70EB"/>
    <w:rsid w:val="00EE4B8B"/>
    <w:rsid w:val="00EE675D"/>
    <w:rsid w:val="00EF46B7"/>
    <w:rsid w:val="00EF4E58"/>
    <w:rsid w:val="00F03165"/>
    <w:rsid w:val="00F04E4B"/>
    <w:rsid w:val="00F14B95"/>
    <w:rsid w:val="00F2017A"/>
    <w:rsid w:val="00F31BA3"/>
    <w:rsid w:val="00F348F8"/>
    <w:rsid w:val="00F4483A"/>
    <w:rsid w:val="00F47726"/>
    <w:rsid w:val="00F50347"/>
    <w:rsid w:val="00F50CD8"/>
    <w:rsid w:val="00F52F45"/>
    <w:rsid w:val="00F61E94"/>
    <w:rsid w:val="00F67599"/>
    <w:rsid w:val="00F71432"/>
    <w:rsid w:val="00F73745"/>
    <w:rsid w:val="00F74804"/>
    <w:rsid w:val="00F85C6A"/>
    <w:rsid w:val="00F87D92"/>
    <w:rsid w:val="00F958FC"/>
    <w:rsid w:val="00FA155C"/>
    <w:rsid w:val="00FA6A40"/>
    <w:rsid w:val="00FD5CBD"/>
    <w:rsid w:val="00FD769B"/>
    <w:rsid w:val="00FE109A"/>
    <w:rsid w:val="00FE4E98"/>
    <w:rsid w:val="00FE7D1B"/>
    <w:rsid w:val="00FF4E61"/>
    <w:rsid w:val="00FF56D0"/>
    <w:rsid w:val="00FF6E73"/>
    <w:rsid w:val="019C7600"/>
    <w:rsid w:val="01A367D3"/>
    <w:rsid w:val="05B94B74"/>
    <w:rsid w:val="06402AC9"/>
    <w:rsid w:val="077B7C59"/>
    <w:rsid w:val="078C49ED"/>
    <w:rsid w:val="085056FA"/>
    <w:rsid w:val="09534973"/>
    <w:rsid w:val="0E255635"/>
    <w:rsid w:val="0E28244C"/>
    <w:rsid w:val="0E9768D1"/>
    <w:rsid w:val="10915E7F"/>
    <w:rsid w:val="12971BB0"/>
    <w:rsid w:val="15AB0B7D"/>
    <w:rsid w:val="172C38F2"/>
    <w:rsid w:val="18ED2FA1"/>
    <w:rsid w:val="1BB01648"/>
    <w:rsid w:val="1D473464"/>
    <w:rsid w:val="1E626E72"/>
    <w:rsid w:val="20665A2B"/>
    <w:rsid w:val="227610F3"/>
    <w:rsid w:val="22BD5486"/>
    <w:rsid w:val="232C1367"/>
    <w:rsid w:val="2398544F"/>
    <w:rsid w:val="24C72F95"/>
    <w:rsid w:val="25283F17"/>
    <w:rsid w:val="26745FC4"/>
    <w:rsid w:val="27CB1181"/>
    <w:rsid w:val="280B787F"/>
    <w:rsid w:val="2B93143E"/>
    <w:rsid w:val="2BD12E8A"/>
    <w:rsid w:val="2BD224F7"/>
    <w:rsid w:val="2D716A5B"/>
    <w:rsid w:val="2DD718F6"/>
    <w:rsid w:val="2F380F46"/>
    <w:rsid w:val="30743FB2"/>
    <w:rsid w:val="3202341E"/>
    <w:rsid w:val="36720F74"/>
    <w:rsid w:val="374C09A7"/>
    <w:rsid w:val="385D725F"/>
    <w:rsid w:val="3B7E5842"/>
    <w:rsid w:val="3B8813AA"/>
    <w:rsid w:val="3C6D6635"/>
    <w:rsid w:val="3EBF2722"/>
    <w:rsid w:val="3F6568E0"/>
    <w:rsid w:val="404520A3"/>
    <w:rsid w:val="41637E4A"/>
    <w:rsid w:val="42EA2138"/>
    <w:rsid w:val="4397405D"/>
    <w:rsid w:val="44287240"/>
    <w:rsid w:val="45EE5149"/>
    <w:rsid w:val="470B331F"/>
    <w:rsid w:val="485541F3"/>
    <w:rsid w:val="4B777118"/>
    <w:rsid w:val="4BF96294"/>
    <w:rsid w:val="4CE158F8"/>
    <w:rsid w:val="4E075F18"/>
    <w:rsid w:val="50291EB7"/>
    <w:rsid w:val="507B6AE2"/>
    <w:rsid w:val="51680CB8"/>
    <w:rsid w:val="54FA7F61"/>
    <w:rsid w:val="55586E07"/>
    <w:rsid w:val="55721AC2"/>
    <w:rsid w:val="59B155FC"/>
    <w:rsid w:val="5A781C3E"/>
    <w:rsid w:val="5EC04B6D"/>
    <w:rsid w:val="5F5C74F7"/>
    <w:rsid w:val="6023331B"/>
    <w:rsid w:val="61CC7924"/>
    <w:rsid w:val="61EE553F"/>
    <w:rsid w:val="626851B0"/>
    <w:rsid w:val="66F07DE9"/>
    <w:rsid w:val="67EF3307"/>
    <w:rsid w:val="683B182E"/>
    <w:rsid w:val="698F29EF"/>
    <w:rsid w:val="6AA62EC8"/>
    <w:rsid w:val="6B181DEF"/>
    <w:rsid w:val="6B1F33C5"/>
    <w:rsid w:val="6B2D4FE5"/>
    <w:rsid w:val="6B5B64EC"/>
    <w:rsid w:val="6C137DA6"/>
    <w:rsid w:val="6DC60BBD"/>
    <w:rsid w:val="6E1D36CA"/>
    <w:rsid w:val="70D3563C"/>
    <w:rsid w:val="71093881"/>
    <w:rsid w:val="717B6A52"/>
    <w:rsid w:val="71F12B3F"/>
    <w:rsid w:val="739F62C3"/>
    <w:rsid w:val="73A755BA"/>
    <w:rsid w:val="745A62FD"/>
    <w:rsid w:val="74835E17"/>
    <w:rsid w:val="74870DBC"/>
    <w:rsid w:val="748E1E4A"/>
    <w:rsid w:val="76417DFD"/>
    <w:rsid w:val="77240469"/>
    <w:rsid w:val="786F0434"/>
    <w:rsid w:val="79285C80"/>
    <w:rsid w:val="79E24C48"/>
    <w:rsid w:val="7C6D124D"/>
    <w:rsid w:val="7D46427B"/>
    <w:rsid w:val="7E4B6438"/>
    <w:rsid w:val="7EB505BA"/>
    <w:rsid w:val="7F302B38"/>
    <w:rsid w:val="7FB077D8"/>
  </w:rsids>
  <m:mathPr>
    <m:mathFont m:val="Cambria Math"/>
    <m:brkBin m:val="before"/>
    <m:brkBinSub m:val="--"/>
    <m:smallFrac m:val="1"/>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1"/>
    </o:shapedefaults>
    <o:shapelayout v:ext="edit">
      <o:idmap v:ext="edit" data="1"/>
      <o:rules v:ext="edit">
        <o:r id="V:Rule1" type="connector" idref="#自选图形 198"/>
        <o:r id="V:Rule2" type="connector" idref="#自选图形 202"/>
        <o:r id="V:Rule3" type="connector" idref="#自选图形 203"/>
        <o:r id="V:Rule4" type="connector" idref="#_x0000_s1060"/>
        <o:r id="V:Rule5" type="connector" idref="#_x0000_s1061"/>
        <o:r id="V:Rule6" type="connector" idref="#_x0000_s1062"/>
        <o:r id="V:Rule7" type="connector" idref="#_x0000_s1063"/>
        <o:r id="V:Rule8" type="connector" idref="#_x0000_s106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qFormat="1"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qFormat/>
    <w:uiPriority w:val="0"/>
    <w:pPr>
      <w:keepNext/>
      <w:keepLines/>
      <w:pageBreakBefore/>
      <w:spacing w:line="360" w:lineRule="auto"/>
      <w:jc w:val="center"/>
      <w:outlineLvl w:val="0"/>
    </w:pPr>
    <w:rPr>
      <w:rFonts w:eastAsia="黑体"/>
      <w:b/>
      <w:bCs/>
      <w:kern w:val="44"/>
      <w:sz w:val="32"/>
      <w:szCs w:val="32"/>
    </w:rPr>
  </w:style>
  <w:style w:type="paragraph" w:styleId="4">
    <w:name w:val="heading 2"/>
    <w:basedOn w:val="1"/>
    <w:next w:val="1"/>
    <w:link w:val="53"/>
    <w:qFormat/>
    <w:uiPriority w:val="0"/>
    <w:pPr>
      <w:keepNext/>
      <w:keepLines/>
      <w:spacing w:before="260" w:after="260" w:line="360" w:lineRule="auto"/>
      <w:jc w:val="left"/>
      <w:outlineLvl w:val="1"/>
    </w:pPr>
    <w:rPr>
      <w:rFonts w:ascii="Cambria" w:hAnsi="Cambria" w:eastAsia="楷体"/>
      <w:b/>
      <w:bCs/>
      <w:kern w:val="0"/>
      <w:sz w:val="32"/>
      <w:szCs w:val="32"/>
    </w:rPr>
  </w:style>
  <w:style w:type="paragraph" w:styleId="5">
    <w:name w:val="heading 3"/>
    <w:basedOn w:val="1"/>
    <w:next w:val="1"/>
    <w:qFormat/>
    <w:uiPriority w:val="0"/>
    <w:pPr>
      <w:keepNext/>
      <w:keepLines/>
      <w:spacing w:before="260" w:after="260" w:line="360" w:lineRule="auto"/>
      <w:jc w:val="left"/>
      <w:outlineLvl w:val="2"/>
    </w:pPr>
    <w:rPr>
      <w:rFonts w:eastAsia="黑体"/>
      <w:b/>
      <w:bCs/>
      <w:kern w:val="0"/>
      <w:sz w:val="28"/>
      <w:szCs w:val="28"/>
    </w:rPr>
  </w:style>
  <w:style w:type="paragraph" w:styleId="6">
    <w:name w:val="heading 4"/>
    <w:basedOn w:val="1"/>
    <w:next w:val="1"/>
    <w:qFormat/>
    <w:uiPriority w:val="0"/>
    <w:pPr>
      <w:keepNext/>
      <w:keepLines/>
      <w:spacing w:line="376" w:lineRule="auto"/>
      <w:outlineLvl w:val="3"/>
    </w:pPr>
    <w:rPr>
      <w:rFonts w:ascii="Arial" w:hAnsi="Arial" w:eastAsia="黑体"/>
      <w:b/>
      <w:bCs/>
      <w:sz w:val="28"/>
      <w:szCs w:val="28"/>
    </w:rPr>
  </w:style>
  <w:style w:type="character" w:default="1" w:styleId="30">
    <w:name w:val="Default Paragraph Font"/>
    <w:unhideWhenUsed/>
    <w:uiPriority w:val="1"/>
  </w:style>
  <w:style w:type="table" w:default="1" w:styleId="35">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First Indent 2"/>
    <w:basedOn w:val="1"/>
    <w:qFormat/>
    <w:uiPriority w:val="0"/>
    <w:pPr>
      <w:tabs>
        <w:tab w:val="left" w:pos="360"/>
      </w:tabs>
      <w:ind w:firstLine="210"/>
    </w:pPr>
  </w:style>
  <w:style w:type="paragraph" w:styleId="7">
    <w:name w:val="toc 7"/>
    <w:basedOn w:val="1"/>
    <w:next w:val="1"/>
    <w:semiHidden/>
    <w:qFormat/>
    <w:uiPriority w:val="0"/>
    <w:pPr>
      <w:ind w:left="1260"/>
      <w:jc w:val="left"/>
    </w:pPr>
    <w:rPr>
      <w:sz w:val="20"/>
      <w:szCs w:val="20"/>
    </w:rPr>
  </w:style>
  <w:style w:type="paragraph" w:styleId="8">
    <w:name w:val="Normal Indent"/>
    <w:basedOn w:val="1"/>
    <w:qFormat/>
    <w:uiPriority w:val="0"/>
    <w:pPr>
      <w:ind w:firstLine="420" w:firstLineChars="200"/>
    </w:pPr>
  </w:style>
  <w:style w:type="paragraph" w:styleId="9">
    <w:name w:val="Document Map"/>
    <w:basedOn w:val="1"/>
    <w:semiHidden/>
    <w:qFormat/>
    <w:uiPriority w:val="0"/>
    <w:pPr>
      <w:shd w:val="clear" w:color="auto" w:fill="000080"/>
    </w:pPr>
  </w:style>
  <w:style w:type="paragraph" w:styleId="10">
    <w:name w:val="Body Text 3"/>
    <w:basedOn w:val="1"/>
    <w:qFormat/>
    <w:uiPriority w:val="0"/>
    <w:rPr>
      <w:rFonts w:ascii="宋体" w:hAnsi="宋体"/>
      <w:color w:val="000000"/>
      <w:sz w:val="28"/>
      <w:szCs w:val="28"/>
    </w:rPr>
  </w:style>
  <w:style w:type="paragraph" w:styleId="11">
    <w:name w:val="Body Text"/>
    <w:basedOn w:val="1"/>
    <w:qFormat/>
    <w:uiPriority w:val="0"/>
    <w:pPr>
      <w:spacing w:after="120"/>
    </w:pPr>
  </w:style>
  <w:style w:type="paragraph" w:styleId="12">
    <w:name w:val="Body Text Indent"/>
    <w:basedOn w:val="1"/>
    <w:next w:val="13"/>
    <w:qFormat/>
    <w:uiPriority w:val="0"/>
    <w:pPr>
      <w:spacing w:after="120"/>
      <w:ind w:left="420" w:leftChars="200"/>
    </w:pPr>
  </w:style>
  <w:style w:type="paragraph" w:styleId="13">
    <w:name w:val="index heading"/>
    <w:basedOn w:val="1"/>
    <w:next w:val="14"/>
    <w:unhideWhenUsed/>
    <w:qFormat/>
    <w:uiPriority w:val="0"/>
    <w:rPr>
      <w:rFonts w:ascii="Tahoma" w:hAnsi="Tahoma" w:eastAsia="仿宋_GB2312"/>
      <w:sz w:val="28"/>
    </w:rPr>
  </w:style>
  <w:style w:type="paragraph" w:styleId="14">
    <w:name w:val="index 1"/>
    <w:basedOn w:val="1"/>
    <w:next w:val="1"/>
    <w:unhideWhenUsed/>
    <w:qFormat/>
    <w:uiPriority w:val="0"/>
    <w:rPr>
      <w:rFonts w:hint="eastAsia"/>
      <w:sz w:val="28"/>
    </w:rPr>
  </w:style>
  <w:style w:type="paragraph" w:styleId="15">
    <w:name w:val="Block Text"/>
    <w:basedOn w:val="1"/>
    <w:qFormat/>
    <w:uiPriority w:val="99"/>
    <w:pPr>
      <w:spacing w:after="120"/>
      <w:ind w:left="1440" w:leftChars="700" w:right="700" w:rightChars="700"/>
    </w:pPr>
  </w:style>
  <w:style w:type="paragraph" w:styleId="16">
    <w:name w:val="toc 5"/>
    <w:basedOn w:val="1"/>
    <w:next w:val="1"/>
    <w:semiHidden/>
    <w:qFormat/>
    <w:uiPriority w:val="0"/>
    <w:pPr>
      <w:ind w:left="840"/>
      <w:jc w:val="left"/>
    </w:pPr>
    <w:rPr>
      <w:sz w:val="20"/>
      <w:szCs w:val="20"/>
    </w:rPr>
  </w:style>
  <w:style w:type="paragraph" w:styleId="17">
    <w:name w:val="toc 3"/>
    <w:basedOn w:val="1"/>
    <w:next w:val="1"/>
    <w:unhideWhenUsed/>
    <w:qFormat/>
    <w:uiPriority w:val="39"/>
    <w:pPr>
      <w:ind w:left="420"/>
      <w:jc w:val="left"/>
    </w:pPr>
    <w:rPr>
      <w:szCs w:val="20"/>
    </w:rPr>
  </w:style>
  <w:style w:type="paragraph" w:styleId="18">
    <w:name w:val="toc 8"/>
    <w:basedOn w:val="1"/>
    <w:next w:val="1"/>
    <w:semiHidden/>
    <w:qFormat/>
    <w:uiPriority w:val="0"/>
    <w:pPr>
      <w:ind w:left="1470"/>
      <w:jc w:val="left"/>
    </w:pPr>
    <w:rPr>
      <w:sz w:val="20"/>
      <w:szCs w:val="20"/>
    </w:rPr>
  </w:style>
  <w:style w:type="paragraph" w:styleId="19">
    <w:name w:val="Date"/>
    <w:basedOn w:val="1"/>
    <w:next w:val="1"/>
    <w:qFormat/>
    <w:uiPriority w:val="0"/>
    <w:pPr>
      <w:spacing w:before="100" w:beforeAutospacing="1" w:after="100" w:afterAutospacing="1"/>
      <w:ind w:left="2500" w:leftChars="2500"/>
    </w:pPr>
    <w:rPr>
      <w:sz w:val="28"/>
      <w:szCs w:val="28"/>
    </w:rPr>
  </w:style>
  <w:style w:type="paragraph" w:styleId="20">
    <w:name w:val="Balloon Text"/>
    <w:basedOn w:val="1"/>
    <w:link w:val="57"/>
    <w:qFormat/>
    <w:uiPriority w:val="0"/>
    <w:rPr>
      <w:sz w:val="18"/>
      <w:szCs w:val="18"/>
    </w:rPr>
  </w:style>
  <w:style w:type="paragraph" w:styleId="21">
    <w:name w:val="footer"/>
    <w:basedOn w:val="1"/>
    <w:qFormat/>
    <w:uiPriority w:val="0"/>
    <w:pPr>
      <w:snapToGrid w:val="0"/>
      <w:jc w:val="left"/>
    </w:pPr>
    <w:rPr>
      <w:kern w:val="0"/>
      <w:sz w:val="18"/>
      <w:szCs w:val="18"/>
    </w:rPr>
  </w:style>
  <w:style w:type="paragraph" w:styleId="22">
    <w:name w:val="header"/>
    <w:basedOn w:val="1"/>
    <w:link w:val="56"/>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1"/>
    <w:next w:val="3"/>
    <w:qFormat/>
    <w:uiPriority w:val="39"/>
    <w:pPr>
      <w:spacing w:before="120"/>
      <w:jc w:val="left"/>
    </w:pPr>
    <w:rPr>
      <w:rFonts w:eastAsia="黑体"/>
      <w:bCs/>
      <w:sz w:val="24"/>
      <w:szCs w:val="20"/>
    </w:rPr>
  </w:style>
  <w:style w:type="paragraph" w:styleId="24">
    <w:name w:val="toc 4"/>
    <w:basedOn w:val="1"/>
    <w:next w:val="1"/>
    <w:semiHidden/>
    <w:qFormat/>
    <w:uiPriority w:val="0"/>
    <w:pPr>
      <w:ind w:left="630"/>
      <w:jc w:val="left"/>
    </w:pPr>
    <w:rPr>
      <w:sz w:val="20"/>
      <w:szCs w:val="20"/>
    </w:rPr>
  </w:style>
  <w:style w:type="paragraph" w:styleId="25">
    <w:name w:val="toc 6"/>
    <w:basedOn w:val="1"/>
    <w:next w:val="1"/>
    <w:semiHidden/>
    <w:qFormat/>
    <w:uiPriority w:val="0"/>
    <w:pPr>
      <w:ind w:left="1050"/>
      <w:jc w:val="left"/>
    </w:pPr>
    <w:rPr>
      <w:sz w:val="20"/>
      <w:szCs w:val="20"/>
    </w:rPr>
  </w:style>
  <w:style w:type="paragraph" w:styleId="26">
    <w:name w:val="toc 2"/>
    <w:basedOn w:val="1"/>
    <w:next w:val="1"/>
    <w:qFormat/>
    <w:uiPriority w:val="39"/>
    <w:pPr>
      <w:ind w:left="210"/>
      <w:jc w:val="left"/>
    </w:pPr>
    <w:rPr>
      <w:rFonts w:eastAsia="黑体"/>
      <w:iCs/>
      <w:szCs w:val="20"/>
    </w:rPr>
  </w:style>
  <w:style w:type="paragraph" w:styleId="27">
    <w:name w:val="toc 9"/>
    <w:basedOn w:val="1"/>
    <w:next w:val="1"/>
    <w:semiHidden/>
    <w:qFormat/>
    <w:uiPriority w:val="0"/>
    <w:pPr>
      <w:ind w:left="1680"/>
      <w:jc w:val="left"/>
    </w:pPr>
    <w:rPr>
      <w:sz w:val="20"/>
      <w:szCs w:val="20"/>
    </w:rPr>
  </w:style>
  <w:style w:type="paragraph" w:styleId="28">
    <w:name w:val="Body Text 2"/>
    <w:basedOn w:val="1"/>
    <w:qFormat/>
    <w:uiPriority w:val="0"/>
    <w:rPr>
      <w:kern w:val="0"/>
      <w:sz w:val="20"/>
      <w:szCs w:val="20"/>
    </w:rPr>
  </w:style>
  <w:style w:type="paragraph" w:styleId="29">
    <w:name w:val="Normal (Web)"/>
    <w:basedOn w:val="1"/>
    <w:qFormat/>
    <w:uiPriority w:val="0"/>
    <w:pPr>
      <w:widowControl/>
      <w:spacing w:before="100" w:beforeAutospacing="1" w:after="100" w:afterAutospacing="1"/>
      <w:jc w:val="left"/>
    </w:pPr>
    <w:rPr>
      <w:rFonts w:ascii="宋体" w:hAnsi="宋体" w:cs="宋体"/>
      <w:kern w:val="0"/>
      <w:sz w:val="24"/>
      <w:szCs w:val="24"/>
    </w:rPr>
  </w:style>
  <w:style w:type="character" w:styleId="31">
    <w:name w:val="Strong"/>
    <w:qFormat/>
    <w:uiPriority w:val="0"/>
    <w:rPr>
      <w:b/>
      <w:bCs/>
    </w:rPr>
  </w:style>
  <w:style w:type="character" w:styleId="32">
    <w:name w:val="page number"/>
    <w:basedOn w:val="30"/>
    <w:qFormat/>
    <w:uiPriority w:val="0"/>
  </w:style>
  <w:style w:type="character" w:styleId="33">
    <w:name w:val="FollowedHyperlink"/>
    <w:qFormat/>
    <w:uiPriority w:val="0"/>
    <w:rPr>
      <w:color w:val="0000FF"/>
      <w:u w:val="single"/>
    </w:rPr>
  </w:style>
  <w:style w:type="character" w:styleId="34">
    <w:name w:val="Hyperlink"/>
    <w:basedOn w:val="30"/>
    <w:qFormat/>
    <w:uiPriority w:val="99"/>
    <w:rPr>
      <w:color w:val="0000FF"/>
      <w:u w:val="single"/>
    </w:rPr>
  </w:style>
  <w:style w:type="table" w:styleId="36">
    <w:name w:val="Table Grid"/>
    <w:basedOn w:val="3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37">
    <w:name w:val="Default"/>
    <w:qFormat/>
    <w:uiPriority w:val="0"/>
    <w:pPr>
      <w:widowControl w:val="0"/>
      <w:autoSpaceDE w:val="0"/>
      <w:autoSpaceDN w:val="0"/>
      <w:adjustRightInd w:val="0"/>
    </w:pPr>
    <w:rPr>
      <w:rFonts w:ascii="MHei-Medium" w:hAnsi="Times New Roman" w:eastAsia="MHei-Medium" w:cs="Times New Roman"/>
      <w:sz w:val="21"/>
      <w:szCs w:val="22"/>
      <w:lang w:val="en-US" w:eastAsia="zh-CN" w:bidi="ar-SA"/>
    </w:rPr>
  </w:style>
  <w:style w:type="paragraph" w:customStyle="1" w:styleId="38">
    <w:name w:val="列出段落1"/>
    <w:basedOn w:val="1"/>
    <w:semiHidden/>
    <w:qFormat/>
    <w:uiPriority w:val="0"/>
    <w:pPr>
      <w:ind w:firstLine="420" w:firstLineChars="200"/>
    </w:pPr>
  </w:style>
  <w:style w:type="paragraph" w:customStyle="1" w:styleId="39">
    <w:name w:val="简单回函地址"/>
    <w:basedOn w:val="1"/>
    <w:qFormat/>
    <w:uiPriority w:val="0"/>
    <w:pPr>
      <w:adjustRightInd w:val="0"/>
      <w:spacing w:line="312" w:lineRule="atLeast"/>
    </w:pPr>
    <w:rPr>
      <w:kern w:val="0"/>
      <w:sz w:val="28"/>
      <w:szCs w:val="28"/>
    </w:rPr>
  </w:style>
  <w:style w:type="paragraph" w:customStyle="1" w:styleId="40">
    <w:name w:val="二级标题"/>
    <w:basedOn w:val="4"/>
    <w:next w:val="1"/>
    <w:qFormat/>
    <w:uiPriority w:val="0"/>
    <w:pPr>
      <w:spacing w:before="0" w:after="0" w:line="560" w:lineRule="exact"/>
      <w:ind w:left="99" w:leftChars="47"/>
    </w:pPr>
    <w:rPr>
      <w:rFonts w:ascii="方正黑体简体" w:hAnsi="宋体" w:eastAsia="方正黑体简体"/>
      <w:b w:val="0"/>
      <w:sz w:val="24"/>
      <w:szCs w:val="28"/>
    </w:rPr>
  </w:style>
  <w:style w:type="paragraph" w:customStyle="1" w:styleId="41">
    <w:name w:val="Body text|3"/>
    <w:basedOn w:val="1"/>
    <w:qFormat/>
    <w:uiPriority w:val="0"/>
    <w:pPr>
      <w:spacing w:after="40" w:line="621" w:lineRule="exact"/>
      <w:ind w:firstLine="660"/>
    </w:pPr>
    <w:rPr>
      <w:rFonts w:ascii="宋体" w:hAnsi="宋体" w:cs="宋体"/>
      <w:sz w:val="30"/>
      <w:szCs w:val="30"/>
      <w:lang w:val="zh-TW" w:eastAsia="zh-TW" w:bidi="zh-TW"/>
    </w:rPr>
  </w:style>
  <w:style w:type="paragraph" w:customStyle="1" w:styleId="42">
    <w:name w:val="郭表格"/>
    <w:basedOn w:val="1"/>
    <w:qFormat/>
    <w:uiPriority w:val="0"/>
    <w:pPr>
      <w:jc w:val="center"/>
    </w:pPr>
  </w:style>
  <w:style w:type="paragraph" w:customStyle="1" w:styleId="43">
    <w:name w:val="规范正文"/>
    <w:basedOn w:val="1"/>
    <w:qFormat/>
    <w:uiPriority w:val="0"/>
    <w:pPr>
      <w:autoSpaceDE w:val="0"/>
      <w:autoSpaceDN w:val="0"/>
      <w:adjustRightInd w:val="0"/>
      <w:spacing w:beforeLines="50" w:afterLines="50" w:line="360" w:lineRule="exact"/>
      <w:ind w:firstLine="640" w:firstLineChars="200"/>
      <w:jc w:val="left"/>
    </w:pPr>
    <w:rPr>
      <w:rFonts w:ascii="方正仿宋简体" w:hAnsi="宋体" w:eastAsia="方正仿宋简体" w:cs="FZSSJW--GB1-0"/>
      <w:kern w:val="0"/>
      <w:sz w:val="32"/>
      <w:szCs w:val="32"/>
    </w:rPr>
  </w:style>
  <w:style w:type="paragraph" w:customStyle="1" w:styleId="44">
    <w:name w:val="zw"/>
    <w:basedOn w:val="1"/>
    <w:qFormat/>
    <w:uiPriority w:val="0"/>
    <w:pPr>
      <w:widowControl/>
      <w:spacing w:before="100" w:beforeAutospacing="1" w:after="100" w:afterAutospacing="1" w:line="440" w:lineRule="atLeast"/>
      <w:jc w:val="left"/>
    </w:pPr>
    <w:rPr>
      <w:rFonts w:ascii="宋体" w:hAnsi="宋体" w:cs="宋体"/>
      <w:kern w:val="0"/>
      <w:sz w:val="22"/>
      <w:szCs w:val="22"/>
    </w:rPr>
  </w:style>
  <w:style w:type="paragraph" w:customStyle="1" w:styleId="45">
    <w:name w:val="表格"/>
    <w:basedOn w:val="1"/>
    <w:qFormat/>
    <w:uiPriority w:val="0"/>
    <w:pPr>
      <w:jc w:val="center"/>
    </w:pPr>
    <w:rPr>
      <w:rFonts w:ascii="宋体"/>
    </w:rPr>
  </w:style>
  <w:style w:type="paragraph" w:customStyle="1" w:styleId="46">
    <w:name w:val="Body text|2"/>
    <w:basedOn w:val="1"/>
    <w:qFormat/>
    <w:uiPriority w:val="0"/>
    <w:pPr>
      <w:spacing w:after="380" w:line="331" w:lineRule="auto"/>
      <w:ind w:left="3090" w:right="100" w:firstLine="310"/>
    </w:pPr>
    <w:rPr>
      <w:sz w:val="26"/>
      <w:szCs w:val="26"/>
      <w:lang w:val="zh-TW" w:eastAsia="zh-TW" w:bidi="zh-TW"/>
    </w:rPr>
  </w:style>
  <w:style w:type="character" w:customStyle="1" w:styleId="47">
    <w:name w:val="18"/>
    <w:qFormat/>
    <w:uiPriority w:val="0"/>
    <w:rPr>
      <w:rFonts w:hint="default" w:ascii="Calibri" w:hAnsi="Calibri"/>
      <w:color w:val="0066CC"/>
      <w:sz w:val="24"/>
      <w:szCs w:val="24"/>
      <w:u w:val="single"/>
    </w:rPr>
  </w:style>
  <w:style w:type="character" w:customStyle="1" w:styleId="48">
    <w:name w:val="16"/>
    <w:qFormat/>
    <w:uiPriority w:val="0"/>
    <w:rPr>
      <w:rFonts w:hint="default" w:ascii="Calibri" w:hAnsi="Calibri"/>
    </w:rPr>
  </w:style>
  <w:style w:type="character" w:customStyle="1" w:styleId="49">
    <w:name w:val="17"/>
    <w:qFormat/>
    <w:uiPriority w:val="0"/>
    <w:rPr>
      <w:rFonts w:hint="default" w:ascii="Calibri" w:hAnsi="Calibri" w:eastAsia="宋体"/>
      <w:b/>
      <w:bCs/>
      <w:kern w:val="2"/>
      <w:sz w:val="32"/>
      <w:szCs w:val="32"/>
    </w:rPr>
  </w:style>
  <w:style w:type="character" w:customStyle="1" w:styleId="50">
    <w:name w:val="10"/>
    <w:qFormat/>
    <w:uiPriority w:val="0"/>
    <w:rPr>
      <w:rFonts w:hint="default" w:ascii="Calibri" w:hAnsi="Calibri"/>
    </w:rPr>
  </w:style>
  <w:style w:type="character" w:customStyle="1" w:styleId="51">
    <w:name w:val="15"/>
    <w:qFormat/>
    <w:uiPriority w:val="0"/>
    <w:rPr>
      <w:rFonts w:hint="eastAsia" w:ascii="宋体" w:hAnsi="宋体" w:eastAsia="宋体"/>
      <w:b/>
      <w:bCs/>
      <w:sz w:val="32"/>
      <w:szCs w:val="32"/>
    </w:rPr>
  </w:style>
  <w:style w:type="character" w:customStyle="1" w:styleId="52">
    <w:name w:val="19"/>
    <w:qFormat/>
    <w:uiPriority w:val="0"/>
    <w:rPr>
      <w:rFonts w:hint="default" w:ascii="Calibri" w:hAnsi="Calibri"/>
      <w:sz w:val="20"/>
      <w:szCs w:val="20"/>
    </w:rPr>
  </w:style>
  <w:style w:type="character" w:customStyle="1" w:styleId="53">
    <w:name w:val="标题 2 Char"/>
    <w:link w:val="4"/>
    <w:qFormat/>
    <w:uiPriority w:val="9"/>
    <w:rPr>
      <w:rFonts w:ascii="Cambria" w:hAnsi="Cambria" w:eastAsia="楷体"/>
      <w:b/>
      <w:bCs/>
      <w:kern w:val="0"/>
      <w:sz w:val="32"/>
      <w:szCs w:val="32"/>
    </w:rPr>
  </w:style>
  <w:style w:type="character" w:customStyle="1" w:styleId="54">
    <w:name w:val="20"/>
    <w:qFormat/>
    <w:uiPriority w:val="0"/>
    <w:rPr>
      <w:rFonts w:hint="eastAsia" w:ascii="宋体" w:hAnsi="宋体" w:eastAsia="宋体"/>
      <w:sz w:val="22"/>
      <w:szCs w:val="22"/>
    </w:rPr>
  </w:style>
  <w:style w:type="character" w:customStyle="1" w:styleId="55">
    <w:name w:val="bt21"/>
    <w:qFormat/>
    <w:uiPriority w:val="0"/>
    <w:rPr>
      <w:rFonts w:hint="eastAsia" w:ascii="黑体" w:eastAsia="黑体"/>
      <w:sz w:val="22"/>
      <w:szCs w:val="22"/>
    </w:rPr>
  </w:style>
  <w:style w:type="character" w:customStyle="1" w:styleId="56">
    <w:name w:val="页眉 Char"/>
    <w:link w:val="22"/>
    <w:qFormat/>
    <w:uiPriority w:val="0"/>
    <w:rPr>
      <w:kern w:val="2"/>
      <w:sz w:val="18"/>
      <w:szCs w:val="18"/>
    </w:rPr>
  </w:style>
  <w:style w:type="character" w:customStyle="1" w:styleId="57">
    <w:name w:val="批注框文本 Char"/>
    <w:link w:val="20"/>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0.jpeg"/><Relationship Id="rId3" Type="http://schemas.openxmlformats.org/officeDocument/2006/relationships/footer" Target="footer1.xml"/><Relationship Id="rId29" Type="http://schemas.openxmlformats.org/officeDocument/2006/relationships/image" Target="media/image19.jpe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file:///C:\DOCUME~1\ADMINI~1\LOCALS~1\Temp\ksohtml\wps7F.tmp.png" TargetMode="External"/><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file:///C:\DOCUME~1\ADMINI~1\LOCALS~1\Temp\ksohtml\wps157.tmp.jpg" TargetMode="Externa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50"/>
    <customShpInfo spid="_x0000_s2049"/>
    <customShpInfo spid="_x0000_s1026"/>
    <customShpInfo spid="_x0000_s1112"/>
    <customShpInfo spid="_x0000_s1111"/>
    <customShpInfo spid="_x0000_s1110"/>
    <customShpInfo spid="_x0000_s1109"/>
    <customShpInfo spid="_x0000_s1108"/>
    <customShpInfo spid="_x0000_s1107"/>
    <customShpInfo spid="_x0000_s1106"/>
    <customShpInfo spid="_x0000_s1105"/>
    <customShpInfo spid="_x0000_s1104"/>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ompany>
  <Pages>175</Pages>
  <Words>73475</Words>
  <Characters>14893</Characters>
  <Lines>124</Lines>
  <Paragraphs>176</Paragraphs>
  <TotalTime>73</TotalTime>
  <ScaleCrop>false</ScaleCrop>
  <LinksUpToDate>false</LinksUpToDate>
  <CharactersWithSpaces>88192</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2018-07-20T03:16:00Z</dcterms:created>
  <dc:creator>*</dc:creator>
  <cp:lastModifiedBy>Administrator</cp:lastModifiedBy>
  <cp:lastPrinted>2020-05-15T08:51:00Z</cp:lastPrinted>
  <dcterms:modified xsi:type="dcterms:W3CDTF">2020-06-10T04:38:08Z</dcterms:modified>
  <dc:title>版本号：A/1</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