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南充市嘉陵兴鑫烟花爆竹有限公司</w:t>
      </w:r>
    </w:p>
    <w:p>
      <w:pPr>
        <w:spacing w:line="720" w:lineRule="auto"/>
        <w:jc w:val="center"/>
        <w:rPr>
          <w:rFonts w:ascii="仿宋_GB2312" w:hAnsi="仿宋_GB2312" w:eastAsia="仿宋_GB2312" w:cs="仿宋_GB2312"/>
          <w:sz w:val="44"/>
          <w:szCs w:val="44"/>
        </w:rPr>
      </w:pPr>
      <w:r>
        <w:rPr>
          <w:rFonts w:hint="eastAsia" w:ascii="宋体" w:hAnsi="宋体" w:eastAsia="宋体" w:cs="宋体"/>
          <w:b/>
          <w:bCs/>
          <w:sz w:val="44"/>
          <w:szCs w:val="44"/>
        </w:rPr>
        <w:t>烟花爆竹经营安全事故应急救援预案</w:t>
      </w:r>
    </w:p>
    <w:p>
      <w:pPr>
        <w:spacing w:line="700" w:lineRule="exact"/>
        <w:jc w:val="center"/>
        <w:rPr>
          <w:rFonts w:ascii="方正小标宋_GBK" w:hAnsi="仿宋" w:eastAsia="方正小标宋_GBK" w:cs="Times New Roman"/>
          <w:b/>
          <w:bCs/>
          <w:sz w:val="44"/>
          <w:szCs w:val="44"/>
        </w:rPr>
      </w:pPr>
    </w:p>
    <w:p>
      <w:pPr>
        <w:jc w:val="center"/>
        <w:rPr>
          <w:rFonts w:hint="eastAsia" w:ascii="方正小标宋简体" w:hAnsi="方正小标宋简体" w:eastAsia="方正小标宋简体" w:cs="方正小标宋简体"/>
          <w:sz w:val="72"/>
          <w:szCs w:val="72"/>
        </w:rPr>
      </w:pPr>
    </w:p>
    <w:p>
      <w:pPr>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风险评估报告</w:t>
      </w:r>
    </w:p>
    <w:p>
      <w:pPr>
        <w:jc w:val="center"/>
        <w:rPr>
          <w:rFonts w:ascii="仿宋" w:hAnsi="仿宋" w:eastAsia="仿宋" w:cs="Times New Roman"/>
          <w:b/>
          <w:bCs/>
          <w:sz w:val="72"/>
          <w:szCs w:val="72"/>
        </w:rPr>
      </w:pPr>
    </w:p>
    <w:p>
      <w:pPr>
        <w:spacing w:line="360" w:lineRule="auto"/>
        <w:rPr>
          <w:rFonts w:ascii="仿宋" w:hAnsi="仿宋" w:eastAsia="仿宋" w:cs="Times New Roman"/>
          <w:sz w:val="30"/>
          <w:szCs w:val="30"/>
        </w:rPr>
      </w:pPr>
    </w:p>
    <w:p>
      <w:pPr>
        <w:spacing w:line="360" w:lineRule="auto"/>
        <w:ind w:firstLine="964" w:firstLineChars="300"/>
        <w:rPr>
          <w:rFonts w:hint="eastAsia" w:ascii="宋体" w:hAnsi="宋体" w:eastAsia="宋体" w:cs="宋体"/>
          <w:b/>
          <w:bCs/>
          <w:sz w:val="32"/>
          <w:szCs w:val="32"/>
          <w:lang w:eastAsia="zh-CN"/>
        </w:rPr>
      </w:pPr>
      <w:r>
        <w:rPr>
          <w:rFonts w:hint="eastAsia" w:ascii="宋体" w:hAnsi="宋体" w:eastAsia="宋体" w:cs="宋体"/>
          <w:b/>
          <w:bCs/>
          <w:sz w:val="32"/>
          <w:szCs w:val="32"/>
        </w:rPr>
        <w:t>评估人员：</w:t>
      </w:r>
      <w:r>
        <w:rPr>
          <w:rFonts w:hint="eastAsia" w:ascii="宋体" w:hAnsi="宋体" w:eastAsia="宋体" w:cs="宋体"/>
          <w:b/>
          <w:bCs/>
          <w:sz w:val="32"/>
          <w:szCs w:val="32"/>
          <w:lang w:eastAsia="zh-CN"/>
        </w:rPr>
        <w:t>谢国全</w:t>
      </w:r>
    </w:p>
    <w:p>
      <w:pPr>
        <w:spacing w:line="360" w:lineRule="auto"/>
        <w:ind w:firstLine="964" w:firstLineChars="300"/>
        <w:rPr>
          <w:rFonts w:hint="eastAsia" w:ascii="宋体" w:hAnsi="宋体" w:eastAsia="宋体" w:cs="宋体"/>
          <w:b/>
          <w:bCs/>
          <w:sz w:val="32"/>
          <w:szCs w:val="32"/>
        </w:rPr>
      </w:pPr>
      <w:r>
        <w:rPr>
          <w:rFonts w:hint="eastAsia" w:ascii="宋体" w:hAnsi="宋体" w:eastAsia="宋体" w:cs="宋体"/>
          <w:b/>
          <w:bCs/>
          <w:sz w:val="32"/>
          <w:szCs w:val="32"/>
        </w:rPr>
        <w:t>编制人员：</w:t>
      </w:r>
      <w:r>
        <w:rPr>
          <w:rFonts w:hint="eastAsia" w:ascii="宋体" w:hAnsi="宋体" w:eastAsia="宋体" w:cs="宋体"/>
          <w:b/>
          <w:bCs/>
          <w:sz w:val="32"/>
          <w:szCs w:val="32"/>
          <w:lang w:eastAsia="zh-CN"/>
        </w:rPr>
        <w:t>谢国全</w:t>
      </w:r>
    </w:p>
    <w:p>
      <w:pPr>
        <w:spacing w:line="360" w:lineRule="auto"/>
        <w:ind w:firstLine="964" w:firstLineChars="300"/>
        <w:rPr>
          <w:rFonts w:hint="eastAsia" w:ascii="宋体" w:hAnsi="宋体" w:eastAsia="宋体" w:cs="宋体"/>
          <w:b/>
          <w:bCs/>
          <w:sz w:val="32"/>
          <w:szCs w:val="32"/>
          <w:lang w:eastAsia="zh-CN"/>
        </w:rPr>
      </w:pPr>
      <w:r>
        <w:rPr>
          <w:rFonts w:hint="eastAsia" w:ascii="宋体" w:hAnsi="宋体" w:eastAsia="宋体" w:cs="宋体"/>
          <w:b/>
          <w:bCs/>
          <w:sz w:val="32"/>
          <w:szCs w:val="32"/>
        </w:rPr>
        <w:t>批准人员：</w:t>
      </w:r>
      <w:r>
        <w:rPr>
          <w:rFonts w:hint="eastAsia" w:ascii="宋体" w:hAnsi="宋体" w:eastAsia="宋体" w:cs="宋体"/>
          <w:b/>
          <w:bCs/>
          <w:sz w:val="32"/>
          <w:szCs w:val="32"/>
          <w:lang w:eastAsia="zh-CN"/>
        </w:rPr>
        <w:t>青旭芬</w:t>
      </w:r>
    </w:p>
    <w:p>
      <w:pPr>
        <w:spacing w:line="360" w:lineRule="auto"/>
        <w:ind w:firstLine="964" w:firstLineChars="300"/>
        <w:rPr>
          <w:rFonts w:hint="eastAsia" w:ascii="宋体" w:hAnsi="宋体" w:eastAsia="宋体" w:cs="宋体"/>
          <w:b/>
          <w:bCs/>
          <w:sz w:val="32"/>
          <w:szCs w:val="32"/>
          <w:lang w:val="en-US" w:eastAsia="zh-CN"/>
        </w:rPr>
      </w:pPr>
      <w:r>
        <w:rPr>
          <w:rFonts w:hint="eastAsia" w:ascii="宋体" w:hAnsi="宋体" w:eastAsia="宋体" w:cs="宋体"/>
          <w:b/>
          <w:bCs/>
          <w:sz w:val="32"/>
          <w:szCs w:val="32"/>
        </w:rPr>
        <w:t>编制日期：20</w:t>
      </w:r>
      <w:r>
        <w:rPr>
          <w:rFonts w:hint="eastAsia" w:ascii="宋体" w:hAnsi="宋体" w:eastAsia="宋体" w:cs="宋体"/>
          <w:b/>
          <w:bCs/>
          <w:sz w:val="32"/>
          <w:szCs w:val="32"/>
          <w:lang w:val="en-US" w:eastAsia="zh-CN"/>
        </w:rPr>
        <w:t>20</w:t>
      </w:r>
      <w:r>
        <w:rPr>
          <w:rFonts w:hint="eastAsia" w:ascii="宋体" w:hAnsi="宋体" w:eastAsia="宋体" w:cs="宋体"/>
          <w:b/>
          <w:bCs/>
          <w:sz w:val="32"/>
          <w:szCs w:val="32"/>
        </w:rPr>
        <w:t>年</w:t>
      </w:r>
      <w:r>
        <w:rPr>
          <w:rFonts w:hint="eastAsia" w:ascii="宋体" w:hAnsi="宋体" w:eastAsia="宋体" w:cs="宋体"/>
          <w:b/>
          <w:bCs/>
          <w:sz w:val="32"/>
          <w:szCs w:val="32"/>
          <w:lang w:val="en-US" w:eastAsia="zh-CN"/>
        </w:rPr>
        <w:t>2</w:t>
      </w:r>
      <w:r>
        <w:rPr>
          <w:rFonts w:hint="eastAsia" w:ascii="宋体" w:hAnsi="宋体" w:eastAsia="宋体" w:cs="宋体"/>
          <w:b/>
          <w:bCs/>
          <w:sz w:val="32"/>
          <w:szCs w:val="32"/>
        </w:rPr>
        <w:t>月</w:t>
      </w:r>
      <w:r>
        <w:rPr>
          <w:rFonts w:hint="eastAsia" w:ascii="宋体" w:hAnsi="宋体" w:eastAsia="宋体" w:cs="宋体"/>
          <w:b/>
          <w:bCs/>
          <w:sz w:val="32"/>
          <w:szCs w:val="32"/>
          <w:lang w:val="en-US" w:eastAsia="zh-CN"/>
        </w:rPr>
        <w:t>10</w:t>
      </w:r>
      <w:r>
        <w:rPr>
          <w:rFonts w:hint="eastAsia" w:ascii="宋体" w:hAnsi="宋体" w:eastAsia="宋体" w:cs="宋体"/>
          <w:b/>
          <w:bCs/>
          <w:sz w:val="32"/>
          <w:szCs w:val="32"/>
        </w:rPr>
        <w:t>日</w:t>
      </w:r>
      <w:r>
        <w:rPr>
          <w:rFonts w:hint="eastAsia" w:ascii="宋体" w:hAnsi="宋体" w:eastAsia="宋体" w:cs="宋体"/>
          <w:b/>
          <w:bCs/>
          <w:sz w:val="32"/>
          <w:szCs w:val="32"/>
          <w:lang w:val="en-US" w:eastAsia="zh-CN"/>
        </w:rPr>
        <w:t xml:space="preserve"> </w:t>
      </w:r>
    </w:p>
    <w:p>
      <w:pPr>
        <w:spacing w:line="720" w:lineRule="auto"/>
        <w:ind w:firstLine="964" w:firstLineChars="300"/>
        <w:jc w:val="left"/>
        <w:rPr>
          <w:rFonts w:hint="eastAsia" w:ascii="华文中宋" w:hAnsi="华文中宋" w:eastAsia="华文中宋" w:cs="华文中宋"/>
          <w:b/>
          <w:bCs/>
          <w:sz w:val="32"/>
          <w:szCs w:val="32"/>
          <w:lang w:eastAsia="zh-CN"/>
        </w:rPr>
      </w:pPr>
      <w:r>
        <w:rPr>
          <w:rFonts w:hint="eastAsia" w:ascii="宋体" w:hAnsi="宋体" w:eastAsia="宋体" w:cs="宋体"/>
          <w:b/>
          <w:bCs/>
          <w:sz w:val="32"/>
          <w:szCs w:val="32"/>
        </w:rPr>
        <w:t>编制单位：</w:t>
      </w:r>
      <w:r>
        <w:rPr>
          <w:rFonts w:hint="eastAsia" w:ascii="宋体" w:hAnsi="宋体" w:eastAsia="宋体" w:cs="宋体"/>
          <w:b/>
          <w:bCs/>
          <w:sz w:val="32"/>
          <w:szCs w:val="32"/>
          <w:lang w:eastAsia="zh-CN"/>
        </w:rPr>
        <w:t>南充市嘉陵兴鑫烟花爆竹有限公司</w:t>
      </w:r>
    </w:p>
    <w:p>
      <w:pPr>
        <w:spacing w:line="360" w:lineRule="auto"/>
        <w:ind w:firstLine="480" w:firstLineChars="150"/>
        <w:rPr>
          <w:rFonts w:hint="eastAsia" w:ascii="仿宋" w:hAnsi="仿宋" w:eastAsia="仿宋" w:cs="仿宋"/>
          <w:sz w:val="32"/>
          <w:szCs w:val="32"/>
          <w:lang w:eastAsia="zh-CN"/>
        </w:rPr>
      </w:pPr>
    </w:p>
    <w:p>
      <w:pPr>
        <w:spacing w:line="600" w:lineRule="auto"/>
        <w:jc w:val="center"/>
        <w:rPr>
          <w:rFonts w:ascii="宋体" w:cs="仿宋"/>
          <w:sz w:val="36"/>
          <w:szCs w:val="36"/>
        </w:rPr>
      </w:pPr>
    </w:p>
    <w:p>
      <w:pPr>
        <w:jc w:val="center"/>
        <w:rPr>
          <w:rFonts w:ascii="宋体" w:cs="Times New Roman"/>
          <w:b/>
          <w:bCs/>
          <w:sz w:val="28"/>
          <w:szCs w:val="28"/>
        </w:rPr>
      </w:pPr>
      <w:bookmarkStart w:id="0" w:name="_Toc22357"/>
      <w:bookmarkStart w:id="1" w:name="_Toc499193819"/>
      <w:bookmarkStart w:id="2" w:name="_Toc26312"/>
      <w:r>
        <w:rPr>
          <w:rFonts w:ascii="黑体" w:hAnsi="黑体" w:eastAsia="黑体" w:cs="Times New Roman"/>
          <w:b/>
          <w:bCs/>
          <w:sz w:val="30"/>
          <w:szCs w:val="30"/>
        </w:rPr>
        <w:br w:type="page"/>
      </w:r>
      <w:r>
        <w:rPr>
          <w:rFonts w:hint="eastAsia" w:ascii="宋体" w:hAnsi="宋体" w:cs="黑体"/>
          <w:b/>
          <w:bCs/>
          <w:sz w:val="44"/>
          <w:szCs w:val="44"/>
        </w:rPr>
        <w:t>目</w:t>
      </w:r>
      <w:r>
        <w:rPr>
          <w:rFonts w:ascii="宋体" w:hAnsi="宋体" w:cs="黑体"/>
          <w:b/>
          <w:bCs/>
          <w:sz w:val="44"/>
          <w:szCs w:val="44"/>
        </w:rPr>
        <w:t xml:space="preserve">  </w:t>
      </w:r>
      <w:r>
        <w:rPr>
          <w:rFonts w:hint="eastAsia" w:ascii="宋体" w:hAnsi="宋体" w:cs="黑体"/>
          <w:b/>
          <w:bCs/>
          <w:sz w:val="44"/>
          <w:szCs w:val="44"/>
        </w:rPr>
        <w:t>录</w:t>
      </w:r>
    </w:p>
    <w:p>
      <w:pPr>
        <w:pStyle w:val="7"/>
        <w:tabs>
          <w:tab w:val="right" w:leader="dot" w:pos="8306"/>
        </w:tabs>
        <w:spacing w:line="360" w:lineRule="auto"/>
        <w:ind w:left="0" w:leftChars="0"/>
        <w:rPr>
          <w:rFonts w:ascii="宋体"/>
          <w:sz w:val="28"/>
          <w:szCs w:val="28"/>
        </w:rPr>
      </w:pPr>
      <w:r>
        <w:rPr>
          <w:rFonts w:ascii="宋体" w:hAnsi="宋体" w:cs="黑体"/>
          <w:sz w:val="28"/>
          <w:szCs w:val="28"/>
        </w:rPr>
        <w:fldChar w:fldCharType="begin"/>
      </w:r>
      <w:r>
        <w:rPr>
          <w:rFonts w:ascii="宋体" w:hAnsi="宋体" w:cs="黑体"/>
          <w:sz w:val="28"/>
          <w:szCs w:val="28"/>
        </w:rPr>
        <w:instrText xml:space="preserve">TOC \o "1-3" \h \u </w:instrText>
      </w:r>
      <w:r>
        <w:rPr>
          <w:rFonts w:ascii="宋体" w:hAnsi="宋体" w:cs="黑体"/>
          <w:sz w:val="28"/>
          <w:szCs w:val="28"/>
        </w:rPr>
        <w:fldChar w:fldCharType="separate"/>
      </w:r>
      <w:r>
        <w:rPr>
          <w:sz w:val="28"/>
          <w:szCs w:val="28"/>
        </w:rPr>
        <w:fldChar w:fldCharType="begin"/>
      </w:r>
      <w:r>
        <w:rPr>
          <w:sz w:val="28"/>
          <w:szCs w:val="28"/>
        </w:rPr>
        <w:instrText xml:space="preserve"> HYPERLINK \l "_Toc30148" </w:instrText>
      </w:r>
      <w:r>
        <w:rPr>
          <w:sz w:val="28"/>
          <w:szCs w:val="28"/>
        </w:rPr>
        <w:fldChar w:fldCharType="separate"/>
      </w:r>
      <w:r>
        <w:rPr>
          <w:rFonts w:hint="eastAsia" w:ascii="宋体" w:hAnsi="宋体"/>
          <w:sz w:val="28"/>
          <w:szCs w:val="28"/>
        </w:rPr>
        <w:t>应急救援预案风险评估报告</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_Toc30148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"_Toc26998" </w:instrText>
      </w:r>
      <w:r>
        <w:rPr>
          <w:sz w:val="28"/>
          <w:szCs w:val="28"/>
        </w:rPr>
        <w:fldChar w:fldCharType="separate"/>
      </w:r>
      <w:r>
        <w:rPr>
          <w:rFonts w:hint="eastAsia" w:ascii="宋体" w:hAnsi="宋体" w:cs="黑体"/>
          <w:sz w:val="28"/>
          <w:szCs w:val="28"/>
        </w:rPr>
        <w:t>一、总则</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_Toc26998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"_Toc9904" </w:instrText>
      </w:r>
      <w:r>
        <w:rPr>
          <w:sz w:val="28"/>
          <w:szCs w:val="28"/>
        </w:rPr>
        <w:fldChar w:fldCharType="separate"/>
      </w:r>
      <w:r>
        <w:rPr>
          <w:rFonts w:ascii="宋体" w:hAnsi="宋体" w:cs="黑体"/>
          <w:sz w:val="28"/>
          <w:szCs w:val="28"/>
        </w:rPr>
        <w:t>1.1</w:t>
      </w:r>
      <w:r>
        <w:rPr>
          <w:rFonts w:hint="eastAsia" w:ascii="宋体" w:hAnsi="宋体" w:cs="黑体"/>
          <w:sz w:val="28"/>
          <w:szCs w:val="28"/>
        </w:rPr>
        <w:t>编制原则</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_Toc9904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"_Toc16126" </w:instrText>
      </w:r>
      <w:r>
        <w:rPr>
          <w:sz w:val="28"/>
          <w:szCs w:val="28"/>
        </w:rPr>
        <w:fldChar w:fldCharType="separate"/>
      </w:r>
      <w:r>
        <w:rPr>
          <w:rFonts w:ascii="宋体" w:hAnsi="宋体" w:cs="黑体"/>
          <w:sz w:val="28"/>
          <w:szCs w:val="28"/>
        </w:rPr>
        <w:t>1.2</w:t>
      </w:r>
      <w:r>
        <w:rPr>
          <w:rFonts w:hint="eastAsia" w:ascii="宋体" w:hAnsi="宋体" w:cs="黑体"/>
          <w:sz w:val="28"/>
          <w:szCs w:val="28"/>
        </w:rPr>
        <w:t>编制依据</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_Toc16126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"_Toc31569" </w:instrText>
      </w:r>
      <w:r>
        <w:rPr>
          <w:sz w:val="28"/>
          <w:szCs w:val="28"/>
        </w:rPr>
        <w:fldChar w:fldCharType="separate"/>
      </w:r>
      <w:r>
        <w:rPr>
          <w:rFonts w:hint="eastAsia" w:ascii="宋体" w:hAnsi="宋体" w:cs="黑体"/>
          <w:sz w:val="28"/>
          <w:szCs w:val="28"/>
        </w:rPr>
        <w:t>二、企业基本概况</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_Toc31569 </w:instrText>
      </w:r>
      <w:r>
        <w:rPr>
          <w:rFonts w:ascii="宋体" w:hAnsi="宋体"/>
          <w:sz w:val="28"/>
          <w:szCs w:val="28"/>
        </w:rPr>
        <w:fldChar w:fldCharType="separate"/>
      </w:r>
      <w:r>
        <w:rPr>
          <w:rFonts w:ascii="宋体" w:hAnsi="宋体"/>
          <w:sz w:val="28"/>
          <w:szCs w:val="28"/>
        </w:rPr>
        <w:t>2</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"_Toc5904" </w:instrText>
      </w:r>
      <w:r>
        <w:rPr>
          <w:sz w:val="28"/>
          <w:szCs w:val="28"/>
        </w:rPr>
        <w:fldChar w:fldCharType="separate"/>
      </w:r>
      <w:r>
        <w:rPr>
          <w:rFonts w:hint="eastAsia" w:ascii="宋体" w:hAnsi="宋体" w:cs="黑体"/>
          <w:sz w:val="28"/>
          <w:szCs w:val="28"/>
        </w:rPr>
        <w:t>三、现有事故风险防控与应急措施情况</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_Toc5904 </w:instrText>
      </w:r>
      <w:r>
        <w:rPr>
          <w:rFonts w:ascii="宋体" w:hAnsi="宋体"/>
          <w:sz w:val="28"/>
          <w:szCs w:val="28"/>
        </w:rPr>
        <w:fldChar w:fldCharType="separate"/>
      </w:r>
      <w:r>
        <w:rPr>
          <w:rFonts w:ascii="宋体" w:hAnsi="宋体"/>
          <w:sz w:val="28"/>
          <w:szCs w:val="28"/>
        </w:rPr>
        <w:t>5</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"_Toc28764" </w:instrText>
      </w:r>
      <w:r>
        <w:rPr>
          <w:sz w:val="28"/>
          <w:szCs w:val="28"/>
        </w:rPr>
        <w:fldChar w:fldCharType="separate"/>
      </w:r>
      <w:r>
        <w:rPr>
          <w:rFonts w:hint="eastAsia" w:ascii="宋体" w:hAnsi="宋体" w:cs="黑体"/>
          <w:sz w:val="28"/>
          <w:szCs w:val="28"/>
        </w:rPr>
        <w:t>四、事故发生可能性及其后果分析</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_Toc28764 </w:instrText>
      </w:r>
      <w:r>
        <w:rPr>
          <w:rFonts w:ascii="宋体" w:hAnsi="宋体"/>
          <w:sz w:val="28"/>
          <w:szCs w:val="28"/>
        </w:rPr>
        <w:fldChar w:fldCharType="separate"/>
      </w:r>
      <w:r>
        <w:rPr>
          <w:rFonts w:ascii="宋体" w:hAnsi="宋体"/>
          <w:sz w:val="28"/>
          <w:szCs w:val="28"/>
        </w:rPr>
        <w:t>9</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"_Toc17103" </w:instrText>
      </w:r>
      <w:r>
        <w:rPr>
          <w:sz w:val="28"/>
          <w:szCs w:val="28"/>
        </w:rPr>
        <w:fldChar w:fldCharType="separate"/>
      </w:r>
      <w:r>
        <w:rPr>
          <w:rFonts w:hint="eastAsia" w:ascii="宋体" w:hAnsi="宋体" w:cs="黑体"/>
          <w:sz w:val="28"/>
          <w:szCs w:val="28"/>
        </w:rPr>
        <w:t>五、划定事故风险等级</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_Toc17103 </w:instrText>
      </w:r>
      <w:r>
        <w:rPr>
          <w:rFonts w:ascii="宋体" w:hAnsi="宋体"/>
          <w:sz w:val="28"/>
          <w:szCs w:val="28"/>
        </w:rPr>
        <w:fldChar w:fldCharType="separate"/>
      </w:r>
      <w:r>
        <w:rPr>
          <w:rFonts w:ascii="宋体" w:hAnsi="宋体"/>
          <w:sz w:val="28"/>
          <w:szCs w:val="28"/>
        </w:rPr>
        <w:t>15</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"_Toc17569" </w:instrText>
      </w:r>
      <w:r>
        <w:rPr>
          <w:sz w:val="28"/>
          <w:szCs w:val="28"/>
        </w:rPr>
        <w:fldChar w:fldCharType="separate"/>
      </w:r>
      <w:r>
        <w:rPr>
          <w:rFonts w:hint="eastAsia" w:ascii="宋体" w:hAnsi="宋体" w:cs="黑体"/>
          <w:sz w:val="28"/>
          <w:szCs w:val="28"/>
        </w:rPr>
        <w:t>六、现有控制及应急措施差距分析</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_Toc17569 </w:instrText>
      </w:r>
      <w:r>
        <w:rPr>
          <w:rFonts w:ascii="宋体" w:hAnsi="宋体"/>
          <w:sz w:val="28"/>
          <w:szCs w:val="28"/>
        </w:rPr>
        <w:fldChar w:fldCharType="separate"/>
      </w:r>
      <w:r>
        <w:rPr>
          <w:rFonts w:ascii="宋体" w:hAnsi="宋体"/>
          <w:sz w:val="28"/>
          <w:szCs w:val="28"/>
        </w:rPr>
        <w:t>16</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"_Toc22300" </w:instrText>
      </w:r>
      <w:r>
        <w:rPr>
          <w:sz w:val="28"/>
          <w:szCs w:val="28"/>
        </w:rPr>
        <w:fldChar w:fldCharType="separate"/>
      </w:r>
      <w:r>
        <w:rPr>
          <w:rFonts w:hint="eastAsia" w:ascii="宋体" w:hAnsi="宋体" w:cs="黑体"/>
          <w:sz w:val="28"/>
          <w:szCs w:val="28"/>
        </w:rPr>
        <w:t>七、制定完善安全事故风险防控和应急措施</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_Toc22300 </w:instrText>
      </w:r>
      <w:r>
        <w:rPr>
          <w:rFonts w:ascii="宋体" w:hAnsi="宋体"/>
          <w:sz w:val="28"/>
          <w:szCs w:val="28"/>
        </w:rPr>
        <w:fldChar w:fldCharType="separate"/>
      </w:r>
      <w:r>
        <w:rPr>
          <w:rFonts w:ascii="宋体" w:hAnsi="宋体"/>
          <w:sz w:val="28"/>
          <w:szCs w:val="28"/>
        </w:rPr>
        <w:t>16</w:t>
      </w:r>
      <w:r>
        <w:rPr>
          <w:rFonts w:ascii="宋体" w:hAnsi="宋体"/>
          <w:sz w:val="28"/>
          <w:szCs w:val="28"/>
        </w:rPr>
        <w:fldChar w:fldCharType="end"/>
      </w:r>
      <w:r>
        <w:rPr>
          <w:rFonts w:ascii="宋体" w:hAnsi="宋体"/>
          <w:sz w:val="28"/>
          <w:szCs w:val="28"/>
        </w:rPr>
        <w:fldChar w:fldCharType="end"/>
      </w:r>
    </w:p>
    <w:p>
      <w:pPr>
        <w:pStyle w:val="6"/>
        <w:tabs>
          <w:tab w:val="right" w:leader="dot" w:pos="8306"/>
        </w:tabs>
        <w:spacing w:line="360" w:lineRule="auto"/>
        <w:rPr>
          <w:rFonts w:ascii="宋体"/>
          <w:sz w:val="28"/>
          <w:szCs w:val="28"/>
        </w:rPr>
      </w:pPr>
      <w:r>
        <w:rPr>
          <w:sz w:val="28"/>
          <w:szCs w:val="28"/>
        </w:rPr>
        <w:fldChar w:fldCharType="begin"/>
      </w:r>
      <w:r>
        <w:rPr>
          <w:sz w:val="28"/>
          <w:szCs w:val="28"/>
        </w:rPr>
        <w:instrText xml:space="preserve"> HYPERLINK \l "_Toc3461" </w:instrText>
      </w:r>
      <w:r>
        <w:rPr>
          <w:sz w:val="28"/>
          <w:szCs w:val="28"/>
        </w:rPr>
        <w:fldChar w:fldCharType="separate"/>
      </w:r>
      <w:r>
        <w:rPr>
          <w:rFonts w:hint="eastAsia" w:ascii="宋体" w:hAnsi="宋体" w:cs="黑体"/>
          <w:sz w:val="28"/>
          <w:szCs w:val="28"/>
        </w:rPr>
        <w:t>八、评估结论</w:t>
      </w:r>
      <w:r>
        <w:rPr>
          <w:rFonts w:ascii="宋体"/>
          <w:sz w:val="28"/>
          <w:szCs w:val="28"/>
        </w:rPr>
        <w:tab/>
      </w:r>
      <w:r>
        <w:rPr>
          <w:rFonts w:ascii="宋体" w:hAnsi="宋体"/>
          <w:sz w:val="28"/>
          <w:szCs w:val="28"/>
        </w:rPr>
        <w:fldChar w:fldCharType="begin"/>
      </w:r>
      <w:r>
        <w:rPr>
          <w:rFonts w:ascii="宋体" w:hAnsi="宋体"/>
          <w:sz w:val="28"/>
          <w:szCs w:val="28"/>
        </w:rPr>
        <w:instrText xml:space="preserve"> PAGEREF _Toc3461 </w:instrText>
      </w:r>
      <w:r>
        <w:rPr>
          <w:rFonts w:ascii="宋体" w:hAnsi="宋体"/>
          <w:sz w:val="28"/>
          <w:szCs w:val="28"/>
        </w:rPr>
        <w:fldChar w:fldCharType="separate"/>
      </w:r>
      <w:r>
        <w:rPr>
          <w:rFonts w:ascii="宋体" w:hAnsi="宋体"/>
          <w:sz w:val="28"/>
          <w:szCs w:val="28"/>
        </w:rPr>
        <w:t>17</w:t>
      </w:r>
      <w:r>
        <w:rPr>
          <w:rFonts w:ascii="宋体" w:hAnsi="宋体"/>
          <w:sz w:val="28"/>
          <w:szCs w:val="28"/>
        </w:rPr>
        <w:fldChar w:fldCharType="end"/>
      </w:r>
      <w:r>
        <w:rPr>
          <w:rFonts w:ascii="宋体" w:hAnsi="宋体"/>
          <w:sz w:val="28"/>
          <w:szCs w:val="28"/>
        </w:rPr>
        <w:fldChar w:fldCharType="end"/>
      </w:r>
    </w:p>
    <w:p>
      <w:pPr>
        <w:rPr>
          <w:rFonts w:cs="Times New Roman"/>
        </w:rPr>
      </w:pPr>
      <w:r>
        <w:rPr>
          <w:rFonts w:ascii="宋体" w:hAnsi="宋体" w:cs="黑体"/>
          <w:sz w:val="28"/>
          <w:szCs w:val="28"/>
        </w:rPr>
        <w:fldChar w:fldCharType="end"/>
      </w:r>
    </w:p>
    <w:p>
      <w:pPr>
        <w:rPr>
          <w:rFonts w:cs="Times New Roman"/>
        </w:rPr>
      </w:pPr>
    </w:p>
    <w:p>
      <w:pPr>
        <w:rPr>
          <w:rFonts w:cs="Times New Roman"/>
        </w:rPr>
      </w:pPr>
    </w:p>
    <w:p>
      <w:pPr>
        <w:rPr>
          <w:rFonts w:cs="Times New Roman"/>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720" w:num="1"/>
          <w:titlePg/>
          <w:docGrid w:type="lines" w:linePitch="312" w:charSpace="0"/>
        </w:sectPr>
      </w:pPr>
    </w:p>
    <w:p>
      <w:pPr>
        <w:spacing w:line="660" w:lineRule="exact"/>
        <w:jc w:val="center"/>
        <w:rPr>
          <w:rFonts w:hint="eastAsia" w:ascii="仿宋" w:hAnsi="仿宋" w:eastAsia="仿宋" w:cs="仿宋"/>
          <w:b/>
          <w:bCs/>
          <w:sz w:val="28"/>
          <w:szCs w:val="28"/>
          <w:lang w:eastAsia="zh-CN"/>
        </w:rPr>
      </w:pPr>
      <w:bookmarkStart w:id="3" w:name="_Toc28594"/>
    </w:p>
    <w:p>
      <w:pPr>
        <w:spacing w:line="660" w:lineRule="exact"/>
        <w:jc w:val="center"/>
        <w:rPr>
          <w:rFonts w:hint="eastAsia" w:ascii="宋体" w:hAnsi="宋体" w:eastAsia="宋体" w:cs="宋体"/>
          <w:b/>
          <w:bCs/>
          <w:sz w:val="36"/>
          <w:szCs w:val="36"/>
        </w:rPr>
      </w:pPr>
      <w:r>
        <w:rPr>
          <w:rFonts w:hint="eastAsia" w:ascii="宋体" w:hAnsi="宋体" w:eastAsia="宋体" w:cs="宋体"/>
          <w:b/>
          <w:bCs/>
          <w:sz w:val="36"/>
          <w:szCs w:val="36"/>
          <w:lang w:eastAsia="zh-CN"/>
        </w:rPr>
        <w:t>南充市嘉陵兴鑫烟花爆竹有限公司</w:t>
      </w:r>
      <w:r>
        <w:rPr>
          <w:rFonts w:hint="eastAsia" w:ascii="宋体" w:hAnsi="宋体" w:eastAsia="宋体" w:cs="宋体"/>
          <w:b/>
          <w:bCs/>
          <w:sz w:val="36"/>
          <w:szCs w:val="36"/>
        </w:rPr>
        <w:t>安全经营事故</w:t>
      </w:r>
    </w:p>
    <w:p>
      <w:pPr>
        <w:pStyle w:val="3"/>
        <w:jc w:val="center"/>
        <w:rPr>
          <w:rFonts w:hint="eastAsia" w:ascii="宋体" w:hAnsi="宋体" w:eastAsia="宋体" w:cs="宋体"/>
          <w:sz w:val="36"/>
          <w:szCs w:val="36"/>
        </w:rPr>
      </w:pPr>
      <w:bookmarkStart w:id="4" w:name="_Toc30148"/>
      <w:r>
        <w:rPr>
          <w:rFonts w:hint="eastAsia" w:ascii="宋体" w:hAnsi="宋体" w:eastAsia="宋体" w:cs="宋体"/>
          <w:sz w:val="36"/>
          <w:szCs w:val="36"/>
        </w:rPr>
        <w:t>应急救援预案风险评估报告</w:t>
      </w:r>
      <w:bookmarkEnd w:id="4"/>
    </w:p>
    <w:p>
      <w:pPr>
        <w:pStyle w:val="2"/>
        <w:spacing w:line="360" w:lineRule="auto"/>
        <w:jc w:val="left"/>
        <w:rPr>
          <w:rFonts w:hint="eastAsia" w:ascii="宋体" w:hAnsi="宋体" w:eastAsia="宋体" w:cs="宋体"/>
          <w:sz w:val="36"/>
          <w:szCs w:val="36"/>
        </w:rPr>
      </w:pPr>
      <w:bookmarkStart w:id="5" w:name="_Toc26998"/>
      <w:r>
        <w:rPr>
          <w:rFonts w:hint="eastAsia" w:ascii="宋体" w:hAnsi="宋体" w:eastAsia="宋体" w:cs="宋体"/>
          <w:sz w:val="36"/>
          <w:szCs w:val="36"/>
        </w:rPr>
        <w:t>一、总则</w:t>
      </w:r>
      <w:bookmarkEnd w:id="0"/>
      <w:bookmarkEnd w:id="1"/>
      <w:bookmarkEnd w:id="2"/>
      <w:bookmarkEnd w:id="3"/>
      <w:bookmarkEnd w:id="5"/>
    </w:p>
    <w:p>
      <w:pPr>
        <w:pStyle w:val="2"/>
        <w:spacing w:line="360" w:lineRule="auto"/>
        <w:jc w:val="left"/>
        <w:rPr>
          <w:rFonts w:ascii="仿宋" w:hAnsi="仿宋" w:eastAsia="仿宋" w:cs="仿宋"/>
          <w:sz w:val="30"/>
          <w:szCs w:val="30"/>
        </w:rPr>
      </w:pPr>
      <w:bookmarkStart w:id="6" w:name="_Toc875"/>
      <w:bookmarkStart w:id="7" w:name="_Toc32102"/>
      <w:bookmarkStart w:id="8" w:name="_Toc27480"/>
      <w:bookmarkStart w:id="9" w:name="_Toc499193820"/>
      <w:r>
        <w:rPr>
          <w:rFonts w:hint="eastAsia" w:ascii="仿宋" w:hAnsi="仿宋" w:eastAsia="仿宋" w:cs="仿宋"/>
          <w:sz w:val="24"/>
          <w:szCs w:val="24"/>
        </w:rPr>
        <w:t>　　</w:t>
      </w:r>
      <w:bookmarkStart w:id="10" w:name="_Toc9904"/>
      <w:r>
        <w:rPr>
          <w:rFonts w:ascii="仿宋" w:hAnsi="仿宋" w:eastAsia="仿宋" w:cs="仿宋"/>
          <w:sz w:val="30"/>
          <w:szCs w:val="30"/>
        </w:rPr>
        <w:t>1.1</w:t>
      </w:r>
      <w:r>
        <w:rPr>
          <w:rFonts w:hint="eastAsia" w:ascii="宋体" w:hAnsi="宋体" w:eastAsia="宋体" w:cs="宋体"/>
          <w:sz w:val="30"/>
          <w:szCs w:val="30"/>
        </w:rPr>
        <w:t>编制原则</w:t>
      </w:r>
      <w:bookmarkEnd w:id="6"/>
      <w:bookmarkEnd w:id="7"/>
      <w:bookmarkEnd w:id="8"/>
      <w:bookmarkEnd w:id="9"/>
      <w:bookmarkEnd w:id="10"/>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为提高事故防控能力，全面掌握事故风险而开展风险评估，遵循以下原则：</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1.应体现科学性、规范性、客观性、全面性和真实性的原则。</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2.依据我国现行安全相关的法律法规、标准、规章，分析公司自身风险状况，明确风险防控措施和事故风险程度。</w:t>
      </w:r>
    </w:p>
    <w:p>
      <w:pPr>
        <w:pStyle w:val="2"/>
        <w:spacing w:line="360" w:lineRule="auto"/>
        <w:ind w:firstLine="481"/>
        <w:jc w:val="left"/>
        <w:rPr>
          <w:rFonts w:hint="eastAsia" w:ascii="仿宋" w:hAnsi="仿宋" w:eastAsia="仿宋" w:cs="仿宋"/>
          <w:sz w:val="30"/>
          <w:szCs w:val="30"/>
        </w:rPr>
      </w:pPr>
      <w:bookmarkStart w:id="11" w:name="_Toc1976"/>
      <w:bookmarkStart w:id="12" w:name="_Toc16126"/>
      <w:bookmarkStart w:id="13" w:name="_Toc499193821"/>
      <w:bookmarkStart w:id="14" w:name="_Toc21267"/>
      <w:bookmarkStart w:id="15" w:name="_Toc9961"/>
      <w:r>
        <w:rPr>
          <w:rFonts w:hint="eastAsia" w:ascii="宋体" w:hAnsi="宋体" w:eastAsia="宋体" w:cs="宋体"/>
          <w:sz w:val="30"/>
          <w:szCs w:val="30"/>
        </w:rPr>
        <w:t>1.2编制依据</w:t>
      </w:r>
      <w:bookmarkEnd w:id="11"/>
      <w:bookmarkEnd w:id="12"/>
      <w:bookmarkEnd w:id="13"/>
      <w:bookmarkEnd w:id="14"/>
      <w:bookmarkEnd w:id="15"/>
      <w:bookmarkStart w:id="16" w:name="_Toc28958"/>
      <w:bookmarkStart w:id="17" w:name="_Toc5294"/>
      <w:bookmarkStart w:id="18" w:name="_Toc24714"/>
    </w:p>
    <w:p>
      <w:pPr>
        <w:pStyle w:val="2"/>
        <w:spacing w:line="360" w:lineRule="auto"/>
        <w:ind w:firstLine="481"/>
        <w:jc w:val="left"/>
        <w:rPr>
          <w:rFonts w:ascii="仿宋" w:hAnsi="仿宋" w:eastAsia="仿宋" w:cs="仿宋"/>
          <w:b/>
          <w:bCs/>
          <w:sz w:val="30"/>
          <w:szCs w:val="30"/>
        </w:rPr>
      </w:pPr>
      <w:r>
        <w:rPr>
          <w:rFonts w:hint="eastAsia" w:ascii="宋体" w:hAnsi="宋体" w:eastAsia="宋体" w:cs="宋体"/>
          <w:b/>
          <w:bCs/>
          <w:sz w:val="30"/>
          <w:szCs w:val="30"/>
        </w:rPr>
        <w:t>1.相关法律、法规</w:t>
      </w:r>
      <w:bookmarkEnd w:id="16"/>
      <w:bookmarkEnd w:id="17"/>
      <w:bookmarkEnd w:id="18"/>
    </w:p>
    <w:p>
      <w:pPr>
        <w:snapToGrid w:val="0"/>
        <w:spacing w:line="360" w:lineRule="auto"/>
        <w:ind w:firstLine="528" w:firstLineChars="200"/>
        <w:rPr>
          <w:rFonts w:hint="eastAsia" w:ascii="宋体" w:hAnsi="宋体" w:eastAsia="宋体" w:cs="宋体"/>
          <w:color w:val="000000"/>
          <w:spacing w:val="-8"/>
          <w:sz w:val="28"/>
          <w:szCs w:val="28"/>
        </w:rPr>
      </w:pPr>
      <w:bookmarkStart w:id="19" w:name="_Toc25097"/>
      <w:bookmarkStart w:id="20" w:name="_Toc13655"/>
      <w:bookmarkStart w:id="21" w:name="_Toc11296"/>
      <w:r>
        <w:rPr>
          <w:rFonts w:hint="eastAsia" w:ascii="宋体" w:hAnsi="宋体" w:eastAsia="宋体" w:cs="宋体"/>
          <w:color w:val="000000"/>
          <w:spacing w:val="-8"/>
          <w:sz w:val="28"/>
          <w:szCs w:val="28"/>
        </w:rPr>
        <w:t xml:space="preserve"> ⑴《中华人民共和国安全生产法》（主席令第13号）；</w:t>
      </w:r>
    </w:p>
    <w:p>
      <w:pPr>
        <w:snapToGrid w:val="0"/>
        <w:spacing w:line="360" w:lineRule="auto"/>
        <w:ind w:firstLine="528" w:firstLineChars="200"/>
        <w:rPr>
          <w:rFonts w:hint="eastAsia" w:ascii="宋体" w:hAnsi="宋体" w:eastAsia="宋体" w:cs="宋体"/>
          <w:color w:val="000000"/>
          <w:spacing w:val="-8"/>
          <w:sz w:val="28"/>
          <w:szCs w:val="28"/>
        </w:rPr>
      </w:pPr>
      <w:r>
        <w:rPr>
          <w:rFonts w:hint="eastAsia" w:ascii="宋体" w:hAnsi="宋体" w:eastAsia="宋体" w:cs="宋体"/>
          <w:color w:val="000000"/>
          <w:spacing w:val="-8"/>
          <w:sz w:val="28"/>
          <w:szCs w:val="28"/>
        </w:rPr>
        <w:t xml:space="preserve"> ⑵《中华人民共和国消防法》（主席令第6号，2019年4月修订）；</w:t>
      </w:r>
    </w:p>
    <w:p>
      <w:pPr>
        <w:snapToGrid w:val="0"/>
        <w:spacing w:line="360" w:lineRule="auto"/>
        <w:ind w:firstLine="528" w:firstLineChars="200"/>
        <w:rPr>
          <w:rFonts w:hint="eastAsia" w:ascii="宋体" w:hAnsi="宋体" w:eastAsia="宋体" w:cs="宋体"/>
          <w:color w:val="000000"/>
          <w:spacing w:val="-8"/>
          <w:sz w:val="28"/>
          <w:szCs w:val="28"/>
        </w:rPr>
      </w:pPr>
      <w:r>
        <w:rPr>
          <w:rFonts w:hint="eastAsia" w:ascii="宋体" w:hAnsi="宋体" w:eastAsia="宋体" w:cs="宋体"/>
          <w:color w:val="000000"/>
          <w:spacing w:val="-8"/>
          <w:sz w:val="28"/>
          <w:szCs w:val="28"/>
        </w:rPr>
        <w:t xml:space="preserve"> ⑶《烟花爆竹安全管理条例》（国务院令455号）；</w:t>
      </w:r>
    </w:p>
    <w:p>
      <w:pPr>
        <w:snapToGrid w:val="0"/>
        <w:spacing w:line="360" w:lineRule="auto"/>
        <w:ind w:firstLine="528" w:firstLineChars="200"/>
        <w:rPr>
          <w:rFonts w:hint="eastAsia" w:ascii="宋体" w:hAnsi="宋体" w:eastAsia="宋体" w:cs="宋体"/>
          <w:color w:val="000000"/>
          <w:spacing w:val="-8"/>
          <w:sz w:val="28"/>
          <w:szCs w:val="28"/>
        </w:rPr>
      </w:pPr>
      <w:r>
        <w:rPr>
          <w:rFonts w:hint="eastAsia" w:ascii="宋体" w:hAnsi="宋体" w:eastAsia="宋体" w:cs="宋体"/>
          <w:color w:val="000000"/>
          <w:spacing w:val="-8"/>
          <w:sz w:val="28"/>
          <w:szCs w:val="28"/>
        </w:rPr>
        <w:t xml:space="preserve"> ⑷《生产安全事故应急条例》（国务院令708号）；</w:t>
      </w:r>
    </w:p>
    <w:p>
      <w:pPr>
        <w:snapToGrid w:val="0"/>
        <w:spacing w:line="360" w:lineRule="auto"/>
        <w:ind w:firstLine="528" w:firstLineChars="200"/>
        <w:rPr>
          <w:rFonts w:hint="eastAsia" w:ascii="宋体" w:hAnsi="宋体" w:eastAsia="宋体" w:cs="宋体"/>
          <w:color w:val="000000"/>
          <w:spacing w:val="-8"/>
          <w:sz w:val="28"/>
          <w:szCs w:val="28"/>
        </w:rPr>
      </w:pPr>
      <w:r>
        <w:rPr>
          <w:rFonts w:hint="eastAsia" w:ascii="宋体" w:hAnsi="宋体" w:eastAsia="宋体" w:cs="宋体"/>
          <w:color w:val="000000"/>
          <w:spacing w:val="-8"/>
          <w:sz w:val="28"/>
          <w:szCs w:val="28"/>
        </w:rPr>
        <w:t xml:space="preserve"> ⑸《四川省安全生产条例》（四川省第十届人大常委会第二十四次会议通过）；</w:t>
      </w:r>
    </w:p>
    <w:p>
      <w:pPr>
        <w:snapToGrid w:val="0"/>
        <w:spacing w:line="360" w:lineRule="auto"/>
        <w:ind w:firstLine="528" w:firstLineChars="200"/>
        <w:rPr>
          <w:rFonts w:hint="eastAsia" w:ascii="宋体" w:hAnsi="宋体" w:eastAsia="宋体" w:cs="宋体"/>
          <w:color w:val="000000"/>
          <w:spacing w:val="-8"/>
          <w:sz w:val="28"/>
          <w:szCs w:val="28"/>
        </w:rPr>
      </w:pPr>
      <w:r>
        <w:rPr>
          <w:rFonts w:hint="eastAsia" w:ascii="宋体" w:hAnsi="宋体" w:eastAsia="宋体" w:cs="宋体"/>
          <w:color w:val="000000"/>
          <w:spacing w:val="-8"/>
          <w:sz w:val="28"/>
          <w:szCs w:val="28"/>
        </w:rPr>
        <w:t xml:space="preserve"> ⑹《四川省生产经营单位安全生产责任规定》（四川省政府令第216号）；</w:t>
      </w:r>
    </w:p>
    <w:p>
      <w:pPr>
        <w:snapToGrid w:val="0"/>
        <w:spacing w:line="360" w:lineRule="auto"/>
        <w:ind w:firstLine="528" w:firstLineChars="200"/>
        <w:rPr>
          <w:rFonts w:hint="eastAsia" w:ascii="宋体" w:hAnsi="宋体" w:eastAsia="宋体" w:cs="宋体"/>
          <w:color w:val="000000"/>
          <w:spacing w:val="-8"/>
          <w:sz w:val="28"/>
          <w:szCs w:val="28"/>
        </w:rPr>
      </w:pPr>
      <w:r>
        <w:rPr>
          <w:rFonts w:hint="eastAsia" w:ascii="宋体" w:hAnsi="宋体" w:eastAsia="宋体" w:cs="宋体"/>
          <w:color w:val="000000"/>
          <w:spacing w:val="-8"/>
          <w:sz w:val="28"/>
          <w:szCs w:val="28"/>
        </w:rPr>
        <w:t xml:space="preserve"> ⑺《生产安全事故应急预案管理办法》（应急管理部令第2号）；</w:t>
      </w:r>
    </w:p>
    <w:p>
      <w:pPr>
        <w:snapToGrid w:val="0"/>
        <w:spacing w:line="360" w:lineRule="auto"/>
        <w:ind w:firstLine="528" w:firstLineChars="200"/>
        <w:rPr>
          <w:rFonts w:hint="eastAsia" w:ascii="宋体" w:hAnsi="宋体" w:eastAsia="宋体" w:cs="宋体"/>
          <w:color w:val="000000"/>
          <w:spacing w:val="-8"/>
          <w:sz w:val="28"/>
          <w:szCs w:val="28"/>
        </w:rPr>
      </w:pPr>
      <w:r>
        <w:rPr>
          <w:rFonts w:hint="eastAsia" w:ascii="宋体" w:hAnsi="宋体" w:eastAsia="宋体" w:cs="宋体"/>
          <w:color w:val="000000"/>
          <w:spacing w:val="-8"/>
          <w:sz w:val="28"/>
          <w:szCs w:val="28"/>
        </w:rPr>
        <w:t xml:space="preserve"> ⑻《烟花爆竹经营许可实施办法》（国家安监总局令第65号）；</w:t>
      </w:r>
    </w:p>
    <w:p>
      <w:pPr>
        <w:snapToGrid w:val="0"/>
        <w:spacing w:line="360" w:lineRule="auto"/>
        <w:ind w:firstLine="528" w:firstLineChars="200"/>
        <w:rPr>
          <w:rFonts w:hint="eastAsia" w:ascii="宋体" w:hAnsi="宋体" w:eastAsia="宋体" w:cs="宋体"/>
          <w:color w:val="000000"/>
          <w:spacing w:val="-8"/>
          <w:sz w:val="28"/>
          <w:szCs w:val="28"/>
        </w:rPr>
      </w:pPr>
      <w:r>
        <w:rPr>
          <w:rStyle w:val="10"/>
          <w:rFonts w:hint="eastAsia" w:ascii="宋体" w:hAnsi="宋体" w:eastAsia="宋体" w:cs="宋体"/>
          <w:b w:val="0"/>
          <w:color w:val="000000"/>
          <w:spacing w:val="-8"/>
          <w:sz w:val="28"/>
          <w:szCs w:val="28"/>
          <w:shd w:val="clear" w:color="auto" w:fill="FFFFFF"/>
        </w:rPr>
        <w:t xml:space="preserve"> ⑼《四川省生产安全事故应急预案管理实施细则》</w:t>
      </w:r>
      <w:r>
        <w:rPr>
          <w:rFonts w:hint="eastAsia" w:ascii="宋体" w:hAnsi="宋体" w:eastAsia="宋体" w:cs="宋体"/>
          <w:color w:val="000000"/>
          <w:spacing w:val="-8"/>
          <w:sz w:val="28"/>
          <w:szCs w:val="28"/>
        </w:rPr>
        <w:t>（川安监〔2018〕43号）</w:t>
      </w:r>
    </w:p>
    <w:p>
      <w:pPr>
        <w:spacing w:line="360" w:lineRule="auto"/>
        <w:ind w:firstLine="602" w:firstLineChars="200"/>
        <w:rPr>
          <w:rFonts w:ascii="仿宋" w:hAnsi="仿宋" w:eastAsia="仿宋" w:cs="仿宋"/>
          <w:b/>
          <w:bCs/>
          <w:sz w:val="24"/>
          <w:szCs w:val="24"/>
        </w:rPr>
      </w:pPr>
      <w:r>
        <w:rPr>
          <w:rFonts w:hint="eastAsia" w:ascii="宋体" w:hAnsi="宋体" w:eastAsia="宋体" w:cs="宋体"/>
          <w:b/>
          <w:bCs/>
          <w:sz w:val="30"/>
          <w:szCs w:val="30"/>
        </w:rPr>
        <w:t>2.有关标准和规范</w:t>
      </w:r>
      <w:bookmarkEnd w:id="19"/>
      <w:bookmarkEnd w:id="20"/>
      <w:bookmarkEnd w:id="21"/>
    </w:p>
    <w:p>
      <w:pPr>
        <w:snapToGrid w:val="0"/>
        <w:spacing w:line="360" w:lineRule="auto"/>
        <w:ind w:firstLine="560" w:firstLineChars="200"/>
        <w:rPr>
          <w:rFonts w:hint="eastAsia" w:ascii="宋体" w:hAnsi="宋体" w:eastAsia="宋体" w:cs="宋体"/>
          <w:sz w:val="28"/>
          <w:szCs w:val="28"/>
        </w:rPr>
      </w:pPr>
      <w:bookmarkStart w:id="22" w:name="_Toc30051"/>
      <w:bookmarkStart w:id="23" w:name="_Toc32096"/>
      <w:bookmarkStart w:id="24" w:name="_Toc26531"/>
      <w:bookmarkStart w:id="25" w:name="_Toc31569"/>
      <w:r>
        <w:rPr>
          <w:rFonts w:hint="eastAsia" w:ascii="宋体" w:hAnsi="宋体" w:eastAsia="宋体" w:cs="宋体"/>
          <w:sz w:val="28"/>
          <w:szCs w:val="28"/>
        </w:rPr>
        <w:t>⑴《烟花爆竹安全与质量》（GB10631-2013）</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⑵《烟花爆竹工程设计安全规范》（GB50161-2009）</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⑶《烟花爆竹作业安全技术规程》（GB11652-2012）</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⑷《危险化学品重大危险源辨识》（GB18218-20</w:t>
      </w:r>
      <w:r>
        <w:rPr>
          <w:rFonts w:hint="eastAsia" w:ascii="宋体" w:hAnsi="宋体" w:eastAsia="宋体" w:cs="宋体"/>
          <w:color w:val="FF0000"/>
          <w:sz w:val="28"/>
          <w:szCs w:val="28"/>
        </w:rPr>
        <w:t>18）</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⑸《建筑设计防火规范》（GB50016-</w:t>
      </w:r>
      <w:r>
        <w:rPr>
          <w:rFonts w:hint="eastAsia" w:ascii="宋体" w:hAnsi="宋体" w:eastAsia="宋体" w:cs="宋体"/>
          <w:color w:val="FF0000"/>
          <w:sz w:val="28"/>
          <w:szCs w:val="28"/>
        </w:rPr>
        <w:t>2014</w:t>
      </w:r>
      <w:r>
        <w:rPr>
          <w:rFonts w:hint="eastAsia" w:ascii="宋体" w:hAnsi="宋体" w:eastAsia="宋体" w:cs="宋体"/>
          <w:sz w:val="28"/>
          <w:szCs w:val="28"/>
        </w:rPr>
        <w:t>）</w:t>
      </w:r>
    </w:p>
    <w:p>
      <w:pPr>
        <w:snapToGrid w:val="0"/>
        <w:spacing w:line="360" w:lineRule="auto"/>
        <w:ind w:firstLine="560" w:firstLineChars="200"/>
        <w:rPr>
          <w:rFonts w:hint="eastAsia" w:ascii="宋体" w:hAnsi="宋体" w:eastAsia="宋体" w:cs="宋体"/>
          <w:spacing w:val="-20"/>
          <w:sz w:val="28"/>
          <w:szCs w:val="28"/>
        </w:rPr>
      </w:pPr>
      <w:r>
        <w:rPr>
          <w:rFonts w:hint="eastAsia" w:ascii="宋体" w:hAnsi="宋体" w:eastAsia="宋体" w:cs="宋体"/>
          <w:sz w:val="28"/>
          <w:szCs w:val="28"/>
        </w:rPr>
        <w:t>⑹</w:t>
      </w:r>
      <w:r>
        <w:rPr>
          <w:rFonts w:hint="eastAsia" w:ascii="宋体" w:hAnsi="宋体" w:eastAsia="宋体" w:cs="宋体"/>
          <w:spacing w:val="-20"/>
          <w:sz w:val="28"/>
          <w:szCs w:val="28"/>
        </w:rPr>
        <w:t>《生产经营单位生产安全事故应急预案编制导则》（GB/T29639-2013）</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⑺《生产安全事故应急演练指南》（AQ/T9007-2011）</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⑻《烟花爆竹企业安全监控系统通用技术条件》（AQ4101-2008）；</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⑼《企业职工伤亡事故分类》(GB6441-86)；</w:t>
      </w:r>
    </w:p>
    <w:p>
      <w:pPr>
        <w:snapToGrid w:val="0"/>
        <w:spacing w:line="360" w:lineRule="auto"/>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⑽《生产安全事故应急演练评估规范》（AQ/T9009-2015）。</w:t>
      </w:r>
    </w:p>
    <w:p>
      <w:pPr>
        <w:pStyle w:val="2"/>
        <w:spacing w:line="360" w:lineRule="auto"/>
        <w:jc w:val="left"/>
        <w:rPr>
          <w:rFonts w:hint="eastAsia" w:ascii="宋体" w:hAnsi="宋体" w:eastAsia="宋体" w:cs="宋体"/>
          <w:sz w:val="36"/>
          <w:szCs w:val="36"/>
        </w:rPr>
      </w:pPr>
      <w:r>
        <w:rPr>
          <w:rFonts w:hint="eastAsia" w:ascii="宋体" w:hAnsi="宋体" w:eastAsia="宋体" w:cs="宋体"/>
          <w:sz w:val="36"/>
          <w:szCs w:val="36"/>
        </w:rPr>
        <w:t>二、企业基本概况</w:t>
      </w:r>
      <w:bookmarkEnd w:id="22"/>
      <w:bookmarkEnd w:id="23"/>
      <w:bookmarkEnd w:id="24"/>
      <w:bookmarkEnd w:id="25"/>
    </w:p>
    <w:p>
      <w:pPr>
        <w:spacing w:line="360" w:lineRule="auto"/>
        <w:ind w:firstLine="560" w:firstLineChars="200"/>
        <w:rPr>
          <w:rFonts w:hint="eastAsia" w:ascii="宋体" w:hAnsi="宋体" w:eastAsia="宋体" w:cs="宋体"/>
          <w:sz w:val="28"/>
          <w:szCs w:val="28"/>
          <w:highlight w:val="yellow"/>
        </w:rPr>
      </w:pPr>
      <w:bookmarkStart w:id="26" w:name="_Toc12137"/>
      <w:bookmarkStart w:id="27" w:name="_Toc181"/>
      <w:bookmarkStart w:id="28" w:name="_Toc11193"/>
      <w:r>
        <w:rPr>
          <w:rFonts w:hint="eastAsia" w:ascii="宋体" w:hAnsi="宋体" w:eastAsia="宋体" w:cs="宋体"/>
          <w:color w:val="000000"/>
          <w:sz w:val="28"/>
          <w:szCs w:val="28"/>
          <w:highlight w:val="none"/>
        </w:rPr>
        <w:t>1.企业基本信息</w:t>
      </w:r>
      <w:bookmarkEnd w:id="26"/>
      <w:bookmarkEnd w:id="27"/>
      <w:bookmarkEnd w:id="28"/>
    </w:p>
    <w:p>
      <w:pPr>
        <w:spacing w:line="540" w:lineRule="exact"/>
        <w:ind w:firstLine="548" w:firstLineChars="196"/>
        <w:jc w:val="both"/>
        <w:rPr>
          <w:rFonts w:hint="eastAsia" w:ascii="宋体" w:hAnsi="宋体" w:eastAsia="宋体" w:cs="宋体"/>
          <w:bCs/>
          <w:color w:val="000000"/>
          <w:sz w:val="28"/>
          <w:szCs w:val="28"/>
        </w:rPr>
      </w:pPr>
      <w:bookmarkStart w:id="29" w:name="_Toc18248"/>
      <w:bookmarkStart w:id="30" w:name="_Toc26507"/>
      <w:bookmarkStart w:id="31" w:name="_Toc499193824"/>
      <w:bookmarkStart w:id="32" w:name="_Toc8788"/>
      <w:r>
        <w:rPr>
          <w:rFonts w:hint="eastAsia" w:ascii="宋体" w:hAnsi="宋体" w:eastAsia="宋体" w:cs="宋体"/>
          <w:color w:val="000000"/>
          <w:kern w:val="0"/>
          <w:sz w:val="28"/>
          <w:szCs w:val="28"/>
        </w:rPr>
        <w:t>公司属于201</w:t>
      </w:r>
      <w:r>
        <w:rPr>
          <w:rFonts w:hint="eastAsia" w:ascii="宋体" w:hAnsi="宋体" w:eastAsia="宋体" w:cs="宋体"/>
          <w:color w:val="000000"/>
          <w:kern w:val="0"/>
          <w:sz w:val="28"/>
          <w:szCs w:val="28"/>
          <w:lang w:val="en-US" w:eastAsia="zh-CN"/>
        </w:rPr>
        <w:t>0</w:t>
      </w:r>
      <w:r>
        <w:rPr>
          <w:rFonts w:hint="eastAsia" w:ascii="宋体" w:hAnsi="宋体" w:eastAsia="宋体" w:cs="宋体"/>
          <w:color w:val="000000"/>
          <w:kern w:val="0"/>
          <w:sz w:val="28"/>
          <w:szCs w:val="28"/>
        </w:rPr>
        <w:t>年</w:t>
      </w:r>
      <w:r>
        <w:rPr>
          <w:rFonts w:hint="eastAsia" w:ascii="宋体" w:hAnsi="宋体" w:eastAsia="宋体" w:cs="宋体"/>
          <w:color w:val="000000"/>
          <w:kern w:val="0"/>
          <w:sz w:val="28"/>
          <w:szCs w:val="28"/>
          <w:lang w:eastAsia="zh-CN"/>
        </w:rPr>
        <w:t>集体改为私有制</w:t>
      </w:r>
      <w:r>
        <w:rPr>
          <w:rFonts w:hint="eastAsia" w:ascii="宋体" w:hAnsi="宋体" w:eastAsia="宋体" w:cs="宋体"/>
          <w:color w:val="000000"/>
          <w:kern w:val="0"/>
          <w:sz w:val="28"/>
          <w:szCs w:val="28"/>
        </w:rPr>
        <w:t>烟花爆竹</w:t>
      </w:r>
      <w:r>
        <w:rPr>
          <w:rFonts w:hint="eastAsia" w:ascii="宋体" w:hAnsi="宋体" w:eastAsia="宋体" w:cs="宋体"/>
          <w:color w:val="000000"/>
          <w:kern w:val="0"/>
          <w:sz w:val="28"/>
          <w:szCs w:val="28"/>
          <w:lang w:eastAsia="zh-CN"/>
        </w:rPr>
        <w:t>企业</w:t>
      </w:r>
      <w:r>
        <w:rPr>
          <w:rFonts w:hint="eastAsia" w:ascii="宋体" w:hAnsi="宋体" w:eastAsia="宋体" w:cs="宋体"/>
          <w:color w:val="000000"/>
          <w:kern w:val="0"/>
          <w:sz w:val="28"/>
          <w:szCs w:val="28"/>
        </w:rPr>
        <w:t>，是由公司自然人出资的有限责任公司。</w:t>
      </w:r>
      <w:r>
        <w:rPr>
          <w:rFonts w:hint="eastAsia" w:ascii="宋体" w:hAnsi="宋体" w:eastAsia="宋体" w:cs="宋体"/>
          <w:color w:val="000000"/>
          <w:kern w:val="0"/>
          <w:sz w:val="28"/>
          <w:szCs w:val="28"/>
          <w:lang w:eastAsia="zh-CN"/>
        </w:rPr>
        <w:t>嘉陵区</w:t>
      </w:r>
      <w:r>
        <w:rPr>
          <w:rFonts w:hint="eastAsia" w:ascii="宋体" w:hAnsi="宋体" w:eastAsia="宋体" w:cs="宋体"/>
          <w:color w:val="000000"/>
          <w:kern w:val="0"/>
          <w:sz w:val="28"/>
          <w:szCs w:val="28"/>
        </w:rPr>
        <w:t>目前尚</w:t>
      </w:r>
      <w:r>
        <w:rPr>
          <w:rFonts w:hint="eastAsia" w:ascii="宋体" w:hAnsi="宋体" w:eastAsia="宋体" w:cs="宋体"/>
          <w:color w:val="000000"/>
          <w:kern w:val="0"/>
          <w:sz w:val="28"/>
          <w:szCs w:val="28"/>
          <w:lang w:eastAsia="zh-CN"/>
        </w:rPr>
        <w:t>有两家</w:t>
      </w:r>
      <w:r>
        <w:rPr>
          <w:rFonts w:hint="eastAsia" w:ascii="宋体" w:hAnsi="宋体" w:eastAsia="宋体" w:cs="宋体"/>
          <w:color w:val="000000"/>
          <w:kern w:val="0"/>
          <w:sz w:val="28"/>
          <w:szCs w:val="28"/>
        </w:rPr>
        <w:t>烟花爆竹经营企业，为满足</w:t>
      </w:r>
      <w:r>
        <w:rPr>
          <w:rFonts w:hint="eastAsia" w:ascii="宋体" w:hAnsi="宋体" w:eastAsia="宋体" w:cs="宋体"/>
          <w:color w:val="000000"/>
          <w:kern w:val="0"/>
          <w:sz w:val="28"/>
          <w:szCs w:val="28"/>
          <w:lang w:eastAsia="zh-CN"/>
        </w:rPr>
        <w:t>嘉陵区</w:t>
      </w:r>
      <w:r>
        <w:rPr>
          <w:rFonts w:hint="eastAsia" w:ascii="宋体" w:hAnsi="宋体" w:eastAsia="宋体" w:cs="宋体"/>
          <w:color w:val="000000"/>
          <w:kern w:val="0"/>
          <w:sz w:val="28"/>
          <w:szCs w:val="28"/>
        </w:rPr>
        <w:t>的烟花爆竹市场需求，在当地</w:t>
      </w:r>
      <w:r>
        <w:rPr>
          <w:rFonts w:hint="eastAsia" w:ascii="宋体" w:hAnsi="宋体" w:eastAsia="宋体" w:cs="宋体"/>
          <w:color w:val="000000"/>
          <w:kern w:val="0"/>
          <w:sz w:val="28"/>
          <w:szCs w:val="28"/>
          <w:lang w:eastAsia="zh-CN"/>
        </w:rPr>
        <w:t>省、</w:t>
      </w:r>
      <w:r>
        <w:rPr>
          <w:rFonts w:hint="eastAsia" w:ascii="宋体" w:hAnsi="宋体" w:eastAsia="宋体" w:cs="宋体"/>
          <w:color w:val="000000"/>
          <w:kern w:val="0"/>
          <w:sz w:val="28"/>
          <w:szCs w:val="28"/>
        </w:rPr>
        <w:t>市、县</w:t>
      </w:r>
      <w:r>
        <w:rPr>
          <w:rFonts w:hint="eastAsia" w:ascii="宋体" w:hAnsi="宋体" w:eastAsia="宋体" w:cs="宋体"/>
          <w:color w:val="000000"/>
          <w:kern w:val="0"/>
          <w:sz w:val="28"/>
          <w:szCs w:val="28"/>
          <w:lang w:eastAsia="zh-CN"/>
        </w:rPr>
        <w:t>（区）</w:t>
      </w:r>
      <w:r>
        <w:rPr>
          <w:rFonts w:hint="eastAsia" w:ascii="宋体" w:hAnsi="宋体" w:eastAsia="宋体" w:cs="宋体"/>
          <w:color w:val="000000"/>
          <w:kern w:val="0"/>
          <w:sz w:val="28"/>
          <w:szCs w:val="28"/>
        </w:rPr>
        <w:t>、镇</w:t>
      </w:r>
      <w:r>
        <w:rPr>
          <w:rFonts w:hint="eastAsia" w:ascii="宋体" w:hAnsi="宋体" w:eastAsia="宋体" w:cs="宋体"/>
          <w:color w:val="000000"/>
          <w:kern w:val="0"/>
          <w:sz w:val="28"/>
          <w:szCs w:val="28"/>
          <w:lang w:eastAsia="zh-CN"/>
        </w:rPr>
        <w:t>（乡）</w:t>
      </w:r>
      <w:r>
        <w:rPr>
          <w:rFonts w:hint="eastAsia" w:ascii="宋体" w:hAnsi="宋体" w:eastAsia="宋体" w:cs="宋体"/>
          <w:color w:val="000000"/>
          <w:kern w:val="0"/>
          <w:sz w:val="28"/>
          <w:szCs w:val="28"/>
        </w:rPr>
        <w:t>、</w:t>
      </w:r>
      <w:r>
        <w:rPr>
          <w:rFonts w:hint="eastAsia" w:ascii="宋体" w:hAnsi="宋体" w:eastAsia="宋体" w:cs="宋体"/>
          <w:color w:val="000000"/>
          <w:kern w:val="0"/>
          <w:sz w:val="28"/>
          <w:szCs w:val="28"/>
          <w:lang w:eastAsia="zh-CN"/>
        </w:rPr>
        <w:t>乡</w:t>
      </w:r>
      <w:r>
        <w:rPr>
          <w:rFonts w:hint="eastAsia" w:ascii="宋体" w:hAnsi="宋体" w:eastAsia="宋体" w:cs="宋体"/>
          <w:color w:val="000000"/>
          <w:kern w:val="0"/>
          <w:sz w:val="28"/>
          <w:szCs w:val="28"/>
        </w:rPr>
        <w:t>政府的支持下，</w:t>
      </w:r>
      <w:r>
        <w:rPr>
          <w:rFonts w:hint="eastAsia" w:ascii="宋体" w:hAnsi="宋体" w:eastAsia="宋体" w:cs="宋体"/>
          <w:color w:val="000000"/>
          <w:kern w:val="0"/>
          <w:sz w:val="28"/>
          <w:szCs w:val="28"/>
          <w:lang w:eastAsia="zh-CN"/>
        </w:rPr>
        <w:t>南充市嘉陵兴鑫</w:t>
      </w:r>
      <w:r>
        <w:rPr>
          <w:rFonts w:hint="eastAsia" w:ascii="宋体" w:hAnsi="宋体" w:eastAsia="宋体" w:cs="宋体"/>
          <w:color w:val="000000"/>
          <w:kern w:val="0"/>
          <w:sz w:val="28"/>
          <w:szCs w:val="28"/>
        </w:rPr>
        <w:t>烟花爆竹经营有限公司在</w:t>
      </w:r>
      <w:r>
        <w:rPr>
          <w:rFonts w:hint="eastAsia" w:ascii="宋体" w:hAnsi="宋体" w:eastAsia="宋体" w:cs="宋体"/>
          <w:color w:val="000000"/>
          <w:kern w:val="0"/>
          <w:sz w:val="28"/>
          <w:szCs w:val="28"/>
          <w:lang w:eastAsia="zh-CN"/>
        </w:rPr>
        <w:t>嘉陵区西兴街道办三清庙村建</w:t>
      </w:r>
      <w:r>
        <w:rPr>
          <w:rFonts w:hint="eastAsia" w:ascii="宋体" w:hAnsi="宋体" w:eastAsia="宋体" w:cs="宋体"/>
          <w:color w:val="000000"/>
          <w:kern w:val="0"/>
          <w:sz w:val="28"/>
          <w:szCs w:val="28"/>
        </w:rPr>
        <w:t>烟花爆竹经营仓库，库区新建1栋1.1</w:t>
      </w:r>
      <w:r>
        <w:rPr>
          <w:rFonts w:hint="eastAsia" w:ascii="宋体" w:hAnsi="宋体" w:eastAsia="宋体" w:cs="宋体"/>
          <w:color w:val="000000"/>
          <w:kern w:val="0"/>
          <w:sz w:val="28"/>
          <w:szCs w:val="28"/>
          <w:vertAlign w:val="superscript"/>
        </w:rPr>
        <w:t>-2</w:t>
      </w:r>
      <w:r>
        <w:rPr>
          <w:rFonts w:hint="eastAsia" w:ascii="宋体" w:hAnsi="宋体" w:eastAsia="宋体" w:cs="宋体"/>
          <w:color w:val="000000"/>
          <w:kern w:val="0"/>
          <w:sz w:val="28"/>
          <w:szCs w:val="28"/>
        </w:rPr>
        <w:t>级、1栋1.3级烟花爆竹储存库房。现有从业人员</w:t>
      </w:r>
      <w:r>
        <w:rPr>
          <w:rFonts w:hint="eastAsia" w:ascii="宋体" w:hAnsi="宋体" w:eastAsia="宋体" w:cs="宋体"/>
          <w:color w:val="000000"/>
          <w:kern w:val="0"/>
          <w:sz w:val="28"/>
          <w:szCs w:val="28"/>
          <w:lang w:val="en-US" w:eastAsia="zh-CN"/>
        </w:rPr>
        <w:t>8</w:t>
      </w:r>
      <w:r>
        <w:rPr>
          <w:rFonts w:hint="eastAsia" w:ascii="宋体" w:hAnsi="宋体" w:eastAsia="宋体" w:cs="宋体"/>
          <w:color w:val="000000"/>
          <w:kern w:val="0"/>
          <w:sz w:val="28"/>
          <w:szCs w:val="28"/>
        </w:rPr>
        <w:t>余人，都经过市、县相关部门培训合格，并取得上岗资格证，危险货物运输车辆1辆。</w:t>
      </w:r>
    </w:p>
    <w:p>
      <w:pPr>
        <w:spacing w:line="540" w:lineRule="exact"/>
        <w:rPr>
          <w:rFonts w:hint="eastAsia" w:ascii="宋体" w:hAnsi="宋体" w:cs="宋体"/>
          <w:b/>
          <w:bCs/>
          <w:color w:val="000000"/>
          <w:sz w:val="28"/>
          <w:szCs w:val="28"/>
        </w:rPr>
      </w:pPr>
      <w:r>
        <w:rPr>
          <w:rFonts w:ascii="宋体" w:hAnsi="宋体" w:cs="宋体"/>
          <w:b/>
          <w:bCs/>
          <w:color w:val="000000"/>
          <w:sz w:val="28"/>
          <w:szCs w:val="28"/>
        </w:rPr>
        <w:t>2.2</w:t>
      </w:r>
      <w:r>
        <w:rPr>
          <w:rFonts w:hint="eastAsia" w:ascii="宋体" w:hAnsi="宋体" w:cs="宋体"/>
          <w:b/>
          <w:bCs/>
          <w:color w:val="000000"/>
          <w:sz w:val="28"/>
          <w:szCs w:val="28"/>
        </w:rPr>
        <w:t>地理位置</w:t>
      </w:r>
    </w:p>
    <w:p>
      <w:pPr>
        <w:spacing w:line="240" w:lineRule="auto"/>
        <w:jc w:val="center"/>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drawing>
          <wp:inline distT="0" distB="0" distL="114300" distR="114300">
            <wp:extent cx="4953635" cy="2966085"/>
            <wp:effectExtent l="0" t="0" r="18415" b="5715"/>
            <wp:docPr id="3" name="图片 1" descr="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位置图"/>
                    <pic:cNvPicPr>
                      <a:picLocks noChangeAspect="1"/>
                    </pic:cNvPicPr>
                  </pic:nvPicPr>
                  <pic:blipFill>
                    <a:blip r:embed="rId9"/>
                    <a:stretch>
                      <a:fillRect/>
                    </a:stretch>
                  </pic:blipFill>
                  <pic:spPr>
                    <a:xfrm>
                      <a:off x="0" y="0"/>
                      <a:ext cx="4953635" cy="2966085"/>
                    </a:xfrm>
                    <a:prstGeom prst="rect">
                      <a:avLst/>
                    </a:prstGeom>
                    <a:noFill/>
                    <a:ln>
                      <a:noFill/>
                    </a:ln>
                  </pic:spPr>
                </pic:pic>
              </a:graphicData>
            </a:graphic>
          </wp:inline>
        </w:drawing>
      </w:r>
    </w:p>
    <w:p>
      <w:pPr>
        <w:spacing w:line="360" w:lineRule="auto"/>
        <w:ind w:firstLine="548" w:firstLineChars="196"/>
        <w:jc w:val="left"/>
        <w:rPr>
          <w:rFonts w:hint="eastAsia" w:ascii="宋体" w:hAnsi="宋体" w:cs="仿宋_GB2312"/>
          <w:color w:val="000000"/>
          <w:kern w:val="0"/>
          <w:sz w:val="28"/>
          <w:szCs w:val="28"/>
        </w:rPr>
      </w:pPr>
      <w:r>
        <w:rPr>
          <w:rFonts w:hint="eastAsia" w:ascii="宋体" w:hAnsi="宋体" w:cs="仿宋_GB2312"/>
          <w:color w:val="000000"/>
          <w:kern w:val="0"/>
          <w:sz w:val="28"/>
          <w:szCs w:val="28"/>
        </w:rPr>
        <w:t>公司的烟花爆竹储存仓库为</w:t>
      </w:r>
      <w:r>
        <w:rPr>
          <w:rFonts w:hint="eastAsia" w:ascii="宋体" w:hAnsi="宋体" w:cs="仿宋_GB2312"/>
          <w:color w:val="000000"/>
          <w:kern w:val="0"/>
          <w:sz w:val="28"/>
          <w:szCs w:val="28"/>
          <w:lang w:eastAsia="zh-CN"/>
        </w:rPr>
        <w:t>嘉陵区西兴街道办三清庙村</w:t>
      </w:r>
      <w:r>
        <w:rPr>
          <w:rFonts w:hint="eastAsia" w:ascii="宋体" w:hAnsi="宋体" w:cs="仿宋_GB2312"/>
          <w:color w:val="000000"/>
          <w:kern w:val="0"/>
          <w:sz w:val="28"/>
          <w:szCs w:val="28"/>
        </w:rPr>
        <w:t>，距离</w:t>
      </w:r>
      <w:r>
        <w:rPr>
          <w:rFonts w:hint="eastAsia" w:ascii="宋体" w:hAnsi="宋体" w:cs="仿宋_GB2312"/>
          <w:color w:val="000000"/>
          <w:kern w:val="0"/>
          <w:sz w:val="28"/>
          <w:szCs w:val="28"/>
          <w:lang w:eastAsia="zh-CN"/>
        </w:rPr>
        <w:t>主</w:t>
      </w:r>
      <w:r>
        <w:rPr>
          <w:rFonts w:hint="eastAsia" w:ascii="宋体" w:hAnsi="宋体" w:cs="仿宋_GB2312"/>
          <w:color w:val="000000"/>
          <w:kern w:val="0"/>
          <w:sz w:val="28"/>
          <w:szCs w:val="28"/>
        </w:rPr>
        <w:t>城</w:t>
      </w:r>
      <w:r>
        <w:rPr>
          <w:rFonts w:hint="eastAsia" w:ascii="宋体" w:hAnsi="宋体" w:cs="仿宋_GB2312"/>
          <w:color w:val="000000"/>
          <w:kern w:val="0"/>
          <w:sz w:val="28"/>
          <w:szCs w:val="28"/>
          <w:lang w:val="en-US" w:eastAsia="zh-CN"/>
        </w:rPr>
        <w:t>20公里</w:t>
      </w:r>
      <w:r>
        <w:rPr>
          <w:rFonts w:hint="eastAsia" w:ascii="宋体" w:hAnsi="宋体" w:cs="仿宋_GB2312"/>
          <w:color w:val="000000"/>
          <w:kern w:val="0"/>
          <w:sz w:val="28"/>
          <w:szCs w:val="28"/>
        </w:rPr>
        <w:t>，</w:t>
      </w:r>
      <w:r>
        <w:rPr>
          <w:rFonts w:hint="eastAsia" w:ascii="宋体" w:hAnsi="宋体" w:cs="仿宋_GB2312"/>
          <w:color w:val="000000"/>
          <w:kern w:val="0"/>
          <w:sz w:val="28"/>
          <w:szCs w:val="28"/>
          <w:lang w:eastAsia="zh-CN"/>
        </w:rPr>
        <w:t>区</w:t>
      </w:r>
      <w:r>
        <w:rPr>
          <w:rFonts w:hint="eastAsia" w:ascii="宋体" w:hAnsi="宋体" w:cs="仿宋_GB2312"/>
          <w:color w:val="000000"/>
          <w:kern w:val="0"/>
          <w:sz w:val="28"/>
          <w:szCs w:val="28"/>
        </w:rPr>
        <w:t>消防大队</w:t>
      </w:r>
      <w:r>
        <w:rPr>
          <w:rFonts w:hint="eastAsia" w:ascii="宋体" w:hAnsi="宋体" w:cs="仿宋_GB2312"/>
          <w:color w:val="000000"/>
          <w:kern w:val="0"/>
          <w:sz w:val="28"/>
          <w:szCs w:val="28"/>
          <w:lang w:val="en-US" w:eastAsia="zh-CN"/>
        </w:rPr>
        <w:t>15公里</w:t>
      </w:r>
      <w:r>
        <w:rPr>
          <w:rFonts w:hint="eastAsia" w:ascii="宋体" w:hAnsi="宋体" w:cs="仿宋_GB2312"/>
          <w:color w:val="000000"/>
          <w:kern w:val="0"/>
          <w:sz w:val="28"/>
          <w:szCs w:val="28"/>
        </w:rPr>
        <w:t>，出警时间</w:t>
      </w:r>
      <w:r>
        <w:rPr>
          <w:rFonts w:hint="eastAsia" w:ascii="宋体" w:hAnsi="宋体" w:cs="仿宋_GB2312"/>
          <w:color w:val="000000"/>
          <w:kern w:val="0"/>
          <w:sz w:val="28"/>
          <w:szCs w:val="28"/>
          <w:lang w:val="en-US" w:eastAsia="zh-CN"/>
        </w:rPr>
        <w:t>15</w:t>
      </w:r>
      <w:r>
        <w:rPr>
          <w:rFonts w:hint="eastAsia" w:ascii="宋体" w:hAnsi="宋体" w:cs="仿宋_GB2312"/>
          <w:color w:val="000000"/>
          <w:kern w:val="0"/>
          <w:sz w:val="28"/>
          <w:szCs w:val="28"/>
        </w:rPr>
        <w:t>分钟能到达，该库区东、西方均为沟壑，500m内均为旱地无居人区域；</w:t>
      </w:r>
      <w:r>
        <w:rPr>
          <w:rFonts w:hint="eastAsia" w:ascii="宋体" w:hAnsi="宋体" w:cs="仿宋_GB2312"/>
          <w:color w:val="000000"/>
          <w:kern w:val="0"/>
          <w:sz w:val="28"/>
          <w:szCs w:val="28"/>
          <w:lang w:eastAsia="zh-CN"/>
        </w:rPr>
        <w:t>北</w:t>
      </w:r>
      <w:r>
        <w:rPr>
          <w:rFonts w:hint="eastAsia" w:ascii="宋体" w:hAnsi="宋体" w:cs="仿宋_GB2312"/>
          <w:color w:val="000000"/>
          <w:kern w:val="0"/>
          <w:sz w:val="28"/>
          <w:szCs w:val="28"/>
          <w:lang w:val="en-US" w:eastAsia="zh-CN"/>
        </w:rPr>
        <w:t>1</w:t>
      </w:r>
      <w:r>
        <w:rPr>
          <w:rFonts w:hint="eastAsia" w:ascii="宋体" w:hAnsi="宋体" w:cs="仿宋_GB2312"/>
          <w:color w:val="000000"/>
          <w:kern w:val="0"/>
          <w:sz w:val="28"/>
          <w:szCs w:val="28"/>
        </w:rPr>
        <w:t>00m处为</w:t>
      </w:r>
      <w:r>
        <w:rPr>
          <w:rFonts w:hint="eastAsia" w:ascii="宋体" w:hAnsi="宋体" w:cs="仿宋_GB2312"/>
          <w:color w:val="000000"/>
          <w:kern w:val="0"/>
          <w:sz w:val="28"/>
          <w:szCs w:val="28"/>
          <w:lang w:eastAsia="zh-CN"/>
        </w:rPr>
        <w:t>三清庙山</w:t>
      </w:r>
      <w:r>
        <w:rPr>
          <w:rFonts w:hint="eastAsia" w:ascii="宋体" w:hAnsi="宋体" w:cs="仿宋_GB2312"/>
          <w:color w:val="000000"/>
          <w:kern w:val="0"/>
          <w:sz w:val="28"/>
          <w:szCs w:val="28"/>
        </w:rPr>
        <w:t>；</w:t>
      </w:r>
      <w:r>
        <w:rPr>
          <w:rFonts w:hint="eastAsia" w:ascii="宋体" w:hAnsi="宋体" w:cs="仿宋_GB2312"/>
          <w:color w:val="000000"/>
          <w:kern w:val="0"/>
          <w:sz w:val="28"/>
          <w:szCs w:val="28"/>
          <w:lang w:eastAsia="zh-CN"/>
        </w:rPr>
        <w:t>南</w:t>
      </w:r>
      <w:r>
        <w:rPr>
          <w:rFonts w:hint="eastAsia" w:ascii="宋体" w:hAnsi="宋体" w:cs="仿宋_GB2312"/>
          <w:color w:val="000000"/>
          <w:kern w:val="0"/>
          <w:sz w:val="28"/>
          <w:szCs w:val="28"/>
          <w:lang w:val="en-US" w:eastAsia="zh-CN"/>
        </w:rPr>
        <w:t>200</w:t>
      </w:r>
      <w:r>
        <w:rPr>
          <w:rFonts w:hint="eastAsia" w:ascii="宋体" w:hAnsi="宋体" w:cs="仿宋_GB2312"/>
          <w:color w:val="000000"/>
          <w:kern w:val="0"/>
          <w:sz w:val="28"/>
          <w:szCs w:val="28"/>
        </w:rPr>
        <w:t>m处为</w:t>
      </w:r>
      <w:r>
        <w:rPr>
          <w:rFonts w:hint="eastAsia" w:ascii="宋体" w:hAnsi="宋体" w:cs="仿宋_GB2312"/>
          <w:color w:val="000000"/>
          <w:kern w:val="0"/>
          <w:sz w:val="28"/>
          <w:szCs w:val="28"/>
          <w:lang w:eastAsia="zh-CN"/>
        </w:rPr>
        <w:t>国道</w:t>
      </w:r>
      <w:r>
        <w:rPr>
          <w:rFonts w:hint="eastAsia" w:ascii="宋体" w:hAnsi="宋体" w:cs="仿宋_GB2312"/>
          <w:color w:val="000000"/>
          <w:kern w:val="0"/>
          <w:sz w:val="28"/>
          <w:szCs w:val="28"/>
          <w:lang w:val="en-US" w:eastAsia="zh-CN"/>
        </w:rPr>
        <w:t>318线</w:t>
      </w:r>
      <w:r>
        <w:rPr>
          <w:rFonts w:hint="eastAsia" w:ascii="宋体" w:hAnsi="宋体" w:cs="仿宋_GB2312"/>
          <w:color w:val="000000"/>
          <w:kern w:val="0"/>
          <w:sz w:val="28"/>
          <w:szCs w:val="28"/>
        </w:rPr>
        <w:t>。距以下设施的距离均在最小允许安全距离范围之外；仓库根据经营品种、危险程度进行分区布置，分别修建1.1</w:t>
      </w:r>
      <w:r>
        <w:rPr>
          <w:rFonts w:hint="eastAsia" w:ascii="宋体" w:hAnsi="宋体" w:cs="仿宋_GB2312"/>
          <w:color w:val="000000"/>
          <w:kern w:val="0"/>
          <w:sz w:val="28"/>
          <w:szCs w:val="28"/>
          <w:vertAlign w:val="superscript"/>
        </w:rPr>
        <w:t>-2</w:t>
      </w:r>
      <w:r>
        <w:rPr>
          <w:rFonts w:hint="eastAsia" w:ascii="宋体" w:hAnsi="宋体" w:cs="仿宋_GB2312"/>
          <w:color w:val="000000"/>
          <w:kern w:val="0"/>
          <w:sz w:val="28"/>
          <w:szCs w:val="28"/>
        </w:rPr>
        <w:t>级库房和1．3级库房，周围安全距离内无学校、工业区、重要建筑设施及高压输电线路，四邻安全距离符合烟花爆竹储存标准要求。</w:t>
      </w:r>
    </w:p>
    <w:p>
      <w:pPr>
        <w:widowControl w:val="0"/>
        <w:spacing w:line="360" w:lineRule="auto"/>
        <w:ind w:firstLine="560" w:firstLineChars="200"/>
        <w:rPr>
          <w:rFonts w:hint="eastAsia" w:ascii="宋体" w:hAnsi="宋体" w:cs="仿宋_GB2312"/>
          <w:color w:val="000000"/>
          <w:kern w:val="0"/>
          <w:sz w:val="28"/>
          <w:szCs w:val="28"/>
        </w:rPr>
      </w:pPr>
      <w:r>
        <w:rPr>
          <w:rFonts w:hint="eastAsia" w:ascii="宋体" w:hAnsi="宋体" w:cs="宋体"/>
          <w:bCs/>
          <w:color w:val="000000"/>
          <w:sz w:val="28"/>
          <w:szCs w:val="28"/>
        </w:rPr>
        <w:t>仓库介绍</w:t>
      </w:r>
      <w:r>
        <w:rPr>
          <w:rFonts w:hint="eastAsia" w:ascii="宋体" w:hAnsi="宋体" w:cs="宋体"/>
          <w:bCs/>
          <w:color w:val="000000"/>
          <w:sz w:val="28"/>
          <w:szCs w:val="28"/>
          <w:lang w:eastAsia="zh-CN"/>
        </w:rPr>
        <w:t>：</w:t>
      </w:r>
      <w:r>
        <w:rPr>
          <w:rFonts w:hint="eastAsia" w:ascii="宋体" w:hAnsi="宋体" w:cs="仿宋_GB2312"/>
          <w:color w:val="000000"/>
          <w:kern w:val="0"/>
          <w:sz w:val="28"/>
          <w:szCs w:val="28"/>
        </w:rPr>
        <w:t>库区现有二幢储存库房，即1幢1.1</w:t>
      </w:r>
      <w:r>
        <w:rPr>
          <w:rFonts w:hint="eastAsia" w:ascii="宋体" w:hAnsi="宋体" w:cs="仿宋_GB2312"/>
          <w:color w:val="000000"/>
          <w:kern w:val="0"/>
          <w:sz w:val="28"/>
          <w:szCs w:val="28"/>
          <w:vertAlign w:val="superscript"/>
        </w:rPr>
        <w:t>-2</w:t>
      </w:r>
      <w:r>
        <w:rPr>
          <w:rFonts w:hint="eastAsia" w:ascii="宋体" w:hAnsi="宋体" w:cs="仿宋_GB2312"/>
          <w:color w:val="000000"/>
          <w:kern w:val="0"/>
          <w:sz w:val="28"/>
          <w:szCs w:val="28"/>
        </w:rPr>
        <w:t>级库房和1幢1．3级库房。仓库结构均系砖混结构。</w:t>
      </w:r>
    </w:p>
    <w:p>
      <w:pPr>
        <w:autoSpaceDE w:val="0"/>
        <w:autoSpaceDN w:val="0"/>
        <w:adjustRightInd w:val="0"/>
        <w:spacing w:line="360" w:lineRule="auto"/>
        <w:ind w:firstLine="560" w:firstLineChars="200"/>
        <w:jc w:val="left"/>
        <w:rPr>
          <w:rFonts w:hint="eastAsia" w:ascii="宋体" w:hAnsi="宋体" w:cs="仿宋_GB2312"/>
          <w:color w:val="000000"/>
          <w:kern w:val="0"/>
          <w:sz w:val="28"/>
          <w:szCs w:val="28"/>
        </w:rPr>
      </w:pPr>
      <w:r>
        <w:rPr>
          <w:rFonts w:hint="eastAsia" w:ascii="宋体" w:hAnsi="宋体" w:cs="仿宋_GB2312"/>
          <w:color w:val="000000"/>
          <w:kern w:val="0"/>
          <w:sz w:val="28"/>
          <w:szCs w:val="28"/>
        </w:rPr>
        <w:t>1.1</w:t>
      </w:r>
      <w:r>
        <w:rPr>
          <w:rFonts w:hint="eastAsia" w:ascii="宋体" w:hAnsi="宋体" w:cs="仿宋_GB2312"/>
          <w:color w:val="000000"/>
          <w:kern w:val="0"/>
          <w:sz w:val="28"/>
          <w:szCs w:val="28"/>
          <w:vertAlign w:val="superscript"/>
        </w:rPr>
        <w:t>-2</w:t>
      </w:r>
      <w:r>
        <w:rPr>
          <w:rFonts w:hint="eastAsia" w:ascii="宋体" w:hAnsi="宋体" w:cs="仿宋_GB2312"/>
          <w:color w:val="000000"/>
          <w:kern w:val="0"/>
          <w:sz w:val="28"/>
          <w:szCs w:val="28"/>
        </w:rPr>
        <w:t>库房：面积</w:t>
      </w:r>
      <w:r>
        <w:rPr>
          <w:rFonts w:hint="eastAsia" w:ascii="宋体" w:hAnsi="宋体" w:cs="仿宋_GB2312"/>
          <w:color w:val="000000"/>
          <w:kern w:val="0"/>
          <w:sz w:val="28"/>
          <w:szCs w:val="28"/>
          <w:lang w:val="en-US" w:eastAsia="zh-CN"/>
        </w:rPr>
        <w:t>70</w:t>
      </w:r>
      <w:r>
        <w:rPr>
          <w:rFonts w:hint="eastAsia" w:ascii="宋体" w:hAnsi="宋体" w:cs="仿宋_GB2312"/>
          <w:color w:val="000000"/>
          <w:kern w:val="0"/>
          <w:sz w:val="28"/>
          <w:szCs w:val="28"/>
        </w:rPr>
        <w:t>㎡，距离1．3级库房</w:t>
      </w:r>
      <w:r>
        <w:rPr>
          <w:rFonts w:hint="eastAsia" w:ascii="宋体" w:hAnsi="宋体" w:cs="仿宋_GB2312"/>
          <w:color w:val="000000"/>
          <w:kern w:val="0"/>
          <w:sz w:val="28"/>
          <w:szCs w:val="28"/>
          <w:lang w:val="en-US" w:eastAsia="zh-CN"/>
        </w:rPr>
        <w:t>31m</w:t>
      </w:r>
      <w:r>
        <w:rPr>
          <w:rFonts w:hint="eastAsia" w:ascii="宋体" w:hAnsi="宋体" w:cs="仿宋_GB2312"/>
          <w:color w:val="000000"/>
          <w:kern w:val="0"/>
          <w:sz w:val="28"/>
          <w:szCs w:val="28"/>
        </w:rPr>
        <w:t>，中间有防护屏障。</w:t>
      </w:r>
    </w:p>
    <w:p>
      <w:pPr>
        <w:autoSpaceDE w:val="0"/>
        <w:autoSpaceDN w:val="0"/>
        <w:adjustRightInd w:val="0"/>
        <w:spacing w:line="360" w:lineRule="auto"/>
        <w:ind w:firstLine="560" w:firstLineChars="200"/>
        <w:jc w:val="left"/>
        <w:rPr>
          <w:rFonts w:hint="eastAsia" w:ascii="宋体" w:hAnsi="宋体" w:cs="仿宋_GB2312"/>
          <w:color w:val="000000"/>
          <w:kern w:val="0"/>
          <w:sz w:val="28"/>
          <w:szCs w:val="28"/>
        </w:rPr>
      </w:pPr>
      <w:r>
        <w:rPr>
          <w:rFonts w:hint="eastAsia" w:ascii="宋体" w:hAnsi="宋体" w:cs="仿宋_GB2312"/>
          <w:color w:val="000000"/>
          <w:kern w:val="0"/>
          <w:sz w:val="28"/>
          <w:szCs w:val="28"/>
        </w:rPr>
        <w:t>距离值班室1</w:t>
      </w:r>
      <w:r>
        <w:rPr>
          <w:rFonts w:hint="eastAsia" w:ascii="宋体" w:hAnsi="宋体" w:cs="仿宋_GB2312"/>
          <w:color w:val="000000"/>
          <w:kern w:val="0"/>
          <w:sz w:val="28"/>
          <w:szCs w:val="28"/>
          <w:lang w:val="en-US" w:eastAsia="zh-CN"/>
        </w:rPr>
        <w:t>40</w:t>
      </w:r>
      <w:r>
        <w:rPr>
          <w:rFonts w:hint="eastAsia" w:ascii="宋体" w:hAnsi="宋体" w:cs="仿宋_GB2312"/>
          <w:color w:val="000000"/>
          <w:kern w:val="0"/>
          <w:sz w:val="28"/>
          <w:szCs w:val="28"/>
        </w:rPr>
        <w:t>m，中间有防护屏障。</w:t>
      </w:r>
    </w:p>
    <w:p>
      <w:pPr>
        <w:autoSpaceDE w:val="0"/>
        <w:autoSpaceDN w:val="0"/>
        <w:adjustRightInd w:val="0"/>
        <w:spacing w:line="360" w:lineRule="auto"/>
        <w:ind w:firstLine="560" w:firstLineChars="200"/>
        <w:jc w:val="left"/>
        <w:rPr>
          <w:rFonts w:hint="eastAsia" w:ascii="宋体" w:hAnsi="宋体" w:cs="仿宋_GB2312"/>
          <w:color w:val="000000"/>
          <w:kern w:val="0"/>
          <w:sz w:val="28"/>
          <w:szCs w:val="28"/>
        </w:rPr>
      </w:pPr>
      <w:r>
        <w:rPr>
          <w:rFonts w:hint="eastAsia" w:ascii="宋体" w:hAnsi="宋体" w:cs="仿宋_GB2312"/>
          <w:color w:val="000000"/>
          <w:kern w:val="0"/>
          <w:sz w:val="28"/>
          <w:szCs w:val="28"/>
        </w:rPr>
        <w:t>1.3级库房：1幢共</w:t>
      </w:r>
      <w:r>
        <w:rPr>
          <w:rFonts w:hint="eastAsia" w:ascii="宋体" w:hAnsi="宋体" w:cs="仿宋_GB2312"/>
          <w:color w:val="000000"/>
          <w:kern w:val="0"/>
          <w:sz w:val="28"/>
          <w:szCs w:val="28"/>
          <w:lang w:val="en-US" w:eastAsia="zh-CN"/>
        </w:rPr>
        <w:t>560</w:t>
      </w:r>
      <w:r>
        <w:rPr>
          <w:rFonts w:hint="eastAsia" w:ascii="宋体" w:hAnsi="宋体" w:cs="仿宋_GB2312"/>
          <w:color w:val="000000"/>
          <w:kern w:val="0"/>
          <w:sz w:val="28"/>
          <w:szCs w:val="28"/>
        </w:rPr>
        <w:t>㎡，中间有防护土堤，距离值班室</w:t>
      </w:r>
      <w:r>
        <w:rPr>
          <w:rFonts w:hint="eastAsia" w:ascii="宋体" w:hAnsi="宋体" w:cs="仿宋_GB2312"/>
          <w:color w:val="000000"/>
          <w:kern w:val="0"/>
          <w:sz w:val="28"/>
          <w:szCs w:val="28"/>
          <w:lang w:val="en-US" w:eastAsia="zh-CN"/>
        </w:rPr>
        <w:t>1</w:t>
      </w:r>
      <w:r>
        <w:rPr>
          <w:rFonts w:hint="eastAsia" w:ascii="宋体" w:hAnsi="宋体" w:cs="仿宋_GB2312"/>
          <w:color w:val="000000"/>
          <w:kern w:val="0"/>
          <w:sz w:val="28"/>
          <w:szCs w:val="28"/>
        </w:rPr>
        <w:t>50m。</w:t>
      </w:r>
    </w:p>
    <w:p>
      <w:pPr>
        <w:autoSpaceDE w:val="0"/>
        <w:autoSpaceDN w:val="0"/>
        <w:adjustRightInd w:val="0"/>
        <w:spacing w:line="360" w:lineRule="auto"/>
        <w:ind w:firstLine="560" w:firstLineChars="200"/>
        <w:jc w:val="left"/>
        <w:rPr>
          <w:rFonts w:hint="eastAsia" w:ascii="宋体" w:hAnsi="宋体" w:cs="宋体"/>
          <w:color w:val="000000"/>
          <w:kern w:val="0"/>
          <w:sz w:val="28"/>
          <w:szCs w:val="28"/>
        </w:rPr>
      </w:pPr>
      <w:r>
        <w:rPr>
          <w:rFonts w:hint="eastAsia" w:ascii="宋体" w:hAnsi="宋体" w:cs="宋体"/>
          <w:bCs/>
          <w:color w:val="000000"/>
          <w:sz w:val="28"/>
          <w:szCs w:val="28"/>
          <w:lang w:eastAsia="zh-CN"/>
        </w:rPr>
        <w:t>符合</w:t>
      </w:r>
      <w:r>
        <w:rPr>
          <w:rFonts w:hint="eastAsia" w:ascii="宋体" w:hAnsi="宋体" w:cs="宋体"/>
          <w:bCs/>
          <w:color w:val="000000"/>
          <w:sz w:val="28"/>
          <w:szCs w:val="28"/>
        </w:rPr>
        <w:t>《</w:t>
      </w:r>
      <w:r>
        <w:rPr>
          <w:rFonts w:hint="eastAsia" w:ascii="宋体" w:hAnsi="宋体" w:cs="宋体"/>
          <w:color w:val="000000"/>
          <w:kern w:val="0"/>
          <w:sz w:val="28"/>
          <w:szCs w:val="28"/>
        </w:rPr>
        <w:t>烟花爆竹工程设计规范</w:t>
      </w:r>
      <w:r>
        <w:rPr>
          <w:rFonts w:hint="eastAsia" w:ascii="宋体" w:hAnsi="宋体" w:cs="宋体"/>
          <w:sz w:val="28"/>
          <w:szCs w:val="28"/>
        </w:rPr>
        <w:t>》</w:t>
      </w:r>
      <w:r>
        <w:rPr>
          <w:rFonts w:hint="eastAsia" w:ascii="宋体" w:hAnsi="宋体" w:cs="宋体"/>
          <w:color w:val="000000"/>
          <w:kern w:val="0"/>
          <w:sz w:val="28"/>
          <w:szCs w:val="28"/>
        </w:rPr>
        <w:t>GB50161-2009要求。</w:t>
      </w:r>
    </w:p>
    <w:p>
      <w:pPr>
        <w:spacing w:line="360" w:lineRule="auto"/>
        <w:ind w:firstLine="480" w:firstLineChars="200"/>
        <w:rPr>
          <w:rFonts w:ascii="仿宋" w:hAnsi="仿宋" w:eastAsia="仿宋" w:cs="仿宋"/>
          <w:sz w:val="24"/>
          <w:szCs w:val="24"/>
          <w:highlight w:val="yellow"/>
        </w:rPr>
      </w:pPr>
    </w:p>
    <w:p>
      <w:pPr>
        <w:spacing w:line="360" w:lineRule="auto"/>
        <w:ind w:firstLine="602" w:firstLineChars="200"/>
        <w:rPr>
          <w:rFonts w:ascii="仿宋" w:hAnsi="仿宋" w:eastAsia="仿宋" w:cs="仿宋"/>
          <w:sz w:val="24"/>
          <w:szCs w:val="24"/>
        </w:rPr>
      </w:pPr>
      <w:r>
        <w:rPr>
          <w:rFonts w:hint="eastAsia" w:ascii="宋体" w:hAnsi="宋体" w:eastAsia="宋体" w:cs="宋体"/>
          <w:b/>
          <w:bCs/>
          <w:sz w:val="30"/>
          <w:szCs w:val="30"/>
        </w:rPr>
        <w:t>2.企业危险有害因素辨识情况</w:t>
      </w:r>
      <w:bookmarkEnd w:id="29"/>
      <w:bookmarkEnd w:id="30"/>
      <w:bookmarkEnd w:id="31"/>
      <w:bookmarkEnd w:id="32"/>
    </w:p>
    <w:p>
      <w:pPr>
        <w:spacing w:line="360" w:lineRule="auto"/>
        <w:rPr>
          <w:rFonts w:hint="eastAsia" w:ascii="宋体" w:hAnsi="宋体" w:eastAsia="宋体" w:cs="宋体"/>
          <w:sz w:val="28"/>
          <w:szCs w:val="28"/>
        </w:rPr>
      </w:pPr>
      <w:bookmarkStart w:id="33" w:name="_Toc6676"/>
      <w:bookmarkStart w:id="34" w:name="_Toc499193825"/>
      <w:bookmarkStart w:id="35" w:name="_Toc19926"/>
      <w:bookmarkStart w:id="36" w:name="_Toc30768"/>
      <w:r>
        <w:rPr>
          <w:rFonts w:hint="eastAsia" w:ascii="仿宋" w:hAnsi="仿宋" w:eastAsia="仿宋" w:cs="仿宋"/>
          <w:sz w:val="24"/>
          <w:szCs w:val="24"/>
        </w:rPr>
        <w:t>　</w:t>
      </w:r>
      <w:r>
        <w:rPr>
          <w:rFonts w:hint="eastAsia" w:ascii="宋体" w:hAnsi="宋体" w:eastAsia="宋体" w:cs="宋体"/>
          <w:sz w:val="28"/>
          <w:szCs w:val="28"/>
        </w:rPr>
        <w:t>　参照《企业伤亡事故分类》（GB6441-86）中危险有害因素分类方法，结合生产特点，进行生产过程有害因素的辨识和分析，我公司经营过程中的主要危险、有害因素有：火灾、火药爆炸，其次有触电伤害、车辆伤害、自然灾害和其他伤害等</w:t>
      </w:r>
    </w:p>
    <w:p>
      <w:pPr>
        <w:pStyle w:val="12"/>
        <w:widowControl/>
        <w:spacing w:line="360" w:lineRule="auto"/>
        <w:ind w:firstLine="31680"/>
        <w:rPr>
          <w:rFonts w:hint="eastAsia" w:ascii="宋体" w:hAnsi="宋体" w:eastAsia="宋体" w:cs="宋体"/>
          <w:sz w:val="28"/>
          <w:szCs w:val="28"/>
        </w:rPr>
      </w:pPr>
      <w:r>
        <w:rPr>
          <w:rFonts w:hint="eastAsia" w:ascii="宋体" w:hAnsi="宋体" w:eastAsia="宋体" w:cs="宋体"/>
          <w:sz w:val="28"/>
          <w:szCs w:val="28"/>
        </w:rPr>
        <w:t>火灾：烟花爆竹因电器火花、静电、摩擦、高温、雷击、明火遇易燃物、办公、生活用电器等，以及电气发生燃烧等造成的火灾事故；</w:t>
      </w:r>
    </w:p>
    <w:p>
      <w:pPr>
        <w:pStyle w:val="12"/>
        <w:widowControl/>
        <w:spacing w:line="360" w:lineRule="auto"/>
        <w:ind w:firstLine="31680"/>
        <w:rPr>
          <w:rFonts w:hint="eastAsia" w:ascii="宋体" w:hAnsi="宋体" w:eastAsia="宋体" w:cs="宋体"/>
          <w:sz w:val="28"/>
          <w:szCs w:val="28"/>
        </w:rPr>
      </w:pPr>
      <w:r>
        <w:rPr>
          <w:rFonts w:hint="eastAsia" w:ascii="宋体" w:hAnsi="宋体" w:eastAsia="宋体" w:cs="宋体"/>
          <w:sz w:val="28"/>
          <w:szCs w:val="28"/>
        </w:rPr>
        <w:t>火药爆炸事故：烟花爆竹等遇火灾或击发能因素引起的爆炸事故；</w:t>
      </w:r>
    </w:p>
    <w:p>
      <w:pPr>
        <w:pStyle w:val="12"/>
        <w:widowControl/>
        <w:spacing w:line="360" w:lineRule="auto"/>
        <w:ind w:firstLine="31680"/>
        <w:rPr>
          <w:rFonts w:hint="eastAsia" w:ascii="宋体" w:hAnsi="宋体" w:eastAsia="宋体" w:cs="宋体"/>
          <w:sz w:val="28"/>
          <w:szCs w:val="28"/>
        </w:rPr>
      </w:pPr>
      <w:r>
        <w:rPr>
          <w:rFonts w:hint="eastAsia" w:ascii="宋体" w:hAnsi="宋体" w:eastAsia="宋体" w:cs="宋体"/>
          <w:sz w:val="28"/>
          <w:szCs w:val="28"/>
        </w:rPr>
        <w:t>触电伤害：公司机械设备主要动力为电力供应，公司生活区、照明、由电气设备和电缆等引起的漏电、静电等造成的人员触电事故；</w:t>
      </w:r>
    </w:p>
    <w:p>
      <w:pPr>
        <w:pStyle w:val="12"/>
        <w:widowControl/>
        <w:spacing w:line="360" w:lineRule="auto"/>
        <w:ind w:firstLine="31680"/>
        <w:rPr>
          <w:rFonts w:hint="eastAsia" w:ascii="宋体" w:hAnsi="宋体" w:eastAsia="宋体" w:cs="宋体"/>
          <w:sz w:val="28"/>
          <w:szCs w:val="28"/>
        </w:rPr>
      </w:pPr>
      <w:r>
        <w:rPr>
          <w:rFonts w:hint="eastAsia" w:ascii="宋体" w:hAnsi="宋体" w:eastAsia="宋体" w:cs="宋体"/>
          <w:sz w:val="28"/>
          <w:szCs w:val="28"/>
        </w:rPr>
        <w:t>车辆伤害：机动车辆在公司场内或运输行驶中可能发生车辆伤害事故。</w:t>
      </w:r>
    </w:p>
    <w:p>
      <w:pPr>
        <w:pStyle w:val="12"/>
        <w:widowControl/>
        <w:spacing w:line="360" w:lineRule="auto"/>
        <w:ind w:firstLine="31680"/>
        <w:rPr>
          <w:rFonts w:hint="eastAsia" w:ascii="宋体" w:hAnsi="宋体" w:eastAsia="宋体" w:cs="宋体"/>
          <w:sz w:val="28"/>
          <w:szCs w:val="28"/>
        </w:rPr>
      </w:pPr>
      <w:r>
        <w:rPr>
          <w:rFonts w:hint="eastAsia" w:ascii="宋体" w:hAnsi="宋体" w:eastAsia="宋体" w:cs="宋体"/>
          <w:sz w:val="28"/>
          <w:szCs w:val="28"/>
        </w:rPr>
        <w:t>地质灾害：由于自然灾害（地震、雷击、山体边坡垮塌、泥石流和特大山洪水等）造成人员伤亡和财产损失；</w:t>
      </w:r>
    </w:p>
    <w:p>
      <w:pPr>
        <w:pStyle w:val="12"/>
        <w:widowControl/>
        <w:spacing w:line="360" w:lineRule="auto"/>
        <w:ind w:firstLine="31680"/>
        <w:rPr>
          <w:rFonts w:hint="eastAsia" w:ascii="宋体" w:hAnsi="宋体" w:eastAsia="宋体" w:cs="宋体"/>
          <w:sz w:val="28"/>
          <w:szCs w:val="28"/>
        </w:rPr>
      </w:pPr>
      <w:r>
        <w:rPr>
          <w:rFonts w:hint="eastAsia" w:ascii="宋体" w:hAnsi="宋体" w:eastAsia="宋体" w:cs="宋体"/>
          <w:sz w:val="28"/>
          <w:szCs w:val="28"/>
        </w:rPr>
        <w:t>其他伤害：外界山火或破坏活动等造成的意外安全事故的人员伤害和财产损失</w:t>
      </w:r>
      <w:r>
        <w:rPr>
          <w:rFonts w:hint="eastAsia" w:ascii="宋体" w:hAnsi="宋体" w:eastAsia="宋体" w:cs="宋体"/>
          <w:sz w:val="28"/>
          <w:szCs w:val="28"/>
          <w:lang w:eastAsia="zh-CN"/>
        </w:rPr>
        <w:t>，</w:t>
      </w:r>
      <w:r>
        <w:rPr>
          <w:rFonts w:hint="eastAsia" w:ascii="宋体" w:hAnsi="宋体" w:eastAsia="宋体" w:cs="宋体"/>
          <w:sz w:val="28"/>
          <w:szCs w:val="28"/>
        </w:rPr>
        <w:t>高处坠落</w:t>
      </w:r>
    </w:p>
    <w:p>
      <w:pPr>
        <w:spacing w:line="360" w:lineRule="auto"/>
        <w:rPr>
          <w:rFonts w:hint="eastAsia" w:ascii="宋体" w:hAnsi="宋体" w:eastAsia="宋体" w:cs="宋体"/>
          <w:sz w:val="28"/>
          <w:szCs w:val="28"/>
        </w:rPr>
      </w:pPr>
      <w:r>
        <w:rPr>
          <w:rFonts w:hint="eastAsia" w:ascii="宋体" w:hAnsi="宋体" w:eastAsia="宋体" w:cs="宋体"/>
          <w:sz w:val="28"/>
          <w:szCs w:val="28"/>
        </w:rPr>
        <w:t>　　3.企业安全生产管理情况</w:t>
      </w:r>
      <w:bookmarkEnd w:id="33"/>
      <w:bookmarkEnd w:id="34"/>
      <w:bookmarkEnd w:id="35"/>
      <w:bookmarkEnd w:id="36"/>
    </w:p>
    <w:p>
      <w:pPr>
        <w:spacing w:line="360" w:lineRule="auto"/>
        <w:rPr>
          <w:rFonts w:hint="eastAsia" w:ascii="宋体" w:hAnsi="宋体" w:eastAsia="宋体" w:cs="宋体"/>
          <w:sz w:val="28"/>
          <w:szCs w:val="28"/>
          <w:highlight w:val="none"/>
        </w:rPr>
      </w:pPr>
      <w:r>
        <w:rPr>
          <w:rFonts w:hint="eastAsia" w:ascii="宋体" w:hAnsi="宋体" w:eastAsia="宋体" w:cs="宋体"/>
          <w:sz w:val="28"/>
          <w:szCs w:val="28"/>
        </w:rPr>
        <w:t>　　</w:t>
      </w:r>
      <w:r>
        <w:rPr>
          <w:rFonts w:hint="eastAsia" w:ascii="宋体" w:hAnsi="宋体" w:eastAsia="宋体" w:cs="宋体"/>
          <w:sz w:val="28"/>
          <w:szCs w:val="28"/>
          <w:highlight w:val="none"/>
        </w:rPr>
        <w:t>建立公司以来，公司在认真贯彻执行国家安全生产的法律、法规过程中，充分根据库区域分散、重点监控部位多、员工年龄结构大、综合素质低、监管面广，难度大等企业实际情况，坚持“以人为本、安全第一、预防为主、综合治理”的安全方针。紧紧抓住安全才是效益这条主线，把安全经营过程管理落实作为安全工作的重中之重，以点带面，层层落实、步步到位，筑牢风险分级管控和隐患排查治理的“双重防线”初步形成了全方位、全过程的安全监管长效机制。在公司《烟花爆竹安全生产许可证》有效期间，建立有安全生产管理组织机构，制订了相应安全管理制度与操作规程，配备了专职与兼职安全管理人员，现有安全管理人员与特种作业人员取得了上岗资格证，在经营许可证有效期间并未发生过任何火灾、爆炸等事故。于2014年经</w:t>
      </w:r>
      <w:r>
        <w:rPr>
          <w:rFonts w:hint="eastAsia" w:ascii="宋体" w:hAnsi="宋体" w:eastAsia="宋体" w:cs="宋体"/>
          <w:sz w:val="28"/>
          <w:szCs w:val="28"/>
          <w:highlight w:val="none"/>
          <w:lang w:eastAsia="zh-CN"/>
        </w:rPr>
        <w:t>南充市</w:t>
      </w:r>
      <w:r>
        <w:rPr>
          <w:rFonts w:hint="eastAsia" w:ascii="宋体" w:hAnsi="宋体" w:eastAsia="宋体" w:cs="宋体"/>
          <w:sz w:val="28"/>
          <w:szCs w:val="28"/>
          <w:highlight w:val="none"/>
          <w:lang w:val="en-US" w:eastAsia="zh-CN"/>
        </w:rPr>
        <w:t>安全监督</w:t>
      </w:r>
      <w:r>
        <w:rPr>
          <w:rFonts w:hint="eastAsia" w:ascii="宋体" w:hAnsi="宋体" w:eastAsia="宋体" w:cs="宋体"/>
          <w:sz w:val="28"/>
          <w:szCs w:val="28"/>
          <w:highlight w:val="none"/>
        </w:rPr>
        <w:t>管理局组织评审单位进行烟花爆竹标准化评审，首次达到了三级安全生产标准化企业，并于2017年保持了三级标准化复评合格。</w:t>
      </w:r>
    </w:p>
    <w:p>
      <w:pPr>
        <w:pStyle w:val="2"/>
        <w:spacing w:line="360" w:lineRule="auto"/>
        <w:jc w:val="left"/>
        <w:rPr>
          <w:rFonts w:hint="eastAsia" w:ascii="宋体" w:hAnsi="宋体" w:eastAsia="宋体" w:cs="宋体"/>
          <w:sz w:val="30"/>
          <w:szCs w:val="30"/>
        </w:rPr>
      </w:pPr>
      <w:bookmarkStart w:id="37" w:name="_Toc27390"/>
      <w:bookmarkStart w:id="38" w:name="_Toc499193826"/>
      <w:bookmarkStart w:id="39" w:name="_Toc19895"/>
      <w:bookmarkStart w:id="40" w:name="_Toc23160"/>
      <w:bookmarkStart w:id="41" w:name="_Toc5904"/>
      <w:r>
        <w:rPr>
          <w:rFonts w:hint="eastAsia" w:ascii="宋体" w:hAnsi="宋体" w:eastAsia="宋体" w:cs="宋体"/>
          <w:sz w:val="30"/>
          <w:szCs w:val="30"/>
        </w:rPr>
        <w:t>三、现有事故风险防控与应急措施情况</w:t>
      </w:r>
      <w:bookmarkEnd w:id="37"/>
      <w:bookmarkEnd w:id="38"/>
      <w:bookmarkEnd w:id="39"/>
      <w:bookmarkEnd w:id="40"/>
      <w:bookmarkEnd w:id="41"/>
    </w:p>
    <w:p>
      <w:pPr>
        <w:spacing w:line="360" w:lineRule="auto"/>
        <w:rPr>
          <w:rFonts w:hint="eastAsia" w:ascii="宋体" w:hAnsi="宋体" w:eastAsia="宋体" w:cs="宋体"/>
          <w:sz w:val="28"/>
          <w:szCs w:val="28"/>
        </w:rPr>
      </w:pPr>
      <w:r>
        <w:rPr>
          <w:rFonts w:hint="eastAsia" w:ascii="宋体" w:hAnsi="宋体" w:eastAsia="宋体" w:cs="宋体"/>
          <w:b/>
          <w:bCs/>
          <w:sz w:val="28"/>
          <w:szCs w:val="28"/>
        </w:rPr>
        <w:t>　</w:t>
      </w:r>
      <w:r>
        <w:rPr>
          <w:rFonts w:hint="eastAsia" w:ascii="宋体" w:hAnsi="宋体" w:eastAsia="宋体" w:cs="宋体"/>
          <w:sz w:val="28"/>
          <w:szCs w:val="28"/>
        </w:rPr>
        <w:t>　1.现有事故风险防控</w:t>
      </w:r>
    </w:p>
    <w:p>
      <w:pPr>
        <w:spacing w:line="360" w:lineRule="auto"/>
        <w:ind w:firstLine="560" w:firstLineChars="200"/>
        <w:rPr>
          <w:rFonts w:hint="eastAsia" w:ascii="宋体" w:hAnsi="宋体" w:eastAsia="宋体" w:cs="宋体"/>
          <w:sz w:val="28"/>
          <w:szCs w:val="28"/>
        </w:rPr>
      </w:pPr>
      <w:bookmarkStart w:id="42" w:name="_Toc499193827"/>
      <w:r>
        <w:rPr>
          <w:rFonts w:hint="eastAsia" w:ascii="宋体" w:hAnsi="宋体" w:eastAsia="宋体" w:cs="宋体"/>
          <w:sz w:val="28"/>
          <w:szCs w:val="28"/>
        </w:rPr>
        <w:t>第一环节：烟花爆竹采购。采购环节的措施既是预防性的又具有商品安全基础的先导性，把采购正规生产企业的合格产品、规格、质量、标准等各项安全系数落实到采购人员头上，是为运输、储存中商品安全的主要因素。采购人员必须坚持“三无”产品不进，非正规企业产品不进，无警示语、安全燃放说明和合格证的产品不进，不是按新标准、规范的内、外包装产品不进的“三不进”原则，确保所购商品在其他环节上的安全。</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第二环节：烟花爆竹运输。运输环节的预防性措施，将运输过程中的主要安全责任落实到押运员、驾驶员头上。装载时必须证明：有无运输证、押运证、驾驶员从业资格证、车辆是否具备安全条件；有无人员混装或和其它商品混装；采购员、驾驶员、押运员“三员把关”，落实运输过程中的安全责任。</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第三环节：烟花爆竹储存。储存环节是企业安全和企业经济效益取得的重要的环节，将入库、堆码、温湿度、中转、出库的主要责任落实到仓储保管员头上；库区的防盗、防火、防雷、防静电等设施的维护和日常管理落实到仓库守护员头上。安全保卫科要监督库区的安全管理，确保储存商品安全和四邻人员群众生命财产不受损失。</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第四环节</w:t>
      </w:r>
      <w:r>
        <w:rPr>
          <w:rFonts w:hint="eastAsia" w:ascii="宋体" w:hAnsi="宋体" w:eastAsia="宋体" w:cs="宋体"/>
          <w:b/>
          <w:bCs/>
          <w:sz w:val="28"/>
          <w:szCs w:val="28"/>
        </w:rPr>
        <w:t>：</w:t>
      </w:r>
      <w:r>
        <w:rPr>
          <w:rFonts w:hint="eastAsia" w:ascii="宋体" w:hAnsi="宋体" w:eastAsia="宋体" w:cs="宋体"/>
          <w:sz w:val="28"/>
          <w:szCs w:val="28"/>
        </w:rPr>
        <w:t>烟花爆竹销售。销售环节既是独立单体又是与其它环节密不可分的，一旦这个环节出了问题，公司的社会效益和经济效益将会受到严重损失。销售人员要按规范做好产品的流向登记，不得将购买人员带到库房内挑选商品，必须做到一手抓销售、一手抓安全。</w:t>
      </w:r>
    </w:p>
    <w:p>
      <w:pPr>
        <w:spacing w:line="360" w:lineRule="auto"/>
        <w:rPr>
          <w:rFonts w:hint="eastAsia" w:ascii="宋体" w:hAnsi="宋体" w:eastAsia="宋体" w:cs="宋体"/>
          <w:sz w:val="28"/>
          <w:szCs w:val="28"/>
        </w:rPr>
      </w:pPr>
      <w:r>
        <w:rPr>
          <w:rFonts w:hint="eastAsia" w:ascii="宋体" w:hAnsi="宋体" w:eastAsia="宋体" w:cs="宋体"/>
          <w:sz w:val="28"/>
          <w:szCs w:val="28"/>
        </w:rPr>
        <w:t>　　2.应急措施情况</w:t>
      </w:r>
    </w:p>
    <w:p>
      <w:pPr>
        <w:spacing w:line="360" w:lineRule="auto"/>
        <w:ind w:firstLine="560" w:firstLineChars="200"/>
        <w:rPr>
          <w:rFonts w:hint="eastAsia" w:ascii="宋体" w:hAnsi="宋体" w:eastAsia="宋体" w:cs="宋体"/>
          <w:sz w:val="28"/>
          <w:szCs w:val="28"/>
        </w:rPr>
      </w:pPr>
      <w:bookmarkStart w:id="43" w:name="_Toc13160"/>
      <w:bookmarkStart w:id="44" w:name="_Toc542"/>
      <w:bookmarkStart w:id="45" w:name="_Toc24316"/>
      <w:r>
        <w:rPr>
          <w:rFonts w:hint="eastAsia" w:ascii="宋体" w:hAnsi="宋体" w:eastAsia="宋体" w:cs="宋体"/>
          <w:sz w:val="28"/>
          <w:szCs w:val="28"/>
        </w:rPr>
        <w:t>2.1火灾事故应急处置措施</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⑴安全管理办公室火灾事故应急处置措施</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公司安全管理办公室针对库区发生火灾时，应立即向119报警，应急救援人员和义务消防员想尽办法控制火源，立即转移公司安全管理文件档案资料、财务档案资料以及企业贵重物资，通过消防通道积极疏散人员，同时抢救公司财产并配合消防部门疏散办公室人员，参加抢险工作和救援工作，尽最大努力减少人员伤亡和财产损失。</w:t>
      </w:r>
    </w:p>
    <w:p>
      <w:pPr>
        <w:spacing w:line="36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（2）库区火灾事故应急处置措施</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① 仓库围墙外发生火灾时，应立即报警，迅速组织值班人员和周边村民共同控制火源，库区内立即启动消防泵，调动公司应急救援人员，将围墙边缘的树木、杂草等浇湿，防止事态扩大。</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② 库区内发生火灾时，应立即报警，迅速组织企业危险源控制组控制火源，同时启动消防泵。同时，通知其他仓库停止作业，立即疏散临近作业人员至安全区域。重点保护各库房。</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2.2火药爆炸事故应急处置措施</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（1）库区内现场监测出异常情况时（爆炸），抢险人员无条件的全部撤离现场。</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（2）人员紧急疏散、撤离。</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① 参加救援人员在疏散、撤离时应进行人员清点。</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② 由现场指挥长清点人员同时，先由现场副指挥长带领救援职工撤离，现场指挥长最后撤离。</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③ 由现场副指挥长配合有关部门疏散近距离人员和周边的村民至安全地带。</w:t>
      </w:r>
    </w:p>
    <w:p>
      <w:pPr>
        <w:spacing w:line="360" w:lineRule="auto"/>
        <w:rPr>
          <w:rFonts w:hint="eastAsia" w:ascii="宋体" w:hAnsi="宋体" w:eastAsia="宋体" w:cs="宋体"/>
          <w:sz w:val="28"/>
          <w:szCs w:val="28"/>
        </w:rPr>
      </w:pPr>
      <w:r>
        <w:rPr>
          <w:rFonts w:hint="eastAsia" w:ascii="宋体" w:hAnsi="宋体" w:eastAsia="宋体" w:cs="宋体"/>
          <w:sz w:val="28"/>
          <w:szCs w:val="28"/>
        </w:rPr>
        <w:t>　（3）抢险、救援及控制措施</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① 为了防止事故扩大，使受伤人员能得到及时的抢救，减少财产损失和伤亡，救援人员在可能的情况下，集中力量，转运物资，对容易发生事故的地方进行临时处置。</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② 受伤人员的救护和善后处置工作。</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协助120急救中心，将受伤人员急时送往</w:t>
      </w:r>
      <w:r>
        <w:rPr>
          <w:rFonts w:hint="eastAsia" w:ascii="宋体" w:hAnsi="宋体" w:eastAsia="宋体" w:cs="宋体"/>
          <w:sz w:val="28"/>
          <w:szCs w:val="28"/>
          <w:lang w:eastAsia="zh-CN"/>
        </w:rPr>
        <w:t>区</w:t>
      </w:r>
      <w:r>
        <w:rPr>
          <w:rFonts w:hint="eastAsia" w:ascii="宋体" w:hAnsi="宋体" w:eastAsia="宋体" w:cs="宋体"/>
          <w:sz w:val="28"/>
          <w:szCs w:val="28"/>
        </w:rPr>
        <w:t>人民医院或中</w:t>
      </w:r>
      <w:r>
        <w:rPr>
          <w:rFonts w:hint="eastAsia" w:ascii="宋体" w:hAnsi="宋体" w:eastAsia="宋体" w:cs="宋体"/>
          <w:sz w:val="28"/>
          <w:szCs w:val="28"/>
          <w:lang w:val="en-US" w:eastAsia="zh-CN"/>
        </w:rPr>
        <w:t>心</w:t>
      </w:r>
      <w:r>
        <w:rPr>
          <w:rFonts w:hint="eastAsia" w:ascii="宋体" w:hAnsi="宋体" w:eastAsia="宋体" w:cs="宋体"/>
          <w:sz w:val="28"/>
          <w:szCs w:val="28"/>
        </w:rPr>
        <w:t>医院、</w:t>
      </w:r>
      <w:r>
        <w:rPr>
          <w:rFonts w:hint="eastAsia" w:ascii="宋体" w:hAnsi="宋体" w:eastAsia="宋体" w:cs="宋体"/>
          <w:sz w:val="28"/>
          <w:szCs w:val="28"/>
          <w:lang w:val="en-US" w:eastAsia="zh-CN"/>
        </w:rPr>
        <w:t>西兴</w:t>
      </w:r>
      <w:r>
        <w:rPr>
          <w:rFonts w:hint="eastAsia" w:ascii="宋体" w:hAnsi="宋体" w:eastAsia="宋体" w:cs="宋体"/>
          <w:sz w:val="28"/>
          <w:szCs w:val="28"/>
        </w:rPr>
        <w:t>人民医院进行救治和护理。负责对死、伤者家属的安抚慰问工作，稳定情绪，妥善处理好善后工作，消除各种不安因素。</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③ 现场保护措施</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现场处理负责设置警戒区域，维护现场秩序，疏通现场道路，协助有关部门对现场进行堪验、拍照、摄像、进行物证、痕迹、文件的收集。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2.3自燃灾害引发事故的应急处置措施</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如遇山洪或特大水灾，危害到库房的安全时，库房当班人员要立即打电话报告指挥部，指挥部接到电话后要根据事态发展的情况是否启动预案作出决定，同时指定人员观察灾情并及时报告。</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（1）及时清理库房周边水渠，保证水流畅通。</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（2）加固防护土堤。</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（3）用沙袋或棉絮等物封堵库房门，防止洪水漫入库房。</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2.4烟花爆竹产品运输过程中发生事故的应急处置措施</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在运输过程中发生燃烧事故时，驾驶员、押运员应立即组织就近村民或义务人员进行灭火，把物资转移至安全地带，并设置警戒标志，设专人看管，及时疏散围观人员。同时向119报警，并向指挥长报告情况以便及时得到救援和处理。发生交通事故时，驾驶员、押运员，应立即通知交警部门，设立警戒标志，同时向指挥长报告，将烟花爆竹物品转运回仓库。发现运输车辆出现异常紧急情况时（爆炸），驾驶员、押运员应立即疏散，出现异常紧急情况时（爆炸），驾驶员、押运员应立即疏散运输车辆附近人员，全部撤离现场至安全地带，减轻人员伤亡和财产损失，并及时投入到抢险和救援工作中去，同时向有关部门和指挥长报告，以便第一时间得到救援支持和帮助。</w:t>
      </w:r>
    </w:p>
    <w:p>
      <w:pPr>
        <w:pStyle w:val="2"/>
        <w:spacing w:line="360" w:lineRule="auto"/>
        <w:jc w:val="left"/>
        <w:rPr>
          <w:rFonts w:ascii="仿宋" w:hAnsi="仿宋" w:eastAsia="仿宋" w:cs="仿宋"/>
          <w:sz w:val="24"/>
          <w:szCs w:val="24"/>
        </w:rPr>
      </w:pPr>
      <w:bookmarkStart w:id="46" w:name="_Toc28764"/>
      <w:r>
        <w:rPr>
          <w:rFonts w:hint="eastAsia" w:ascii="宋体" w:hAnsi="宋体" w:eastAsia="宋体" w:cs="宋体"/>
          <w:sz w:val="30"/>
          <w:szCs w:val="30"/>
        </w:rPr>
        <w:t>四、事故发生可能性及其后果分析</w:t>
      </w:r>
      <w:bookmarkEnd w:id="42"/>
      <w:bookmarkEnd w:id="43"/>
      <w:bookmarkEnd w:id="44"/>
      <w:bookmarkEnd w:id="45"/>
      <w:bookmarkEnd w:id="46"/>
    </w:p>
    <w:p>
      <w:pPr>
        <w:spacing w:line="360" w:lineRule="auto"/>
        <w:rPr>
          <w:rFonts w:hint="eastAsia" w:ascii="宋体" w:hAnsi="宋体" w:eastAsia="宋体" w:cs="宋体"/>
          <w:sz w:val="28"/>
          <w:szCs w:val="28"/>
        </w:rPr>
      </w:pPr>
      <w:bookmarkStart w:id="47" w:name="_Toc390335480"/>
      <w:bookmarkStart w:id="48" w:name="_Toc390778320"/>
      <w:bookmarkStart w:id="49" w:name="_Toc390778539"/>
      <w:bookmarkStart w:id="50" w:name="_Toc8307"/>
      <w:bookmarkStart w:id="51" w:name="_Toc10052"/>
      <w:bookmarkStart w:id="52" w:name="_Toc6928"/>
      <w:bookmarkStart w:id="53" w:name="_Toc499193843"/>
      <w:r>
        <w:rPr>
          <w:rFonts w:hint="eastAsia" w:ascii="仿宋" w:hAnsi="仿宋" w:eastAsia="仿宋" w:cs="仿宋"/>
          <w:sz w:val="24"/>
          <w:szCs w:val="24"/>
        </w:rPr>
        <w:t>　</w:t>
      </w:r>
      <w:r>
        <w:rPr>
          <w:rFonts w:hint="eastAsia" w:ascii="宋体" w:hAnsi="宋体" w:eastAsia="宋体" w:cs="宋体"/>
          <w:sz w:val="28"/>
          <w:szCs w:val="28"/>
        </w:rPr>
        <w:t>　1.危险源确定</w:t>
      </w:r>
      <w:bookmarkEnd w:id="47"/>
      <w:bookmarkEnd w:id="48"/>
      <w:bookmarkEnd w:id="49"/>
    </w:p>
    <w:p>
      <w:pPr>
        <w:spacing w:line="360" w:lineRule="auto"/>
        <w:rPr>
          <w:rFonts w:hint="eastAsia" w:ascii="宋体" w:hAnsi="宋体" w:eastAsia="宋体" w:cs="宋体"/>
          <w:sz w:val="28"/>
          <w:szCs w:val="28"/>
        </w:rPr>
      </w:pPr>
      <w:r>
        <w:rPr>
          <w:rFonts w:hint="eastAsia" w:ascii="宋体" w:hAnsi="宋体" w:eastAsia="宋体" w:cs="宋体"/>
          <w:sz w:val="28"/>
          <w:szCs w:val="28"/>
        </w:rPr>
        <w:t>　　我公司经重大危险源辨识</w:t>
      </w:r>
      <w:r>
        <w:rPr>
          <w:rFonts w:hint="eastAsia" w:ascii="宋体" w:hAnsi="宋体" w:eastAsia="宋体" w:cs="宋体"/>
          <w:b/>
          <w:bCs/>
          <w:sz w:val="28"/>
          <w:szCs w:val="28"/>
        </w:rPr>
        <w:t>，</w:t>
      </w:r>
      <w:r>
        <w:rPr>
          <w:rFonts w:hint="eastAsia" w:ascii="宋体" w:hAnsi="宋体" w:eastAsia="宋体" w:cs="宋体"/>
          <w:b/>
          <w:bCs/>
          <w:sz w:val="32"/>
          <w:szCs w:val="32"/>
        </w:rPr>
        <w:t>未构成重大危险源</w:t>
      </w:r>
      <w:r>
        <w:rPr>
          <w:rFonts w:hint="eastAsia" w:ascii="宋体" w:hAnsi="宋体" w:eastAsia="宋体" w:cs="宋体"/>
          <w:sz w:val="28"/>
          <w:szCs w:val="28"/>
        </w:rPr>
        <w:t>。但我公司仍视为重要部位进行监管。</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2.危险性分析</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编制本预案前进行了风险评估，并编制了《</w:t>
      </w:r>
      <w:r>
        <w:rPr>
          <w:rFonts w:hint="eastAsia" w:ascii="宋体" w:hAnsi="宋体" w:eastAsia="宋体" w:cs="宋体"/>
          <w:sz w:val="28"/>
          <w:szCs w:val="28"/>
          <w:lang w:eastAsia="zh-CN"/>
        </w:rPr>
        <w:t>南充市嘉陵兴鑫烟花爆竹有限公司</w:t>
      </w:r>
      <w:r>
        <w:rPr>
          <w:rFonts w:hint="eastAsia" w:ascii="宋体" w:hAnsi="宋体" w:eastAsia="宋体" w:cs="宋体"/>
          <w:sz w:val="28"/>
          <w:szCs w:val="28"/>
        </w:rPr>
        <w:t>安全经营事故应急预案风险评估报告》，具体分析情况如下：</w:t>
      </w:r>
    </w:p>
    <w:p>
      <w:pPr>
        <w:spacing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　2.1主要危险物质风险分析</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烟花爆竹是以烟火药为原料，经过工艺制作而形成的，通过引燃发生燃烧或爆炸，进而产生声、光、色、烟和造型等效果易燃易爆物品。根据《化学品分类和危险性公示通则》(GB 13690-2009)对危险物品的分类，烟花爆竹成品属于爆炸品。烟花、爆竹本身具有遇潮湿、高温、摩擦、撞击、雷击、电气和静电、火花、明火、火星都可能发生燃烧或爆炸的特性。后果主要为：轻微燃烧、爆炸，能造成人员灼伤、烫伤、炸伤、财产损失；发生火灾、爆炸事故，造成大量人员伤亡、重大财产损失，甚至造成环境污染和水污染。</w:t>
      </w:r>
    </w:p>
    <w:p>
      <w:pPr>
        <w:widowControl/>
        <w:shd w:val="clear" w:color="auto" w:fill="FFFFFF"/>
        <w:spacing w:line="360" w:lineRule="auto"/>
        <w:ind w:firstLine="420" w:firstLineChars="15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烟花爆竹商品在储存、运输过程中，可能因吸烟、取暖、飞火、静电、电火花、违章动火、外来火源等引发火灾爆炸事故；也可因高温、高湿、日光曝晒等原因产生热量积聚，从而引起火灾爆炸事故。在装卸、搬运过程中违规作业，就地拖拉、摩擦、撞击、滚动等野蛮作业方式也可引发火灾爆炸事故；因避雷措施缺失或不当，受雷击也可引起火灾爆炸事故。</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2.2作业过程风险分析</w:t>
      </w:r>
    </w:p>
    <w:p>
      <w:pPr>
        <w:widowControl/>
        <w:shd w:val="clear" w:color="auto" w:fill="FFFFFF"/>
        <w:spacing w:line="360" w:lineRule="auto"/>
        <w:ind w:firstLine="140" w:firstLineChars="5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   烟花爆竹作业事故主要发生在储存、运输、装卸三个环节，这三个环节都使烟花爆竹货物位置发生变动，如果在作业过程中违反操作规程，就会导致燃烧、爆炸事故的发生。 </w:t>
      </w:r>
    </w:p>
    <w:p>
      <w:pPr>
        <w:widowControl/>
        <w:shd w:val="clear" w:color="auto" w:fill="FFFFFF"/>
        <w:spacing w:line="360" w:lineRule="auto"/>
        <w:ind w:firstLine="420" w:firstLineChars="15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⑴ 储存作业风险分析 </w:t>
      </w:r>
    </w:p>
    <w:p>
      <w:pPr>
        <w:widowControl/>
        <w:shd w:val="clear" w:color="auto" w:fill="FFFFFF"/>
        <w:spacing w:line="360" w:lineRule="auto"/>
        <w:ind w:firstLine="420" w:firstLineChars="15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1)明火直接引发火灾爆炸。烟花爆竹为易燃易爆物质，由于吸烟、取暖、做饭等存在明火的原因，极易引发燃烧爆炸事故。  </w:t>
      </w:r>
    </w:p>
    <w:p>
      <w:pPr>
        <w:widowControl/>
        <w:shd w:val="clear" w:color="auto" w:fill="FFFFFF"/>
        <w:spacing w:line="360" w:lineRule="auto"/>
        <w:ind w:firstLine="420" w:firstLineChars="15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2)受阳光直射、局部热量聚集，当达到一定温度时，引起药尘自燃，产生明火导致燃烧爆炸事故。  </w:t>
      </w:r>
    </w:p>
    <w:p>
      <w:pPr>
        <w:widowControl/>
        <w:shd w:val="clear" w:color="auto" w:fill="FFFFFF"/>
        <w:spacing w:line="360" w:lineRule="auto"/>
        <w:ind w:firstLine="420" w:firstLineChars="15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3)产品质量不合格或使用了违禁原材料，使产品敏感度增加，在高温，潮湿、明火或有撞击、摩擦的条件下，极易引发燃烧爆炸事故。  </w:t>
      </w:r>
    </w:p>
    <w:p>
      <w:pPr>
        <w:widowControl/>
        <w:shd w:val="clear" w:color="auto" w:fill="FFFFFF"/>
        <w:spacing w:line="360" w:lineRule="auto"/>
        <w:ind w:firstLine="420" w:firstLineChars="15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4)静电引发燃烧爆炸。在作业过程中人体产生静电集聚和带有高电位静电，若无法及时消除，可能造成静电集聚放电，引发燃烧爆炸。 </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5)很多烟花爆竹装药是含有镁铝合金粉、铝银粉等物质，这些物质是遇湿发热的易燃物质，因此若漏水、地面潮湿等均能使其受潮，发热后自燃，从而引发燃烧爆炸事故。</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6)电气线路短路，违章接打手机引发燃烧爆炸事故。 </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7)外围发生火灾蔓延引发燃烧爆炸事故。 </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8)违规超范围、超药量储存引起燃烧爆炸事故。</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9)库区存在电源线、配电箱及带电设备，若发生操作失误或漏电，易发生触电事故，造成人员伤亡。</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⑵装卸作业风险分析  </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1)在装卸烟花爆竹产品过程中的碰撞、跌落、抛掷、摩擦、翻滚和剧烈运动，容易引起燃烧爆炸事故的发生。</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2)使用铁质工具产生火花，引发燃烧爆炸事故 </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3)工作人员身体静电集聚放电也有引起燃烧爆炸事故的危险。</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4)在装卸过程中，运输车辆未熄火且没有配备防火罩，容易引起燃烧爆炸事故。</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5)库区内运输车辆在行驶中，易引起人体坠落和物体倒塌、飞落以及撞、挤、砸等伤亡事故，属于车辆伤害。  </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2.3固有风险分析</w:t>
      </w:r>
    </w:p>
    <w:p>
      <w:pPr>
        <w:widowControl/>
        <w:shd w:val="clear" w:color="auto" w:fill="FFFFFF"/>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color w:val="000000"/>
          <w:kern w:val="0"/>
          <w:sz w:val="28"/>
          <w:szCs w:val="28"/>
        </w:rPr>
        <w:t>⑴</w:t>
      </w:r>
      <w:r>
        <w:rPr>
          <w:rFonts w:hint="eastAsia" w:ascii="宋体" w:hAnsi="宋体" w:eastAsia="宋体" w:cs="宋体"/>
          <w:sz w:val="28"/>
          <w:szCs w:val="28"/>
        </w:rPr>
        <w:t>固有风险分析</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烟花爆竹危险等级为1.3级仓库内的烟花爆竹在储存过程中主要具有燃烧危险。虽然有较小爆炸或较小迸射危险，或两者兼有，但无整体爆炸危险，其破坏效应局限于本库房内，对周围建筑物影响较小。</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⑵自然灾害危险性分析  </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本区属中亚热带湿润季风型气候，全年季风明显，冬无严寒，夏无酷暑，四季分明。年最高气温 35.5℃，年平均气温 16℃，年平均降雨量911.7mm，日最大降雨量194.6mm，年平均相对湿度81.5%。根据所处地理位置和自然条件，自然危险因素主要有地震、雷电、高温和湿度危害。 </w:t>
      </w:r>
    </w:p>
    <w:p>
      <w:pPr>
        <w:widowControl/>
        <w:shd w:val="clear" w:color="auto" w:fill="FFFFFF"/>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color w:val="000000"/>
          <w:kern w:val="0"/>
          <w:sz w:val="28"/>
          <w:szCs w:val="28"/>
        </w:rPr>
        <w:t>高温及湿度危害，高温容易引发火灾事故。很多烟花爆竹装药是含有镁铝合金粉、铝银粉等物质，这些物质是遇湿发热的易燃物质，在高温、潮湿的环境里一旦遇湿发热就可能引发火灾、爆炸事故。</w:t>
      </w:r>
    </w:p>
    <w:p>
      <w:pPr>
        <w:tabs>
          <w:tab w:val="left" w:pos="5775"/>
        </w:tabs>
        <w:adjustRightInd w:val="0"/>
        <w:snapToGrid w:val="0"/>
        <w:spacing w:line="360" w:lineRule="auto"/>
        <w:ind w:firstLine="420" w:firstLineChars="150"/>
        <w:rPr>
          <w:rFonts w:hint="eastAsia" w:ascii="宋体" w:hAnsi="宋体" w:eastAsia="宋体" w:cs="宋体"/>
          <w:sz w:val="28"/>
          <w:szCs w:val="28"/>
        </w:rPr>
      </w:pPr>
      <w:r>
        <w:rPr>
          <w:rFonts w:hint="eastAsia" w:ascii="宋体" w:hAnsi="宋体" w:eastAsia="宋体" w:cs="宋体"/>
          <w:sz w:val="28"/>
          <w:szCs w:val="28"/>
        </w:rPr>
        <w:t xml:space="preserve">　⑶危险目标确定及危险程度分析  </w:t>
      </w:r>
    </w:p>
    <w:p>
      <w:pPr>
        <w:widowControl/>
        <w:shd w:val="clear" w:color="auto" w:fill="FFFFFF"/>
        <w:spacing w:line="360" w:lineRule="auto"/>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根据上述危险性分析，公司的危险目标是公司烟花爆竹库区。根据危险最大原则，所列各危险源的主要危险是火灾、爆炸，一旦发生事故将可能造成财产损毁及重大人员伤亡。  </w:t>
      </w:r>
    </w:p>
    <w:p>
      <w:pPr>
        <w:tabs>
          <w:tab w:val="left" w:pos="5775"/>
        </w:tabs>
        <w:adjustRightInd w:val="0"/>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⑷危险目标事故发生影响范围 </w:t>
      </w:r>
    </w:p>
    <w:p>
      <w:pPr>
        <w:widowControl/>
        <w:shd w:val="clear" w:color="auto" w:fill="FFFFFF"/>
        <w:spacing w:line="360" w:lineRule="auto"/>
        <w:ind w:firstLine="700" w:firstLineChars="25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烟花爆竹批发储存仓库发生爆炸事故时，以爆炸冲击波和爆炸碎片的形式，对附近人员及周围建筑物产生严重的伤害和破坏，会导致人员伤亡。</w:t>
      </w:r>
    </w:p>
    <w:p>
      <w:pPr>
        <w:widowControl/>
        <w:shd w:val="clear" w:color="auto" w:fill="FFFFFF"/>
        <w:spacing w:line="360" w:lineRule="auto"/>
        <w:ind w:firstLine="700" w:firstLineChars="250"/>
        <w:jc w:val="left"/>
        <w:rPr>
          <w:rFonts w:hint="eastAsia" w:ascii="宋体" w:hAnsi="宋体" w:eastAsia="宋体" w:cs="宋体"/>
          <w:sz w:val="28"/>
          <w:szCs w:val="28"/>
        </w:rPr>
      </w:pPr>
      <w:r>
        <w:rPr>
          <w:rFonts w:hint="eastAsia" w:ascii="宋体" w:hAnsi="宋体" w:eastAsia="宋体" w:cs="宋体"/>
          <w:sz w:val="28"/>
          <w:szCs w:val="28"/>
        </w:rPr>
        <w:t>2.4车辆运输危险性分析</w:t>
      </w:r>
    </w:p>
    <w:p>
      <w:pPr>
        <w:widowControl/>
        <w:shd w:val="clear" w:color="auto" w:fill="FFFFFF"/>
        <w:spacing w:line="360" w:lineRule="auto"/>
        <w:ind w:firstLine="700" w:firstLineChars="25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烟花爆竹运输车辆：烟花爆竹运输车辆在烟花爆竹储存区装卸时发生的危险主要是爆炸、火灾，其危害程度取决于装卸的烟花爆竹类型、数量等。</w:t>
      </w:r>
    </w:p>
    <w:p>
      <w:pPr>
        <w:spacing w:line="360" w:lineRule="auto"/>
        <w:rPr>
          <w:rFonts w:hint="eastAsia" w:ascii="宋体" w:hAnsi="宋体" w:eastAsia="宋体" w:cs="宋体"/>
          <w:sz w:val="28"/>
          <w:szCs w:val="28"/>
        </w:rPr>
      </w:pPr>
      <w:r>
        <w:rPr>
          <w:rFonts w:hint="eastAsia" w:ascii="宋体" w:hAnsi="宋体" w:eastAsia="宋体" w:cs="宋体"/>
          <w:sz w:val="28"/>
          <w:szCs w:val="28"/>
        </w:rPr>
        <w:t>　　3.事故的危害后果的分析</w:t>
      </w:r>
    </w:p>
    <w:p>
      <w:pPr>
        <w:spacing w:line="360" w:lineRule="auto"/>
        <w:ind w:firstLine="539"/>
        <w:rPr>
          <w:rFonts w:hint="eastAsia" w:ascii="宋体" w:hAnsi="宋体" w:eastAsia="宋体" w:cs="宋体"/>
          <w:sz w:val="28"/>
          <w:szCs w:val="28"/>
        </w:rPr>
      </w:pPr>
      <w:r>
        <w:rPr>
          <w:rFonts w:hint="eastAsia" w:ascii="宋体" w:hAnsi="宋体" w:eastAsia="宋体" w:cs="宋体"/>
          <w:sz w:val="28"/>
          <w:szCs w:val="28"/>
        </w:rPr>
        <w:t>3.1烟花爆竹具有易燃易爆物质，构成燃烧爆炸的两个要素，在击发能（点火源）的情况下，容易发生燃烧爆炸事故，事故后果多为爆炸，爆炸威力相当于TNT造成的严重后果。如果严格定员定量，建筑物及安全设施等符合国家标准规定要求，爆炸后造成本建筑物和人员伤亡，对相邻建筑物有一定的破坏性。如果药物超量，其安全设施（防护屏障）作用减弱，可能造成相邻建筑物和人员的危害，进一步发生全公司殉爆的可能。</w:t>
      </w:r>
    </w:p>
    <w:p>
      <w:pPr>
        <w:spacing w:line="360" w:lineRule="auto"/>
        <w:ind w:firstLine="539"/>
        <w:rPr>
          <w:rFonts w:hint="eastAsia" w:ascii="宋体" w:hAnsi="宋体" w:eastAsia="宋体" w:cs="宋体"/>
          <w:sz w:val="28"/>
          <w:szCs w:val="28"/>
        </w:rPr>
      </w:pPr>
      <w:r>
        <w:rPr>
          <w:rFonts w:hint="eastAsia" w:ascii="宋体" w:hAnsi="宋体" w:eastAsia="宋体" w:cs="宋体"/>
          <w:sz w:val="28"/>
          <w:szCs w:val="28"/>
        </w:rPr>
        <w:t>3.2.库区具有大量的易燃易爆物质，由于人员少，各种危险有害因素较好控制，发生事故概率较小，事故后果多为爆炸。一旦发生燃烧爆炸事故，几乎是整个库区均会受到燃烧爆炸的后果，对外部目标破坏性增加。</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3.3燃放运输过程未按照国家标准规定的个人燃放产品与专业燃放产品进行分销和分专业、个人类燃放，可能导致因应专业人员燃放产品由消费者自行燃放，发生燃放事故的危险性，事故均为人员伤亡和财产损失。</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3.4非危险品区事故后果多为机械伤害，物体打击和车辆伤害、触电等物理性操作。由于非危险品区守护不到位，人员违章等均可能造成此类事故。</w:t>
      </w:r>
    </w:p>
    <w:p>
      <w:pPr>
        <w:pStyle w:val="12"/>
        <w:widowControl/>
        <w:spacing w:line="360" w:lineRule="auto"/>
        <w:ind w:firstLine="31680"/>
        <w:rPr>
          <w:rFonts w:hint="eastAsia" w:ascii="宋体" w:hAnsi="宋体" w:eastAsia="宋体" w:cs="宋体"/>
          <w:sz w:val="28"/>
          <w:szCs w:val="28"/>
        </w:rPr>
      </w:pPr>
      <w:r>
        <w:rPr>
          <w:rFonts w:hint="eastAsia" w:ascii="宋体" w:hAnsi="宋体" w:eastAsia="宋体" w:cs="宋体"/>
          <w:color w:val="000000"/>
          <w:kern w:val="0"/>
          <w:sz w:val="28"/>
          <w:szCs w:val="28"/>
        </w:rPr>
        <w:t>综上所述，</w:t>
      </w:r>
      <w:r>
        <w:rPr>
          <w:rFonts w:hint="eastAsia" w:ascii="宋体" w:hAnsi="宋体" w:eastAsia="宋体" w:cs="宋体"/>
          <w:sz w:val="28"/>
          <w:szCs w:val="28"/>
        </w:rPr>
        <w:t>经风险辨识与分析，依据《企业职工伤亡事故分类标准》（GB6441-1986），公司运行过程中，主要危险、有害因素有：火药爆炸、火灾，其次触电伤害，再次车辆伤害、自然灾害和其他伤害等。若遇事故现场环境复杂、人群混乱，甚至可能造成严重性财产损和群体性伤亡事故。公司在采取事故防范措施、应急准备后，存在的事故风险水平是可接受，危险有害因素类别为下表：</w:t>
      </w:r>
    </w:p>
    <w:p>
      <w:pPr>
        <w:spacing w:line="360" w:lineRule="auto"/>
        <w:jc w:val="center"/>
        <w:rPr>
          <w:rFonts w:hint="eastAsia" w:ascii="宋体" w:hAnsi="宋体" w:eastAsia="宋体" w:cs="宋体"/>
          <w:sz w:val="28"/>
          <w:szCs w:val="28"/>
        </w:rPr>
      </w:pPr>
      <w:r>
        <w:rPr>
          <w:rFonts w:hint="eastAsia" w:ascii="宋体" w:hAnsi="宋体" w:eastAsia="宋体" w:cs="宋体"/>
          <w:sz w:val="28"/>
          <w:szCs w:val="28"/>
          <w:lang w:eastAsia="zh-CN"/>
        </w:rPr>
        <w:t>南充市嘉陵兴鑫烟花爆竹有限公司</w:t>
      </w:r>
      <w:r>
        <w:rPr>
          <w:rFonts w:hint="eastAsia" w:ascii="宋体" w:hAnsi="宋体" w:eastAsia="宋体" w:cs="宋体"/>
          <w:sz w:val="28"/>
          <w:szCs w:val="28"/>
        </w:rPr>
        <w:t>主要危险有害因素列表</w:t>
      </w:r>
    </w:p>
    <w:tbl>
      <w:tblPr>
        <w:tblStyle w:val="8"/>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033"/>
        <w:gridCol w:w="515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84" w:type="dxa"/>
            <w:noWrap w:val="0"/>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1033" w:type="dxa"/>
            <w:tcBorders>
              <w:left w:val="nil"/>
            </w:tcBorders>
            <w:noWrap w:val="0"/>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危险特性</w:t>
            </w:r>
          </w:p>
        </w:tc>
        <w:tc>
          <w:tcPr>
            <w:tcW w:w="5157" w:type="dxa"/>
            <w:tcBorders>
              <w:left w:val="nil"/>
            </w:tcBorders>
            <w:noWrap w:val="0"/>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引发因素</w:t>
            </w:r>
          </w:p>
        </w:tc>
        <w:tc>
          <w:tcPr>
            <w:tcW w:w="1944" w:type="dxa"/>
            <w:tcBorders>
              <w:left w:val="nil"/>
            </w:tcBorders>
            <w:noWrap w:val="0"/>
            <w:vAlign w:val="center"/>
          </w:tcPr>
          <w:p>
            <w:pPr>
              <w:jc w:val="center"/>
              <w:rPr>
                <w:rFonts w:hint="eastAsia" w:ascii="宋体" w:hAnsi="宋体" w:eastAsia="宋体" w:cs="宋体"/>
                <w:bCs/>
                <w:sz w:val="24"/>
                <w:szCs w:val="24"/>
              </w:rPr>
            </w:pPr>
            <w:r>
              <w:rPr>
                <w:rFonts w:hint="eastAsia" w:ascii="宋体" w:hAnsi="宋体" w:eastAsia="宋体" w:cs="宋体"/>
                <w:bCs/>
                <w:sz w:val="24"/>
                <w:szCs w:val="24"/>
              </w:rPr>
              <w:t>存在场所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8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033" w:type="dxa"/>
            <w:tcBorders>
              <w:left w:val="nil"/>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火药爆炸</w:t>
            </w:r>
          </w:p>
        </w:tc>
        <w:tc>
          <w:tcPr>
            <w:tcW w:w="5157"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烟花爆竹产品及危险物料遇火源、摩擦、撞击、冲击波等，或堆码过高引起的成品倒塌</w:t>
            </w:r>
          </w:p>
        </w:tc>
        <w:tc>
          <w:tcPr>
            <w:tcW w:w="1944"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储存仓库、运输车辆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8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2</w:t>
            </w:r>
          </w:p>
        </w:tc>
        <w:tc>
          <w:tcPr>
            <w:tcW w:w="1033" w:type="dxa"/>
            <w:tcBorders>
              <w:left w:val="nil"/>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火 灾</w:t>
            </w:r>
          </w:p>
        </w:tc>
        <w:tc>
          <w:tcPr>
            <w:tcW w:w="5157"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烟花爆竹及危险物料、易燃物质遇到火源</w:t>
            </w:r>
          </w:p>
        </w:tc>
        <w:tc>
          <w:tcPr>
            <w:tcW w:w="1944"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储存仓库、运输车辆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8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3</w:t>
            </w:r>
          </w:p>
        </w:tc>
        <w:tc>
          <w:tcPr>
            <w:tcW w:w="1033" w:type="dxa"/>
            <w:tcBorders>
              <w:left w:val="nil"/>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触 电</w:t>
            </w:r>
          </w:p>
        </w:tc>
        <w:tc>
          <w:tcPr>
            <w:tcW w:w="5157"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漏电、绝缘损坏、电器及线路安装不规范、破损老化。</w:t>
            </w:r>
          </w:p>
        </w:tc>
        <w:tc>
          <w:tcPr>
            <w:tcW w:w="1944"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生活区、消防泵房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8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4</w:t>
            </w:r>
          </w:p>
        </w:tc>
        <w:tc>
          <w:tcPr>
            <w:tcW w:w="1033" w:type="dxa"/>
            <w:tcBorders>
              <w:left w:val="nil"/>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车辆伤害</w:t>
            </w:r>
          </w:p>
        </w:tc>
        <w:tc>
          <w:tcPr>
            <w:tcW w:w="5157" w:type="dxa"/>
            <w:tcBorders>
              <w:left w:val="nil"/>
            </w:tcBorders>
            <w:noWrap w:val="0"/>
            <w:vAlign w:val="center"/>
          </w:tcPr>
          <w:p>
            <w:pPr>
              <w:pStyle w:val="12"/>
              <w:widowControl/>
              <w:spacing w:line="240" w:lineRule="auto"/>
              <w:ind w:firstLine="0" w:firstLineChars="0"/>
              <w:rPr>
                <w:rFonts w:hint="eastAsia" w:ascii="宋体" w:hAnsi="宋体" w:eastAsia="宋体" w:cs="宋体"/>
                <w:sz w:val="24"/>
                <w:szCs w:val="24"/>
              </w:rPr>
            </w:pPr>
            <w:r>
              <w:rPr>
                <w:rFonts w:hint="eastAsia" w:ascii="宋体" w:hAnsi="宋体" w:eastAsia="宋体" w:cs="宋体"/>
                <w:sz w:val="24"/>
                <w:szCs w:val="24"/>
              </w:rPr>
              <w:t>机动车辆在公司场内或运输行驶中可能发生车辆伤害事故。</w:t>
            </w:r>
          </w:p>
        </w:tc>
        <w:tc>
          <w:tcPr>
            <w:tcW w:w="1944"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储存仓库作业、经营运输环节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8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5</w:t>
            </w:r>
          </w:p>
        </w:tc>
        <w:tc>
          <w:tcPr>
            <w:tcW w:w="1033" w:type="dxa"/>
            <w:tcBorders>
              <w:left w:val="nil"/>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自然灾害</w:t>
            </w:r>
          </w:p>
        </w:tc>
        <w:tc>
          <w:tcPr>
            <w:tcW w:w="5157"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地震、山洪、暴雨、雷电、泥石流等</w:t>
            </w:r>
          </w:p>
        </w:tc>
        <w:tc>
          <w:tcPr>
            <w:tcW w:w="1944"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储存仓库、运输车辆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6</w:t>
            </w:r>
          </w:p>
        </w:tc>
        <w:tc>
          <w:tcPr>
            <w:tcW w:w="1033" w:type="dxa"/>
            <w:tcBorders>
              <w:left w:val="nil"/>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其它伤害</w:t>
            </w:r>
          </w:p>
        </w:tc>
        <w:tc>
          <w:tcPr>
            <w:tcW w:w="5157"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外界山火或破坏活动</w:t>
            </w:r>
          </w:p>
        </w:tc>
        <w:tc>
          <w:tcPr>
            <w:tcW w:w="1944" w:type="dxa"/>
            <w:tcBorders>
              <w:left w:val="nil"/>
            </w:tcBorders>
            <w:noWrap w:val="0"/>
            <w:vAlign w:val="center"/>
          </w:tcPr>
          <w:p>
            <w:pPr>
              <w:rPr>
                <w:rFonts w:hint="eastAsia" w:ascii="宋体" w:hAnsi="宋体" w:eastAsia="宋体" w:cs="宋体"/>
                <w:sz w:val="24"/>
                <w:szCs w:val="24"/>
              </w:rPr>
            </w:pPr>
            <w:r>
              <w:rPr>
                <w:rFonts w:hint="eastAsia" w:ascii="宋体" w:hAnsi="宋体" w:eastAsia="宋体" w:cs="宋体"/>
                <w:sz w:val="24"/>
                <w:szCs w:val="24"/>
              </w:rPr>
              <w:t>储存仓库、生活区</w:t>
            </w:r>
          </w:p>
        </w:tc>
      </w:tr>
    </w:tbl>
    <w:p>
      <w:pPr>
        <w:pStyle w:val="2"/>
        <w:numPr>
          <w:ilvl w:val="0"/>
          <w:numId w:val="1"/>
        </w:numPr>
        <w:spacing w:line="360" w:lineRule="auto"/>
        <w:jc w:val="left"/>
        <w:rPr>
          <w:rFonts w:hint="eastAsia" w:ascii="宋体" w:hAnsi="宋体" w:eastAsia="宋体" w:cs="宋体"/>
          <w:sz w:val="30"/>
          <w:szCs w:val="30"/>
        </w:rPr>
      </w:pPr>
      <w:bookmarkStart w:id="54" w:name="_Toc17103"/>
      <w:r>
        <w:rPr>
          <w:rFonts w:hint="eastAsia" w:ascii="宋体" w:hAnsi="宋体" w:eastAsia="宋体" w:cs="宋体"/>
          <w:sz w:val="30"/>
          <w:szCs w:val="30"/>
        </w:rPr>
        <w:t>划定事故风险等级</w:t>
      </w:r>
      <w:bookmarkEnd w:id="50"/>
      <w:bookmarkEnd w:id="51"/>
      <w:bookmarkEnd w:id="52"/>
      <w:bookmarkEnd w:id="53"/>
      <w:bookmarkEnd w:id="54"/>
      <w:bookmarkStart w:id="55" w:name="_Toc12756"/>
      <w:bookmarkStart w:id="56" w:name="_Toc23794"/>
      <w:bookmarkStart w:id="57" w:name="_Toc31866"/>
    </w:p>
    <w:p>
      <w:pPr>
        <w:pStyle w:val="2"/>
        <w:numPr>
          <w:ilvl w:val="0"/>
          <w:numId w:val="0"/>
        </w:numPr>
        <w:spacing w:line="360" w:lineRule="auto"/>
        <w:ind w:firstLine="562" w:firstLineChars="200"/>
        <w:jc w:val="left"/>
        <w:rPr>
          <w:rFonts w:hint="eastAsia" w:ascii="宋体" w:hAnsi="宋体" w:eastAsia="宋体" w:cs="宋体"/>
          <w:sz w:val="28"/>
          <w:szCs w:val="28"/>
        </w:rPr>
      </w:pPr>
      <w:r>
        <w:rPr>
          <w:rFonts w:hint="eastAsia" w:ascii="宋体" w:hAnsi="宋体" w:eastAsia="宋体" w:cs="宋体"/>
          <w:sz w:val="28"/>
          <w:szCs w:val="28"/>
        </w:rPr>
        <w:t>1.判定标准</w:t>
      </w:r>
      <w:bookmarkEnd w:id="55"/>
      <w:bookmarkEnd w:id="56"/>
      <w:bookmarkEnd w:id="57"/>
    </w:p>
    <w:p>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根据风险定义：风险为事故发生的可能性与事故后果的乘积即：</w:t>
      </w:r>
    </w:p>
    <w:p>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position w:val="-10"/>
          <w:sz w:val="28"/>
          <w:szCs w:val="28"/>
        </w:rPr>
        <w:object>
          <v:shape id="_x0000_i1026" o:spt="75" type="#_x0000_t75" style="height:18pt;width:60pt;" o:ole="t" filled="f" stroked="f" coordsize="21600,21600">
            <v:path/>
            <v:fill on="f" focussize="0,0"/>
            <v:stroke on="f"/>
            <v:imagedata r:id="rId11" o:title=""/>
            <o:lock v:ext="edit" aspectratio="t"/>
            <w10:wrap type="none"/>
            <w10:anchorlock/>
          </v:shape>
          <o:OLEObject Type="Embed" ProgID="Equation.3" ShapeID="_x0000_i1026" DrawAspect="Content" ObjectID="_1468075725" r:id="rId10">
            <o:LockedField>false</o:LockedField>
          </o:OLEObject>
        </w:object>
      </w:r>
    </w:p>
    <w:p>
      <w:pPr>
        <w:numPr>
          <w:ilvl w:val="0"/>
          <w:numId w:val="2"/>
        </w:numPr>
        <w:spacing w:line="360" w:lineRule="auto"/>
        <w:jc w:val="left"/>
        <w:rPr>
          <w:rFonts w:hint="eastAsia" w:ascii="宋体" w:hAnsi="宋体" w:eastAsia="宋体" w:cs="宋体"/>
          <w:sz w:val="28"/>
          <w:szCs w:val="28"/>
        </w:rPr>
      </w:pPr>
      <w:r>
        <w:rPr>
          <w:rFonts w:hint="eastAsia" w:ascii="宋体" w:hAnsi="宋体" w:eastAsia="宋体" w:cs="宋体"/>
          <w:sz w:val="28"/>
          <w:szCs w:val="28"/>
        </w:rPr>
        <w:t>--------------风险　</w:t>
      </w:r>
      <w:r>
        <w:rPr>
          <w:rFonts w:hint="eastAsia" w:ascii="宋体" w:hAnsi="宋体" w:eastAsia="宋体" w:cs="宋体"/>
          <w:sz w:val="28"/>
          <w:szCs w:val="28"/>
        </w:rPr>
        <w:drawing>
          <wp:inline distT="0" distB="0" distL="114300" distR="114300">
            <wp:extent cx="104775" cy="104775"/>
            <wp:effectExtent l="0" t="0" r="952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104775" cy="104775"/>
                    </a:xfrm>
                    <a:prstGeom prst="rect">
                      <a:avLst/>
                    </a:prstGeom>
                    <a:noFill/>
                    <a:ln>
                      <a:noFill/>
                    </a:ln>
                  </pic:spPr>
                </pic:pic>
              </a:graphicData>
            </a:graphic>
          </wp:inline>
        </w:drawing>
      </w:r>
      <w:r>
        <w:rPr>
          <w:rFonts w:hint="eastAsia" w:ascii="宋体" w:hAnsi="宋体" w:eastAsia="宋体" w:cs="宋体"/>
          <w:sz w:val="28"/>
          <w:szCs w:val="28"/>
        </w:rPr>
        <w:t>-------------发生事故的可能性</w:t>
      </w:r>
    </w:p>
    <w:tbl>
      <w:tblPr>
        <w:tblStyle w:val="8"/>
        <w:tblpPr w:leftFromText="180" w:rightFromText="180" w:vertAnchor="text" w:horzAnchor="page" w:tblpX="1402" w:tblpY="61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591"/>
        <w:gridCol w:w="1501"/>
        <w:gridCol w:w="1500"/>
        <w:gridCol w:w="1501"/>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8" w:type="dxa"/>
            <w:tcBorders>
              <w:tl2br w:val="single" w:color="auto" w:sz="4" w:space="0"/>
            </w:tcBorders>
            <w:noWrap w:val="0"/>
            <w:vAlign w:val="center"/>
          </w:tcPr>
          <w:p>
            <w:pPr>
              <w:ind w:firstLine="441" w:firstLineChars="200"/>
              <w:jc w:val="left"/>
              <w:rPr>
                <w:rFonts w:ascii="仿宋" w:hAnsi="仿宋" w:eastAsia="仿宋" w:cs="仿宋"/>
                <w:b/>
                <w:bCs/>
                <w:spacing w:val="20"/>
                <w:sz w:val="18"/>
                <w:szCs w:val="18"/>
              </w:rPr>
            </w:pPr>
            <w:r>
              <w:rPr>
                <w:rFonts w:ascii="仿宋" w:hAnsi="仿宋" w:eastAsia="仿宋" w:cs="仿宋"/>
                <w:b/>
                <w:bCs/>
                <w:spacing w:val="20"/>
                <w:sz w:val="18"/>
                <w:szCs w:val="18"/>
              </w:rPr>
              <w:t>C</w:t>
            </w:r>
          </w:p>
          <w:p>
            <w:pPr>
              <w:ind w:firstLine="110" w:firstLineChars="50"/>
              <w:rPr>
                <w:rFonts w:ascii="仿宋" w:hAnsi="仿宋" w:eastAsia="仿宋" w:cs="仿宋"/>
                <w:b/>
                <w:bCs/>
                <w:spacing w:val="20"/>
                <w:sz w:val="18"/>
                <w:szCs w:val="18"/>
              </w:rPr>
            </w:pPr>
            <w:r>
              <w:rPr>
                <w:rFonts w:ascii="仿宋" w:hAnsi="仿宋" w:eastAsia="仿宋" w:cs="仿宋"/>
                <w:b/>
                <w:bCs/>
                <w:spacing w:val="20"/>
                <w:sz w:val="18"/>
                <w:szCs w:val="18"/>
              </w:rPr>
              <w:t>F</w:t>
            </w:r>
          </w:p>
        </w:tc>
        <w:tc>
          <w:tcPr>
            <w:tcW w:w="159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1</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2</w:t>
            </w:r>
          </w:p>
        </w:tc>
        <w:tc>
          <w:tcPr>
            <w:tcW w:w="1500"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3</w:t>
            </w:r>
          </w:p>
        </w:tc>
        <w:tc>
          <w:tcPr>
            <w:tcW w:w="1501" w:type="dxa"/>
            <w:tcBorders>
              <w:bottom w:val="nil"/>
            </w:tcBorders>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4</w:t>
            </w:r>
          </w:p>
        </w:tc>
        <w:tc>
          <w:tcPr>
            <w:tcW w:w="1501" w:type="dxa"/>
            <w:tcBorders>
              <w:bottom w:val="nil"/>
            </w:tcBorders>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28"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1</w:t>
            </w:r>
          </w:p>
        </w:tc>
        <w:tc>
          <w:tcPr>
            <w:tcW w:w="159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1</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2</w:t>
            </w:r>
          </w:p>
        </w:tc>
        <w:tc>
          <w:tcPr>
            <w:tcW w:w="1500"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3</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4</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28"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2</w:t>
            </w:r>
          </w:p>
        </w:tc>
        <w:tc>
          <w:tcPr>
            <w:tcW w:w="159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2</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4</w:t>
            </w:r>
          </w:p>
        </w:tc>
        <w:tc>
          <w:tcPr>
            <w:tcW w:w="1500"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6</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8</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28"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3</w:t>
            </w:r>
          </w:p>
        </w:tc>
        <w:tc>
          <w:tcPr>
            <w:tcW w:w="159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3</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6</w:t>
            </w:r>
          </w:p>
        </w:tc>
        <w:tc>
          <w:tcPr>
            <w:tcW w:w="1500"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9</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12</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28"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4</w:t>
            </w:r>
          </w:p>
        </w:tc>
        <w:tc>
          <w:tcPr>
            <w:tcW w:w="159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4</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8</w:t>
            </w:r>
          </w:p>
        </w:tc>
        <w:tc>
          <w:tcPr>
            <w:tcW w:w="1500"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12</w:t>
            </w:r>
          </w:p>
        </w:tc>
        <w:tc>
          <w:tcPr>
            <w:tcW w:w="1501" w:type="dxa"/>
            <w:noWrap w:val="0"/>
            <w:vAlign w:val="center"/>
          </w:tcPr>
          <w:p>
            <w:pPr>
              <w:jc w:val="center"/>
              <w:rPr>
                <w:rFonts w:ascii="仿宋" w:hAnsi="仿宋" w:eastAsia="仿宋" w:cs="仿宋"/>
                <w:b/>
                <w:bCs/>
                <w:sz w:val="18"/>
                <w:szCs w:val="18"/>
              </w:rPr>
            </w:pPr>
            <w:r>
              <w:rPr>
                <w:rFonts w:ascii="仿宋" w:hAnsi="仿宋" w:eastAsia="仿宋" w:cs="仿宋"/>
                <w:b/>
                <w:bCs/>
                <w:sz w:val="18"/>
                <w:szCs w:val="18"/>
              </w:rPr>
              <w:t>16</w:t>
            </w:r>
          </w:p>
        </w:tc>
        <w:tc>
          <w:tcPr>
            <w:tcW w:w="1501" w:type="dxa"/>
            <w:noWrap w:val="0"/>
            <w:vAlign w:val="center"/>
          </w:tcPr>
          <w:p>
            <w:pPr>
              <w:jc w:val="center"/>
              <w:rPr>
                <w:rFonts w:ascii="仿宋" w:hAnsi="仿宋" w:eastAsia="仿宋" w:cs="仿宋"/>
                <w:b/>
                <w:bCs/>
                <w:sz w:val="18"/>
                <w:szCs w:val="18"/>
              </w:rPr>
            </w:pPr>
            <w:r>
              <w:rPr>
                <w:rFonts w:ascii="仿宋" w:hAnsi="仿宋" w:eastAsia="仿宋" w:cs="仿宋"/>
                <w:b/>
                <w:bCs/>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28"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5</w:t>
            </w:r>
          </w:p>
        </w:tc>
        <w:tc>
          <w:tcPr>
            <w:tcW w:w="159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5</w:t>
            </w:r>
          </w:p>
        </w:tc>
        <w:tc>
          <w:tcPr>
            <w:tcW w:w="1501"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10</w:t>
            </w:r>
          </w:p>
        </w:tc>
        <w:tc>
          <w:tcPr>
            <w:tcW w:w="1500" w:type="dxa"/>
            <w:noWrap w:val="0"/>
            <w:vAlign w:val="center"/>
          </w:tcPr>
          <w:p>
            <w:pPr>
              <w:jc w:val="center"/>
              <w:rPr>
                <w:rFonts w:ascii="仿宋" w:hAnsi="仿宋" w:eastAsia="仿宋" w:cs="仿宋"/>
                <w:b/>
                <w:bCs/>
                <w:spacing w:val="20"/>
                <w:sz w:val="18"/>
                <w:szCs w:val="18"/>
              </w:rPr>
            </w:pPr>
            <w:r>
              <w:rPr>
                <w:rFonts w:ascii="仿宋" w:hAnsi="仿宋" w:eastAsia="仿宋" w:cs="仿宋"/>
                <w:b/>
                <w:bCs/>
                <w:spacing w:val="20"/>
                <w:sz w:val="18"/>
                <w:szCs w:val="18"/>
              </w:rPr>
              <w:t>15</w:t>
            </w:r>
          </w:p>
        </w:tc>
        <w:tc>
          <w:tcPr>
            <w:tcW w:w="1501" w:type="dxa"/>
            <w:noWrap w:val="0"/>
            <w:vAlign w:val="center"/>
          </w:tcPr>
          <w:p>
            <w:pPr>
              <w:jc w:val="center"/>
              <w:rPr>
                <w:rFonts w:ascii="仿宋" w:hAnsi="仿宋" w:eastAsia="仿宋" w:cs="仿宋"/>
                <w:b/>
                <w:bCs/>
                <w:sz w:val="18"/>
                <w:szCs w:val="18"/>
              </w:rPr>
            </w:pPr>
            <w:r>
              <w:rPr>
                <w:rFonts w:ascii="仿宋" w:hAnsi="仿宋" w:eastAsia="仿宋" w:cs="仿宋"/>
                <w:b/>
                <w:bCs/>
                <w:sz w:val="18"/>
                <w:szCs w:val="18"/>
              </w:rPr>
              <w:t>20</w:t>
            </w:r>
          </w:p>
        </w:tc>
        <w:tc>
          <w:tcPr>
            <w:tcW w:w="1501" w:type="dxa"/>
            <w:noWrap w:val="0"/>
            <w:vAlign w:val="center"/>
          </w:tcPr>
          <w:p>
            <w:pPr>
              <w:jc w:val="center"/>
              <w:rPr>
                <w:rFonts w:ascii="仿宋" w:hAnsi="仿宋" w:eastAsia="仿宋" w:cs="仿宋"/>
                <w:b/>
                <w:bCs/>
                <w:sz w:val="18"/>
                <w:szCs w:val="18"/>
              </w:rPr>
            </w:pPr>
            <w:r>
              <w:rPr>
                <w:rFonts w:ascii="仿宋" w:hAnsi="仿宋" w:eastAsia="仿宋" w:cs="仿宋"/>
                <w:b/>
                <w:bCs/>
                <w:sz w:val="18"/>
                <w:szCs w:val="18"/>
              </w:rPr>
              <w:t>25</w:t>
            </w:r>
          </w:p>
        </w:tc>
      </w:tr>
    </w:tbl>
    <w:p>
      <w:pPr>
        <w:spacing w:line="360" w:lineRule="auto"/>
        <w:ind w:firstLine="480" w:firstLineChars="200"/>
        <w:jc w:val="left"/>
        <w:rPr>
          <w:rFonts w:ascii="仿宋" w:hAnsi="仿宋" w:eastAsia="仿宋" w:cs="仿宋"/>
          <w:sz w:val="24"/>
          <w:szCs w:val="24"/>
        </w:rPr>
      </w:pPr>
    </w:p>
    <w:p>
      <w:pPr>
        <w:spacing w:line="360" w:lineRule="auto"/>
        <w:ind w:firstLine="480" w:firstLineChars="200"/>
        <w:jc w:val="left"/>
        <w:rPr>
          <w:rFonts w:hint="eastAsia" w:ascii="宋体" w:hAnsi="宋体" w:eastAsia="宋体" w:cs="宋体"/>
          <w:sz w:val="28"/>
          <w:szCs w:val="28"/>
        </w:rPr>
      </w:pPr>
      <w:r>
        <w:rPr>
          <w:rFonts w:ascii="仿宋" w:hAnsi="仿宋" w:eastAsia="仿宋" w:cs="仿宋"/>
          <w:sz w:val="24"/>
          <w:szCs w:val="24"/>
        </w:rPr>
        <w:drawing>
          <wp:inline distT="0" distB="0" distL="114300" distR="114300">
            <wp:extent cx="123825" cy="142875"/>
            <wp:effectExtent l="0" t="0" r="9525"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123825" cy="142875"/>
                    </a:xfrm>
                    <a:prstGeom prst="rect">
                      <a:avLst/>
                    </a:prstGeom>
                    <a:noFill/>
                    <a:ln>
                      <a:noFill/>
                    </a:ln>
                  </pic:spPr>
                </pic:pic>
              </a:graphicData>
            </a:graphic>
          </wp:inline>
        </w:drawing>
      </w:r>
      <w:r>
        <w:rPr>
          <w:rFonts w:ascii="仿宋" w:hAnsi="仿宋" w:eastAsia="仿宋" w:cs="仿宋"/>
          <w:sz w:val="24"/>
          <w:szCs w:val="24"/>
        </w:rPr>
        <w:t>--------------</w:t>
      </w:r>
      <w:r>
        <w:rPr>
          <w:rFonts w:hint="eastAsia" w:ascii="宋体" w:hAnsi="宋体" w:eastAsia="宋体" w:cs="宋体"/>
          <w:sz w:val="28"/>
          <w:szCs w:val="28"/>
        </w:rPr>
        <w:t>发生事故的严重性</w:t>
      </w:r>
    </w:p>
    <w:tbl>
      <w:tblPr>
        <w:tblStyle w:val="8"/>
        <w:tblpPr w:leftFromText="180" w:rightFromText="180" w:vertAnchor="text" w:horzAnchor="page" w:tblpXSpec="center" w:tblpY="325"/>
        <w:tblOverlap w:val="never"/>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6"/>
        <w:gridCol w:w="1436"/>
        <w:gridCol w:w="4339"/>
        <w:gridCol w:w="193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2" w:hRule="atLeast"/>
          <w:jc w:val="center"/>
        </w:trPr>
        <w:tc>
          <w:tcPr>
            <w:tcW w:w="463" w:type="pct"/>
            <w:tcBorders>
              <w:top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风险度</w:t>
            </w:r>
          </w:p>
        </w:tc>
        <w:tc>
          <w:tcPr>
            <w:tcW w:w="848"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等级</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应采取的行动/控制措施</w:t>
            </w:r>
          </w:p>
        </w:tc>
        <w:tc>
          <w:tcPr>
            <w:tcW w:w="1138" w:type="pct"/>
            <w:tcBorders>
              <w:top w:val="single" w:color="auto" w:sz="4" w:space="0"/>
              <w:left w:val="single" w:color="auto" w:sz="4" w:space="0"/>
              <w:bottom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实施期限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63" w:type="pct"/>
            <w:tcBorders>
              <w:top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20-25</w:t>
            </w:r>
          </w:p>
        </w:tc>
        <w:tc>
          <w:tcPr>
            <w:tcW w:w="848"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重大风险</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在采取措施降低危害前，不能继续作业，对改进措施进行评估</w:t>
            </w:r>
          </w:p>
        </w:tc>
        <w:tc>
          <w:tcPr>
            <w:tcW w:w="1138" w:type="pct"/>
            <w:tcBorders>
              <w:top w:val="single" w:color="auto" w:sz="4" w:space="0"/>
              <w:left w:val="single" w:color="auto" w:sz="4" w:space="0"/>
              <w:bottom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立即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63" w:type="pct"/>
            <w:tcBorders>
              <w:top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15-16</w:t>
            </w:r>
          </w:p>
        </w:tc>
        <w:tc>
          <w:tcPr>
            <w:tcW w:w="848"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较大风险</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采取紧急措施降低风险，建立运行控制程序，定期检查、测量及评估</w:t>
            </w:r>
          </w:p>
        </w:tc>
        <w:tc>
          <w:tcPr>
            <w:tcW w:w="1138" w:type="pct"/>
            <w:tcBorders>
              <w:top w:val="single" w:color="auto" w:sz="4" w:space="0"/>
              <w:left w:val="single" w:color="auto" w:sz="4" w:space="0"/>
              <w:bottom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立即或近期整改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463" w:type="pct"/>
            <w:tcBorders>
              <w:top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9-12</w:t>
            </w:r>
          </w:p>
        </w:tc>
        <w:tc>
          <w:tcPr>
            <w:tcW w:w="848"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一般风险</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可考虑建立目标、建立操作规程，加强培训及沟通</w:t>
            </w:r>
          </w:p>
        </w:tc>
        <w:tc>
          <w:tcPr>
            <w:tcW w:w="1138" w:type="pct"/>
            <w:tcBorders>
              <w:top w:val="single" w:color="auto" w:sz="4" w:space="0"/>
              <w:left w:val="single" w:color="auto" w:sz="4" w:space="0"/>
              <w:bottom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2年内治理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63" w:type="pct"/>
            <w:tcBorders>
              <w:top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4-8</w:t>
            </w:r>
          </w:p>
        </w:tc>
        <w:tc>
          <w:tcPr>
            <w:tcW w:w="848"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可接受风险</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可考虑建立操作规程、作业指导书但需定期检查</w:t>
            </w:r>
          </w:p>
        </w:tc>
        <w:tc>
          <w:tcPr>
            <w:tcW w:w="1138" w:type="pct"/>
            <w:tcBorders>
              <w:top w:val="single" w:color="auto" w:sz="4" w:space="0"/>
              <w:left w:val="single" w:color="auto" w:sz="4" w:space="0"/>
              <w:bottom w:val="single" w:color="auto"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有条件、有经费时治理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63" w:type="pct"/>
            <w:tcBorders>
              <w:top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＜4</w:t>
            </w:r>
          </w:p>
        </w:tc>
        <w:tc>
          <w:tcPr>
            <w:tcW w:w="8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轻微或可忽略的风险</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无需采用控制措施，但需保存记录</w:t>
            </w:r>
          </w:p>
        </w:tc>
        <w:tc>
          <w:tcPr>
            <w:tcW w:w="1138" w:type="pct"/>
            <w:tcBorders>
              <w:top w:val="single" w:color="auto" w:sz="4" w:space="0"/>
              <w:left w:val="single" w:color="auto" w:sz="4" w:space="0"/>
              <w:bottom w:val="single" w:color="auto" w:sz="4" w:space="0"/>
            </w:tcBorders>
            <w:noWrap w:val="0"/>
            <w:vAlign w:val="center"/>
          </w:tcPr>
          <w:p>
            <w:pPr>
              <w:ind w:left="560" w:firstLine="480" w:firstLineChars="200"/>
              <w:rPr>
                <w:rFonts w:hint="eastAsia" w:ascii="宋体" w:hAnsi="宋体" w:eastAsia="宋体" w:cs="宋体"/>
                <w:sz w:val="24"/>
                <w:szCs w:val="24"/>
              </w:rPr>
            </w:pPr>
            <w:r>
              <w:rPr>
                <w:rFonts w:hint="eastAsia" w:ascii="宋体" w:hAnsi="宋体" w:eastAsia="宋体" w:cs="宋体"/>
                <w:sz w:val="24"/>
                <w:szCs w:val="24"/>
              </w:rPr>
              <w:t>/</w:t>
            </w:r>
          </w:p>
        </w:tc>
      </w:tr>
    </w:tbl>
    <w:p>
      <w:pPr>
        <w:spacing w:line="360" w:lineRule="auto"/>
        <w:rPr>
          <w:rFonts w:hint="eastAsia" w:ascii="宋体" w:hAnsi="宋体" w:eastAsia="宋体" w:cs="宋体"/>
          <w:sz w:val="24"/>
          <w:szCs w:val="24"/>
        </w:rPr>
      </w:pPr>
      <w:bookmarkStart w:id="58" w:name="_Toc12548"/>
      <w:bookmarkStart w:id="59" w:name="_Toc9177"/>
      <w:bookmarkStart w:id="60" w:name="_Toc2812"/>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2.风险等级</w:t>
      </w:r>
      <w:bookmarkEnd w:id="58"/>
      <w:bookmarkEnd w:id="59"/>
      <w:bookmarkEnd w:id="60"/>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1704"/>
        <w:gridCol w:w="1704"/>
        <w:gridCol w:w="1299"/>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38"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事故类型</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可能性</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严重性</w:t>
            </w:r>
          </w:p>
        </w:tc>
        <w:tc>
          <w:tcPr>
            <w:tcW w:w="762"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得分</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38"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触电伤害</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762"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38"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物体打击</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762"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38"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车辆伤害</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762"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38"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火灾</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762"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38"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火药爆炸</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762"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38"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自然灾害</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762"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38"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其他伤害</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762"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000" w:type="pc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可接受</w:t>
            </w:r>
          </w:p>
        </w:tc>
      </w:tr>
    </w:tbl>
    <w:p>
      <w:pPr>
        <w:pStyle w:val="2"/>
        <w:spacing w:line="360" w:lineRule="auto"/>
        <w:jc w:val="left"/>
        <w:rPr>
          <w:rFonts w:hint="eastAsia" w:ascii="宋体" w:hAnsi="宋体" w:eastAsia="宋体" w:cs="宋体"/>
          <w:sz w:val="30"/>
          <w:szCs w:val="30"/>
        </w:rPr>
      </w:pPr>
      <w:bookmarkStart w:id="61" w:name="_Toc13199"/>
      <w:bookmarkStart w:id="62" w:name="_Toc499193844"/>
      <w:bookmarkStart w:id="63" w:name="_Toc7850"/>
      <w:bookmarkStart w:id="64" w:name="_Toc26460"/>
      <w:bookmarkStart w:id="65" w:name="_Toc17569"/>
      <w:r>
        <w:rPr>
          <w:rFonts w:hint="eastAsia" w:ascii="宋体" w:hAnsi="宋体" w:eastAsia="宋体" w:cs="宋体"/>
          <w:sz w:val="30"/>
          <w:szCs w:val="30"/>
        </w:rPr>
        <w:t>六、现有控制及应急措施差距分析</w:t>
      </w:r>
      <w:bookmarkEnd w:id="61"/>
      <w:bookmarkEnd w:id="62"/>
      <w:bookmarkEnd w:id="63"/>
      <w:bookmarkEnd w:id="64"/>
      <w:bookmarkEnd w:id="65"/>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color w:val="000000"/>
          <w:sz w:val="28"/>
          <w:szCs w:val="28"/>
        </w:rPr>
        <w:t>部份安全标识牌的内容不符合现行标准规定</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color w:val="000000"/>
          <w:sz w:val="28"/>
          <w:szCs w:val="28"/>
        </w:rPr>
        <w:t>部份库房温湿度计记录不齐</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3.工作场所缺少相应的安全警示标识。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4.部分员工未按要求佩戴劳动防护用品；现有劳动防护用品不满足要求。</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5.未与邻近可依靠的应急协作单位签订应急救援协作协议。</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6.现有应急资源不能满足应急需求。</w:t>
      </w:r>
    </w:p>
    <w:p>
      <w:pPr>
        <w:pStyle w:val="2"/>
        <w:spacing w:line="360" w:lineRule="auto"/>
        <w:jc w:val="left"/>
        <w:rPr>
          <w:rFonts w:ascii="仿宋" w:hAnsi="仿宋" w:eastAsia="仿宋" w:cs="仿宋"/>
          <w:sz w:val="24"/>
          <w:szCs w:val="24"/>
        </w:rPr>
      </w:pPr>
      <w:bookmarkStart w:id="66" w:name="_Toc499193845"/>
      <w:bookmarkStart w:id="67" w:name="_Toc22300"/>
      <w:bookmarkStart w:id="68" w:name="_Toc7518"/>
      <w:bookmarkStart w:id="69" w:name="_Toc27037"/>
      <w:bookmarkStart w:id="70" w:name="_Toc6690"/>
      <w:r>
        <w:rPr>
          <w:rFonts w:hint="eastAsia" w:ascii="宋体" w:hAnsi="宋体" w:eastAsia="宋体" w:cs="宋体"/>
          <w:sz w:val="30"/>
          <w:szCs w:val="30"/>
        </w:rPr>
        <w:t>七、制定完善安全事故风险防控和应急措施</w:t>
      </w:r>
      <w:bookmarkEnd w:id="66"/>
      <w:bookmarkEnd w:id="67"/>
      <w:bookmarkEnd w:id="68"/>
      <w:bookmarkEnd w:id="69"/>
      <w:bookmarkEnd w:id="70"/>
    </w:p>
    <w:p>
      <w:pPr>
        <w:spacing w:line="360" w:lineRule="auto"/>
        <w:ind w:firstLine="560" w:firstLineChars="200"/>
        <w:rPr>
          <w:rFonts w:hint="eastAsia" w:ascii="宋体" w:hAnsi="宋体" w:eastAsia="宋体" w:cs="宋体"/>
          <w:sz w:val="28"/>
          <w:szCs w:val="28"/>
        </w:rPr>
      </w:pPr>
      <w:r>
        <w:rPr>
          <w:rFonts w:ascii="仿宋" w:hAnsi="仿宋" w:eastAsia="仿宋" w:cs="仿宋"/>
          <w:sz w:val="28"/>
          <w:szCs w:val="28"/>
        </w:rPr>
        <w:t>1.</w:t>
      </w:r>
      <w:r>
        <w:rPr>
          <w:rFonts w:hint="eastAsia" w:ascii="宋体" w:hAnsi="宋体" w:eastAsia="宋体" w:cs="宋体"/>
          <w:sz w:val="28"/>
          <w:szCs w:val="28"/>
        </w:rPr>
        <w:t>增加灭火器，并指派专人定期检查、维护和保养，并保存相应记录。</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2.按照要求定期组织员工进行事故应急演练。</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3.增加或更换安全警示标识。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4.督促员工按要求佩戴劳动防护用品；配备符合要求的劳动防护用品。</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5.与邻近可依靠的应急协作单位签订应急救援协作协议。</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6.增加应急设备设施，如：担架、应急药箱、应急车辆、防护设备、应急照明等。</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7.要加强安全检查工作，特别是日常的安全检查工作，并做好安全查记录。</w:t>
      </w:r>
    </w:p>
    <w:p>
      <w:pPr>
        <w:spacing w:line="360" w:lineRule="auto"/>
        <w:ind w:firstLine="560" w:firstLineChars="200"/>
        <w:rPr>
          <w:rFonts w:ascii="仿宋" w:hAnsi="仿宋" w:eastAsia="仿宋" w:cs="仿宋"/>
          <w:sz w:val="28"/>
          <w:szCs w:val="28"/>
        </w:rPr>
      </w:pPr>
      <w:r>
        <w:rPr>
          <w:rFonts w:hint="eastAsia" w:ascii="宋体" w:hAnsi="宋体" w:eastAsia="宋体" w:cs="宋体"/>
          <w:sz w:val="28"/>
          <w:szCs w:val="28"/>
        </w:rPr>
        <w:t>8.加强对人员的安全责任教育，使其熟悉管理制度和安全规程，掌握控制事故发生的方法、相应的急救措施和各种具体管理要求等</w:t>
      </w:r>
      <w:r>
        <w:rPr>
          <w:rFonts w:hint="eastAsia" w:ascii="仿宋" w:hAnsi="仿宋" w:eastAsia="仿宋" w:cs="仿宋"/>
          <w:sz w:val="28"/>
          <w:szCs w:val="28"/>
        </w:rPr>
        <w:t>。</w:t>
      </w:r>
    </w:p>
    <w:p>
      <w:pPr>
        <w:pStyle w:val="2"/>
        <w:spacing w:line="360" w:lineRule="auto"/>
        <w:jc w:val="left"/>
        <w:rPr>
          <w:rFonts w:hint="eastAsia" w:ascii="宋体" w:hAnsi="宋体" w:eastAsia="宋体" w:cs="宋体"/>
          <w:sz w:val="30"/>
          <w:szCs w:val="30"/>
        </w:rPr>
      </w:pPr>
      <w:bookmarkStart w:id="71" w:name="_Toc499193846"/>
      <w:bookmarkStart w:id="72" w:name="_Toc27601"/>
      <w:bookmarkStart w:id="73" w:name="_Toc3461"/>
      <w:bookmarkStart w:id="74" w:name="_Toc27647"/>
      <w:bookmarkStart w:id="75" w:name="_Toc654"/>
      <w:r>
        <w:rPr>
          <w:rFonts w:hint="eastAsia" w:ascii="宋体" w:hAnsi="宋体" w:eastAsia="宋体" w:cs="宋体"/>
          <w:sz w:val="30"/>
          <w:szCs w:val="30"/>
        </w:rPr>
        <w:t>八、评估结论</w:t>
      </w:r>
      <w:bookmarkEnd w:id="71"/>
      <w:bookmarkEnd w:id="72"/>
      <w:bookmarkEnd w:id="73"/>
      <w:bookmarkEnd w:id="74"/>
      <w:bookmarkEnd w:id="75"/>
    </w:p>
    <w:p>
      <w:pPr>
        <w:tabs>
          <w:tab w:val="center" w:pos="4156"/>
        </w:tabs>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经风险辨识与分析，依据《企业职工伤亡事故分类标准》GB6441-1986，要求该公司运行过程中，其危险有害因素类别主要有：</w:t>
      </w:r>
    </w:p>
    <w:p>
      <w:pPr>
        <w:tabs>
          <w:tab w:val="center" w:pos="4156"/>
        </w:tabs>
        <w:spacing w:line="360" w:lineRule="auto"/>
        <w:jc w:val="center"/>
        <w:rPr>
          <w:rFonts w:hint="eastAsia" w:ascii="宋体" w:hAnsi="宋体" w:eastAsia="宋体" w:cs="宋体"/>
          <w:sz w:val="28"/>
          <w:szCs w:val="28"/>
          <w:lang w:eastAsia="zh-CN"/>
        </w:rPr>
      </w:pPr>
    </w:p>
    <w:p>
      <w:pPr>
        <w:tabs>
          <w:tab w:val="center" w:pos="4156"/>
        </w:tabs>
        <w:spacing w:line="360" w:lineRule="auto"/>
        <w:jc w:val="center"/>
        <w:rPr>
          <w:rFonts w:hint="eastAsia" w:ascii="宋体" w:hAnsi="宋体" w:eastAsia="宋体" w:cs="宋体"/>
          <w:sz w:val="28"/>
          <w:szCs w:val="28"/>
          <w:lang w:eastAsia="zh-CN"/>
        </w:rPr>
      </w:pPr>
    </w:p>
    <w:p>
      <w:pPr>
        <w:tabs>
          <w:tab w:val="center" w:pos="4156"/>
        </w:tabs>
        <w:spacing w:line="360" w:lineRule="auto"/>
        <w:jc w:val="center"/>
        <w:rPr>
          <w:rFonts w:hint="eastAsia" w:ascii="宋体" w:hAnsi="宋体" w:eastAsia="宋体" w:cs="宋体"/>
          <w:sz w:val="28"/>
          <w:szCs w:val="28"/>
          <w:lang w:eastAsia="zh-CN"/>
        </w:rPr>
      </w:pPr>
    </w:p>
    <w:p>
      <w:pPr>
        <w:tabs>
          <w:tab w:val="center" w:pos="4156"/>
        </w:tabs>
        <w:spacing w:line="360" w:lineRule="auto"/>
        <w:jc w:val="center"/>
        <w:rPr>
          <w:rFonts w:hint="eastAsia" w:ascii="宋体" w:hAnsi="宋体" w:eastAsia="宋体" w:cs="宋体"/>
          <w:sz w:val="28"/>
          <w:szCs w:val="28"/>
        </w:rPr>
      </w:pPr>
      <w:r>
        <w:rPr>
          <w:rFonts w:hint="eastAsia" w:ascii="宋体" w:hAnsi="宋体" w:eastAsia="宋体" w:cs="宋体"/>
          <w:sz w:val="28"/>
          <w:szCs w:val="28"/>
          <w:lang w:eastAsia="zh-CN"/>
        </w:rPr>
        <w:t>南充市嘉陵兴鑫烟花爆竹有限公司</w:t>
      </w:r>
      <w:r>
        <w:rPr>
          <w:rFonts w:hint="eastAsia" w:ascii="宋体" w:hAnsi="宋体" w:eastAsia="宋体" w:cs="宋体"/>
          <w:sz w:val="28"/>
          <w:szCs w:val="28"/>
        </w:rPr>
        <w:t>主要危险有害因素列表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357"/>
        <w:gridCol w:w="4136"/>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8" w:type="dxa"/>
            <w:noWrap w:val="0"/>
            <w:vAlign w:val="center"/>
          </w:tcPr>
          <w:p>
            <w:pPr>
              <w:tabs>
                <w:tab w:val="center" w:pos="4156"/>
              </w:tabs>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1357" w:type="dxa"/>
            <w:noWrap w:val="0"/>
            <w:vAlign w:val="center"/>
          </w:tcPr>
          <w:p>
            <w:pPr>
              <w:tabs>
                <w:tab w:val="center" w:pos="4156"/>
              </w:tabs>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危险特性</w:t>
            </w:r>
          </w:p>
        </w:tc>
        <w:tc>
          <w:tcPr>
            <w:tcW w:w="4136" w:type="dxa"/>
            <w:noWrap w:val="0"/>
            <w:vAlign w:val="center"/>
          </w:tcPr>
          <w:p>
            <w:pPr>
              <w:tabs>
                <w:tab w:val="center" w:pos="4156"/>
              </w:tabs>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引发因素</w:t>
            </w:r>
          </w:p>
        </w:tc>
        <w:tc>
          <w:tcPr>
            <w:tcW w:w="2241" w:type="dxa"/>
            <w:noWrap w:val="0"/>
            <w:vAlign w:val="center"/>
          </w:tcPr>
          <w:p>
            <w:pPr>
              <w:tabs>
                <w:tab w:val="center" w:pos="4156"/>
              </w:tabs>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存在场所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788"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357"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火药爆炸</w:t>
            </w:r>
          </w:p>
        </w:tc>
        <w:tc>
          <w:tcPr>
            <w:tcW w:w="4136" w:type="dxa"/>
            <w:noWrap w:val="0"/>
            <w:vAlign w:val="center"/>
          </w:tcPr>
          <w:p>
            <w:pPr>
              <w:tabs>
                <w:tab w:val="center" w:pos="4156"/>
              </w:tabs>
              <w:spacing w:line="360" w:lineRule="auto"/>
              <w:rPr>
                <w:rFonts w:hint="eastAsia" w:ascii="宋体" w:hAnsi="宋体" w:eastAsia="宋体" w:cs="宋体"/>
                <w:sz w:val="24"/>
                <w:szCs w:val="24"/>
              </w:rPr>
            </w:pPr>
            <w:r>
              <w:rPr>
                <w:rFonts w:hint="eastAsia" w:ascii="宋体" w:hAnsi="宋体" w:eastAsia="宋体" w:cs="宋体"/>
                <w:sz w:val="24"/>
                <w:szCs w:val="24"/>
              </w:rPr>
              <w:t>烟花爆竹产品及危险物料遇火源、摩擦、撞击、冲击波等，或堆码过高引起的成品倒塌</w:t>
            </w:r>
          </w:p>
        </w:tc>
        <w:tc>
          <w:tcPr>
            <w:tcW w:w="2241"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储存仓库、运输车辆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357"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火　灾</w:t>
            </w:r>
          </w:p>
        </w:tc>
        <w:tc>
          <w:tcPr>
            <w:tcW w:w="4136" w:type="dxa"/>
            <w:noWrap w:val="0"/>
            <w:vAlign w:val="center"/>
          </w:tcPr>
          <w:p>
            <w:pPr>
              <w:tabs>
                <w:tab w:val="center" w:pos="4156"/>
              </w:tabs>
              <w:spacing w:line="360" w:lineRule="auto"/>
              <w:rPr>
                <w:rFonts w:hint="eastAsia" w:ascii="宋体" w:hAnsi="宋体" w:eastAsia="宋体" w:cs="宋体"/>
                <w:sz w:val="24"/>
                <w:szCs w:val="24"/>
              </w:rPr>
            </w:pPr>
            <w:r>
              <w:rPr>
                <w:rFonts w:hint="eastAsia" w:ascii="宋体" w:hAnsi="宋体" w:eastAsia="宋体" w:cs="宋体"/>
                <w:sz w:val="24"/>
                <w:szCs w:val="24"/>
              </w:rPr>
              <w:t>烟花爆竹及危险物料、易燃物质遇到火源</w:t>
            </w:r>
          </w:p>
        </w:tc>
        <w:tc>
          <w:tcPr>
            <w:tcW w:w="2241"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储存仓库、运输车辆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357"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触　电</w:t>
            </w:r>
          </w:p>
        </w:tc>
        <w:tc>
          <w:tcPr>
            <w:tcW w:w="4136" w:type="dxa"/>
            <w:noWrap w:val="0"/>
            <w:vAlign w:val="center"/>
          </w:tcPr>
          <w:p>
            <w:pPr>
              <w:tabs>
                <w:tab w:val="center" w:pos="4156"/>
              </w:tabs>
              <w:spacing w:line="360" w:lineRule="auto"/>
              <w:rPr>
                <w:rFonts w:hint="eastAsia" w:ascii="宋体" w:hAnsi="宋体" w:eastAsia="宋体" w:cs="宋体"/>
                <w:sz w:val="24"/>
                <w:szCs w:val="24"/>
              </w:rPr>
            </w:pPr>
            <w:r>
              <w:rPr>
                <w:rFonts w:hint="eastAsia" w:ascii="宋体" w:hAnsi="宋体" w:eastAsia="宋体" w:cs="宋体"/>
                <w:sz w:val="24"/>
                <w:szCs w:val="24"/>
              </w:rPr>
              <w:t>漏电、绝缘损坏、电器及线路安装不规范、破损老化。</w:t>
            </w:r>
          </w:p>
        </w:tc>
        <w:tc>
          <w:tcPr>
            <w:tcW w:w="2241"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生活区、消防泵房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357"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车辆伤害</w:t>
            </w:r>
          </w:p>
        </w:tc>
        <w:tc>
          <w:tcPr>
            <w:tcW w:w="4136" w:type="dxa"/>
            <w:noWrap w:val="0"/>
            <w:vAlign w:val="center"/>
          </w:tcPr>
          <w:p>
            <w:pPr>
              <w:pStyle w:val="12"/>
              <w:widowControl/>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机动车辆在公司场内或运输行驶中可能发生车辆伤害事故。</w:t>
            </w:r>
          </w:p>
        </w:tc>
        <w:tc>
          <w:tcPr>
            <w:tcW w:w="2241"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储存仓库作业、经营运输环节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357"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地质灾害</w:t>
            </w:r>
          </w:p>
        </w:tc>
        <w:tc>
          <w:tcPr>
            <w:tcW w:w="4136" w:type="dxa"/>
            <w:noWrap w:val="0"/>
            <w:vAlign w:val="center"/>
          </w:tcPr>
          <w:p>
            <w:pPr>
              <w:tabs>
                <w:tab w:val="center" w:pos="4156"/>
              </w:tabs>
              <w:spacing w:line="360" w:lineRule="auto"/>
              <w:rPr>
                <w:rFonts w:hint="eastAsia" w:ascii="宋体" w:hAnsi="宋体" w:eastAsia="宋体" w:cs="宋体"/>
                <w:sz w:val="24"/>
                <w:szCs w:val="24"/>
              </w:rPr>
            </w:pPr>
            <w:r>
              <w:rPr>
                <w:rFonts w:hint="eastAsia" w:ascii="宋体" w:hAnsi="宋体" w:eastAsia="宋体" w:cs="宋体"/>
                <w:sz w:val="24"/>
                <w:szCs w:val="24"/>
              </w:rPr>
              <w:t>地震、山洪、暴雨、雷电、泥石流等</w:t>
            </w:r>
          </w:p>
        </w:tc>
        <w:tc>
          <w:tcPr>
            <w:tcW w:w="2241"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储存仓库、运输车辆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357"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其它伤害</w:t>
            </w:r>
          </w:p>
        </w:tc>
        <w:tc>
          <w:tcPr>
            <w:tcW w:w="4136" w:type="dxa"/>
            <w:noWrap w:val="0"/>
            <w:vAlign w:val="center"/>
          </w:tcPr>
          <w:p>
            <w:pPr>
              <w:tabs>
                <w:tab w:val="center" w:pos="41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外界山火或破坏活动</w:t>
            </w:r>
          </w:p>
        </w:tc>
        <w:tc>
          <w:tcPr>
            <w:tcW w:w="2241"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储存仓库、生活区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357"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高处坠落</w:t>
            </w:r>
          </w:p>
        </w:tc>
        <w:tc>
          <w:tcPr>
            <w:tcW w:w="4136" w:type="dxa"/>
            <w:noWrap w:val="0"/>
            <w:vAlign w:val="center"/>
          </w:tcPr>
          <w:p>
            <w:pPr>
              <w:tabs>
                <w:tab w:val="center" w:pos="41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房屋检修或边坡治理</w:t>
            </w:r>
          </w:p>
        </w:tc>
        <w:tc>
          <w:tcPr>
            <w:tcW w:w="2241" w:type="dxa"/>
            <w:noWrap w:val="0"/>
            <w:vAlign w:val="center"/>
          </w:tcPr>
          <w:p>
            <w:pPr>
              <w:tabs>
                <w:tab w:val="center" w:pos="4156"/>
              </w:tabs>
              <w:spacing w:line="360" w:lineRule="auto"/>
              <w:jc w:val="center"/>
              <w:rPr>
                <w:rFonts w:hint="eastAsia" w:ascii="宋体" w:hAnsi="宋体" w:eastAsia="宋体" w:cs="宋体"/>
                <w:sz w:val="24"/>
                <w:szCs w:val="24"/>
              </w:rPr>
            </w:pPr>
            <w:r>
              <w:rPr>
                <w:rFonts w:hint="eastAsia" w:ascii="宋体" w:hAnsi="宋体" w:eastAsia="宋体" w:cs="宋体"/>
                <w:sz w:val="24"/>
                <w:szCs w:val="24"/>
              </w:rPr>
              <w:t>储存库房或库区</w:t>
            </w:r>
          </w:p>
        </w:tc>
      </w:tr>
    </w:tbl>
    <w:p>
      <w:pPr>
        <w:pStyle w:val="12"/>
        <w:widowControl/>
        <w:spacing w:line="360" w:lineRule="auto"/>
        <w:ind w:firstLine="31680"/>
        <w:rPr>
          <w:rFonts w:hint="eastAsia" w:ascii="宋体" w:hAnsi="宋体" w:eastAsia="宋体" w:cs="宋体"/>
          <w:sz w:val="28"/>
          <w:szCs w:val="28"/>
        </w:rPr>
      </w:pPr>
      <w:r>
        <w:rPr>
          <w:rFonts w:hint="eastAsia" w:ascii="宋体" w:hAnsi="宋体" w:eastAsia="宋体" w:cs="宋体"/>
          <w:sz w:val="28"/>
          <w:szCs w:val="28"/>
        </w:rPr>
        <w:t>综上所述，我公司经营过程中的主要危险有害因素有：火药爆炸、火灾，其次触电伤害、高处坠落、车辆伤害、地质灾害和其他伤害等。若遇事故现场环境复杂、人群混乱，甚至可能造成严重性财产损和群体性伤亡事故。</w:t>
      </w:r>
    </w:p>
    <w:p>
      <w:pPr>
        <w:pStyle w:val="12"/>
        <w:widowControl/>
        <w:spacing w:line="360" w:lineRule="auto"/>
        <w:ind w:firstLine="31680"/>
        <w:rPr>
          <w:rFonts w:hint="eastAsia" w:ascii="宋体" w:hAnsi="宋体" w:cs="宋体"/>
          <w:b/>
          <w:color w:val="000000"/>
          <w:sz w:val="28"/>
          <w:szCs w:val="28"/>
          <w:lang w:eastAsia="zh-CN"/>
        </w:rPr>
        <w:sectPr>
          <w:footerReference r:id="rId7" w:type="default"/>
          <w:pgSz w:w="11906" w:h="16838"/>
          <w:pgMar w:top="1440" w:right="1800" w:bottom="1440" w:left="1800" w:header="851" w:footer="992" w:gutter="0"/>
          <w:pgNumType w:start="1"/>
          <w:cols w:space="720" w:num="1"/>
          <w:docGrid w:type="lines" w:linePitch="312" w:charSpace="0"/>
        </w:sectPr>
      </w:pPr>
      <w:r>
        <w:rPr>
          <w:rFonts w:hint="eastAsia" w:ascii="宋体" w:hAnsi="宋体" w:eastAsia="宋体" w:cs="宋体"/>
          <w:sz w:val="28"/>
          <w:szCs w:val="28"/>
        </w:rPr>
        <w:t>我公司在采取事故防范措施、应急准备后，存在的事故风险水平</w:t>
      </w:r>
      <w:r>
        <w:rPr>
          <w:rFonts w:hint="eastAsia" w:ascii="宋体" w:hAnsi="宋体" w:eastAsia="宋体" w:cs="宋体"/>
          <w:b/>
          <w:bCs/>
          <w:sz w:val="32"/>
          <w:szCs w:val="32"/>
        </w:rPr>
        <w:t>是可接受的</w:t>
      </w:r>
      <w:r>
        <w:rPr>
          <w:rFonts w:hint="eastAsia" w:ascii="宋体" w:hAnsi="宋体" w:eastAsia="宋体" w:cs="宋体"/>
          <w:sz w:val="28"/>
          <w:szCs w:val="28"/>
        </w:rPr>
        <w:t>。</w:t>
      </w:r>
      <w:bookmarkStart w:id="76" w:name="_GoBack"/>
      <w:bookmarkEnd w:id="76"/>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Arial Unicode MS"/>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fldChar w:fldCharType="begin"/>
    </w:r>
    <w:r>
      <w:rPr>
        <w:rStyle w:val="11"/>
      </w:rPr>
      <w:instrText xml:space="preserve">PAGE  </w:instrText>
    </w:r>
    <w:r>
      <w:fldChar w:fldCharType="separate"/>
    </w:r>
    <w:r>
      <w:rPr>
        <w:rStyle w:val="11"/>
      </w:rPr>
      <w:t>2</w:t>
    </w:r>
    <w:r>
      <w:fldChar w:fldCharType="end"/>
    </w:r>
  </w:p>
  <w:p>
    <w:pPr>
      <w:pStyle w:val="4"/>
      <w:ind w:firstLine="9300" w:firstLineChars="4650"/>
      <w:rPr>
        <w:rFonts w:hint="eastAsia"/>
        <w:sz w:val="20"/>
        <w:szCs w:val="21"/>
      </w:rPr>
    </w:pPr>
  </w:p>
  <w:p>
    <w:pPr>
      <w:pStyle w:val="4"/>
      <w:ind w:firstLine="9300" w:firstLineChars="4650"/>
      <w:rPr>
        <w:rFonts w:hint="eastAsia"/>
        <w:sz w:val="20"/>
        <w:szCs w:val="21"/>
      </w:rPr>
    </w:pPr>
  </w:p>
  <w:p>
    <w:pPr>
      <w:pStyle w:val="4"/>
      <w:ind w:left="359" w:leftChars="171" w:firstLine="8550" w:firstLineChars="4750"/>
      <w:rPr>
        <w:rFonts w:hint="eastAsia"/>
      </w:rPr>
    </w:pP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72390</wp:posOffset>
              </wp:positionV>
              <wp:extent cx="5755005" cy="19685"/>
              <wp:effectExtent l="0" t="4445" r="17145" b="13970"/>
              <wp:wrapNone/>
              <wp:docPr id="2" name="直接连接符 2"/>
              <wp:cNvGraphicFramePr/>
              <a:graphic xmlns:a="http://schemas.openxmlformats.org/drawingml/2006/main">
                <a:graphicData uri="http://schemas.microsoft.com/office/word/2010/wordprocessingShape">
                  <wps:wsp>
                    <wps:cNvSpPr/>
                    <wps:spPr>
                      <a:xfrm>
                        <a:off x="0" y="0"/>
                        <a:ext cx="5755005" cy="1968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5.7pt;height:1.55pt;width:453.15pt;z-index:251663360;mso-width-relative:page;mso-height-relative:page;" filled="f" stroked="t" coordsize="21600,21600" o:gfxdata="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I6W9YAAAAGAQAADwAAAAAA&#10;AAABACAAAAAiAAAAZHJzL2Rvd25yZXYueG1sUEsBAhQAFAAAAAgAh07iQM1EJwvcAQAAmgMAAA4A&#10;AAAAAAAAAQAgAAAAJQEAAGRycy9lMm9Eb2MueG1sUEsFBgAAAAAGAAYAWQEAAHMFAAAAAA==&#10;">
              <v:path arrowok="t"/>
              <v:fill on="f" focussize="0,0"/>
              <v:stroke weight="0.25pt"/>
              <v:imagedata o:title=""/>
              <o:lock v:ext="edit" aspectratio="f"/>
            </v:line>
          </w:pict>
        </mc:Fallback>
      </mc:AlternateContent>
    </w: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rPr>
        <w:rFonts w:cs="Calibri"/>
      </w:rPr>
      <w:fldChar w:fldCharType="begin"/>
    </w:r>
    <w:r>
      <w:rPr>
        <w:rStyle w:val="11"/>
        <w:rFonts w:cs="Calibri"/>
      </w:rPr>
      <w:instrText xml:space="preserve">PAGE  </w:instrText>
    </w:r>
    <w:r>
      <w:rPr>
        <w:rFonts w:cs="Calibri"/>
      </w:rPr>
      <w:fldChar w:fldCharType="separate"/>
    </w:r>
    <w:r>
      <w:rPr>
        <w:rStyle w:val="11"/>
        <w:rFonts w:cs="Calibri"/>
      </w:rPr>
      <w:t>10</w:t>
    </w:r>
    <w:r>
      <w:rPr>
        <w:rFonts w:cs="Calibri"/>
      </w:rPr>
      <w:fldChar w:fldCharType="end"/>
    </w:r>
  </w:p>
  <w:p>
    <w:pPr>
      <w:pStyle w:val="4"/>
      <w:rPr>
        <w:rFonts w:cs="Times New Roma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jc w:val="center"/>
                            <w:rPr>
                              <w:rFonts w:ascii="黑体" w:eastAsia="黑体" w:cs="Times New Roman"/>
                              <w:sz w:val="28"/>
                              <w:szCs w:val="28"/>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NJWO7Q&#10;AAAABQEAAA8AAAAAAAAAAQAgAAAAIgAAAGRycy9kb3ducmV2LnhtbFBLAQIUABQAAAAIAIdO4kDI&#10;nqDCtgEAAFQDAAAOAAAAAAAAAAEAIAAAAB8BAABkcnMvZTJvRG9jLnhtbFBLBQYAAAAABgAGAFkB&#10;AABHBQAAAAA=&#10;">
              <v:path/>
              <v:fill on="f" focussize="0,0"/>
              <v:stroke on="f" weight="0.5pt" joinstyle="miter"/>
              <v:imagedata o:title=""/>
              <o:lock v:ext="edit"/>
              <v:textbox inset="0mm,0mm,0mm,0mm" style="mso-fit-shape-to-text:t;">
                <w:txbxContent>
                  <w:p>
                    <w:pPr>
                      <w:jc w:val="center"/>
                      <w:rPr>
                        <w:rFonts w:ascii="黑体" w:eastAsia="黑体" w:cs="Times New Roman"/>
                        <w:sz w:val="28"/>
                        <w:szCs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384px;height:416px" o:bullet="t">
        <v:imagedata r:id="rId1" o:title=""/>
      </v:shape>
    </w:pict>
  </w:numPicBullet>
  <w:abstractNum w:abstractNumId="0">
    <w:nsid w:val="1A58B19C"/>
    <w:multiLevelType w:val="singleLevel"/>
    <w:tmpl w:val="1A58B19C"/>
    <w:lvl w:ilvl="0" w:tentative="0">
      <w:start w:val="5"/>
      <w:numFmt w:val="chineseCounting"/>
      <w:suff w:val="nothing"/>
      <w:lvlText w:val="%1、"/>
      <w:lvlJc w:val="left"/>
      <w:rPr>
        <w:rFonts w:hint="eastAsia"/>
      </w:rPr>
    </w:lvl>
  </w:abstractNum>
  <w:abstractNum w:abstractNumId="1">
    <w:nsid w:val="7D090D11"/>
    <w:multiLevelType w:val="multilevel"/>
    <w:tmpl w:val="7D090D11"/>
    <w:lvl w:ilvl="0" w:tentative="0">
      <w:start w:val="1"/>
      <w:numFmt w:val="bullet"/>
      <w:lvlText w:val=""/>
      <w:lvlPicBulletId w:val="0"/>
      <w:lvlJc w:val="left"/>
      <w:pPr>
        <w:tabs>
          <w:tab w:val="left" w:pos="420"/>
        </w:tabs>
        <w:ind w:left="420"/>
      </w:pPr>
      <w:rPr>
        <w:rFonts w:hint="default" w:ascii="Symbol" w:hAnsi="Symbol"/>
      </w:rPr>
    </w:lvl>
    <w:lvl w:ilvl="1" w:tentative="0">
      <w:start w:val="1"/>
      <w:numFmt w:val="bullet"/>
      <w:lvlText w:val=""/>
      <w:lvlJc w:val="left"/>
      <w:pPr>
        <w:tabs>
          <w:tab w:val="left" w:pos="840"/>
        </w:tabs>
        <w:ind w:left="840"/>
      </w:pPr>
      <w:rPr>
        <w:rFonts w:hint="default" w:ascii="Symbol" w:hAnsi="Symbol"/>
      </w:rPr>
    </w:lvl>
    <w:lvl w:ilvl="2" w:tentative="0">
      <w:start w:val="1"/>
      <w:numFmt w:val="bullet"/>
      <w:lvlText w:val=""/>
      <w:lvlJc w:val="left"/>
      <w:pPr>
        <w:tabs>
          <w:tab w:val="left" w:pos="1260"/>
        </w:tabs>
        <w:ind w:left="1260"/>
      </w:pPr>
      <w:rPr>
        <w:rFonts w:hint="default" w:ascii="Symbol" w:hAnsi="Symbol"/>
      </w:rPr>
    </w:lvl>
    <w:lvl w:ilvl="3" w:tentative="0">
      <w:start w:val="1"/>
      <w:numFmt w:val="bullet"/>
      <w:lvlText w:val=""/>
      <w:lvlJc w:val="left"/>
      <w:pPr>
        <w:tabs>
          <w:tab w:val="left" w:pos="1680"/>
        </w:tabs>
        <w:ind w:left="1680"/>
      </w:pPr>
      <w:rPr>
        <w:rFonts w:hint="default" w:ascii="Symbol" w:hAnsi="Symbol"/>
      </w:rPr>
    </w:lvl>
    <w:lvl w:ilvl="4" w:tentative="0">
      <w:start w:val="1"/>
      <w:numFmt w:val="bullet"/>
      <w:lvlText w:val=""/>
      <w:lvlJc w:val="left"/>
      <w:pPr>
        <w:tabs>
          <w:tab w:val="left" w:pos="2100"/>
        </w:tabs>
        <w:ind w:left="2100"/>
      </w:pPr>
      <w:rPr>
        <w:rFonts w:hint="default" w:ascii="Symbol" w:hAnsi="Symbol"/>
      </w:rPr>
    </w:lvl>
    <w:lvl w:ilvl="5" w:tentative="0">
      <w:start w:val="1"/>
      <w:numFmt w:val="bullet"/>
      <w:lvlText w:val=""/>
      <w:lvlJc w:val="left"/>
      <w:pPr>
        <w:tabs>
          <w:tab w:val="left" w:pos="2520"/>
        </w:tabs>
        <w:ind w:left="2520"/>
      </w:pPr>
      <w:rPr>
        <w:rFonts w:hint="default" w:ascii="Symbol" w:hAnsi="Symbol"/>
      </w:rPr>
    </w:lvl>
    <w:lvl w:ilvl="6" w:tentative="0">
      <w:start w:val="1"/>
      <w:numFmt w:val="bullet"/>
      <w:lvlText w:val=""/>
      <w:lvlJc w:val="left"/>
      <w:pPr>
        <w:tabs>
          <w:tab w:val="left" w:pos="2940"/>
        </w:tabs>
        <w:ind w:left="2940"/>
      </w:pPr>
      <w:rPr>
        <w:rFonts w:hint="default" w:ascii="Symbol" w:hAnsi="Symbol"/>
      </w:rPr>
    </w:lvl>
    <w:lvl w:ilvl="7" w:tentative="0">
      <w:start w:val="1"/>
      <w:numFmt w:val="bullet"/>
      <w:lvlText w:val=""/>
      <w:lvlJc w:val="left"/>
      <w:pPr>
        <w:tabs>
          <w:tab w:val="left" w:pos="3360"/>
        </w:tabs>
        <w:ind w:left="3360"/>
      </w:pPr>
      <w:rPr>
        <w:rFonts w:hint="default" w:ascii="Symbol" w:hAnsi="Symbol"/>
      </w:rPr>
    </w:lvl>
    <w:lvl w:ilvl="8" w:tentative="0">
      <w:start w:val="1"/>
      <w:numFmt w:val="bullet"/>
      <w:lvlText w:val=""/>
      <w:lvlJc w:val="left"/>
      <w:pPr>
        <w:tabs>
          <w:tab w:val="left" w:pos="3780"/>
        </w:tabs>
        <w:ind w:left="378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094E2B"/>
    <w:rsid w:val="21094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rPr>
  </w:style>
  <w:style w:type="paragraph" w:styleId="2">
    <w:name w:val="heading 1"/>
    <w:basedOn w:val="1"/>
    <w:next w:val="1"/>
    <w:qFormat/>
    <w:uiPriority w:val="9"/>
    <w:pPr>
      <w:keepNext/>
      <w:keepLines/>
      <w:spacing w:before="340" w:beforeLines="0" w:after="330" w:afterLines="0" w:line="578" w:lineRule="auto"/>
      <w:jc w:val="center"/>
      <w:outlineLvl w:val="0"/>
    </w:pPr>
    <w:rPr>
      <w:b/>
      <w:bCs/>
      <w:kern w:val="44"/>
      <w:sz w:val="44"/>
      <w:szCs w:val="44"/>
    </w:rPr>
  </w:style>
  <w:style w:type="paragraph" w:styleId="3">
    <w:name w:val="heading 2"/>
    <w:basedOn w:val="1"/>
    <w:next w:val="1"/>
    <w:unhideWhenUsed/>
    <w:qFormat/>
    <w:uiPriority w:val="9"/>
    <w:pPr>
      <w:keepNext/>
      <w:keepLines/>
      <w:spacing w:before="120" w:beforeLines="0" w:after="120" w:afterLines="0" w:line="415" w:lineRule="auto"/>
      <w:jc w:val="left"/>
      <w:outlineLvl w:val="1"/>
    </w:pPr>
    <w:rPr>
      <w:rFonts w:ascii="Arial" w:hAnsi="Arial"/>
      <w:b/>
      <w:bCs/>
      <w:sz w:val="32"/>
      <w:szCs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6">
    <w:name w:val="toc 1"/>
    <w:basedOn w:val="1"/>
    <w:next w:val="1"/>
    <w:unhideWhenUsed/>
    <w:uiPriority w:val="39"/>
    <w:pPr>
      <w:spacing w:beforeLines="38"/>
      <w:jc w:val="left"/>
    </w:pPr>
    <w:rPr>
      <w:b/>
      <w:bCs/>
      <w:i/>
      <w:iCs/>
      <w:sz w:val="24"/>
    </w:rPr>
  </w:style>
  <w:style w:type="paragraph" w:styleId="7">
    <w:name w:val="toc 2"/>
    <w:basedOn w:val="1"/>
    <w:next w:val="1"/>
    <w:unhideWhenUsed/>
    <w:uiPriority w:val="39"/>
    <w:pPr>
      <w:spacing w:beforeLines="38"/>
      <w:ind w:left="210"/>
      <w:jc w:val="left"/>
    </w:pPr>
    <w:rPr>
      <w:b/>
      <w:bCs/>
      <w:sz w:val="22"/>
      <w:szCs w:val="22"/>
    </w:rPr>
  </w:style>
  <w:style w:type="character" w:styleId="10">
    <w:name w:val="Strong"/>
    <w:basedOn w:val="9"/>
    <w:qFormat/>
    <w:uiPriority w:val="22"/>
    <w:rPr>
      <w:b/>
    </w:rPr>
  </w:style>
  <w:style w:type="character" w:styleId="11">
    <w:name w:val="page number"/>
    <w:basedOn w:val="9"/>
    <w:unhideWhenUsed/>
    <w:uiPriority w:val="99"/>
  </w:style>
  <w:style w:type="paragraph" w:customStyle="1" w:styleId="12">
    <w:name w:val="样式3"/>
    <w:basedOn w:val="1"/>
    <w:qFormat/>
    <w:uiPriority w:val="99"/>
    <w:pPr>
      <w:spacing w:line="560" w:lineRule="exact"/>
      <w:ind w:firstLine="560" w:firstLineChars="200"/>
    </w:pPr>
    <w:rPr>
      <w:rFonts w:ascii="宋体" w:hAnsi="宋体"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2020-05-12T03:15:00Z</dcterms:created>
  <dc:creator>Lind～玲</dc:creator>
  <cp:lastModifiedBy>Lind～玲</cp:lastModifiedBy>
  <dcterms:modified xsi:type="dcterms:W3CDTF">2020-05-12T03:16:05Z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