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imes New Roman"/>
          <w:b/>
          <w:sz w:val="48"/>
          <w:szCs w:val="48"/>
        </w:rPr>
      </w:pPr>
    </w:p>
    <w:p>
      <w:pPr>
        <w:jc w:val="center"/>
        <w:rPr>
          <w:rFonts w:cs="Times New Roman"/>
          <w:b/>
          <w:sz w:val="48"/>
          <w:szCs w:val="48"/>
        </w:rPr>
      </w:pPr>
    </w:p>
    <w:p>
      <w:pPr>
        <w:jc w:val="center"/>
        <w:rPr>
          <w:rFonts w:cs="Times New Roman"/>
          <w:b/>
          <w:sz w:val="48"/>
          <w:szCs w:val="48"/>
        </w:rPr>
      </w:pPr>
    </w:p>
    <w:p>
      <w:pPr>
        <w:jc w:val="center"/>
        <w:rPr>
          <w:rFonts w:cs="Times New Roman"/>
          <w:b/>
          <w:sz w:val="48"/>
          <w:szCs w:val="48"/>
        </w:rPr>
      </w:pPr>
    </w:p>
    <w:p>
      <w:pPr>
        <w:jc w:val="center"/>
        <w:rPr>
          <w:rFonts w:cs="Times New Roman"/>
          <w:b/>
          <w:sz w:val="48"/>
          <w:szCs w:val="48"/>
        </w:rPr>
      </w:pPr>
    </w:p>
    <w:p>
      <w:pPr>
        <w:jc w:val="center"/>
        <w:rPr>
          <w:rFonts w:cs="Times New Roman"/>
          <w:b/>
          <w:sz w:val="48"/>
          <w:szCs w:val="48"/>
        </w:rPr>
      </w:pPr>
      <w:r>
        <w:rPr>
          <w:rFonts w:hint="eastAsia" w:cs="Times New Roman"/>
          <w:b/>
          <w:sz w:val="48"/>
          <w:szCs w:val="48"/>
        </w:rPr>
        <w:t>《事故风险评估、应急资源调查》</w:t>
      </w:r>
    </w:p>
    <w:p>
      <w:pPr>
        <w:rPr>
          <w:rFonts w:cs="Times New Roman"/>
          <w:sz w:val="48"/>
          <w:szCs w:val="48"/>
        </w:rPr>
      </w:pPr>
    </w:p>
    <w:p>
      <w:pPr>
        <w:rPr>
          <w:rFonts w:cs="Times New Roman"/>
          <w:sz w:val="48"/>
          <w:szCs w:val="48"/>
        </w:rPr>
      </w:pPr>
    </w:p>
    <w:p>
      <w:pPr>
        <w:rPr>
          <w:rFonts w:cs="Times New Roman"/>
          <w:sz w:val="48"/>
          <w:szCs w:val="48"/>
        </w:rPr>
      </w:pPr>
    </w:p>
    <w:p>
      <w:pPr>
        <w:rPr>
          <w:rFonts w:cs="Times New Roman"/>
          <w:sz w:val="48"/>
          <w:szCs w:val="48"/>
        </w:rPr>
      </w:pPr>
    </w:p>
    <w:p>
      <w:pPr>
        <w:rPr>
          <w:rFonts w:cs="Times New Roman"/>
          <w:sz w:val="48"/>
          <w:szCs w:val="48"/>
        </w:rPr>
      </w:pPr>
    </w:p>
    <w:p>
      <w:pPr>
        <w:rPr>
          <w:rFonts w:cs="Times New Roman"/>
          <w:sz w:val="48"/>
          <w:szCs w:val="48"/>
        </w:rPr>
      </w:pPr>
    </w:p>
    <w:p>
      <w:pPr>
        <w:rPr>
          <w:rFonts w:cs="Times New Roman"/>
          <w:sz w:val="48"/>
          <w:szCs w:val="48"/>
        </w:rPr>
      </w:pPr>
    </w:p>
    <w:p>
      <w:pPr>
        <w:rPr>
          <w:rFonts w:cs="Times New Roman"/>
          <w:sz w:val="48"/>
          <w:szCs w:val="48"/>
        </w:rPr>
      </w:pPr>
    </w:p>
    <w:p>
      <w:pPr>
        <w:rPr>
          <w:rFonts w:cs="Times New Roman"/>
          <w:sz w:val="48"/>
          <w:szCs w:val="48"/>
        </w:rPr>
      </w:pPr>
    </w:p>
    <w:p>
      <w:pPr>
        <w:rPr>
          <w:rFonts w:cs="Times New Roman"/>
          <w:sz w:val="48"/>
          <w:szCs w:val="48"/>
        </w:rPr>
      </w:pPr>
    </w:p>
    <w:p>
      <w:pPr>
        <w:rPr>
          <w:rFonts w:cs="Times New Roman"/>
          <w:sz w:val="48"/>
          <w:szCs w:val="48"/>
        </w:rPr>
      </w:pPr>
    </w:p>
    <w:p>
      <w:pPr>
        <w:rPr>
          <w:rFonts w:cs="Times New Roman"/>
          <w:sz w:val="48"/>
          <w:szCs w:val="48"/>
        </w:rPr>
      </w:pPr>
    </w:p>
    <w:p>
      <w:pPr>
        <w:jc w:val="center"/>
        <w:rPr>
          <w:rFonts w:hint="eastAsia" w:cs="Times New Roman"/>
          <w:kern w:val="0"/>
          <w:sz w:val="48"/>
          <w:szCs w:val="48"/>
        </w:rPr>
      </w:pPr>
      <w:r>
        <w:rPr>
          <w:rFonts w:hint="eastAsia" w:cs="Times New Roman"/>
          <w:kern w:val="0"/>
          <w:sz w:val="48"/>
          <w:szCs w:val="48"/>
        </w:rPr>
        <w:t>仪陇县中弘川油能源有限责任公司</w:t>
      </w:r>
    </w:p>
    <w:p>
      <w:pPr>
        <w:jc w:val="center"/>
        <w:rPr>
          <w:rFonts w:cs="Times New Roman"/>
          <w:kern w:val="0"/>
          <w:sz w:val="48"/>
          <w:szCs w:val="48"/>
        </w:rPr>
      </w:pPr>
      <w:r>
        <w:rPr>
          <w:rFonts w:hint="eastAsia" w:cs="Times New Roman"/>
          <w:kern w:val="0"/>
          <w:sz w:val="48"/>
          <w:szCs w:val="48"/>
        </w:rPr>
        <w:t xml:space="preserve">城西加油站 </w:t>
      </w:r>
    </w:p>
    <w:p>
      <w:pPr>
        <w:jc w:val="center"/>
        <w:rPr>
          <w:b/>
          <w:sz w:val="44"/>
          <w:szCs w:val="44"/>
        </w:rPr>
      </w:pPr>
    </w:p>
    <w:p>
      <w:pPr>
        <w:jc w:val="center"/>
        <w:rPr>
          <w:b/>
          <w:sz w:val="44"/>
          <w:szCs w:val="44"/>
        </w:rPr>
      </w:pPr>
    </w:p>
    <w:p>
      <w:pPr>
        <w:jc w:val="center"/>
        <w:rPr>
          <w:b/>
          <w:sz w:val="44"/>
          <w:szCs w:val="44"/>
        </w:rPr>
      </w:pPr>
    </w:p>
    <w:p>
      <w:pPr>
        <w:rPr>
          <w:b/>
          <w:sz w:val="44"/>
          <w:szCs w:val="44"/>
        </w:rPr>
      </w:pPr>
    </w:p>
    <w:p>
      <w:pPr>
        <w:rPr>
          <w:b/>
          <w:sz w:val="44"/>
          <w:szCs w:val="44"/>
        </w:rPr>
      </w:pPr>
    </w:p>
    <w:p>
      <w:pPr>
        <w:jc w:val="center"/>
        <w:rPr>
          <w:b/>
          <w:sz w:val="44"/>
          <w:szCs w:val="44"/>
        </w:rPr>
      </w:pPr>
    </w:p>
    <w:p>
      <w:pPr>
        <w:jc w:val="center"/>
        <w:rPr>
          <w:rFonts w:hint="eastAsia"/>
          <w:b/>
          <w:sz w:val="44"/>
          <w:szCs w:val="44"/>
        </w:rPr>
      </w:pPr>
      <w:r>
        <w:rPr>
          <w:rFonts w:hint="eastAsia"/>
          <w:b/>
          <w:sz w:val="44"/>
          <w:szCs w:val="44"/>
        </w:rPr>
        <w:t>仪陇县中弘川油能源有限责任公司</w:t>
      </w:r>
    </w:p>
    <w:p>
      <w:pPr>
        <w:jc w:val="center"/>
        <w:rPr>
          <w:b/>
          <w:sz w:val="44"/>
          <w:szCs w:val="44"/>
        </w:rPr>
      </w:pPr>
      <w:r>
        <w:rPr>
          <w:rFonts w:hint="eastAsia"/>
          <w:b/>
          <w:sz w:val="44"/>
          <w:szCs w:val="44"/>
        </w:rPr>
        <w:t>城西加油站</w:t>
      </w:r>
    </w:p>
    <w:p>
      <w:pPr>
        <w:widowControl/>
        <w:spacing w:after="312" w:afterLines="100" w:line="380" w:lineRule="exact"/>
        <w:ind w:firstLine="560" w:firstLineChars="200"/>
        <w:jc w:val="left"/>
        <w:rPr>
          <w:rFonts w:ascii="宋体"/>
          <w:sz w:val="28"/>
          <w:szCs w:val="28"/>
        </w:rPr>
      </w:pPr>
    </w:p>
    <w:p>
      <w:pPr>
        <w:widowControl/>
        <w:spacing w:after="312" w:afterLines="100" w:line="380" w:lineRule="exact"/>
        <w:ind w:firstLine="560" w:firstLineChars="200"/>
        <w:jc w:val="left"/>
        <w:rPr>
          <w:rFonts w:ascii="宋体"/>
          <w:sz w:val="28"/>
          <w:szCs w:val="28"/>
        </w:rPr>
      </w:pPr>
    </w:p>
    <w:p>
      <w:pPr>
        <w:widowControl/>
        <w:spacing w:after="312" w:afterLines="100" w:line="380" w:lineRule="exact"/>
        <w:ind w:firstLine="560" w:firstLineChars="200"/>
        <w:jc w:val="left"/>
        <w:rPr>
          <w:rFonts w:ascii="宋体"/>
          <w:sz w:val="28"/>
          <w:szCs w:val="28"/>
        </w:rPr>
      </w:pPr>
    </w:p>
    <w:p>
      <w:pPr>
        <w:widowControl/>
        <w:spacing w:after="312" w:afterLines="100" w:line="380" w:lineRule="exact"/>
        <w:ind w:firstLine="560" w:firstLineChars="200"/>
        <w:jc w:val="left"/>
        <w:rPr>
          <w:rFonts w:ascii="宋体"/>
          <w:sz w:val="28"/>
          <w:szCs w:val="28"/>
        </w:rPr>
      </w:pPr>
    </w:p>
    <w:p>
      <w:pPr>
        <w:jc w:val="center"/>
        <w:rPr>
          <w:rFonts w:ascii="宋体"/>
          <w:b/>
          <w:sz w:val="52"/>
          <w:szCs w:val="52"/>
        </w:rPr>
      </w:pPr>
      <w:r>
        <w:rPr>
          <w:rFonts w:hint="eastAsia" w:ascii="宋体"/>
          <w:b/>
          <w:sz w:val="52"/>
          <w:szCs w:val="52"/>
        </w:rPr>
        <w:t>事故风险评估</w:t>
      </w:r>
    </w:p>
    <w:p>
      <w:pPr>
        <w:widowControl/>
        <w:spacing w:after="312" w:afterLines="100" w:line="380" w:lineRule="exact"/>
        <w:jc w:val="left"/>
        <w:rPr>
          <w:rFonts w:cs="宋体"/>
          <w:kern w:val="0"/>
          <w:sz w:val="52"/>
          <w:szCs w:val="52"/>
        </w:rPr>
      </w:pPr>
    </w:p>
    <w:p>
      <w:pPr>
        <w:widowControl/>
        <w:spacing w:after="312" w:afterLines="100" w:line="380" w:lineRule="exact"/>
        <w:jc w:val="left"/>
        <w:rPr>
          <w:rFonts w:cs="宋体"/>
          <w:kern w:val="0"/>
          <w:sz w:val="24"/>
        </w:rPr>
      </w:pPr>
    </w:p>
    <w:p>
      <w:pPr>
        <w:widowControl/>
        <w:spacing w:after="312" w:afterLines="100" w:line="380" w:lineRule="exact"/>
        <w:jc w:val="left"/>
        <w:rPr>
          <w:rFonts w:cs="宋体"/>
          <w:kern w:val="0"/>
          <w:sz w:val="24"/>
        </w:rPr>
      </w:pPr>
    </w:p>
    <w:p>
      <w:pPr>
        <w:widowControl/>
        <w:spacing w:after="312" w:afterLines="100" w:line="380" w:lineRule="exact"/>
        <w:jc w:val="left"/>
        <w:rPr>
          <w:rFonts w:cs="宋体"/>
          <w:kern w:val="0"/>
          <w:sz w:val="24"/>
        </w:rPr>
      </w:pPr>
    </w:p>
    <w:p>
      <w:pPr>
        <w:widowControl/>
        <w:spacing w:after="312" w:afterLines="100" w:line="380" w:lineRule="exact"/>
        <w:jc w:val="left"/>
        <w:rPr>
          <w:rFonts w:cs="宋体"/>
          <w:kern w:val="0"/>
          <w:sz w:val="24"/>
        </w:rPr>
      </w:pPr>
    </w:p>
    <w:p>
      <w:pPr>
        <w:jc w:val="center"/>
        <w:rPr>
          <w:sz w:val="32"/>
          <w:szCs w:val="32"/>
        </w:rPr>
      </w:pPr>
      <w:r>
        <w:rPr>
          <w:rFonts w:hint="eastAsia"/>
          <w:sz w:val="32"/>
          <w:szCs w:val="32"/>
        </w:rPr>
        <w:t xml:space="preserve"> </w:t>
      </w:r>
    </w:p>
    <w:p>
      <w:pPr>
        <w:jc w:val="center"/>
        <w:rPr>
          <w:sz w:val="32"/>
          <w:szCs w:val="32"/>
        </w:rPr>
      </w:pPr>
      <w:r>
        <w:rPr>
          <w:rFonts w:hint="eastAsia"/>
          <w:sz w:val="32"/>
          <w:szCs w:val="32"/>
        </w:rPr>
        <w:t>仪陇县中弘川油能源有限责任公司城西加油站</w:t>
      </w:r>
    </w:p>
    <w:p>
      <w:pPr>
        <w:jc w:val="center"/>
        <w:rPr>
          <w:rFonts w:ascii="宋体"/>
          <w:sz w:val="32"/>
          <w:szCs w:val="32"/>
        </w:rPr>
      </w:pPr>
      <w:r>
        <w:rPr>
          <w:rFonts w:hint="eastAsia" w:ascii="宋体"/>
          <w:sz w:val="32"/>
          <w:szCs w:val="32"/>
        </w:rPr>
        <w:t>编制日期：2017年7月15日</w:t>
      </w:r>
    </w:p>
    <w:p>
      <w:pPr>
        <w:widowControl/>
        <w:spacing w:after="312" w:afterLines="100" w:line="380" w:lineRule="exact"/>
        <w:jc w:val="left"/>
        <w:rPr>
          <w:rFonts w:cs="宋体"/>
          <w:kern w:val="0"/>
          <w:sz w:val="24"/>
        </w:rPr>
      </w:pPr>
    </w:p>
    <w:p>
      <w:pPr>
        <w:widowControl/>
        <w:spacing w:after="312" w:afterLines="100" w:line="380" w:lineRule="exact"/>
        <w:jc w:val="left"/>
        <w:rPr>
          <w:rFonts w:cs="宋体"/>
          <w:kern w:val="0"/>
          <w:sz w:val="24"/>
        </w:rPr>
      </w:pPr>
    </w:p>
    <w:p>
      <w:pPr>
        <w:pStyle w:val="2"/>
        <w:widowControl/>
        <w:adjustRightInd w:val="0"/>
        <w:snapToGrid w:val="0"/>
        <w:spacing w:before="156" w:beforeLines="50" w:after="156" w:afterLines="50" w:line="240" w:lineRule="auto"/>
        <w:jc w:val="center"/>
        <w:rPr>
          <w:rFonts w:ascii="楷体" w:eastAsia="楷体" w:cs="楷体"/>
          <w:bCs w:val="0"/>
          <w:kern w:val="0"/>
          <w:sz w:val="32"/>
          <w:szCs w:val="32"/>
        </w:rPr>
      </w:pPr>
      <w:r>
        <w:rPr>
          <w:rFonts w:ascii="楷体" w:eastAsia="楷体" w:cs="楷体"/>
          <w:bCs w:val="0"/>
          <w:kern w:val="0"/>
          <w:sz w:val="32"/>
          <w:szCs w:val="32"/>
        </w:rPr>
        <w:br w:type="page"/>
      </w:r>
      <w:bookmarkStart w:id="0" w:name="_Toc32103"/>
      <w:r>
        <w:rPr>
          <w:rFonts w:ascii="楷体" w:eastAsia="楷体" w:cs="楷体"/>
          <w:bCs w:val="0"/>
          <w:kern w:val="0"/>
          <w:sz w:val="32"/>
          <w:szCs w:val="32"/>
        </w:rPr>
        <w:t>1 前言</w:t>
      </w:r>
      <w:bookmarkEnd w:id="0"/>
    </w:p>
    <w:p>
      <w:pPr>
        <w:spacing w:line="560" w:lineRule="exact"/>
        <w:ind w:firstLine="560" w:firstLineChars="200"/>
        <w:rPr>
          <w:rFonts w:ascii="宋体"/>
          <w:sz w:val="28"/>
          <w:szCs w:val="28"/>
        </w:rPr>
      </w:pPr>
      <w:r>
        <w:rPr>
          <w:rFonts w:ascii="宋体"/>
          <w:sz w:val="28"/>
          <w:szCs w:val="28"/>
        </w:rPr>
        <w:t>结合我站</w:t>
      </w:r>
      <w:r>
        <w:rPr>
          <w:rFonts w:hint="eastAsia" w:ascii="宋体"/>
          <w:sz w:val="28"/>
          <w:szCs w:val="28"/>
        </w:rPr>
        <w:t>危险化学品经营和储存</w:t>
      </w:r>
      <w:r>
        <w:rPr>
          <w:rFonts w:ascii="宋体"/>
          <w:sz w:val="28"/>
          <w:szCs w:val="28"/>
        </w:rPr>
        <w:t>情况进行风险源识别，分析其风险事故类型及事故状态下的影响，风险防范措施是否全面、可靠。通过对公司事件风险进行评估，以弥补防范措施的不足，最大限度减少人员伤亡和财产损失、降低损害和社会影响。保障公众安全，维护社会稳定，促进经济社会全面、协调、可持续发展。</w:t>
      </w:r>
      <w:bookmarkStart w:id="1" w:name="_Toc1515"/>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hint="eastAsia" w:ascii="宋体"/>
          <w:sz w:val="28"/>
          <w:szCs w:val="28"/>
        </w:rPr>
      </w:pPr>
    </w:p>
    <w:p>
      <w:pPr>
        <w:spacing w:line="560" w:lineRule="exact"/>
        <w:rPr>
          <w:rFonts w:hint="eastAsia" w:ascii="宋体"/>
          <w:sz w:val="28"/>
          <w:szCs w:val="28"/>
        </w:rPr>
      </w:pPr>
    </w:p>
    <w:p>
      <w:pPr>
        <w:spacing w:line="560" w:lineRule="exact"/>
        <w:rPr>
          <w:rFonts w:ascii="宋体"/>
          <w:sz w:val="28"/>
          <w:szCs w:val="28"/>
        </w:rPr>
      </w:pPr>
    </w:p>
    <w:p>
      <w:pPr>
        <w:pStyle w:val="2"/>
        <w:widowControl/>
        <w:adjustRightInd w:val="0"/>
        <w:snapToGrid w:val="0"/>
        <w:spacing w:before="156" w:beforeLines="50" w:after="156" w:afterLines="50" w:line="240" w:lineRule="auto"/>
        <w:jc w:val="center"/>
        <w:rPr>
          <w:rFonts w:ascii="楷体" w:eastAsia="楷体" w:cs="楷体"/>
          <w:bCs w:val="0"/>
          <w:kern w:val="0"/>
          <w:sz w:val="32"/>
          <w:szCs w:val="32"/>
        </w:rPr>
      </w:pPr>
      <w:r>
        <w:rPr>
          <w:rFonts w:hint="eastAsia" w:ascii="楷体" w:eastAsia="楷体" w:cs="楷体"/>
          <w:bCs w:val="0"/>
          <w:kern w:val="0"/>
          <w:sz w:val="32"/>
          <w:szCs w:val="32"/>
        </w:rPr>
        <w:t>2 总则</w:t>
      </w:r>
      <w:bookmarkEnd w:id="1"/>
    </w:p>
    <w:p>
      <w:pPr>
        <w:pStyle w:val="3"/>
        <w:widowControl/>
        <w:adjustRightInd w:val="0"/>
        <w:snapToGrid w:val="0"/>
        <w:spacing w:before="156" w:beforeLines="50" w:after="156" w:afterLines="50" w:line="240" w:lineRule="auto"/>
        <w:rPr>
          <w:rFonts w:ascii="黑体" w:cs="黑体"/>
          <w:bCs w:val="0"/>
          <w:sz w:val="28"/>
          <w:szCs w:val="28"/>
        </w:rPr>
      </w:pPr>
      <w:bookmarkStart w:id="2" w:name="_Toc28806"/>
      <w:r>
        <w:rPr>
          <w:rFonts w:ascii="黑体" w:cs="黑体"/>
          <w:bCs w:val="0"/>
          <w:sz w:val="28"/>
          <w:szCs w:val="28"/>
        </w:rPr>
        <w:t>2.1 编制原则</w:t>
      </w:r>
      <w:bookmarkEnd w:id="2"/>
      <w:r>
        <w:rPr>
          <w:rFonts w:ascii="黑体" w:cs="黑体"/>
          <w:bCs w:val="0"/>
          <w:sz w:val="28"/>
          <w:szCs w:val="28"/>
        </w:rPr>
        <w:t xml:space="preserve"> </w:t>
      </w:r>
    </w:p>
    <w:p>
      <w:pPr>
        <w:spacing w:line="560" w:lineRule="exact"/>
        <w:ind w:firstLine="560" w:firstLineChars="200"/>
        <w:rPr>
          <w:rFonts w:ascii="宋体"/>
          <w:sz w:val="28"/>
          <w:szCs w:val="28"/>
        </w:rPr>
      </w:pPr>
      <w:r>
        <w:rPr>
          <w:rFonts w:hint="eastAsia" w:ascii="宋体"/>
          <w:sz w:val="28"/>
          <w:szCs w:val="28"/>
        </w:rPr>
        <w:t>1）</w:t>
      </w:r>
      <w:r>
        <w:rPr>
          <w:rFonts w:ascii="宋体"/>
          <w:sz w:val="28"/>
          <w:szCs w:val="28"/>
        </w:rPr>
        <w:t>坚持以人为本，预防为主。加强对事故危险源的监测、监控并实施监督管理，建立事故风险防范体系，积极预防、及时控制、消除隐患，提高事故防范和处理能力，尽可能地避免或减少事故的发生，消除或减轻事故造成的中长期影响，最大程度地保障公众健康，保护人民群众生命财产安全。</w:t>
      </w:r>
    </w:p>
    <w:p>
      <w:pPr>
        <w:spacing w:line="560" w:lineRule="exact"/>
        <w:ind w:firstLine="560" w:firstLineChars="200"/>
        <w:rPr>
          <w:rFonts w:ascii="宋体"/>
          <w:sz w:val="28"/>
          <w:szCs w:val="28"/>
        </w:rPr>
      </w:pPr>
      <w:r>
        <w:rPr>
          <w:rFonts w:hint="eastAsia" w:ascii="宋体"/>
          <w:sz w:val="28"/>
          <w:szCs w:val="28"/>
        </w:rPr>
        <w:t>2）</w:t>
      </w:r>
      <w:r>
        <w:rPr>
          <w:rFonts w:ascii="宋体"/>
          <w:sz w:val="28"/>
          <w:szCs w:val="28"/>
        </w:rPr>
        <w:t>坚持统一领导，分类管理，分级响应。加强各部门之间协同与合作，提高快速反应能力。针对不同事故特点，实行分类管理，充分发挥部门专业优势，使采取的措施与事故造成的危害范围和社会影响相适应。</w:t>
      </w:r>
    </w:p>
    <w:p>
      <w:pPr>
        <w:ind w:firstLine="560"/>
        <w:rPr>
          <w:rFonts w:ascii="宋体"/>
          <w:sz w:val="28"/>
          <w:szCs w:val="28"/>
        </w:rPr>
      </w:pPr>
      <w:r>
        <w:rPr>
          <w:rFonts w:hint="eastAsia" w:ascii="宋体"/>
          <w:sz w:val="28"/>
          <w:szCs w:val="28"/>
        </w:rPr>
        <w:t>3）</w:t>
      </w:r>
      <w:r>
        <w:rPr>
          <w:rFonts w:ascii="宋体"/>
          <w:sz w:val="28"/>
          <w:szCs w:val="28"/>
        </w:rPr>
        <w:t>坚持平战结合，专兼结合，充分利用现有资源。积极做好应对事故的思想准备、物资准备、技术准备、工作准备，加强培训演练，应急系统做到常备不懈，在应急时快速有效。</w:t>
      </w:r>
    </w:p>
    <w:p>
      <w:pPr>
        <w:pStyle w:val="3"/>
        <w:widowControl/>
        <w:adjustRightInd w:val="0"/>
        <w:snapToGrid w:val="0"/>
        <w:spacing w:before="156" w:beforeLines="50" w:after="156" w:afterLines="50" w:line="240" w:lineRule="auto"/>
        <w:rPr>
          <w:rFonts w:ascii="黑体" w:cs="黑体"/>
          <w:bCs w:val="0"/>
          <w:sz w:val="28"/>
          <w:szCs w:val="28"/>
        </w:rPr>
      </w:pPr>
      <w:bookmarkStart w:id="3" w:name="_Toc20753"/>
      <w:r>
        <w:rPr>
          <w:rFonts w:hint="eastAsia" w:ascii="黑体" w:cs="黑体"/>
          <w:bCs w:val="0"/>
          <w:sz w:val="28"/>
          <w:szCs w:val="28"/>
        </w:rPr>
        <w:t>2.2 编制目的</w:t>
      </w:r>
      <w:bookmarkEnd w:id="3"/>
    </w:p>
    <w:p>
      <w:pPr>
        <w:ind w:firstLine="560"/>
        <w:rPr>
          <w:rFonts w:ascii="宋体"/>
          <w:sz w:val="28"/>
          <w:szCs w:val="28"/>
        </w:rPr>
      </w:pPr>
      <w:r>
        <w:rPr>
          <w:rFonts w:hint="eastAsia" w:ascii="宋体"/>
          <w:sz w:val="28"/>
          <w:szCs w:val="28"/>
        </w:rPr>
        <w:t>是指针对不同事故种类及特点，识别存在的危险危害因素，分析事故可能产生的直接后果以及次生、衍生后果，评估各种后果的危害程度和影响范围，提出防范和控制事故风险措施的过程。</w:t>
      </w:r>
    </w:p>
    <w:p>
      <w:pPr>
        <w:rPr>
          <w:rFonts w:ascii="宋体"/>
          <w:sz w:val="28"/>
          <w:szCs w:val="28"/>
        </w:rPr>
      </w:pPr>
    </w:p>
    <w:p>
      <w:pPr>
        <w:rPr>
          <w:rFonts w:ascii="宋体"/>
          <w:sz w:val="28"/>
          <w:szCs w:val="28"/>
        </w:rPr>
      </w:pPr>
    </w:p>
    <w:p>
      <w:pPr>
        <w:rPr>
          <w:rFonts w:ascii="宋体"/>
          <w:sz w:val="28"/>
          <w:szCs w:val="28"/>
        </w:rPr>
      </w:pPr>
    </w:p>
    <w:p>
      <w:pPr>
        <w:rPr>
          <w:rFonts w:hint="eastAsia" w:ascii="宋体"/>
          <w:sz w:val="28"/>
          <w:szCs w:val="28"/>
        </w:rPr>
      </w:pPr>
    </w:p>
    <w:p>
      <w:pPr>
        <w:rPr>
          <w:rFonts w:ascii="宋体"/>
          <w:sz w:val="28"/>
          <w:szCs w:val="28"/>
        </w:rPr>
      </w:pPr>
    </w:p>
    <w:p>
      <w:pPr>
        <w:pStyle w:val="2"/>
        <w:widowControl/>
        <w:adjustRightInd w:val="0"/>
        <w:snapToGrid w:val="0"/>
        <w:spacing w:before="156" w:beforeLines="50" w:after="156" w:afterLines="50" w:line="240" w:lineRule="auto"/>
        <w:jc w:val="center"/>
        <w:rPr>
          <w:rFonts w:ascii="楷体" w:eastAsia="楷体" w:cs="楷体"/>
          <w:bCs w:val="0"/>
          <w:kern w:val="0"/>
          <w:sz w:val="32"/>
          <w:szCs w:val="32"/>
        </w:rPr>
      </w:pPr>
      <w:r>
        <w:rPr>
          <w:rFonts w:hint="eastAsia" w:ascii="楷体" w:eastAsia="楷体" w:cs="楷体"/>
          <w:bCs w:val="0"/>
          <w:kern w:val="0"/>
          <w:sz w:val="32"/>
          <w:szCs w:val="32"/>
        </w:rPr>
        <w:t>3 存在的危险危害因素</w:t>
      </w:r>
    </w:p>
    <w:tbl>
      <w:tblPr>
        <w:tblStyle w:val="8"/>
        <w:tblW w:w="9280" w:type="dxa"/>
        <w:jc w:val="center"/>
        <w:tblInd w:w="0" w:type="dxa"/>
        <w:tblLayout w:type="fixed"/>
        <w:tblCellMar>
          <w:top w:w="0" w:type="dxa"/>
          <w:left w:w="108" w:type="dxa"/>
          <w:bottom w:w="0" w:type="dxa"/>
          <w:right w:w="108" w:type="dxa"/>
        </w:tblCellMar>
      </w:tblPr>
      <w:tblGrid>
        <w:gridCol w:w="1164"/>
        <w:gridCol w:w="2702"/>
        <w:gridCol w:w="5414"/>
      </w:tblGrid>
      <w:tr>
        <w:tblPrEx>
          <w:tblLayout w:type="fixed"/>
          <w:tblCellMar>
            <w:top w:w="0" w:type="dxa"/>
            <w:left w:w="108" w:type="dxa"/>
            <w:bottom w:w="0" w:type="dxa"/>
            <w:right w:w="108" w:type="dxa"/>
          </w:tblCellMar>
        </w:tblPrEx>
        <w:trPr>
          <w:trHeight w:val="106" w:hRule="atLeast"/>
          <w:tblHeader/>
          <w:jc w:val="center"/>
        </w:trPr>
        <w:tc>
          <w:tcPr>
            <w:tcW w:w="1164" w:type="dxa"/>
            <w:tcBorders>
              <w:top w:val="single" w:color="auto" w:sz="6" w:space="0"/>
              <w:left w:val="single" w:color="auto" w:sz="6" w:space="0"/>
              <w:bottom w:val="single" w:color="auto" w:sz="6" w:space="0"/>
              <w:right w:val="single" w:color="auto" w:sz="6" w:space="0"/>
            </w:tcBorders>
            <w:vAlign w:val="center"/>
          </w:tcPr>
          <w:p>
            <w:pPr>
              <w:pStyle w:val="12"/>
            </w:pPr>
            <w:r>
              <w:t>危险因素</w:t>
            </w:r>
          </w:p>
        </w:tc>
        <w:tc>
          <w:tcPr>
            <w:tcW w:w="2702" w:type="dxa"/>
            <w:tcBorders>
              <w:top w:val="single" w:color="auto" w:sz="6" w:space="0"/>
              <w:left w:val="single" w:color="auto" w:sz="6" w:space="0"/>
              <w:bottom w:val="single" w:color="auto" w:sz="6" w:space="0"/>
              <w:right w:val="single" w:color="auto" w:sz="6" w:space="0"/>
            </w:tcBorders>
            <w:vAlign w:val="center"/>
          </w:tcPr>
          <w:p>
            <w:pPr>
              <w:pStyle w:val="12"/>
            </w:pPr>
            <w:r>
              <w:t>主要存在部位</w:t>
            </w:r>
          </w:p>
        </w:tc>
        <w:tc>
          <w:tcPr>
            <w:tcW w:w="5414" w:type="dxa"/>
            <w:tcBorders>
              <w:top w:val="single" w:color="auto" w:sz="6" w:space="0"/>
              <w:left w:val="single" w:color="auto" w:sz="6" w:space="0"/>
              <w:bottom w:val="single" w:color="auto" w:sz="6" w:space="0"/>
              <w:right w:val="single" w:color="auto" w:sz="6" w:space="0"/>
            </w:tcBorders>
            <w:vAlign w:val="center"/>
          </w:tcPr>
          <w:p>
            <w:pPr>
              <w:pStyle w:val="12"/>
            </w:pPr>
            <w:r>
              <w:t>产生的原因</w:t>
            </w:r>
          </w:p>
        </w:tc>
      </w:tr>
      <w:tr>
        <w:tblPrEx>
          <w:tblLayout w:type="fixed"/>
          <w:tblCellMar>
            <w:top w:w="0" w:type="dxa"/>
            <w:left w:w="108" w:type="dxa"/>
            <w:bottom w:w="0" w:type="dxa"/>
            <w:right w:w="108" w:type="dxa"/>
          </w:tblCellMar>
        </w:tblPrEx>
        <w:trPr>
          <w:trHeight w:val="625" w:hRule="atLeast"/>
          <w:jc w:val="center"/>
        </w:trPr>
        <w:tc>
          <w:tcPr>
            <w:tcW w:w="1164" w:type="dxa"/>
            <w:tcBorders>
              <w:top w:val="single" w:color="auto" w:sz="6" w:space="0"/>
              <w:left w:val="single" w:color="auto" w:sz="6" w:space="0"/>
              <w:bottom w:val="single" w:color="auto" w:sz="6" w:space="0"/>
              <w:right w:val="single" w:color="auto" w:sz="6" w:space="0"/>
            </w:tcBorders>
            <w:vAlign w:val="center"/>
          </w:tcPr>
          <w:p>
            <w:pPr>
              <w:pStyle w:val="12"/>
              <w:jc w:val="both"/>
            </w:pPr>
            <w:r>
              <w:t>火灾爆炸</w:t>
            </w:r>
          </w:p>
        </w:tc>
        <w:tc>
          <w:tcPr>
            <w:tcW w:w="2702" w:type="dxa"/>
            <w:tcBorders>
              <w:top w:val="single" w:color="auto" w:sz="6" w:space="0"/>
              <w:left w:val="single" w:color="auto" w:sz="6" w:space="0"/>
              <w:bottom w:val="single" w:color="auto" w:sz="6" w:space="0"/>
              <w:right w:val="single" w:color="auto" w:sz="6" w:space="0"/>
            </w:tcBorders>
            <w:vAlign w:val="center"/>
          </w:tcPr>
          <w:p>
            <w:pPr>
              <w:pStyle w:val="12"/>
              <w:jc w:val="both"/>
            </w:pPr>
            <w:r>
              <w:t>油罐区、加油区</w:t>
            </w:r>
          </w:p>
        </w:tc>
        <w:tc>
          <w:tcPr>
            <w:tcW w:w="5414" w:type="dxa"/>
            <w:tcBorders>
              <w:top w:val="single" w:color="auto" w:sz="6" w:space="0"/>
              <w:left w:val="single" w:color="auto" w:sz="6" w:space="0"/>
              <w:bottom w:val="single" w:color="auto" w:sz="6" w:space="0"/>
              <w:right w:val="single" w:color="auto" w:sz="6" w:space="0"/>
            </w:tcBorders>
            <w:vAlign w:val="center"/>
          </w:tcPr>
          <w:p>
            <w:pPr>
              <w:pStyle w:val="12"/>
              <w:jc w:val="both"/>
            </w:pPr>
            <w:r>
              <w:t>（1）油气泄漏扩散且现场存在点火源</w:t>
            </w:r>
          </w:p>
          <w:p>
            <w:pPr>
              <w:pStyle w:val="12"/>
              <w:jc w:val="both"/>
            </w:pPr>
            <w:r>
              <w:t>（2）现场管理混乱，违章作业、未划定禁火区、乱扔烟头等</w:t>
            </w:r>
          </w:p>
          <w:p>
            <w:pPr>
              <w:pStyle w:val="12"/>
              <w:jc w:val="both"/>
            </w:pPr>
            <w:r>
              <w:t>（3）防雷、防静电接地失效，发生雷击或静电打火</w:t>
            </w:r>
          </w:p>
        </w:tc>
      </w:tr>
      <w:tr>
        <w:tblPrEx>
          <w:tblLayout w:type="fixed"/>
          <w:tblCellMar>
            <w:top w:w="0" w:type="dxa"/>
            <w:left w:w="108" w:type="dxa"/>
            <w:bottom w:w="0" w:type="dxa"/>
            <w:right w:w="108" w:type="dxa"/>
          </w:tblCellMar>
        </w:tblPrEx>
        <w:trPr>
          <w:trHeight w:val="625" w:hRule="atLeast"/>
          <w:jc w:val="center"/>
        </w:trPr>
        <w:tc>
          <w:tcPr>
            <w:tcW w:w="1164" w:type="dxa"/>
            <w:tcBorders>
              <w:top w:val="single" w:color="auto" w:sz="6" w:space="0"/>
              <w:left w:val="single" w:color="auto" w:sz="6" w:space="0"/>
              <w:bottom w:val="single" w:color="auto" w:sz="6" w:space="0"/>
              <w:right w:val="single" w:color="auto" w:sz="6" w:space="0"/>
            </w:tcBorders>
            <w:vAlign w:val="center"/>
          </w:tcPr>
          <w:p>
            <w:pPr>
              <w:pStyle w:val="12"/>
              <w:jc w:val="both"/>
            </w:pPr>
            <w:r>
              <w:t>车辆伤害</w:t>
            </w:r>
          </w:p>
        </w:tc>
        <w:tc>
          <w:tcPr>
            <w:tcW w:w="2702" w:type="dxa"/>
            <w:tcBorders>
              <w:top w:val="single" w:color="auto" w:sz="6" w:space="0"/>
              <w:left w:val="single" w:color="auto" w:sz="6" w:space="0"/>
              <w:bottom w:val="single" w:color="auto" w:sz="6" w:space="0"/>
              <w:right w:val="single" w:color="auto" w:sz="6" w:space="0"/>
            </w:tcBorders>
            <w:vAlign w:val="center"/>
          </w:tcPr>
          <w:p>
            <w:pPr>
              <w:pStyle w:val="12"/>
              <w:jc w:val="both"/>
            </w:pPr>
            <w:r>
              <w:t>油罐区、加油区</w:t>
            </w:r>
          </w:p>
        </w:tc>
        <w:tc>
          <w:tcPr>
            <w:tcW w:w="5414" w:type="dxa"/>
            <w:tcBorders>
              <w:top w:val="single" w:color="auto" w:sz="6" w:space="0"/>
              <w:left w:val="single" w:color="auto" w:sz="6" w:space="0"/>
              <w:bottom w:val="single" w:color="auto" w:sz="6" w:space="0"/>
              <w:right w:val="single" w:color="auto" w:sz="6" w:space="0"/>
            </w:tcBorders>
            <w:vAlign w:val="center"/>
          </w:tcPr>
          <w:p>
            <w:pPr>
              <w:pStyle w:val="12"/>
              <w:jc w:val="both"/>
            </w:pPr>
            <w:r>
              <w:t>（1）现场管理混乱，车辆不按规定行驶</w:t>
            </w:r>
          </w:p>
          <w:p>
            <w:pPr>
              <w:pStyle w:val="12"/>
              <w:jc w:val="both"/>
            </w:pPr>
            <w:r>
              <w:t>（2）车道设置不合理</w:t>
            </w:r>
          </w:p>
          <w:p>
            <w:pPr>
              <w:pStyle w:val="12"/>
              <w:jc w:val="both"/>
            </w:pPr>
            <w:r>
              <w:t>（3）警示标志不明确</w:t>
            </w:r>
          </w:p>
        </w:tc>
      </w:tr>
      <w:tr>
        <w:tblPrEx>
          <w:tblLayout w:type="fixed"/>
          <w:tblCellMar>
            <w:top w:w="0" w:type="dxa"/>
            <w:left w:w="108" w:type="dxa"/>
            <w:bottom w:w="0" w:type="dxa"/>
            <w:right w:w="108" w:type="dxa"/>
          </w:tblCellMar>
        </w:tblPrEx>
        <w:trPr>
          <w:trHeight w:val="625" w:hRule="atLeast"/>
          <w:jc w:val="center"/>
        </w:trPr>
        <w:tc>
          <w:tcPr>
            <w:tcW w:w="1164" w:type="dxa"/>
            <w:tcBorders>
              <w:top w:val="single" w:color="auto" w:sz="6" w:space="0"/>
              <w:left w:val="single" w:color="auto" w:sz="6" w:space="0"/>
              <w:bottom w:val="single" w:color="auto" w:sz="6" w:space="0"/>
              <w:right w:val="single" w:color="auto" w:sz="6" w:space="0"/>
            </w:tcBorders>
            <w:vAlign w:val="center"/>
          </w:tcPr>
          <w:p>
            <w:pPr>
              <w:pStyle w:val="12"/>
              <w:jc w:val="both"/>
            </w:pPr>
            <w:r>
              <w:t>高处坠落</w:t>
            </w:r>
          </w:p>
        </w:tc>
        <w:tc>
          <w:tcPr>
            <w:tcW w:w="2702" w:type="dxa"/>
            <w:tcBorders>
              <w:top w:val="single" w:color="auto" w:sz="6" w:space="0"/>
              <w:left w:val="single" w:color="auto" w:sz="6" w:space="0"/>
              <w:bottom w:val="single" w:color="auto" w:sz="6" w:space="0"/>
              <w:right w:val="single" w:color="auto" w:sz="6" w:space="0"/>
            </w:tcBorders>
            <w:vAlign w:val="center"/>
          </w:tcPr>
          <w:p>
            <w:pPr>
              <w:pStyle w:val="12"/>
              <w:jc w:val="both"/>
            </w:pPr>
            <w:r>
              <w:t>加油区</w:t>
            </w:r>
          </w:p>
        </w:tc>
        <w:tc>
          <w:tcPr>
            <w:tcW w:w="5414" w:type="dxa"/>
            <w:tcBorders>
              <w:top w:val="single" w:color="auto" w:sz="6" w:space="0"/>
              <w:left w:val="single" w:color="auto" w:sz="6" w:space="0"/>
              <w:bottom w:val="single" w:color="auto" w:sz="6" w:space="0"/>
              <w:right w:val="single" w:color="auto" w:sz="6" w:space="0"/>
            </w:tcBorders>
            <w:vAlign w:val="center"/>
          </w:tcPr>
          <w:p>
            <w:pPr>
              <w:pStyle w:val="12"/>
              <w:jc w:val="both"/>
            </w:pPr>
            <w:r>
              <w:t>（1）防护设施不齐全</w:t>
            </w:r>
          </w:p>
          <w:p>
            <w:pPr>
              <w:pStyle w:val="12"/>
              <w:jc w:val="both"/>
            </w:pPr>
            <w:r>
              <w:t>（2）安全警示标志缺失</w:t>
            </w:r>
          </w:p>
          <w:p>
            <w:pPr>
              <w:pStyle w:val="12"/>
              <w:jc w:val="both"/>
            </w:pPr>
            <w:r>
              <w:t>（3）作业人员未注意</w:t>
            </w:r>
          </w:p>
        </w:tc>
      </w:tr>
      <w:tr>
        <w:tblPrEx>
          <w:tblLayout w:type="fixed"/>
          <w:tblCellMar>
            <w:top w:w="0" w:type="dxa"/>
            <w:left w:w="108" w:type="dxa"/>
            <w:bottom w:w="0" w:type="dxa"/>
            <w:right w:w="108" w:type="dxa"/>
          </w:tblCellMar>
        </w:tblPrEx>
        <w:trPr>
          <w:trHeight w:val="625" w:hRule="atLeast"/>
          <w:jc w:val="center"/>
        </w:trPr>
        <w:tc>
          <w:tcPr>
            <w:tcW w:w="1164" w:type="dxa"/>
            <w:tcBorders>
              <w:top w:val="single" w:color="auto" w:sz="6" w:space="0"/>
              <w:left w:val="single" w:color="auto" w:sz="6" w:space="0"/>
              <w:bottom w:val="single" w:color="auto" w:sz="6" w:space="0"/>
              <w:right w:val="single" w:color="auto" w:sz="6" w:space="0"/>
            </w:tcBorders>
            <w:vAlign w:val="center"/>
          </w:tcPr>
          <w:p>
            <w:pPr>
              <w:pStyle w:val="12"/>
              <w:jc w:val="both"/>
            </w:pPr>
            <w:r>
              <w:t>触电</w:t>
            </w:r>
          </w:p>
        </w:tc>
        <w:tc>
          <w:tcPr>
            <w:tcW w:w="2702" w:type="dxa"/>
            <w:tcBorders>
              <w:top w:val="single" w:color="auto" w:sz="6" w:space="0"/>
              <w:left w:val="single" w:color="auto" w:sz="6" w:space="0"/>
              <w:bottom w:val="single" w:color="auto" w:sz="6" w:space="0"/>
              <w:right w:val="single" w:color="auto" w:sz="6" w:space="0"/>
            </w:tcBorders>
            <w:vAlign w:val="center"/>
          </w:tcPr>
          <w:p>
            <w:pPr>
              <w:pStyle w:val="12"/>
              <w:jc w:val="both"/>
            </w:pPr>
            <w:r>
              <w:t>配电装置，用电设备，电气线路</w:t>
            </w:r>
          </w:p>
        </w:tc>
        <w:tc>
          <w:tcPr>
            <w:tcW w:w="5414" w:type="dxa"/>
            <w:tcBorders>
              <w:top w:val="single" w:color="auto" w:sz="6" w:space="0"/>
              <w:left w:val="single" w:color="auto" w:sz="6" w:space="0"/>
              <w:bottom w:val="single" w:color="auto" w:sz="6" w:space="0"/>
              <w:right w:val="single" w:color="auto" w:sz="6" w:space="0"/>
            </w:tcBorders>
            <w:vAlign w:val="center"/>
          </w:tcPr>
          <w:p>
            <w:pPr>
              <w:pStyle w:val="12"/>
              <w:jc w:val="both"/>
            </w:pPr>
            <w:r>
              <w:t>（1）配电装置存在缺陷，使用不合格电气元件</w:t>
            </w:r>
          </w:p>
          <w:p>
            <w:pPr>
              <w:pStyle w:val="12"/>
              <w:jc w:val="both"/>
            </w:pPr>
            <w:r>
              <w:t>（2）操作人员不具备相关资格和知识，电气线路接线存在问题</w:t>
            </w:r>
          </w:p>
          <w:p>
            <w:pPr>
              <w:pStyle w:val="12"/>
              <w:jc w:val="both"/>
            </w:pPr>
            <w:r>
              <w:t>（3）电气设备、线路老化、绝缘损坏漏电</w:t>
            </w:r>
          </w:p>
          <w:p>
            <w:pPr>
              <w:pStyle w:val="12"/>
              <w:jc w:val="both"/>
            </w:pPr>
            <w:r>
              <w:t>（4）未安装漏电保护设施或损坏</w:t>
            </w:r>
          </w:p>
          <w:p>
            <w:pPr>
              <w:pStyle w:val="12"/>
              <w:jc w:val="both"/>
            </w:pPr>
            <w:r>
              <w:t>（5）安全管理存在缺陷，检修作业安全措施未落实</w:t>
            </w:r>
          </w:p>
        </w:tc>
      </w:tr>
      <w:tr>
        <w:tblPrEx>
          <w:tblLayout w:type="fixed"/>
          <w:tblCellMar>
            <w:top w:w="0" w:type="dxa"/>
            <w:left w:w="108" w:type="dxa"/>
            <w:bottom w:w="0" w:type="dxa"/>
            <w:right w:w="108" w:type="dxa"/>
          </w:tblCellMar>
        </w:tblPrEx>
        <w:trPr>
          <w:trHeight w:val="625" w:hRule="atLeast"/>
          <w:jc w:val="center"/>
        </w:trPr>
        <w:tc>
          <w:tcPr>
            <w:tcW w:w="1164" w:type="dxa"/>
            <w:tcBorders>
              <w:top w:val="single" w:color="auto" w:sz="6" w:space="0"/>
              <w:left w:val="single" w:color="auto" w:sz="6" w:space="0"/>
              <w:bottom w:val="single" w:color="auto" w:sz="6" w:space="0"/>
              <w:right w:val="single" w:color="auto" w:sz="6" w:space="0"/>
            </w:tcBorders>
            <w:vAlign w:val="center"/>
          </w:tcPr>
          <w:p>
            <w:pPr>
              <w:pStyle w:val="12"/>
              <w:jc w:val="both"/>
            </w:pPr>
            <w:r>
              <w:t>机械伤害</w:t>
            </w:r>
          </w:p>
        </w:tc>
        <w:tc>
          <w:tcPr>
            <w:tcW w:w="2702" w:type="dxa"/>
            <w:tcBorders>
              <w:top w:val="single" w:color="auto" w:sz="6" w:space="0"/>
              <w:left w:val="single" w:color="auto" w:sz="6" w:space="0"/>
              <w:bottom w:val="single" w:color="auto" w:sz="6" w:space="0"/>
              <w:right w:val="single" w:color="auto" w:sz="6" w:space="0"/>
            </w:tcBorders>
            <w:vAlign w:val="center"/>
          </w:tcPr>
          <w:p>
            <w:pPr>
              <w:pStyle w:val="12"/>
              <w:jc w:val="both"/>
            </w:pPr>
            <w:r>
              <w:t>加油机</w:t>
            </w:r>
          </w:p>
        </w:tc>
        <w:tc>
          <w:tcPr>
            <w:tcW w:w="5414" w:type="dxa"/>
            <w:tcBorders>
              <w:top w:val="single" w:color="auto" w:sz="6" w:space="0"/>
              <w:left w:val="single" w:color="auto" w:sz="6" w:space="0"/>
              <w:bottom w:val="single" w:color="auto" w:sz="6" w:space="0"/>
              <w:right w:val="single" w:color="auto" w:sz="6" w:space="0"/>
            </w:tcBorders>
            <w:vAlign w:val="center"/>
          </w:tcPr>
          <w:p>
            <w:pPr>
              <w:pStyle w:val="12"/>
              <w:jc w:val="both"/>
            </w:pPr>
            <w:r>
              <w:t>（1）安全管理存在缺陷，检修作业安全措施未落实</w:t>
            </w:r>
          </w:p>
          <w:p>
            <w:pPr>
              <w:pStyle w:val="12"/>
              <w:jc w:val="both"/>
            </w:pPr>
            <w:r>
              <w:t>（2）安全管理存在缺陷，加油机检修后未及时装设防护装置</w:t>
            </w:r>
          </w:p>
          <w:p>
            <w:pPr>
              <w:pStyle w:val="12"/>
              <w:jc w:val="both"/>
            </w:pPr>
            <w:r>
              <w:t>（3）人体接触外露转动部件</w:t>
            </w:r>
          </w:p>
        </w:tc>
      </w:tr>
      <w:tr>
        <w:tblPrEx>
          <w:tblLayout w:type="fixed"/>
          <w:tblCellMar>
            <w:top w:w="0" w:type="dxa"/>
            <w:left w:w="108" w:type="dxa"/>
            <w:bottom w:w="0" w:type="dxa"/>
            <w:right w:w="108" w:type="dxa"/>
          </w:tblCellMar>
        </w:tblPrEx>
        <w:trPr>
          <w:trHeight w:val="167" w:hRule="atLeast"/>
          <w:jc w:val="center"/>
        </w:trPr>
        <w:tc>
          <w:tcPr>
            <w:tcW w:w="1164" w:type="dxa"/>
            <w:tcBorders>
              <w:top w:val="single" w:color="auto" w:sz="6" w:space="0"/>
              <w:left w:val="single" w:color="auto" w:sz="6" w:space="0"/>
              <w:bottom w:val="single" w:color="auto" w:sz="6" w:space="0"/>
              <w:right w:val="single" w:color="auto" w:sz="6" w:space="0"/>
            </w:tcBorders>
            <w:vAlign w:val="center"/>
          </w:tcPr>
          <w:p>
            <w:pPr>
              <w:pStyle w:val="12"/>
              <w:jc w:val="both"/>
            </w:pPr>
            <w:r>
              <w:t>中毒窒息</w:t>
            </w:r>
          </w:p>
        </w:tc>
        <w:tc>
          <w:tcPr>
            <w:tcW w:w="2702" w:type="dxa"/>
            <w:tcBorders>
              <w:top w:val="single" w:color="auto" w:sz="6" w:space="0"/>
              <w:left w:val="single" w:color="auto" w:sz="6" w:space="0"/>
              <w:bottom w:val="single" w:color="auto" w:sz="6" w:space="0"/>
              <w:right w:val="single" w:color="auto" w:sz="6" w:space="0"/>
            </w:tcBorders>
            <w:vAlign w:val="center"/>
          </w:tcPr>
          <w:p>
            <w:pPr>
              <w:pStyle w:val="12"/>
              <w:jc w:val="both"/>
            </w:pPr>
            <w:r>
              <w:t>加油区、油罐区</w:t>
            </w:r>
          </w:p>
        </w:tc>
        <w:tc>
          <w:tcPr>
            <w:tcW w:w="5414" w:type="dxa"/>
            <w:tcBorders>
              <w:top w:val="single" w:color="auto" w:sz="6" w:space="0"/>
              <w:left w:val="single" w:color="auto" w:sz="6" w:space="0"/>
              <w:bottom w:val="single" w:color="auto" w:sz="6" w:space="0"/>
              <w:right w:val="single" w:color="auto" w:sz="6" w:space="0"/>
            </w:tcBorders>
            <w:vAlign w:val="center"/>
          </w:tcPr>
          <w:p>
            <w:pPr>
              <w:pStyle w:val="12"/>
              <w:jc w:val="both"/>
            </w:pPr>
            <w:r>
              <w:t>（1）人员吸入油蒸气或接触油品</w:t>
            </w:r>
          </w:p>
          <w:p>
            <w:pPr>
              <w:pStyle w:val="12"/>
              <w:jc w:val="both"/>
            </w:pPr>
            <w:r>
              <w:t>（2）罐内作业没有进行通风或通风条件不良</w:t>
            </w:r>
          </w:p>
        </w:tc>
      </w:tr>
    </w:tbl>
    <w:p>
      <w:pPr>
        <w:pStyle w:val="3"/>
        <w:widowControl/>
        <w:adjustRightInd w:val="0"/>
        <w:snapToGrid w:val="0"/>
        <w:spacing w:before="156" w:beforeLines="50" w:after="156" w:afterLines="50" w:line="240" w:lineRule="auto"/>
        <w:rPr>
          <w:rFonts w:ascii="黑体" w:cs="黑体"/>
          <w:bCs w:val="0"/>
          <w:sz w:val="28"/>
          <w:szCs w:val="28"/>
        </w:rPr>
      </w:pPr>
      <w:bookmarkStart w:id="4" w:name="_Toc2432"/>
      <w:r>
        <w:rPr>
          <w:rFonts w:hint="eastAsia" w:ascii="黑体" w:cs="黑体"/>
          <w:bCs w:val="0"/>
          <w:sz w:val="28"/>
          <w:szCs w:val="28"/>
        </w:rPr>
        <w:t>3.1 危险化学品重大危险源辨识</w:t>
      </w:r>
      <w:bookmarkEnd w:id="4"/>
    </w:p>
    <w:p>
      <w:pPr>
        <w:pStyle w:val="4"/>
        <w:widowControl/>
        <w:adjustRightInd w:val="0"/>
        <w:snapToGrid w:val="0"/>
        <w:spacing w:before="156" w:beforeLines="50" w:after="156" w:afterLines="50" w:line="240" w:lineRule="auto"/>
        <w:rPr>
          <w:rFonts w:ascii="宋体" w:cs="宋体"/>
          <w:bCs w:val="0"/>
          <w:snapToGrid w:val="0"/>
          <w:kern w:val="0"/>
          <w:sz w:val="28"/>
          <w:szCs w:val="28"/>
        </w:rPr>
      </w:pPr>
      <w:bookmarkStart w:id="5" w:name="_Toc29060"/>
      <w:r>
        <w:rPr>
          <w:rFonts w:hint="eastAsia" w:ascii="宋体" w:cs="宋体"/>
          <w:bCs w:val="0"/>
          <w:snapToGrid w:val="0"/>
          <w:kern w:val="0"/>
          <w:sz w:val="28"/>
          <w:szCs w:val="28"/>
        </w:rPr>
        <w:t>3.1.1辨识依据</w:t>
      </w:r>
      <w:bookmarkEnd w:id="5"/>
    </w:p>
    <w:p>
      <w:pPr>
        <w:spacing w:line="560" w:lineRule="exact"/>
        <w:ind w:firstLine="560" w:firstLineChars="200"/>
        <w:rPr>
          <w:rFonts w:ascii="宋体"/>
          <w:sz w:val="28"/>
          <w:lang w:val="zh-CN"/>
        </w:rPr>
      </w:pPr>
      <w:r>
        <w:rPr>
          <w:rFonts w:hint="eastAsia" w:ascii="宋体"/>
          <w:sz w:val="28"/>
          <w:lang w:val="zh-CN"/>
        </w:rPr>
        <w:t>重大危险源是指长期或临时地生产、加工、搬运、储存使用或储存危险物质，且危险物质的量等于或大于临界量的单元。这类单元一旦发生事故，将造成严重的人员伤亡和财产损失。根据《危险化学品重大危险源辨识》（GB18218－2009），单元内存在的危险化学品的数量等于或超过规定的临界量，即被定为重大危险源。</w:t>
      </w:r>
    </w:p>
    <w:p>
      <w:pPr>
        <w:pStyle w:val="13"/>
      </w:pPr>
      <w:r>
        <w:rPr>
          <w:rFonts w:hint="eastAsia"/>
        </w:rPr>
        <w:t>表3-1 危险化学品重大危险源辨识</w:t>
      </w:r>
    </w:p>
    <w:tbl>
      <w:tblPr>
        <w:tblStyle w:val="8"/>
        <w:tblW w:w="9210"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605"/>
        <w:gridCol w:w="864"/>
        <w:gridCol w:w="1441"/>
        <w:gridCol w:w="1084"/>
        <w:gridCol w:w="969"/>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vAlign w:val="center"/>
          </w:tcPr>
          <w:p>
            <w:pPr>
              <w:pStyle w:val="14"/>
              <w:widowControl/>
              <w:adjustRightInd w:val="0"/>
              <w:snapToGrid w:val="0"/>
              <w:spacing w:before="156" w:beforeLines="50" w:after="156" w:afterLines="50" w:line="360" w:lineRule="auto"/>
              <w:rPr>
                <w:rFonts w:ascii="Times New Roman" w:hAnsi="Times New Roman" w:cs="Times New Roman"/>
                <w:b/>
                <w:bCs/>
                <w:sz w:val="18"/>
                <w:szCs w:val="18"/>
              </w:rPr>
            </w:pPr>
            <w:r>
              <w:rPr>
                <w:rFonts w:ascii="Times New Roman" w:hAnsi="Times New Roman" w:cs="Times New Roman"/>
                <w:b/>
                <w:bCs/>
                <w:sz w:val="18"/>
                <w:szCs w:val="18"/>
              </w:rPr>
              <w:t>危险化学品</w:t>
            </w:r>
          </w:p>
        </w:tc>
        <w:tc>
          <w:tcPr>
            <w:tcW w:w="1605" w:type="dxa"/>
            <w:tcBorders>
              <w:top w:val="single" w:color="auto" w:sz="4" w:space="0"/>
              <w:left w:val="single" w:color="auto" w:sz="4" w:space="0"/>
              <w:bottom w:val="single" w:color="auto" w:sz="4" w:space="0"/>
              <w:right w:val="single" w:color="auto" w:sz="4" w:space="0"/>
            </w:tcBorders>
            <w:vAlign w:val="center"/>
          </w:tcPr>
          <w:p>
            <w:pPr>
              <w:pStyle w:val="14"/>
              <w:widowControl/>
              <w:adjustRightInd w:val="0"/>
              <w:snapToGrid w:val="0"/>
              <w:spacing w:before="156" w:beforeLines="50" w:after="156" w:afterLines="50" w:line="360" w:lineRule="auto"/>
              <w:rPr>
                <w:rFonts w:ascii="Times New Roman" w:hAnsi="Times New Roman" w:cs="Times New Roman"/>
                <w:b/>
                <w:bCs/>
                <w:sz w:val="18"/>
                <w:szCs w:val="18"/>
              </w:rPr>
            </w:pPr>
            <w:r>
              <w:rPr>
                <w:rFonts w:ascii="Times New Roman" w:hAnsi="Times New Roman" w:cs="Times New Roman"/>
                <w:b/>
                <w:bCs/>
                <w:sz w:val="18"/>
                <w:szCs w:val="18"/>
              </w:rPr>
              <w:t>实际储量（m³）</w:t>
            </w:r>
          </w:p>
          <w:p>
            <w:pPr>
              <w:pStyle w:val="14"/>
              <w:widowControl/>
              <w:adjustRightInd w:val="0"/>
              <w:snapToGrid w:val="0"/>
              <w:spacing w:before="156" w:beforeLines="50" w:after="156" w:afterLines="50" w:line="360" w:lineRule="auto"/>
              <w:rPr>
                <w:rFonts w:ascii="Times New Roman" w:hAnsi="Times New Roman" w:cs="Times New Roman"/>
                <w:b/>
                <w:bCs/>
                <w:sz w:val="18"/>
                <w:szCs w:val="18"/>
              </w:rPr>
            </w:pPr>
            <w:r>
              <w:rPr>
                <w:rFonts w:ascii="Times New Roman" w:hAnsi="Times New Roman" w:cs="Times New Roman"/>
                <w:b/>
                <w:bCs/>
                <w:sz w:val="18"/>
                <w:szCs w:val="18"/>
              </w:rPr>
              <w:t>灌装系数0.9</w:t>
            </w:r>
          </w:p>
        </w:tc>
        <w:tc>
          <w:tcPr>
            <w:tcW w:w="864" w:type="dxa"/>
            <w:tcBorders>
              <w:top w:val="single" w:color="auto" w:sz="4" w:space="0"/>
              <w:left w:val="single" w:color="auto" w:sz="4" w:space="0"/>
              <w:bottom w:val="single" w:color="auto" w:sz="4" w:space="0"/>
              <w:right w:val="single" w:color="auto" w:sz="4" w:space="0"/>
            </w:tcBorders>
            <w:vAlign w:val="center"/>
          </w:tcPr>
          <w:p>
            <w:pPr>
              <w:pStyle w:val="14"/>
              <w:widowControl/>
              <w:adjustRightInd w:val="0"/>
              <w:snapToGrid w:val="0"/>
              <w:spacing w:before="156" w:beforeLines="50" w:after="156" w:afterLines="50" w:line="360" w:lineRule="auto"/>
              <w:rPr>
                <w:rFonts w:ascii="Times New Roman" w:hAnsi="Times New Roman" w:cs="Times New Roman"/>
              </w:rPr>
            </w:pPr>
            <w:r>
              <w:rPr>
                <w:rFonts w:ascii="Times New Roman" w:hAnsi="Times New Roman" w:cs="Times New Roman"/>
                <w:b/>
                <w:bCs/>
                <w:sz w:val="18"/>
                <w:szCs w:val="18"/>
              </w:rPr>
              <w:t>临界量</w:t>
            </w:r>
          </w:p>
        </w:tc>
        <w:tc>
          <w:tcPr>
            <w:tcW w:w="1441" w:type="dxa"/>
            <w:tcBorders>
              <w:top w:val="single" w:color="auto" w:sz="4" w:space="0"/>
              <w:left w:val="single" w:color="auto" w:sz="4" w:space="0"/>
              <w:bottom w:val="single" w:color="auto" w:sz="4" w:space="0"/>
              <w:right w:val="single" w:color="auto" w:sz="4" w:space="0"/>
            </w:tcBorders>
            <w:vAlign w:val="center"/>
          </w:tcPr>
          <w:p>
            <w:pPr>
              <w:pStyle w:val="14"/>
              <w:widowControl/>
              <w:adjustRightInd w:val="0"/>
              <w:snapToGrid w:val="0"/>
              <w:spacing w:before="156" w:beforeLines="50" w:after="156" w:afterLines="50" w:line="360" w:lineRule="auto"/>
              <w:rPr>
                <w:rFonts w:ascii="Times New Roman" w:hAnsi="Times New Roman" w:cs="Times New Roman"/>
                <w:b/>
                <w:bCs/>
                <w:sz w:val="18"/>
                <w:szCs w:val="18"/>
              </w:rPr>
            </w:pPr>
            <w:r>
              <w:rPr>
                <w:rFonts w:ascii="Times New Roman" w:hAnsi="Times New Roman" w:cs="Times New Roman"/>
                <w:b/>
                <w:bCs/>
                <w:sz w:val="18"/>
                <w:szCs w:val="18"/>
              </w:rPr>
              <w:t>储存设施或</w:t>
            </w:r>
          </w:p>
          <w:p>
            <w:pPr>
              <w:pStyle w:val="14"/>
              <w:widowControl/>
              <w:adjustRightInd w:val="0"/>
              <w:snapToGrid w:val="0"/>
              <w:spacing w:before="156" w:beforeLines="50" w:after="156" w:afterLines="50" w:line="360" w:lineRule="auto"/>
              <w:rPr>
                <w:rFonts w:ascii="Times New Roman" w:hAnsi="Times New Roman" w:cs="Times New Roman"/>
              </w:rPr>
            </w:pPr>
            <w:r>
              <w:rPr>
                <w:rFonts w:ascii="Times New Roman" w:hAnsi="Times New Roman" w:cs="Times New Roman"/>
                <w:b/>
                <w:bCs/>
                <w:sz w:val="18"/>
                <w:szCs w:val="18"/>
              </w:rPr>
              <w:t>包装物</w:t>
            </w:r>
          </w:p>
        </w:tc>
        <w:tc>
          <w:tcPr>
            <w:tcW w:w="1084" w:type="dxa"/>
            <w:tcBorders>
              <w:top w:val="single" w:color="auto" w:sz="4" w:space="0"/>
              <w:left w:val="single" w:color="auto" w:sz="4" w:space="0"/>
              <w:bottom w:val="single" w:color="auto" w:sz="4" w:space="0"/>
              <w:right w:val="single" w:color="auto" w:sz="4" w:space="0"/>
            </w:tcBorders>
            <w:vAlign w:val="center"/>
          </w:tcPr>
          <w:p>
            <w:pPr>
              <w:pStyle w:val="14"/>
              <w:widowControl/>
              <w:adjustRightInd w:val="0"/>
              <w:snapToGrid w:val="0"/>
              <w:spacing w:before="156" w:beforeLines="50" w:after="156" w:afterLines="50" w:line="360" w:lineRule="auto"/>
              <w:rPr>
                <w:rFonts w:ascii="Times New Roman" w:hAnsi="Times New Roman" w:cs="Times New Roman"/>
              </w:rPr>
            </w:pPr>
            <w:r>
              <w:rPr>
                <w:rFonts w:ascii="Times New Roman" w:hAnsi="Times New Roman" w:cs="Times New Roman"/>
                <w:b/>
                <w:bCs/>
                <w:sz w:val="18"/>
                <w:szCs w:val="18"/>
              </w:rPr>
              <w:t>储存部位</w:t>
            </w:r>
          </w:p>
        </w:tc>
        <w:tc>
          <w:tcPr>
            <w:tcW w:w="969" w:type="dxa"/>
            <w:tcBorders>
              <w:top w:val="single" w:color="auto" w:sz="4" w:space="0"/>
              <w:left w:val="single" w:color="auto" w:sz="4" w:space="0"/>
              <w:bottom w:val="single" w:color="auto" w:sz="4" w:space="0"/>
              <w:right w:val="single" w:color="auto" w:sz="4" w:space="0"/>
            </w:tcBorders>
            <w:vAlign w:val="center"/>
          </w:tcPr>
          <w:p>
            <w:pPr>
              <w:pStyle w:val="14"/>
              <w:widowControl/>
              <w:adjustRightInd w:val="0"/>
              <w:snapToGrid w:val="0"/>
              <w:spacing w:before="156" w:beforeLines="50" w:after="156" w:afterLines="50" w:line="360" w:lineRule="auto"/>
              <w:rPr>
                <w:rFonts w:ascii="Times New Roman" w:hAnsi="Times New Roman" w:cs="Times New Roman"/>
              </w:rPr>
            </w:pPr>
            <w:r>
              <w:rPr>
                <w:rFonts w:ascii="Times New Roman" w:hAnsi="Times New Roman" w:cs="Times New Roman"/>
                <w:b/>
                <w:bCs/>
                <w:sz w:val="18"/>
                <w:szCs w:val="18"/>
              </w:rPr>
              <w:t>备注</w:t>
            </w:r>
          </w:p>
        </w:tc>
        <w:tc>
          <w:tcPr>
            <w:tcW w:w="2085" w:type="dxa"/>
            <w:tcBorders>
              <w:top w:val="single" w:color="auto" w:sz="4" w:space="0"/>
              <w:left w:val="single" w:color="auto" w:sz="4" w:space="0"/>
              <w:bottom w:val="single" w:color="auto" w:sz="4" w:space="0"/>
              <w:right w:val="single" w:color="auto" w:sz="4" w:space="0"/>
            </w:tcBorders>
            <w:vAlign w:val="center"/>
          </w:tcPr>
          <w:p>
            <w:pPr>
              <w:pStyle w:val="14"/>
              <w:widowControl/>
              <w:adjustRightInd w:val="0"/>
              <w:snapToGrid w:val="0"/>
              <w:spacing w:before="156" w:beforeLines="50" w:after="156" w:afterLines="50" w:line="360" w:lineRule="auto"/>
              <w:rPr>
                <w:rFonts w:ascii="Times New Roman" w:hAnsi="Times New Roman" w:cs="Times New Roman"/>
                <w:b/>
                <w:bCs/>
                <w:sz w:val="18"/>
                <w:szCs w:val="18"/>
              </w:rPr>
            </w:pPr>
            <w:r>
              <w:rPr>
                <w:rFonts w:ascii="Times New Roman" w:hAnsi="Times New Roman" w:cs="Times New Roman"/>
                <w:b/>
                <w:bCs/>
                <w:sz w:val="18"/>
                <w:szCs w:val="18"/>
              </w:rPr>
              <w:t>是否构成重大危险源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162" w:type="dxa"/>
            <w:tcBorders>
              <w:top w:val="single" w:color="auto" w:sz="4" w:space="0"/>
              <w:left w:val="single" w:color="auto" w:sz="4" w:space="0"/>
              <w:bottom w:val="single" w:color="auto" w:sz="4" w:space="0"/>
              <w:right w:val="single" w:color="auto" w:sz="4" w:space="0"/>
            </w:tcBorders>
            <w:vAlign w:val="center"/>
          </w:tcPr>
          <w:p>
            <w:pPr>
              <w:pStyle w:val="14"/>
              <w:widowControl/>
              <w:adjustRightInd w:val="0"/>
              <w:snapToGrid w:val="0"/>
              <w:spacing w:before="156" w:beforeLines="50" w:after="156" w:afterLines="50" w:line="360" w:lineRule="auto"/>
              <w:rPr>
                <w:rFonts w:ascii="Times New Roman" w:hAnsi="Times New Roman" w:cs="Times New Roman"/>
                <w:sz w:val="18"/>
                <w:szCs w:val="18"/>
              </w:rPr>
            </w:pPr>
            <w:r>
              <w:rPr>
                <w:rFonts w:ascii="Times New Roman" w:hAnsi="Times New Roman" w:cs="Times New Roman"/>
                <w:sz w:val="18"/>
                <w:szCs w:val="18"/>
              </w:rPr>
              <w:t>汽油</w:t>
            </w:r>
          </w:p>
        </w:tc>
        <w:tc>
          <w:tcPr>
            <w:tcW w:w="1605" w:type="dxa"/>
            <w:tcBorders>
              <w:top w:val="single" w:color="auto" w:sz="4" w:space="0"/>
              <w:left w:val="single" w:color="auto" w:sz="4" w:space="0"/>
              <w:bottom w:val="single" w:color="auto" w:sz="4" w:space="0"/>
              <w:right w:val="single" w:color="auto" w:sz="4" w:space="0"/>
            </w:tcBorders>
            <w:vAlign w:val="center"/>
          </w:tcPr>
          <w:p>
            <w:pPr>
              <w:pStyle w:val="14"/>
              <w:widowControl/>
              <w:adjustRightInd w:val="0"/>
              <w:snapToGrid w:val="0"/>
              <w:spacing w:before="156" w:beforeLines="50" w:after="156" w:afterLines="50" w:line="360" w:lineRule="auto"/>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30</w:t>
            </w:r>
          </w:p>
        </w:tc>
        <w:tc>
          <w:tcPr>
            <w:tcW w:w="864" w:type="dxa"/>
            <w:tcBorders>
              <w:top w:val="single" w:color="auto" w:sz="4" w:space="0"/>
              <w:left w:val="single" w:color="auto" w:sz="4" w:space="0"/>
              <w:bottom w:val="single" w:color="auto" w:sz="4" w:space="0"/>
              <w:right w:val="single" w:color="auto" w:sz="4" w:space="0"/>
            </w:tcBorders>
            <w:vAlign w:val="center"/>
          </w:tcPr>
          <w:p>
            <w:pPr>
              <w:pStyle w:val="14"/>
              <w:widowControl/>
              <w:adjustRightInd w:val="0"/>
              <w:snapToGrid w:val="0"/>
              <w:spacing w:before="156" w:beforeLines="50" w:after="156" w:afterLines="50" w:line="360" w:lineRule="auto"/>
              <w:rPr>
                <w:rFonts w:ascii="Times New Roman" w:hAnsi="Times New Roman" w:cs="Times New Roman"/>
              </w:rPr>
            </w:pPr>
            <w:r>
              <w:rPr>
                <w:rFonts w:ascii="Times New Roman" w:hAnsi="Times New Roman" w:cs="Times New Roman"/>
                <w:sz w:val="18"/>
                <w:szCs w:val="18"/>
              </w:rPr>
              <w:t>200t</w:t>
            </w:r>
          </w:p>
        </w:tc>
        <w:tc>
          <w:tcPr>
            <w:tcW w:w="1441" w:type="dxa"/>
            <w:tcBorders>
              <w:top w:val="single" w:color="auto" w:sz="4" w:space="0"/>
              <w:left w:val="single" w:color="auto" w:sz="4" w:space="0"/>
              <w:bottom w:val="single" w:color="auto" w:sz="4" w:space="0"/>
              <w:right w:val="single" w:color="auto" w:sz="4" w:space="0"/>
            </w:tcBorders>
            <w:vAlign w:val="center"/>
          </w:tcPr>
          <w:p>
            <w:pPr>
              <w:pStyle w:val="14"/>
              <w:widowControl/>
              <w:adjustRightInd w:val="0"/>
              <w:snapToGrid w:val="0"/>
              <w:spacing w:before="156" w:beforeLines="50" w:after="156" w:afterLines="50" w:line="360" w:lineRule="auto"/>
              <w:rPr>
                <w:rFonts w:ascii="Times New Roman" w:hAnsi="Times New Roman" w:cs="Times New Roman"/>
              </w:rPr>
            </w:pPr>
            <w:r>
              <w:rPr>
                <w:rFonts w:ascii="Times New Roman" w:hAnsi="Times New Roman" w:cs="Times New Roman"/>
                <w:sz w:val="18"/>
                <w:szCs w:val="18"/>
              </w:rPr>
              <w:t>埋地钢制卧式储油罐</w:t>
            </w:r>
          </w:p>
        </w:tc>
        <w:tc>
          <w:tcPr>
            <w:tcW w:w="1084" w:type="dxa"/>
            <w:tcBorders>
              <w:top w:val="single" w:color="auto" w:sz="4" w:space="0"/>
              <w:left w:val="single" w:color="auto" w:sz="4" w:space="0"/>
              <w:bottom w:val="single" w:color="auto" w:sz="4" w:space="0"/>
              <w:right w:val="single" w:color="auto" w:sz="4" w:space="0"/>
            </w:tcBorders>
            <w:vAlign w:val="center"/>
          </w:tcPr>
          <w:p>
            <w:pPr>
              <w:pStyle w:val="14"/>
              <w:widowControl/>
              <w:adjustRightInd w:val="0"/>
              <w:snapToGrid w:val="0"/>
              <w:spacing w:before="156" w:beforeLines="50" w:after="156" w:afterLines="50" w:line="360" w:lineRule="auto"/>
              <w:rPr>
                <w:rFonts w:ascii="Times New Roman" w:hAnsi="Times New Roman" w:cs="Times New Roman"/>
              </w:rPr>
            </w:pPr>
            <w:r>
              <w:rPr>
                <w:rFonts w:ascii="Times New Roman" w:hAnsi="Times New Roman" w:cs="Times New Roman"/>
                <w:sz w:val="18"/>
                <w:szCs w:val="18"/>
              </w:rPr>
              <w:t>油罐区</w:t>
            </w:r>
          </w:p>
        </w:tc>
        <w:tc>
          <w:tcPr>
            <w:tcW w:w="969" w:type="dxa"/>
            <w:tcBorders>
              <w:top w:val="single" w:color="auto" w:sz="4" w:space="0"/>
              <w:left w:val="single" w:color="auto" w:sz="4" w:space="0"/>
              <w:bottom w:val="single" w:color="auto" w:sz="4" w:space="0"/>
              <w:right w:val="single" w:color="auto" w:sz="4" w:space="0"/>
            </w:tcBorders>
            <w:vAlign w:val="center"/>
          </w:tcPr>
          <w:p>
            <w:pPr>
              <w:pStyle w:val="14"/>
              <w:widowControl/>
              <w:adjustRightInd w:val="0"/>
              <w:snapToGrid w:val="0"/>
              <w:spacing w:before="156" w:beforeLines="50" w:after="156" w:afterLines="50" w:line="360" w:lineRule="auto"/>
              <w:jc w:val="both"/>
              <w:rPr>
                <w:rFonts w:ascii="Times New Roman" w:hAnsi="Times New Roman" w:cs="Times New Roman"/>
              </w:rPr>
            </w:pPr>
            <w:r>
              <w:rPr>
                <w:rFonts w:ascii="Times New Roman" w:hAnsi="Times New Roman" w:cs="Times New Roman"/>
                <w:sz w:val="18"/>
                <w:szCs w:val="18"/>
              </w:rPr>
              <w:t>汽油密度取值0.7</w:t>
            </w:r>
            <w:r>
              <w:rPr>
                <w:rFonts w:hint="eastAsia" w:ascii="Times New Roman" w:hAnsi="Times New Roman" w:cs="Times New Roman"/>
                <w:sz w:val="18"/>
                <w:szCs w:val="18"/>
              </w:rPr>
              <w:t>9</w:t>
            </w:r>
            <w:r>
              <w:rPr>
                <w:rFonts w:ascii="Times New Roman" w:hAnsi="Times New Roman" w:cs="Times New Roman"/>
                <w:sz w:val="18"/>
                <w:szCs w:val="18"/>
              </w:rPr>
              <w:t xml:space="preserve"> </w:t>
            </w:r>
          </w:p>
        </w:tc>
        <w:tc>
          <w:tcPr>
            <w:tcW w:w="2085" w:type="dxa"/>
            <w:vMerge w:val="restart"/>
            <w:tcBorders>
              <w:top w:val="single" w:color="auto" w:sz="4" w:space="0"/>
              <w:left w:val="single" w:color="auto" w:sz="4" w:space="0"/>
              <w:right w:val="single" w:color="auto" w:sz="4" w:space="0"/>
            </w:tcBorders>
            <w:vAlign w:val="center"/>
          </w:tcPr>
          <w:p>
            <w:pPr>
              <w:pStyle w:val="14"/>
              <w:widowControl/>
              <w:adjustRightInd w:val="0"/>
              <w:snapToGrid w:val="0"/>
              <w:spacing w:before="156" w:beforeLines="50" w:after="156" w:afterLines="50" w:line="360" w:lineRule="auto"/>
              <w:jc w:val="both"/>
              <w:rPr>
                <w:rFonts w:ascii="Times New Roman" w:hAnsi="Times New Roman" w:cs="Times New Roman"/>
                <w:sz w:val="18"/>
                <w:szCs w:val="18"/>
              </w:rPr>
            </w:pPr>
            <w:r>
              <w:rPr>
                <w:rFonts w:hint="eastAsia" w:ascii="Times New Roman" w:hAnsi="Times New Roman" w:cs="Times New Roman"/>
                <w:sz w:val="18"/>
                <w:szCs w:val="18"/>
              </w:rPr>
              <w:t>60*0.79*0.9/200</w:t>
            </w:r>
            <w:r>
              <w:rPr>
                <w:rFonts w:ascii="Times New Roman" w:hAnsi="Times New Roman" w:cs="Times New Roman"/>
                <w:sz w:val="18"/>
                <w:szCs w:val="18"/>
              </w:rPr>
              <w:t>+</w:t>
            </w:r>
            <w:r>
              <w:rPr>
                <w:rFonts w:hint="eastAsia" w:ascii="Times New Roman" w:hAnsi="Times New Roman" w:cs="Times New Roman"/>
                <w:sz w:val="18"/>
                <w:szCs w:val="18"/>
              </w:rPr>
              <w:t>50</w:t>
            </w:r>
            <w:r>
              <w:rPr>
                <w:rFonts w:ascii="Times New Roman" w:hAnsi="Times New Roman" w:cs="Times New Roman"/>
                <w:sz w:val="18"/>
                <w:szCs w:val="18"/>
              </w:rPr>
              <w:t>*0.87</w:t>
            </w:r>
            <w:r>
              <w:rPr>
                <w:rFonts w:hint="eastAsia" w:ascii="Times New Roman" w:hAnsi="Times New Roman" w:cs="Times New Roman"/>
                <w:sz w:val="18"/>
                <w:szCs w:val="18"/>
              </w:rPr>
              <w:t>*0.9</w:t>
            </w:r>
            <w:r>
              <w:rPr>
                <w:rFonts w:ascii="Times New Roman" w:hAnsi="Times New Roman" w:cs="Times New Roman"/>
                <w:sz w:val="18"/>
                <w:szCs w:val="18"/>
              </w:rPr>
              <w:t>/5000</w:t>
            </w:r>
            <w:r>
              <w:rPr>
                <w:rFonts w:hint="eastAsia" w:ascii="Times New Roman" w:hAnsi="Times New Roman" w:cs="Times New Roman"/>
                <w:sz w:val="18"/>
                <w:szCs w:val="18"/>
              </w:rPr>
              <w:t>=</w:t>
            </w:r>
            <w:r>
              <w:rPr>
                <w:rFonts w:ascii="Times New Roman" w:hAnsi="Times New Roman" w:cs="Times New Roman"/>
                <w:sz w:val="18"/>
                <w:szCs w:val="18"/>
              </w:rPr>
              <w:t>0.</w:t>
            </w:r>
            <w:r>
              <w:rPr>
                <w:rFonts w:hint="eastAsia" w:ascii="Times New Roman" w:hAnsi="Times New Roman" w:cs="Times New Roman"/>
                <w:sz w:val="18"/>
                <w:szCs w:val="18"/>
              </w:rPr>
              <w:t>221</w:t>
            </w:r>
            <w:r>
              <w:rPr>
                <w:rFonts w:ascii="Times New Roman" w:hAnsi="Times New Roman" w:cs="Times New Roman"/>
                <w:sz w:val="18"/>
                <w:szCs w:val="18"/>
              </w:rPr>
              <w:t>＜1</w:t>
            </w:r>
          </w:p>
          <w:p>
            <w:pPr>
              <w:pStyle w:val="14"/>
              <w:widowControl/>
              <w:adjustRightInd w:val="0"/>
              <w:snapToGrid w:val="0"/>
              <w:spacing w:before="156" w:beforeLines="50" w:after="156" w:afterLines="50" w:line="360" w:lineRule="auto"/>
              <w:jc w:val="both"/>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162" w:type="dxa"/>
            <w:tcBorders>
              <w:top w:val="single" w:color="auto" w:sz="4" w:space="0"/>
              <w:left w:val="single" w:color="auto" w:sz="4" w:space="0"/>
              <w:bottom w:val="single" w:color="auto" w:sz="4" w:space="0"/>
              <w:right w:val="single" w:color="auto" w:sz="4" w:space="0"/>
            </w:tcBorders>
            <w:vAlign w:val="center"/>
          </w:tcPr>
          <w:p>
            <w:pPr>
              <w:pStyle w:val="14"/>
              <w:widowControl/>
              <w:adjustRightInd w:val="0"/>
              <w:snapToGrid w:val="0"/>
              <w:spacing w:before="156" w:beforeLines="50" w:after="156" w:afterLines="50" w:line="360" w:lineRule="auto"/>
              <w:rPr>
                <w:rFonts w:ascii="Times New Roman" w:hAnsi="Times New Roman" w:cs="Times New Roman"/>
                <w:sz w:val="18"/>
                <w:szCs w:val="18"/>
              </w:rPr>
            </w:pPr>
            <w:r>
              <w:rPr>
                <w:rFonts w:ascii="Times New Roman" w:hAnsi="Times New Roman" w:cs="Times New Roman"/>
                <w:sz w:val="18"/>
                <w:szCs w:val="18"/>
              </w:rPr>
              <w:t>柴油</w:t>
            </w:r>
          </w:p>
        </w:tc>
        <w:tc>
          <w:tcPr>
            <w:tcW w:w="1605" w:type="dxa"/>
            <w:tcBorders>
              <w:top w:val="single" w:color="auto" w:sz="4" w:space="0"/>
              <w:left w:val="single" w:color="auto" w:sz="4" w:space="0"/>
              <w:bottom w:val="single" w:color="auto" w:sz="4" w:space="0"/>
              <w:right w:val="single" w:color="auto" w:sz="4" w:space="0"/>
            </w:tcBorders>
            <w:vAlign w:val="center"/>
          </w:tcPr>
          <w:p>
            <w:pPr>
              <w:pStyle w:val="14"/>
              <w:widowControl/>
              <w:adjustRightInd w:val="0"/>
              <w:snapToGrid w:val="0"/>
              <w:spacing w:before="156" w:beforeLines="50" w:after="156" w:afterLines="50" w:line="360" w:lineRule="auto"/>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30</w:t>
            </w:r>
          </w:p>
        </w:tc>
        <w:tc>
          <w:tcPr>
            <w:tcW w:w="864" w:type="dxa"/>
            <w:tcBorders>
              <w:top w:val="single" w:color="auto" w:sz="4" w:space="0"/>
              <w:left w:val="single" w:color="auto" w:sz="4" w:space="0"/>
              <w:bottom w:val="single" w:color="auto" w:sz="4" w:space="0"/>
              <w:right w:val="single" w:color="auto" w:sz="4" w:space="0"/>
            </w:tcBorders>
            <w:vAlign w:val="center"/>
          </w:tcPr>
          <w:p>
            <w:pPr>
              <w:pStyle w:val="14"/>
              <w:widowControl/>
              <w:adjustRightInd w:val="0"/>
              <w:snapToGrid w:val="0"/>
              <w:spacing w:before="156" w:beforeLines="50" w:after="156" w:afterLines="50" w:line="360" w:lineRule="auto"/>
              <w:rPr>
                <w:rFonts w:ascii="Times New Roman" w:hAnsi="Times New Roman" w:cs="Times New Roman"/>
                <w:sz w:val="18"/>
                <w:szCs w:val="18"/>
              </w:rPr>
            </w:pPr>
            <w:r>
              <w:rPr>
                <w:rFonts w:ascii="Times New Roman" w:hAnsi="Times New Roman" w:cs="Times New Roman"/>
                <w:sz w:val="18"/>
                <w:szCs w:val="18"/>
              </w:rPr>
              <w:t>5000t</w:t>
            </w:r>
          </w:p>
        </w:tc>
        <w:tc>
          <w:tcPr>
            <w:tcW w:w="1441" w:type="dxa"/>
            <w:tcBorders>
              <w:top w:val="single" w:color="auto" w:sz="4" w:space="0"/>
              <w:left w:val="single" w:color="auto" w:sz="4" w:space="0"/>
              <w:bottom w:val="single" w:color="auto" w:sz="4" w:space="0"/>
              <w:right w:val="single" w:color="auto" w:sz="4" w:space="0"/>
            </w:tcBorders>
            <w:vAlign w:val="center"/>
          </w:tcPr>
          <w:p>
            <w:pPr>
              <w:pStyle w:val="14"/>
              <w:widowControl/>
              <w:adjustRightInd w:val="0"/>
              <w:snapToGrid w:val="0"/>
              <w:spacing w:before="156" w:beforeLines="50" w:after="156" w:afterLines="50" w:line="360" w:lineRule="auto"/>
              <w:rPr>
                <w:rFonts w:ascii="Times New Roman" w:hAnsi="Times New Roman" w:cs="Times New Roman"/>
                <w:sz w:val="18"/>
                <w:szCs w:val="18"/>
              </w:rPr>
            </w:pPr>
            <w:r>
              <w:rPr>
                <w:rFonts w:ascii="Times New Roman" w:hAnsi="Times New Roman" w:cs="Times New Roman"/>
                <w:sz w:val="18"/>
                <w:szCs w:val="18"/>
              </w:rPr>
              <w:t>埋地钢制卧式储油罐</w:t>
            </w:r>
          </w:p>
        </w:tc>
        <w:tc>
          <w:tcPr>
            <w:tcW w:w="1084" w:type="dxa"/>
            <w:tcBorders>
              <w:top w:val="single" w:color="auto" w:sz="4" w:space="0"/>
              <w:left w:val="single" w:color="auto" w:sz="4" w:space="0"/>
              <w:bottom w:val="single" w:color="auto" w:sz="4" w:space="0"/>
              <w:right w:val="single" w:color="auto" w:sz="4" w:space="0"/>
            </w:tcBorders>
            <w:vAlign w:val="center"/>
          </w:tcPr>
          <w:p>
            <w:pPr>
              <w:pStyle w:val="14"/>
              <w:widowControl/>
              <w:adjustRightInd w:val="0"/>
              <w:snapToGrid w:val="0"/>
              <w:spacing w:before="156" w:beforeLines="50" w:after="156" w:afterLines="50" w:line="360" w:lineRule="auto"/>
              <w:rPr>
                <w:rFonts w:ascii="Times New Roman" w:hAnsi="Times New Roman" w:cs="Times New Roman"/>
                <w:sz w:val="18"/>
                <w:szCs w:val="18"/>
              </w:rPr>
            </w:pPr>
            <w:r>
              <w:rPr>
                <w:rFonts w:ascii="Times New Roman" w:hAnsi="Times New Roman" w:cs="Times New Roman"/>
                <w:sz w:val="18"/>
                <w:szCs w:val="18"/>
              </w:rPr>
              <w:t>油罐区</w:t>
            </w:r>
          </w:p>
        </w:tc>
        <w:tc>
          <w:tcPr>
            <w:tcW w:w="969" w:type="dxa"/>
            <w:tcBorders>
              <w:top w:val="single" w:color="auto" w:sz="4" w:space="0"/>
              <w:left w:val="single" w:color="auto" w:sz="4" w:space="0"/>
              <w:bottom w:val="single" w:color="auto" w:sz="4" w:space="0"/>
              <w:right w:val="single" w:color="auto" w:sz="4" w:space="0"/>
            </w:tcBorders>
            <w:vAlign w:val="center"/>
          </w:tcPr>
          <w:p>
            <w:pPr>
              <w:pStyle w:val="14"/>
              <w:widowControl/>
              <w:adjustRightInd w:val="0"/>
              <w:snapToGrid w:val="0"/>
              <w:spacing w:before="156" w:beforeLines="50" w:after="156" w:afterLines="50" w:line="360" w:lineRule="auto"/>
              <w:jc w:val="both"/>
              <w:rPr>
                <w:rFonts w:ascii="Times New Roman" w:hAnsi="Times New Roman" w:cs="Times New Roman"/>
                <w:sz w:val="18"/>
                <w:szCs w:val="18"/>
              </w:rPr>
            </w:pPr>
            <w:r>
              <w:rPr>
                <w:rFonts w:ascii="Times New Roman" w:hAnsi="Times New Roman" w:cs="Times New Roman"/>
                <w:sz w:val="18"/>
                <w:szCs w:val="18"/>
              </w:rPr>
              <w:t>柴油密度取值0.87</w:t>
            </w:r>
          </w:p>
        </w:tc>
        <w:tc>
          <w:tcPr>
            <w:tcW w:w="2085" w:type="dxa"/>
            <w:vMerge w:val="continue"/>
            <w:tcBorders>
              <w:left w:val="single" w:color="auto" w:sz="4" w:space="0"/>
              <w:right w:val="single" w:color="auto" w:sz="4" w:space="0"/>
            </w:tcBorders>
            <w:vAlign w:val="center"/>
          </w:tcPr>
          <w:p/>
        </w:tc>
      </w:tr>
    </w:tbl>
    <w:p/>
    <w:p>
      <w:pPr>
        <w:pStyle w:val="4"/>
        <w:widowControl/>
        <w:adjustRightInd w:val="0"/>
        <w:snapToGrid w:val="0"/>
        <w:spacing w:before="156" w:beforeLines="50" w:after="156" w:afterLines="50" w:line="240" w:lineRule="auto"/>
        <w:rPr>
          <w:rFonts w:ascii="宋体" w:cs="宋体"/>
          <w:bCs w:val="0"/>
          <w:snapToGrid w:val="0"/>
          <w:kern w:val="0"/>
          <w:sz w:val="28"/>
          <w:szCs w:val="28"/>
        </w:rPr>
      </w:pPr>
      <w:r>
        <w:rPr>
          <w:rFonts w:hint="eastAsia" w:ascii="宋体" w:cs="宋体"/>
          <w:bCs w:val="0"/>
          <w:snapToGrid w:val="0"/>
          <w:kern w:val="0"/>
          <w:sz w:val="28"/>
          <w:szCs w:val="28"/>
        </w:rPr>
        <w:t>3.1.2</w:t>
      </w:r>
      <w:r>
        <w:rPr>
          <w:rFonts w:ascii="宋体" w:cs="宋体"/>
          <w:bCs w:val="0"/>
          <w:snapToGrid w:val="0"/>
          <w:kern w:val="0"/>
          <w:sz w:val="28"/>
          <w:szCs w:val="28"/>
        </w:rPr>
        <w:t xml:space="preserve">辩识结果 </w:t>
      </w:r>
    </w:p>
    <w:p>
      <w:pPr>
        <w:spacing w:before="156" w:beforeLines="50" w:after="156" w:afterLines="50" w:line="360" w:lineRule="auto"/>
        <w:ind w:firstLine="561"/>
        <w:rPr>
          <w:rFonts w:ascii="宋体"/>
          <w:sz w:val="28"/>
          <w:lang w:val="zh-CN"/>
        </w:rPr>
      </w:pPr>
      <w:r>
        <w:rPr>
          <w:rFonts w:hint="eastAsia" w:ascii="宋体"/>
          <w:sz w:val="28"/>
          <w:lang w:val="zh-CN"/>
        </w:rPr>
        <w:t>仪陇县中弘川油能源有限责任公司城西加油站不构成危险化学品重大危险源。</w:t>
      </w:r>
      <w:bookmarkStart w:id="88" w:name="_GoBack"/>
      <w:bookmarkEnd w:id="88"/>
    </w:p>
    <w:p>
      <w:pPr>
        <w:pStyle w:val="3"/>
        <w:widowControl/>
        <w:adjustRightInd w:val="0"/>
        <w:snapToGrid w:val="0"/>
        <w:spacing w:before="156" w:beforeLines="50" w:after="156" w:afterLines="50" w:line="240" w:lineRule="auto"/>
        <w:rPr>
          <w:rFonts w:ascii="黑体" w:cs="黑体"/>
          <w:bCs w:val="0"/>
          <w:sz w:val="28"/>
          <w:szCs w:val="28"/>
        </w:rPr>
      </w:pPr>
      <w:r>
        <w:rPr>
          <w:rFonts w:hint="eastAsia" w:ascii="黑体" w:cs="黑体"/>
          <w:bCs w:val="0"/>
          <w:sz w:val="28"/>
          <w:szCs w:val="28"/>
        </w:rPr>
        <w:t>3</w:t>
      </w:r>
      <w:r>
        <w:rPr>
          <w:rFonts w:ascii="黑体" w:cs="黑体"/>
          <w:bCs w:val="0"/>
          <w:sz w:val="28"/>
          <w:szCs w:val="28"/>
        </w:rPr>
        <w:t>.</w:t>
      </w:r>
      <w:r>
        <w:rPr>
          <w:rFonts w:hint="eastAsia" w:ascii="黑体" w:cs="黑体"/>
          <w:bCs w:val="0"/>
          <w:sz w:val="28"/>
          <w:szCs w:val="28"/>
        </w:rPr>
        <w:t>2汽车加油站</w:t>
      </w:r>
      <w:r>
        <w:rPr>
          <w:rFonts w:ascii="黑体" w:cs="黑体"/>
          <w:bCs w:val="0"/>
          <w:sz w:val="28"/>
          <w:szCs w:val="28"/>
        </w:rPr>
        <w:t>危险度评估</w:t>
      </w:r>
    </w:p>
    <w:p>
      <w:pPr>
        <w:adjustRightInd w:val="0"/>
        <w:snapToGrid w:val="0"/>
        <w:spacing w:before="156" w:beforeLines="50" w:after="156" w:afterLines="50" w:line="360" w:lineRule="auto"/>
        <w:ind w:firstLine="560" w:firstLineChars="200"/>
        <w:rPr>
          <w:rFonts w:ascii="宋体"/>
          <w:sz w:val="28"/>
          <w:lang w:val="zh-CN"/>
        </w:rPr>
      </w:pPr>
      <w:r>
        <w:rPr>
          <w:rFonts w:hint="eastAsia" w:ascii="宋体"/>
          <w:sz w:val="28"/>
          <w:lang w:val="zh-CN"/>
        </w:rPr>
        <w:t>按</w:t>
      </w:r>
      <w:r>
        <w:rPr>
          <w:rFonts w:ascii="宋体"/>
          <w:sz w:val="28"/>
          <w:lang w:val="zh-CN"/>
        </w:rPr>
        <w:t>危险度取值表，对加油单元、储油单元进行危险度</w:t>
      </w:r>
      <w:r>
        <w:rPr>
          <w:rFonts w:hint="eastAsia" w:ascii="宋体"/>
          <w:sz w:val="28"/>
          <w:lang w:val="zh-CN"/>
        </w:rPr>
        <w:t>评估</w:t>
      </w:r>
      <w:r>
        <w:rPr>
          <w:rFonts w:ascii="宋体"/>
          <w:sz w:val="28"/>
          <w:lang w:val="zh-CN"/>
        </w:rPr>
        <w:t>，危险度评价结果如下：</w:t>
      </w:r>
    </w:p>
    <w:p>
      <w:pPr>
        <w:pStyle w:val="13"/>
      </w:pPr>
      <w:r>
        <w:t>附表4-</w:t>
      </w:r>
      <w:r>
        <w:rPr>
          <w:rFonts w:hint="eastAsia"/>
        </w:rPr>
        <w:t>2</w:t>
      </w:r>
      <w:r>
        <w:t>加油区及油罐区危险度评估结果汇总表</w:t>
      </w:r>
    </w:p>
    <w:tbl>
      <w:tblPr>
        <w:tblStyle w:val="8"/>
        <w:tblW w:w="90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63"/>
        <w:gridCol w:w="1080"/>
        <w:gridCol w:w="540"/>
        <w:gridCol w:w="772"/>
        <w:gridCol w:w="540"/>
        <w:gridCol w:w="847"/>
        <w:gridCol w:w="540"/>
        <w:gridCol w:w="739"/>
        <w:gridCol w:w="521"/>
        <w:gridCol w:w="720"/>
        <w:gridCol w:w="54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56" w:type="dxa"/>
            <w:vMerge w:val="restart"/>
            <w:tcBorders>
              <w:top w:val="single" w:color="auto" w:sz="4" w:space="0"/>
              <w:left w:val="single" w:color="auto" w:sz="4" w:space="0"/>
              <w:right w:val="single" w:color="auto" w:sz="4" w:space="0"/>
            </w:tcBorders>
          </w:tcPr>
          <w:p>
            <w:pPr>
              <w:pStyle w:val="12"/>
            </w:pPr>
            <w:r>
              <w:t>序号</w:t>
            </w:r>
          </w:p>
        </w:tc>
        <w:tc>
          <w:tcPr>
            <w:tcW w:w="863" w:type="dxa"/>
            <w:vMerge w:val="restart"/>
            <w:tcBorders>
              <w:top w:val="single" w:color="auto" w:sz="4" w:space="0"/>
              <w:left w:val="single" w:color="auto" w:sz="4" w:space="0"/>
              <w:right w:val="single" w:color="auto" w:sz="4" w:space="0"/>
            </w:tcBorders>
          </w:tcPr>
          <w:p>
            <w:pPr>
              <w:pStyle w:val="12"/>
            </w:pPr>
            <w:r>
              <w:t>评价</w:t>
            </w:r>
          </w:p>
          <w:p>
            <w:pPr>
              <w:pStyle w:val="12"/>
            </w:pPr>
            <w:r>
              <w:t>单元</w:t>
            </w:r>
          </w:p>
        </w:tc>
        <w:tc>
          <w:tcPr>
            <w:tcW w:w="1620" w:type="dxa"/>
            <w:gridSpan w:val="2"/>
            <w:tcBorders>
              <w:top w:val="single" w:color="auto" w:sz="4" w:space="0"/>
              <w:left w:val="single" w:color="auto" w:sz="4" w:space="0"/>
              <w:bottom w:val="single" w:color="auto" w:sz="4" w:space="0"/>
              <w:right w:val="single" w:color="auto" w:sz="4" w:space="0"/>
            </w:tcBorders>
          </w:tcPr>
          <w:p>
            <w:pPr>
              <w:pStyle w:val="12"/>
            </w:pPr>
            <w:r>
              <w:t>主要介质</w:t>
            </w:r>
          </w:p>
        </w:tc>
        <w:tc>
          <w:tcPr>
            <w:tcW w:w="1312" w:type="dxa"/>
            <w:gridSpan w:val="2"/>
            <w:tcBorders>
              <w:top w:val="single" w:color="auto" w:sz="4" w:space="0"/>
              <w:left w:val="single" w:color="auto" w:sz="4" w:space="0"/>
              <w:bottom w:val="single" w:color="auto" w:sz="4" w:space="0"/>
              <w:right w:val="single" w:color="auto" w:sz="4" w:space="0"/>
            </w:tcBorders>
          </w:tcPr>
          <w:p>
            <w:pPr>
              <w:pStyle w:val="12"/>
            </w:pPr>
            <w:r>
              <w:t>设备容量</w:t>
            </w:r>
          </w:p>
        </w:tc>
        <w:tc>
          <w:tcPr>
            <w:tcW w:w="1387" w:type="dxa"/>
            <w:gridSpan w:val="2"/>
            <w:tcBorders>
              <w:top w:val="single" w:color="auto" w:sz="4" w:space="0"/>
              <w:left w:val="single" w:color="auto" w:sz="4" w:space="0"/>
              <w:bottom w:val="single" w:color="auto" w:sz="4" w:space="0"/>
              <w:right w:val="single" w:color="auto" w:sz="4" w:space="0"/>
            </w:tcBorders>
          </w:tcPr>
          <w:p>
            <w:pPr>
              <w:pStyle w:val="12"/>
            </w:pPr>
            <w:r>
              <w:t>温度</w:t>
            </w:r>
          </w:p>
        </w:tc>
        <w:tc>
          <w:tcPr>
            <w:tcW w:w="1260" w:type="dxa"/>
            <w:gridSpan w:val="2"/>
            <w:tcBorders>
              <w:top w:val="single" w:color="auto" w:sz="4" w:space="0"/>
              <w:left w:val="single" w:color="auto" w:sz="4" w:space="0"/>
              <w:bottom w:val="single" w:color="auto" w:sz="4" w:space="0"/>
              <w:right w:val="single" w:color="auto" w:sz="4" w:space="0"/>
            </w:tcBorders>
          </w:tcPr>
          <w:p>
            <w:pPr>
              <w:pStyle w:val="12"/>
            </w:pPr>
            <w:r>
              <w:t>压力</w:t>
            </w:r>
          </w:p>
        </w:tc>
        <w:tc>
          <w:tcPr>
            <w:tcW w:w="720" w:type="dxa"/>
            <w:tcBorders>
              <w:top w:val="single" w:color="auto" w:sz="4" w:space="0"/>
              <w:left w:val="single" w:color="auto" w:sz="4" w:space="0"/>
              <w:bottom w:val="single" w:color="auto" w:sz="4" w:space="0"/>
              <w:right w:val="single" w:color="auto" w:sz="4" w:space="0"/>
            </w:tcBorders>
          </w:tcPr>
          <w:p>
            <w:pPr>
              <w:pStyle w:val="12"/>
            </w:pPr>
            <w:r>
              <w:t>操作</w:t>
            </w:r>
          </w:p>
        </w:tc>
        <w:tc>
          <w:tcPr>
            <w:tcW w:w="1440" w:type="dxa"/>
            <w:gridSpan w:val="2"/>
            <w:tcBorders>
              <w:top w:val="single" w:color="auto" w:sz="4" w:space="0"/>
              <w:left w:val="single" w:color="auto" w:sz="4" w:space="0"/>
              <w:bottom w:val="single" w:color="auto" w:sz="4" w:space="0"/>
              <w:right w:val="single" w:color="auto" w:sz="4" w:space="0"/>
            </w:tcBorders>
          </w:tcPr>
          <w:p>
            <w:pPr>
              <w:pStyle w:val="12"/>
            </w:pPr>
            <w: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56" w:type="dxa"/>
            <w:vMerge w:val="continue"/>
            <w:tcBorders>
              <w:top w:val="single" w:color="auto" w:sz="4" w:space="0"/>
              <w:left w:val="single" w:color="auto" w:sz="4" w:space="0"/>
              <w:bottom w:val="single" w:color="auto" w:sz="4" w:space="0"/>
              <w:right w:val="single" w:color="auto" w:sz="4" w:space="0"/>
            </w:tcBorders>
          </w:tcPr>
          <w:p/>
        </w:tc>
        <w:tc>
          <w:tcPr>
            <w:tcW w:w="863" w:type="dxa"/>
            <w:vMerge w:val="continue"/>
            <w:tcBorders>
              <w:top w:val="single" w:color="auto" w:sz="4" w:space="0"/>
              <w:left w:val="single" w:color="auto" w:sz="4" w:space="0"/>
              <w:bottom w:val="single" w:color="auto" w:sz="4" w:space="0"/>
              <w:right w:val="single" w:color="auto" w:sz="4" w:space="0"/>
            </w:tcBorders>
          </w:tcPr>
          <w:p/>
        </w:tc>
        <w:tc>
          <w:tcPr>
            <w:tcW w:w="1080" w:type="dxa"/>
            <w:tcBorders>
              <w:top w:val="single" w:color="auto" w:sz="4" w:space="0"/>
              <w:left w:val="single" w:color="auto" w:sz="4" w:space="0"/>
              <w:bottom w:val="single" w:color="auto" w:sz="4" w:space="0"/>
              <w:right w:val="single" w:color="auto" w:sz="4" w:space="0"/>
            </w:tcBorders>
          </w:tcPr>
          <w:p>
            <w:pPr>
              <w:pStyle w:val="12"/>
            </w:pPr>
            <w:r>
              <w:t>名称</w:t>
            </w:r>
          </w:p>
        </w:tc>
        <w:tc>
          <w:tcPr>
            <w:tcW w:w="540" w:type="dxa"/>
            <w:tcBorders>
              <w:top w:val="single" w:color="auto" w:sz="4" w:space="0"/>
              <w:left w:val="single" w:color="auto" w:sz="4" w:space="0"/>
              <w:bottom w:val="single" w:color="auto" w:sz="4" w:space="0"/>
              <w:right w:val="single" w:color="auto" w:sz="4" w:space="0"/>
            </w:tcBorders>
          </w:tcPr>
          <w:p>
            <w:pPr>
              <w:pStyle w:val="12"/>
            </w:pPr>
            <w:r>
              <w:t>分值</w:t>
            </w:r>
          </w:p>
        </w:tc>
        <w:tc>
          <w:tcPr>
            <w:tcW w:w="772" w:type="dxa"/>
            <w:tcBorders>
              <w:top w:val="single" w:color="auto" w:sz="4" w:space="0"/>
              <w:left w:val="single" w:color="auto" w:sz="4" w:space="0"/>
              <w:bottom w:val="single" w:color="auto" w:sz="4" w:space="0"/>
              <w:right w:val="single" w:color="auto" w:sz="4" w:space="0"/>
            </w:tcBorders>
          </w:tcPr>
          <w:p>
            <w:pPr>
              <w:pStyle w:val="12"/>
            </w:pPr>
            <w:r>
              <w:t>（</w:t>
            </w:r>
            <w:r>
              <w:rPr>
                <w:rFonts w:hint="eastAsia" w:ascii="MS Gothic" w:hAnsi="MS Gothic" w:eastAsia="MS Gothic" w:cs="MS Gothic"/>
              </w:rPr>
              <w:t>㎥</w:t>
            </w:r>
            <w:r>
              <w:t>）</w:t>
            </w:r>
          </w:p>
        </w:tc>
        <w:tc>
          <w:tcPr>
            <w:tcW w:w="540" w:type="dxa"/>
            <w:tcBorders>
              <w:top w:val="single" w:color="auto" w:sz="4" w:space="0"/>
              <w:left w:val="single" w:color="auto" w:sz="4" w:space="0"/>
              <w:bottom w:val="single" w:color="auto" w:sz="4" w:space="0"/>
              <w:right w:val="single" w:color="auto" w:sz="4" w:space="0"/>
            </w:tcBorders>
          </w:tcPr>
          <w:p>
            <w:pPr>
              <w:pStyle w:val="12"/>
            </w:pPr>
            <w:r>
              <w:t>分值</w:t>
            </w:r>
          </w:p>
        </w:tc>
        <w:tc>
          <w:tcPr>
            <w:tcW w:w="847" w:type="dxa"/>
            <w:tcBorders>
              <w:top w:val="single" w:color="auto" w:sz="4" w:space="0"/>
              <w:left w:val="single" w:color="auto" w:sz="4" w:space="0"/>
              <w:bottom w:val="single" w:color="auto" w:sz="4" w:space="0"/>
              <w:right w:val="single" w:color="auto" w:sz="4" w:space="0"/>
            </w:tcBorders>
          </w:tcPr>
          <w:p>
            <w:pPr>
              <w:pStyle w:val="12"/>
            </w:pPr>
            <w:r>
              <w:t>（</w:t>
            </w:r>
            <w:r>
              <w:rPr>
                <w:rFonts w:hint="eastAsia"/>
              </w:rPr>
              <w:t>℃</w:t>
            </w:r>
            <w:r>
              <w:t>）</w:t>
            </w:r>
          </w:p>
        </w:tc>
        <w:tc>
          <w:tcPr>
            <w:tcW w:w="540" w:type="dxa"/>
            <w:tcBorders>
              <w:top w:val="single" w:color="auto" w:sz="4" w:space="0"/>
              <w:left w:val="single" w:color="auto" w:sz="4" w:space="0"/>
              <w:bottom w:val="single" w:color="auto" w:sz="4" w:space="0"/>
              <w:right w:val="single" w:color="auto" w:sz="4" w:space="0"/>
            </w:tcBorders>
          </w:tcPr>
          <w:p>
            <w:pPr>
              <w:pStyle w:val="12"/>
            </w:pPr>
            <w:r>
              <w:t>分值</w:t>
            </w:r>
          </w:p>
        </w:tc>
        <w:tc>
          <w:tcPr>
            <w:tcW w:w="739" w:type="dxa"/>
            <w:tcBorders>
              <w:top w:val="single" w:color="auto" w:sz="4" w:space="0"/>
              <w:left w:val="single" w:color="auto" w:sz="4" w:space="0"/>
              <w:bottom w:val="single" w:color="auto" w:sz="4" w:space="0"/>
              <w:right w:val="single" w:color="auto" w:sz="4" w:space="0"/>
            </w:tcBorders>
          </w:tcPr>
          <w:p>
            <w:pPr>
              <w:pStyle w:val="12"/>
            </w:pPr>
            <w:r>
              <w:t>MPa</w:t>
            </w:r>
          </w:p>
        </w:tc>
        <w:tc>
          <w:tcPr>
            <w:tcW w:w="521" w:type="dxa"/>
            <w:tcBorders>
              <w:top w:val="single" w:color="auto" w:sz="4" w:space="0"/>
              <w:left w:val="single" w:color="auto" w:sz="4" w:space="0"/>
              <w:bottom w:val="single" w:color="auto" w:sz="4" w:space="0"/>
              <w:right w:val="single" w:color="auto" w:sz="4" w:space="0"/>
            </w:tcBorders>
          </w:tcPr>
          <w:p>
            <w:pPr>
              <w:pStyle w:val="12"/>
            </w:pPr>
            <w:r>
              <w:t>分值</w:t>
            </w:r>
          </w:p>
        </w:tc>
        <w:tc>
          <w:tcPr>
            <w:tcW w:w="720" w:type="dxa"/>
            <w:tcBorders>
              <w:top w:val="single" w:color="auto" w:sz="4" w:space="0"/>
              <w:left w:val="single" w:color="auto" w:sz="4" w:space="0"/>
              <w:bottom w:val="single" w:color="auto" w:sz="4" w:space="0"/>
              <w:right w:val="single" w:color="auto" w:sz="4" w:space="0"/>
            </w:tcBorders>
          </w:tcPr>
          <w:p>
            <w:pPr>
              <w:pStyle w:val="12"/>
            </w:pPr>
            <w:r>
              <w:t>分</w:t>
            </w:r>
          </w:p>
          <w:p>
            <w:pPr>
              <w:pStyle w:val="12"/>
            </w:pPr>
            <w:r>
              <w:t>值</w:t>
            </w:r>
          </w:p>
        </w:tc>
        <w:tc>
          <w:tcPr>
            <w:tcW w:w="540" w:type="dxa"/>
            <w:tcBorders>
              <w:top w:val="single" w:color="auto" w:sz="4" w:space="0"/>
              <w:left w:val="single" w:color="auto" w:sz="4" w:space="0"/>
              <w:bottom w:val="single" w:color="auto" w:sz="4" w:space="0"/>
              <w:right w:val="single" w:color="auto" w:sz="4" w:space="0"/>
            </w:tcBorders>
          </w:tcPr>
          <w:p>
            <w:pPr>
              <w:pStyle w:val="12"/>
            </w:pPr>
            <w:r>
              <w:t>总分</w:t>
            </w:r>
          </w:p>
        </w:tc>
        <w:tc>
          <w:tcPr>
            <w:tcW w:w="900" w:type="dxa"/>
            <w:tcBorders>
              <w:top w:val="single" w:color="auto" w:sz="4" w:space="0"/>
              <w:left w:val="single" w:color="auto" w:sz="4" w:space="0"/>
              <w:bottom w:val="single" w:color="auto" w:sz="4" w:space="0"/>
              <w:right w:val="single" w:color="auto" w:sz="4" w:space="0"/>
            </w:tcBorders>
          </w:tcPr>
          <w:p>
            <w:pPr>
              <w:pStyle w:val="12"/>
            </w:pPr>
            <w:r>
              <w:t>危险度等级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6" w:type="dxa"/>
            <w:tcBorders>
              <w:top w:val="single" w:color="auto" w:sz="4" w:space="0"/>
              <w:left w:val="single" w:color="auto" w:sz="4" w:space="0"/>
              <w:bottom w:val="single" w:color="auto" w:sz="4" w:space="0"/>
              <w:right w:val="single" w:color="auto" w:sz="4" w:space="0"/>
            </w:tcBorders>
          </w:tcPr>
          <w:p>
            <w:pPr>
              <w:pStyle w:val="12"/>
            </w:pPr>
            <w:r>
              <w:t>1</w:t>
            </w:r>
          </w:p>
        </w:tc>
        <w:tc>
          <w:tcPr>
            <w:tcW w:w="863" w:type="dxa"/>
            <w:tcBorders>
              <w:top w:val="single" w:color="auto" w:sz="4" w:space="0"/>
              <w:left w:val="single" w:color="auto" w:sz="4" w:space="0"/>
              <w:bottom w:val="single" w:color="auto" w:sz="4" w:space="0"/>
              <w:right w:val="single" w:color="auto" w:sz="4" w:space="0"/>
            </w:tcBorders>
          </w:tcPr>
          <w:p>
            <w:pPr>
              <w:pStyle w:val="12"/>
            </w:pPr>
            <w:r>
              <w:t>加油区</w:t>
            </w:r>
          </w:p>
        </w:tc>
        <w:tc>
          <w:tcPr>
            <w:tcW w:w="1080" w:type="dxa"/>
            <w:tcBorders>
              <w:top w:val="single" w:color="auto" w:sz="4" w:space="0"/>
              <w:left w:val="single" w:color="auto" w:sz="4" w:space="0"/>
              <w:bottom w:val="single" w:color="auto" w:sz="4" w:space="0"/>
              <w:right w:val="single" w:color="auto" w:sz="4" w:space="0"/>
            </w:tcBorders>
          </w:tcPr>
          <w:p>
            <w:pPr>
              <w:pStyle w:val="12"/>
            </w:pPr>
            <w:r>
              <w:t xml:space="preserve"> 汽柴油</w:t>
            </w:r>
          </w:p>
        </w:tc>
        <w:tc>
          <w:tcPr>
            <w:tcW w:w="540" w:type="dxa"/>
            <w:tcBorders>
              <w:top w:val="single" w:color="auto" w:sz="4" w:space="0"/>
              <w:left w:val="single" w:color="auto" w:sz="4" w:space="0"/>
              <w:bottom w:val="single" w:color="auto" w:sz="4" w:space="0"/>
              <w:right w:val="single" w:color="auto" w:sz="4" w:space="0"/>
            </w:tcBorders>
          </w:tcPr>
          <w:p>
            <w:pPr>
              <w:pStyle w:val="12"/>
            </w:pPr>
            <w:r>
              <w:t>5</w:t>
            </w:r>
          </w:p>
        </w:tc>
        <w:tc>
          <w:tcPr>
            <w:tcW w:w="772" w:type="dxa"/>
            <w:tcBorders>
              <w:top w:val="single" w:color="auto" w:sz="4" w:space="0"/>
              <w:left w:val="single" w:color="auto" w:sz="4" w:space="0"/>
              <w:bottom w:val="single" w:color="auto" w:sz="4" w:space="0"/>
              <w:right w:val="single" w:color="auto" w:sz="4" w:space="0"/>
            </w:tcBorders>
          </w:tcPr>
          <w:p>
            <w:pPr>
              <w:pStyle w:val="12"/>
            </w:pPr>
          </w:p>
        </w:tc>
        <w:tc>
          <w:tcPr>
            <w:tcW w:w="540" w:type="dxa"/>
            <w:tcBorders>
              <w:top w:val="single" w:color="auto" w:sz="4" w:space="0"/>
              <w:left w:val="single" w:color="auto" w:sz="4" w:space="0"/>
              <w:bottom w:val="single" w:color="auto" w:sz="4" w:space="0"/>
              <w:right w:val="single" w:color="auto" w:sz="4" w:space="0"/>
            </w:tcBorders>
          </w:tcPr>
          <w:p>
            <w:pPr>
              <w:pStyle w:val="12"/>
            </w:pPr>
            <w:r>
              <w:t>0</w:t>
            </w:r>
          </w:p>
        </w:tc>
        <w:tc>
          <w:tcPr>
            <w:tcW w:w="847" w:type="dxa"/>
            <w:tcBorders>
              <w:top w:val="single" w:color="auto" w:sz="4" w:space="0"/>
              <w:left w:val="single" w:color="auto" w:sz="4" w:space="0"/>
              <w:bottom w:val="single" w:color="auto" w:sz="4" w:space="0"/>
              <w:right w:val="single" w:color="auto" w:sz="4" w:space="0"/>
            </w:tcBorders>
          </w:tcPr>
          <w:p>
            <w:pPr>
              <w:pStyle w:val="12"/>
            </w:pPr>
            <w:r>
              <w:t>常温</w:t>
            </w:r>
          </w:p>
        </w:tc>
        <w:tc>
          <w:tcPr>
            <w:tcW w:w="540" w:type="dxa"/>
            <w:tcBorders>
              <w:top w:val="single" w:color="auto" w:sz="4" w:space="0"/>
              <w:left w:val="single" w:color="auto" w:sz="4" w:space="0"/>
              <w:bottom w:val="single" w:color="auto" w:sz="4" w:space="0"/>
              <w:right w:val="single" w:color="auto" w:sz="4" w:space="0"/>
            </w:tcBorders>
          </w:tcPr>
          <w:p>
            <w:pPr>
              <w:pStyle w:val="12"/>
            </w:pPr>
            <w:r>
              <w:t>0</w:t>
            </w:r>
          </w:p>
        </w:tc>
        <w:tc>
          <w:tcPr>
            <w:tcW w:w="739" w:type="dxa"/>
            <w:tcBorders>
              <w:top w:val="single" w:color="auto" w:sz="4" w:space="0"/>
              <w:left w:val="single" w:color="auto" w:sz="4" w:space="0"/>
              <w:bottom w:val="single" w:color="auto" w:sz="4" w:space="0"/>
              <w:right w:val="single" w:color="auto" w:sz="4" w:space="0"/>
            </w:tcBorders>
          </w:tcPr>
          <w:p>
            <w:pPr>
              <w:pStyle w:val="12"/>
            </w:pPr>
            <w:r>
              <w:t>0</w:t>
            </w:r>
          </w:p>
        </w:tc>
        <w:tc>
          <w:tcPr>
            <w:tcW w:w="521" w:type="dxa"/>
            <w:tcBorders>
              <w:top w:val="single" w:color="auto" w:sz="4" w:space="0"/>
              <w:left w:val="single" w:color="auto" w:sz="4" w:space="0"/>
              <w:bottom w:val="single" w:color="auto" w:sz="4" w:space="0"/>
              <w:right w:val="single" w:color="auto" w:sz="4" w:space="0"/>
            </w:tcBorders>
          </w:tcPr>
          <w:p>
            <w:pPr>
              <w:pStyle w:val="12"/>
            </w:pPr>
            <w:r>
              <w:t>0</w:t>
            </w:r>
          </w:p>
        </w:tc>
        <w:tc>
          <w:tcPr>
            <w:tcW w:w="720" w:type="dxa"/>
            <w:tcBorders>
              <w:top w:val="single" w:color="auto" w:sz="4" w:space="0"/>
              <w:left w:val="single" w:color="auto" w:sz="4" w:space="0"/>
              <w:bottom w:val="single" w:color="auto" w:sz="4" w:space="0"/>
              <w:right w:val="single" w:color="auto" w:sz="4" w:space="0"/>
            </w:tcBorders>
          </w:tcPr>
          <w:p>
            <w:pPr>
              <w:pStyle w:val="12"/>
            </w:pPr>
            <w:r>
              <w:t>2</w:t>
            </w:r>
          </w:p>
        </w:tc>
        <w:tc>
          <w:tcPr>
            <w:tcW w:w="540" w:type="dxa"/>
            <w:tcBorders>
              <w:top w:val="single" w:color="auto" w:sz="4" w:space="0"/>
              <w:left w:val="single" w:color="auto" w:sz="4" w:space="0"/>
              <w:bottom w:val="single" w:color="auto" w:sz="4" w:space="0"/>
              <w:right w:val="single" w:color="auto" w:sz="4" w:space="0"/>
            </w:tcBorders>
          </w:tcPr>
          <w:p>
            <w:pPr>
              <w:pStyle w:val="12"/>
            </w:pPr>
            <w:r>
              <w:t>7</w:t>
            </w:r>
          </w:p>
        </w:tc>
        <w:tc>
          <w:tcPr>
            <w:tcW w:w="900" w:type="dxa"/>
            <w:tcBorders>
              <w:top w:val="single" w:color="auto" w:sz="4" w:space="0"/>
              <w:left w:val="single" w:color="auto" w:sz="4" w:space="0"/>
              <w:bottom w:val="single" w:color="auto" w:sz="4" w:space="0"/>
              <w:right w:val="single" w:color="auto" w:sz="4" w:space="0"/>
            </w:tcBorders>
          </w:tcPr>
          <w:p>
            <w:pPr>
              <w:pStyle w:val="12"/>
            </w:pPr>
            <w:r>
              <w:rPr>
                <w:rFonts w:hint="eastAsia"/>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56" w:type="dxa"/>
            <w:tcBorders>
              <w:top w:val="single" w:color="auto" w:sz="4" w:space="0"/>
              <w:left w:val="single" w:color="auto" w:sz="4" w:space="0"/>
              <w:bottom w:val="single" w:color="auto" w:sz="4" w:space="0"/>
              <w:right w:val="single" w:color="auto" w:sz="4" w:space="0"/>
            </w:tcBorders>
          </w:tcPr>
          <w:p>
            <w:pPr>
              <w:pStyle w:val="12"/>
            </w:pPr>
            <w:r>
              <w:t>2</w:t>
            </w:r>
          </w:p>
        </w:tc>
        <w:tc>
          <w:tcPr>
            <w:tcW w:w="863" w:type="dxa"/>
            <w:tcBorders>
              <w:top w:val="single" w:color="auto" w:sz="4" w:space="0"/>
              <w:left w:val="single" w:color="auto" w:sz="4" w:space="0"/>
              <w:bottom w:val="single" w:color="auto" w:sz="4" w:space="0"/>
              <w:right w:val="single" w:color="auto" w:sz="4" w:space="0"/>
            </w:tcBorders>
          </w:tcPr>
          <w:p>
            <w:pPr>
              <w:pStyle w:val="12"/>
            </w:pPr>
            <w:r>
              <w:t>地埋</w:t>
            </w:r>
          </w:p>
          <w:p>
            <w:pPr>
              <w:pStyle w:val="12"/>
            </w:pPr>
            <w:r>
              <w:t>罐区</w:t>
            </w:r>
          </w:p>
        </w:tc>
        <w:tc>
          <w:tcPr>
            <w:tcW w:w="1080" w:type="dxa"/>
            <w:tcBorders>
              <w:top w:val="single" w:color="auto" w:sz="4" w:space="0"/>
              <w:left w:val="single" w:color="auto" w:sz="4" w:space="0"/>
              <w:bottom w:val="single" w:color="auto" w:sz="4" w:space="0"/>
              <w:right w:val="single" w:color="auto" w:sz="4" w:space="0"/>
            </w:tcBorders>
          </w:tcPr>
          <w:p>
            <w:pPr>
              <w:pStyle w:val="12"/>
            </w:pPr>
            <w:r>
              <w:t xml:space="preserve"> 汽柴油</w:t>
            </w:r>
          </w:p>
        </w:tc>
        <w:tc>
          <w:tcPr>
            <w:tcW w:w="540" w:type="dxa"/>
            <w:tcBorders>
              <w:top w:val="single" w:color="auto" w:sz="4" w:space="0"/>
              <w:left w:val="single" w:color="auto" w:sz="4" w:space="0"/>
              <w:bottom w:val="single" w:color="auto" w:sz="4" w:space="0"/>
              <w:right w:val="single" w:color="auto" w:sz="4" w:space="0"/>
            </w:tcBorders>
          </w:tcPr>
          <w:p>
            <w:pPr>
              <w:pStyle w:val="12"/>
            </w:pPr>
            <w:r>
              <w:t>5</w:t>
            </w:r>
          </w:p>
        </w:tc>
        <w:tc>
          <w:tcPr>
            <w:tcW w:w="772" w:type="dxa"/>
            <w:tcBorders>
              <w:top w:val="single" w:color="auto" w:sz="4" w:space="0"/>
              <w:left w:val="single" w:color="auto" w:sz="4" w:space="0"/>
              <w:bottom w:val="single" w:color="auto" w:sz="4" w:space="0"/>
              <w:right w:val="single" w:color="auto" w:sz="4" w:space="0"/>
            </w:tcBorders>
          </w:tcPr>
          <w:p>
            <w:pPr>
              <w:pStyle w:val="12"/>
            </w:pPr>
          </w:p>
        </w:tc>
        <w:tc>
          <w:tcPr>
            <w:tcW w:w="540" w:type="dxa"/>
            <w:tcBorders>
              <w:top w:val="single" w:color="auto" w:sz="4" w:space="0"/>
              <w:left w:val="single" w:color="auto" w:sz="4" w:space="0"/>
              <w:bottom w:val="single" w:color="auto" w:sz="4" w:space="0"/>
              <w:right w:val="single" w:color="auto" w:sz="4" w:space="0"/>
            </w:tcBorders>
          </w:tcPr>
          <w:p>
            <w:pPr>
              <w:pStyle w:val="12"/>
            </w:pPr>
            <w:r>
              <w:t>5</w:t>
            </w:r>
          </w:p>
        </w:tc>
        <w:tc>
          <w:tcPr>
            <w:tcW w:w="847" w:type="dxa"/>
            <w:tcBorders>
              <w:top w:val="single" w:color="auto" w:sz="4" w:space="0"/>
              <w:left w:val="single" w:color="auto" w:sz="4" w:space="0"/>
              <w:bottom w:val="single" w:color="auto" w:sz="4" w:space="0"/>
              <w:right w:val="single" w:color="auto" w:sz="4" w:space="0"/>
            </w:tcBorders>
          </w:tcPr>
          <w:p>
            <w:pPr>
              <w:pStyle w:val="12"/>
            </w:pPr>
            <w:r>
              <w:t>常温</w:t>
            </w:r>
          </w:p>
        </w:tc>
        <w:tc>
          <w:tcPr>
            <w:tcW w:w="540" w:type="dxa"/>
            <w:tcBorders>
              <w:top w:val="single" w:color="auto" w:sz="4" w:space="0"/>
              <w:left w:val="single" w:color="auto" w:sz="4" w:space="0"/>
              <w:bottom w:val="single" w:color="auto" w:sz="4" w:space="0"/>
              <w:right w:val="single" w:color="auto" w:sz="4" w:space="0"/>
            </w:tcBorders>
          </w:tcPr>
          <w:p>
            <w:pPr>
              <w:pStyle w:val="12"/>
            </w:pPr>
            <w:r>
              <w:t>0</w:t>
            </w:r>
          </w:p>
        </w:tc>
        <w:tc>
          <w:tcPr>
            <w:tcW w:w="739" w:type="dxa"/>
            <w:tcBorders>
              <w:top w:val="single" w:color="auto" w:sz="4" w:space="0"/>
              <w:left w:val="single" w:color="auto" w:sz="4" w:space="0"/>
              <w:bottom w:val="single" w:color="auto" w:sz="4" w:space="0"/>
              <w:right w:val="single" w:color="auto" w:sz="4" w:space="0"/>
            </w:tcBorders>
          </w:tcPr>
          <w:p>
            <w:pPr>
              <w:pStyle w:val="12"/>
            </w:pPr>
            <w:r>
              <w:t>常压</w:t>
            </w:r>
          </w:p>
        </w:tc>
        <w:tc>
          <w:tcPr>
            <w:tcW w:w="521" w:type="dxa"/>
            <w:tcBorders>
              <w:top w:val="single" w:color="auto" w:sz="4" w:space="0"/>
              <w:left w:val="single" w:color="auto" w:sz="4" w:space="0"/>
              <w:bottom w:val="single" w:color="auto" w:sz="4" w:space="0"/>
              <w:right w:val="single" w:color="auto" w:sz="4" w:space="0"/>
            </w:tcBorders>
          </w:tcPr>
          <w:p>
            <w:pPr>
              <w:pStyle w:val="12"/>
            </w:pPr>
            <w:r>
              <w:t>0</w:t>
            </w:r>
          </w:p>
        </w:tc>
        <w:tc>
          <w:tcPr>
            <w:tcW w:w="720" w:type="dxa"/>
            <w:tcBorders>
              <w:top w:val="single" w:color="auto" w:sz="4" w:space="0"/>
              <w:left w:val="single" w:color="auto" w:sz="4" w:space="0"/>
              <w:bottom w:val="single" w:color="auto" w:sz="4" w:space="0"/>
              <w:right w:val="single" w:color="auto" w:sz="4" w:space="0"/>
            </w:tcBorders>
          </w:tcPr>
          <w:p>
            <w:pPr>
              <w:pStyle w:val="12"/>
            </w:pPr>
            <w:r>
              <w:t>2</w:t>
            </w:r>
          </w:p>
        </w:tc>
        <w:tc>
          <w:tcPr>
            <w:tcW w:w="540" w:type="dxa"/>
            <w:tcBorders>
              <w:top w:val="single" w:color="auto" w:sz="4" w:space="0"/>
              <w:left w:val="single" w:color="auto" w:sz="4" w:space="0"/>
              <w:bottom w:val="single" w:color="auto" w:sz="4" w:space="0"/>
              <w:right w:val="single" w:color="auto" w:sz="4" w:space="0"/>
            </w:tcBorders>
          </w:tcPr>
          <w:p>
            <w:pPr>
              <w:pStyle w:val="12"/>
            </w:pPr>
            <w:r>
              <w:t>12</w:t>
            </w:r>
          </w:p>
        </w:tc>
        <w:tc>
          <w:tcPr>
            <w:tcW w:w="900" w:type="dxa"/>
            <w:tcBorders>
              <w:top w:val="single" w:color="auto" w:sz="4" w:space="0"/>
              <w:left w:val="single" w:color="auto" w:sz="4" w:space="0"/>
              <w:bottom w:val="single" w:color="auto" w:sz="4" w:space="0"/>
              <w:right w:val="single" w:color="auto" w:sz="4" w:space="0"/>
            </w:tcBorders>
          </w:tcPr>
          <w:p>
            <w:pPr>
              <w:pStyle w:val="12"/>
            </w:pPr>
            <w:r>
              <w:rPr>
                <w:rFonts w:hint="eastAsia"/>
              </w:rPr>
              <w:t>Ⅱ</w:t>
            </w:r>
          </w:p>
        </w:tc>
      </w:tr>
    </w:tbl>
    <w:p>
      <w:pPr>
        <w:adjustRightInd w:val="0"/>
        <w:snapToGrid w:val="0"/>
        <w:spacing w:before="156" w:beforeLines="50" w:after="156" w:afterLines="50" w:line="360" w:lineRule="auto"/>
        <w:ind w:firstLine="560" w:firstLineChars="200"/>
        <w:rPr>
          <w:rFonts w:ascii="宋体"/>
          <w:sz w:val="28"/>
          <w:lang w:val="zh-CN"/>
        </w:rPr>
      </w:pPr>
      <w:r>
        <w:rPr>
          <w:rFonts w:ascii="宋体"/>
          <w:sz w:val="28"/>
          <w:lang w:val="zh-CN"/>
        </w:rPr>
        <w:t>我站</w:t>
      </w:r>
      <w:r>
        <w:rPr>
          <w:rFonts w:hint="eastAsia" w:ascii="宋体"/>
          <w:sz w:val="28"/>
          <w:lang w:val="zh-CN"/>
        </w:rPr>
        <w:t>加油区属于Ⅲ级［低度危害］危险单元，</w:t>
      </w:r>
      <w:r>
        <w:rPr>
          <w:rFonts w:ascii="宋体"/>
          <w:sz w:val="28"/>
          <w:lang w:val="zh-CN"/>
        </w:rPr>
        <w:t>地埋</w:t>
      </w:r>
      <w:r>
        <w:rPr>
          <w:rFonts w:hint="eastAsia" w:ascii="宋体"/>
          <w:sz w:val="28"/>
          <w:lang w:val="zh-CN"/>
        </w:rPr>
        <w:t>罐区属于Ⅱ级［</w:t>
      </w:r>
      <w:r>
        <w:rPr>
          <w:rFonts w:ascii="宋体"/>
          <w:sz w:val="28"/>
          <w:lang w:val="zh-CN"/>
        </w:rPr>
        <w:t>中</w:t>
      </w:r>
      <w:r>
        <w:rPr>
          <w:rFonts w:hint="eastAsia" w:ascii="宋体"/>
          <w:sz w:val="28"/>
          <w:lang w:val="zh-CN"/>
        </w:rPr>
        <w:t>度危害］危险单元。</w:t>
      </w:r>
    </w:p>
    <w:p>
      <w:pPr>
        <w:pStyle w:val="3"/>
        <w:widowControl/>
        <w:adjustRightInd w:val="0"/>
        <w:snapToGrid w:val="0"/>
        <w:spacing w:before="156" w:beforeLines="50" w:after="156" w:afterLines="50" w:line="240" w:lineRule="auto"/>
        <w:rPr>
          <w:rFonts w:ascii="黑体" w:cs="黑体"/>
          <w:bCs w:val="0"/>
          <w:sz w:val="28"/>
          <w:szCs w:val="28"/>
        </w:rPr>
      </w:pPr>
      <w:r>
        <w:rPr>
          <w:rFonts w:hint="eastAsia" w:ascii="黑体" w:cs="黑体"/>
          <w:bCs w:val="0"/>
          <w:sz w:val="28"/>
          <w:szCs w:val="28"/>
        </w:rPr>
        <w:t>3</w:t>
      </w:r>
      <w:r>
        <w:rPr>
          <w:rFonts w:ascii="黑体" w:cs="黑体"/>
          <w:bCs w:val="0"/>
          <w:sz w:val="28"/>
          <w:szCs w:val="28"/>
        </w:rPr>
        <w:t>.</w:t>
      </w:r>
      <w:r>
        <w:rPr>
          <w:rFonts w:hint="eastAsia" w:ascii="黑体" w:cs="黑体"/>
          <w:bCs w:val="0"/>
          <w:sz w:val="28"/>
          <w:szCs w:val="28"/>
        </w:rPr>
        <w:t>3池火灾事故</w:t>
      </w:r>
      <w:r>
        <w:rPr>
          <w:rFonts w:ascii="黑体" w:cs="黑体"/>
          <w:bCs w:val="0"/>
          <w:sz w:val="28"/>
          <w:szCs w:val="28"/>
        </w:rPr>
        <w:t>模拟评估</w:t>
      </w:r>
    </w:p>
    <w:p>
      <w:pPr>
        <w:adjustRightInd w:val="0"/>
        <w:snapToGrid w:val="0"/>
        <w:spacing w:before="156" w:beforeLines="50" w:after="156" w:afterLines="50" w:line="360" w:lineRule="auto"/>
        <w:ind w:firstLine="560" w:firstLineChars="200"/>
        <w:rPr>
          <w:rFonts w:ascii="宋体"/>
          <w:sz w:val="28"/>
          <w:lang w:val="zh-CN"/>
        </w:rPr>
      </w:pPr>
      <w:r>
        <w:rPr>
          <w:rFonts w:ascii="宋体"/>
          <w:sz w:val="28"/>
          <w:lang w:val="zh-CN"/>
        </w:rPr>
        <w:t>我站模拟汽油</w:t>
      </w:r>
      <w:r>
        <w:rPr>
          <w:rFonts w:hint="eastAsia" w:ascii="宋体"/>
          <w:sz w:val="28"/>
          <w:lang w:val="zh-CN"/>
        </w:rPr>
        <w:t>卸油过程一旦发生</w:t>
      </w:r>
      <w:r>
        <w:rPr>
          <w:rFonts w:ascii="宋体"/>
          <w:sz w:val="28"/>
          <w:lang w:val="zh-CN"/>
        </w:rPr>
        <w:t>泄漏，引起爆炸事故的危害半径。</w:t>
      </w:r>
    </w:p>
    <w:p>
      <w:pPr>
        <w:adjustRightInd w:val="0"/>
        <w:snapToGrid w:val="0"/>
        <w:spacing w:before="156" w:beforeLines="50" w:after="156" w:afterLines="50" w:line="360" w:lineRule="auto"/>
        <w:ind w:firstLine="560" w:firstLineChars="200"/>
        <w:rPr>
          <w:rFonts w:ascii="宋体"/>
          <w:sz w:val="28"/>
          <w:lang w:val="zh-CN"/>
        </w:rPr>
      </w:pPr>
      <w:r>
        <w:rPr>
          <w:rFonts w:ascii="宋体"/>
          <w:sz w:val="28"/>
          <w:lang w:val="zh-CN"/>
        </w:rPr>
        <w:t>以罐车</w:t>
      </w:r>
      <w:r>
        <w:rPr>
          <w:rFonts w:hint="eastAsia" w:ascii="宋体"/>
          <w:sz w:val="28"/>
          <w:lang w:val="zh-CN"/>
        </w:rPr>
        <w:t>［</w:t>
      </w:r>
      <w:r>
        <w:rPr>
          <w:rFonts w:ascii="宋体"/>
          <w:sz w:val="28"/>
          <w:lang w:val="zh-CN"/>
        </w:rPr>
        <w:t>单罐容积V=20</w:t>
      </w:r>
      <w:r>
        <w:rPr>
          <w:rFonts w:hint="eastAsia" w:ascii="MS Gothic" w:hAnsi="MS Gothic" w:eastAsia="MS Gothic" w:cs="MS Gothic"/>
          <w:sz w:val="28"/>
          <w:lang w:val="zh-CN"/>
        </w:rPr>
        <w:t>㎥</w:t>
      </w:r>
      <w:r>
        <w:rPr>
          <w:rFonts w:hint="eastAsia" w:ascii="宋体"/>
          <w:sz w:val="28"/>
          <w:lang w:val="zh-CN"/>
        </w:rPr>
        <w:t>］</w:t>
      </w:r>
      <w:r>
        <w:rPr>
          <w:rFonts w:ascii="宋体"/>
          <w:sz w:val="28"/>
          <w:lang w:val="zh-CN"/>
        </w:rPr>
        <w:t>进行模拟分析。卸车作业时，连接管</w:t>
      </w:r>
      <w:r>
        <w:rPr>
          <w:rFonts w:hint="eastAsia" w:ascii="宋体"/>
          <w:sz w:val="28"/>
          <w:lang w:val="zh-CN"/>
        </w:rPr>
        <w:t>［</w:t>
      </w:r>
      <w:r>
        <w:rPr>
          <w:rFonts w:ascii="宋体"/>
          <w:sz w:val="28"/>
          <w:lang w:val="zh-CN"/>
        </w:rPr>
        <w:t>DN50</w:t>
      </w:r>
      <w:r>
        <w:rPr>
          <w:rFonts w:hint="eastAsia" w:ascii="宋体"/>
          <w:sz w:val="28"/>
          <w:lang w:val="zh-CN"/>
        </w:rPr>
        <w:t>］</w:t>
      </w:r>
      <w:r>
        <w:rPr>
          <w:rFonts w:ascii="宋体"/>
          <w:sz w:val="28"/>
          <w:lang w:val="zh-CN"/>
        </w:rPr>
        <w:t>脱落，汽油从连接处泄漏，持续泄漏时间5min，遇明火发生燃烧，形成池火。汽油一旦从油罐及管线泄漏，将向四周流淌、扩展，形成一定厚度的液池，若受到阻挡，液体将在限定区域内得以积聚，形成一定范围的液池。此时若遇到火源，液池可能被点燃，发生地面池火灾。</w:t>
      </w:r>
    </w:p>
    <w:p>
      <w:pPr>
        <w:autoSpaceDE w:val="0"/>
        <w:autoSpaceDN w:val="0"/>
        <w:adjustRightInd w:val="0"/>
        <w:snapToGrid w:val="0"/>
        <w:spacing w:before="156" w:beforeLines="50" w:after="156" w:afterLines="50" w:line="360" w:lineRule="auto"/>
        <w:ind w:firstLine="560" w:firstLineChars="200"/>
        <w:rPr>
          <w:rFonts w:ascii="宋体"/>
          <w:sz w:val="28"/>
          <w:lang w:val="zh-CN"/>
        </w:rPr>
      </w:pPr>
      <w:r>
        <w:rPr>
          <w:rFonts w:ascii="宋体"/>
          <w:sz w:val="28"/>
          <w:lang w:val="zh-CN"/>
        </w:rPr>
        <w:t>池火灾事故后果模型</w:t>
      </w:r>
    </w:p>
    <w:p>
      <w:pPr>
        <w:autoSpaceDE w:val="0"/>
        <w:autoSpaceDN w:val="0"/>
        <w:adjustRightInd w:val="0"/>
        <w:snapToGrid w:val="0"/>
        <w:spacing w:before="156" w:beforeLines="50" w:after="156" w:afterLines="50" w:line="360" w:lineRule="auto"/>
        <w:ind w:firstLine="480"/>
        <w:rPr>
          <w:rFonts w:ascii="宋体"/>
          <w:sz w:val="28"/>
          <w:lang w:val="zh-CN"/>
        </w:rPr>
      </w:pPr>
      <w:r>
        <w:rPr>
          <w:rFonts w:ascii="宋体"/>
          <w:sz w:val="28"/>
          <w:lang w:val="zh-CN"/>
        </w:rPr>
        <w:t>池火灾火焰的几何尺寸及辐射参数按如下步骤计算。</w:t>
      </w:r>
    </w:p>
    <w:p>
      <w:pPr>
        <w:autoSpaceDE w:val="0"/>
        <w:autoSpaceDN w:val="0"/>
        <w:adjustRightInd w:val="0"/>
        <w:snapToGrid w:val="0"/>
        <w:spacing w:before="156" w:beforeLines="50" w:after="156" w:afterLines="50" w:line="360" w:lineRule="auto"/>
        <w:ind w:left="480"/>
        <w:rPr>
          <w:rFonts w:ascii="宋体"/>
          <w:sz w:val="28"/>
          <w:lang w:val="zh-CN"/>
        </w:rPr>
      </w:pPr>
      <w:r>
        <w:rPr>
          <w:rFonts w:hint="eastAsia" w:ascii="宋体"/>
          <w:sz w:val="28"/>
          <w:lang w:val="zh-CN"/>
        </w:rPr>
        <w:t>①</w:t>
      </w:r>
      <w:r>
        <w:rPr>
          <w:rFonts w:ascii="宋体"/>
          <w:sz w:val="28"/>
          <w:lang w:val="zh-CN"/>
        </w:rPr>
        <w:t>计算池直径</w:t>
      </w:r>
    </w:p>
    <w:p>
      <w:pPr>
        <w:autoSpaceDE w:val="0"/>
        <w:autoSpaceDN w:val="0"/>
        <w:adjustRightInd w:val="0"/>
        <w:snapToGrid w:val="0"/>
        <w:spacing w:before="156" w:beforeLines="50" w:after="156" w:afterLines="50" w:line="360" w:lineRule="auto"/>
        <w:ind w:firstLine="480"/>
        <w:rPr>
          <w:rFonts w:ascii="宋体"/>
          <w:sz w:val="28"/>
          <w:lang w:val="zh-CN"/>
        </w:rPr>
      </w:pPr>
      <w:r>
        <w:rPr>
          <w:rFonts w:ascii="宋体"/>
          <w:sz w:val="28"/>
          <w:lang w:val="zh-CN"/>
        </w:rPr>
        <w:t>根据泄漏的液体量和地面性质，按下式可计算最大可能的池面积。</w:t>
      </w:r>
    </w:p>
    <w:p>
      <w:pPr>
        <w:autoSpaceDE w:val="0"/>
        <w:autoSpaceDN w:val="0"/>
        <w:adjustRightInd w:val="0"/>
        <w:snapToGrid w:val="0"/>
        <w:spacing w:before="156" w:beforeLines="50" w:after="156" w:afterLines="50" w:line="360" w:lineRule="auto"/>
        <w:jc w:val="center"/>
        <w:rPr>
          <w:rFonts w:ascii="宋体"/>
          <w:sz w:val="28"/>
          <w:lang w:val="zh-CN"/>
        </w:rPr>
      </w:pPr>
      <w:r>
        <w:rPr>
          <w:rFonts w:ascii="宋体"/>
          <w:sz w:val="28"/>
        </w:rPr>
        <w:drawing>
          <wp:inline distT="0" distB="0" distL="114300" distR="114300">
            <wp:extent cx="1442720" cy="272415"/>
            <wp:effectExtent l="0" t="0" r="0" b="0"/>
            <wp:docPr id="2" name="图片 2" descr="8907782931466383657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907782931466383657102"/>
                    <pic:cNvPicPr>
                      <a:picLocks noChangeAspect="1"/>
                    </pic:cNvPicPr>
                  </pic:nvPicPr>
                  <pic:blipFill>
                    <a:blip r:embed="rId4"/>
                    <a:stretch>
                      <a:fillRect/>
                    </a:stretch>
                  </pic:blipFill>
                  <pic:spPr>
                    <a:xfrm>
                      <a:off x="0" y="0"/>
                      <a:ext cx="1442720" cy="272415"/>
                    </a:xfrm>
                    <a:prstGeom prst="rect">
                      <a:avLst/>
                    </a:prstGeom>
                    <a:noFill/>
                    <a:ln w="9525" cap="flat" cmpd="sng">
                      <a:noFill/>
                      <a:prstDash val="solid"/>
                      <a:round/>
                    </a:ln>
                  </pic:spPr>
                </pic:pic>
              </a:graphicData>
            </a:graphic>
          </wp:inline>
        </w:drawing>
      </w:r>
      <w:r>
        <w:rPr>
          <w:rFonts w:ascii="宋体"/>
          <w:sz w:val="28"/>
          <w:lang w:val="zh-CN"/>
        </w:rPr>
        <w:t xml:space="preserve">                             （1）</w:t>
      </w:r>
    </w:p>
    <w:p>
      <w:pPr>
        <w:autoSpaceDE w:val="0"/>
        <w:autoSpaceDN w:val="0"/>
        <w:adjustRightInd w:val="0"/>
        <w:snapToGrid w:val="0"/>
        <w:spacing w:before="156" w:beforeLines="50" w:after="156" w:afterLines="50" w:line="360" w:lineRule="auto"/>
        <w:ind w:firstLine="480"/>
        <w:rPr>
          <w:rFonts w:ascii="宋体"/>
          <w:sz w:val="28"/>
          <w:lang w:val="zh-CN"/>
        </w:rPr>
      </w:pPr>
      <w:r>
        <w:rPr>
          <w:rFonts w:ascii="宋体"/>
          <w:sz w:val="28"/>
          <w:lang w:val="zh-CN"/>
        </w:rPr>
        <w:t>式中，S为液池面积（㎡），W为泄漏液体的质量（kg），</w:t>
      </w:r>
      <w:r>
        <w:rPr>
          <w:rFonts w:ascii="宋体"/>
          <w:sz w:val="28"/>
        </w:rPr>
        <w:drawing>
          <wp:inline distT="0" distB="0" distL="114300" distR="114300">
            <wp:extent cx="150495" cy="161925"/>
            <wp:effectExtent l="0" t="0" r="0" b="0"/>
            <wp:docPr id="3" name="图片 3" descr="6312717471466383657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312717471466383657165"/>
                    <pic:cNvPicPr>
                      <a:picLocks noChangeAspect="1"/>
                    </pic:cNvPicPr>
                  </pic:nvPicPr>
                  <pic:blipFill>
                    <a:blip r:embed="rId5"/>
                    <a:stretch>
                      <a:fillRect/>
                    </a:stretch>
                  </pic:blipFill>
                  <pic:spPr>
                    <a:xfrm>
                      <a:off x="0" y="0"/>
                      <a:ext cx="150495" cy="161925"/>
                    </a:xfrm>
                    <a:prstGeom prst="rect">
                      <a:avLst/>
                    </a:prstGeom>
                    <a:noFill/>
                    <a:ln w="9525" cap="flat" cmpd="sng">
                      <a:noFill/>
                      <a:prstDash val="solid"/>
                      <a:round/>
                    </a:ln>
                  </pic:spPr>
                </pic:pic>
              </a:graphicData>
            </a:graphic>
          </wp:inline>
        </w:drawing>
      </w:r>
      <w:r>
        <w:rPr>
          <w:rFonts w:ascii="宋体"/>
          <w:sz w:val="28"/>
          <w:lang w:val="zh-CN"/>
        </w:rPr>
        <w:t>为液体的密度（kg/</w:t>
      </w:r>
      <w:r>
        <w:rPr>
          <w:rFonts w:hint="eastAsia" w:ascii="MS Gothic" w:hAnsi="MS Gothic" w:eastAsia="MS Gothic" w:cs="MS Gothic"/>
          <w:sz w:val="28"/>
          <w:lang w:val="zh-CN"/>
        </w:rPr>
        <w:t>㎥</w:t>
      </w:r>
      <w:r>
        <w:rPr>
          <w:rFonts w:ascii="宋体"/>
          <w:sz w:val="28"/>
          <w:lang w:val="zh-CN"/>
        </w:rPr>
        <w:t>）Hmin为最小油层厚度（m）。</w:t>
      </w:r>
    </w:p>
    <w:p>
      <w:pPr>
        <w:autoSpaceDE w:val="0"/>
        <w:autoSpaceDN w:val="0"/>
        <w:adjustRightInd w:val="0"/>
        <w:snapToGrid w:val="0"/>
        <w:spacing w:before="156" w:beforeLines="50" w:after="156" w:afterLines="50" w:line="360" w:lineRule="auto"/>
        <w:ind w:firstLine="480"/>
        <w:rPr>
          <w:rFonts w:ascii="宋体"/>
          <w:sz w:val="28"/>
          <w:lang w:val="zh-CN"/>
        </w:rPr>
      </w:pPr>
      <w:r>
        <w:rPr>
          <w:rFonts w:ascii="宋体"/>
          <w:sz w:val="28"/>
          <w:lang w:val="zh-CN"/>
        </w:rPr>
        <w:t>最小物料层厚度与地面性质对应关系见下表。</w:t>
      </w:r>
    </w:p>
    <w:p>
      <w:pPr>
        <w:adjustRightInd w:val="0"/>
        <w:snapToGrid w:val="0"/>
        <w:spacing w:before="156" w:beforeLines="50" w:after="156" w:afterLines="50" w:line="360" w:lineRule="auto"/>
        <w:jc w:val="center"/>
        <w:rPr>
          <w:rFonts w:ascii="宋体"/>
          <w:sz w:val="28"/>
          <w:lang w:val="zh-CN"/>
        </w:rPr>
      </w:pPr>
      <w:r>
        <w:rPr>
          <w:rFonts w:ascii="宋体"/>
          <w:sz w:val="28"/>
          <w:lang w:val="zh-CN"/>
        </w:rPr>
        <w:t>附表4-</w:t>
      </w:r>
      <w:r>
        <w:rPr>
          <w:rFonts w:hint="eastAsia" w:ascii="宋体"/>
          <w:sz w:val="28"/>
          <w:lang w:val="zh-CN"/>
        </w:rPr>
        <w:t>3</w:t>
      </w:r>
      <w:r>
        <w:rPr>
          <w:rFonts w:ascii="宋体"/>
          <w:sz w:val="28"/>
          <w:lang w:val="zh-CN"/>
        </w:rPr>
        <w:t>不同性质地面物料层厚度表</w:t>
      </w:r>
    </w:p>
    <w:tbl>
      <w:tblPr>
        <w:tblStyle w:val="8"/>
        <w:tblW w:w="5936" w:type="dxa"/>
        <w:tblInd w:w="154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2827"/>
        <w:gridCol w:w="310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PrEx>
        <w:tc>
          <w:tcPr>
            <w:tcW w:w="2827" w:type="dxa"/>
            <w:vAlign w:val="center"/>
          </w:tcPr>
          <w:p>
            <w:pPr>
              <w:autoSpaceDE w:val="0"/>
              <w:autoSpaceDN w:val="0"/>
              <w:adjustRightInd w:val="0"/>
              <w:snapToGrid w:val="0"/>
              <w:spacing w:before="156" w:beforeLines="50" w:after="156" w:afterLines="50" w:line="360" w:lineRule="auto"/>
              <w:jc w:val="center"/>
              <w:rPr>
                <w:rFonts w:ascii="宋体"/>
                <w:szCs w:val="21"/>
                <w:lang w:val="zh-CN"/>
              </w:rPr>
            </w:pPr>
            <w:r>
              <w:rPr>
                <w:rFonts w:ascii="宋体"/>
                <w:szCs w:val="21"/>
                <w:lang w:val="zh-CN"/>
              </w:rPr>
              <w:t>地面性质</w:t>
            </w:r>
          </w:p>
        </w:tc>
        <w:tc>
          <w:tcPr>
            <w:tcW w:w="3109" w:type="dxa"/>
            <w:vAlign w:val="center"/>
          </w:tcPr>
          <w:p>
            <w:pPr>
              <w:autoSpaceDE w:val="0"/>
              <w:autoSpaceDN w:val="0"/>
              <w:adjustRightInd w:val="0"/>
              <w:snapToGrid w:val="0"/>
              <w:spacing w:before="156" w:beforeLines="50" w:after="156" w:afterLines="50" w:line="360" w:lineRule="auto"/>
              <w:jc w:val="center"/>
              <w:rPr>
                <w:rFonts w:ascii="宋体"/>
                <w:szCs w:val="21"/>
                <w:lang w:val="zh-CN"/>
              </w:rPr>
            </w:pPr>
            <w:r>
              <w:rPr>
                <w:rFonts w:ascii="宋体"/>
                <w:szCs w:val="21"/>
                <w:lang w:val="zh-CN"/>
              </w:rPr>
              <w:t>最小物料层厚度（m）</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PrEx>
        <w:tc>
          <w:tcPr>
            <w:tcW w:w="2827" w:type="dxa"/>
            <w:vAlign w:val="center"/>
          </w:tcPr>
          <w:p>
            <w:pPr>
              <w:autoSpaceDE w:val="0"/>
              <w:autoSpaceDN w:val="0"/>
              <w:adjustRightInd w:val="0"/>
              <w:snapToGrid w:val="0"/>
              <w:spacing w:before="156" w:beforeLines="50" w:after="156" w:afterLines="50" w:line="360" w:lineRule="auto"/>
              <w:jc w:val="center"/>
              <w:rPr>
                <w:rFonts w:ascii="宋体"/>
                <w:szCs w:val="21"/>
                <w:lang w:val="zh-CN"/>
              </w:rPr>
            </w:pPr>
            <w:r>
              <w:rPr>
                <w:rFonts w:ascii="宋体"/>
                <w:szCs w:val="21"/>
                <w:lang w:val="zh-CN"/>
              </w:rPr>
              <w:t>绿化带</w:t>
            </w:r>
          </w:p>
        </w:tc>
        <w:tc>
          <w:tcPr>
            <w:tcW w:w="3109" w:type="dxa"/>
            <w:vAlign w:val="center"/>
          </w:tcPr>
          <w:p>
            <w:pPr>
              <w:autoSpaceDE w:val="0"/>
              <w:autoSpaceDN w:val="0"/>
              <w:adjustRightInd w:val="0"/>
              <w:snapToGrid w:val="0"/>
              <w:spacing w:before="156" w:beforeLines="50" w:after="156" w:afterLines="50" w:line="360" w:lineRule="auto"/>
              <w:jc w:val="center"/>
              <w:rPr>
                <w:rFonts w:ascii="宋体"/>
                <w:szCs w:val="21"/>
                <w:lang w:val="zh-CN"/>
              </w:rPr>
            </w:pPr>
            <w:r>
              <w:rPr>
                <w:rFonts w:ascii="宋体"/>
                <w:szCs w:val="21"/>
                <w:lang w:val="zh-CN"/>
              </w:rPr>
              <w:t>0.020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2827" w:type="dxa"/>
            <w:vAlign w:val="center"/>
          </w:tcPr>
          <w:p>
            <w:pPr>
              <w:autoSpaceDE w:val="0"/>
              <w:autoSpaceDN w:val="0"/>
              <w:adjustRightInd w:val="0"/>
              <w:snapToGrid w:val="0"/>
              <w:spacing w:before="156" w:beforeLines="50" w:after="156" w:afterLines="50" w:line="360" w:lineRule="auto"/>
              <w:jc w:val="center"/>
              <w:rPr>
                <w:rFonts w:ascii="宋体"/>
                <w:szCs w:val="21"/>
                <w:lang w:val="zh-CN"/>
              </w:rPr>
            </w:pPr>
            <w:r>
              <w:rPr>
                <w:rFonts w:ascii="宋体"/>
                <w:szCs w:val="21"/>
                <w:lang w:val="zh-CN"/>
              </w:rPr>
              <w:t>粗糙地面</w:t>
            </w:r>
          </w:p>
        </w:tc>
        <w:tc>
          <w:tcPr>
            <w:tcW w:w="3109" w:type="dxa"/>
            <w:vAlign w:val="center"/>
          </w:tcPr>
          <w:p>
            <w:pPr>
              <w:autoSpaceDE w:val="0"/>
              <w:autoSpaceDN w:val="0"/>
              <w:adjustRightInd w:val="0"/>
              <w:snapToGrid w:val="0"/>
              <w:spacing w:before="156" w:beforeLines="50" w:after="156" w:afterLines="50" w:line="360" w:lineRule="auto"/>
              <w:jc w:val="center"/>
              <w:rPr>
                <w:rFonts w:ascii="宋体"/>
                <w:szCs w:val="21"/>
                <w:lang w:val="zh-CN"/>
              </w:rPr>
            </w:pPr>
            <w:r>
              <w:rPr>
                <w:rFonts w:ascii="宋体"/>
                <w:szCs w:val="21"/>
                <w:lang w:val="zh-CN"/>
              </w:rPr>
              <w:t>0.025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2827" w:type="dxa"/>
            <w:vAlign w:val="center"/>
          </w:tcPr>
          <w:p>
            <w:pPr>
              <w:autoSpaceDE w:val="0"/>
              <w:autoSpaceDN w:val="0"/>
              <w:adjustRightInd w:val="0"/>
              <w:snapToGrid w:val="0"/>
              <w:spacing w:before="156" w:beforeLines="50" w:after="156" w:afterLines="50" w:line="360" w:lineRule="auto"/>
              <w:jc w:val="center"/>
              <w:rPr>
                <w:rFonts w:ascii="宋体"/>
                <w:szCs w:val="21"/>
                <w:lang w:val="zh-CN"/>
              </w:rPr>
            </w:pPr>
            <w:r>
              <w:rPr>
                <w:rFonts w:ascii="宋体"/>
                <w:szCs w:val="21"/>
                <w:lang w:val="zh-CN"/>
              </w:rPr>
              <w:t>平整地面</w:t>
            </w:r>
          </w:p>
        </w:tc>
        <w:tc>
          <w:tcPr>
            <w:tcW w:w="3109" w:type="dxa"/>
            <w:vAlign w:val="center"/>
          </w:tcPr>
          <w:p>
            <w:pPr>
              <w:autoSpaceDE w:val="0"/>
              <w:autoSpaceDN w:val="0"/>
              <w:adjustRightInd w:val="0"/>
              <w:snapToGrid w:val="0"/>
              <w:spacing w:before="156" w:beforeLines="50" w:after="156" w:afterLines="50" w:line="360" w:lineRule="auto"/>
              <w:jc w:val="center"/>
              <w:rPr>
                <w:rFonts w:ascii="宋体"/>
                <w:szCs w:val="21"/>
                <w:lang w:val="zh-CN"/>
              </w:rPr>
            </w:pPr>
            <w:r>
              <w:rPr>
                <w:rFonts w:ascii="宋体"/>
                <w:szCs w:val="21"/>
                <w:lang w:val="zh-CN"/>
              </w:rPr>
              <w:t>0.010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2827" w:type="dxa"/>
            <w:vAlign w:val="center"/>
          </w:tcPr>
          <w:p>
            <w:pPr>
              <w:autoSpaceDE w:val="0"/>
              <w:autoSpaceDN w:val="0"/>
              <w:adjustRightInd w:val="0"/>
              <w:snapToGrid w:val="0"/>
              <w:spacing w:before="156" w:beforeLines="50" w:after="156" w:afterLines="50" w:line="360" w:lineRule="auto"/>
              <w:jc w:val="center"/>
              <w:rPr>
                <w:rFonts w:ascii="宋体"/>
                <w:szCs w:val="21"/>
                <w:lang w:val="zh-CN"/>
              </w:rPr>
            </w:pPr>
            <w:r>
              <w:rPr>
                <w:rFonts w:ascii="宋体"/>
                <w:szCs w:val="21"/>
                <w:lang w:val="zh-CN"/>
              </w:rPr>
              <w:t>混凝土地面</w:t>
            </w:r>
          </w:p>
        </w:tc>
        <w:tc>
          <w:tcPr>
            <w:tcW w:w="3109" w:type="dxa"/>
            <w:vAlign w:val="center"/>
          </w:tcPr>
          <w:p>
            <w:pPr>
              <w:autoSpaceDE w:val="0"/>
              <w:autoSpaceDN w:val="0"/>
              <w:adjustRightInd w:val="0"/>
              <w:snapToGrid w:val="0"/>
              <w:spacing w:before="156" w:beforeLines="50" w:after="156" w:afterLines="50" w:line="360" w:lineRule="auto"/>
              <w:jc w:val="center"/>
              <w:rPr>
                <w:rFonts w:ascii="宋体"/>
                <w:szCs w:val="21"/>
                <w:lang w:val="zh-CN"/>
              </w:rPr>
            </w:pPr>
            <w:r>
              <w:rPr>
                <w:rFonts w:ascii="宋体"/>
                <w:szCs w:val="21"/>
                <w:lang w:val="zh-CN"/>
              </w:rPr>
              <w:t>0.005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2827" w:type="dxa"/>
            <w:vAlign w:val="center"/>
          </w:tcPr>
          <w:p>
            <w:pPr>
              <w:autoSpaceDE w:val="0"/>
              <w:autoSpaceDN w:val="0"/>
              <w:adjustRightInd w:val="0"/>
              <w:snapToGrid w:val="0"/>
              <w:spacing w:before="156" w:beforeLines="50" w:after="156" w:afterLines="50" w:line="360" w:lineRule="auto"/>
              <w:jc w:val="center"/>
              <w:rPr>
                <w:rFonts w:ascii="宋体"/>
                <w:szCs w:val="21"/>
                <w:lang w:val="zh-CN"/>
              </w:rPr>
            </w:pPr>
            <w:r>
              <w:rPr>
                <w:rFonts w:ascii="宋体"/>
                <w:szCs w:val="21"/>
                <w:lang w:val="zh-CN"/>
              </w:rPr>
              <w:t>平静水面</w:t>
            </w:r>
          </w:p>
        </w:tc>
        <w:tc>
          <w:tcPr>
            <w:tcW w:w="3109" w:type="dxa"/>
            <w:vAlign w:val="center"/>
          </w:tcPr>
          <w:p>
            <w:pPr>
              <w:autoSpaceDE w:val="0"/>
              <w:autoSpaceDN w:val="0"/>
              <w:adjustRightInd w:val="0"/>
              <w:snapToGrid w:val="0"/>
              <w:spacing w:before="156" w:beforeLines="50" w:after="156" w:afterLines="50" w:line="360" w:lineRule="auto"/>
              <w:jc w:val="center"/>
              <w:rPr>
                <w:rFonts w:ascii="宋体"/>
                <w:szCs w:val="21"/>
                <w:lang w:val="zh-CN"/>
              </w:rPr>
            </w:pPr>
            <w:r>
              <w:rPr>
                <w:rFonts w:ascii="宋体"/>
                <w:szCs w:val="21"/>
                <w:lang w:val="zh-CN"/>
              </w:rPr>
              <w:t>0.0018</w:t>
            </w:r>
          </w:p>
        </w:tc>
      </w:tr>
    </w:tbl>
    <w:p>
      <w:pPr>
        <w:autoSpaceDE w:val="0"/>
        <w:autoSpaceDN w:val="0"/>
        <w:adjustRightInd w:val="0"/>
        <w:snapToGrid w:val="0"/>
        <w:spacing w:before="156" w:beforeLines="50" w:after="156" w:afterLines="50" w:line="360" w:lineRule="auto"/>
        <w:ind w:left="480"/>
        <w:rPr>
          <w:rFonts w:ascii="宋体"/>
          <w:sz w:val="28"/>
          <w:lang w:val="zh-CN"/>
        </w:rPr>
      </w:pPr>
      <w:r>
        <w:rPr>
          <w:rFonts w:hint="eastAsia" w:ascii="宋体"/>
          <w:sz w:val="28"/>
          <w:lang w:val="zh-CN"/>
        </w:rPr>
        <w:t>②</w:t>
      </w:r>
      <w:r>
        <w:rPr>
          <w:rFonts w:ascii="宋体"/>
          <w:sz w:val="28"/>
          <w:lang w:val="zh-CN"/>
        </w:rPr>
        <w:t>确定火焰高度</w:t>
      </w:r>
    </w:p>
    <w:p>
      <w:pPr>
        <w:autoSpaceDE w:val="0"/>
        <w:autoSpaceDN w:val="0"/>
        <w:adjustRightInd w:val="0"/>
        <w:snapToGrid w:val="0"/>
        <w:spacing w:before="156" w:beforeLines="50" w:after="156" w:afterLines="50" w:line="360" w:lineRule="auto"/>
        <w:ind w:left="480"/>
        <w:rPr>
          <w:rFonts w:ascii="宋体"/>
          <w:sz w:val="28"/>
          <w:lang w:val="zh-CN"/>
        </w:rPr>
      </w:pPr>
      <w:r>
        <w:rPr>
          <w:rFonts w:ascii="宋体"/>
          <w:sz w:val="28"/>
          <w:lang w:val="zh-CN"/>
        </w:rPr>
        <w:t>计算池火焰高度的经验公式如下：</w:t>
      </w:r>
    </w:p>
    <w:p>
      <w:pPr>
        <w:autoSpaceDE w:val="0"/>
        <w:autoSpaceDN w:val="0"/>
        <w:adjustRightInd w:val="0"/>
        <w:snapToGrid w:val="0"/>
        <w:spacing w:before="156" w:beforeLines="50" w:after="156" w:afterLines="50" w:line="360" w:lineRule="auto"/>
        <w:ind w:right="1600" w:firstLine="560" w:firstLineChars="200"/>
        <w:rPr>
          <w:rFonts w:ascii="宋体"/>
          <w:sz w:val="28"/>
          <w:lang w:val="zh-CN"/>
        </w:rPr>
      </w:pPr>
      <w:r>
        <w:rPr>
          <w:rFonts w:ascii="宋体"/>
          <w:sz w:val="28"/>
        </w:rPr>
        <w:drawing>
          <wp:inline distT="0" distB="0" distL="114300" distR="114300">
            <wp:extent cx="2068195" cy="304800"/>
            <wp:effectExtent l="0" t="0" r="0" b="0"/>
            <wp:docPr id="5" name="图片 5" descr="7725343381466383657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725343381466383657212"/>
                    <pic:cNvPicPr>
                      <a:picLocks noChangeAspect="1"/>
                    </pic:cNvPicPr>
                  </pic:nvPicPr>
                  <pic:blipFill>
                    <a:blip r:embed="rId6"/>
                    <a:stretch>
                      <a:fillRect/>
                    </a:stretch>
                  </pic:blipFill>
                  <pic:spPr>
                    <a:xfrm>
                      <a:off x="0" y="0"/>
                      <a:ext cx="2068195" cy="304800"/>
                    </a:xfrm>
                    <a:prstGeom prst="rect">
                      <a:avLst/>
                    </a:prstGeom>
                    <a:noFill/>
                    <a:ln w="9525" cap="flat" cmpd="sng">
                      <a:noFill/>
                      <a:prstDash val="solid"/>
                      <a:round/>
                    </a:ln>
                  </pic:spPr>
                </pic:pic>
              </a:graphicData>
            </a:graphic>
          </wp:inline>
        </w:drawing>
      </w:r>
      <w:r>
        <w:rPr>
          <w:rFonts w:ascii="宋体"/>
          <w:sz w:val="28"/>
          <w:lang w:val="zh-CN"/>
        </w:rPr>
        <w:t xml:space="preserve">                 （2）</w:t>
      </w:r>
    </w:p>
    <w:p>
      <w:pPr>
        <w:autoSpaceDE w:val="0"/>
        <w:autoSpaceDN w:val="0"/>
        <w:adjustRightInd w:val="0"/>
        <w:snapToGrid w:val="0"/>
        <w:spacing w:before="156" w:beforeLines="50" w:after="156" w:afterLines="50" w:line="360" w:lineRule="auto"/>
        <w:ind w:firstLine="480"/>
        <w:rPr>
          <w:rFonts w:ascii="宋体"/>
          <w:sz w:val="28"/>
          <w:lang w:val="zh-CN"/>
        </w:rPr>
      </w:pPr>
      <w:r>
        <w:rPr>
          <w:rFonts w:ascii="宋体"/>
          <w:sz w:val="28"/>
          <w:lang w:val="zh-CN"/>
        </w:rPr>
        <w:t>式中：L为火焰高度（m），D为池直径（m），mf为燃烧速率（kg/㎡s），</w:t>
      </w:r>
    </w:p>
    <w:p>
      <w:pPr>
        <w:autoSpaceDE w:val="0"/>
        <w:autoSpaceDN w:val="0"/>
        <w:adjustRightInd w:val="0"/>
        <w:snapToGrid w:val="0"/>
        <w:spacing w:before="156" w:beforeLines="50" w:after="156" w:afterLines="50" w:line="360" w:lineRule="auto"/>
        <w:rPr>
          <w:rFonts w:ascii="宋体"/>
          <w:sz w:val="28"/>
          <w:lang w:val="zh-CN"/>
        </w:rPr>
      </w:pPr>
      <w:r>
        <w:rPr>
          <w:rFonts w:ascii="宋体"/>
          <w:sz w:val="28"/>
          <w:lang w:val="zh-CN"/>
        </w:rPr>
        <w:t>ρ0为空气密度（kg/</w:t>
      </w:r>
      <w:r>
        <w:rPr>
          <w:rFonts w:hint="eastAsia" w:ascii="MS Gothic" w:hAnsi="MS Gothic" w:eastAsia="MS Gothic" w:cs="MS Gothic"/>
          <w:sz w:val="28"/>
          <w:lang w:val="zh-CN"/>
        </w:rPr>
        <w:t>㎥</w:t>
      </w:r>
      <w:r>
        <w:rPr>
          <w:rFonts w:ascii="宋体"/>
          <w:sz w:val="28"/>
          <w:lang w:val="zh-CN"/>
        </w:rPr>
        <w:t>），g为引力常数。</w:t>
      </w:r>
    </w:p>
    <w:p>
      <w:pPr>
        <w:adjustRightInd w:val="0"/>
        <w:snapToGrid w:val="0"/>
        <w:spacing w:before="156" w:beforeLines="50" w:after="156" w:afterLines="50" w:line="360" w:lineRule="auto"/>
        <w:ind w:firstLine="480"/>
        <w:rPr>
          <w:rFonts w:ascii="宋体"/>
          <w:sz w:val="28"/>
          <w:lang w:val="zh-CN"/>
        </w:rPr>
      </w:pPr>
      <w:r>
        <w:rPr>
          <w:rFonts w:ascii="宋体"/>
          <w:sz w:val="28"/>
          <w:lang w:val="zh-CN"/>
        </w:rPr>
        <w:t>池火燃烧时放出的总热辐射通量</w:t>
      </w:r>
    </w:p>
    <w:p>
      <w:pPr>
        <w:adjustRightInd w:val="0"/>
        <w:snapToGrid w:val="0"/>
        <w:spacing w:before="156" w:beforeLines="50" w:after="156" w:afterLines="50" w:line="360" w:lineRule="auto"/>
        <w:ind w:firstLine="480"/>
        <w:jc w:val="center"/>
        <w:rPr>
          <w:rFonts w:ascii="Mongolian Baiti" w:hAnsi="Mongolian Baiti" w:cs="Mongolian Baiti"/>
          <w:szCs w:val="20"/>
        </w:rPr>
      </w:pPr>
      <w:r>
        <w:rPr>
          <w:rFonts w:ascii="Mongolian Baiti" w:hAnsi="Mongolian Baiti" w:cs="Mongolian Baiti"/>
          <w:szCs w:val="20"/>
        </w:rPr>
        <w:drawing>
          <wp:inline distT="0" distB="0" distL="114300" distR="114300">
            <wp:extent cx="4287520" cy="4047490"/>
            <wp:effectExtent l="0" t="0" r="0" b="0"/>
            <wp:docPr id="6" name="图片 6" descr="218408321466383657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18408321466383657446"/>
                    <pic:cNvPicPr>
                      <a:picLocks noChangeAspect="1"/>
                    </pic:cNvPicPr>
                  </pic:nvPicPr>
                  <pic:blipFill>
                    <a:blip r:embed="rId7"/>
                    <a:stretch>
                      <a:fillRect/>
                    </a:stretch>
                  </pic:blipFill>
                  <pic:spPr>
                    <a:xfrm>
                      <a:off x="0" y="0"/>
                      <a:ext cx="4287520" cy="4048124"/>
                    </a:xfrm>
                    <a:prstGeom prst="rect">
                      <a:avLst/>
                    </a:prstGeom>
                    <a:noFill/>
                    <a:ln w="9525" cap="flat" cmpd="sng">
                      <a:noFill/>
                      <a:prstDash val="solid"/>
                      <a:round/>
                    </a:ln>
                  </pic:spPr>
                </pic:pic>
              </a:graphicData>
            </a:graphic>
          </wp:inline>
        </w:drawing>
      </w:r>
    </w:p>
    <w:p>
      <w:pPr>
        <w:adjustRightInd w:val="0"/>
        <w:snapToGrid w:val="0"/>
        <w:spacing w:before="156" w:beforeLines="50" w:after="156" w:afterLines="50" w:line="360" w:lineRule="auto"/>
        <w:ind w:firstLine="480"/>
        <w:rPr>
          <w:rFonts w:ascii="宋体" w:cs="Mongolian Baiti"/>
          <w:sz w:val="28"/>
          <w:szCs w:val="20"/>
        </w:rPr>
      </w:pPr>
      <w:r>
        <w:rPr>
          <w:rFonts w:ascii="宋体" w:cs="Mongolian Baiti"/>
          <w:sz w:val="28"/>
          <w:szCs w:val="20"/>
        </w:rPr>
        <w:t>式中：</w:t>
      </w:r>
    </w:p>
    <w:p>
      <w:pPr>
        <w:adjustRightInd w:val="0"/>
        <w:snapToGrid w:val="0"/>
        <w:spacing w:before="156" w:beforeLines="50" w:after="156" w:afterLines="50" w:line="360" w:lineRule="auto"/>
        <w:ind w:firstLine="480"/>
        <w:rPr>
          <w:rFonts w:ascii="宋体" w:cs="Mongolian Baiti"/>
          <w:sz w:val="28"/>
          <w:szCs w:val="20"/>
        </w:rPr>
      </w:pPr>
      <w:r>
        <w:rPr>
          <w:rFonts w:ascii="宋体" w:cs="Mongolian Baiti"/>
          <w:sz w:val="28"/>
          <w:szCs w:val="20"/>
        </w:rPr>
        <w:t>Q——总热辐射通量，W；</w:t>
      </w:r>
    </w:p>
    <w:p>
      <w:pPr>
        <w:adjustRightInd w:val="0"/>
        <w:snapToGrid w:val="0"/>
        <w:spacing w:before="156" w:beforeLines="50" w:after="156" w:afterLines="50" w:line="360" w:lineRule="auto"/>
        <w:ind w:firstLine="480"/>
        <w:rPr>
          <w:rFonts w:ascii="宋体" w:cs="Mongolian Baiti"/>
          <w:sz w:val="28"/>
          <w:szCs w:val="20"/>
        </w:rPr>
      </w:pPr>
      <w:r>
        <w:rPr>
          <w:rFonts w:ascii="宋体"/>
          <w:sz w:val="28"/>
          <w:szCs w:val="20"/>
        </w:rPr>
        <w:t>η</w:t>
      </w:r>
      <w:r>
        <w:rPr>
          <w:rFonts w:ascii="宋体" w:cs="Mongolian Baiti"/>
          <w:sz w:val="28"/>
          <w:szCs w:val="20"/>
        </w:rPr>
        <w:t>——效率因子，可取0.13～0.35；</w:t>
      </w:r>
    </w:p>
    <w:p>
      <w:pPr>
        <w:adjustRightInd w:val="0"/>
        <w:snapToGrid w:val="0"/>
        <w:spacing w:before="156" w:beforeLines="50" w:after="156" w:afterLines="50" w:line="360" w:lineRule="auto"/>
        <w:ind w:firstLine="480"/>
        <w:rPr>
          <w:rFonts w:ascii="宋体" w:cs="Mongolian Baiti"/>
          <w:sz w:val="28"/>
          <w:szCs w:val="20"/>
        </w:rPr>
      </w:pPr>
      <w:r>
        <w:rPr>
          <w:rFonts w:ascii="宋体" w:cs="Mongolian Baiti"/>
          <w:sz w:val="28"/>
          <w:szCs w:val="20"/>
        </w:rPr>
        <w:t>he——液体燃烧热，查物质系数和特性表，汽油燃烧热hc=43.7×10</w:t>
      </w:r>
      <w:r>
        <w:rPr>
          <w:rFonts w:ascii="宋体" w:cs="Mongolian Baiti"/>
          <w:sz w:val="28"/>
          <w:szCs w:val="20"/>
          <w:vertAlign w:val="superscript"/>
        </w:rPr>
        <w:t>6</w:t>
      </w:r>
      <w:r>
        <w:rPr>
          <w:rFonts w:ascii="宋体" w:cs="Mongolian Baiti"/>
          <w:sz w:val="28"/>
          <w:szCs w:val="20"/>
        </w:rPr>
        <w:t>J</w:t>
      </w:r>
    </w:p>
    <w:p>
      <w:pPr>
        <w:adjustRightInd w:val="0"/>
        <w:snapToGrid w:val="0"/>
        <w:spacing w:before="156" w:beforeLines="50" w:after="156" w:afterLines="50" w:line="360" w:lineRule="auto"/>
        <w:ind w:firstLine="480"/>
        <w:rPr>
          <w:rFonts w:ascii="宋体" w:cs="Mongolian Baiti"/>
          <w:sz w:val="28"/>
          <w:szCs w:val="20"/>
        </w:rPr>
      </w:pPr>
      <w:r>
        <w:rPr>
          <w:rFonts w:ascii="宋体" w:cs="Mongolian Baiti"/>
          <w:sz w:val="28"/>
          <w:szCs w:val="20"/>
        </w:rPr>
        <w:t>计算后得Q=276291.5</w:t>
      </w:r>
      <w:r>
        <w:rPr>
          <w:rFonts w:hint="eastAsia" w:ascii="宋体" w:cs="Mongolian Baiti"/>
          <w:sz w:val="28"/>
          <w:szCs w:val="20"/>
        </w:rPr>
        <w:t>kw</w:t>
      </w:r>
      <w:r>
        <w:rPr>
          <w:rFonts w:ascii="宋体" w:cs="Mongolian Baiti"/>
          <w:sz w:val="28"/>
          <w:szCs w:val="20"/>
        </w:rPr>
        <w:t>。</w:t>
      </w:r>
    </w:p>
    <w:p>
      <w:pPr>
        <w:adjustRightInd w:val="0"/>
        <w:snapToGrid w:val="0"/>
        <w:spacing w:before="156" w:beforeLines="50" w:after="156" w:afterLines="50" w:line="360" w:lineRule="auto"/>
        <w:ind w:firstLine="480"/>
        <w:rPr>
          <w:rFonts w:ascii="宋体" w:cs="Mongolian Baiti"/>
          <w:sz w:val="28"/>
          <w:szCs w:val="20"/>
        </w:rPr>
      </w:pPr>
      <w:r>
        <w:rPr>
          <w:rFonts w:hint="eastAsia" w:ascii="宋体" w:cs="宋体"/>
          <w:sz w:val="28"/>
          <w:szCs w:val="20"/>
          <w:lang w:val="zh-CN"/>
        </w:rPr>
        <w:t>③</w:t>
      </w:r>
      <w:r>
        <w:rPr>
          <w:rFonts w:ascii="宋体" w:cs="Mongolian Baiti"/>
          <w:sz w:val="28"/>
          <w:szCs w:val="20"/>
          <w:lang w:val="zh-CN"/>
        </w:rPr>
        <w:t>计算火焰表面热通量</w:t>
      </w:r>
    </w:p>
    <w:p>
      <w:pPr>
        <w:adjustRightInd w:val="0"/>
        <w:snapToGrid w:val="0"/>
        <w:spacing w:before="156" w:beforeLines="50" w:after="156" w:afterLines="50" w:line="360" w:lineRule="auto"/>
        <w:ind w:firstLine="480"/>
        <w:rPr>
          <w:rFonts w:ascii="宋体" w:cs="Mongolian Baiti"/>
          <w:sz w:val="28"/>
          <w:szCs w:val="20"/>
        </w:rPr>
      </w:pPr>
      <w:r>
        <w:rPr>
          <w:rFonts w:ascii="宋体" w:cs="Mongolian Baiti"/>
          <w:sz w:val="28"/>
          <w:szCs w:val="20"/>
          <w:lang w:val="zh-CN"/>
        </w:rPr>
        <w:t>假定能量由圆柱形火焰侧面和顶部向周围均匀辐射，用下式计算火焰表面的热通量：</w:t>
      </w:r>
    </w:p>
    <w:p>
      <w:pPr>
        <w:autoSpaceDE w:val="0"/>
        <w:autoSpaceDN w:val="0"/>
        <w:adjustRightInd w:val="0"/>
        <w:snapToGrid w:val="0"/>
        <w:spacing w:before="156" w:beforeLines="50" w:after="156" w:afterLines="50" w:line="360" w:lineRule="auto"/>
        <w:rPr>
          <w:rFonts w:ascii="宋体" w:cs="Mongolian Baiti"/>
          <w:sz w:val="28"/>
          <w:szCs w:val="20"/>
        </w:rPr>
      </w:pPr>
      <w:r>
        <w:rPr>
          <w:rFonts w:ascii="宋体" w:cs="Mongolian Baiti"/>
          <w:sz w:val="28"/>
          <w:szCs w:val="20"/>
        </w:rPr>
        <w:drawing>
          <wp:inline distT="0" distB="0" distL="114300" distR="114300">
            <wp:extent cx="1487170" cy="436880"/>
            <wp:effectExtent l="0" t="0" r="0" b="0"/>
            <wp:docPr id="8" name="图片 8" descr="5892491021466383657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892491021466383657556"/>
                    <pic:cNvPicPr>
                      <a:picLocks noChangeAspect="1"/>
                    </pic:cNvPicPr>
                  </pic:nvPicPr>
                  <pic:blipFill>
                    <a:blip r:embed="rId8"/>
                    <a:stretch>
                      <a:fillRect/>
                    </a:stretch>
                  </pic:blipFill>
                  <pic:spPr>
                    <a:xfrm>
                      <a:off x="0" y="0"/>
                      <a:ext cx="1487170" cy="436880"/>
                    </a:xfrm>
                    <a:prstGeom prst="rect">
                      <a:avLst/>
                    </a:prstGeom>
                    <a:noFill/>
                    <a:ln w="9525" cap="flat" cmpd="sng">
                      <a:noFill/>
                      <a:prstDash val="solid"/>
                      <a:round/>
                    </a:ln>
                  </pic:spPr>
                </pic:pic>
              </a:graphicData>
            </a:graphic>
          </wp:inline>
        </w:drawing>
      </w:r>
      <w:r>
        <w:rPr>
          <w:rFonts w:ascii="宋体" w:cs="Mongolian Baiti"/>
          <w:sz w:val="28"/>
          <w:szCs w:val="20"/>
        </w:rPr>
        <w:t xml:space="preserve">                                           </w:t>
      </w:r>
      <w:r>
        <w:rPr>
          <w:rFonts w:ascii="宋体" w:cs="Mongolian Baiti"/>
          <w:sz w:val="28"/>
          <w:szCs w:val="20"/>
          <w:lang w:val="zh-CN"/>
        </w:rPr>
        <w:t>（</w:t>
      </w:r>
      <w:r>
        <w:rPr>
          <w:rFonts w:ascii="宋体" w:cs="Mongolian Baiti"/>
          <w:sz w:val="28"/>
          <w:szCs w:val="20"/>
        </w:rPr>
        <w:t>3</w:t>
      </w:r>
      <w:r>
        <w:rPr>
          <w:rFonts w:ascii="宋体" w:cs="Mongolian Baiti"/>
          <w:sz w:val="28"/>
          <w:szCs w:val="20"/>
          <w:lang w:val="zh-CN"/>
        </w:rPr>
        <w:t>）</w:t>
      </w:r>
    </w:p>
    <w:p>
      <w:pPr>
        <w:autoSpaceDE w:val="0"/>
        <w:autoSpaceDN w:val="0"/>
        <w:adjustRightInd w:val="0"/>
        <w:snapToGrid w:val="0"/>
        <w:spacing w:before="156" w:beforeLines="50" w:after="156" w:afterLines="50" w:line="360" w:lineRule="auto"/>
        <w:ind w:firstLine="480"/>
        <w:rPr>
          <w:rFonts w:ascii="宋体" w:cs="Mongolian Baiti"/>
          <w:sz w:val="28"/>
          <w:szCs w:val="20"/>
        </w:rPr>
      </w:pPr>
      <w:r>
        <w:rPr>
          <w:rFonts w:ascii="宋体" w:cs="Mongolian Baiti"/>
          <w:sz w:val="28"/>
          <w:szCs w:val="20"/>
          <w:lang w:val="zh-CN"/>
        </w:rPr>
        <w:t>式中，</w:t>
      </w:r>
      <w:r>
        <w:rPr>
          <w:rFonts w:ascii="宋体" w:cs="Mongolian Baiti"/>
          <w:sz w:val="28"/>
          <w:szCs w:val="20"/>
        </w:rPr>
        <w:t>q</w:t>
      </w:r>
      <w:r>
        <w:rPr>
          <w:rFonts w:ascii="宋体" w:cs="Mongolian Baiti"/>
          <w:sz w:val="28"/>
          <w:szCs w:val="20"/>
          <w:vertAlign w:val="subscript"/>
        </w:rPr>
        <w:t>0</w:t>
      </w:r>
      <w:r>
        <w:rPr>
          <w:rFonts w:ascii="宋体" w:cs="Mongolian Baiti"/>
          <w:sz w:val="28"/>
          <w:szCs w:val="20"/>
          <w:lang w:val="zh-CN"/>
        </w:rPr>
        <w:t>为火焰表面的热通量（</w:t>
      </w:r>
      <w:r>
        <w:rPr>
          <w:rFonts w:ascii="宋体" w:cs="Mongolian Baiti"/>
          <w:sz w:val="28"/>
          <w:szCs w:val="20"/>
        </w:rPr>
        <w:t>KW/㎡</w:t>
      </w:r>
      <w:r>
        <w:rPr>
          <w:rFonts w:ascii="宋体" w:cs="Mongolian Baiti"/>
          <w:sz w:val="28"/>
          <w:szCs w:val="20"/>
          <w:lang w:val="zh-CN"/>
        </w:rPr>
        <w:t>），</w:t>
      </w:r>
      <w:r>
        <w:rPr>
          <w:rFonts w:ascii="宋体"/>
          <w:sz w:val="28"/>
          <w:szCs w:val="20"/>
          <w:lang w:val="zh-CN"/>
        </w:rPr>
        <w:t>Δ</w:t>
      </w:r>
      <w:r>
        <w:rPr>
          <w:rFonts w:ascii="宋体" w:cs="Mongolian Baiti"/>
          <w:sz w:val="28"/>
          <w:szCs w:val="20"/>
        </w:rPr>
        <w:t>H</w:t>
      </w:r>
      <w:r>
        <w:rPr>
          <w:rFonts w:ascii="宋体" w:cs="Mongolian Baiti"/>
          <w:sz w:val="28"/>
          <w:szCs w:val="20"/>
          <w:vertAlign w:val="subscript"/>
        </w:rPr>
        <w:t>C</w:t>
      </w:r>
      <w:r>
        <w:rPr>
          <w:rFonts w:ascii="宋体" w:cs="Mongolian Baiti"/>
          <w:sz w:val="28"/>
          <w:szCs w:val="20"/>
          <w:lang w:val="zh-CN"/>
        </w:rPr>
        <w:t>为燃烧热（</w:t>
      </w:r>
      <w:r>
        <w:rPr>
          <w:rFonts w:ascii="宋体" w:cs="Mongolian Baiti"/>
          <w:sz w:val="28"/>
          <w:szCs w:val="20"/>
        </w:rPr>
        <w:t>KJ/kg</w:t>
      </w:r>
      <w:r>
        <w:rPr>
          <w:rFonts w:ascii="宋体" w:cs="Mongolian Baiti"/>
          <w:sz w:val="28"/>
          <w:szCs w:val="20"/>
          <w:lang w:val="zh-CN"/>
        </w:rPr>
        <w:t>），</w:t>
      </w:r>
      <w:r>
        <w:rPr>
          <w:rFonts w:ascii="宋体"/>
          <w:sz w:val="28"/>
          <w:szCs w:val="20"/>
          <w:lang w:val="zh-CN"/>
        </w:rPr>
        <w:t>π</w:t>
      </w:r>
      <w:r>
        <w:rPr>
          <w:rFonts w:ascii="宋体" w:cs="Mongolian Baiti"/>
          <w:sz w:val="28"/>
          <w:szCs w:val="20"/>
          <w:lang w:val="zh-CN"/>
        </w:rPr>
        <w:t>为圆周率，</w:t>
      </w:r>
      <w:r>
        <w:rPr>
          <w:rFonts w:ascii="宋体" w:cs="Mongolian Baiti"/>
          <w:sz w:val="28"/>
          <w:szCs w:val="20"/>
        </w:rPr>
        <w:t>f</w:t>
      </w:r>
      <w:r>
        <w:rPr>
          <w:rFonts w:ascii="宋体" w:cs="Mongolian Baiti"/>
          <w:sz w:val="28"/>
          <w:szCs w:val="20"/>
          <w:lang w:val="zh-CN"/>
        </w:rPr>
        <w:t>为热辐射系数（可取为</w:t>
      </w:r>
      <w:r>
        <w:rPr>
          <w:rFonts w:ascii="宋体" w:cs="Mongolian Baiti"/>
          <w:sz w:val="28"/>
          <w:szCs w:val="20"/>
        </w:rPr>
        <w:t>0.15</w:t>
      </w:r>
      <w:r>
        <w:rPr>
          <w:rFonts w:ascii="宋体" w:cs="Mongolian Baiti"/>
          <w:sz w:val="28"/>
          <w:szCs w:val="20"/>
          <w:lang w:val="zh-CN"/>
        </w:rPr>
        <w:t>），</w:t>
      </w:r>
      <w:r>
        <w:rPr>
          <w:rFonts w:ascii="宋体" w:cs="Mongolian Baiti"/>
          <w:sz w:val="28"/>
          <w:szCs w:val="20"/>
        </w:rPr>
        <w:t>m</w:t>
      </w:r>
      <w:r>
        <w:rPr>
          <w:rFonts w:ascii="宋体" w:cs="Mongolian Baiti"/>
          <w:sz w:val="28"/>
          <w:szCs w:val="20"/>
          <w:vertAlign w:val="subscript"/>
        </w:rPr>
        <w:t>f</w:t>
      </w:r>
      <w:r>
        <w:rPr>
          <w:rFonts w:ascii="宋体" w:cs="Mongolian Baiti"/>
          <w:sz w:val="28"/>
          <w:szCs w:val="20"/>
          <w:lang w:val="zh-CN"/>
        </w:rPr>
        <w:t>为燃烧速率（</w:t>
      </w:r>
      <w:r>
        <w:rPr>
          <w:rFonts w:ascii="宋体" w:cs="Mongolian Baiti"/>
          <w:sz w:val="28"/>
          <w:szCs w:val="20"/>
        </w:rPr>
        <w:t>kg/㎡s</w:t>
      </w:r>
      <w:r>
        <w:rPr>
          <w:rFonts w:ascii="宋体" w:cs="Mongolian Baiti"/>
          <w:sz w:val="28"/>
          <w:szCs w:val="20"/>
          <w:lang w:val="zh-CN"/>
        </w:rPr>
        <w:t>），其它符号同前。</w:t>
      </w:r>
    </w:p>
    <w:p>
      <w:pPr>
        <w:autoSpaceDE w:val="0"/>
        <w:autoSpaceDN w:val="0"/>
        <w:adjustRightInd w:val="0"/>
        <w:snapToGrid w:val="0"/>
        <w:spacing w:before="156" w:beforeLines="50" w:after="156" w:afterLines="50" w:line="360" w:lineRule="auto"/>
        <w:ind w:firstLine="480"/>
        <w:rPr>
          <w:rFonts w:ascii="宋体" w:cs="Mongolian Baiti"/>
          <w:sz w:val="28"/>
          <w:szCs w:val="20"/>
        </w:rPr>
      </w:pPr>
      <w:r>
        <w:rPr>
          <w:rFonts w:hint="eastAsia" w:ascii="宋体" w:cs="宋体"/>
          <w:sz w:val="28"/>
          <w:szCs w:val="20"/>
          <w:lang w:val="zh-CN"/>
        </w:rPr>
        <w:t>④</w:t>
      </w:r>
      <w:r>
        <w:rPr>
          <w:rFonts w:ascii="宋体" w:cs="Mongolian Baiti"/>
          <w:sz w:val="28"/>
          <w:szCs w:val="20"/>
          <w:lang w:val="zh-CN"/>
        </w:rPr>
        <w:t>目标接收到的热通量的计算</w:t>
      </w:r>
    </w:p>
    <w:p>
      <w:pPr>
        <w:autoSpaceDE w:val="0"/>
        <w:autoSpaceDN w:val="0"/>
        <w:adjustRightInd w:val="0"/>
        <w:snapToGrid w:val="0"/>
        <w:spacing w:before="156" w:beforeLines="50" w:after="156" w:afterLines="50" w:line="360" w:lineRule="auto"/>
        <w:ind w:firstLine="420"/>
        <w:rPr>
          <w:rFonts w:ascii="宋体" w:cs="Mongolian Baiti"/>
          <w:sz w:val="28"/>
          <w:szCs w:val="20"/>
        </w:rPr>
      </w:pPr>
      <w:r>
        <w:rPr>
          <w:rFonts w:ascii="宋体" w:cs="Mongolian Baiti"/>
          <w:sz w:val="28"/>
          <w:szCs w:val="20"/>
          <w:lang w:val="zh-CN"/>
        </w:rPr>
        <w:t>目标接收到的热通量</w:t>
      </w:r>
      <w:r>
        <w:rPr>
          <w:rFonts w:ascii="宋体" w:cs="Mongolian Baiti"/>
          <w:sz w:val="28"/>
          <w:szCs w:val="20"/>
        </w:rPr>
        <w:t>q(r)</w:t>
      </w:r>
      <w:r>
        <w:rPr>
          <w:rFonts w:ascii="宋体" w:cs="Mongolian Baiti"/>
          <w:sz w:val="28"/>
          <w:szCs w:val="20"/>
          <w:lang w:val="zh-CN"/>
        </w:rPr>
        <w:t>的计算公式为：</w:t>
      </w:r>
    </w:p>
    <w:p>
      <w:pPr>
        <w:autoSpaceDE w:val="0"/>
        <w:autoSpaceDN w:val="0"/>
        <w:adjustRightInd w:val="0"/>
        <w:snapToGrid w:val="0"/>
        <w:spacing w:before="156" w:beforeLines="50" w:after="156" w:afterLines="50" w:line="360" w:lineRule="auto"/>
        <w:rPr>
          <w:rFonts w:ascii="宋体" w:cs="Mongolian Baiti"/>
          <w:sz w:val="28"/>
          <w:szCs w:val="20"/>
        </w:rPr>
      </w:pPr>
      <w:r>
        <w:rPr>
          <w:rFonts w:ascii="宋体" w:cs="Mongolian Baiti"/>
          <w:sz w:val="28"/>
          <w:szCs w:val="20"/>
        </w:rPr>
        <w:t xml:space="preserve">           </w:t>
      </w:r>
      <w:r>
        <w:rPr>
          <w:rFonts w:ascii="宋体" w:cs="Mongolian Baiti"/>
          <w:sz w:val="28"/>
          <w:szCs w:val="20"/>
        </w:rPr>
        <w:drawing>
          <wp:inline distT="0" distB="0" distL="114300" distR="114300">
            <wp:extent cx="1596390" cy="245745"/>
            <wp:effectExtent l="0" t="0" r="0" b="0"/>
            <wp:docPr id="9" name="图片 9" descr="532390797146638365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5323907971466383657587"/>
                    <pic:cNvPicPr>
                      <a:picLocks noChangeAspect="1"/>
                    </pic:cNvPicPr>
                  </pic:nvPicPr>
                  <pic:blipFill>
                    <a:blip r:embed="rId9"/>
                    <a:stretch>
                      <a:fillRect/>
                    </a:stretch>
                  </pic:blipFill>
                  <pic:spPr>
                    <a:xfrm>
                      <a:off x="0" y="0"/>
                      <a:ext cx="1597024" cy="245745"/>
                    </a:xfrm>
                    <a:prstGeom prst="rect">
                      <a:avLst/>
                    </a:prstGeom>
                    <a:noFill/>
                    <a:ln w="9525" cap="flat" cmpd="sng">
                      <a:noFill/>
                      <a:prstDash val="solid"/>
                      <a:round/>
                    </a:ln>
                  </pic:spPr>
                </pic:pic>
              </a:graphicData>
            </a:graphic>
          </wp:inline>
        </w:drawing>
      </w:r>
      <w:r>
        <w:rPr>
          <w:rFonts w:ascii="宋体" w:cs="Mongolian Baiti"/>
          <w:sz w:val="28"/>
          <w:szCs w:val="20"/>
        </w:rPr>
        <w:t xml:space="preserve">                               </w:t>
      </w:r>
      <w:r>
        <w:rPr>
          <w:rFonts w:ascii="宋体" w:cs="Mongolian Baiti"/>
          <w:sz w:val="28"/>
          <w:szCs w:val="20"/>
          <w:lang w:val="zh-CN"/>
        </w:rPr>
        <w:t>（</w:t>
      </w:r>
      <w:r>
        <w:rPr>
          <w:rFonts w:ascii="宋体" w:cs="Mongolian Baiti"/>
          <w:sz w:val="28"/>
          <w:szCs w:val="20"/>
        </w:rPr>
        <w:t>4</w:t>
      </w:r>
      <w:r>
        <w:rPr>
          <w:rFonts w:ascii="宋体" w:cs="Mongolian Baiti"/>
          <w:sz w:val="28"/>
          <w:szCs w:val="20"/>
          <w:lang w:val="zh-CN"/>
        </w:rPr>
        <w:t>）</w:t>
      </w:r>
    </w:p>
    <w:p>
      <w:pPr>
        <w:autoSpaceDE w:val="0"/>
        <w:autoSpaceDN w:val="0"/>
        <w:adjustRightInd w:val="0"/>
        <w:snapToGrid w:val="0"/>
        <w:spacing w:before="156" w:beforeLines="50" w:after="156" w:afterLines="50" w:line="360" w:lineRule="auto"/>
        <w:rPr>
          <w:rFonts w:ascii="宋体" w:cs="Mongolian Baiti"/>
          <w:sz w:val="28"/>
          <w:szCs w:val="20"/>
        </w:rPr>
      </w:pPr>
      <w:r>
        <w:rPr>
          <w:rFonts w:ascii="宋体" w:cs="Mongolian Baiti"/>
          <w:sz w:val="28"/>
          <w:szCs w:val="20"/>
        </w:rPr>
        <w:t xml:space="preserve">    </w:t>
      </w:r>
      <w:r>
        <w:rPr>
          <w:rFonts w:ascii="宋体" w:cs="Mongolian Baiti"/>
          <w:sz w:val="28"/>
          <w:szCs w:val="20"/>
          <w:lang w:val="zh-CN"/>
        </w:rPr>
        <w:t>式中，</w:t>
      </w:r>
      <w:r>
        <w:rPr>
          <w:rFonts w:ascii="宋体" w:cs="Mongolian Baiti"/>
          <w:sz w:val="28"/>
          <w:szCs w:val="20"/>
        </w:rPr>
        <w:t>q(r)</w:t>
      </w:r>
      <w:r>
        <w:rPr>
          <w:rFonts w:ascii="宋体" w:cs="Mongolian Baiti"/>
          <w:sz w:val="28"/>
          <w:szCs w:val="20"/>
          <w:lang w:val="zh-CN"/>
        </w:rPr>
        <w:t>为目标接收到的热通量（</w:t>
      </w:r>
      <w:r>
        <w:rPr>
          <w:rFonts w:ascii="宋体" w:cs="Mongolian Baiti"/>
          <w:sz w:val="28"/>
          <w:szCs w:val="20"/>
        </w:rPr>
        <w:t>KW/㎡</w:t>
      </w:r>
      <w:r>
        <w:rPr>
          <w:rFonts w:ascii="宋体" w:cs="Mongolian Baiti"/>
          <w:sz w:val="28"/>
          <w:szCs w:val="20"/>
          <w:lang w:val="zh-CN"/>
        </w:rPr>
        <w:t>），</w:t>
      </w:r>
      <w:r>
        <w:rPr>
          <w:rFonts w:ascii="宋体" w:cs="Mongolian Baiti"/>
          <w:sz w:val="28"/>
          <w:szCs w:val="20"/>
        </w:rPr>
        <w:t>q</w:t>
      </w:r>
      <w:r>
        <w:rPr>
          <w:rFonts w:ascii="宋体" w:cs="Mongolian Baiti"/>
          <w:sz w:val="28"/>
          <w:szCs w:val="20"/>
          <w:vertAlign w:val="subscript"/>
        </w:rPr>
        <w:t>0</w:t>
      </w:r>
      <w:r>
        <w:rPr>
          <w:rFonts w:ascii="宋体" w:cs="Mongolian Baiti"/>
          <w:sz w:val="28"/>
          <w:szCs w:val="20"/>
          <w:lang w:val="zh-CN"/>
        </w:rPr>
        <w:t>为由式（</w:t>
      </w:r>
      <w:r>
        <w:rPr>
          <w:rFonts w:ascii="宋体" w:cs="Mongolian Baiti"/>
          <w:sz w:val="28"/>
          <w:szCs w:val="20"/>
        </w:rPr>
        <w:t>3</w:t>
      </w:r>
      <w:r>
        <w:rPr>
          <w:rFonts w:ascii="宋体" w:cs="Mongolian Baiti"/>
          <w:sz w:val="28"/>
          <w:szCs w:val="20"/>
          <w:lang w:val="zh-CN"/>
        </w:rPr>
        <w:t>）计算的火焰表面的热通量（</w:t>
      </w:r>
      <w:r>
        <w:rPr>
          <w:rFonts w:ascii="宋体" w:cs="Mongolian Baiti"/>
          <w:sz w:val="28"/>
          <w:szCs w:val="20"/>
        </w:rPr>
        <w:t>KW/㎡</w:t>
      </w:r>
      <w:r>
        <w:rPr>
          <w:rFonts w:ascii="宋体" w:cs="Mongolian Baiti"/>
          <w:sz w:val="28"/>
          <w:szCs w:val="20"/>
          <w:lang w:val="zh-CN"/>
        </w:rPr>
        <w:t>），</w:t>
      </w:r>
      <w:r>
        <w:rPr>
          <w:rFonts w:ascii="宋体" w:cs="Mongolian Baiti"/>
          <w:sz w:val="28"/>
          <w:szCs w:val="20"/>
        </w:rPr>
        <w:t>r</w:t>
      </w:r>
      <w:r>
        <w:rPr>
          <w:rFonts w:ascii="宋体" w:cs="Mongolian Baiti"/>
          <w:sz w:val="28"/>
          <w:szCs w:val="20"/>
          <w:lang w:val="zh-CN"/>
        </w:rPr>
        <w:t>为目标到油区中心的水平距离（</w:t>
      </w:r>
      <w:r>
        <w:rPr>
          <w:rFonts w:ascii="宋体" w:cs="Mongolian Baiti"/>
          <w:sz w:val="28"/>
          <w:szCs w:val="20"/>
        </w:rPr>
        <w:t>m</w:t>
      </w:r>
      <w:r>
        <w:rPr>
          <w:rFonts w:ascii="宋体" w:cs="Mongolian Baiti"/>
          <w:sz w:val="28"/>
          <w:szCs w:val="20"/>
          <w:lang w:val="zh-CN"/>
        </w:rPr>
        <w:t>），</w:t>
      </w:r>
      <w:r>
        <w:rPr>
          <w:rFonts w:ascii="宋体" w:cs="Mongolian Baiti"/>
          <w:sz w:val="28"/>
          <w:szCs w:val="20"/>
        </w:rPr>
        <w:t>V</w:t>
      </w:r>
      <w:r>
        <w:rPr>
          <w:rFonts w:ascii="宋体" w:cs="Mongolian Baiti"/>
          <w:sz w:val="28"/>
          <w:szCs w:val="20"/>
          <w:lang w:val="zh-CN"/>
        </w:rPr>
        <w:t>为视角系数。</w:t>
      </w:r>
    </w:p>
    <w:p>
      <w:pPr>
        <w:autoSpaceDE w:val="0"/>
        <w:autoSpaceDN w:val="0"/>
        <w:adjustRightInd w:val="0"/>
        <w:snapToGrid w:val="0"/>
        <w:spacing w:before="156" w:beforeLines="50" w:after="156" w:afterLines="50" w:line="360" w:lineRule="auto"/>
        <w:ind w:firstLine="480"/>
        <w:rPr>
          <w:rFonts w:ascii="宋体" w:cs="Mongolian Baiti"/>
          <w:sz w:val="28"/>
          <w:szCs w:val="20"/>
        </w:rPr>
      </w:pPr>
      <w:r>
        <w:rPr>
          <w:rFonts w:hint="eastAsia" w:ascii="宋体" w:cs="宋体"/>
          <w:sz w:val="28"/>
          <w:szCs w:val="20"/>
          <w:lang w:val="zh-CN"/>
        </w:rPr>
        <w:t>⑤</w:t>
      </w:r>
      <w:r>
        <w:rPr>
          <w:rFonts w:ascii="宋体" w:cs="Mongolian Baiti"/>
          <w:sz w:val="28"/>
          <w:szCs w:val="20"/>
          <w:lang w:val="zh-CN"/>
        </w:rPr>
        <w:t>视角系数的计算</w:t>
      </w:r>
    </w:p>
    <w:p>
      <w:pPr>
        <w:autoSpaceDE w:val="0"/>
        <w:autoSpaceDN w:val="0"/>
        <w:adjustRightInd w:val="0"/>
        <w:snapToGrid w:val="0"/>
        <w:spacing w:before="156" w:beforeLines="50" w:after="156" w:afterLines="50" w:line="360" w:lineRule="auto"/>
        <w:ind w:firstLine="480"/>
        <w:rPr>
          <w:rFonts w:ascii="宋体" w:cs="Mongolian Baiti"/>
          <w:b/>
          <w:bCs/>
          <w:sz w:val="28"/>
          <w:szCs w:val="20"/>
        </w:rPr>
      </w:pPr>
      <w:r>
        <w:rPr>
          <w:rFonts w:ascii="宋体" w:cs="Mongolian Baiti"/>
          <w:sz w:val="28"/>
          <w:szCs w:val="20"/>
          <w:lang w:val="zh-CN"/>
        </w:rPr>
        <w:t>角系数</w:t>
      </w:r>
      <w:r>
        <w:rPr>
          <w:rFonts w:ascii="宋体" w:cs="Mongolian Baiti"/>
          <w:sz w:val="28"/>
          <w:szCs w:val="20"/>
        </w:rPr>
        <w:t>V</w:t>
      </w:r>
      <w:r>
        <w:rPr>
          <w:rFonts w:ascii="宋体" w:cs="Mongolian Baiti"/>
          <w:sz w:val="28"/>
          <w:szCs w:val="20"/>
          <w:lang w:val="zh-CN"/>
        </w:rPr>
        <w:t>与目标到火焰垂直轴的距离与火焰半径之比</w:t>
      </w:r>
      <w:r>
        <w:rPr>
          <w:rFonts w:ascii="宋体" w:cs="Mongolian Baiti"/>
          <w:sz w:val="28"/>
          <w:szCs w:val="20"/>
        </w:rPr>
        <w:t>s</w:t>
      </w:r>
      <w:r>
        <w:rPr>
          <w:rFonts w:ascii="宋体" w:cs="Mongolian Baiti"/>
          <w:sz w:val="28"/>
          <w:szCs w:val="20"/>
          <w:lang w:val="zh-CN"/>
        </w:rPr>
        <w:t>，火焰高度与直径之比</w:t>
      </w:r>
      <w:r>
        <w:rPr>
          <w:rFonts w:ascii="宋体" w:cs="Mongolian Baiti"/>
          <w:sz w:val="28"/>
          <w:szCs w:val="20"/>
        </w:rPr>
        <w:t>h</w:t>
      </w:r>
      <w:r>
        <w:rPr>
          <w:rFonts w:ascii="宋体" w:cs="Mongolian Baiti"/>
          <w:sz w:val="28"/>
          <w:szCs w:val="20"/>
          <w:lang w:val="zh-CN"/>
        </w:rPr>
        <w:t>有关。</w:t>
      </w:r>
    </w:p>
    <w:p>
      <w:pPr>
        <w:autoSpaceDE w:val="0"/>
        <w:autoSpaceDN w:val="0"/>
        <w:adjustRightInd w:val="0"/>
        <w:snapToGrid w:val="0"/>
        <w:spacing w:before="156" w:beforeLines="50" w:after="156" w:afterLines="50" w:line="360" w:lineRule="auto"/>
        <w:jc w:val="right"/>
        <w:rPr>
          <w:rFonts w:ascii="宋体" w:cs="Mongolian Baiti"/>
          <w:sz w:val="28"/>
          <w:szCs w:val="20"/>
        </w:rPr>
      </w:pPr>
      <w:r>
        <w:rPr>
          <w:rFonts w:ascii="宋体" w:cs="Mongolian Baiti"/>
          <w:sz w:val="28"/>
          <w:szCs w:val="20"/>
        </w:rPr>
        <w:drawing>
          <wp:inline distT="0" distB="0" distL="114300" distR="114300">
            <wp:extent cx="1041400" cy="272415"/>
            <wp:effectExtent l="0" t="0" r="0" b="0"/>
            <wp:docPr id="11" name="图片 11" descr="4994606701466383657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4994606701466383657603"/>
                    <pic:cNvPicPr>
                      <a:picLocks noChangeAspect="1"/>
                    </pic:cNvPicPr>
                  </pic:nvPicPr>
                  <pic:blipFill>
                    <a:blip r:embed="rId10"/>
                    <a:stretch>
                      <a:fillRect/>
                    </a:stretch>
                  </pic:blipFill>
                  <pic:spPr>
                    <a:xfrm>
                      <a:off x="0" y="0"/>
                      <a:ext cx="1041400" cy="272415"/>
                    </a:xfrm>
                    <a:prstGeom prst="rect">
                      <a:avLst/>
                    </a:prstGeom>
                    <a:noFill/>
                    <a:ln w="9525" cap="flat" cmpd="sng">
                      <a:noFill/>
                      <a:prstDash val="solid"/>
                      <a:round/>
                    </a:ln>
                  </pic:spPr>
                </pic:pic>
              </a:graphicData>
            </a:graphic>
          </wp:inline>
        </w:drawing>
      </w:r>
      <w:r>
        <w:rPr>
          <w:rFonts w:ascii="宋体" w:cs="Mongolian Baiti"/>
          <w:sz w:val="28"/>
          <w:szCs w:val="20"/>
        </w:rPr>
        <w:t xml:space="preserve">                                       （5）</w:t>
      </w:r>
    </w:p>
    <w:p>
      <w:pPr>
        <w:autoSpaceDE w:val="0"/>
        <w:autoSpaceDN w:val="0"/>
        <w:adjustRightInd w:val="0"/>
        <w:snapToGrid w:val="0"/>
        <w:spacing w:before="156" w:beforeLines="50" w:after="156" w:afterLines="50" w:line="360" w:lineRule="auto"/>
        <w:jc w:val="right"/>
        <w:rPr>
          <w:rFonts w:ascii="宋体" w:cs="Mongolian Baiti"/>
          <w:sz w:val="28"/>
          <w:szCs w:val="20"/>
        </w:rPr>
      </w:pPr>
      <w:r>
        <w:rPr>
          <w:rFonts w:ascii="宋体" w:cs="Mongolian Baiti"/>
          <w:sz w:val="28"/>
          <w:szCs w:val="20"/>
        </w:rPr>
        <w:drawing>
          <wp:inline distT="0" distB="0" distL="114300" distR="114300">
            <wp:extent cx="819785" cy="188595"/>
            <wp:effectExtent l="0" t="0" r="0" b="0"/>
            <wp:docPr id="12" name="图片 12" descr="466252811466383657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466252811466383657603"/>
                    <pic:cNvPicPr>
                      <a:picLocks noChangeAspect="1"/>
                    </pic:cNvPicPr>
                  </pic:nvPicPr>
                  <pic:blipFill>
                    <a:blip r:embed="rId11"/>
                    <a:stretch>
                      <a:fillRect/>
                    </a:stretch>
                  </pic:blipFill>
                  <pic:spPr>
                    <a:xfrm>
                      <a:off x="0" y="0"/>
                      <a:ext cx="819785" cy="188595"/>
                    </a:xfrm>
                    <a:prstGeom prst="rect">
                      <a:avLst/>
                    </a:prstGeom>
                    <a:noFill/>
                    <a:ln w="9525" cap="flat" cmpd="sng">
                      <a:noFill/>
                      <a:prstDash val="solid"/>
                      <a:round/>
                    </a:ln>
                  </pic:spPr>
                </pic:pic>
              </a:graphicData>
            </a:graphic>
          </wp:inline>
        </w:drawing>
      </w:r>
      <w:r>
        <w:rPr>
          <w:rFonts w:ascii="宋体" w:cs="Mongolian Baiti"/>
          <w:sz w:val="28"/>
          <w:szCs w:val="20"/>
        </w:rPr>
        <w:t xml:space="preserve">                                          （6）</w:t>
      </w:r>
    </w:p>
    <w:p>
      <w:pPr>
        <w:autoSpaceDE w:val="0"/>
        <w:autoSpaceDN w:val="0"/>
        <w:adjustRightInd w:val="0"/>
        <w:snapToGrid w:val="0"/>
        <w:spacing w:before="156" w:beforeLines="50" w:after="156" w:afterLines="50" w:line="360" w:lineRule="auto"/>
        <w:jc w:val="right"/>
        <w:rPr>
          <w:rFonts w:ascii="宋体" w:cs="Mongolian Baiti"/>
          <w:sz w:val="28"/>
          <w:szCs w:val="20"/>
        </w:rPr>
      </w:pPr>
      <w:r>
        <w:rPr>
          <w:rFonts w:ascii="宋体" w:cs="Mongolian Baiti"/>
          <w:sz w:val="28"/>
          <w:szCs w:val="20"/>
        </w:rPr>
        <w:drawing>
          <wp:inline distT="0" distB="0" distL="114300" distR="114300">
            <wp:extent cx="2933700" cy="545465"/>
            <wp:effectExtent l="0" t="0" r="0" b="0"/>
            <wp:docPr id="14" name="图片 14" descr="2031874791466383657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2031874791466383657603"/>
                    <pic:cNvPicPr>
                      <a:picLocks noChangeAspect="1"/>
                    </pic:cNvPicPr>
                  </pic:nvPicPr>
                  <pic:blipFill>
                    <a:blip r:embed="rId12"/>
                    <a:stretch>
                      <a:fillRect/>
                    </a:stretch>
                  </pic:blipFill>
                  <pic:spPr>
                    <a:xfrm>
                      <a:off x="0" y="0"/>
                      <a:ext cx="2933700" cy="545465"/>
                    </a:xfrm>
                    <a:prstGeom prst="rect">
                      <a:avLst/>
                    </a:prstGeom>
                    <a:noFill/>
                    <a:ln w="9525" cap="flat" cmpd="sng">
                      <a:noFill/>
                      <a:prstDash val="solid"/>
                      <a:round/>
                    </a:ln>
                  </pic:spPr>
                </pic:pic>
              </a:graphicData>
            </a:graphic>
          </wp:inline>
        </w:drawing>
      </w:r>
      <w:r>
        <w:rPr>
          <w:rFonts w:ascii="宋体" w:cs="Mongolian Baiti"/>
          <w:sz w:val="28"/>
          <w:szCs w:val="20"/>
        </w:rPr>
        <w:t xml:space="preserve">              （7）</w:t>
      </w:r>
    </w:p>
    <w:p>
      <w:pPr>
        <w:autoSpaceDE w:val="0"/>
        <w:autoSpaceDN w:val="0"/>
        <w:adjustRightInd w:val="0"/>
        <w:snapToGrid w:val="0"/>
        <w:spacing w:before="156" w:beforeLines="50" w:after="156" w:afterLines="50" w:line="360" w:lineRule="auto"/>
        <w:jc w:val="right"/>
        <w:rPr>
          <w:rFonts w:ascii="宋体" w:cs="Mongolian Baiti"/>
          <w:sz w:val="28"/>
          <w:szCs w:val="20"/>
        </w:rPr>
      </w:pPr>
      <w:r>
        <w:rPr>
          <w:rFonts w:ascii="宋体" w:cs="Mongolian Baiti"/>
          <w:sz w:val="28"/>
          <w:szCs w:val="20"/>
        </w:rPr>
        <w:drawing>
          <wp:inline distT="0" distB="0" distL="114300" distR="114300">
            <wp:extent cx="2933700" cy="545465"/>
            <wp:effectExtent l="0" t="0" r="0" b="0"/>
            <wp:docPr id="15" name="图片 15" descr="439732388146638365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4397323881466383657681"/>
                    <pic:cNvPicPr>
                      <a:picLocks noChangeAspect="1"/>
                    </pic:cNvPicPr>
                  </pic:nvPicPr>
                  <pic:blipFill>
                    <a:blip r:embed="rId13"/>
                    <a:stretch>
                      <a:fillRect/>
                    </a:stretch>
                  </pic:blipFill>
                  <pic:spPr>
                    <a:xfrm>
                      <a:off x="0" y="0"/>
                      <a:ext cx="2933700" cy="545465"/>
                    </a:xfrm>
                    <a:prstGeom prst="rect">
                      <a:avLst/>
                    </a:prstGeom>
                    <a:noFill/>
                    <a:ln w="9525" cap="flat" cmpd="sng">
                      <a:noFill/>
                      <a:prstDash val="solid"/>
                      <a:round/>
                    </a:ln>
                  </pic:spPr>
                </pic:pic>
              </a:graphicData>
            </a:graphic>
          </wp:inline>
        </w:drawing>
      </w:r>
      <w:r>
        <w:rPr>
          <w:rFonts w:ascii="宋体" w:cs="Mongolian Baiti"/>
          <w:sz w:val="28"/>
          <w:szCs w:val="20"/>
        </w:rPr>
        <w:t xml:space="preserve">              （8）</w:t>
      </w:r>
    </w:p>
    <w:p>
      <w:pPr>
        <w:autoSpaceDE w:val="0"/>
        <w:autoSpaceDN w:val="0"/>
        <w:adjustRightInd w:val="0"/>
        <w:snapToGrid w:val="0"/>
        <w:spacing w:before="156" w:beforeLines="50" w:after="156" w:afterLines="50" w:line="360" w:lineRule="auto"/>
        <w:jc w:val="right"/>
        <w:rPr>
          <w:rFonts w:ascii="宋体" w:cs="Mongolian Baiti"/>
          <w:sz w:val="28"/>
          <w:szCs w:val="20"/>
        </w:rPr>
      </w:pPr>
      <w:r>
        <w:rPr>
          <w:rFonts w:ascii="宋体" w:cs="Mongolian Baiti"/>
          <w:sz w:val="28"/>
          <w:szCs w:val="20"/>
        </w:rPr>
        <w:drawing>
          <wp:inline distT="0" distB="0" distL="114300" distR="114300">
            <wp:extent cx="2603500" cy="218440"/>
            <wp:effectExtent l="0" t="0" r="0" b="0"/>
            <wp:docPr id="17" name="图片 17" descr="428287128146638365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4282871281466383657696"/>
                    <pic:cNvPicPr>
                      <a:picLocks noChangeAspect="1"/>
                    </pic:cNvPicPr>
                  </pic:nvPicPr>
                  <pic:blipFill>
                    <a:blip r:embed="rId14"/>
                    <a:stretch>
                      <a:fillRect/>
                    </a:stretch>
                  </pic:blipFill>
                  <pic:spPr>
                    <a:xfrm>
                      <a:off x="0" y="0"/>
                      <a:ext cx="2603500" cy="218440"/>
                    </a:xfrm>
                    <a:prstGeom prst="rect">
                      <a:avLst/>
                    </a:prstGeom>
                    <a:noFill/>
                    <a:ln w="9525" cap="flat" cmpd="sng">
                      <a:noFill/>
                      <a:prstDash val="solid"/>
                      <a:round/>
                    </a:ln>
                  </pic:spPr>
                </pic:pic>
              </a:graphicData>
            </a:graphic>
          </wp:inline>
        </w:drawing>
      </w:r>
      <w:r>
        <w:rPr>
          <w:rFonts w:ascii="宋体" w:cs="Mongolian Baiti"/>
          <w:sz w:val="28"/>
          <w:szCs w:val="20"/>
        </w:rPr>
        <w:t xml:space="preserve">                  （9）</w:t>
      </w:r>
    </w:p>
    <w:p>
      <w:pPr>
        <w:autoSpaceDE w:val="0"/>
        <w:autoSpaceDN w:val="0"/>
        <w:adjustRightInd w:val="0"/>
        <w:snapToGrid w:val="0"/>
        <w:spacing w:before="156" w:beforeLines="50" w:after="156" w:afterLines="50" w:line="360" w:lineRule="auto"/>
        <w:jc w:val="right"/>
        <w:rPr>
          <w:rFonts w:ascii="宋体" w:cs="Mongolian Baiti"/>
          <w:sz w:val="28"/>
          <w:szCs w:val="20"/>
        </w:rPr>
      </w:pPr>
      <w:r>
        <w:rPr>
          <w:rFonts w:ascii="宋体" w:cs="Mongolian Baiti"/>
          <w:sz w:val="28"/>
          <w:szCs w:val="20"/>
        </w:rPr>
        <w:drawing>
          <wp:inline distT="0" distB="0" distL="114300" distR="114300">
            <wp:extent cx="2330450" cy="520700"/>
            <wp:effectExtent l="0" t="0" r="0" b="0"/>
            <wp:docPr id="18" name="图片 18" descr="6486966591466383657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6486966591466383657712"/>
                    <pic:cNvPicPr>
                      <a:picLocks noChangeAspect="1"/>
                    </pic:cNvPicPr>
                  </pic:nvPicPr>
                  <pic:blipFill>
                    <a:blip r:embed="rId15"/>
                    <a:stretch>
                      <a:fillRect/>
                    </a:stretch>
                  </pic:blipFill>
                  <pic:spPr>
                    <a:xfrm>
                      <a:off x="0" y="0"/>
                      <a:ext cx="2330450" cy="520700"/>
                    </a:xfrm>
                    <a:prstGeom prst="rect">
                      <a:avLst/>
                    </a:prstGeom>
                    <a:noFill/>
                    <a:ln w="9525" cap="flat" cmpd="sng">
                      <a:noFill/>
                      <a:prstDash val="solid"/>
                      <a:round/>
                    </a:ln>
                  </pic:spPr>
                </pic:pic>
              </a:graphicData>
            </a:graphic>
          </wp:inline>
        </w:drawing>
      </w:r>
      <w:r>
        <w:rPr>
          <w:rFonts w:ascii="宋体" w:cs="Mongolian Baiti"/>
          <w:sz w:val="28"/>
          <w:szCs w:val="20"/>
        </w:rPr>
        <w:t xml:space="preserve">                     （10）</w:t>
      </w:r>
    </w:p>
    <w:p>
      <w:pPr>
        <w:autoSpaceDE w:val="0"/>
        <w:autoSpaceDN w:val="0"/>
        <w:adjustRightInd w:val="0"/>
        <w:snapToGrid w:val="0"/>
        <w:spacing w:before="156" w:beforeLines="50" w:after="156" w:afterLines="50" w:line="360" w:lineRule="auto"/>
        <w:jc w:val="right"/>
        <w:rPr>
          <w:rFonts w:ascii="宋体" w:cs="Mongolian Baiti"/>
          <w:sz w:val="28"/>
          <w:szCs w:val="20"/>
        </w:rPr>
      </w:pPr>
      <w:r>
        <w:rPr>
          <w:rFonts w:ascii="宋体" w:cs="Mongolian Baiti"/>
          <w:sz w:val="28"/>
          <w:szCs w:val="20"/>
        </w:rPr>
        <w:drawing>
          <wp:inline distT="0" distB="0" distL="114300" distR="114300">
            <wp:extent cx="1617980" cy="218440"/>
            <wp:effectExtent l="0" t="0" r="0" b="0"/>
            <wp:docPr id="20" name="图片 20" descr="9476750701466383657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9476750701466383657728"/>
                    <pic:cNvPicPr>
                      <a:picLocks noChangeAspect="1"/>
                    </pic:cNvPicPr>
                  </pic:nvPicPr>
                  <pic:blipFill>
                    <a:blip r:embed="rId16"/>
                    <a:stretch>
                      <a:fillRect/>
                    </a:stretch>
                  </pic:blipFill>
                  <pic:spPr>
                    <a:xfrm>
                      <a:off x="0" y="0"/>
                      <a:ext cx="1617980" cy="218440"/>
                    </a:xfrm>
                    <a:prstGeom prst="rect">
                      <a:avLst/>
                    </a:prstGeom>
                    <a:noFill/>
                    <a:ln w="9525" cap="flat" cmpd="sng">
                      <a:noFill/>
                      <a:prstDash val="solid"/>
                      <a:round/>
                    </a:ln>
                  </pic:spPr>
                </pic:pic>
              </a:graphicData>
            </a:graphic>
          </wp:inline>
        </w:drawing>
      </w:r>
      <w:r>
        <w:rPr>
          <w:rFonts w:ascii="宋体" w:cs="Mongolian Baiti"/>
          <w:sz w:val="28"/>
          <w:szCs w:val="20"/>
        </w:rPr>
        <w:t xml:space="preserve">                               （11）</w:t>
      </w:r>
    </w:p>
    <w:p>
      <w:pPr>
        <w:autoSpaceDE w:val="0"/>
        <w:autoSpaceDN w:val="0"/>
        <w:adjustRightInd w:val="0"/>
        <w:snapToGrid w:val="0"/>
        <w:spacing w:before="156" w:beforeLines="50" w:after="156" w:afterLines="50" w:line="360" w:lineRule="auto"/>
        <w:jc w:val="right"/>
        <w:rPr>
          <w:rFonts w:ascii="宋体" w:cs="Mongolian Baiti"/>
          <w:sz w:val="28"/>
          <w:szCs w:val="20"/>
        </w:rPr>
      </w:pPr>
      <w:r>
        <w:rPr>
          <w:rFonts w:ascii="宋体" w:cs="Mongolian Baiti"/>
          <w:sz w:val="28"/>
          <w:szCs w:val="20"/>
        </w:rPr>
        <w:drawing>
          <wp:inline distT="0" distB="0" distL="114300" distR="114300">
            <wp:extent cx="1343660" cy="218440"/>
            <wp:effectExtent l="0" t="0" r="0" b="0"/>
            <wp:docPr id="21" name="图片 21" descr="3229198141466383657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3229198141466383657728"/>
                    <pic:cNvPicPr>
                      <a:picLocks noChangeAspect="1"/>
                    </pic:cNvPicPr>
                  </pic:nvPicPr>
                  <pic:blipFill>
                    <a:blip r:embed="rId17"/>
                    <a:stretch>
                      <a:fillRect/>
                    </a:stretch>
                  </pic:blipFill>
                  <pic:spPr>
                    <a:xfrm>
                      <a:off x="0" y="0"/>
                      <a:ext cx="1343660" cy="218440"/>
                    </a:xfrm>
                    <a:prstGeom prst="rect">
                      <a:avLst/>
                    </a:prstGeom>
                    <a:noFill/>
                    <a:ln w="9525" cap="flat" cmpd="sng">
                      <a:noFill/>
                      <a:prstDash val="solid"/>
                      <a:round/>
                    </a:ln>
                  </pic:spPr>
                </pic:pic>
              </a:graphicData>
            </a:graphic>
          </wp:inline>
        </w:drawing>
      </w:r>
      <w:r>
        <w:rPr>
          <w:rFonts w:ascii="宋体" w:cs="Mongolian Baiti"/>
          <w:sz w:val="28"/>
          <w:szCs w:val="20"/>
        </w:rPr>
        <w:t xml:space="preserve">                                  （12）</w:t>
      </w:r>
    </w:p>
    <w:p>
      <w:pPr>
        <w:autoSpaceDE w:val="0"/>
        <w:autoSpaceDN w:val="0"/>
        <w:adjustRightInd w:val="0"/>
        <w:snapToGrid w:val="0"/>
        <w:spacing w:before="156" w:beforeLines="50" w:after="156" w:afterLines="50" w:line="360" w:lineRule="auto"/>
        <w:jc w:val="right"/>
        <w:rPr>
          <w:rFonts w:ascii="宋体" w:cs="Mongolian Baiti"/>
          <w:sz w:val="28"/>
          <w:szCs w:val="20"/>
        </w:rPr>
      </w:pPr>
      <w:r>
        <w:rPr>
          <w:rFonts w:ascii="宋体" w:cs="Mongolian Baiti"/>
          <w:sz w:val="28"/>
          <w:szCs w:val="20"/>
        </w:rPr>
        <w:drawing>
          <wp:inline distT="0" distB="0" distL="114300" distR="114300">
            <wp:extent cx="1041400" cy="218440"/>
            <wp:effectExtent l="0" t="0" r="0" b="0"/>
            <wp:docPr id="23" name="图片 23" descr="4975555641466383657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4975555641466383657743"/>
                    <pic:cNvPicPr>
                      <a:picLocks noChangeAspect="1"/>
                    </pic:cNvPicPr>
                  </pic:nvPicPr>
                  <pic:blipFill>
                    <a:blip r:embed="rId18"/>
                    <a:stretch>
                      <a:fillRect/>
                    </a:stretch>
                  </pic:blipFill>
                  <pic:spPr>
                    <a:xfrm>
                      <a:off x="0" y="0"/>
                      <a:ext cx="1041400" cy="218440"/>
                    </a:xfrm>
                    <a:prstGeom prst="rect">
                      <a:avLst/>
                    </a:prstGeom>
                    <a:noFill/>
                    <a:ln w="9525" cap="flat" cmpd="sng">
                      <a:noFill/>
                      <a:prstDash val="solid"/>
                      <a:round/>
                    </a:ln>
                  </pic:spPr>
                </pic:pic>
              </a:graphicData>
            </a:graphic>
          </wp:inline>
        </w:drawing>
      </w:r>
      <w:r>
        <w:rPr>
          <w:rFonts w:ascii="宋体" w:cs="Mongolian Baiti"/>
          <w:sz w:val="28"/>
          <w:szCs w:val="20"/>
        </w:rPr>
        <w:t xml:space="preserve">                                      </w:t>
      </w:r>
      <w:r>
        <w:rPr>
          <w:rFonts w:ascii="宋体" w:cs="Mongolian Baiti"/>
          <w:sz w:val="28"/>
          <w:szCs w:val="20"/>
          <w:lang w:val="zh-CN"/>
        </w:rPr>
        <w:t>（</w:t>
      </w:r>
      <w:r>
        <w:rPr>
          <w:rFonts w:ascii="宋体" w:cs="Mongolian Baiti"/>
          <w:sz w:val="28"/>
          <w:szCs w:val="20"/>
        </w:rPr>
        <w:t>13</w:t>
      </w:r>
      <w:r>
        <w:rPr>
          <w:rFonts w:ascii="宋体" w:cs="Mongolian Baiti"/>
          <w:sz w:val="28"/>
          <w:szCs w:val="20"/>
          <w:lang w:val="zh-CN"/>
        </w:rPr>
        <w:t>）</w:t>
      </w:r>
    </w:p>
    <w:p>
      <w:pPr>
        <w:autoSpaceDE w:val="0"/>
        <w:autoSpaceDN w:val="0"/>
        <w:adjustRightInd w:val="0"/>
        <w:snapToGrid w:val="0"/>
        <w:spacing w:before="156" w:beforeLines="50" w:after="156" w:afterLines="50" w:line="360" w:lineRule="auto"/>
        <w:rPr>
          <w:rFonts w:ascii="宋体" w:cs="Mongolian Baiti"/>
          <w:sz w:val="28"/>
          <w:szCs w:val="20"/>
          <w:lang w:val="zh-CN"/>
        </w:rPr>
      </w:pPr>
      <w:r>
        <w:rPr>
          <w:rFonts w:ascii="宋体" w:cs="Mongolian Baiti"/>
          <w:sz w:val="28"/>
          <w:szCs w:val="20"/>
        </w:rPr>
        <w:t xml:space="preserve">    </w:t>
      </w:r>
      <w:r>
        <w:rPr>
          <w:rFonts w:ascii="宋体" w:cs="Mongolian Baiti"/>
          <w:sz w:val="28"/>
          <w:szCs w:val="20"/>
          <w:lang w:val="zh-CN"/>
        </w:rPr>
        <w:t>其中</w:t>
      </w:r>
      <w:r>
        <w:rPr>
          <w:rFonts w:ascii="宋体" w:cs="Mongolian Baiti"/>
          <w:sz w:val="28"/>
          <w:szCs w:val="20"/>
        </w:rPr>
        <w:t>A</w:t>
      </w:r>
      <w:r>
        <w:rPr>
          <w:rFonts w:ascii="宋体" w:cs="Mongolian Baiti"/>
          <w:sz w:val="28"/>
          <w:szCs w:val="20"/>
          <w:lang w:val="zh-CN"/>
        </w:rPr>
        <w:t>、</w:t>
      </w:r>
      <w:r>
        <w:rPr>
          <w:rFonts w:ascii="宋体" w:cs="Mongolian Baiti"/>
          <w:sz w:val="28"/>
          <w:szCs w:val="20"/>
        </w:rPr>
        <w:t>B</w:t>
      </w:r>
      <w:r>
        <w:rPr>
          <w:rFonts w:ascii="宋体" w:cs="Mongolian Baiti"/>
          <w:sz w:val="28"/>
          <w:szCs w:val="20"/>
          <w:lang w:val="zh-CN"/>
        </w:rPr>
        <w:t>、</w:t>
      </w:r>
      <w:r>
        <w:rPr>
          <w:rFonts w:ascii="宋体" w:cs="Mongolian Baiti"/>
          <w:sz w:val="28"/>
          <w:szCs w:val="20"/>
        </w:rPr>
        <w:t>J</w:t>
      </w:r>
      <w:r>
        <w:rPr>
          <w:rFonts w:ascii="宋体" w:cs="Mongolian Baiti"/>
          <w:sz w:val="28"/>
          <w:szCs w:val="20"/>
          <w:lang w:val="zh-CN"/>
        </w:rPr>
        <w:t>、</w:t>
      </w:r>
      <w:r>
        <w:rPr>
          <w:rFonts w:ascii="宋体" w:cs="Mongolian Baiti"/>
          <w:sz w:val="28"/>
          <w:szCs w:val="20"/>
        </w:rPr>
        <w:t>K</w:t>
      </w:r>
      <w:r>
        <w:rPr>
          <w:rFonts w:ascii="宋体" w:cs="Mongolian Baiti"/>
          <w:sz w:val="28"/>
          <w:szCs w:val="20"/>
          <w:lang w:val="zh-CN"/>
        </w:rPr>
        <w:t>、</w:t>
      </w:r>
      <w:r>
        <w:rPr>
          <w:rFonts w:ascii="宋体" w:cs="Mongolian Baiti"/>
          <w:sz w:val="28"/>
          <w:szCs w:val="20"/>
        </w:rPr>
        <w:t>V</w:t>
      </w:r>
      <w:r>
        <w:rPr>
          <w:rFonts w:ascii="宋体" w:cs="Mongolian Baiti"/>
          <w:sz w:val="28"/>
          <w:szCs w:val="20"/>
          <w:vertAlign w:val="subscript"/>
        </w:rPr>
        <w:t>H</w:t>
      </w:r>
      <w:r>
        <w:rPr>
          <w:rFonts w:ascii="宋体" w:cs="Mongolian Baiti"/>
          <w:sz w:val="28"/>
          <w:szCs w:val="20"/>
          <w:lang w:val="zh-CN"/>
        </w:rPr>
        <w:t>、</w:t>
      </w:r>
      <w:r>
        <w:rPr>
          <w:rFonts w:ascii="宋体" w:cs="Mongolian Baiti"/>
          <w:sz w:val="28"/>
          <w:szCs w:val="20"/>
        </w:rPr>
        <w:t>V</w:t>
      </w:r>
      <w:r>
        <w:rPr>
          <w:rFonts w:ascii="宋体" w:cs="Mongolian Baiti"/>
          <w:sz w:val="28"/>
          <w:szCs w:val="20"/>
          <w:vertAlign w:val="subscript"/>
        </w:rPr>
        <w:t>V</w:t>
      </w:r>
      <w:r>
        <w:rPr>
          <w:rFonts w:ascii="宋体" w:cs="Mongolian Baiti"/>
          <w:sz w:val="28"/>
          <w:szCs w:val="20"/>
          <w:lang w:val="zh-CN"/>
        </w:rPr>
        <w:t>是为描述方便而引入的中间变量，</w:t>
      </w:r>
      <w:r>
        <w:rPr>
          <w:rFonts w:ascii="宋体"/>
          <w:sz w:val="28"/>
          <w:szCs w:val="20"/>
          <w:lang w:val="zh-CN"/>
        </w:rPr>
        <w:t>π</w:t>
      </w:r>
      <w:r>
        <w:rPr>
          <w:rFonts w:ascii="宋体" w:cs="Mongolian Baiti"/>
          <w:sz w:val="28"/>
          <w:szCs w:val="20"/>
          <w:lang w:val="zh-CN"/>
        </w:rPr>
        <w:t>为圆周率。</w:t>
      </w:r>
    </w:p>
    <w:p>
      <w:pPr>
        <w:ind w:firstLine="560"/>
        <w:rPr>
          <w:rFonts w:ascii="宋体" w:cs="Mongolian Baiti"/>
          <w:sz w:val="28"/>
          <w:szCs w:val="28"/>
          <w:lang w:val="zh-CN" w:bidi="bo-CN"/>
        </w:rPr>
      </w:pPr>
      <w:r>
        <w:rPr>
          <w:rFonts w:ascii="宋体" w:cs="Mongolian Baiti"/>
          <w:bCs/>
          <w:sz w:val="28"/>
          <w:szCs w:val="20"/>
          <w:lang w:val="zh-CN"/>
        </w:rPr>
        <w:t>计算结果：</w:t>
      </w:r>
      <w:r>
        <w:rPr>
          <w:rFonts w:ascii="宋体" w:cs="Mongolian Baiti"/>
          <w:sz w:val="28"/>
          <w:szCs w:val="28"/>
        </w:rPr>
        <w:t>池火燃烧时放出的总热辐射通量Q=276291.5</w:t>
      </w:r>
      <w:r>
        <w:rPr>
          <w:rFonts w:ascii="宋体" w:cs="Mongolian Baiti"/>
          <w:sz w:val="28"/>
          <w:szCs w:val="20"/>
        </w:rPr>
        <w:t>KW</w:t>
      </w:r>
      <w:r>
        <w:rPr>
          <w:rFonts w:ascii="宋体" w:cs="Mongolian Baiti"/>
          <w:sz w:val="28"/>
          <w:szCs w:val="28"/>
        </w:rPr>
        <w:t>；</w:t>
      </w:r>
      <w:r>
        <w:rPr>
          <w:rFonts w:ascii="宋体" w:cs="Mongolian Baiti"/>
          <w:sz w:val="28"/>
          <w:szCs w:val="28"/>
          <w:lang w:val="zh-CN" w:bidi="bo-CN"/>
        </w:rPr>
        <w:t>死亡半径：14.5m；重伤半径：21.4m；轻伤半径：45.1m；财产损失半径：2.7m；直接财产损失：9.06万元；间接财产损失：31万元；总财产损失：40.1万元；火焰平均高度：14.5m；火灾持续时间：14686.8</w:t>
      </w:r>
      <w:r>
        <w:rPr>
          <w:rFonts w:ascii="宋体" w:cs="Mongolian Baiti"/>
          <w:sz w:val="28"/>
          <w:szCs w:val="28"/>
          <w:lang w:bidi="bo-CN"/>
        </w:rPr>
        <w:t>s</w:t>
      </w:r>
      <w:r>
        <w:rPr>
          <w:rFonts w:ascii="宋体" w:cs="Mongolian Baiti"/>
          <w:sz w:val="28"/>
          <w:szCs w:val="28"/>
          <w:lang w:val="zh-CN" w:bidi="bo-CN"/>
        </w:rPr>
        <w:t>；目标处热辐射通量：21.4</w:t>
      </w:r>
      <w:r>
        <w:rPr>
          <w:rFonts w:ascii="宋体" w:cs="Mongolian Baiti"/>
          <w:sz w:val="28"/>
          <w:szCs w:val="20"/>
        </w:rPr>
        <w:t>KW</w:t>
      </w:r>
      <w:r>
        <w:rPr>
          <w:rFonts w:ascii="宋体" w:cs="Mongolian Baiti"/>
          <w:sz w:val="28"/>
          <w:szCs w:val="28"/>
          <w:lang w:val="zh-CN" w:bidi="bo-CN"/>
        </w:rPr>
        <w:t>/</w:t>
      </w:r>
      <w:r>
        <w:rPr>
          <w:rFonts w:ascii="宋体" w:cs="Mongolian Baiti"/>
          <w:sz w:val="28"/>
          <w:szCs w:val="28"/>
        </w:rPr>
        <w:t xml:space="preserve"> ㎡</w:t>
      </w:r>
      <w:r>
        <w:rPr>
          <w:rFonts w:ascii="宋体" w:cs="Mongolian Baiti"/>
          <w:sz w:val="28"/>
          <w:szCs w:val="28"/>
          <w:lang w:val="zh-CN" w:bidi="bo-CN"/>
        </w:rPr>
        <w:t>；火焰表面热辐射通量：45.5</w:t>
      </w:r>
      <w:r>
        <w:rPr>
          <w:rFonts w:ascii="宋体" w:cs="Mongolian Baiti"/>
          <w:sz w:val="28"/>
          <w:szCs w:val="20"/>
        </w:rPr>
        <w:t>KW</w:t>
      </w:r>
      <w:r>
        <w:rPr>
          <w:rFonts w:ascii="宋体" w:cs="Mongolian Baiti"/>
          <w:sz w:val="28"/>
          <w:szCs w:val="28"/>
          <w:lang w:val="zh-CN" w:bidi="bo-CN"/>
        </w:rPr>
        <w:t>/</w:t>
      </w:r>
      <w:r>
        <w:rPr>
          <w:rFonts w:ascii="宋体" w:cs="Mongolian Baiti"/>
          <w:sz w:val="28"/>
          <w:szCs w:val="28"/>
        </w:rPr>
        <w:t xml:space="preserve"> ㎡</w:t>
      </w:r>
      <w:r>
        <w:rPr>
          <w:rFonts w:ascii="宋体" w:cs="Mongolian Baiti"/>
          <w:sz w:val="28"/>
          <w:szCs w:val="28"/>
          <w:lang w:val="zh-CN" w:bidi="bo-CN"/>
        </w:rPr>
        <w:t>；总热辐射通量：10481.7</w:t>
      </w:r>
      <w:r>
        <w:rPr>
          <w:rFonts w:ascii="宋体" w:cs="Mongolian Baiti"/>
          <w:sz w:val="28"/>
          <w:szCs w:val="20"/>
        </w:rPr>
        <w:t>KW</w:t>
      </w:r>
      <w:r>
        <w:rPr>
          <w:rFonts w:ascii="宋体" w:cs="Mongolian Baiti"/>
          <w:sz w:val="28"/>
          <w:szCs w:val="28"/>
          <w:lang w:val="zh-CN" w:bidi="bo-CN"/>
        </w:rPr>
        <w:t>/</w:t>
      </w:r>
      <w:r>
        <w:rPr>
          <w:rFonts w:ascii="宋体" w:cs="Mongolian Baiti"/>
          <w:sz w:val="28"/>
          <w:szCs w:val="28"/>
        </w:rPr>
        <w:t xml:space="preserve"> ㎡</w:t>
      </w:r>
      <w:r>
        <w:rPr>
          <w:rFonts w:ascii="宋体" w:cs="Mongolian Baiti"/>
          <w:sz w:val="28"/>
          <w:szCs w:val="28"/>
          <w:lang w:val="zh-CN" w:bidi="bo-CN"/>
        </w:rPr>
        <w:t>；死亡热辐射通量：6.5</w:t>
      </w:r>
      <w:r>
        <w:rPr>
          <w:rFonts w:ascii="宋体" w:cs="Mongolian Baiti"/>
          <w:sz w:val="28"/>
          <w:szCs w:val="20"/>
        </w:rPr>
        <w:t>KW</w:t>
      </w:r>
      <w:r>
        <w:rPr>
          <w:rFonts w:ascii="宋体" w:cs="Mongolian Baiti"/>
          <w:sz w:val="28"/>
          <w:szCs w:val="28"/>
          <w:lang w:val="zh-CN" w:bidi="bo-CN"/>
        </w:rPr>
        <w:t>/</w:t>
      </w:r>
      <w:r>
        <w:rPr>
          <w:rFonts w:ascii="宋体" w:cs="Mongolian Baiti"/>
          <w:sz w:val="28"/>
          <w:szCs w:val="28"/>
        </w:rPr>
        <w:t xml:space="preserve"> ㎡</w:t>
      </w:r>
      <w:r>
        <w:rPr>
          <w:rFonts w:ascii="宋体" w:cs="Mongolian Baiti"/>
          <w:sz w:val="28"/>
          <w:szCs w:val="28"/>
          <w:lang w:val="zh-CN" w:bidi="bo-CN"/>
        </w:rPr>
        <w:t>；重伤热辐射通量：4.3</w:t>
      </w:r>
      <w:r>
        <w:rPr>
          <w:rFonts w:ascii="宋体" w:cs="Mongolian Baiti"/>
          <w:sz w:val="28"/>
          <w:szCs w:val="20"/>
        </w:rPr>
        <w:t>KW</w:t>
      </w:r>
      <w:r>
        <w:rPr>
          <w:rFonts w:ascii="宋体" w:cs="Mongolian Baiti"/>
          <w:sz w:val="28"/>
          <w:szCs w:val="28"/>
          <w:lang w:val="zh-CN" w:bidi="bo-CN"/>
        </w:rPr>
        <w:t>/</w:t>
      </w:r>
      <w:r>
        <w:rPr>
          <w:rFonts w:ascii="宋体" w:cs="Mongolian Baiti"/>
          <w:sz w:val="28"/>
          <w:szCs w:val="28"/>
        </w:rPr>
        <w:t xml:space="preserve"> ㎡</w:t>
      </w:r>
      <w:r>
        <w:rPr>
          <w:rFonts w:ascii="宋体" w:cs="Mongolian Baiti"/>
          <w:sz w:val="28"/>
          <w:szCs w:val="28"/>
          <w:lang w:val="zh-CN" w:bidi="bo-CN"/>
        </w:rPr>
        <w:t>；轻伤热辐射通量：1.9</w:t>
      </w:r>
      <w:r>
        <w:rPr>
          <w:rFonts w:ascii="宋体" w:cs="Mongolian Baiti"/>
          <w:sz w:val="28"/>
          <w:szCs w:val="20"/>
        </w:rPr>
        <w:t>KW</w:t>
      </w:r>
      <w:r>
        <w:rPr>
          <w:rFonts w:ascii="宋体" w:cs="Mongolian Baiti"/>
          <w:sz w:val="28"/>
          <w:szCs w:val="28"/>
          <w:lang w:val="zh-CN" w:bidi="bo-CN"/>
        </w:rPr>
        <w:t>/</w:t>
      </w:r>
      <w:r>
        <w:rPr>
          <w:rFonts w:ascii="宋体" w:cs="Mongolian Baiti"/>
          <w:sz w:val="28"/>
          <w:szCs w:val="28"/>
        </w:rPr>
        <w:t xml:space="preserve"> ㎡</w:t>
      </w:r>
      <w:r>
        <w:rPr>
          <w:rFonts w:ascii="宋体" w:cs="Mongolian Baiti"/>
          <w:sz w:val="28"/>
          <w:szCs w:val="28"/>
          <w:lang w:val="zh-CN" w:bidi="bo-CN"/>
        </w:rPr>
        <w:t>。</w:t>
      </w:r>
    </w:p>
    <w:p>
      <w:pPr>
        <w:rPr>
          <w:rFonts w:ascii="宋体" w:cs="Mongolian Baiti"/>
          <w:sz w:val="28"/>
          <w:szCs w:val="28"/>
          <w:lang w:val="zh-CN" w:bidi="bo-CN"/>
        </w:rPr>
      </w:pPr>
    </w:p>
    <w:p>
      <w:pPr>
        <w:rPr>
          <w:rFonts w:ascii="宋体" w:cs="Mongolian Baiti"/>
          <w:sz w:val="28"/>
          <w:szCs w:val="28"/>
          <w:lang w:val="zh-CN" w:bidi="bo-CN"/>
        </w:rPr>
      </w:pPr>
    </w:p>
    <w:p>
      <w:pPr>
        <w:rPr>
          <w:rFonts w:ascii="宋体" w:cs="Mongolian Baiti"/>
          <w:sz w:val="28"/>
          <w:szCs w:val="28"/>
          <w:lang w:val="zh-CN" w:bidi="bo-CN"/>
        </w:rPr>
      </w:pPr>
    </w:p>
    <w:p>
      <w:pPr>
        <w:rPr>
          <w:rFonts w:ascii="宋体" w:cs="Mongolian Baiti"/>
          <w:sz w:val="28"/>
          <w:szCs w:val="28"/>
          <w:lang w:val="zh-CN" w:bidi="bo-CN"/>
        </w:rPr>
      </w:pPr>
    </w:p>
    <w:p>
      <w:pPr>
        <w:rPr>
          <w:rFonts w:ascii="宋体" w:cs="Mongolian Baiti"/>
          <w:sz w:val="28"/>
          <w:szCs w:val="28"/>
          <w:lang w:val="zh-CN" w:bidi="bo-CN"/>
        </w:rPr>
      </w:pPr>
    </w:p>
    <w:p>
      <w:pPr>
        <w:rPr>
          <w:rFonts w:ascii="宋体" w:cs="Mongolian Baiti"/>
          <w:sz w:val="28"/>
          <w:szCs w:val="28"/>
          <w:lang w:val="zh-CN" w:bidi="bo-CN"/>
        </w:rPr>
      </w:pPr>
    </w:p>
    <w:p>
      <w:pPr>
        <w:rPr>
          <w:rFonts w:ascii="宋体" w:cs="Mongolian Baiti"/>
          <w:sz w:val="28"/>
          <w:szCs w:val="28"/>
          <w:lang w:val="zh-CN" w:bidi="bo-CN"/>
        </w:rPr>
      </w:pPr>
    </w:p>
    <w:p>
      <w:pPr>
        <w:rPr>
          <w:rFonts w:ascii="宋体" w:cs="Mongolian Baiti"/>
          <w:sz w:val="28"/>
          <w:szCs w:val="28"/>
          <w:lang w:val="zh-CN" w:bidi="bo-CN"/>
        </w:rPr>
      </w:pPr>
    </w:p>
    <w:p>
      <w:pPr>
        <w:rPr>
          <w:rFonts w:ascii="宋体" w:cs="Mongolian Baiti"/>
          <w:sz w:val="28"/>
          <w:szCs w:val="28"/>
          <w:lang w:val="zh-CN" w:bidi="bo-CN"/>
        </w:rPr>
      </w:pPr>
    </w:p>
    <w:p>
      <w:pPr>
        <w:rPr>
          <w:rFonts w:ascii="宋体" w:cs="Mongolian Baiti"/>
          <w:sz w:val="28"/>
          <w:szCs w:val="28"/>
          <w:lang w:val="zh-CN" w:bidi="bo-CN"/>
        </w:rPr>
      </w:pPr>
    </w:p>
    <w:p>
      <w:pPr>
        <w:rPr>
          <w:rFonts w:ascii="宋体" w:cs="Mongolian Baiti"/>
          <w:sz w:val="28"/>
          <w:szCs w:val="28"/>
          <w:lang w:val="zh-CN" w:bidi="bo-CN"/>
        </w:rPr>
      </w:pPr>
    </w:p>
    <w:p>
      <w:pPr>
        <w:rPr>
          <w:rFonts w:ascii="宋体" w:cs="Mongolian Baiti"/>
          <w:sz w:val="28"/>
          <w:szCs w:val="28"/>
          <w:lang w:val="zh-CN" w:bidi="bo-CN"/>
        </w:rPr>
      </w:pPr>
    </w:p>
    <w:p>
      <w:pPr>
        <w:rPr>
          <w:rFonts w:ascii="宋体" w:cs="Mongolian Baiti"/>
          <w:sz w:val="28"/>
          <w:szCs w:val="28"/>
          <w:lang w:val="zh-CN" w:bidi="bo-CN"/>
        </w:rPr>
      </w:pPr>
    </w:p>
    <w:p>
      <w:pPr>
        <w:rPr>
          <w:rFonts w:ascii="宋体" w:cs="Mongolian Baiti"/>
          <w:sz w:val="28"/>
          <w:szCs w:val="28"/>
          <w:lang w:val="zh-CN" w:bidi="bo-CN"/>
        </w:rPr>
      </w:pPr>
    </w:p>
    <w:p>
      <w:pPr>
        <w:rPr>
          <w:rFonts w:ascii="宋体" w:cs="Mongolian Baiti"/>
          <w:sz w:val="28"/>
          <w:szCs w:val="28"/>
          <w:lang w:val="zh-CN" w:bidi="bo-CN"/>
        </w:rPr>
      </w:pPr>
    </w:p>
    <w:p>
      <w:pPr>
        <w:rPr>
          <w:rFonts w:ascii="宋体" w:cs="Mongolian Baiti"/>
          <w:sz w:val="28"/>
          <w:szCs w:val="28"/>
          <w:lang w:val="zh-CN" w:bidi="bo-CN"/>
        </w:rPr>
      </w:pPr>
    </w:p>
    <w:p>
      <w:pPr>
        <w:rPr>
          <w:rFonts w:hint="eastAsia" w:ascii="宋体" w:cs="Mongolian Baiti"/>
          <w:sz w:val="28"/>
          <w:szCs w:val="28"/>
          <w:lang w:val="zh-CN" w:bidi="bo-CN"/>
        </w:rPr>
      </w:pPr>
    </w:p>
    <w:p>
      <w:pPr>
        <w:rPr>
          <w:rFonts w:ascii="宋体" w:cs="Mongolian Baiti"/>
          <w:sz w:val="28"/>
          <w:szCs w:val="28"/>
          <w:lang w:val="zh-CN" w:bidi="bo-CN"/>
        </w:rPr>
      </w:pPr>
    </w:p>
    <w:p>
      <w:pPr>
        <w:pStyle w:val="2"/>
        <w:widowControl/>
        <w:adjustRightInd w:val="0"/>
        <w:snapToGrid w:val="0"/>
        <w:spacing w:before="156" w:beforeLines="50" w:after="156" w:afterLines="50" w:line="240" w:lineRule="auto"/>
        <w:jc w:val="center"/>
        <w:rPr>
          <w:rFonts w:ascii="楷体" w:eastAsia="楷体" w:cs="楷体"/>
          <w:bCs w:val="0"/>
          <w:kern w:val="0"/>
          <w:sz w:val="32"/>
          <w:szCs w:val="32"/>
        </w:rPr>
      </w:pPr>
      <w:bookmarkStart w:id="6" w:name="_Toc14949"/>
      <w:r>
        <w:rPr>
          <w:rFonts w:hint="eastAsia" w:ascii="楷体" w:eastAsia="楷体" w:cs="楷体"/>
          <w:bCs w:val="0"/>
          <w:kern w:val="0"/>
          <w:sz w:val="32"/>
          <w:szCs w:val="32"/>
        </w:rPr>
        <w:t>4防范和控制事故风险措施</w:t>
      </w:r>
      <w:bookmarkEnd w:id="6"/>
    </w:p>
    <w:p>
      <w:pPr>
        <w:pStyle w:val="3"/>
        <w:widowControl/>
        <w:adjustRightInd w:val="0"/>
        <w:snapToGrid w:val="0"/>
        <w:spacing w:before="156" w:beforeLines="50" w:after="156" w:afterLines="50" w:line="240" w:lineRule="auto"/>
        <w:rPr>
          <w:rFonts w:ascii="黑体" w:cs="黑体"/>
          <w:bCs w:val="0"/>
          <w:sz w:val="28"/>
          <w:szCs w:val="28"/>
        </w:rPr>
      </w:pPr>
      <w:bookmarkStart w:id="7" w:name="_Toc8040"/>
      <w:r>
        <w:rPr>
          <w:rFonts w:hint="eastAsia" w:ascii="黑体" w:cs="黑体"/>
          <w:bCs w:val="0"/>
          <w:sz w:val="28"/>
          <w:szCs w:val="28"/>
        </w:rPr>
        <w:t>4.1安全技术措施</w:t>
      </w:r>
      <w:bookmarkEnd w:id="7"/>
    </w:p>
    <w:p>
      <w:pPr>
        <w:pStyle w:val="4"/>
        <w:widowControl/>
        <w:adjustRightInd w:val="0"/>
        <w:snapToGrid w:val="0"/>
        <w:spacing w:before="156" w:beforeLines="50" w:after="156" w:afterLines="50" w:line="240" w:lineRule="auto"/>
        <w:rPr>
          <w:rFonts w:ascii="宋体" w:cs="宋体"/>
          <w:bCs w:val="0"/>
          <w:snapToGrid w:val="0"/>
          <w:kern w:val="0"/>
          <w:sz w:val="28"/>
          <w:szCs w:val="28"/>
        </w:rPr>
      </w:pPr>
      <w:bookmarkStart w:id="8" w:name="_Toc316994215"/>
      <w:bookmarkStart w:id="9" w:name="_Toc343418766"/>
      <w:bookmarkStart w:id="10" w:name="_Toc343418965"/>
      <w:bookmarkStart w:id="11" w:name="_Toc11287"/>
      <w:bookmarkStart w:id="12" w:name="_Toc31681"/>
      <w:bookmarkStart w:id="13" w:name="_Toc459043210"/>
      <w:bookmarkStart w:id="14" w:name="_Toc10779"/>
      <w:r>
        <w:rPr>
          <w:rFonts w:hint="eastAsia" w:ascii="宋体" w:cs="宋体"/>
          <w:bCs w:val="0"/>
          <w:snapToGrid w:val="0"/>
          <w:kern w:val="0"/>
          <w:sz w:val="28"/>
          <w:szCs w:val="28"/>
        </w:rPr>
        <w:t>4.1</w:t>
      </w:r>
      <w:r>
        <w:rPr>
          <w:rFonts w:ascii="宋体" w:cs="宋体"/>
          <w:bCs w:val="0"/>
          <w:snapToGrid w:val="0"/>
          <w:kern w:val="0"/>
          <w:sz w:val="28"/>
          <w:szCs w:val="28"/>
        </w:rPr>
        <w:t>.1预防事故设施</w:t>
      </w:r>
      <w:bookmarkEnd w:id="8"/>
      <w:bookmarkEnd w:id="9"/>
      <w:bookmarkEnd w:id="10"/>
      <w:bookmarkEnd w:id="11"/>
      <w:bookmarkEnd w:id="12"/>
      <w:bookmarkEnd w:id="13"/>
    </w:p>
    <w:p>
      <w:pPr>
        <w:spacing w:line="560" w:lineRule="exact"/>
        <w:ind w:firstLine="560" w:firstLineChars="200"/>
        <w:rPr>
          <w:rFonts w:ascii="宋体"/>
          <w:sz w:val="28"/>
          <w:szCs w:val="28"/>
        </w:rPr>
      </w:pPr>
      <w:r>
        <w:rPr>
          <w:rFonts w:ascii="宋体"/>
          <w:sz w:val="28"/>
          <w:szCs w:val="28"/>
        </w:rPr>
        <w:t>1、监控报警设施</w:t>
      </w:r>
    </w:p>
    <w:p>
      <w:pPr>
        <w:spacing w:line="560" w:lineRule="exact"/>
        <w:ind w:firstLine="560" w:firstLineChars="200"/>
        <w:rPr>
          <w:rFonts w:ascii="宋体"/>
          <w:sz w:val="28"/>
          <w:szCs w:val="28"/>
        </w:rPr>
      </w:pPr>
      <w:r>
        <w:rPr>
          <w:rFonts w:ascii="宋体"/>
          <w:sz w:val="28"/>
          <w:szCs w:val="28"/>
        </w:rPr>
        <w:t>该加油站已设置视频监控摄像头，监控显示于站房内电脑上，用于监控站内实时情况。</w:t>
      </w:r>
    </w:p>
    <w:p>
      <w:pPr>
        <w:spacing w:line="560" w:lineRule="exact"/>
        <w:ind w:firstLine="560" w:firstLineChars="200"/>
        <w:rPr>
          <w:rFonts w:ascii="宋体"/>
          <w:sz w:val="28"/>
          <w:szCs w:val="28"/>
        </w:rPr>
      </w:pPr>
      <w:r>
        <w:rPr>
          <w:rFonts w:ascii="宋体"/>
          <w:sz w:val="28"/>
          <w:szCs w:val="28"/>
        </w:rPr>
        <w:t>站房内设置24小时值班报警电话，用于紧急情况下的事故上报及外部救援联络。</w:t>
      </w:r>
    </w:p>
    <w:p>
      <w:pPr>
        <w:spacing w:line="560" w:lineRule="exact"/>
        <w:ind w:firstLine="560" w:firstLineChars="200"/>
        <w:rPr>
          <w:rFonts w:ascii="宋体"/>
          <w:sz w:val="28"/>
          <w:szCs w:val="28"/>
        </w:rPr>
      </w:pPr>
      <w:bookmarkStart w:id="15" w:name="_Toc343418768"/>
      <w:bookmarkStart w:id="16" w:name="_Toc343418967"/>
      <w:bookmarkStart w:id="17" w:name="_Toc316994217"/>
      <w:r>
        <w:rPr>
          <w:rFonts w:ascii="宋体"/>
          <w:sz w:val="28"/>
          <w:szCs w:val="28"/>
        </w:rPr>
        <w:t>2、设备安全防护设施</w:t>
      </w:r>
      <w:bookmarkEnd w:id="15"/>
      <w:bookmarkEnd w:id="16"/>
      <w:bookmarkEnd w:id="17"/>
    </w:p>
    <w:p>
      <w:pPr>
        <w:spacing w:line="560" w:lineRule="exact"/>
        <w:ind w:firstLine="560" w:firstLineChars="200"/>
        <w:rPr>
          <w:rFonts w:ascii="宋体"/>
          <w:sz w:val="28"/>
          <w:szCs w:val="28"/>
        </w:rPr>
      </w:pPr>
      <w:r>
        <w:rPr>
          <w:rFonts w:ascii="宋体"/>
          <w:sz w:val="28"/>
          <w:szCs w:val="28"/>
        </w:rPr>
        <w:t>（1）防触电</w:t>
      </w:r>
    </w:p>
    <w:p>
      <w:pPr>
        <w:spacing w:line="560" w:lineRule="exact"/>
        <w:ind w:firstLine="560" w:firstLineChars="200"/>
        <w:rPr>
          <w:rFonts w:ascii="宋体"/>
          <w:sz w:val="28"/>
          <w:szCs w:val="28"/>
        </w:rPr>
      </w:pPr>
      <w:r>
        <w:rPr>
          <w:rFonts w:ascii="宋体"/>
          <w:sz w:val="28"/>
          <w:szCs w:val="28"/>
        </w:rPr>
        <w:t>加油站外聘专业电工定期检查维保电气设施，及时消除安全隐患，杜绝违规带电作业及线路、电气绝缘破损失效，人员接触带电体，发生触电事故。</w:t>
      </w:r>
    </w:p>
    <w:p>
      <w:pPr>
        <w:spacing w:line="560" w:lineRule="exact"/>
        <w:ind w:firstLine="560" w:firstLineChars="200"/>
        <w:rPr>
          <w:rFonts w:ascii="宋体"/>
          <w:sz w:val="28"/>
          <w:szCs w:val="28"/>
        </w:rPr>
      </w:pPr>
      <w:r>
        <w:rPr>
          <w:rFonts w:ascii="宋体"/>
          <w:sz w:val="28"/>
          <w:szCs w:val="28"/>
        </w:rPr>
        <w:t>（2）防雷、防静电</w:t>
      </w:r>
    </w:p>
    <w:p>
      <w:pPr>
        <w:spacing w:line="560" w:lineRule="exact"/>
        <w:ind w:firstLine="560" w:firstLineChars="200"/>
        <w:rPr>
          <w:rFonts w:ascii="宋体"/>
          <w:sz w:val="28"/>
          <w:szCs w:val="28"/>
        </w:rPr>
      </w:pPr>
      <w:r>
        <w:rPr>
          <w:rFonts w:ascii="宋体"/>
          <w:sz w:val="28"/>
          <w:szCs w:val="28"/>
        </w:rPr>
        <w:t>加油站罐区罐体与输油管道、量油孔、阻火器、法兰等金属附件进行有效的跨接、接地，罐车密闭卸油口设置卸油快速接头及防静电接地保护装置。加油机已设置防静电接地保护装置。</w:t>
      </w:r>
    </w:p>
    <w:p>
      <w:pPr>
        <w:spacing w:line="560" w:lineRule="exact"/>
        <w:ind w:firstLine="560" w:firstLineChars="200"/>
        <w:rPr>
          <w:rFonts w:ascii="宋体"/>
          <w:sz w:val="28"/>
          <w:szCs w:val="28"/>
        </w:rPr>
      </w:pPr>
      <w:r>
        <w:rPr>
          <w:rFonts w:ascii="宋体"/>
          <w:sz w:val="28"/>
          <w:szCs w:val="28"/>
        </w:rPr>
        <w:t>（3）防腐</w:t>
      </w:r>
    </w:p>
    <w:p>
      <w:pPr>
        <w:spacing w:line="560" w:lineRule="exact"/>
        <w:ind w:firstLine="560" w:firstLineChars="200"/>
        <w:rPr>
          <w:rFonts w:ascii="宋体"/>
          <w:sz w:val="28"/>
          <w:szCs w:val="28"/>
        </w:rPr>
      </w:pPr>
      <w:r>
        <w:rPr>
          <w:rFonts w:hint="eastAsia" w:ascii="宋体"/>
          <w:sz w:val="28"/>
          <w:szCs w:val="28"/>
        </w:rPr>
        <w:t>油料输送管道为燃油复合管，其外层高密度聚乙烯耐腐蚀，不需要任何额外防腐措施。相比金属管道，能大大降低防腐费用，减少了因管道腐蚀带来的各种安全隐患。站场内露空管道及设备采用外涂层防腐。站内地面工艺设备和管线的防腐采用了外壁涂刷聚氨酯防腐蚀漆底漆</w:t>
      </w:r>
      <w:r>
        <w:rPr>
          <w:rFonts w:ascii="宋体"/>
          <w:sz w:val="28"/>
          <w:szCs w:val="28"/>
        </w:rPr>
        <w:t>。</w:t>
      </w:r>
    </w:p>
    <w:p>
      <w:pPr>
        <w:spacing w:line="560" w:lineRule="exact"/>
        <w:ind w:firstLine="560" w:firstLineChars="200"/>
        <w:rPr>
          <w:rFonts w:ascii="宋体"/>
          <w:sz w:val="28"/>
          <w:szCs w:val="28"/>
        </w:rPr>
      </w:pPr>
      <w:r>
        <w:rPr>
          <w:rFonts w:ascii="宋体"/>
          <w:sz w:val="28"/>
          <w:szCs w:val="28"/>
        </w:rPr>
        <w:t>3、防爆设施</w:t>
      </w:r>
    </w:p>
    <w:p>
      <w:pPr>
        <w:spacing w:line="560" w:lineRule="exact"/>
        <w:ind w:firstLine="560" w:firstLineChars="200"/>
        <w:rPr>
          <w:rFonts w:ascii="宋体"/>
          <w:sz w:val="28"/>
          <w:szCs w:val="28"/>
        </w:rPr>
      </w:pPr>
      <w:r>
        <w:rPr>
          <w:rFonts w:ascii="宋体"/>
          <w:sz w:val="28"/>
          <w:szCs w:val="28"/>
        </w:rPr>
        <w:t>加油机电机为防爆型，火灾爆炸危险区域内全部采用防爆型电器，电气线路穿管保护。</w:t>
      </w:r>
    </w:p>
    <w:p>
      <w:pPr>
        <w:spacing w:line="560" w:lineRule="exact"/>
        <w:ind w:firstLine="560" w:firstLineChars="200"/>
        <w:rPr>
          <w:rFonts w:ascii="宋体"/>
          <w:sz w:val="28"/>
          <w:szCs w:val="28"/>
        </w:rPr>
      </w:pPr>
      <w:r>
        <w:rPr>
          <w:rFonts w:ascii="宋体"/>
          <w:sz w:val="28"/>
          <w:szCs w:val="28"/>
        </w:rPr>
        <w:t>4、安全警示标志</w:t>
      </w:r>
    </w:p>
    <w:p>
      <w:pPr>
        <w:spacing w:line="560" w:lineRule="exact"/>
        <w:ind w:firstLine="560" w:firstLineChars="200"/>
        <w:rPr>
          <w:rFonts w:ascii="宋体"/>
          <w:sz w:val="28"/>
          <w:szCs w:val="28"/>
        </w:rPr>
      </w:pPr>
      <w:r>
        <w:rPr>
          <w:rFonts w:ascii="宋体"/>
          <w:sz w:val="28"/>
          <w:szCs w:val="28"/>
        </w:rPr>
        <w:t>进出站口、加油区及油罐区已设置醒目的“严禁烟火”、“禁止使用移动通讯设备”等安全警示公告标志牌。加油站的罩棚、营业室等处，设置事故照明及紧急疏散指示标志标牌。</w:t>
      </w:r>
    </w:p>
    <w:p>
      <w:pPr>
        <w:spacing w:line="560" w:lineRule="exact"/>
        <w:ind w:firstLine="560" w:firstLineChars="200"/>
        <w:rPr>
          <w:rFonts w:ascii="宋体"/>
          <w:sz w:val="28"/>
          <w:szCs w:val="28"/>
        </w:rPr>
      </w:pPr>
      <w:r>
        <w:rPr>
          <w:rFonts w:ascii="宋体"/>
          <w:sz w:val="28"/>
          <w:szCs w:val="28"/>
        </w:rPr>
        <w:t>紧急切断系统</w:t>
      </w:r>
    </w:p>
    <w:p>
      <w:pPr>
        <w:spacing w:line="560" w:lineRule="exact"/>
        <w:ind w:firstLine="560" w:firstLineChars="200"/>
        <w:rPr>
          <w:rFonts w:ascii="宋体"/>
          <w:sz w:val="28"/>
          <w:szCs w:val="28"/>
        </w:rPr>
      </w:pPr>
      <w:r>
        <w:rPr>
          <w:rFonts w:ascii="宋体"/>
          <w:sz w:val="28"/>
          <w:szCs w:val="28"/>
        </w:rPr>
        <w:t>站内设置有紧急切断装置，在发生泄漏时能紧急切断油泵，防止事故发生。</w:t>
      </w:r>
    </w:p>
    <w:p>
      <w:pPr>
        <w:pStyle w:val="4"/>
        <w:widowControl/>
        <w:adjustRightInd w:val="0"/>
        <w:snapToGrid w:val="0"/>
        <w:spacing w:before="156" w:beforeLines="50" w:after="156" w:afterLines="50" w:line="240" w:lineRule="auto"/>
        <w:rPr>
          <w:rFonts w:ascii="宋体" w:cs="宋体"/>
          <w:bCs w:val="0"/>
          <w:snapToGrid w:val="0"/>
          <w:kern w:val="0"/>
          <w:sz w:val="28"/>
          <w:szCs w:val="28"/>
        </w:rPr>
      </w:pPr>
      <w:bookmarkStart w:id="18" w:name="_Toc343418970"/>
      <w:bookmarkStart w:id="19" w:name="_Toc459043211"/>
      <w:bookmarkStart w:id="20" w:name="_Toc316994220"/>
      <w:bookmarkStart w:id="21" w:name="_Toc343418771"/>
      <w:bookmarkStart w:id="22" w:name="_Toc26788"/>
      <w:bookmarkStart w:id="23" w:name="_Toc26314"/>
      <w:r>
        <w:rPr>
          <w:rFonts w:hint="eastAsia" w:ascii="宋体" w:cs="宋体"/>
          <w:bCs w:val="0"/>
          <w:snapToGrid w:val="0"/>
          <w:kern w:val="0"/>
          <w:sz w:val="28"/>
          <w:szCs w:val="28"/>
        </w:rPr>
        <w:t>4</w:t>
      </w:r>
      <w:r>
        <w:rPr>
          <w:rFonts w:ascii="宋体" w:cs="宋体"/>
          <w:bCs w:val="0"/>
          <w:snapToGrid w:val="0"/>
          <w:kern w:val="0"/>
          <w:sz w:val="28"/>
          <w:szCs w:val="28"/>
        </w:rPr>
        <w:t>.</w:t>
      </w:r>
      <w:r>
        <w:rPr>
          <w:rFonts w:hint="eastAsia" w:ascii="宋体" w:cs="宋体"/>
          <w:bCs w:val="0"/>
          <w:snapToGrid w:val="0"/>
          <w:kern w:val="0"/>
          <w:sz w:val="28"/>
          <w:szCs w:val="28"/>
        </w:rPr>
        <w:t>1</w:t>
      </w:r>
      <w:r>
        <w:rPr>
          <w:rFonts w:ascii="宋体" w:cs="宋体"/>
          <w:bCs w:val="0"/>
          <w:snapToGrid w:val="0"/>
          <w:kern w:val="0"/>
          <w:sz w:val="28"/>
          <w:szCs w:val="28"/>
        </w:rPr>
        <w:t>.2减少与消除事故影响设施</w:t>
      </w:r>
      <w:bookmarkEnd w:id="18"/>
      <w:bookmarkEnd w:id="19"/>
      <w:bookmarkEnd w:id="20"/>
      <w:bookmarkEnd w:id="21"/>
      <w:bookmarkEnd w:id="22"/>
      <w:bookmarkEnd w:id="23"/>
    </w:p>
    <w:p>
      <w:pPr>
        <w:spacing w:line="560" w:lineRule="exact"/>
        <w:ind w:firstLine="560" w:firstLineChars="200"/>
        <w:rPr>
          <w:rFonts w:ascii="宋体"/>
          <w:sz w:val="28"/>
          <w:szCs w:val="28"/>
        </w:rPr>
      </w:pPr>
      <w:r>
        <w:rPr>
          <w:rFonts w:ascii="宋体"/>
          <w:sz w:val="28"/>
          <w:szCs w:val="28"/>
        </w:rPr>
        <w:t>1、防止火灾蔓延设施</w:t>
      </w:r>
    </w:p>
    <w:p>
      <w:pPr>
        <w:spacing w:line="560" w:lineRule="exact"/>
        <w:ind w:firstLine="560" w:firstLineChars="200"/>
        <w:rPr>
          <w:rFonts w:ascii="宋体"/>
          <w:sz w:val="28"/>
          <w:szCs w:val="28"/>
        </w:rPr>
      </w:pPr>
      <w:r>
        <w:rPr>
          <w:rFonts w:ascii="宋体"/>
          <w:sz w:val="28"/>
          <w:szCs w:val="28"/>
        </w:rPr>
        <w:t>加油站已设置通气管，柴油和汽油通气管分开设置，管口设置阻火器。</w:t>
      </w:r>
    </w:p>
    <w:p>
      <w:pPr>
        <w:spacing w:line="560" w:lineRule="exact"/>
        <w:ind w:firstLine="560" w:firstLineChars="200"/>
        <w:rPr>
          <w:rFonts w:ascii="宋体"/>
          <w:sz w:val="28"/>
          <w:szCs w:val="28"/>
        </w:rPr>
      </w:pPr>
      <w:r>
        <w:rPr>
          <w:rFonts w:ascii="宋体"/>
          <w:sz w:val="28"/>
          <w:szCs w:val="28"/>
        </w:rPr>
        <w:t>对于汽油储罐及汽油加油机，该加油站已委托具备相应资质的专业单位设计、安装卸油和加油油气回收系统（一次、二次油气回收系统），并调试合格，现使用正常。</w:t>
      </w:r>
    </w:p>
    <w:p>
      <w:pPr>
        <w:spacing w:line="560" w:lineRule="exact"/>
        <w:ind w:firstLine="560" w:firstLineChars="200"/>
        <w:rPr>
          <w:rFonts w:ascii="宋体"/>
          <w:sz w:val="28"/>
          <w:szCs w:val="28"/>
        </w:rPr>
      </w:pPr>
      <w:r>
        <w:rPr>
          <w:rFonts w:ascii="宋体"/>
          <w:sz w:val="28"/>
          <w:szCs w:val="28"/>
        </w:rPr>
        <w:t>2、消防灭火设施</w:t>
      </w:r>
    </w:p>
    <w:p>
      <w:pPr>
        <w:spacing w:line="560" w:lineRule="exact"/>
        <w:ind w:firstLine="560" w:firstLineChars="200"/>
        <w:rPr>
          <w:rFonts w:ascii="宋体"/>
          <w:sz w:val="28"/>
          <w:szCs w:val="28"/>
        </w:rPr>
      </w:pPr>
      <w:r>
        <w:rPr>
          <w:rFonts w:ascii="宋体"/>
          <w:sz w:val="28"/>
          <w:szCs w:val="28"/>
        </w:rPr>
        <w:t>根据《汽车加油加气站设计与施工规范》（GB50156-2012）2014版的有关规定，加油站内可不设消防给水系统。根据《建筑灭火器配置设计规范》（GB 50140-2005）的规定，汽油导致的火灾种类为B类火灾，加油站配备灭火器、灭火毯及其他消防桶、铲、锹、消防砂等简易消防器材。</w:t>
      </w:r>
    </w:p>
    <w:p>
      <w:pPr>
        <w:spacing w:line="560" w:lineRule="exact"/>
        <w:ind w:firstLine="560" w:firstLineChars="200"/>
        <w:rPr>
          <w:rFonts w:ascii="宋体"/>
          <w:sz w:val="28"/>
          <w:szCs w:val="28"/>
        </w:rPr>
      </w:pPr>
      <w:r>
        <w:rPr>
          <w:rFonts w:ascii="宋体"/>
          <w:sz w:val="28"/>
          <w:szCs w:val="28"/>
        </w:rPr>
        <w:t>按照《汽车加油加气站设计与施工规范》（GB50156-2012）2014版第10.1.1的下列规定：“每2台加油机应配置不少于2具4kg手提式干粉灭火器，或1具4kg手提式干粉灭火器和1具6L泡沫灭火器。加油机不足2台应按2台配置”</w:t>
      </w:r>
      <w:r>
        <w:rPr>
          <w:rFonts w:hint="eastAsia" w:ascii="宋体"/>
          <w:sz w:val="28"/>
          <w:szCs w:val="28"/>
        </w:rPr>
        <w:t>。</w:t>
      </w:r>
      <w:r>
        <w:rPr>
          <w:rFonts w:ascii="宋体"/>
          <w:sz w:val="28"/>
          <w:szCs w:val="28"/>
        </w:rPr>
        <w:t>该加油站已设置的消防灭火设施能满足《汽车加油加气站设计与施工规范》（GB50156-2012）2014版第10.1.1的固定，具体情况如下：</w:t>
      </w:r>
    </w:p>
    <w:p>
      <w:pPr>
        <w:adjustRightInd w:val="0"/>
        <w:snapToGrid w:val="0"/>
        <w:spacing w:before="156" w:beforeLines="50" w:after="156" w:afterLines="50" w:line="360" w:lineRule="auto"/>
        <w:jc w:val="center"/>
        <w:rPr>
          <w:rFonts w:ascii="黑体" w:eastAsia="黑体"/>
          <w:b/>
          <w:sz w:val="24"/>
        </w:rPr>
      </w:pPr>
      <w:r>
        <w:rPr>
          <w:rFonts w:hint="eastAsia" w:ascii="黑体" w:eastAsia="黑体"/>
          <w:b/>
          <w:sz w:val="24"/>
        </w:rPr>
        <w:t>表4-1消防灭火设施列表</w:t>
      </w:r>
      <w:r>
        <w:rPr>
          <w:rFonts w:hint="eastAsia" w:ascii="宋体"/>
          <w:sz w:val="28"/>
          <w:szCs w:val="28"/>
        </w:rPr>
        <w:t xml:space="preserve"> </w:t>
      </w:r>
    </w:p>
    <w:tbl>
      <w:tblPr>
        <w:tblStyle w:val="8"/>
        <w:tblW w:w="9453" w:type="dxa"/>
        <w:jc w:val="center"/>
        <w:tblInd w:w="1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2126"/>
        <w:gridCol w:w="2126"/>
        <w:gridCol w:w="1276"/>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Align w:val="center"/>
          </w:tcPr>
          <w:p>
            <w:pPr>
              <w:jc w:val="center"/>
              <w:rPr>
                <w:rFonts w:ascii="宋体" w:hAnsi="宋体" w:cs="Times New Roman"/>
                <w:sz w:val="28"/>
                <w:szCs w:val="28"/>
              </w:rPr>
            </w:pPr>
            <w:r>
              <w:rPr>
                <w:rFonts w:hint="eastAsia" w:ascii="宋体" w:hAnsi="宋体" w:cs="Times New Roman"/>
                <w:sz w:val="28"/>
                <w:szCs w:val="28"/>
              </w:rPr>
              <w:t>序号</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名称</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型号</w:t>
            </w:r>
          </w:p>
        </w:tc>
        <w:tc>
          <w:tcPr>
            <w:tcW w:w="1276" w:type="dxa"/>
            <w:vAlign w:val="center"/>
          </w:tcPr>
          <w:p>
            <w:pPr>
              <w:jc w:val="center"/>
              <w:rPr>
                <w:rFonts w:ascii="宋体" w:hAnsi="宋体" w:cs="Times New Roman"/>
                <w:sz w:val="28"/>
                <w:szCs w:val="28"/>
              </w:rPr>
            </w:pPr>
            <w:r>
              <w:rPr>
                <w:rFonts w:hint="eastAsia" w:ascii="宋体" w:hAnsi="宋体" w:cs="Times New Roman"/>
                <w:sz w:val="28"/>
                <w:szCs w:val="28"/>
              </w:rPr>
              <w:t>数量</w:t>
            </w:r>
          </w:p>
        </w:tc>
        <w:tc>
          <w:tcPr>
            <w:tcW w:w="2925" w:type="dxa"/>
            <w:vAlign w:val="center"/>
          </w:tcPr>
          <w:p>
            <w:pPr>
              <w:jc w:val="center"/>
              <w:rPr>
                <w:rFonts w:ascii="宋体" w:hAnsi="宋体" w:cs="Times New Roman"/>
                <w:sz w:val="28"/>
                <w:szCs w:val="28"/>
              </w:rPr>
            </w:pPr>
            <w:r>
              <w:rPr>
                <w:rFonts w:hint="eastAsia" w:ascii="宋体" w:hAnsi="宋体" w:cs="Times New Roman"/>
                <w:sz w:val="28"/>
                <w:szCs w:val="28"/>
              </w:rPr>
              <w:t>存放地点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Align w:val="center"/>
          </w:tcPr>
          <w:p>
            <w:pPr>
              <w:jc w:val="center"/>
              <w:rPr>
                <w:rFonts w:ascii="宋体" w:hAnsi="宋体" w:cs="Times New Roman"/>
                <w:sz w:val="28"/>
                <w:szCs w:val="28"/>
              </w:rPr>
            </w:pPr>
            <w:r>
              <w:rPr>
                <w:rFonts w:hint="eastAsia" w:ascii="宋体" w:hAnsi="宋体" w:cs="Times New Roman"/>
                <w:sz w:val="28"/>
                <w:szCs w:val="28"/>
              </w:rPr>
              <w:t>1</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35Kg推车式干粉灭火器</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MFZ/ABC35</w:t>
            </w:r>
          </w:p>
        </w:tc>
        <w:tc>
          <w:tcPr>
            <w:tcW w:w="1276" w:type="dxa"/>
            <w:vAlign w:val="center"/>
          </w:tcPr>
          <w:p>
            <w:pPr>
              <w:jc w:val="center"/>
              <w:rPr>
                <w:rFonts w:ascii="宋体" w:hAnsi="宋体" w:cs="Times New Roman"/>
                <w:sz w:val="28"/>
                <w:szCs w:val="28"/>
              </w:rPr>
            </w:pPr>
            <w:r>
              <w:rPr>
                <w:rFonts w:hint="eastAsia" w:ascii="宋体" w:hAnsi="宋体" w:cs="Times New Roman"/>
                <w:sz w:val="28"/>
                <w:szCs w:val="28"/>
              </w:rPr>
              <w:t>4具</w:t>
            </w:r>
          </w:p>
        </w:tc>
        <w:tc>
          <w:tcPr>
            <w:tcW w:w="2925" w:type="dxa"/>
            <w:vAlign w:val="center"/>
          </w:tcPr>
          <w:p>
            <w:pPr>
              <w:jc w:val="center"/>
              <w:rPr>
                <w:rFonts w:ascii="宋体" w:hAnsi="宋体" w:cs="Times New Roman"/>
                <w:sz w:val="28"/>
                <w:szCs w:val="28"/>
              </w:rPr>
            </w:pPr>
            <w:r>
              <w:rPr>
                <w:rFonts w:hint="eastAsia" w:ascii="宋体" w:hAnsi="宋体" w:cs="Times New Roman"/>
                <w:sz w:val="28"/>
                <w:szCs w:val="28"/>
              </w:rPr>
              <w:t>罐区旁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Align w:val="center"/>
          </w:tcPr>
          <w:p>
            <w:pPr>
              <w:jc w:val="center"/>
              <w:rPr>
                <w:rFonts w:ascii="宋体" w:hAnsi="宋体" w:cs="Times New Roman"/>
                <w:sz w:val="28"/>
                <w:szCs w:val="28"/>
              </w:rPr>
            </w:pPr>
            <w:r>
              <w:rPr>
                <w:rFonts w:hint="eastAsia" w:ascii="宋体" w:hAnsi="宋体" w:cs="Times New Roman"/>
                <w:sz w:val="28"/>
                <w:szCs w:val="28"/>
              </w:rPr>
              <w:t>2</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8Kg干粉灭火器</w:t>
            </w:r>
          </w:p>
        </w:tc>
        <w:tc>
          <w:tcPr>
            <w:tcW w:w="2126" w:type="dxa"/>
            <w:vAlign w:val="center"/>
          </w:tcPr>
          <w:p>
            <w:pPr>
              <w:jc w:val="center"/>
              <w:rPr>
                <w:rFonts w:ascii="宋体" w:hAnsi="宋体" w:cs="Times New Roman"/>
                <w:sz w:val="28"/>
                <w:szCs w:val="28"/>
              </w:rPr>
            </w:pPr>
            <w:r>
              <w:rPr>
                <w:rFonts w:ascii="宋体" w:hAnsi="宋体" w:cs="Times New Roman"/>
                <w:sz w:val="28"/>
                <w:szCs w:val="28"/>
              </w:rPr>
              <w:t>8Kg</w:t>
            </w:r>
          </w:p>
        </w:tc>
        <w:tc>
          <w:tcPr>
            <w:tcW w:w="1276" w:type="dxa"/>
            <w:vAlign w:val="center"/>
          </w:tcPr>
          <w:p>
            <w:pPr>
              <w:jc w:val="center"/>
              <w:rPr>
                <w:rFonts w:ascii="宋体" w:hAnsi="宋体" w:cs="Times New Roman"/>
                <w:sz w:val="28"/>
                <w:szCs w:val="28"/>
              </w:rPr>
            </w:pPr>
            <w:r>
              <w:rPr>
                <w:rFonts w:hint="eastAsia" w:ascii="宋体" w:hAnsi="宋体" w:cs="Times New Roman"/>
                <w:sz w:val="28"/>
                <w:szCs w:val="28"/>
              </w:rPr>
              <w:t>4具</w:t>
            </w:r>
          </w:p>
        </w:tc>
        <w:tc>
          <w:tcPr>
            <w:tcW w:w="2925" w:type="dxa"/>
            <w:vAlign w:val="center"/>
          </w:tcPr>
          <w:p>
            <w:pPr>
              <w:jc w:val="center"/>
              <w:rPr>
                <w:rFonts w:ascii="宋体" w:hAnsi="宋体" w:cs="Times New Roman"/>
                <w:sz w:val="28"/>
                <w:szCs w:val="28"/>
              </w:rPr>
            </w:pPr>
            <w:r>
              <w:rPr>
                <w:rFonts w:hint="eastAsia" w:ascii="宋体" w:hAnsi="宋体" w:cs="Times New Roman"/>
                <w:sz w:val="28"/>
                <w:szCs w:val="28"/>
              </w:rPr>
              <w:t>加油岛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Align w:val="center"/>
          </w:tcPr>
          <w:p>
            <w:pPr>
              <w:jc w:val="center"/>
              <w:rPr>
                <w:rFonts w:ascii="宋体" w:hAnsi="宋体" w:cs="Times New Roman"/>
                <w:sz w:val="28"/>
                <w:szCs w:val="28"/>
              </w:rPr>
            </w:pPr>
            <w:r>
              <w:rPr>
                <w:rFonts w:hint="eastAsia" w:ascii="宋体" w:hAnsi="宋体" w:cs="Times New Roman"/>
                <w:sz w:val="28"/>
                <w:szCs w:val="28"/>
              </w:rPr>
              <w:t>3</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4Kg干粉灭火器</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4</w:t>
            </w:r>
            <w:r>
              <w:rPr>
                <w:rFonts w:ascii="宋体" w:hAnsi="宋体" w:cs="Times New Roman"/>
                <w:sz w:val="28"/>
                <w:szCs w:val="28"/>
              </w:rPr>
              <w:t>Kg</w:t>
            </w:r>
          </w:p>
        </w:tc>
        <w:tc>
          <w:tcPr>
            <w:tcW w:w="1276" w:type="dxa"/>
            <w:vAlign w:val="center"/>
          </w:tcPr>
          <w:p>
            <w:pPr>
              <w:jc w:val="center"/>
              <w:rPr>
                <w:rFonts w:ascii="宋体" w:hAnsi="宋体" w:cs="Times New Roman"/>
                <w:sz w:val="28"/>
                <w:szCs w:val="28"/>
              </w:rPr>
            </w:pPr>
            <w:r>
              <w:rPr>
                <w:rFonts w:hint="eastAsia" w:ascii="宋体" w:hAnsi="宋体" w:cs="Times New Roman"/>
                <w:sz w:val="28"/>
                <w:szCs w:val="28"/>
              </w:rPr>
              <w:t>4具</w:t>
            </w:r>
          </w:p>
        </w:tc>
        <w:tc>
          <w:tcPr>
            <w:tcW w:w="2925" w:type="dxa"/>
            <w:vAlign w:val="center"/>
          </w:tcPr>
          <w:p>
            <w:pPr>
              <w:jc w:val="center"/>
              <w:rPr>
                <w:rFonts w:ascii="宋体" w:hAnsi="宋体" w:cs="Times New Roman"/>
                <w:sz w:val="28"/>
                <w:szCs w:val="28"/>
              </w:rPr>
            </w:pPr>
            <w:r>
              <w:rPr>
                <w:rFonts w:hint="eastAsia" w:ascii="宋体" w:hAnsi="宋体" w:cs="Times New Roman"/>
                <w:sz w:val="28"/>
                <w:szCs w:val="28"/>
              </w:rPr>
              <w:t>站房、配发电房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Align w:val="center"/>
          </w:tcPr>
          <w:p>
            <w:pPr>
              <w:jc w:val="center"/>
              <w:rPr>
                <w:rFonts w:ascii="宋体" w:hAnsi="宋体" w:cs="Times New Roman"/>
                <w:sz w:val="28"/>
                <w:szCs w:val="28"/>
              </w:rPr>
            </w:pPr>
            <w:r>
              <w:rPr>
                <w:rFonts w:hint="eastAsia" w:ascii="宋体" w:hAnsi="宋体" w:cs="Times New Roman"/>
                <w:sz w:val="28"/>
                <w:szCs w:val="28"/>
              </w:rPr>
              <w:t>4</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灭火毯</w:t>
            </w:r>
          </w:p>
        </w:tc>
        <w:tc>
          <w:tcPr>
            <w:tcW w:w="2126" w:type="dxa"/>
            <w:vAlign w:val="center"/>
          </w:tcPr>
          <w:p>
            <w:pPr>
              <w:jc w:val="center"/>
              <w:rPr>
                <w:rFonts w:ascii="宋体" w:hAnsi="宋体" w:cs="Times New Roman"/>
                <w:sz w:val="28"/>
                <w:szCs w:val="28"/>
              </w:rPr>
            </w:pPr>
          </w:p>
        </w:tc>
        <w:tc>
          <w:tcPr>
            <w:tcW w:w="1276" w:type="dxa"/>
            <w:vAlign w:val="center"/>
          </w:tcPr>
          <w:p>
            <w:pPr>
              <w:jc w:val="center"/>
              <w:rPr>
                <w:rFonts w:ascii="宋体" w:hAnsi="宋体" w:cs="Times New Roman"/>
                <w:sz w:val="28"/>
                <w:szCs w:val="28"/>
              </w:rPr>
            </w:pPr>
            <w:r>
              <w:rPr>
                <w:rFonts w:hint="eastAsia" w:ascii="宋体" w:hAnsi="宋体" w:cs="Times New Roman"/>
                <w:sz w:val="28"/>
                <w:szCs w:val="28"/>
              </w:rPr>
              <w:t>6块</w:t>
            </w:r>
          </w:p>
        </w:tc>
        <w:tc>
          <w:tcPr>
            <w:tcW w:w="2925" w:type="dxa"/>
            <w:vAlign w:val="center"/>
          </w:tcPr>
          <w:p>
            <w:pPr>
              <w:jc w:val="center"/>
              <w:rPr>
                <w:rFonts w:hint="eastAsia" w:ascii="宋体" w:hAnsi="宋体" w:cs="Times New Roman"/>
                <w:sz w:val="28"/>
                <w:szCs w:val="28"/>
              </w:rPr>
            </w:pPr>
            <w:r>
              <w:rPr>
                <w:rFonts w:hint="eastAsia" w:ascii="宋体" w:hAnsi="宋体" w:cs="Times New Roman"/>
                <w:sz w:val="28"/>
                <w:szCs w:val="28"/>
              </w:rPr>
              <w:t>加油岛、站房、</w:t>
            </w:r>
          </w:p>
          <w:p>
            <w:pPr>
              <w:jc w:val="center"/>
              <w:rPr>
                <w:rFonts w:ascii="宋体" w:hAnsi="宋体" w:cs="Times New Roman"/>
                <w:sz w:val="28"/>
                <w:szCs w:val="28"/>
              </w:rPr>
            </w:pPr>
            <w:r>
              <w:rPr>
                <w:rFonts w:hint="eastAsia" w:ascii="宋体" w:hAnsi="宋体" w:cs="Times New Roman"/>
                <w:sz w:val="28"/>
                <w:szCs w:val="28"/>
              </w:rPr>
              <w:t>配发电房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Align w:val="center"/>
          </w:tcPr>
          <w:p>
            <w:pPr>
              <w:jc w:val="center"/>
              <w:rPr>
                <w:rFonts w:ascii="宋体" w:hAnsi="宋体" w:cs="Times New Roman"/>
                <w:sz w:val="28"/>
                <w:szCs w:val="28"/>
              </w:rPr>
            </w:pPr>
            <w:r>
              <w:rPr>
                <w:rFonts w:hint="eastAsia" w:ascii="宋体" w:hAnsi="宋体" w:cs="Times New Roman"/>
                <w:sz w:val="28"/>
                <w:szCs w:val="28"/>
              </w:rPr>
              <w:t>5</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消防沙</w:t>
            </w:r>
          </w:p>
        </w:tc>
        <w:tc>
          <w:tcPr>
            <w:tcW w:w="2126" w:type="dxa"/>
            <w:vAlign w:val="center"/>
          </w:tcPr>
          <w:p>
            <w:pPr>
              <w:jc w:val="center"/>
              <w:rPr>
                <w:rFonts w:ascii="宋体" w:hAnsi="宋体" w:cs="Times New Roman"/>
                <w:sz w:val="28"/>
                <w:szCs w:val="28"/>
              </w:rPr>
            </w:pPr>
          </w:p>
        </w:tc>
        <w:tc>
          <w:tcPr>
            <w:tcW w:w="1276" w:type="dxa"/>
            <w:vAlign w:val="center"/>
          </w:tcPr>
          <w:p>
            <w:pPr>
              <w:jc w:val="center"/>
              <w:rPr>
                <w:rFonts w:ascii="宋体" w:hAnsi="宋体" w:cs="Times New Roman"/>
                <w:sz w:val="28"/>
                <w:szCs w:val="28"/>
              </w:rPr>
            </w:pPr>
            <w:r>
              <w:rPr>
                <w:rFonts w:hint="eastAsia" w:ascii="宋体" w:hAnsi="宋体" w:cs="Times New Roman"/>
                <w:sz w:val="28"/>
                <w:szCs w:val="28"/>
              </w:rPr>
              <w:t>12 m</w:t>
            </w:r>
            <w:r>
              <w:rPr>
                <w:rFonts w:hint="eastAsia" w:ascii="宋体" w:hAnsi="宋体" w:cs="Times New Roman"/>
                <w:sz w:val="28"/>
                <w:szCs w:val="28"/>
                <w:vertAlign w:val="superscript"/>
              </w:rPr>
              <w:t>3</w:t>
            </w:r>
          </w:p>
        </w:tc>
        <w:tc>
          <w:tcPr>
            <w:tcW w:w="2925" w:type="dxa"/>
            <w:vAlign w:val="center"/>
          </w:tcPr>
          <w:p>
            <w:pPr>
              <w:jc w:val="center"/>
              <w:rPr>
                <w:rFonts w:ascii="宋体" w:hAnsi="宋体" w:cs="Times New Roman"/>
                <w:sz w:val="28"/>
                <w:szCs w:val="28"/>
              </w:rPr>
            </w:pPr>
            <w:r>
              <w:rPr>
                <w:rFonts w:hint="eastAsia" w:ascii="宋体" w:hAnsi="宋体" w:cs="Times New Roman"/>
                <w:sz w:val="28"/>
                <w:szCs w:val="28"/>
              </w:rPr>
              <w:t>罐区旁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Align w:val="center"/>
          </w:tcPr>
          <w:p>
            <w:pPr>
              <w:jc w:val="center"/>
              <w:rPr>
                <w:rFonts w:ascii="宋体" w:hAnsi="宋体" w:cs="Times New Roman"/>
                <w:sz w:val="28"/>
                <w:szCs w:val="28"/>
              </w:rPr>
            </w:pPr>
            <w:r>
              <w:rPr>
                <w:rFonts w:hint="eastAsia" w:ascii="宋体" w:hAnsi="宋体" w:cs="Times New Roman"/>
                <w:sz w:val="28"/>
                <w:szCs w:val="28"/>
              </w:rPr>
              <w:t>6</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消防铲</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w:t>
            </w:r>
          </w:p>
        </w:tc>
        <w:tc>
          <w:tcPr>
            <w:tcW w:w="1276" w:type="dxa"/>
            <w:vAlign w:val="center"/>
          </w:tcPr>
          <w:p>
            <w:pPr>
              <w:jc w:val="center"/>
              <w:rPr>
                <w:rFonts w:ascii="宋体" w:hAnsi="宋体" w:cs="Times New Roman"/>
                <w:sz w:val="28"/>
                <w:szCs w:val="28"/>
              </w:rPr>
            </w:pPr>
            <w:r>
              <w:rPr>
                <w:rFonts w:hint="eastAsia" w:ascii="宋体" w:hAnsi="宋体" w:cs="Times New Roman"/>
                <w:sz w:val="28"/>
                <w:szCs w:val="28"/>
              </w:rPr>
              <w:t>4把</w:t>
            </w:r>
          </w:p>
        </w:tc>
        <w:tc>
          <w:tcPr>
            <w:tcW w:w="2925" w:type="dxa"/>
            <w:vAlign w:val="center"/>
          </w:tcPr>
          <w:p>
            <w:pPr>
              <w:jc w:val="center"/>
              <w:rPr>
                <w:rFonts w:ascii="宋体" w:hAnsi="宋体" w:cs="Times New Roman"/>
                <w:sz w:val="28"/>
                <w:szCs w:val="28"/>
              </w:rPr>
            </w:pPr>
            <w:r>
              <w:rPr>
                <w:rFonts w:hint="eastAsia" w:ascii="宋体" w:hAnsi="宋体" w:cs="Times New Roman"/>
                <w:sz w:val="28"/>
                <w:szCs w:val="28"/>
              </w:rPr>
              <w:t>罐区旁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1000" w:type="dxa"/>
            <w:vAlign w:val="center"/>
          </w:tcPr>
          <w:p>
            <w:pPr>
              <w:jc w:val="center"/>
              <w:rPr>
                <w:rFonts w:ascii="宋体" w:hAnsi="宋体" w:cs="Times New Roman"/>
                <w:sz w:val="28"/>
                <w:szCs w:val="28"/>
              </w:rPr>
            </w:pPr>
            <w:r>
              <w:rPr>
                <w:rFonts w:hint="eastAsia" w:ascii="宋体" w:hAnsi="宋体" w:cs="Times New Roman"/>
                <w:sz w:val="28"/>
                <w:szCs w:val="28"/>
              </w:rPr>
              <w:t>7</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消防桶</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w:t>
            </w:r>
          </w:p>
        </w:tc>
        <w:tc>
          <w:tcPr>
            <w:tcW w:w="1276" w:type="dxa"/>
            <w:vAlign w:val="center"/>
          </w:tcPr>
          <w:p>
            <w:pPr>
              <w:jc w:val="center"/>
              <w:rPr>
                <w:rFonts w:ascii="宋体" w:hAnsi="宋体" w:cs="Times New Roman"/>
                <w:sz w:val="28"/>
                <w:szCs w:val="28"/>
              </w:rPr>
            </w:pPr>
            <w:r>
              <w:rPr>
                <w:rFonts w:hint="eastAsia" w:ascii="宋体" w:hAnsi="宋体" w:cs="Times New Roman"/>
                <w:sz w:val="28"/>
                <w:szCs w:val="28"/>
              </w:rPr>
              <w:t>4个</w:t>
            </w:r>
          </w:p>
        </w:tc>
        <w:tc>
          <w:tcPr>
            <w:tcW w:w="2925" w:type="dxa"/>
            <w:vAlign w:val="center"/>
          </w:tcPr>
          <w:p>
            <w:pPr>
              <w:jc w:val="center"/>
              <w:rPr>
                <w:rFonts w:ascii="宋体" w:hAnsi="宋体" w:cs="Times New Roman"/>
                <w:sz w:val="28"/>
                <w:szCs w:val="28"/>
              </w:rPr>
            </w:pPr>
            <w:r>
              <w:rPr>
                <w:rFonts w:hint="eastAsia" w:ascii="宋体" w:hAnsi="宋体" w:cs="Times New Roman"/>
                <w:sz w:val="28"/>
                <w:szCs w:val="28"/>
              </w:rPr>
              <w:t>罐区旁</w:t>
            </w:r>
          </w:p>
        </w:tc>
      </w:tr>
    </w:tbl>
    <w:p>
      <w:pPr>
        <w:rPr>
          <w:rFonts w:hint="eastAsia" w:ascii="Times New Roman" w:hAnsi="Times New Roman" w:cs="Times New Roman"/>
        </w:rPr>
      </w:pPr>
    </w:p>
    <w:p>
      <w:pPr>
        <w:rPr>
          <w:rFonts w:ascii="宋体"/>
          <w:sz w:val="28"/>
          <w:szCs w:val="28"/>
        </w:rPr>
      </w:pPr>
      <w:r>
        <w:rPr>
          <w:rFonts w:hint="eastAsia" w:ascii="宋体"/>
          <w:sz w:val="28"/>
          <w:szCs w:val="28"/>
        </w:rPr>
        <w:t xml:space="preserve"> </w:t>
      </w:r>
      <w:r>
        <w:rPr>
          <w:rFonts w:ascii="宋体"/>
          <w:sz w:val="28"/>
          <w:szCs w:val="28"/>
        </w:rPr>
        <w:t>日常运营过程该加油站应严格安全管理、落实责任，加油车辆熄火加油，站内禁止使用手机，禁止吸烟，杜绝引入火源，确保安全运营。</w:t>
      </w:r>
    </w:p>
    <w:p>
      <w:pPr>
        <w:ind w:firstLine="560"/>
        <w:rPr>
          <w:rFonts w:ascii="宋体"/>
          <w:sz w:val="28"/>
          <w:szCs w:val="28"/>
        </w:rPr>
      </w:pPr>
      <w:bookmarkStart w:id="24" w:name="_Toc343418973"/>
      <w:bookmarkStart w:id="25" w:name="_Toc343418774"/>
      <w:bookmarkStart w:id="26" w:name="_Toc316994223"/>
      <w:r>
        <w:rPr>
          <w:rFonts w:ascii="宋体"/>
          <w:sz w:val="28"/>
          <w:szCs w:val="28"/>
        </w:rPr>
        <w:t>3、劳动防护用品</w:t>
      </w:r>
      <w:bookmarkEnd w:id="24"/>
      <w:bookmarkEnd w:id="25"/>
      <w:bookmarkEnd w:id="26"/>
    </w:p>
    <w:p>
      <w:pPr>
        <w:ind w:firstLine="560"/>
        <w:rPr>
          <w:rFonts w:ascii="宋体"/>
          <w:sz w:val="28"/>
          <w:szCs w:val="28"/>
        </w:rPr>
      </w:pPr>
      <w:r>
        <w:rPr>
          <w:rFonts w:ascii="宋体"/>
          <w:sz w:val="28"/>
          <w:szCs w:val="28"/>
        </w:rPr>
        <w:t>该加油站已为从业人员定期派发劳保手套、胶鞋及防静电工作服，已建立发放记录。</w:t>
      </w:r>
    </w:p>
    <w:p>
      <w:pPr>
        <w:pStyle w:val="3"/>
        <w:widowControl/>
        <w:adjustRightInd w:val="0"/>
        <w:snapToGrid w:val="0"/>
        <w:spacing w:before="156" w:beforeLines="50" w:after="156" w:afterLines="50" w:line="240" w:lineRule="auto"/>
        <w:rPr>
          <w:rFonts w:ascii="黑体" w:cs="黑体"/>
          <w:bCs w:val="0"/>
          <w:sz w:val="28"/>
          <w:szCs w:val="28"/>
        </w:rPr>
      </w:pPr>
      <w:r>
        <w:rPr>
          <w:rFonts w:hint="eastAsia" w:ascii="黑体" w:cs="黑体"/>
          <w:bCs w:val="0"/>
          <w:sz w:val="28"/>
          <w:szCs w:val="28"/>
        </w:rPr>
        <w:t>4.2安全管理措施</w:t>
      </w:r>
      <w:bookmarkEnd w:id="14"/>
    </w:p>
    <w:p>
      <w:pPr>
        <w:pStyle w:val="4"/>
        <w:widowControl/>
        <w:adjustRightInd w:val="0"/>
        <w:snapToGrid w:val="0"/>
        <w:spacing w:before="156" w:beforeLines="50" w:after="156" w:afterLines="50" w:line="240" w:lineRule="auto"/>
        <w:rPr>
          <w:rFonts w:ascii="宋体" w:cs="宋体"/>
          <w:bCs w:val="0"/>
          <w:snapToGrid w:val="0"/>
          <w:kern w:val="0"/>
          <w:sz w:val="28"/>
          <w:szCs w:val="28"/>
        </w:rPr>
      </w:pPr>
      <w:bookmarkStart w:id="27" w:name="_Toc459043213"/>
      <w:r>
        <w:rPr>
          <w:rFonts w:hint="eastAsia" w:ascii="宋体" w:cs="宋体"/>
          <w:bCs w:val="0"/>
          <w:snapToGrid w:val="0"/>
          <w:kern w:val="0"/>
          <w:sz w:val="28"/>
          <w:szCs w:val="28"/>
        </w:rPr>
        <w:t>4</w:t>
      </w:r>
      <w:r>
        <w:rPr>
          <w:rFonts w:ascii="宋体" w:cs="宋体"/>
          <w:bCs w:val="0"/>
          <w:snapToGrid w:val="0"/>
          <w:kern w:val="0"/>
          <w:sz w:val="28"/>
          <w:szCs w:val="28"/>
        </w:rPr>
        <w:t>.</w:t>
      </w:r>
      <w:r>
        <w:rPr>
          <w:rFonts w:hint="eastAsia" w:ascii="宋体" w:cs="宋体"/>
          <w:bCs w:val="0"/>
          <w:snapToGrid w:val="0"/>
          <w:kern w:val="0"/>
          <w:sz w:val="28"/>
          <w:szCs w:val="28"/>
        </w:rPr>
        <w:t>2</w:t>
      </w:r>
      <w:r>
        <w:rPr>
          <w:rFonts w:ascii="宋体" w:cs="宋体"/>
          <w:bCs w:val="0"/>
          <w:snapToGrid w:val="0"/>
          <w:kern w:val="0"/>
          <w:sz w:val="28"/>
          <w:szCs w:val="28"/>
        </w:rPr>
        <w:t>.1安全管理制度、安全生产责任制及岗位操作规程</w:t>
      </w:r>
      <w:bookmarkEnd w:id="27"/>
    </w:p>
    <w:p>
      <w:pPr>
        <w:ind w:firstLine="560"/>
        <w:rPr>
          <w:rFonts w:ascii="宋体"/>
          <w:sz w:val="28"/>
          <w:szCs w:val="28"/>
        </w:rPr>
      </w:pPr>
      <w:r>
        <w:rPr>
          <w:rFonts w:ascii="宋体"/>
          <w:sz w:val="28"/>
          <w:szCs w:val="28"/>
        </w:rPr>
        <w:t>根据国家关于“加强劳动保护，改善劳动条件”的规定，为保护企业财产安全及职工生命安全，该加油站制定了安全管理制度、岗位操作规程及安全生产责任制，同时明确了各级各类人员的安全职责。</w:t>
      </w:r>
    </w:p>
    <w:p>
      <w:pPr>
        <w:pStyle w:val="4"/>
        <w:widowControl/>
        <w:adjustRightInd w:val="0"/>
        <w:snapToGrid w:val="0"/>
        <w:spacing w:before="156" w:beforeLines="50" w:after="156" w:afterLines="50" w:line="240" w:lineRule="auto"/>
        <w:rPr>
          <w:rFonts w:ascii="宋体" w:cs="宋体"/>
          <w:bCs w:val="0"/>
          <w:snapToGrid w:val="0"/>
          <w:kern w:val="0"/>
          <w:sz w:val="28"/>
          <w:szCs w:val="28"/>
        </w:rPr>
      </w:pPr>
      <w:bookmarkStart w:id="28" w:name="_Toc343418978"/>
      <w:bookmarkStart w:id="29" w:name="_Toc24302"/>
      <w:bookmarkStart w:id="30" w:name="_Toc316994228"/>
      <w:bookmarkStart w:id="31" w:name="_Toc459043214"/>
      <w:bookmarkStart w:id="32" w:name="_Toc6515"/>
      <w:bookmarkStart w:id="33" w:name="_Toc343418779"/>
      <w:r>
        <w:rPr>
          <w:rFonts w:hint="eastAsia" w:ascii="宋体" w:cs="宋体"/>
          <w:bCs w:val="0"/>
          <w:snapToGrid w:val="0"/>
          <w:kern w:val="0"/>
          <w:sz w:val="28"/>
          <w:szCs w:val="28"/>
        </w:rPr>
        <w:t>4</w:t>
      </w:r>
      <w:r>
        <w:rPr>
          <w:rFonts w:ascii="宋体" w:cs="宋体"/>
          <w:bCs w:val="0"/>
          <w:snapToGrid w:val="0"/>
          <w:kern w:val="0"/>
          <w:sz w:val="28"/>
          <w:szCs w:val="28"/>
        </w:rPr>
        <w:t>.</w:t>
      </w:r>
      <w:r>
        <w:rPr>
          <w:rFonts w:hint="eastAsia" w:ascii="宋体" w:cs="宋体"/>
          <w:bCs w:val="0"/>
          <w:snapToGrid w:val="0"/>
          <w:kern w:val="0"/>
          <w:sz w:val="28"/>
          <w:szCs w:val="28"/>
        </w:rPr>
        <w:t>2</w:t>
      </w:r>
      <w:r>
        <w:rPr>
          <w:rFonts w:ascii="宋体" w:cs="宋体"/>
          <w:bCs w:val="0"/>
          <w:snapToGrid w:val="0"/>
          <w:kern w:val="0"/>
          <w:sz w:val="28"/>
          <w:szCs w:val="28"/>
        </w:rPr>
        <w:t>.2安全管理组织</w:t>
      </w:r>
      <w:bookmarkEnd w:id="28"/>
      <w:bookmarkEnd w:id="29"/>
      <w:bookmarkEnd w:id="30"/>
      <w:bookmarkEnd w:id="31"/>
      <w:bookmarkEnd w:id="32"/>
      <w:bookmarkEnd w:id="33"/>
    </w:p>
    <w:p>
      <w:pPr>
        <w:ind w:firstLine="560"/>
        <w:rPr>
          <w:rFonts w:ascii="宋体"/>
          <w:sz w:val="28"/>
          <w:szCs w:val="28"/>
        </w:rPr>
      </w:pPr>
      <w:r>
        <w:rPr>
          <w:rFonts w:hint="eastAsia" w:ascii="宋体"/>
          <w:sz w:val="28"/>
          <w:szCs w:val="28"/>
        </w:rPr>
        <w:t>站长为</w:t>
      </w:r>
      <w:r>
        <w:rPr>
          <w:rFonts w:ascii="宋体"/>
          <w:sz w:val="28"/>
          <w:szCs w:val="28"/>
        </w:rPr>
        <w:t>安全</w:t>
      </w:r>
      <w:r>
        <w:rPr>
          <w:rFonts w:hint="eastAsia" w:ascii="宋体"/>
          <w:sz w:val="28"/>
          <w:szCs w:val="28"/>
        </w:rPr>
        <w:t>生产负责人</w:t>
      </w:r>
      <w:r>
        <w:rPr>
          <w:rFonts w:ascii="宋体"/>
          <w:sz w:val="28"/>
          <w:szCs w:val="28"/>
        </w:rPr>
        <w:t>，负责加油站的日常安全管理及运营工作。</w:t>
      </w:r>
    </w:p>
    <w:p>
      <w:pPr>
        <w:pStyle w:val="4"/>
        <w:widowControl/>
        <w:adjustRightInd w:val="0"/>
        <w:snapToGrid w:val="0"/>
        <w:spacing w:before="156" w:beforeLines="50" w:after="156" w:afterLines="50" w:line="240" w:lineRule="auto"/>
        <w:rPr>
          <w:rFonts w:ascii="宋体" w:cs="宋体"/>
          <w:bCs w:val="0"/>
          <w:snapToGrid w:val="0"/>
          <w:kern w:val="0"/>
          <w:sz w:val="28"/>
          <w:szCs w:val="28"/>
        </w:rPr>
      </w:pPr>
      <w:bookmarkStart w:id="34" w:name="_Toc343418981"/>
      <w:bookmarkStart w:id="35" w:name="_Toc2090"/>
      <w:bookmarkStart w:id="36" w:name="_Toc459043216"/>
      <w:bookmarkStart w:id="37" w:name="_Toc30658"/>
      <w:bookmarkStart w:id="38" w:name="_Toc316994230"/>
      <w:bookmarkStart w:id="39" w:name="_Toc343418782"/>
      <w:r>
        <w:rPr>
          <w:rFonts w:hint="eastAsia" w:ascii="宋体" w:cs="宋体"/>
          <w:bCs w:val="0"/>
          <w:snapToGrid w:val="0"/>
          <w:kern w:val="0"/>
          <w:sz w:val="28"/>
          <w:szCs w:val="28"/>
        </w:rPr>
        <w:t>4</w:t>
      </w:r>
      <w:r>
        <w:rPr>
          <w:rFonts w:ascii="宋体" w:cs="宋体"/>
          <w:bCs w:val="0"/>
          <w:snapToGrid w:val="0"/>
          <w:kern w:val="0"/>
          <w:sz w:val="28"/>
          <w:szCs w:val="28"/>
        </w:rPr>
        <w:t>.</w:t>
      </w:r>
      <w:r>
        <w:rPr>
          <w:rFonts w:hint="eastAsia" w:ascii="宋体" w:cs="宋体"/>
          <w:bCs w:val="0"/>
          <w:snapToGrid w:val="0"/>
          <w:kern w:val="0"/>
          <w:sz w:val="28"/>
          <w:szCs w:val="28"/>
        </w:rPr>
        <w:t>2</w:t>
      </w:r>
      <w:r>
        <w:rPr>
          <w:rFonts w:ascii="宋体" w:cs="宋体"/>
          <w:bCs w:val="0"/>
          <w:snapToGrid w:val="0"/>
          <w:kern w:val="0"/>
          <w:sz w:val="28"/>
          <w:szCs w:val="28"/>
        </w:rPr>
        <w:t>.</w:t>
      </w:r>
      <w:r>
        <w:rPr>
          <w:rFonts w:hint="eastAsia" w:ascii="宋体" w:cs="宋体"/>
          <w:bCs w:val="0"/>
          <w:snapToGrid w:val="0"/>
          <w:kern w:val="0"/>
          <w:sz w:val="28"/>
          <w:szCs w:val="28"/>
        </w:rPr>
        <w:t>3</w:t>
      </w:r>
      <w:r>
        <w:rPr>
          <w:rFonts w:ascii="宋体" w:cs="宋体"/>
          <w:bCs w:val="0"/>
          <w:snapToGrid w:val="0"/>
          <w:kern w:val="0"/>
          <w:sz w:val="28"/>
          <w:szCs w:val="28"/>
        </w:rPr>
        <w:t>工伤保险</w:t>
      </w:r>
      <w:bookmarkEnd w:id="34"/>
      <w:bookmarkEnd w:id="35"/>
      <w:bookmarkEnd w:id="36"/>
      <w:bookmarkEnd w:id="37"/>
      <w:bookmarkEnd w:id="38"/>
      <w:bookmarkEnd w:id="39"/>
    </w:p>
    <w:p>
      <w:pPr>
        <w:ind w:firstLine="560"/>
        <w:rPr>
          <w:rFonts w:ascii="宋体"/>
          <w:sz w:val="28"/>
          <w:szCs w:val="28"/>
        </w:rPr>
      </w:pPr>
      <w:r>
        <w:rPr>
          <w:rFonts w:ascii="宋体"/>
          <w:sz w:val="28"/>
          <w:szCs w:val="28"/>
        </w:rPr>
        <w:t>该加油站已为员工</w:t>
      </w:r>
      <w:r>
        <w:rPr>
          <w:rFonts w:hint="eastAsia" w:ascii="宋体"/>
          <w:sz w:val="28"/>
          <w:szCs w:val="28"/>
        </w:rPr>
        <w:t>购买</w:t>
      </w:r>
      <w:r>
        <w:rPr>
          <w:rFonts w:ascii="宋体"/>
          <w:sz w:val="28"/>
          <w:szCs w:val="28"/>
        </w:rPr>
        <w:t>了</w:t>
      </w:r>
      <w:r>
        <w:rPr>
          <w:rFonts w:hint="eastAsia" w:ascii="宋体"/>
          <w:sz w:val="28"/>
          <w:szCs w:val="28"/>
        </w:rPr>
        <w:t>意外</w:t>
      </w:r>
      <w:r>
        <w:rPr>
          <w:rFonts w:ascii="宋体"/>
          <w:sz w:val="28"/>
          <w:szCs w:val="28"/>
        </w:rPr>
        <w:t>伤害保险。</w:t>
      </w: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pStyle w:val="2"/>
        <w:widowControl/>
        <w:adjustRightInd w:val="0"/>
        <w:snapToGrid w:val="0"/>
        <w:spacing w:before="156" w:beforeLines="50" w:after="156" w:afterLines="50" w:line="240" w:lineRule="auto"/>
        <w:jc w:val="center"/>
        <w:rPr>
          <w:rFonts w:ascii="楷体" w:eastAsia="楷体" w:cs="楷体"/>
          <w:bCs w:val="0"/>
          <w:kern w:val="0"/>
          <w:sz w:val="32"/>
          <w:szCs w:val="32"/>
        </w:rPr>
      </w:pPr>
      <w:bookmarkStart w:id="40" w:name="_Toc12989"/>
      <w:r>
        <w:rPr>
          <w:rFonts w:hint="eastAsia" w:ascii="楷体" w:eastAsia="楷体" w:cs="楷体"/>
          <w:bCs w:val="0"/>
          <w:kern w:val="0"/>
          <w:sz w:val="32"/>
          <w:szCs w:val="32"/>
        </w:rPr>
        <w:t>5事故风险评估结论</w:t>
      </w:r>
      <w:bookmarkEnd w:id="40"/>
    </w:p>
    <w:p>
      <w:pPr>
        <w:spacing w:line="560" w:lineRule="exact"/>
        <w:ind w:firstLine="560" w:firstLineChars="200"/>
        <w:rPr>
          <w:rFonts w:ascii="宋体"/>
          <w:sz w:val="28"/>
          <w:szCs w:val="28"/>
        </w:rPr>
      </w:pPr>
      <w:r>
        <w:rPr>
          <w:rFonts w:hint="eastAsia" w:ascii="宋体"/>
          <w:sz w:val="28"/>
          <w:szCs w:val="28"/>
        </w:rPr>
        <w:t xml:space="preserve">通过上文的分析总结，仪陇县中弘川油能源有限责任公司城西加油站事故风险评估结论如下： </w:t>
      </w:r>
    </w:p>
    <w:p>
      <w:pPr>
        <w:spacing w:line="560" w:lineRule="exact"/>
        <w:ind w:firstLine="560" w:firstLineChars="200"/>
        <w:rPr>
          <w:rFonts w:ascii="宋体"/>
          <w:sz w:val="28"/>
          <w:szCs w:val="28"/>
        </w:rPr>
      </w:pPr>
      <w:r>
        <w:rPr>
          <w:rFonts w:hint="eastAsia" w:ascii="宋体"/>
          <w:sz w:val="28"/>
          <w:szCs w:val="28"/>
        </w:rPr>
        <w:t>（1）仪陇县中弘川油能源有限责任公司城西加油站</w:t>
      </w:r>
      <w:r>
        <w:rPr>
          <w:rFonts w:ascii="宋体"/>
          <w:sz w:val="28"/>
          <w:szCs w:val="28"/>
        </w:rPr>
        <w:t>存在的</w:t>
      </w:r>
      <w:r>
        <w:rPr>
          <w:rFonts w:hint="eastAsia" w:ascii="宋体"/>
          <w:sz w:val="28"/>
          <w:szCs w:val="28"/>
        </w:rPr>
        <w:t>事故伤害类型：火灾、爆炸、车辆伤害、机械伤害、触电、中毒和窒息，其中火灾、爆炸是本加油站的主要危险因素</w:t>
      </w:r>
    </w:p>
    <w:p>
      <w:pPr>
        <w:spacing w:line="560" w:lineRule="exact"/>
        <w:ind w:firstLine="560" w:firstLineChars="200"/>
        <w:rPr>
          <w:rFonts w:ascii="宋体"/>
          <w:sz w:val="28"/>
          <w:szCs w:val="28"/>
        </w:rPr>
      </w:pPr>
      <w:r>
        <w:rPr>
          <w:rFonts w:hint="eastAsia" w:ascii="宋体"/>
          <w:sz w:val="28"/>
          <w:szCs w:val="28"/>
        </w:rPr>
        <w:t>（2）仪陇县中弘川油能源有限责任公司城西加油站不构成危险化学品重大危险源。</w:t>
      </w:r>
    </w:p>
    <w:p>
      <w:pPr>
        <w:spacing w:line="560" w:lineRule="exact"/>
        <w:ind w:firstLine="560" w:firstLineChars="200"/>
        <w:rPr>
          <w:rFonts w:ascii="宋体"/>
          <w:sz w:val="28"/>
          <w:szCs w:val="28"/>
        </w:rPr>
      </w:pPr>
      <w:bookmarkStart w:id="41" w:name="_Toc376780507"/>
      <w:bookmarkStart w:id="42" w:name="_Toc22916"/>
      <w:bookmarkStart w:id="43" w:name="_Toc3952"/>
      <w:bookmarkStart w:id="44" w:name="_Toc352597007"/>
      <w:bookmarkStart w:id="45" w:name="_Toc15957"/>
      <w:bookmarkStart w:id="46" w:name="_Toc875"/>
      <w:bookmarkStart w:id="47" w:name="_Toc14858"/>
      <w:bookmarkStart w:id="48" w:name="_Toc258316908"/>
      <w:r>
        <w:rPr>
          <w:rFonts w:hint="eastAsia" w:ascii="宋体"/>
          <w:sz w:val="28"/>
          <w:szCs w:val="28"/>
        </w:rPr>
        <w:t>（3）</w:t>
      </w:r>
      <w:r>
        <w:rPr>
          <w:rFonts w:ascii="宋体"/>
          <w:sz w:val="28"/>
          <w:szCs w:val="28"/>
        </w:rPr>
        <w:t>固有危险程度</w:t>
      </w:r>
      <w:bookmarkEnd w:id="41"/>
      <w:bookmarkEnd w:id="42"/>
      <w:bookmarkEnd w:id="43"/>
      <w:bookmarkEnd w:id="44"/>
      <w:bookmarkEnd w:id="45"/>
      <w:bookmarkEnd w:id="46"/>
      <w:bookmarkEnd w:id="47"/>
      <w:r>
        <w:rPr>
          <w:rFonts w:ascii="宋体"/>
          <w:sz w:val="28"/>
          <w:szCs w:val="28"/>
        </w:rPr>
        <w:t>评估结果</w:t>
      </w:r>
      <w:r>
        <w:rPr>
          <w:rFonts w:hint="eastAsia" w:ascii="宋体"/>
          <w:sz w:val="28"/>
          <w:szCs w:val="28"/>
        </w:rPr>
        <w:t>:</w:t>
      </w:r>
      <w:r>
        <w:rPr>
          <w:rFonts w:ascii="宋体"/>
          <w:sz w:val="28"/>
          <w:szCs w:val="28"/>
        </w:rPr>
        <w:t>我</w:t>
      </w:r>
      <w:r>
        <w:rPr>
          <w:rFonts w:hint="eastAsia" w:ascii="宋体"/>
          <w:sz w:val="28"/>
          <w:szCs w:val="28"/>
        </w:rPr>
        <w:t>站加油区属于Ⅲ级［低度危害］危险单元，</w:t>
      </w:r>
      <w:r>
        <w:rPr>
          <w:rFonts w:ascii="宋体"/>
          <w:sz w:val="28"/>
          <w:szCs w:val="28"/>
        </w:rPr>
        <w:t>地埋</w:t>
      </w:r>
      <w:r>
        <w:rPr>
          <w:rFonts w:hint="eastAsia" w:ascii="宋体"/>
          <w:sz w:val="28"/>
          <w:szCs w:val="28"/>
        </w:rPr>
        <w:t>罐区属于Ⅱ级［</w:t>
      </w:r>
      <w:r>
        <w:rPr>
          <w:rFonts w:ascii="宋体"/>
          <w:sz w:val="28"/>
          <w:szCs w:val="28"/>
        </w:rPr>
        <w:t>中</w:t>
      </w:r>
      <w:r>
        <w:rPr>
          <w:rFonts w:hint="eastAsia" w:ascii="宋体"/>
          <w:sz w:val="28"/>
          <w:szCs w:val="28"/>
        </w:rPr>
        <w:t>度危害］危险单元。</w:t>
      </w:r>
    </w:p>
    <w:p>
      <w:pPr>
        <w:spacing w:line="560" w:lineRule="exact"/>
        <w:ind w:firstLine="560" w:firstLineChars="200"/>
        <w:rPr>
          <w:rFonts w:ascii="宋体"/>
          <w:sz w:val="28"/>
          <w:szCs w:val="28"/>
        </w:rPr>
      </w:pPr>
      <w:r>
        <w:rPr>
          <w:rFonts w:hint="eastAsia" w:ascii="宋体"/>
          <w:sz w:val="28"/>
          <w:szCs w:val="28"/>
        </w:rPr>
        <w:t>（4）</w:t>
      </w:r>
      <w:bookmarkEnd w:id="48"/>
      <w:r>
        <w:rPr>
          <w:rFonts w:hint="eastAsia" w:ascii="宋体"/>
          <w:sz w:val="28"/>
          <w:szCs w:val="28"/>
        </w:rPr>
        <w:t>池火灾事故评估结果：</w:t>
      </w:r>
    </w:p>
    <w:p>
      <w:pPr>
        <w:spacing w:line="560" w:lineRule="exact"/>
        <w:ind w:firstLine="560" w:firstLineChars="200"/>
        <w:rPr>
          <w:rFonts w:ascii="宋体"/>
          <w:sz w:val="28"/>
          <w:szCs w:val="28"/>
        </w:rPr>
      </w:pPr>
      <w:r>
        <w:rPr>
          <w:rFonts w:ascii="宋体"/>
          <w:sz w:val="28"/>
          <w:szCs w:val="28"/>
        </w:rPr>
        <w:t>参考国内外</w:t>
      </w:r>
      <w:r>
        <w:rPr>
          <w:rFonts w:hint="eastAsia" w:ascii="宋体"/>
          <w:sz w:val="28"/>
          <w:szCs w:val="28"/>
        </w:rPr>
        <w:t>同类型企业生产运营过程</w:t>
      </w:r>
      <w:r>
        <w:rPr>
          <w:rFonts w:ascii="宋体"/>
          <w:sz w:val="28"/>
          <w:szCs w:val="28"/>
        </w:rPr>
        <w:t>发生的事故案例，辨识、分析、预测该</w:t>
      </w:r>
      <w:r>
        <w:rPr>
          <w:rFonts w:hint="eastAsia" w:ascii="宋体"/>
          <w:sz w:val="28"/>
          <w:szCs w:val="28"/>
        </w:rPr>
        <w:t>新建</w:t>
      </w:r>
      <w:r>
        <w:rPr>
          <w:rFonts w:ascii="宋体"/>
          <w:sz w:val="28"/>
          <w:szCs w:val="28"/>
        </w:rPr>
        <w:t>汽车</w:t>
      </w:r>
      <w:r>
        <w:rPr>
          <w:rFonts w:hint="eastAsia" w:ascii="宋体"/>
          <w:sz w:val="28"/>
          <w:szCs w:val="28"/>
        </w:rPr>
        <w:t>加油站项目</w:t>
      </w:r>
      <w:r>
        <w:rPr>
          <w:rFonts w:ascii="宋体"/>
          <w:sz w:val="28"/>
          <w:szCs w:val="28"/>
        </w:rPr>
        <w:t>发生事故的可能性：</w:t>
      </w:r>
    </w:p>
    <w:p>
      <w:pPr>
        <w:spacing w:line="560" w:lineRule="exact"/>
        <w:ind w:firstLine="560" w:firstLineChars="200"/>
        <w:rPr>
          <w:rFonts w:ascii="宋体"/>
          <w:sz w:val="28"/>
          <w:szCs w:val="28"/>
        </w:rPr>
      </w:pPr>
      <w:r>
        <w:rPr>
          <w:rFonts w:ascii="宋体"/>
          <w:sz w:val="28"/>
          <w:szCs w:val="28"/>
        </w:rPr>
        <w:t>1</w:t>
      </w:r>
      <w:r>
        <w:rPr>
          <w:rFonts w:hint="eastAsia" w:ascii="宋体"/>
          <w:sz w:val="28"/>
          <w:szCs w:val="28"/>
        </w:rPr>
        <w:t>）</w:t>
      </w:r>
      <w:r>
        <w:rPr>
          <w:rFonts w:ascii="宋体"/>
          <w:sz w:val="28"/>
          <w:szCs w:val="28"/>
        </w:rPr>
        <w:t>易燃易爆危险化学品泄漏的可能性</w:t>
      </w:r>
    </w:p>
    <w:p>
      <w:pPr>
        <w:spacing w:line="560" w:lineRule="exact"/>
        <w:ind w:firstLine="560" w:firstLineChars="200"/>
        <w:rPr>
          <w:rFonts w:ascii="宋体"/>
          <w:sz w:val="28"/>
          <w:szCs w:val="28"/>
        </w:rPr>
      </w:pPr>
      <w:r>
        <w:rPr>
          <w:rFonts w:ascii="宋体"/>
          <w:sz w:val="28"/>
          <w:szCs w:val="28"/>
        </w:rPr>
        <w:t>卸油、储油、加油等</w:t>
      </w:r>
      <w:r>
        <w:rPr>
          <w:rFonts w:hint="eastAsia" w:ascii="宋体"/>
          <w:sz w:val="28"/>
          <w:szCs w:val="28"/>
        </w:rPr>
        <w:t>装置</w:t>
      </w:r>
      <w:r>
        <w:rPr>
          <w:rFonts w:ascii="宋体"/>
          <w:sz w:val="28"/>
          <w:szCs w:val="28"/>
        </w:rPr>
        <w:t>设施发生</w:t>
      </w:r>
      <w:r>
        <w:rPr>
          <w:rFonts w:hint="eastAsia" w:ascii="宋体"/>
          <w:sz w:val="28"/>
          <w:szCs w:val="28"/>
        </w:rPr>
        <w:t>破损、</w:t>
      </w:r>
      <w:r>
        <w:rPr>
          <w:rFonts w:ascii="宋体"/>
          <w:sz w:val="28"/>
          <w:szCs w:val="28"/>
        </w:rPr>
        <w:t>故障</w:t>
      </w:r>
      <w:r>
        <w:rPr>
          <w:rFonts w:hint="eastAsia" w:ascii="宋体"/>
          <w:sz w:val="28"/>
          <w:szCs w:val="28"/>
        </w:rPr>
        <w:t>造成</w:t>
      </w:r>
      <w:r>
        <w:rPr>
          <w:rFonts w:ascii="宋体"/>
          <w:sz w:val="28"/>
          <w:szCs w:val="28"/>
        </w:rPr>
        <w:t>危险品泄漏；</w:t>
      </w:r>
    </w:p>
    <w:p>
      <w:pPr>
        <w:spacing w:line="560" w:lineRule="exact"/>
        <w:ind w:firstLine="560" w:firstLineChars="200"/>
        <w:rPr>
          <w:rFonts w:ascii="宋体"/>
          <w:sz w:val="28"/>
          <w:szCs w:val="28"/>
        </w:rPr>
      </w:pPr>
      <w:r>
        <w:rPr>
          <w:rFonts w:ascii="宋体"/>
          <w:sz w:val="28"/>
          <w:szCs w:val="28"/>
        </w:rPr>
        <w:t>输油管线破损</w:t>
      </w:r>
      <w:r>
        <w:rPr>
          <w:rFonts w:hint="eastAsia" w:ascii="宋体"/>
          <w:sz w:val="28"/>
          <w:szCs w:val="28"/>
        </w:rPr>
        <w:t>造成</w:t>
      </w:r>
      <w:r>
        <w:rPr>
          <w:rFonts w:ascii="宋体"/>
          <w:sz w:val="28"/>
          <w:szCs w:val="28"/>
        </w:rPr>
        <w:t>危险品泄漏；</w:t>
      </w:r>
    </w:p>
    <w:p>
      <w:pPr>
        <w:spacing w:line="560" w:lineRule="exact"/>
        <w:ind w:firstLine="560" w:firstLineChars="200"/>
        <w:rPr>
          <w:rFonts w:ascii="宋体"/>
          <w:sz w:val="28"/>
          <w:szCs w:val="28"/>
        </w:rPr>
      </w:pPr>
      <w:r>
        <w:rPr>
          <w:rFonts w:ascii="宋体"/>
          <w:sz w:val="28"/>
          <w:szCs w:val="28"/>
        </w:rPr>
        <w:t>油罐</w:t>
      </w:r>
      <w:r>
        <w:rPr>
          <w:rFonts w:hint="eastAsia" w:ascii="宋体"/>
          <w:sz w:val="28"/>
          <w:szCs w:val="28"/>
        </w:rPr>
        <w:t>、</w:t>
      </w:r>
      <w:r>
        <w:rPr>
          <w:rFonts w:ascii="宋体"/>
          <w:sz w:val="28"/>
          <w:szCs w:val="28"/>
        </w:rPr>
        <w:t>输油管线等</w:t>
      </w:r>
      <w:r>
        <w:rPr>
          <w:rFonts w:hint="eastAsia" w:ascii="宋体"/>
          <w:sz w:val="28"/>
          <w:szCs w:val="28"/>
        </w:rPr>
        <w:t>装置</w:t>
      </w:r>
      <w:r>
        <w:rPr>
          <w:rFonts w:ascii="宋体"/>
          <w:sz w:val="28"/>
          <w:szCs w:val="28"/>
        </w:rPr>
        <w:t>设施破损、密封不严</w:t>
      </w:r>
      <w:r>
        <w:rPr>
          <w:rFonts w:hint="eastAsia" w:ascii="宋体"/>
          <w:sz w:val="28"/>
          <w:szCs w:val="28"/>
        </w:rPr>
        <w:t>造成</w:t>
      </w:r>
      <w:r>
        <w:rPr>
          <w:rFonts w:ascii="宋体"/>
          <w:sz w:val="28"/>
          <w:szCs w:val="28"/>
        </w:rPr>
        <w:t>危险品泄漏；</w:t>
      </w:r>
    </w:p>
    <w:p>
      <w:pPr>
        <w:spacing w:line="560" w:lineRule="exact"/>
        <w:ind w:firstLine="560" w:firstLineChars="200"/>
        <w:rPr>
          <w:rFonts w:ascii="宋体"/>
          <w:sz w:val="28"/>
          <w:szCs w:val="28"/>
        </w:rPr>
      </w:pPr>
      <w:r>
        <w:rPr>
          <w:rFonts w:ascii="宋体"/>
          <w:sz w:val="28"/>
          <w:szCs w:val="28"/>
        </w:rPr>
        <w:t>人为误操作造成危险物料泄漏。</w:t>
      </w:r>
    </w:p>
    <w:p>
      <w:pPr>
        <w:spacing w:line="560" w:lineRule="exact"/>
        <w:ind w:firstLine="560" w:firstLineChars="200"/>
        <w:rPr>
          <w:rFonts w:ascii="宋体"/>
          <w:sz w:val="28"/>
          <w:szCs w:val="28"/>
        </w:rPr>
      </w:pPr>
      <w:r>
        <w:rPr>
          <w:rFonts w:ascii="宋体"/>
          <w:sz w:val="28"/>
          <w:szCs w:val="28"/>
        </w:rPr>
        <w:t>2）具有火灾爆炸性的危险化学品作业场所</w:t>
      </w:r>
      <w:r>
        <w:rPr>
          <w:rFonts w:hint="eastAsia" w:ascii="宋体"/>
          <w:sz w:val="28"/>
          <w:szCs w:val="28"/>
        </w:rPr>
        <w:t>发生</w:t>
      </w:r>
      <w:r>
        <w:rPr>
          <w:rFonts w:ascii="宋体"/>
          <w:sz w:val="28"/>
          <w:szCs w:val="28"/>
        </w:rPr>
        <w:t>泄漏，造成火灾爆炸事故的条件及需要的时间</w:t>
      </w:r>
    </w:p>
    <w:p>
      <w:pPr>
        <w:spacing w:line="560" w:lineRule="exact"/>
        <w:ind w:firstLine="560" w:firstLineChars="200"/>
        <w:rPr>
          <w:rFonts w:ascii="宋体"/>
          <w:sz w:val="28"/>
          <w:szCs w:val="28"/>
        </w:rPr>
      </w:pPr>
      <w:r>
        <w:rPr>
          <w:rFonts w:ascii="宋体"/>
          <w:sz w:val="28"/>
          <w:szCs w:val="28"/>
        </w:rPr>
        <w:t>罐车卸油时，油品流速过快</w:t>
      </w:r>
      <w:r>
        <w:rPr>
          <w:rFonts w:hint="eastAsia" w:ascii="宋体"/>
          <w:sz w:val="28"/>
          <w:szCs w:val="28"/>
        </w:rPr>
        <w:t>，</w:t>
      </w:r>
      <w:r>
        <w:rPr>
          <w:rFonts w:ascii="宋体"/>
          <w:sz w:val="28"/>
          <w:szCs w:val="28"/>
        </w:rPr>
        <w:t>与管道摩擦产生静电；若未采用导除静电的耐油软管，罐车未采取可靠有效的接地装置，导致静电积聚，一旦放电能量超过油品蒸汽与空气混合的最低点燃能量时，可能发生火灾爆炸事故；</w:t>
      </w:r>
    </w:p>
    <w:p>
      <w:pPr>
        <w:spacing w:line="560" w:lineRule="exact"/>
        <w:ind w:firstLine="560" w:firstLineChars="200"/>
        <w:rPr>
          <w:rFonts w:ascii="宋体"/>
          <w:sz w:val="28"/>
          <w:szCs w:val="28"/>
        </w:rPr>
      </w:pPr>
      <w:r>
        <w:rPr>
          <w:rFonts w:ascii="宋体"/>
          <w:sz w:val="28"/>
          <w:szCs w:val="28"/>
        </w:rPr>
        <w:t>卸油过程若操作人员不严格遵守安全操作规程，违规操作导致油品泄漏、飞溅，遇火源发生火灾爆炸事故；</w:t>
      </w:r>
    </w:p>
    <w:p>
      <w:pPr>
        <w:spacing w:line="560" w:lineRule="exact"/>
        <w:ind w:firstLine="560" w:firstLineChars="200"/>
        <w:rPr>
          <w:rFonts w:ascii="宋体"/>
          <w:sz w:val="28"/>
          <w:szCs w:val="28"/>
        </w:rPr>
      </w:pPr>
      <w:r>
        <w:rPr>
          <w:rFonts w:ascii="宋体"/>
          <w:sz w:val="28"/>
          <w:szCs w:val="28"/>
        </w:rPr>
        <w:t>加油区内若产生静电火花或存在高热、明火等</w:t>
      </w:r>
      <w:r>
        <w:rPr>
          <w:rFonts w:hint="eastAsia" w:ascii="宋体"/>
          <w:sz w:val="28"/>
          <w:szCs w:val="28"/>
        </w:rPr>
        <w:t>引发能量</w:t>
      </w:r>
      <w:r>
        <w:rPr>
          <w:rFonts w:ascii="宋体"/>
          <w:sz w:val="28"/>
          <w:szCs w:val="28"/>
        </w:rPr>
        <w:t>，一旦遇到油蒸汽，可能发生火灾爆炸事故；</w:t>
      </w:r>
    </w:p>
    <w:p>
      <w:pPr>
        <w:spacing w:line="560" w:lineRule="exact"/>
        <w:ind w:firstLine="560" w:firstLineChars="200"/>
        <w:rPr>
          <w:rFonts w:ascii="宋体"/>
          <w:sz w:val="28"/>
          <w:szCs w:val="28"/>
        </w:rPr>
      </w:pPr>
      <w:r>
        <w:rPr>
          <w:rFonts w:ascii="宋体"/>
          <w:sz w:val="28"/>
          <w:szCs w:val="28"/>
        </w:rPr>
        <w:t>若地埋罐及输油管线制造焊接质量不高，未采用合理的防腐、防渗、防止上浮措施，受到外力破坏等情况，将造成罐体、管道破损，导致油品泄漏，进而引发火灾爆炸事故；此外，若罐体、管线、法兰盘等防静电接地不良或失效，形成静电积聚，易引发火灾爆炸事故；</w:t>
      </w:r>
    </w:p>
    <w:p>
      <w:pPr>
        <w:spacing w:line="560" w:lineRule="exact"/>
        <w:ind w:firstLine="560" w:firstLineChars="200"/>
        <w:rPr>
          <w:rFonts w:ascii="宋体"/>
          <w:sz w:val="28"/>
          <w:szCs w:val="28"/>
        </w:rPr>
      </w:pPr>
      <w:r>
        <w:rPr>
          <w:rFonts w:ascii="宋体"/>
          <w:sz w:val="28"/>
          <w:szCs w:val="28"/>
        </w:rPr>
        <w:t>法兰盘之间若未使用绝缘材料绝缘</w:t>
      </w:r>
      <w:r>
        <w:rPr>
          <w:rFonts w:hint="eastAsia" w:ascii="宋体"/>
          <w:sz w:val="28"/>
          <w:szCs w:val="28"/>
        </w:rPr>
        <w:t>、未进行防静电跨接</w:t>
      </w:r>
      <w:r>
        <w:rPr>
          <w:rFonts w:ascii="宋体"/>
          <w:sz w:val="28"/>
          <w:szCs w:val="28"/>
        </w:rPr>
        <w:t>，易产生静电，若跨接不良或失效，可能产生静电火花，导致火灾爆炸事故</w:t>
      </w:r>
      <w:r>
        <w:rPr>
          <w:rFonts w:hint="eastAsia" w:ascii="宋体"/>
          <w:sz w:val="28"/>
          <w:szCs w:val="28"/>
        </w:rPr>
        <w:t>；</w:t>
      </w:r>
    </w:p>
    <w:p>
      <w:pPr>
        <w:spacing w:line="560" w:lineRule="exact"/>
        <w:ind w:firstLine="560" w:firstLineChars="200"/>
        <w:rPr>
          <w:rFonts w:ascii="宋体"/>
          <w:sz w:val="28"/>
          <w:szCs w:val="28"/>
        </w:rPr>
      </w:pPr>
      <w:r>
        <w:rPr>
          <w:rFonts w:hint="eastAsia" w:ascii="宋体"/>
          <w:sz w:val="28"/>
          <w:szCs w:val="28"/>
        </w:rPr>
        <w:t>防雷击、接地保护装置选型安装不当或破损失效，接地电阻不符合要求，雷雨时节违规作业造成雷击伤亡事故；电气设备选型安装不当或绝缘、过载、短路等保护设施破损失效，电气设备、电气线路漏电，未正确使用绝缘防护用品等，造成人体接触带电设备发生触电事故，甚至造成设备烧毁、电气火灾事故；防静电保护装置选型安装不当或破损失效，未按要求导除静电，静电释放、电火花等导致火灾爆炸等事故；</w:t>
      </w:r>
      <w:r>
        <w:rPr>
          <w:rFonts w:ascii="宋体"/>
          <w:sz w:val="28"/>
          <w:szCs w:val="28"/>
        </w:rPr>
        <w:t>油泵</w:t>
      </w:r>
      <w:r>
        <w:rPr>
          <w:rFonts w:hint="eastAsia" w:ascii="宋体"/>
          <w:sz w:val="28"/>
          <w:szCs w:val="28"/>
        </w:rPr>
        <w:t>等设备运转过程，导致作业环境存在噪声、振动及辐射等职业病危害因素；</w:t>
      </w:r>
    </w:p>
    <w:p>
      <w:pPr>
        <w:ind w:firstLine="560"/>
        <w:rPr>
          <w:rFonts w:ascii="宋体"/>
          <w:sz w:val="28"/>
          <w:szCs w:val="28"/>
        </w:rPr>
        <w:sectPr>
          <w:pgSz w:w="11906" w:h="16838"/>
          <w:pgMar w:top="1440" w:right="1800" w:bottom="1440" w:left="1800" w:header="851" w:footer="992" w:gutter="0"/>
          <w:cols w:space="720" w:num="1"/>
          <w:docGrid w:type="lines" w:linePitch="312" w:charSpace="0"/>
        </w:sectPr>
      </w:pPr>
      <w:r>
        <w:rPr>
          <w:rFonts w:ascii="宋体"/>
          <w:sz w:val="28"/>
          <w:szCs w:val="28"/>
        </w:rPr>
        <w:t>因安全防护系统失效，可能使系统处于非正常状态，</w:t>
      </w:r>
      <w:r>
        <w:rPr>
          <w:rFonts w:hint="eastAsia" w:ascii="宋体"/>
          <w:sz w:val="28"/>
          <w:szCs w:val="28"/>
        </w:rPr>
        <w:t>超限超压运行，</w:t>
      </w:r>
      <w:r>
        <w:rPr>
          <w:rFonts w:ascii="宋体"/>
          <w:sz w:val="28"/>
          <w:szCs w:val="28"/>
        </w:rPr>
        <w:t>导致事故</w:t>
      </w:r>
      <w:r>
        <w:rPr>
          <w:rFonts w:hint="eastAsia" w:ascii="宋体"/>
          <w:sz w:val="28"/>
          <w:szCs w:val="28"/>
        </w:rPr>
        <w:t>发生</w:t>
      </w:r>
      <w:r>
        <w:rPr>
          <w:rFonts w:ascii="宋体"/>
          <w:sz w:val="28"/>
          <w:szCs w:val="28"/>
        </w:rPr>
        <w:t>。</w:t>
      </w:r>
    </w:p>
    <w:p>
      <w:pPr>
        <w:jc w:val="center"/>
        <w:rPr>
          <w:b/>
          <w:sz w:val="44"/>
          <w:szCs w:val="44"/>
        </w:rPr>
      </w:pPr>
    </w:p>
    <w:p>
      <w:pPr>
        <w:jc w:val="center"/>
        <w:rPr>
          <w:b/>
          <w:sz w:val="44"/>
          <w:szCs w:val="44"/>
        </w:rPr>
      </w:pPr>
    </w:p>
    <w:p>
      <w:pPr>
        <w:jc w:val="center"/>
        <w:rPr>
          <w:b/>
          <w:sz w:val="44"/>
          <w:szCs w:val="44"/>
        </w:rPr>
      </w:pPr>
    </w:p>
    <w:p>
      <w:pPr>
        <w:jc w:val="center"/>
        <w:rPr>
          <w:rFonts w:hint="eastAsia"/>
          <w:b/>
          <w:sz w:val="44"/>
          <w:szCs w:val="44"/>
        </w:rPr>
      </w:pPr>
      <w:r>
        <w:rPr>
          <w:rFonts w:hint="eastAsia"/>
          <w:b/>
          <w:sz w:val="44"/>
          <w:szCs w:val="44"/>
        </w:rPr>
        <w:t>仪陇县中弘川油能源有限责任公司</w:t>
      </w:r>
    </w:p>
    <w:p>
      <w:pPr>
        <w:jc w:val="center"/>
        <w:rPr>
          <w:b/>
          <w:sz w:val="44"/>
          <w:szCs w:val="44"/>
        </w:rPr>
      </w:pPr>
      <w:r>
        <w:rPr>
          <w:rFonts w:hint="eastAsia"/>
          <w:b/>
          <w:sz w:val="44"/>
          <w:szCs w:val="44"/>
        </w:rPr>
        <w:t>城西加油站</w:t>
      </w: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rFonts w:ascii="宋体"/>
          <w:b/>
          <w:sz w:val="52"/>
          <w:szCs w:val="52"/>
        </w:rPr>
      </w:pPr>
      <w:r>
        <w:rPr>
          <w:rFonts w:hint="eastAsia" w:ascii="宋体"/>
          <w:b/>
          <w:sz w:val="52"/>
          <w:szCs w:val="52"/>
        </w:rPr>
        <w:t>应急资源调查</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ascii="宋体"/>
          <w:sz w:val="32"/>
          <w:szCs w:val="32"/>
        </w:rPr>
      </w:pPr>
    </w:p>
    <w:p>
      <w:pPr>
        <w:jc w:val="center"/>
        <w:rPr>
          <w:rFonts w:ascii="宋体"/>
          <w:sz w:val="32"/>
          <w:szCs w:val="32"/>
        </w:rPr>
      </w:pPr>
    </w:p>
    <w:p>
      <w:pPr>
        <w:jc w:val="center"/>
        <w:rPr>
          <w:rFonts w:ascii="宋体"/>
          <w:sz w:val="32"/>
          <w:szCs w:val="32"/>
        </w:rPr>
      </w:pPr>
    </w:p>
    <w:p>
      <w:pPr>
        <w:jc w:val="center"/>
        <w:rPr>
          <w:rFonts w:ascii="宋体"/>
          <w:sz w:val="32"/>
          <w:szCs w:val="32"/>
        </w:rPr>
      </w:pPr>
      <w:r>
        <w:rPr>
          <w:rFonts w:hint="eastAsia" w:ascii="宋体"/>
          <w:sz w:val="32"/>
          <w:szCs w:val="32"/>
        </w:rPr>
        <w:t xml:space="preserve">仪陇县中弘川油能源有限责任公司城西加油站 </w:t>
      </w:r>
    </w:p>
    <w:p>
      <w:pPr>
        <w:jc w:val="center"/>
        <w:rPr>
          <w:rFonts w:ascii="宋体"/>
          <w:sz w:val="32"/>
          <w:szCs w:val="32"/>
        </w:rPr>
      </w:pPr>
      <w:r>
        <w:rPr>
          <w:rFonts w:hint="eastAsia" w:ascii="宋体"/>
          <w:sz w:val="32"/>
          <w:szCs w:val="32"/>
        </w:rPr>
        <w:t>编制日期：2017年7月15日</w:t>
      </w:r>
    </w:p>
    <w:p>
      <w:pPr>
        <w:jc w:val="center"/>
        <w:rPr>
          <w:rFonts w:ascii="宋体"/>
          <w:sz w:val="32"/>
          <w:szCs w:val="32"/>
        </w:rPr>
      </w:pPr>
    </w:p>
    <w:p>
      <w:pPr>
        <w:jc w:val="center"/>
        <w:rPr>
          <w:rFonts w:ascii="宋体"/>
          <w:sz w:val="32"/>
          <w:szCs w:val="32"/>
        </w:rPr>
      </w:pPr>
    </w:p>
    <w:p>
      <w:pPr>
        <w:pStyle w:val="2"/>
        <w:widowControl/>
        <w:adjustRightInd w:val="0"/>
        <w:snapToGrid w:val="0"/>
        <w:spacing w:before="156" w:beforeLines="50" w:after="156" w:afterLines="50" w:line="240" w:lineRule="auto"/>
        <w:jc w:val="center"/>
        <w:rPr>
          <w:rFonts w:ascii="楷体" w:eastAsia="楷体" w:cs="楷体"/>
          <w:bCs w:val="0"/>
          <w:kern w:val="0"/>
          <w:sz w:val="32"/>
          <w:szCs w:val="32"/>
        </w:rPr>
      </w:pPr>
      <w:bookmarkStart w:id="49" w:name="_Toc18108"/>
      <w:r>
        <w:rPr>
          <w:rFonts w:ascii="楷体" w:eastAsia="楷体" w:cs="楷体"/>
          <w:bCs w:val="0"/>
          <w:kern w:val="0"/>
          <w:sz w:val="32"/>
          <w:szCs w:val="32"/>
        </w:rPr>
        <w:t>1</w:t>
      </w:r>
      <w:r>
        <w:rPr>
          <w:rFonts w:hint="eastAsia" w:ascii="楷体" w:eastAsia="楷体" w:cs="楷体"/>
          <w:bCs w:val="0"/>
          <w:kern w:val="0"/>
          <w:sz w:val="32"/>
          <w:szCs w:val="32"/>
        </w:rPr>
        <w:t xml:space="preserve"> </w:t>
      </w:r>
      <w:r>
        <w:rPr>
          <w:rFonts w:ascii="楷体" w:eastAsia="楷体" w:cs="楷体"/>
          <w:bCs w:val="0"/>
          <w:kern w:val="0"/>
          <w:sz w:val="32"/>
          <w:szCs w:val="32"/>
        </w:rPr>
        <w:t>应急资源调查工作的目的</w:t>
      </w:r>
      <w:bookmarkEnd w:id="49"/>
    </w:p>
    <w:p>
      <w:pPr>
        <w:spacing w:line="560" w:lineRule="exact"/>
        <w:ind w:firstLine="560" w:firstLineChars="200"/>
        <w:rPr>
          <w:rFonts w:ascii="宋体"/>
          <w:sz w:val="28"/>
          <w:szCs w:val="28"/>
        </w:rPr>
      </w:pPr>
      <w:r>
        <w:rPr>
          <w:rFonts w:hint="eastAsia" w:ascii="宋体"/>
          <w:sz w:val="28"/>
          <w:szCs w:val="28"/>
        </w:rPr>
        <w:t>1）</w:t>
      </w:r>
      <w:r>
        <w:rPr>
          <w:rFonts w:ascii="宋体"/>
          <w:sz w:val="28"/>
          <w:szCs w:val="28"/>
        </w:rPr>
        <w:t>在储存</w:t>
      </w:r>
      <w:r>
        <w:rPr>
          <w:rFonts w:hint="eastAsia" w:ascii="宋体"/>
          <w:sz w:val="28"/>
          <w:szCs w:val="28"/>
        </w:rPr>
        <w:t>使用</w:t>
      </w:r>
      <w:r>
        <w:rPr>
          <w:rFonts w:ascii="宋体"/>
          <w:sz w:val="28"/>
          <w:szCs w:val="28"/>
        </w:rPr>
        <w:t>有可能发生事故，一旦发生事故，造成惨重的生命、财产损失和环境破坏。由于自然或人为、技术等原因，当事故或灾害不可能完全避免的时候，建立应急救援体系，组织及时有效的应急救援行动，已成为抵御事故风险或控制灾害蔓延、降低危害后果的关键，甚至是惟一手段。</w:t>
      </w:r>
    </w:p>
    <w:p>
      <w:pPr>
        <w:spacing w:line="560" w:lineRule="exact"/>
        <w:ind w:firstLine="560" w:firstLineChars="200"/>
        <w:rPr>
          <w:rFonts w:ascii="宋体"/>
          <w:sz w:val="28"/>
          <w:szCs w:val="28"/>
        </w:rPr>
      </w:pPr>
      <w:r>
        <w:rPr>
          <w:rFonts w:hint="eastAsia" w:ascii="宋体"/>
          <w:sz w:val="28"/>
          <w:szCs w:val="28"/>
        </w:rPr>
        <w:t>2）</w:t>
      </w:r>
      <w:r>
        <w:rPr>
          <w:rFonts w:ascii="宋体"/>
          <w:sz w:val="28"/>
          <w:szCs w:val="28"/>
        </w:rPr>
        <w:t>预防和减少事故的发生，控制、减轻和消除事故引起的严重社会危害，规范事故应对活动，保护人民生命财产安全，维护国家安全、公共安全、环境安全和社会秩序。</w:t>
      </w:r>
    </w:p>
    <w:p>
      <w:pPr>
        <w:spacing w:line="560" w:lineRule="exact"/>
        <w:ind w:firstLine="560" w:firstLineChars="200"/>
        <w:rPr>
          <w:rFonts w:ascii="宋体"/>
          <w:sz w:val="28"/>
          <w:szCs w:val="28"/>
        </w:rPr>
      </w:pPr>
      <w:r>
        <w:rPr>
          <w:rFonts w:hint="eastAsia" w:ascii="宋体"/>
          <w:sz w:val="28"/>
          <w:szCs w:val="28"/>
        </w:rPr>
        <w:t>3）在使用时发生事故后能迅速、有序有效地开展应急处置行动，阻止和控制污染物向周边环境的无序排放。</w:t>
      </w:r>
    </w:p>
    <w:p/>
    <w:p/>
    <w:p/>
    <w:p/>
    <w:p/>
    <w:p/>
    <w:p/>
    <w:p/>
    <w:p/>
    <w:p/>
    <w:p/>
    <w:p/>
    <w:p/>
    <w:p/>
    <w:p/>
    <w:p/>
    <w:p/>
    <w:p/>
    <w:p/>
    <w:p>
      <w:pPr>
        <w:rPr>
          <w:rFonts w:hint="eastAsia"/>
        </w:rPr>
      </w:pPr>
    </w:p>
    <w:p>
      <w:pPr>
        <w:rPr>
          <w:rFonts w:hint="eastAsia"/>
        </w:rPr>
      </w:pPr>
    </w:p>
    <w:p>
      <w:pPr>
        <w:rPr>
          <w:rFonts w:hint="eastAsia"/>
        </w:rPr>
      </w:pPr>
    </w:p>
    <w:p>
      <w:pPr>
        <w:rPr>
          <w:rFonts w:hint="eastAsia"/>
        </w:rPr>
      </w:pPr>
    </w:p>
    <w:p>
      <w:pPr>
        <w:rPr>
          <w:rFonts w:hint="eastAsia"/>
        </w:rPr>
      </w:pPr>
    </w:p>
    <w:p/>
    <w:p>
      <w:pPr>
        <w:pStyle w:val="2"/>
        <w:widowControl/>
        <w:adjustRightInd w:val="0"/>
        <w:snapToGrid w:val="0"/>
        <w:spacing w:before="156" w:beforeLines="50" w:after="156" w:afterLines="50" w:line="240" w:lineRule="auto"/>
        <w:jc w:val="center"/>
        <w:rPr>
          <w:rFonts w:ascii="楷体" w:eastAsia="楷体" w:cs="楷体"/>
          <w:bCs w:val="0"/>
          <w:kern w:val="0"/>
          <w:sz w:val="32"/>
          <w:szCs w:val="32"/>
        </w:rPr>
      </w:pPr>
      <w:bookmarkStart w:id="50" w:name="_Toc600"/>
      <w:r>
        <w:rPr>
          <w:rFonts w:ascii="楷体" w:eastAsia="楷体" w:cs="楷体"/>
          <w:bCs w:val="0"/>
          <w:kern w:val="0"/>
          <w:sz w:val="32"/>
          <w:szCs w:val="32"/>
        </w:rPr>
        <w:t>2</w:t>
      </w:r>
      <w:r>
        <w:rPr>
          <w:rFonts w:hint="eastAsia" w:ascii="楷体" w:eastAsia="楷体" w:cs="楷体"/>
          <w:bCs w:val="0"/>
          <w:kern w:val="0"/>
          <w:sz w:val="32"/>
          <w:szCs w:val="32"/>
        </w:rPr>
        <w:t xml:space="preserve"> </w:t>
      </w:r>
      <w:r>
        <w:rPr>
          <w:rFonts w:ascii="楷体" w:eastAsia="楷体" w:cs="楷体"/>
          <w:bCs w:val="0"/>
          <w:kern w:val="0"/>
          <w:sz w:val="32"/>
          <w:szCs w:val="32"/>
        </w:rPr>
        <w:t>公司应急救援工作的开展情况</w:t>
      </w:r>
      <w:bookmarkEnd w:id="50"/>
    </w:p>
    <w:p>
      <w:pPr>
        <w:pStyle w:val="3"/>
        <w:widowControl/>
        <w:adjustRightInd w:val="0"/>
        <w:snapToGrid w:val="0"/>
        <w:spacing w:before="156" w:beforeLines="50" w:after="156" w:afterLines="50" w:line="240" w:lineRule="auto"/>
        <w:rPr>
          <w:rFonts w:ascii="黑体" w:cs="黑体"/>
          <w:bCs w:val="0"/>
          <w:sz w:val="28"/>
          <w:szCs w:val="28"/>
        </w:rPr>
      </w:pPr>
      <w:bookmarkStart w:id="51" w:name="_Toc28765"/>
      <w:r>
        <w:rPr>
          <w:rFonts w:ascii="黑体" w:cs="黑体"/>
          <w:bCs w:val="0"/>
          <w:sz w:val="28"/>
          <w:szCs w:val="28"/>
        </w:rPr>
        <w:t>2.1</w:t>
      </w:r>
      <w:r>
        <w:rPr>
          <w:rFonts w:hint="eastAsia" w:ascii="黑体" w:cs="黑体"/>
          <w:bCs w:val="0"/>
          <w:sz w:val="28"/>
          <w:szCs w:val="28"/>
        </w:rPr>
        <w:t xml:space="preserve"> </w:t>
      </w:r>
      <w:r>
        <w:rPr>
          <w:rFonts w:ascii="黑体" w:cs="黑体"/>
          <w:bCs w:val="0"/>
          <w:sz w:val="28"/>
          <w:szCs w:val="28"/>
        </w:rPr>
        <w:t>应急预案</w:t>
      </w:r>
      <w:bookmarkEnd w:id="51"/>
    </w:p>
    <w:p>
      <w:pPr>
        <w:spacing w:line="560" w:lineRule="exact"/>
        <w:ind w:firstLine="560" w:firstLineChars="200"/>
        <w:rPr>
          <w:rFonts w:ascii="宋体"/>
          <w:sz w:val="28"/>
          <w:szCs w:val="28"/>
        </w:rPr>
      </w:pPr>
      <w:r>
        <w:rPr>
          <w:rFonts w:hint="eastAsia" w:ascii="宋体"/>
          <w:sz w:val="28"/>
          <w:szCs w:val="28"/>
        </w:rPr>
        <w:t>我站</w:t>
      </w:r>
      <w:r>
        <w:rPr>
          <w:rFonts w:ascii="宋体"/>
          <w:sz w:val="28"/>
          <w:szCs w:val="28"/>
        </w:rPr>
        <w:t>成立了应急预案编制小组，为我站安全应急救援工作提供了有力的技术支持和专业指导。</w:t>
      </w:r>
    </w:p>
    <w:p>
      <w:pPr>
        <w:pStyle w:val="3"/>
        <w:widowControl/>
        <w:adjustRightInd w:val="0"/>
        <w:snapToGrid w:val="0"/>
        <w:spacing w:before="156" w:beforeLines="50" w:after="156" w:afterLines="50" w:line="240" w:lineRule="auto"/>
        <w:rPr>
          <w:rFonts w:ascii="黑体" w:cs="黑体"/>
          <w:bCs w:val="0"/>
          <w:sz w:val="28"/>
          <w:szCs w:val="28"/>
        </w:rPr>
      </w:pPr>
      <w:bookmarkStart w:id="52" w:name="_Toc15859"/>
      <w:r>
        <w:rPr>
          <w:rFonts w:ascii="黑体" w:cs="黑体"/>
          <w:bCs w:val="0"/>
          <w:sz w:val="28"/>
          <w:szCs w:val="28"/>
        </w:rPr>
        <w:t>2.</w:t>
      </w:r>
      <w:r>
        <w:rPr>
          <w:rFonts w:hint="eastAsia" w:ascii="黑体" w:cs="黑体"/>
          <w:bCs w:val="0"/>
          <w:sz w:val="28"/>
          <w:szCs w:val="28"/>
        </w:rPr>
        <w:t xml:space="preserve">2 </w:t>
      </w:r>
      <w:r>
        <w:rPr>
          <w:rFonts w:ascii="黑体" w:cs="黑体"/>
          <w:bCs w:val="0"/>
          <w:sz w:val="28"/>
          <w:szCs w:val="28"/>
        </w:rPr>
        <w:t>资金投入</w:t>
      </w:r>
      <w:bookmarkEnd w:id="52"/>
    </w:p>
    <w:p>
      <w:pPr>
        <w:spacing w:line="560" w:lineRule="exact"/>
        <w:ind w:firstLine="560" w:firstLineChars="200"/>
        <w:rPr>
          <w:rFonts w:ascii="宋体"/>
          <w:sz w:val="28"/>
          <w:szCs w:val="28"/>
        </w:rPr>
      </w:pPr>
      <w:r>
        <w:rPr>
          <w:rFonts w:ascii="宋体"/>
          <w:sz w:val="28"/>
          <w:szCs w:val="28"/>
        </w:rPr>
        <w:t>201</w:t>
      </w:r>
      <w:r>
        <w:rPr>
          <w:rFonts w:hint="eastAsia" w:ascii="宋体"/>
          <w:sz w:val="28"/>
          <w:szCs w:val="28"/>
        </w:rPr>
        <w:t>7</w:t>
      </w:r>
      <w:r>
        <w:rPr>
          <w:rFonts w:ascii="宋体"/>
          <w:sz w:val="28"/>
          <w:szCs w:val="28"/>
        </w:rPr>
        <w:t>年</w:t>
      </w:r>
      <w:r>
        <w:rPr>
          <w:rFonts w:hint="eastAsia" w:ascii="宋体"/>
          <w:sz w:val="28"/>
          <w:szCs w:val="28"/>
        </w:rPr>
        <w:t>仪陇县中弘川油能源有限责任公司城西加油站</w:t>
      </w:r>
      <w:r>
        <w:rPr>
          <w:rFonts w:ascii="宋体"/>
          <w:sz w:val="28"/>
          <w:szCs w:val="28"/>
        </w:rPr>
        <w:t>投资</w:t>
      </w:r>
      <w:r>
        <w:rPr>
          <w:rFonts w:hint="eastAsia" w:ascii="宋体"/>
          <w:sz w:val="28"/>
          <w:szCs w:val="28"/>
        </w:rPr>
        <w:t>1.5</w:t>
      </w:r>
      <w:r>
        <w:rPr>
          <w:rFonts w:ascii="宋体"/>
          <w:sz w:val="28"/>
          <w:szCs w:val="28"/>
        </w:rPr>
        <w:t>万元，对部分应急救援物资进行更换。</w:t>
      </w:r>
    </w:p>
    <w:p>
      <w:pPr>
        <w:pStyle w:val="3"/>
        <w:widowControl/>
        <w:adjustRightInd w:val="0"/>
        <w:snapToGrid w:val="0"/>
        <w:spacing w:before="156" w:beforeLines="50" w:after="156" w:afterLines="50" w:line="240" w:lineRule="auto"/>
        <w:rPr>
          <w:rFonts w:ascii="黑体" w:cs="黑体"/>
          <w:bCs w:val="0"/>
          <w:sz w:val="28"/>
          <w:szCs w:val="28"/>
        </w:rPr>
      </w:pPr>
      <w:bookmarkStart w:id="53" w:name="_Toc24495"/>
      <w:r>
        <w:rPr>
          <w:rFonts w:ascii="黑体" w:cs="黑体"/>
          <w:bCs w:val="0"/>
          <w:sz w:val="28"/>
          <w:szCs w:val="28"/>
        </w:rPr>
        <w:t>2.</w:t>
      </w:r>
      <w:r>
        <w:rPr>
          <w:rFonts w:hint="eastAsia" w:ascii="黑体" w:cs="黑体"/>
          <w:bCs w:val="0"/>
          <w:sz w:val="28"/>
          <w:szCs w:val="28"/>
        </w:rPr>
        <w:t xml:space="preserve">3 </w:t>
      </w:r>
      <w:r>
        <w:rPr>
          <w:rFonts w:ascii="黑体" w:cs="黑体"/>
          <w:bCs w:val="0"/>
          <w:sz w:val="28"/>
          <w:szCs w:val="28"/>
        </w:rPr>
        <w:t>应急救援演练</w:t>
      </w:r>
      <w:bookmarkEnd w:id="53"/>
    </w:p>
    <w:p>
      <w:pPr>
        <w:spacing w:line="560" w:lineRule="exact"/>
        <w:ind w:firstLine="560" w:firstLineChars="200"/>
        <w:rPr>
          <w:rFonts w:ascii="宋体"/>
          <w:sz w:val="28"/>
          <w:szCs w:val="28"/>
        </w:rPr>
      </w:pPr>
      <w:r>
        <w:rPr>
          <w:rFonts w:ascii="宋体"/>
          <w:sz w:val="28"/>
          <w:szCs w:val="28"/>
        </w:rPr>
        <w:t>为了提高应对事故的处置能力，经常性组织演练活动，处置突发安全事故的演练活动。</w:t>
      </w:r>
    </w:p>
    <w:p>
      <w:pPr>
        <w:pStyle w:val="3"/>
        <w:widowControl/>
        <w:adjustRightInd w:val="0"/>
        <w:snapToGrid w:val="0"/>
        <w:spacing w:before="156" w:beforeLines="50" w:after="156" w:afterLines="50" w:line="240" w:lineRule="auto"/>
        <w:rPr>
          <w:rFonts w:ascii="黑体" w:cs="黑体"/>
          <w:bCs w:val="0"/>
          <w:sz w:val="28"/>
          <w:szCs w:val="28"/>
        </w:rPr>
      </w:pPr>
      <w:bookmarkStart w:id="54" w:name="_Toc9902"/>
      <w:r>
        <w:rPr>
          <w:rFonts w:ascii="黑体" w:cs="黑体"/>
          <w:bCs w:val="0"/>
          <w:sz w:val="28"/>
          <w:szCs w:val="28"/>
        </w:rPr>
        <w:t>2.</w:t>
      </w:r>
      <w:r>
        <w:rPr>
          <w:rFonts w:hint="eastAsia" w:ascii="黑体" w:cs="黑体"/>
          <w:bCs w:val="0"/>
          <w:sz w:val="28"/>
          <w:szCs w:val="28"/>
        </w:rPr>
        <w:t xml:space="preserve">4 </w:t>
      </w:r>
      <w:r>
        <w:rPr>
          <w:rFonts w:ascii="黑体" w:cs="黑体"/>
          <w:bCs w:val="0"/>
          <w:sz w:val="28"/>
          <w:szCs w:val="28"/>
        </w:rPr>
        <w:t>应急知识的宣传和教育培训</w:t>
      </w:r>
      <w:bookmarkEnd w:id="54"/>
    </w:p>
    <w:p>
      <w:pPr>
        <w:ind w:firstLine="560"/>
        <w:rPr>
          <w:rFonts w:ascii="宋体"/>
          <w:sz w:val="28"/>
          <w:szCs w:val="28"/>
        </w:rPr>
      </w:pPr>
      <w:r>
        <w:rPr>
          <w:rFonts w:ascii="宋体"/>
          <w:sz w:val="28"/>
          <w:szCs w:val="28"/>
        </w:rPr>
        <w:t>为切实提高员工的应急意识和应急能力，加强对安全知识宣传及教育培训工作，规定每年六月安全生产月活动期间，都要以培训、板报、季度安全大检查和考试等形式面向全体员工宣传普及应急、预防、避险、自救、互救、减灾等知识，努力提高员工应对各种事故的综合素质，为应急管理工作顺利开展营造良好的氛围。</w:t>
      </w: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hint="eastAsia" w:ascii="宋体"/>
          <w:sz w:val="28"/>
          <w:szCs w:val="28"/>
        </w:rPr>
      </w:pPr>
    </w:p>
    <w:p>
      <w:pPr>
        <w:rPr>
          <w:rFonts w:hint="eastAsia" w:ascii="宋体"/>
          <w:sz w:val="28"/>
          <w:szCs w:val="28"/>
        </w:rPr>
      </w:pPr>
    </w:p>
    <w:p>
      <w:pPr>
        <w:rPr>
          <w:rFonts w:ascii="宋体"/>
          <w:sz w:val="28"/>
          <w:szCs w:val="28"/>
        </w:rPr>
      </w:pPr>
    </w:p>
    <w:p>
      <w:pPr>
        <w:pStyle w:val="2"/>
        <w:widowControl/>
        <w:adjustRightInd w:val="0"/>
        <w:snapToGrid w:val="0"/>
        <w:spacing w:before="156" w:beforeLines="50" w:after="156" w:afterLines="50" w:line="240" w:lineRule="auto"/>
        <w:jc w:val="center"/>
        <w:rPr>
          <w:rFonts w:ascii="楷体" w:eastAsia="楷体" w:cs="楷体"/>
          <w:bCs w:val="0"/>
          <w:kern w:val="0"/>
          <w:sz w:val="32"/>
          <w:szCs w:val="32"/>
        </w:rPr>
      </w:pPr>
      <w:bookmarkStart w:id="55" w:name="_Toc16408"/>
      <w:r>
        <w:rPr>
          <w:rFonts w:hint="eastAsia" w:ascii="楷体" w:eastAsia="楷体" w:cs="楷体"/>
          <w:bCs w:val="0"/>
          <w:kern w:val="0"/>
          <w:sz w:val="32"/>
          <w:szCs w:val="32"/>
        </w:rPr>
        <w:t>3本单位第一时间可以调用的应急资源状况</w:t>
      </w:r>
      <w:bookmarkEnd w:id="55"/>
    </w:p>
    <w:p>
      <w:pPr>
        <w:pStyle w:val="3"/>
        <w:widowControl/>
        <w:adjustRightInd w:val="0"/>
        <w:snapToGrid w:val="0"/>
        <w:spacing w:before="156" w:beforeLines="50" w:after="156" w:afterLines="50" w:line="240" w:lineRule="auto"/>
        <w:rPr>
          <w:rFonts w:ascii="黑体" w:cs="黑体"/>
          <w:bCs w:val="0"/>
          <w:sz w:val="28"/>
          <w:szCs w:val="28"/>
        </w:rPr>
      </w:pPr>
      <w:bookmarkStart w:id="56" w:name="_Toc18475"/>
      <w:r>
        <w:rPr>
          <w:rFonts w:hint="eastAsia" w:ascii="黑体" w:cs="黑体"/>
          <w:bCs w:val="0"/>
          <w:sz w:val="28"/>
          <w:szCs w:val="28"/>
        </w:rPr>
        <w:t>3</w:t>
      </w:r>
      <w:r>
        <w:rPr>
          <w:rFonts w:ascii="黑体" w:cs="黑体"/>
          <w:bCs w:val="0"/>
          <w:sz w:val="28"/>
          <w:szCs w:val="28"/>
        </w:rPr>
        <w:t>.</w:t>
      </w:r>
      <w:r>
        <w:rPr>
          <w:rFonts w:hint="eastAsia" w:ascii="黑体" w:cs="黑体"/>
          <w:bCs w:val="0"/>
          <w:sz w:val="28"/>
          <w:szCs w:val="28"/>
        </w:rPr>
        <w:t>1</w:t>
      </w:r>
      <w:r>
        <w:rPr>
          <w:rFonts w:ascii="黑体" w:cs="黑体"/>
          <w:bCs w:val="0"/>
          <w:sz w:val="28"/>
          <w:szCs w:val="28"/>
        </w:rPr>
        <w:t>应急物资装备保障</w:t>
      </w:r>
      <w:bookmarkEnd w:id="56"/>
    </w:p>
    <w:p>
      <w:pPr>
        <w:adjustRightInd w:val="0"/>
        <w:snapToGrid w:val="0"/>
        <w:spacing w:before="156" w:beforeLines="50" w:after="156" w:afterLines="50"/>
        <w:jc w:val="center"/>
        <w:rPr>
          <w:rFonts w:ascii="黑体" w:eastAsia="黑体"/>
          <w:b/>
          <w:sz w:val="24"/>
        </w:rPr>
      </w:pPr>
      <w:r>
        <w:rPr>
          <w:rFonts w:ascii="黑体" w:eastAsia="黑体"/>
          <w:b/>
          <w:sz w:val="24"/>
        </w:rPr>
        <w:t>表</w:t>
      </w:r>
      <w:r>
        <w:rPr>
          <w:rFonts w:hint="eastAsia" w:ascii="黑体" w:eastAsia="黑体"/>
          <w:b/>
          <w:sz w:val="24"/>
        </w:rPr>
        <w:t xml:space="preserve">3-1 </w:t>
      </w:r>
      <w:r>
        <w:rPr>
          <w:rFonts w:ascii="黑体" w:eastAsia="黑体"/>
          <w:b/>
          <w:sz w:val="24"/>
        </w:rPr>
        <w:t>应急设施</w:t>
      </w:r>
    </w:p>
    <w:tbl>
      <w:tblPr>
        <w:tblStyle w:val="8"/>
        <w:tblW w:w="9453" w:type="dxa"/>
        <w:jc w:val="center"/>
        <w:tblInd w:w="1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2126"/>
        <w:gridCol w:w="2126"/>
        <w:gridCol w:w="1276"/>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Align w:val="center"/>
          </w:tcPr>
          <w:p>
            <w:pPr>
              <w:jc w:val="center"/>
              <w:rPr>
                <w:rFonts w:ascii="宋体" w:hAnsi="宋体" w:cs="Times New Roman"/>
                <w:sz w:val="28"/>
                <w:szCs w:val="28"/>
              </w:rPr>
            </w:pPr>
            <w:r>
              <w:rPr>
                <w:rFonts w:hint="eastAsia" w:ascii="宋体" w:hAnsi="宋体" w:cs="Times New Roman"/>
                <w:sz w:val="28"/>
                <w:szCs w:val="28"/>
              </w:rPr>
              <w:t>序号</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名称</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型号</w:t>
            </w:r>
          </w:p>
        </w:tc>
        <w:tc>
          <w:tcPr>
            <w:tcW w:w="1276" w:type="dxa"/>
            <w:vAlign w:val="center"/>
          </w:tcPr>
          <w:p>
            <w:pPr>
              <w:jc w:val="center"/>
              <w:rPr>
                <w:rFonts w:ascii="宋体" w:hAnsi="宋体" w:cs="Times New Roman"/>
                <w:sz w:val="28"/>
                <w:szCs w:val="28"/>
              </w:rPr>
            </w:pPr>
            <w:r>
              <w:rPr>
                <w:rFonts w:hint="eastAsia" w:ascii="宋体" w:hAnsi="宋体" w:cs="Times New Roman"/>
                <w:sz w:val="28"/>
                <w:szCs w:val="28"/>
              </w:rPr>
              <w:t>数量</w:t>
            </w:r>
          </w:p>
        </w:tc>
        <w:tc>
          <w:tcPr>
            <w:tcW w:w="2925" w:type="dxa"/>
            <w:vAlign w:val="center"/>
          </w:tcPr>
          <w:p>
            <w:pPr>
              <w:jc w:val="center"/>
              <w:rPr>
                <w:rFonts w:ascii="宋体" w:hAnsi="宋体" w:cs="Times New Roman"/>
                <w:sz w:val="28"/>
                <w:szCs w:val="28"/>
              </w:rPr>
            </w:pPr>
            <w:r>
              <w:rPr>
                <w:rFonts w:hint="eastAsia" w:ascii="宋体" w:hAnsi="宋体" w:cs="Times New Roman"/>
                <w:sz w:val="28"/>
                <w:szCs w:val="28"/>
              </w:rPr>
              <w:t>存放地点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Align w:val="center"/>
          </w:tcPr>
          <w:p>
            <w:pPr>
              <w:jc w:val="center"/>
              <w:rPr>
                <w:rFonts w:ascii="宋体" w:hAnsi="宋体" w:cs="Times New Roman"/>
                <w:sz w:val="28"/>
                <w:szCs w:val="28"/>
              </w:rPr>
            </w:pPr>
            <w:r>
              <w:rPr>
                <w:rFonts w:hint="eastAsia" w:ascii="宋体" w:hAnsi="宋体" w:cs="Times New Roman"/>
                <w:sz w:val="28"/>
                <w:szCs w:val="28"/>
              </w:rPr>
              <w:t>1</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35Kg推车式干粉灭火器</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MFZ/ABC35</w:t>
            </w:r>
          </w:p>
        </w:tc>
        <w:tc>
          <w:tcPr>
            <w:tcW w:w="1276" w:type="dxa"/>
            <w:vAlign w:val="center"/>
          </w:tcPr>
          <w:p>
            <w:pPr>
              <w:jc w:val="center"/>
              <w:rPr>
                <w:rFonts w:ascii="宋体" w:hAnsi="宋体" w:cs="Times New Roman"/>
                <w:sz w:val="28"/>
                <w:szCs w:val="28"/>
              </w:rPr>
            </w:pPr>
            <w:r>
              <w:rPr>
                <w:rFonts w:hint="eastAsia" w:ascii="宋体" w:hAnsi="宋体" w:cs="Times New Roman"/>
                <w:sz w:val="28"/>
                <w:szCs w:val="28"/>
              </w:rPr>
              <w:t>4具</w:t>
            </w:r>
          </w:p>
        </w:tc>
        <w:tc>
          <w:tcPr>
            <w:tcW w:w="2925" w:type="dxa"/>
            <w:vAlign w:val="center"/>
          </w:tcPr>
          <w:p>
            <w:pPr>
              <w:jc w:val="center"/>
              <w:rPr>
                <w:rFonts w:ascii="宋体" w:hAnsi="宋体" w:cs="Times New Roman"/>
                <w:sz w:val="28"/>
                <w:szCs w:val="28"/>
              </w:rPr>
            </w:pPr>
            <w:r>
              <w:rPr>
                <w:rFonts w:hint="eastAsia" w:ascii="宋体" w:hAnsi="宋体" w:cs="Times New Roman"/>
                <w:sz w:val="28"/>
                <w:szCs w:val="28"/>
              </w:rPr>
              <w:t>罐区旁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Align w:val="center"/>
          </w:tcPr>
          <w:p>
            <w:pPr>
              <w:jc w:val="center"/>
              <w:rPr>
                <w:rFonts w:ascii="宋体" w:hAnsi="宋体" w:cs="Times New Roman"/>
                <w:sz w:val="28"/>
                <w:szCs w:val="28"/>
              </w:rPr>
            </w:pPr>
            <w:r>
              <w:rPr>
                <w:rFonts w:hint="eastAsia" w:ascii="宋体" w:hAnsi="宋体" w:cs="Times New Roman"/>
                <w:sz w:val="28"/>
                <w:szCs w:val="28"/>
              </w:rPr>
              <w:t>2</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8Kg干粉灭火器</w:t>
            </w:r>
          </w:p>
        </w:tc>
        <w:tc>
          <w:tcPr>
            <w:tcW w:w="2126" w:type="dxa"/>
            <w:vAlign w:val="center"/>
          </w:tcPr>
          <w:p>
            <w:pPr>
              <w:jc w:val="center"/>
              <w:rPr>
                <w:rFonts w:ascii="宋体" w:hAnsi="宋体" w:cs="Times New Roman"/>
                <w:sz w:val="28"/>
                <w:szCs w:val="28"/>
              </w:rPr>
            </w:pPr>
            <w:r>
              <w:rPr>
                <w:rFonts w:ascii="宋体" w:hAnsi="宋体" w:cs="Times New Roman"/>
                <w:sz w:val="28"/>
                <w:szCs w:val="28"/>
              </w:rPr>
              <w:t>8Kg</w:t>
            </w:r>
          </w:p>
        </w:tc>
        <w:tc>
          <w:tcPr>
            <w:tcW w:w="1276" w:type="dxa"/>
            <w:vAlign w:val="center"/>
          </w:tcPr>
          <w:p>
            <w:pPr>
              <w:jc w:val="center"/>
              <w:rPr>
                <w:rFonts w:ascii="宋体" w:hAnsi="宋体" w:cs="Times New Roman"/>
                <w:sz w:val="28"/>
                <w:szCs w:val="28"/>
              </w:rPr>
            </w:pPr>
            <w:r>
              <w:rPr>
                <w:rFonts w:hint="eastAsia" w:ascii="宋体" w:hAnsi="宋体" w:cs="Times New Roman"/>
                <w:sz w:val="28"/>
                <w:szCs w:val="28"/>
              </w:rPr>
              <w:t>4具</w:t>
            </w:r>
          </w:p>
        </w:tc>
        <w:tc>
          <w:tcPr>
            <w:tcW w:w="2925" w:type="dxa"/>
            <w:vAlign w:val="center"/>
          </w:tcPr>
          <w:p>
            <w:pPr>
              <w:jc w:val="center"/>
              <w:rPr>
                <w:rFonts w:ascii="宋体" w:hAnsi="宋体" w:cs="Times New Roman"/>
                <w:sz w:val="28"/>
                <w:szCs w:val="28"/>
              </w:rPr>
            </w:pPr>
            <w:r>
              <w:rPr>
                <w:rFonts w:hint="eastAsia" w:ascii="宋体" w:hAnsi="宋体" w:cs="Times New Roman"/>
                <w:sz w:val="28"/>
                <w:szCs w:val="28"/>
              </w:rPr>
              <w:t>加油岛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Align w:val="center"/>
          </w:tcPr>
          <w:p>
            <w:pPr>
              <w:jc w:val="center"/>
              <w:rPr>
                <w:rFonts w:ascii="宋体" w:hAnsi="宋体" w:cs="Times New Roman"/>
                <w:sz w:val="28"/>
                <w:szCs w:val="28"/>
              </w:rPr>
            </w:pPr>
            <w:r>
              <w:rPr>
                <w:rFonts w:hint="eastAsia" w:ascii="宋体" w:hAnsi="宋体" w:cs="Times New Roman"/>
                <w:sz w:val="28"/>
                <w:szCs w:val="28"/>
              </w:rPr>
              <w:t>3</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4Kg干粉灭火器</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4</w:t>
            </w:r>
            <w:r>
              <w:rPr>
                <w:rFonts w:ascii="宋体" w:hAnsi="宋体" w:cs="Times New Roman"/>
                <w:sz w:val="28"/>
                <w:szCs w:val="28"/>
              </w:rPr>
              <w:t>Kg</w:t>
            </w:r>
          </w:p>
        </w:tc>
        <w:tc>
          <w:tcPr>
            <w:tcW w:w="1276" w:type="dxa"/>
            <w:vAlign w:val="center"/>
          </w:tcPr>
          <w:p>
            <w:pPr>
              <w:jc w:val="center"/>
              <w:rPr>
                <w:rFonts w:ascii="宋体" w:hAnsi="宋体" w:cs="Times New Roman"/>
                <w:sz w:val="28"/>
                <w:szCs w:val="28"/>
              </w:rPr>
            </w:pPr>
            <w:r>
              <w:rPr>
                <w:rFonts w:hint="eastAsia" w:ascii="宋体" w:hAnsi="宋体" w:cs="Times New Roman"/>
                <w:sz w:val="28"/>
                <w:szCs w:val="28"/>
              </w:rPr>
              <w:t>4具</w:t>
            </w:r>
          </w:p>
        </w:tc>
        <w:tc>
          <w:tcPr>
            <w:tcW w:w="2925" w:type="dxa"/>
            <w:vAlign w:val="center"/>
          </w:tcPr>
          <w:p>
            <w:pPr>
              <w:jc w:val="center"/>
              <w:rPr>
                <w:rFonts w:ascii="宋体" w:hAnsi="宋体" w:cs="Times New Roman"/>
                <w:sz w:val="28"/>
                <w:szCs w:val="28"/>
              </w:rPr>
            </w:pPr>
            <w:r>
              <w:rPr>
                <w:rFonts w:hint="eastAsia" w:ascii="宋体" w:hAnsi="宋体" w:cs="Times New Roman"/>
                <w:sz w:val="28"/>
                <w:szCs w:val="28"/>
              </w:rPr>
              <w:t>站房、配发电房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Align w:val="center"/>
          </w:tcPr>
          <w:p>
            <w:pPr>
              <w:jc w:val="center"/>
              <w:rPr>
                <w:rFonts w:ascii="宋体" w:hAnsi="宋体" w:cs="Times New Roman"/>
                <w:sz w:val="28"/>
                <w:szCs w:val="28"/>
              </w:rPr>
            </w:pPr>
            <w:r>
              <w:rPr>
                <w:rFonts w:hint="eastAsia" w:ascii="宋体" w:hAnsi="宋体" w:cs="Times New Roman"/>
                <w:sz w:val="28"/>
                <w:szCs w:val="28"/>
              </w:rPr>
              <w:t>4</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灭火毯</w:t>
            </w:r>
          </w:p>
        </w:tc>
        <w:tc>
          <w:tcPr>
            <w:tcW w:w="2126" w:type="dxa"/>
            <w:vAlign w:val="center"/>
          </w:tcPr>
          <w:p>
            <w:pPr>
              <w:jc w:val="center"/>
              <w:rPr>
                <w:rFonts w:ascii="宋体" w:hAnsi="宋体" w:cs="Times New Roman"/>
                <w:sz w:val="28"/>
                <w:szCs w:val="28"/>
              </w:rPr>
            </w:pPr>
          </w:p>
        </w:tc>
        <w:tc>
          <w:tcPr>
            <w:tcW w:w="1276" w:type="dxa"/>
            <w:vAlign w:val="center"/>
          </w:tcPr>
          <w:p>
            <w:pPr>
              <w:jc w:val="center"/>
              <w:rPr>
                <w:rFonts w:ascii="宋体" w:hAnsi="宋体" w:cs="Times New Roman"/>
                <w:sz w:val="28"/>
                <w:szCs w:val="28"/>
              </w:rPr>
            </w:pPr>
            <w:r>
              <w:rPr>
                <w:rFonts w:hint="eastAsia" w:ascii="宋体" w:hAnsi="宋体" w:cs="Times New Roman"/>
                <w:sz w:val="28"/>
                <w:szCs w:val="28"/>
              </w:rPr>
              <w:t>6块</w:t>
            </w:r>
          </w:p>
        </w:tc>
        <w:tc>
          <w:tcPr>
            <w:tcW w:w="2925" w:type="dxa"/>
            <w:vAlign w:val="center"/>
          </w:tcPr>
          <w:p>
            <w:pPr>
              <w:jc w:val="center"/>
              <w:rPr>
                <w:rFonts w:hint="eastAsia" w:ascii="宋体" w:hAnsi="宋体" w:cs="Times New Roman"/>
                <w:sz w:val="28"/>
                <w:szCs w:val="28"/>
              </w:rPr>
            </w:pPr>
            <w:r>
              <w:rPr>
                <w:rFonts w:hint="eastAsia" w:ascii="宋体" w:hAnsi="宋体" w:cs="Times New Roman"/>
                <w:sz w:val="28"/>
                <w:szCs w:val="28"/>
              </w:rPr>
              <w:t>加油岛、站房、</w:t>
            </w:r>
          </w:p>
          <w:p>
            <w:pPr>
              <w:jc w:val="center"/>
              <w:rPr>
                <w:rFonts w:ascii="宋体" w:hAnsi="宋体" w:cs="Times New Roman"/>
                <w:sz w:val="28"/>
                <w:szCs w:val="28"/>
              </w:rPr>
            </w:pPr>
            <w:r>
              <w:rPr>
                <w:rFonts w:hint="eastAsia" w:ascii="宋体" w:hAnsi="宋体" w:cs="Times New Roman"/>
                <w:sz w:val="28"/>
                <w:szCs w:val="28"/>
              </w:rPr>
              <w:t>配发电房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Align w:val="center"/>
          </w:tcPr>
          <w:p>
            <w:pPr>
              <w:jc w:val="center"/>
              <w:rPr>
                <w:rFonts w:ascii="宋体" w:hAnsi="宋体" w:cs="Times New Roman"/>
                <w:sz w:val="28"/>
                <w:szCs w:val="28"/>
              </w:rPr>
            </w:pPr>
            <w:r>
              <w:rPr>
                <w:rFonts w:hint="eastAsia" w:ascii="宋体" w:hAnsi="宋体" w:cs="Times New Roman"/>
                <w:sz w:val="28"/>
                <w:szCs w:val="28"/>
              </w:rPr>
              <w:t>5</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消防沙</w:t>
            </w:r>
          </w:p>
        </w:tc>
        <w:tc>
          <w:tcPr>
            <w:tcW w:w="2126" w:type="dxa"/>
            <w:vAlign w:val="center"/>
          </w:tcPr>
          <w:p>
            <w:pPr>
              <w:jc w:val="center"/>
              <w:rPr>
                <w:rFonts w:ascii="宋体" w:hAnsi="宋体" w:cs="Times New Roman"/>
                <w:sz w:val="28"/>
                <w:szCs w:val="28"/>
              </w:rPr>
            </w:pPr>
          </w:p>
        </w:tc>
        <w:tc>
          <w:tcPr>
            <w:tcW w:w="1276" w:type="dxa"/>
            <w:vAlign w:val="center"/>
          </w:tcPr>
          <w:p>
            <w:pPr>
              <w:jc w:val="center"/>
              <w:rPr>
                <w:rFonts w:ascii="宋体" w:hAnsi="宋体" w:cs="Times New Roman"/>
                <w:sz w:val="28"/>
                <w:szCs w:val="28"/>
              </w:rPr>
            </w:pPr>
            <w:r>
              <w:rPr>
                <w:rFonts w:hint="eastAsia" w:ascii="宋体" w:hAnsi="宋体" w:cs="Times New Roman"/>
                <w:sz w:val="28"/>
                <w:szCs w:val="28"/>
              </w:rPr>
              <w:t>12 m</w:t>
            </w:r>
            <w:r>
              <w:rPr>
                <w:rFonts w:hint="eastAsia" w:ascii="宋体" w:hAnsi="宋体" w:cs="Times New Roman"/>
                <w:sz w:val="28"/>
                <w:szCs w:val="28"/>
                <w:vertAlign w:val="superscript"/>
              </w:rPr>
              <w:t>3</w:t>
            </w:r>
          </w:p>
        </w:tc>
        <w:tc>
          <w:tcPr>
            <w:tcW w:w="2925" w:type="dxa"/>
            <w:vAlign w:val="center"/>
          </w:tcPr>
          <w:p>
            <w:pPr>
              <w:jc w:val="center"/>
              <w:rPr>
                <w:rFonts w:ascii="宋体" w:hAnsi="宋体" w:cs="Times New Roman"/>
                <w:sz w:val="28"/>
                <w:szCs w:val="28"/>
              </w:rPr>
            </w:pPr>
            <w:r>
              <w:rPr>
                <w:rFonts w:hint="eastAsia" w:ascii="宋体" w:hAnsi="宋体" w:cs="Times New Roman"/>
                <w:sz w:val="28"/>
                <w:szCs w:val="28"/>
              </w:rPr>
              <w:t>罐区旁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Align w:val="center"/>
          </w:tcPr>
          <w:p>
            <w:pPr>
              <w:jc w:val="center"/>
              <w:rPr>
                <w:rFonts w:ascii="宋体" w:hAnsi="宋体" w:cs="Times New Roman"/>
                <w:sz w:val="28"/>
                <w:szCs w:val="28"/>
              </w:rPr>
            </w:pPr>
            <w:r>
              <w:rPr>
                <w:rFonts w:hint="eastAsia" w:ascii="宋体" w:hAnsi="宋体" w:cs="Times New Roman"/>
                <w:sz w:val="28"/>
                <w:szCs w:val="28"/>
              </w:rPr>
              <w:t>6</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消防铲</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w:t>
            </w:r>
          </w:p>
        </w:tc>
        <w:tc>
          <w:tcPr>
            <w:tcW w:w="1276" w:type="dxa"/>
            <w:vAlign w:val="center"/>
          </w:tcPr>
          <w:p>
            <w:pPr>
              <w:jc w:val="center"/>
              <w:rPr>
                <w:rFonts w:ascii="宋体" w:hAnsi="宋体" w:cs="Times New Roman"/>
                <w:sz w:val="28"/>
                <w:szCs w:val="28"/>
              </w:rPr>
            </w:pPr>
            <w:r>
              <w:rPr>
                <w:rFonts w:hint="eastAsia" w:ascii="宋体" w:hAnsi="宋体" w:cs="Times New Roman"/>
                <w:sz w:val="28"/>
                <w:szCs w:val="28"/>
              </w:rPr>
              <w:t>4把</w:t>
            </w:r>
          </w:p>
        </w:tc>
        <w:tc>
          <w:tcPr>
            <w:tcW w:w="2925" w:type="dxa"/>
            <w:vAlign w:val="center"/>
          </w:tcPr>
          <w:p>
            <w:pPr>
              <w:jc w:val="center"/>
              <w:rPr>
                <w:rFonts w:ascii="宋体" w:hAnsi="宋体" w:cs="Times New Roman"/>
                <w:sz w:val="28"/>
                <w:szCs w:val="28"/>
              </w:rPr>
            </w:pPr>
            <w:r>
              <w:rPr>
                <w:rFonts w:hint="eastAsia" w:ascii="宋体" w:hAnsi="宋体" w:cs="Times New Roman"/>
                <w:sz w:val="28"/>
                <w:szCs w:val="28"/>
              </w:rPr>
              <w:t>罐区旁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1000" w:type="dxa"/>
            <w:vAlign w:val="center"/>
          </w:tcPr>
          <w:p>
            <w:pPr>
              <w:jc w:val="center"/>
              <w:rPr>
                <w:rFonts w:ascii="宋体" w:hAnsi="宋体" w:cs="Times New Roman"/>
                <w:sz w:val="28"/>
                <w:szCs w:val="28"/>
              </w:rPr>
            </w:pPr>
            <w:r>
              <w:rPr>
                <w:rFonts w:hint="eastAsia" w:ascii="宋体" w:hAnsi="宋体" w:cs="Times New Roman"/>
                <w:sz w:val="28"/>
                <w:szCs w:val="28"/>
              </w:rPr>
              <w:t>7</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消防桶</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w:t>
            </w:r>
          </w:p>
        </w:tc>
        <w:tc>
          <w:tcPr>
            <w:tcW w:w="1276" w:type="dxa"/>
            <w:vAlign w:val="center"/>
          </w:tcPr>
          <w:p>
            <w:pPr>
              <w:jc w:val="center"/>
              <w:rPr>
                <w:rFonts w:ascii="宋体" w:hAnsi="宋体" w:cs="Times New Roman"/>
                <w:sz w:val="28"/>
                <w:szCs w:val="28"/>
              </w:rPr>
            </w:pPr>
            <w:r>
              <w:rPr>
                <w:rFonts w:hint="eastAsia" w:ascii="宋体" w:hAnsi="宋体" w:cs="Times New Roman"/>
                <w:sz w:val="28"/>
                <w:szCs w:val="28"/>
              </w:rPr>
              <w:t>4个</w:t>
            </w:r>
          </w:p>
        </w:tc>
        <w:tc>
          <w:tcPr>
            <w:tcW w:w="2925" w:type="dxa"/>
            <w:vAlign w:val="center"/>
          </w:tcPr>
          <w:p>
            <w:pPr>
              <w:jc w:val="center"/>
              <w:rPr>
                <w:rFonts w:ascii="宋体" w:hAnsi="宋体" w:cs="Times New Roman"/>
                <w:sz w:val="28"/>
                <w:szCs w:val="28"/>
              </w:rPr>
            </w:pPr>
            <w:r>
              <w:rPr>
                <w:rFonts w:hint="eastAsia" w:ascii="宋体" w:hAnsi="宋体" w:cs="Times New Roman"/>
                <w:sz w:val="28"/>
                <w:szCs w:val="28"/>
              </w:rPr>
              <w:t>罐区旁</w:t>
            </w:r>
          </w:p>
        </w:tc>
      </w:tr>
    </w:tbl>
    <w:p>
      <w:pPr>
        <w:rPr>
          <w:rFonts w:hint="eastAsia" w:ascii="Times New Roman" w:hAnsi="Times New Roman" w:cs="Times New Roman"/>
        </w:rPr>
      </w:pPr>
    </w:p>
    <w:p>
      <w:pPr>
        <w:ind w:firstLine="560"/>
        <w:rPr>
          <w:rFonts w:ascii="宋体"/>
          <w:sz w:val="28"/>
          <w:szCs w:val="28"/>
        </w:rPr>
      </w:pPr>
      <w:r>
        <w:rPr>
          <w:rFonts w:ascii="宋体"/>
          <w:sz w:val="28"/>
          <w:szCs w:val="28"/>
        </w:rPr>
        <w:t>应急救护设备的管理</w:t>
      </w:r>
      <w:r>
        <w:rPr>
          <w:rFonts w:hint="eastAsia" w:ascii="宋体"/>
          <w:sz w:val="28"/>
          <w:szCs w:val="28"/>
        </w:rPr>
        <w:t>：</w:t>
      </w:r>
      <w:r>
        <w:rPr>
          <w:rFonts w:ascii="宋体"/>
          <w:sz w:val="28"/>
          <w:szCs w:val="28"/>
        </w:rPr>
        <w:t>公司所有应急设备、器材，设专人管理</w:t>
      </w:r>
      <w:r>
        <w:rPr>
          <w:rFonts w:hint="eastAsia" w:ascii="宋体"/>
          <w:sz w:val="28"/>
          <w:szCs w:val="28"/>
        </w:rPr>
        <w:t>，</w:t>
      </w:r>
      <w:r>
        <w:rPr>
          <w:rFonts w:ascii="宋体"/>
          <w:sz w:val="28"/>
          <w:szCs w:val="28"/>
        </w:rPr>
        <w:t>保证完好、有效、随时可用；公司建立应急设备、器材台帐，记录所有设备、器材名称、型号、数量、所在位置、有效期限；公司定期更换失效、过期的药品、器材，并有相应的跟踪检查制度和措施；由公司安全科实施后勤保障应急行动，负责灭火器材、药品的维护补充，交通工具、个体防护用品等物资设备的调用。</w:t>
      </w:r>
    </w:p>
    <w:p>
      <w:pPr>
        <w:pStyle w:val="3"/>
        <w:widowControl/>
        <w:adjustRightInd w:val="0"/>
        <w:snapToGrid w:val="0"/>
        <w:spacing w:before="156" w:beforeLines="50" w:after="156" w:afterLines="50" w:line="240" w:lineRule="auto"/>
        <w:rPr>
          <w:rFonts w:ascii="黑体" w:cs="黑体"/>
          <w:bCs w:val="0"/>
          <w:sz w:val="28"/>
          <w:szCs w:val="28"/>
        </w:rPr>
      </w:pPr>
      <w:r>
        <w:rPr>
          <w:rFonts w:hint="eastAsia" w:ascii="黑体" w:cs="黑体"/>
          <w:bCs w:val="0"/>
          <w:sz w:val="28"/>
          <w:szCs w:val="28"/>
        </w:rPr>
        <w:t>3.2事故应急救援指挥部职责</w:t>
      </w:r>
    </w:p>
    <w:p>
      <w:pPr>
        <w:spacing w:line="560" w:lineRule="exact"/>
        <w:ind w:firstLine="560" w:firstLineChars="200"/>
        <w:rPr>
          <w:rFonts w:ascii="宋体"/>
          <w:sz w:val="28"/>
          <w:szCs w:val="28"/>
        </w:rPr>
      </w:pPr>
      <w:r>
        <w:rPr>
          <w:rFonts w:ascii="宋体"/>
          <w:sz w:val="28"/>
          <w:szCs w:val="28"/>
        </w:rPr>
        <w:t>1）接受政府指令调动；</w:t>
      </w:r>
    </w:p>
    <w:p>
      <w:pPr>
        <w:spacing w:line="560" w:lineRule="exact"/>
        <w:ind w:firstLine="560" w:firstLineChars="200"/>
        <w:rPr>
          <w:rFonts w:ascii="宋体"/>
          <w:sz w:val="28"/>
          <w:szCs w:val="28"/>
        </w:rPr>
      </w:pPr>
      <w:r>
        <w:rPr>
          <w:rFonts w:ascii="宋体"/>
          <w:sz w:val="28"/>
          <w:szCs w:val="28"/>
        </w:rPr>
        <w:t>2）负责组织编制安全事故应急预案，组建应急救援专业队伍；</w:t>
      </w:r>
    </w:p>
    <w:p>
      <w:pPr>
        <w:spacing w:line="560" w:lineRule="exact"/>
        <w:ind w:firstLine="560" w:firstLineChars="200"/>
        <w:rPr>
          <w:rFonts w:ascii="宋体"/>
          <w:sz w:val="28"/>
          <w:szCs w:val="28"/>
        </w:rPr>
      </w:pPr>
      <w:r>
        <w:rPr>
          <w:rFonts w:ascii="宋体"/>
          <w:sz w:val="28"/>
          <w:szCs w:val="28"/>
        </w:rPr>
        <w:t>3）负责应急物资的保障和组织人员的应急救援教育和培训；</w:t>
      </w:r>
    </w:p>
    <w:p>
      <w:pPr>
        <w:spacing w:line="560" w:lineRule="exact"/>
        <w:ind w:firstLine="560" w:firstLineChars="200"/>
        <w:rPr>
          <w:rFonts w:ascii="宋体"/>
          <w:sz w:val="28"/>
          <w:szCs w:val="28"/>
        </w:rPr>
      </w:pPr>
      <w:r>
        <w:rPr>
          <w:rFonts w:ascii="宋体"/>
          <w:sz w:val="28"/>
          <w:szCs w:val="28"/>
        </w:rPr>
        <w:t>4）制定事故应急预案演练计划，定期组织应急预案的演练、评估和修改完善；</w:t>
      </w:r>
    </w:p>
    <w:p>
      <w:pPr>
        <w:spacing w:line="560" w:lineRule="exact"/>
        <w:ind w:firstLine="560" w:firstLineChars="200"/>
        <w:rPr>
          <w:rFonts w:ascii="宋体"/>
          <w:sz w:val="28"/>
          <w:szCs w:val="28"/>
        </w:rPr>
      </w:pPr>
      <w:r>
        <w:rPr>
          <w:rFonts w:ascii="宋体"/>
          <w:sz w:val="28"/>
          <w:szCs w:val="28"/>
        </w:rPr>
        <w:t>5）负责人员、资源配置、应急队伍的调动；</w:t>
      </w:r>
    </w:p>
    <w:p>
      <w:pPr>
        <w:spacing w:line="560" w:lineRule="exact"/>
        <w:ind w:firstLine="560" w:firstLineChars="200"/>
        <w:rPr>
          <w:rFonts w:ascii="宋体"/>
          <w:sz w:val="28"/>
          <w:szCs w:val="28"/>
        </w:rPr>
      </w:pPr>
      <w:r>
        <w:rPr>
          <w:rFonts w:ascii="宋体"/>
          <w:sz w:val="28"/>
          <w:szCs w:val="28"/>
        </w:rPr>
        <w:t>6）负责应急救援的决策和指挥，组织协调现场的抢救工作；</w:t>
      </w:r>
    </w:p>
    <w:p>
      <w:pPr>
        <w:spacing w:line="560" w:lineRule="exact"/>
        <w:ind w:firstLine="560" w:firstLineChars="200"/>
        <w:rPr>
          <w:rFonts w:ascii="宋体"/>
          <w:sz w:val="28"/>
          <w:szCs w:val="28"/>
        </w:rPr>
      </w:pPr>
      <w:r>
        <w:rPr>
          <w:rFonts w:ascii="宋体"/>
          <w:sz w:val="28"/>
          <w:szCs w:val="28"/>
        </w:rPr>
        <w:t>7）启动和终止应急预案；</w:t>
      </w:r>
    </w:p>
    <w:p>
      <w:pPr>
        <w:spacing w:line="560" w:lineRule="exact"/>
        <w:ind w:firstLine="560" w:firstLineChars="200"/>
        <w:rPr>
          <w:rFonts w:ascii="宋体"/>
          <w:sz w:val="28"/>
          <w:szCs w:val="28"/>
        </w:rPr>
      </w:pPr>
      <w:r>
        <w:rPr>
          <w:rFonts w:ascii="宋体"/>
          <w:sz w:val="28"/>
          <w:szCs w:val="28"/>
        </w:rPr>
        <w:t>8）协调与外部应急力量、相关政府部门等关系，必要时提请上级政府部门启动厂外应急响应；</w:t>
      </w:r>
    </w:p>
    <w:p>
      <w:pPr>
        <w:spacing w:line="560" w:lineRule="exact"/>
        <w:ind w:firstLine="560" w:firstLineChars="200"/>
        <w:rPr>
          <w:rFonts w:ascii="宋体"/>
          <w:sz w:val="28"/>
          <w:szCs w:val="28"/>
        </w:rPr>
      </w:pPr>
      <w:r>
        <w:rPr>
          <w:rFonts w:ascii="宋体"/>
          <w:sz w:val="28"/>
          <w:szCs w:val="28"/>
        </w:rPr>
        <w:t>9）负责通信联络；</w:t>
      </w:r>
    </w:p>
    <w:p>
      <w:pPr>
        <w:spacing w:line="560" w:lineRule="exact"/>
        <w:ind w:firstLine="560" w:firstLineChars="200"/>
        <w:rPr>
          <w:rFonts w:ascii="宋体"/>
          <w:sz w:val="28"/>
          <w:szCs w:val="28"/>
        </w:rPr>
      </w:pPr>
      <w:r>
        <w:rPr>
          <w:rFonts w:ascii="宋体"/>
          <w:sz w:val="28"/>
          <w:szCs w:val="28"/>
        </w:rPr>
        <w:t>10）事故信息及总结的上报。</w:t>
      </w:r>
    </w:p>
    <w:p>
      <w:pPr>
        <w:pStyle w:val="3"/>
        <w:widowControl/>
        <w:adjustRightInd w:val="0"/>
        <w:snapToGrid w:val="0"/>
        <w:spacing w:before="156" w:beforeLines="50" w:after="156" w:afterLines="50" w:line="240" w:lineRule="auto"/>
        <w:rPr>
          <w:rFonts w:ascii="黑体" w:cs="黑体"/>
          <w:bCs w:val="0"/>
          <w:sz w:val="28"/>
          <w:szCs w:val="28"/>
        </w:rPr>
      </w:pPr>
      <w:bookmarkStart w:id="57" w:name="_Toc31550"/>
      <w:bookmarkStart w:id="58" w:name="_Toc301471195"/>
      <w:bookmarkStart w:id="59" w:name="_Toc457383987"/>
      <w:bookmarkStart w:id="60" w:name="_Toc373506205"/>
      <w:r>
        <w:rPr>
          <w:rFonts w:hint="eastAsia" w:ascii="黑体" w:cs="黑体"/>
          <w:bCs w:val="0"/>
          <w:sz w:val="28"/>
          <w:szCs w:val="28"/>
        </w:rPr>
        <w:t>3.3总指挥和副总指挥职责</w:t>
      </w:r>
      <w:bookmarkEnd w:id="57"/>
      <w:bookmarkEnd w:id="58"/>
      <w:bookmarkEnd w:id="59"/>
      <w:bookmarkEnd w:id="60"/>
    </w:p>
    <w:p>
      <w:pPr>
        <w:spacing w:line="560" w:lineRule="exact"/>
        <w:ind w:firstLine="560" w:firstLineChars="200"/>
        <w:rPr>
          <w:rFonts w:ascii="宋体"/>
          <w:sz w:val="28"/>
          <w:szCs w:val="28"/>
        </w:rPr>
      </w:pPr>
      <w:r>
        <w:rPr>
          <w:rFonts w:ascii="宋体"/>
          <w:sz w:val="28"/>
          <w:szCs w:val="28"/>
        </w:rPr>
        <w:t>1）总指挥职责</w:t>
      </w:r>
    </w:p>
    <w:p>
      <w:pPr>
        <w:spacing w:line="560" w:lineRule="exact"/>
        <w:ind w:firstLine="560" w:firstLineChars="200"/>
        <w:rPr>
          <w:rFonts w:ascii="宋体"/>
          <w:sz w:val="28"/>
          <w:szCs w:val="28"/>
        </w:rPr>
      </w:pPr>
      <w:r>
        <w:rPr>
          <w:rFonts w:ascii="宋体"/>
          <w:sz w:val="28"/>
          <w:szCs w:val="28"/>
        </w:rPr>
        <w:t>①接受政府指令及调动；</w:t>
      </w:r>
    </w:p>
    <w:p>
      <w:pPr>
        <w:spacing w:line="560" w:lineRule="exact"/>
        <w:ind w:firstLine="560" w:firstLineChars="200"/>
        <w:rPr>
          <w:rFonts w:ascii="宋体"/>
          <w:sz w:val="28"/>
          <w:szCs w:val="28"/>
        </w:rPr>
      </w:pPr>
      <w:r>
        <w:rPr>
          <w:rFonts w:ascii="宋体"/>
          <w:sz w:val="28"/>
          <w:szCs w:val="28"/>
        </w:rPr>
        <w:t>②批准预案的启动与终止；</w:t>
      </w:r>
    </w:p>
    <w:p>
      <w:pPr>
        <w:spacing w:line="560" w:lineRule="exact"/>
        <w:ind w:firstLine="560" w:firstLineChars="200"/>
        <w:rPr>
          <w:rFonts w:ascii="宋体"/>
          <w:sz w:val="28"/>
          <w:szCs w:val="28"/>
        </w:rPr>
      </w:pPr>
      <w:r>
        <w:rPr>
          <w:rFonts w:ascii="宋体"/>
          <w:sz w:val="28"/>
          <w:szCs w:val="28"/>
        </w:rPr>
        <w:t>③指挥、协调应急响应行动；</w:t>
      </w:r>
    </w:p>
    <w:p>
      <w:pPr>
        <w:spacing w:line="560" w:lineRule="exact"/>
        <w:ind w:firstLine="560" w:firstLineChars="200"/>
        <w:rPr>
          <w:rFonts w:ascii="宋体"/>
          <w:sz w:val="28"/>
          <w:szCs w:val="28"/>
        </w:rPr>
      </w:pPr>
      <w:r>
        <w:rPr>
          <w:rFonts w:ascii="宋体"/>
          <w:sz w:val="28"/>
          <w:szCs w:val="28"/>
        </w:rPr>
        <w:t>④与外部救援部门、组织、机构联络；</w:t>
      </w:r>
    </w:p>
    <w:p>
      <w:pPr>
        <w:spacing w:line="560" w:lineRule="exact"/>
        <w:ind w:firstLine="560" w:firstLineChars="200"/>
        <w:rPr>
          <w:rFonts w:ascii="宋体"/>
          <w:sz w:val="28"/>
          <w:szCs w:val="28"/>
        </w:rPr>
      </w:pPr>
      <w:r>
        <w:rPr>
          <w:rFonts w:ascii="宋体"/>
          <w:sz w:val="28"/>
          <w:szCs w:val="28"/>
        </w:rPr>
        <w:t>⑤必要时负责向政府应急救援部门提出应急救援请求；</w:t>
      </w:r>
    </w:p>
    <w:p>
      <w:pPr>
        <w:spacing w:line="560" w:lineRule="exact"/>
        <w:ind w:firstLine="560" w:firstLineChars="200"/>
        <w:rPr>
          <w:rFonts w:ascii="宋体"/>
          <w:sz w:val="28"/>
          <w:szCs w:val="28"/>
        </w:rPr>
      </w:pPr>
      <w:r>
        <w:rPr>
          <w:rFonts w:ascii="宋体"/>
          <w:sz w:val="28"/>
          <w:szCs w:val="28"/>
        </w:rPr>
        <w:t>⑥协调后勤方面以支援应急救援；</w:t>
      </w:r>
    </w:p>
    <w:p>
      <w:pPr>
        <w:spacing w:line="560" w:lineRule="exact"/>
        <w:ind w:firstLine="560" w:firstLineChars="200"/>
        <w:rPr>
          <w:rFonts w:ascii="宋体"/>
          <w:sz w:val="28"/>
          <w:szCs w:val="28"/>
        </w:rPr>
      </w:pPr>
      <w:r>
        <w:rPr>
          <w:rFonts w:ascii="宋体"/>
          <w:sz w:val="28"/>
          <w:szCs w:val="28"/>
        </w:rPr>
        <w:t>⑦负责人员、资源配置、应急队伍的调动。</w:t>
      </w:r>
    </w:p>
    <w:p>
      <w:pPr>
        <w:spacing w:line="560" w:lineRule="exact"/>
        <w:ind w:firstLine="560" w:firstLineChars="200"/>
        <w:rPr>
          <w:rFonts w:ascii="宋体"/>
          <w:sz w:val="28"/>
          <w:szCs w:val="28"/>
        </w:rPr>
      </w:pPr>
      <w:r>
        <w:rPr>
          <w:rFonts w:ascii="宋体"/>
          <w:sz w:val="28"/>
          <w:szCs w:val="28"/>
        </w:rPr>
        <w:t>2）副总指挥职责</w:t>
      </w:r>
    </w:p>
    <w:p>
      <w:pPr>
        <w:spacing w:line="560" w:lineRule="exact"/>
        <w:ind w:firstLine="560" w:firstLineChars="200"/>
        <w:rPr>
          <w:rFonts w:ascii="宋体"/>
          <w:sz w:val="28"/>
          <w:szCs w:val="28"/>
        </w:rPr>
      </w:pPr>
      <w:r>
        <w:rPr>
          <w:rFonts w:ascii="宋体"/>
          <w:sz w:val="28"/>
          <w:szCs w:val="28"/>
        </w:rPr>
        <w:t>①在总指挥的领导下具体负责现场应急救援工作，总指挥不在单位时，代行总指挥职责；</w:t>
      </w:r>
    </w:p>
    <w:p>
      <w:pPr>
        <w:spacing w:line="560" w:lineRule="exact"/>
        <w:ind w:firstLine="560" w:firstLineChars="200"/>
        <w:rPr>
          <w:rFonts w:ascii="宋体"/>
          <w:sz w:val="28"/>
          <w:szCs w:val="28"/>
        </w:rPr>
      </w:pPr>
      <w:r>
        <w:rPr>
          <w:rFonts w:ascii="宋体"/>
          <w:sz w:val="28"/>
          <w:szCs w:val="28"/>
        </w:rPr>
        <w:t>②指挥协调现场的抢险救灾工作，负责召集各部门和应急救援小组负责人研究抢险方案，制定具体抢险措施。</w:t>
      </w:r>
    </w:p>
    <w:p>
      <w:pPr>
        <w:spacing w:line="560" w:lineRule="exact"/>
        <w:ind w:firstLine="560" w:firstLineChars="200"/>
        <w:rPr>
          <w:rFonts w:ascii="宋体"/>
          <w:sz w:val="28"/>
          <w:szCs w:val="28"/>
        </w:rPr>
      </w:pPr>
      <w:r>
        <w:rPr>
          <w:rFonts w:ascii="宋体"/>
          <w:sz w:val="28"/>
          <w:szCs w:val="28"/>
        </w:rPr>
        <w:t>③协调公司各部门与相关单位、部门分工协作的工作；</w:t>
      </w:r>
    </w:p>
    <w:p>
      <w:pPr>
        <w:spacing w:line="560" w:lineRule="exact"/>
        <w:ind w:firstLine="560" w:firstLineChars="200"/>
        <w:rPr>
          <w:rFonts w:ascii="宋体"/>
          <w:sz w:val="28"/>
          <w:szCs w:val="28"/>
        </w:rPr>
      </w:pPr>
      <w:r>
        <w:rPr>
          <w:rFonts w:ascii="宋体"/>
          <w:sz w:val="28"/>
          <w:szCs w:val="28"/>
        </w:rPr>
        <w:t>④核实现场人员伤亡和损失情况，及时向总指挥汇报抢险救援工作及事故应急处理的进展情况；</w:t>
      </w:r>
    </w:p>
    <w:p>
      <w:pPr>
        <w:spacing w:line="560" w:lineRule="exact"/>
        <w:ind w:firstLine="560" w:firstLineChars="200"/>
        <w:rPr>
          <w:rFonts w:ascii="宋体"/>
          <w:sz w:val="28"/>
          <w:szCs w:val="28"/>
        </w:rPr>
      </w:pPr>
      <w:r>
        <w:rPr>
          <w:rFonts w:ascii="宋体"/>
          <w:sz w:val="28"/>
          <w:szCs w:val="28"/>
        </w:rPr>
        <w:t>⑤在应急终止后，负责组织事故现场的恢复工作。</w:t>
      </w:r>
    </w:p>
    <w:p>
      <w:pPr>
        <w:pStyle w:val="3"/>
        <w:widowControl/>
        <w:adjustRightInd w:val="0"/>
        <w:snapToGrid w:val="0"/>
        <w:spacing w:before="156" w:beforeLines="50" w:after="156" w:afterLines="50" w:line="240" w:lineRule="auto"/>
        <w:rPr>
          <w:rFonts w:ascii="黑体" w:cs="黑体"/>
          <w:bCs w:val="0"/>
          <w:sz w:val="28"/>
          <w:szCs w:val="28"/>
        </w:rPr>
      </w:pPr>
      <w:bookmarkStart w:id="61" w:name="_Toc301471196"/>
      <w:bookmarkStart w:id="62" w:name="_Toc7545"/>
      <w:bookmarkStart w:id="63" w:name="_Toc297111440"/>
      <w:bookmarkStart w:id="64" w:name="_Toc457383988"/>
      <w:bookmarkStart w:id="65" w:name="_Toc373506206"/>
      <w:r>
        <w:rPr>
          <w:rFonts w:hint="eastAsia" w:ascii="黑体" w:cs="黑体"/>
          <w:bCs w:val="0"/>
          <w:sz w:val="28"/>
          <w:szCs w:val="28"/>
        </w:rPr>
        <w:t>3.4抢险救援组职责</w:t>
      </w:r>
      <w:bookmarkEnd w:id="61"/>
      <w:bookmarkEnd w:id="62"/>
      <w:bookmarkEnd w:id="63"/>
      <w:bookmarkEnd w:id="64"/>
      <w:bookmarkEnd w:id="65"/>
    </w:p>
    <w:p>
      <w:pPr>
        <w:spacing w:line="560" w:lineRule="exact"/>
        <w:ind w:firstLine="560" w:firstLineChars="200"/>
        <w:rPr>
          <w:rFonts w:ascii="宋体"/>
          <w:sz w:val="28"/>
          <w:szCs w:val="28"/>
        </w:rPr>
      </w:pPr>
      <w:r>
        <w:rPr>
          <w:rFonts w:ascii="宋体"/>
          <w:sz w:val="28"/>
          <w:szCs w:val="28"/>
        </w:rPr>
        <w:t>1）执行</w:t>
      </w:r>
      <w:r>
        <w:rPr>
          <w:rFonts w:hint="eastAsia" w:ascii="宋体"/>
          <w:sz w:val="28"/>
          <w:szCs w:val="28"/>
        </w:rPr>
        <w:t>事故应急救援指挥部</w:t>
      </w:r>
      <w:r>
        <w:rPr>
          <w:rFonts w:ascii="宋体"/>
          <w:sz w:val="28"/>
          <w:szCs w:val="28"/>
        </w:rPr>
        <w:t>指令，及时报告事故处置情况；</w:t>
      </w:r>
    </w:p>
    <w:p>
      <w:pPr>
        <w:spacing w:line="560" w:lineRule="exact"/>
        <w:ind w:firstLine="560" w:firstLineChars="200"/>
        <w:rPr>
          <w:rFonts w:ascii="宋体"/>
          <w:sz w:val="28"/>
          <w:szCs w:val="28"/>
        </w:rPr>
      </w:pPr>
      <w:r>
        <w:rPr>
          <w:rFonts w:ascii="宋体"/>
          <w:sz w:val="28"/>
          <w:szCs w:val="28"/>
        </w:rPr>
        <w:t>2）落实配备</w:t>
      </w:r>
      <w:r>
        <w:rPr>
          <w:rFonts w:hint="eastAsia" w:ascii="宋体"/>
          <w:sz w:val="28"/>
          <w:szCs w:val="28"/>
        </w:rPr>
        <w:t>抢险</w:t>
      </w:r>
      <w:r>
        <w:rPr>
          <w:rFonts w:ascii="宋体"/>
          <w:sz w:val="28"/>
          <w:szCs w:val="28"/>
        </w:rPr>
        <w:t>救灾所需的装置设施、物资及个体防护设备；</w:t>
      </w:r>
    </w:p>
    <w:p>
      <w:pPr>
        <w:spacing w:line="560" w:lineRule="exact"/>
        <w:ind w:firstLine="560" w:firstLineChars="200"/>
        <w:rPr>
          <w:rFonts w:ascii="宋体"/>
          <w:sz w:val="28"/>
          <w:szCs w:val="28"/>
        </w:rPr>
      </w:pPr>
      <w:r>
        <w:rPr>
          <w:rFonts w:ascii="宋体"/>
          <w:sz w:val="28"/>
          <w:szCs w:val="28"/>
        </w:rPr>
        <w:t>3）负责抢救遇险人员；</w:t>
      </w:r>
    </w:p>
    <w:p>
      <w:pPr>
        <w:spacing w:line="560" w:lineRule="exact"/>
        <w:ind w:firstLine="560" w:firstLineChars="200"/>
        <w:rPr>
          <w:rFonts w:ascii="宋体"/>
          <w:sz w:val="28"/>
          <w:szCs w:val="28"/>
        </w:rPr>
      </w:pPr>
      <w:r>
        <w:rPr>
          <w:rFonts w:ascii="宋体"/>
          <w:sz w:val="28"/>
          <w:szCs w:val="28"/>
        </w:rPr>
        <w:t>4）负责排险、控险等现场救援工作；</w:t>
      </w:r>
    </w:p>
    <w:p>
      <w:pPr>
        <w:spacing w:line="560" w:lineRule="exact"/>
        <w:ind w:firstLine="560" w:firstLineChars="200"/>
        <w:rPr>
          <w:rFonts w:ascii="宋体"/>
          <w:sz w:val="28"/>
          <w:szCs w:val="28"/>
        </w:rPr>
      </w:pPr>
      <w:r>
        <w:rPr>
          <w:rFonts w:ascii="宋体"/>
          <w:sz w:val="28"/>
          <w:szCs w:val="28"/>
        </w:rPr>
        <w:t>5）负责事故现场转移物资；</w:t>
      </w:r>
    </w:p>
    <w:p>
      <w:pPr>
        <w:spacing w:line="560" w:lineRule="exact"/>
        <w:ind w:firstLine="560" w:firstLineChars="200"/>
        <w:rPr>
          <w:rFonts w:ascii="宋体"/>
          <w:sz w:val="28"/>
          <w:szCs w:val="28"/>
        </w:rPr>
      </w:pPr>
      <w:r>
        <w:rPr>
          <w:rFonts w:ascii="宋体"/>
          <w:sz w:val="28"/>
          <w:szCs w:val="28"/>
        </w:rPr>
        <w:t>6）负责泄漏现场处置工作；</w:t>
      </w:r>
    </w:p>
    <w:p>
      <w:pPr>
        <w:spacing w:line="560" w:lineRule="exact"/>
        <w:ind w:firstLine="560" w:firstLineChars="200"/>
        <w:rPr>
          <w:rFonts w:ascii="宋体"/>
          <w:sz w:val="28"/>
          <w:szCs w:val="28"/>
        </w:rPr>
      </w:pPr>
      <w:r>
        <w:rPr>
          <w:rFonts w:ascii="宋体"/>
          <w:sz w:val="28"/>
          <w:szCs w:val="28"/>
        </w:rPr>
        <w:t>7）负责事故后现场的消洗清理工作。</w:t>
      </w:r>
    </w:p>
    <w:p>
      <w:pPr>
        <w:pStyle w:val="3"/>
        <w:widowControl/>
        <w:adjustRightInd w:val="0"/>
        <w:snapToGrid w:val="0"/>
        <w:spacing w:before="156" w:beforeLines="50" w:after="156" w:afterLines="50" w:line="240" w:lineRule="auto"/>
        <w:rPr>
          <w:rFonts w:ascii="黑体" w:cs="黑体"/>
          <w:bCs w:val="0"/>
          <w:sz w:val="28"/>
          <w:szCs w:val="28"/>
        </w:rPr>
      </w:pPr>
      <w:bookmarkStart w:id="66" w:name="_Toc219045344"/>
      <w:bookmarkStart w:id="67" w:name="_Toc301471197"/>
      <w:bookmarkStart w:id="68" w:name="_Toc457383989"/>
      <w:bookmarkStart w:id="69" w:name="_Toc8037"/>
      <w:bookmarkStart w:id="70" w:name="_Toc297111441"/>
      <w:bookmarkStart w:id="71" w:name="_Toc373506207"/>
      <w:r>
        <w:rPr>
          <w:rFonts w:hint="eastAsia" w:ascii="黑体" w:cs="黑体"/>
          <w:bCs w:val="0"/>
          <w:sz w:val="28"/>
          <w:szCs w:val="28"/>
        </w:rPr>
        <w:t>3.5警戒疏散组</w:t>
      </w:r>
      <w:bookmarkEnd w:id="66"/>
      <w:r>
        <w:rPr>
          <w:rFonts w:hint="eastAsia" w:ascii="黑体" w:cs="黑体"/>
          <w:bCs w:val="0"/>
          <w:sz w:val="28"/>
          <w:szCs w:val="28"/>
        </w:rPr>
        <w:t>职责</w:t>
      </w:r>
      <w:bookmarkEnd w:id="67"/>
      <w:bookmarkEnd w:id="68"/>
      <w:bookmarkEnd w:id="69"/>
      <w:bookmarkEnd w:id="70"/>
      <w:bookmarkEnd w:id="71"/>
    </w:p>
    <w:p>
      <w:pPr>
        <w:spacing w:line="560" w:lineRule="exact"/>
        <w:ind w:firstLine="560" w:firstLineChars="200"/>
        <w:rPr>
          <w:rFonts w:ascii="宋体"/>
          <w:sz w:val="28"/>
          <w:szCs w:val="28"/>
        </w:rPr>
      </w:pPr>
      <w:r>
        <w:rPr>
          <w:rFonts w:ascii="宋体"/>
          <w:sz w:val="28"/>
          <w:szCs w:val="28"/>
        </w:rPr>
        <w:t>1）执行</w:t>
      </w:r>
      <w:r>
        <w:rPr>
          <w:rFonts w:hint="eastAsia" w:ascii="宋体"/>
          <w:sz w:val="28"/>
          <w:szCs w:val="28"/>
        </w:rPr>
        <w:t>事故应急救援指挥部</w:t>
      </w:r>
      <w:r>
        <w:rPr>
          <w:rFonts w:ascii="宋体"/>
          <w:sz w:val="28"/>
          <w:szCs w:val="28"/>
        </w:rPr>
        <w:t>的指令；</w:t>
      </w:r>
    </w:p>
    <w:p>
      <w:pPr>
        <w:spacing w:line="560" w:lineRule="exact"/>
        <w:ind w:firstLine="560" w:firstLineChars="200"/>
        <w:rPr>
          <w:rFonts w:ascii="宋体"/>
          <w:sz w:val="28"/>
          <w:szCs w:val="28"/>
        </w:rPr>
      </w:pPr>
      <w:r>
        <w:rPr>
          <w:rFonts w:ascii="宋体"/>
          <w:sz w:val="28"/>
          <w:szCs w:val="28"/>
        </w:rPr>
        <w:t>2）负责事故现场的警戒和治安保卫工作，划出警戒区域；</w:t>
      </w:r>
    </w:p>
    <w:p>
      <w:pPr>
        <w:spacing w:line="560" w:lineRule="exact"/>
        <w:ind w:firstLine="560" w:firstLineChars="200"/>
        <w:rPr>
          <w:rFonts w:ascii="宋体"/>
          <w:sz w:val="28"/>
          <w:szCs w:val="28"/>
        </w:rPr>
      </w:pPr>
      <w:r>
        <w:rPr>
          <w:rFonts w:ascii="宋体"/>
          <w:sz w:val="28"/>
          <w:szCs w:val="28"/>
        </w:rPr>
        <w:t>3）负责人员疏散，清点疏散人数，统计伤亡人数；</w:t>
      </w:r>
    </w:p>
    <w:p>
      <w:pPr>
        <w:spacing w:line="560" w:lineRule="exact"/>
        <w:ind w:firstLine="560" w:firstLineChars="200"/>
        <w:rPr>
          <w:rFonts w:ascii="宋体"/>
          <w:sz w:val="28"/>
          <w:szCs w:val="28"/>
        </w:rPr>
      </w:pPr>
      <w:r>
        <w:rPr>
          <w:rFonts w:ascii="宋体"/>
          <w:sz w:val="28"/>
          <w:szCs w:val="28"/>
        </w:rPr>
        <w:t xml:space="preserve">4）负责维持事故现场秩序； </w:t>
      </w:r>
    </w:p>
    <w:p>
      <w:pPr>
        <w:spacing w:line="560" w:lineRule="exact"/>
        <w:ind w:firstLine="560" w:firstLineChars="200"/>
        <w:rPr>
          <w:rFonts w:ascii="宋体"/>
          <w:sz w:val="28"/>
          <w:szCs w:val="28"/>
        </w:rPr>
      </w:pPr>
      <w:r>
        <w:rPr>
          <w:rFonts w:ascii="宋体"/>
          <w:sz w:val="28"/>
          <w:szCs w:val="28"/>
        </w:rPr>
        <w:t>5）保护事故现场；</w:t>
      </w:r>
    </w:p>
    <w:p>
      <w:pPr>
        <w:spacing w:line="560" w:lineRule="exact"/>
        <w:ind w:firstLine="560" w:firstLineChars="200"/>
        <w:rPr>
          <w:rFonts w:ascii="宋体"/>
          <w:sz w:val="28"/>
          <w:szCs w:val="28"/>
        </w:rPr>
      </w:pPr>
      <w:r>
        <w:rPr>
          <w:rFonts w:ascii="宋体"/>
          <w:sz w:val="28"/>
          <w:szCs w:val="28"/>
        </w:rPr>
        <w:t>6）保障救援现场道路交通畅通无阻；</w:t>
      </w:r>
    </w:p>
    <w:p>
      <w:pPr>
        <w:spacing w:line="560" w:lineRule="exact"/>
        <w:ind w:firstLine="560" w:firstLineChars="200"/>
        <w:rPr>
          <w:rFonts w:ascii="宋体"/>
          <w:sz w:val="28"/>
          <w:szCs w:val="28"/>
        </w:rPr>
      </w:pPr>
      <w:r>
        <w:rPr>
          <w:rFonts w:ascii="宋体"/>
          <w:sz w:val="28"/>
          <w:szCs w:val="28"/>
        </w:rPr>
        <w:t>7）负责引导消防车、救护车、外援抢险车辆进入公司。</w:t>
      </w:r>
    </w:p>
    <w:p>
      <w:pPr>
        <w:pStyle w:val="3"/>
        <w:widowControl/>
        <w:adjustRightInd w:val="0"/>
        <w:snapToGrid w:val="0"/>
        <w:spacing w:before="156" w:beforeLines="50" w:after="156" w:afterLines="50" w:line="240" w:lineRule="auto"/>
        <w:rPr>
          <w:rFonts w:ascii="黑体" w:cs="黑体"/>
          <w:bCs w:val="0"/>
          <w:sz w:val="28"/>
          <w:szCs w:val="28"/>
        </w:rPr>
      </w:pPr>
      <w:bookmarkStart w:id="72" w:name="_Toc219045345"/>
      <w:bookmarkStart w:id="73" w:name="_Toc12411"/>
      <w:bookmarkStart w:id="74" w:name="_Toc301471198"/>
      <w:bookmarkStart w:id="75" w:name="_Toc297111442"/>
      <w:bookmarkStart w:id="76" w:name="_Toc373506208"/>
      <w:bookmarkStart w:id="77" w:name="_Toc457383990"/>
      <w:r>
        <w:rPr>
          <w:rFonts w:hint="eastAsia" w:ascii="黑体" w:cs="黑体"/>
          <w:bCs w:val="0"/>
          <w:sz w:val="28"/>
          <w:szCs w:val="28"/>
        </w:rPr>
        <w:t>3.6后勤保障组</w:t>
      </w:r>
      <w:bookmarkEnd w:id="72"/>
      <w:r>
        <w:rPr>
          <w:rFonts w:hint="eastAsia" w:ascii="黑体" w:cs="黑体"/>
          <w:bCs w:val="0"/>
          <w:sz w:val="28"/>
          <w:szCs w:val="28"/>
        </w:rPr>
        <w:t>职责</w:t>
      </w:r>
      <w:bookmarkEnd w:id="73"/>
      <w:bookmarkEnd w:id="74"/>
      <w:bookmarkEnd w:id="75"/>
      <w:bookmarkEnd w:id="76"/>
      <w:bookmarkEnd w:id="77"/>
    </w:p>
    <w:p>
      <w:pPr>
        <w:spacing w:line="560" w:lineRule="exact"/>
        <w:ind w:firstLine="560" w:firstLineChars="200"/>
        <w:rPr>
          <w:rFonts w:ascii="宋体"/>
          <w:sz w:val="28"/>
          <w:szCs w:val="28"/>
        </w:rPr>
      </w:pPr>
      <w:r>
        <w:rPr>
          <w:rFonts w:ascii="宋体"/>
          <w:sz w:val="28"/>
          <w:szCs w:val="28"/>
        </w:rPr>
        <w:t>1）执行</w:t>
      </w:r>
      <w:r>
        <w:rPr>
          <w:rFonts w:hint="eastAsia" w:ascii="宋体"/>
          <w:sz w:val="28"/>
          <w:szCs w:val="28"/>
        </w:rPr>
        <w:t>事故应急救援指挥部</w:t>
      </w:r>
      <w:r>
        <w:rPr>
          <w:rFonts w:ascii="宋体"/>
          <w:sz w:val="28"/>
          <w:szCs w:val="28"/>
        </w:rPr>
        <w:t>的指令；</w:t>
      </w:r>
    </w:p>
    <w:p>
      <w:pPr>
        <w:spacing w:line="560" w:lineRule="exact"/>
        <w:ind w:firstLine="560" w:firstLineChars="200"/>
        <w:rPr>
          <w:rFonts w:ascii="宋体"/>
          <w:sz w:val="28"/>
          <w:szCs w:val="28"/>
        </w:rPr>
      </w:pPr>
      <w:r>
        <w:rPr>
          <w:rFonts w:ascii="宋体"/>
          <w:sz w:val="28"/>
          <w:szCs w:val="28"/>
        </w:rPr>
        <w:t>2）负责受伤人员的救护工作；</w:t>
      </w:r>
    </w:p>
    <w:p>
      <w:pPr>
        <w:spacing w:line="560" w:lineRule="exact"/>
        <w:ind w:firstLine="560" w:firstLineChars="200"/>
        <w:rPr>
          <w:rFonts w:ascii="宋体"/>
          <w:sz w:val="28"/>
          <w:szCs w:val="28"/>
        </w:rPr>
      </w:pPr>
      <w:r>
        <w:rPr>
          <w:rFonts w:ascii="宋体"/>
          <w:sz w:val="28"/>
          <w:szCs w:val="28"/>
        </w:rPr>
        <w:t>3）负责接送受伤人员到医院急救；</w:t>
      </w:r>
    </w:p>
    <w:p>
      <w:pPr>
        <w:spacing w:line="560" w:lineRule="exact"/>
        <w:ind w:firstLine="560" w:firstLineChars="200"/>
        <w:rPr>
          <w:rFonts w:ascii="宋体"/>
          <w:sz w:val="28"/>
          <w:szCs w:val="28"/>
        </w:rPr>
      </w:pPr>
      <w:r>
        <w:rPr>
          <w:rFonts w:ascii="宋体"/>
          <w:sz w:val="28"/>
          <w:szCs w:val="28"/>
        </w:rPr>
        <w:t xml:space="preserve">4）负责抢险物资、设备设施、防护用品及抢险救灾人员食物及生活用品供应等后勤保障工作； </w:t>
      </w:r>
    </w:p>
    <w:p>
      <w:pPr>
        <w:spacing w:line="560" w:lineRule="exact"/>
        <w:ind w:firstLine="560" w:firstLineChars="200"/>
        <w:rPr>
          <w:rFonts w:ascii="宋体"/>
          <w:sz w:val="28"/>
          <w:szCs w:val="28"/>
        </w:rPr>
      </w:pPr>
      <w:r>
        <w:rPr>
          <w:rFonts w:ascii="宋体"/>
          <w:sz w:val="28"/>
          <w:szCs w:val="28"/>
        </w:rPr>
        <w:t>5）负责受灾人员安置及物资供应等工作；</w:t>
      </w:r>
    </w:p>
    <w:p>
      <w:pPr>
        <w:spacing w:line="560" w:lineRule="exact"/>
        <w:ind w:firstLine="560" w:firstLineChars="200"/>
        <w:rPr>
          <w:rFonts w:ascii="宋体"/>
          <w:sz w:val="28"/>
          <w:szCs w:val="28"/>
        </w:rPr>
      </w:pPr>
      <w:r>
        <w:rPr>
          <w:rFonts w:ascii="宋体"/>
          <w:sz w:val="28"/>
          <w:szCs w:val="28"/>
        </w:rPr>
        <w:t>6）负责灾后保险理赔工作；</w:t>
      </w:r>
    </w:p>
    <w:p>
      <w:pPr>
        <w:spacing w:line="560" w:lineRule="exact"/>
        <w:ind w:firstLine="560" w:firstLineChars="200"/>
        <w:rPr>
          <w:rFonts w:ascii="宋体"/>
          <w:sz w:val="28"/>
          <w:szCs w:val="28"/>
        </w:rPr>
      </w:pPr>
      <w:r>
        <w:rPr>
          <w:rFonts w:ascii="宋体"/>
          <w:sz w:val="28"/>
          <w:szCs w:val="28"/>
        </w:rPr>
        <w:t>7）负责抢险物资、设备设施、防护用品日常检查、补充、维护、保养工作。</w:t>
      </w:r>
    </w:p>
    <w:p>
      <w:pPr>
        <w:pStyle w:val="3"/>
        <w:widowControl/>
        <w:adjustRightInd w:val="0"/>
        <w:snapToGrid w:val="0"/>
        <w:spacing w:before="156" w:beforeLines="50" w:after="156" w:afterLines="50" w:line="240" w:lineRule="auto"/>
        <w:rPr>
          <w:rFonts w:ascii="黑体" w:cs="黑体"/>
          <w:bCs w:val="0"/>
          <w:sz w:val="28"/>
          <w:szCs w:val="28"/>
        </w:rPr>
      </w:pPr>
      <w:bookmarkStart w:id="78" w:name="_Toc373506209"/>
      <w:bookmarkStart w:id="79" w:name="_Toc1688"/>
      <w:bookmarkStart w:id="80" w:name="_Toc457383991"/>
      <w:r>
        <w:rPr>
          <w:rFonts w:hint="eastAsia" w:ascii="黑体" w:cs="黑体"/>
          <w:bCs w:val="0"/>
          <w:sz w:val="28"/>
          <w:szCs w:val="28"/>
        </w:rPr>
        <w:t>3.7通讯联络组职责</w:t>
      </w:r>
      <w:bookmarkEnd w:id="78"/>
      <w:bookmarkEnd w:id="79"/>
      <w:bookmarkEnd w:id="80"/>
    </w:p>
    <w:p>
      <w:pPr>
        <w:spacing w:line="560" w:lineRule="exact"/>
        <w:ind w:firstLine="560" w:firstLineChars="200"/>
        <w:rPr>
          <w:rFonts w:ascii="宋体"/>
          <w:sz w:val="28"/>
          <w:szCs w:val="28"/>
        </w:rPr>
      </w:pPr>
      <w:r>
        <w:rPr>
          <w:rFonts w:hint="eastAsia" w:ascii="宋体"/>
          <w:sz w:val="28"/>
          <w:szCs w:val="28"/>
        </w:rPr>
        <w:t>负责抢险队的组织及现场抢救，指挥，随时向总指挥、副总指挥汇报，负责按指挥部命令进行上、下级的联系，做好抢险工作的记录，协助检查预案，执行情况，根据技术人员的意见，随时向指挥部汇报。</w:t>
      </w:r>
    </w:p>
    <w:p>
      <w:pPr>
        <w:spacing w:line="560" w:lineRule="exact"/>
        <w:ind w:firstLine="560" w:firstLineChars="200"/>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pStyle w:val="2"/>
        <w:widowControl/>
        <w:adjustRightInd w:val="0"/>
        <w:snapToGrid w:val="0"/>
        <w:spacing w:before="156" w:beforeLines="50" w:after="156" w:afterLines="50" w:line="240" w:lineRule="auto"/>
        <w:jc w:val="center"/>
        <w:rPr>
          <w:rFonts w:ascii="楷体" w:eastAsia="楷体" w:cs="楷体"/>
          <w:bCs w:val="0"/>
          <w:kern w:val="0"/>
          <w:sz w:val="32"/>
          <w:szCs w:val="32"/>
        </w:rPr>
      </w:pPr>
      <w:bookmarkStart w:id="81" w:name="_Toc31947"/>
      <w:r>
        <w:rPr>
          <w:rFonts w:hint="eastAsia" w:ascii="楷体" w:eastAsia="楷体" w:cs="楷体"/>
          <w:bCs w:val="0"/>
          <w:kern w:val="0"/>
          <w:sz w:val="32"/>
          <w:szCs w:val="32"/>
        </w:rPr>
        <w:t>4可以请求外部援助的应急资源状况</w:t>
      </w:r>
      <w:bookmarkEnd w:id="81"/>
    </w:p>
    <w:p>
      <w:pPr>
        <w:pStyle w:val="3"/>
        <w:widowControl/>
        <w:adjustRightInd w:val="0"/>
        <w:snapToGrid w:val="0"/>
        <w:spacing w:before="156" w:beforeLines="50" w:after="156" w:afterLines="50" w:line="240" w:lineRule="auto"/>
        <w:rPr>
          <w:rFonts w:ascii="黑体" w:cs="黑体"/>
          <w:bCs w:val="0"/>
          <w:sz w:val="28"/>
          <w:szCs w:val="28"/>
        </w:rPr>
      </w:pPr>
      <w:bookmarkStart w:id="82" w:name="_Toc27914"/>
      <w:r>
        <w:rPr>
          <w:rFonts w:hint="eastAsia" w:ascii="黑体" w:cs="黑体"/>
          <w:bCs w:val="0"/>
          <w:sz w:val="28"/>
          <w:szCs w:val="28"/>
        </w:rPr>
        <w:t>4</w:t>
      </w:r>
      <w:r>
        <w:rPr>
          <w:rFonts w:ascii="黑体" w:cs="黑体"/>
          <w:bCs w:val="0"/>
          <w:sz w:val="28"/>
          <w:szCs w:val="28"/>
        </w:rPr>
        <w:t>.1</w:t>
      </w:r>
      <w:r>
        <w:rPr>
          <w:rFonts w:hint="eastAsia" w:ascii="黑体" w:cs="黑体"/>
          <w:bCs w:val="0"/>
          <w:sz w:val="28"/>
          <w:szCs w:val="28"/>
        </w:rPr>
        <w:t xml:space="preserve"> </w:t>
      </w:r>
      <w:r>
        <w:rPr>
          <w:rFonts w:ascii="黑体" w:cs="黑体"/>
          <w:bCs w:val="0"/>
          <w:sz w:val="28"/>
          <w:szCs w:val="28"/>
        </w:rPr>
        <w:t>外部救援</w:t>
      </w:r>
      <w:bookmarkEnd w:id="82"/>
    </w:p>
    <w:p>
      <w:pPr>
        <w:ind w:firstLine="560" w:firstLineChars="200"/>
      </w:pPr>
      <w:bookmarkStart w:id="83" w:name="_Toc25880"/>
      <w:r>
        <w:rPr>
          <w:rFonts w:hint="eastAsia" w:ascii="黑体" w:hAnsi="黑体" w:cs="黑体"/>
          <w:sz w:val="28"/>
          <w:szCs w:val="28"/>
        </w:rPr>
        <w:t>加油站周边的居民住宅区，主要外部救援依托于政府部门。</w:t>
      </w:r>
    </w:p>
    <w:p>
      <w:pPr>
        <w:spacing w:line="560" w:lineRule="exact"/>
        <w:ind w:firstLine="560" w:firstLineChars="200"/>
        <w:rPr>
          <w:rFonts w:ascii="宋体"/>
          <w:sz w:val="28"/>
          <w:szCs w:val="28"/>
        </w:rPr>
      </w:pPr>
      <w:r>
        <w:rPr>
          <w:rFonts w:hint="eastAsia" w:ascii="宋体"/>
          <w:sz w:val="28"/>
          <w:szCs w:val="28"/>
        </w:rPr>
        <w:t>1）</w:t>
      </w:r>
      <w:r>
        <w:rPr>
          <w:rFonts w:ascii="宋体"/>
          <w:sz w:val="28"/>
          <w:szCs w:val="28"/>
        </w:rPr>
        <w:t>请求政府协调应急救援力量</w:t>
      </w:r>
    </w:p>
    <w:p>
      <w:pPr>
        <w:spacing w:line="560" w:lineRule="exact"/>
        <w:ind w:firstLine="560" w:firstLineChars="200"/>
        <w:rPr>
          <w:rFonts w:ascii="宋体"/>
          <w:sz w:val="28"/>
          <w:szCs w:val="28"/>
        </w:rPr>
      </w:pPr>
      <w:r>
        <w:rPr>
          <w:rFonts w:hint="eastAsia" w:ascii="宋体"/>
          <w:sz w:val="28"/>
          <w:szCs w:val="28"/>
        </w:rPr>
        <w:t>当</w:t>
      </w:r>
      <w:r>
        <w:rPr>
          <w:rFonts w:ascii="宋体"/>
          <w:sz w:val="28"/>
          <w:szCs w:val="28"/>
        </w:rPr>
        <w:t>事故扩大需要外部力量救援时，报告</w:t>
      </w:r>
      <w:r>
        <w:rPr>
          <w:rFonts w:hint="eastAsia" w:ascii="宋体"/>
          <w:sz w:val="28"/>
          <w:szCs w:val="28"/>
        </w:rPr>
        <w:t>仪陇县</w:t>
      </w:r>
      <w:r>
        <w:rPr>
          <w:rFonts w:ascii="宋体"/>
          <w:sz w:val="28"/>
          <w:szCs w:val="28"/>
        </w:rPr>
        <w:t>人民政府，由</w:t>
      </w:r>
      <w:r>
        <w:rPr>
          <w:rFonts w:hint="eastAsia" w:ascii="宋体"/>
          <w:sz w:val="28"/>
          <w:szCs w:val="28"/>
        </w:rPr>
        <w:t>仪陇县</w:t>
      </w:r>
      <w:r>
        <w:rPr>
          <w:rFonts w:ascii="宋体"/>
          <w:sz w:val="28"/>
          <w:szCs w:val="28"/>
        </w:rPr>
        <w:t>人民政府调动相关政府部门进行全力支持和救护，主要参与部门有</w:t>
      </w:r>
      <w:r>
        <w:rPr>
          <w:rFonts w:hint="eastAsia" w:ascii="宋体"/>
          <w:sz w:val="28"/>
          <w:szCs w:val="28"/>
        </w:rPr>
        <w:t>：</w:t>
      </w:r>
    </w:p>
    <w:p>
      <w:pPr>
        <w:pStyle w:val="17"/>
        <w:numPr>
          <w:ilvl w:val="0"/>
          <w:numId w:val="1"/>
        </w:numPr>
        <w:spacing w:line="560" w:lineRule="exact"/>
        <w:ind w:firstLineChars="0"/>
        <w:rPr>
          <w:rFonts w:hint="eastAsia" w:ascii="宋体"/>
          <w:sz w:val="28"/>
          <w:szCs w:val="28"/>
        </w:rPr>
      </w:pPr>
      <w:r>
        <w:rPr>
          <w:rFonts w:ascii="宋体"/>
          <w:sz w:val="28"/>
          <w:szCs w:val="28"/>
        </w:rPr>
        <w:t>消防队：发生事故时，进行遇险人员的救护</w:t>
      </w:r>
      <w:r>
        <w:rPr>
          <w:rFonts w:hint="eastAsia" w:ascii="宋体"/>
          <w:sz w:val="28"/>
          <w:szCs w:val="28"/>
        </w:rPr>
        <w:t>，仪陇县金城</w:t>
      </w:r>
    </w:p>
    <w:p>
      <w:pPr>
        <w:spacing w:line="560" w:lineRule="exact"/>
        <w:rPr>
          <w:rFonts w:ascii="宋体"/>
          <w:sz w:val="28"/>
          <w:szCs w:val="28"/>
        </w:rPr>
      </w:pPr>
      <w:r>
        <w:rPr>
          <w:rFonts w:hint="eastAsia" w:ascii="宋体"/>
          <w:sz w:val="28"/>
          <w:szCs w:val="28"/>
        </w:rPr>
        <w:t>镇公安消防中队距离我站约2KM，全路程用时5分钟左右即可到达进行灭火。</w:t>
      </w:r>
      <w:r>
        <w:rPr>
          <w:rFonts w:ascii="宋体"/>
          <w:sz w:val="28"/>
          <w:szCs w:val="28"/>
        </w:rPr>
        <w:t xml:space="preserve"> </w:t>
      </w:r>
    </w:p>
    <w:p>
      <w:pPr>
        <w:spacing w:line="560" w:lineRule="exact"/>
        <w:ind w:firstLine="560" w:firstLineChars="200"/>
        <w:rPr>
          <w:rFonts w:ascii="宋体"/>
          <w:sz w:val="28"/>
          <w:szCs w:val="28"/>
        </w:rPr>
      </w:pPr>
      <w:r>
        <w:rPr>
          <w:rFonts w:hint="eastAsia" w:ascii="宋体"/>
          <w:sz w:val="28"/>
          <w:szCs w:val="28"/>
        </w:rPr>
        <w:t>②</w:t>
      </w:r>
      <w:r>
        <w:rPr>
          <w:rFonts w:ascii="宋体"/>
          <w:sz w:val="28"/>
          <w:szCs w:val="28"/>
        </w:rPr>
        <w:t>医疗单位：提供伤员的治疗服务和现场救护所需要的药品和人员</w:t>
      </w:r>
      <w:r>
        <w:rPr>
          <w:rFonts w:hint="eastAsia" w:ascii="宋体"/>
          <w:sz w:val="28"/>
          <w:szCs w:val="28"/>
        </w:rPr>
        <w:t>，县人民医院距离我站约45KM，全路程用时35分钟左右即可到达进行救护。</w:t>
      </w:r>
    </w:p>
    <w:p>
      <w:pPr>
        <w:spacing w:line="560" w:lineRule="exact"/>
        <w:ind w:firstLine="560" w:firstLineChars="200"/>
        <w:rPr>
          <w:rFonts w:ascii="宋体"/>
          <w:sz w:val="28"/>
          <w:szCs w:val="28"/>
        </w:rPr>
      </w:pPr>
      <w:r>
        <w:rPr>
          <w:rFonts w:hint="eastAsia" w:ascii="宋体"/>
          <w:sz w:val="28"/>
          <w:szCs w:val="28"/>
        </w:rPr>
        <w:t>③安监部门：组织应急救援专家提供应急救援处置措施和方法，仪陇县安监局距离我站约45KM，全路程用时35分钟左右即可到达现场。</w:t>
      </w:r>
    </w:p>
    <w:p>
      <w:pPr>
        <w:rPr>
          <w:rFonts w:ascii="黑体" w:cs="黑体"/>
          <w:bCs/>
          <w:sz w:val="28"/>
          <w:szCs w:val="28"/>
        </w:rPr>
      </w:pPr>
      <w:r>
        <w:rPr>
          <w:rFonts w:hint="eastAsia" w:ascii="黑体" w:cs="黑体"/>
          <w:sz w:val="28"/>
          <w:szCs w:val="28"/>
        </w:rPr>
        <w:t>4</w:t>
      </w:r>
      <w:r>
        <w:rPr>
          <w:rFonts w:ascii="黑体" w:cs="黑体"/>
          <w:sz w:val="28"/>
          <w:szCs w:val="28"/>
        </w:rPr>
        <w:t>.2</w:t>
      </w:r>
      <w:r>
        <w:rPr>
          <w:rFonts w:hint="eastAsia" w:ascii="黑体" w:cs="黑体"/>
          <w:sz w:val="28"/>
          <w:szCs w:val="28"/>
        </w:rPr>
        <w:t xml:space="preserve"> </w:t>
      </w:r>
      <w:r>
        <w:rPr>
          <w:rFonts w:ascii="黑体" w:cs="黑体"/>
          <w:sz w:val="28"/>
          <w:szCs w:val="28"/>
        </w:rPr>
        <w:t>外部应急有关单位联系电话</w:t>
      </w:r>
      <w:bookmarkEnd w:id="83"/>
    </w:p>
    <w:p>
      <w:pPr>
        <w:spacing w:line="360" w:lineRule="auto"/>
        <w:jc w:val="center"/>
        <w:rPr>
          <w:rFonts w:ascii="黑体" w:eastAsia="黑体"/>
          <w:b/>
          <w:sz w:val="24"/>
        </w:rPr>
      </w:pPr>
      <w:r>
        <w:rPr>
          <w:rFonts w:hint="eastAsia" w:ascii="黑体" w:eastAsia="黑体"/>
          <w:b/>
          <w:sz w:val="24"/>
        </w:rPr>
        <w:t>表5-3 外部联系方式</w:t>
      </w:r>
    </w:p>
    <w:p>
      <w:pPr>
        <w:ind w:firstLine="564"/>
        <w:rPr>
          <w:kern w:val="0"/>
          <w:sz w:val="28"/>
          <w:szCs w:val="28"/>
        </w:rPr>
      </w:pPr>
      <w:r>
        <w:rPr>
          <w:rFonts w:hint="eastAsia"/>
          <w:kern w:val="0"/>
          <w:sz w:val="28"/>
          <w:szCs w:val="28"/>
        </w:rPr>
        <w:t>加油站值班电话：</w:t>
      </w:r>
      <w:r>
        <w:rPr>
          <w:kern w:val="0"/>
          <w:sz w:val="28"/>
          <w:szCs w:val="28"/>
        </w:rPr>
        <w:t>0817</w:t>
      </w:r>
      <w:r>
        <w:rPr>
          <w:rFonts w:hint="eastAsia"/>
          <w:kern w:val="0"/>
          <w:sz w:val="28"/>
          <w:szCs w:val="28"/>
        </w:rPr>
        <w:t>-</w:t>
      </w:r>
      <w:r>
        <w:rPr>
          <w:kern w:val="0"/>
          <w:sz w:val="28"/>
          <w:szCs w:val="28"/>
        </w:rPr>
        <w:t>7214885</w:t>
      </w:r>
    </w:p>
    <w:p>
      <w:pPr>
        <w:ind w:firstLine="564"/>
        <w:rPr>
          <w:kern w:val="0"/>
          <w:sz w:val="28"/>
          <w:szCs w:val="28"/>
        </w:rPr>
      </w:pPr>
      <w:r>
        <w:rPr>
          <w:rFonts w:hint="eastAsia"/>
          <w:kern w:val="0"/>
          <w:sz w:val="28"/>
          <w:szCs w:val="28"/>
        </w:rPr>
        <w:t>南充市安监局</w:t>
      </w:r>
      <w:r>
        <w:rPr>
          <w:rFonts w:hint="eastAsia"/>
          <w:kern w:val="0"/>
          <w:sz w:val="28"/>
          <w:szCs w:val="28"/>
        </w:rPr>
        <w:tab/>
      </w:r>
      <w:r>
        <w:rPr>
          <w:rFonts w:hint="eastAsia"/>
          <w:kern w:val="0"/>
          <w:sz w:val="28"/>
          <w:szCs w:val="28"/>
        </w:rPr>
        <w:t>0817-2666957</w:t>
      </w:r>
    </w:p>
    <w:p>
      <w:pPr>
        <w:ind w:firstLine="564"/>
        <w:rPr>
          <w:kern w:val="0"/>
          <w:sz w:val="28"/>
          <w:szCs w:val="28"/>
        </w:rPr>
      </w:pPr>
      <w:r>
        <w:rPr>
          <w:rFonts w:hint="eastAsia"/>
          <w:kern w:val="0"/>
          <w:sz w:val="28"/>
          <w:szCs w:val="28"/>
        </w:rPr>
        <w:t>仪陇县人民政府办公室</w:t>
      </w:r>
      <w:r>
        <w:rPr>
          <w:rFonts w:hint="eastAsia"/>
          <w:kern w:val="0"/>
          <w:sz w:val="28"/>
          <w:szCs w:val="28"/>
        </w:rPr>
        <w:tab/>
      </w:r>
      <w:r>
        <w:rPr>
          <w:kern w:val="0"/>
          <w:sz w:val="28"/>
          <w:szCs w:val="28"/>
        </w:rPr>
        <w:t>0817-7222778</w:t>
      </w:r>
    </w:p>
    <w:p>
      <w:pPr>
        <w:ind w:firstLine="564"/>
        <w:rPr>
          <w:kern w:val="0"/>
          <w:sz w:val="28"/>
          <w:szCs w:val="28"/>
        </w:rPr>
      </w:pPr>
      <w:r>
        <w:rPr>
          <w:rFonts w:hint="eastAsia"/>
          <w:kern w:val="0"/>
          <w:sz w:val="28"/>
          <w:szCs w:val="28"/>
        </w:rPr>
        <w:t>仪陇县安监局电话：</w:t>
      </w:r>
      <w:r>
        <w:rPr>
          <w:kern w:val="0"/>
          <w:sz w:val="28"/>
          <w:szCs w:val="28"/>
        </w:rPr>
        <w:t>0817-7222203</w:t>
      </w:r>
    </w:p>
    <w:p>
      <w:pPr>
        <w:spacing w:line="560" w:lineRule="exact"/>
        <w:ind w:firstLine="560" w:firstLineChars="200"/>
        <w:rPr>
          <w:rFonts w:ascii="宋体"/>
          <w:sz w:val="28"/>
          <w:szCs w:val="28"/>
        </w:rPr>
      </w:pPr>
      <w:r>
        <w:rPr>
          <w:rFonts w:hint="eastAsia" w:ascii="宋体"/>
          <w:sz w:val="28"/>
          <w:szCs w:val="28"/>
        </w:rPr>
        <w:t>急性中毒、窒息事故：</w:t>
      </w:r>
      <w:r>
        <w:rPr>
          <w:rFonts w:ascii="宋体"/>
          <w:sz w:val="28"/>
          <w:szCs w:val="28"/>
        </w:rPr>
        <w:t>120</w:t>
      </w:r>
      <w:r>
        <w:rPr>
          <w:rFonts w:hint="eastAsia" w:ascii="宋体"/>
          <w:sz w:val="28"/>
          <w:szCs w:val="28"/>
        </w:rPr>
        <w:t>（急救中心）、</w:t>
      </w:r>
      <w:r>
        <w:rPr>
          <w:rFonts w:ascii="宋体"/>
          <w:sz w:val="28"/>
          <w:szCs w:val="28"/>
        </w:rPr>
        <w:t>110</w:t>
      </w:r>
      <w:r>
        <w:rPr>
          <w:rFonts w:hint="eastAsia" w:ascii="宋体"/>
          <w:sz w:val="28"/>
          <w:szCs w:val="28"/>
        </w:rPr>
        <w:t>（公安警察）、</w:t>
      </w:r>
      <w:r>
        <w:rPr>
          <w:rFonts w:ascii="宋体"/>
          <w:sz w:val="28"/>
          <w:szCs w:val="28"/>
        </w:rPr>
        <w:t>119</w:t>
      </w:r>
      <w:r>
        <w:rPr>
          <w:rFonts w:hint="eastAsia" w:ascii="宋体"/>
          <w:sz w:val="28"/>
          <w:szCs w:val="28"/>
        </w:rPr>
        <w:t>（公安消防）</w:t>
      </w:r>
    </w:p>
    <w:p>
      <w:pPr>
        <w:spacing w:line="560" w:lineRule="exact"/>
        <w:ind w:firstLine="560" w:firstLineChars="200"/>
        <w:rPr>
          <w:rFonts w:ascii="宋体"/>
          <w:sz w:val="28"/>
          <w:szCs w:val="28"/>
        </w:rPr>
      </w:pPr>
      <w:r>
        <w:rPr>
          <w:rFonts w:hint="eastAsia" w:ascii="宋体"/>
          <w:sz w:val="28"/>
          <w:szCs w:val="28"/>
        </w:rPr>
        <w:t>人员伤亡事故：</w:t>
      </w:r>
      <w:r>
        <w:rPr>
          <w:rFonts w:ascii="宋体"/>
          <w:sz w:val="28"/>
          <w:szCs w:val="28"/>
        </w:rPr>
        <w:t>120</w:t>
      </w:r>
      <w:r>
        <w:rPr>
          <w:rFonts w:hint="eastAsia" w:ascii="宋体"/>
          <w:sz w:val="28"/>
          <w:szCs w:val="28"/>
        </w:rPr>
        <w:t>（急救中心）</w:t>
      </w:r>
    </w:p>
    <w:p>
      <w:pPr>
        <w:spacing w:line="560" w:lineRule="exact"/>
        <w:ind w:firstLine="560" w:firstLineChars="200"/>
        <w:rPr>
          <w:rFonts w:ascii="宋体"/>
          <w:sz w:val="28"/>
          <w:szCs w:val="28"/>
        </w:rPr>
      </w:pPr>
      <w:r>
        <w:rPr>
          <w:rFonts w:ascii="宋体"/>
          <w:sz w:val="28"/>
          <w:szCs w:val="28"/>
        </w:rPr>
        <w:t>当发生突发事故超出</w:t>
      </w:r>
      <w:r>
        <w:rPr>
          <w:rFonts w:hint="eastAsia" w:ascii="宋体"/>
          <w:sz w:val="28"/>
          <w:szCs w:val="28"/>
        </w:rPr>
        <w:t>加油站</w:t>
      </w:r>
      <w:r>
        <w:rPr>
          <w:rFonts w:ascii="宋体"/>
          <w:sz w:val="28"/>
          <w:szCs w:val="28"/>
        </w:rPr>
        <w:t>应急救援力量能力所及范围，需外部救援时，在</w:t>
      </w:r>
      <w:r>
        <w:rPr>
          <w:rFonts w:hint="eastAsia" w:ascii="宋体"/>
          <w:sz w:val="28"/>
          <w:szCs w:val="28"/>
        </w:rPr>
        <w:t>加油站事故应急救援指挥部</w:t>
      </w:r>
      <w:r>
        <w:rPr>
          <w:rFonts w:ascii="宋体"/>
          <w:sz w:val="28"/>
          <w:szCs w:val="28"/>
        </w:rPr>
        <w:t>的统一安排下向消防部门、安监部门及应急办等相关外部单位请求救援。</w:t>
      </w:r>
    </w:p>
    <w:p>
      <w:pPr>
        <w:pStyle w:val="3"/>
        <w:widowControl/>
        <w:adjustRightInd w:val="0"/>
        <w:snapToGrid w:val="0"/>
        <w:spacing w:before="156" w:beforeLines="50" w:after="156" w:afterLines="50" w:line="240" w:lineRule="auto"/>
        <w:rPr>
          <w:rFonts w:ascii="黑体" w:cs="黑体"/>
          <w:bCs w:val="0"/>
          <w:sz w:val="28"/>
          <w:szCs w:val="28"/>
        </w:rPr>
      </w:pPr>
      <w:bookmarkStart w:id="84" w:name="_Toc24482"/>
      <w:r>
        <w:rPr>
          <w:rFonts w:hint="eastAsia" w:ascii="黑体" w:cs="黑体"/>
          <w:bCs w:val="0"/>
          <w:sz w:val="28"/>
          <w:szCs w:val="28"/>
        </w:rPr>
        <w:t>4</w:t>
      </w:r>
      <w:r>
        <w:rPr>
          <w:rFonts w:ascii="黑体" w:cs="黑体"/>
          <w:bCs w:val="0"/>
          <w:sz w:val="28"/>
          <w:szCs w:val="28"/>
        </w:rPr>
        <w:t>.</w:t>
      </w:r>
      <w:r>
        <w:rPr>
          <w:rFonts w:hint="eastAsia" w:ascii="黑体" w:cs="黑体"/>
          <w:bCs w:val="0"/>
          <w:sz w:val="28"/>
          <w:szCs w:val="28"/>
        </w:rPr>
        <w:t xml:space="preserve">3 </w:t>
      </w:r>
      <w:r>
        <w:rPr>
          <w:rFonts w:ascii="黑体" w:cs="黑体"/>
          <w:bCs w:val="0"/>
          <w:sz w:val="28"/>
          <w:szCs w:val="28"/>
        </w:rPr>
        <w:t>专职队伍救援</w:t>
      </w:r>
      <w:bookmarkEnd w:id="84"/>
    </w:p>
    <w:p>
      <w:pPr>
        <w:spacing w:line="560" w:lineRule="exact"/>
        <w:ind w:firstLine="560" w:firstLineChars="200"/>
        <w:rPr>
          <w:rFonts w:ascii="宋体"/>
          <w:sz w:val="28"/>
          <w:szCs w:val="28"/>
        </w:rPr>
      </w:pPr>
      <w:r>
        <w:rPr>
          <w:rFonts w:ascii="宋体"/>
          <w:sz w:val="28"/>
          <w:szCs w:val="28"/>
        </w:rPr>
        <w:t>一旦发生安全事故，公司抢救抢险力量不够时，或有可能危及社会安全时，指挥部立即向上级通报，必要时请求社会力量支援。</w:t>
      </w:r>
    </w:p>
    <w:p>
      <w:pPr>
        <w:spacing w:line="560" w:lineRule="exact"/>
        <w:ind w:firstLine="560" w:firstLineChars="200"/>
        <w:rPr>
          <w:rFonts w:ascii="宋体"/>
          <w:sz w:val="28"/>
          <w:szCs w:val="28"/>
        </w:rPr>
      </w:pPr>
    </w:p>
    <w:p>
      <w:pPr>
        <w:spacing w:line="560" w:lineRule="exact"/>
        <w:ind w:firstLine="560" w:firstLineChars="200"/>
        <w:rPr>
          <w:rFonts w:ascii="宋体"/>
          <w:sz w:val="28"/>
          <w:szCs w:val="28"/>
        </w:rPr>
      </w:pPr>
    </w:p>
    <w:p>
      <w:pPr>
        <w:spacing w:line="560" w:lineRule="exact"/>
        <w:ind w:firstLine="560" w:firstLineChars="200"/>
        <w:rPr>
          <w:rFonts w:ascii="宋体"/>
          <w:sz w:val="28"/>
          <w:szCs w:val="28"/>
        </w:rPr>
      </w:pPr>
    </w:p>
    <w:p>
      <w:pPr>
        <w:spacing w:line="560" w:lineRule="exact"/>
        <w:ind w:firstLine="560" w:firstLineChars="200"/>
        <w:rPr>
          <w:rFonts w:ascii="宋体"/>
          <w:sz w:val="28"/>
          <w:szCs w:val="28"/>
        </w:rPr>
      </w:pPr>
    </w:p>
    <w:p>
      <w:pPr>
        <w:spacing w:line="560" w:lineRule="exact"/>
        <w:ind w:firstLine="560" w:firstLineChars="200"/>
        <w:rPr>
          <w:rFonts w:ascii="宋体"/>
          <w:sz w:val="28"/>
          <w:szCs w:val="28"/>
        </w:rPr>
      </w:pPr>
    </w:p>
    <w:p>
      <w:pPr>
        <w:spacing w:line="560" w:lineRule="exact"/>
        <w:ind w:firstLine="560" w:firstLineChars="200"/>
        <w:rPr>
          <w:rFonts w:ascii="宋体"/>
          <w:sz w:val="28"/>
          <w:szCs w:val="28"/>
        </w:rPr>
      </w:pPr>
    </w:p>
    <w:p>
      <w:pPr>
        <w:spacing w:line="560" w:lineRule="exact"/>
        <w:ind w:firstLine="560" w:firstLineChars="200"/>
        <w:rPr>
          <w:rFonts w:ascii="宋体"/>
          <w:sz w:val="28"/>
          <w:szCs w:val="28"/>
        </w:rPr>
      </w:pPr>
    </w:p>
    <w:p>
      <w:pPr>
        <w:spacing w:line="560" w:lineRule="exact"/>
        <w:ind w:firstLine="560" w:firstLineChars="200"/>
        <w:rPr>
          <w:rFonts w:ascii="宋体"/>
          <w:sz w:val="28"/>
          <w:szCs w:val="28"/>
        </w:rPr>
      </w:pPr>
    </w:p>
    <w:p>
      <w:pPr>
        <w:spacing w:line="560" w:lineRule="exact"/>
        <w:ind w:firstLine="560" w:firstLineChars="200"/>
        <w:rPr>
          <w:rFonts w:ascii="宋体"/>
          <w:sz w:val="28"/>
          <w:szCs w:val="28"/>
        </w:rPr>
      </w:pPr>
    </w:p>
    <w:p>
      <w:pPr>
        <w:spacing w:line="560" w:lineRule="exact"/>
        <w:ind w:firstLine="560" w:firstLineChars="200"/>
        <w:rPr>
          <w:rFonts w:ascii="宋体"/>
          <w:sz w:val="28"/>
          <w:szCs w:val="28"/>
        </w:rPr>
      </w:pPr>
    </w:p>
    <w:p>
      <w:pPr>
        <w:spacing w:line="560" w:lineRule="exact"/>
        <w:ind w:firstLine="560" w:firstLineChars="200"/>
        <w:rPr>
          <w:rFonts w:ascii="宋体"/>
          <w:sz w:val="28"/>
          <w:szCs w:val="28"/>
        </w:rPr>
      </w:pPr>
    </w:p>
    <w:p>
      <w:pPr>
        <w:spacing w:line="560" w:lineRule="exact"/>
        <w:ind w:firstLine="560" w:firstLineChars="200"/>
        <w:rPr>
          <w:rFonts w:ascii="宋体"/>
          <w:sz w:val="28"/>
          <w:szCs w:val="28"/>
        </w:rPr>
      </w:pPr>
    </w:p>
    <w:p>
      <w:pPr>
        <w:spacing w:line="560" w:lineRule="exact"/>
        <w:ind w:firstLine="560" w:firstLineChars="200"/>
        <w:rPr>
          <w:rFonts w:ascii="宋体"/>
          <w:sz w:val="28"/>
          <w:szCs w:val="28"/>
        </w:rPr>
      </w:pPr>
    </w:p>
    <w:p>
      <w:pPr>
        <w:spacing w:line="560" w:lineRule="exact"/>
        <w:ind w:firstLine="560" w:firstLineChars="200"/>
        <w:rPr>
          <w:rFonts w:ascii="宋体"/>
          <w:sz w:val="28"/>
          <w:szCs w:val="28"/>
        </w:rPr>
      </w:pPr>
    </w:p>
    <w:p>
      <w:pPr>
        <w:spacing w:line="560" w:lineRule="exact"/>
        <w:ind w:firstLine="560" w:firstLineChars="200"/>
        <w:rPr>
          <w:rFonts w:ascii="宋体"/>
          <w:sz w:val="28"/>
          <w:szCs w:val="28"/>
        </w:rPr>
      </w:pPr>
    </w:p>
    <w:p>
      <w:pPr>
        <w:spacing w:line="560" w:lineRule="exact"/>
        <w:ind w:firstLine="560" w:firstLineChars="200"/>
        <w:rPr>
          <w:rFonts w:hint="eastAsia" w:ascii="宋体"/>
          <w:sz w:val="28"/>
          <w:szCs w:val="28"/>
        </w:rPr>
      </w:pPr>
    </w:p>
    <w:p>
      <w:pPr>
        <w:spacing w:line="560" w:lineRule="exact"/>
        <w:ind w:firstLine="560" w:firstLineChars="200"/>
        <w:rPr>
          <w:rFonts w:ascii="宋体"/>
          <w:sz w:val="28"/>
          <w:szCs w:val="28"/>
        </w:rPr>
      </w:pPr>
    </w:p>
    <w:p>
      <w:pPr>
        <w:pStyle w:val="2"/>
        <w:widowControl/>
        <w:adjustRightInd w:val="0"/>
        <w:snapToGrid w:val="0"/>
        <w:spacing w:before="156" w:beforeLines="50" w:after="156" w:afterLines="50" w:line="240" w:lineRule="auto"/>
        <w:jc w:val="center"/>
        <w:rPr>
          <w:rFonts w:ascii="楷体" w:eastAsia="楷体" w:cs="楷体"/>
          <w:bCs w:val="0"/>
          <w:kern w:val="0"/>
          <w:sz w:val="32"/>
          <w:szCs w:val="32"/>
        </w:rPr>
      </w:pPr>
      <w:bookmarkStart w:id="85" w:name="_Toc10461"/>
      <w:r>
        <w:rPr>
          <w:rFonts w:hint="eastAsia" w:ascii="楷体" w:eastAsia="楷体" w:cs="楷体"/>
          <w:bCs w:val="0"/>
          <w:kern w:val="0"/>
          <w:sz w:val="32"/>
          <w:szCs w:val="32"/>
        </w:rPr>
        <w:t>5 应急措施</w:t>
      </w:r>
      <w:bookmarkEnd w:id="85"/>
    </w:p>
    <w:p>
      <w:pPr>
        <w:pStyle w:val="3"/>
        <w:widowControl/>
        <w:adjustRightInd w:val="0"/>
        <w:snapToGrid w:val="0"/>
        <w:spacing w:before="156" w:beforeLines="50" w:after="156" w:afterLines="50" w:line="240" w:lineRule="auto"/>
        <w:rPr>
          <w:rFonts w:ascii="黑体" w:cs="黑体"/>
          <w:bCs w:val="0"/>
          <w:sz w:val="28"/>
          <w:szCs w:val="28"/>
        </w:rPr>
      </w:pPr>
      <w:bookmarkStart w:id="86" w:name="_Toc27047"/>
      <w:r>
        <w:rPr>
          <w:rFonts w:hint="eastAsia" w:ascii="黑体" w:cs="黑体"/>
          <w:bCs w:val="0"/>
          <w:sz w:val="28"/>
          <w:szCs w:val="28"/>
        </w:rPr>
        <w:t>5.1 事故风险评估分析结果</w:t>
      </w:r>
      <w:bookmarkEnd w:id="86"/>
    </w:p>
    <w:p>
      <w:pPr>
        <w:spacing w:line="560" w:lineRule="exact"/>
        <w:ind w:firstLine="560" w:firstLineChars="200"/>
        <w:rPr>
          <w:rFonts w:ascii="宋体"/>
          <w:sz w:val="28"/>
          <w:szCs w:val="28"/>
        </w:rPr>
      </w:pPr>
      <w:r>
        <w:rPr>
          <w:rFonts w:hint="eastAsia" w:ascii="宋体"/>
          <w:sz w:val="28"/>
          <w:szCs w:val="28"/>
        </w:rPr>
        <w:t>仪陇县中弘川油能源有限责任公司城西加油站</w:t>
      </w:r>
      <w:r>
        <w:rPr>
          <w:rFonts w:ascii="宋体"/>
          <w:sz w:val="28"/>
          <w:szCs w:val="28"/>
        </w:rPr>
        <w:t>存在的主要危险有害因素为</w:t>
      </w:r>
      <w:r>
        <w:rPr>
          <w:rFonts w:hint="eastAsia" w:ascii="宋体"/>
          <w:sz w:val="28"/>
          <w:szCs w:val="28"/>
        </w:rPr>
        <w:t>火灾、爆炸、车辆伤害、触电、中毒和窒息等。</w:t>
      </w:r>
    </w:p>
    <w:p>
      <w:pPr>
        <w:spacing w:line="560" w:lineRule="exact"/>
        <w:ind w:firstLine="560" w:firstLineChars="200"/>
        <w:rPr>
          <w:rFonts w:ascii="宋体"/>
          <w:sz w:val="28"/>
          <w:szCs w:val="28"/>
          <w:lang w:val="zh-CN"/>
        </w:rPr>
      </w:pPr>
      <w:r>
        <w:rPr>
          <w:rFonts w:hint="eastAsia" w:ascii="宋体"/>
          <w:sz w:val="28"/>
          <w:szCs w:val="28"/>
          <w:lang w:val="zh-CN"/>
        </w:rPr>
        <w:t>重大危险源是指长期或临时地生产、加工、搬运、储存使用或储存危险物质，且危险物质的量等于或大于临界量的单元。这类单元一旦发生事故，将造成严重的人员伤亡和财产损失。根据《危险化学品重大危险源辨识》（GB18218－2009），单元内存在的危险化学品的数量等于或超过规定的临界量，即被定为重大危险源。</w:t>
      </w:r>
    </w:p>
    <w:p>
      <w:pPr>
        <w:spacing w:line="560" w:lineRule="exact"/>
        <w:ind w:firstLine="560" w:firstLineChars="200"/>
        <w:rPr>
          <w:rFonts w:ascii="宋体"/>
          <w:sz w:val="28"/>
          <w:szCs w:val="28"/>
          <w:lang w:val="zh-CN"/>
        </w:rPr>
      </w:pPr>
      <w:r>
        <w:rPr>
          <w:rFonts w:hint="eastAsia" w:ascii="宋体"/>
          <w:sz w:val="28"/>
          <w:szCs w:val="28"/>
          <w:lang w:val="zh-CN"/>
        </w:rPr>
        <w:t>我站经营储存的汽油和柴油属于危险化学品重大危险源物质，根据《危险化学品重大危险源辨识》(GBl8218-2009)的规定进行辨识。</w:t>
      </w:r>
    </w:p>
    <w:p>
      <w:pPr>
        <w:spacing w:line="560" w:lineRule="exact"/>
        <w:ind w:firstLine="562" w:firstLineChars="200"/>
        <w:rPr>
          <w:rFonts w:ascii="宋体"/>
          <w:sz w:val="28"/>
          <w:szCs w:val="28"/>
        </w:rPr>
      </w:pPr>
      <w:r>
        <w:rPr>
          <w:rFonts w:hint="eastAsia" w:ascii="黑体" w:eastAsia="黑体"/>
          <w:b/>
          <w:sz w:val="28"/>
          <w:szCs w:val="28"/>
          <w:lang w:val="zh-CN"/>
        </w:rPr>
        <w:t>故仪陇县中弘川油能源有限责任公司城西加油站不构成危险化学品重大危险源</w:t>
      </w:r>
      <w:r>
        <w:rPr>
          <w:rFonts w:hint="eastAsia"/>
          <w:sz w:val="28"/>
          <w:szCs w:val="28"/>
          <w:lang w:val="zh-CN"/>
        </w:rPr>
        <w:t>。</w:t>
      </w:r>
    </w:p>
    <w:p>
      <w:pPr>
        <w:pStyle w:val="3"/>
        <w:widowControl/>
        <w:adjustRightInd w:val="0"/>
        <w:snapToGrid w:val="0"/>
        <w:spacing w:before="156" w:beforeLines="50" w:after="156" w:afterLines="50" w:line="240" w:lineRule="auto"/>
        <w:rPr>
          <w:rFonts w:ascii="黑体" w:cs="黑体"/>
          <w:bCs w:val="0"/>
          <w:sz w:val="28"/>
          <w:szCs w:val="28"/>
        </w:rPr>
      </w:pPr>
      <w:bookmarkStart w:id="87" w:name="_Toc15541"/>
      <w:r>
        <w:rPr>
          <w:rFonts w:hint="eastAsia" w:ascii="黑体" w:cs="黑体"/>
          <w:bCs w:val="0"/>
          <w:sz w:val="28"/>
          <w:szCs w:val="28"/>
        </w:rPr>
        <w:t>5.2 应急措施</w:t>
      </w:r>
      <w:bookmarkEnd w:id="87"/>
    </w:p>
    <w:p>
      <w:pPr>
        <w:spacing w:line="560" w:lineRule="exact"/>
        <w:ind w:firstLine="560" w:firstLineChars="200"/>
        <w:rPr>
          <w:rFonts w:ascii="宋体"/>
          <w:sz w:val="28"/>
          <w:szCs w:val="28"/>
        </w:rPr>
      </w:pPr>
      <w:r>
        <w:rPr>
          <w:rFonts w:hint="eastAsia" w:ascii="宋体"/>
          <w:sz w:val="28"/>
          <w:szCs w:val="28"/>
        </w:rPr>
        <w:t>1）通过向有关专家咨询和应急预案的演练过程中发现的问题，利用公司事故应急专项资金，不断补充、完善应急物资和装备。除配备必要的应急监测装备外，和有关专业监测公司签订协议，以便在发生事故时，在第一时间内进行应急监测工作。</w:t>
      </w:r>
    </w:p>
    <w:p>
      <w:pPr>
        <w:spacing w:line="560" w:lineRule="exact"/>
        <w:ind w:firstLine="560" w:firstLineChars="200"/>
        <w:rPr>
          <w:rFonts w:ascii="宋体"/>
          <w:sz w:val="28"/>
          <w:szCs w:val="28"/>
        </w:rPr>
      </w:pPr>
      <w:r>
        <w:rPr>
          <w:rFonts w:hint="eastAsia" w:ascii="宋体"/>
          <w:sz w:val="28"/>
          <w:szCs w:val="28"/>
        </w:rPr>
        <w:t>2）加强应急预案的宣传、培训和演练，通过在演练中不断地发现问题，据此修改、完善应急预案。</w:t>
      </w:r>
    </w:p>
    <w:p>
      <w:pPr>
        <w:spacing w:line="560" w:lineRule="exact"/>
        <w:ind w:firstLine="560" w:firstLineChars="200"/>
        <w:rPr>
          <w:rFonts w:ascii="宋体"/>
          <w:sz w:val="28"/>
          <w:szCs w:val="28"/>
        </w:rPr>
      </w:pPr>
      <w:r>
        <w:rPr>
          <w:rFonts w:hint="eastAsia" w:ascii="宋体"/>
          <w:sz w:val="28"/>
          <w:szCs w:val="28"/>
        </w:rPr>
        <w:t>3）与周边单位建立长效联动机制，一旦库内发生事故，应急救援可以库内和库外可以同步联动实施。</w:t>
      </w:r>
    </w:p>
    <w:p>
      <w:pPr>
        <w:spacing w:line="560" w:lineRule="exact"/>
        <w:ind w:firstLine="560" w:firstLineChars="200"/>
        <w:rPr>
          <w:rFonts w:ascii="宋体"/>
          <w:sz w:val="28"/>
          <w:szCs w:val="28"/>
        </w:rPr>
      </w:pPr>
      <w:r>
        <w:rPr>
          <w:rFonts w:hint="eastAsia" w:ascii="宋体"/>
          <w:sz w:val="28"/>
          <w:szCs w:val="28"/>
        </w:rPr>
        <w:t>4）将应急预案报安监部门备案，以便政府职能部门了解我站的基本情况、事故风险及事故状态下的应急处置措施等。</w:t>
      </w:r>
    </w:p>
    <w:p>
      <w:pPr>
        <w:pStyle w:val="2"/>
        <w:widowControl/>
        <w:adjustRightInd w:val="0"/>
        <w:snapToGrid w:val="0"/>
        <w:spacing w:before="156" w:beforeLines="50" w:after="156" w:afterLines="50" w:line="240" w:lineRule="auto"/>
        <w:jc w:val="center"/>
        <w:rPr>
          <w:rFonts w:ascii="楷体" w:eastAsia="楷体" w:cs="楷体"/>
          <w:bCs w:val="0"/>
          <w:kern w:val="0"/>
          <w:sz w:val="32"/>
          <w:szCs w:val="32"/>
        </w:rPr>
      </w:pPr>
      <w:r>
        <w:rPr>
          <w:rFonts w:hint="eastAsia" w:ascii="楷体" w:eastAsia="楷体" w:cs="楷体"/>
          <w:bCs w:val="0"/>
          <w:kern w:val="0"/>
          <w:sz w:val="32"/>
          <w:szCs w:val="32"/>
        </w:rPr>
        <w:t>6 应急资源调查结论</w:t>
      </w:r>
    </w:p>
    <w:p>
      <w:pPr>
        <w:spacing w:line="560" w:lineRule="exact"/>
        <w:ind w:firstLine="560" w:firstLineChars="200"/>
        <w:rPr>
          <w:rFonts w:ascii="宋体"/>
          <w:sz w:val="28"/>
          <w:szCs w:val="28"/>
        </w:rPr>
      </w:pPr>
      <w:r>
        <w:rPr>
          <w:rFonts w:hint="eastAsia" w:ascii="宋体"/>
          <w:sz w:val="28"/>
          <w:szCs w:val="28"/>
        </w:rPr>
        <w:t>本次应急资源调查从人、财、物三方面进行了调查。加油站已建立了应急救援队伍并按安全、消防、环保等部门的要求配备了必要的应急设施及设备。由于各类事故造成的危害也难以预测，而加油站本身的应急资源是有限的。通过本次调查摸清了周边环境与政府配套的公共应急资源及队伍，事故发生时，如果能及时有效的利用好这些资源，对事故的控制是非常有利的。此外，为了使事故发生时各项应急救援工作有序开展，应急救援经费也是必不可少的，为此加油站还制定了专项经费保障措施，只要我站落实好措施是能满足事故应急要求的。</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Mongolian Baiti">
    <w:panose1 w:val="03000500000000000000"/>
    <w:charset w:val="00"/>
    <w:family w:val="script"/>
    <w:pitch w:val="default"/>
    <w:sig w:usb0="80000023" w:usb1="00000000" w:usb2="0002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57663B"/>
    <w:multiLevelType w:val="multilevel"/>
    <w:tmpl w:val="7557663B"/>
    <w:lvl w:ilvl="0" w:tentative="0">
      <w:start w:val="1"/>
      <w:numFmt w:val="decimalEnclosedCircle"/>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513FD6"/>
    <w:rsid w:val="000177B1"/>
    <w:rsid w:val="000229B3"/>
    <w:rsid w:val="000306C7"/>
    <w:rsid w:val="00063521"/>
    <w:rsid w:val="000759EC"/>
    <w:rsid w:val="000A1D6D"/>
    <w:rsid w:val="000A63F8"/>
    <w:rsid w:val="000D4D12"/>
    <w:rsid w:val="000F2D7F"/>
    <w:rsid w:val="000F68CE"/>
    <w:rsid w:val="001031E4"/>
    <w:rsid w:val="00146A49"/>
    <w:rsid w:val="0015316A"/>
    <w:rsid w:val="00156712"/>
    <w:rsid w:val="00160852"/>
    <w:rsid w:val="00160ABD"/>
    <w:rsid w:val="00162BC5"/>
    <w:rsid w:val="00165AE8"/>
    <w:rsid w:val="00185498"/>
    <w:rsid w:val="00192798"/>
    <w:rsid w:val="001927F7"/>
    <w:rsid w:val="00192C59"/>
    <w:rsid w:val="001C4AE7"/>
    <w:rsid w:val="001E149A"/>
    <w:rsid w:val="001F4908"/>
    <w:rsid w:val="002017D3"/>
    <w:rsid w:val="00202B6E"/>
    <w:rsid w:val="0020622B"/>
    <w:rsid w:val="00220422"/>
    <w:rsid w:val="0022149F"/>
    <w:rsid w:val="00226E6C"/>
    <w:rsid w:val="00262C86"/>
    <w:rsid w:val="0027183A"/>
    <w:rsid w:val="00276C4E"/>
    <w:rsid w:val="00282BB7"/>
    <w:rsid w:val="002B0442"/>
    <w:rsid w:val="002B6734"/>
    <w:rsid w:val="002F38EF"/>
    <w:rsid w:val="00306E18"/>
    <w:rsid w:val="00311FAF"/>
    <w:rsid w:val="00330180"/>
    <w:rsid w:val="00345D33"/>
    <w:rsid w:val="0036782E"/>
    <w:rsid w:val="00387C7A"/>
    <w:rsid w:val="003A255F"/>
    <w:rsid w:val="003A7909"/>
    <w:rsid w:val="003A7BD8"/>
    <w:rsid w:val="003B4C6B"/>
    <w:rsid w:val="003C03D2"/>
    <w:rsid w:val="003C1606"/>
    <w:rsid w:val="003E4033"/>
    <w:rsid w:val="00405F27"/>
    <w:rsid w:val="00413719"/>
    <w:rsid w:val="00415757"/>
    <w:rsid w:val="0042470B"/>
    <w:rsid w:val="00425A56"/>
    <w:rsid w:val="00430769"/>
    <w:rsid w:val="004407A8"/>
    <w:rsid w:val="004431B7"/>
    <w:rsid w:val="0047313A"/>
    <w:rsid w:val="0049186B"/>
    <w:rsid w:val="00495BAA"/>
    <w:rsid w:val="004967C8"/>
    <w:rsid w:val="004A7FDF"/>
    <w:rsid w:val="004B5D0E"/>
    <w:rsid w:val="004C788A"/>
    <w:rsid w:val="004C7E51"/>
    <w:rsid w:val="004E2221"/>
    <w:rsid w:val="004E5D78"/>
    <w:rsid w:val="004F0A63"/>
    <w:rsid w:val="004F7AFA"/>
    <w:rsid w:val="00504400"/>
    <w:rsid w:val="00505498"/>
    <w:rsid w:val="00510B24"/>
    <w:rsid w:val="00513FD6"/>
    <w:rsid w:val="00544A95"/>
    <w:rsid w:val="00580DFF"/>
    <w:rsid w:val="00582E88"/>
    <w:rsid w:val="00585711"/>
    <w:rsid w:val="00593BCE"/>
    <w:rsid w:val="00594662"/>
    <w:rsid w:val="00595194"/>
    <w:rsid w:val="005963CA"/>
    <w:rsid w:val="005A0603"/>
    <w:rsid w:val="005A4998"/>
    <w:rsid w:val="005A5791"/>
    <w:rsid w:val="005B5EFB"/>
    <w:rsid w:val="005B60AB"/>
    <w:rsid w:val="005D4856"/>
    <w:rsid w:val="005D640D"/>
    <w:rsid w:val="005E27A3"/>
    <w:rsid w:val="005F3B62"/>
    <w:rsid w:val="005F42E3"/>
    <w:rsid w:val="00601DCB"/>
    <w:rsid w:val="00610C9A"/>
    <w:rsid w:val="0061114B"/>
    <w:rsid w:val="00615FC4"/>
    <w:rsid w:val="006645EA"/>
    <w:rsid w:val="00670814"/>
    <w:rsid w:val="006748AE"/>
    <w:rsid w:val="0068309E"/>
    <w:rsid w:val="006A4034"/>
    <w:rsid w:val="006B5883"/>
    <w:rsid w:val="006C3749"/>
    <w:rsid w:val="006C7F38"/>
    <w:rsid w:val="006E2F9F"/>
    <w:rsid w:val="006F23E1"/>
    <w:rsid w:val="006F292C"/>
    <w:rsid w:val="006F4AEF"/>
    <w:rsid w:val="00715404"/>
    <w:rsid w:val="00722E4E"/>
    <w:rsid w:val="0073761E"/>
    <w:rsid w:val="00743B8E"/>
    <w:rsid w:val="00767D5C"/>
    <w:rsid w:val="00773233"/>
    <w:rsid w:val="00776ED2"/>
    <w:rsid w:val="007921EB"/>
    <w:rsid w:val="007A1F4F"/>
    <w:rsid w:val="007A6285"/>
    <w:rsid w:val="007C11FB"/>
    <w:rsid w:val="007C68F3"/>
    <w:rsid w:val="007E1FD1"/>
    <w:rsid w:val="007F4D05"/>
    <w:rsid w:val="0081770F"/>
    <w:rsid w:val="00823C88"/>
    <w:rsid w:val="0084649E"/>
    <w:rsid w:val="008A085E"/>
    <w:rsid w:val="008A21BD"/>
    <w:rsid w:val="008A5FFA"/>
    <w:rsid w:val="008D15E9"/>
    <w:rsid w:val="008E29DF"/>
    <w:rsid w:val="008F0788"/>
    <w:rsid w:val="009023AD"/>
    <w:rsid w:val="00911E2F"/>
    <w:rsid w:val="00913AE0"/>
    <w:rsid w:val="00927A82"/>
    <w:rsid w:val="0096301A"/>
    <w:rsid w:val="009761F9"/>
    <w:rsid w:val="009A5112"/>
    <w:rsid w:val="009B2E4A"/>
    <w:rsid w:val="009E74A9"/>
    <w:rsid w:val="009F6623"/>
    <w:rsid w:val="00A13F4C"/>
    <w:rsid w:val="00A249A8"/>
    <w:rsid w:val="00A56533"/>
    <w:rsid w:val="00A643BB"/>
    <w:rsid w:val="00A646B5"/>
    <w:rsid w:val="00A64FDC"/>
    <w:rsid w:val="00A705D9"/>
    <w:rsid w:val="00A8279A"/>
    <w:rsid w:val="00AA5E1E"/>
    <w:rsid w:val="00AC13E2"/>
    <w:rsid w:val="00AC66D3"/>
    <w:rsid w:val="00AD5C8D"/>
    <w:rsid w:val="00AF1B1C"/>
    <w:rsid w:val="00B1033D"/>
    <w:rsid w:val="00B20FCB"/>
    <w:rsid w:val="00B23752"/>
    <w:rsid w:val="00B6076B"/>
    <w:rsid w:val="00B86A19"/>
    <w:rsid w:val="00BB19DE"/>
    <w:rsid w:val="00BF04F4"/>
    <w:rsid w:val="00BF4065"/>
    <w:rsid w:val="00C0130B"/>
    <w:rsid w:val="00C03EFA"/>
    <w:rsid w:val="00C20153"/>
    <w:rsid w:val="00C4651F"/>
    <w:rsid w:val="00C47509"/>
    <w:rsid w:val="00C77C4F"/>
    <w:rsid w:val="00C9180E"/>
    <w:rsid w:val="00C91A58"/>
    <w:rsid w:val="00C92155"/>
    <w:rsid w:val="00CA0224"/>
    <w:rsid w:val="00CA0F07"/>
    <w:rsid w:val="00CB2E68"/>
    <w:rsid w:val="00CC3D9F"/>
    <w:rsid w:val="00CD0F14"/>
    <w:rsid w:val="00CD4A2F"/>
    <w:rsid w:val="00CE76BC"/>
    <w:rsid w:val="00CF443A"/>
    <w:rsid w:val="00D21B93"/>
    <w:rsid w:val="00D574FA"/>
    <w:rsid w:val="00D638C4"/>
    <w:rsid w:val="00D768A2"/>
    <w:rsid w:val="00D8039D"/>
    <w:rsid w:val="00DB0A92"/>
    <w:rsid w:val="00DB44D3"/>
    <w:rsid w:val="00DD33A3"/>
    <w:rsid w:val="00DF4ABB"/>
    <w:rsid w:val="00E047AC"/>
    <w:rsid w:val="00E30933"/>
    <w:rsid w:val="00E4107C"/>
    <w:rsid w:val="00E527B2"/>
    <w:rsid w:val="00E53B7C"/>
    <w:rsid w:val="00E94486"/>
    <w:rsid w:val="00EA102F"/>
    <w:rsid w:val="00EB0EAB"/>
    <w:rsid w:val="00EB15B2"/>
    <w:rsid w:val="00EB2336"/>
    <w:rsid w:val="00EB465D"/>
    <w:rsid w:val="00EF7C4D"/>
    <w:rsid w:val="00F11D7A"/>
    <w:rsid w:val="00F16F0C"/>
    <w:rsid w:val="00F216AD"/>
    <w:rsid w:val="00F74CAC"/>
    <w:rsid w:val="00F7678E"/>
    <w:rsid w:val="00F81AD8"/>
    <w:rsid w:val="00FA2E17"/>
    <w:rsid w:val="00FB4243"/>
    <w:rsid w:val="00FC616B"/>
    <w:rsid w:val="00FD0186"/>
    <w:rsid w:val="00FD1432"/>
    <w:rsid w:val="00FD3F0F"/>
    <w:rsid w:val="00FE500C"/>
    <w:rsid w:val="1B032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9">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5">
    <w:name w:val="Balloon Text"/>
    <w:basedOn w:val="1"/>
    <w:link w:val="15"/>
    <w:semiHidden/>
    <w:unhideWhenUsed/>
    <w:qFormat/>
    <w:uiPriority w:val="99"/>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uiPriority w:val="0"/>
  </w:style>
  <w:style w:type="paragraph" w:customStyle="1" w:styleId="11">
    <w:name w:val="Char1"/>
    <w:basedOn w:val="1"/>
    <w:uiPriority w:val="0"/>
    <w:pPr>
      <w:adjustRightInd w:val="0"/>
      <w:spacing w:line="360" w:lineRule="atLeast"/>
      <w:jc w:val="left"/>
    </w:pPr>
  </w:style>
  <w:style w:type="paragraph" w:customStyle="1" w:styleId="12">
    <w:name w:val="表格内容"/>
    <w:basedOn w:val="1"/>
    <w:qFormat/>
    <w:uiPriority w:val="0"/>
    <w:pPr>
      <w:widowControl/>
      <w:overflowPunct w:val="0"/>
      <w:adjustRightInd w:val="0"/>
      <w:snapToGrid w:val="0"/>
      <w:spacing w:line="360" w:lineRule="auto"/>
      <w:jc w:val="center"/>
      <w:textAlignment w:val="baseline"/>
    </w:pPr>
    <w:rPr>
      <w:rFonts w:ascii="宋体" w:cs="华文楷体"/>
      <w:kern w:val="0"/>
    </w:rPr>
  </w:style>
  <w:style w:type="paragraph" w:customStyle="1" w:styleId="13">
    <w:name w:val="表头"/>
    <w:basedOn w:val="1"/>
    <w:next w:val="1"/>
    <w:qFormat/>
    <w:uiPriority w:val="0"/>
    <w:pPr>
      <w:widowControl/>
      <w:adjustRightInd w:val="0"/>
      <w:snapToGrid w:val="0"/>
      <w:spacing w:line="360" w:lineRule="auto"/>
      <w:jc w:val="center"/>
    </w:pPr>
    <w:rPr>
      <w:rFonts w:ascii="宋体" w:cs="仿宋_GB2312"/>
      <w:bCs/>
      <w:kern w:val="0"/>
      <w:sz w:val="28"/>
      <w:szCs w:val="28"/>
    </w:rPr>
  </w:style>
  <w:style w:type="paragraph" w:customStyle="1" w:styleId="14">
    <w:name w:val="填表4小中单倍行距"/>
    <w:basedOn w:val="1"/>
    <w:qFormat/>
    <w:uiPriority w:val="0"/>
    <w:pPr>
      <w:jc w:val="center"/>
    </w:pPr>
    <w:rPr>
      <w:rFonts w:ascii="宋体" w:cs="宋体"/>
      <w:sz w:val="24"/>
      <w:szCs w:val="20"/>
    </w:rPr>
  </w:style>
  <w:style w:type="character" w:customStyle="1" w:styleId="15">
    <w:name w:val="批注框文本 Char"/>
    <w:basedOn w:val="9"/>
    <w:link w:val="5"/>
    <w:semiHidden/>
    <w:qFormat/>
    <w:uiPriority w:val="99"/>
    <w:rPr>
      <w:rFonts w:ascii="Calibri" w:hAnsi="Calibri" w:cs="Arial"/>
      <w:kern w:val="2"/>
      <w:sz w:val="18"/>
      <w:szCs w:val="18"/>
    </w:rPr>
  </w:style>
  <w:style w:type="character" w:customStyle="1" w:styleId="16">
    <w:name w:val="页眉 Char"/>
    <w:basedOn w:val="9"/>
    <w:link w:val="7"/>
    <w:qFormat/>
    <w:uiPriority w:val="99"/>
    <w:rPr>
      <w:rFonts w:ascii="Calibri" w:hAnsi="Calibri" w:cs="Arial"/>
      <w:kern w:val="2"/>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wmf"/><Relationship Id="rId8" Type="http://schemas.openxmlformats.org/officeDocument/2006/relationships/image" Target="media/image5.wmf"/><Relationship Id="rId7" Type="http://schemas.openxmlformats.org/officeDocument/2006/relationships/image" Target="media/image4.png"/><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5.wmf"/><Relationship Id="rId17" Type="http://schemas.openxmlformats.org/officeDocument/2006/relationships/image" Target="media/image14.wmf"/><Relationship Id="rId16" Type="http://schemas.openxmlformats.org/officeDocument/2006/relationships/image" Target="media/image13.wmf"/><Relationship Id="rId15" Type="http://schemas.openxmlformats.org/officeDocument/2006/relationships/image" Target="media/image12.wmf"/><Relationship Id="rId14" Type="http://schemas.openxmlformats.org/officeDocument/2006/relationships/image" Target="media/image11.wmf"/><Relationship Id="rId13" Type="http://schemas.openxmlformats.org/officeDocument/2006/relationships/image" Target="media/image10.wmf"/><Relationship Id="rId12" Type="http://schemas.openxmlformats.org/officeDocument/2006/relationships/image" Target="media/image9.wmf"/><Relationship Id="rId11" Type="http://schemas.openxmlformats.org/officeDocument/2006/relationships/image" Target="media/image8.wmf"/><Relationship Id="rId10" Type="http://schemas.openxmlformats.org/officeDocument/2006/relationships/image" Target="media/image7.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1492</Words>
  <Characters>8511</Characters>
  <Lines>70</Lines>
  <Paragraphs>19</Paragraphs>
  <TotalTime>630</TotalTime>
  <ScaleCrop>false</ScaleCrop>
  <LinksUpToDate>false</LinksUpToDate>
  <CharactersWithSpaces>9984</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2016-09-02T02:11:00Z</dcterms:created>
  <dc:creator>Administrator</dc:creator>
  <cp:lastModifiedBy>曾經年少</cp:lastModifiedBy>
  <cp:lastPrinted>2017-05-09T18:10:00Z</cp:lastPrinted>
  <dcterms:modified xsi:type="dcterms:W3CDTF">2019-06-01T10:32:22Z</dcterms:modified>
  <cp:revision>227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