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1044"/>
        <w:jc w:val="right"/>
        <w:rPr>
          <w:rFonts w:hint="eastAsia"/>
          <w:b/>
          <w:color w:val="auto"/>
          <w:sz w:val="28"/>
          <w:szCs w:val="28"/>
        </w:rPr>
      </w:pPr>
      <w:bookmarkStart w:id="0" w:name="_Toc19720"/>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spacing w:line="360" w:lineRule="auto"/>
        <w:jc w:val="center"/>
        <w:rPr>
          <w:rFonts w:hint="eastAsia" w:ascii="宋体" w:hAnsi="宋体" w:eastAsia="宋体"/>
          <w:b/>
          <w:bCs/>
          <w:caps/>
          <w:color w:val="auto"/>
          <w:sz w:val="48"/>
          <w:szCs w:val="48"/>
          <w:lang w:eastAsia="zh-CN"/>
        </w:rPr>
      </w:pPr>
      <w:r>
        <w:rPr>
          <w:rFonts w:hint="eastAsia" w:ascii="宋体" w:hAnsi="宋体"/>
          <w:b/>
          <w:bCs/>
          <w:caps/>
          <w:color w:val="auto"/>
          <w:sz w:val="48"/>
          <w:szCs w:val="48"/>
          <w:lang w:eastAsia="zh-CN"/>
        </w:rPr>
        <w:t>仪陇县柳垭镇合发页岩机砖厂</w:t>
      </w:r>
    </w:p>
    <w:p>
      <w:pPr>
        <w:spacing w:line="360" w:lineRule="auto"/>
        <w:jc w:val="center"/>
        <w:rPr>
          <w:rFonts w:hint="eastAsia" w:ascii="宋体" w:hAnsi="宋体"/>
          <w:b/>
          <w:bCs/>
          <w:caps/>
          <w:color w:val="auto"/>
          <w:sz w:val="48"/>
          <w:szCs w:val="48"/>
        </w:rPr>
      </w:pPr>
    </w:p>
    <w:p>
      <w:pPr>
        <w:spacing w:line="360" w:lineRule="auto"/>
        <w:jc w:val="center"/>
        <w:rPr>
          <w:rFonts w:hint="eastAsia" w:ascii="宋体" w:hAnsi="宋体"/>
          <w:b/>
          <w:bCs/>
          <w:caps/>
          <w:color w:val="auto"/>
          <w:sz w:val="48"/>
          <w:szCs w:val="48"/>
          <w:lang w:eastAsia="zh-CN"/>
        </w:rPr>
      </w:pPr>
      <w:r>
        <w:rPr>
          <w:rFonts w:hint="eastAsia" w:ascii="宋体" w:hAnsi="宋体"/>
          <w:b/>
          <w:bCs/>
          <w:caps/>
          <w:color w:val="auto"/>
          <w:sz w:val="48"/>
          <w:szCs w:val="48"/>
          <w:lang w:eastAsia="zh-CN"/>
        </w:rPr>
        <w:tab/>
      </w:r>
      <w:r>
        <w:rPr>
          <w:rFonts w:hint="eastAsia" w:ascii="宋体" w:hAnsi="宋体"/>
          <w:b/>
          <w:bCs/>
          <w:caps/>
          <w:color w:val="auto"/>
          <w:sz w:val="48"/>
          <w:szCs w:val="48"/>
          <w:lang w:eastAsia="zh-CN"/>
        </w:rPr>
        <w:t>事故风险评估报告</w:t>
      </w:r>
      <w:r>
        <w:rPr>
          <w:rFonts w:hint="eastAsia" w:ascii="宋体" w:hAnsi="宋体"/>
          <w:b/>
          <w:bCs/>
          <w:caps/>
          <w:color w:val="auto"/>
          <w:sz w:val="48"/>
          <w:szCs w:val="48"/>
          <w:lang w:eastAsia="zh-CN"/>
        </w:rPr>
        <w:tab/>
      </w:r>
    </w:p>
    <w:p>
      <w:pPr>
        <w:jc w:val="center"/>
        <w:rPr>
          <w:rFonts w:hint="eastAsia"/>
          <w:color w:val="auto"/>
          <w:sz w:val="32"/>
          <w:szCs w:val="32"/>
        </w:rPr>
      </w:pPr>
    </w:p>
    <w:p>
      <w:pPr>
        <w:jc w:val="center"/>
        <w:rPr>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tbl>
      <w:tblPr>
        <w:tblStyle w:val="19"/>
        <w:tblW w:w="8137" w:type="dxa"/>
        <w:jc w:val="center"/>
        <w:tblInd w:w="0" w:type="dxa"/>
        <w:tblLayout w:type="fixed"/>
        <w:tblCellMar>
          <w:top w:w="0" w:type="dxa"/>
          <w:left w:w="108" w:type="dxa"/>
          <w:bottom w:w="0" w:type="dxa"/>
          <w:right w:w="108" w:type="dxa"/>
        </w:tblCellMar>
      </w:tblPr>
      <w:tblGrid>
        <w:gridCol w:w="8137"/>
      </w:tblGrid>
      <w:tr>
        <w:tblPrEx>
          <w:tblLayout w:type="fixed"/>
          <w:tblCellMar>
            <w:top w:w="0" w:type="dxa"/>
            <w:left w:w="108" w:type="dxa"/>
            <w:bottom w:w="0" w:type="dxa"/>
            <w:right w:w="108" w:type="dxa"/>
          </w:tblCellMar>
        </w:tblPrEx>
        <w:trPr>
          <w:jc w:val="center"/>
        </w:trPr>
        <w:tc>
          <w:tcPr>
            <w:tcW w:w="8137"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仪陇县柳垭镇合发页岩机砖厂</w:t>
            </w:r>
          </w:p>
        </w:tc>
      </w:tr>
      <w:tr>
        <w:tblPrEx>
          <w:tblLayout w:type="fixed"/>
          <w:tblCellMar>
            <w:top w:w="0" w:type="dxa"/>
            <w:left w:w="108" w:type="dxa"/>
            <w:bottom w:w="0" w:type="dxa"/>
            <w:right w:w="108" w:type="dxa"/>
          </w:tblCellMar>
        </w:tblPrEx>
        <w:trPr>
          <w:jc w:val="center"/>
        </w:trPr>
        <w:tc>
          <w:tcPr>
            <w:tcW w:w="8137" w:type="dxa"/>
            <w:vAlign w:val="center"/>
          </w:tcPr>
          <w:p>
            <w:pPr>
              <w:ind w:firstLine="720"/>
              <w:rPr>
                <w:rFonts w:hint="eastAsia" w:eastAsia="黑体"/>
                <w:bCs/>
                <w:color w:val="auto"/>
                <w:sz w:val="36"/>
                <w:szCs w:val="36"/>
              </w:rPr>
            </w:pPr>
          </w:p>
        </w:tc>
      </w:tr>
      <w:tr>
        <w:tblPrEx>
          <w:tblLayout w:type="fixed"/>
          <w:tblCellMar>
            <w:top w:w="0" w:type="dxa"/>
            <w:left w:w="108" w:type="dxa"/>
            <w:bottom w:w="0" w:type="dxa"/>
            <w:right w:w="108" w:type="dxa"/>
          </w:tblCellMar>
        </w:tblPrEx>
        <w:trPr>
          <w:jc w:val="center"/>
        </w:trPr>
        <w:tc>
          <w:tcPr>
            <w:tcW w:w="8137" w:type="dxa"/>
            <w:vAlign w:val="center"/>
          </w:tcPr>
          <w:p>
            <w:pPr>
              <w:jc w:val="center"/>
              <w:rPr>
                <w:rFonts w:hint="eastAsia"/>
                <w:color w:val="auto"/>
                <w:sz w:val="36"/>
                <w:szCs w:val="36"/>
              </w:rPr>
            </w:pPr>
            <w:r>
              <w:rPr>
                <w:rFonts w:hint="eastAsia" w:eastAsia="黑体"/>
                <w:bCs/>
                <w:color w:val="auto"/>
                <w:sz w:val="36"/>
                <w:szCs w:val="36"/>
              </w:rPr>
              <w:t>编制时间：201</w:t>
            </w:r>
            <w:r>
              <w:rPr>
                <w:rFonts w:hint="eastAsia" w:eastAsia="黑体"/>
                <w:bCs/>
                <w:color w:val="auto"/>
                <w:sz w:val="36"/>
                <w:szCs w:val="36"/>
                <w:lang w:val="en-US" w:eastAsia="zh-CN"/>
              </w:rPr>
              <w:t>9</w:t>
            </w:r>
            <w:r>
              <w:rPr>
                <w:rFonts w:hint="eastAsia" w:eastAsia="黑体"/>
                <w:bCs/>
                <w:color w:val="auto"/>
                <w:sz w:val="36"/>
                <w:szCs w:val="36"/>
              </w:rPr>
              <w:t>年</w:t>
            </w:r>
            <w:r>
              <w:rPr>
                <w:rFonts w:hint="eastAsia" w:eastAsia="黑体"/>
                <w:bCs/>
                <w:color w:val="auto"/>
                <w:sz w:val="36"/>
                <w:szCs w:val="36"/>
                <w:lang w:val="en-US" w:eastAsia="zh-CN"/>
              </w:rPr>
              <w:t>04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color w:val="auto"/>
          <w:sz w:val="32"/>
          <w:szCs w:val="32"/>
        </w:rPr>
      </w:pPr>
    </w:p>
    <w:p>
      <w:pPr>
        <w:widowControl/>
        <w:spacing w:line="560" w:lineRule="exact"/>
        <w:jc w:val="left"/>
        <w:outlineLvl w:val="2"/>
        <w:rPr>
          <w:rFonts w:hint="eastAsia" w:ascii="宋体" w:hAnsi="宋体" w:cs="宋体"/>
          <w:b/>
          <w:bCs/>
          <w:color w:val="auto"/>
          <w:kern w:val="0"/>
          <w:sz w:val="28"/>
          <w:szCs w:val="28"/>
        </w:rPr>
      </w:pPr>
    </w:p>
    <w:p>
      <w:pPr>
        <w:rPr>
          <w:rFonts w:hint="eastAsia"/>
          <w:color w:val="auto"/>
        </w:rPr>
      </w:pPr>
      <w:bookmarkStart w:id="1" w:name="_Toc490472469"/>
      <w:bookmarkStart w:id="2" w:name="_Toc486865993"/>
      <w:bookmarkStart w:id="3" w:name="_Toc1966"/>
      <w:bookmarkStart w:id="4" w:name="_Toc481937753"/>
      <w:bookmarkStart w:id="5" w:name="_Toc489891867"/>
      <w:r>
        <w:rPr>
          <w:rFonts w:hint="eastAsia"/>
          <w:color w:val="auto"/>
        </w:rPr>
        <w:br w:type="page"/>
      </w:r>
    </w:p>
    <w:p>
      <w:pPr>
        <w:pStyle w:val="4"/>
        <w:spacing w:line="360" w:lineRule="auto"/>
        <w:rPr>
          <w:rFonts w:hint="eastAsia"/>
          <w:color w:val="auto"/>
        </w:rPr>
      </w:pPr>
      <w:bookmarkStart w:id="6" w:name="_Toc30139"/>
      <w:bookmarkStart w:id="7" w:name="_Toc10859"/>
      <w:bookmarkStart w:id="8" w:name="_Toc2372"/>
      <w:bookmarkStart w:id="9" w:name="_Toc6757"/>
      <w:bookmarkStart w:id="10" w:name="_Toc17105"/>
      <w:bookmarkStart w:id="11" w:name="_Toc1995"/>
      <w:bookmarkStart w:id="12" w:name="_Toc5540"/>
      <w:bookmarkStart w:id="13" w:name="_Toc29638"/>
      <w:bookmarkStart w:id="14" w:name="_Toc32726"/>
      <w:bookmarkStart w:id="15" w:name="_Toc27937"/>
      <w:bookmarkStart w:id="16" w:name="_Toc7658"/>
      <w:bookmarkStart w:id="17" w:name="_Toc28211"/>
      <w:r>
        <w:rPr>
          <w:rFonts w:hint="eastAsia"/>
          <w:color w:val="auto"/>
        </w:rPr>
        <w:t>目</w:t>
      </w:r>
      <w:r>
        <w:rPr>
          <w:rFonts w:hint="eastAsia"/>
          <w:color w:val="auto"/>
          <w:lang w:val="en-US" w:eastAsia="zh-CN"/>
        </w:rPr>
        <w:t xml:space="preserve">  </w:t>
      </w:r>
      <w:r>
        <w:rPr>
          <w:rFonts w:hint="eastAsia"/>
          <w:color w:val="auto"/>
        </w:rPr>
        <w:t>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15"/>
        <w:tabs>
          <w:tab w:val="right" w:leader="dot" w:pos="9638"/>
        </w:tabs>
        <w:spacing w:line="360" w:lineRule="auto"/>
        <w:rPr>
          <w:rFonts w:ascii="宋体" w:hAnsi="宋体"/>
          <w:color w:val="auto"/>
          <w:sz w:val="24"/>
        </w:rPr>
      </w:pPr>
    </w:p>
    <w:p>
      <w:pPr>
        <w:pStyle w:val="15"/>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TOC \o "1-3" \h \z \u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_Toc22978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2"/>
        </w:rPr>
        <w:t>1概述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_Toc22978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_Toc7226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rPr>
        <w:t>1.1评估的主要依据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_Toc7226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_Toc7785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en-US" w:eastAsia="zh-CN"/>
        </w:rPr>
        <w:t>1.2评估目的</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_Toc7785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_Toc8961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en-US" w:eastAsia="zh-CN"/>
        </w:rPr>
        <w:t>1.3风险评估范围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_Toc8961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_Toc31742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rPr>
        <w:t>1.4评估程序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_Toc31742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5"/>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_Toc25645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2"/>
          <w:lang w:val="en-US" w:eastAsia="zh-CN"/>
        </w:rPr>
        <w:t>2</w:t>
      </w:r>
      <w:r>
        <w:rPr>
          <w:rFonts w:hint="eastAsia" w:asciiTheme="minorEastAsia" w:hAnsiTheme="minorEastAsia" w:eastAsiaTheme="minorEastAsia" w:cstheme="minorEastAsia"/>
          <w:szCs w:val="32"/>
        </w:rPr>
        <w:t>公司概况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_Toc25645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_Toc7133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rPr>
        <w:t>2.1 公司概况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_Toc7133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_Toc1800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rPr>
        <w:t>2.</w:t>
      </w:r>
      <w:r>
        <w:rPr>
          <w:rFonts w:hint="eastAsia" w:asciiTheme="minorEastAsia" w:hAnsiTheme="minorEastAsia" w:eastAsiaTheme="minorEastAsia" w:cstheme="minorEastAsia"/>
          <w:szCs w:val="28"/>
          <w:lang w:val="en-US" w:eastAsia="zh-CN"/>
        </w:rPr>
        <w:t>1.1</w:t>
      </w:r>
      <w:r>
        <w:rPr>
          <w:rFonts w:hint="eastAsia" w:asciiTheme="minorEastAsia" w:hAnsiTheme="minorEastAsia" w:eastAsiaTheme="minorEastAsia" w:cstheme="minorEastAsia"/>
          <w:szCs w:val="28"/>
        </w:rPr>
        <w:t>公司地理位置及环境等情况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_Toc9731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2.1.</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lang w:val="zh-CN"/>
        </w:rPr>
        <w:t>总体布置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_Toc9731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_Toc8718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w:t>
      </w:r>
      <w:r>
        <w:rPr>
          <w:rFonts w:hint="eastAsia" w:asciiTheme="minorEastAsia" w:hAnsiTheme="minorEastAsia" w:eastAsiaTheme="minorEastAsia" w:cstheme="minorEastAsia"/>
          <w:szCs w:val="28"/>
        </w:rPr>
        <w:t>1.</w:t>
      </w:r>
      <w:r>
        <w:rPr>
          <w:rFonts w:hint="eastAsia" w:asciiTheme="minorEastAsia" w:hAnsiTheme="minorEastAsia" w:eastAsiaTheme="minorEastAsia" w:cstheme="minorEastAsia"/>
          <w:szCs w:val="28"/>
          <w:lang w:val="en-US" w:eastAsia="zh-CN"/>
        </w:rPr>
        <w:t>3</w:t>
      </w:r>
      <w:r>
        <w:rPr>
          <w:rFonts w:hint="eastAsia" w:asciiTheme="minorEastAsia" w:hAnsiTheme="minorEastAsia" w:eastAsiaTheme="minorEastAsia" w:cstheme="minorEastAsia"/>
          <w:szCs w:val="28"/>
          <w:lang w:val="zh-CN"/>
        </w:rPr>
        <w:t>周边环境</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_Toc8718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_Toc29609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2.1.</w:t>
      </w:r>
      <w:r>
        <w:rPr>
          <w:rFonts w:hint="eastAsia" w:asciiTheme="minorEastAsia" w:hAnsiTheme="minorEastAsia" w:eastAsiaTheme="minorEastAsia" w:cstheme="minorEastAsia"/>
          <w:szCs w:val="28"/>
          <w:lang w:val="en-US" w:eastAsia="zh-CN"/>
        </w:rPr>
        <w:t>4</w:t>
      </w:r>
      <w:r>
        <w:rPr>
          <w:rFonts w:hint="eastAsia" w:asciiTheme="minorEastAsia" w:hAnsiTheme="minorEastAsia" w:eastAsiaTheme="minorEastAsia" w:cstheme="minorEastAsia"/>
          <w:szCs w:val="28"/>
          <w:lang w:val="zh-CN"/>
        </w:rPr>
        <w:t>工艺流程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_Toc29609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_Toc31638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2.1.</w:t>
      </w:r>
      <w:r>
        <w:rPr>
          <w:rFonts w:hint="eastAsia" w:asciiTheme="minorEastAsia" w:hAnsiTheme="minorEastAsia" w:eastAsiaTheme="minorEastAsia" w:cstheme="minorEastAsia"/>
          <w:szCs w:val="28"/>
          <w:lang w:val="en-US" w:eastAsia="zh-CN"/>
        </w:rPr>
        <w:t>5</w:t>
      </w:r>
      <w:r>
        <w:rPr>
          <w:rFonts w:hint="eastAsia" w:asciiTheme="minorEastAsia" w:hAnsiTheme="minorEastAsia" w:eastAsiaTheme="minorEastAsia" w:cstheme="minorEastAsia"/>
          <w:bCs/>
          <w:i w:val="0"/>
          <w:iCs w:val="0"/>
          <w:szCs w:val="28"/>
        </w:rPr>
        <w:t>主要生产设备情况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_Toc31638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_Toc17345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rPr>
        <w:t>2.</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rPr>
        <w:t>各方应急力量有关基本情况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_Toc17345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_Toc2271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lang w:val="zh-CN"/>
        </w:rPr>
        <w:t>.1内部应急力量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_Toc2271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_Toc26713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lang w:val="zh-CN"/>
        </w:rPr>
        <w:t>.</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lang w:val="zh-CN"/>
        </w:rPr>
        <w:t>外部应急力量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_Toc26713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5"/>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_Toc26202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2"/>
          <w:lang w:val="en-US" w:eastAsia="zh-CN"/>
        </w:rPr>
        <w:t>3危险、有害因素辨识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_Toc26202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_Toc23610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1 危险、有害因素辨识的目的</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_Toc23610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_Toc7014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2 危险、有害因素辨识的依据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_Toc7014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_Toc27182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3 危险、有害因素辨识的方法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_Toc27182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_Toc19679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4 主要危险、有害物质特性分析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_Toc19679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_Toc7131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4.1 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_Toc7131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_Toc23854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4.2 柴油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_Toc23854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_Toc5140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4.3 一氧化碳</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_Toc5140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_Toc11700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4.4 二氧化碳</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_Toc11700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_Toc22796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4.5 二氧化硫（三氧化硫参考）</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_Toc22796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_Toc5327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3.4.6 柴油安全数据表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_Toc5327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_Toc29908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3.4.7 氧气安全数据表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_Toc29908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_Toc29898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3.4.8 乙炔安全数据表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_Toc29898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_Toc18182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rPr>
        <w:t>3.5 生产过程危险有害因素分析和辨识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_Toc18182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_Toc879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5 生产过程危险有害因素分析和辨识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_Toc879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_Toc30859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5.1 车辆事故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_Toc30859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_Toc3869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5.2 机械伤害</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_Toc3869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_Toc19172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5.3 触电事故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_Toc19172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_Toc13705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5.4 高处坠落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_Toc13705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_Toc1627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5.5 物体打击</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_Toc24982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5.6 火灾事故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_Toc24982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_Toc9981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w:t>
      </w:r>
      <w:r>
        <w:rPr>
          <w:rFonts w:hint="eastAsia" w:asciiTheme="minorEastAsia" w:hAnsiTheme="minorEastAsia" w:eastAsiaTheme="minorEastAsia" w:cstheme="minorEastAsia"/>
          <w:snapToGrid w:val="0"/>
          <w:kern w:val="0"/>
          <w:szCs w:val="28"/>
          <w:lang w:val="en-US" w:eastAsia="zh-CN"/>
        </w:rPr>
        <w:t>7 坍塌</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_Toc9981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_Toc20717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3.5.8中毒窒息</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_Toc20717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_Toc9824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3.5.9高温灼烫</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_Toc9824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_Toc10032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3.5.10容器爆炸</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_Toc10032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_Toc28786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3.5.11有限空间作业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_Toc28786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_Toc1032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w:t>
      </w:r>
      <w:r>
        <w:rPr>
          <w:rFonts w:hint="eastAsia" w:asciiTheme="minorEastAsia" w:hAnsiTheme="minorEastAsia" w:eastAsiaTheme="minorEastAsia" w:cstheme="minorEastAsia"/>
          <w:snapToGrid w:val="0"/>
          <w:kern w:val="0"/>
          <w:szCs w:val="28"/>
          <w:lang w:val="en-US" w:eastAsia="zh-CN"/>
        </w:rPr>
        <w:t>12</w:t>
      </w:r>
      <w:r>
        <w:rPr>
          <w:rFonts w:hint="eastAsia" w:asciiTheme="minorEastAsia" w:hAnsiTheme="minorEastAsia" w:eastAsiaTheme="minorEastAsia" w:cstheme="minorEastAsia"/>
          <w:snapToGrid w:val="0"/>
          <w:kern w:val="0"/>
          <w:szCs w:val="28"/>
        </w:rPr>
        <w:t xml:space="preserve"> 职业危害因素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_Toc1032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_Toc17382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3.5.13 自然灾害</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_Toc17382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_Toc31323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6 厂址安全条件的危险、有害因素辨识与分析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_Toc31323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_Toc771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 xml:space="preserve">6.1 </w:t>
      </w:r>
      <w:r>
        <w:rPr>
          <w:rFonts w:hint="eastAsia" w:asciiTheme="minorEastAsia" w:hAnsiTheme="minorEastAsia" w:eastAsiaTheme="minorEastAsia" w:cstheme="minorEastAsia"/>
          <w:snapToGrid w:val="0"/>
          <w:kern w:val="0"/>
          <w:szCs w:val="28"/>
          <w:lang w:eastAsia="zh-CN"/>
        </w:rPr>
        <w:t>公司</w:t>
      </w:r>
      <w:r>
        <w:rPr>
          <w:rFonts w:hint="eastAsia" w:asciiTheme="minorEastAsia" w:hAnsiTheme="minorEastAsia" w:eastAsiaTheme="minorEastAsia" w:cstheme="minorEastAsia"/>
          <w:snapToGrid w:val="0"/>
          <w:kern w:val="0"/>
          <w:szCs w:val="28"/>
        </w:rPr>
        <w:t>对周边环境的影响分析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_Toc771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_Toc31334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6.2 周边环境对</w:t>
      </w:r>
      <w:r>
        <w:rPr>
          <w:rFonts w:hint="eastAsia" w:asciiTheme="minorEastAsia" w:hAnsiTheme="minorEastAsia" w:eastAsiaTheme="minorEastAsia" w:cstheme="minorEastAsia"/>
          <w:snapToGrid w:val="0"/>
          <w:kern w:val="0"/>
          <w:szCs w:val="28"/>
          <w:lang w:eastAsia="zh-CN"/>
        </w:rPr>
        <w:t>公司</w:t>
      </w:r>
      <w:r>
        <w:rPr>
          <w:rFonts w:hint="eastAsia" w:asciiTheme="minorEastAsia" w:hAnsiTheme="minorEastAsia" w:eastAsiaTheme="minorEastAsia" w:cstheme="minorEastAsia"/>
          <w:snapToGrid w:val="0"/>
          <w:kern w:val="0"/>
          <w:szCs w:val="28"/>
        </w:rPr>
        <w:t>的影响分析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_Toc31334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_Toc24537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lang w:val="en-US" w:eastAsia="zh-CN"/>
        </w:rPr>
        <w:t>7</w:t>
      </w:r>
      <w:r>
        <w:rPr>
          <w:rFonts w:hint="eastAsia" w:asciiTheme="minorEastAsia" w:hAnsiTheme="minorEastAsia" w:eastAsiaTheme="minorEastAsia" w:cstheme="minorEastAsia"/>
          <w:snapToGrid w:val="0"/>
          <w:kern w:val="0"/>
          <w:szCs w:val="32"/>
        </w:rPr>
        <w:t xml:space="preserve"> 重大危险源辨识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_Toc24537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_Toc3486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lang w:val="en-US" w:eastAsia="zh-CN"/>
        </w:rPr>
        <w:t>7</w:t>
      </w:r>
      <w:r>
        <w:rPr>
          <w:rFonts w:hint="eastAsia" w:asciiTheme="minorEastAsia" w:hAnsiTheme="minorEastAsia" w:eastAsiaTheme="minorEastAsia" w:cstheme="minorEastAsia"/>
          <w:snapToGrid w:val="0"/>
          <w:kern w:val="0"/>
          <w:szCs w:val="28"/>
        </w:rPr>
        <w:t>.1 辨识依据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_Toc3486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_Toc26407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lang w:val="en-US" w:eastAsia="zh-CN"/>
        </w:rPr>
        <w:t>7</w:t>
      </w:r>
      <w:r>
        <w:rPr>
          <w:rFonts w:hint="eastAsia" w:asciiTheme="minorEastAsia" w:hAnsiTheme="minorEastAsia" w:eastAsiaTheme="minorEastAsia" w:cstheme="minorEastAsia"/>
          <w:snapToGrid w:val="0"/>
          <w:kern w:val="0"/>
          <w:szCs w:val="28"/>
        </w:rPr>
        <w:t>.2 辨识结果</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_Toc26407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_Toc31349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3.8小结</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_Toc31349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5"/>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_Toc18300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2"/>
          <w:lang w:val="en-US" w:eastAsia="zh-CN"/>
        </w:rPr>
        <w:t>4</w:t>
      </w:r>
      <w:r>
        <w:rPr>
          <w:rFonts w:hint="eastAsia" w:asciiTheme="minorEastAsia" w:hAnsiTheme="minorEastAsia" w:eastAsiaTheme="minorEastAsia" w:cstheme="minorEastAsia"/>
          <w:szCs w:val="32"/>
        </w:rPr>
        <w:t>评估结论与建议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_Toc18300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_Toc22399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en-US" w:eastAsia="zh-CN"/>
        </w:rPr>
        <w:t>4.1总体评价结论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_Toc22399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_Toc24155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en-US" w:eastAsia="zh-CN"/>
        </w:rPr>
        <w:t>4</w:t>
      </w:r>
      <w:r>
        <w:rPr>
          <w:rFonts w:hint="eastAsia" w:asciiTheme="minorEastAsia" w:hAnsiTheme="minorEastAsia" w:eastAsiaTheme="minorEastAsia" w:cstheme="minorEastAsia"/>
          <w:szCs w:val="28"/>
        </w:rPr>
        <w:t>.</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rPr>
        <w:t>建议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_Toc24155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widowControl/>
        <w:spacing w:line="360" w:lineRule="auto"/>
        <w:jc w:val="left"/>
        <w:outlineLvl w:val="2"/>
        <w:rPr>
          <w:rFonts w:hint="eastAsia" w:ascii="宋体" w:hAnsi="宋体" w:cs="宋体"/>
          <w:b/>
          <w:bCs/>
          <w:color w:val="auto"/>
          <w:kern w:val="0"/>
          <w:sz w:val="28"/>
          <w:szCs w:val="28"/>
        </w:rPr>
      </w:pPr>
      <w:r>
        <w:rPr>
          <w:rFonts w:hint="eastAsia" w:asciiTheme="minorEastAsia" w:hAnsiTheme="minorEastAsia" w:eastAsiaTheme="minorEastAsia" w:cstheme="minorEastAsia"/>
          <w:color w:val="auto"/>
          <w:szCs w:val="21"/>
        </w:rPr>
        <w:fldChar w:fldCharType="end"/>
      </w:r>
    </w:p>
    <w:p>
      <w:pPr>
        <w:numPr>
          <w:ilvl w:val="0"/>
          <w:numId w:val="0"/>
        </w:numPr>
        <w:spacing w:line="360" w:lineRule="auto"/>
        <w:jc w:val="center"/>
        <w:outlineLvl w:val="0"/>
        <w:rPr>
          <w:rFonts w:hint="eastAsia" w:ascii="黑体" w:hAnsi="宋体" w:eastAsia="黑体"/>
          <w:b/>
          <w:color w:val="auto"/>
          <w:sz w:val="32"/>
          <w:szCs w:val="32"/>
          <w:lang w:val="en-US" w:eastAsia="zh-CN"/>
        </w:rPr>
        <w:sectPr>
          <w:pgSz w:w="11906" w:h="16838"/>
          <w:pgMar w:top="1440" w:right="1800" w:bottom="1440" w:left="1800" w:header="851" w:footer="992" w:gutter="0"/>
          <w:pgNumType w:fmt="decimal" w:start="1"/>
          <w:cols w:space="425" w:num="1"/>
          <w:docGrid w:type="lines" w:linePitch="312" w:charSpace="0"/>
        </w:sectPr>
      </w:pPr>
      <w:bookmarkStart w:id="268" w:name="_GoBack"/>
      <w:bookmarkEnd w:id="268"/>
    </w:p>
    <w:p>
      <w:pPr>
        <w:spacing w:line="360" w:lineRule="auto"/>
        <w:jc w:val="center"/>
        <w:outlineLvl w:val="0"/>
        <w:rPr>
          <w:rFonts w:hint="eastAsia" w:ascii="黑体" w:hAnsi="宋体" w:eastAsia="黑体"/>
          <w:b/>
          <w:sz w:val="32"/>
          <w:szCs w:val="32"/>
        </w:rPr>
      </w:pPr>
      <w:bookmarkStart w:id="18" w:name="_Toc22978"/>
      <w:bookmarkStart w:id="19" w:name="_Toc1621"/>
      <w:bookmarkStart w:id="20" w:name="_Toc97"/>
      <w:r>
        <w:rPr>
          <w:rFonts w:hint="eastAsia" w:ascii="黑体" w:hAnsi="宋体" w:eastAsia="黑体"/>
          <w:b/>
          <w:sz w:val="32"/>
          <w:szCs w:val="32"/>
        </w:rPr>
        <w:t>1概述</w:t>
      </w:r>
      <w:bookmarkEnd w:id="18"/>
      <w:bookmarkEnd w:id="19"/>
      <w:bookmarkEnd w:id="20"/>
    </w:p>
    <w:p>
      <w:pPr>
        <w:pStyle w:val="5"/>
        <w:spacing w:line="360" w:lineRule="auto"/>
        <w:rPr>
          <w:rFonts w:hint="eastAsia" w:ascii="宋体" w:hAnsi="宋体" w:eastAsia="宋体" w:cs="宋体"/>
          <w:sz w:val="28"/>
          <w:szCs w:val="28"/>
        </w:rPr>
      </w:pPr>
      <w:bookmarkStart w:id="21" w:name="_Toc13902"/>
      <w:bookmarkStart w:id="22" w:name="_Toc7226"/>
      <w:bookmarkStart w:id="23" w:name="_Toc10102"/>
      <w:r>
        <w:rPr>
          <w:rFonts w:hint="eastAsia" w:ascii="宋体" w:hAnsi="宋体" w:eastAsia="宋体" w:cs="宋体"/>
          <w:sz w:val="28"/>
          <w:szCs w:val="28"/>
        </w:rPr>
        <w:t>1.1评估的主要依据</w:t>
      </w:r>
      <w:bookmarkEnd w:id="21"/>
      <w:bookmarkEnd w:id="22"/>
      <w:bookmarkEnd w:id="23"/>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（1）《中华人民共和国安全生产法》（中华人民共和国主席令第13号，自2014年12月1日起施行）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（2）《中华人民共和国劳动法》（中华人民共和国主席令第28号，自1995年1月1日起施行，2009年8月27日修订）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（3）《中华人民共和国职业病防治法》(中华人民共和国主席令第24号，2018年12月29日修订)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（4）《中华人民共和国消防法》（中华人民共和国主席令第6号，自20</w:t>
      </w:r>
      <w:r>
        <w:rPr>
          <w:rFonts w:hint="eastAsia" w:ascii="宋体" w:hAnsi="宋体" w:cs="宋体"/>
          <w:color w:val="auto"/>
          <w:sz w:val="28"/>
          <w:szCs w:val="28"/>
          <w:lang w:val="en-US" w:eastAsia="zh-CN"/>
        </w:rPr>
        <w:t>1</w:t>
      </w:r>
      <w:r>
        <w:rPr>
          <w:rFonts w:hint="eastAsia" w:ascii="宋体" w:hAnsi="宋体" w:cs="宋体"/>
          <w:color w:val="auto"/>
          <w:sz w:val="28"/>
          <w:szCs w:val="28"/>
          <w:lang w:val="zh-CN" w:eastAsia="zh-CN"/>
        </w:rPr>
        <w:t>9年</w:t>
      </w:r>
      <w:r>
        <w:rPr>
          <w:rFonts w:hint="eastAsia" w:ascii="宋体" w:hAnsi="宋体" w:cs="宋体"/>
          <w:color w:val="auto"/>
          <w:sz w:val="28"/>
          <w:szCs w:val="28"/>
          <w:lang w:val="en-US" w:eastAsia="zh-CN"/>
        </w:rPr>
        <w:t>4</w:t>
      </w:r>
      <w:r>
        <w:rPr>
          <w:rFonts w:hint="eastAsia" w:ascii="宋体" w:hAnsi="宋体" w:cs="宋体"/>
          <w:color w:val="auto"/>
          <w:sz w:val="28"/>
          <w:szCs w:val="28"/>
          <w:lang w:val="zh-CN" w:eastAsia="zh-CN"/>
        </w:rPr>
        <w:t>月</w:t>
      </w:r>
      <w:r>
        <w:rPr>
          <w:rFonts w:hint="eastAsia" w:ascii="宋体" w:hAnsi="宋体" w:cs="宋体"/>
          <w:color w:val="auto"/>
          <w:sz w:val="28"/>
          <w:szCs w:val="28"/>
          <w:lang w:val="en-US" w:eastAsia="zh-CN"/>
        </w:rPr>
        <w:t>23</w:t>
      </w:r>
      <w:r>
        <w:rPr>
          <w:rFonts w:hint="eastAsia" w:ascii="宋体" w:hAnsi="宋体" w:cs="宋体"/>
          <w:color w:val="auto"/>
          <w:sz w:val="28"/>
          <w:szCs w:val="28"/>
          <w:lang w:val="zh-CN" w:eastAsia="zh-CN"/>
        </w:rPr>
        <w:t>日起修订）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（5）《中华人民共和国突发事件应对法》（中华人民共和国主席令第69号，自2007年11月1日起施行）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（6）《中华人民共和国劳动合同法》（主席令第73号，自2013年7月1日起施行）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（7）《中华人民共和国环境保护法》（主席令第9号，自2015年1月1日起施行）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（8）《中华人民共和国特种设备安全法》（主席令第4号，2014年1月1日起实施）；</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（9）《中华人民共和国防震减灾法》（国家主席令第7号，自2009年5月1日起施行）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（10）《工伤保险条例》（国务院第586号令）</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（11）《机关、团体、企业事业单位消防安全管理规定》（公安部第61号令）</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（12）《有限空间安全作业五条规定》（国家安监总局令[2014]第69号）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（13）《企业安全生产风险公告六条规定》（国家安监总局令[2014]第70号）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（14）《企业安全生产应急管理九条规定》（国家安监总局令[2015]第74号）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（15）《国家安全监管总局办公厅关于印发用人单位劳动防护用品管理规范的通知》（安监总厅安健〔2015〕124号）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（16）《工作场所职业卫生监督管理规定》（国家安监总局令第47号）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（17）《生产安全事故应急预案管理办法》（国家安全生产监督管理总局令第88号）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（18）《生产经营单位生产安全事故应急预案编制导则》（GB/T29639-2013）</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（19）《生产安全事故应急条例》（国令第708号，2019年4月1日起施行）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（20）《生产安全事故应急演练评估规范》（AQ/T9009-2015）</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（21）《生产安全事故应急演练指南》（AQ/T 9007-2011）</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w:t>
      </w:r>
      <w:r>
        <w:rPr>
          <w:rFonts w:hint="eastAsia" w:ascii="宋体" w:hAnsi="宋体" w:cs="宋体"/>
          <w:color w:val="auto"/>
          <w:sz w:val="28"/>
          <w:szCs w:val="28"/>
          <w:lang w:val="en-US" w:eastAsia="zh-CN"/>
        </w:rPr>
        <w:t>22</w:t>
      </w:r>
      <w:r>
        <w:rPr>
          <w:rFonts w:hint="eastAsia" w:ascii="宋体" w:hAnsi="宋体" w:cs="宋体"/>
          <w:color w:val="auto"/>
          <w:sz w:val="28"/>
          <w:szCs w:val="28"/>
          <w:lang w:val="zh-CN" w:eastAsia="zh-CN"/>
        </w:rPr>
        <w:t>）《危险化学品重大危险源辨识》（GB18218-20</w:t>
      </w:r>
      <w:r>
        <w:rPr>
          <w:rFonts w:hint="eastAsia" w:ascii="宋体" w:hAnsi="宋体" w:cs="宋体"/>
          <w:color w:val="auto"/>
          <w:sz w:val="28"/>
          <w:szCs w:val="28"/>
          <w:lang w:val="en-US" w:eastAsia="zh-CN"/>
        </w:rPr>
        <w:t>18</w:t>
      </w:r>
      <w:r>
        <w:rPr>
          <w:rFonts w:hint="eastAsia" w:ascii="宋体" w:hAnsi="宋体" w:cs="宋体"/>
          <w:color w:val="auto"/>
          <w:sz w:val="28"/>
          <w:szCs w:val="28"/>
          <w:lang w:val="zh-CN" w:eastAsia="zh-CN"/>
        </w:rPr>
        <w:t>）</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3</w:t>
      </w:r>
      <w:r>
        <w:rPr>
          <w:rFonts w:hint="eastAsia" w:ascii="宋体" w:hAnsi="宋体" w:cs="宋体"/>
          <w:color w:val="auto"/>
          <w:sz w:val="28"/>
          <w:szCs w:val="28"/>
          <w:lang w:val="zh-CN" w:eastAsia="zh-CN"/>
        </w:rPr>
        <w:t>）《四川省安全生产条例》（2006年11月30日四川省第十届人大常委会第二十四次会议通过）</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4</w:t>
      </w:r>
      <w:r>
        <w:rPr>
          <w:rFonts w:hint="eastAsia" w:ascii="宋体" w:hAnsi="宋体" w:cs="宋体"/>
          <w:color w:val="auto"/>
          <w:sz w:val="28"/>
          <w:szCs w:val="28"/>
          <w:lang w:val="zh-CN" w:eastAsia="zh-CN"/>
        </w:rPr>
        <w:t>）《危险化学品目录》（2015年版）</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5</w:t>
      </w:r>
      <w:r>
        <w:rPr>
          <w:rFonts w:hint="eastAsia" w:ascii="宋体" w:hAnsi="宋体" w:cs="宋体"/>
          <w:color w:val="auto"/>
          <w:sz w:val="28"/>
          <w:szCs w:val="28"/>
          <w:lang w:val="zh-CN" w:eastAsia="zh-CN"/>
        </w:rPr>
        <w:t>）《易燃易爆性商品储存养护技术条件》（GB17914-2013）</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6</w:t>
      </w:r>
      <w:r>
        <w:rPr>
          <w:rFonts w:hint="eastAsia" w:ascii="宋体" w:hAnsi="宋体" w:cs="宋体"/>
          <w:color w:val="auto"/>
          <w:sz w:val="28"/>
          <w:szCs w:val="28"/>
          <w:lang w:val="zh-CN" w:eastAsia="zh-CN"/>
        </w:rPr>
        <w:t>）《四川省生产安全事故应急预案管理实施细则》（川安监〔2018〕43号）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7</w:t>
      </w:r>
      <w:r>
        <w:rPr>
          <w:rFonts w:hint="eastAsia" w:ascii="宋体" w:hAnsi="宋体" w:cs="宋体"/>
          <w:color w:val="auto"/>
          <w:sz w:val="28"/>
          <w:szCs w:val="28"/>
          <w:lang w:val="zh-CN" w:eastAsia="zh-CN"/>
        </w:rPr>
        <w:t>）《成都市安全生产监督管理局关于规范生产安全事故应急预案评审备案工作的通知》成安监函〔2018〕9号</w:t>
      </w:r>
    </w:p>
    <w:p>
      <w:pPr>
        <w:pStyle w:val="5"/>
        <w:spacing w:before="0" w:after="0" w:line="360" w:lineRule="auto"/>
        <w:rPr>
          <w:rFonts w:hint="eastAsia" w:ascii="宋体" w:hAnsi="宋体" w:eastAsia="宋体" w:cs="宋体"/>
          <w:color w:val="auto"/>
          <w:sz w:val="28"/>
          <w:szCs w:val="28"/>
          <w:lang w:val="en-US" w:eastAsia="zh-CN"/>
        </w:rPr>
      </w:pPr>
      <w:bookmarkStart w:id="24" w:name="_Toc16426"/>
      <w:bookmarkStart w:id="25" w:name="_Toc7785"/>
      <w:bookmarkStart w:id="26" w:name="_Toc25561"/>
      <w:r>
        <w:rPr>
          <w:rFonts w:hint="eastAsia" w:ascii="宋体" w:hAnsi="宋体" w:eastAsia="宋体" w:cs="宋体"/>
          <w:color w:val="auto"/>
          <w:sz w:val="28"/>
          <w:szCs w:val="28"/>
          <w:lang w:val="en-US" w:eastAsia="zh-CN"/>
        </w:rPr>
        <w:t>1.2评估目的</w:t>
      </w:r>
      <w:bookmarkEnd w:id="24"/>
      <w:bookmarkEnd w:id="25"/>
      <w:bookmarkEnd w:id="26"/>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为规范</w:t>
      </w:r>
      <w:r>
        <w:rPr>
          <w:rFonts w:hint="eastAsia" w:hAnsi="宋体"/>
          <w:sz w:val="28"/>
          <w:szCs w:val="28"/>
          <w:lang w:eastAsia="zh-CN"/>
        </w:rPr>
        <w:t>公司</w:t>
      </w:r>
      <w:r>
        <w:rPr>
          <w:rFonts w:hint="eastAsia" w:hAnsi="宋体"/>
          <w:sz w:val="28"/>
          <w:szCs w:val="28"/>
        </w:rPr>
        <w:t>风险管理工作，识别和分析生产安全作业中的危险有害因素，消除或减少事故危害，确保安全作业，由</w:t>
      </w:r>
      <w:r>
        <w:rPr>
          <w:rFonts w:hint="eastAsia" w:hAnsi="宋体"/>
          <w:sz w:val="28"/>
          <w:szCs w:val="28"/>
          <w:lang w:eastAsia="zh-CN"/>
        </w:rPr>
        <w:t>公司</w:t>
      </w:r>
      <w:r>
        <w:rPr>
          <w:rFonts w:hint="eastAsia" w:hAnsi="宋体"/>
          <w:sz w:val="28"/>
          <w:szCs w:val="28"/>
        </w:rPr>
        <w:t>风险评价小组进行风险评估。</w:t>
      </w:r>
    </w:p>
    <w:p>
      <w:pPr>
        <w:pStyle w:val="5"/>
        <w:spacing w:before="0" w:after="0" w:line="360" w:lineRule="auto"/>
        <w:rPr>
          <w:rFonts w:hint="eastAsia" w:ascii="宋体" w:hAnsi="宋体" w:eastAsia="宋体" w:cs="宋体"/>
          <w:color w:val="auto"/>
          <w:sz w:val="28"/>
          <w:szCs w:val="28"/>
          <w:lang w:val="en-US" w:eastAsia="zh-CN"/>
        </w:rPr>
      </w:pPr>
      <w:bookmarkStart w:id="27" w:name="_Toc19499"/>
      <w:bookmarkStart w:id="28" w:name="_Toc12578"/>
      <w:bookmarkStart w:id="29" w:name="_Toc8961"/>
      <w:r>
        <w:rPr>
          <w:rFonts w:hint="eastAsia" w:ascii="宋体" w:hAnsi="宋体" w:eastAsia="宋体" w:cs="宋体"/>
          <w:color w:val="auto"/>
          <w:sz w:val="28"/>
          <w:szCs w:val="28"/>
          <w:lang w:val="en-US" w:eastAsia="zh-CN"/>
        </w:rPr>
        <w:t>1.3风险评估范围</w:t>
      </w:r>
      <w:bookmarkEnd w:id="27"/>
      <w:bookmarkEnd w:id="28"/>
      <w:bookmarkEnd w:id="29"/>
      <w:r>
        <w:rPr>
          <w:rFonts w:hint="eastAsia" w:ascii="宋体" w:hAnsi="宋体" w:eastAsia="宋体" w:cs="宋体"/>
          <w:color w:val="auto"/>
          <w:sz w:val="28"/>
          <w:szCs w:val="28"/>
          <w:lang w:val="en-US" w:eastAsia="zh-CN"/>
        </w:rPr>
        <w:t xml:space="preserve">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评估范围主要围绕生产经营活动开展，主要包括</w:t>
      </w:r>
      <w:r>
        <w:rPr>
          <w:rFonts w:hint="eastAsia" w:hAnsi="宋体"/>
          <w:sz w:val="28"/>
          <w:szCs w:val="28"/>
          <w:lang w:eastAsia="zh-CN"/>
        </w:rPr>
        <w:t>公司</w:t>
      </w:r>
      <w:r>
        <w:rPr>
          <w:rFonts w:hint="eastAsia" w:hAnsi="宋体"/>
          <w:sz w:val="28"/>
          <w:szCs w:val="28"/>
        </w:rPr>
        <w:t>在生产经营过程的生产工艺装置和储存设施以及配套的公用工程系统的风险性识别和分析。</w:t>
      </w:r>
    </w:p>
    <w:p>
      <w:pPr>
        <w:pStyle w:val="5"/>
        <w:spacing w:before="0" w:after="0" w:line="360" w:lineRule="auto"/>
        <w:rPr>
          <w:rFonts w:hint="eastAsia" w:ascii="宋体" w:hAnsi="宋体" w:eastAsia="宋体" w:cs="宋体"/>
          <w:sz w:val="28"/>
          <w:szCs w:val="28"/>
        </w:rPr>
      </w:pPr>
      <w:bookmarkStart w:id="30" w:name="_Toc15923"/>
      <w:bookmarkStart w:id="31" w:name="_Toc23032"/>
      <w:bookmarkStart w:id="32" w:name="_Toc31742"/>
      <w:r>
        <w:rPr>
          <w:rFonts w:hint="eastAsia" w:ascii="宋体" w:hAnsi="宋体" w:eastAsia="宋体" w:cs="宋体"/>
          <w:sz w:val="28"/>
          <w:szCs w:val="28"/>
        </w:rPr>
        <w:t>1.4评估程序</w:t>
      </w:r>
      <w:bookmarkEnd w:id="30"/>
      <w:bookmarkEnd w:id="31"/>
      <w:bookmarkEnd w:id="32"/>
      <w:r>
        <w:rPr>
          <w:rFonts w:hint="eastAsia" w:ascii="宋体" w:hAnsi="宋体" w:eastAsia="宋体" w:cs="宋体"/>
          <w:sz w:val="28"/>
          <w:szCs w:val="28"/>
        </w:rPr>
        <w:t xml:space="preserve">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1、成立风险评估小组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2、收集分析资料、现场勘察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3、组织进行风险识别和评估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4、评估汇总交</w:t>
      </w:r>
      <w:r>
        <w:rPr>
          <w:rFonts w:hint="eastAsia" w:hAnsi="宋体"/>
          <w:sz w:val="28"/>
          <w:szCs w:val="28"/>
          <w:lang w:eastAsia="zh-CN"/>
        </w:rPr>
        <w:t>公司</w:t>
      </w:r>
      <w:r>
        <w:rPr>
          <w:rFonts w:hint="eastAsia" w:hAnsi="宋体"/>
          <w:sz w:val="28"/>
          <w:szCs w:val="28"/>
        </w:rPr>
        <w:t xml:space="preserve">主要负责人批准 </w:t>
      </w:r>
    </w:p>
    <w:p>
      <w:pPr>
        <w:rPr>
          <w:rFonts w:hint="eastAsia" w:ascii="黑体" w:hAnsi="宋体" w:eastAsia="黑体"/>
          <w:b/>
          <w:color w:val="auto"/>
          <w:sz w:val="32"/>
          <w:szCs w:val="32"/>
          <w:lang w:val="en-US" w:eastAsia="zh-CN"/>
        </w:rPr>
      </w:pPr>
      <w:r>
        <w:rPr>
          <w:rFonts w:hint="eastAsia" w:ascii="黑体" w:hAnsi="宋体" w:eastAsia="黑体"/>
          <w:b/>
          <w:color w:val="auto"/>
          <w:sz w:val="32"/>
          <w:szCs w:val="32"/>
          <w:lang w:val="en-US" w:eastAsia="zh-CN"/>
        </w:rPr>
        <w:br w:type="page"/>
      </w:r>
    </w:p>
    <w:p>
      <w:pPr>
        <w:numPr>
          <w:ilvl w:val="0"/>
          <w:numId w:val="0"/>
        </w:numPr>
        <w:spacing w:line="360" w:lineRule="auto"/>
        <w:jc w:val="center"/>
        <w:outlineLvl w:val="0"/>
        <w:rPr>
          <w:rFonts w:hint="eastAsia" w:ascii="黑体" w:hAnsi="宋体" w:eastAsia="黑体"/>
          <w:b/>
          <w:color w:val="auto"/>
          <w:sz w:val="32"/>
          <w:szCs w:val="32"/>
        </w:rPr>
      </w:pPr>
      <w:bookmarkStart w:id="33" w:name="_Toc25645"/>
      <w:r>
        <w:rPr>
          <w:rFonts w:hint="eastAsia" w:ascii="黑体" w:hAnsi="宋体" w:eastAsia="黑体"/>
          <w:b/>
          <w:color w:val="auto"/>
          <w:sz w:val="32"/>
          <w:szCs w:val="32"/>
          <w:lang w:val="en-US" w:eastAsia="zh-CN"/>
        </w:rPr>
        <w:t>2</w:t>
      </w:r>
      <w:r>
        <w:rPr>
          <w:rFonts w:hint="eastAsia" w:ascii="黑体" w:hAnsi="宋体" w:eastAsia="黑体"/>
          <w:b/>
          <w:color w:val="auto"/>
          <w:sz w:val="32"/>
          <w:szCs w:val="32"/>
        </w:rPr>
        <w:t>公司概况</w:t>
      </w:r>
      <w:bookmarkEnd w:id="0"/>
      <w:bookmarkEnd w:id="33"/>
    </w:p>
    <w:p>
      <w:pPr>
        <w:pStyle w:val="5"/>
        <w:spacing w:before="0" w:after="0" w:line="360" w:lineRule="auto"/>
        <w:rPr>
          <w:rFonts w:hint="eastAsia" w:ascii="宋体" w:hAnsi="宋体" w:eastAsia="宋体" w:cs="宋体"/>
          <w:color w:val="auto"/>
          <w:sz w:val="28"/>
          <w:szCs w:val="28"/>
        </w:rPr>
      </w:pPr>
      <w:bookmarkStart w:id="34" w:name="_Toc332285103"/>
      <w:bookmarkStart w:id="35" w:name="_Toc13200"/>
      <w:bookmarkStart w:id="36" w:name="_Toc7133"/>
      <w:bookmarkStart w:id="37" w:name="_Toc176022617"/>
      <w:bookmarkStart w:id="38" w:name="_Toc480804386"/>
      <w:bookmarkStart w:id="39" w:name="_Toc514342838"/>
      <w:bookmarkStart w:id="40" w:name="_Toc485656588"/>
      <w:r>
        <w:rPr>
          <w:rFonts w:hint="eastAsia" w:ascii="宋体" w:hAnsi="宋体" w:eastAsia="宋体" w:cs="宋体"/>
          <w:color w:val="auto"/>
          <w:sz w:val="28"/>
          <w:szCs w:val="28"/>
        </w:rPr>
        <w:t>2.1 公司概况</w:t>
      </w:r>
      <w:bookmarkEnd w:id="34"/>
      <w:bookmarkEnd w:id="35"/>
      <w:bookmarkEnd w:id="36"/>
      <w:bookmarkEnd w:id="37"/>
    </w:p>
    <w:tbl>
      <w:tblPr>
        <w:tblStyle w:val="2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1907"/>
        <w:gridCol w:w="1643"/>
        <w:gridCol w:w="366"/>
        <w:gridCol w:w="1134"/>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单位</w:t>
            </w:r>
            <w:r>
              <w:rPr>
                <w:rFonts w:hint="eastAsia" w:hAnsi="宋体" w:eastAsia="Times New Roman" w:cs="宋体"/>
                <w:color w:val="auto"/>
                <w:kern w:val="2"/>
                <w:sz w:val="28"/>
                <w:szCs w:val="28"/>
                <w:lang w:val="zh-CN" w:eastAsia="zh-CN" w:bidi="ar-SA"/>
              </w:rPr>
              <w:t>名称</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仪陇县柳垭镇合发页岩机砖厂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法人代表</w:t>
            </w:r>
          </w:p>
        </w:tc>
        <w:tc>
          <w:tcPr>
            <w:tcW w:w="1907"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鲜小平</w:t>
            </w:r>
          </w:p>
        </w:tc>
        <w:tc>
          <w:tcPr>
            <w:tcW w:w="2009"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联系电话</w:t>
            </w:r>
          </w:p>
        </w:tc>
        <w:tc>
          <w:tcPr>
            <w:tcW w:w="3096"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en-US" w:eastAsia="zh-CN" w:bidi="ar-SA"/>
              </w:rPr>
              <w:t>13458257880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联系人</w:t>
            </w:r>
          </w:p>
        </w:tc>
        <w:tc>
          <w:tcPr>
            <w:tcW w:w="1907"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陈云</w:t>
            </w:r>
          </w:p>
        </w:tc>
        <w:tc>
          <w:tcPr>
            <w:tcW w:w="2009"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成立时间</w:t>
            </w:r>
          </w:p>
        </w:tc>
        <w:tc>
          <w:tcPr>
            <w:tcW w:w="3096"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hAnsi="宋体" w:eastAsia="Times New Roman" w:cs="宋体"/>
                <w:color w:val="auto"/>
                <w:kern w:val="2"/>
                <w:sz w:val="28"/>
                <w:szCs w:val="28"/>
                <w:lang w:val="en-US" w:eastAsia="zh-CN" w:bidi="ar-SA"/>
              </w:rPr>
            </w:pPr>
            <w:r>
              <w:rPr>
                <w:rFonts w:hint="eastAsia" w:ascii="宋体" w:hAnsi="宋体"/>
                <w:color w:val="auto"/>
                <w:sz w:val="28"/>
                <w:szCs w:val="28"/>
                <w:lang w:val="en-US" w:eastAsia="zh-CN"/>
              </w:rPr>
              <w:t>20</w:t>
            </w:r>
            <w:r>
              <w:rPr>
                <w:rFonts w:hint="eastAsia" w:hAnsi="宋体"/>
                <w:color w:val="auto"/>
                <w:sz w:val="28"/>
                <w:szCs w:val="28"/>
                <w:lang w:val="en-US" w:eastAsia="zh-CN"/>
              </w:rPr>
              <w:t>15</w:t>
            </w:r>
            <w:r>
              <w:rPr>
                <w:rFonts w:hint="eastAsia" w:ascii="仿宋_GB2312"/>
                <w:snapToGrid w:val="0"/>
                <w:color w:val="auto"/>
                <w:kern w:val="0"/>
                <w:sz w:val="28"/>
                <w:szCs w:val="28"/>
                <w:lang w:val="en-US" w:eastAsia="zh-CN"/>
              </w:rPr>
              <w:t>年07月10日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企业性质</w:t>
            </w:r>
          </w:p>
        </w:tc>
        <w:tc>
          <w:tcPr>
            <w:tcW w:w="1907"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en-US" w:eastAsia="zh-CN" w:bidi="ar-SA"/>
              </w:rPr>
              <w:t>个人独资企业</w:t>
            </w:r>
          </w:p>
        </w:tc>
        <w:tc>
          <w:tcPr>
            <w:tcW w:w="2009" w:type="dxa"/>
            <w:gridSpan w:val="2"/>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en-US" w:eastAsia="zh-CN" w:bidi="ar-SA"/>
              </w:rPr>
              <w:t>注册号</w:t>
            </w:r>
          </w:p>
        </w:tc>
        <w:tc>
          <w:tcPr>
            <w:tcW w:w="3096" w:type="dxa"/>
            <w:gridSpan w:val="2"/>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ascii="宋体" w:hAnsi="宋体"/>
                <w:szCs w:val="21"/>
              </w:rPr>
              <w:t>91511324MA6295XA4G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通讯地址</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仪陇县柳垭镇水巷子村一社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行业类别及代码</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en-US" w:eastAsia="zh-CN" w:bidi="ar-SA"/>
              </w:rPr>
              <w:t>粘土砖瓦及建设砌块制造C3131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企业规模</w:t>
            </w:r>
          </w:p>
        </w:tc>
        <w:tc>
          <w:tcPr>
            <w:tcW w:w="3550" w:type="dxa"/>
            <w:gridSpan w:val="2"/>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en-US" w:eastAsia="zh-CN" w:bidi="ar-SA"/>
              </w:rPr>
              <w:t>12</w:t>
            </w:r>
            <w:r>
              <w:rPr>
                <w:rFonts w:hint="eastAsia" w:hAnsi="宋体" w:eastAsia="Times New Roman" w:cs="宋体"/>
                <w:color w:val="auto"/>
                <w:kern w:val="2"/>
                <w:sz w:val="28"/>
                <w:szCs w:val="28"/>
                <w:lang w:val="zh-CN" w:eastAsia="zh-CN" w:bidi="ar-SA"/>
              </w:rPr>
              <w:t>000万标砖/年</w:t>
            </w:r>
          </w:p>
        </w:tc>
        <w:tc>
          <w:tcPr>
            <w:tcW w:w="1500"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占地面积</w:t>
            </w:r>
          </w:p>
        </w:tc>
        <w:tc>
          <w:tcPr>
            <w:tcW w:w="1962"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en-US" w:eastAsia="zh-CN" w:bidi="ar-SA"/>
              </w:rPr>
              <w:t>19866.67</w:t>
            </w:r>
            <w:r>
              <w:rPr>
                <w:rFonts w:hint="eastAsia" w:hAnsi="宋体" w:eastAsia="Times New Roman" w:cs="宋体"/>
                <w:color w:val="auto"/>
                <w:kern w:val="2"/>
                <w:sz w:val="28"/>
                <w:szCs w:val="28"/>
                <w:lang w:val="zh-CN" w:eastAsia="zh-CN" w:bidi="ar-SA"/>
              </w:rPr>
              <w:t>m</w:t>
            </w:r>
            <w:r>
              <w:rPr>
                <w:rFonts w:hint="eastAsia" w:hAnsi="宋体" w:eastAsia="Times New Roman" w:cs="宋体"/>
                <w:color w:val="auto"/>
                <w:kern w:val="2"/>
                <w:sz w:val="28"/>
                <w:szCs w:val="28"/>
                <w:vertAlign w:val="superscript"/>
                <w:lang w:val="zh-CN"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采矿许可证</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证号：C5113242009047130012094</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发证单位：仪陇县国土资源局</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 xml:space="preserve">开采矿种：砖瓦用页岩   </w:t>
            </w:r>
            <w:r>
              <w:rPr>
                <w:rFonts w:hint="eastAsia" w:hAnsi="宋体" w:eastAsia="Times New Roman" w:cs="宋体"/>
                <w:color w:val="auto"/>
                <w:kern w:val="2"/>
                <w:sz w:val="28"/>
                <w:szCs w:val="28"/>
                <w:lang w:val="en-US" w:eastAsia="zh-CN" w:bidi="ar-SA"/>
              </w:rPr>
              <w:t xml:space="preserve">   </w:t>
            </w:r>
            <w:r>
              <w:rPr>
                <w:rFonts w:hint="eastAsia" w:hAnsi="宋体" w:eastAsia="Times New Roman" w:cs="宋体"/>
                <w:color w:val="auto"/>
                <w:kern w:val="2"/>
                <w:sz w:val="28"/>
                <w:szCs w:val="28"/>
                <w:lang w:val="zh-CN" w:eastAsia="zh-CN" w:bidi="ar-SA"/>
              </w:rPr>
              <w:t>开采方式：露天开采</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zh-CN" w:eastAsia="zh-CN" w:bidi="ar-SA"/>
              </w:rPr>
              <w:t>生产规模：2.5万吨/年     矿区面积：0.009平方公里</w:t>
            </w:r>
          </w:p>
        </w:tc>
      </w:tr>
    </w:tbl>
    <w:p>
      <w:pPr>
        <w:pStyle w:val="12"/>
        <w:spacing w:line="240" w:lineRule="auto"/>
        <w:ind w:firstLine="482" w:firstLineChars="200"/>
        <w:jc w:val="center"/>
        <w:rPr>
          <w:rFonts w:hint="eastAsia" w:ascii="黑体" w:hAnsi="Courier New" w:eastAsia="黑体"/>
          <w:b/>
          <w:color w:val="auto"/>
          <w:sz w:val="24"/>
        </w:rPr>
      </w:pPr>
      <w:bookmarkStart w:id="41" w:name="_Toc332285104"/>
      <w:r>
        <w:rPr>
          <w:rFonts w:hint="eastAsia" w:ascii="黑体" w:hAnsi="Courier New" w:eastAsia="黑体"/>
          <w:b/>
          <w:color w:val="auto"/>
          <w:sz w:val="24"/>
        </w:rPr>
        <w:t>表2-1 单位基本情况一览表</w:t>
      </w:r>
    </w:p>
    <w:p>
      <w:pPr>
        <w:pStyle w:val="12"/>
        <w:spacing w:line="240" w:lineRule="auto"/>
        <w:ind w:firstLine="482" w:firstLineChars="200"/>
        <w:jc w:val="center"/>
        <w:rPr>
          <w:rFonts w:hint="eastAsia" w:ascii="黑体" w:hAnsi="Courier New" w:eastAsia="黑体"/>
          <w:b/>
          <w:color w:val="auto"/>
          <w:sz w:val="24"/>
        </w:rPr>
      </w:pP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仪陇县柳垭镇合发页岩机砖厂于2015年07月10日成立，为个人独资企业，位于仪陇县柳垭镇水巷子村一社。现有32人，安全生产管理人员由于总经理陈云、厂长林旭、安全员周燕、徐伟、何旭组成。公司建有一条年产12000万匹烧结页岩砖生产线。</w:t>
      </w:r>
    </w:p>
    <w:p>
      <w:pPr>
        <w:pStyle w:val="5"/>
        <w:spacing w:before="0" w:after="0" w:line="360" w:lineRule="auto"/>
        <w:rPr>
          <w:rFonts w:hint="eastAsia" w:ascii="宋体" w:hAnsi="宋体" w:eastAsia="宋体" w:cs="宋体"/>
          <w:color w:val="0000FF"/>
          <w:sz w:val="28"/>
          <w:szCs w:val="28"/>
        </w:rPr>
      </w:pPr>
      <w:bookmarkStart w:id="42" w:name="_Toc30627"/>
      <w:bookmarkStart w:id="43" w:name="_Toc1800"/>
      <w:r>
        <w:rPr>
          <w:rFonts w:hint="eastAsia" w:ascii="宋体" w:hAnsi="宋体" w:eastAsia="宋体" w:cs="宋体"/>
          <w:color w:val="0000FF"/>
          <w:sz w:val="28"/>
          <w:szCs w:val="28"/>
        </w:rPr>
        <w:t>2.</w:t>
      </w:r>
      <w:r>
        <w:rPr>
          <w:rFonts w:hint="eastAsia" w:ascii="宋体" w:hAnsi="宋体" w:eastAsia="宋体" w:cs="宋体"/>
          <w:color w:val="0000FF"/>
          <w:sz w:val="28"/>
          <w:szCs w:val="28"/>
          <w:lang w:val="en-US" w:eastAsia="zh-CN"/>
        </w:rPr>
        <w:t>1.1</w:t>
      </w:r>
      <w:r>
        <w:rPr>
          <w:rFonts w:hint="eastAsia" w:ascii="宋体" w:hAnsi="宋体" w:eastAsia="宋体" w:cs="宋体"/>
          <w:color w:val="0000FF"/>
          <w:sz w:val="28"/>
          <w:szCs w:val="28"/>
        </w:rPr>
        <w:t>公司地理位置及环境等情况</w:t>
      </w:r>
      <w:bookmarkEnd w:id="41"/>
      <w:bookmarkEnd w:id="42"/>
      <w:bookmarkEnd w:id="43"/>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zh-CN" w:eastAsia="zh-CN"/>
        </w:rPr>
        <w:t>仪陇县柳垭镇合发页岩机砖厂</w:t>
      </w:r>
      <w:r>
        <w:rPr>
          <w:rFonts w:hint="eastAsia" w:ascii="宋体" w:hAnsi="宋体" w:cs="宋体"/>
          <w:color w:val="auto"/>
          <w:sz w:val="28"/>
          <w:szCs w:val="28"/>
          <w:lang w:val="en-US" w:eastAsia="zh-CN"/>
        </w:rPr>
        <w:t>位于四川省南充市仪陇县柳垭镇水巷子村，东距柳垭镇2.5km,西距马鞍镇4km,南侧临仪平路。柳垭镇位于仪陇县东部，东邻思德乡，南接九桥乡，西靠马鞍镇，北与义路镇、大罗乡接壤。砖厂建有约115m的水泥路面与南面的乡村公路相接，村路全程为水泥路面，路况较好，交通方便。</w:t>
      </w:r>
    </w:p>
    <w:p>
      <w:pPr>
        <w:pStyle w:val="2"/>
        <w:ind w:left="0" w:leftChars="0" w:firstLine="0" w:firstLineChars="0"/>
        <w:rPr>
          <w:rFonts w:hint="eastAsia"/>
          <w:lang w:val="en-US" w:eastAsia="zh-CN"/>
        </w:rPr>
      </w:pPr>
      <w:r>
        <w:rPr>
          <w:color w:val="0000FF"/>
          <w:sz w:val="72"/>
        </w:rPr>
        <mc:AlternateContent>
          <mc:Choice Requires="wps">
            <w:drawing>
              <wp:anchor distT="0" distB="0" distL="114300" distR="114300" simplePos="0" relativeHeight="251663360" behindDoc="0" locked="0" layoutInCell="1" allowOverlap="1">
                <wp:simplePos x="0" y="0"/>
                <wp:positionH relativeFrom="column">
                  <wp:posOffset>3063875</wp:posOffset>
                </wp:positionH>
                <wp:positionV relativeFrom="paragraph">
                  <wp:posOffset>1365250</wp:posOffset>
                </wp:positionV>
                <wp:extent cx="1852295" cy="276225"/>
                <wp:effectExtent l="176530" t="4445" r="13335" b="146050"/>
                <wp:wrapNone/>
                <wp:docPr id="57" name="圆角矩形标注 57"/>
                <wp:cNvGraphicFramePr/>
                <a:graphic xmlns:a="http://schemas.openxmlformats.org/drawingml/2006/main">
                  <a:graphicData uri="http://schemas.microsoft.com/office/word/2010/wordprocessingShape">
                    <wps:wsp>
                      <wps:cNvSpPr/>
                      <wps:spPr>
                        <a:xfrm>
                          <a:off x="0" y="0"/>
                          <a:ext cx="1852295" cy="276225"/>
                        </a:xfrm>
                        <a:prstGeom prst="wedgeRoundRectCallout">
                          <a:avLst>
                            <a:gd name="adj1" fmla="val -57491"/>
                            <a:gd name="adj2" fmla="val 95208"/>
                            <a:gd name="adj3" fmla="val 16667"/>
                          </a:avLst>
                        </a:prstGeom>
                        <a:noFill/>
                        <a:ln w="9525" cap="flat" cmpd="sng">
                          <a:solidFill>
                            <a:srgbClr val="000000"/>
                          </a:solidFill>
                          <a:prstDash val="solid"/>
                          <a:miter/>
                          <a:headEnd type="none" w="med" len="med"/>
                          <a:tailEnd type="none" w="med" len="med"/>
                        </a:ln>
                      </wps:spPr>
                      <wps:txbx>
                        <w:txbxContent>
                          <w:p>
                            <w:pPr>
                              <w:rPr>
                                <w:color w:val="FF0000"/>
                                <w:sz w:val="18"/>
                                <w:szCs w:val="18"/>
                              </w:rPr>
                            </w:pPr>
                            <w:r>
                              <w:rPr>
                                <w:rFonts w:hint="eastAsia" w:ascii="宋体" w:hAnsi="宋体" w:cs="宋体"/>
                                <w:color w:val="FF0000"/>
                                <w:sz w:val="18"/>
                                <w:szCs w:val="18"/>
                                <w:lang w:val="zh-CN" w:eastAsia="zh-CN"/>
                              </w:rPr>
                              <w:t>仪陇县柳垭镇合发页岩机砖厂</w:t>
                            </w:r>
                          </w:p>
                        </w:txbxContent>
                      </wps:txbx>
                      <wps:bodyPr upright="1"/>
                    </wps:wsp>
                  </a:graphicData>
                </a:graphic>
              </wp:anchor>
            </w:drawing>
          </mc:Choice>
          <mc:Fallback>
            <w:pict>
              <v:shape id="_x0000_s1026" o:spid="_x0000_s1026" o:spt="62" type="#_x0000_t62" style="position:absolute;left:0pt;margin-left:241.25pt;margin-top:107.5pt;height:21.75pt;width:145.85pt;z-index:251663360;mso-width-relative:page;mso-height-relative:page;" filled="f" stroked="t" coordsize="21600,21600" o:gfxdata="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T8LC2wAAAAsBAAAPAAAAAAAAAAEAIAAAACIAAABkcnMvZG93bnJldi54&#10;bWxQSwECFAAUAAAACACHTuJAWNJNsTACAABHBAAADgAAAAAAAAABACAAAAAqAQAAZHJzL2Uyb0Rv&#10;Yy54bWxQSwUGAAAAAAYABgBZAQAAzAUAAAAA&#10;" adj="-1618,31365,14400">
                <v:fill on="f" focussize="0,0"/>
                <v:stroke color="#000000" joinstyle="miter"/>
                <v:imagedata o:title=""/>
                <o:lock v:ext="edit" aspectratio="f"/>
                <v:textbox>
                  <w:txbxContent>
                    <w:p>
                      <w:pPr>
                        <w:rPr>
                          <w:color w:val="FF0000"/>
                          <w:sz w:val="18"/>
                          <w:szCs w:val="18"/>
                        </w:rPr>
                      </w:pPr>
                      <w:r>
                        <w:rPr>
                          <w:rFonts w:hint="eastAsia" w:ascii="宋体" w:hAnsi="宋体" w:cs="宋体"/>
                          <w:color w:val="FF0000"/>
                          <w:sz w:val="18"/>
                          <w:szCs w:val="18"/>
                          <w:lang w:val="zh-CN" w:eastAsia="zh-CN"/>
                        </w:rPr>
                        <w:t>仪陇县柳垭镇合发页岩机砖厂</w:t>
                      </w:r>
                    </w:p>
                  </w:txbxContent>
                </v:textbox>
              </v:shape>
            </w:pict>
          </mc:Fallback>
        </mc:AlternateContent>
      </w:r>
      <w:r>
        <w:drawing>
          <wp:inline distT="0" distB="0" distL="114300" distR="114300">
            <wp:extent cx="5972175" cy="3026410"/>
            <wp:effectExtent l="0" t="0" r="1905" b="6350"/>
            <wp:docPr id="5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
                    <pic:cNvPicPr>
                      <a:picLocks noChangeAspect="1"/>
                    </pic:cNvPicPr>
                  </pic:nvPicPr>
                  <pic:blipFill>
                    <a:blip r:embed="rId5"/>
                    <a:stretch>
                      <a:fillRect/>
                    </a:stretch>
                  </pic:blipFill>
                  <pic:spPr>
                    <a:xfrm>
                      <a:off x="0" y="0"/>
                      <a:ext cx="5972175" cy="3026410"/>
                    </a:xfrm>
                    <a:prstGeom prst="rect">
                      <a:avLst/>
                    </a:prstGeom>
                    <a:noFill/>
                    <a:ln>
                      <a:noFill/>
                    </a:ln>
                  </pic:spPr>
                </pic:pic>
              </a:graphicData>
            </a:graphic>
          </wp:inline>
        </w:drawing>
      </w:r>
    </w:p>
    <w:p>
      <w:pPr>
        <w:pStyle w:val="12"/>
        <w:spacing w:line="240" w:lineRule="auto"/>
        <w:ind w:firstLine="482" w:firstLineChars="200"/>
        <w:jc w:val="center"/>
        <w:rPr>
          <w:rFonts w:hint="eastAsia" w:ascii="黑体" w:hAnsi="Courier New" w:eastAsia="黑体"/>
          <w:b/>
          <w:color w:val="auto"/>
          <w:sz w:val="24"/>
          <w:lang w:eastAsia="zh-CN"/>
        </w:rPr>
      </w:pPr>
      <w:bookmarkStart w:id="44" w:name="_Toc26359"/>
      <w:bookmarkStart w:id="45" w:name="_Toc332285105"/>
      <w:r>
        <w:rPr>
          <w:rFonts w:hint="eastAsia" w:ascii="黑体" w:hAnsi="Courier New" w:eastAsia="黑体"/>
          <w:b/>
          <w:color w:val="auto"/>
          <w:sz w:val="24"/>
          <w:lang w:eastAsia="zh-CN"/>
        </w:rPr>
        <w:t>图2-1 地理位置图</w:t>
      </w:r>
      <w:bookmarkEnd w:id="44"/>
    </w:p>
    <w:p>
      <w:pPr>
        <w:pStyle w:val="5"/>
        <w:spacing w:before="0" w:after="0" w:line="360" w:lineRule="auto"/>
        <w:rPr>
          <w:rFonts w:hint="eastAsia" w:ascii="宋体" w:hAnsi="宋体" w:eastAsia="宋体" w:cs="宋体"/>
          <w:color w:val="0000FF"/>
          <w:sz w:val="28"/>
          <w:szCs w:val="28"/>
          <w:lang w:val="en-US" w:eastAsia="zh-CN"/>
        </w:rPr>
      </w:pPr>
      <w:bookmarkStart w:id="46" w:name="_Toc30665"/>
      <w:bookmarkStart w:id="47" w:name="_Toc9731"/>
      <w:r>
        <w:rPr>
          <w:rFonts w:hint="eastAsia" w:ascii="宋体" w:hAnsi="宋体" w:eastAsia="宋体" w:cs="宋体"/>
          <w:color w:val="0000FF"/>
          <w:sz w:val="28"/>
          <w:szCs w:val="28"/>
          <w:lang w:val="zh-CN"/>
        </w:rPr>
        <w:t>2.1.</w:t>
      </w:r>
      <w:r>
        <w:rPr>
          <w:rFonts w:hint="eastAsia" w:ascii="宋体" w:hAnsi="宋体" w:eastAsia="宋体" w:cs="宋体"/>
          <w:color w:val="0000FF"/>
          <w:sz w:val="28"/>
          <w:szCs w:val="28"/>
          <w:lang w:val="en-US" w:eastAsia="zh-CN"/>
        </w:rPr>
        <w:t>2</w:t>
      </w:r>
      <w:r>
        <w:rPr>
          <w:rFonts w:hint="eastAsia" w:ascii="宋体" w:hAnsi="宋体" w:eastAsia="宋体" w:cs="宋体"/>
          <w:color w:val="0000FF"/>
          <w:sz w:val="28"/>
          <w:szCs w:val="28"/>
          <w:lang w:val="zh-CN"/>
        </w:rPr>
        <w:t>总体布置</w:t>
      </w:r>
      <w:bookmarkEnd w:id="46"/>
      <w:bookmarkEnd w:id="47"/>
    </w:p>
    <w:p>
      <w:pPr>
        <w:spacing w:line="360" w:lineRule="auto"/>
        <w:ind w:firstLine="562" w:firstLineChars="200"/>
        <w:rPr>
          <w:rFonts w:hint="eastAsia" w:ascii="宋体"/>
          <w:b/>
          <w:bCs/>
          <w:snapToGrid w:val="0"/>
          <w:color w:val="0000FF"/>
          <w:kern w:val="0"/>
          <w:sz w:val="28"/>
          <w:szCs w:val="28"/>
          <w:lang w:val="en-US" w:eastAsia="en-US"/>
        </w:rPr>
      </w:pPr>
      <w:r>
        <w:rPr>
          <w:rFonts w:hint="eastAsia" w:ascii="宋体" w:eastAsia="宋体"/>
          <w:b/>
          <w:bCs/>
          <w:snapToGrid w:val="0"/>
          <w:color w:val="0000FF"/>
          <w:kern w:val="0"/>
          <w:sz w:val="28"/>
          <w:szCs w:val="28"/>
          <w:lang w:val="en-US" w:eastAsia="zh-CN"/>
        </w:rPr>
        <w:t>1、</w:t>
      </w:r>
      <w:r>
        <w:rPr>
          <w:rFonts w:hint="eastAsia" w:ascii="宋体"/>
          <w:b/>
          <w:bCs/>
          <w:snapToGrid w:val="0"/>
          <w:color w:val="0000FF"/>
          <w:kern w:val="0"/>
          <w:sz w:val="28"/>
          <w:szCs w:val="28"/>
          <w:lang w:val="zh-CN" w:eastAsia="zh-CN"/>
        </w:rPr>
        <w:t>总平面布置</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砖厂总平面布置较为简单，厂区用地按功能用途分为办公生活区、生产区、辅助生产区，并将生产区、辅助生产区与办公生活区分开布置。</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办公室位于厂区的东面与隧道窑间距约45米，为一幢（2F）砖混建筑，建筑面积约1200m</w:t>
      </w:r>
      <w:r>
        <w:rPr>
          <w:rFonts w:hint="eastAsia" w:ascii="宋体" w:hAnsi="宋体" w:cs="宋体"/>
          <w:color w:val="auto"/>
          <w:sz w:val="28"/>
          <w:szCs w:val="28"/>
          <w:vertAlign w:val="superscript"/>
          <w:lang w:val="en-US" w:eastAsia="zh-CN"/>
        </w:rPr>
        <w:t>2</w:t>
      </w:r>
      <w:r>
        <w:rPr>
          <w:rFonts w:hint="eastAsia" w:ascii="宋体" w:hAnsi="宋体" w:cs="宋体"/>
          <w:color w:val="auto"/>
          <w:sz w:val="28"/>
          <w:szCs w:val="28"/>
          <w:lang w:val="en-US" w:eastAsia="zh-CN"/>
        </w:rPr>
        <w:t>。员工宿舍位于2楼，办公区位于1楼。</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生产区位于厂址中部，主要由4条90米隧道窑（两烘两烧）、窑车摆渡区域、环保脱硫装置、装车区域、硬化回车场地等组成。</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辅助生产区位于窑体西侧（隧道窑与间距约10米），主要有破碎车间、陈化车间、挤出成型车间。其余工序按破碎—筛选―搅拌—陈化—切坯―码坯—干燥—焙烧工序依次设置，布局紧凑，工作方便。详情如图2-2所示</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综上，厂内各生产工序有机结合，有利于生产活动的开展，各地块利用功能集中且合理清楚，总平面布置较合理。</w:t>
      </w:r>
    </w:p>
    <w:p>
      <w:pPr>
        <w:pStyle w:val="12"/>
        <w:spacing w:line="240" w:lineRule="auto"/>
        <w:jc w:val="both"/>
        <w:rPr>
          <w:rFonts w:hint="eastAsia" w:ascii="黑体" w:hAnsi="Courier New" w:eastAsia="黑体"/>
          <w:b/>
          <w:color w:val="auto"/>
          <w:sz w:val="24"/>
          <w:lang w:eastAsia="zh-CN"/>
        </w:rPr>
      </w:pPr>
      <w:r>
        <w:drawing>
          <wp:inline distT="0" distB="0" distL="114300" distR="114300">
            <wp:extent cx="5783580" cy="3942080"/>
            <wp:effectExtent l="0" t="0" r="7620" b="5080"/>
            <wp:docPr id="5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
                    <pic:cNvPicPr>
                      <a:picLocks noChangeAspect="1"/>
                    </pic:cNvPicPr>
                  </pic:nvPicPr>
                  <pic:blipFill>
                    <a:blip r:embed="rId6"/>
                    <a:stretch>
                      <a:fillRect/>
                    </a:stretch>
                  </pic:blipFill>
                  <pic:spPr>
                    <a:xfrm>
                      <a:off x="0" y="0"/>
                      <a:ext cx="5783580" cy="3942080"/>
                    </a:xfrm>
                    <a:prstGeom prst="rect">
                      <a:avLst/>
                    </a:prstGeom>
                    <a:noFill/>
                    <a:ln>
                      <a:noFill/>
                    </a:ln>
                  </pic:spPr>
                </pic:pic>
              </a:graphicData>
            </a:graphic>
          </wp:inline>
        </w:drawing>
      </w:r>
    </w:p>
    <w:p>
      <w:pPr>
        <w:pStyle w:val="12"/>
        <w:spacing w:line="240" w:lineRule="auto"/>
        <w:ind w:firstLine="482" w:firstLineChars="200"/>
        <w:jc w:val="center"/>
        <w:rPr>
          <w:rFonts w:hint="default" w:ascii="黑体" w:hAnsi="Courier New" w:eastAsia="黑体"/>
          <w:b/>
          <w:color w:val="auto"/>
          <w:sz w:val="24"/>
          <w:lang w:val="en-US"/>
        </w:rPr>
      </w:pPr>
      <w:r>
        <w:rPr>
          <w:rFonts w:hint="eastAsia" w:ascii="黑体" w:hAnsi="Courier New" w:eastAsia="黑体"/>
          <w:b/>
          <w:color w:val="auto"/>
          <w:sz w:val="24"/>
          <w:lang w:eastAsia="zh-CN"/>
        </w:rPr>
        <w:t>图</w:t>
      </w:r>
      <w:r>
        <w:rPr>
          <w:rFonts w:hint="eastAsia" w:ascii="黑体" w:hAnsi="Courier New" w:eastAsia="黑体"/>
          <w:b/>
          <w:color w:val="auto"/>
          <w:sz w:val="24"/>
          <w:lang w:val="en-US" w:eastAsia="zh-CN"/>
        </w:rPr>
        <w:t>2-2  总平面布局示意图</w:t>
      </w:r>
    </w:p>
    <w:p>
      <w:pPr>
        <w:pStyle w:val="5"/>
        <w:spacing w:before="0" w:after="0" w:line="360" w:lineRule="auto"/>
        <w:rPr>
          <w:rFonts w:hint="eastAsia" w:ascii="宋体" w:hAnsi="宋体" w:eastAsia="宋体" w:cs="宋体"/>
          <w:color w:val="auto"/>
          <w:sz w:val="28"/>
          <w:szCs w:val="28"/>
          <w:lang w:val="zh-CN"/>
        </w:rPr>
      </w:pPr>
      <w:bookmarkStart w:id="48" w:name="_Toc18802"/>
      <w:bookmarkStart w:id="49" w:name="_Toc8678"/>
      <w:bookmarkStart w:id="50" w:name="_Toc440539582"/>
      <w:bookmarkStart w:id="51" w:name="_Toc8718"/>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val="zh-CN"/>
        </w:rPr>
        <w:t>周边环境</w:t>
      </w:r>
      <w:bookmarkEnd w:id="48"/>
      <w:bookmarkEnd w:id="49"/>
      <w:bookmarkEnd w:id="50"/>
      <w:bookmarkEnd w:id="51"/>
    </w:p>
    <w:p>
      <w:pPr>
        <w:spacing w:line="360" w:lineRule="auto"/>
        <w:ind w:firstLine="560" w:firstLineChars="200"/>
        <w:rPr>
          <w:rFonts w:hint="eastAsia" w:ascii="宋体" w:hAnsi="宋体"/>
          <w:sz w:val="28"/>
          <w:szCs w:val="28"/>
        </w:rPr>
      </w:pPr>
      <w:r>
        <w:rPr>
          <w:rFonts w:hint="eastAsia" w:ascii="宋体" w:hAnsi="宋体" w:cs="宋体"/>
          <w:color w:val="auto"/>
          <w:sz w:val="28"/>
          <w:szCs w:val="28"/>
          <w:lang w:val="zh-CN" w:eastAsia="zh-CN"/>
        </w:rPr>
        <w:t>仪陇县柳垭镇合发页岩机砖厂</w:t>
      </w:r>
      <w:r>
        <w:rPr>
          <w:rFonts w:hint="eastAsia" w:ascii="宋体" w:hAnsi="宋体"/>
          <w:sz w:val="28"/>
          <w:szCs w:val="28"/>
        </w:rPr>
        <w:t>座北朝南，东面和西面均为矿山；北面为山地及林区，南面为乡村路与</w:t>
      </w:r>
      <w:r>
        <w:rPr>
          <w:rFonts w:hint="eastAsia" w:ascii="宋体" w:hAnsi="宋体" w:eastAsia="宋体"/>
          <w:sz w:val="28"/>
          <w:szCs w:val="28"/>
          <w:lang w:eastAsia="zh-CN"/>
        </w:rPr>
        <w:t>厂区</w:t>
      </w:r>
      <w:r>
        <w:rPr>
          <w:rFonts w:hint="eastAsia" w:ascii="宋体" w:hAnsi="宋体"/>
          <w:sz w:val="28"/>
          <w:szCs w:val="28"/>
        </w:rPr>
        <w:t>入口相连，除此外厂区四周200m安全警戒范围内，无其它矿山（包括闭坑矿山）、尾矿库、铁路、河流、居民区、风景区、重要工农业设施、名胜古迹以及其他需要保护的对象。厂址周边环境良好，无相互制约因素。具体情况如图</w:t>
      </w:r>
      <w:r>
        <w:rPr>
          <w:rFonts w:hint="eastAsia" w:ascii="宋体" w:hAnsi="宋体" w:eastAsia="宋体"/>
          <w:sz w:val="28"/>
          <w:szCs w:val="28"/>
          <w:lang w:val="en-US" w:eastAsia="zh-CN"/>
        </w:rPr>
        <w:t>2-3</w:t>
      </w:r>
      <w:r>
        <w:rPr>
          <w:rFonts w:hint="eastAsia" w:ascii="宋体" w:hAnsi="宋体"/>
          <w:sz w:val="28"/>
          <w:szCs w:val="28"/>
        </w:rPr>
        <w:t>所示：</w:t>
      </w:r>
    </w:p>
    <w:p>
      <w:pPr>
        <w:pStyle w:val="12"/>
        <w:spacing w:line="240" w:lineRule="auto"/>
        <w:ind w:firstLine="482" w:firstLineChars="200"/>
        <w:jc w:val="center"/>
        <w:rPr>
          <w:rFonts w:hint="eastAsia" w:ascii="黑体" w:hAnsi="Courier New" w:eastAsia="黑体"/>
          <w:b/>
          <w:color w:val="auto"/>
          <w:sz w:val="24"/>
        </w:rPr>
      </w:pPr>
      <w:r>
        <w:rPr>
          <w:rFonts w:hint="eastAsia" w:ascii="黑体" w:hAnsi="Courier New" w:eastAsia="黑体"/>
          <w:b/>
          <w:color w:val="auto"/>
          <w:sz w:val="24"/>
        </w:rPr>
        <w:t>表2-2周边环境关系</w:t>
      </w:r>
    </w:p>
    <w:tbl>
      <w:tblPr>
        <w:tblStyle w:val="19"/>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4905"/>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blHeader/>
          <w:jc w:val="center"/>
        </w:trPr>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Cs w:val="21"/>
              </w:rPr>
            </w:pPr>
            <w:r>
              <w:rPr>
                <w:rFonts w:hint="eastAsia" w:ascii="宋体" w:hAnsi="宋体"/>
                <w:b/>
                <w:szCs w:val="21"/>
              </w:rPr>
              <w:t>方位</w:t>
            </w:r>
          </w:p>
        </w:tc>
        <w:tc>
          <w:tcPr>
            <w:tcW w:w="490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b/>
                <w:szCs w:val="21"/>
              </w:rPr>
            </w:pPr>
            <w:r>
              <w:rPr>
                <w:rFonts w:hint="eastAsia" w:ascii="宋体" w:hAnsi="宋体"/>
                <w:b/>
                <w:szCs w:val="21"/>
              </w:rPr>
              <w:t>周边环境</w:t>
            </w:r>
          </w:p>
        </w:tc>
        <w:tc>
          <w:tcPr>
            <w:tcW w:w="23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b/>
                <w:szCs w:val="21"/>
              </w:rPr>
            </w:pPr>
            <w:r>
              <w:rPr>
                <w:rFonts w:hint="eastAsia" w:ascii="宋体" w:hAnsi="宋体"/>
                <w:b/>
                <w:szCs w:val="21"/>
              </w:rPr>
              <w:t xml:space="preserve">离厂界距离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厂址以东</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矿山</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ascii="宋体" w:hAnsi="宋体"/>
                <w:szCs w:val="21"/>
              </w:rPr>
              <w:t>50</w:t>
            </w:r>
            <w:r>
              <w:rPr>
                <w:rFonts w:hint="eastAsia" w:ascii="宋体" w:hAnsi="宋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厂址以南</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村路</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厂址以北</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山地林区</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ascii="宋体" w:hAnsi="宋体"/>
                <w:szCs w:val="21"/>
              </w:rPr>
              <w:t>40</w:t>
            </w:r>
            <w:r>
              <w:rPr>
                <w:rFonts w:hint="eastAsia" w:ascii="宋体" w:hAnsi="宋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厂址以西</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矿山</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ascii="宋体" w:hAnsi="宋体"/>
                <w:szCs w:val="21"/>
              </w:rPr>
              <w:t>35</w:t>
            </w:r>
            <w:r>
              <w:rPr>
                <w:rFonts w:hint="eastAsia" w:ascii="宋体" w:hAnsi="宋体"/>
                <w:szCs w:val="21"/>
              </w:rPr>
              <w:t>m</w:t>
            </w:r>
          </w:p>
        </w:tc>
      </w:tr>
    </w:tbl>
    <w:p>
      <w:pPr>
        <w:spacing w:line="360" w:lineRule="auto"/>
        <w:ind w:firstLine="560" w:firstLineChars="200"/>
        <w:rPr>
          <w:sz w:val="28"/>
          <w:szCs w:val="28"/>
        </w:rPr>
      </w:pPr>
      <w:r>
        <w:rPr>
          <w:sz w:val="28"/>
        </w:rPr>
        <mc:AlternateContent>
          <mc:Choice Requires="wpg">
            <w:drawing>
              <wp:anchor distT="0" distB="0" distL="114300" distR="114300" simplePos="0" relativeHeight="251670528" behindDoc="0" locked="0" layoutInCell="1" allowOverlap="1">
                <wp:simplePos x="0" y="0"/>
                <wp:positionH relativeFrom="column">
                  <wp:posOffset>-212090</wp:posOffset>
                </wp:positionH>
                <wp:positionV relativeFrom="paragraph">
                  <wp:posOffset>119380</wp:posOffset>
                </wp:positionV>
                <wp:extent cx="6123305" cy="2589530"/>
                <wp:effectExtent l="4445" t="5080" r="44450" b="0"/>
                <wp:wrapNone/>
                <wp:docPr id="106" name="组合 106"/>
                <wp:cNvGraphicFramePr/>
                <a:graphic xmlns:a="http://schemas.openxmlformats.org/drawingml/2006/main">
                  <a:graphicData uri="http://schemas.microsoft.com/office/word/2010/wordprocessingGroup">
                    <wpg:wgp>
                      <wpg:cNvGrpSpPr/>
                      <wpg:grpSpPr>
                        <a:xfrm>
                          <a:off x="0" y="0"/>
                          <a:ext cx="6123305" cy="2589530"/>
                          <a:chOff x="15401" y="123333"/>
                          <a:chExt cx="9224" cy="3733"/>
                        </a:xfrm>
                      </wpg:grpSpPr>
                      <wps:wsp>
                        <wps:cNvPr id="92" name="上箭头 92"/>
                        <wps:cNvSpPr/>
                        <wps:spPr>
                          <a:xfrm>
                            <a:off x="23783" y="123333"/>
                            <a:ext cx="842" cy="434"/>
                          </a:xfrm>
                          <a:prstGeom prst="up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r>
                                <w:t>北</w:t>
                              </w:r>
                            </w:p>
                          </w:txbxContent>
                        </wps:txbx>
                        <wps:bodyPr vert="eaVert" upright="1"/>
                      </wps:wsp>
                      <wps:wsp>
                        <wps:cNvPr id="93" name="任意多边形 93"/>
                        <wps:cNvSpPr/>
                        <wps:spPr>
                          <a:xfrm>
                            <a:off x="18104" y="123333"/>
                            <a:ext cx="3967" cy="790"/>
                          </a:xfrm>
                          <a:custGeom>
                            <a:avLst/>
                            <a:gdLst/>
                            <a:ahLst/>
                            <a:cxnLst/>
                            <a:pathLst>
                              <a:path w="3679" h="790">
                                <a:moveTo>
                                  <a:pt x="0" y="404"/>
                                </a:moveTo>
                                <a:cubicBezTo>
                                  <a:pt x="38" y="454"/>
                                  <a:pt x="62" y="492"/>
                                  <a:pt x="122" y="513"/>
                                </a:cubicBezTo>
                                <a:cubicBezTo>
                                  <a:pt x="191" y="580"/>
                                  <a:pt x="245" y="606"/>
                                  <a:pt x="340" y="621"/>
                                </a:cubicBezTo>
                                <a:cubicBezTo>
                                  <a:pt x="551" y="693"/>
                                  <a:pt x="770" y="702"/>
                                  <a:pt x="992" y="717"/>
                                </a:cubicBezTo>
                                <a:cubicBezTo>
                                  <a:pt x="2792" y="702"/>
                                  <a:pt x="2168" y="790"/>
                                  <a:pt x="2907" y="649"/>
                                </a:cubicBezTo>
                                <a:cubicBezTo>
                                  <a:pt x="2925" y="640"/>
                                  <a:pt x="2943" y="628"/>
                                  <a:pt x="2962" y="621"/>
                                </a:cubicBezTo>
                                <a:cubicBezTo>
                                  <a:pt x="2979" y="614"/>
                                  <a:pt x="2999" y="615"/>
                                  <a:pt x="3016" y="608"/>
                                </a:cubicBezTo>
                                <a:cubicBezTo>
                                  <a:pt x="3031" y="602"/>
                                  <a:pt x="3042" y="588"/>
                                  <a:pt x="3057" y="581"/>
                                </a:cubicBezTo>
                                <a:cubicBezTo>
                                  <a:pt x="3083" y="569"/>
                                  <a:pt x="3111" y="563"/>
                                  <a:pt x="3138" y="554"/>
                                </a:cubicBezTo>
                                <a:cubicBezTo>
                                  <a:pt x="3361" y="395"/>
                                  <a:pt x="3278" y="447"/>
                                  <a:pt x="3655" y="431"/>
                                </a:cubicBezTo>
                                <a:cubicBezTo>
                                  <a:pt x="3679" y="331"/>
                                  <a:pt x="3679" y="408"/>
                                  <a:pt x="3573" y="323"/>
                                </a:cubicBezTo>
                                <a:cubicBezTo>
                                  <a:pt x="3555" y="309"/>
                                  <a:pt x="3551" y="281"/>
                                  <a:pt x="3532" y="268"/>
                                </a:cubicBezTo>
                                <a:cubicBezTo>
                                  <a:pt x="3333" y="135"/>
                                  <a:pt x="3054" y="117"/>
                                  <a:pt x="2826" y="105"/>
                                </a:cubicBezTo>
                                <a:cubicBezTo>
                                  <a:pt x="691" y="118"/>
                                  <a:pt x="1321" y="0"/>
                                  <a:pt x="476" y="146"/>
                                </a:cubicBezTo>
                                <a:cubicBezTo>
                                  <a:pt x="419" y="201"/>
                                  <a:pt x="336" y="195"/>
                                  <a:pt x="272" y="241"/>
                                </a:cubicBezTo>
                                <a:cubicBezTo>
                                  <a:pt x="225" y="274"/>
                                  <a:pt x="206" y="303"/>
                                  <a:pt x="150" y="323"/>
                                </a:cubicBezTo>
                                <a:cubicBezTo>
                                  <a:pt x="101" y="370"/>
                                  <a:pt x="68" y="382"/>
                                  <a:pt x="0" y="404"/>
                                </a:cubicBezTo>
                                <a:close/>
                              </a:path>
                            </a:pathLst>
                          </a:custGeom>
                          <a:solidFill>
                            <a:srgbClr val="FFFFFF"/>
                          </a:solidFill>
                          <a:ln w="9525" cap="flat" cmpd="sng">
                            <a:solidFill>
                              <a:srgbClr val="000000"/>
                            </a:solidFill>
                            <a:prstDash val="solid"/>
                            <a:headEnd type="none" w="med" len="med"/>
                            <a:tailEnd type="none" w="med" len="med"/>
                          </a:ln>
                        </wps:spPr>
                        <wps:bodyPr upright="1"/>
                      </wps:wsp>
                      <wps:wsp>
                        <wps:cNvPr id="94" name="矩形标注 94"/>
                        <wps:cNvSpPr/>
                        <wps:spPr>
                          <a:xfrm>
                            <a:off x="15401" y="123479"/>
                            <a:ext cx="856" cy="1019"/>
                          </a:xfrm>
                          <a:prstGeom prst="wedgeRectCallout">
                            <a:avLst>
                              <a:gd name="adj1" fmla="val 164954"/>
                              <a:gd name="adj2" fmla="val 71394"/>
                            </a:avLst>
                          </a:prstGeom>
                          <a:solidFill>
                            <a:srgbClr val="FFFFFF"/>
                          </a:solidFill>
                          <a:ln w="9525" cap="flat" cmpd="sng">
                            <a:solidFill>
                              <a:srgbClr val="000000"/>
                            </a:solidFill>
                            <a:prstDash val="solid"/>
                            <a:miter/>
                            <a:headEnd type="none" w="med" len="med"/>
                            <a:tailEnd type="none" w="med" len="med"/>
                          </a:ln>
                        </wps:spPr>
                        <wps:txbx>
                          <w:txbxContent>
                            <w:p>
                              <w:r>
                                <w:t>矿山</w:t>
                              </w:r>
                            </w:p>
                          </w:txbxContent>
                        </wps:txbx>
                        <wps:bodyPr upright="1"/>
                      </wps:wsp>
                      <wps:wsp>
                        <wps:cNvPr id="95" name="任意多边形 95"/>
                        <wps:cNvSpPr/>
                        <wps:spPr>
                          <a:xfrm>
                            <a:off x="16848" y="123479"/>
                            <a:ext cx="1008" cy="1668"/>
                          </a:xfrm>
                          <a:custGeom>
                            <a:avLst/>
                            <a:gdLst/>
                            <a:ahLst/>
                            <a:cxnLst/>
                            <a:pathLst>
                              <a:path w="1008" h="1668">
                                <a:moveTo>
                                  <a:pt x="251" y="0"/>
                                </a:moveTo>
                                <a:cubicBezTo>
                                  <a:pt x="337" y="15"/>
                                  <a:pt x="425" y="17"/>
                                  <a:pt x="509" y="41"/>
                                </a:cubicBezTo>
                                <a:cubicBezTo>
                                  <a:pt x="538" y="49"/>
                                  <a:pt x="563" y="70"/>
                                  <a:pt x="591" y="82"/>
                                </a:cubicBezTo>
                                <a:cubicBezTo>
                                  <a:pt x="656" y="109"/>
                                  <a:pt x="726" y="122"/>
                                  <a:pt x="795" y="136"/>
                                </a:cubicBezTo>
                                <a:cubicBezTo>
                                  <a:pt x="842" y="159"/>
                                  <a:pt x="882" y="187"/>
                                  <a:pt x="931" y="204"/>
                                </a:cubicBezTo>
                                <a:cubicBezTo>
                                  <a:pt x="1008" y="357"/>
                                  <a:pt x="978" y="525"/>
                                  <a:pt x="917" y="679"/>
                                </a:cubicBezTo>
                                <a:cubicBezTo>
                                  <a:pt x="906" y="746"/>
                                  <a:pt x="895" y="801"/>
                                  <a:pt x="890" y="870"/>
                                </a:cubicBezTo>
                                <a:cubicBezTo>
                                  <a:pt x="883" y="965"/>
                                  <a:pt x="901" y="1063"/>
                                  <a:pt x="876" y="1155"/>
                                </a:cubicBezTo>
                                <a:cubicBezTo>
                                  <a:pt x="867" y="1189"/>
                                  <a:pt x="821" y="1200"/>
                                  <a:pt x="795" y="1223"/>
                                </a:cubicBezTo>
                                <a:cubicBezTo>
                                  <a:pt x="737" y="1274"/>
                                  <a:pt x="728" y="1344"/>
                                  <a:pt x="673" y="1399"/>
                                </a:cubicBezTo>
                                <a:cubicBezTo>
                                  <a:pt x="636" y="1436"/>
                                  <a:pt x="577" y="1522"/>
                                  <a:pt x="577" y="1522"/>
                                </a:cubicBezTo>
                                <a:cubicBezTo>
                                  <a:pt x="530" y="1668"/>
                                  <a:pt x="438" y="1585"/>
                                  <a:pt x="251" y="1576"/>
                                </a:cubicBezTo>
                                <a:cubicBezTo>
                                  <a:pt x="200" y="1550"/>
                                  <a:pt x="141" y="1535"/>
                                  <a:pt x="102" y="1494"/>
                                </a:cubicBezTo>
                                <a:cubicBezTo>
                                  <a:pt x="42" y="1262"/>
                                  <a:pt x="69" y="955"/>
                                  <a:pt x="61" y="747"/>
                                </a:cubicBezTo>
                                <a:cubicBezTo>
                                  <a:pt x="58" y="672"/>
                                  <a:pt x="46" y="629"/>
                                  <a:pt x="7" y="571"/>
                                </a:cubicBezTo>
                                <a:cubicBezTo>
                                  <a:pt x="11" y="471"/>
                                  <a:pt x="0" y="370"/>
                                  <a:pt x="20" y="272"/>
                                </a:cubicBezTo>
                                <a:cubicBezTo>
                                  <a:pt x="24" y="252"/>
                                  <a:pt x="59" y="258"/>
                                  <a:pt x="75" y="245"/>
                                </a:cubicBezTo>
                                <a:cubicBezTo>
                                  <a:pt x="92" y="230"/>
                                  <a:pt x="100" y="206"/>
                                  <a:pt x="116" y="190"/>
                                </a:cubicBezTo>
                                <a:cubicBezTo>
                                  <a:pt x="132" y="174"/>
                                  <a:pt x="153" y="165"/>
                                  <a:pt x="170" y="150"/>
                                </a:cubicBezTo>
                                <a:cubicBezTo>
                                  <a:pt x="194" y="129"/>
                                  <a:pt x="215" y="105"/>
                                  <a:pt x="238" y="82"/>
                                </a:cubicBezTo>
                                <a:cubicBezTo>
                                  <a:pt x="247" y="73"/>
                                  <a:pt x="252" y="56"/>
                                  <a:pt x="265" y="54"/>
                                </a:cubicBezTo>
                                <a:cubicBezTo>
                                  <a:pt x="301" y="50"/>
                                  <a:pt x="338" y="45"/>
                                  <a:pt x="374" y="41"/>
                                </a:cubicBezTo>
                                <a:cubicBezTo>
                                  <a:pt x="259" y="12"/>
                                  <a:pt x="291" y="40"/>
                                  <a:pt x="251" y="0"/>
                                </a:cubicBezTo>
                                <a:close/>
                              </a:path>
                            </a:pathLst>
                          </a:custGeom>
                          <a:solidFill>
                            <a:srgbClr val="FFFFFF"/>
                          </a:solidFill>
                          <a:ln w="9525" cap="flat" cmpd="sng">
                            <a:solidFill>
                              <a:srgbClr val="000000"/>
                            </a:solidFill>
                            <a:prstDash val="solid"/>
                            <a:headEnd type="none" w="med" len="med"/>
                            <a:tailEnd type="none" w="med" len="med"/>
                          </a:ln>
                        </wps:spPr>
                        <wps:bodyPr upright="1"/>
                      </wps:wsp>
                      <wps:wsp>
                        <wps:cNvPr id="96" name="任意多边形 96"/>
                        <wps:cNvSpPr/>
                        <wps:spPr>
                          <a:xfrm>
                            <a:off x="22294" y="123588"/>
                            <a:ext cx="866" cy="1164"/>
                          </a:xfrm>
                          <a:custGeom>
                            <a:avLst/>
                            <a:gdLst/>
                            <a:ahLst/>
                            <a:cxnLst/>
                            <a:pathLst>
                              <a:path w="866" h="1164">
                                <a:moveTo>
                                  <a:pt x="21" y="0"/>
                                </a:moveTo>
                                <a:cubicBezTo>
                                  <a:pt x="219" y="9"/>
                                  <a:pt x="409" y="27"/>
                                  <a:pt x="606" y="41"/>
                                </a:cubicBezTo>
                                <a:cubicBezTo>
                                  <a:pt x="651" y="71"/>
                                  <a:pt x="696" y="79"/>
                                  <a:pt x="741" y="109"/>
                                </a:cubicBezTo>
                                <a:cubicBezTo>
                                  <a:pt x="768" y="149"/>
                                  <a:pt x="772" y="145"/>
                                  <a:pt x="782" y="191"/>
                                </a:cubicBezTo>
                                <a:cubicBezTo>
                                  <a:pt x="792" y="236"/>
                                  <a:pt x="809" y="326"/>
                                  <a:pt x="809" y="326"/>
                                </a:cubicBezTo>
                                <a:cubicBezTo>
                                  <a:pt x="814" y="566"/>
                                  <a:pt x="814" y="806"/>
                                  <a:pt x="823" y="1046"/>
                                </a:cubicBezTo>
                                <a:cubicBezTo>
                                  <a:pt x="826" y="1120"/>
                                  <a:pt x="866" y="1092"/>
                                  <a:pt x="796" y="1114"/>
                                </a:cubicBezTo>
                                <a:cubicBezTo>
                                  <a:pt x="438" y="1102"/>
                                  <a:pt x="438" y="1164"/>
                                  <a:pt x="252" y="978"/>
                                </a:cubicBezTo>
                                <a:cubicBezTo>
                                  <a:pt x="220" y="882"/>
                                  <a:pt x="249" y="913"/>
                                  <a:pt x="185" y="870"/>
                                </a:cubicBezTo>
                                <a:cubicBezTo>
                                  <a:pt x="109" y="759"/>
                                  <a:pt x="131" y="681"/>
                                  <a:pt x="89" y="557"/>
                                </a:cubicBezTo>
                                <a:cubicBezTo>
                                  <a:pt x="80" y="471"/>
                                  <a:pt x="73" y="385"/>
                                  <a:pt x="62" y="299"/>
                                </a:cubicBezTo>
                                <a:cubicBezTo>
                                  <a:pt x="57" y="262"/>
                                  <a:pt x="36" y="238"/>
                                  <a:pt x="21" y="204"/>
                                </a:cubicBezTo>
                                <a:cubicBezTo>
                                  <a:pt x="0" y="155"/>
                                  <a:pt x="8" y="144"/>
                                  <a:pt x="8" y="82"/>
                                </a:cubicBezTo>
                                <a:lnTo>
                                  <a:pt x="21" y="0"/>
                                </a:lnTo>
                                <a:close/>
                              </a:path>
                            </a:pathLst>
                          </a:custGeom>
                          <a:solidFill>
                            <a:srgbClr val="FFFFFF"/>
                          </a:solidFill>
                          <a:ln w="9525" cap="flat" cmpd="sng">
                            <a:solidFill>
                              <a:srgbClr val="000000"/>
                            </a:solidFill>
                            <a:prstDash val="solid"/>
                            <a:headEnd type="none" w="med" len="med"/>
                            <a:tailEnd type="none" w="med" len="med"/>
                          </a:ln>
                        </wps:spPr>
                        <wps:bodyPr upright="1"/>
                      </wps:wsp>
                      <wps:wsp>
                        <wps:cNvPr id="97" name="矩形 97"/>
                        <wps:cNvSpPr/>
                        <wps:spPr>
                          <a:xfrm>
                            <a:off x="18892" y="124498"/>
                            <a:ext cx="1983" cy="11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pPr>
                            </w:p>
                            <w:p>
                              <w:pPr>
                                <w:ind w:firstLine="210" w:firstLineChars="100"/>
                              </w:pPr>
                              <w:r>
                                <w:t>建设项目地点</w:t>
                              </w:r>
                            </w:p>
                          </w:txbxContent>
                        </wps:txbx>
                        <wps:bodyPr upright="1"/>
                      </wps:wsp>
                      <wps:wsp>
                        <wps:cNvPr id="98" name="矩形标注 98"/>
                        <wps:cNvSpPr/>
                        <wps:spPr>
                          <a:xfrm>
                            <a:off x="22913" y="124908"/>
                            <a:ext cx="775" cy="910"/>
                          </a:xfrm>
                          <a:prstGeom prst="wedgeRectCallout">
                            <a:avLst>
                              <a:gd name="adj1" fmla="val -76968"/>
                              <a:gd name="adj2" fmla="val -10472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矿山</w:t>
                              </w:r>
                            </w:p>
                          </w:txbxContent>
                        </wps:txbx>
                        <wps:bodyPr upright="1"/>
                      </wps:wsp>
                      <wps:wsp>
                        <wps:cNvPr id="99" name="矩形标注 99"/>
                        <wps:cNvSpPr/>
                        <wps:spPr>
                          <a:xfrm>
                            <a:off x="16121" y="124908"/>
                            <a:ext cx="856" cy="802"/>
                          </a:xfrm>
                          <a:prstGeom prst="wedgeRectCallout">
                            <a:avLst>
                              <a:gd name="adj1" fmla="val 329204"/>
                              <a:gd name="adj2" fmla="val -1841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山地</w:t>
                              </w:r>
                              <w:r>
                                <w:t>林区</w:t>
                              </w:r>
                            </w:p>
                          </w:txbxContent>
                        </wps:txbx>
                        <wps:bodyPr upright="1"/>
                      </wps:wsp>
                      <wps:wsp>
                        <wps:cNvPr id="100" name="上箭头 100"/>
                        <wps:cNvSpPr/>
                        <wps:spPr>
                          <a:xfrm>
                            <a:off x="19408" y="126240"/>
                            <a:ext cx="856" cy="665"/>
                          </a:xfrm>
                          <a:prstGeom prst="up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r>
                                <w:t>入口</w:t>
                              </w:r>
                            </w:p>
                          </w:txbxContent>
                        </wps:txbx>
                        <wps:bodyPr vert="eaVert" upright="1"/>
                      </wps:wsp>
                      <wps:wsp>
                        <wps:cNvPr id="101" name="直接箭头连接符 101"/>
                        <wps:cNvCnPr/>
                        <wps:spPr>
                          <a:xfrm>
                            <a:off x="20155" y="126482"/>
                            <a:ext cx="3533" cy="0"/>
                          </a:xfrm>
                          <a:prstGeom prst="straightConnector1">
                            <a:avLst/>
                          </a:prstGeom>
                          <a:ln w="9525" cap="flat" cmpd="sng">
                            <a:solidFill>
                              <a:srgbClr val="000000"/>
                            </a:solidFill>
                            <a:prstDash val="solid"/>
                            <a:headEnd type="none" w="med" len="med"/>
                            <a:tailEnd type="none" w="med" len="med"/>
                          </a:ln>
                        </wps:spPr>
                        <wps:bodyPr/>
                      </wps:wsp>
                      <wps:wsp>
                        <wps:cNvPr id="102" name="直接箭头连接符 102"/>
                        <wps:cNvCnPr/>
                        <wps:spPr>
                          <a:xfrm flipV="1">
                            <a:off x="19544" y="126020"/>
                            <a:ext cx="0" cy="435"/>
                          </a:xfrm>
                          <a:prstGeom prst="straightConnector1">
                            <a:avLst/>
                          </a:prstGeom>
                          <a:ln w="9525" cap="flat" cmpd="sng">
                            <a:solidFill>
                              <a:srgbClr val="000000"/>
                            </a:solidFill>
                            <a:prstDash val="solid"/>
                            <a:headEnd type="none" w="med" len="med"/>
                            <a:tailEnd type="none" w="med" len="med"/>
                          </a:ln>
                        </wps:spPr>
                        <wps:bodyPr/>
                      </wps:wsp>
                      <wps:wsp>
                        <wps:cNvPr id="103" name="直接箭头连接符 103"/>
                        <wps:cNvCnPr/>
                        <wps:spPr>
                          <a:xfrm flipV="1">
                            <a:off x="20155" y="126020"/>
                            <a:ext cx="0" cy="462"/>
                          </a:xfrm>
                          <a:prstGeom prst="straightConnector1">
                            <a:avLst/>
                          </a:prstGeom>
                          <a:ln w="9525" cap="flat" cmpd="sng">
                            <a:solidFill>
                              <a:srgbClr val="000000"/>
                            </a:solidFill>
                            <a:prstDash val="solid"/>
                            <a:headEnd type="none" w="med" len="med"/>
                            <a:tailEnd type="none" w="med" len="med"/>
                          </a:ln>
                        </wps:spPr>
                        <wps:bodyPr/>
                      </wps:wsp>
                      <wps:wsp>
                        <wps:cNvPr id="104" name="直接箭头连接符 104"/>
                        <wps:cNvCnPr/>
                        <wps:spPr>
                          <a:xfrm>
                            <a:off x="16257" y="126455"/>
                            <a:ext cx="3287" cy="27"/>
                          </a:xfrm>
                          <a:prstGeom prst="straightConnector1">
                            <a:avLst/>
                          </a:prstGeom>
                          <a:ln w="9525" cap="flat" cmpd="sng">
                            <a:solidFill>
                              <a:srgbClr val="000000"/>
                            </a:solidFill>
                            <a:prstDash val="solid"/>
                            <a:headEnd type="none" w="med" len="med"/>
                            <a:tailEnd type="none" w="med" len="med"/>
                          </a:ln>
                        </wps:spPr>
                        <wps:bodyPr/>
                      </wps:wsp>
                      <wps:wsp>
                        <wps:cNvPr id="105" name="直接箭头连接符 105"/>
                        <wps:cNvCnPr/>
                        <wps:spPr>
                          <a:xfrm>
                            <a:off x="16257" y="127066"/>
                            <a:ext cx="7634" cy="0"/>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6.7pt;margin-top:9.4pt;height:203.9pt;width:482.15pt;z-index:251670528;mso-width-relative:page;mso-height-relative:page;" coordorigin="15401,123333" coordsize="9224,3733" o:gfxdata="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">
                <o:lock v:ext="edit" aspectratio="f"/>
                <v:shape id="_x0000_s1026" o:spid="_x0000_s1026" o:spt="68" type="#_x0000_t68" style="position:absolute;left:23783;top:123333;height:434;width:842;" fillcolor="#FFFFFF" filled="t" stroked="t" coordsize="21600,21600" o:gfxdata="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bORK8AAAA&#10;2wAAAA8AAAAAAAAAAQAgAAAAIgAAAGRycy9kb3ducmV2LnhtbFBLAQIUABQAAAAIAIdO4kAzLwWe&#10;OwAAADkAAAAQAAAAAAAAAAEAIAAAAAsBAABkcnMvc2hhcGV4bWwueG1sUEsFBgAAAAAGAAYAWwEA&#10;ALUDAAAAAA==&#10;" adj="5400,5400">
                  <v:fill on="t" focussize="0,0"/>
                  <v:stroke color="#000000" joinstyle="miter"/>
                  <v:imagedata o:title=""/>
                  <o:lock v:ext="edit" aspectratio="f"/>
                  <v:textbox style="layout-flow:vertical-ideographic;">
                    <w:txbxContent>
                      <w:p>
                        <w:r>
                          <w:t>北</w:t>
                        </w:r>
                      </w:p>
                    </w:txbxContent>
                  </v:textbox>
                </v:shape>
                <v:shape id="_x0000_s1026" o:spid="_x0000_s1026" o:spt="100" style="position:absolute;left:18104;top:123333;height:790;width:3967;" fillcolor="#FFFFFF" filled="t" stroked="t" coordsize="3679,790" o:gfxdata="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bK9e8AAAA&#10;2wAAAA8AAAAAAAAAAQAgAAAAIgAAAGRycy9kb3ducmV2LnhtbFBLAQIUABQAAAAIAIdO4kAzLwWe&#10;OwAAADkAAAAQAAAAAAAAAAEAIAAAAAsBAABkcnMvc2hhcGV4bWwueG1sUEsFBgAAAAAGAAYAWwEA&#10;ALUDAAAAAA==&#10;" path="m0,404c38,454,62,492,122,513c191,580,245,606,340,621c551,693,770,702,992,717c2792,702,2168,790,2907,649c2925,640,2943,628,2962,621c2979,614,2999,615,3016,608c3031,602,3042,588,3057,581c3083,569,3111,563,3138,554c3361,395,3278,447,3655,431c3679,331,3679,408,3573,323c3555,309,3551,281,3532,268c3333,135,3054,117,2826,105c691,118,1321,0,476,146c419,201,336,195,272,241c225,274,206,303,150,323c101,370,68,382,0,404xe">
                  <v:fill on="t" focussize="0,0"/>
                  <v:stroke color="#000000" joinstyle="round"/>
                  <v:imagedata o:title=""/>
                  <o:lock v:ext="edit" aspectratio="f"/>
                </v:shape>
                <v:shape id="_x0000_s1026" o:spid="_x0000_s1026" o:spt="61" type="#_x0000_t61" style="position:absolute;left:15401;top:123479;height:1019;width:856;" fillcolor="#FFFFFF" filled="t" stroked="t" coordsize="21600,21600" o:gfxdata="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ydWC8AAAA&#10;2wAAAA8AAAAAAAAAAQAgAAAAIgAAAGRycy9kb3ducmV2LnhtbFBLAQIUABQAAAAIAIdO4kAzLwWe&#10;OwAAADkAAAAQAAAAAAAAAAEAIAAAAAsBAABkcnMvc2hhcGV4bWwueG1sUEsFBgAAAAAGAAYAWwEA&#10;ALUDAAAAAA==&#10;" adj="46430,26221">
                  <v:fill on="t" focussize="0,0"/>
                  <v:stroke color="#000000" joinstyle="miter"/>
                  <v:imagedata o:title=""/>
                  <o:lock v:ext="edit" aspectratio="f"/>
                  <v:textbox>
                    <w:txbxContent>
                      <w:p>
                        <w:r>
                          <w:t>矿山</w:t>
                        </w:r>
                      </w:p>
                    </w:txbxContent>
                  </v:textbox>
                </v:shape>
                <v:shape id="_x0000_s1026" o:spid="_x0000_s1026" o:spt="100" style="position:absolute;left:16848;top:123479;height:1668;width:1008;" fillcolor="#FFFFFF" filled="t" stroked="t" coordsize="1008,1668" o:gfxdata="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AUy8AAAA&#10;2wAAAA8AAAAAAAAAAQAgAAAAIgAAAGRycy9kb3ducmV2LnhtbFBLAQIUABQAAAAIAIdO4kAzLwWe&#10;OwAAADkAAAAQAAAAAAAAAAEAIAAAAAsBAABkcnMvc2hhcGV4bWwueG1sUEsFBgAAAAAGAAYAWwEA&#10;ALUDAAAAAA==&#10;" path="m251,0c337,15,425,17,509,41c538,49,563,70,591,82c656,109,726,122,795,136c842,159,882,187,931,204c1008,357,978,525,917,679c906,746,895,801,890,870c883,965,901,1063,876,1155c867,1189,821,1200,795,1223c737,1274,728,1344,673,1399c636,1436,577,1522,577,1522c530,1668,438,1585,251,1576c200,1550,141,1535,102,1494c42,1262,69,955,61,747c58,672,46,629,7,571c11,471,0,370,20,272c24,252,59,258,75,245c92,230,100,206,116,190c132,174,153,165,170,150c194,129,215,105,238,82c247,73,252,56,265,54c301,50,338,45,374,41c259,12,291,40,251,0xe">
                  <v:fill on="t" focussize="0,0"/>
                  <v:stroke color="#000000" joinstyle="round"/>
                  <v:imagedata o:title=""/>
                  <o:lock v:ext="edit" aspectratio="f"/>
                </v:shape>
                <v:shape id="_x0000_s1026" o:spid="_x0000_s1026" o:spt="100" style="position:absolute;left:22294;top:123588;height:1164;width:866;" fillcolor="#FFFFFF" filled="t" stroked="t" coordsize="866,1164" o:gfxdata="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jaC8AAAA&#10;2wAAAA8AAAAAAAAAAQAgAAAAIgAAAGRycy9kb3ducmV2LnhtbFBLAQIUABQAAAAIAIdO4kAzLwWe&#10;OwAAADkAAAAQAAAAAAAAAAEAIAAAAAsBAABkcnMvc2hhcGV4bWwueG1sUEsFBgAAAAAGAAYAWwEA&#10;ALUDAAAAAA==&#10;" path="m21,0c219,9,409,27,606,41c651,71,696,79,741,109c768,149,772,145,782,191c792,236,809,326,809,326c814,566,814,806,823,1046c826,1120,866,1092,796,1114c438,1102,438,1164,252,978c220,882,249,913,185,870c109,759,131,681,89,557c80,471,73,385,62,299c57,262,36,238,21,204c0,155,8,144,8,82l21,0xe">
                  <v:fill on="t" focussize="0,0"/>
                  <v:stroke color="#000000" joinstyle="round"/>
                  <v:imagedata o:title=""/>
                  <o:lock v:ext="edit" aspectratio="f"/>
                </v:shape>
                <v:rect id="_x0000_s1026" o:spid="_x0000_s1026" o:spt="1" style="position:absolute;left:18892;top:124498;height:1114;width:1983;" fillcolor="#FFFFFF" filled="t" stroked="t" coordsize="21600,21600" o:gfxdata="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aFv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210" w:firstLineChars="100"/>
                        </w:pPr>
                      </w:p>
                      <w:p>
                        <w:pPr>
                          <w:ind w:firstLine="210" w:firstLineChars="100"/>
                        </w:pPr>
                        <w:r>
                          <w:t>建设项目地点</w:t>
                        </w:r>
                      </w:p>
                    </w:txbxContent>
                  </v:textbox>
                </v:rect>
                <v:shape id="_x0000_s1026" o:spid="_x0000_s1026" o:spt="61" type="#_x0000_t61" style="position:absolute;left:22913;top:124908;height:910;width:775;" fillcolor="#FFFFFF" filled="t" stroked="t" coordsize="21600,21600" o:gfxdata="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5zvdbsAAADb&#10;AAAADwAAAAAAAAABACAAAAAiAAAAZHJzL2Rvd25yZXYueG1sUEsBAhQAFAAAAAgAh07iQDMvBZ47&#10;AAAAOQAAABAAAAAAAAAAAQAgAAAACgEAAGRycy9zaGFwZXhtbC54bWxQSwUGAAAAAAYABgBbAQAA&#10;tAMAAAAA&#10;" adj="-5825,-11821">
                  <v:fill on="t" focussize="0,0"/>
                  <v:stroke color="#000000" joinstyle="miter"/>
                  <v:imagedata o:title=""/>
                  <o:lock v:ext="edit" aspectratio="f"/>
                  <v:textbox>
                    <w:txbxContent>
                      <w:p>
                        <w:r>
                          <w:rPr>
                            <w:rFonts w:hint="eastAsia"/>
                          </w:rPr>
                          <w:t>矿山</w:t>
                        </w:r>
                      </w:p>
                    </w:txbxContent>
                  </v:textbox>
                </v:shape>
                <v:shape id="_x0000_s1026" o:spid="_x0000_s1026" o:spt="61" type="#_x0000_t61" style="position:absolute;left:16121;top:124908;height:802;width:856;" fillcolor="#FFFFFF" filled="t" stroked="t" coordsize="21600,21600" o:gfxdata="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3pa/vQAA&#10;ANsAAAAPAAAAAAAAAAEAIAAAACIAAABkcnMvZG93bnJldi54bWxQSwECFAAUAAAACACHTuJAMy8F&#10;njsAAAA5AAAAEAAAAAAAAAABACAAAAAMAQAAZHJzL3NoYXBleG1sLnhtbFBLBQYAAAAABgAGAFsB&#10;AAC2AwAAAAA=&#10;" adj="81908,-28980">
                  <v:fill on="t" focussize="0,0"/>
                  <v:stroke color="#000000" joinstyle="miter"/>
                  <v:imagedata o:title=""/>
                  <o:lock v:ext="edit" aspectratio="f"/>
                  <v:textbox>
                    <w:txbxContent>
                      <w:p>
                        <w:pPr>
                          <w:rPr>
                            <w:rFonts w:hint="eastAsia"/>
                          </w:rPr>
                        </w:pPr>
                        <w:r>
                          <w:rPr>
                            <w:rFonts w:hint="eastAsia"/>
                          </w:rPr>
                          <w:t>山地</w:t>
                        </w:r>
                        <w:r>
                          <w:t>林区</w:t>
                        </w:r>
                      </w:p>
                    </w:txbxContent>
                  </v:textbox>
                </v:shape>
                <v:shape id="_x0000_s1026" o:spid="_x0000_s1026" o:spt="68" type="#_x0000_t68" style="position:absolute;left:19408;top:126240;height:665;width:856;" fillcolor="#FFFFFF" filled="t" stroked="t" coordsize="21600,21600" o:gfxdata="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PnaC8AAAA&#10;3AAAAA8AAAAAAAAAAQAgAAAAIgAAAGRycy9kb3ducmV2LnhtbFBLAQIUABQAAAAIAIdO4kAzLwWe&#10;OwAAADkAAAAQAAAAAAAAAAEAIAAAAAsBAABkcnMvc2hhcGV4bWwueG1sUEsFBgAAAAAGAAYAWwEA&#10;ALUDAAAAAA==&#10;" adj="5400,5400">
                  <v:fill on="t" focussize="0,0"/>
                  <v:stroke color="#000000" joinstyle="miter"/>
                  <v:imagedata o:title=""/>
                  <o:lock v:ext="edit" aspectratio="f"/>
                  <v:textbox style="layout-flow:vertical-ideographic;">
                    <w:txbxContent>
                      <w:p>
                        <w:r>
                          <w:t>入口</w:t>
                        </w:r>
                      </w:p>
                    </w:txbxContent>
                  </v:textbox>
                </v:shape>
                <v:shape id="_x0000_s1026" o:spid="_x0000_s1026" o:spt="32" type="#_x0000_t32" style="position:absolute;left:20155;top:126482;height:0;width:3533;" filled="f" stroked="t" coordsize="21600,21600" o:gfxdata="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PlGa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_x0000_s1026" o:spid="_x0000_s1026" o:spt="32" type="#_x0000_t32" style="position:absolute;left:19544;top:126020;flip:y;height:435;width:0;" filled="f" stroked="t" coordsize="21600,21600" o:gfxdata="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b1UYO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_x0000_s1026" o:spid="_x0000_s1026" o:spt="32" type="#_x0000_t32" style="position:absolute;left:20155;top:126020;flip:y;height:462;width:0;" filled="f" stroked="t" coordsize="21600,21600" o:gfxdata="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bn0G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16257;top:126455;height:27;width:3287;" filled="f" stroked="t" coordsize="21600,21600" o:gfxdata="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Df+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16257;top:127066;height:0;width:7634;" filled="f" stroked="t" coordsize="21600,21600" o:gfxdata="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NJJ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2800" w:firstLineChars="1000"/>
        <w:rPr>
          <w:sz w:val="28"/>
          <w:szCs w:val="28"/>
        </w:rPr>
      </w:pPr>
    </w:p>
    <w:p>
      <w:pPr>
        <w:spacing w:line="360" w:lineRule="auto"/>
        <w:ind w:firstLine="2800" w:firstLineChars="1000"/>
        <w:rPr>
          <w:sz w:val="28"/>
          <w:szCs w:val="28"/>
        </w:rPr>
      </w:pPr>
      <w:r>
        <w:rPr>
          <w:sz w:val="28"/>
          <w:szCs w:val="28"/>
        </w:rPr>
        <w:t>村路</w:t>
      </w: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FF0000"/>
          <w:kern w:val="0"/>
          <w:sz w:val="24"/>
          <w:lang w:eastAsia="zh-CN"/>
        </w:rPr>
      </w:pPr>
      <w:r>
        <w:rPr>
          <w:rFonts w:hint="eastAsia" w:ascii="黑体" w:hAnsi="黑体" w:eastAsia="黑体"/>
          <w:b/>
          <w:snapToGrid w:val="0"/>
          <w:color w:val="FF0000"/>
          <w:kern w:val="0"/>
          <w:sz w:val="24"/>
          <w:lang w:eastAsia="zh-CN"/>
        </w:rPr>
        <w:t>图2-</w:t>
      </w:r>
      <w:r>
        <w:rPr>
          <w:rFonts w:hint="eastAsia" w:ascii="黑体" w:hAnsi="黑体" w:eastAsia="黑体"/>
          <w:b/>
          <w:snapToGrid w:val="0"/>
          <w:color w:val="FF0000"/>
          <w:kern w:val="0"/>
          <w:sz w:val="24"/>
          <w:lang w:val="en-US" w:eastAsia="zh-CN"/>
        </w:rPr>
        <w:t>3</w:t>
      </w:r>
      <w:r>
        <w:rPr>
          <w:rFonts w:hint="eastAsia" w:ascii="黑体" w:hAnsi="黑体" w:eastAsia="黑体"/>
          <w:b/>
          <w:snapToGrid w:val="0"/>
          <w:color w:val="FF0000"/>
          <w:kern w:val="0"/>
          <w:sz w:val="24"/>
          <w:lang w:eastAsia="zh-CN"/>
        </w:rPr>
        <w:t xml:space="preserve">  周边环境示意图</w:t>
      </w:r>
    </w:p>
    <w:p>
      <w:pPr>
        <w:pStyle w:val="5"/>
        <w:spacing w:before="0" w:after="0" w:line="360" w:lineRule="auto"/>
        <w:rPr>
          <w:rFonts w:hint="eastAsia" w:ascii="宋体" w:hAnsi="宋体" w:eastAsia="宋体" w:cs="宋体"/>
          <w:color w:val="FF0000"/>
          <w:sz w:val="28"/>
          <w:szCs w:val="28"/>
          <w:lang w:val="zh-CN"/>
        </w:rPr>
      </w:pPr>
      <w:bookmarkStart w:id="52" w:name="_Toc25723"/>
      <w:bookmarkStart w:id="53" w:name="_Toc440539584"/>
      <w:bookmarkStart w:id="54" w:name="_Toc29609"/>
      <w:bookmarkStart w:id="55" w:name="_Toc13520"/>
      <w:r>
        <w:rPr>
          <w:rFonts w:hint="eastAsia" w:ascii="宋体" w:hAnsi="宋体" w:eastAsia="宋体" w:cs="宋体"/>
          <w:color w:val="FF0000"/>
          <w:sz w:val="28"/>
          <w:szCs w:val="28"/>
          <w:lang w:val="zh-CN"/>
        </w:rPr>
        <w:t>2.1.</w:t>
      </w: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lang w:val="zh-CN"/>
        </w:rPr>
        <w:t>工艺流程</w:t>
      </w:r>
      <w:bookmarkEnd w:id="52"/>
      <w:bookmarkEnd w:id="53"/>
      <w:bookmarkEnd w:id="54"/>
      <w:bookmarkEnd w:id="55"/>
    </w:p>
    <w:p>
      <w:pPr>
        <w:spacing w:line="360" w:lineRule="auto"/>
        <w:ind w:firstLine="562" w:firstLineChars="200"/>
        <w:rPr>
          <w:rFonts w:hint="eastAsia" w:ascii="宋体"/>
          <w:b/>
          <w:bCs/>
          <w:snapToGrid w:val="0"/>
          <w:color w:val="FF0000"/>
          <w:kern w:val="0"/>
          <w:sz w:val="28"/>
          <w:szCs w:val="28"/>
          <w:lang w:val="en-US" w:eastAsia="zh-CN"/>
        </w:rPr>
      </w:pPr>
      <w:bookmarkStart w:id="56" w:name="_Toc480804369"/>
      <w:bookmarkStart w:id="57" w:name="_Toc356380956"/>
      <w:bookmarkStart w:id="58" w:name="_Toc515872918"/>
      <w:bookmarkStart w:id="59" w:name="_Toc356401465"/>
      <w:bookmarkStart w:id="60" w:name="_Toc515872919"/>
      <w:bookmarkStart w:id="61" w:name="_Toc356380957"/>
      <w:bookmarkStart w:id="62" w:name="_Toc480804370"/>
      <w:bookmarkStart w:id="63" w:name="_Toc356401466"/>
      <w:r>
        <w:rPr>
          <w:rFonts w:hint="eastAsia" w:ascii="宋体"/>
          <w:b/>
          <w:bCs/>
          <w:snapToGrid w:val="0"/>
          <w:color w:val="FF0000"/>
          <w:kern w:val="0"/>
          <w:sz w:val="28"/>
          <w:szCs w:val="28"/>
          <w:lang w:val="en-US" w:eastAsia="zh-CN"/>
        </w:rPr>
        <w:t>1、生产工艺流程图</w:t>
      </w:r>
      <w:bookmarkEnd w:id="56"/>
      <w:bookmarkEnd w:id="57"/>
      <w:bookmarkEnd w:id="58"/>
      <w:bookmarkEnd w:id="59"/>
    </w:p>
    <w:p>
      <w:pPr>
        <w:spacing w:line="360" w:lineRule="auto"/>
        <w:ind w:firstLine="560" w:firstLineChars="200"/>
        <w:rPr>
          <w:rFonts w:hint="eastAsia" w:ascii="宋体"/>
          <w:snapToGrid w:val="0"/>
          <w:color w:val="FF0000"/>
          <w:kern w:val="0"/>
          <w:sz w:val="28"/>
          <w:szCs w:val="28"/>
          <w:lang w:val="zh-CN" w:eastAsia="zh-CN"/>
        </w:rPr>
      </w:pPr>
      <w:r>
        <w:rPr>
          <w:rFonts w:hint="eastAsia" w:ascii="宋体"/>
          <w:snapToGrid w:val="0"/>
          <w:color w:val="FF0000"/>
          <w:kern w:val="0"/>
          <w:sz w:val="28"/>
          <w:szCs w:val="28"/>
          <w:lang w:val="zh-CN" w:eastAsia="zh-CN"/>
        </w:rPr>
        <w:t>标砖生产主要包括采矿、破碎、筛分、搅拌、制胚、进胚、烧窑、装车8大工序，各工序按照工艺流程布置在各自区域内。公司隧道窑采用环保节能式的隧道窑，首次烧结采用精煤助燃，顺利开窑后可利用标砖中含有的煤自燃热量进行烧结，待自然冷却后装车装车外售。生产工艺流程如图：</w:t>
      </w:r>
    </w:p>
    <w:p>
      <w:pPr>
        <w:spacing w:line="360" w:lineRule="auto"/>
        <w:ind w:firstLine="560" w:firstLineChars="200"/>
        <w:rPr>
          <w:rFonts w:hint="eastAsia" w:ascii="宋体"/>
          <w:snapToGrid w:val="0"/>
          <w:color w:val="auto"/>
          <w:kern w:val="0"/>
          <w:sz w:val="28"/>
          <w:szCs w:val="28"/>
        </w:rPr>
      </w:pPr>
      <w:r>
        <w:rPr>
          <w:rFonts w:hint="eastAsia" w:ascii="宋体"/>
          <w:color w:val="FF0000"/>
          <w:kern w:val="0"/>
          <w:sz w:val="28"/>
          <w:szCs w:val="28"/>
        </w:rPr>
        <mc:AlternateContent>
          <mc:Choice Requires="wpg">
            <w:drawing>
              <wp:anchor distT="0" distB="0" distL="114300" distR="114300" simplePos="0" relativeHeight="251669504" behindDoc="0" locked="0" layoutInCell="1" allowOverlap="1">
                <wp:simplePos x="0" y="0"/>
                <wp:positionH relativeFrom="column">
                  <wp:posOffset>231775</wp:posOffset>
                </wp:positionH>
                <wp:positionV relativeFrom="paragraph">
                  <wp:posOffset>635</wp:posOffset>
                </wp:positionV>
                <wp:extent cx="5307965" cy="2550795"/>
                <wp:effectExtent l="4445" t="5080" r="6350" b="4445"/>
                <wp:wrapNone/>
                <wp:docPr id="91" name="组合 91"/>
                <wp:cNvGraphicFramePr/>
                <a:graphic xmlns:a="http://schemas.openxmlformats.org/drawingml/2006/main">
                  <a:graphicData uri="http://schemas.microsoft.com/office/word/2010/wordprocessingGroup">
                    <wpg:wgp>
                      <wpg:cNvGrpSpPr/>
                      <wpg:grpSpPr>
                        <a:xfrm>
                          <a:off x="0" y="0"/>
                          <a:ext cx="5307965" cy="2550795"/>
                          <a:chOff x="2310" y="7530"/>
                          <a:chExt cx="7665" cy="4815"/>
                        </a:xfrm>
                      </wpg:grpSpPr>
                      <wps:wsp>
                        <wps:cNvPr id="60" name="矩形 60"/>
                        <wps:cNvSpPr/>
                        <wps:spPr>
                          <a:xfrm>
                            <a:off x="231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煤矸石、页岩</w:t>
                              </w:r>
                            </w:p>
                          </w:txbxContent>
                        </wps:txbx>
                        <wps:bodyPr upright="1"/>
                      </wps:wsp>
                      <wps:wsp>
                        <wps:cNvPr id="61" name="直接箭头连接符 61"/>
                        <wps:cNvCnPr/>
                        <wps:spPr>
                          <a:xfrm>
                            <a:off x="3930" y="7860"/>
                            <a:ext cx="390" cy="0"/>
                          </a:xfrm>
                          <a:prstGeom prst="straightConnector1">
                            <a:avLst/>
                          </a:prstGeom>
                          <a:ln w="9525" cap="flat" cmpd="sng">
                            <a:solidFill>
                              <a:srgbClr val="000000"/>
                            </a:solidFill>
                            <a:prstDash val="solid"/>
                            <a:headEnd type="none" w="med" len="med"/>
                            <a:tailEnd type="triangle" w="med" len="med"/>
                          </a:ln>
                        </wps:spPr>
                        <wps:bodyPr/>
                      </wps:wsp>
                      <wps:wsp>
                        <wps:cNvPr id="62" name="矩形 62"/>
                        <wps:cNvSpPr/>
                        <wps:spPr>
                          <a:xfrm>
                            <a:off x="432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板式给料机</w:t>
                              </w:r>
                            </w:p>
                          </w:txbxContent>
                        </wps:txbx>
                        <wps:bodyPr upright="1"/>
                      </wps:wsp>
                      <wps:wsp>
                        <wps:cNvPr id="63" name="直接箭头连接符 63"/>
                        <wps:cNvCnPr/>
                        <wps:spPr>
                          <a:xfrm>
                            <a:off x="3060" y="9525"/>
                            <a:ext cx="0" cy="825"/>
                          </a:xfrm>
                          <a:prstGeom prst="straightConnector1">
                            <a:avLst/>
                          </a:prstGeom>
                          <a:ln w="9525" cap="flat" cmpd="sng">
                            <a:solidFill>
                              <a:srgbClr val="000000"/>
                            </a:solidFill>
                            <a:prstDash val="solid"/>
                            <a:headEnd type="none" w="med" len="med"/>
                            <a:tailEnd type="triangle" w="med" len="med"/>
                          </a:ln>
                        </wps:spPr>
                        <wps:bodyPr/>
                      </wps:wsp>
                      <wps:wsp>
                        <wps:cNvPr id="64" name="直接箭头连接符 64"/>
                        <wps:cNvCnPr/>
                        <wps:spPr>
                          <a:xfrm>
                            <a:off x="5940" y="7845"/>
                            <a:ext cx="390" cy="0"/>
                          </a:xfrm>
                          <a:prstGeom prst="straightConnector1">
                            <a:avLst/>
                          </a:prstGeom>
                          <a:ln w="9525" cap="flat" cmpd="sng">
                            <a:solidFill>
                              <a:srgbClr val="000000"/>
                            </a:solidFill>
                            <a:prstDash val="solid"/>
                            <a:headEnd type="none" w="med" len="med"/>
                            <a:tailEnd type="triangle" w="med" len="med"/>
                          </a:ln>
                        </wps:spPr>
                        <wps:bodyPr/>
                      </wps:wsp>
                      <wps:wsp>
                        <wps:cNvPr id="65" name="矩形 65"/>
                        <wps:cNvSpPr/>
                        <wps:spPr>
                          <a:xfrm>
                            <a:off x="633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鄂破机</w:t>
                              </w:r>
                            </w:p>
                          </w:txbxContent>
                        </wps:txbx>
                        <wps:bodyPr upright="1"/>
                      </wps:wsp>
                      <wps:wsp>
                        <wps:cNvPr id="66" name="直接箭头连接符 66"/>
                        <wps:cNvCnPr/>
                        <wps:spPr>
                          <a:xfrm>
                            <a:off x="7950" y="7845"/>
                            <a:ext cx="390" cy="0"/>
                          </a:xfrm>
                          <a:prstGeom prst="straightConnector1">
                            <a:avLst/>
                          </a:prstGeom>
                          <a:ln w="9525" cap="flat" cmpd="sng">
                            <a:solidFill>
                              <a:srgbClr val="000000"/>
                            </a:solidFill>
                            <a:prstDash val="solid"/>
                            <a:headEnd type="none" w="med" len="med"/>
                            <a:tailEnd type="triangle" w="med" len="med"/>
                          </a:ln>
                        </wps:spPr>
                        <wps:bodyPr/>
                      </wps:wsp>
                      <wps:wsp>
                        <wps:cNvPr id="67" name="矩形 67"/>
                        <wps:cNvSpPr/>
                        <wps:spPr>
                          <a:xfrm>
                            <a:off x="834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细破机</w:t>
                              </w:r>
                            </w:p>
                          </w:txbxContent>
                        </wps:txbx>
                        <wps:bodyPr upright="1"/>
                      </wps:wsp>
                      <wps:wsp>
                        <wps:cNvPr id="68" name="矩形 68"/>
                        <wps:cNvSpPr/>
                        <wps:spPr>
                          <a:xfrm>
                            <a:off x="834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双轴搅拌机</w:t>
                              </w:r>
                            </w:p>
                          </w:txbxContent>
                        </wps:txbx>
                        <wps:bodyPr upright="1"/>
                      </wps:wsp>
                      <wps:wsp>
                        <wps:cNvPr id="69" name="矩形 69"/>
                        <wps:cNvSpPr/>
                        <wps:spPr>
                          <a:xfrm>
                            <a:off x="633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液压多斗挖掘</w:t>
                              </w:r>
                            </w:p>
                          </w:txbxContent>
                        </wps:txbx>
                        <wps:bodyPr upright="1"/>
                      </wps:wsp>
                      <wps:wsp>
                        <wps:cNvPr id="70" name="矩形 70"/>
                        <wps:cNvSpPr/>
                        <wps:spPr>
                          <a:xfrm>
                            <a:off x="432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箱式给料机</w:t>
                              </w:r>
                            </w:p>
                          </w:txbxContent>
                        </wps:txbx>
                        <wps:bodyPr upright="1"/>
                      </wps:wsp>
                      <wps:wsp>
                        <wps:cNvPr id="71" name="矩形 71"/>
                        <wps:cNvSpPr/>
                        <wps:spPr>
                          <a:xfrm>
                            <a:off x="231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挤泥机</w:t>
                              </w:r>
                            </w:p>
                          </w:txbxContent>
                        </wps:txbx>
                        <wps:bodyPr upright="1"/>
                      </wps:wsp>
                      <wps:wsp>
                        <wps:cNvPr id="72" name="直接箭头连接符 72"/>
                        <wps:cNvCnPr/>
                        <wps:spPr>
                          <a:xfrm flipH="1">
                            <a:off x="7935" y="9240"/>
                            <a:ext cx="405" cy="0"/>
                          </a:xfrm>
                          <a:prstGeom prst="straightConnector1">
                            <a:avLst/>
                          </a:prstGeom>
                          <a:ln w="9525" cap="flat" cmpd="sng">
                            <a:solidFill>
                              <a:srgbClr val="000000"/>
                            </a:solidFill>
                            <a:prstDash val="solid"/>
                            <a:headEnd type="none" w="med" len="med"/>
                            <a:tailEnd type="triangle" w="med" len="med"/>
                          </a:ln>
                        </wps:spPr>
                        <wps:bodyPr/>
                      </wps:wsp>
                      <wps:wsp>
                        <wps:cNvPr id="73" name="直接箭头连接符 73"/>
                        <wps:cNvCnPr/>
                        <wps:spPr>
                          <a:xfrm flipH="1">
                            <a:off x="5940" y="9240"/>
                            <a:ext cx="405" cy="0"/>
                          </a:xfrm>
                          <a:prstGeom prst="straightConnector1">
                            <a:avLst/>
                          </a:prstGeom>
                          <a:ln w="9525" cap="flat" cmpd="sng">
                            <a:solidFill>
                              <a:srgbClr val="000000"/>
                            </a:solidFill>
                            <a:prstDash val="solid"/>
                            <a:headEnd type="none" w="med" len="med"/>
                            <a:tailEnd type="triangle" w="med" len="med"/>
                          </a:ln>
                        </wps:spPr>
                        <wps:bodyPr/>
                      </wps:wsp>
                      <wps:wsp>
                        <wps:cNvPr id="74" name="直接箭头连接符 74"/>
                        <wps:cNvCnPr/>
                        <wps:spPr>
                          <a:xfrm flipH="1">
                            <a:off x="3915" y="9240"/>
                            <a:ext cx="405" cy="0"/>
                          </a:xfrm>
                          <a:prstGeom prst="straightConnector1">
                            <a:avLst/>
                          </a:prstGeom>
                          <a:ln w="9525" cap="flat" cmpd="sng">
                            <a:solidFill>
                              <a:srgbClr val="000000"/>
                            </a:solidFill>
                            <a:prstDash val="solid"/>
                            <a:headEnd type="none" w="med" len="med"/>
                            <a:tailEnd type="triangle" w="med" len="med"/>
                          </a:ln>
                        </wps:spPr>
                        <wps:bodyPr/>
                      </wps:wsp>
                      <wps:wsp>
                        <wps:cNvPr id="75" name="矩形 75"/>
                        <wps:cNvSpPr/>
                        <wps:spPr>
                          <a:xfrm>
                            <a:off x="231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切条、切坏机</w:t>
                              </w:r>
                            </w:p>
                          </w:txbxContent>
                        </wps:txbx>
                        <wps:bodyPr upright="1"/>
                      </wps:wsp>
                      <wps:wsp>
                        <wps:cNvPr id="76" name="直接箭头连接符 76"/>
                        <wps:cNvCnPr/>
                        <wps:spPr>
                          <a:xfrm>
                            <a:off x="3930" y="10680"/>
                            <a:ext cx="390" cy="0"/>
                          </a:xfrm>
                          <a:prstGeom prst="straightConnector1">
                            <a:avLst/>
                          </a:prstGeom>
                          <a:ln w="9525" cap="flat" cmpd="sng">
                            <a:solidFill>
                              <a:srgbClr val="000000"/>
                            </a:solidFill>
                            <a:prstDash val="solid"/>
                            <a:headEnd type="none" w="med" len="med"/>
                            <a:tailEnd type="triangle" w="med" len="med"/>
                          </a:ln>
                        </wps:spPr>
                        <wps:bodyPr/>
                      </wps:wsp>
                      <wps:wsp>
                        <wps:cNvPr id="77" name="矩形 77"/>
                        <wps:cNvSpPr/>
                        <wps:spPr>
                          <a:xfrm>
                            <a:off x="432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自动编码</w:t>
                              </w:r>
                            </w:p>
                          </w:txbxContent>
                        </wps:txbx>
                        <wps:bodyPr upright="1"/>
                      </wps:wsp>
                      <wps:wsp>
                        <wps:cNvPr id="78" name="直接箭头连接符 78"/>
                        <wps:cNvCnPr/>
                        <wps:spPr>
                          <a:xfrm>
                            <a:off x="9180" y="10935"/>
                            <a:ext cx="0" cy="825"/>
                          </a:xfrm>
                          <a:prstGeom prst="straightConnector1">
                            <a:avLst/>
                          </a:prstGeom>
                          <a:ln w="9525" cap="flat" cmpd="sng">
                            <a:solidFill>
                              <a:srgbClr val="000000"/>
                            </a:solidFill>
                            <a:prstDash val="solid"/>
                            <a:headEnd type="none" w="med" len="med"/>
                            <a:tailEnd type="triangle" w="med" len="med"/>
                          </a:ln>
                        </wps:spPr>
                        <wps:bodyPr/>
                      </wps:wsp>
                      <wps:wsp>
                        <wps:cNvPr id="79" name="直接箭头连接符 79"/>
                        <wps:cNvCnPr/>
                        <wps:spPr>
                          <a:xfrm>
                            <a:off x="5940" y="10665"/>
                            <a:ext cx="390" cy="0"/>
                          </a:xfrm>
                          <a:prstGeom prst="straightConnector1">
                            <a:avLst/>
                          </a:prstGeom>
                          <a:ln w="9525" cap="flat" cmpd="sng">
                            <a:solidFill>
                              <a:srgbClr val="000000"/>
                            </a:solidFill>
                            <a:prstDash val="solid"/>
                            <a:headEnd type="none" w="med" len="med"/>
                            <a:tailEnd type="triangle" w="med" len="med"/>
                          </a:ln>
                        </wps:spPr>
                        <wps:bodyPr/>
                      </wps:wsp>
                      <wps:wsp>
                        <wps:cNvPr id="80" name="矩形 80"/>
                        <wps:cNvSpPr/>
                        <wps:spPr>
                          <a:xfrm>
                            <a:off x="633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自动码坯机</w:t>
                              </w:r>
                            </w:p>
                          </w:txbxContent>
                        </wps:txbx>
                        <wps:bodyPr upright="1"/>
                      </wps:wsp>
                      <wps:wsp>
                        <wps:cNvPr id="81" name="直接箭头连接符 81"/>
                        <wps:cNvCnPr/>
                        <wps:spPr>
                          <a:xfrm>
                            <a:off x="7950" y="10665"/>
                            <a:ext cx="390" cy="0"/>
                          </a:xfrm>
                          <a:prstGeom prst="straightConnector1">
                            <a:avLst/>
                          </a:prstGeom>
                          <a:ln w="9525" cap="flat" cmpd="sng">
                            <a:solidFill>
                              <a:srgbClr val="000000"/>
                            </a:solidFill>
                            <a:prstDash val="solid"/>
                            <a:headEnd type="none" w="med" len="med"/>
                            <a:tailEnd type="triangle" w="med" len="med"/>
                          </a:ln>
                        </wps:spPr>
                        <wps:bodyPr/>
                      </wps:wsp>
                      <wps:wsp>
                        <wps:cNvPr id="82" name="矩形 82"/>
                        <wps:cNvSpPr/>
                        <wps:spPr>
                          <a:xfrm>
                            <a:off x="834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窑车</w:t>
                              </w:r>
                            </w:p>
                          </w:txbxContent>
                        </wps:txbx>
                        <wps:bodyPr upright="1"/>
                      </wps:wsp>
                      <wps:wsp>
                        <wps:cNvPr id="83" name="直接箭头连接符 83"/>
                        <wps:cNvCnPr/>
                        <wps:spPr>
                          <a:xfrm>
                            <a:off x="9180" y="8115"/>
                            <a:ext cx="0" cy="825"/>
                          </a:xfrm>
                          <a:prstGeom prst="straightConnector1">
                            <a:avLst/>
                          </a:prstGeom>
                          <a:ln w="9525" cap="flat" cmpd="sng">
                            <a:solidFill>
                              <a:srgbClr val="000000"/>
                            </a:solidFill>
                            <a:prstDash val="solid"/>
                            <a:headEnd type="none" w="med" len="med"/>
                            <a:tailEnd type="triangle" w="med" len="med"/>
                          </a:ln>
                        </wps:spPr>
                        <wps:bodyPr/>
                      </wps:wsp>
                      <wps:wsp>
                        <wps:cNvPr id="84" name="矩形 84"/>
                        <wps:cNvSpPr/>
                        <wps:spPr>
                          <a:xfrm>
                            <a:off x="835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存坯线</w:t>
                              </w:r>
                            </w:p>
                          </w:txbxContent>
                        </wps:txbx>
                        <wps:bodyPr upright="1"/>
                      </wps:wsp>
                      <wps:wsp>
                        <wps:cNvPr id="85" name="矩形 85"/>
                        <wps:cNvSpPr/>
                        <wps:spPr>
                          <a:xfrm>
                            <a:off x="634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干燥窑</w:t>
                              </w:r>
                            </w:p>
                          </w:txbxContent>
                        </wps:txbx>
                        <wps:bodyPr upright="1"/>
                      </wps:wsp>
                      <wps:wsp>
                        <wps:cNvPr id="86" name="矩形 86"/>
                        <wps:cNvSpPr/>
                        <wps:spPr>
                          <a:xfrm>
                            <a:off x="433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焙烧窑</w:t>
                              </w:r>
                            </w:p>
                          </w:txbxContent>
                        </wps:txbx>
                        <wps:bodyPr upright="1"/>
                      </wps:wsp>
                      <wps:wsp>
                        <wps:cNvPr id="87" name="矩形 87"/>
                        <wps:cNvSpPr/>
                        <wps:spPr>
                          <a:xfrm>
                            <a:off x="232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成品装车</w:t>
                              </w:r>
                            </w:p>
                          </w:txbxContent>
                        </wps:txbx>
                        <wps:bodyPr upright="1"/>
                      </wps:wsp>
                      <wps:wsp>
                        <wps:cNvPr id="88" name="直接箭头连接符 88"/>
                        <wps:cNvCnPr/>
                        <wps:spPr>
                          <a:xfrm flipH="1">
                            <a:off x="7950" y="12060"/>
                            <a:ext cx="405" cy="0"/>
                          </a:xfrm>
                          <a:prstGeom prst="straightConnector1">
                            <a:avLst/>
                          </a:prstGeom>
                          <a:ln w="9525" cap="flat" cmpd="sng">
                            <a:solidFill>
                              <a:srgbClr val="000000"/>
                            </a:solidFill>
                            <a:prstDash val="solid"/>
                            <a:headEnd type="none" w="med" len="med"/>
                            <a:tailEnd type="triangle" w="med" len="med"/>
                          </a:ln>
                        </wps:spPr>
                        <wps:bodyPr/>
                      </wps:wsp>
                      <wps:wsp>
                        <wps:cNvPr id="89" name="直接箭头连接符 89"/>
                        <wps:cNvCnPr/>
                        <wps:spPr>
                          <a:xfrm flipH="1">
                            <a:off x="5955" y="12060"/>
                            <a:ext cx="405" cy="0"/>
                          </a:xfrm>
                          <a:prstGeom prst="straightConnector1">
                            <a:avLst/>
                          </a:prstGeom>
                          <a:ln w="9525" cap="flat" cmpd="sng">
                            <a:solidFill>
                              <a:srgbClr val="000000"/>
                            </a:solidFill>
                            <a:prstDash val="solid"/>
                            <a:headEnd type="none" w="med" len="med"/>
                            <a:tailEnd type="triangle" w="med" len="med"/>
                          </a:ln>
                        </wps:spPr>
                        <wps:bodyPr/>
                      </wps:wsp>
                      <wps:wsp>
                        <wps:cNvPr id="90" name="直接箭头连接符 90"/>
                        <wps:cNvCnPr/>
                        <wps:spPr>
                          <a:xfrm flipH="1">
                            <a:off x="3930" y="12060"/>
                            <a:ext cx="405"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18.25pt;margin-top:0.05pt;height:200.85pt;width:417.95pt;z-index:251669504;mso-width-relative:page;mso-height-relative:page;" coordorigin="2310,7530" coordsize="7665,4815" o:gfxdata="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">
                <o:lock v:ext="edit" aspectratio="f"/>
                <v:rect id="_x0000_s1026" o:spid="_x0000_s1026" o:spt="1" style="position:absolute;left:2310;top:7530;height:585;width:1620;" fillcolor="#FFFFFF" filled="t" stroked="t" coordsize="21600,21600" o:gfxdata="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Zpt7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r>
                          <w:rPr>
                            <w:rFonts w:hint="eastAsia"/>
                          </w:rPr>
                          <w:t>煤矸石、页岩</w:t>
                        </w:r>
                      </w:p>
                    </w:txbxContent>
                  </v:textbox>
                </v:rect>
                <v:shape id="_x0000_s1026" o:spid="_x0000_s1026" o:spt="32" type="#_x0000_t32" style="position:absolute;left:3930;top:7860;height:0;width:390;" filled="f" stroked="t" coordsize="21600,21600" o:gfxdata="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xj8c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4320;top:7530;height:585;width:1620;" fillcolor="#FFFFFF" filled="t" stroked="t" coordsize="21600,21600" o:gfxdata="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EVg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板式给料机</w:t>
                        </w:r>
                      </w:p>
                    </w:txbxContent>
                  </v:textbox>
                </v:rect>
                <v:shape id="_x0000_s1026" o:spid="_x0000_s1026" o:spt="32" type="#_x0000_t32" style="position:absolute;left:3060;top:9525;height:825;width:0;" filled="f" stroked="t" coordsize="21600,21600" o:gfxdata="UEsDBAoAAAAAAIdO4kAAAAAAAAAAAAAAAAAEAAAAZHJzL1BLAwQUAAAACACHTuJAt1gE8L8AAADb&#10;AAAADwAAAGRycy9kb3ducmV2LnhtbEWPzWrDMBCE74G8g9hAb4nsF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YBP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5940;top:7845;height:0;width:390;" filled="f" stroked="t" coordsize="21600,21600" o:gfxdata="UEsDBAoAAAAAAIdO4kAAAAAAAAAAAAAAAAAEAAAAZHJzL1BLAwQUAAAACACHTuJAOLGchL8AAADb&#10;AAAADwAAAGRycy9kb3ducmV2LnhtbEWPzWrDMBCE74G8g9hAb4nsU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xn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6330;top:7530;height:585;width:1620;" fillcolor="#FFFFFF" filled="t" stroked="t" coordsize="21600,21600" o:gfxdata="UEsDBAoAAAAAAIdO4kAAAAAAAAAAAAAAAAAEAAAAZHJzL1BLAwQUAAAACACHTuJAze3OdLwAAADb&#10;AAAADwAAAGRycy9kb3ducmV2LnhtbEWPQYvCMBSE78L+h/AW9qaJLop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tzn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鄂破机</w:t>
                        </w:r>
                      </w:p>
                    </w:txbxContent>
                  </v:textbox>
                </v:rect>
                <v:shape id="_x0000_s1026" o:spid="_x0000_s1026" o:spt="32" type="#_x0000_t32" style="position:absolute;left:7950;top:7845;height:0;width:390;" filled="f" stroked="t" coordsize="21600,21600" o:gfxdata="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na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340;top:7530;height:585;width:1620;" fillcolor="#FFFFFF" filled="t" stroked="t" coordsize="21600,21600" o:gfxdata="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P1m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细破机</w:t>
                        </w:r>
                      </w:p>
                    </w:txbxContent>
                  </v:textbox>
                </v:rect>
                <v:rect id="_x0000_s1026" o:spid="_x0000_s1026" o:spt="1" style="position:absolute;left:8340;top:8940;height:585;width:1620;" fillcolor="#FFFFFF" filled="t" stroked="t" coordsize="21600,21600" o:gfxdata="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h6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jc w:val="center"/>
                        </w:pPr>
                        <w:r>
                          <w:rPr>
                            <w:rFonts w:hint="eastAsia"/>
                          </w:rPr>
                          <w:t>双轴搅拌机</w:t>
                        </w:r>
                      </w:p>
                    </w:txbxContent>
                  </v:textbox>
                </v:rect>
                <v:rect id="_x0000_s1026" o:spid="_x0000_s1026" o:spt="1" style="position:absolute;left:6330;top:8940;height:585;width:1620;" fillcolor="#FFFFFF" filled="t" stroked="t" coordsize="21600,21600" o:gfxdata="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DEc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液压多斗挖掘</w:t>
                        </w:r>
                      </w:p>
                    </w:txbxContent>
                  </v:textbox>
                </v:rect>
                <v:rect id="_x0000_s1026" o:spid="_x0000_s1026" o:spt="1" style="position:absolute;left:4320;top:8940;height:585;width:1620;" fillcolor="#FFFFFF" filled="t" stroked="t" coordsize="21600,21600" o:gfxdata="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Q/s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箱式给料机</w:t>
                        </w:r>
                      </w:p>
                    </w:txbxContent>
                  </v:textbox>
                </v:rect>
                <v:rect id="_x0000_s1026" o:spid="_x0000_s1026" o:spt="1" style="position:absolute;left:2310;top:8940;height:585;width:1620;" fillcolor="#FFFFFF" filled="t" stroked="t" coordsize="21600,21600" o:gfxdata="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D16q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挤泥机</w:t>
                        </w:r>
                      </w:p>
                    </w:txbxContent>
                  </v:textbox>
                </v:rect>
                <v:shape id="_x0000_s1026" o:spid="_x0000_s1026" o:spt="32" type="#_x0000_t32" style="position:absolute;left:7935;top:9240;flip:x;height:0;width:405;" filled="f" stroked="t" coordsize="21600,21600" o:gfxdata="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vGI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5940;top:9240;flip:x;height:0;width:405;" filled="f" stroked="t" coordsize="21600,21600" o:gfxdata="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DHg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3915;top:9240;flip:x;height:0;width:405;" filled="f" stroked="t" coordsize="21600,21600" o:gfxdata="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lf9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2310;top:10350;height:585;width:1620;" fillcolor="#FFFFFF" filled="t" stroked="t" coordsize="21600,21600" o:gfxdata="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NFi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切条、切坏机</w:t>
                        </w:r>
                      </w:p>
                    </w:txbxContent>
                  </v:textbox>
                </v:rect>
                <v:shape id="_x0000_s1026" o:spid="_x0000_s1026" o:spt="32" type="#_x0000_t32" style="position:absolute;left:3930;top:10680;height:0;width:390;" filled="f" stroked="t" coordsize="21600,21600" o:gfxdata="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2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4320;top:10350;height:585;width:1620;" fillcolor="#FFFFFF" filled="t" stroked="t" coordsize="21600,21600" o:gfxdata="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qmN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自动编码</w:t>
                        </w:r>
                      </w:p>
                    </w:txbxContent>
                  </v:textbox>
                </v:rect>
                <v:shape id="_x0000_s1026" o:spid="_x0000_s1026" o:spt="32" type="#_x0000_t32" style="position:absolute;left:9180;top:10935;height:825;width:0;" filled="f" stroked="t" coordsize="21600,21600" o:gfxdata="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lAF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5940;top:10665;height:0;width:390;" filled="f" stroked="t" coordsize="21600,21600" o:gfxdata="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aaXH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6330;top:10350;height:585;width:1620;" fillcolor="#FFFFFF" filled="t" stroked="t" coordsize="21600,21600" o:gfxdata="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ZaLF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jc w:val="center"/>
                        </w:pPr>
                        <w:r>
                          <w:rPr>
                            <w:rFonts w:hint="eastAsia"/>
                          </w:rPr>
                          <w:t>自动码坯机</w:t>
                        </w:r>
                      </w:p>
                    </w:txbxContent>
                  </v:textbox>
                </v:rect>
                <v:shape id="_x0000_s1026" o:spid="_x0000_s1026" o:spt="32" type="#_x0000_t32" style="position:absolute;left:7950;top:10665;height:0;width:390;" filled="f" stroked="t" coordsize="21600,21600" o:gfxdata="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rZ5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340;top:10350;height:585;width:1620;" fillcolor="#FFFFFF" filled="t" stroked="t" coordsize="21600,21600" o:gfxdata="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IsP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窑车</w:t>
                        </w:r>
                      </w:p>
                    </w:txbxContent>
                  </v:textbox>
                </v:rect>
                <v:shape id="_x0000_s1026" o:spid="_x0000_s1026" o:spt="32" type="#_x0000_t32" style="position:absolute;left:9180;top:8115;height:825;width:0;" filled="f" stroked="t" coordsize="21600,21600" o:gfxdata="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TiC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355;top:11760;height:585;width:1620;"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存坯线</w:t>
                        </w:r>
                      </w:p>
                    </w:txbxContent>
                  </v:textbox>
                </v:rect>
                <v:rect id="_x0000_s1026" o:spid="_x0000_s1026" o:spt="1" style="position:absolute;left:6345;top:11760;height:585;width:1620;" fillcolor="#FFFFFF" filled="t" stroked="t" coordsize="21600,21600" o:gfxdata="UEsDBAoAAAAAAIdO4kAAAAAAAAAAAAAAAAAEAAAAZHJzL1BLAwQUAAAACACHTuJAfeEojr4AAADb&#10;AAAADwAAAGRycy9kb3ducmV2LnhtbEWPzW7CMBCE70h9B2sr9QY2VK1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Eoj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干燥窑</w:t>
                        </w:r>
                      </w:p>
                    </w:txbxContent>
                  </v:textbox>
                </v:rect>
                <v:rect id="_x0000_s1026" o:spid="_x0000_s1026" o:spt="1" style="position:absolute;left:4335;top:11760;height:585;width:1620;" fillcolor="#FFFFFF" filled="t" stroked="t" coordsize="21600,21600" o:gfxdata="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M7b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焙烧窑</w:t>
                        </w:r>
                      </w:p>
                    </w:txbxContent>
                  </v:textbox>
                </v:rect>
                <v:rect id="_x0000_s1026" o:spid="_x0000_s1026" o:spt="1" style="position:absolute;left:2325;top:11760;height:585;width:1620;" fillcolor="#FFFFFF" filled="t" stroked="t" coordsize="21600,21600" o:gfxdata="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8TY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成品装车</w:t>
                        </w:r>
                      </w:p>
                    </w:txbxContent>
                  </v:textbox>
                </v:rect>
                <v:shape id="_x0000_s1026" o:spid="_x0000_s1026" o:spt="32" type="#_x0000_t32" style="position:absolute;left:7950;top:12060;flip:x;height:0;width:405;" filled="f" stroked="t" coordsize="21600,21600" o:gfxdata="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El1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5955;top:12060;flip:x;height:0;width:405;" filled="f" stroked="t" coordsize="21600,21600" o:gfxdata="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NgE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3930;top:12060;flip:x;height:0;width:405;" filled="f" stroked="t" coordsize="21600,21600" o:gfxdata="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Lr8O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group>
            </w:pict>
          </mc:Fallback>
        </mc:AlternateContent>
      </w:r>
    </w:p>
    <w:p>
      <w:pPr>
        <w:spacing w:line="360" w:lineRule="auto"/>
        <w:ind w:firstLine="560" w:firstLineChars="200"/>
        <w:rPr>
          <w:rFonts w:hint="eastAsia" w:ascii="宋体"/>
          <w:snapToGrid w:val="0"/>
          <w:color w:val="auto"/>
          <w:kern w:val="0"/>
          <w:sz w:val="28"/>
          <w:szCs w:val="28"/>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r>
        <w:rPr>
          <w:rFonts w:hint="eastAsia" w:ascii="黑体" w:hAnsi="黑体" w:eastAsia="黑体"/>
          <w:b/>
          <w:snapToGrid w:val="0"/>
          <w:color w:val="auto"/>
          <w:kern w:val="0"/>
          <w:sz w:val="24"/>
          <w:lang w:eastAsia="zh-CN"/>
        </w:rPr>
        <w:t>图</w:t>
      </w:r>
      <w:r>
        <w:rPr>
          <w:rFonts w:hint="eastAsia" w:ascii="黑体" w:hAnsi="黑体" w:eastAsia="黑体"/>
          <w:b/>
          <w:snapToGrid w:val="0"/>
          <w:color w:val="auto"/>
          <w:kern w:val="0"/>
          <w:sz w:val="24"/>
          <w:lang w:val="en-US" w:eastAsia="zh-CN"/>
        </w:rPr>
        <w:t>2</w:t>
      </w:r>
      <w:r>
        <w:rPr>
          <w:rFonts w:hint="eastAsia" w:ascii="黑体" w:hAnsi="黑体" w:eastAsia="黑体"/>
          <w:b/>
          <w:snapToGrid w:val="0"/>
          <w:color w:val="auto"/>
          <w:kern w:val="0"/>
          <w:sz w:val="24"/>
          <w:lang w:eastAsia="zh-CN"/>
        </w:rPr>
        <w:t>-</w:t>
      </w:r>
      <w:r>
        <w:rPr>
          <w:rFonts w:hint="eastAsia" w:ascii="黑体" w:hAnsi="黑体" w:eastAsia="黑体"/>
          <w:b/>
          <w:snapToGrid w:val="0"/>
          <w:color w:val="auto"/>
          <w:kern w:val="0"/>
          <w:sz w:val="24"/>
          <w:lang w:val="en-US" w:eastAsia="zh-CN"/>
        </w:rPr>
        <w:t>4</w:t>
      </w:r>
      <w:r>
        <w:rPr>
          <w:rFonts w:hint="eastAsia" w:ascii="黑体" w:hAnsi="黑体" w:eastAsia="黑体"/>
          <w:b/>
          <w:snapToGrid w:val="0"/>
          <w:color w:val="auto"/>
          <w:kern w:val="0"/>
          <w:sz w:val="24"/>
          <w:lang w:eastAsia="zh-CN"/>
        </w:rPr>
        <w:t xml:space="preserve"> 页岩砖生产工艺流程示意图</w:t>
      </w:r>
    </w:p>
    <w:p>
      <w:pPr>
        <w:spacing w:line="360" w:lineRule="auto"/>
        <w:ind w:firstLine="562" w:firstLineChars="200"/>
        <w:rPr>
          <w:rFonts w:hint="eastAsia" w:ascii="宋体"/>
          <w:b/>
          <w:bCs/>
          <w:snapToGrid w:val="0"/>
          <w:color w:val="auto"/>
          <w:kern w:val="0"/>
          <w:sz w:val="28"/>
          <w:szCs w:val="28"/>
          <w:lang w:val="en-US" w:eastAsia="zh-CN"/>
        </w:rPr>
      </w:pPr>
      <w:r>
        <w:rPr>
          <w:rFonts w:hint="eastAsia" w:ascii="宋体"/>
          <w:b/>
          <w:bCs/>
          <w:snapToGrid w:val="0"/>
          <w:color w:val="auto"/>
          <w:kern w:val="0"/>
          <w:sz w:val="28"/>
          <w:szCs w:val="28"/>
          <w:lang w:val="en-US" w:eastAsia="zh-CN"/>
        </w:rPr>
        <w:t>2、原料制备</w:t>
      </w:r>
      <w:bookmarkEnd w:id="60"/>
      <w:bookmarkEnd w:id="61"/>
      <w:bookmarkEnd w:id="62"/>
      <w:bookmarkEnd w:id="63"/>
    </w:p>
    <w:p>
      <w:pPr>
        <w:spacing w:line="360" w:lineRule="auto"/>
        <w:ind w:firstLine="560" w:firstLineChars="200"/>
        <w:rPr>
          <w:rFonts w:hint="eastAsia" w:ascii="宋体"/>
          <w:snapToGrid w:val="0"/>
          <w:color w:val="auto"/>
          <w:kern w:val="0"/>
          <w:sz w:val="28"/>
          <w:szCs w:val="28"/>
        </w:rPr>
      </w:pPr>
      <w:bookmarkStart w:id="64" w:name="_Toc356401467"/>
      <w:bookmarkStart w:id="65" w:name="_Toc480804371"/>
      <w:bookmarkStart w:id="66" w:name="_Toc515872920"/>
      <w:bookmarkStart w:id="67" w:name="_Toc356380958"/>
      <w:r>
        <w:rPr>
          <w:rFonts w:hint="eastAsia" w:ascii="宋体"/>
          <w:snapToGrid w:val="0"/>
          <w:color w:val="auto"/>
          <w:kern w:val="0"/>
          <w:sz w:val="28"/>
          <w:szCs w:val="28"/>
        </w:rPr>
        <w:t>制砖主要原料煤外购运到厂内，自卸到板式给料机中。经板式给料机定量装到胶带输送机上，运到颚式破碎机处进行粗破，通过刮板给料机、圆盘给料机均匀喂料，至锤式破碎机进行粉碎，粉碎后物料颗粒组成情况为：</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2539"/>
        <w:gridCol w:w="3074"/>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1～3mm</w:t>
            </w:r>
          </w:p>
        </w:tc>
        <w:tc>
          <w:tcPr>
            <w:tcW w:w="253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0.5～1mm</w:t>
            </w:r>
          </w:p>
        </w:tc>
        <w:tc>
          <w:tcPr>
            <w:tcW w:w="3074"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0.2～0.5mm</w:t>
            </w:r>
          </w:p>
        </w:tc>
        <w:tc>
          <w:tcPr>
            <w:tcW w:w="2006"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&lt;0.2mm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&lt;3%</w:t>
            </w:r>
          </w:p>
        </w:tc>
        <w:tc>
          <w:tcPr>
            <w:tcW w:w="253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30%</w:t>
            </w:r>
          </w:p>
        </w:tc>
        <w:tc>
          <w:tcPr>
            <w:tcW w:w="3074"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33%</w:t>
            </w:r>
          </w:p>
        </w:tc>
        <w:tc>
          <w:tcPr>
            <w:tcW w:w="2006"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&gt;34%</w:t>
            </w:r>
          </w:p>
        </w:tc>
      </w:tr>
    </w:tbl>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煤按配合比(</w:t>
      </w:r>
      <w:r>
        <w:rPr>
          <w:rFonts w:hint="eastAsia" w:ascii="宋体" w:hAnsi="宋体"/>
          <w:color w:val="auto"/>
          <w:sz w:val="28"/>
          <w:szCs w:val="28"/>
        </w:rPr>
        <w:t>页岩、煤矸石=7:3)</w:t>
      </w:r>
      <w:r>
        <w:rPr>
          <w:rFonts w:hint="eastAsia" w:ascii="宋体"/>
          <w:snapToGrid w:val="0"/>
          <w:color w:val="auto"/>
          <w:kern w:val="0"/>
          <w:sz w:val="28"/>
          <w:szCs w:val="28"/>
        </w:rPr>
        <w:t>要求经箱式给料机定量给料到胶带输送机上，</w:t>
      </w:r>
      <w:r>
        <w:rPr>
          <w:rFonts w:hint="eastAsia" w:ascii="宋体" w:hAnsi="宋体"/>
          <w:color w:val="auto"/>
          <w:sz w:val="28"/>
          <w:szCs w:val="28"/>
        </w:rPr>
        <w:t>页岩</w:t>
      </w:r>
      <w:r>
        <w:rPr>
          <w:rFonts w:hint="eastAsia" w:ascii="宋体"/>
          <w:snapToGrid w:val="0"/>
          <w:color w:val="auto"/>
          <w:kern w:val="0"/>
          <w:sz w:val="28"/>
          <w:szCs w:val="28"/>
        </w:rPr>
        <w:t>共同进行粗碎、细碎处理。粉碎后的</w:t>
      </w:r>
      <w:r>
        <w:rPr>
          <w:rFonts w:hint="eastAsia" w:ascii="宋体" w:hAnsi="宋体"/>
          <w:color w:val="auto"/>
          <w:sz w:val="28"/>
          <w:szCs w:val="28"/>
        </w:rPr>
        <w:t>页岩</w:t>
      </w:r>
      <w:r>
        <w:rPr>
          <w:rFonts w:hint="eastAsia" w:ascii="宋体"/>
          <w:snapToGrid w:val="0"/>
          <w:color w:val="auto"/>
          <w:kern w:val="0"/>
          <w:sz w:val="28"/>
          <w:szCs w:val="28"/>
        </w:rPr>
        <w:t>、煤粉经强力搅拌机加水搅拌混合。</w:t>
      </w:r>
    </w:p>
    <w:p>
      <w:pPr>
        <w:spacing w:line="360" w:lineRule="auto"/>
        <w:ind w:firstLine="562" w:firstLineChars="200"/>
        <w:rPr>
          <w:rFonts w:hint="eastAsia" w:ascii="宋体"/>
          <w:b/>
          <w:bCs/>
          <w:snapToGrid w:val="0"/>
          <w:color w:val="auto"/>
          <w:kern w:val="0"/>
          <w:sz w:val="28"/>
          <w:szCs w:val="28"/>
          <w:lang w:val="en-US" w:eastAsia="zh-CN"/>
        </w:rPr>
      </w:pPr>
      <w:r>
        <w:rPr>
          <w:rFonts w:hint="eastAsia" w:ascii="宋体"/>
          <w:b/>
          <w:bCs/>
          <w:snapToGrid w:val="0"/>
          <w:color w:val="auto"/>
          <w:kern w:val="0"/>
          <w:sz w:val="28"/>
          <w:szCs w:val="28"/>
          <w:lang w:val="en-US" w:eastAsia="zh-CN"/>
        </w:rPr>
        <w:t>3、原料陈化处理</w:t>
      </w:r>
      <w:bookmarkEnd w:id="64"/>
      <w:bookmarkEnd w:id="65"/>
      <w:bookmarkEnd w:id="66"/>
      <w:bookmarkEnd w:id="67"/>
    </w:p>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经强力搅拌机处理后的混合料再通过胶带输送机运到陈化库顶部的可逆移动配仓布料机上，将混合料按一定规律均匀的堆存到陈化库中，混合料陈化时间不得小于3小时。陈化的作用是使原料中水分均匀化程度提高，使原料颗粒表面和内部性能更加的均匀，更趋一致，使颗粒变得容易疏解，使混合料的成型性能得到提高。</w:t>
      </w:r>
    </w:p>
    <w:p>
      <w:pPr>
        <w:spacing w:line="360" w:lineRule="auto"/>
        <w:ind w:firstLine="562" w:firstLineChars="200"/>
        <w:rPr>
          <w:rFonts w:hint="eastAsia" w:ascii="宋体"/>
          <w:b/>
          <w:bCs/>
          <w:snapToGrid w:val="0"/>
          <w:color w:val="auto"/>
          <w:kern w:val="0"/>
          <w:sz w:val="28"/>
          <w:szCs w:val="28"/>
          <w:lang w:val="en-US" w:eastAsia="zh-CN"/>
        </w:rPr>
      </w:pPr>
      <w:bookmarkStart w:id="68" w:name="_Toc356380959"/>
      <w:bookmarkStart w:id="69" w:name="_Toc515872921"/>
      <w:bookmarkStart w:id="70" w:name="_Toc480804372"/>
      <w:bookmarkStart w:id="71" w:name="_Toc356401468"/>
      <w:r>
        <w:rPr>
          <w:rFonts w:hint="eastAsia" w:ascii="宋体"/>
          <w:b/>
          <w:bCs/>
          <w:snapToGrid w:val="0"/>
          <w:color w:val="auto"/>
          <w:kern w:val="0"/>
          <w:sz w:val="28"/>
          <w:szCs w:val="28"/>
          <w:lang w:val="en-US" w:eastAsia="zh-CN"/>
        </w:rPr>
        <w:t>4、挤出成型</w:t>
      </w:r>
      <w:bookmarkEnd w:id="68"/>
      <w:bookmarkEnd w:id="69"/>
      <w:bookmarkEnd w:id="70"/>
      <w:bookmarkEnd w:id="71"/>
    </w:p>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经过陈化的混合料有装运到胶带输送机上运到成型车间的箱式给料机处定量向强力搅拌机给料。原料通过这次加水搅拌，使其成型水分达到16～17%。搅拌后的物料再经过湿式轮碾机进一步碾练均化处理，使混合料性能满足成型需要。挤出成型采用高挤出压力、高真空度的双极真空挤出机，许用挤出压力达到3.8mpa，真空度达到≤-0.092mpa。挤出的泥条经自动切条机、切坯机割成需要规格的砖坯，再经码坯将砖坯放到窑车上。</w:t>
      </w:r>
    </w:p>
    <w:p>
      <w:pPr>
        <w:spacing w:line="360" w:lineRule="auto"/>
        <w:ind w:firstLine="562" w:firstLineChars="200"/>
        <w:rPr>
          <w:rFonts w:hint="eastAsia" w:ascii="宋体"/>
          <w:b/>
          <w:bCs/>
          <w:snapToGrid w:val="0"/>
          <w:color w:val="auto"/>
          <w:kern w:val="0"/>
          <w:sz w:val="28"/>
          <w:szCs w:val="28"/>
          <w:lang w:val="en-US" w:eastAsia="zh-CN"/>
        </w:rPr>
      </w:pPr>
      <w:bookmarkStart w:id="72" w:name="_Toc515872922"/>
      <w:bookmarkStart w:id="73" w:name="_Toc356401469"/>
      <w:bookmarkStart w:id="74" w:name="_Toc480804373"/>
      <w:bookmarkStart w:id="75" w:name="_Toc356380960"/>
      <w:r>
        <w:rPr>
          <w:rFonts w:hint="eastAsia" w:ascii="宋体"/>
          <w:b/>
          <w:bCs/>
          <w:snapToGrid w:val="0"/>
          <w:color w:val="auto"/>
          <w:kern w:val="0"/>
          <w:sz w:val="28"/>
          <w:szCs w:val="28"/>
          <w:lang w:val="en-US" w:eastAsia="zh-CN"/>
        </w:rPr>
        <w:t>5、干燥、焙烧</w:t>
      </w:r>
      <w:bookmarkEnd w:id="72"/>
      <w:bookmarkEnd w:id="73"/>
      <w:bookmarkEnd w:id="74"/>
      <w:bookmarkEnd w:id="75"/>
    </w:p>
    <w:p>
      <w:pPr>
        <w:spacing w:line="360" w:lineRule="auto"/>
        <w:ind w:firstLine="560" w:firstLineChars="200"/>
        <w:rPr>
          <w:rFonts w:hint="eastAsia" w:ascii="宋体"/>
          <w:snapToGrid w:val="0"/>
          <w:color w:val="FF0000"/>
          <w:kern w:val="0"/>
          <w:sz w:val="28"/>
          <w:szCs w:val="28"/>
        </w:rPr>
      </w:pPr>
      <w:r>
        <w:rPr>
          <w:rFonts w:hint="eastAsia" w:ascii="宋体"/>
          <w:snapToGrid w:val="0"/>
          <w:color w:val="FF0000"/>
          <w:kern w:val="0"/>
          <w:sz w:val="28"/>
          <w:szCs w:val="28"/>
        </w:rPr>
        <w:t>码有砖坯的窑车通过窑车运转系统完成窑车在贮存段、干燥室、焙烧窑的运行。</w:t>
      </w:r>
    </w:p>
    <w:p>
      <w:pPr>
        <w:spacing w:line="360" w:lineRule="auto"/>
        <w:ind w:firstLine="560" w:firstLineChars="200"/>
        <w:rPr>
          <w:rFonts w:hint="eastAsia" w:ascii="宋体"/>
          <w:snapToGrid w:val="0"/>
          <w:color w:val="FF0000"/>
          <w:kern w:val="0"/>
          <w:sz w:val="28"/>
          <w:szCs w:val="28"/>
        </w:rPr>
      </w:pPr>
      <w:r>
        <w:rPr>
          <w:rFonts w:hint="eastAsia" w:ascii="宋体"/>
          <w:snapToGrid w:val="0"/>
          <w:color w:val="FF0000"/>
          <w:kern w:val="0"/>
          <w:sz w:val="28"/>
          <w:szCs w:val="28"/>
        </w:rPr>
        <w:t>由于成型工段在市场淡季有可能是二班生产，干燥室、焙烧窑是三班生产，因此必须设置码有砖坯的窑车贮存段，用于贮存夜班进窑的窑车，需贮存16～18辆窑车。</w:t>
      </w:r>
    </w:p>
    <w:p>
      <w:pPr>
        <w:spacing w:line="360" w:lineRule="auto"/>
        <w:ind w:firstLine="560" w:firstLineChars="200"/>
        <w:rPr>
          <w:rFonts w:hint="eastAsia" w:ascii="宋体"/>
          <w:snapToGrid w:val="0"/>
          <w:color w:val="FF0000"/>
          <w:kern w:val="0"/>
          <w:sz w:val="28"/>
          <w:szCs w:val="28"/>
        </w:rPr>
      </w:pPr>
      <w:r>
        <w:rPr>
          <w:rFonts w:hint="eastAsia" w:ascii="宋体"/>
          <w:snapToGrid w:val="0"/>
          <w:color w:val="FF0000"/>
          <w:kern w:val="0"/>
          <w:sz w:val="28"/>
          <w:szCs w:val="28"/>
        </w:rPr>
        <w:t>装有砖坯的窑车经过贮存后运送到进车端摆渡车上，通过液压顶车机将窑车送入干燥室内，本项目采用一次码烧工艺，干燥室断面尺寸和焙烧窑相同，净宽为3.76米，有效高度3.3米，长90米。干燥热源来自焙烧窑</w:t>
      </w:r>
    </w:p>
    <w:p>
      <w:pPr>
        <w:spacing w:line="360" w:lineRule="auto"/>
        <w:ind w:firstLine="560" w:firstLineChars="200"/>
        <w:rPr>
          <w:rFonts w:hint="eastAsia" w:ascii="宋体"/>
          <w:snapToGrid w:val="0"/>
          <w:color w:val="FF0000"/>
          <w:kern w:val="0"/>
          <w:sz w:val="28"/>
          <w:szCs w:val="28"/>
        </w:rPr>
      </w:pPr>
      <w:r>
        <w:rPr>
          <w:rFonts w:hint="eastAsia" w:ascii="宋体"/>
          <w:snapToGrid w:val="0"/>
          <w:color w:val="FF0000"/>
          <w:kern w:val="0"/>
          <w:sz w:val="28"/>
          <w:szCs w:val="28"/>
        </w:rPr>
        <w:t>余热。干燥好的砖坯通过干燥室出口拉引机、焙烧窑液压顶车机将窑车送入焙烧窑。</w:t>
      </w:r>
    </w:p>
    <w:p>
      <w:pPr>
        <w:pStyle w:val="5"/>
        <w:spacing w:before="0" w:after="0" w:line="360" w:lineRule="auto"/>
        <w:rPr>
          <w:rFonts w:hint="eastAsia" w:ascii="宋体" w:hAnsi="宋体" w:eastAsia="宋体" w:cs="宋体"/>
          <w:color w:val="auto"/>
          <w:sz w:val="28"/>
          <w:szCs w:val="28"/>
          <w:lang w:val="zh-CN"/>
        </w:rPr>
      </w:pPr>
      <w:bookmarkStart w:id="76" w:name="_Toc21887"/>
      <w:bookmarkStart w:id="77" w:name="_Toc31638"/>
      <w:r>
        <w:rPr>
          <w:rFonts w:hint="eastAsia" w:ascii="宋体" w:hAnsi="宋体" w:eastAsia="宋体" w:cs="宋体"/>
          <w:color w:val="auto"/>
          <w:sz w:val="28"/>
          <w:szCs w:val="28"/>
          <w:lang w:val="zh-CN"/>
        </w:rPr>
        <w:t>2.1.</w:t>
      </w:r>
      <w:r>
        <w:rPr>
          <w:rFonts w:hint="eastAsia" w:ascii="宋体" w:hAnsi="宋体" w:eastAsia="宋体" w:cs="宋体"/>
          <w:color w:val="auto"/>
          <w:sz w:val="28"/>
          <w:szCs w:val="28"/>
          <w:lang w:val="en-US" w:eastAsia="zh-CN"/>
        </w:rPr>
        <w:t>5</w:t>
      </w:r>
      <w:r>
        <w:rPr>
          <w:rFonts w:hint="eastAsia" w:ascii="宋体" w:hAnsi="宋体" w:eastAsia="宋体" w:cs="宋体"/>
          <w:b/>
          <w:bCs/>
          <w:i w:val="0"/>
          <w:iCs w:val="0"/>
          <w:color w:val="auto"/>
          <w:sz w:val="28"/>
          <w:szCs w:val="28"/>
        </w:rPr>
        <w:t>主要生产设备情况</w:t>
      </w:r>
      <w:bookmarkEnd w:id="76"/>
      <w:bookmarkEnd w:id="77"/>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lang w:eastAsia="zh-CN"/>
        </w:rPr>
        <w:t>仪陇县柳垭镇合发页岩机砖厂</w:t>
      </w:r>
      <w:r>
        <w:rPr>
          <w:rFonts w:hint="eastAsia" w:ascii="宋体" w:hAnsi="宋体" w:cs="宋体"/>
          <w:i w:val="0"/>
          <w:iCs w:val="0"/>
          <w:color w:val="auto"/>
          <w:sz w:val="28"/>
          <w:szCs w:val="28"/>
        </w:rPr>
        <w:t>主要设备清单见表</w:t>
      </w:r>
      <w:r>
        <w:rPr>
          <w:rFonts w:hint="eastAsia" w:ascii="宋体" w:hAnsi="宋体" w:eastAsia="宋体" w:cs="宋体"/>
          <w:i w:val="0"/>
          <w:iCs w:val="0"/>
          <w:color w:val="auto"/>
          <w:sz w:val="28"/>
          <w:szCs w:val="28"/>
          <w:lang w:val="en-US" w:eastAsia="zh-CN"/>
        </w:rPr>
        <w:t>2</w:t>
      </w:r>
      <w:r>
        <w:rPr>
          <w:rFonts w:hint="eastAsia" w:ascii="宋体" w:hAnsi="宋体" w:cs="宋体"/>
          <w:i w:val="0"/>
          <w:iCs w:val="0"/>
          <w:color w:val="auto"/>
          <w:sz w:val="28"/>
          <w:szCs w:val="28"/>
        </w:rPr>
        <w:t>-</w:t>
      </w:r>
      <w:r>
        <w:rPr>
          <w:rFonts w:hint="eastAsia" w:ascii="宋体" w:hAnsi="宋体" w:cs="宋体"/>
          <w:i w:val="0"/>
          <w:iCs w:val="0"/>
          <w:color w:val="auto"/>
          <w:sz w:val="28"/>
          <w:szCs w:val="28"/>
          <w:lang w:val="en-US" w:eastAsia="zh-CN"/>
        </w:rPr>
        <w:t>2</w:t>
      </w:r>
      <w:r>
        <w:rPr>
          <w:rFonts w:hint="eastAsia" w:ascii="宋体" w:hAnsi="宋体" w:cs="宋体"/>
          <w:i w:val="0"/>
          <w:iCs w:val="0"/>
          <w:color w:val="auto"/>
          <w:sz w:val="28"/>
          <w:szCs w:val="28"/>
        </w:rPr>
        <w:t>所示。</w:t>
      </w:r>
    </w:p>
    <w:tbl>
      <w:tblPr>
        <w:tblStyle w:val="19"/>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029"/>
        <w:gridCol w:w="2457"/>
        <w:gridCol w:w="714"/>
        <w:gridCol w:w="748"/>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blHeader/>
          <w:jc w:val="center"/>
        </w:trPr>
        <w:tc>
          <w:tcPr>
            <w:tcW w:w="713" w:type="dxa"/>
            <w:noWrap w:val="0"/>
            <w:vAlign w:val="center"/>
          </w:tcPr>
          <w:p>
            <w:pPr>
              <w:jc w:val="center"/>
              <w:rPr>
                <w:b/>
                <w:szCs w:val="21"/>
              </w:rPr>
            </w:pPr>
            <w:r>
              <w:rPr>
                <w:b/>
                <w:szCs w:val="21"/>
              </w:rPr>
              <w:t>序号</w:t>
            </w:r>
          </w:p>
        </w:tc>
        <w:tc>
          <w:tcPr>
            <w:tcW w:w="2029" w:type="dxa"/>
            <w:noWrap w:val="0"/>
            <w:vAlign w:val="center"/>
          </w:tcPr>
          <w:p>
            <w:pPr>
              <w:jc w:val="center"/>
              <w:rPr>
                <w:b/>
                <w:szCs w:val="21"/>
              </w:rPr>
            </w:pPr>
            <w:r>
              <w:rPr>
                <w:b/>
                <w:szCs w:val="21"/>
              </w:rPr>
              <w:t>设备名称</w:t>
            </w:r>
          </w:p>
        </w:tc>
        <w:tc>
          <w:tcPr>
            <w:tcW w:w="2457" w:type="dxa"/>
            <w:noWrap w:val="0"/>
            <w:vAlign w:val="center"/>
          </w:tcPr>
          <w:p>
            <w:pPr>
              <w:jc w:val="center"/>
              <w:rPr>
                <w:b/>
                <w:szCs w:val="21"/>
              </w:rPr>
            </w:pPr>
            <w:r>
              <w:rPr>
                <w:b/>
                <w:szCs w:val="21"/>
              </w:rPr>
              <w:t>类型及规格</w:t>
            </w:r>
          </w:p>
        </w:tc>
        <w:tc>
          <w:tcPr>
            <w:tcW w:w="714" w:type="dxa"/>
            <w:noWrap w:val="0"/>
            <w:vAlign w:val="center"/>
          </w:tcPr>
          <w:p>
            <w:pPr>
              <w:jc w:val="center"/>
              <w:rPr>
                <w:b/>
                <w:szCs w:val="21"/>
              </w:rPr>
            </w:pPr>
            <w:r>
              <w:rPr>
                <w:b/>
                <w:szCs w:val="21"/>
              </w:rPr>
              <w:t>单位</w:t>
            </w:r>
          </w:p>
        </w:tc>
        <w:tc>
          <w:tcPr>
            <w:tcW w:w="748" w:type="dxa"/>
            <w:noWrap w:val="0"/>
            <w:vAlign w:val="center"/>
          </w:tcPr>
          <w:p>
            <w:pPr>
              <w:jc w:val="center"/>
              <w:rPr>
                <w:b/>
                <w:szCs w:val="21"/>
              </w:rPr>
            </w:pPr>
            <w:r>
              <w:rPr>
                <w:b/>
                <w:szCs w:val="21"/>
              </w:rPr>
              <w:t>数量</w:t>
            </w:r>
          </w:p>
        </w:tc>
        <w:tc>
          <w:tcPr>
            <w:tcW w:w="2967" w:type="dxa"/>
            <w:noWrap w:val="0"/>
            <w:vAlign w:val="center"/>
          </w:tcPr>
          <w:p>
            <w:pPr>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鄂破机</w:t>
            </w:r>
          </w:p>
        </w:tc>
        <w:tc>
          <w:tcPr>
            <w:tcW w:w="2457" w:type="dxa"/>
            <w:noWrap w:val="0"/>
            <w:vAlign w:val="center"/>
          </w:tcPr>
          <w:p>
            <w:pPr>
              <w:jc w:val="center"/>
              <w:rPr>
                <w:rFonts w:hint="eastAsia"/>
                <w:szCs w:val="21"/>
              </w:rPr>
            </w:pPr>
            <w:r>
              <w:rPr>
                <w:szCs w:val="21"/>
              </w:rPr>
              <w:t>750X500</w:t>
            </w: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rFonts w:hint="eastAsia"/>
                <w:szCs w:val="21"/>
              </w:rPr>
            </w:pPr>
            <w:r>
              <w:rPr>
                <w:rFonts w:hint="eastAsia"/>
                <w:szCs w:val="21"/>
              </w:rPr>
              <w:t>1</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粉碎机</w:t>
            </w:r>
          </w:p>
        </w:tc>
        <w:tc>
          <w:tcPr>
            <w:tcW w:w="2457" w:type="dxa"/>
            <w:noWrap w:val="0"/>
            <w:vAlign w:val="center"/>
          </w:tcPr>
          <w:p>
            <w:pPr>
              <w:jc w:val="center"/>
              <w:rPr>
                <w:rFonts w:hint="eastAsia"/>
                <w:szCs w:val="21"/>
              </w:rPr>
            </w:pPr>
            <w:r>
              <w:rPr>
                <w:szCs w:val="21"/>
              </w:rPr>
              <w:t>120X120</w:t>
            </w: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rFonts w:hint="eastAsia"/>
                <w:szCs w:val="21"/>
              </w:rPr>
            </w:pPr>
            <w:r>
              <w:rPr>
                <w:rFonts w:hint="eastAsia"/>
                <w:szCs w:val="21"/>
              </w:rPr>
              <w:t>1</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搅拌机</w:t>
            </w:r>
          </w:p>
        </w:tc>
        <w:tc>
          <w:tcPr>
            <w:tcW w:w="2457" w:type="dxa"/>
            <w:noWrap w:val="0"/>
            <w:vAlign w:val="center"/>
          </w:tcPr>
          <w:p>
            <w:pPr>
              <w:jc w:val="center"/>
              <w:rPr>
                <w:rFonts w:hint="eastAsia"/>
                <w:szCs w:val="21"/>
              </w:rPr>
            </w:pPr>
            <w:r>
              <w:rPr>
                <w:rFonts w:hint="eastAsia"/>
                <w:szCs w:val="21"/>
              </w:rPr>
              <w:t>4.0×1.0m</w:t>
            </w: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rFonts w:hint="eastAsia"/>
                <w:szCs w:val="21"/>
              </w:rPr>
            </w:pPr>
            <w:r>
              <w:rPr>
                <w:rFonts w:hint="eastAsia"/>
                <w:szCs w:val="21"/>
              </w:rPr>
              <w:t>1</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滚筒筛</w:t>
            </w:r>
          </w:p>
        </w:tc>
        <w:tc>
          <w:tcPr>
            <w:tcW w:w="2457" w:type="dxa"/>
            <w:noWrap w:val="0"/>
            <w:vAlign w:val="center"/>
          </w:tcPr>
          <w:p>
            <w:pPr>
              <w:jc w:val="center"/>
              <w:rPr>
                <w:rFonts w:hint="eastAsia"/>
                <w:szCs w:val="21"/>
              </w:rPr>
            </w:pPr>
            <w:r>
              <w:rPr>
                <w:szCs w:val="21"/>
              </w:rPr>
              <w:t>1.5</w:t>
            </w:r>
            <w:r>
              <w:rPr>
                <w:rFonts w:hint="eastAsia"/>
                <w:szCs w:val="21"/>
              </w:rPr>
              <w:t>×</w:t>
            </w:r>
            <w:r>
              <w:rPr>
                <w:szCs w:val="21"/>
              </w:rPr>
              <w:t>5</w:t>
            </w:r>
            <w:r>
              <w:rPr>
                <w:rFonts w:hint="eastAsia"/>
                <w:szCs w:val="21"/>
              </w:rPr>
              <w:t>m</w:t>
            </w: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rFonts w:hint="eastAsia"/>
                <w:szCs w:val="21"/>
              </w:rPr>
            </w:pPr>
            <w:r>
              <w:rPr>
                <w:szCs w:val="21"/>
              </w:rPr>
              <w:t>2</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板式给料机</w:t>
            </w:r>
          </w:p>
        </w:tc>
        <w:tc>
          <w:tcPr>
            <w:tcW w:w="2457" w:type="dxa"/>
            <w:noWrap w:val="0"/>
            <w:vAlign w:val="center"/>
          </w:tcPr>
          <w:p>
            <w:pPr>
              <w:jc w:val="center"/>
              <w:rPr>
                <w:szCs w:val="21"/>
              </w:rPr>
            </w:pPr>
            <w:r>
              <w:rPr>
                <w:rFonts w:hint="eastAsia"/>
                <w:szCs w:val="21"/>
              </w:rPr>
              <w:t>GS350A</w:t>
            </w: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szCs w:val="21"/>
              </w:rPr>
            </w:pPr>
            <w:r>
              <w:rPr>
                <w:rFonts w:hint="eastAsia"/>
                <w:szCs w:val="21"/>
              </w:rPr>
              <w:t>1</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搅拌机</w:t>
            </w:r>
          </w:p>
        </w:tc>
        <w:tc>
          <w:tcPr>
            <w:tcW w:w="2457" w:type="dxa"/>
            <w:noWrap w:val="0"/>
            <w:vAlign w:val="center"/>
          </w:tcPr>
          <w:p>
            <w:pPr>
              <w:jc w:val="center"/>
              <w:rPr>
                <w:szCs w:val="21"/>
              </w:rPr>
            </w:pPr>
            <w:r>
              <w:rPr>
                <w:rFonts w:hint="eastAsia"/>
                <w:szCs w:val="21"/>
              </w:rPr>
              <w:t>420</w:t>
            </w: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szCs w:val="21"/>
              </w:rPr>
            </w:pPr>
            <w:r>
              <w:rPr>
                <w:rFonts w:hint="eastAsia"/>
                <w:szCs w:val="21"/>
              </w:rPr>
              <w:t>2</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带式给料机</w:t>
            </w:r>
          </w:p>
        </w:tc>
        <w:tc>
          <w:tcPr>
            <w:tcW w:w="2457" w:type="dxa"/>
            <w:noWrap w:val="0"/>
            <w:vAlign w:val="center"/>
          </w:tcPr>
          <w:p>
            <w:pPr>
              <w:jc w:val="center"/>
              <w:rPr>
                <w:szCs w:val="21"/>
              </w:rPr>
            </w:pPr>
            <w:r>
              <w:rPr>
                <w:rFonts w:hint="eastAsia"/>
                <w:szCs w:val="21"/>
              </w:rPr>
              <w:t>GS350A</w:t>
            </w: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szCs w:val="21"/>
              </w:rPr>
            </w:pPr>
            <w:r>
              <w:rPr>
                <w:rFonts w:hint="eastAsia"/>
                <w:szCs w:val="21"/>
              </w:rPr>
              <w:t>1</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真空砖机</w:t>
            </w:r>
          </w:p>
        </w:tc>
        <w:tc>
          <w:tcPr>
            <w:tcW w:w="2457" w:type="dxa"/>
            <w:noWrap w:val="0"/>
            <w:vAlign w:val="center"/>
          </w:tcPr>
          <w:p>
            <w:pPr>
              <w:jc w:val="center"/>
              <w:rPr>
                <w:szCs w:val="21"/>
              </w:rPr>
            </w:pPr>
            <w:r>
              <w:rPr>
                <w:rFonts w:hint="eastAsia"/>
                <w:szCs w:val="21"/>
              </w:rPr>
              <w:t>KY60-55X</w:t>
            </w: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szCs w:val="21"/>
              </w:rPr>
            </w:pPr>
            <w:r>
              <w:rPr>
                <w:rFonts w:hint="eastAsia"/>
                <w:szCs w:val="21"/>
              </w:rPr>
              <w:t>1</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码坯机</w:t>
            </w:r>
          </w:p>
        </w:tc>
        <w:tc>
          <w:tcPr>
            <w:tcW w:w="2457" w:type="dxa"/>
            <w:noWrap w:val="0"/>
            <w:vAlign w:val="center"/>
          </w:tcPr>
          <w:p>
            <w:pPr>
              <w:jc w:val="center"/>
              <w:rPr>
                <w:szCs w:val="21"/>
              </w:rPr>
            </w:pPr>
            <w:r>
              <w:rPr>
                <w:rFonts w:hint="eastAsia"/>
                <w:szCs w:val="21"/>
              </w:rPr>
              <w:t>ZMP3.46X34</w:t>
            </w: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szCs w:val="21"/>
              </w:rPr>
            </w:pPr>
            <w:r>
              <w:rPr>
                <w:rFonts w:hint="eastAsia"/>
                <w:szCs w:val="21"/>
              </w:rPr>
              <w:t>1</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切坯机</w:t>
            </w:r>
          </w:p>
        </w:tc>
        <w:tc>
          <w:tcPr>
            <w:tcW w:w="2457" w:type="dxa"/>
            <w:noWrap w:val="0"/>
            <w:vAlign w:val="center"/>
          </w:tcPr>
          <w:p>
            <w:pPr>
              <w:jc w:val="center"/>
              <w:rPr>
                <w:rFonts w:hint="eastAsia"/>
                <w:szCs w:val="21"/>
              </w:rPr>
            </w:pPr>
            <w:r>
              <w:rPr>
                <w:rFonts w:hint="eastAsia"/>
                <w:szCs w:val="21"/>
              </w:rPr>
              <w:t>ZQPB40X55</w:t>
            </w: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rFonts w:hint="eastAsia"/>
                <w:szCs w:val="21"/>
              </w:rPr>
            </w:pPr>
            <w:r>
              <w:rPr>
                <w:rFonts w:hint="eastAsia"/>
                <w:szCs w:val="21"/>
              </w:rPr>
              <w:t>1</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断条机</w:t>
            </w:r>
          </w:p>
        </w:tc>
        <w:tc>
          <w:tcPr>
            <w:tcW w:w="2457" w:type="dxa"/>
            <w:noWrap w:val="0"/>
            <w:vAlign w:val="center"/>
          </w:tcPr>
          <w:p>
            <w:pPr>
              <w:jc w:val="center"/>
              <w:rPr>
                <w:rFonts w:hint="eastAsia"/>
                <w:szCs w:val="21"/>
              </w:rPr>
            </w:pPr>
            <w:r>
              <w:rPr>
                <w:rFonts w:hint="eastAsia"/>
                <w:szCs w:val="21"/>
              </w:rPr>
              <w:t>B3750</w:t>
            </w: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rFonts w:hint="eastAsia"/>
                <w:szCs w:val="21"/>
              </w:rPr>
            </w:pPr>
            <w:r>
              <w:rPr>
                <w:rFonts w:hint="eastAsia"/>
                <w:szCs w:val="21"/>
              </w:rPr>
              <w:t>1</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真空泵</w:t>
            </w:r>
          </w:p>
        </w:tc>
        <w:tc>
          <w:tcPr>
            <w:tcW w:w="2457" w:type="dxa"/>
            <w:noWrap w:val="0"/>
            <w:vAlign w:val="center"/>
          </w:tcPr>
          <w:p>
            <w:pPr>
              <w:jc w:val="center"/>
              <w:rPr>
                <w:rFonts w:hint="eastAsia"/>
                <w:szCs w:val="21"/>
              </w:rPr>
            </w:pPr>
            <w:r>
              <w:rPr>
                <w:rFonts w:hint="eastAsia"/>
                <w:szCs w:val="21"/>
              </w:rPr>
              <w:t>2sk-</w:t>
            </w:r>
            <w:r>
              <w:rPr>
                <w:szCs w:val="21"/>
              </w:rPr>
              <w:t>12</w:t>
            </w: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rFonts w:hint="eastAsia"/>
                <w:szCs w:val="21"/>
              </w:rPr>
            </w:pPr>
            <w:r>
              <w:rPr>
                <w:rFonts w:hint="eastAsia"/>
                <w:szCs w:val="21"/>
              </w:rPr>
              <w:t>1</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窑车</w:t>
            </w:r>
          </w:p>
        </w:tc>
        <w:tc>
          <w:tcPr>
            <w:tcW w:w="2457" w:type="dxa"/>
            <w:noWrap w:val="0"/>
            <w:vAlign w:val="center"/>
          </w:tcPr>
          <w:p>
            <w:pPr>
              <w:jc w:val="center"/>
              <w:rPr>
                <w:szCs w:val="21"/>
              </w:rPr>
            </w:pP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szCs w:val="21"/>
              </w:rPr>
            </w:pPr>
            <w:r>
              <w:rPr>
                <w:rFonts w:hint="eastAsia"/>
                <w:szCs w:val="21"/>
              </w:rPr>
              <w:t>200</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铲车</w:t>
            </w:r>
          </w:p>
        </w:tc>
        <w:tc>
          <w:tcPr>
            <w:tcW w:w="2457" w:type="dxa"/>
            <w:noWrap w:val="0"/>
            <w:vAlign w:val="center"/>
          </w:tcPr>
          <w:p>
            <w:pPr>
              <w:jc w:val="center"/>
              <w:rPr>
                <w:szCs w:val="21"/>
              </w:rPr>
            </w:pPr>
            <w:r>
              <w:rPr>
                <w:rFonts w:hint="eastAsia"/>
                <w:szCs w:val="21"/>
              </w:rPr>
              <w:t>50</w:t>
            </w: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szCs w:val="21"/>
              </w:rPr>
            </w:pPr>
            <w:r>
              <w:rPr>
                <w:rFonts w:hint="eastAsia"/>
                <w:szCs w:val="21"/>
              </w:rPr>
              <w:t>1</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运料车</w:t>
            </w:r>
          </w:p>
        </w:tc>
        <w:tc>
          <w:tcPr>
            <w:tcW w:w="2457" w:type="dxa"/>
            <w:noWrap w:val="0"/>
            <w:vAlign w:val="center"/>
          </w:tcPr>
          <w:p>
            <w:pPr>
              <w:jc w:val="center"/>
              <w:rPr>
                <w:szCs w:val="21"/>
              </w:rPr>
            </w:pP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szCs w:val="21"/>
              </w:rPr>
            </w:pPr>
            <w:r>
              <w:rPr>
                <w:rFonts w:hint="eastAsia"/>
                <w:szCs w:val="21"/>
              </w:rPr>
              <w:t>1</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风机</w:t>
            </w:r>
          </w:p>
        </w:tc>
        <w:tc>
          <w:tcPr>
            <w:tcW w:w="2457" w:type="dxa"/>
            <w:noWrap w:val="0"/>
            <w:vAlign w:val="center"/>
          </w:tcPr>
          <w:p>
            <w:pPr>
              <w:jc w:val="center"/>
              <w:rPr>
                <w:szCs w:val="21"/>
              </w:rPr>
            </w:pPr>
            <w:r>
              <w:rPr>
                <w:rFonts w:hint="eastAsia"/>
                <w:szCs w:val="21"/>
              </w:rPr>
              <w:t>16号</w:t>
            </w: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szCs w:val="21"/>
              </w:rPr>
            </w:pPr>
            <w:r>
              <w:rPr>
                <w:rFonts w:hint="eastAsia"/>
                <w:szCs w:val="21"/>
              </w:rPr>
              <w:t>4</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脱硫塔</w:t>
            </w:r>
          </w:p>
        </w:tc>
        <w:tc>
          <w:tcPr>
            <w:tcW w:w="2457" w:type="dxa"/>
            <w:noWrap w:val="0"/>
            <w:vAlign w:val="center"/>
          </w:tcPr>
          <w:p>
            <w:pPr>
              <w:jc w:val="center"/>
              <w:rPr>
                <w:szCs w:val="21"/>
              </w:rPr>
            </w:pPr>
          </w:p>
        </w:tc>
        <w:tc>
          <w:tcPr>
            <w:tcW w:w="714" w:type="dxa"/>
            <w:noWrap w:val="0"/>
            <w:vAlign w:val="center"/>
          </w:tcPr>
          <w:p>
            <w:pPr>
              <w:jc w:val="center"/>
              <w:rPr>
                <w:rFonts w:hint="eastAsia"/>
                <w:szCs w:val="21"/>
              </w:rPr>
            </w:pPr>
            <w:r>
              <w:rPr>
                <w:rFonts w:hint="eastAsia"/>
                <w:szCs w:val="21"/>
              </w:rPr>
              <w:t>套</w:t>
            </w:r>
          </w:p>
        </w:tc>
        <w:tc>
          <w:tcPr>
            <w:tcW w:w="748" w:type="dxa"/>
            <w:noWrap w:val="0"/>
            <w:vAlign w:val="center"/>
          </w:tcPr>
          <w:p>
            <w:pPr>
              <w:jc w:val="center"/>
              <w:rPr>
                <w:szCs w:val="21"/>
              </w:rPr>
            </w:pPr>
            <w:r>
              <w:rPr>
                <w:rFonts w:hint="eastAsia"/>
                <w:szCs w:val="21"/>
              </w:rPr>
              <w:t>1</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除尘器</w:t>
            </w:r>
          </w:p>
        </w:tc>
        <w:tc>
          <w:tcPr>
            <w:tcW w:w="2457" w:type="dxa"/>
            <w:noWrap w:val="0"/>
            <w:vAlign w:val="center"/>
          </w:tcPr>
          <w:p>
            <w:pPr>
              <w:jc w:val="center"/>
              <w:rPr>
                <w:szCs w:val="21"/>
              </w:rPr>
            </w:pPr>
          </w:p>
        </w:tc>
        <w:tc>
          <w:tcPr>
            <w:tcW w:w="714" w:type="dxa"/>
            <w:noWrap w:val="0"/>
            <w:vAlign w:val="center"/>
          </w:tcPr>
          <w:p>
            <w:pPr>
              <w:jc w:val="center"/>
              <w:rPr>
                <w:rFonts w:hint="eastAsia"/>
                <w:szCs w:val="21"/>
              </w:rPr>
            </w:pPr>
            <w:r>
              <w:rPr>
                <w:rFonts w:hint="eastAsia"/>
                <w:szCs w:val="21"/>
              </w:rPr>
              <w:t>套</w:t>
            </w:r>
          </w:p>
        </w:tc>
        <w:tc>
          <w:tcPr>
            <w:tcW w:w="748" w:type="dxa"/>
            <w:noWrap w:val="0"/>
            <w:vAlign w:val="center"/>
          </w:tcPr>
          <w:p>
            <w:pPr>
              <w:jc w:val="center"/>
              <w:rPr>
                <w:szCs w:val="21"/>
              </w:rPr>
            </w:pPr>
            <w:r>
              <w:rPr>
                <w:rFonts w:hint="eastAsia"/>
                <w:szCs w:val="21"/>
              </w:rPr>
              <w:t>1</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电动机</w:t>
            </w:r>
          </w:p>
        </w:tc>
        <w:tc>
          <w:tcPr>
            <w:tcW w:w="2457" w:type="dxa"/>
            <w:noWrap w:val="0"/>
            <w:vAlign w:val="center"/>
          </w:tcPr>
          <w:p>
            <w:pPr>
              <w:jc w:val="center"/>
              <w:rPr>
                <w:szCs w:val="21"/>
              </w:rPr>
            </w:pPr>
            <w:r>
              <w:rPr>
                <w:rFonts w:hint="eastAsia"/>
                <w:szCs w:val="21"/>
              </w:rPr>
              <w:t>250KW6级</w:t>
            </w: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szCs w:val="21"/>
              </w:rPr>
            </w:pPr>
            <w:r>
              <w:rPr>
                <w:rFonts w:hint="eastAsia"/>
                <w:szCs w:val="21"/>
              </w:rPr>
              <w:t>1</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电动机</w:t>
            </w:r>
          </w:p>
        </w:tc>
        <w:tc>
          <w:tcPr>
            <w:tcW w:w="2457" w:type="dxa"/>
            <w:noWrap w:val="0"/>
            <w:vAlign w:val="center"/>
          </w:tcPr>
          <w:p>
            <w:pPr>
              <w:jc w:val="center"/>
              <w:rPr>
                <w:szCs w:val="21"/>
              </w:rPr>
            </w:pPr>
            <w:r>
              <w:rPr>
                <w:rFonts w:hint="eastAsia"/>
                <w:szCs w:val="21"/>
              </w:rPr>
              <w:t>110KW</w:t>
            </w:r>
            <w:r>
              <w:rPr>
                <w:szCs w:val="21"/>
              </w:rPr>
              <w:t>6</w:t>
            </w:r>
            <w:r>
              <w:rPr>
                <w:rFonts w:hint="eastAsia"/>
                <w:szCs w:val="21"/>
              </w:rPr>
              <w:t>级</w:t>
            </w: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szCs w:val="21"/>
              </w:rPr>
            </w:pPr>
            <w:r>
              <w:rPr>
                <w:rFonts w:hint="eastAsia"/>
                <w:szCs w:val="21"/>
              </w:rPr>
              <w:t>1</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电动机</w:t>
            </w:r>
          </w:p>
        </w:tc>
        <w:tc>
          <w:tcPr>
            <w:tcW w:w="2457" w:type="dxa"/>
            <w:noWrap w:val="0"/>
            <w:vAlign w:val="center"/>
          </w:tcPr>
          <w:p>
            <w:pPr>
              <w:jc w:val="center"/>
              <w:rPr>
                <w:szCs w:val="21"/>
              </w:rPr>
            </w:pPr>
            <w:r>
              <w:rPr>
                <w:rFonts w:hint="eastAsia"/>
                <w:szCs w:val="21"/>
              </w:rPr>
              <w:t>55KW6级</w:t>
            </w:r>
          </w:p>
        </w:tc>
        <w:tc>
          <w:tcPr>
            <w:tcW w:w="714" w:type="dxa"/>
            <w:noWrap w:val="0"/>
            <w:vAlign w:val="center"/>
          </w:tcPr>
          <w:p>
            <w:pPr>
              <w:jc w:val="center"/>
              <w:rPr>
                <w:rFonts w:hint="eastAsia"/>
                <w:szCs w:val="21"/>
              </w:rPr>
            </w:pPr>
            <w:r>
              <w:rPr>
                <w:rFonts w:hint="eastAsia"/>
                <w:szCs w:val="21"/>
              </w:rPr>
              <w:t>台</w:t>
            </w:r>
          </w:p>
        </w:tc>
        <w:tc>
          <w:tcPr>
            <w:tcW w:w="748" w:type="dxa"/>
            <w:noWrap w:val="0"/>
            <w:vAlign w:val="center"/>
          </w:tcPr>
          <w:p>
            <w:pPr>
              <w:jc w:val="center"/>
              <w:rPr>
                <w:szCs w:val="21"/>
              </w:rPr>
            </w:pPr>
            <w:r>
              <w:rPr>
                <w:rFonts w:hint="eastAsia"/>
                <w:szCs w:val="21"/>
              </w:rPr>
              <w:t>4</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电动机</w:t>
            </w:r>
          </w:p>
        </w:tc>
        <w:tc>
          <w:tcPr>
            <w:tcW w:w="2457" w:type="dxa"/>
            <w:noWrap w:val="0"/>
            <w:vAlign w:val="center"/>
          </w:tcPr>
          <w:p>
            <w:pPr>
              <w:jc w:val="center"/>
              <w:rPr>
                <w:szCs w:val="21"/>
              </w:rPr>
            </w:pPr>
            <w:r>
              <w:rPr>
                <w:rFonts w:hint="eastAsia"/>
                <w:szCs w:val="21"/>
              </w:rPr>
              <w:t>55KW</w:t>
            </w:r>
            <w:r>
              <w:rPr>
                <w:szCs w:val="21"/>
              </w:rPr>
              <w:t>4</w:t>
            </w:r>
            <w:r>
              <w:rPr>
                <w:rFonts w:hint="eastAsia"/>
                <w:szCs w:val="21"/>
              </w:rPr>
              <w:t>级</w:t>
            </w:r>
          </w:p>
        </w:tc>
        <w:tc>
          <w:tcPr>
            <w:tcW w:w="714" w:type="dxa"/>
            <w:noWrap w:val="0"/>
            <w:vAlign w:val="top"/>
          </w:tcPr>
          <w:p>
            <w:r>
              <w:rPr>
                <w:rFonts w:hint="eastAsia"/>
                <w:szCs w:val="21"/>
              </w:rPr>
              <w:t>台</w:t>
            </w:r>
          </w:p>
        </w:tc>
        <w:tc>
          <w:tcPr>
            <w:tcW w:w="748" w:type="dxa"/>
            <w:noWrap w:val="0"/>
            <w:vAlign w:val="center"/>
          </w:tcPr>
          <w:p>
            <w:pPr>
              <w:jc w:val="center"/>
              <w:rPr>
                <w:szCs w:val="21"/>
              </w:rPr>
            </w:pPr>
            <w:r>
              <w:rPr>
                <w:rFonts w:hint="eastAsia"/>
                <w:szCs w:val="21"/>
              </w:rPr>
              <w:t>2</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电动机</w:t>
            </w:r>
          </w:p>
        </w:tc>
        <w:tc>
          <w:tcPr>
            <w:tcW w:w="2457" w:type="dxa"/>
            <w:noWrap w:val="0"/>
            <w:vAlign w:val="center"/>
          </w:tcPr>
          <w:p>
            <w:pPr>
              <w:jc w:val="center"/>
              <w:rPr>
                <w:rFonts w:hint="eastAsia"/>
                <w:szCs w:val="21"/>
              </w:rPr>
            </w:pPr>
            <w:r>
              <w:rPr>
                <w:rFonts w:hint="eastAsia"/>
                <w:szCs w:val="21"/>
              </w:rPr>
              <w:t>18.5KW</w:t>
            </w:r>
          </w:p>
        </w:tc>
        <w:tc>
          <w:tcPr>
            <w:tcW w:w="714" w:type="dxa"/>
            <w:noWrap w:val="0"/>
            <w:vAlign w:val="top"/>
          </w:tcPr>
          <w:p>
            <w:r>
              <w:rPr>
                <w:rFonts w:hint="eastAsia"/>
                <w:szCs w:val="21"/>
              </w:rPr>
              <w:t>台</w:t>
            </w:r>
          </w:p>
        </w:tc>
        <w:tc>
          <w:tcPr>
            <w:tcW w:w="748" w:type="dxa"/>
            <w:noWrap w:val="0"/>
            <w:vAlign w:val="center"/>
          </w:tcPr>
          <w:p>
            <w:pPr>
              <w:jc w:val="center"/>
              <w:rPr>
                <w:rFonts w:hint="eastAsia"/>
                <w:szCs w:val="21"/>
              </w:rPr>
            </w:pPr>
            <w:r>
              <w:rPr>
                <w:rFonts w:hint="eastAsia"/>
                <w:szCs w:val="21"/>
              </w:rPr>
              <w:t>5</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电动机</w:t>
            </w:r>
          </w:p>
        </w:tc>
        <w:tc>
          <w:tcPr>
            <w:tcW w:w="2457" w:type="dxa"/>
            <w:noWrap w:val="0"/>
            <w:vAlign w:val="center"/>
          </w:tcPr>
          <w:p>
            <w:pPr>
              <w:jc w:val="center"/>
              <w:rPr>
                <w:rFonts w:hint="eastAsia"/>
                <w:szCs w:val="21"/>
              </w:rPr>
            </w:pPr>
            <w:r>
              <w:rPr>
                <w:rFonts w:hint="eastAsia"/>
                <w:szCs w:val="21"/>
              </w:rPr>
              <w:t>11KW</w:t>
            </w:r>
          </w:p>
        </w:tc>
        <w:tc>
          <w:tcPr>
            <w:tcW w:w="714" w:type="dxa"/>
            <w:noWrap w:val="0"/>
            <w:vAlign w:val="top"/>
          </w:tcPr>
          <w:p>
            <w:r>
              <w:rPr>
                <w:rFonts w:hint="eastAsia"/>
                <w:szCs w:val="21"/>
              </w:rPr>
              <w:t>台</w:t>
            </w:r>
          </w:p>
        </w:tc>
        <w:tc>
          <w:tcPr>
            <w:tcW w:w="748" w:type="dxa"/>
            <w:noWrap w:val="0"/>
            <w:vAlign w:val="center"/>
          </w:tcPr>
          <w:p>
            <w:pPr>
              <w:jc w:val="center"/>
              <w:rPr>
                <w:rFonts w:hint="eastAsia"/>
                <w:szCs w:val="21"/>
              </w:rPr>
            </w:pPr>
            <w:r>
              <w:rPr>
                <w:rFonts w:hint="eastAsia"/>
                <w:szCs w:val="21"/>
              </w:rPr>
              <w:t>3</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电动机</w:t>
            </w:r>
          </w:p>
        </w:tc>
        <w:tc>
          <w:tcPr>
            <w:tcW w:w="2457" w:type="dxa"/>
            <w:noWrap w:val="0"/>
            <w:vAlign w:val="center"/>
          </w:tcPr>
          <w:p>
            <w:pPr>
              <w:jc w:val="center"/>
              <w:rPr>
                <w:rFonts w:hint="eastAsia"/>
                <w:szCs w:val="21"/>
              </w:rPr>
            </w:pPr>
            <w:r>
              <w:rPr>
                <w:rFonts w:hint="eastAsia"/>
                <w:szCs w:val="21"/>
              </w:rPr>
              <w:t>22KW</w:t>
            </w:r>
          </w:p>
        </w:tc>
        <w:tc>
          <w:tcPr>
            <w:tcW w:w="714" w:type="dxa"/>
            <w:noWrap w:val="0"/>
            <w:vAlign w:val="top"/>
          </w:tcPr>
          <w:p>
            <w:r>
              <w:rPr>
                <w:rFonts w:hint="eastAsia"/>
                <w:szCs w:val="21"/>
              </w:rPr>
              <w:t>台</w:t>
            </w:r>
          </w:p>
        </w:tc>
        <w:tc>
          <w:tcPr>
            <w:tcW w:w="748" w:type="dxa"/>
            <w:noWrap w:val="0"/>
            <w:vAlign w:val="center"/>
          </w:tcPr>
          <w:p>
            <w:pPr>
              <w:jc w:val="center"/>
              <w:rPr>
                <w:rFonts w:hint="eastAsia"/>
                <w:szCs w:val="21"/>
              </w:rPr>
            </w:pPr>
            <w:r>
              <w:rPr>
                <w:rFonts w:hint="eastAsia"/>
                <w:szCs w:val="21"/>
              </w:rPr>
              <w:t>3</w:t>
            </w:r>
          </w:p>
        </w:tc>
        <w:tc>
          <w:tcPr>
            <w:tcW w:w="2967"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13" w:type="dxa"/>
            <w:noWrap w:val="0"/>
            <w:vAlign w:val="center"/>
          </w:tcPr>
          <w:p>
            <w:pPr>
              <w:numPr>
                <w:ilvl w:val="0"/>
                <w:numId w:val="1"/>
              </w:numPr>
              <w:rPr>
                <w:rFonts w:hint="eastAsia"/>
                <w:szCs w:val="21"/>
              </w:rPr>
            </w:pPr>
          </w:p>
        </w:tc>
        <w:tc>
          <w:tcPr>
            <w:tcW w:w="2029" w:type="dxa"/>
            <w:noWrap w:val="0"/>
            <w:vAlign w:val="center"/>
          </w:tcPr>
          <w:p>
            <w:pPr>
              <w:jc w:val="center"/>
              <w:rPr>
                <w:rFonts w:hint="eastAsia"/>
                <w:szCs w:val="21"/>
              </w:rPr>
            </w:pPr>
            <w:r>
              <w:rPr>
                <w:rFonts w:hint="eastAsia"/>
                <w:szCs w:val="21"/>
              </w:rPr>
              <w:t>电动机</w:t>
            </w:r>
          </w:p>
        </w:tc>
        <w:tc>
          <w:tcPr>
            <w:tcW w:w="2457" w:type="dxa"/>
            <w:noWrap w:val="0"/>
            <w:vAlign w:val="center"/>
          </w:tcPr>
          <w:p>
            <w:pPr>
              <w:jc w:val="center"/>
              <w:rPr>
                <w:rFonts w:hint="eastAsia"/>
                <w:szCs w:val="21"/>
              </w:rPr>
            </w:pPr>
            <w:r>
              <w:rPr>
                <w:rFonts w:hint="eastAsia"/>
                <w:szCs w:val="21"/>
              </w:rPr>
              <w:t>7.5KW</w:t>
            </w:r>
          </w:p>
        </w:tc>
        <w:tc>
          <w:tcPr>
            <w:tcW w:w="714" w:type="dxa"/>
            <w:noWrap w:val="0"/>
            <w:vAlign w:val="top"/>
          </w:tcPr>
          <w:p>
            <w:r>
              <w:rPr>
                <w:rFonts w:hint="eastAsia"/>
                <w:szCs w:val="21"/>
              </w:rPr>
              <w:t>台</w:t>
            </w:r>
          </w:p>
        </w:tc>
        <w:tc>
          <w:tcPr>
            <w:tcW w:w="748" w:type="dxa"/>
            <w:noWrap w:val="0"/>
            <w:vAlign w:val="center"/>
          </w:tcPr>
          <w:p>
            <w:pPr>
              <w:jc w:val="center"/>
              <w:rPr>
                <w:rFonts w:hint="eastAsia"/>
                <w:szCs w:val="21"/>
              </w:rPr>
            </w:pPr>
            <w:r>
              <w:rPr>
                <w:rFonts w:hint="eastAsia"/>
                <w:szCs w:val="21"/>
              </w:rPr>
              <w:t>3</w:t>
            </w:r>
          </w:p>
        </w:tc>
        <w:tc>
          <w:tcPr>
            <w:tcW w:w="2967" w:type="dxa"/>
            <w:noWrap w:val="0"/>
            <w:vAlign w:val="center"/>
          </w:tcPr>
          <w:p>
            <w:pPr>
              <w:jc w:val="center"/>
              <w:rPr>
                <w:rFonts w:hint="eastAsia"/>
                <w:szCs w:val="21"/>
              </w:rPr>
            </w:pPr>
          </w:p>
        </w:tc>
      </w:tr>
    </w:tbl>
    <w:p>
      <w:pPr>
        <w:pStyle w:val="12"/>
        <w:spacing w:line="240" w:lineRule="auto"/>
        <w:ind w:firstLine="482" w:firstLineChars="200"/>
        <w:jc w:val="center"/>
        <w:rPr>
          <w:rFonts w:hint="eastAsia" w:ascii="黑体" w:hAnsi="Courier New" w:eastAsia="黑体"/>
          <w:b/>
          <w:color w:val="auto"/>
          <w:sz w:val="24"/>
          <w:lang w:eastAsia="zh-CN"/>
        </w:rPr>
      </w:pPr>
      <w:bookmarkStart w:id="78" w:name="_Toc18643"/>
      <w:bookmarkStart w:id="79" w:name="_Toc16275"/>
      <w:r>
        <w:rPr>
          <w:rFonts w:hint="eastAsia" w:ascii="黑体" w:hAnsi="Courier New" w:eastAsia="黑体"/>
          <w:b/>
          <w:color w:val="auto"/>
          <w:sz w:val="24"/>
          <w:lang w:eastAsia="zh-CN"/>
        </w:rPr>
        <w:t>表</w:t>
      </w:r>
      <w:r>
        <w:rPr>
          <w:rFonts w:hint="eastAsia" w:ascii="黑体" w:hAnsi="Courier New" w:eastAsia="黑体"/>
          <w:b/>
          <w:color w:val="auto"/>
          <w:sz w:val="24"/>
          <w:lang w:val="en-US" w:eastAsia="zh-CN"/>
        </w:rPr>
        <w:t>2</w:t>
      </w:r>
      <w:r>
        <w:rPr>
          <w:rFonts w:hint="eastAsia" w:ascii="黑体" w:hAnsi="Courier New" w:eastAsia="黑体"/>
          <w:b/>
          <w:color w:val="auto"/>
          <w:sz w:val="24"/>
          <w:lang w:eastAsia="zh-CN"/>
        </w:rPr>
        <w:t>-</w:t>
      </w:r>
      <w:r>
        <w:rPr>
          <w:rFonts w:hint="eastAsia" w:ascii="黑体" w:hAnsi="Courier New" w:eastAsia="黑体"/>
          <w:b/>
          <w:color w:val="auto"/>
          <w:sz w:val="24"/>
          <w:lang w:val="en-US" w:eastAsia="zh-CN"/>
        </w:rPr>
        <w:t>2</w:t>
      </w:r>
      <w:r>
        <w:rPr>
          <w:rFonts w:hint="eastAsia" w:ascii="黑体" w:hAnsi="Courier New" w:eastAsia="黑体"/>
          <w:b/>
          <w:color w:val="auto"/>
          <w:sz w:val="24"/>
          <w:lang w:eastAsia="zh-CN"/>
        </w:rPr>
        <w:t xml:space="preserve"> 主要设备清单</w:t>
      </w:r>
    </w:p>
    <w:p>
      <w:pPr>
        <w:pStyle w:val="5"/>
        <w:spacing w:before="0" w:after="0" w:line="360" w:lineRule="auto"/>
        <w:rPr>
          <w:rFonts w:hint="eastAsia" w:ascii="宋体" w:hAnsi="宋体" w:eastAsia="宋体" w:cs="宋体"/>
          <w:color w:val="auto"/>
          <w:sz w:val="28"/>
          <w:szCs w:val="28"/>
        </w:rPr>
      </w:pPr>
      <w:bookmarkStart w:id="80" w:name="_Toc32671"/>
      <w:bookmarkStart w:id="81" w:name="_Toc17345"/>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各方应急力量有关基本情况</w:t>
      </w:r>
      <w:bookmarkEnd w:id="78"/>
      <w:bookmarkEnd w:id="79"/>
      <w:bookmarkEnd w:id="80"/>
      <w:bookmarkEnd w:id="81"/>
    </w:p>
    <w:p>
      <w:pPr>
        <w:pStyle w:val="5"/>
        <w:spacing w:before="0" w:after="0" w:line="360" w:lineRule="auto"/>
        <w:rPr>
          <w:rFonts w:hint="eastAsia" w:ascii="宋体" w:hAnsi="宋体" w:eastAsia="宋体" w:cs="宋体"/>
          <w:color w:val="auto"/>
          <w:sz w:val="28"/>
          <w:szCs w:val="28"/>
          <w:lang w:val="zh-CN"/>
        </w:rPr>
      </w:pPr>
      <w:bookmarkStart w:id="82" w:name="_Toc2271"/>
      <w:bookmarkStart w:id="83" w:name="_Toc18478"/>
      <w:bookmarkStart w:id="84" w:name="_Toc21350"/>
      <w:r>
        <w:rPr>
          <w:rFonts w:hint="eastAsia" w:ascii="宋体" w:hAnsi="宋体" w:eastAsia="宋体" w:cs="宋体"/>
          <w:color w:val="auto"/>
          <w:sz w:val="28"/>
          <w:szCs w:val="28"/>
          <w:lang w:val="zh-CN"/>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.1内部应急力量</w:t>
      </w:r>
      <w:bookmarkEnd w:id="82"/>
      <w:bookmarkEnd w:id="83"/>
      <w:bookmarkEnd w:id="84"/>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rPr>
        <w:t>公司成立有以总经理</w:t>
      </w:r>
      <w:r>
        <w:rPr>
          <w:rFonts w:hint="eastAsia" w:ascii="宋体" w:hAnsi="宋体" w:cs="宋体"/>
          <w:i w:val="0"/>
          <w:iCs w:val="0"/>
          <w:color w:val="FF0000"/>
          <w:sz w:val="28"/>
          <w:szCs w:val="28"/>
          <w:lang w:eastAsia="zh-CN"/>
        </w:rPr>
        <w:t>陈云</w:t>
      </w:r>
      <w:r>
        <w:rPr>
          <w:rFonts w:hint="eastAsia" w:ascii="宋体" w:hAnsi="宋体" w:cs="宋体"/>
          <w:i w:val="0"/>
          <w:iCs w:val="0"/>
          <w:color w:val="FF0000"/>
          <w:sz w:val="28"/>
          <w:szCs w:val="28"/>
        </w:rPr>
        <w:t>为组长的应急抢险救援领导小组，副组长由公司</w:t>
      </w:r>
      <w:r>
        <w:rPr>
          <w:rFonts w:hint="eastAsia" w:ascii="宋体" w:hAnsi="宋体" w:eastAsia="宋体" w:cs="宋体"/>
          <w:i w:val="0"/>
          <w:iCs w:val="0"/>
          <w:color w:val="FF0000"/>
          <w:sz w:val="28"/>
          <w:szCs w:val="28"/>
          <w:lang w:eastAsia="zh-CN"/>
        </w:rPr>
        <w:t>厂长</w:t>
      </w:r>
      <w:r>
        <w:rPr>
          <w:rFonts w:hint="eastAsia" w:ascii="宋体" w:hAnsi="宋体" w:cs="宋体"/>
          <w:i w:val="0"/>
          <w:iCs w:val="0"/>
          <w:color w:val="FF0000"/>
          <w:sz w:val="28"/>
          <w:szCs w:val="28"/>
          <w:lang w:eastAsia="zh-CN"/>
        </w:rPr>
        <w:t>林旭</w:t>
      </w:r>
      <w:r>
        <w:rPr>
          <w:rFonts w:hint="eastAsia" w:ascii="宋体" w:hAnsi="宋体" w:cs="宋体"/>
          <w:i w:val="0"/>
          <w:iCs w:val="0"/>
          <w:color w:val="FF0000"/>
          <w:sz w:val="28"/>
          <w:szCs w:val="28"/>
        </w:rPr>
        <w:t>担任。成员由其他</w:t>
      </w:r>
      <w:r>
        <w:rPr>
          <w:rFonts w:hint="eastAsia" w:ascii="宋体" w:hAnsi="宋体" w:cs="宋体"/>
          <w:i w:val="0"/>
          <w:iCs w:val="0"/>
          <w:color w:val="FF0000"/>
          <w:sz w:val="28"/>
          <w:szCs w:val="28"/>
          <w:lang w:eastAsia="zh-CN"/>
        </w:rPr>
        <w:t>现场负责人</w:t>
      </w:r>
      <w:r>
        <w:rPr>
          <w:rFonts w:hint="eastAsia" w:ascii="宋体" w:hAnsi="宋体" w:cs="宋体"/>
          <w:i w:val="0"/>
          <w:iCs w:val="0"/>
          <w:color w:val="FF0000"/>
          <w:sz w:val="28"/>
          <w:szCs w:val="28"/>
        </w:rPr>
        <w:t>、车间主管及</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成员组成。并设</w:t>
      </w:r>
      <w:r>
        <w:rPr>
          <w:rFonts w:hint="eastAsia" w:ascii="宋体" w:hAnsi="宋体" w:cs="宋体"/>
          <w:i w:val="0"/>
          <w:iCs w:val="0"/>
          <w:color w:val="FF0000"/>
          <w:sz w:val="28"/>
          <w:szCs w:val="28"/>
          <w:lang w:eastAsia="zh-CN"/>
        </w:rPr>
        <w:t>安全管理员</w:t>
      </w:r>
      <w:r>
        <w:rPr>
          <w:rFonts w:hint="eastAsia" w:ascii="宋体" w:hAnsi="宋体" w:cs="宋体"/>
          <w:i w:val="0"/>
          <w:iCs w:val="0"/>
          <w:color w:val="FF0000"/>
          <w:sz w:val="28"/>
          <w:szCs w:val="28"/>
        </w:rPr>
        <w:t>作为独立的日常安全、环保管理专职人员，应急抢险救援领导小组下设有下设抢险救援组、</w:t>
      </w:r>
      <w:r>
        <w:rPr>
          <w:rFonts w:hint="eastAsia" w:ascii="宋体" w:hAnsi="宋体" w:cs="宋体"/>
          <w:i w:val="0"/>
          <w:iCs w:val="0"/>
          <w:color w:val="FF0000"/>
          <w:sz w:val="28"/>
          <w:szCs w:val="28"/>
          <w:lang w:eastAsia="zh-CN"/>
        </w:rPr>
        <w:t>疏散联络组</w:t>
      </w:r>
      <w:r>
        <w:rPr>
          <w:rFonts w:hint="eastAsia" w:ascii="宋体" w:hAnsi="宋体" w:cs="宋体"/>
          <w:i w:val="0"/>
          <w:iCs w:val="0"/>
          <w:color w:val="FF0000"/>
          <w:sz w:val="28"/>
          <w:szCs w:val="28"/>
        </w:rPr>
        <w:t>、后勤保障组、医疗救护组</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事故调查善后组、</w:t>
      </w:r>
      <w:r>
        <w:rPr>
          <w:rFonts w:hint="eastAsia" w:ascii="宋体" w:hAnsi="宋体" w:cs="宋体"/>
          <w:i w:val="0"/>
          <w:iCs w:val="0"/>
          <w:color w:val="FF0000"/>
          <w:sz w:val="28"/>
          <w:szCs w:val="28"/>
        </w:rPr>
        <w:t>负责处理应急救援事宜。领导小组办公室常设在</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，日常工作由</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主管</w:t>
      </w:r>
      <w:r>
        <w:rPr>
          <w:rFonts w:hint="eastAsia" w:ascii="宋体" w:hAnsi="宋体" w:cs="宋体"/>
          <w:i w:val="0"/>
          <w:iCs w:val="0"/>
          <w:color w:val="FF0000"/>
          <w:sz w:val="28"/>
          <w:szCs w:val="28"/>
          <w:lang w:eastAsia="zh-CN"/>
        </w:rPr>
        <w:t>负责</w:t>
      </w:r>
      <w:r>
        <w:rPr>
          <w:rFonts w:hint="eastAsia" w:ascii="宋体" w:hAnsi="宋体" w:cs="宋体"/>
          <w:i w:val="0"/>
          <w:iCs w:val="0"/>
          <w:color w:val="FF0000"/>
          <w:sz w:val="28"/>
          <w:szCs w:val="28"/>
        </w:rPr>
        <w:t>。其它下设的各小组组长由公司指派部门负责人担任。重大事故发生时，由总经理任应急领导组长，领导小组副组长任副应急领导组长，负责组织和指挥应急抢险救护工作。应急领导小组一般设在</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。如果应急领导组长或副组长均不在公司时，则由在公司</w:t>
      </w:r>
      <w:r>
        <w:rPr>
          <w:rFonts w:hint="eastAsia" w:ascii="宋体" w:hAnsi="宋体" w:cs="宋体"/>
          <w:i w:val="0"/>
          <w:iCs w:val="0"/>
          <w:color w:val="FF0000"/>
          <w:sz w:val="28"/>
          <w:szCs w:val="28"/>
          <w:lang w:eastAsia="zh-CN"/>
        </w:rPr>
        <w:t>厂长</w:t>
      </w:r>
      <w:r>
        <w:rPr>
          <w:rFonts w:hint="eastAsia" w:ascii="宋体" w:hAnsi="宋体" w:cs="宋体"/>
          <w:i w:val="0"/>
          <w:iCs w:val="0"/>
          <w:color w:val="FF0000"/>
          <w:sz w:val="28"/>
          <w:szCs w:val="28"/>
        </w:rPr>
        <w:t>与</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负责人为临时应急领导组长，全权负责应急抢险及救护工作。</w:t>
      </w:r>
    </w:p>
    <w:p>
      <w:pPr>
        <w:pStyle w:val="5"/>
        <w:spacing w:before="0" w:after="0" w:line="360" w:lineRule="auto"/>
        <w:rPr>
          <w:rFonts w:hint="eastAsia" w:ascii="宋体" w:hAnsi="宋体" w:eastAsia="宋体" w:cs="宋体"/>
          <w:color w:val="auto"/>
          <w:sz w:val="28"/>
          <w:szCs w:val="28"/>
          <w:lang w:val="zh-CN"/>
        </w:rPr>
      </w:pPr>
      <w:bookmarkStart w:id="85" w:name="_Toc19588"/>
      <w:bookmarkStart w:id="86" w:name="_Toc26713"/>
      <w:bookmarkStart w:id="87" w:name="_Toc15756"/>
      <w:r>
        <w:rPr>
          <w:rFonts w:hint="eastAsia" w:ascii="宋体" w:hAnsi="宋体" w:eastAsia="宋体" w:cs="宋体"/>
          <w:color w:val="auto"/>
          <w:sz w:val="28"/>
          <w:szCs w:val="28"/>
          <w:lang w:val="zh-CN"/>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外部应急力量</w:t>
      </w:r>
      <w:bookmarkEnd w:id="85"/>
      <w:bookmarkEnd w:id="86"/>
      <w:bookmarkEnd w:id="87"/>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仪陇县柳垭镇</w:t>
      </w:r>
      <w:r>
        <w:rPr>
          <w:rFonts w:hint="eastAsia" w:ascii="宋体" w:hAnsi="宋体" w:cs="宋体"/>
          <w:i w:val="0"/>
          <w:iCs w:val="0"/>
          <w:color w:val="auto"/>
          <w:sz w:val="28"/>
          <w:szCs w:val="28"/>
          <w:lang w:val="zh-CN" w:eastAsia="zh-CN"/>
        </w:rPr>
        <w:t>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仪陇县柳垭中心卫生院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lang w:eastAsia="zh-CN"/>
        </w:rPr>
        <w:t>仪陇县柳垭中心卫生院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3.7</w:t>
      </w:r>
      <w:r>
        <w:rPr>
          <w:rFonts w:hint="eastAsia" w:ascii="宋体" w:hAnsi="宋体" w:cs="宋体"/>
          <w:i w:val="0"/>
          <w:iCs w:val="0"/>
          <w:color w:val="FF0000"/>
          <w:sz w:val="28"/>
          <w:szCs w:val="28"/>
        </w:rPr>
        <w:t>m，发生事故时</w:t>
      </w:r>
      <w:r>
        <w:rPr>
          <w:rFonts w:hint="eastAsia" w:ascii="宋体" w:hAnsi="宋体" w:eastAsia="宋体" w:cs="宋体"/>
          <w:i w:val="0"/>
          <w:iCs w:val="0"/>
          <w:color w:val="FF0000"/>
          <w:sz w:val="28"/>
          <w:szCs w:val="28"/>
          <w:lang w:val="en-US" w:eastAsia="zh-CN"/>
        </w:rPr>
        <w:t>10</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仪陇县铁山卫生院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6.3</w:t>
      </w:r>
      <w:r>
        <w:rPr>
          <w:rFonts w:hint="eastAsia" w:ascii="宋体" w:hAnsi="宋体" w:cs="宋体"/>
          <w:i w:val="0"/>
          <w:iCs w:val="0"/>
          <w:color w:val="FF0000"/>
          <w:sz w:val="28"/>
          <w:szCs w:val="28"/>
        </w:rPr>
        <w:t>m，发生事故时</w:t>
      </w:r>
      <w:r>
        <w:rPr>
          <w:rFonts w:hint="eastAsia" w:ascii="宋体" w:hAnsi="宋体" w:eastAsia="宋体" w:cs="宋体"/>
          <w:i w:val="0"/>
          <w:iCs w:val="0"/>
          <w:color w:val="FF0000"/>
          <w:sz w:val="28"/>
          <w:szCs w:val="28"/>
          <w:lang w:val="en-US" w:eastAsia="zh-CN"/>
        </w:rPr>
        <w:t>10</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仪陇县人民医院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57</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1小时</w:t>
      </w:r>
      <w:r>
        <w:rPr>
          <w:rFonts w:hint="eastAsia" w:ascii="宋体" w:hAnsi="宋体" w:cs="宋体"/>
          <w:i w:val="0"/>
          <w:iCs w:val="0"/>
          <w:color w:val="FF0000"/>
          <w:sz w:val="28"/>
          <w:szCs w:val="28"/>
        </w:rPr>
        <w:t>内能到达现场。</w:t>
      </w:r>
    </w:p>
    <w:p>
      <w:pPr>
        <w:spacing w:line="360" w:lineRule="auto"/>
        <w:ind w:firstLine="560" w:firstLineChars="200"/>
        <w:rPr>
          <w:rFonts w:hint="eastAsia" w:ascii="宋体" w:hAnsi="宋体" w:cs="宋体"/>
          <w:i w:val="0"/>
          <w:iCs w:val="0"/>
          <w:color w:val="FF0000"/>
          <w:sz w:val="28"/>
          <w:szCs w:val="28"/>
          <w:lang w:eastAsia="zh-CN"/>
        </w:rPr>
      </w:pPr>
      <w:r>
        <w:rPr>
          <w:rFonts w:hint="eastAsia" w:ascii="宋体" w:hAnsi="宋体" w:cs="宋体"/>
          <w:i w:val="0"/>
          <w:iCs w:val="0"/>
          <w:color w:val="FF0000"/>
          <w:sz w:val="28"/>
          <w:szCs w:val="28"/>
          <w:lang w:eastAsia="zh-CN"/>
        </w:rPr>
        <w:t>仪陇县柳垭镇</w:t>
      </w:r>
      <w:r>
        <w:rPr>
          <w:rFonts w:hint="eastAsia" w:ascii="宋体" w:hAnsi="宋体" w:cs="宋体"/>
          <w:i w:val="0"/>
          <w:iCs w:val="0"/>
          <w:color w:val="FF0000"/>
          <w:sz w:val="28"/>
          <w:szCs w:val="28"/>
          <w:lang w:val="zh-CN" w:eastAsia="zh-CN"/>
        </w:rPr>
        <w:t>政府</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3</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8</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仪陇县马鞍消防中队距企业距离约</w:t>
      </w:r>
      <w:r>
        <w:rPr>
          <w:rFonts w:hint="eastAsia" w:ascii="宋体" w:hAnsi="宋体" w:cs="宋体"/>
          <w:i w:val="0"/>
          <w:iCs w:val="0"/>
          <w:color w:val="FF0000"/>
          <w:sz w:val="28"/>
          <w:szCs w:val="28"/>
          <w:lang w:val="en-US" w:eastAsia="zh-CN"/>
        </w:rPr>
        <w:t>4</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10分钟</w:t>
      </w:r>
      <w:r>
        <w:rPr>
          <w:rFonts w:hint="eastAsia" w:ascii="宋体" w:hAnsi="宋体" w:cs="宋体"/>
          <w:i w:val="0"/>
          <w:iCs w:val="0"/>
          <w:color w:val="FF0000"/>
          <w:sz w:val="28"/>
          <w:szCs w:val="28"/>
          <w:lang w:eastAsia="zh-CN"/>
        </w:rPr>
        <w:t>内能到达现场；仪陇县金城消防中队距企业距离约</w:t>
      </w:r>
      <w:r>
        <w:rPr>
          <w:rFonts w:hint="eastAsia" w:ascii="宋体" w:hAnsi="宋体" w:cs="宋体"/>
          <w:i w:val="0"/>
          <w:iCs w:val="0"/>
          <w:color w:val="FF0000"/>
          <w:sz w:val="28"/>
          <w:szCs w:val="28"/>
          <w:lang w:val="en-US" w:eastAsia="zh-CN"/>
        </w:rPr>
        <w:t>41</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1小时</w:t>
      </w:r>
      <w:r>
        <w:rPr>
          <w:rFonts w:hint="eastAsia" w:ascii="宋体" w:hAnsi="宋体" w:cs="宋体"/>
          <w:i w:val="0"/>
          <w:iCs w:val="0"/>
          <w:color w:val="FF0000"/>
          <w:sz w:val="28"/>
          <w:szCs w:val="28"/>
          <w:lang w:eastAsia="zh-CN"/>
        </w:rPr>
        <w:t>内能到达现场；仪陇县消防救援局距企业距离约</w:t>
      </w:r>
      <w:r>
        <w:rPr>
          <w:rFonts w:hint="eastAsia" w:ascii="宋体" w:hAnsi="宋体" w:cs="宋体"/>
          <w:i w:val="0"/>
          <w:iCs w:val="0"/>
          <w:color w:val="FF0000"/>
          <w:sz w:val="28"/>
          <w:szCs w:val="28"/>
          <w:lang w:val="en-US" w:eastAsia="zh-CN"/>
        </w:rPr>
        <w:t>56</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1小时</w:t>
      </w:r>
      <w:r>
        <w:rPr>
          <w:rFonts w:hint="eastAsia" w:ascii="宋体" w:hAnsi="宋体" w:cs="宋体"/>
          <w:i w:val="0"/>
          <w:iCs w:val="0"/>
          <w:color w:val="FF0000"/>
          <w:sz w:val="28"/>
          <w:szCs w:val="28"/>
        </w:rPr>
        <w:t>内</w:t>
      </w:r>
      <w:r>
        <w:rPr>
          <w:rFonts w:hint="eastAsia" w:ascii="宋体" w:hAnsi="宋体" w:cs="宋体"/>
          <w:i w:val="0"/>
          <w:iCs w:val="0"/>
          <w:color w:val="FF0000"/>
          <w:sz w:val="28"/>
          <w:szCs w:val="28"/>
          <w:lang w:eastAsia="zh-CN"/>
        </w:rPr>
        <w:t>内能到达现场。</w:t>
      </w: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表2-</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 xml:space="preserve"> 外部应急支援一览表</w:t>
      </w:r>
    </w:p>
    <w:tbl>
      <w:tblPr>
        <w:tblStyle w:val="19"/>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2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74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6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80"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216"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1084"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1）</w:t>
            </w:r>
          </w:p>
        </w:tc>
        <w:tc>
          <w:tcPr>
            <w:tcW w:w="1742"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消防</w:t>
            </w:r>
            <w:r>
              <w:rPr>
                <w:rFonts w:hint="eastAsia" w:ascii="宋体" w:hAnsi="宋体" w:eastAsia="宋体"/>
                <w:i w:val="0"/>
                <w:iCs w:val="0"/>
                <w:color w:val="auto"/>
                <w:szCs w:val="21"/>
                <w:lang w:eastAsia="zh-CN"/>
              </w:rPr>
              <w:t>用水</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1</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企业内水池（20m3）</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7"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 xml:space="preserve"> 2）</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消防车</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i w:val="0"/>
                <w:iCs w:val="0"/>
                <w:color w:val="auto"/>
                <w:szCs w:val="21"/>
                <w:lang w:val="en-US" w:eastAsia="zh-CN"/>
              </w:rPr>
              <w:t>7</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辆</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仪陇县柳垭镇</w:t>
            </w:r>
            <w:r>
              <w:rPr>
                <w:rFonts w:hint="eastAsia" w:ascii="宋体" w:hAnsi="宋体"/>
                <w:i w:val="0"/>
                <w:iCs w:val="0"/>
                <w:color w:val="auto"/>
                <w:szCs w:val="21"/>
                <w:lang w:val="zh-CN" w:eastAsia="zh-CN"/>
              </w:rPr>
              <w:t>政府、</w:t>
            </w: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4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3）</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消防人员</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lang w:val="en-US" w:eastAsia="zh-CN"/>
              </w:rPr>
              <w:t>4</w:t>
            </w:r>
            <w:r>
              <w:rPr>
                <w:rFonts w:hint="eastAsia" w:ascii="宋体" w:hAnsi="宋体"/>
                <w:i w:val="0"/>
                <w:iCs w:val="0"/>
                <w:color w:val="auto"/>
                <w:szCs w:val="21"/>
              </w:rPr>
              <w:t>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仪陇县柳垭镇</w:t>
            </w:r>
            <w:r>
              <w:rPr>
                <w:rFonts w:hint="eastAsia" w:ascii="宋体" w:hAnsi="宋体"/>
                <w:i w:val="0"/>
                <w:iCs w:val="0"/>
                <w:color w:val="auto"/>
                <w:szCs w:val="21"/>
                <w:lang w:val="zh-CN" w:eastAsia="zh-CN"/>
              </w:rPr>
              <w:t>政府、</w:t>
            </w: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4）</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防护装备</w:t>
            </w:r>
          </w:p>
        </w:tc>
        <w:tc>
          <w:tcPr>
            <w:tcW w:w="765" w:type="dxa"/>
            <w:noWrap w:val="0"/>
            <w:vAlign w:val="top"/>
          </w:tcPr>
          <w:p>
            <w:pPr>
              <w:spacing w:line="440" w:lineRule="exact"/>
              <w:ind w:firstLine="105" w:firstLineChars="50"/>
              <w:rPr>
                <w:rFonts w:hint="default" w:ascii="宋体" w:hAnsi="宋体"/>
                <w:i w:val="0"/>
                <w:iCs w:val="0"/>
                <w:color w:val="auto"/>
                <w:szCs w:val="21"/>
                <w:lang w:val="en-US" w:eastAsia="zh-CN"/>
              </w:rPr>
            </w:pPr>
            <w:r>
              <w:rPr>
                <w:rFonts w:hint="eastAsia" w:ascii="宋体" w:hAnsi="宋体"/>
                <w:i w:val="0"/>
                <w:iCs w:val="0"/>
                <w:color w:val="auto"/>
                <w:szCs w:val="21"/>
                <w:lang w:val="en-US" w:eastAsia="zh-CN"/>
              </w:rPr>
              <w:t>500</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仪陇县柳垭镇</w:t>
            </w:r>
            <w:r>
              <w:rPr>
                <w:rFonts w:hint="eastAsia" w:ascii="宋体" w:hAnsi="宋体"/>
                <w:i w:val="0"/>
                <w:iCs w:val="0"/>
                <w:color w:val="auto"/>
                <w:szCs w:val="21"/>
                <w:lang w:val="zh-CN" w:eastAsia="zh-CN"/>
              </w:rPr>
              <w:t>政府、</w:t>
            </w: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5）</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射水器材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35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仪陇县柳垭镇</w:t>
            </w:r>
            <w:r>
              <w:rPr>
                <w:rFonts w:hint="eastAsia" w:ascii="宋体" w:hAnsi="宋体"/>
                <w:i w:val="0"/>
                <w:iCs w:val="0"/>
                <w:color w:val="auto"/>
                <w:szCs w:val="21"/>
                <w:lang w:val="zh-CN" w:eastAsia="zh-CN"/>
              </w:rPr>
              <w:t>政府、</w:t>
            </w: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6）</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输水器材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仪陇县柳垭镇</w:t>
            </w:r>
            <w:r>
              <w:rPr>
                <w:rFonts w:hint="eastAsia" w:ascii="宋体" w:hAnsi="宋体"/>
                <w:i w:val="0"/>
                <w:iCs w:val="0"/>
                <w:color w:val="auto"/>
                <w:szCs w:val="21"/>
                <w:lang w:val="zh-CN" w:eastAsia="zh-CN"/>
              </w:rPr>
              <w:t>政府、</w:t>
            </w: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7）</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抢险救援装备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171</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仪陇县柳垭镇</w:t>
            </w:r>
            <w:r>
              <w:rPr>
                <w:rFonts w:hint="eastAsia" w:ascii="宋体" w:hAnsi="宋体"/>
                <w:i w:val="0"/>
                <w:iCs w:val="0"/>
                <w:color w:val="auto"/>
                <w:szCs w:val="21"/>
                <w:lang w:val="zh-CN" w:eastAsia="zh-CN"/>
              </w:rPr>
              <w:t>政府、</w:t>
            </w: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其它器材装备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116</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仪陇县柳垭镇</w:t>
            </w:r>
            <w:r>
              <w:rPr>
                <w:rFonts w:hint="eastAsia" w:ascii="宋体" w:hAnsi="宋体"/>
                <w:i w:val="0"/>
                <w:iCs w:val="0"/>
                <w:color w:val="auto"/>
                <w:szCs w:val="21"/>
                <w:lang w:val="zh-CN" w:eastAsia="zh-CN"/>
              </w:rPr>
              <w:t>政府、</w:t>
            </w: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急救车</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1</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辆</w:t>
            </w:r>
          </w:p>
        </w:tc>
        <w:tc>
          <w:tcPr>
            <w:tcW w:w="4216" w:type="dxa"/>
            <w:noWrap w:val="0"/>
            <w:vAlign w:val="center"/>
          </w:tcPr>
          <w:p>
            <w:pP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仪陇县人民医院、仪陇县柳垭中心卫生院、仪陇县铁山卫生院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担架</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3</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仪陇县人民医院、仪陇县柳垭中心卫生院、仪陇县铁山卫生院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应急床位</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i w:val="0"/>
                <w:iCs w:val="0"/>
                <w:color w:val="auto"/>
                <w:szCs w:val="21"/>
                <w:lang w:val="en-US" w:eastAsia="zh-CN"/>
              </w:rPr>
              <w:t>15</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仪陇县人民医院、仪陇县柳垭中心卫生院、仪陇县铁山卫生院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12</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急救医生</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10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仪陇县人民医院、仪陇县柳垭中心卫生院、仪陇县铁山卫生院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numPr>
                <w:ilvl w:val="0"/>
                <w:numId w:val="0"/>
              </w:numPr>
              <w:tabs>
                <w:tab w:val="left" w:pos="360"/>
              </w:tabs>
              <w:spacing w:line="460" w:lineRule="exact"/>
              <w:ind w:leftChars="0"/>
              <w:jc w:val="both"/>
              <w:rPr>
                <w:rFonts w:ascii="宋体" w:hAnsi="宋体"/>
                <w:i w:val="0"/>
                <w:iCs w:val="0"/>
                <w:color w:val="auto"/>
                <w:szCs w:val="21"/>
              </w:rPr>
            </w:pPr>
            <w:r>
              <w:rPr>
                <w:rFonts w:hint="eastAsia" w:ascii="宋体" w:hAnsi="宋体"/>
                <w:i w:val="0"/>
                <w:iCs w:val="0"/>
                <w:color w:val="auto"/>
                <w:szCs w:val="21"/>
                <w:lang w:val="en-US" w:eastAsia="zh-CN"/>
              </w:rPr>
              <w:t>13</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急救护士</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10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仪陇县人民医院、仪陇县柳垭中心卫生院、仪陇县铁山卫生院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bookmarkEnd w:id="45"/>
    </w:tbl>
    <w:p>
      <w:pPr>
        <w:rPr>
          <w:rFonts w:hint="eastAsia" w:ascii="黑体" w:hAnsi="宋体" w:eastAsia="黑体"/>
          <w:b/>
          <w:sz w:val="32"/>
          <w:szCs w:val="32"/>
          <w:lang w:val="en-US" w:eastAsia="zh-CN"/>
        </w:rPr>
      </w:pPr>
      <w:r>
        <w:rPr>
          <w:rFonts w:hint="eastAsia" w:ascii="黑体" w:hAnsi="宋体" w:eastAsia="黑体"/>
          <w:b/>
          <w:sz w:val="32"/>
          <w:szCs w:val="32"/>
          <w:lang w:val="en-US" w:eastAsia="zh-CN"/>
        </w:rPr>
        <w:br w:type="page"/>
      </w:r>
    </w:p>
    <w:p>
      <w:pPr>
        <w:spacing w:line="360" w:lineRule="auto"/>
        <w:jc w:val="center"/>
        <w:outlineLvl w:val="0"/>
        <w:rPr>
          <w:rFonts w:hint="eastAsia" w:ascii="黑体" w:hAnsi="宋体" w:eastAsia="黑体"/>
          <w:b/>
          <w:sz w:val="32"/>
          <w:szCs w:val="32"/>
          <w:lang w:val="en-US" w:eastAsia="zh-CN"/>
        </w:rPr>
      </w:pPr>
      <w:bookmarkStart w:id="88" w:name="_Toc26202"/>
      <w:r>
        <w:rPr>
          <w:rFonts w:hint="eastAsia" w:ascii="黑体" w:hAnsi="宋体" w:eastAsia="黑体"/>
          <w:b/>
          <w:sz w:val="32"/>
          <w:szCs w:val="32"/>
          <w:lang w:val="en-US" w:eastAsia="zh-CN"/>
        </w:rPr>
        <w:t>3危险、有害因素辨识</w:t>
      </w:r>
      <w:bookmarkEnd w:id="88"/>
    </w:p>
    <w:p>
      <w:pPr>
        <w:pStyle w:val="8"/>
        <w:spacing w:line="360" w:lineRule="auto"/>
        <w:ind w:firstLine="0" w:firstLineChars="0"/>
        <w:outlineLvl w:val="1"/>
        <w:rPr>
          <w:rFonts w:hint="eastAsia" w:ascii="黑体" w:eastAsia="黑体"/>
          <w:b/>
          <w:snapToGrid w:val="0"/>
          <w:kern w:val="0"/>
          <w:sz w:val="32"/>
          <w:szCs w:val="32"/>
        </w:rPr>
      </w:pPr>
      <w:bookmarkStart w:id="89" w:name="_Toc23610"/>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1 危险、有害因素辨识的目的</w:t>
      </w:r>
      <w:bookmarkEnd w:id="38"/>
      <w:bookmarkEnd w:id="39"/>
      <w:bookmarkEnd w:id="89"/>
    </w:p>
    <w:p>
      <w:pPr>
        <w:autoSpaceDE w:val="0"/>
        <w:autoSpaceDN w:val="0"/>
        <w:adjustRightInd w:val="0"/>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危险、有害因素是指能造成人员伤亡或影响人体健康、导致疾病和对物造成突发性或慢性损坏的因素。充分识别并掌握</w:t>
      </w:r>
      <w:r>
        <w:rPr>
          <w:rFonts w:hint="eastAsia" w:ascii="宋体" w:hAnsi="宋体"/>
          <w:snapToGrid w:val="0"/>
          <w:kern w:val="0"/>
          <w:sz w:val="28"/>
          <w:szCs w:val="28"/>
          <w:lang w:eastAsia="zh-CN"/>
        </w:rPr>
        <w:t>公司</w:t>
      </w:r>
      <w:r>
        <w:rPr>
          <w:rFonts w:hint="eastAsia" w:ascii="宋体" w:hAnsi="宋体"/>
          <w:snapToGrid w:val="0"/>
          <w:kern w:val="0"/>
          <w:sz w:val="28"/>
          <w:szCs w:val="28"/>
        </w:rPr>
        <w:t>生产系统中的危险有害因素，为企业有效减少人员伤亡和财产损失，确保生产安全具有重要意义；为企业</w:t>
      </w:r>
      <w:r>
        <w:rPr>
          <w:rFonts w:ascii="宋体" w:hAnsi="宋体"/>
          <w:snapToGrid w:val="0"/>
          <w:kern w:val="0"/>
          <w:sz w:val="28"/>
          <w:szCs w:val="28"/>
        </w:rPr>
        <w:t>在</w:t>
      </w:r>
      <w:r>
        <w:rPr>
          <w:rFonts w:hint="eastAsia" w:ascii="宋体" w:hAnsi="宋体"/>
          <w:snapToGrid w:val="0"/>
          <w:kern w:val="0"/>
          <w:sz w:val="28"/>
          <w:szCs w:val="28"/>
        </w:rPr>
        <w:t>实际生产中查找事故隐患并制定整改措施、制定事故应急救援预案</w:t>
      </w:r>
      <w:r>
        <w:rPr>
          <w:rFonts w:ascii="宋体" w:hAnsi="宋体"/>
          <w:snapToGrid w:val="0"/>
          <w:kern w:val="0"/>
          <w:sz w:val="28"/>
          <w:szCs w:val="28"/>
        </w:rPr>
        <w:t>指明方向。</w:t>
      </w:r>
    </w:p>
    <w:p>
      <w:pPr>
        <w:pStyle w:val="8"/>
        <w:spacing w:line="360" w:lineRule="auto"/>
        <w:ind w:firstLine="0" w:firstLineChars="0"/>
        <w:outlineLvl w:val="1"/>
        <w:rPr>
          <w:rFonts w:ascii="黑体" w:eastAsia="黑体"/>
          <w:b/>
          <w:snapToGrid w:val="0"/>
          <w:kern w:val="0"/>
          <w:sz w:val="32"/>
          <w:szCs w:val="32"/>
        </w:rPr>
      </w:pPr>
      <w:bookmarkStart w:id="90" w:name="_Toc356401484"/>
      <w:bookmarkStart w:id="91" w:name="_Toc514342839"/>
      <w:bookmarkStart w:id="92" w:name="_Toc480804387"/>
      <w:bookmarkStart w:id="93" w:name="_Toc7014"/>
      <w:bookmarkStart w:id="94" w:name="_Toc350781091"/>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2 危险、有害因素辨识的依据</w:t>
      </w:r>
      <w:bookmarkEnd w:id="90"/>
      <w:bookmarkEnd w:id="91"/>
      <w:bookmarkEnd w:id="92"/>
      <w:bookmarkEnd w:id="93"/>
      <w:bookmarkEnd w:id="94"/>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（1）按照《危险化学品名录（20</w:t>
      </w:r>
      <w:r>
        <w:rPr>
          <w:rFonts w:hint="eastAsia" w:ascii="宋体" w:hAnsi="宋体"/>
          <w:snapToGrid w:val="0"/>
          <w:kern w:val="0"/>
          <w:sz w:val="28"/>
          <w:szCs w:val="28"/>
        </w:rPr>
        <w:t>1</w:t>
      </w:r>
      <w:r>
        <w:rPr>
          <w:rFonts w:hint="eastAsia" w:ascii="宋体" w:hAnsi="宋体"/>
          <w:snapToGrid w:val="0"/>
          <w:kern w:val="0"/>
          <w:sz w:val="28"/>
          <w:szCs w:val="28"/>
          <w:lang w:val="en-US" w:eastAsia="zh-CN"/>
        </w:rPr>
        <w:t>8</w:t>
      </w:r>
      <w:r>
        <w:rPr>
          <w:rFonts w:ascii="宋体" w:hAnsi="宋体"/>
          <w:snapToGrid w:val="0"/>
          <w:kern w:val="0"/>
          <w:sz w:val="28"/>
          <w:szCs w:val="28"/>
        </w:rPr>
        <w:t>版）》将有害物质分为爆炸品、压缩气体和液化气体、易燃液体、易燃固体、自燃物品和遇湿易燃物品、氧化剂和有机过氧化物、毒害品和感染性物品、腐蚀品8大类，对系统中使用的物质及产品进行辨识与分析。</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（2）根据《危险化学品重大危险源辨识》（</w:t>
      </w:r>
      <w:r>
        <w:rPr>
          <w:rFonts w:hint="eastAsia" w:ascii="宋体" w:hAnsi="宋体"/>
          <w:snapToGrid w:val="0"/>
          <w:kern w:val="0"/>
          <w:sz w:val="28"/>
          <w:szCs w:val="28"/>
          <w:lang w:eastAsia="zh-CN"/>
        </w:rPr>
        <w:t>GB18218-2018</w:t>
      </w:r>
      <w:r>
        <w:rPr>
          <w:rFonts w:ascii="宋体" w:hAnsi="宋体"/>
          <w:snapToGrid w:val="0"/>
          <w:kern w:val="0"/>
          <w:sz w:val="28"/>
          <w:szCs w:val="28"/>
        </w:rPr>
        <w:t>），对</w:t>
      </w:r>
      <w:r>
        <w:rPr>
          <w:rFonts w:hint="eastAsia" w:ascii="宋体" w:hAnsi="宋体"/>
          <w:snapToGrid w:val="0"/>
          <w:kern w:val="0"/>
          <w:sz w:val="28"/>
          <w:szCs w:val="28"/>
          <w:lang w:eastAsia="zh-CN"/>
        </w:rPr>
        <w:t>厂区</w:t>
      </w:r>
      <w:r>
        <w:rPr>
          <w:rFonts w:ascii="宋体" w:hAnsi="宋体"/>
          <w:snapToGrid w:val="0"/>
          <w:kern w:val="0"/>
          <w:sz w:val="28"/>
          <w:szCs w:val="28"/>
        </w:rPr>
        <w:t>中使用到的各种物质进行重大危险源的计算与辨识。</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3）参照《企业职工伤亡事故分类》（GB6441-1986），综合考虑起因物、引发事故的诱导性原因、致害物、伤害方式等，将事故分为物体打击、车辆伤害、机械伤害、起重伤害、触电等20类，对系统中作业场所按照事故类型进行辨识与分析。</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（4）根据《生产过程危险和危害因素分类与代码》（GB/T13861-2009）对</w:t>
      </w:r>
      <w:r>
        <w:rPr>
          <w:rFonts w:hint="eastAsia" w:ascii="宋体" w:hAnsi="宋体"/>
          <w:snapToGrid w:val="0"/>
          <w:kern w:val="0"/>
          <w:sz w:val="28"/>
          <w:szCs w:val="28"/>
          <w:lang w:eastAsia="zh-CN"/>
        </w:rPr>
        <w:t>厂区</w:t>
      </w:r>
      <w:r>
        <w:rPr>
          <w:rFonts w:ascii="宋体" w:hAnsi="宋体"/>
          <w:snapToGrid w:val="0"/>
          <w:kern w:val="0"/>
          <w:sz w:val="28"/>
          <w:szCs w:val="28"/>
        </w:rPr>
        <w:t>生产过程中的危险、有害因素进行辨识与分析。</w:t>
      </w:r>
    </w:p>
    <w:p>
      <w:pPr>
        <w:spacing w:line="360" w:lineRule="auto"/>
        <w:ind w:firstLine="560" w:firstLineChars="200"/>
        <w:textAlignment w:val="baseline"/>
        <w:rPr>
          <w:rFonts w:hint="eastAsia" w:ascii="宋体" w:hAnsi="宋体"/>
          <w:sz w:val="28"/>
          <w:szCs w:val="28"/>
        </w:rPr>
      </w:pPr>
      <w:bookmarkStart w:id="95" w:name="_Toc356401485"/>
      <w:bookmarkStart w:id="96" w:name="_Toc350781092"/>
      <w:bookmarkStart w:id="97" w:name="_Toc480804388"/>
      <w:r>
        <w:rPr>
          <w:rFonts w:hint="eastAsia" w:ascii="宋体" w:hAnsi="宋体"/>
          <w:sz w:val="28"/>
          <w:szCs w:val="28"/>
        </w:rPr>
        <w:t>（5）参照</w:t>
      </w:r>
      <w:r>
        <w:rPr>
          <w:rFonts w:hint="eastAsia" w:ascii="宋体" w:hAnsi="宋体"/>
          <w:bCs/>
          <w:sz w:val="28"/>
          <w:szCs w:val="28"/>
        </w:rPr>
        <w:t>《职业病危害因素分类》（</w:t>
      </w:r>
      <w:r>
        <w:rPr>
          <w:rFonts w:ascii="宋体" w:hAnsi="宋体"/>
          <w:bCs/>
          <w:sz w:val="28"/>
          <w:szCs w:val="28"/>
        </w:rPr>
        <w:t>国卫疾控发〔201</w:t>
      </w:r>
      <w:r>
        <w:rPr>
          <w:rFonts w:hint="eastAsia" w:ascii="宋体" w:hAnsi="宋体"/>
          <w:bCs/>
          <w:sz w:val="28"/>
          <w:szCs w:val="28"/>
        </w:rPr>
        <w:t>5</w:t>
      </w:r>
      <w:r>
        <w:rPr>
          <w:rFonts w:ascii="宋体" w:hAnsi="宋体"/>
          <w:bCs/>
          <w:sz w:val="28"/>
          <w:szCs w:val="28"/>
        </w:rPr>
        <w:t>〕</w:t>
      </w:r>
      <w:r>
        <w:rPr>
          <w:rFonts w:hint="eastAsia" w:ascii="宋体" w:hAnsi="宋体"/>
          <w:bCs/>
          <w:sz w:val="28"/>
          <w:szCs w:val="28"/>
        </w:rPr>
        <w:t>92</w:t>
      </w:r>
      <w:r>
        <w:rPr>
          <w:rFonts w:ascii="宋体" w:hAnsi="宋体"/>
          <w:bCs/>
          <w:sz w:val="28"/>
          <w:szCs w:val="28"/>
        </w:rPr>
        <w:t>号</w:t>
      </w:r>
      <w:r>
        <w:rPr>
          <w:rFonts w:hint="eastAsia" w:ascii="宋体" w:hAnsi="宋体"/>
          <w:bCs/>
          <w:sz w:val="28"/>
          <w:szCs w:val="28"/>
        </w:rPr>
        <w:t>）</w:t>
      </w:r>
      <w:r>
        <w:rPr>
          <w:rFonts w:hint="eastAsia" w:ascii="宋体" w:hAnsi="宋体"/>
          <w:sz w:val="28"/>
          <w:szCs w:val="28"/>
        </w:rPr>
        <w:t>对作业环境进行职业危害辨识与分析。</w:t>
      </w:r>
    </w:p>
    <w:p>
      <w:pPr>
        <w:pStyle w:val="8"/>
        <w:spacing w:line="360" w:lineRule="auto"/>
        <w:ind w:firstLine="0" w:firstLineChars="0"/>
        <w:outlineLvl w:val="1"/>
        <w:rPr>
          <w:rFonts w:hint="eastAsia" w:ascii="黑体" w:eastAsia="黑体"/>
          <w:b/>
          <w:snapToGrid w:val="0"/>
          <w:kern w:val="0"/>
          <w:sz w:val="32"/>
          <w:szCs w:val="32"/>
        </w:rPr>
      </w:pPr>
      <w:bookmarkStart w:id="98" w:name="_Toc514342840"/>
      <w:bookmarkStart w:id="99" w:name="_Toc27182"/>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3 危险、有害因素辨识的方法</w:t>
      </w:r>
      <w:bookmarkEnd w:id="95"/>
      <w:bookmarkEnd w:id="96"/>
      <w:bookmarkEnd w:id="97"/>
      <w:bookmarkEnd w:id="98"/>
      <w:bookmarkEnd w:id="99"/>
    </w:p>
    <w:p>
      <w:pPr>
        <w:spacing w:line="360" w:lineRule="auto"/>
        <w:ind w:firstLine="560" w:firstLineChars="200"/>
        <w:textAlignment w:val="baseline"/>
        <w:rPr>
          <w:rFonts w:ascii="宋体" w:hAnsi="宋体"/>
          <w:sz w:val="28"/>
          <w:szCs w:val="28"/>
        </w:rPr>
      </w:pPr>
      <w:r>
        <w:rPr>
          <w:rFonts w:hint="eastAsia" w:ascii="宋体" w:hAnsi="宋体"/>
          <w:sz w:val="28"/>
          <w:szCs w:val="28"/>
          <w:lang w:eastAsia="zh-CN"/>
        </w:rPr>
        <w:t>公司</w:t>
      </w:r>
      <w:r>
        <w:rPr>
          <w:rFonts w:ascii="宋体" w:hAnsi="宋体"/>
          <w:sz w:val="28"/>
          <w:szCs w:val="28"/>
        </w:rPr>
        <w:t>生产过程复杂，生产条件多变，涉及的危险、有害因素较多。必须选择适当的方法识别分析危险和有害因素，为制定相关的防范措施奠定基础。本次安全评价选用对照分析法和专家评议法对生产过程中主要危险、有害因素进行辨识。</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⑴ 对照分析法</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对照分析法是对照有关标准、规范、规程、法规或依靠分析人员的观察能力，借助其经验和判断能力，直观地对评价对象的危险因素进行分析的方法。</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⑵ 专家评议法</w:t>
      </w:r>
    </w:p>
    <w:p>
      <w:pPr>
        <w:pStyle w:val="8"/>
        <w:spacing w:line="360" w:lineRule="auto"/>
        <w:ind w:firstLine="560"/>
        <w:rPr>
          <w:rFonts w:hint="eastAsia" w:ascii="宋体" w:hAnsi="宋体"/>
          <w:snapToGrid w:val="0"/>
          <w:kern w:val="0"/>
          <w:sz w:val="28"/>
          <w:szCs w:val="28"/>
        </w:rPr>
      </w:pPr>
      <w:r>
        <w:rPr>
          <w:rFonts w:ascii="宋体" w:hAnsi="宋体"/>
          <w:snapToGrid w:val="0"/>
          <w:kern w:val="0"/>
          <w:sz w:val="28"/>
          <w:szCs w:val="28"/>
        </w:rPr>
        <w:t>专家评议法是一种吸收专家参加，根据事物过去、现在及发展趋势，进行积极思维活动，对事物的未来进行分析、预测的方法。其实质是集</w:t>
      </w:r>
      <w:r>
        <w:rPr>
          <w:rFonts w:hint="eastAsia" w:ascii="宋体" w:hAnsi="宋体"/>
          <w:snapToGrid w:val="0"/>
          <w:kern w:val="0"/>
          <w:sz w:val="28"/>
          <w:szCs w:val="28"/>
        </w:rPr>
        <w:t>中技术</w:t>
      </w:r>
      <w:r>
        <w:rPr>
          <w:rFonts w:ascii="宋体" w:hAnsi="宋体"/>
          <w:snapToGrid w:val="0"/>
          <w:kern w:val="0"/>
          <w:sz w:val="28"/>
          <w:szCs w:val="28"/>
        </w:rPr>
        <w:t>专家的经验、知识和分析、推断能力来分析、识别危险、有害因素。</w:t>
      </w:r>
    </w:p>
    <w:p>
      <w:pPr>
        <w:pStyle w:val="8"/>
        <w:spacing w:line="360" w:lineRule="auto"/>
        <w:ind w:firstLine="0" w:firstLineChars="0"/>
        <w:outlineLvl w:val="1"/>
        <w:rPr>
          <w:rFonts w:hint="eastAsia" w:ascii="黑体" w:eastAsia="黑体"/>
          <w:b/>
          <w:snapToGrid w:val="0"/>
          <w:kern w:val="0"/>
          <w:sz w:val="32"/>
          <w:szCs w:val="32"/>
        </w:rPr>
      </w:pPr>
      <w:bookmarkStart w:id="100" w:name="_Toc514342841"/>
      <w:bookmarkStart w:id="101" w:name="_Toc480804389"/>
      <w:bookmarkStart w:id="102" w:name="_Toc345593159"/>
      <w:bookmarkStart w:id="103" w:name="_Toc19679"/>
      <w:bookmarkStart w:id="104" w:name="_Toc356401486"/>
      <w:bookmarkStart w:id="105" w:name="_Toc356380973"/>
      <w:bookmarkStart w:id="106" w:name="_Toc332350845"/>
      <w:bookmarkStart w:id="107" w:name="_Toc350781094"/>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4 主要危险、有害物质特性分析</w:t>
      </w:r>
      <w:bookmarkEnd w:id="100"/>
      <w:bookmarkEnd w:id="101"/>
      <w:bookmarkEnd w:id="102"/>
      <w:bookmarkEnd w:id="103"/>
      <w:bookmarkEnd w:id="104"/>
      <w:bookmarkEnd w:id="105"/>
      <w:bookmarkEnd w:id="106"/>
    </w:p>
    <w:p>
      <w:pPr>
        <w:pStyle w:val="8"/>
        <w:spacing w:line="360" w:lineRule="auto"/>
        <w:ind w:firstLine="560"/>
        <w:rPr>
          <w:rFonts w:hint="eastAsia" w:ascii="宋体" w:hAnsi="宋体"/>
          <w:snapToGrid w:val="0"/>
          <w:kern w:val="0"/>
          <w:sz w:val="28"/>
          <w:szCs w:val="28"/>
        </w:rPr>
      </w:pPr>
      <w:r>
        <w:rPr>
          <w:rFonts w:hint="eastAsia" w:ascii="宋体" w:hAnsi="宋体"/>
          <w:snapToGrid w:val="0"/>
          <w:kern w:val="0"/>
          <w:sz w:val="28"/>
          <w:szCs w:val="28"/>
        </w:rPr>
        <w:t>本系统主要使用煤炭作为燃料，点火时使用柴油。煤炭、柴油等物质在燃烧过程中，产生一氧化碳、二氧化碳及硫（磷）氧化物等危险、有害物质，对人体及周边环境造成影响。</w:t>
      </w:r>
    </w:p>
    <w:p>
      <w:pPr>
        <w:pStyle w:val="8"/>
        <w:spacing w:line="360" w:lineRule="auto"/>
        <w:ind w:firstLine="0" w:firstLineChars="0"/>
        <w:outlineLvl w:val="2"/>
        <w:rPr>
          <w:rFonts w:ascii="宋体" w:hAnsi="宋体"/>
          <w:b/>
          <w:snapToGrid w:val="0"/>
          <w:kern w:val="0"/>
          <w:sz w:val="28"/>
          <w:szCs w:val="28"/>
        </w:rPr>
      </w:pPr>
      <w:bookmarkStart w:id="108" w:name="_Toc332350846"/>
      <w:bookmarkStart w:id="109" w:name="_Toc480804390"/>
      <w:bookmarkStart w:id="110" w:name="_Toc356401487"/>
      <w:bookmarkStart w:id="111" w:name="_Toc356380974"/>
      <w:bookmarkStart w:id="112" w:name="_Toc7131"/>
      <w:bookmarkStart w:id="113" w:name="_Toc514342842"/>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4.1 煤</w:t>
      </w:r>
      <w:bookmarkEnd w:id="108"/>
      <w:bookmarkEnd w:id="109"/>
      <w:bookmarkEnd w:id="110"/>
      <w:bookmarkEnd w:id="111"/>
      <w:bookmarkEnd w:id="112"/>
      <w:bookmarkEnd w:id="113"/>
    </w:p>
    <w:p>
      <w:pPr>
        <w:spacing w:line="360" w:lineRule="auto"/>
        <w:ind w:firstLine="560" w:firstLineChars="200"/>
        <w:rPr>
          <w:rFonts w:hint="eastAsia" w:ascii="宋体" w:hAnsi="宋体"/>
          <w:sz w:val="28"/>
          <w:szCs w:val="28"/>
        </w:rPr>
      </w:pPr>
      <w:r>
        <w:rPr>
          <w:rFonts w:hint="eastAsia" w:ascii="宋体" w:hAnsi="宋体"/>
          <w:sz w:val="28"/>
          <w:szCs w:val="28"/>
        </w:rPr>
        <w:t>煤的主要元素是碳，其次是氢，并含有少量的氧、氮、硫。碳和氢是煤的主要可燃元素；氧是煤中的一种有害物质，因为它和碳、氢等可燃元素构成氧化物而使它们推动了进行燃烧的可能性；氮在一般情况下不参加燃烧反应，是燃料中的惰性元素，但在高温条件下，氮和氧形成NOX，这是一种对大气有严重污染作用的有害气体；硫是一种极有害的物质，因为燃烧后生产二氧化硫和三氧化硫，能危害人体健康和造成大气污染。煤炭的储存也很重要，主要是防火灾危险，因为各种煤有不同程度的自燃能力，再加上煤内水分的影响、空气湿度的影响、氧化影响、粒度大小的影响等等，也影响了自燃能力的大小。</w:t>
      </w:r>
    </w:p>
    <w:p>
      <w:pPr>
        <w:pStyle w:val="8"/>
        <w:spacing w:line="360" w:lineRule="auto"/>
        <w:ind w:firstLine="0" w:firstLineChars="0"/>
        <w:outlineLvl w:val="2"/>
        <w:rPr>
          <w:rFonts w:ascii="宋体" w:hAnsi="宋体"/>
          <w:b/>
          <w:snapToGrid w:val="0"/>
          <w:kern w:val="0"/>
          <w:sz w:val="28"/>
          <w:szCs w:val="28"/>
        </w:rPr>
      </w:pPr>
      <w:bookmarkStart w:id="114" w:name="_Toc356401488"/>
      <w:bookmarkStart w:id="115" w:name="_Toc332350847"/>
      <w:bookmarkStart w:id="116" w:name="_Toc356380975"/>
      <w:bookmarkStart w:id="117" w:name="_Toc480804391"/>
      <w:bookmarkStart w:id="118" w:name="_Toc23854"/>
      <w:bookmarkStart w:id="119" w:name="_Toc514342843"/>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4.2 柴油</w:t>
      </w:r>
      <w:bookmarkEnd w:id="114"/>
      <w:bookmarkEnd w:id="115"/>
      <w:bookmarkEnd w:id="116"/>
      <w:bookmarkEnd w:id="117"/>
      <w:bookmarkEnd w:id="118"/>
      <w:bookmarkEnd w:id="119"/>
    </w:p>
    <w:p>
      <w:pPr>
        <w:adjustRightInd w:val="0"/>
        <w:snapToGrid w:val="0"/>
        <w:spacing w:line="360" w:lineRule="auto"/>
        <w:ind w:firstLine="560" w:firstLineChars="200"/>
        <w:rPr>
          <w:rFonts w:hint="eastAsia"/>
          <w:sz w:val="28"/>
          <w:szCs w:val="28"/>
        </w:rPr>
      </w:pPr>
      <w:r>
        <w:rPr>
          <w:rFonts w:hint="eastAsia"/>
          <w:sz w:val="28"/>
          <w:szCs w:val="28"/>
        </w:rPr>
        <w:t>柴油主要是由烷烃、烯烃、芳香烃、多环芳烃与少量硫（2~60</w:t>
      </w:r>
      <w:r>
        <w:rPr>
          <w:sz w:val="28"/>
          <w:szCs w:val="28"/>
        </w:rPr>
        <w:t>g/Kg</w:t>
      </w:r>
      <w:r>
        <w:rPr>
          <w:rFonts w:hint="eastAsia"/>
          <w:sz w:val="28"/>
          <w:szCs w:val="28"/>
        </w:rPr>
        <w:t>）、氮（＜1</w:t>
      </w:r>
      <w:r>
        <w:rPr>
          <w:sz w:val="28"/>
          <w:szCs w:val="28"/>
        </w:rPr>
        <w:t xml:space="preserve"> g/Kg</w:t>
      </w:r>
      <w:r>
        <w:rPr>
          <w:rFonts w:hint="eastAsia"/>
          <w:sz w:val="28"/>
          <w:szCs w:val="28"/>
        </w:rPr>
        <w:t>）及添加剂组成的混合物。以燃料油为例：白色或淡黄色液体，相对密度0.85；熔点</w:t>
      </w:r>
      <w:r>
        <w:rPr>
          <w:sz w:val="28"/>
          <w:szCs w:val="28"/>
        </w:rPr>
        <w:t>--</w:t>
      </w:r>
      <w:r>
        <w:rPr>
          <w:rFonts w:hint="eastAsia"/>
          <w:sz w:val="28"/>
          <w:szCs w:val="28"/>
        </w:rPr>
        <w:t>29.56℃，沸点180~370℃，闪点40℃，蒸气密度4，蒸气压4.0</w:t>
      </w:r>
      <w:r>
        <w:rPr>
          <w:sz w:val="28"/>
          <w:szCs w:val="28"/>
        </w:rPr>
        <w:t>Kpa</w:t>
      </w:r>
      <w:r>
        <w:rPr>
          <w:rFonts w:hint="eastAsia"/>
          <w:sz w:val="28"/>
          <w:szCs w:val="28"/>
        </w:rPr>
        <w:t>。</w:t>
      </w:r>
    </w:p>
    <w:p>
      <w:pPr>
        <w:adjustRightInd w:val="0"/>
        <w:snapToGrid w:val="0"/>
        <w:spacing w:line="360" w:lineRule="auto"/>
        <w:ind w:firstLine="560" w:firstLineChars="200"/>
        <w:rPr>
          <w:rFonts w:hint="eastAsia"/>
          <w:sz w:val="28"/>
          <w:szCs w:val="28"/>
        </w:rPr>
      </w:pPr>
      <w:r>
        <w:rPr>
          <w:rFonts w:hint="eastAsia"/>
          <w:sz w:val="28"/>
          <w:szCs w:val="28"/>
        </w:rPr>
        <w:t>危险性：蒸气与空气混合物可燃限0.7~5.0%；不溶于水；遇热、火花、明火易燃，可蓄积静电，引起电火花；分解和燃烧产物为一氧化化碳、二氧化碳和硫氧化物；避免接触氧化剂。</w:t>
      </w:r>
    </w:p>
    <w:p>
      <w:pPr>
        <w:adjustRightInd w:val="0"/>
        <w:snapToGrid w:val="0"/>
        <w:spacing w:line="360" w:lineRule="auto"/>
        <w:ind w:firstLine="560" w:firstLineChars="200"/>
        <w:rPr>
          <w:rFonts w:hint="eastAsia"/>
          <w:sz w:val="28"/>
          <w:szCs w:val="28"/>
        </w:rPr>
      </w:pPr>
      <w:r>
        <w:rPr>
          <w:rFonts w:hint="eastAsia"/>
          <w:sz w:val="28"/>
          <w:szCs w:val="28"/>
        </w:rPr>
        <w:t>危害性：皮肤大量接触后，个别人可能发生肾脏损害；皮肤接触后，可发生接触性皮炎，表现为红斑、水疱、丘疹。</w:t>
      </w:r>
    </w:p>
    <w:p>
      <w:pPr>
        <w:adjustRightInd w:val="0"/>
        <w:snapToGrid w:val="0"/>
        <w:spacing w:line="360" w:lineRule="auto"/>
        <w:ind w:firstLine="560" w:firstLineChars="200"/>
        <w:rPr>
          <w:rFonts w:hint="eastAsia"/>
          <w:sz w:val="28"/>
          <w:szCs w:val="28"/>
        </w:rPr>
      </w:pPr>
      <w:r>
        <w:rPr>
          <w:rFonts w:hint="eastAsia"/>
          <w:sz w:val="28"/>
          <w:szCs w:val="28"/>
        </w:rPr>
        <w:t>灭火剂：泡沫、干粉、二氧化碳、砂土。</w:t>
      </w:r>
    </w:p>
    <w:p>
      <w:pPr>
        <w:adjustRightInd w:val="0"/>
        <w:snapToGrid w:val="0"/>
        <w:spacing w:line="360" w:lineRule="auto"/>
        <w:ind w:firstLine="560" w:firstLineChars="200"/>
        <w:rPr>
          <w:rFonts w:hint="eastAsia"/>
          <w:sz w:val="28"/>
          <w:szCs w:val="28"/>
        </w:rPr>
      </w:pPr>
      <w:r>
        <w:rPr>
          <w:rFonts w:hint="eastAsia"/>
          <w:sz w:val="28"/>
          <w:szCs w:val="28"/>
        </w:rPr>
        <w:t>着火性、流动性和凝点是柴油性能的重要指标。</w:t>
      </w:r>
    </w:p>
    <w:p>
      <w:pPr>
        <w:pStyle w:val="8"/>
        <w:spacing w:line="360" w:lineRule="auto"/>
        <w:ind w:firstLine="0" w:firstLineChars="0"/>
        <w:outlineLvl w:val="2"/>
        <w:rPr>
          <w:rFonts w:hint="eastAsia" w:ascii="宋体" w:hAnsi="宋体"/>
          <w:b/>
          <w:snapToGrid w:val="0"/>
          <w:kern w:val="0"/>
          <w:sz w:val="28"/>
          <w:szCs w:val="28"/>
        </w:rPr>
      </w:pPr>
      <w:bookmarkStart w:id="120" w:name="_Toc356401489"/>
      <w:bookmarkStart w:id="121" w:name="_Toc5140"/>
      <w:bookmarkStart w:id="122" w:name="_Toc356380976"/>
      <w:bookmarkStart w:id="123" w:name="_Toc480804392"/>
      <w:bookmarkStart w:id="124" w:name="_Toc514342844"/>
      <w:bookmarkStart w:id="125" w:name="_Toc332350848"/>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4.3 一氧化碳</w:t>
      </w:r>
      <w:bookmarkEnd w:id="120"/>
      <w:bookmarkEnd w:id="121"/>
      <w:bookmarkEnd w:id="122"/>
      <w:bookmarkEnd w:id="123"/>
      <w:bookmarkEnd w:id="124"/>
      <w:bookmarkEnd w:id="125"/>
    </w:p>
    <w:p>
      <w:pPr>
        <w:adjustRightInd w:val="0"/>
        <w:snapToGrid w:val="0"/>
        <w:spacing w:line="360" w:lineRule="auto"/>
        <w:ind w:firstLine="560" w:firstLineChars="200"/>
        <w:rPr>
          <w:rFonts w:hint="eastAsia"/>
          <w:sz w:val="28"/>
          <w:szCs w:val="28"/>
        </w:rPr>
      </w:pPr>
      <w:r>
        <w:rPr>
          <w:rFonts w:hint="eastAsia"/>
          <w:sz w:val="28"/>
          <w:szCs w:val="28"/>
        </w:rPr>
        <w:t xml:space="preserve">英文名：Carbon  Monoxide               分子式：CO   </w:t>
      </w:r>
    </w:p>
    <w:p>
      <w:pPr>
        <w:adjustRightInd w:val="0"/>
        <w:snapToGrid w:val="0"/>
        <w:spacing w:line="360" w:lineRule="auto"/>
        <w:ind w:firstLine="560" w:firstLineChars="200"/>
        <w:rPr>
          <w:rFonts w:hint="eastAsia"/>
          <w:sz w:val="28"/>
          <w:szCs w:val="28"/>
        </w:rPr>
      </w:pPr>
      <w:r>
        <w:rPr>
          <w:rFonts w:hint="eastAsia"/>
          <w:sz w:val="28"/>
          <w:szCs w:val="28"/>
        </w:rPr>
        <w:t xml:space="preserve">性状：无色、无味气体；                 熔点：-199．1℃   </w:t>
      </w:r>
    </w:p>
    <w:p>
      <w:pPr>
        <w:adjustRightInd w:val="0"/>
        <w:snapToGrid w:val="0"/>
        <w:spacing w:line="360" w:lineRule="auto"/>
        <w:ind w:firstLine="560" w:firstLineChars="200"/>
        <w:rPr>
          <w:rFonts w:hint="eastAsia"/>
          <w:sz w:val="28"/>
          <w:szCs w:val="28"/>
        </w:rPr>
      </w:pPr>
      <w:r>
        <w:rPr>
          <w:rFonts w:hint="eastAsia"/>
          <w:sz w:val="28"/>
          <w:szCs w:val="28"/>
        </w:rPr>
        <w:t xml:space="preserve">沸点：-192℃                           相对密度：0．97   </w:t>
      </w:r>
    </w:p>
    <w:p>
      <w:pPr>
        <w:adjustRightInd w:val="0"/>
        <w:snapToGrid w:val="0"/>
        <w:spacing w:line="360" w:lineRule="auto"/>
        <w:ind w:firstLine="560" w:firstLineChars="200"/>
        <w:rPr>
          <w:rFonts w:hint="eastAsia"/>
          <w:sz w:val="28"/>
          <w:szCs w:val="28"/>
        </w:rPr>
      </w:pPr>
      <w:r>
        <w:rPr>
          <w:rFonts w:hint="eastAsia"/>
          <w:sz w:val="28"/>
          <w:szCs w:val="28"/>
        </w:rPr>
        <w:t>危险性类别：第2.易燃气体               危编号：21005</w:t>
      </w:r>
    </w:p>
    <w:p>
      <w:pPr>
        <w:adjustRightInd w:val="0"/>
        <w:snapToGrid w:val="0"/>
        <w:spacing w:line="360" w:lineRule="auto"/>
        <w:ind w:firstLine="560" w:firstLineChars="200"/>
        <w:rPr>
          <w:rFonts w:hint="eastAsia"/>
          <w:sz w:val="28"/>
          <w:szCs w:val="28"/>
        </w:rPr>
      </w:pPr>
      <w:r>
        <w:rPr>
          <w:rFonts w:hint="eastAsia"/>
          <w:sz w:val="28"/>
          <w:szCs w:val="28"/>
        </w:rPr>
        <w:t>un：1016(气体)                     爆炸极限：12</w:t>
      </w:r>
      <w:r>
        <w:rPr>
          <w:sz w:val="28"/>
          <w:szCs w:val="28"/>
        </w:rPr>
        <w:t>.</w:t>
      </w:r>
      <w:r>
        <w:rPr>
          <w:rFonts w:hint="eastAsia"/>
          <w:sz w:val="28"/>
          <w:szCs w:val="28"/>
        </w:rPr>
        <w:t>5~74％（V）</w:t>
      </w:r>
    </w:p>
    <w:p>
      <w:pPr>
        <w:adjustRightInd w:val="0"/>
        <w:snapToGrid w:val="0"/>
        <w:spacing w:line="360" w:lineRule="auto"/>
        <w:ind w:firstLine="560" w:firstLineChars="200"/>
        <w:rPr>
          <w:rFonts w:hint="eastAsia"/>
          <w:sz w:val="28"/>
          <w:szCs w:val="28"/>
        </w:rPr>
      </w:pPr>
      <w:r>
        <w:rPr>
          <w:rFonts w:hint="eastAsia"/>
          <w:sz w:val="28"/>
          <w:szCs w:val="28"/>
        </w:rPr>
        <w:t>最高容许浓度：30mg／m³(按职业性接触毒物危害程度分级为Ⅱ级，高度危害物质)。</w:t>
      </w:r>
    </w:p>
    <w:p>
      <w:pPr>
        <w:adjustRightInd w:val="0"/>
        <w:snapToGrid w:val="0"/>
        <w:spacing w:line="360" w:lineRule="auto"/>
        <w:ind w:firstLine="560" w:firstLineChars="200"/>
        <w:rPr>
          <w:rFonts w:hint="eastAsia"/>
          <w:sz w:val="28"/>
          <w:szCs w:val="28"/>
        </w:rPr>
      </w:pPr>
      <w:r>
        <w:rPr>
          <w:rFonts w:hint="eastAsia"/>
          <w:sz w:val="28"/>
          <w:szCs w:val="28"/>
        </w:rPr>
        <w:t>健康危害：一氧化碳在血液中与血红蛋白结合而造成组织缺氧。</w:t>
      </w:r>
    </w:p>
    <w:p>
      <w:pPr>
        <w:adjustRightInd w:val="0"/>
        <w:snapToGrid w:val="0"/>
        <w:spacing w:line="360" w:lineRule="auto"/>
        <w:ind w:firstLine="560" w:firstLineChars="200"/>
        <w:rPr>
          <w:rFonts w:hint="eastAsia"/>
          <w:sz w:val="28"/>
          <w:szCs w:val="28"/>
        </w:rPr>
      </w:pPr>
      <w:r>
        <w:rPr>
          <w:rFonts w:hint="eastAsia"/>
          <w:sz w:val="28"/>
          <w:szCs w:val="28"/>
        </w:rPr>
        <w:t>急性中毒：轻度中毒出现头痛、头晕、耳鸣、心悸、恶心、呕吐、无力；中度中毒除出现上述症状外还有皮肤粘膜呈樱红色、脉快、烦躁、步态不稳；重度患者深度昏迷、瞳孔扩大、肌张力增强，频繁抽搐、大小便失禁、休克、肺水肿、严重心肌损害等。</w:t>
      </w:r>
    </w:p>
    <w:p>
      <w:pPr>
        <w:pStyle w:val="8"/>
        <w:spacing w:line="360" w:lineRule="auto"/>
        <w:ind w:firstLine="0" w:firstLineChars="0"/>
        <w:outlineLvl w:val="2"/>
        <w:rPr>
          <w:rFonts w:hint="eastAsia" w:ascii="宋体" w:hAnsi="宋体"/>
          <w:b/>
          <w:snapToGrid w:val="0"/>
          <w:kern w:val="0"/>
          <w:sz w:val="28"/>
          <w:szCs w:val="28"/>
        </w:rPr>
      </w:pPr>
      <w:bookmarkStart w:id="126" w:name="_Toc356380977"/>
      <w:bookmarkStart w:id="127" w:name="_Toc514342845"/>
      <w:bookmarkStart w:id="128" w:name="_Toc332350849"/>
      <w:bookmarkStart w:id="129" w:name="_Toc480804393"/>
      <w:bookmarkStart w:id="130" w:name="_Toc356401490"/>
      <w:bookmarkStart w:id="131" w:name="_Toc11700"/>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4.4 二氧化碳</w:t>
      </w:r>
      <w:bookmarkEnd w:id="126"/>
      <w:bookmarkEnd w:id="127"/>
      <w:bookmarkEnd w:id="128"/>
      <w:bookmarkEnd w:id="129"/>
      <w:bookmarkEnd w:id="130"/>
      <w:bookmarkEnd w:id="131"/>
      <w:r>
        <w:rPr>
          <w:rFonts w:hint="eastAsia" w:ascii="宋体" w:hAnsi="宋体"/>
          <w:b/>
          <w:snapToGrid w:val="0"/>
          <w:kern w:val="0"/>
          <w:sz w:val="28"/>
          <w:szCs w:val="28"/>
        </w:rPr>
        <w:t xml:space="preserve"> </w:t>
      </w:r>
    </w:p>
    <w:p>
      <w:pPr>
        <w:adjustRightInd w:val="0"/>
        <w:snapToGrid w:val="0"/>
        <w:spacing w:line="360" w:lineRule="auto"/>
        <w:ind w:firstLine="560" w:firstLineChars="200"/>
        <w:rPr>
          <w:rFonts w:hint="eastAsia"/>
          <w:sz w:val="28"/>
          <w:szCs w:val="28"/>
        </w:rPr>
      </w:pPr>
      <w:r>
        <w:rPr>
          <w:rFonts w:hint="eastAsia"/>
          <w:sz w:val="28"/>
          <w:szCs w:val="28"/>
        </w:rPr>
        <w:t xml:space="preserve">英文名：Carbon  Dioxide             分子式：C02   </w:t>
      </w:r>
    </w:p>
    <w:p>
      <w:pPr>
        <w:adjustRightInd w:val="0"/>
        <w:snapToGrid w:val="0"/>
        <w:spacing w:line="360" w:lineRule="auto"/>
        <w:ind w:firstLine="560" w:firstLineChars="200"/>
        <w:rPr>
          <w:rFonts w:hint="eastAsia"/>
          <w:sz w:val="28"/>
          <w:szCs w:val="28"/>
        </w:rPr>
      </w:pPr>
      <w:r>
        <w:rPr>
          <w:rFonts w:hint="eastAsia"/>
          <w:sz w:val="28"/>
          <w:szCs w:val="28"/>
        </w:rPr>
        <w:t xml:space="preserve">性状：无色、无味、不燃的气体        熔点：-56．6℃   </w:t>
      </w:r>
    </w:p>
    <w:p>
      <w:pPr>
        <w:adjustRightInd w:val="0"/>
        <w:snapToGrid w:val="0"/>
        <w:spacing w:line="360" w:lineRule="auto"/>
        <w:ind w:firstLine="560" w:firstLineChars="200"/>
        <w:rPr>
          <w:rFonts w:hint="eastAsia"/>
          <w:sz w:val="28"/>
          <w:szCs w:val="28"/>
        </w:rPr>
      </w:pPr>
      <w:r>
        <w:rPr>
          <w:rFonts w:hint="eastAsia"/>
          <w:sz w:val="28"/>
          <w:szCs w:val="28"/>
        </w:rPr>
        <w:t>沸点：-78．5℃(升华)           危险性类别：第2.2不燃气体</w:t>
      </w:r>
    </w:p>
    <w:p>
      <w:pPr>
        <w:adjustRightInd w:val="0"/>
        <w:snapToGrid w:val="0"/>
        <w:spacing w:line="360" w:lineRule="auto"/>
        <w:ind w:firstLine="560" w:firstLineChars="200"/>
        <w:rPr>
          <w:rFonts w:hint="eastAsia"/>
          <w:sz w:val="28"/>
          <w:szCs w:val="28"/>
        </w:rPr>
      </w:pPr>
      <w:r>
        <w:rPr>
          <w:rFonts w:hint="eastAsia"/>
          <w:sz w:val="28"/>
          <w:szCs w:val="28"/>
        </w:rPr>
        <w:t>危编号：22019                        un：1013（气体）</w:t>
      </w:r>
    </w:p>
    <w:p>
      <w:pPr>
        <w:adjustRightInd w:val="0"/>
        <w:snapToGrid w:val="0"/>
        <w:spacing w:line="360" w:lineRule="auto"/>
        <w:ind w:firstLine="560" w:firstLineChars="200"/>
        <w:rPr>
          <w:rFonts w:hint="eastAsia"/>
          <w:sz w:val="28"/>
          <w:szCs w:val="28"/>
        </w:rPr>
      </w:pPr>
      <w:r>
        <w:rPr>
          <w:rFonts w:hint="eastAsia"/>
          <w:sz w:val="28"/>
          <w:szCs w:val="28"/>
        </w:rPr>
        <w:t>健康危害：在低浓度时，对呼吸中枢呈兴奋作用，高浓度时则产生抑制甚至麻痹作用。中毒机制中还兼有缺氧的因素。</w:t>
      </w:r>
    </w:p>
    <w:p>
      <w:pPr>
        <w:adjustRightInd w:val="0"/>
        <w:snapToGrid w:val="0"/>
        <w:spacing w:line="360" w:lineRule="auto"/>
        <w:ind w:firstLine="560" w:firstLineChars="200"/>
        <w:rPr>
          <w:rFonts w:hint="eastAsia"/>
          <w:sz w:val="28"/>
          <w:szCs w:val="28"/>
        </w:rPr>
      </w:pPr>
      <w:r>
        <w:rPr>
          <w:rFonts w:hint="eastAsia"/>
          <w:sz w:val="28"/>
          <w:szCs w:val="28"/>
        </w:rPr>
        <w:t>急性中毒：人进入高浓度二氧化碳环境，在几秒钟迅速昏迷倒下，反射消失、瞳孔扩大或缩小、大小便失禁、呕吐等，更严重者出现呼吸停止及休克，甚至死亡。</w:t>
      </w:r>
    </w:p>
    <w:p>
      <w:pPr>
        <w:adjustRightInd w:val="0"/>
        <w:snapToGrid w:val="0"/>
        <w:spacing w:line="360" w:lineRule="auto"/>
        <w:ind w:firstLine="560" w:firstLineChars="200"/>
        <w:rPr>
          <w:rFonts w:hint="eastAsia"/>
          <w:sz w:val="28"/>
          <w:szCs w:val="28"/>
        </w:rPr>
      </w:pPr>
      <w:r>
        <w:rPr>
          <w:rFonts w:hint="eastAsia"/>
          <w:sz w:val="28"/>
          <w:szCs w:val="28"/>
        </w:rPr>
        <w:t>慢性影响：经常接触较高的二氧化碳者，会有头晕、头痛、失眠、易兴奋、无力等神经功能紊乱等主诉。</w:t>
      </w:r>
    </w:p>
    <w:p>
      <w:pPr>
        <w:adjustRightInd w:val="0"/>
        <w:snapToGrid w:val="0"/>
        <w:spacing w:line="360" w:lineRule="auto"/>
        <w:ind w:firstLine="560" w:firstLineChars="200"/>
        <w:rPr>
          <w:rFonts w:hint="eastAsia"/>
          <w:sz w:val="28"/>
          <w:szCs w:val="28"/>
        </w:rPr>
      </w:pPr>
      <w:r>
        <w:rPr>
          <w:rFonts w:hint="eastAsia"/>
          <w:sz w:val="28"/>
          <w:szCs w:val="28"/>
        </w:rPr>
        <w:t>防护措施：呼吸系统防护：一般不需特殊防护，高浓度接触时可佩戴空气呼吸器；眼睛防护：一般不需特殊防护；身体防护：穿一般作业工作服；手防护：戴一般作业防护手套；其它：避免高浓度吸入。</w:t>
      </w:r>
    </w:p>
    <w:p>
      <w:pPr>
        <w:pStyle w:val="8"/>
        <w:spacing w:line="360" w:lineRule="auto"/>
        <w:ind w:firstLine="0" w:firstLineChars="0"/>
        <w:outlineLvl w:val="2"/>
        <w:rPr>
          <w:rFonts w:hint="eastAsia" w:ascii="宋体" w:hAnsi="宋体"/>
          <w:b/>
          <w:snapToGrid w:val="0"/>
          <w:kern w:val="0"/>
          <w:sz w:val="28"/>
          <w:szCs w:val="28"/>
        </w:rPr>
      </w:pPr>
      <w:bookmarkStart w:id="132" w:name="_Toc480804394"/>
      <w:bookmarkStart w:id="133" w:name="_Toc332350850"/>
      <w:bookmarkStart w:id="134" w:name="_Toc356380978"/>
      <w:bookmarkStart w:id="135" w:name="_Toc514342846"/>
      <w:bookmarkStart w:id="136" w:name="_Toc356401491"/>
      <w:bookmarkStart w:id="137" w:name="_Toc22796"/>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4.5 二氧化硫（三氧化硫参考）</w:t>
      </w:r>
      <w:bookmarkEnd w:id="132"/>
      <w:bookmarkEnd w:id="133"/>
      <w:bookmarkEnd w:id="134"/>
      <w:bookmarkEnd w:id="135"/>
      <w:bookmarkEnd w:id="136"/>
      <w:bookmarkEnd w:id="137"/>
    </w:p>
    <w:p>
      <w:pPr>
        <w:adjustRightInd w:val="0"/>
        <w:snapToGrid w:val="0"/>
        <w:spacing w:line="360" w:lineRule="auto"/>
        <w:ind w:firstLine="560" w:firstLineChars="200"/>
        <w:rPr>
          <w:rFonts w:hint="eastAsia"/>
          <w:sz w:val="28"/>
          <w:szCs w:val="28"/>
        </w:rPr>
      </w:pPr>
      <w:r>
        <w:rPr>
          <w:rFonts w:hint="eastAsia"/>
          <w:sz w:val="28"/>
          <w:szCs w:val="28"/>
        </w:rPr>
        <w:t>英文名：（S</w:t>
      </w:r>
      <w:r>
        <w:rPr>
          <w:sz w:val="28"/>
          <w:szCs w:val="28"/>
        </w:rPr>
        <w:t xml:space="preserve">ulfur  </w:t>
      </w:r>
      <w:r>
        <w:rPr>
          <w:rFonts w:hint="eastAsia"/>
          <w:sz w:val="28"/>
          <w:szCs w:val="28"/>
        </w:rPr>
        <w:t>D</w:t>
      </w:r>
      <w:r>
        <w:rPr>
          <w:sz w:val="28"/>
          <w:szCs w:val="28"/>
        </w:rPr>
        <w:t>ioxide</w:t>
      </w:r>
      <w:r>
        <w:rPr>
          <w:rFonts w:hint="eastAsia"/>
          <w:sz w:val="28"/>
          <w:szCs w:val="28"/>
        </w:rPr>
        <w:t>）           分子式：</w:t>
      </w:r>
      <w:r>
        <w:rPr>
          <w:sz w:val="28"/>
          <w:szCs w:val="28"/>
        </w:rPr>
        <w:t>SO2</w:t>
      </w:r>
      <w:r>
        <w:rPr>
          <w:rFonts w:hint="eastAsia"/>
          <w:sz w:val="28"/>
          <w:szCs w:val="28"/>
        </w:rPr>
        <w:t xml:space="preserve">     </w:t>
      </w:r>
    </w:p>
    <w:p>
      <w:pPr>
        <w:adjustRightInd w:val="0"/>
        <w:snapToGrid w:val="0"/>
        <w:spacing w:line="360" w:lineRule="auto"/>
        <w:ind w:firstLine="560" w:firstLineChars="200"/>
        <w:rPr>
          <w:rFonts w:hint="eastAsia"/>
          <w:sz w:val="28"/>
          <w:szCs w:val="28"/>
        </w:rPr>
      </w:pPr>
      <w:r>
        <w:rPr>
          <w:rFonts w:hint="eastAsia"/>
          <w:sz w:val="28"/>
          <w:szCs w:val="28"/>
        </w:rPr>
        <w:t xml:space="preserve">外观及性状：无色气体，室温下具有强烈刺激气味，可溶于水及有机溶剂 </w:t>
      </w:r>
    </w:p>
    <w:p>
      <w:pPr>
        <w:adjustRightInd w:val="0"/>
        <w:snapToGrid w:val="0"/>
        <w:spacing w:line="360" w:lineRule="auto"/>
        <w:ind w:firstLine="560" w:firstLineChars="200"/>
        <w:rPr>
          <w:rFonts w:hint="eastAsia"/>
          <w:sz w:val="28"/>
          <w:szCs w:val="28"/>
        </w:rPr>
      </w:pPr>
      <w:r>
        <w:rPr>
          <w:rFonts w:hint="eastAsia"/>
          <w:sz w:val="28"/>
          <w:szCs w:val="28"/>
        </w:rPr>
        <w:t>熔点：</w:t>
      </w:r>
      <w:r>
        <w:rPr>
          <w:sz w:val="28"/>
          <w:szCs w:val="28"/>
        </w:rPr>
        <w:t>-75.5</w:t>
      </w:r>
      <w:r>
        <w:rPr>
          <w:rFonts w:hint="eastAsia"/>
          <w:sz w:val="28"/>
          <w:szCs w:val="28"/>
        </w:rPr>
        <w:t xml:space="preserve"> ℃                       沸点：</w:t>
      </w:r>
      <w:r>
        <w:rPr>
          <w:sz w:val="28"/>
          <w:szCs w:val="28"/>
        </w:rPr>
        <w:t>-10</w:t>
      </w:r>
      <w:r>
        <w:rPr>
          <w:rFonts w:hint="eastAsia"/>
          <w:sz w:val="28"/>
          <w:szCs w:val="28"/>
        </w:rPr>
        <w:t xml:space="preserve"> ℃  </w:t>
      </w:r>
    </w:p>
    <w:p>
      <w:pPr>
        <w:adjustRightInd w:val="0"/>
        <w:snapToGrid w:val="0"/>
        <w:spacing w:line="360" w:lineRule="auto"/>
        <w:ind w:firstLine="560" w:firstLineChars="200"/>
        <w:rPr>
          <w:rFonts w:hint="eastAsia"/>
          <w:sz w:val="28"/>
          <w:szCs w:val="28"/>
        </w:rPr>
      </w:pPr>
      <w:r>
        <w:rPr>
          <w:rFonts w:hint="eastAsia"/>
          <w:sz w:val="28"/>
          <w:szCs w:val="28"/>
        </w:rPr>
        <w:t xml:space="preserve">危险性类别：第2.3有毒气体           危编号： </w:t>
      </w:r>
      <w:r>
        <w:rPr>
          <w:sz w:val="28"/>
          <w:szCs w:val="28"/>
        </w:rPr>
        <w:t>23013</w:t>
      </w:r>
    </w:p>
    <w:p>
      <w:pPr>
        <w:adjustRightInd w:val="0"/>
        <w:snapToGrid w:val="0"/>
        <w:spacing w:line="360" w:lineRule="auto"/>
        <w:ind w:firstLine="560" w:firstLineChars="200"/>
        <w:rPr>
          <w:rFonts w:hint="eastAsia"/>
          <w:sz w:val="28"/>
          <w:szCs w:val="28"/>
        </w:rPr>
      </w:pPr>
      <w:r>
        <w:rPr>
          <w:sz w:val="28"/>
          <w:szCs w:val="28"/>
        </w:rPr>
        <w:t>UN</w:t>
      </w:r>
      <w:r>
        <w:rPr>
          <w:rFonts w:hint="eastAsia"/>
          <w:sz w:val="28"/>
          <w:szCs w:val="28"/>
        </w:rPr>
        <w:t>：1079                    相对密度：</w:t>
      </w:r>
      <w:r>
        <w:rPr>
          <w:sz w:val="28"/>
          <w:szCs w:val="28"/>
        </w:rPr>
        <w:t>1.43</w:t>
      </w:r>
      <w:r>
        <w:rPr>
          <w:rFonts w:hint="eastAsia"/>
          <w:sz w:val="28"/>
          <w:szCs w:val="28"/>
        </w:rPr>
        <w:t>（液化）；</w:t>
      </w:r>
      <w:r>
        <w:rPr>
          <w:sz w:val="28"/>
          <w:szCs w:val="28"/>
        </w:rPr>
        <w:t>2.26</w:t>
      </w:r>
      <w:r>
        <w:rPr>
          <w:rFonts w:hint="eastAsia"/>
          <w:sz w:val="28"/>
          <w:szCs w:val="28"/>
        </w:rPr>
        <w:t>（气）</w:t>
      </w:r>
    </w:p>
    <w:p>
      <w:pPr>
        <w:adjustRightInd w:val="0"/>
        <w:snapToGrid w:val="0"/>
        <w:spacing w:line="360" w:lineRule="auto"/>
        <w:ind w:firstLine="560" w:firstLineChars="200"/>
        <w:rPr>
          <w:sz w:val="28"/>
          <w:szCs w:val="28"/>
        </w:rPr>
      </w:pPr>
      <w:r>
        <w:rPr>
          <w:rFonts w:hint="eastAsia"/>
          <w:sz w:val="28"/>
          <w:szCs w:val="28"/>
        </w:rPr>
        <w:t>空气中允许极限：中国</w:t>
      </w:r>
      <w:r>
        <w:rPr>
          <w:sz w:val="28"/>
          <w:szCs w:val="28"/>
        </w:rPr>
        <w:t>MAC</w:t>
      </w:r>
      <w:r>
        <w:rPr>
          <w:rFonts w:hint="eastAsia"/>
          <w:sz w:val="28"/>
          <w:szCs w:val="28"/>
        </w:rPr>
        <w:t>：</w:t>
      </w:r>
      <w:r>
        <w:rPr>
          <w:sz w:val="28"/>
          <w:szCs w:val="28"/>
        </w:rPr>
        <w:t>15mg/m3</w:t>
      </w:r>
    </w:p>
    <w:p>
      <w:pPr>
        <w:adjustRightInd w:val="0"/>
        <w:snapToGrid w:val="0"/>
        <w:spacing w:line="360" w:lineRule="auto"/>
        <w:ind w:firstLine="560" w:firstLineChars="200"/>
        <w:rPr>
          <w:sz w:val="28"/>
          <w:szCs w:val="28"/>
        </w:rPr>
      </w:pPr>
      <w:r>
        <w:rPr>
          <w:rFonts w:hint="eastAsia"/>
          <w:sz w:val="28"/>
          <w:szCs w:val="28"/>
        </w:rPr>
        <w:t>健康危害：短期暴露：吸入刺激鼻、咽喉，出现流涕、呼吸困难、气阻、咳嗽、肺水肿、喘鸣、胸闷、肺炎，直至死亡；刺激皮肤，尤其湿润皮肤；接触液体可致冻伤和化学烧伤、紫绀；还可刺激眼，造成冻伤、失明；食入会引起口腔冻伤、化学烧伤、恶心、呕吐、腹疼；长期暴露，刺激咽喉和肺，出现鼻出血，对哮喘、肺功能不正常、心血管病人更危险。</w:t>
      </w:r>
    </w:p>
    <w:p>
      <w:pPr>
        <w:adjustRightInd w:val="0"/>
        <w:snapToGrid w:val="0"/>
        <w:spacing w:line="360" w:lineRule="auto"/>
        <w:ind w:firstLine="560" w:firstLineChars="200"/>
        <w:rPr>
          <w:sz w:val="28"/>
          <w:szCs w:val="28"/>
        </w:rPr>
      </w:pPr>
      <w:r>
        <w:rPr>
          <w:rFonts w:hint="eastAsia"/>
          <w:sz w:val="28"/>
          <w:szCs w:val="28"/>
        </w:rPr>
        <w:t>急救措施：眼接触：立即清洗。皮肤接触：立即用大量水清洗。吸入：将患者移至新鲜空气处，施行人工呼吸。</w:t>
      </w:r>
    </w:p>
    <w:p>
      <w:pPr>
        <w:adjustRightInd w:val="0"/>
        <w:snapToGrid w:val="0"/>
        <w:spacing w:line="360" w:lineRule="auto"/>
        <w:ind w:firstLine="560" w:firstLineChars="200"/>
        <w:rPr>
          <w:rFonts w:hint="eastAsia"/>
          <w:sz w:val="28"/>
          <w:szCs w:val="28"/>
        </w:rPr>
      </w:pPr>
      <w:r>
        <w:rPr>
          <w:rFonts w:hint="eastAsia"/>
          <w:sz w:val="28"/>
          <w:szCs w:val="28"/>
        </w:rPr>
        <w:t xml:space="preserve">防护措施：戴护目镜，穿防护服；选用适当呼吸器；提供应急眼药水；定期检查皮肤、眼睛及呼吸系统 </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38" w:name="_Toc5327"/>
      <w:bookmarkStart w:id="139" w:name="_Toc515659433"/>
      <w:r>
        <w:rPr>
          <w:rFonts w:hint="eastAsia" w:ascii="宋体" w:hAnsi="宋体"/>
          <w:b/>
          <w:snapToGrid w:val="0"/>
          <w:kern w:val="0"/>
          <w:sz w:val="28"/>
          <w:szCs w:val="28"/>
          <w:lang w:val="en-US" w:eastAsia="zh-CN"/>
        </w:rPr>
        <w:t>3.4.6 柴油安全数据表</w:t>
      </w:r>
      <w:bookmarkEnd w:id="138"/>
      <w:bookmarkEnd w:id="139"/>
    </w:p>
    <w:p>
      <w:pPr>
        <w:jc w:val="center"/>
        <w:rPr>
          <w:rFonts w:ascii="黑体" w:hAnsi="黑体" w:eastAsia="黑体"/>
          <w:b/>
          <w:sz w:val="24"/>
        </w:rPr>
      </w:pPr>
      <w:r>
        <w:rPr>
          <w:rFonts w:ascii="黑体" w:hAnsi="黑体" w:eastAsia="黑体"/>
          <w:b/>
          <w:sz w:val="24"/>
        </w:rPr>
        <w:t>表3-</w:t>
      </w:r>
      <w:r>
        <w:rPr>
          <w:rFonts w:hint="eastAsia" w:ascii="黑体" w:hAnsi="黑体" w:eastAsia="黑体"/>
          <w:b/>
          <w:sz w:val="24"/>
        </w:rPr>
        <w:t>1 柴油物料安全数据表</w:t>
      </w:r>
    </w:p>
    <w:tbl>
      <w:tblPr>
        <w:tblStyle w:val="19"/>
        <w:tblW w:w="852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95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标</w:t>
            </w:r>
          </w:p>
          <w:p>
            <w:pPr>
              <w:adjustRightInd w:val="0"/>
              <w:snapToGrid w:val="0"/>
              <w:jc w:val="left"/>
              <w:rPr>
                <w:rFonts w:ascii="宋体" w:hAnsi="宋体"/>
                <w:szCs w:val="21"/>
              </w:rPr>
            </w:pPr>
            <w:r>
              <w:rPr>
                <w:rFonts w:ascii="宋体" w:hAnsi="宋体"/>
                <w:b/>
                <w:bCs/>
                <w:szCs w:val="21"/>
              </w:rPr>
              <w:t>识</w:t>
            </w:r>
          </w:p>
        </w:tc>
        <w:tc>
          <w:tcPr>
            <w:tcW w:w="7954" w:type="dxa"/>
            <w:noWrap w:val="0"/>
            <w:vAlign w:val="center"/>
          </w:tcPr>
          <w:p>
            <w:pPr>
              <w:adjustRightInd w:val="0"/>
              <w:snapToGrid w:val="0"/>
              <w:jc w:val="left"/>
              <w:rPr>
                <w:rFonts w:ascii="宋体" w:hAnsi="宋体"/>
                <w:szCs w:val="21"/>
              </w:rPr>
            </w:pPr>
            <w:r>
              <w:rPr>
                <w:rFonts w:ascii="宋体" w:hAnsi="宋体"/>
                <w:b/>
                <w:bCs/>
                <w:szCs w:val="21"/>
              </w:rPr>
              <w:t>中文名：</w:t>
            </w:r>
            <w:r>
              <w:rPr>
                <w:rFonts w:ascii="宋体" w:hAnsi="宋体"/>
                <w:szCs w:val="21"/>
              </w:rPr>
              <w:t xml:space="preserve">柴油              </w:t>
            </w:r>
            <w:r>
              <w:rPr>
                <w:rFonts w:ascii="宋体" w:hAnsi="宋体"/>
                <w:b/>
                <w:bCs/>
                <w:szCs w:val="21"/>
              </w:rPr>
              <w:t>英文名：</w:t>
            </w:r>
            <w:r>
              <w:rPr>
                <w:rFonts w:ascii="宋体" w:hAnsi="宋体"/>
                <w:szCs w:val="21"/>
              </w:rPr>
              <w:t>Diesel oil</w:t>
            </w:r>
          </w:p>
          <w:p>
            <w:pPr>
              <w:adjustRightInd w:val="0"/>
              <w:snapToGrid w:val="0"/>
              <w:jc w:val="left"/>
              <w:rPr>
                <w:rFonts w:hint="eastAsia" w:ascii="宋体" w:hAnsi="宋体"/>
                <w:szCs w:val="21"/>
              </w:rPr>
            </w:pPr>
            <w:r>
              <w:rPr>
                <w:rFonts w:ascii="宋体" w:hAnsi="宋体"/>
                <w:b/>
                <w:bCs/>
                <w:szCs w:val="21"/>
              </w:rPr>
              <w:t>CAS号：</w:t>
            </w:r>
            <w:r>
              <w:rPr>
                <w:rFonts w:hint="eastAsia" w:ascii="宋体" w:hAnsi="宋体"/>
                <w:szCs w:val="21"/>
              </w:rPr>
              <w:t>68334-30-5</w:t>
            </w:r>
            <w:r>
              <w:rPr>
                <w:rFonts w:ascii="宋体" w:hAnsi="宋体"/>
                <w:szCs w:val="21"/>
              </w:rPr>
              <w:t xml:space="preserve">            </w:t>
            </w:r>
            <w:r>
              <w:rPr>
                <w:rFonts w:ascii="宋体" w:hAnsi="宋体"/>
                <w:b/>
                <w:bCs/>
                <w:szCs w:val="21"/>
              </w:rPr>
              <w:t>UN号：</w:t>
            </w:r>
            <w:r>
              <w:rPr>
                <w:rFonts w:hint="eastAsia" w:ascii="宋体" w:hAnsi="宋体"/>
                <w:szCs w:val="21"/>
              </w:rPr>
              <w:t>1202        危规编号：1674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理</w:t>
            </w:r>
          </w:p>
          <w:p>
            <w:pPr>
              <w:adjustRightInd w:val="0"/>
              <w:snapToGrid w:val="0"/>
              <w:jc w:val="left"/>
              <w:rPr>
                <w:rFonts w:ascii="宋体" w:hAnsi="宋体"/>
                <w:b/>
                <w:bCs/>
                <w:szCs w:val="21"/>
              </w:rPr>
            </w:pPr>
            <w:r>
              <w:rPr>
                <w:rFonts w:ascii="宋体" w:hAnsi="宋体"/>
                <w:b/>
                <w:bCs/>
                <w:szCs w:val="21"/>
              </w:rPr>
              <w:t>化</w:t>
            </w:r>
          </w:p>
          <w:p>
            <w:pPr>
              <w:adjustRightInd w:val="0"/>
              <w:snapToGrid w:val="0"/>
              <w:jc w:val="left"/>
              <w:rPr>
                <w:rFonts w:ascii="宋体" w:hAnsi="宋体"/>
                <w:b/>
                <w:bCs/>
                <w:szCs w:val="21"/>
              </w:rPr>
            </w:pPr>
            <w:r>
              <w:rPr>
                <w:rFonts w:ascii="宋体" w:hAnsi="宋体"/>
                <w:b/>
                <w:bCs/>
                <w:szCs w:val="21"/>
              </w:rPr>
              <w:t>性</w:t>
            </w:r>
          </w:p>
          <w:p>
            <w:pPr>
              <w:adjustRightInd w:val="0"/>
              <w:snapToGrid w:val="0"/>
              <w:jc w:val="left"/>
              <w:rPr>
                <w:rFonts w:ascii="宋体" w:hAnsi="宋体"/>
                <w:szCs w:val="21"/>
              </w:rPr>
            </w:pPr>
            <w:r>
              <w:rPr>
                <w:rFonts w:ascii="宋体" w:hAnsi="宋体"/>
                <w:b/>
                <w:bCs/>
                <w:szCs w:val="21"/>
              </w:rPr>
              <w:t>质</w:t>
            </w:r>
          </w:p>
        </w:tc>
        <w:tc>
          <w:tcPr>
            <w:tcW w:w="7954" w:type="dxa"/>
            <w:noWrap w:val="0"/>
            <w:vAlign w:val="center"/>
          </w:tcPr>
          <w:p>
            <w:pPr>
              <w:adjustRightInd w:val="0"/>
              <w:snapToGrid w:val="0"/>
              <w:jc w:val="left"/>
              <w:rPr>
                <w:rFonts w:ascii="宋体" w:hAnsi="宋体"/>
                <w:szCs w:val="21"/>
              </w:rPr>
            </w:pPr>
            <w:r>
              <w:rPr>
                <w:rFonts w:ascii="宋体" w:hAnsi="宋体"/>
                <w:b/>
                <w:bCs/>
                <w:szCs w:val="21"/>
              </w:rPr>
              <w:t>外观与性状：</w:t>
            </w:r>
            <w:r>
              <w:rPr>
                <w:rFonts w:ascii="宋体" w:hAnsi="宋体"/>
                <w:szCs w:val="21"/>
              </w:rPr>
              <w:t>稍有粘性的浅黄至棕色液体。</w:t>
            </w:r>
          </w:p>
          <w:p>
            <w:pPr>
              <w:adjustRightInd w:val="0"/>
              <w:snapToGrid w:val="0"/>
              <w:jc w:val="left"/>
              <w:rPr>
                <w:rFonts w:ascii="宋体" w:hAnsi="宋体"/>
                <w:szCs w:val="21"/>
              </w:rPr>
            </w:pPr>
            <w:r>
              <w:rPr>
                <w:rFonts w:ascii="宋体" w:hAnsi="宋体"/>
                <w:b/>
                <w:bCs/>
                <w:szCs w:val="21"/>
              </w:rPr>
              <w:t>熔点(℃)：</w:t>
            </w:r>
            <w:r>
              <w:rPr>
                <w:rFonts w:ascii="宋体" w:hAnsi="宋体"/>
                <w:szCs w:val="21"/>
              </w:rPr>
              <w:t xml:space="preserve">-35～20          </w:t>
            </w:r>
            <w:r>
              <w:rPr>
                <w:rFonts w:ascii="宋体" w:hAnsi="宋体"/>
                <w:b/>
                <w:bCs/>
                <w:szCs w:val="21"/>
              </w:rPr>
              <w:t>相对密度（水=1.0）：</w:t>
            </w:r>
            <w:r>
              <w:rPr>
                <w:rFonts w:ascii="宋体" w:hAnsi="宋体"/>
                <w:szCs w:val="21"/>
              </w:rPr>
              <w:t>0.87～0.9</w:t>
            </w:r>
          </w:p>
          <w:p>
            <w:pPr>
              <w:adjustRightInd w:val="0"/>
              <w:snapToGrid w:val="0"/>
              <w:jc w:val="left"/>
              <w:rPr>
                <w:rFonts w:ascii="宋体" w:hAnsi="宋体"/>
                <w:szCs w:val="21"/>
              </w:rPr>
            </w:pPr>
            <w:r>
              <w:rPr>
                <w:rFonts w:ascii="宋体" w:hAnsi="宋体"/>
                <w:b/>
                <w:bCs/>
                <w:szCs w:val="21"/>
              </w:rPr>
              <w:t>沸程(℃)：</w:t>
            </w:r>
            <w:r>
              <w:rPr>
                <w:rFonts w:ascii="宋体" w:hAnsi="宋体"/>
                <w:szCs w:val="21"/>
              </w:rPr>
              <w:t xml:space="preserve">282～338         </w:t>
            </w:r>
            <w:r>
              <w:rPr>
                <w:rFonts w:ascii="宋体" w:hAnsi="宋体"/>
                <w:b/>
                <w:bCs/>
                <w:szCs w:val="21"/>
              </w:rPr>
              <w:t>相对密度(空气=1):</w:t>
            </w:r>
            <w:r>
              <w:rPr>
                <w:rFonts w:ascii="宋体" w:hAnsi="宋体"/>
                <w:szCs w:val="21"/>
              </w:rPr>
              <w:t xml:space="preserve"> 无资料</w:t>
            </w:r>
          </w:p>
          <w:p>
            <w:pPr>
              <w:adjustRightInd w:val="0"/>
              <w:snapToGrid w:val="0"/>
              <w:jc w:val="left"/>
              <w:rPr>
                <w:rFonts w:ascii="宋体" w:hAnsi="宋体"/>
                <w:szCs w:val="21"/>
              </w:rPr>
            </w:pPr>
            <w:r>
              <w:rPr>
                <w:rFonts w:ascii="宋体" w:hAnsi="宋体"/>
                <w:b/>
                <w:bCs/>
                <w:szCs w:val="21"/>
              </w:rPr>
              <w:t xml:space="preserve">闪点(℃): </w:t>
            </w:r>
            <w:r>
              <w:rPr>
                <w:rFonts w:ascii="宋体" w:hAnsi="宋体"/>
                <w:bCs/>
                <w:szCs w:val="21"/>
              </w:rPr>
              <w:t>&gt;55</w:t>
            </w:r>
            <w:r>
              <w:rPr>
                <w:rFonts w:ascii="宋体" w:hAnsi="宋体"/>
                <w:szCs w:val="21"/>
              </w:rPr>
              <w:t xml:space="preserve">              </w:t>
            </w:r>
            <w:r>
              <w:rPr>
                <w:rFonts w:ascii="宋体" w:hAnsi="宋体"/>
                <w:b/>
                <w:bCs/>
                <w:szCs w:val="21"/>
              </w:rPr>
              <w:t>引燃温度(℃)：</w:t>
            </w:r>
            <w:r>
              <w:rPr>
                <w:rFonts w:ascii="宋体" w:hAnsi="宋体"/>
                <w:szCs w:val="21"/>
              </w:rPr>
              <w:t>257</w:t>
            </w:r>
          </w:p>
          <w:p>
            <w:pPr>
              <w:adjustRightInd w:val="0"/>
              <w:snapToGrid w:val="0"/>
              <w:jc w:val="left"/>
              <w:rPr>
                <w:rFonts w:ascii="宋体" w:hAnsi="宋体"/>
                <w:szCs w:val="21"/>
              </w:rPr>
            </w:pPr>
            <w:r>
              <w:rPr>
                <w:rFonts w:ascii="宋体" w:hAnsi="宋体"/>
                <w:b/>
                <w:bCs/>
                <w:szCs w:val="21"/>
              </w:rPr>
              <w:t>爆炸下限[%(V/V)]:</w:t>
            </w:r>
            <w:r>
              <w:rPr>
                <w:rFonts w:ascii="宋体" w:hAnsi="宋体"/>
                <w:szCs w:val="21"/>
              </w:rPr>
              <w:t xml:space="preserve"> </w:t>
            </w:r>
            <w:r>
              <w:rPr>
                <w:rFonts w:hint="eastAsia" w:ascii="宋体" w:hAnsi="宋体"/>
                <w:szCs w:val="21"/>
              </w:rPr>
              <w:t>0.5</w:t>
            </w:r>
            <w:r>
              <w:rPr>
                <w:rFonts w:ascii="宋体" w:hAnsi="宋体"/>
                <w:szCs w:val="21"/>
              </w:rPr>
              <w:t xml:space="preserve">   </w:t>
            </w:r>
            <w:r>
              <w:rPr>
                <w:rFonts w:ascii="宋体" w:hAnsi="宋体"/>
                <w:b/>
                <w:bCs/>
                <w:szCs w:val="21"/>
              </w:rPr>
              <w:t>最小点火能(mJ):</w:t>
            </w:r>
            <w:r>
              <w:rPr>
                <w:rFonts w:ascii="宋体" w:hAnsi="宋体"/>
                <w:szCs w:val="21"/>
              </w:rPr>
              <w:t>无资料</w:t>
            </w:r>
          </w:p>
          <w:p>
            <w:pPr>
              <w:adjustRightInd w:val="0"/>
              <w:snapToGrid w:val="0"/>
              <w:jc w:val="left"/>
              <w:rPr>
                <w:rFonts w:ascii="宋体" w:hAnsi="宋体"/>
                <w:szCs w:val="21"/>
              </w:rPr>
            </w:pPr>
            <w:r>
              <w:rPr>
                <w:rFonts w:ascii="宋体" w:hAnsi="宋体"/>
                <w:b/>
                <w:bCs/>
                <w:szCs w:val="21"/>
              </w:rPr>
              <w:t>爆炸上限[%(V/V)]:</w:t>
            </w:r>
            <w:r>
              <w:rPr>
                <w:rFonts w:ascii="宋体" w:hAnsi="宋体"/>
                <w:szCs w:val="21"/>
              </w:rPr>
              <w:t xml:space="preserve"> </w:t>
            </w:r>
            <w:r>
              <w:rPr>
                <w:rFonts w:hint="eastAsia" w:ascii="宋体" w:hAnsi="宋体"/>
                <w:szCs w:val="21"/>
              </w:rPr>
              <w:t>4.5</w:t>
            </w:r>
            <w:r>
              <w:rPr>
                <w:rFonts w:ascii="宋体" w:hAnsi="宋体"/>
                <w:szCs w:val="21"/>
              </w:rPr>
              <w:t xml:space="preserve">   </w:t>
            </w:r>
            <w:r>
              <w:rPr>
                <w:rFonts w:ascii="宋体" w:hAnsi="宋体"/>
                <w:b/>
                <w:bCs/>
                <w:szCs w:val="21"/>
              </w:rPr>
              <w:t>最大爆炸压力(MPa):</w:t>
            </w:r>
            <w:r>
              <w:rPr>
                <w:rFonts w:ascii="宋体" w:hAnsi="宋体"/>
                <w:szCs w:val="21"/>
              </w:rPr>
              <w:t xml:space="preserve"> 无资料</w:t>
            </w:r>
          </w:p>
          <w:p>
            <w:pPr>
              <w:adjustRightInd w:val="0"/>
              <w:snapToGrid w:val="0"/>
              <w:jc w:val="left"/>
              <w:rPr>
                <w:rFonts w:ascii="宋体" w:hAnsi="宋体"/>
                <w:szCs w:val="21"/>
              </w:rPr>
            </w:pPr>
            <w:r>
              <w:rPr>
                <w:rFonts w:ascii="宋体" w:hAnsi="宋体"/>
                <w:b/>
                <w:bCs/>
                <w:szCs w:val="21"/>
              </w:rPr>
              <w:t>溶 解 性：</w:t>
            </w:r>
            <w:r>
              <w:rPr>
                <w:rFonts w:ascii="宋体" w:hAnsi="宋体"/>
                <w:szCs w:val="21"/>
              </w:rPr>
              <w:t>不溶于水,易溶于苯、二硫化碳、醇、脂肪。</w:t>
            </w:r>
          </w:p>
          <w:p>
            <w:pPr>
              <w:adjustRightInd w:val="0"/>
              <w:snapToGrid w:val="0"/>
              <w:jc w:val="left"/>
              <w:rPr>
                <w:rFonts w:ascii="宋体" w:hAnsi="宋体"/>
                <w:szCs w:val="21"/>
              </w:rPr>
            </w:pPr>
            <w:r>
              <w:rPr>
                <w:rFonts w:ascii="宋体" w:hAnsi="宋体"/>
                <w:b/>
                <w:bCs/>
                <w:szCs w:val="21"/>
              </w:rPr>
              <w:t>主要用途：</w:t>
            </w:r>
            <w:r>
              <w:rPr>
                <w:rFonts w:ascii="宋体" w:hAnsi="宋体"/>
                <w:szCs w:val="21"/>
              </w:rPr>
              <w:t xml:space="preserve">主要用作柴油机的燃料。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燃</w:t>
            </w:r>
          </w:p>
          <w:p>
            <w:pPr>
              <w:adjustRightInd w:val="0"/>
              <w:snapToGrid w:val="0"/>
              <w:jc w:val="left"/>
              <w:rPr>
                <w:rFonts w:ascii="宋体" w:hAnsi="宋体"/>
                <w:szCs w:val="21"/>
              </w:rPr>
            </w:pPr>
            <w:r>
              <w:rPr>
                <w:rFonts w:ascii="宋体" w:hAnsi="宋体"/>
                <w:b/>
                <w:bCs/>
                <w:szCs w:val="21"/>
              </w:rPr>
              <w:t>烧</w:t>
            </w:r>
          </w:p>
          <w:p>
            <w:pPr>
              <w:adjustRightInd w:val="0"/>
              <w:snapToGrid w:val="0"/>
              <w:jc w:val="left"/>
              <w:rPr>
                <w:rFonts w:ascii="宋体" w:hAnsi="宋体"/>
                <w:b/>
                <w:bCs/>
                <w:szCs w:val="21"/>
              </w:rPr>
            </w:pPr>
            <w:r>
              <w:rPr>
                <w:rFonts w:ascii="宋体" w:hAnsi="宋体"/>
                <w:b/>
                <w:bCs/>
                <w:szCs w:val="21"/>
              </w:rPr>
              <w:t>爆</w:t>
            </w:r>
          </w:p>
          <w:p>
            <w:pPr>
              <w:adjustRightInd w:val="0"/>
              <w:snapToGrid w:val="0"/>
              <w:jc w:val="left"/>
              <w:rPr>
                <w:rFonts w:ascii="宋体" w:hAnsi="宋体"/>
                <w:b/>
                <w:bCs/>
                <w:szCs w:val="21"/>
              </w:rPr>
            </w:pPr>
            <w:r>
              <w:rPr>
                <w:rFonts w:ascii="宋体" w:hAnsi="宋体"/>
                <w:b/>
                <w:bCs/>
                <w:szCs w:val="21"/>
              </w:rPr>
              <w:t>炸</w:t>
            </w:r>
          </w:p>
          <w:p>
            <w:pPr>
              <w:adjustRightInd w:val="0"/>
              <w:snapToGrid w:val="0"/>
              <w:jc w:val="left"/>
              <w:rPr>
                <w:rFonts w:ascii="宋体" w:hAnsi="宋体"/>
                <w:b/>
                <w:bCs/>
                <w:szCs w:val="21"/>
              </w:rPr>
            </w:pPr>
            <w:r>
              <w:rPr>
                <w:rFonts w:ascii="宋体" w:hAnsi="宋体"/>
                <w:b/>
                <w:bCs/>
                <w:szCs w:val="21"/>
              </w:rPr>
              <w:t>危</w:t>
            </w:r>
          </w:p>
          <w:p>
            <w:pPr>
              <w:adjustRightInd w:val="0"/>
              <w:snapToGrid w:val="0"/>
              <w:jc w:val="left"/>
              <w:rPr>
                <w:rFonts w:ascii="宋体" w:hAnsi="宋体"/>
                <w:b/>
                <w:bCs/>
                <w:szCs w:val="21"/>
              </w:rPr>
            </w:pPr>
            <w:r>
              <w:rPr>
                <w:rFonts w:ascii="宋体" w:hAnsi="宋体"/>
                <w:b/>
                <w:bCs/>
                <w:szCs w:val="21"/>
              </w:rPr>
              <w:t>险</w:t>
            </w:r>
          </w:p>
          <w:p>
            <w:pPr>
              <w:adjustRightInd w:val="0"/>
              <w:snapToGrid w:val="0"/>
              <w:jc w:val="left"/>
              <w:rPr>
                <w:rFonts w:ascii="宋体" w:hAnsi="宋体"/>
                <w:szCs w:val="21"/>
              </w:rPr>
            </w:pPr>
            <w:r>
              <w:rPr>
                <w:rFonts w:ascii="宋体" w:hAnsi="宋体"/>
                <w:b/>
                <w:bCs/>
                <w:szCs w:val="21"/>
              </w:rPr>
              <w:t>性</w:t>
            </w:r>
          </w:p>
        </w:tc>
        <w:tc>
          <w:tcPr>
            <w:tcW w:w="7954" w:type="dxa"/>
            <w:noWrap w:val="0"/>
            <w:vAlign w:val="center"/>
          </w:tcPr>
          <w:p>
            <w:pPr>
              <w:adjustRightInd w:val="0"/>
              <w:snapToGrid w:val="0"/>
              <w:jc w:val="left"/>
              <w:rPr>
                <w:rFonts w:ascii="宋体" w:hAnsi="宋体"/>
                <w:szCs w:val="21"/>
              </w:rPr>
            </w:pPr>
            <w:r>
              <w:rPr>
                <w:rFonts w:ascii="宋体" w:hAnsi="宋体"/>
                <w:b/>
                <w:bCs/>
                <w:szCs w:val="21"/>
              </w:rPr>
              <w:t>燃 烧 性：</w:t>
            </w:r>
            <w:r>
              <w:rPr>
                <w:rFonts w:ascii="宋体" w:hAnsi="宋体"/>
                <w:szCs w:val="21"/>
              </w:rPr>
              <w:t>易燃。</w:t>
            </w:r>
          </w:p>
          <w:p>
            <w:pPr>
              <w:pStyle w:val="10"/>
              <w:ind w:left="420"/>
              <w:jc w:val="left"/>
              <w:rPr>
                <w:rFonts w:ascii="宋体" w:hAnsi="宋体"/>
                <w:szCs w:val="21"/>
              </w:rPr>
            </w:pPr>
            <w:r>
              <w:rPr>
                <w:rFonts w:ascii="宋体" w:hAnsi="宋体"/>
                <w:b/>
                <w:bCs/>
                <w:szCs w:val="21"/>
              </w:rPr>
              <w:t>危险特性：</w:t>
            </w:r>
            <w:r>
              <w:rPr>
                <w:rFonts w:ascii="宋体" w:hAnsi="宋体"/>
                <w:szCs w:val="21"/>
              </w:rPr>
              <w:t>遇明火、高热或与氧化剂接触,有引起燃烧爆炸的危险。若遇高热，容器内压力增大，有开裂和爆炸的危险。</w:t>
            </w:r>
          </w:p>
          <w:p>
            <w:pPr>
              <w:pStyle w:val="10"/>
              <w:ind w:left="420"/>
              <w:jc w:val="left"/>
              <w:rPr>
                <w:rFonts w:ascii="宋体" w:hAnsi="宋体"/>
                <w:szCs w:val="21"/>
              </w:rPr>
            </w:pPr>
            <w:r>
              <w:rPr>
                <w:rFonts w:ascii="宋体" w:hAnsi="宋体"/>
                <w:b/>
                <w:bCs/>
                <w:szCs w:val="21"/>
              </w:rPr>
              <w:t>有害燃烧产物：</w:t>
            </w:r>
            <w:r>
              <w:rPr>
                <w:rFonts w:ascii="宋体" w:hAnsi="宋体"/>
                <w:szCs w:val="21"/>
              </w:rPr>
              <w:t>一氧化碳、二氧化碳。</w:t>
            </w:r>
          </w:p>
          <w:p>
            <w:pPr>
              <w:adjustRightInd w:val="0"/>
              <w:snapToGrid w:val="0"/>
              <w:jc w:val="left"/>
              <w:rPr>
                <w:rFonts w:ascii="宋体" w:hAnsi="宋体"/>
                <w:szCs w:val="21"/>
              </w:rPr>
            </w:pPr>
            <w:r>
              <w:rPr>
                <w:rFonts w:ascii="宋体" w:hAnsi="宋体"/>
                <w:b/>
                <w:bCs/>
                <w:szCs w:val="21"/>
              </w:rPr>
              <w:t>稳 定 性：</w:t>
            </w:r>
            <w:r>
              <w:rPr>
                <w:rFonts w:ascii="宋体" w:hAnsi="宋体"/>
                <w:szCs w:val="21"/>
              </w:rPr>
              <w:t xml:space="preserve">稳定。           </w:t>
            </w:r>
            <w:r>
              <w:rPr>
                <w:rFonts w:ascii="宋体" w:hAnsi="宋体"/>
                <w:b/>
                <w:bCs/>
                <w:szCs w:val="21"/>
              </w:rPr>
              <w:t>聚合危害：</w:t>
            </w:r>
            <w:r>
              <w:rPr>
                <w:rFonts w:ascii="宋体" w:hAnsi="宋体"/>
                <w:szCs w:val="21"/>
              </w:rPr>
              <w:t>不聚合。</w:t>
            </w:r>
          </w:p>
          <w:p>
            <w:pPr>
              <w:adjustRightInd w:val="0"/>
              <w:snapToGrid w:val="0"/>
              <w:jc w:val="left"/>
              <w:rPr>
                <w:rFonts w:ascii="宋体" w:hAnsi="宋体"/>
                <w:szCs w:val="21"/>
              </w:rPr>
            </w:pPr>
            <w:r>
              <w:rPr>
                <w:rFonts w:ascii="宋体" w:hAnsi="宋体"/>
                <w:b/>
                <w:bCs/>
                <w:szCs w:val="21"/>
              </w:rPr>
              <w:t>禁 配 物：</w:t>
            </w:r>
            <w:r>
              <w:rPr>
                <w:rFonts w:ascii="宋体" w:hAnsi="宋体"/>
                <w:szCs w:val="21"/>
              </w:rPr>
              <w:t>强氧化剂、卤素。</w:t>
            </w:r>
          </w:p>
          <w:p>
            <w:pPr>
              <w:adjustRightInd w:val="0"/>
              <w:snapToGrid w:val="0"/>
              <w:jc w:val="left"/>
              <w:rPr>
                <w:rFonts w:ascii="宋体" w:hAnsi="宋体"/>
                <w:szCs w:val="21"/>
              </w:rPr>
            </w:pPr>
            <w:r>
              <w:rPr>
                <w:rFonts w:ascii="宋体" w:hAnsi="宋体"/>
                <w:b/>
                <w:bCs/>
                <w:szCs w:val="21"/>
              </w:rPr>
              <w:t>灭火方法：</w:t>
            </w:r>
            <w:r>
              <w:rPr>
                <w:rFonts w:ascii="宋体" w:hAnsi="宋体"/>
                <w:szCs w:val="21"/>
              </w:rPr>
              <w:t>消防人员须配戴防毒面具、穿全身消防服,在上风向灭火。尽可能将容器从火场移至空旷处，喷水保持容器冷却，直至灭火结束。处在火场中的容器若已变色或从安全泄压装置中产生声音，必须马上撤离。</w:t>
            </w:r>
          </w:p>
          <w:p>
            <w:pPr>
              <w:adjustRightInd w:val="0"/>
              <w:snapToGrid w:val="0"/>
              <w:jc w:val="left"/>
              <w:rPr>
                <w:rFonts w:ascii="宋体" w:hAnsi="宋体"/>
                <w:szCs w:val="21"/>
              </w:rPr>
            </w:pPr>
            <w:r>
              <w:rPr>
                <w:rFonts w:ascii="宋体" w:hAnsi="宋体"/>
                <w:b/>
                <w:bCs/>
                <w:szCs w:val="21"/>
              </w:rPr>
              <w:t>灭 火 剂：</w:t>
            </w:r>
            <w:r>
              <w:rPr>
                <w:rFonts w:ascii="宋体" w:hAnsi="宋体"/>
                <w:szCs w:val="21"/>
              </w:rPr>
              <w:t>泡沫、干粉、二氧化碳、砂土。用水灭火无效。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568" w:type="dxa"/>
            <w:noWrap w:val="0"/>
            <w:vAlign w:val="center"/>
          </w:tcPr>
          <w:p>
            <w:pPr>
              <w:adjustRightInd w:val="0"/>
              <w:snapToGrid w:val="0"/>
              <w:rPr>
                <w:rFonts w:ascii="宋体" w:hAnsi="宋体"/>
                <w:b/>
                <w:bCs/>
                <w:szCs w:val="21"/>
              </w:rPr>
            </w:pPr>
            <w:r>
              <w:rPr>
                <w:rFonts w:ascii="宋体" w:hAnsi="宋体"/>
                <w:b/>
                <w:bCs/>
                <w:szCs w:val="21"/>
              </w:rPr>
              <w:t>包</w:t>
            </w:r>
          </w:p>
          <w:p>
            <w:pPr>
              <w:adjustRightInd w:val="0"/>
              <w:snapToGrid w:val="0"/>
              <w:rPr>
                <w:rFonts w:ascii="宋体" w:hAnsi="宋体"/>
                <w:b/>
                <w:bCs/>
                <w:szCs w:val="21"/>
              </w:rPr>
            </w:pPr>
            <w:r>
              <w:rPr>
                <w:rFonts w:ascii="宋体" w:hAnsi="宋体"/>
                <w:b/>
                <w:bCs/>
                <w:szCs w:val="21"/>
              </w:rPr>
              <w:t>装</w:t>
            </w:r>
          </w:p>
          <w:p>
            <w:pPr>
              <w:adjustRightInd w:val="0"/>
              <w:snapToGrid w:val="0"/>
              <w:rPr>
                <w:rFonts w:ascii="宋体" w:hAnsi="宋体"/>
                <w:b/>
                <w:bCs/>
                <w:szCs w:val="21"/>
              </w:rPr>
            </w:pPr>
            <w:r>
              <w:rPr>
                <w:rFonts w:ascii="宋体" w:hAnsi="宋体"/>
                <w:b/>
                <w:bCs/>
                <w:szCs w:val="21"/>
              </w:rPr>
              <w:t>与</w:t>
            </w:r>
          </w:p>
          <w:p>
            <w:pPr>
              <w:adjustRightInd w:val="0"/>
              <w:snapToGrid w:val="0"/>
              <w:rPr>
                <w:rFonts w:ascii="宋体" w:hAnsi="宋体"/>
                <w:b/>
                <w:bCs/>
                <w:szCs w:val="21"/>
              </w:rPr>
            </w:pPr>
            <w:r>
              <w:rPr>
                <w:rFonts w:ascii="宋体" w:hAnsi="宋体"/>
                <w:b/>
                <w:bCs/>
                <w:szCs w:val="21"/>
              </w:rPr>
              <w:t>储</w:t>
            </w:r>
          </w:p>
          <w:p>
            <w:pPr>
              <w:adjustRightInd w:val="0"/>
              <w:snapToGrid w:val="0"/>
              <w:jc w:val="left"/>
              <w:rPr>
                <w:rFonts w:ascii="宋体" w:hAnsi="宋体"/>
                <w:b/>
                <w:bCs/>
                <w:szCs w:val="21"/>
              </w:rPr>
            </w:pPr>
            <w:r>
              <w:rPr>
                <w:rFonts w:ascii="宋体" w:hAnsi="宋体"/>
                <w:b/>
                <w:bCs/>
                <w:szCs w:val="21"/>
              </w:rPr>
              <w:t>运</w:t>
            </w:r>
          </w:p>
        </w:tc>
        <w:tc>
          <w:tcPr>
            <w:tcW w:w="7954" w:type="dxa"/>
            <w:noWrap w:val="0"/>
            <w:vAlign w:val="center"/>
          </w:tcPr>
          <w:p>
            <w:pPr>
              <w:adjustRightInd w:val="0"/>
              <w:snapToGrid w:val="0"/>
              <w:rPr>
                <w:rFonts w:ascii="宋体" w:hAnsi="宋体"/>
                <w:szCs w:val="21"/>
              </w:rPr>
            </w:pPr>
            <w:r>
              <w:rPr>
                <w:rFonts w:ascii="宋体" w:hAnsi="宋体"/>
                <w:b/>
                <w:bCs/>
                <w:szCs w:val="21"/>
              </w:rPr>
              <w:t>安全标志：</w:t>
            </w:r>
            <w:r>
              <w:rPr>
                <w:rFonts w:ascii="宋体" w:hAnsi="宋体"/>
                <w:szCs w:val="21"/>
              </w:rPr>
              <w:t xml:space="preserve">易燃液体        </w:t>
            </w:r>
            <w:r>
              <w:rPr>
                <w:rFonts w:ascii="宋体" w:hAnsi="宋体"/>
                <w:b/>
                <w:bCs/>
                <w:szCs w:val="21"/>
              </w:rPr>
              <w:t>包装类别：Ⅲ</w:t>
            </w:r>
            <w:r>
              <w:rPr>
                <w:rFonts w:ascii="宋体" w:hAnsi="宋体"/>
                <w:szCs w:val="21"/>
              </w:rPr>
              <w:t>类包装</w:t>
            </w:r>
          </w:p>
          <w:p>
            <w:pPr>
              <w:adjustRightInd w:val="0"/>
              <w:snapToGrid w:val="0"/>
              <w:rPr>
                <w:rFonts w:ascii="宋体" w:hAnsi="宋体"/>
                <w:szCs w:val="21"/>
              </w:rPr>
            </w:pPr>
            <w:r>
              <w:rPr>
                <w:rFonts w:ascii="宋体" w:hAnsi="宋体"/>
                <w:b/>
                <w:bCs/>
                <w:szCs w:val="21"/>
              </w:rPr>
              <w:t>储存注意事项：</w:t>
            </w:r>
            <w:r>
              <w:rPr>
                <w:rFonts w:ascii="宋体" w:hAnsi="宋体"/>
                <w:szCs w:val="21"/>
              </w:rPr>
              <w:t>储存于阴凉、通风的库房 。远离火种、热源。应与氧化剂、卤素分开存放,切忌混储。储存间内的照明、通风等设施应采用防爆型，开关设在库房外。禁止使用易产生火花的机械设备和工具。储备区应有泄漏应急处理设备和合适的收容材料</w:t>
            </w:r>
          </w:p>
          <w:p>
            <w:pPr>
              <w:adjustRightInd w:val="0"/>
              <w:snapToGrid w:val="0"/>
              <w:jc w:val="left"/>
              <w:rPr>
                <w:rFonts w:ascii="宋体" w:hAnsi="宋体"/>
                <w:b/>
                <w:bCs/>
                <w:szCs w:val="21"/>
              </w:rPr>
            </w:pPr>
            <w:r>
              <w:rPr>
                <w:rFonts w:ascii="宋体" w:hAnsi="宋体"/>
                <w:b/>
                <w:bCs/>
                <w:szCs w:val="21"/>
              </w:rPr>
              <w:t>运输注意事项：</w:t>
            </w:r>
            <w:r>
              <w:rPr>
                <w:rFonts w:ascii="宋体" w:hAnsi="宋体"/>
                <w:szCs w:val="21"/>
              </w:rPr>
              <w:t>运输前应先检查包装容器是否完整、密封，运输过程中要确保容器不泄漏、不倒塌、不坠落、不损坏。运输时车辆应配备相应品种和数量的消防器材及泄漏应急处理设备。夏季最好早晚运输。运输时所用的槽（罐）车应有接地链，槽内可设孔隔板以减少震荡产生静电。严禁与氧化剂、卤素、食用化学品等混装混运。运输途中应防曝晒、雨淋，防高温。中途停留时应远离火种、热源、高温区。装运该物品的车辆排气管必须配备阻火装置，禁止使用易产生火花的机械设备和工具装卸。运输车船必须彻底清洗、消毒，否则不得装运其它物品。船运时，配装位置应远离卧室、厨房，并与机舱、电源、火源等部位隔离。公路运输时要按规定路线行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毒</w:t>
            </w:r>
          </w:p>
          <w:p>
            <w:pPr>
              <w:adjustRightInd w:val="0"/>
              <w:snapToGrid w:val="0"/>
              <w:jc w:val="center"/>
              <w:rPr>
                <w:rFonts w:ascii="宋体" w:hAnsi="宋体"/>
                <w:b/>
                <w:bCs/>
                <w:szCs w:val="21"/>
              </w:rPr>
            </w:pPr>
            <w:r>
              <w:rPr>
                <w:rFonts w:ascii="宋体" w:hAnsi="宋体"/>
                <w:b/>
                <w:bCs/>
                <w:szCs w:val="21"/>
              </w:rPr>
              <w:t>性</w:t>
            </w:r>
          </w:p>
          <w:p>
            <w:pPr>
              <w:adjustRightInd w:val="0"/>
              <w:snapToGrid w:val="0"/>
              <w:jc w:val="center"/>
              <w:rPr>
                <w:rFonts w:ascii="宋体" w:hAnsi="宋体"/>
                <w:b/>
                <w:bCs/>
                <w:szCs w:val="21"/>
              </w:rPr>
            </w:pPr>
            <w:r>
              <w:rPr>
                <w:rFonts w:ascii="宋体" w:hAnsi="宋体"/>
                <w:b/>
                <w:bCs/>
                <w:szCs w:val="21"/>
              </w:rPr>
              <w:t>及</w:t>
            </w:r>
          </w:p>
          <w:p>
            <w:pPr>
              <w:adjustRightInd w:val="0"/>
              <w:snapToGrid w:val="0"/>
              <w:jc w:val="center"/>
              <w:rPr>
                <w:rFonts w:ascii="宋体" w:hAnsi="宋体"/>
                <w:b/>
                <w:bCs/>
                <w:szCs w:val="21"/>
              </w:rPr>
            </w:pPr>
            <w:r>
              <w:rPr>
                <w:rFonts w:ascii="宋体" w:hAnsi="宋体"/>
                <w:b/>
                <w:bCs/>
                <w:szCs w:val="21"/>
              </w:rPr>
              <w:t>健</w:t>
            </w:r>
          </w:p>
          <w:p>
            <w:pPr>
              <w:adjustRightInd w:val="0"/>
              <w:snapToGrid w:val="0"/>
              <w:jc w:val="center"/>
              <w:rPr>
                <w:rFonts w:ascii="宋体" w:hAnsi="宋体"/>
                <w:b/>
                <w:bCs/>
                <w:szCs w:val="21"/>
              </w:rPr>
            </w:pPr>
            <w:r>
              <w:rPr>
                <w:rFonts w:ascii="宋体" w:hAnsi="宋体"/>
                <w:b/>
                <w:bCs/>
                <w:szCs w:val="21"/>
              </w:rPr>
              <w:t>康</w:t>
            </w:r>
          </w:p>
          <w:p>
            <w:pPr>
              <w:adjustRightInd w:val="0"/>
              <w:snapToGrid w:val="0"/>
              <w:jc w:val="center"/>
              <w:rPr>
                <w:rFonts w:ascii="宋体" w:hAnsi="宋体"/>
                <w:b/>
                <w:bCs/>
                <w:szCs w:val="21"/>
              </w:rPr>
            </w:pPr>
            <w:r>
              <w:rPr>
                <w:rFonts w:ascii="宋体" w:hAnsi="宋体"/>
                <w:b/>
                <w:bCs/>
                <w:szCs w:val="21"/>
              </w:rPr>
              <w:t>危</w:t>
            </w:r>
          </w:p>
          <w:p>
            <w:pPr>
              <w:adjustRightInd w:val="0"/>
              <w:snapToGrid w:val="0"/>
              <w:jc w:val="center"/>
              <w:rPr>
                <w:rFonts w:ascii="宋体" w:hAnsi="宋体"/>
                <w:b/>
                <w:bCs/>
                <w:szCs w:val="21"/>
              </w:rPr>
            </w:pPr>
            <w:r>
              <w:rPr>
                <w:rFonts w:ascii="宋体" w:hAnsi="宋体"/>
                <w:b/>
                <w:bCs/>
                <w:szCs w:val="21"/>
              </w:rPr>
              <w:t>害</w:t>
            </w:r>
          </w:p>
          <w:p>
            <w:pPr>
              <w:adjustRightInd w:val="0"/>
              <w:snapToGrid w:val="0"/>
              <w:jc w:val="center"/>
              <w:rPr>
                <w:rFonts w:ascii="宋体" w:hAnsi="宋体"/>
                <w:szCs w:val="21"/>
              </w:rPr>
            </w:pPr>
            <w:r>
              <w:rPr>
                <w:rFonts w:ascii="宋体" w:hAnsi="宋体"/>
                <w:b/>
                <w:bCs/>
                <w:szCs w:val="21"/>
              </w:rPr>
              <w:t>性</w:t>
            </w:r>
          </w:p>
        </w:tc>
        <w:tc>
          <w:tcPr>
            <w:tcW w:w="7954" w:type="dxa"/>
            <w:noWrap w:val="0"/>
            <w:vAlign w:val="center"/>
          </w:tcPr>
          <w:p>
            <w:pPr>
              <w:adjustRightInd w:val="0"/>
              <w:snapToGrid w:val="0"/>
              <w:rPr>
                <w:rFonts w:ascii="宋体" w:hAnsi="宋体"/>
                <w:szCs w:val="21"/>
              </w:rPr>
            </w:pPr>
            <w:r>
              <w:rPr>
                <w:rFonts w:ascii="宋体" w:hAnsi="宋体"/>
                <w:b/>
                <w:bCs/>
                <w:szCs w:val="21"/>
              </w:rPr>
              <w:t>接触限值：</w:t>
            </w:r>
            <w:r>
              <w:rPr>
                <w:rFonts w:ascii="宋体" w:hAnsi="宋体"/>
                <w:szCs w:val="21"/>
              </w:rPr>
              <w:t>中国MAC（mg/m</w:t>
            </w:r>
            <w:r>
              <w:rPr>
                <w:rFonts w:ascii="宋体" w:hAnsi="宋体"/>
                <w:szCs w:val="21"/>
                <w:vertAlign w:val="superscript"/>
              </w:rPr>
              <w:t>3</w:t>
            </w:r>
            <w:r>
              <w:rPr>
                <w:rFonts w:ascii="宋体" w:hAnsi="宋体"/>
                <w:szCs w:val="21"/>
              </w:rPr>
              <w:t>）：无资料。</w:t>
            </w:r>
          </w:p>
          <w:p>
            <w:pPr>
              <w:adjustRightInd w:val="0"/>
              <w:snapToGrid w:val="0"/>
              <w:rPr>
                <w:rFonts w:ascii="宋体" w:hAnsi="宋体"/>
                <w:szCs w:val="21"/>
              </w:rPr>
            </w:pPr>
            <w:r>
              <w:rPr>
                <w:rFonts w:ascii="宋体" w:hAnsi="宋体"/>
                <w:b/>
                <w:bCs/>
                <w:szCs w:val="21"/>
              </w:rPr>
              <w:t>侵入途径：</w:t>
            </w:r>
            <w:r>
              <w:rPr>
                <w:rFonts w:ascii="宋体" w:hAnsi="宋体"/>
                <w:szCs w:val="21"/>
              </w:rPr>
              <w:t>吸入、食入、经皮肤吸收。</w:t>
            </w:r>
          </w:p>
          <w:p>
            <w:pPr>
              <w:adjustRightInd w:val="0"/>
              <w:snapToGrid w:val="0"/>
              <w:rPr>
                <w:rFonts w:ascii="宋体" w:hAnsi="宋体"/>
                <w:szCs w:val="21"/>
              </w:rPr>
            </w:pPr>
            <w:r>
              <w:rPr>
                <w:rFonts w:ascii="宋体" w:hAnsi="宋体"/>
                <w:b/>
                <w:bCs/>
                <w:szCs w:val="21"/>
              </w:rPr>
              <w:t>急性毒性：</w:t>
            </w:r>
            <w:r>
              <w:rPr>
                <w:rFonts w:ascii="宋体" w:hAnsi="宋体"/>
                <w:szCs w:val="21"/>
              </w:rPr>
              <w:t>LD</w:t>
            </w:r>
            <w:r>
              <w:rPr>
                <w:rFonts w:ascii="宋体" w:hAnsi="宋体"/>
                <w:szCs w:val="21"/>
                <w:vertAlign w:val="subscript"/>
              </w:rPr>
              <w:t>50</w:t>
            </w:r>
            <w:r>
              <w:rPr>
                <w:rFonts w:ascii="宋体" w:hAnsi="宋体"/>
                <w:szCs w:val="21"/>
              </w:rPr>
              <w:t xml:space="preserve">：无资料 </w:t>
            </w:r>
          </w:p>
          <w:p>
            <w:pPr>
              <w:adjustRightInd w:val="0"/>
              <w:snapToGrid w:val="0"/>
              <w:rPr>
                <w:rFonts w:ascii="宋体" w:hAnsi="宋体"/>
                <w:szCs w:val="21"/>
              </w:rPr>
            </w:pPr>
            <w:r>
              <w:rPr>
                <w:rFonts w:ascii="宋体" w:hAnsi="宋体"/>
                <w:b/>
                <w:bCs/>
                <w:szCs w:val="21"/>
              </w:rPr>
              <w:t>健康危害：</w:t>
            </w:r>
            <w:r>
              <w:rPr>
                <w:rFonts w:ascii="宋体" w:hAnsi="宋体"/>
                <w:szCs w:val="21"/>
              </w:rPr>
              <w:t>皮肤接触可为主要吸收途径，可致急性肾脏损害。柴油可引起接触性皮炎、油性痤疮。吸入其雾滴或液体呛入可引起吸入性肺炎。能经胎盘进入胎儿血液中。柴油废气可引起眼、鼻刺激症状,头晕及头痛。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急</w:t>
            </w:r>
          </w:p>
          <w:p>
            <w:pPr>
              <w:adjustRightInd w:val="0"/>
              <w:snapToGrid w:val="0"/>
              <w:jc w:val="center"/>
              <w:rPr>
                <w:rFonts w:ascii="宋体" w:hAnsi="宋体"/>
                <w:b/>
                <w:bCs/>
                <w:szCs w:val="21"/>
              </w:rPr>
            </w:pPr>
            <w:r>
              <w:rPr>
                <w:rFonts w:ascii="宋体" w:hAnsi="宋体"/>
                <w:b/>
                <w:bCs/>
                <w:szCs w:val="21"/>
              </w:rPr>
              <w:t>救</w:t>
            </w:r>
          </w:p>
          <w:p>
            <w:pPr>
              <w:adjustRightInd w:val="0"/>
              <w:snapToGrid w:val="0"/>
              <w:jc w:val="center"/>
              <w:rPr>
                <w:rFonts w:ascii="宋体" w:hAnsi="宋体"/>
                <w:b/>
                <w:bCs/>
                <w:szCs w:val="21"/>
              </w:rPr>
            </w:pPr>
            <w:r>
              <w:rPr>
                <w:rFonts w:ascii="宋体" w:hAnsi="宋体"/>
                <w:b/>
                <w:bCs/>
                <w:szCs w:val="21"/>
              </w:rPr>
              <w:t>措</w:t>
            </w:r>
          </w:p>
          <w:p>
            <w:pPr>
              <w:adjustRightInd w:val="0"/>
              <w:snapToGrid w:val="0"/>
              <w:jc w:val="center"/>
              <w:rPr>
                <w:rFonts w:ascii="宋体" w:hAnsi="宋体"/>
                <w:szCs w:val="21"/>
              </w:rPr>
            </w:pPr>
            <w:r>
              <w:rPr>
                <w:rFonts w:ascii="宋体" w:hAnsi="宋体"/>
                <w:b/>
                <w:bCs/>
                <w:szCs w:val="21"/>
              </w:rPr>
              <w:t>施</w:t>
            </w:r>
          </w:p>
        </w:tc>
        <w:tc>
          <w:tcPr>
            <w:tcW w:w="7954" w:type="dxa"/>
            <w:noWrap w:val="0"/>
            <w:vAlign w:val="center"/>
          </w:tcPr>
          <w:p>
            <w:pPr>
              <w:adjustRightInd w:val="0"/>
              <w:snapToGrid w:val="0"/>
              <w:rPr>
                <w:rFonts w:ascii="宋体" w:hAnsi="宋体"/>
                <w:szCs w:val="21"/>
              </w:rPr>
            </w:pPr>
            <w:r>
              <w:rPr>
                <w:rFonts w:ascii="宋体" w:hAnsi="宋体"/>
                <w:b/>
                <w:bCs/>
                <w:szCs w:val="21"/>
              </w:rPr>
              <w:t>皮肤接触：</w:t>
            </w:r>
            <w:r>
              <w:rPr>
                <w:rFonts w:ascii="宋体" w:hAnsi="宋体"/>
                <w:szCs w:val="21"/>
              </w:rPr>
              <w:t>立即脱去被污染的衣着，用肥皂水和清水彻底冲洗皮肤。就医。</w:t>
            </w:r>
          </w:p>
          <w:p>
            <w:pPr>
              <w:adjustRightInd w:val="0"/>
              <w:snapToGrid w:val="0"/>
              <w:rPr>
                <w:rFonts w:ascii="宋体" w:hAnsi="宋体"/>
                <w:szCs w:val="21"/>
              </w:rPr>
            </w:pPr>
            <w:r>
              <w:rPr>
                <w:rFonts w:ascii="宋体" w:hAnsi="宋体"/>
                <w:b/>
                <w:bCs/>
                <w:szCs w:val="21"/>
              </w:rPr>
              <w:t>眼睛接触：</w:t>
            </w:r>
            <w:r>
              <w:rPr>
                <w:rFonts w:ascii="宋体" w:hAnsi="宋体"/>
                <w:szCs w:val="21"/>
              </w:rPr>
              <w:t>立即提起眼睑，用大量流动清水或生理盐水彻底冲洗至少15分钟。就医。</w:t>
            </w:r>
          </w:p>
          <w:p>
            <w:pPr>
              <w:adjustRightInd w:val="0"/>
              <w:snapToGrid w:val="0"/>
              <w:rPr>
                <w:rFonts w:ascii="宋体" w:hAnsi="宋体"/>
                <w:szCs w:val="21"/>
              </w:rPr>
            </w:pPr>
            <w:r>
              <w:rPr>
                <w:rFonts w:ascii="宋体" w:hAnsi="宋体"/>
                <w:b/>
                <w:bCs/>
                <w:szCs w:val="21"/>
              </w:rPr>
              <w:t>吸入：</w:t>
            </w:r>
            <w:r>
              <w:rPr>
                <w:rFonts w:ascii="宋体" w:hAnsi="宋体"/>
                <w:szCs w:val="21"/>
              </w:rPr>
              <w:t>迅速脱离现场至空气新鲜处。保持呼吸道通畅。如呼吸困难，给输氧。如呼吸停止，立即进行人工呼吸。就医。</w:t>
            </w:r>
          </w:p>
          <w:p>
            <w:pPr>
              <w:adjustRightInd w:val="0"/>
              <w:snapToGrid w:val="0"/>
              <w:rPr>
                <w:rFonts w:ascii="宋体" w:hAnsi="宋体"/>
                <w:szCs w:val="21"/>
              </w:rPr>
            </w:pPr>
            <w:r>
              <w:rPr>
                <w:rFonts w:ascii="宋体" w:hAnsi="宋体"/>
                <w:b/>
                <w:bCs/>
                <w:szCs w:val="21"/>
              </w:rPr>
              <w:t>食入：</w:t>
            </w:r>
            <w:r>
              <w:rPr>
                <w:rFonts w:ascii="宋体" w:hAnsi="宋体"/>
                <w:szCs w:val="21"/>
              </w:rPr>
              <w:t>给饮牛奶或用植物油洗胃和灌肠。就医。</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防</w:t>
            </w:r>
          </w:p>
          <w:p>
            <w:pPr>
              <w:adjustRightInd w:val="0"/>
              <w:snapToGrid w:val="0"/>
              <w:jc w:val="center"/>
              <w:rPr>
                <w:rFonts w:ascii="宋体" w:hAnsi="宋体"/>
                <w:b/>
                <w:bCs/>
                <w:szCs w:val="21"/>
              </w:rPr>
            </w:pPr>
            <w:r>
              <w:rPr>
                <w:rFonts w:ascii="宋体" w:hAnsi="宋体"/>
                <w:b/>
                <w:bCs/>
                <w:szCs w:val="21"/>
              </w:rPr>
              <w:t>护</w:t>
            </w:r>
          </w:p>
          <w:p>
            <w:pPr>
              <w:adjustRightInd w:val="0"/>
              <w:snapToGrid w:val="0"/>
              <w:jc w:val="center"/>
              <w:rPr>
                <w:rFonts w:ascii="宋体" w:hAnsi="宋体"/>
                <w:b/>
                <w:bCs/>
                <w:szCs w:val="21"/>
              </w:rPr>
            </w:pPr>
            <w:r>
              <w:rPr>
                <w:rFonts w:ascii="宋体" w:hAnsi="宋体"/>
                <w:b/>
                <w:bCs/>
                <w:szCs w:val="21"/>
              </w:rPr>
              <w:t>措</w:t>
            </w:r>
          </w:p>
          <w:p>
            <w:pPr>
              <w:adjustRightInd w:val="0"/>
              <w:snapToGrid w:val="0"/>
              <w:jc w:val="center"/>
              <w:rPr>
                <w:rFonts w:ascii="宋体" w:hAnsi="宋体"/>
                <w:szCs w:val="21"/>
              </w:rPr>
            </w:pPr>
            <w:r>
              <w:rPr>
                <w:rFonts w:ascii="宋体" w:hAnsi="宋体"/>
                <w:b/>
                <w:bCs/>
                <w:szCs w:val="21"/>
              </w:rPr>
              <w:t>施</w:t>
            </w:r>
          </w:p>
        </w:tc>
        <w:tc>
          <w:tcPr>
            <w:tcW w:w="7954" w:type="dxa"/>
            <w:noWrap w:val="0"/>
            <w:vAlign w:val="center"/>
          </w:tcPr>
          <w:p>
            <w:pPr>
              <w:adjustRightInd w:val="0"/>
              <w:snapToGrid w:val="0"/>
              <w:rPr>
                <w:rFonts w:ascii="宋体" w:hAnsi="宋体"/>
                <w:szCs w:val="21"/>
              </w:rPr>
            </w:pPr>
            <w:r>
              <w:rPr>
                <w:rFonts w:ascii="宋体" w:hAnsi="宋体"/>
                <w:b/>
                <w:bCs/>
                <w:szCs w:val="21"/>
              </w:rPr>
              <w:t>工程控制：</w:t>
            </w:r>
            <w:r>
              <w:rPr>
                <w:rFonts w:ascii="宋体" w:hAnsi="宋体"/>
                <w:szCs w:val="21"/>
              </w:rPr>
              <w:t>生产过程密闭操作，注意通风。</w:t>
            </w:r>
          </w:p>
          <w:p>
            <w:pPr>
              <w:adjustRightInd w:val="0"/>
              <w:snapToGrid w:val="0"/>
              <w:rPr>
                <w:rFonts w:ascii="宋体" w:hAnsi="宋体"/>
                <w:szCs w:val="21"/>
              </w:rPr>
            </w:pPr>
            <w:r>
              <w:rPr>
                <w:rFonts w:ascii="宋体" w:hAnsi="宋体"/>
                <w:b/>
                <w:bCs/>
                <w:szCs w:val="21"/>
              </w:rPr>
              <w:t>呼吸系统防护：</w:t>
            </w:r>
            <w:r>
              <w:rPr>
                <w:rFonts w:ascii="宋体" w:hAnsi="宋体"/>
                <w:szCs w:val="21"/>
              </w:rPr>
              <w:t>空气中浓度超标时，建议佩戴自吸过滤式防毒面具(半面罩)。紧急事态抢救或撤离时,应佩戴空气呼吸器。</w:t>
            </w:r>
          </w:p>
          <w:p>
            <w:pPr>
              <w:adjustRightInd w:val="0"/>
              <w:snapToGrid w:val="0"/>
              <w:rPr>
                <w:rFonts w:ascii="宋体" w:hAnsi="宋体"/>
                <w:szCs w:val="21"/>
              </w:rPr>
            </w:pPr>
            <w:r>
              <w:rPr>
                <w:rFonts w:ascii="宋体" w:hAnsi="宋体"/>
                <w:b/>
                <w:bCs/>
                <w:szCs w:val="21"/>
              </w:rPr>
              <w:t>眼睛防护：</w:t>
            </w:r>
            <w:r>
              <w:rPr>
                <w:rFonts w:ascii="宋体" w:hAnsi="宋体"/>
                <w:szCs w:val="21"/>
              </w:rPr>
              <w:t>必要时戴化学安全防护眼镜。</w:t>
            </w:r>
          </w:p>
          <w:p>
            <w:pPr>
              <w:adjustRightInd w:val="0"/>
              <w:snapToGrid w:val="0"/>
              <w:rPr>
                <w:rFonts w:ascii="宋体" w:hAnsi="宋体"/>
                <w:szCs w:val="21"/>
              </w:rPr>
            </w:pPr>
            <w:r>
              <w:rPr>
                <w:rFonts w:ascii="宋体" w:hAnsi="宋体"/>
                <w:b/>
                <w:bCs/>
                <w:szCs w:val="21"/>
              </w:rPr>
              <w:t>身体防护：</w:t>
            </w:r>
            <w:r>
              <w:rPr>
                <w:rFonts w:ascii="宋体" w:hAnsi="宋体"/>
                <w:szCs w:val="21"/>
              </w:rPr>
              <w:t>穿一般作业工作服。</w:t>
            </w:r>
          </w:p>
          <w:p>
            <w:pPr>
              <w:adjustRightInd w:val="0"/>
              <w:snapToGrid w:val="0"/>
              <w:rPr>
                <w:rFonts w:ascii="宋体" w:hAnsi="宋体"/>
                <w:szCs w:val="21"/>
              </w:rPr>
            </w:pPr>
            <w:r>
              <w:rPr>
                <w:rFonts w:ascii="宋体" w:hAnsi="宋体"/>
                <w:b/>
                <w:bCs/>
                <w:szCs w:val="21"/>
              </w:rPr>
              <w:t>手 防 护：</w:t>
            </w:r>
            <w:r>
              <w:rPr>
                <w:rFonts w:ascii="宋体" w:hAnsi="宋体"/>
                <w:szCs w:val="21"/>
              </w:rPr>
              <w:t>戴橡胶耐油手套。</w:t>
            </w:r>
          </w:p>
          <w:p>
            <w:pPr>
              <w:adjustRightInd w:val="0"/>
              <w:snapToGrid w:val="0"/>
              <w:rPr>
                <w:rFonts w:ascii="宋体" w:hAnsi="宋体"/>
                <w:szCs w:val="21"/>
              </w:rPr>
            </w:pPr>
            <w:r>
              <w:rPr>
                <w:rFonts w:ascii="宋体" w:hAnsi="宋体"/>
                <w:b/>
                <w:bCs/>
                <w:szCs w:val="21"/>
              </w:rPr>
              <w:t>其它防护：</w:t>
            </w:r>
            <w:r>
              <w:rPr>
                <w:rFonts w:ascii="宋体" w:hAnsi="宋体"/>
                <w:szCs w:val="21"/>
              </w:rPr>
              <w:t>工作现场禁止吸烟。避免长期反复接触。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泄</w:t>
            </w:r>
          </w:p>
          <w:p>
            <w:pPr>
              <w:adjustRightInd w:val="0"/>
              <w:snapToGrid w:val="0"/>
              <w:jc w:val="center"/>
              <w:rPr>
                <w:rFonts w:ascii="宋体" w:hAnsi="宋体"/>
                <w:b/>
                <w:bCs/>
                <w:szCs w:val="21"/>
              </w:rPr>
            </w:pPr>
            <w:r>
              <w:rPr>
                <w:rFonts w:ascii="宋体" w:hAnsi="宋体"/>
                <w:b/>
                <w:bCs/>
                <w:szCs w:val="21"/>
              </w:rPr>
              <w:t>漏</w:t>
            </w:r>
          </w:p>
          <w:p>
            <w:pPr>
              <w:adjustRightInd w:val="0"/>
              <w:snapToGrid w:val="0"/>
              <w:jc w:val="center"/>
              <w:rPr>
                <w:rFonts w:ascii="宋体" w:hAnsi="宋体"/>
                <w:b/>
                <w:bCs/>
                <w:szCs w:val="21"/>
              </w:rPr>
            </w:pPr>
            <w:r>
              <w:rPr>
                <w:rFonts w:ascii="宋体" w:hAnsi="宋体"/>
                <w:b/>
                <w:bCs/>
                <w:szCs w:val="21"/>
              </w:rPr>
              <w:t>处</w:t>
            </w:r>
          </w:p>
          <w:p>
            <w:pPr>
              <w:adjustRightInd w:val="0"/>
              <w:snapToGrid w:val="0"/>
              <w:jc w:val="center"/>
              <w:rPr>
                <w:rFonts w:ascii="宋体" w:hAnsi="宋体"/>
                <w:szCs w:val="21"/>
              </w:rPr>
            </w:pPr>
            <w:r>
              <w:rPr>
                <w:rFonts w:ascii="宋体" w:hAnsi="宋体"/>
                <w:b/>
                <w:bCs/>
                <w:szCs w:val="21"/>
              </w:rPr>
              <w:t>理</w:t>
            </w:r>
          </w:p>
        </w:tc>
        <w:tc>
          <w:tcPr>
            <w:tcW w:w="7954" w:type="dxa"/>
            <w:noWrap w:val="0"/>
            <w:vAlign w:val="center"/>
          </w:tcPr>
          <w:p>
            <w:pPr>
              <w:adjustRightInd w:val="0"/>
              <w:snapToGrid w:val="0"/>
              <w:rPr>
                <w:rFonts w:ascii="宋体" w:hAnsi="宋体"/>
                <w:szCs w:val="21"/>
              </w:rPr>
            </w:pPr>
            <w:r>
              <w:rPr>
                <w:rFonts w:ascii="宋体" w:hAnsi="宋体"/>
                <w:b/>
                <w:bCs/>
                <w:szCs w:val="21"/>
              </w:rPr>
              <w:t>应急行动：</w:t>
            </w:r>
            <w:r>
              <w:rPr>
                <w:rFonts w:ascii="宋体" w:hAnsi="宋体"/>
                <w:szCs w:val="21"/>
              </w:rPr>
              <w:t>迅速撤离泄漏污染区人员至安全区，并进行隔离，严格限制出入。切断火源。建议应急处理人员戴自给正压式呼吸器，穿一般作业工作服。尽可能切断泄漏源。防止流入下水道、排洪沟等限制性空间。小量泄漏：用活性炭或其它惰性材料吸收。大量泄漏：构筑围堤或挖坑收容。用防爆泵转移至槽车或专用收集容器内，回收或运至废物处理场所处置。</w:t>
            </w:r>
          </w:p>
        </w:tc>
      </w:tr>
    </w:tbl>
    <w:p>
      <w:pPr>
        <w:adjustRightInd w:val="0"/>
        <w:snapToGrid w:val="0"/>
        <w:spacing w:line="360" w:lineRule="auto"/>
        <w:ind w:firstLine="560" w:firstLineChars="200"/>
        <w:rPr>
          <w:rFonts w:hint="eastAsia"/>
          <w:sz w:val="28"/>
          <w:szCs w:val="28"/>
        </w:rPr>
      </w:pPr>
    </w:p>
    <w:p>
      <w:pPr>
        <w:pStyle w:val="8"/>
        <w:spacing w:line="360" w:lineRule="auto"/>
        <w:ind w:firstLine="0" w:firstLineChars="0"/>
        <w:outlineLvl w:val="2"/>
        <w:rPr>
          <w:rFonts w:hint="eastAsia" w:ascii="宋体" w:hAnsi="宋体"/>
          <w:b/>
          <w:snapToGrid w:val="0"/>
          <w:kern w:val="0"/>
          <w:sz w:val="28"/>
          <w:szCs w:val="28"/>
          <w:lang w:val="en-US" w:eastAsia="zh-CN"/>
        </w:rPr>
      </w:pPr>
      <w:bookmarkStart w:id="140" w:name="_Toc475363997"/>
      <w:bookmarkStart w:id="141" w:name="_Toc513735551"/>
      <w:bookmarkStart w:id="142" w:name="_Toc29908"/>
      <w:bookmarkStart w:id="143" w:name="_Toc515659434"/>
      <w:bookmarkStart w:id="144" w:name="_Toc511994825"/>
      <w:r>
        <w:rPr>
          <w:rFonts w:hint="eastAsia" w:ascii="宋体" w:hAnsi="宋体"/>
          <w:b/>
          <w:snapToGrid w:val="0"/>
          <w:kern w:val="0"/>
          <w:sz w:val="28"/>
          <w:szCs w:val="28"/>
          <w:lang w:val="en-US" w:eastAsia="zh-CN"/>
        </w:rPr>
        <w:t>3.4.7 氧气安全数据表</w:t>
      </w:r>
      <w:bookmarkEnd w:id="140"/>
      <w:bookmarkEnd w:id="141"/>
      <w:bookmarkEnd w:id="142"/>
      <w:bookmarkEnd w:id="143"/>
    </w:p>
    <w:p>
      <w:pPr>
        <w:pStyle w:val="32"/>
        <w:rPr>
          <w:rFonts w:eastAsia="黑体"/>
          <w:sz w:val="24"/>
          <w:szCs w:val="24"/>
        </w:rPr>
      </w:pPr>
      <w:r>
        <w:rPr>
          <w:rFonts w:eastAsia="黑体"/>
          <w:sz w:val="24"/>
          <w:szCs w:val="24"/>
        </w:rPr>
        <w:t>表3-</w:t>
      </w:r>
      <w:r>
        <w:rPr>
          <w:rFonts w:hint="eastAsia" w:eastAsia="黑体"/>
          <w:sz w:val="24"/>
          <w:szCs w:val="24"/>
        </w:rPr>
        <w:t>2</w:t>
      </w:r>
      <w:r>
        <w:rPr>
          <w:rFonts w:eastAsia="黑体"/>
          <w:sz w:val="24"/>
          <w:szCs w:val="24"/>
        </w:rPr>
        <w:t xml:space="preserve"> 氧气安全数据表</w:t>
      </w:r>
    </w:p>
    <w:tbl>
      <w:tblPr>
        <w:tblStyle w:val="19"/>
        <w:tblW w:w="83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6"/>
        <w:gridCol w:w="1947"/>
        <w:gridCol w:w="531"/>
        <w:gridCol w:w="788"/>
        <w:gridCol w:w="255"/>
        <w:gridCol w:w="43"/>
        <w:gridCol w:w="220"/>
        <w:gridCol w:w="436"/>
        <w:gridCol w:w="967"/>
        <w:gridCol w:w="229"/>
        <w:gridCol w:w="408"/>
        <w:gridCol w:w="20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标识</w:t>
            </w: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中文名：氧气</w:t>
            </w:r>
          </w:p>
        </w:tc>
        <w:tc>
          <w:tcPr>
            <w:tcW w:w="5382" w:type="dxa"/>
            <w:gridSpan w:val="9"/>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英文名：oxygen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CAS号：7782-44-7</w:t>
            </w:r>
          </w:p>
        </w:tc>
        <w:tc>
          <w:tcPr>
            <w:tcW w:w="3346" w:type="dxa"/>
            <w:gridSpan w:val="8"/>
            <w:noWrap w:val="0"/>
            <w:tcMar>
              <w:top w:w="15" w:type="dxa"/>
              <w:left w:w="15" w:type="dxa"/>
              <w:bottom w:w="15" w:type="dxa"/>
              <w:right w:w="15" w:type="dxa"/>
            </w:tcMar>
            <w:vAlign w:val="center"/>
          </w:tcPr>
          <w:p>
            <w:pPr>
              <w:spacing w:line="260" w:lineRule="exact"/>
              <w:rPr>
                <w:rFonts w:ascii="宋体" w:hAnsi="宋体"/>
                <w:szCs w:val="21"/>
              </w:rPr>
            </w:pPr>
            <w:r>
              <w:rPr>
                <w:rFonts w:hint="eastAsia" w:ascii="宋体" w:hAnsi="宋体"/>
                <w:szCs w:val="21"/>
              </w:rPr>
              <w:t>危规</w:t>
            </w:r>
            <w:r>
              <w:rPr>
                <w:rFonts w:ascii="宋体" w:hAnsi="宋体"/>
                <w:szCs w:val="21"/>
              </w:rPr>
              <w:t>编号：</w:t>
            </w:r>
            <w:r>
              <w:rPr>
                <w:rFonts w:hint="eastAsia" w:ascii="宋体" w:hAnsi="宋体"/>
                <w:szCs w:val="21"/>
              </w:rPr>
              <w:t>2528</w:t>
            </w:r>
          </w:p>
        </w:tc>
        <w:tc>
          <w:tcPr>
            <w:tcW w:w="203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危险货物编号：22001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理化性质</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性状：无色无臭气体。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主要用途：用于切割、焊接金属，制造医药、染料、炸药等。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相对密度(水=1)：</w:t>
            </w:r>
          </w:p>
          <w:p>
            <w:pPr>
              <w:spacing w:line="260" w:lineRule="exact"/>
              <w:rPr>
                <w:rFonts w:ascii="宋体" w:hAnsi="宋体"/>
                <w:szCs w:val="21"/>
              </w:rPr>
            </w:pPr>
            <w:r>
              <w:rPr>
                <w:rFonts w:ascii="宋体" w:hAnsi="宋体"/>
                <w:szCs w:val="21"/>
              </w:rPr>
              <w:t>1.14（-183℃）</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饱和蒸汽压(kPa)：506.62（-164℃）</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临界温度(℃)：-118.4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相对密度(空气=1): 1.43</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闪点(℃)：不适用</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临界压力(MPa)：5.08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4" w:hRule="atLeast"/>
        </w:trPr>
        <w:tc>
          <w:tcPr>
            <w:tcW w:w="476" w:type="dxa"/>
            <w:vMerge w:val="continue"/>
            <w:noWrap w:val="0"/>
            <w:vAlign w:val="center"/>
          </w:tcPr>
          <w:p>
            <w:pPr>
              <w:spacing w:line="260" w:lineRule="exact"/>
              <w:rPr>
                <w:rFonts w:ascii="宋体" w:hAnsi="宋体"/>
                <w:szCs w:val="21"/>
              </w:rPr>
            </w:pPr>
          </w:p>
        </w:tc>
        <w:tc>
          <w:tcPr>
            <w:tcW w:w="3784"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熔点：-218.8</w:t>
            </w:r>
          </w:p>
        </w:tc>
        <w:tc>
          <w:tcPr>
            <w:tcW w:w="4076" w:type="dxa"/>
            <w:gridSpan w:val="5"/>
            <w:noWrap w:val="0"/>
            <w:vAlign w:val="center"/>
          </w:tcPr>
          <w:p>
            <w:pPr>
              <w:spacing w:line="260" w:lineRule="exact"/>
              <w:rPr>
                <w:rFonts w:ascii="宋体" w:hAnsi="宋体"/>
                <w:szCs w:val="21"/>
              </w:rPr>
            </w:pPr>
            <w:r>
              <w:rPr>
                <w:rFonts w:ascii="宋体" w:hAnsi="宋体"/>
                <w:szCs w:val="21"/>
              </w:rPr>
              <w:t>沸点：-183.1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溶解性：溶于水、乙醇。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危险特性：是易燃物、可燃物燃烧爆炸的基本要素之一, 能氧化大多数活性物质。与易燃物（如乙炔、甲烷等）形成有爆炸性的混合物。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1947"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燃烧分解产物：无数据</w:t>
            </w:r>
          </w:p>
        </w:tc>
        <w:tc>
          <w:tcPr>
            <w:tcW w:w="1319"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稳定性：无数据</w:t>
            </w:r>
          </w:p>
        </w:tc>
        <w:tc>
          <w:tcPr>
            <w:tcW w:w="1921"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聚合危害：无数据</w:t>
            </w:r>
          </w:p>
        </w:tc>
        <w:tc>
          <w:tcPr>
            <w:tcW w:w="2673" w:type="dxa"/>
            <w:gridSpan w:val="3"/>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禁忌物：易燃或可燃物、活性金属粉末、乙炔。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灭火方法：用水保持容器冷却，以防受热爆炸，急剧助长火势。迅速切断气源，用水喷淋保护切断气源的人员，然后根据着火原因选择适当灭火剂灭火。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危害</w:t>
            </w:r>
          </w:p>
        </w:tc>
        <w:tc>
          <w:tcPr>
            <w:tcW w:w="3521"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危险性类别：第2.2类 不燃气体</w:t>
            </w:r>
          </w:p>
        </w:tc>
        <w:tc>
          <w:tcPr>
            <w:tcW w:w="4339" w:type="dxa"/>
            <w:gridSpan w:val="7"/>
            <w:noWrap w:val="0"/>
            <w:vAlign w:val="center"/>
          </w:tcPr>
          <w:p>
            <w:pPr>
              <w:spacing w:line="260" w:lineRule="exact"/>
              <w:rPr>
                <w:rFonts w:ascii="宋体" w:hAnsi="宋体"/>
                <w:szCs w:val="21"/>
              </w:rPr>
            </w:pPr>
            <w:r>
              <w:rPr>
                <w:rFonts w:ascii="宋体" w:hAnsi="宋体"/>
                <w:szCs w:val="21"/>
              </w:rPr>
              <w:t>侵入途径：无数据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健康危害：常压下，当氧的浓度超过40％时，有可能发生氧中毒。吸入40％～60％的氧时，出现胸骨后不适感、轻咳，进而胸闷、胸骨后烧灼感和呼吸困难，咳嗽加剧；严重时可发生肺水肿，甚至出现呼吸窘迫综合征。吸入氧浓度在80％以上时，出现面部肌肉抽动、面色苍白、眩晕、心动过速、虚脱，继而全身强直性抽搐、昏迷、呼吸衰竭而死亡。长期处于氧分压为60～100kPa（相当于吸入氧浓度40％左右）的条件下可发生眼损害，严重者可失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燃爆危险：本品助燃。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包装与储运</w:t>
            </w:r>
          </w:p>
        </w:tc>
        <w:tc>
          <w:tcPr>
            <w:tcW w:w="3564"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危险货物包装标志：无数据</w:t>
            </w:r>
          </w:p>
        </w:tc>
        <w:tc>
          <w:tcPr>
            <w:tcW w:w="4296"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包装类别：O53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钢质气瓶包装。氧气钢瓶不得沾污油脂。采用刚瓶运输时必须戴好钢瓶上的安全帽。钢瓶一般平放，并应将瓶口朝同一方向，不可交叉；高度不得超过车辆的防护栏板，并用三角木垫卡牢，防止滚动。严禁与易燃物或可燃物、活性金属粉末等混装混运。夏季应早晚运输，防止日光曝晒。铁路运输时要禁止溜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急救措施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皮肤接触：无数据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食入：无数据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吸入：迅速脱离现场至空气新鲜处。保持呼吸道通畅。如呼吸停止，立即进行人工呼吸。就医。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防护措施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工程控制：密闭操作。提供良好的自然通风条件。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呼吸系统防护：一般不需特殊防护。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4220"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身体防护：穿一般作业工作服。</w:t>
            </w:r>
          </w:p>
        </w:tc>
        <w:tc>
          <w:tcPr>
            <w:tcW w:w="3640"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手防护：戴一般作业防护手套。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其它防护：避免高浓度吸入。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9" w:hRule="atLeast"/>
        </w:trPr>
        <w:tc>
          <w:tcPr>
            <w:tcW w:w="47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泄漏处理</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迅速撤离泄漏污染区人员至上风处，并进行隔离，严格限制出入。切断火源。建议应急处理人员戴自给正压式呼吸器，穿一般作业工作服。避免与可燃物或易燃物接触。尽可能切断泄漏源。合理通风，加速扩散。漏气容器要妥善处理，修复、检验后再用。</w:t>
            </w:r>
          </w:p>
        </w:tc>
      </w:tr>
    </w:tbl>
    <w:p>
      <w:bookmarkStart w:id="145" w:name="_Toc321298550"/>
    </w:p>
    <w:p>
      <w:pPr>
        <w:pStyle w:val="8"/>
        <w:spacing w:line="360" w:lineRule="auto"/>
        <w:ind w:firstLine="0" w:firstLineChars="0"/>
        <w:outlineLvl w:val="2"/>
        <w:rPr>
          <w:rFonts w:hint="eastAsia" w:ascii="宋体" w:hAnsi="宋体"/>
          <w:b/>
          <w:snapToGrid w:val="0"/>
          <w:kern w:val="0"/>
          <w:sz w:val="28"/>
          <w:szCs w:val="28"/>
          <w:lang w:val="en-US" w:eastAsia="zh-CN"/>
        </w:rPr>
      </w:pPr>
      <w:bookmarkStart w:id="146" w:name="_Toc515659435"/>
      <w:bookmarkStart w:id="147" w:name="_Toc475363998"/>
      <w:bookmarkStart w:id="148" w:name="_Toc513735552"/>
      <w:bookmarkStart w:id="149" w:name="_Toc29898"/>
      <w:r>
        <w:rPr>
          <w:rFonts w:hint="eastAsia" w:ascii="宋体" w:hAnsi="宋体"/>
          <w:b/>
          <w:snapToGrid w:val="0"/>
          <w:kern w:val="0"/>
          <w:sz w:val="28"/>
          <w:szCs w:val="28"/>
          <w:lang w:val="en-US" w:eastAsia="zh-CN"/>
        </w:rPr>
        <w:t>3.4.8 乙炔安全数据表</w:t>
      </w:r>
      <w:bookmarkEnd w:id="145"/>
      <w:bookmarkEnd w:id="146"/>
      <w:bookmarkEnd w:id="147"/>
      <w:bookmarkEnd w:id="148"/>
      <w:bookmarkEnd w:id="149"/>
    </w:p>
    <w:p>
      <w:pPr>
        <w:pStyle w:val="32"/>
        <w:rPr>
          <w:rFonts w:eastAsia="黑体"/>
          <w:sz w:val="24"/>
          <w:szCs w:val="24"/>
        </w:rPr>
      </w:pPr>
      <w:r>
        <w:rPr>
          <w:rFonts w:hint="eastAsia" w:eastAsia="黑体"/>
          <w:sz w:val="24"/>
          <w:szCs w:val="24"/>
        </w:rPr>
        <w:t>表</w:t>
      </w:r>
      <w:r>
        <w:rPr>
          <w:rFonts w:eastAsia="黑体"/>
          <w:sz w:val="24"/>
          <w:szCs w:val="24"/>
        </w:rPr>
        <w:t>3-</w:t>
      </w:r>
      <w:r>
        <w:rPr>
          <w:rFonts w:hint="eastAsia" w:eastAsia="黑体"/>
          <w:sz w:val="24"/>
          <w:szCs w:val="24"/>
        </w:rPr>
        <w:t>3</w:t>
      </w:r>
      <w:r>
        <w:rPr>
          <w:rFonts w:eastAsia="黑体"/>
          <w:sz w:val="24"/>
          <w:szCs w:val="24"/>
        </w:rPr>
        <w:t xml:space="preserve"> 乙炔安全数据表</w:t>
      </w:r>
    </w:p>
    <w:tbl>
      <w:tblPr>
        <w:tblStyle w:val="19"/>
        <w:tblW w:w="83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6"/>
        <w:gridCol w:w="1947"/>
        <w:gridCol w:w="531"/>
        <w:gridCol w:w="788"/>
        <w:gridCol w:w="255"/>
        <w:gridCol w:w="43"/>
        <w:gridCol w:w="220"/>
        <w:gridCol w:w="436"/>
        <w:gridCol w:w="967"/>
        <w:gridCol w:w="229"/>
        <w:gridCol w:w="408"/>
        <w:gridCol w:w="20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标 识</w:t>
            </w: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中文名：乙炔</w:t>
            </w:r>
          </w:p>
        </w:tc>
        <w:tc>
          <w:tcPr>
            <w:tcW w:w="5382" w:type="dxa"/>
            <w:gridSpan w:val="9"/>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英文名：acetylene</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CAS号：74-86-2</w:t>
            </w:r>
          </w:p>
        </w:tc>
        <w:tc>
          <w:tcPr>
            <w:tcW w:w="3346" w:type="dxa"/>
            <w:gridSpan w:val="8"/>
            <w:noWrap w:val="0"/>
            <w:tcMar>
              <w:top w:w="15" w:type="dxa"/>
              <w:left w:w="15" w:type="dxa"/>
              <w:bottom w:w="15" w:type="dxa"/>
              <w:right w:w="15" w:type="dxa"/>
            </w:tcMar>
            <w:vAlign w:val="center"/>
          </w:tcPr>
          <w:p>
            <w:pPr>
              <w:spacing w:line="260" w:lineRule="exact"/>
              <w:rPr>
                <w:rFonts w:ascii="宋体" w:hAnsi="宋体"/>
                <w:szCs w:val="21"/>
              </w:rPr>
            </w:pPr>
            <w:r>
              <w:rPr>
                <w:rFonts w:hint="eastAsia" w:ascii="宋体" w:hAnsi="宋体"/>
                <w:szCs w:val="21"/>
              </w:rPr>
              <w:t>危规</w:t>
            </w:r>
            <w:r>
              <w:rPr>
                <w:rFonts w:ascii="宋体" w:hAnsi="宋体"/>
                <w:szCs w:val="21"/>
              </w:rPr>
              <w:t>编号：</w:t>
            </w:r>
            <w:r>
              <w:rPr>
                <w:rFonts w:hint="eastAsia" w:ascii="宋体" w:hAnsi="宋体"/>
                <w:szCs w:val="21"/>
              </w:rPr>
              <w:t>2629</w:t>
            </w:r>
          </w:p>
        </w:tc>
        <w:tc>
          <w:tcPr>
            <w:tcW w:w="203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危险货物编号：21024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理化性质</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性状：无色无臭气体，工业品有使人不愉快的大蒜气味。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主要用途：是有机合成的重要原料之一。亦是合成橡胶、合成纤维和塑料的单体，也用于氧炔焊割。</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相对密度(水=1)：0.62</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饱和蒸汽压(kPa)：4053（16.8℃）</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临界温度(℃)：35.2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相对密度(空气=1): 0.91</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闪点(℃)：不适用</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临界压力(MPa)：6.14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4" w:hRule="atLeast"/>
        </w:trPr>
        <w:tc>
          <w:tcPr>
            <w:tcW w:w="476" w:type="dxa"/>
            <w:vMerge w:val="continue"/>
            <w:noWrap w:val="0"/>
            <w:vAlign w:val="center"/>
          </w:tcPr>
          <w:p>
            <w:pPr>
              <w:spacing w:line="260" w:lineRule="exact"/>
              <w:rPr>
                <w:rFonts w:ascii="宋体" w:hAnsi="宋体"/>
                <w:szCs w:val="21"/>
              </w:rPr>
            </w:pPr>
          </w:p>
        </w:tc>
        <w:tc>
          <w:tcPr>
            <w:tcW w:w="3784"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熔点：-81.8（119kPa）</w:t>
            </w:r>
          </w:p>
        </w:tc>
        <w:tc>
          <w:tcPr>
            <w:tcW w:w="4076" w:type="dxa"/>
            <w:gridSpan w:val="5"/>
            <w:noWrap w:val="0"/>
            <w:vAlign w:val="center"/>
          </w:tcPr>
          <w:p>
            <w:pPr>
              <w:spacing w:line="260" w:lineRule="exact"/>
              <w:rPr>
                <w:rFonts w:ascii="宋体" w:hAnsi="宋体"/>
                <w:szCs w:val="21"/>
              </w:rPr>
            </w:pPr>
            <w:r>
              <w:rPr>
                <w:rFonts w:ascii="宋体" w:hAnsi="宋体"/>
                <w:szCs w:val="21"/>
              </w:rPr>
              <w:t>沸点：-83.8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溶解性：微溶于水、乙醇，溶于丙酮、氯仿、苯。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危险特性：极易燃烧爆炸。与空气混合能形成爆炸性混合物，遇明火、高热能引起燃烧爆炸。与氧化剂接触猛烈反应。与氟、氯等接触会发生剧烈的化学反应。能与铜、银、汞等的化合物生成爆炸性物质。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1947"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燃烧分解产物：一氧化碳、二氧化碳。</w:t>
            </w:r>
          </w:p>
        </w:tc>
        <w:tc>
          <w:tcPr>
            <w:tcW w:w="1319"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稳定性：稳定</w:t>
            </w:r>
          </w:p>
        </w:tc>
        <w:tc>
          <w:tcPr>
            <w:tcW w:w="1921"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聚合危害：</w:t>
            </w:r>
          </w:p>
        </w:tc>
        <w:tc>
          <w:tcPr>
            <w:tcW w:w="2673" w:type="dxa"/>
            <w:gridSpan w:val="3"/>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禁忌物：强氧化剂、强酸、卤素。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灭火方法：切断气源。若不能切断气源，则不允许熄灭泄漏处的火焰。喷水冷却容器，可能的话将容器从火场移至空旷处。灭火剂：雾状水、泡沫、二氧化碳、干粉。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危害</w:t>
            </w:r>
          </w:p>
        </w:tc>
        <w:tc>
          <w:tcPr>
            <w:tcW w:w="3521"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危险性类别：第2.1类 易燃气体</w:t>
            </w:r>
          </w:p>
        </w:tc>
        <w:tc>
          <w:tcPr>
            <w:tcW w:w="4339" w:type="dxa"/>
            <w:gridSpan w:val="7"/>
            <w:noWrap w:val="0"/>
            <w:vAlign w:val="center"/>
          </w:tcPr>
          <w:p>
            <w:pPr>
              <w:spacing w:line="260" w:lineRule="exact"/>
              <w:rPr>
                <w:rFonts w:ascii="宋体" w:hAnsi="宋体"/>
                <w:szCs w:val="21"/>
              </w:rPr>
            </w:pPr>
            <w:r>
              <w:rPr>
                <w:rFonts w:ascii="宋体" w:hAnsi="宋体"/>
                <w:szCs w:val="21"/>
              </w:rPr>
              <w:t>侵入途径：吸入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9"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健康危害：具有弱麻醉作用。高浓度吸入可引起单纯窒息。 急性中毒：暴露于20％浓度时，出现明显缺氧症状；吸入高浓度，初期兴奋、多语、哭笑不安，后出现眩晕、头痛、恶心、呕吐、共济失调、嗜睡；严重者昏迷、紫绀、瞳孔对光反应消失、脉弱而不齐。当混有磷化氢、硫化氢时，毒性增大，应予以注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燃爆危险：本品易燃，具窒息性。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包装与储运</w:t>
            </w:r>
          </w:p>
        </w:tc>
        <w:tc>
          <w:tcPr>
            <w:tcW w:w="3564"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危险货物包装标志：易燃气体</w:t>
            </w:r>
          </w:p>
        </w:tc>
        <w:tc>
          <w:tcPr>
            <w:tcW w:w="4296"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包装类别：O52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乙炔的包装法通常是溶解在溶剂及多孔物中, 装入钢瓶内。储存于阴凉、通风的库房。远离火种、热源。库温不宜超过30℃。应与氧化剂、酸类、卤素分开存放，切忌混储。采用防爆型照明、通风设施。禁止使用易产生火花的机械设备和工具。储区应备有泄漏应急处理设备。</w:t>
            </w:r>
          </w:p>
          <w:p>
            <w:pPr>
              <w:spacing w:line="260" w:lineRule="exact"/>
              <w:rPr>
                <w:rFonts w:ascii="宋体" w:hAnsi="宋体"/>
                <w:szCs w:val="21"/>
              </w:rPr>
            </w:pPr>
            <w:r>
              <w:rPr>
                <w:rFonts w:ascii="宋体" w:hAnsi="宋体"/>
                <w:szCs w:val="21"/>
              </w:rPr>
              <w:t>采用刚瓶运输时必须戴好钢瓶上的安全帽。钢瓶一般平放，并应将瓶口朝同一方向，不可交叉；高度不得超过车辆的防护栏板，并用三角木垫卡牢，防止滚动。运输时运输车辆应配备相应品种和数量的消防器材。装运该物品的车辆排气管必须配备阻火装置，禁止使用易产生火花的机械设备和工具装卸。严禁与氧化剂、酸类、卤素等混装混运。夏季应早晚运输，防止日光曝晒。中途停留时应远离火种、热源。公路运输时要按规定路线行驶，勿在居民区和人口稠密区停留。铁路运输时要禁止溜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急救措施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皮肤接触：无数据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食入：无数据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吸入：迅速脱离现场至空气新鲜处。保持呼吸道通畅。如呼吸困难，给输氧。如呼吸停止，立即进行人工呼吸。就医。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防护措施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工程控制：生产过程密闭，全面通风。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呼吸系统防护：一般不需要特殊防护，但建议特殊情况下，佩戴自吸过滤式防毒面具（半面罩）。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4220"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身体防护：穿防静电工作服。</w:t>
            </w:r>
          </w:p>
        </w:tc>
        <w:tc>
          <w:tcPr>
            <w:tcW w:w="3640"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手防护：戴一般作业防护手套。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其它防护：无数据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9" w:hRule="atLeast"/>
        </w:trPr>
        <w:tc>
          <w:tcPr>
            <w:tcW w:w="47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泄漏处理</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迅速撤离泄漏污染区人员至上风处，并进行隔离，严格限制出入。切断火源。建议应急处理人员戴自给正压式呼吸器，穿防静电工作服。尽可能切断泄漏源。合理通风，加速扩散。喷雾状水稀释、溶解。构筑围堤或挖坑收容产生的大量废水。如有可能，将漏出气用排风机送至空旷地方或装设适当喷头烧掉。漏气容器要妥善处理，修复、检验后再用。</w:t>
            </w:r>
          </w:p>
        </w:tc>
      </w:tr>
    </w:tbl>
    <w:p/>
    <w:p>
      <w:pPr>
        <w:pStyle w:val="8"/>
        <w:spacing w:line="360" w:lineRule="auto"/>
        <w:ind w:firstLine="0" w:firstLineChars="0"/>
        <w:outlineLvl w:val="1"/>
        <w:rPr>
          <w:rFonts w:hint="eastAsia" w:ascii="黑体" w:eastAsia="黑体"/>
          <w:b/>
          <w:snapToGrid w:val="0"/>
          <w:kern w:val="0"/>
          <w:sz w:val="32"/>
          <w:szCs w:val="32"/>
        </w:rPr>
      </w:pPr>
      <w:bookmarkStart w:id="150" w:name="_Toc18182"/>
      <w:bookmarkStart w:id="151" w:name="_Toc515659436"/>
      <w:r>
        <w:rPr>
          <w:rFonts w:hint="eastAsia" w:ascii="黑体" w:eastAsia="黑体"/>
          <w:b/>
          <w:snapToGrid w:val="0"/>
          <w:kern w:val="0"/>
          <w:sz w:val="32"/>
          <w:szCs w:val="32"/>
        </w:rPr>
        <w:t>3.5 生产过程危险有害因素分析和辨识</w:t>
      </w:r>
      <w:bookmarkEnd w:id="144"/>
      <w:bookmarkEnd w:id="150"/>
      <w:bookmarkEnd w:id="151"/>
    </w:p>
    <w:p>
      <w:pPr>
        <w:pStyle w:val="2"/>
      </w:pPr>
    </w:p>
    <w:p>
      <w:pPr>
        <w:pStyle w:val="8"/>
        <w:spacing w:line="360" w:lineRule="auto"/>
        <w:ind w:firstLine="0" w:firstLineChars="0"/>
        <w:outlineLvl w:val="1"/>
        <w:rPr>
          <w:rFonts w:hint="eastAsia" w:ascii="黑体" w:eastAsia="黑体"/>
          <w:b/>
          <w:snapToGrid w:val="0"/>
          <w:kern w:val="0"/>
          <w:sz w:val="32"/>
          <w:szCs w:val="32"/>
        </w:rPr>
      </w:pPr>
      <w:bookmarkStart w:id="152" w:name="_Toc345593160"/>
      <w:bookmarkStart w:id="153" w:name="_Toc356380979"/>
      <w:bookmarkStart w:id="154" w:name="_Toc480804395"/>
      <w:bookmarkStart w:id="155" w:name="_Toc332350851"/>
      <w:bookmarkStart w:id="156" w:name="_Toc514342847"/>
      <w:bookmarkStart w:id="157" w:name="_Toc879"/>
      <w:bookmarkStart w:id="158" w:name="_Toc356401492"/>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5 生产过程危险有害因素分析和辨识</w:t>
      </w:r>
      <w:bookmarkEnd w:id="152"/>
      <w:bookmarkEnd w:id="153"/>
      <w:bookmarkEnd w:id="154"/>
      <w:bookmarkEnd w:id="155"/>
      <w:bookmarkEnd w:id="156"/>
      <w:bookmarkEnd w:id="157"/>
      <w:bookmarkEnd w:id="158"/>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根据现场检查及工艺过程分析，生产过程中危险有害因素分为：</w:t>
      </w:r>
    </w:p>
    <w:p>
      <w:pPr>
        <w:pStyle w:val="8"/>
        <w:spacing w:line="360" w:lineRule="auto"/>
        <w:ind w:firstLine="0" w:firstLineChars="0"/>
        <w:outlineLvl w:val="2"/>
        <w:rPr>
          <w:rFonts w:hint="eastAsia" w:ascii="宋体" w:hAnsi="宋体"/>
          <w:b/>
          <w:snapToGrid w:val="0"/>
          <w:kern w:val="0"/>
          <w:sz w:val="28"/>
          <w:szCs w:val="28"/>
        </w:rPr>
      </w:pPr>
      <w:bookmarkStart w:id="159" w:name="_Toc480804396"/>
      <w:bookmarkStart w:id="160" w:name="_Toc514342848"/>
      <w:bookmarkStart w:id="161" w:name="_Toc356401493"/>
      <w:bookmarkStart w:id="162" w:name="_Toc332350854"/>
      <w:bookmarkStart w:id="163" w:name="_Toc356380982"/>
      <w:bookmarkStart w:id="164" w:name="_Toc30859"/>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5.1 车辆事故</w:t>
      </w:r>
      <w:bookmarkEnd w:id="159"/>
      <w:bookmarkEnd w:id="160"/>
      <w:bookmarkEnd w:id="161"/>
      <w:bookmarkEnd w:id="162"/>
      <w:bookmarkEnd w:id="163"/>
      <w:bookmarkEnd w:id="164"/>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车辆伤害事故指企业机动车辆在行驶中引起的人体坠落和物体倒塌、坠落、挤压伤亡事故。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车辆伤害事故的主要原因有</w:t>
      </w:r>
      <w:r>
        <w:rPr>
          <w:rFonts w:ascii="宋体" w:hAnsi="宋体"/>
          <w:snapToGrid w:val="0"/>
          <w:kern w:val="0"/>
          <w:sz w:val="28"/>
          <w:szCs w:val="28"/>
        </w:rPr>
        <w:t>:</w:t>
      </w:r>
      <w:r>
        <w:rPr>
          <w:rFonts w:hint="eastAsia" w:ascii="宋体" w:hAnsi="宋体"/>
          <w:snapToGrid w:val="0"/>
          <w:kern w:val="0"/>
          <w:sz w:val="28"/>
          <w:szCs w:val="28"/>
        </w:rPr>
        <w:t>①违章驾车：如酒后驾车、疲劳驾车、非驾驶员驾车、超速行驶、争道抢行、违章超车和超载等；②疏忽大意：如情绪急躁、精神分散、心理烦乱、身体不适等；③车况不好：如安全装置不齐全、工作装置工作不可靠、安全防护装置工作不可靠、车辆维护修理不及时、带“病”行驶等；④道路环境：如道路条件差、视线不良、在恶劣的气候条件下行驶等；⑤管理因素：如车辆安全行驶制度不落实、管理规章制度或操作规程不健全、车辆维修不及时、交通信号、标志、设施缺陷等。</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企业可能发生的车辆伤害事故：矿车行驶中撞击或挤压到人员；人员从行驶中的车辆上坠落；挖掘设备给矿车装过大的大块或矿车装料时由于停放处坑洼不平等造成矿车翻倒事故；交叉路口或超车或会车时发生车辆相撞事故；矿车倒车排废时由于车上的大块卡住车斗或操作不当或发生滑坡、塌方造成矿车翻下山；矿车行驶中轮胎</w:t>
      </w:r>
      <w:r>
        <w:rPr>
          <w:rFonts w:ascii="宋体" w:hAnsi="宋体"/>
          <w:snapToGrid w:val="0"/>
          <w:kern w:val="0"/>
          <w:sz w:val="28"/>
          <w:szCs w:val="28"/>
        </w:rPr>
        <w:t>"</w:t>
      </w:r>
      <w:r>
        <w:rPr>
          <w:rFonts w:hint="eastAsia" w:ascii="宋体" w:hAnsi="宋体"/>
          <w:snapToGrid w:val="0"/>
          <w:kern w:val="0"/>
          <w:sz w:val="28"/>
          <w:szCs w:val="28"/>
        </w:rPr>
        <w:t>突爆</w:t>
      </w:r>
      <w:r>
        <w:rPr>
          <w:rFonts w:ascii="宋体" w:hAnsi="宋体"/>
          <w:snapToGrid w:val="0"/>
          <w:kern w:val="0"/>
          <w:sz w:val="28"/>
          <w:szCs w:val="28"/>
        </w:rPr>
        <w:t>"</w:t>
      </w:r>
      <w:r>
        <w:rPr>
          <w:rFonts w:hint="eastAsia" w:ascii="宋体" w:hAnsi="宋体"/>
          <w:snapToGrid w:val="0"/>
          <w:kern w:val="0"/>
          <w:sz w:val="28"/>
          <w:szCs w:val="28"/>
        </w:rPr>
        <w:t>造成翻车等事故的发生；挖掘设备上下坡或在坡上作业时发生倾倒事故；挖掘设备回转过程中或卸料时铲斗碰到矿车驾驶室或其它部位造成事故。</w:t>
      </w:r>
    </w:p>
    <w:p>
      <w:pPr>
        <w:spacing w:line="360" w:lineRule="auto"/>
        <w:ind w:firstLine="560" w:firstLineChars="200"/>
        <w:rPr>
          <w:rFonts w:hint="eastAsia"/>
          <w:sz w:val="28"/>
          <w:szCs w:val="28"/>
        </w:rPr>
      </w:pPr>
      <w:r>
        <w:rPr>
          <w:rFonts w:hint="eastAsia"/>
          <w:sz w:val="28"/>
          <w:szCs w:val="28"/>
        </w:rPr>
        <w:t>砖瓦厂在原料（泥土、煤渣）运输堆积、半成品及成品砖运输等过程中，各种车辆来往频繁。车辆的装载和驾驶、车辆及驾驶员的管理等方面的缺陷均可能引发车辆伤害事故。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车辆伤害后果是人员的伤亡和设备物品的损毁。</w:t>
      </w:r>
    </w:p>
    <w:p>
      <w:pPr>
        <w:pStyle w:val="8"/>
        <w:spacing w:line="360" w:lineRule="auto"/>
        <w:ind w:firstLine="0" w:firstLineChars="0"/>
        <w:outlineLvl w:val="2"/>
        <w:rPr>
          <w:rFonts w:hint="eastAsia" w:ascii="宋体" w:hAnsi="宋体"/>
          <w:b/>
          <w:snapToGrid w:val="0"/>
          <w:kern w:val="0"/>
          <w:sz w:val="28"/>
          <w:szCs w:val="28"/>
        </w:rPr>
      </w:pPr>
      <w:bookmarkStart w:id="165" w:name="_Toc356380983"/>
      <w:bookmarkStart w:id="166" w:name="_Toc332350855"/>
      <w:bookmarkStart w:id="167" w:name="_Toc514342849"/>
      <w:bookmarkStart w:id="168" w:name="_Toc480804397"/>
      <w:bookmarkStart w:id="169" w:name="_Toc3869"/>
      <w:bookmarkStart w:id="170" w:name="_Toc35640149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5.2 机械</w:t>
      </w:r>
      <w:bookmarkEnd w:id="165"/>
      <w:bookmarkEnd w:id="166"/>
      <w:r>
        <w:rPr>
          <w:rFonts w:hint="eastAsia" w:ascii="宋体" w:hAnsi="宋体"/>
          <w:b/>
          <w:snapToGrid w:val="0"/>
          <w:kern w:val="0"/>
          <w:sz w:val="28"/>
          <w:szCs w:val="28"/>
        </w:rPr>
        <w:t>伤害</w:t>
      </w:r>
      <w:bookmarkEnd w:id="167"/>
      <w:bookmarkEnd w:id="168"/>
      <w:bookmarkEnd w:id="169"/>
      <w:bookmarkEnd w:id="170"/>
    </w:p>
    <w:p>
      <w:pPr>
        <w:spacing w:line="360" w:lineRule="auto"/>
        <w:ind w:firstLine="515" w:firstLineChars="184"/>
        <w:rPr>
          <w:rFonts w:ascii="宋体" w:hAnsi="宋体"/>
          <w:snapToGrid w:val="0"/>
          <w:kern w:val="0"/>
          <w:sz w:val="28"/>
          <w:szCs w:val="28"/>
        </w:rPr>
      </w:pPr>
      <w:r>
        <w:rPr>
          <w:rFonts w:hint="eastAsia" w:ascii="宋体" w:hAnsi="宋体"/>
          <w:snapToGrid w:val="0"/>
          <w:kern w:val="0"/>
          <w:sz w:val="28"/>
          <w:szCs w:val="28"/>
        </w:rPr>
        <w:t>机械伤害事故是指机械设备运动</w:t>
      </w:r>
      <w:r>
        <w:rPr>
          <w:rFonts w:ascii="宋体" w:hAnsi="宋体"/>
          <w:snapToGrid w:val="0"/>
          <w:kern w:val="0"/>
          <w:sz w:val="28"/>
          <w:szCs w:val="28"/>
        </w:rPr>
        <w:t>(</w:t>
      </w:r>
      <w:r>
        <w:rPr>
          <w:rFonts w:hint="eastAsia" w:ascii="宋体" w:hAnsi="宋体"/>
          <w:snapToGrid w:val="0"/>
          <w:kern w:val="0"/>
          <w:sz w:val="28"/>
          <w:szCs w:val="28"/>
        </w:rPr>
        <w:t>静止</w:t>
      </w:r>
      <w:r>
        <w:rPr>
          <w:rFonts w:ascii="宋体" w:hAnsi="宋体"/>
          <w:snapToGrid w:val="0"/>
          <w:kern w:val="0"/>
          <w:sz w:val="28"/>
          <w:szCs w:val="28"/>
        </w:rPr>
        <w:t>)</w:t>
      </w:r>
      <w:r>
        <w:rPr>
          <w:rFonts w:hint="eastAsia" w:ascii="宋体" w:hAnsi="宋体"/>
          <w:snapToGrid w:val="0"/>
          <w:kern w:val="0"/>
          <w:sz w:val="28"/>
          <w:szCs w:val="28"/>
        </w:rPr>
        <w:t>部件、工具、加工件直接与人体接触引起的夹击、碰撞、剪切、卷人、绞、碾、割、刺等伤害，不包括车辆、起重机械引起的机械伤害。</w:t>
      </w:r>
    </w:p>
    <w:p>
      <w:pPr>
        <w:spacing w:line="360" w:lineRule="auto"/>
        <w:ind w:firstLine="515" w:firstLineChars="184"/>
        <w:rPr>
          <w:rFonts w:ascii="宋体" w:hAnsi="宋体"/>
          <w:snapToGrid w:val="0"/>
          <w:kern w:val="0"/>
          <w:sz w:val="28"/>
          <w:szCs w:val="28"/>
        </w:rPr>
      </w:pPr>
      <w:r>
        <w:rPr>
          <w:rFonts w:hint="eastAsia" w:ascii="宋体" w:hAnsi="宋体"/>
          <w:snapToGrid w:val="0"/>
          <w:kern w:val="0"/>
          <w:sz w:val="28"/>
          <w:szCs w:val="28"/>
        </w:rPr>
        <w:t>机械伤害事故产生的主要原因</w:t>
      </w:r>
      <w:r>
        <w:rPr>
          <w:rFonts w:ascii="宋体" w:hAnsi="宋体"/>
          <w:snapToGrid w:val="0"/>
          <w:kern w:val="0"/>
          <w:sz w:val="28"/>
          <w:szCs w:val="28"/>
        </w:rPr>
        <w:t>:</w:t>
      </w:r>
      <w:r>
        <w:rPr>
          <w:rFonts w:hint="eastAsia" w:ascii="宋体" w:hAnsi="宋体"/>
          <w:snapToGrid w:val="0"/>
          <w:kern w:val="0"/>
          <w:sz w:val="28"/>
          <w:szCs w:val="28"/>
        </w:rPr>
        <w:t>①指挥人员违章指挥，操作人员违章操作；②机械设备安全防护装置缺乏或防护装置失效等，导致事故发生；③安全管理上存在不足；④场地及运输道路缺陷；⑤意外因素影响</w:t>
      </w:r>
      <w:r>
        <w:rPr>
          <w:rFonts w:ascii="宋体" w:hAnsi="宋体"/>
          <w:snapToGrid w:val="0"/>
          <w:kern w:val="0"/>
          <w:sz w:val="28"/>
          <w:szCs w:val="28"/>
        </w:rPr>
        <w:t>:</w:t>
      </w:r>
      <w:r>
        <w:rPr>
          <w:rFonts w:hint="eastAsia" w:ascii="宋体" w:hAnsi="宋体"/>
          <w:snapToGrid w:val="0"/>
          <w:kern w:val="0"/>
          <w:sz w:val="28"/>
          <w:szCs w:val="28"/>
        </w:rPr>
        <w:t>如在检修和正常工作时，机器突然被别人随意启动，导致事故发生；⑥在不安全的机械上停留、休息，导致事故发生等。</w:t>
      </w:r>
    </w:p>
    <w:p>
      <w:pPr>
        <w:spacing w:line="360" w:lineRule="auto"/>
        <w:ind w:firstLine="515" w:firstLineChars="184"/>
        <w:rPr>
          <w:rFonts w:hint="eastAsia" w:ascii="宋体" w:hAnsi="宋体"/>
          <w:bCs/>
          <w:snapToGrid w:val="0"/>
          <w:kern w:val="0"/>
          <w:sz w:val="28"/>
          <w:szCs w:val="28"/>
        </w:rPr>
      </w:pPr>
      <w:r>
        <w:rPr>
          <w:rFonts w:hint="eastAsia" w:ascii="宋体" w:hAnsi="宋体"/>
          <w:snapToGrid w:val="0"/>
          <w:kern w:val="0"/>
          <w:sz w:val="28"/>
          <w:szCs w:val="28"/>
        </w:rPr>
        <w:t>机械伤害的主要后果是造成人员伤亡，其次是对物件的损坏。</w:t>
      </w:r>
      <w:r>
        <w:rPr>
          <w:rFonts w:ascii="宋体" w:hAnsi="宋体"/>
          <w:bCs/>
          <w:snapToGrid w:val="0"/>
          <w:kern w:val="0"/>
          <w:sz w:val="28"/>
          <w:szCs w:val="28"/>
        </w:rPr>
        <w:t>因此，加强生产作业中的安全防护是防止机械伤害事故的关键，即保持安全防护设施的完好，按规定使用安全防护用品等。同时加强安全管理力度，禁止违章作业和冒险接触机械危险部位，操作时集中精力，防止非操作人员随意开机，做好正常检修设备时的安全防护措施等对于预防机械事故的发生也很重要。</w:t>
      </w:r>
    </w:p>
    <w:p>
      <w:pPr>
        <w:spacing w:line="360" w:lineRule="auto"/>
        <w:ind w:firstLine="515" w:firstLineChars="184"/>
        <w:rPr>
          <w:rFonts w:hint="eastAsia" w:ascii="宋体" w:hAnsi="宋体"/>
          <w:snapToGrid w:val="0"/>
          <w:kern w:val="0"/>
          <w:sz w:val="28"/>
          <w:szCs w:val="28"/>
        </w:rPr>
      </w:pPr>
      <w:r>
        <w:rPr>
          <w:rFonts w:hint="eastAsia" w:ascii="宋体" w:hAnsi="宋体"/>
          <w:snapToGrid w:val="0"/>
          <w:kern w:val="0"/>
          <w:sz w:val="28"/>
          <w:szCs w:val="28"/>
        </w:rPr>
        <w:t>砖瓦厂在泥土破碎、运输、搅拌、挤压成型、截条、切条等过程中涉及到机械设备，某些设备的转动部件、移动部件等若缺乏良好的防护设施或防护设施有缺陷、操作错误等，均可能造成人身伤害。若没有配备或正确穿戴必需的劳动防护用品时，也可能造成机械伤害。</w:t>
      </w:r>
    </w:p>
    <w:p>
      <w:pPr>
        <w:pStyle w:val="8"/>
        <w:spacing w:line="360" w:lineRule="auto"/>
        <w:ind w:firstLine="0" w:firstLineChars="0"/>
        <w:outlineLvl w:val="2"/>
        <w:rPr>
          <w:rFonts w:hint="eastAsia" w:ascii="宋体" w:hAnsi="宋体"/>
          <w:b/>
          <w:snapToGrid w:val="0"/>
          <w:kern w:val="0"/>
          <w:sz w:val="28"/>
          <w:szCs w:val="28"/>
        </w:rPr>
      </w:pPr>
      <w:bookmarkStart w:id="171" w:name="_Toc350781098"/>
      <w:bookmarkStart w:id="172" w:name="_Toc356401495"/>
      <w:bookmarkStart w:id="173" w:name="_Toc19172"/>
      <w:bookmarkStart w:id="174" w:name="_Toc480804398"/>
      <w:bookmarkStart w:id="175" w:name="_Toc514342850"/>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5.3</w:t>
      </w:r>
      <w:r>
        <w:rPr>
          <w:rFonts w:ascii="宋体" w:hAnsi="宋体"/>
          <w:b/>
          <w:snapToGrid w:val="0"/>
          <w:kern w:val="0"/>
          <w:sz w:val="28"/>
          <w:szCs w:val="28"/>
        </w:rPr>
        <w:t xml:space="preserve"> 触电</w:t>
      </w:r>
      <w:r>
        <w:rPr>
          <w:rFonts w:hint="eastAsia" w:ascii="宋体" w:hAnsi="宋体"/>
          <w:b/>
          <w:snapToGrid w:val="0"/>
          <w:kern w:val="0"/>
          <w:sz w:val="28"/>
          <w:szCs w:val="28"/>
        </w:rPr>
        <w:t>事故</w:t>
      </w:r>
      <w:bookmarkEnd w:id="171"/>
      <w:bookmarkEnd w:id="172"/>
      <w:bookmarkEnd w:id="173"/>
      <w:bookmarkEnd w:id="174"/>
      <w:bookmarkEnd w:id="175"/>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触电事故是指由于电流流经人体导致的生理伤害，包括雷击伤亡事故。</w:t>
      </w:r>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触电伤害产生的主要原因：①电气线路或电气设备在设计、安装上存在缺陷，或在运行中缺乏必要的检修维护；②没有设置必要的安全技术措施</w:t>
      </w:r>
      <w:r>
        <w:rPr>
          <w:rFonts w:ascii="宋体" w:hAnsi="宋体"/>
          <w:bCs/>
          <w:snapToGrid w:val="0"/>
          <w:kern w:val="0"/>
          <w:sz w:val="28"/>
          <w:szCs w:val="28"/>
        </w:rPr>
        <w:t>(</w:t>
      </w:r>
      <w:r>
        <w:rPr>
          <w:rFonts w:hint="eastAsia" w:ascii="宋体" w:hAnsi="宋体"/>
          <w:bCs/>
          <w:snapToGrid w:val="0"/>
          <w:kern w:val="0"/>
          <w:sz w:val="28"/>
          <w:szCs w:val="28"/>
        </w:rPr>
        <w:t>如保护接零、漏电保护、安全电压等</w:t>
      </w:r>
      <w:r>
        <w:rPr>
          <w:rFonts w:ascii="宋体" w:hAnsi="宋体"/>
          <w:bCs/>
          <w:snapToGrid w:val="0"/>
          <w:kern w:val="0"/>
          <w:sz w:val="28"/>
          <w:szCs w:val="28"/>
        </w:rPr>
        <w:t>)</w:t>
      </w:r>
      <w:r>
        <w:rPr>
          <w:rFonts w:hint="eastAsia" w:ascii="宋体" w:hAnsi="宋体"/>
          <w:bCs/>
          <w:snapToGrid w:val="0"/>
          <w:kern w:val="0"/>
          <w:sz w:val="28"/>
          <w:szCs w:val="28"/>
        </w:rPr>
        <w:t>，或安全措施失效；③电气设备运行管理不当，安全管理制度不完善；④专业电工或机电设备操作人员操作失误，或违章作业等；⑤非专业电工人员私自进行检修、接线等专业工作；⑥电气安全管理工作存在漏洞；⑦在规定地点没有使用安全电压；⑧违章指挥等。</w:t>
      </w:r>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可能存在的触电场所有</w:t>
      </w:r>
      <w:r>
        <w:rPr>
          <w:rFonts w:ascii="宋体" w:hAnsi="宋体"/>
          <w:bCs/>
          <w:snapToGrid w:val="0"/>
          <w:kern w:val="0"/>
          <w:sz w:val="28"/>
          <w:szCs w:val="28"/>
        </w:rPr>
        <w:t>:</w:t>
      </w:r>
      <w:r>
        <w:rPr>
          <w:rFonts w:hint="eastAsia" w:ascii="宋体" w:hAnsi="宋体"/>
          <w:bCs/>
          <w:snapToGrid w:val="0"/>
          <w:kern w:val="0"/>
          <w:sz w:val="28"/>
          <w:szCs w:val="28"/>
        </w:rPr>
        <w:t>地面变压器、配电线路以及在生产过程中使用的各种电气设备、动力设备采用闸刀直接起动的设备、手持电动设备、照明线路及照明器具等。</w:t>
      </w:r>
    </w:p>
    <w:p>
      <w:pPr>
        <w:spacing w:line="360" w:lineRule="auto"/>
        <w:ind w:firstLine="560" w:firstLineChars="200"/>
        <w:rPr>
          <w:rFonts w:hint="eastAsia" w:ascii="宋体" w:hAnsi="宋体"/>
          <w:bCs/>
          <w:snapToGrid w:val="0"/>
          <w:kern w:val="0"/>
          <w:sz w:val="28"/>
          <w:szCs w:val="28"/>
        </w:rPr>
      </w:pPr>
      <w:r>
        <w:rPr>
          <w:rFonts w:hint="eastAsia" w:ascii="宋体" w:hAnsi="宋体"/>
          <w:bCs/>
          <w:snapToGrid w:val="0"/>
          <w:kern w:val="0"/>
          <w:sz w:val="28"/>
          <w:szCs w:val="28"/>
        </w:rPr>
        <w:t>触电伤害的后果是直接造成人员伤亡事故。</w:t>
      </w:r>
    </w:p>
    <w:p>
      <w:pPr>
        <w:pStyle w:val="8"/>
        <w:spacing w:line="360" w:lineRule="auto"/>
        <w:ind w:firstLine="0" w:firstLineChars="0"/>
        <w:outlineLvl w:val="2"/>
        <w:rPr>
          <w:rFonts w:hint="eastAsia" w:ascii="宋体" w:hAnsi="宋体"/>
          <w:b/>
          <w:snapToGrid w:val="0"/>
          <w:kern w:val="0"/>
          <w:sz w:val="28"/>
          <w:szCs w:val="28"/>
        </w:rPr>
      </w:pPr>
      <w:bookmarkStart w:id="176" w:name="_Toc356380985"/>
      <w:bookmarkStart w:id="177" w:name="_Toc13705"/>
      <w:bookmarkStart w:id="178" w:name="_Toc332350857"/>
      <w:bookmarkStart w:id="179" w:name="_Toc480804399"/>
      <w:bookmarkStart w:id="180" w:name="_Toc514342851"/>
      <w:bookmarkStart w:id="181" w:name="_Toc356401496"/>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5.4 高处坠落</w:t>
      </w:r>
      <w:bookmarkEnd w:id="176"/>
      <w:bookmarkEnd w:id="177"/>
      <w:bookmarkEnd w:id="178"/>
      <w:bookmarkEnd w:id="179"/>
      <w:bookmarkEnd w:id="180"/>
      <w:bookmarkEnd w:id="181"/>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高处坠落指在高处作业中发生坠落造成的伤亡事故，不包括触电坠落事故。</w:t>
      </w:r>
      <w:r>
        <w:rPr>
          <w:rFonts w:ascii="宋体" w:hAnsi="宋体"/>
          <w:bCs/>
          <w:snapToGrid w:val="0"/>
          <w:kern w:val="0"/>
          <w:sz w:val="28"/>
          <w:szCs w:val="28"/>
        </w:rPr>
        <w:t>高处坠落主要包括：采场顶部的高处坠落，检修安装设备时的高处坠落，人员行进中的意外滑倒等，增加防护装置是预防事故发生的重要措施。</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造成高处坠落的主要原因有：①没有按要求使用安全带、安全索；②没有按要求穿防滑性能良好的软底鞋；③高处作业时安全防护设施不完善或损坏；④工作责任心不强，主观判断失误；⑤使用安全保护装置不完善或缺乏的设备、设施进行作业；⑥作业人员疏忽大意，疲劳作业；⑦高处作业无专人负责指挥，安全管理不到位；⑧作业场所狭小，不符合安全要求。</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阴雨、积雪可引起料堆、砖坯堆垛坍方；料场土堆高3米，在堆料、喂料过程中土堆可能发生坍塌；料场打堆车道宽6米、坡度25°，在往高处打堆时，由于料堆松软，有可能造成运输机械侧翻、被掩埋的潜在危险，同时现场作业人员或外来人员有被压埋的潜在危险。同时，窑炉和烟囱在进行相关作业时，也存在坍塌和高处坠落的危险。</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高处坠落造成的事故的后果是人员伤亡和设备损坏。</w:t>
      </w:r>
    </w:p>
    <w:bookmarkEnd w:id="107"/>
    <w:p>
      <w:pPr>
        <w:pStyle w:val="8"/>
        <w:spacing w:line="360" w:lineRule="auto"/>
        <w:ind w:firstLine="0" w:firstLineChars="0"/>
        <w:outlineLvl w:val="2"/>
        <w:rPr>
          <w:rFonts w:ascii="宋体" w:hAnsi="宋体"/>
          <w:b/>
          <w:snapToGrid w:val="0"/>
          <w:kern w:val="0"/>
          <w:sz w:val="28"/>
          <w:szCs w:val="28"/>
        </w:rPr>
      </w:pPr>
      <w:bookmarkStart w:id="182" w:name="_Toc356401497"/>
      <w:bookmarkStart w:id="183" w:name="_Toc350781096"/>
      <w:bookmarkStart w:id="184" w:name="_Toc1627"/>
      <w:bookmarkStart w:id="185" w:name="_Toc480804400"/>
      <w:bookmarkStart w:id="186" w:name="_Toc514342852"/>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ascii="宋体" w:hAnsi="宋体"/>
          <w:b/>
          <w:snapToGrid w:val="0"/>
          <w:kern w:val="0"/>
          <w:sz w:val="28"/>
          <w:szCs w:val="28"/>
        </w:rPr>
        <w:t>.</w:t>
      </w:r>
      <w:r>
        <w:rPr>
          <w:rFonts w:hint="eastAsia" w:ascii="宋体" w:hAnsi="宋体"/>
          <w:b/>
          <w:snapToGrid w:val="0"/>
          <w:kern w:val="0"/>
          <w:sz w:val="28"/>
          <w:szCs w:val="28"/>
        </w:rPr>
        <w:t>5</w:t>
      </w:r>
      <w:r>
        <w:rPr>
          <w:rFonts w:ascii="宋体" w:hAnsi="宋体"/>
          <w:b/>
          <w:snapToGrid w:val="0"/>
          <w:kern w:val="0"/>
          <w:sz w:val="28"/>
          <w:szCs w:val="28"/>
        </w:rPr>
        <w:t xml:space="preserve"> 物体打击</w:t>
      </w:r>
      <w:bookmarkEnd w:id="182"/>
      <w:bookmarkEnd w:id="183"/>
      <w:bookmarkEnd w:id="184"/>
      <w:bookmarkEnd w:id="185"/>
      <w:bookmarkEnd w:id="186"/>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物体打击事故是指物体在重力或其它外力的作用下产生运动，打击人体造成人身伤亡事故，不包括因机械设备、车辆、起重机械、坍塌等引发的物体打击。</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造成物体打击的主要原因有</w:t>
      </w:r>
      <w:r>
        <w:rPr>
          <w:rFonts w:ascii="宋体" w:hAnsi="宋体"/>
          <w:snapToGrid w:val="0"/>
          <w:kern w:val="0"/>
          <w:sz w:val="28"/>
          <w:szCs w:val="28"/>
        </w:rPr>
        <w:t>:</w:t>
      </w:r>
      <w:r>
        <w:rPr>
          <w:rFonts w:hint="eastAsia" w:ascii="宋体" w:hAnsi="宋体"/>
          <w:snapToGrid w:val="0"/>
          <w:kern w:val="0"/>
          <w:sz w:val="28"/>
          <w:szCs w:val="28"/>
        </w:rPr>
        <w:t>①工作场所狭小，缺乏躲避空间，上下同时作业；②没有排险工具或排险工具有缺陷等；③工作时精力不集中，对出现的险情不能及时做出反应；④安全帽等劳保用品穿戴不规范、不齐全；⑤传递工具物件方法不当等</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可能发生的物体打击事故：拆卸设备部件时敲打工具造成工具强出伤人；高空作业时，由于工具、托辊、零件、砖瓦、木块等物不慎从高处掉落伤人或乱扔废物、杂物击中他人；</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一旦遭受物体打击其后果是人员的伤亡和物品的损毁。</w:t>
      </w:r>
    </w:p>
    <w:p>
      <w:pPr>
        <w:pStyle w:val="8"/>
        <w:spacing w:line="360" w:lineRule="auto"/>
        <w:ind w:firstLine="0" w:firstLineChars="0"/>
        <w:outlineLvl w:val="2"/>
        <w:rPr>
          <w:rFonts w:hint="eastAsia" w:ascii="宋体" w:hAnsi="宋体"/>
          <w:b/>
          <w:snapToGrid w:val="0"/>
          <w:kern w:val="0"/>
          <w:sz w:val="28"/>
          <w:szCs w:val="28"/>
        </w:rPr>
      </w:pPr>
      <w:bookmarkStart w:id="187" w:name="_Toc350781100"/>
      <w:bookmarkStart w:id="188" w:name="_Toc480804401"/>
      <w:bookmarkStart w:id="189" w:name="_Toc514342853"/>
      <w:bookmarkStart w:id="190" w:name="_Toc356401498"/>
      <w:bookmarkStart w:id="191" w:name="_Toc24982"/>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5.6 火灾</w:t>
      </w:r>
      <w:bookmarkEnd w:id="187"/>
      <w:r>
        <w:rPr>
          <w:rFonts w:hint="eastAsia" w:ascii="宋体" w:hAnsi="宋体"/>
          <w:b/>
          <w:snapToGrid w:val="0"/>
          <w:kern w:val="0"/>
          <w:sz w:val="28"/>
          <w:szCs w:val="28"/>
        </w:rPr>
        <w:t>事故</w:t>
      </w:r>
      <w:bookmarkEnd w:id="188"/>
      <w:bookmarkEnd w:id="189"/>
      <w:bookmarkEnd w:id="190"/>
      <w:bookmarkEnd w:id="191"/>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火灾是指企业内所发生的火灾。</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火灾事故产生的主要原因</w:t>
      </w:r>
      <w:r>
        <w:rPr>
          <w:rFonts w:ascii="宋体" w:hAnsi="宋体"/>
          <w:snapToGrid w:val="0"/>
          <w:kern w:val="0"/>
          <w:sz w:val="28"/>
          <w:szCs w:val="28"/>
        </w:rPr>
        <w:t>:</w:t>
      </w:r>
      <w:r>
        <w:rPr>
          <w:rFonts w:hint="eastAsia" w:ascii="宋体" w:hAnsi="宋体"/>
          <w:snapToGrid w:val="0"/>
          <w:kern w:val="0"/>
          <w:sz w:val="28"/>
          <w:szCs w:val="28"/>
        </w:rPr>
        <w:t>①明火</w:t>
      </w:r>
      <w:r>
        <w:rPr>
          <w:rFonts w:ascii="宋体" w:hAnsi="宋体"/>
          <w:snapToGrid w:val="0"/>
          <w:kern w:val="0"/>
          <w:sz w:val="28"/>
          <w:szCs w:val="28"/>
        </w:rPr>
        <w:t>(</w:t>
      </w:r>
      <w:r>
        <w:rPr>
          <w:rFonts w:hint="eastAsia" w:ascii="宋体" w:hAnsi="宋体"/>
          <w:snapToGrid w:val="0"/>
          <w:kern w:val="0"/>
          <w:sz w:val="28"/>
          <w:szCs w:val="28"/>
        </w:rPr>
        <w:t>包括火柴点火、吸烟、电焊、气焊、明火灯等</w:t>
      </w:r>
      <w:r>
        <w:rPr>
          <w:rFonts w:ascii="宋体" w:hAnsi="宋体"/>
          <w:snapToGrid w:val="0"/>
          <w:kern w:val="0"/>
          <w:sz w:val="28"/>
          <w:szCs w:val="28"/>
        </w:rPr>
        <w:t>)</w:t>
      </w:r>
      <w:r>
        <w:rPr>
          <w:rFonts w:hint="eastAsia" w:ascii="宋体" w:hAnsi="宋体"/>
          <w:snapToGrid w:val="0"/>
          <w:kern w:val="0"/>
          <w:sz w:val="28"/>
          <w:szCs w:val="28"/>
        </w:rPr>
        <w:t>所引燃；②油料</w:t>
      </w:r>
      <w:r>
        <w:rPr>
          <w:rFonts w:ascii="宋体" w:hAnsi="宋体"/>
          <w:snapToGrid w:val="0"/>
          <w:kern w:val="0"/>
          <w:sz w:val="28"/>
          <w:szCs w:val="28"/>
        </w:rPr>
        <w:t>(</w:t>
      </w:r>
      <w:r>
        <w:rPr>
          <w:rFonts w:hint="eastAsia" w:ascii="宋体" w:hAnsi="宋体"/>
          <w:snapToGrid w:val="0"/>
          <w:kern w:val="0"/>
          <w:sz w:val="28"/>
          <w:szCs w:val="28"/>
        </w:rPr>
        <w:t>润滑油、变压器油、液压设备用油、柴油设备用油、维修设备用油等</w:t>
      </w:r>
      <w:r>
        <w:rPr>
          <w:rFonts w:ascii="宋体" w:hAnsi="宋体"/>
          <w:snapToGrid w:val="0"/>
          <w:kern w:val="0"/>
          <w:sz w:val="28"/>
          <w:szCs w:val="28"/>
        </w:rPr>
        <w:t>)</w:t>
      </w:r>
      <w:r>
        <w:rPr>
          <w:rFonts w:hint="eastAsia" w:ascii="宋体" w:hAnsi="宋体"/>
          <w:snapToGrid w:val="0"/>
          <w:kern w:val="0"/>
          <w:sz w:val="28"/>
          <w:szCs w:val="28"/>
        </w:rPr>
        <w:t>保管、运输和使用不当；③电缆、电线、电动机、电钻等电器设备绝缘损坏及性能不良产生的电弧、电火花、漏电、失爆、短路或超负荷运行引起火灾；④保险丝</w:t>
      </w:r>
      <w:r>
        <w:rPr>
          <w:rFonts w:ascii="宋体" w:hAnsi="宋体"/>
          <w:snapToGrid w:val="0"/>
          <w:kern w:val="0"/>
          <w:sz w:val="28"/>
          <w:szCs w:val="28"/>
        </w:rPr>
        <w:t>(</w:t>
      </w:r>
      <w:r>
        <w:rPr>
          <w:rFonts w:hint="eastAsia" w:ascii="宋体" w:hAnsi="宋体"/>
          <w:snapToGrid w:val="0"/>
          <w:kern w:val="0"/>
          <w:sz w:val="28"/>
          <w:szCs w:val="28"/>
        </w:rPr>
        <w:t>片</w:t>
      </w:r>
      <w:r>
        <w:rPr>
          <w:rFonts w:ascii="宋体" w:hAnsi="宋体"/>
          <w:snapToGrid w:val="0"/>
          <w:kern w:val="0"/>
          <w:sz w:val="28"/>
          <w:szCs w:val="28"/>
        </w:rPr>
        <w:t>)</w:t>
      </w:r>
      <w:r>
        <w:rPr>
          <w:rFonts w:hint="eastAsia" w:ascii="宋体" w:hAnsi="宋体"/>
          <w:snapToGrid w:val="0"/>
          <w:kern w:val="0"/>
          <w:sz w:val="28"/>
          <w:szCs w:val="28"/>
        </w:rPr>
        <w:t>选用不当，使用铜丝、铝线代替保险丝；⑤油开关及配电箱内油料着火</w:t>
      </w:r>
      <w:r>
        <w:rPr>
          <w:rFonts w:ascii="宋体" w:hAnsi="宋体"/>
          <w:snapToGrid w:val="0"/>
          <w:kern w:val="0"/>
          <w:sz w:val="28"/>
          <w:szCs w:val="28"/>
        </w:rPr>
        <w:t>;</w:t>
      </w:r>
      <w:r>
        <w:rPr>
          <w:rFonts w:hint="eastAsia" w:ascii="宋体" w:hAnsi="宋体"/>
          <w:snapToGrid w:val="0"/>
          <w:kern w:val="0"/>
          <w:sz w:val="28"/>
          <w:szCs w:val="28"/>
        </w:rPr>
        <w:t>⑥机械作用</w:t>
      </w:r>
      <w:r>
        <w:rPr>
          <w:rFonts w:ascii="宋体" w:hAnsi="宋体"/>
          <w:snapToGrid w:val="0"/>
          <w:kern w:val="0"/>
          <w:sz w:val="28"/>
          <w:szCs w:val="28"/>
        </w:rPr>
        <w:t>(</w:t>
      </w:r>
      <w:r>
        <w:rPr>
          <w:rFonts w:hint="eastAsia" w:ascii="宋体" w:hAnsi="宋体"/>
          <w:snapToGrid w:val="0"/>
          <w:kern w:val="0"/>
          <w:sz w:val="28"/>
          <w:szCs w:val="28"/>
        </w:rPr>
        <w:t>包括摩擦、震动冲击等</w:t>
      </w:r>
      <w:r>
        <w:rPr>
          <w:rFonts w:ascii="宋体" w:hAnsi="宋体"/>
          <w:snapToGrid w:val="0"/>
          <w:kern w:val="0"/>
          <w:sz w:val="28"/>
          <w:szCs w:val="28"/>
        </w:rPr>
        <w:t>)</w:t>
      </w:r>
      <w:r>
        <w:rPr>
          <w:rFonts w:hint="eastAsia" w:ascii="宋体" w:hAnsi="宋体"/>
          <w:snapToGrid w:val="0"/>
          <w:kern w:val="0"/>
          <w:sz w:val="28"/>
          <w:szCs w:val="28"/>
        </w:rPr>
        <w:t>所引起。</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火灾可能发生在空压机房、机修车间、综合材料库、变压器等用电部位。</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火灾事故的主要后果是造成人员伤亡和财产损失。</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92" w:name="_Toc496016651"/>
      <w:bookmarkStart w:id="193" w:name="_Toc413834088"/>
      <w:bookmarkStart w:id="194" w:name="_Toc359225364"/>
      <w:bookmarkStart w:id="195" w:name="_Toc9981"/>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hint="eastAsia" w:ascii="宋体" w:hAnsi="宋体"/>
          <w:b/>
          <w:snapToGrid w:val="0"/>
          <w:kern w:val="0"/>
          <w:sz w:val="28"/>
          <w:szCs w:val="28"/>
          <w:lang w:val="en-US" w:eastAsia="zh-CN"/>
        </w:rPr>
        <w:t>7 坍塌</w:t>
      </w:r>
      <w:bookmarkEnd w:id="192"/>
      <w:bookmarkEnd w:id="193"/>
      <w:bookmarkEnd w:id="194"/>
      <w:bookmarkEnd w:id="195"/>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坍塌事故产生的主要原因有：①确定的边坡角不合理；②地质因素对边坡的影响；③岩体中的地下水；④人为因素；⑤风化作用；⑥地震等。坍塌是</w:t>
      </w:r>
      <w:r>
        <w:rPr>
          <w:rFonts w:hint="eastAsia" w:ascii="宋体" w:hAnsi="宋体" w:cs="宋体"/>
          <w:color w:val="auto"/>
          <w:sz w:val="28"/>
          <w:szCs w:val="28"/>
          <w:lang w:eastAsia="zh-CN"/>
        </w:rPr>
        <w:t>砖厂页岩开采</w:t>
      </w:r>
      <w:r>
        <w:rPr>
          <w:rFonts w:hint="eastAsia" w:ascii="宋体" w:hAnsi="宋体" w:cs="宋体"/>
          <w:color w:val="auto"/>
          <w:sz w:val="28"/>
          <w:szCs w:val="28"/>
        </w:rPr>
        <w:t>的主要危险因素之一，发生事故的后果是造成重大人员伤亡和设备、设施损坏，对生产企业造成重大经济损失。</w:t>
      </w:r>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本项目存在原料堆放、砖坯堆码、成品堆垛等工序。如原料打堆过高，由于料堆松软，有可能造成运输机械侧翻、被掩埋的潜在危险，同时现场作业人员或外来人员有被压埋的潜在危险。工作人员在窑内码坯和成品堆垛过程中，由于砖坯堆放不稳，堆放过高或地基不稳，堆垛码放不符合要求，都可能会引起坯（砖）垛倒塌，发生倒塌伤人、损物等事故。</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96" w:name="_Toc20717"/>
      <w:r>
        <w:rPr>
          <w:rFonts w:hint="eastAsia" w:ascii="宋体" w:hAnsi="宋体"/>
          <w:b/>
          <w:snapToGrid w:val="0"/>
          <w:kern w:val="0"/>
          <w:sz w:val="28"/>
          <w:szCs w:val="28"/>
          <w:lang w:val="en-US" w:eastAsia="zh-CN"/>
        </w:rPr>
        <w:t>3.5.8中毒窒息</w:t>
      </w:r>
      <w:bookmarkEnd w:id="196"/>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产生的主要原因：①出窑作业未按规定通风；②烧窑过程燃烧不充分产生有毒气体; ③人员违反规定进入受限空间作业;④窑台边缘安全防护措施未落实,未设警示标识,人员误操作或能见度低引发高空坠落事故。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可能存在的</w:t>
      </w: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场所有:砖窑</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的主要后果是中毒窒息、高处坠落造成人员死亡、人身伤害、经济损失等。事故多发生生产旺季。</w:t>
      </w:r>
    </w:p>
    <w:p>
      <w:pPr>
        <w:pStyle w:val="8"/>
        <w:spacing w:line="360" w:lineRule="auto"/>
        <w:ind w:firstLine="0" w:firstLineChars="0"/>
        <w:outlineLvl w:val="2"/>
        <w:rPr>
          <w:rFonts w:hint="eastAsia" w:ascii="宋体" w:hAnsi="宋体"/>
          <w:b/>
          <w:snapToGrid w:val="0"/>
          <w:color w:val="FF0000"/>
          <w:kern w:val="0"/>
          <w:sz w:val="28"/>
          <w:szCs w:val="28"/>
          <w:lang w:val="en-US" w:eastAsia="zh-CN"/>
        </w:rPr>
      </w:pPr>
      <w:bookmarkStart w:id="197" w:name="_Toc481870967"/>
      <w:bookmarkStart w:id="198" w:name="_Toc332350852"/>
      <w:bookmarkStart w:id="199" w:name="_Toc515659445"/>
      <w:bookmarkStart w:id="200" w:name="_Toc9824"/>
      <w:bookmarkStart w:id="201" w:name="_Toc499478606"/>
      <w:bookmarkStart w:id="202" w:name="_Toc511994834"/>
      <w:r>
        <w:rPr>
          <w:rFonts w:hint="eastAsia" w:ascii="宋体" w:hAnsi="宋体"/>
          <w:b/>
          <w:snapToGrid w:val="0"/>
          <w:color w:val="FF0000"/>
          <w:kern w:val="0"/>
          <w:sz w:val="28"/>
          <w:szCs w:val="28"/>
          <w:lang w:val="en-US" w:eastAsia="zh-CN"/>
        </w:rPr>
        <w:t>3.5.9高温</w:t>
      </w:r>
      <w:bookmarkEnd w:id="197"/>
      <w:bookmarkEnd w:id="198"/>
      <w:r>
        <w:rPr>
          <w:rFonts w:hint="eastAsia" w:ascii="宋体" w:hAnsi="宋体"/>
          <w:b/>
          <w:snapToGrid w:val="0"/>
          <w:color w:val="FF0000"/>
          <w:kern w:val="0"/>
          <w:sz w:val="28"/>
          <w:szCs w:val="28"/>
          <w:lang w:val="en-US" w:eastAsia="zh-CN"/>
        </w:rPr>
        <w:t>灼烫</w:t>
      </w:r>
      <w:bookmarkEnd w:id="199"/>
      <w:bookmarkEnd w:id="200"/>
      <w:bookmarkEnd w:id="201"/>
      <w:bookmarkEnd w:id="202"/>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在生产工艺中存在烘干窑、隧道窑及高温产品等高温作业环境，作业人员在工作过程中由于劳保用品穿戴不好，违章操作、设备设施故障泄漏或保温失效、检修过程中防护不当以及其它突发事故等原因，均可导致作业人员发生高温烫伤伤害。在烧结时，窑体加煤烧制、成品砖出窑过程中，温度较高，如窑体保温密封不良会产生较强的热辐射，作业人员长期在此环境中易受到高温中暑危害。</w:t>
      </w:r>
    </w:p>
    <w:p>
      <w:pPr>
        <w:pStyle w:val="8"/>
        <w:spacing w:line="360" w:lineRule="auto"/>
        <w:ind w:firstLine="0" w:firstLineChars="0"/>
        <w:outlineLvl w:val="2"/>
        <w:rPr>
          <w:rFonts w:hint="eastAsia" w:ascii="宋体" w:hAnsi="宋体"/>
          <w:b/>
          <w:snapToGrid w:val="0"/>
          <w:color w:val="FF0000"/>
          <w:kern w:val="0"/>
          <w:sz w:val="28"/>
          <w:szCs w:val="28"/>
          <w:lang w:val="en-US" w:eastAsia="zh-CN"/>
        </w:rPr>
      </w:pPr>
      <w:bookmarkStart w:id="203" w:name="_Toc511994833"/>
      <w:bookmarkStart w:id="204" w:name="_Toc515659444"/>
      <w:bookmarkStart w:id="205" w:name="_Toc468870614"/>
      <w:bookmarkStart w:id="206" w:name="_Toc10032"/>
      <w:r>
        <w:rPr>
          <w:rFonts w:hint="eastAsia" w:ascii="宋体" w:hAnsi="宋体"/>
          <w:b/>
          <w:snapToGrid w:val="0"/>
          <w:color w:val="FF0000"/>
          <w:kern w:val="0"/>
          <w:sz w:val="28"/>
          <w:szCs w:val="28"/>
          <w:lang w:val="en-US" w:eastAsia="zh-CN"/>
        </w:rPr>
        <w:t>3.5.10容器爆炸</w:t>
      </w:r>
      <w:bookmarkEnd w:id="203"/>
      <w:bookmarkEnd w:id="204"/>
      <w:bookmarkEnd w:id="205"/>
      <w:bookmarkEnd w:id="206"/>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公司使用的空压设备配套有压缩空气罐，压缩空气罐属于普通的一类压力容器，压力容器在使用过程中存在压力容器爆炸危险，发生容器爆炸事故的主要原因有：</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(1) 由于设计制造不当造成设备的质量不符合有关规范要求，在运行时发生爆裂，其爆裂的形式有：</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1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①</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韧性爆裂：是压力容器在内部压力下，器壁上产生的应力达到材料强度的极限而断裂的一种破坏形式。引起韧性爆裂的原因大多是：磨损、腐蚀、壁厚减薄、强度不足仍继续运行所致。</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2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②</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脆性爆裂：是容器承受的压力并不高，负荷产生的应力远小于材料屈服极限及明显的变形而突然发生爆裂，其原因是由于温度、应力集中、冲击荷载作用等因素使材料的塑性和韧性下降、材料变脆不能抑制裂纹的结果。</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3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③</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疲劳爆裂：是容器在反复的加压、卸压后，壳体材料长期受到交变载荷的作用，如反复的加压和卸压，开停车或负荷波动幅度大如吸附和再生作业时，导致操作压力波动幅度较大及工作温度周期性的变化的作用而出现的金属疲劳，从而产生的一种爆裂形式。</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4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④</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腐蚀爆裂：是容器壳体由于受到腐蚀介质作用而产生的均匀腐蚀、点腐蚀、晶间腐蚀、应力腐蚀、疲劳腐蚀而引起的爆裂。</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 xml:space="preserve">(2) 在使用过程中，若违反操作规程或因年久腐蚀严重又未按国家规定进行检测，在超压运行状态下，而安全阀又未动作时，罐体承受不住内部气压或液压时，将发生爆裂或爆炸。 </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(3) 由于压力容器的安全阀、压力表等未定期检验或损坏失灵，致不能正确显示和及时泄放，容器超压也可能引起爆炸。</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207" w:name="_Toc515657141"/>
      <w:bookmarkStart w:id="208" w:name="_Toc515659448"/>
      <w:bookmarkStart w:id="209" w:name="_Toc28786"/>
      <w:bookmarkStart w:id="210" w:name="_Toc511994836"/>
      <w:r>
        <w:rPr>
          <w:rFonts w:hint="eastAsia" w:ascii="宋体" w:hAnsi="宋体"/>
          <w:b/>
          <w:snapToGrid w:val="0"/>
          <w:kern w:val="0"/>
          <w:sz w:val="28"/>
          <w:szCs w:val="28"/>
          <w:lang w:val="en-US" w:eastAsia="zh-CN"/>
        </w:rPr>
        <w:t>3.5.11有限空间作业</w:t>
      </w:r>
      <w:bookmarkEnd w:id="207"/>
      <w:bookmarkEnd w:id="208"/>
      <w:bookmarkEnd w:id="209"/>
      <w:bookmarkEnd w:id="210"/>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本项目的各类储罐容器、脱硫塔、窑炉炉膛、砖坯烘干室、设备地下坑道、烟道等设施、设备和场所，在日常维护和检测时会进行有限空间作业。</w:t>
      </w:r>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有限空间内作业，如管理稍有不慎，极易导致火灾、爆炸、中毒、窒息等人身伤害事故，给作业人员的安全带来严重安全隐患。研究表明很多致命的有限空间事故的发生都与所在空间内存在的种危险因素未得到重视有关，而这些危险因素既可能在员工进入有限空间之前就已存在，也可能是由于他们在其间的活动形成。因此，有限空间是一种作业风险比较高，应当引起人们高度重视的作业环境。</w:t>
      </w:r>
    </w:p>
    <w:p>
      <w:pPr>
        <w:pStyle w:val="8"/>
        <w:spacing w:line="360" w:lineRule="auto"/>
        <w:ind w:firstLine="0" w:firstLineChars="0"/>
        <w:outlineLvl w:val="2"/>
        <w:rPr>
          <w:rFonts w:hint="eastAsia" w:ascii="宋体" w:hAnsi="宋体"/>
          <w:b/>
          <w:snapToGrid w:val="0"/>
          <w:kern w:val="0"/>
          <w:sz w:val="28"/>
          <w:szCs w:val="28"/>
        </w:rPr>
      </w:pPr>
      <w:bookmarkStart w:id="211" w:name="_Toc356401499"/>
      <w:bookmarkStart w:id="212" w:name="_Toc1032"/>
      <w:bookmarkStart w:id="213" w:name="_Toc350781101"/>
      <w:bookmarkStart w:id="214" w:name="_Toc480804402"/>
      <w:bookmarkStart w:id="215" w:name="_Toc51434285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ascii="宋体" w:hAnsi="宋体"/>
          <w:b/>
          <w:snapToGrid w:val="0"/>
          <w:kern w:val="0"/>
          <w:sz w:val="28"/>
          <w:szCs w:val="28"/>
        </w:rPr>
        <w:t>.</w:t>
      </w:r>
      <w:r>
        <w:rPr>
          <w:rFonts w:hint="eastAsia" w:ascii="宋体" w:hAnsi="宋体"/>
          <w:b/>
          <w:snapToGrid w:val="0"/>
          <w:kern w:val="0"/>
          <w:sz w:val="28"/>
          <w:szCs w:val="28"/>
          <w:lang w:val="en-US" w:eastAsia="zh-CN"/>
        </w:rPr>
        <w:t>12</w:t>
      </w:r>
      <w:r>
        <w:rPr>
          <w:rFonts w:ascii="宋体" w:hAnsi="宋体"/>
          <w:b/>
          <w:snapToGrid w:val="0"/>
          <w:kern w:val="0"/>
          <w:sz w:val="28"/>
          <w:szCs w:val="28"/>
        </w:rPr>
        <w:t xml:space="preserve"> </w:t>
      </w:r>
      <w:r>
        <w:rPr>
          <w:rFonts w:hint="eastAsia" w:ascii="宋体" w:hAnsi="宋体"/>
          <w:b/>
          <w:snapToGrid w:val="0"/>
          <w:kern w:val="0"/>
          <w:sz w:val="28"/>
          <w:szCs w:val="28"/>
        </w:rPr>
        <w:t>职业</w:t>
      </w:r>
      <w:r>
        <w:rPr>
          <w:rFonts w:ascii="宋体" w:hAnsi="宋体"/>
          <w:b/>
          <w:snapToGrid w:val="0"/>
          <w:kern w:val="0"/>
          <w:sz w:val="28"/>
          <w:szCs w:val="28"/>
        </w:rPr>
        <w:t>危害</w:t>
      </w:r>
      <w:r>
        <w:rPr>
          <w:rFonts w:hint="eastAsia" w:ascii="宋体" w:hAnsi="宋体"/>
          <w:b/>
          <w:snapToGrid w:val="0"/>
          <w:kern w:val="0"/>
          <w:sz w:val="28"/>
          <w:szCs w:val="28"/>
        </w:rPr>
        <w:t>因素</w:t>
      </w:r>
      <w:bookmarkEnd w:id="211"/>
      <w:bookmarkEnd w:id="212"/>
      <w:bookmarkEnd w:id="213"/>
      <w:bookmarkEnd w:id="214"/>
      <w:bookmarkEnd w:id="215"/>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.1 粉尘</w:t>
      </w:r>
    </w:p>
    <w:p>
      <w:pPr>
        <w:spacing w:line="360" w:lineRule="auto"/>
        <w:ind w:firstLine="560" w:firstLineChars="200"/>
        <w:rPr>
          <w:rFonts w:hint="eastAsia" w:ascii="宋体" w:hAnsi="宋体"/>
          <w:snapToGrid w:val="0"/>
          <w:color w:val="auto"/>
          <w:kern w:val="0"/>
          <w:sz w:val="28"/>
          <w:szCs w:val="28"/>
          <w:lang w:eastAsia="zh-CN"/>
        </w:rPr>
      </w:pPr>
      <w:r>
        <w:rPr>
          <w:rFonts w:hint="eastAsia" w:ascii="宋体" w:hAnsi="宋体" w:eastAsia="宋体" w:cstheme="minorBidi"/>
          <w:snapToGrid w:val="0"/>
          <w:color w:val="auto"/>
          <w:kern w:val="0"/>
          <w:sz w:val="28"/>
          <w:szCs w:val="28"/>
          <w:lang w:val="en-US" w:eastAsia="zh-CN" w:bidi="ar-SA"/>
        </w:rPr>
        <w:t>窑体在加煤烧制过程中窑顶部、出窑时窑洞中粉尘浓度较大，作</w:t>
      </w:r>
      <w:r>
        <w:rPr>
          <w:rFonts w:hint="eastAsia" w:ascii="宋体" w:hAnsi="宋体"/>
          <w:snapToGrid w:val="0"/>
          <w:color w:val="auto"/>
          <w:kern w:val="0"/>
          <w:sz w:val="28"/>
          <w:szCs w:val="28"/>
          <w:lang w:eastAsia="zh-CN"/>
        </w:rPr>
        <w:t>业人员在此环境中易受到粉尘危害。粉尘危害是砖厂生产作业中最大危害之一。粉尘是在生产过程中产生的细粒状矿物或岩石粉尘。</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产生粉尘的环节主要有原料装卸、破碎等生产过程。在上述生产作业中产生的细粒状矿物或岩石粉尘，直径大于50μm的尘粒，在重力作用下会很快从气流中分离出来，沉落于地面，此类矿尘称为落尘；直径在0.01～50μm范围内的尘粒，能长时间悬浮于空气中，此类矿尘叫做浮尘。浮尘对空气的污染和对人体健康具有重大影响。</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.2 烟气</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烧结自保温砌块的制造生产主要采用内燃烧成工艺，但有时也需要补充少量的外燃，其内燃热值一般为300～500cal/g，因此烟气成分复杂，废气中以无机污染物为主。燃烧过程中可逸出有害气体S02、HF、NOx、CO、HC1等，其主要污染物是S02气体，如不加以治理，将会对工作场所人员健康和环境造成影响。</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.3 噪声、振动</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噪声指声强和频率的变化都无规律、杂乱无章的声音。砖厂噪声具有强度大、声级高、噪声源多、干扰时间长以及连续噪声多等特点。</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噪声与振动主要来源于各种设备在运转过程中由于震动、摩擦、碰撞而产生的机械动力噪声和由风管排气、漏气而产生的气体动力噪声。</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产生噪声与振动的设备和场所：空压机和空压机泵房；制砖工作面；装载、挖掘设备驾驶室。</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噪声可以使人耳聋，还可能引起高血压、心脏病、神经官能症等疾病。噪声还污染环境，影响人们的正常生活和生产活动。</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.4 高温、低温</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高温、高湿环境会增加人员中暑机率，并会加速有毒物质吸收，会导致操作失误率升高，易发生事故，长期在高温、高湿环境下工作，可引发关节炎等疾病；高温、高湿环境会加速材料的腐蚀；过大的湿度会引起电气设备受潮、绝缘下降，引起触电事故；</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在烧结时，窑体加煤烧制、成品砖出窑过程中，温度较高，如窑体保温密封不良会产生较强的热辐射，作业人员在此环境中易受到高温危害。</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在低温环境下，人员操作功能随温度的下降而明显下降，注意力不集中，反应时间延长，作业失误率上升，且可能发生冻伤。</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216" w:name="_Toc413834096"/>
      <w:bookmarkStart w:id="217" w:name="_Toc17382"/>
      <w:bookmarkStart w:id="218" w:name="_Toc496016659"/>
      <w:bookmarkStart w:id="219" w:name="_Toc359225372"/>
      <w:r>
        <w:rPr>
          <w:rFonts w:hint="eastAsia" w:ascii="宋体" w:hAnsi="宋体"/>
          <w:b/>
          <w:snapToGrid w:val="0"/>
          <w:kern w:val="0"/>
          <w:sz w:val="28"/>
          <w:szCs w:val="28"/>
          <w:lang w:val="en-US" w:eastAsia="zh-CN"/>
        </w:rPr>
        <w:t>3.5.13 自然灾害</w:t>
      </w:r>
      <w:bookmarkEnd w:id="216"/>
      <w:bookmarkEnd w:id="217"/>
      <w:bookmarkEnd w:id="218"/>
      <w:bookmarkEnd w:id="219"/>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3.5.13</w:t>
      </w:r>
      <w:r>
        <w:rPr>
          <w:rFonts w:hint="eastAsia" w:ascii="宋体" w:hAnsi="宋体" w:cs="宋体"/>
          <w:color w:val="auto"/>
          <w:sz w:val="28"/>
          <w:szCs w:val="28"/>
        </w:rPr>
        <w:t>.1 地震灾害</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地震发生时，可能使建筑物倒塌，建筑设施结构破坏造成人员伤亡，也可能使电气系统短路导致火灾事故发生等。</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3.5.13</w:t>
      </w:r>
      <w:r>
        <w:rPr>
          <w:rFonts w:hint="eastAsia" w:ascii="宋体" w:hAnsi="宋体" w:cs="宋体"/>
          <w:color w:val="auto"/>
          <w:sz w:val="28"/>
          <w:szCs w:val="28"/>
        </w:rPr>
        <w:t>.2 雷击危害</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雷雨云对地放电形成直击雷。雷击发生时，强大的冲击电压和雷电流会毁坏各种电气设备，强烈的空气扰动会使建筑物和设备损坏，其热效应会引起火灾，还可能击中人员事故伤亡事故。除直击雷外，还有雷电感应、球型雷和雷电侵入波等都可造成危害，其中直击雷的危害最大，此外雷电还可通过静电感应或电磁感应产生破坏作用。</w:t>
      </w:r>
    </w:p>
    <w:p>
      <w:pPr>
        <w:pStyle w:val="8"/>
        <w:spacing w:line="360" w:lineRule="auto"/>
        <w:ind w:firstLine="0" w:firstLineChars="0"/>
        <w:outlineLvl w:val="1"/>
        <w:rPr>
          <w:rFonts w:hint="eastAsia" w:ascii="黑体" w:hAnsi="宋体" w:eastAsia="黑体"/>
          <w:b/>
          <w:snapToGrid w:val="0"/>
          <w:kern w:val="0"/>
          <w:sz w:val="32"/>
          <w:szCs w:val="32"/>
        </w:rPr>
      </w:pPr>
      <w:bookmarkStart w:id="220" w:name="_Toc303340324"/>
      <w:bookmarkStart w:id="221" w:name="_Toc484594602"/>
      <w:bookmarkStart w:id="222" w:name="_Toc514342856"/>
      <w:bookmarkStart w:id="223" w:name="_Toc31323"/>
      <w:bookmarkStart w:id="224" w:name="_Toc325528024"/>
      <w:bookmarkStart w:id="225" w:name="_Toc304291284"/>
      <w:r>
        <w:rPr>
          <w:rFonts w:hint="eastAsia" w:ascii="黑体" w:hAnsi="宋体" w:eastAsia="黑体"/>
          <w:b/>
          <w:snapToGrid w:val="0"/>
          <w:kern w:val="0"/>
          <w:sz w:val="32"/>
          <w:szCs w:val="32"/>
          <w:lang w:val="en-US" w:eastAsia="zh-CN"/>
        </w:rPr>
        <w:t>3</w:t>
      </w:r>
      <w:r>
        <w:rPr>
          <w:rFonts w:hint="eastAsia" w:ascii="黑体" w:hAnsi="宋体" w:eastAsia="黑体"/>
          <w:b/>
          <w:snapToGrid w:val="0"/>
          <w:kern w:val="0"/>
          <w:sz w:val="32"/>
          <w:szCs w:val="32"/>
          <w:lang w:eastAsia="zh-CN"/>
        </w:rPr>
        <w:t>.</w:t>
      </w:r>
      <w:r>
        <w:rPr>
          <w:rFonts w:hint="eastAsia" w:ascii="黑体" w:hAnsi="宋体" w:eastAsia="黑体"/>
          <w:b/>
          <w:snapToGrid w:val="0"/>
          <w:kern w:val="0"/>
          <w:sz w:val="32"/>
          <w:szCs w:val="32"/>
        </w:rPr>
        <w:t>6 厂址安全条件的危险、有害因素辨识与分析</w:t>
      </w:r>
      <w:bookmarkEnd w:id="220"/>
      <w:bookmarkEnd w:id="221"/>
      <w:bookmarkEnd w:id="222"/>
      <w:bookmarkEnd w:id="223"/>
      <w:bookmarkEnd w:id="224"/>
      <w:bookmarkEnd w:id="225"/>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工业企业若选址不当，厂址条件差，可能存在以下危险、有害因素：①厂址工程地质不良，厂址周围为陡坎或有河流、沟渠通过，容易造成厂内塌陷和周边垮塌，设备、设施损坏，造成有害物质泄漏，引发火灾爆炸和窒息事故。②厂址所在地地形地貌差，处于窝风地带，厂内有害气体得不到及时散放，其生产作业危险性就大。③厂址与周边居民区或企业，安全距离不够，相互间会产生不利影响。④厂址所在地水文、气象条件恶劣，易发生水灾、雷击灾害，影响企业的正常生产。⑤厂址周边交通运输条件不畅、消防配备设施不完善，会造成运输不便，增加运输风险。</w:t>
      </w:r>
    </w:p>
    <w:p>
      <w:pPr>
        <w:spacing w:line="360" w:lineRule="auto"/>
        <w:ind w:firstLine="560" w:firstLineChars="200"/>
        <w:rPr>
          <w:rFonts w:hint="eastAsia" w:ascii="宋体" w:hAnsi="宋体"/>
          <w:snapToGrid w:val="0"/>
          <w:kern w:val="0"/>
          <w:sz w:val="28"/>
          <w:szCs w:val="28"/>
        </w:rPr>
      </w:pPr>
      <w:r>
        <w:rPr>
          <w:rFonts w:ascii="宋体" w:hAnsi="宋体"/>
          <w:snapToGrid w:val="0"/>
          <w:kern w:val="0"/>
          <w:sz w:val="28"/>
          <w:szCs w:val="28"/>
        </w:rPr>
        <w:t>本工程厂址周围无大型重要公共建筑设施</w:t>
      </w:r>
      <w:r>
        <w:rPr>
          <w:rFonts w:hint="eastAsia" w:ascii="宋体" w:hAnsi="宋体"/>
          <w:snapToGrid w:val="0"/>
          <w:kern w:val="0"/>
          <w:sz w:val="28"/>
          <w:szCs w:val="28"/>
        </w:rPr>
        <w:t>，</w:t>
      </w:r>
      <w:r>
        <w:rPr>
          <w:rFonts w:ascii="宋体" w:hAnsi="宋体"/>
          <w:snapToGrid w:val="0"/>
          <w:kern w:val="0"/>
          <w:sz w:val="28"/>
          <w:szCs w:val="28"/>
        </w:rPr>
        <w:t>位于相对稳定地块，场地无不良地质现象，地基承载力较高，不受洪水威胁；地下水对混凝土结构和钢筋混凝土结构中的钢筋不具腐蚀性。厂址交通运输方便</w:t>
      </w:r>
      <w:r>
        <w:rPr>
          <w:rFonts w:hint="eastAsia" w:ascii="宋体" w:hAnsi="宋体"/>
          <w:snapToGrid w:val="0"/>
          <w:kern w:val="0"/>
          <w:sz w:val="28"/>
          <w:szCs w:val="28"/>
        </w:rPr>
        <w:t>，</w:t>
      </w:r>
      <w:r>
        <w:rPr>
          <w:rFonts w:ascii="宋体" w:hAnsi="宋体"/>
          <w:snapToGrid w:val="0"/>
          <w:kern w:val="0"/>
          <w:sz w:val="28"/>
          <w:szCs w:val="28"/>
        </w:rPr>
        <w:t>已取得政府相关部门的</w:t>
      </w:r>
      <w:r>
        <w:rPr>
          <w:rFonts w:hint="eastAsia" w:ascii="宋体" w:hAnsi="宋体"/>
          <w:snapToGrid w:val="0"/>
          <w:kern w:val="0"/>
          <w:sz w:val="28"/>
          <w:szCs w:val="28"/>
        </w:rPr>
        <w:t>技改</w:t>
      </w:r>
      <w:r>
        <w:rPr>
          <w:rFonts w:ascii="宋体" w:hAnsi="宋体"/>
          <w:snapToGrid w:val="0"/>
          <w:kern w:val="0"/>
          <w:sz w:val="28"/>
          <w:szCs w:val="28"/>
        </w:rPr>
        <w:t>批复。因此，该工程选址符合当地政府部门规划，选址符合厂址选择的技术要求。</w:t>
      </w:r>
    </w:p>
    <w:p>
      <w:pPr>
        <w:pStyle w:val="8"/>
        <w:spacing w:line="360" w:lineRule="auto"/>
        <w:ind w:firstLine="0" w:firstLineChars="0"/>
        <w:outlineLvl w:val="2"/>
        <w:rPr>
          <w:rFonts w:hint="eastAsia" w:ascii="宋体" w:hAnsi="宋体"/>
          <w:b/>
          <w:snapToGrid w:val="0"/>
          <w:kern w:val="0"/>
          <w:sz w:val="28"/>
          <w:szCs w:val="28"/>
        </w:rPr>
      </w:pPr>
      <w:bookmarkStart w:id="226" w:name="_Toc771"/>
      <w:bookmarkStart w:id="227" w:name="_Toc458523590"/>
      <w:bookmarkStart w:id="228" w:name="_Toc484594603"/>
      <w:bookmarkStart w:id="229" w:name="_Toc514342857"/>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 xml:space="preserve">6.1 </w:t>
      </w:r>
      <w:r>
        <w:rPr>
          <w:rFonts w:hint="eastAsia" w:ascii="宋体" w:hAnsi="宋体"/>
          <w:b/>
          <w:snapToGrid w:val="0"/>
          <w:kern w:val="0"/>
          <w:sz w:val="28"/>
          <w:szCs w:val="28"/>
          <w:lang w:eastAsia="zh-CN"/>
        </w:rPr>
        <w:t>公司</w:t>
      </w:r>
      <w:r>
        <w:rPr>
          <w:rFonts w:hint="eastAsia" w:ascii="宋体" w:hAnsi="宋体"/>
          <w:b/>
          <w:snapToGrid w:val="0"/>
          <w:kern w:val="0"/>
          <w:sz w:val="28"/>
          <w:szCs w:val="28"/>
        </w:rPr>
        <w:t>对周边环境的影响分析</w:t>
      </w:r>
      <w:bookmarkEnd w:id="226"/>
      <w:bookmarkEnd w:id="227"/>
      <w:bookmarkEnd w:id="228"/>
      <w:bookmarkEnd w:id="229"/>
    </w:p>
    <w:p>
      <w:pPr>
        <w:tabs>
          <w:tab w:val="left" w:pos="8808"/>
        </w:tabs>
        <w:snapToGrid w:val="0"/>
        <w:spacing w:line="360" w:lineRule="auto"/>
        <w:ind w:firstLine="560" w:firstLineChars="200"/>
        <w:rPr>
          <w:rFonts w:hint="eastAsia" w:ascii="宋体" w:hAnsi="宋体" w:cs="宋体"/>
          <w:sz w:val="28"/>
          <w:szCs w:val="28"/>
        </w:rPr>
      </w:pPr>
      <w:bookmarkStart w:id="230" w:name="_Toc155775354"/>
      <w:bookmarkStart w:id="231" w:name="_Toc172964203"/>
      <w:bookmarkStart w:id="232" w:name="_Toc172963399"/>
      <w:bookmarkStart w:id="233" w:name="_Toc172964408"/>
      <w:bookmarkStart w:id="234" w:name="_Toc374385892"/>
      <w:r>
        <w:rPr>
          <w:rFonts w:hint="eastAsia" w:ascii="宋体" w:hAnsi="宋体" w:cs="宋体"/>
          <w:sz w:val="28"/>
          <w:szCs w:val="28"/>
          <w:lang w:eastAsia="zh-CN"/>
        </w:rPr>
        <w:t>厂</w:t>
      </w:r>
      <w:r>
        <w:rPr>
          <w:rFonts w:ascii="宋体" w:hAnsi="宋体" w:cs="宋体"/>
          <w:sz w:val="28"/>
          <w:szCs w:val="28"/>
        </w:rPr>
        <w:t>区内</w:t>
      </w:r>
      <w:r>
        <w:rPr>
          <w:rFonts w:hint="eastAsia" w:ascii="宋体" w:hAnsi="宋体" w:cs="宋体"/>
          <w:sz w:val="28"/>
          <w:szCs w:val="28"/>
        </w:rPr>
        <w:t>无高压电线敷设、无</w:t>
      </w:r>
      <w:r>
        <w:rPr>
          <w:rFonts w:ascii="宋体" w:hAnsi="宋体" w:cs="宋体"/>
          <w:sz w:val="28"/>
          <w:szCs w:val="28"/>
        </w:rPr>
        <w:t>国家规定的风景名胜区、革命历史古迹等文物保护对象，无集中式水源地等特殊保护对象</w:t>
      </w:r>
      <w:r>
        <w:rPr>
          <w:rFonts w:hint="eastAsia" w:ascii="宋体" w:hAnsi="宋体" w:cs="宋体"/>
          <w:sz w:val="28"/>
          <w:szCs w:val="28"/>
        </w:rPr>
        <w:t>；</w:t>
      </w:r>
      <w:r>
        <w:rPr>
          <w:rFonts w:ascii="宋体" w:hAnsi="宋体" w:cs="宋体"/>
          <w:sz w:val="28"/>
          <w:szCs w:val="28"/>
        </w:rPr>
        <w:t>区域内及附近无</w:t>
      </w:r>
      <w:r>
        <w:rPr>
          <w:rFonts w:hint="eastAsia" w:ascii="宋体" w:hAnsi="宋体" w:cs="宋体"/>
          <w:sz w:val="28"/>
          <w:szCs w:val="28"/>
        </w:rPr>
        <w:t>重大危险源监管单位、无</w:t>
      </w:r>
      <w:r>
        <w:rPr>
          <w:rFonts w:ascii="宋体" w:hAnsi="宋体" w:cs="宋体"/>
          <w:sz w:val="28"/>
          <w:szCs w:val="28"/>
        </w:rPr>
        <w:t>军事设施等保密单位，无军事国防通讯设施及其他通讯设施等敏感目标，地下未发现矿产资源</w:t>
      </w:r>
      <w:r>
        <w:rPr>
          <w:rFonts w:hint="eastAsia" w:ascii="宋体" w:hAnsi="宋体" w:cs="宋体"/>
          <w:sz w:val="28"/>
          <w:szCs w:val="28"/>
        </w:rPr>
        <w:t>，无长输天然气管道、输油管道敷设</w:t>
      </w:r>
      <w:r>
        <w:rPr>
          <w:rFonts w:ascii="宋体" w:hAnsi="宋体" w:cs="宋体"/>
          <w:sz w:val="28"/>
          <w:szCs w:val="28"/>
        </w:rPr>
        <w:t>。</w:t>
      </w:r>
      <w:r>
        <w:rPr>
          <w:rFonts w:hint="eastAsia" w:ascii="宋体" w:hAnsi="宋体" w:cs="宋体"/>
          <w:sz w:val="28"/>
          <w:szCs w:val="28"/>
          <w:lang w:eastAsia="zh-CN"/>
        </w:rPr>
        <w:t>公司</w:t>
      </w:r>
      <w:r>
        <w:rPr>
          <w:rFonts w:hint="eastAsia" w:ascii="宋体" w:hAnsi="宋体" w:cs="宋体"/>
          <w:sz w:val="28"/>
          <w:szCs w:val="28"/>
        </w:rPr>
        <w:t>在正常工况下废水、废气、废渣等经达标后排放，并与周边建构筑留有足够的防火间距，即</w:t>
      </w:r>
      <w:r>
        <w:rPr>
          <w:rFonts w:hint="eastAsia" w:ascii="宋体" w:hAnsi="宋体" w:cs="宋体"/>
          <w:sz w:val="28"/>
          <w:szCs w:val="28"/>
          <w:lang w:eastAsia="zh-CN"/>
        </w:rPr>
        <w:t>公司</w:t>
      </w:r>
      <w:r>
        <w:rPr>
          <w:rFonts w:hint="eastAsia" w:ascii="宋体" w:hAnsi="宋体" w:cs="宋体"/>
          <w:sz w:val="28"/>
          <w:szCs w:val="28"/>
        </w:rPr>
        <w:t>正常工况下不会对周边单位生产、经营活动或者居民生活造成影响。</w:t>
      </w:r>
    </w:p>
    <w:p>
      <w:pPr>
        <w:spacing w:line="360" w:lineRule="auto"/>
        <w:ind w:firstLine="560" w:firstLineChars="200"/>
        <w:rPr>
          <w:rFonts w:hint="eastAsia" w:ascii="宋体" w:hAnsi="宋体"/>
          <w:sz w:val="28"/>
          <w:szCs w:val="28"/>
        </w:rPr>
      </w:pPr>
      <w:r>
        <w:rPr>
          <w:rFonts w:ascii="宋体" w:hAnsi="宋体"/>
          <w:sz w:val="28"/>
          <w:szCs w:val="28"/>
        </w:rPr>
        <w:t>若三废处理不当可能会对周边环境、企业造成不良影响，因此本工程应切实做好三废的处理工作。</w:t>
      </w:r>
      <w:r>
        <w:rPr>
          <w:rFonts w:hint="eastAsia" w:ascii="宋体" w:hAnsi="宋体"/>
          <w:sz w:val="28"/>
          <w:szCs w:val="28"/>
          <w:lang w:eastAsia="zh-CN"/>
        </w:rPr>
        <w:t>公司</w:t>
      </w:r>
      <w:r>
        <w:rPr>
          <w:rFonts w:ascii="宋体" w:hAnsi="宋体"/>
          <w:sz w:val="28"/>
          <w:szCs w:val="28"/>
        </w:rPr>
        <w:t>在采取了可靠的安全、环保的防护措施之后，</w:t>
      </w:r>
      <w:r>
        <w:rPr>
          <w:rFonts w:hint="eastAsia" w:ascii="宋体" w:hAnsi="宋体" w:cs="宋体"/>
          <w:sz w:val="28"/>
          <w:szCs w:val="28"/>
        </w:rPr>
        <w:t>对周边环境的影响在可接受和可控制范围。</w:t>
      </w:r>
    </w:p>
    <w:bookmarkEnd w:id="230"/>
    <w:bookmarkEnd w:id="231"/>
    <w:bookmarkEnd w:id="232"/>
    <w:bookmarkEnd w:id="233"/>
    <w:bookmarkEnd w:id="234"/>
    <w:p>
      <w:pPr>
        <w:pStyle w:val="8"/>
        <w:spacing w:line="360" w:lineRule="auto"/>
        <w:ind w:firstLine="0" w:firstLineChars="0"/>
        <w:outlineLvl w:val="2"/>
        <w:rPr>
          <w:rFonts w:hint="eastAsia" w:ascii="宋体" w:hAnsi="宋体"/>
          <w:b/>
          <w:snapToGrid w:val="0"/>
          <w:kern w:val="0"/>
          <w:sz w:val="28"/>
          <w:szCs w:val="28"/>
        </w:rPr>
      </w:pPr>
      <w:bookmarkStart w:id="235" w:name="_Toc514342858"/>
      <w:bookmarkStart w:id="236" w:name="_Toc31334"/>
      <w:bookmarkStart w:id="237" w:name="_Toc484594604"/>
      <w:bookmarkStart w:id="238" w:name="_Toc172964213"/>
      <w:bookmarkStart w:id="239" w:name="_Toc172963410"/>
      <w:bookmarkStart w:id="240" w:name="_Toc172964418"/>
      <w:bookmarkStart w:id="241" w:name="_Toc458523594"/>
      <w:bookmarkStart w:id="242" w:name="_Toc155775365"/>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6.2 周边环境对</w:t>
      </w:r>
      <w:r>
        <w:rPr>
          <w:rFonts w:hint="eastAsia" w:ascii="宋体" w:hAnsi="宋体"/>
          <w:b/>
          <w:snapToGrid w:val="0"/>
          <w:kern w:val="0"/>
          <w:sz w:val="28"/>
          <w:szCs w:val="28"/>
          <w:lang w:eastAsia="zh-CN"/>
        </w:rPr>
        <w:t>公司</w:t>
      </w:r>
      <w:r>
        <w:rPr>
          <w:rFonts w:hint="eastAsia" w:ascii="宋体" w:hAnsi="宋体"/>
          <w:b/>
          <w:snapToGrid w:val="0"/>
          <w:kern w:val="0"/>
          <w:sz w:val="28"/>
          <w:szCs w:val="28"/>
        </w:rPr>
        <w:t>的影响分析</w:t>
      </w:r>
      <w:bookmarkEnd w:id="235"/>
      <w:bookmarkEnd w:id="236"/>
      <w:bookmarkEnd w:id="237"/>
      <w:bookmarkEnd w:id="238"/>
      <w:bookmarkEnd w:id="239"/>
      <w:bookmarkEnd w:id="240"/>
      <w:bookmarkEnd w:id="241"/>
      <w:bookmarkEnd w:id="242"/>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zh-CN" w:eastAsia="zh-CN"/>
        </w:rPr>
        <w:t>公司</w:t>
      </w:r>
      <w:r>
        <w:rPr>
          <w:rFonts w:hint="eastAsia" w:ascii="宋体" w:hAnsi="宋体" w:cs="宋体"/>
          <w:color w:val="auto"/>
          <w:sz w:val="28"/>
          <w:szCs w:val="28"/>
          <w:lang w:val="en-US" w:eastAsia="zh-CN"/>
        </w:rPr>
        <w:t>矿山开采登记范围不存在矿权重叠与边界纠纷问题，矿区附近谷地及缓坡平地为农业耕作区，斜坡以上大部分为荒坡，少量林木分布。矿区周围大多为农田，矿山范围内人类工程主要以农耕地为主。</w:t>
      </w:r>
    </w:p>
    <w:p>
      <w:pPr>
        <w:spacing w:line="360" w:lineRule="auto"/>
        <w:ind w:firstLine="560" w:firstLineChars="200"/>
        <w:rPr>
          <w:rFonts w:hint="eastAsia" w:ascii="宋体" w:hAnsi="宋体" w:cs="宋体"/>
          <w:color w:val="auto"/>
          <w:sz w:val="28"/>
          <w:szCs w:val="28"/>
          <w:lang w:val="en-US" w:eastAsia="en-US"/>
        </w:rPr>
      </w:pPr>
      <w:r>
        <w:rPr>
          <w:rFonts w:hint="eastAsia" w:ascii="宋体" w:hAnsi="宋体" w:cs="宋体"/>
          <w:color w:val="auto"/>
          <w:sz w:val="28"/>
          <w:szCs w:val="28"/>
          <w:lang w:val="en-US" w:eastAsia="zh-CN"/>
        </w:rPr>
        <w:t>砖厂朝向近似座北朝东，</w:t>
      </w:r>
      <w:r>
        <w:rPr>
          <w:rFonts w:hint="eastAsia" w:ascii="宋体" w:hAnsi="宋体" w:cs="宋体"/>
          <w:color w:val="auto"/>
          <w:sz w:val="28"/>
          <w:szCs w:val="28"/>
          <w:lang w:val="zh-CN" w:eastAsia="zh-CN"/>
        </w:rPr>
        <w:t>地处农村环境，外环境简单，具体情况如下：厂区周边主要为山坡地，植被为杂草、灌木丛及农作物，不存在珍稀植物。根据现场勘查，公司生产区周边主要为耕地、农户。公司大门位于东面，东面紧邻进厂道路，道路 两侧为农田；公司北面和西面为农田；东南面为本公司矿山页岩开采区；开采区以东为丘陵。</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周边200米范围内的零散居民住户与公司的防火间距均大于50米。公司周边环境条件良好，周边环境不会对公司形成制约影响因素。</w:t>
      </w:r>
    </w:p>
    <w:p>
      <w:pPr>
        <w:pStyle w:val="8"/>
        <w:spacing w:line="360" w:lineRule="auto"/>
        <w:ind w:firstLine="0" w:firstLineChars="0"/>
        <w:outlineLvl w:val="1"/>
        <w:rPr>
          <w:rFonts w:hint="eastAsia" w:ascii="黑体" w:eastAsia="黑体"/>
          <w:b/>
          <w:snapToGrid w:val="0"/>
          <w:kern w:val="0"/>
          <w:sz w:val="32"/>
          <w:szCs w:val="32"/>
        </w:rPr>
      </w:pPr>
      <w:bookmarkStart w:id="243" w:name="_Toc356401505"/>
      <w:bookmarkStart w:id="244" w:name="_Toc350781107"/>
      <w:bookmarkStart w:id="245" w:name="_Toc24537"/>
      <w:bookmarkStart w:id="246" w:name="_Toc480804413"/>
      <w:bookmarkStart w:id="247" w:name="_Toc514342863"/>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lang w:val="en-US" w:eastAsia="zh-CN"/>
        </w:rPr>
        <w:t>7</w:t>
      </w:r>
      <w:r>
        <w:rPr>
          <w:rFonts w:hint="eastAsia" w:ascii="黑体" w:eastAsia="黑体"/>
          <w:b/>
          <w:snapToGrid w:val="0"/>
          <w:kern w:val="0"/>
          <w:sz w:val="32"/>
          <w:szCs w:val="32"/>
        </w:rPr>
        <w:t xml:space="preserve"> 重大危险源辨识</w:t>
      </w:r>
      <w:bookmarkEnd w:id="243"/>
      <w:bookmarkEnd w:id="244"/>
      <w:bookmarkEnd w:id="245"/>
      <w:bookmarkEnd w:id="246"/>
      <w:bookmarkEnd w:id="247"/>
    </w:p>
    <w:p>
      <w:pPr>
        <w:pStyle w:val="8"/>
        <w:spacing w:line="360" w:lineRule="auto"/>
        <w:ind w:firstLine="0" w:firstLineChars="0"/>
        <w:outlineLvl w:val="2"/>
        <w:rPr>
          <w:rFonts w:hint="eastAsia" w:ascii="宋体" w:hAnsi="宋体"/>
          <w:b/>
          <w:snapToGrid w:val="0"/>
          <w:kern w:val="0"/>
          <w:sz w:val="28"/>
          <w:szCs w:val="28"/>
        </w:rPr>
      </w:pPr>
      <w:bookmarkStart w:id="248" w:name="_Toc3486"/>
      <w:bookmarkStart w:id="249" w:name="_Toc514342864"/>
      <w:bookmarkStart w:id="250" w:name="_Toc351125383"/>
      <w:bookmarkStart w:id="251" w:name="_Toc356401506"/>
      <w:bookmarkStart w:id="252" w:name="_Toc48080441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lang w:val="en-US" w:eastAsia="zh-CN"/>
        </w:rPr>
        <w:t>7</w:t>
      </w:r>
      <w:r>
        <w:rPr>
          <w:rFonts w:hint="eastAsia" w:ascii="宋体" w:hAnsi="宋体"/>
          <w:b/>
          <w:snapToGrid w:val="0"/>
          <w:kern w:val="0"/>
          <w:sz w:val="28"/>
          <w:szCs w:val="28"/>
        </w:rPr>
        <w:t>.1 辨识依据</w:t>
      </w:r>
      <w:bookmarkEnd w:id="248"/>
      <w:bookmarkEnd w:id="249"/>
      <w:bookmarkEnd w:id="250"/>
      <w:bookmarkEnd w:id="251"/>
      <w:bookmarkEnd w:id="252"/>
    </w:p>
    <w:p>
      <w:pPr>
        <w:tabs>
          <w:tab w:val="right" w:leader="hyphen" w:pos="8343"/>
        </w:tabs>
        <w:spacing w:line="360" w:lineRule="auto"/>
        <w:ind w:firstLine="560" w:firstLineChars="200"/>
        <w:rPr>
          <w:rFonts w:hint="eastAsia" w:ascii="宋体" w:hAnsi="宋体"/>
          <w:sz w:val="28"/>
          <w:szCs w:val="28"/>
        </w:rPr>
      </w:pPr>
      <w:r>
        <w:rPr>
          <w:rFonts w:hint="eastAsia" w:ascii="宋体" w:hAnsi="宋体"/>
          <w:sz w:val="28"/>
          <w:szCs w:val="28"/>
        </w:rPr>
        <w:t>根据《中华人民共和国安全生产法》、《危险化学品重大危险源辨识》（</w:t>
      </w:r>
      <w:r>
        <w:rPr>
          <w:rFonts w:hint="eastAsia" w:ascii="宋体" w:hAnsi="宋体"/>
          <w:sz w:val="28"/>
          <w:szCs w:val="28"/>
          <w:lang w:eastAsia="zh-CN"/>
        </w:rPr>
        <w:t>GB18218-2018</w:t>
      </w:r>
      <w:r>
        <w:rPr>
          <w:rFonts w:hint="eastAsia" w:ascii="宋体" w:hAnsi="宋体"/>
          <w:sz w:val="28"/>
          <w:szCs w:val="28"/>
        </w:rPr>
        <w:t>）的有关规定，重大危险源是指长期地或者临时地生产、加工、搬运、使用或储存危险物品，且危险物品的数量等于或超过临界量的场所和设施，以及其他存在危险能量等于或超过临界量的场所和设施。</w:t>
      </w:r>
    </w:p>
    <w:p>
      <w:pPr>
        <w:pStyle w:val="8"/>
        <w:spacing w:line="360" w:lineRule="auto"/>
        <w:ind w:firstLine="0" w:firstLineChars="0"/>
        <w:outlineLvl w:val="2"/>
        <w:rPr>
          <w:rFonts w:hint="eastAsia" w:ascii="宋体" w:hAnsi="宋体"/>
          <w:b/>
          <w:snapToGrid w:val="0"/>
          <w:kern w:val="0"/>
          <w:sz w:val="28"/>
          <w:szCs w:val="28"/>
        </w:rPr>
      </w:pPr>
      <w:bookmarkStart w:id="253" w:name="_Toc514342865"/>
      <w:bookmarkStart w:id="254" w:name="_Toc356401507"/>
      <w:bookmarkStart w:id="255" w:name="_Toc480804415"/>
      <w:bookmarkStart w:id="256" w:name="_Toc26407"/>
      <w:bookmarkStart w:id="257" w:name="_Toc351125385"/>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lang w:val="en-US" w:eastAsia="zh-CN"/>
        </w:rPr>
        <w:t>7</w:t>
      </w:r>
      <w:r>
        <w:rPr>
          <w:rFonts w:hint="eastAsia" w:ascii="宋体" w:hAnsi="宋体"/>
          <w:b/>
          <w:snapToGrid w:val="0"/>
          <w:kern w:val="0"/>
          <w:sz w:val="28"/>
          <w:szCs w:val="28"/>
        </w:rPr>
        <w:t>.2 辨识结果</w:t>
      </w:r>
      <w:bookmarkEnd w:id="253"/>
      <w:bookmarkEnd w:id="254"/>
      <w:bookmarkEnd w:id="255"/>
      <w:bookmarkEnd w:id="256"/>
      <w:bookmarkEnd w:id="257"/>
    </w:p>
    <w:p>
      <w:pPr>
        <w:spacing w:line="360" w:lineRule="auto"/>
        <w:ind w:firstLine="560" w:firstLineChars="200"/>
        <w:rPr>
          <w:rFonts w:hint="eastAsia" w:ascii="宋体" w:hAnsi="宋体"/>
          <w:sz w:val="28"/>
          <w:szCs w:val="28"/>
        </w:rPr>
      </w:pPr>
      <w:r>
        <w:rPr>
          <w:rFonts w:hint="eastAsia"/>
          <w:sz w:val="28"/>
          <w:szCs w:val="28"/>
          <w:lang w:eastAsia="zh-CN"/>
        </w:rPr>
        <w:t>公司</w:t>
      </w:r>
      <w:r>
        <w:rPr>
          <w:rFonts w:hint="eastAsia"/>
          <w:sz w:val="28"/>
          <w:szCs w:val="28"/>
        </w:rPr>
        <w:t>生产过程中的原料、辅料、中间品、产品除柴油外其余均未列入《重大危险源辨识》中，</w:t>
      </w:r>
      <w:r>
        <w:rPr>
          <w:rFonts w:hint="eastAsia"/>
          <w:sz w:val="28"/>
          <w:szCs w:val="28"/>
          <w:lang w:eastAsia="zh-CN"/>
        </w:rPr>
        <w:t>厂区</w:t>
      </w:r>
      <w:r>
        <w:rPr>
          <w:rFonts w:hint="eastAsia"/>
          <w:sz w:val="28"/>
          <w:szCs w:val="28"/>
        </w:rPr>
        <w:t>使用柴油仅做为点火燃料使用，用量少（仅备用1桶，约200L），使用频率低，</w:t>
      </w:r>
      <w:r>
        <w:rPr>
          <w:rFonts w:hint="eastAsia" w:ascii="宋体" w:hAnsi="宋体"/>
          <w:sz w:val="28"/>
          <w:szCs w:val="28"/>
        </w:rPr>
        <w:t>其临界量和拟存放量见下表：</w:t>
      </w:r>
    </w:p>
    <w:p>
      <w:pPr>
        <w:spacing w:line="360" w:lineRule="auto"/>
        <w:jc w:val="center"/>
        <w:rPr>
          <w:rFonts w:hint="eastAsia" w:ascii="黑体" w:eastAsia="黑体"/>
          <w:b/>
          <w:sz w:val="24"/>
        </w:rPr>
      </w:pPr>
      <w:r>
        <w:rPr>
          <w:rFonts w:hint="eastAsia" w:ascii="黑体" w:eastAsia="黑体"/>
          <w:b/>
          <w:sz w:val="24"/>
        </w:rPr>
        <w:t>表</w:t>
      </w:r>
      <w:r>
        <w:rPr>
          <w:rFonts w:hint="eastAsia" w:ascii="黑体" w:eastAsia="黑体"/>
          <w:b/>
          <w:sz w:val="24"/>
          <w:lang w:val="en-US" w:eastAsia="zh-CN"/>
        </w:rPr>
        <w:t>3</w:t>
      </w:r>
      <w:r>
        <w:rPr>
          <w:rFonts w:hint="eastAsia" w:ascii="黑体" w:eastAsia="黑体"/>
          <w:b/>
          <w:sz w:val="24"/>
          <w:lang w:eastAsia="zh-CN"/>
        </w:rPr>
        <w:t>-</w:t>
      </w:r>
      <w:r>
        <w:rPr>
          <w:rFonts w:hint="eastAsia" w:ascii="黑体" w:eastAsia="黑体"/>
          <w:b/>
          <w:sz w:val="24"/>
          <w:lang w:val="en-US" w:eastAsia="zh-CN"/>
        </w:rPr>
        <w:t>4</w:t>
      </w:r>
      <w:r>
        <w:rPr>
          <w:rFonts w:hint="eastAsia" w:ascii="黑体" w:eastAsia="黑体"/>
          <w:b/>
          <w:sz w:val="24"/>
        </w:rPr>
        <w:t>危险化学品名称及其临界量</w:t>
      </w:r>
    </w:p>
    <w:tbl>
      <w:tblPr>
        <w:tblStyle w:val="19"/>
        <w:tblW w:w="8711"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3526"/>
        <w:gridCol w:w="185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1503" w:type="dxa"/>
            <w:noWrap w:val="0"/>
            <w:vAlign w:val="center"/>
          </w:tcPr>
          <w:p>
            <w:pPr>
              <w:pStyle w:val="25"/>
              <w:tabs>
                <w:tab w:val="left" w:pos="0"/>
              </w:tabs>
              <w:spacing w:before="0" w:after="0"/>
              <w:rPr>
                <w:rFonts w:hint="eastAsia" w:hAnsi="宋体"/>
                <w:b/>
                <w:spacing w:val="10"/>
                <w:sz w:val="24"/>
                <w:szCs w:val="24"/>
              </w:rPr>
            </w:pPr>
            <w:r>
              <w:rPr>
                <w:rFonts w:hint="eastAsia" w:hAnsi="宋体"/>
                <w:b/>
                <w:spacing w:val="10"/>
                <w:sz w:val="24"/>
                <w:szCs w:val="24"/>
              </w:rPr>
              <w:t>物质名称</w:t>
            </w:r>
          </w:p>
        </w:tc>
        <w:tc>
          <w:tcPr>
            <w:tcW w:w="3526"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类别</w:t>
            </w:r>
          </w:p>
        </w:tc>
        <w:tc>
          <w:tcPr>
            <w:tcW w:w="1855"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临界量/t</w:t>
            </w:r>
          </w:p>
        </w:tc>
        <w:tc>
          <w:tcPr>
            <w:tcW w:w="1827"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实际量/t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503"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柴油</w:t>
            </w:r>
          </w:p>
        </w:tc>
        <w:tc>
          <w:tcPr>
            <w:tcW w:w="3526"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易燃液体（23℃&lt;闪点&lt;61℃）</w:t>
            </w:r>
          </w:p>
        </w:tc>
        <w:tc>
          <w:tcPr>
            <w:tcW w:w="1855"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5000</w:t>
            </w:r>
          </w:p>
        </w:tc>
        <w:tc>
          <w:tcPr>
            <w:tcW w:w="1827"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0.17</w:t>
            </w:r>
          </w:p>
        </w:tc>
      </w:tr>
    </w:tbl>
    <w:p>
      <w:pPr>
        <w:ind w:firstLine="420" w:firstLineChars="200"/>
        <w:rPr>
          <w:rFonts w:hint="eastAsia"/>
          <w:szCs w:val="28"/>
        </w:rPr>
      </w:pPr>
    </w:p>
    <w:p>
      <w:pPr>
        <w:spacing w:line="360" w:lineRule="auto"/>
        <w:ind w:firstLine="560" w:firstLineChars="200"/>
        <w:rPr>
          <w:rFonts w:hint="eastAsia" w:ascii="宋体" w:hAnsi="宋体"/>
          <w:kern w:val="0"/>
          <w:sz w:val="28"/>
          <w:szCs w:val="28"/>
        </w:rPr>
      </w:pPr>
      <w:r>
        <w:rPr>
          <w:rFonts w:hint="eastAsia" w:ascii="宋体" w:hAnsi="宋体"/>
          <w:sz w:val="28"/>
          <w:szCs w:val="28"/>
          <w:lang w:eastAsia="zh-CN"/>
        </w:rPr>
        <w:t>公司</w:t>
      </w:r>
      <w:r>
        <w:rPr>
          <w:rFonts w:hint="eastAsia" w:ascii="宋体" w:hAnsi="宋体"/>
          <w:sz w:val="28"/>
          <w:szCs w:val="28"/>
        </w:rPr>
        <w:t>有柴油储量1桶（200升），柴油密度0.85t/m</w:t>
      </w:r>
      <w:r>
        <w:rPr>
          <w:rFonts w:hint="eastAsia" w:ascii="宋体" w:hAnsi="宋体"/>
          <w:sz w:val="28"/>
          <w:szCs w:val="28"/>
          <w:vertAlign w:val="superscript"/>
        </w:rPr>
        <w:t>3</w:t>
      </w:r>
      <w:r>
        <w:rPr>
          <w:rFonts w:hint="eastAsia" w:ascii="宋体" w:hAnsi="宋体"/>
          <w:sz w:val="28"/>
          <w:szCs w:val="28"/>
        </w:rPr>
        <w:t>，合计0.17t。</w:t>
      </w:r>
    </w:p>
    <w:p>
      <w:pPr>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则：0.17/5000=0.000034＜1</w:t>
      </w:r>
    </w:p>
    <w:bookmarkEnd w:id="40"/>
    <w:p>
      <w:pPr>
        <w:spacing w:line="360" w:lineRule="auto"/>
        <w:ind w:firstLine="560" w:firstLineChars="200"/>
        <w:rPr>
          <w:rFonts w:hint="eastAsia" w:ascii="宋体" w:hAnsi="宋体"/>
          <w:sz w:val="28"/>
          <w:szCs w:val="28"/>
          <w:lang w:eastAsia="zh-CN"/>
        </w:rPr>
      </w:pPr>
      <w:bookmarkStart w:id="258" w:name="_Toc21054"/>
      <w:bookmarkStart w:id="259" w:name="_Toc10261"/>
      <w:r>
        <w:rPr>
          <w:rFonts w:hint="eastAsia" w:ascii="宋体" w:hAnsi="宋体"/>
          <w:sz w:val="28"/>
          <w:szCs w:val="28"/>
          <w:lang w:eastAsia="zh-CN"/>
        </w:rPr>
        <w:t>综上所述，根据《危险化学品重大危险源辨识》(GB18218-20</w:t>
      </w:r>
      <w:r>
        <w:rPr>
          <w:rFonts w:hint="eastAsia" w:ascii="宋体" w:hAnsi="宋体"/>
          <w:sz w:val="28"/>
          <w:szCs w:val="28"/>
          <w:lang w:val="en-US" w:eastAsia="zh-CN"/>
        </w:rPr>
        <w:t>18</w:t>
      </w:r>
      <w:r>
        <w:rPr>
          <w:rFonts w:hint="eastAsia" w:ascii="宋体" w:hAnsi="宋体"/>
          <w:sz w:val="28"/>
          <w:szCs w:val="28"/>
          <w:lang w:eastAsia="zh-CN"/>
        </w:rPr>
        <w:t>)，本公司危险化学品的使用和储存均不构成危险化学品重大危险源。即，仪陇县柳垭镇合发页岩机砖厂不构成危险化学品重大危险源。</w:t>
      </w:r>
    </w:p>
    <w:p>
      <w:pPr>
        <w:pStyle w:val="8"/>
        <w:spacing w:line="360" w:lineRule="auto"/>
        <w:ind w:firstLine="0" w:firstLineChars="0"/>
        <w:outlineLvl w:val="1"/>
        <w:rPr>
          <w:rFonts w:hint="eastAsia" w:ascii="黑体" w:eastAsia="黑体"/>
          <w:b/>
          <w:snapToGrid w:val="0"/>
          <w:kern w:val="0"/>
          <w:sz w:val="32"/>
          <w:szCs w:val="32"/>
          <w:lang w:val="en-US" w:eastAsia="zh-CN"/>
        </w:rPr>
      </w:pPr>
      <w:bookmarkStart w:id="260" w:name="_Toc31349"/>
      <w:r>
        <w:rPr>
          <w:rFonts w:hint="eastAsia" w:ascii="黑体" w:eastAsia="黑体"/>
          <w:b/>
          <w:snapToGrid w:val="0"/>
          <w:kern w:val="0"/>
          <w:sz w:val="32"/>
          <w:szCs w:val="32"/>
          <w:lang w:val="en-US" w:eastAsia="zh-CN"/>
        </w:rPr>
        <w:t>3.8小结</w:t>
      </w:r>
      <w:bookmarkEnd w:id="258"/>
      <w:bookmarkEnd w:id="259"/>
      <w:bookmarkEnd w:id="260"/>
    </w:p>
    <w:p>
      <w:pPr>
        <w:spacing w:line="360" w:lineRule="auto"/>
        <w:jc w:val="center"/>
        <w:rPr>
          <w:rFonts w:hint="eastAsia" w:ascii="黑体" w:eastAsia="黑体"/>
          <w:b/>
          <w:sz w:val="24"/>
        </w:rPr>
      </w:pPr>
      <w:r>
        <w:rPr>
          <w:rFonts w:hint="eastAsia" w:ascii="黑体" w:eastAsia="黑体"/>
          <w:b/>
          <w:sz w:val="24"/>
        </w:rPr>
        <w:t>表</w:t>
      </w:r>
      <w:r>
        <w:rPr>
          <w:rFonts w:hint="eastAsia" w:ascii="黑体" w:eastAsia="黑体"/>
          <w:b/>
          <w:sz w:val="24"/>
          <w:lang w:val="en-US" w:eastAsia="zh-CN"/>
        </w:rPr>
        <w:t>3</w:t>
      </w:r>
      <w:r>
        <w:rPr>
          <w:rFonts w:ascii="黑体" w:eastAsia="黑体"/>
          <w:b/>
          <w:sz w:val="24"/>
        </w:rPr>
        <w:t>-</w:t>
      </w:r>
      <w:r>
        <w:rPr>
          <w:rFonts w:hint="eastAsia" w:ascii="黑体" w:eastAsia="黑体"/>
          <w:b/>
          <w:sz w:val="24"/>
          <w:lang w:val="en-US" w:eastAsia="zh-CN"/>
        </w:rPr>
        <w:t>5</w:t>
      </w:r>
      <w:r>
        <w:rPr>
          <w:rFonts w:ascii="黑体" w:eastAsia="黑体"/>
          <w:b/>
          <w:sz w:val="24"/>
        </w:rPr>
        <w:t xml:space="preserve">  </w:t>
      </w:r>
      <w:r>
        <w:rPr>
          <w:rFonts w:hint="eastAsia" w:ascii="黑体" w:eastAsia="黑体"/>
          <w:b/>
          <w:sz w:val="24"/>
        </w:rPr>
        <w:t>危险、有害因素汇总表</w:t>
      </w:r>
    </w:p>
    <w:tbl>
      <w:tblPr>
        <w:tblStyle w:val="19"/>
        <w:tblpPr w:leftFromText="180" w:rightFromText="180" w:vertAnchor="text" w:horzAnchor="page" w:tblpX="1249" w:tblpY="447"/>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94"/>
        <w:gridCol w:w="2148"/>
        <w:gridCol w:w="5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bookmarkStart w:id="261" w:name="_Toc29398"/>
            <w:bookmarkStart w:id="262" w:name="_Toc10334"/>
            <w:r>
              <w:rPr>
                <w:rFonts w:hint="eastAsia" w:ascii="宋体" w:hAnsi="宋体" w:cs="宋体"/>
                <w:color w:val="auto"/>
                <w:sz w:val="24"/>
              </w:rPr>
              <w:t>序号</w:t>
            </w:r>
          </w:p>
        </w:tc>
        <w:tc>
          <w:tcPr>
            <w:tcW w:w="1594"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活动/工序/地点</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项 目</w:t>
            </w:r>
          </w:p>
        </w:tc>
        <w:tc>
          <w:tcPr>
            <w:tcW w:w="524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主要危险、危害简要分析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进入工作场所人员</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进场安全教育</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为严格按规定内容教育，造成多种伤害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2</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特殊工种及特种作业人员培训</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作业人员培训效果不好，造成多种伤害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3</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现场作业人员教育</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安全意识不强，发生高处坠落和物体打击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4</w:t>
            </w:r>
          </w:p>
        </w:tc>
        <w:tc>
          <w:tcPr>
            <w:tcW w:w="1594"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 xml:space="preserve"> 原材料、辅料储存和运输</w:t>
            </w:r>
          </w:p>
        </w:tc>
        <w:tc>
          <w:tcPr>
            <w:tcW w:w="2148"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页岩矿、煤、砖</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在装卸、</w:t>
            </w:r>
            <w:r>
              <w:rPr>
                <w:rFonts w:hint="eastAsia" w:ascii="宋体" w:hAnsi="宋体" w:cs="宋体"/>
                <w:color w:val="auto"/>
                <w:sz w:val="24"/>
                <w:lang w:eastAsia="zh-CN"/>
              </w:rPr>
              <w:t>破碎</w:t>
            </w:r>
            <w:r>
              <w:rPr>
                <w:rFonts w:hint="eastAsia" w:ascii="宋体" w:hAnsi="宋体" w:cs="宋体"/>
                <w:color w:val="auto"/>
                <w:sz w:val="24"/>
              </w:rPr>
              <w:t>、</w:t>
            </w:r>
            <w:r>
              <w:rPr>
                <w:rFonts w:hint="eastAsia" w:ascii="宋体" w:hAnsi="宋体" w:cs="宋体"/>
                <w:color w:val="auto"/>
                <w:sz w:val="24"/>
                <w:lang w:eastAsia="zh-CN"/>
              </w:rPr>
              <w:t>制砖、上煤、</w:t>
            </w:r>
            <w:r>
              <w:rPr>
                <w:rFonts w:hint="eastAsia" w:ascii="宋体" w:hAnsi="宋体" w:cs="宋体"/>
                <w:color w:val="auto"/>
                <w:sz w:val="24"/>
              </w:rPr>
              <w:t>搅拌过程中主要存在粉尘危害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5</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生产</w:t>
            </w:r>
          </w:p>
          <w:p>
            <w:pPr>
              <w:spacing w:line="240" w:lineRule="auto"/>
              <w:jc w:val="center"/>
              <w:rPr>
                <w:rFonts w:hint="eastAsia" w:ascii="宋体" w:hAnsi="宋体" w:cs="宋体"/>
                <w:color w:val="auto"/>
                <w:sz w:val="24"/>
              </w:rPr>
            </w:pPr>
            <w:r>
              <w:rPr>
                <w:rFonts w:hint="eastAsia" w:ascii="宋体" w:hAnsi="宋体" w:cs="宋体"/>
                <w:color w:val="auto"/>
                <w:sz w:val="24"/>
              </w:rPr>
              <w:t>过程</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凿岩作业</w:t>
            </w:r>
            <w:r>
              <w:rPr>
                <w:rFonts w:hint="eastAsia" w:ascii="宋体" w:hAnsi="宋体" w:cs="宋体"/>
                <w:color w:val="auto"/>
                <w:sz w:val="24"/>
                <w:lang w:eastAsia="zh-CN"/>
              </w:rPr>
              <w:t>和</w:t>
            </w:r>
            <w:r>
              <w:rPr>
                <w:rFonts w:hint="eastAsia" w:ascii="宋体" w:hAnsi="宋体" w:cs="宋体"/>
                <w:color w:val="auto"/>
                <w:sz w:val="24"/>
              </w:rPr>
              <w:t>砖窑</w:t>
            </w:r>
            <w:r>
              <w:rPr>
                <w:rFonts w:hint="eastAsia" w:ascii="宋体" w:hAnsi="宋体" w:cs="宋体"/>
                <w:color w:val="auto"/>
                <w:sz w:val="24"/>
                <w:lang w:eastAsia="zh-CN"/>
              </w:rPr>
              <w:t>等</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造成物体打击及高处坠落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40" w:type="dxa"/>
            <w:noWrap w:val="0"/>
            <w:vAlign w:val="center"/>
          </w:tcPr>
          <w:p>
            <w:pPr>
              <w:spacing w:line="240" w:lineRule="auto"/>
              <w:jc w:val="center"/>
              <w:rPr>
                <w:rFonts w:hint="eastAsia" w:ascii="宋体" w:hAnsi="宋体" w:cs="宋体"/>
                <w:color w:val="auto"/>
                <w:sz w:val="24"/>
              </w:rPr>
            </w:pP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eastAsia="zh-CN"/>
              </w:rPr>
              <w:t>破碎区上料口、上砖</w:t>
            </w:r>
            <w:r>
              <w:rPr>
                <w:rFonts w:hint="eastAsia" w:ascii="宋体" w:hAnsi="宋体" w:cs="宋体"/>
                <w:color w:val="auto"/>
                <w:sz w:val="24"/>
              </w:rPr>
              <w:t>作业场所</w:t>
            </w:r>
            <w:r>
              <w:rPr>
                <w:rFonts w:hint="eastAsia" w:ascii="宋体" w:hAnsi="宋体" w:cs="宋体"/>
                <w:color w:val="auto"/>
                <w:sz w:val="24"/>
                <w:lang w:eastAsia="zh-CN"/>
              </w:rPr>
              <w:t>和</w:t>
            </w:r>
            <w:r>
              <w:rPr>
                <w:rFonts w:hint="eastAsia" w:ascii="宋体" w:hAnsi="宋体" w:cs="宋体"/>
                <w:color w:val="auto"/>
                <w:sz w:val="24"/>
              </w:rPr>
              <w:t>运输途中</w:t>
            </w:r>
          </w:p>
        </w:tc>
        <w:tc>
          <w:tcPr>
            <w:tcW w:w="5246" w:type="dxa"/>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cs="宋体"/>
                <w:color w:val="auto"/>
                <w:sz w:val="24"/>
              </w:rPr>
              <w:t>造成</w:t>
            </w:r>
            <w:r>
              <w:rPr>
                <w:rFonts w:hint="eastAsia" w:ascii="宋体" w:hAnsi="宋体" w:cs="宋体"/>
                <w:color w:val="auto"/>
                <w:sz w:val="24"/>
                <w:lang w:eastAsia="zh-CN"/>
              </w:rPr>
              <w:t>车辆伤害、机械伤害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6</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lang w:eastAsia="zh-CN"/>
              </w:rPr>
            </w:pPr>
            <w:r>
              <w:rPr>
                <w:rFonts w:hint="eastAsia" w:ascii="宋体" w:hAnsi="宋体" w:cs="宋体"/>
                <w:color w:val="auto"/>
                <w:sz w:val="24"/>
                <w:lang w:eastAsia="zh-CN"/>
              </w:rPr>
              <w:t>堆土场坍塌和成品区坍塌</w:t>
            </w:r>
          </w:p>
        </w:tc>
        <w:tc>
          <w:tcPr>
            <w:tcW w:w="5246" w:type="dxa"/>
            <w:noWrap w:val="0"/>
            <w:vAlign w:val="center"/>
          </w:tcPr>
          <w:p>
            <w:pPr>
              <w:spacing w:line="240" w:lineRule="auto"/>
              <w:jc w:val="left"/>
              <w:rPr>
                <w:rFonts w:hint="eastAsia" w:ascii="宋体" w:hAnsi="宋体" w:cs="宋体"/>
                <w:color w:val="auto"/>
                <w:sz w:val="24"/>
                <w:lang w:eastAsia="zh-CN"/>
              </w:rPr>
            </w:pPr>
            <w:r>
              <w:rPr>
                <w:rFonts w:hint="eastAsia" w:ascii="宋体" w:hAnsi="宋体" w:cs="宋体"/>
                <w:color w:val="auto"/>
                <w:sz w:val="24"/>
                <w:lang w:eastAsia="zh-CN"/>
              </w:rPr>
              <w:t>造成坍塌事故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0" w:type="dxa"/>
            <w:noWrap w:val="0"/>
            <w:vAlign w:val="center"/>
          </w:tcPr>
          <w:p>
            <w:pPr>
              <w:spacing w:line="240" w:lineRule="auto"/>
              <w:jc w:val="center"/>
              <w:rPr>
                <w:rFonts w:hint="eastAsia" w:ascii="宋体" w:hAnsi="宋体" w:cs="宋体"/>
                <w:color w:val="auto"/>
                <w:sz w:val="24"/>
              </w:rPr>
            </w:pP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lang w:eastAsia="zh-CN"/>
              </w:rPr>
            </w:pPr>
            <w:r>
              <w:rPr>
                <w:rFonts w:hint="eastAsia" w:ascii="宋体" w:hAnsi="宋体" w:cs="宋体"/>
                <w:color w:val="auto"/>
                <w:sz w:val="24"/>
                <w:lang w:eastAsia="zh-CN"/>
              </w:rPr>
              <w:t>烧窑过程中</w:t>
            </w:r>
          </w:p>
        </w:tc>
        <w:tc>
          <w:tcPr>
            <w:tcW w:w="5246" w:type="dxa"/>
            <w:noWrap w:val="0"/>
            <w:vAlign w:val="center"/>
          </w:tcPr>
          <w:p>
            <w:pPr>
              <w:spacing w:line="240" w:lineRule="auto"/>
              <w:jc w:val="left"/>
              <w:rPr>
                <w:rFonts w:hint="eastAsia" w:ascii="宋体" w:hAnsi="宋体" w:cs="宋体"/>
                <w:color w:val="auto"/>
                <w:sz w:val="24"/>
                <w:lang w:eastAsia="zh-CN"/>
              </w:rPr>
            </w:pPr>
            <w:r>
              <w:rPr>
                <w:rFonts w:hint="eastAsia" w:ascii="宋体" w:hAnsi="宋体" w:cs="宋体"/>
                <w:color w:val="auto"/>
                <w:sz w:val="24"/>
                <w:lang w:eastAsia="zh-CN"/>
              </w:rPr>
              <w:t>造成中毒窒息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7</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生产管理</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指挥错误造成多种伤害。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8</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电工作业</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违章操作用电造成触电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9</w:t>
            </w:r>
          </w:p>
        </w:tc>
        <w:tc>
          <w:tcPr>
            <w:tcW w:w="1594" w:type="dxa"/>
            <w:vMerge w:val="restart"/>
            <w:noWrap w:val="0"/>
            <w:vAlign w:val="center"/>
          </w:tcPr>
          <w:p>
            <w:pPr>
              <w:spacing w:line="240" w:lineRule="auto"/>
              <w:jc w:val="center"/>
              <w:rPr>
                <w:rFonts w:hint="eastAsia" w:ascii="宋体" w:hAnsi="宋体" w:cs="宋体"/>
                <w:color w:val="auto"/>
                <w:sz w:val="24"/>
              </w:rPr>
            </w:pPr>
          </w:p>
          <w:p>
            <w:pPr>
              <w:spacing w:line="240" w:lineRule="auto"/>
              <w:jc w:val="center"/>
              <w:rPr>
                <w:rFonts w:hint="eastAsia" w:ascii="宋体" w:hAnsi="宋体" w:cs="宋体"/>
                <w:color w:val="auto"/>
                <w:sz w:val="24"/>
              </w:rPr>
            </w:pPr>
            <w:r>
              <w:rPr>
                <w:rFonts w:hint="eastAsia" w:ascii="宋体" w:hAnsi="宋体" w:cs="宋体"/>
                <w:color w:val="auto"/>
                <w:sz w:val="24"/>
              </w:rPr>
              <w:t>设备运行、维护和保养</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机动车辆驾驶(包括装载机)</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作业环境不良，违章驾驶造成机械伤害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10</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焊接(切割)作业</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紫外线、电危害粉尘等金属烟尘，造成中毒、尘肺、触电烧烫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eastAsia="zh-CN"/>
              </w:rPr>
              <w:t>制砖</w:t>
            </w:r>
            <w:r>
              <w:rPr>
                <w:rFonts w:hint="eastAsia" w:ascii="宋体" w:hAnsi="宋体" w:cs="宋体"/>
                <w:color w:val="auto"/>
                <w:sz w:val="24"/>
              </w:rPr>
              <w:t>设备</w:t>
            </w:r>
            <w:r>
              <w:rPr>
                <w:rFonts w:hint="eastAsia" w:ascii="宋体" w:hAnsi="宋体" w:cs="宋体"/>
                <w:color w:val="auto"/>
                <w:sz w:val="24"/>
                <w:lang w:eastAsia="zh-CN"/>
              </w:rPr>
              <w:t>、破碎设备</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结构庞大、设备复杂，结构暴露部位多，且作业时需多人配合，极易发生</w:t>
            </w:r>
            <w:r>
              <w:rPr>
                <w:rFonts w:hint="eastAsia" w:ascii="宋体" w:hAnsi="宋体" w:cs="宋体"/>
                <w:color w:val="auto"/>
                <w:sz w:val="24"/>
                <w:lang w:eastAsia="zh-CN"/>
              </w:rPr>
              <w:t>机械伤害</w:t>
            </w:r>
            <w:r>
              <w:rPr>
                <w:rFonts w:hint="eastAsia" w:ascii="宋体" w:hAnsi="宋体" w:cs="宋体"/>
                <w:color w:val="auto"/>
                <w:sz w:val="24"/>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其它辅助活动</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档案、资料管理</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明火、照明线路不良等造成火灾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办  公</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地面、楼梯存水及障碍物其他伤害摔伤、撞伤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办公照明用电</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违章操作触电</w:t>
            </w:r>
          </w:p>
        </w:tc>
      </w:tr>
    </w:tbl>
    <w:p>
      <w:pPr>
        <w:rPr>
          <w:rFonts w:hint="eastAsia" w:ascii="黑体" w:hAnsi="宋体" w:eastAsia="黑体"/>
          <w:b/>
          <w:sz w:val="32"/>
          <w:szCs w:val="32"/>
          <w:lang w:val="en-US" w:eastAsia="zh-CN"/>
        </w:rPr>
      </w:pPr>
      <w:r>
        <w:rPr>
          <w:rFonts w:hint="eastAsia" w:ascii="黑体" w:hAnsi="宋体" w:eastAsia="黑体"/>
          <w:b/>
          <w:sz w:val="32"/>
          <w:szCs w:val="32"/>
          <w:lang w:val="en-US" w:eastAsia="zh-CN"/>
        </w:rPr>
        <w:br w:type="page"/>
      </w:r>
    </w:p>
    <w:p>
      <w:pPr>
        <w:numPr>
          <w:ilvl w:val="0"/>
          <w:numId w:val="0"/>
        </w:numPr>
        <w:spacing w:line="360" w:lineRule="auto"/>
        <w:jc w:val="center"/>
        <w:outlineLvl w:val="0"/>
        <w:rPr>
          <w:rFonts w:hint="eastAsia" w:ascii="黑体" w:hAnsi="宋体" w:eastAsia="黑体"/>
          <w:b/>
          <w:sz w:val="32"/>
          <w:szCs w:val="32"/>
        </w:rPr>
      </w:pPr>
      <w:bookmarkStart w:id="263" w:name="_Toc18300"/>
      <w:r>
        <w:rPr>
          <w:rFonts w:hint="eastAsia" w:ascii="黑体" w:hAnsi="宋体" w:eastAsia="黑体"/>
          <w:b/>
          <w:sz w:val="32"/>
          <w:szCs w:val="32"/>
          <w:lang w:val="en-US" w:eastAsia="zh-CN"/>
        </w:rPr>
        <w:t>4</w:t>
      </w:r>
      <w:r>
        <w:rPr>
          <w:rFonts w:hint="eastAsia" w:ascii="黑体" w:hAnsi="宋体" w:eastAsia="黑体"/>
          <w:b/>
          <w:sz w:val="32"/>
          <w:szCs w:val="32"/>
        </w:rPr>
        <w:t>评估结论与建议</w:t>
      </w:r>
      <w:bookmarkEnd w:id="261"/>
      <w:bookmarkEnd w:id="263"/>
    </w:p>
    <w:p>
      <w:pPr>
        <w:pStyle w:val="5"/>
        <w:autoSpaceDN w:val="0"/>
        <w:spacing w:before="0" w:after="0" w:line="360" w:lineRule="auto"/>
        <w:jc w:val="left"/>
        <w:rPr>
          <w:rFonts w:hint="eastAsia" w:ascii="黑体" w:hAnsi="黑体"/>
          <w:sz w:val="28"/>
          <w:szCs w:val="28"/>
          <w:lang w:val="en-US" w:eastAsia="zh-CN"/>
        </w:rPr>
      </w:pPr>
      <w:bookmarkStart w:id="264" w:name="_Toc22399"/>
      <w:r>
        <w:rPr>
          <w:rFonts w:hint="eastAsia" w:ascii="黑体" w:hAnsi="黑体"/>
          <w:sz w:val="28"/>
          <w:szCs w:val="28"/>
          <w:lang w:val="en-US" w:eastAsia="zh-CN"/>
        </w:rPr>
        <w:t>4.1总体评价结论</w:t>
      </w:r>
      <w:bookmarkEnd w:id="262"/>
      <w:bookmarkEnd w:id="264"/>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通过对仪陇县柳垭镇合发页岩机砖厂周边环境、总平面布置及建构筑物、生产设施与设备安全、生产工艺控制、危险化学品储存使用、公辅工程、安全管理等方面的综合评价，本公司各类危险源均处在动态监控中，在日常生产过程中发现隐患问题，能够及时得到整改，加强员工教育，杜绝“三违”现象，就能够做到事故可防可控。本公司《生产安全事故应急救援预案》内容具有可操作性，对事故应急总的处置方案和具体岗位的应急操作流程进行了详细规定，通过对应急救援机构、应急救援队伍、应急救援装备、应急救援物质储备、应急救援医疗保障的调查，与实际情况相符。</w:t>
      </w:r>
    </w:p>
    <w:p>
      <w:pPr>
        <w:pStyle w:val="5"/>
        <w:autoSpaceDN w:val="0"/>
        <w:spacing w:before="0" w:after="0" w:line="360" w:lineRule="auto"/>
        <w:jc w:val="left"/>
        <w:rPr>
          <w:rFonts w:hint="eastAsia" w:ascii="黑体" w:hAnsi="黑体"/>
          <w:sz w:val="28"/>
          <w:szCs w:val="28"/>
        </w:rPr>
      </w:pPr>
      <w:bookmarkStart w:id="265" w:name="_Toc24155"/>
      <w:bookmarkStart w:id="266" w:name="_Toc5799"/>
      <w:bookmarkStart w:id="267" w:name="_Toc22214"/>
      <w:r>
        <w:rPr>
          <w:rFonts w:hint="eastAsia" w:ascii="黑体" w:hAnsi="黑体"/>
          <w:sz w:val="28"/>
          <w:szCs w:val="28"/>
          <w:lang w:val="en-US" w:eastAsia="zh-CN"/>
        </w:rPr>
        <w:t>4</w:t>
      </w:r>
      <w:r>
        <w:rPr>
          <w:rFonts w:hint="eastAsia" w:ascii="黑体" w:hAnsi="黑体"/>
          <w:sz w:val="28"/>
          <w:szCs w:val="28"/>
        </w:rPr>
        <w:t>.</w:t>
      </w:r>
      <w:r>
        <w:rPr>
          <w:rFonts w:hint="eastAsia" w:ascii="黑体" w:hAnsi="黑体"/>
          <w:sz w:val="28"/>
          <w:szCs w:val="28"/>
          <w:lang w:val="en-US" w:eastAsia="zh-CN"/>
        </w:rPr>
        <w:t>2</w:t>
      </w:r>
      <w:r>
        <w:rPr>
          <w:rFonts w:hint="eastAsia" w:ascii="黑体" w:hAnsi="黑体"/>
          <w:sz w:val="28"/>
          <w:szCs w:val="28"/>
        </w:rPr>
        <w:t>建议</w:t>
      </w:r>
      <w:bookmarkEnd w:id="265"/>
      <w:bookmarkEnd w:id="266"/>
      <w:bookmarkEnd w:id="267"/>
    </w:p>
    <w:p>
      <w:pPr>
        <w:spacing w:line="360" w:lineRule="auto"/>
        <w:ind w:firstLine="560" w:firstLineChars="200"/>
        <w:rPr>
          <w:sz w:val="28"/>
          <w:szCs w:val="28"/>
        </w:rPr>
      </w:pPr>
      <w:r>
        <w:rPr>
          <w:sz w:val="28"/>
          <w:szCs w:val="28"/>
        </w:rPr>
        <w:t>（1）应加强对现有安全措施及消防装置的维护检查，确保安全设施及消防措施的可靠性，在发生险情时能有效地发挥其作用。对损坏、失效的消防设备设施要作到及时修复和更换。</w:t>
      </w:r>
    </w:p>
    <w:p>
      <w:pPr>
        <w:spacing w:line="360" w:lineRule="auto"/>
        <w:ind w:firstLine="560" w:firstLineChars="200"/>
        <w:rPr>
          <w:sz w:val="28"/>
          <w:szCs w:val="28"/>
        </w:rPr>
      </w:pPr>
      <w:r>
        <w:rPr>
          <w:sz w:val="28"/>
          <w:szCs w:val="28"/>
        </w:rPr>
        <w:t>（2）应增加应急救援器材，确保事故发生或作业人员发生人身伤害时，能够及时采取有效救援措施，减轻伤害程度，控制事故的发展。</w:t>
      </w:r>
    </w:p>
    <w:p>
      <w:pPr>
        <w:rPr>
          <w:rFonts w:hint="eastAsia"/>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78"/>
    <w:family w:val="auto"/>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433B8"/>
    <w:multiLevelType w:val="multilevel"/>
    <w:tmpl w:val="4A1433B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723BC"/>
    <w:rsid w:val="00324365"/>
    <w:rsid w:val="005247D8"/>
    <w:rsid w:val="005D60C3"/>
    <w:rsid w:val="00B44381"/>
    <w:rsid w:val="01B34626"/>
    <w:rsid w:val="01D26CA9"/>
    <w:rsid w:val="02EB4D5F"/>
    <w:rsid w:val="03D37A5F"/>
    <w:rsid w:val="047007AE"/>
    <w:rsid w:val="059A7F41"/>
    <w:rsid w:val="06330342"/>
    <w:rsid w:val="06867417"/>
    <w:rsid w:val="069D7701"/>
    <w:rsid w:val="07024A58"/>
    <w:rsid w:val="0731706A"/>
    <w:rsid w:val="07835CC2"/>
    <w:rsid w:val="07A44FA0"/>
    <w:rsid w:val="07B56C35"/>
    <w:rsid w:val="07E323AA"/>
    <w:rsid w:val="07F26DF4"/>
    <w:rsid w:val="0808585B"/>
    <w:rsid w:val="0814262C"/>
    <w:rsid w:val="08FB3207"/>
    <w:rsid w:val="0A1B12D6"/>
    <w:rsid w:val="0A54055C"/>
    <w:rsid w:val="0A5621CC"/>
    <w:rsid w:val="0AAB3AB8"/>
    <w:rsid w:val="0AE45EDA"/>
    <w:rsid w:val="0AF829E5"/>
    <w:rsid w:val="0C18342B"/>
    <w:rsid w:val="0CA8623A"/>
    <w:rsid w:val="0D066290"/>
    <w:rsid w:val="0D3B3E73"/>
    <w:rsid w:val="0DE0620E"/>
    <w:rsid w:val="0E6D3139"/>
    <w:rsid w:val="0EB95D58"/>
    <w:rsid w:val="0ECB0C27"/>
    <w:rsid w:val="0F25281E"/>
    <w:rsid w:val="0F77136B"/>
    <w:rsid w:val="0F842DC8"/>
    <w:rsid w:val="0F9227C9"/>
    <w:rsid w:val="0FE50957"/>
    <w:rsid w:val="112E4204"/>
    <w:rsid w:val="11385FCD"/>
    <w:rsid w:val="114F60FC"/>
    <w:rsid w:val="11C747FB"/>
    <w:rsid w:val="11D61819"/>
    <w:rsid w:val="11F65369"/>
    <w:rsid w:val="12651DAC"/>
    <w:rsid w:val="128342A7"/>
    <w:rsid w:val="12CA5EC1"/>
    <w:rsid w:val="13174795"/>
    <w:rsid w:val="134B441C"/>
    <w:rsid w:val="136C6E71"/>
    <w:rsid w:val="13C77420"/>
    <w:rsid w:val="140B1FB2"/>
    <w:rsid w:val="143B6186"/>
    <w:rsid w:val="14694763"/>
    <w:rsid w:val="14742777"/>
    <w:rsid w:val="149039AD"/>
    <w:rsid w:val="14B414F7"/>
    <w:rsid w:val="15570D21"/>
    <w:rsid w:val="155E39C3"/>
    <w:rsid w:val="158733A6"/>
    <w:rsid w:val="15A14830"/>
    <w:rsid w:val="15FD7B7A"/>
    <w:rsid w:val="165B5ABE"/>
    <w:rsid w:val="16D16156"/>
    <w:rsid w:val="16ED61B4"/>
    <w:rsid w:val="170B2C2B"/>
    <w:rsid w:val="172C1FB3"/>
    <w:rsid w:val="173B5FB4"/>
    <w:rsid w:val="17D8718E"/>
    <w:rsid w:val="18A56828"/>
    <w:rsid w:val="18E72215"/>
    <w:rsid w:val="18E80829"/>
    <w:rsid w:val="19837993"/>
    <w:rsid w:val="19D37E9F"/>
    <w:rsid w:val="1A4F49A7"/>
    <w:rsid w:val="1AF723BC"/>
    <w:rsid w:val="1B584D22"/>
    <w:rsid w:val="1B7B5998"/>
    <w:rsid w:val="1BB675E2"/>
    <w:rsid w:val="1BCF066F"/>
    <w:rsid w:val="1BD1028E"/>
    <w:rsid w:val="1BD90D39"/>
    <w:rsid w:val="1BEC385B"/>
    <w:rsid w:val="1C0A5497"/>
    <w:rsid w:val="1D752B45"/>
    <w:rsid w:val="1D85003A"/>
    <w:rsid w:val="1DC712A8"/>
    <w:rsid w:val="1DEB3E64"/>
    <w:rsid w:val="1E165C3D"/>
    <w:rsid w:val="1E220183"/>
    <w:rsid w:val="1E8E35FC"/>
    <w:rsid w:val="1F2F4931"/>
    <w:rsid w:val="1F3805F9"/>
    <w:rsid w:val="1F4340AC"/>
    <w:rsid w:val="1F48275D"/>
    <w:rsid w:val="1F647F1F"/>
    <w:rsid w:val="1F7A37C8"/>
    <w:rsid w:val="1F8D03F9"/>
    <w:rsid w:val="1F8E5F41"/>
    <w:rsid w:val="1FB86C9B"/>
    <w:rsid w:val="1FC13459"/>
    <w:rsid w:val="1FE208B9"/>
    <w:rsid w:val="208858FB"/>
    <w:rsid w:val="20BE35EE"/>
    <w:rsid w:val="22627230"/>
    <w:rsid w:val="22C3776E"/>
    <w:rsid w:val="22D832A8"/>
    <w:rsid w:val="22E40C74"/>
    <w:rsid w:val="22E759E4"/>
    <w:rsid w:val="23032879"/>
    <w:rsid w:val="23D97413"/>
    <w:rsid w:val="240D3547"/>
    <w:rsid w:val="2439225C"/>
    <w:rsid w:val="24450122"/>
    <w:rsid w:val="244C16C4"/>
    <w:rsid w:val="245A3C4E"/>
    <w:rsid w:val="24FB56BC"/>
    <w:rsid w:val="25AF1A07"/>
    <w:rsid w:val="25F57BEE"/>
    <w:rsid w:val="26524A71"/>
    <w:rsid w:val="26A96685"/>
    <w:rsid w:val="26E103D1"/>
    <w:rsid w:val="27614997"/>
    <w:rsid w:val="277D73A1"/>
    <w:rsid w:val="2793442C"/>
    <w:rsid w:val="27C206E8"/>
    <w:rsid w:val="28982FE2"/>
    <w:rsid w:val="28B83BFF"/>
    <w:rsid w:val="28E2782F"/>
    <w:rsid w:val="290F2046"/>
    <w:rsid w:val="2923409D"/>
    <w:rsid w:val="294C2435"/>
    <w:rsid w:val="298C52F0"/>
    <w:rsid w:val="29925E1A"/>
    <w:rsid w:val="2997713A"/>
    <w:rsid w:val="2A1D0F47"/>
    <w:rsid w:val="2A5B6A09"/>
    <w:rsid w:val="2B040F9D"/>
    <w:rsid w:val="2B34415E"/>
    <w:rsid w:val="2B3C65FF"/>
    <w:rsid w:val="2BDD5569"/>
    <w:rsid w:val="2C0870D6"/>
    <w:rsid w:val="2C5A6C5D"/>
    <w:rsid w:val="2C955142"/>
    <w:rsid w:val="2CB53128"/>
    <w:rsid w:val="2CD176A6"/>
    <w:rsid w:val="2CE03705"/>
    <w:rsid w:val="2CE5756B"/>
    <w:rsid w:val="2D17630C"/>
    <w:rsid w:val="2D2D3B92"/>
    <w:rsid w:val="2D980C0B"/>
    <w:rsid w:val="2DA36ECA"/>
    <w:rsid w:val="2DFE08A6"/>
    <w:rsid w:val="2E313DDB"/>
    <w:rsid w:val="2EB87CC0"/>
    <w:rsid w:val="2EC16023"/>
    <w:rsid w:val="2ED80F4B"/>
    <w:rsid w:val="2F1B7849"/>
    <w:rsid w:val="2F8D64C0"/>
    <w:rsid w:val="300251B5"/>
    <w:rsid w:val="305C4346"/>
    <w:rsid w:val="310028DA"/>
    <w:rsid w:val="313177DD"/>
    <w:rsid w:val="32240BF8"/>
    <w:rsid w:val="322A0AE4"/>
    <w:rsid w:val="3235563A"/>
    <w:rsid w:val="32683B2D"/>
    <w:rsid w:val="327E3643"/>
    <w:rsid w:val="32AF5AD2"/>
    <w:rsid w:val="32C563AD"/>
    <w:rsid w:val="32FE496E"/>
    <w:rsid w:val="330C362C"/>
    <w:rsid w:val="335A7005"/>
    <w:rsid w:val="33956D13"/>
    <w:rsid w:val="339D79F1"/>
    <w:rsid w:val="33A20370"/>
    <w:rsid w:val="33B37D8A"/>
    <w:rsid w:val="33BB103D"/>
    <w:rsid w:val="34383A5B"/>
    <w:rsid w:val="343E683F"/>
    <w:rsid w:val="34554F53"/>
    <w:rsid w:val="34662EA6"/>
    <w:rsid w:val="347F25F8"/>
    <w:rsid w:val="37095278"/>
    <w:rsid w:val="37260A87"/>
    <w:rsid w:val="376A4991"/>
    <w:rsid w:val="37F5632A"/>
    <w:rsid w:val="388958CC"/>
    <w:rsid w:val="39102AC2"/>
    <w:rsid w:val="393A7B4C"/>
    <w:rsid w:val="39A80794"/>
    <w:rsid w:val="39CB2810"/>
    <w:rsid w:val="39EF57AC"/>
    <w:rsid w:val="3A5F15D0"/>
    <w:rsid w:val="3A7A59C2"/>
    <w:rsid w:val="3A8A5198"/>
    <w:rsid w:val="3AB647BD"/>
    <w:rsid w:val="3B3E3E45"/>
    <w:rsid w:val="3CA77EE1"/>
    <w:rsid w:val="3CE4144F"/>
    <w:rsid w:val="3D294EE0"/>
    <w:rsid w:val="3DAE5076"/>
    <w:rsid w:val="3DE73B46"/>
    <w:rsid w:val="3DE83AD0"/>
    <w:rsid w:val="3E9F6159"/>
    <w:rsid w:val="3FBC7E4E"/>
    <w:rsid w:val="3FDC1A36"/>
    <w:rsid w:val="3FDD2101"/>
    <w:rsid w:val="3FEA6A42"/>
    <w:rsid w:val="409F3EEA"/>
    <w:rsid w:val="40A21DB4"/>
    <w:rsid w:val="40B7729C"/>
    <w:rsid w:val="411F7579"/>
    <w:rsid w:val="41355E93"/>
    <w:rsid w:val="41730BF7"/>
    <w:rsid w:val="428B2341"/>
    <w:rsid w:val="433507F9"/>
    <w:rsid w:val="433700AB"/>
    <w:rsid w:val="441915F5"/>
    <w:rsid w:val="45770186"/>
    <w:rsid w:val="459F7826"/>
    <w:rsid w:val="464A1410"/>
    <w:rsid w:val="46F66BD7"/>
    <w:rsid w:val="47341022"/>
    <w:rsid w:val="477E3CE3"/>
    <w:rsid w:val="48184499"/>
    <w:rsid w:val="483B34B0"/>
    <w:rsid w:val="48FD757B"/>
    <w:rsid w:val="491C391B"/>
    <w:rsid w:val="492B09D8"/>
    <w:rsid w:val="498E082D"/>
    <w:rsid w:val="4A720B65"/>
    <w:rsid w:val="4AAF0090"/>
    <w:rsid w:val="4B064935"/>
    <w:rsid w:val="4B090AF7"/>
    <w:rsid w:val="4B220275"/>
    <w:rsid w:val="4B483AD9"/>
    <w:rsid w:val="4B6768D2"/>
    <w:rsid w:val="4BFC05F5"/>
    <w:rsid w:val="4C0F77AD"/>
    <w:rsid w:val="4C6D0410"/>
    <w:rsid w:val="4C8611D9"/>
    <w:rsid w:val="4D02687F"/>
    <w:rsid w:val="4D453DC9"/>
    <w:rsid w:val="4D8D0BEB"/>
    <w:rsid w:val="4DB8268A"/>
    <w:rsid w:val="4DF07C13"/>
    <w:rsid w:val="4E426085"/>
    <w:rsid w:val="4E8B327B"/>
    <w:rsid w:val="4ED74A31"/>
    <w:rsid w:val="4EFD13C2"/>
    <w:rsid w:val="4F886CE6"/>
    <w:rsid w:val="50993D59"/>
    <w:rsid w:val="510E024F"/>
    <w:rsid w:val="515512D0"/>
    <w:rsid w:val="516E3E1E"/>
    <w:rsid w:val="51770C66"/>
    <w:rsid w:val="51C92B72"/>
    <w:rsid w:val="51F47B43"/>
    <w:rsid w:val="525C2381"/>
    <w:rsid w:val="52622A40"/>
    <w:rsid w:val="52755F2A"/>
    <w:rsid w:val="527A20EE"/>
    <w:rsid w:val="532B27D1"/>
    <w:rsid w:val="53A07D90"/>
    <w:rsid w:val="53C43072"/>
    <w:rsid w:val="53EA2B27"/>
    <w:rsid w:val="540B4142"/>
    <w:rsid w:val="5455526C"/>
    <w:rsid w:val="54D21C50"/>
    <w:rsid w:val="55FD3636"/>
    <w:rsid w:val="564C147E"/>
    <w:rsid w:val="56775B43"/>
    <w:rsid w:val="5681710C"/>
    <w:rsid w:val="571950BC"/>
    <w:rsid w:val="57D309C6"/>
    <w:rsid w:val="58B72C33"/>
    <w:rsid w:val="590B70B3"/>
    <w:rsid w:val="592F0C5C"/>
    <w:rsid w:val="59336AE3"/>
    <w:rsid w:val="59A421BC"/>
    <w:rsid w:val="59E15F92"/>
    <w:rsid w:val="59ED3977"/>
    <w:rsid w:val="5A0C0B47"/>
    <w:rsid w:val="5AE86358"/>
    <w:rsid w:val="5B8C578C"/>
    <w:rsid w:val="5B942AB1"/>
    <w:rsid w:val="5BA27CFF"/>
    <w:rsid w:val="5BE34BD9"/>
    <w:rsid w:val="5BEC5827"/>
    <w:rsid w:val="5C2E219B"/>
    <w:rsid w:val="5C6F0596"/>
    <w:rsid w:val="5CB37775"/>
    <w:rsid w:val="5DDA2367"/>
    <w:rsid w:val="5E373F89"/>
    <w:rsid w:val="5E5068C1"/>
    <w:rsid w:val="5E9B5A1F"/>
    <w:rsid w:val="5EFD55DF"/>
    <w:rsid w:val="5F053AC2"/>
    <w:rsid w:val="5F0B5C76"/>
    <w:rsid w:val="5F16731B"/>
    <w:rsid w:val="5F1C71B2"/>
    <w:rsid w:val="5F1D225B"/>
    <w:rsid w:val="5F21657F"/>
    <w:rsid w:val="5F4A1C91"/>
    <w:rsid w:val="5FCA3D8D"/>
    <w:rsid w:val="60377224"/>
    <w:rsid w:val="607D49FD"/>
    <w:rsid w:val="60E67C6D"/>
    <w:rsid w:val="61043818"/>
    <w:rsid w:val="612E1200"/>
    <w:rsid w:val="613618D5"/>
    <w:rsid w:val="61E37CF9"/>
    <w:rsid w:val="61EF4BAD"/>
    <w:rsid w:val="622E630D"/>
    <w:rsid w:val="62742DCD"/>
    <w:rsid w:val="62B91BA7"/>
    <w:rsid w:val="62D7527A"/>
    <w:rsid w:val="62E250CA"/>
    <w:rsid w:val="63156E86"/>
    <w:rsid w:val="6395494B"/>
    <w:rsid w:val="639A41C4"/>
    <w:rsid w:val="63AD0D00"/>
    <w:rsid w:val="63CF1848"/>
    <w:rsid w:val="63E37986"/>
    <w:rsid w:val="64360ADF"/>
    <w:rsid w:val="64F03451"/>
    <w:rsid w:val="64FB6E9F"/>
    <w:rsid w:val="654C0C6E"/>
    <w:rsid w:val="65B43BEA"/>
    <w:rsid w:val="65C409EA"/>
    <w:rsid w:val="663A3EB4"/>
    <w:rsid w:val="66E17464"/>
    <w:rsid w:val="67D414E5"/>
    <w:rsid w:val="69A5229A"/>
    <w:rsid w:val="69A97278"/>
    <w:rsid w:val="69F554D1"/>
    <w:rsid w:val="6BBC26DD"/>
    <w:rsid w:val="6BF603B0"/>
    <w:rsid w:val="6C290D26"/>
    <w:rsid w:val="6C2D1542"/>
    <w:rsid w:val="6C4912EE"/>
    <w:rsid w:val="6C800B14"/>
    <w:rsid w:val="6CDC19EB"/>
    <w:rsid w:val="6D11498F"/>
    <w:rsid w:val="6D476F7F"/>
    <w:rsid w:val="6D684322"/>
    <w:rsid w:val="6DBA0093"/>
    <w:rsid w:val="6E7B4731"/>
    <w:rsid w:val="6E927F94"/>
    <w:rsid w:val="6EEF6407"/>
    <w:rsid w:val="6F555EF3"/>
    <w:rsid w:val="6FAA56EB"/>
    <w:rsid w:val="6FED25A3"/>
    <w:rsid w:val="704A3031"/>
    <w:rsid w:val="70554E01"/>
    <w:rsid w:val="70601362"/>
    <w:rsid w:val="70A51532"/>
    <w:rsid w:val="70AD3F02"/>
    <w:rsid w:val="70EA511B"/>
    <w:rsid w:val="716D7957"/>
    <w:rsid w:val="71E473EF"/>
    <w:rsid w:val="72251606"/>
    <w:rsid w:val="723C4E0C"/>
    <w:rsid w:val="72421DD8"/>
    <w:rsid w:val="727017CD"/>
    <w:rsid w:val="730D354D"/>
    <w:rsid w:val="734E2F8F"/>
    <w:rsid w:val="7386403F"/>
    <w:rsid w:val="73A236AA"/>
    <w:rsid w:val="73AA2E25"/>
    <w:rsid w:val="73B257D5"/>
    <w:rsid w:val="73C66834"/>
    <w:rsid w:val="74034CD0"/>
    <w:rsid w:val="74B623B5"/>
    <w:rsid w:val="74FC7F63"/>
    <w:rsid w:val="75494092"/>
    <w:rsid w:val="759E0303"/>
    <w:rsid w:val="75AD4B40"/>
    <w:rsid w:val="75FE1A6B"/>
    <w:rsid w:val="767D74C7"/>
    <w:rsid w:val="76820B04"/>
    <w:rsid w:val="76DA4889"/>
    <w:rsid w:val="76E47588"/>
    <w:rsid w:val="77354976"/>
    <w:rsid w:val="776A67F8"/>
    <w:rsid w:val="77DF6978"/>
    <w:rsid w:val="78046151"/>
    <w:rsid w:val="783311DF"/>
    <w:rsid w:val="784F6630"/>
    <w:rsid w:val="78507FEF"/>
    <w:rsid w:val="78B03D86"/>
    <w:rsid w:val="78EA49E2"/>
    <w:rsid w:val="79260D6C"/>
    <w:rsid w:val="79F66BAF"/>
    <w:rsid w:val="7A2F46E7"/>
    <w:rsid w:val="7A4F1784"/>
    <w:rsid w:val="7A5245F9"/>
    <w:rsid w:val="7AF95BE7"/>
    <w:rsid w:val="7B70248C"/>
    <w:rsid w:val="7B932C66"/>
    <w:rsid w:val="7BB02559"/>
    <w:rsid w:val="7BF0782B"/>
    <w:rsid w:val="7C05359C"/>
    <w:rsid w:val="7CF11279"/>
    <w:rsid w:val="7D0275D8"/>
    <w:rsid w:val="7DB96803"/>
    <w:rsid w:val="7E2852A2"/>
    <w:rsid w:val="7E605563"/>
    <w:rsid w:val="7EAA408B"/>
    <w:rsid w:val="7EC478BA"/>
    <w:rsid w:val="7EDF4571"/>
    <w:rsid w:val="7F114FA7"/>
    <w:rsid w:val="7F1F28DF"/>
    <w:rsid w:val="7F280353"/>
    <w:rsid w:val="7F350E03"/>
    <w:rsid w:val="7F66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4">
    <w:name w:val="heading 1"/>
    <w:basedOn w:val="1"/>
    <w:next w:val="1"/>
    <w:qFormat/>
    <w:uiPriority w:val="0"/>
    <w:pPr>
      <w:widowControl/>
      <w:adjustRightInd w:val="0"/>
      <w:snapToGrid w:val="0"/>
      <w:spacing w:line="640" w:lineRule="exact"/>
      <w:jc w:val="center"/>
      <w:outlineLvl w:val="0"/>
    </w:pPr>
    <w:rPr>
      <w:rFonts w:ascii="黑体" w:eastAsia="黑体"/>
      <w:b/>
      <w:kern w:val="0"/>
      <w:sz w:val="28"/>
      <w:szCs w:val="28"/>
    </w:rPr>
  </w:style>
  <w:style w:type="paragraph" w:styleId="5">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widowControl w:val="0"/>
      <w:ind w:firstLine="600" w:firstLineChars="600"/>
      <w:outlineLvl w:val="3"/>
    </w:pPr>
    <w:rPr>
      <w:rFonts w:ascii="宋体"/>
      <w:sz w:val="28"/>
    </w:rPr>
  </w:style>
  <w:style w:type="character" w:default="1" w:styleId="21">
    <w:name w:val="Default Paragraph Font"/>
    <w:link w:val="22"/>
    <w:semiHidden/>
    <w:qFormat/>
    <w:uiPriority w:val="0"/>
    <w:rPr>
      <w:rFonts w:eastAsia="方正仿宋简体"/>
      <w:sz w:val="32"/>
      <w:szCs w:val="21"/>
    </w:rPr>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8">
    <w:name w:val="Normal Indent"/>
    <w:basedOn w:val="1"/>
    <w:qFormat/>
    <w:uiPriority w:val="0"/>
    <w:pPr>
      <w:ind w:firstLine="420"/>
    </w:pPr>
  </w:style>
  <w:style w:type="paragraph" w:styleId="9">
    <w:name w:val="caption"/>
    <w:basedOn w:val="1"/>
    <w:next w:val="1"/>
    <w:semiHidden/>
    <w:qFormat/>
    <w:uiPriority w:val="0"/>
    <w:pPr>
      <w:spacing w:before="152" w:after="160"/>
    </w:pPr>
    <w:rPr>
      <w:rFonts w:ascii="Arial" w:hAnsi="Arial" w:eastAsia="黑体" w:cs="Arial"/>
      <w:sz w:val="20"/>
    </w:rPr>
  </w:style>
  <w:style w:type="paragraph" w:styleId="10">
    <w:name w:val="Body Text Indent"/>
    <w:basedOn w:val="1"/>
    <w:qFormat/>
    <w:uiPriority w:val="0"/>
    <w:pPr>
      <w:ind w:firstLine="480"/>
    </w:pPr>
    <w:rPr>
      <w:rFonts w:ascii="宋体"/>
      <w:sz w:val="24"/>
    </w:rPr>
  </w:style>
  <w:style w:type="paragraph" w:styleId="11">
    <w:name w:val="toc 3"/>
    <w:basedOn w:val="1"/>
    <w:next w:val="1"/>
    <w:qFormat/>
    <w:uiPriority w:val="0"/>
    <w:pPr>
      <w:ind w:left="840" w:leftChars="400"/>
    </w:pPr>
  </w:style>
  <w:style w:type="paragraph" w:styleId="12">
    <w:name w:val="Plain Text"/>
    <w:basedOn w:val="1"/>
    <w:qFormat/>
    <w:uiPriority w:val="0"/>
    <w:pPr>
      <w:spacing w:line="360" w:lineRule="auto"/>
      <w:ind w:firstLine="200" w:firstLineChars="200"/>
    </w:pPr>
    <w:rPr>
      <w:rFonts w:ascii="宋体" w:hAnsi="Courier New" w:cs="Courier New"/>
      <w:sz w:val="28"/>
      <w:szCs w:val="21"/>
    </w:rPr>
  </w:style>
  <w:style w:type="paragraph" w:styleId="13">
    <w:name w:val="footer"/>
    <w:basedOn w:val="1"/>
    <w:link w:val="3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Body Text Indent 3"/>
    <w:basedOn w:val="1"/>
    <w:qFormat/>
    <w:uiPriority w:val="0"/>
    <w:pPr>
      <w:tabs>
        <w:tab w:val="left" w:pos="1050"/>
      </w:tabs>
      <w:spacing w:before="120" w:line="360" w:lineRule="auto"/>
      <w:ind w:firstLine="420" w:firstLineChars="150"/>
    </w:pPr>
    <w:rPr>
      <w:rFonts w:ascii="宋体"/>
      <w:spacing w:val="20"/>
      <w:sz w:val="24"/>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Lines="0" w:beforeAutospacing="1" w:after="100" w:afterLines="0" w:afterAutospacing="1" w:line="360" w:lineRule="auto"/>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Char"/>
    <w:basedOn w:val="1"/>
    <w:link w:val="21"/>
    <w:qFormat/>
    <w:uiPriority w:val="0"/>
    <w:rPr>
      <w:rFonts w:eastAsia="方正仿宋简体"/>
      <w:sz w:val="32"/>
      <w:szCs w:val="21"/>
    </w:rPr>
  </w:style>
  <w:style w:type="character" w:styleId="23">
    <w:name w:val="annotation reference"/>
    <w:basedOn w:val="21"/>
    <w:semiHidden/>
    <w:qFormat/>
    <w:uiPriority w:val="0"/>
    <w:rPr>
      <w:sz w:val="21"/>
      <w:szCs w:val="21"/>
    </w:rPr>
  </w:style>
  <w:style w:type="paragraph" w:customStyle="1" w:styleId="24">
    <w:name w:val="xl53"/>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kern w:val="0"/>
      <w:sz w:val="28"/>
      <w:szCs w:val="28"/>
    </w:rPr>
  </w:style>
  <w:style w:type="paragraph" w:customStyle="1" w:styleId="25">
    <w:name w:val="表格"/>
    <w:basedOn w:val="1"/>
    <w:qFormat/>
    <w:uiPriority w:val="0"/>
    <w:pPr>
      <w:widowControl/>
      <w:snapToGrid w:val="0"/>
      <w:jc w:val="center"/>
    </w:pPr>
    <w:rPr>
      <w:kern w:val="0"/>
    </w:rPr>
  </w:style>
  <w:style w:type="paragraph" w:customStyle="1" w:styleId="26">
    <w:name w:val="简单回函地址"/>
    <w:basedOn w:val="1"/>
    <w:qFormat/>
    <w:uiPriority w:val="0"/>
  </w:style>
  <w:style w:type="paragraph" w:customStyle="1" w:styleId="27">
    <w:name w:val="居中"/>
    <w:basedOn w:val="1"/>
    <w:qFormat/>
    <w:uiPriority w:val="0"/>
    <w:pPr>
      <w:jc w:val="center"/>
    </w:pPr>
    <w:rPr>
      <w:rFonts w:ascii="宋体" w:hAnsi="宋体"/>
      <w:color w:val="000000"/>
      <w:sz w:val="21"/>
    </w:rPr>
  </w:style>
  <w:style w:type="character" w:customStyle="1" w:styleId="28">
    <w:name w:val="zw1"/>
    <w:basedOn w:val="21"/>
    <w:qFormat/>
    <w:uiPriority w:val="0"/>
    <w:rPr>
      <w:rFonts w:hint="eastAsia" w:ascii="宋体" w:hAnsi="宋体" w:eastAsia="宋体"/>
      <w:sz w:val="22"/>
      <w:szCs w:val="22"/>
    </w:rPr>
  </w:style>
  <w:style w:type="character" w:customStyle="1" w:styleId="29">
    <w:name w:val="正文1"/>
    <w:basedOn w:val="21"/>
    <w:qFormat/>
    <w:uiPriority w:val="0"/>
    <w:rPr>
      <w:rFonts w:hint="eastAsia" w:ascii="宋体" w:hAnsi="宋体" w:eastAsia="宋体"/>
      <w:sz w:val="22"/>
      <w:szCs w:val="22"/>
    </w:rPr>
  </w:style>
  <w:style w:type="paragraph" w:customStyle="1" w:styleId="30">
    <w:name w:val="Body text|2"/>
    <w:basedOn w:val="1"/>
    <w:qFormat/>
    <w:uiPriority w:val="0"/>
    <w:pPr>
      <w:widowControl w:val="0"/>
      <w:shd w:val="clear" w:color="auto" w:fill="FFFFFF"/>
      <w:spacing w:line="242" w:lineRule="exact"/>
    </w:pPr>
    <w:rPr>
      <w:rFonts w:ascii="PMingLiU" w:hAnsi="PMingLiU" w:eastAsia="PMingLiU" w:cs="PMingLiU"/>
      <w:sz w:val="13"/>
      <w:szCs w:val="13"/>
      <w:u w:val="none"/>
    </w:rPr>
  </w:style>
  <w:style w:type="character" w:customStyle="1" w:styleId="31">
    <w:name w:val="页脚 Char"/>
    <w:link w:val="13"/>
    <w:qFormat/>
    <w:uiPriority w:val="99"/>
    <w:rPr>
      <w:sz w:val="18"/>
    </w:rPr>
  </w:style>
  <w:style w:type="paragraph" w:customStyle="1" w:styleId="32">
    <w:name w:val="【表头】"/>
    <w:basedOn w:val="1"/>
    <w:qFormat/>
    <w:uiPriority w:val="0"/>
    <w:pPr>
      <w:spacing w:line="360" w:lineRule="auto"/>
      <w:jc w:val="center"/>
    </w:pPr>
    <w:rPr>
      <w:b/>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2018-03-12T10:48:00Z</dcterms:created>
  <dc:creator>1111</dc:creator>
  <cp:lastModifiedBy>1111</cp:lastModifiedBy>
  <cp:lastPrinted>2019-05-14T01:57:00Z</cp:lastPrinted>
  <dcterms:modified xsi:type="dcterms:W3CDTF">2019-05-24T06:56:01Z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