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仪陇县复兴镇红旗页岩砖厂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仪陇县复兴镇红旗页岩砖厂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25</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pStyle w:val="4"/>
        <w:spacing w:line="360" w:lineRule="auto"/>
        <w:rPr>
          <w:rFonts w:hint="eastAsia"/>
          <w:color w:val="auto"/>
        </w:rPr>
        <w:sectPr>
          <w:pgSz w:w="11906" w:h="16838"/>
          <w:pgMar w:top="1440" w:right="1800" w:bottom="1440" w:left="1800" w:header="851" w:footer="992" w:gutter="0"/>
          <w:pgNumType w:fmt="decimal" w:start="1"/>
          <w:cols w:space="425" w:num="1"/>
          <w:docGrid w:type="lines" w:linePitch="312" w:charSpace="0"/>
        </w:sectPr>
      </w:pPr>
      <w:bookmarkStart w:id="1" w:name="_Toc481937753"/>
      <w:bookmarkStart w:id="2" w:name="_Toc490472469"/>
      <w:bookmarkStart w:id="3" w:name="_Toc1966"/>
      <w:bookmarkStart w:id="4" w:name="_Toc489891867"/>
      <w:bookmarkStart w:id="5" w:name="_Toc486865993"/>
      <w:bookmarkStart w:id="6" w:name="_Toc5540"/>
      <w:bookmarkStart w:id="7" w:name="_Toc7658"/>
      <w:bookmarkStart w:id="8" w:name="_Toc2372"/>
      <w:bookmarkStart w:id="9" w:name="_Toc30139"/>
      <w:bookmarkStart w:id="10" w:name="_Toc17105"/>
      <w:bookmarkStart w:id="11" w:name="_Toc19984"/>
      <w:bookmarkStart w:id="12" w:name="_Toc29638"/>
      <w:bookmarkStart w:id="13" w:name="_Toc27937"/>
    </w:p>
    <w:p>
      <w:pPr>
        <w:pStyle w:val="4"/>
        <w:spacing w:line="360" w:lineRule="auto"/>
        <w:rPr>
          <w:rFonts w:hint="eastAsia"/>
          <w:color w:val="auto"/>
        </w:rPr>
      </w:pPr>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bookmarkEnd w:id="12"/>
      <w:bookmarkEnd w:id="13"/>
    </w:p>
    <w:p>
      <w:pPr>
        <w:pStyle w:val="15"/>
        <w:tabs>
          <w:tab w:val="right" w:leader="dot" w:pos="9638"/>
        </w:tabs>
        <w:spacing w:line="360" w:lineRule="auto"/>
        <w:rPr>
          <w:rFonts w:ascii="宋体" w:hAnsi="宋体"/>
          <w:color w:val="auto"/>
          <w:sz w:val="24"/>
        </w:rPr>
      </w:pP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4"/>
        </w:rPr>
        <w:fldChar w:fldCharType="begin"/>
      </w:r>
      <w:r>
        <w:rPr>
          <w:rFonts w:hint="eastAsia" w:asciiTheme="minorEastAsia" w:hAnsiTheme="minorEastAsia" w:eastAsiaTheme="minorEastAsia" w:cstheme="minorEastAsia"/>
          <w:color w:val="auto"/>
          <w:sz w:val="24"/>
        </w:rPr>
        <w:instrText xml:space="preserve"> TOC \o "1-3" \h \z \u </w:instrText>
      </w:r>
      <w:r>
        <w:rPr>
          <w:rFonts w:hint="eastAsia" w:asciiTheme="minorEastAsia" w:hAnsiTheme="minorEastAsia" w:eastAsiaTheme="minorEastAsia" w:cstheme="minorEastAsia"/>
          <w:color w:val="auto"/>
          <w:sz w:val="24"/>
        </w:rPr>
        <w:fldChar w:fldCharType="separate"/>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_Toc7552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rPr>
        <w:t>1概述</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_Toc7552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_Toc13747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1.1评估的主要依据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_Toc13747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_Toc10946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en-US" w:eastAsia="zh-CN"/>
        </w:rPr>
        <w:t>1.2评估目的</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_Toc10946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_Toc24333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en-US" w:eastAsia="zh-CN"/>
        </w:rPr>
        <w:t>1.3风险评估范围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_Toc24333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_Toc25208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1.4评估程序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_Toc25208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_Toc10053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lang w:val="en-US" w:eastAsia="zh-CN"/>
        </w:rPr>
        <w:t>2</w:t>
      </w:r>
      <w:r>
        <w:rPr>
          <w:rFonts w:hint="eastAsia" w:asciiTheme="minorEastAsia" w:hAnsiTheme="minorEastAsia" w:eastAsiaTheme="minorEastAsia" w:cstheme="minorEastAsia"/>
          <w:szCs w:val="32"/>
        </w:rPr>
        <w:t>公司概况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_Toc10053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_Toc7138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2.1 公司概况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_Toc7138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_Toc9324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en-US" w:eastAsia="zh-CN"/>
        </w:rPr>
        <w:t>1.1</w:t>
      </w:r>
      <w:r>
        <w:rPr>
          <w:rFonts w:hint="eastAsia" w:asciiTheme="minorEastAsia" w:hAnsiTheme="minorEastAsia" w:eastAsiaTheme="minorEastAsia" w:cstheme="minorEastAsia"/>
          <w:szCs w:val="28"/>
        </w:rPr>
        <w:t>公司地理位置及环境等情况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_Toc9324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_Toc2396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总体布置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_Toc2396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_Toc2514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rPr>
        <w:t>1.</w:t>
      </w:r>
      <w:r>
        <w:rPr>
          <w:rFonts w:hint="eastAsia" w:asciiTheme="minorEastAsia" w:hAnsiTheme="minorEastAsia" w:eastAsiaTheme="minorEastAsia" w:cstheme="minorEastAsia"/>
          <w:szCs w:val="28"/>
          <w:lang w:val="en-US" w:eastAsia="zh-CN"/>
        </w:rPr>
        <w:t>3</w:t>
      </w:r>
      <w:r>
        <w:rPr>
          <w:rFonts w:hint="eastAsia" w:asciiTheme="minorEastAsia" w:hAnsiTheme="minorEastAsia" w:eastAsiaTheme="minorEastAsia" w:cstheme="minorEastAsia"/>
          <w:szCs w:val="28"/>
          <w:lang w:val="zh-CN"/>
        </w:rPr>
        <w:t>周边环境</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_Toc14799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lang w:val="zh-CN"/>
        </w:rPr>
        <w:t>工艺流程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_Toc14799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_Toc6190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zh-CN"/>
        </w:rPr>
        <w:t>2.1.</w:t>
      </w:r>
      <w:r>
        <w:rPr>
          <w:rFonts w:hint="eastAsia" w:asciiTheme="minorEastAsia" w:hAnsiTheme="minorEastAsia" w:eastAsiaTheme="minorEastAsia" w:cstheme="minorEastAsia"/>
          <w:szCs w:val="28"/>
          <w:lang w:val="en-US" w:eastAsia="zh-CN"/>
        </w:rPr>
        <w:t>5</w:t>
      </w:r>
      <w:r>
        <w:rPr>
          <w:rFonts w:hint="eastAsia" w:asciiTheme="minorEastAsia" w:hAnsiTheme="minorEastAsia" w:eastAsiaTheme="minorEastAsia" w:cstheme="minorEastAsia"/>
          <w:bCs/>
          <w:i w:val="0"/>
          <w:iCs w:val="0"/>
          <w:szCs w:val="28"/>
        </w:rPr>
        <w:t>主要生产设备情况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_Toc6190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_Toc27324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各方应急力量有关基本情况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_Toc27324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_Toc16381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.1内部应急力量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_Toc16381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_Toc22445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zh-CN"/>
        </w:rPr>
        <w:t>2.</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lang w:val="zh-CN"/>
        </w:rPr>
        <w:t>外部应急力量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_Toc22445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_Toc4020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lang w:val="en-US" w:eastAsia="zh-CN"/>
        </w:rPr>
        <w:t>3危险、有害因素辨识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_Toc4020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_Toc23049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1 危险、有害因素辨识的目的</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_Toc23049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_Toc5315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2 危险、有害因素辨识的依据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_Toc5315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_Toc1176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3 危险、有害因素辨识的方法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_Toc1176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_Toc19838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4 主要危险、有害物质特性分析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_Toc19838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4.1 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_Toc31582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4.2 柴油</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_Toc31582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_Toc23536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4.3 一氧化碳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_Toc23536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_Toc24633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4.4 二氧化碳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_Toc24633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_Toc20239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4.5 二氧化硫（三氧化硫参考）</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_Toc20239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_Toc1641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3.4.6 柴油安全数据表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_Toc1641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_Toc12276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3.4.7 氧气安全数据表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_Toc12276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_Toc29433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3.4.8 乙炔安全数据表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_Toc29433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_Toc8107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32"/>
        </w:rPr>
        <w:t>3.5 生产过程危险有害因素分析和辨识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_Toc8107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_Toc23110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5 生产过程危险有害因素分析和辨识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_Toc23110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_Toc17043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5.1 车辆事故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_Toc17043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_Toc29379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5.2 机械伤害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_Toc29379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_Toc21150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5.3 触电事故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_Toc21150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_Toc7869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5.4 高处坠落</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_Toc7869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5.5 物体打击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_Toc11598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5.6 火灾事故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_Toc11598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_Toc849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w:t>
      </w:r>
      <w:r>
        <w:rPr>
          <w:rFonts w:hint="eastAsia" w:asciiTheme="minorEastAsia" w:hAnsiTheme="minorEastAsia" w:eastAsiaTheme="minorEastAsia" w:cstheme="minorEastAsia"/>
          <w:snapToGrid w:val="0"/>
          <w:kern w:val="0"/>
          <w:szCs w:val="28"/>
          <w:lang w:val="en-US" w:eastAsia="zh-CN"/>
        </w:rPr>
        <w:t>7 坍塌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_Toc849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_Toc13285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3.5.8中毒窒息</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_Toc13285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_Toc29314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3.5.9高温灼烫</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_Toc29314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_Toc19722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3.5.10容器爆炸</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_Toc19722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_Toc9222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3.5.11有限空间作业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_Toc9222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_Toc11848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5.</w:t>
      </w:r>
      <w:r>
        <w:rPr>
          <w:rFonts w:hint="eastAsia" w:asciiTheme="minorEastAsia" w:hAnsiTheme="minorEastAsia" w:eastAsiaTheme="minorEastAsia" w:cstheme="minorEastAsia"/>
          <w:snapToGrid w:val="0"/>
          <w:kern w:val="0"/>
          <w:szCs w:val="28"/>
          <w:lang w:val="en-US" w:eastAsia="zh-CN"/>
        </w:rPr>
        <w:t>12</w:t>
      </w:r>
      <w:r>
        <w:rPr>
          <w:rFonts w:hint="eastAsia" w:asciiTheme="minorEastAsia" w:hAnsiTheme="minorEastAsia" w:eastAsiaTheme="minorEastAsia" w:cstheme="minorEastAsia"/>
          <w:snapToGrid w:val="0"/>
          <w:kern w:val="0"/>
          <w:szCs w:val="28"/>
        </w:rPr>
        <w:t xml:space="preserve"> 职业危害因素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_Toc11848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_Toc22805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3.5.13 自然灾害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_Toc22805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_Toc22114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rPr>
        <w:t>6 厂址安全条件的危险、有害因素辨识与分析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_Toc22114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_Toc5646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 xml:space="preserve">6.1 </w:t>
      </w:r>
      <w:r>
        <w:rPr>
          <w:rFonts w:hint="eastAsia" w:asciiTheme="minorEastAsia" w:hAnsiTheme="minorEastAsia" w:eastAsiaTheme="minorEastAsia" w:cstheme="minorEastAsia"/>
          <w:snapToGrid w:val="0"/>
          <w:kern w:val="0"/>
          <w:szCs w:val="28"/>
          <w:lang w:eastAsia="zh-CN"/>
        </w:rPr>
        <w:t>公司</w:t>
      </w:r>
      <w:r>
        <w:rPr>
          <w:rFonts w:hint="eastAsia" w:asciiTheme="minorEastAsia" w:hAnsiTheme="minorEastAsia" w:eastAsiaTheme="minorEastAsia" w:cstheme="minorEastAsia"/>
          <w:snapToGrid w:val="0"/>
          <w:kern w:val="0"/>
          <w:szCs w:val="28"/>
        </w:rPr>
        <w:t>对周边环境的影响分析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_Toc5646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_Toc24130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rPr>
        <w:t>6.2 周边环境对</w:t>
      </w:r>
      <w:r>
        <w:rPr>
          <w:rFonts w:hint="eastAsia" w:asciiTheme="minorEastAsia" w:hAnsiTheme="minorEastAsia" w:eastAsiaTheme="minorEastAsia" w:cstheme="minorEastAsia"/>
          <w:snapToGrid w:val="0"/>
          <w:kern w:val="0"/>
          <w:szCs w:val="28"/>
          <w:lang w:eastAsia="zh-CN"/>
        </w:rPr>
        <w:t>公司</w:t>
      </w:r>
      <w:r>
        <w:rPr>
          <w:rFonts w:hint="eastAsia" w:asciiTheme="minorEastAsia" w:hAnsiTheme="minorEastAsia" w:eastAsiaTheme="minorEastAsia" w:cstheme="minorEastAsia"/>
          <w:snapToGrid w:val="0"/>
          <w:kern w:val="0"/>
          <w:szCs w:val="28"/>
        </w:rPr>
        <w:t>的影响分析</w:t>
      </w:r>
      <w:bookmarkStart w:id="234" w:name="_GoBack"/>
      <w:bookmarkEnd w:id="234"/>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_Toc24130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_Toc9775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32"/>
          <w:lang w:val="en-US" w:eastAsia="zh-CN"/>
        </w:rPr>
        <w:t>3</w:t>
      </w:r>
      <w:r>
        <w:rPr>
          <w:rFonts w:hint="eastAsia" w:asciiTheme="minorEastAsia" w:hAnsiTheme="minorEastAsia" w:eastAsiaTheme="minorEastAsia" w:cstheme="minorEastAsia"/>
          <w:snapToGrid w:val="0"/>
          <w:kern w:val="0"/>
          <w:szCs w:val="32"/>
          <w:lang w:eastAsia="zh-CN"/>
        </w:rPr>
        <w:t>.</w:t>
      </w:r>
      <w:r>
        <w:rPr>
          <w:rFonts w:hint="eastAsia" w:asciiTheme="minorEastAsia" w:hAnsiTheme="minorEastAsia" w:eastAsiaTheme="minorEastAsia" w:cstheme="minorEastAsia"/>
          <w:snapToGrid w:val="0"/>
          <w:kern w:val="0"/>
          <w:szCs w:val="32"/>
          <w:lang w:val="en-US" w:eastAsia="zh-CN"/>
        </w:rPr>
        <w:t>7</w:t>
      </w:r>
      <w:r>
        <w:rPr>
          <w:rFonts w:hint="eastAsia" w:asciiTheme="minorEastAsia" w:hAnsiTheme="minorEastAsia" w:eastAsiaTheme="minorEastAsia" w:cstheme="minorEastAsia"/>
          <w:snapToGrid w:val="0"/>
          <w:kern w:val="0"/>
          <w:szCs w:val="32"/>
        </w:rPr>
        <w:t xml:space="preserve"> 重大危险源辨识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_Toc9775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_Toc2622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lang w:val="en-US" w:eastAsia="zh-CN"/>
        </w:rPr>
        <w:t>7</w:t>
      </w:r>
      <w:r>
        <w:rPr>
          <w:rFonts w:hint="eastAsia" w:asciiTheme="minorEastAsia" w:hAnsiTheme="minorEastAsia" w:eastAsiaTheme="minorEastAsia" w:cstheme="minorEastAsia"/>
          <w:snapToGrid w:val="0"/>
          <w:kern w:val="0"/>
          <w:szCs w:val="28"/>
        </w:rPr>
        <w:t>.1 辨识依据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1"/>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_Toc4668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28"/>
          <w:lang w:val="en-US" w:eastAsia="zh-CN"/>
        </w:rPr>
        <w:t>3</w:t>
      </w:r>
      <w:r>
        <w:rPr>
          <w:rFonts w:hint="eastAsia" w:asciiTheme="minorEastAsia" w:hAnsiTheme="minorEastAsia" w:eastAsiaTheme="minorEastAsia" w:cstheme="minorEastAsia"/>
          <w:snapToGrid w:val="0"/>
          <w:kern w:val="0"/>
          <w:szCs w:val="28"/>
          <w:lang w:eastAsia="zh-CN"/>
        </w:rPr>
        <w:t>.</w:t>
      </w:r>
      <w:r>
        <w:rPr>
          <w:rFonts w:hint="eastAsia" w:asciiTheme="minorEastAsia" w:hAnsiTheme="minorEastAsia" w:eastAsiaTheme="minorEastAsia" w:cstheme="minorEastAsia"/>
          <w:snapToGrid w:val="0"/>
          <w:kern w:val="0"/>
          <w:szCs w:val="28"/>
          <w:lang w:val="en-US" w:eastAsia="zh-CN"/>
        </w:rPr>
        <w:t>7</w:t>
      </w:r>
      <w:r>
        <w:rPr>
          <w:rFonts w:hint="eastAsia" w:asciiTheme="minorEastAsia" w:hAnsiTheme="minorEastAsia" w:eastAsiaTheme="minorEastAsia" w:cstheme="minorEastAsia"/>
          <w:snapToGrid w:val="0"/>
          <w:kern w:val="0"/>
          <w:szCs w:val="28"/>
        </w:rPr>
        <w:t>.2 辨识结果</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_Toc4668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_Toc26282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napToGrid w:val="0"/>
          <w:kern w:val="0"/>
          <w:szCs w:val="32"/>
          <w:lang w:val="en-US" w:eastAsia="zh-CN"/>
        </w:rPr>
        <w:t>3.8小结</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_Toc26282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5"/>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_Toc18779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32"/>
          <w:lang w:val="en-US" w:eastAsia="zh-CN"/>
        </w:rPr>
        <w:t>4</w:t>
      </w:r>
      <w:r>
        <w:rPr>
          <w:rFonts w:hint="eastAsia" w:asciiTheme="minorEastAsia" w:hAnsiTheme="minorEastAsia" w:eastAsiaTheme="minorEastAsia" w:cstheme="minorEastAsia"/>
          <w:szCs w:val="32"/>
        </w:rPr>
        <w:t>评估结论与建议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_Toc18779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_Toc20941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en-US" w:eastAsia="zh-CN"/>
        </w:rPr>
        <w:t>4.1总体评价结论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_Toc20941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pStyle w:val="17"/>
        <w:tabs>
          <w:tab w:val="right" w:leader="dot" w:pos="8306"/>
        </w:tabs>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rPr>
        <w:instrText xml:space="preserve"> HYPERLINK \l _Toc30107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rPr>
        <w:t>.</w:t>
      </w:r>
      <w:r>
        <w:rPr>
          <w:rFonts w:hint="eastAsia" w:asciiTheme="minorEastAsia" w:hAnsiTheme="minorEastAsia" w:eastAsiaTheme="minorEastAsia" w:cstheme="minorEastAsia"/>
          <w:szCs w:val="28"/>
          <w:lang w:val="en-US" w:eastAsia="zh-CN"/>
        </w:rPr>
        <w:t>2</w:t>
      </w:r>
      <w:r>
        <w:rPr>
          <w:rFonts w:hint="eastAsia" w:asciiTheme="minorEastAsia" w:hAnsiTheme="minorEastAsia" w:eastAsiaTheme="minorEastAsia" w:cstheme="minorEastAsia"/>
          <w:szCs w:val="28"/>
        </w:rPr>
        <w:t>建议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_Toc30107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color w:val="auto"/>
        </w:rPr>
        <w:fldChar w:fldCharType="end"/>
      </w:r>
    </w:p>
    <w:p>
      <w:pPr>
        <w:widowControl/>
        <w:spacing w:line="360" w:lineRule="auto"/>
        <w:jc w:val="left"/>
        <w:outlineLvl w:val="2"/>
        <w:rPr>
          <w:rFonts w:hint="eastAsia" w:ascii="宋体" w:hAnsi="宋体" w:cs="宋体"/>
          <w:b/>
          <w:bCs/>
          <w:color w:val="auto"/>
          <w:kern w:val="0"/>
          <w:sz w:val="28"/>
          <w:szCs w:val="28"/>
        </w:rPr>
      </w:pPr>
      <w:r>
        <w:rPr>
          <w:rFonts w:hint="eastAsia" w:asciiTheme="minorEastAsia" w:hAnsiTheme="minorEastAsia" w:eastAsiaTheme="minorEastAsia" w:cstheme="minorEastAsia"/>
          <w:color w:val="auto"/>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spacing w:line="360" w:lineRule="auto"/>
        <w:jc w:val="center"/>
        <w:outlineLvl w:val="0"/>
        <w:rPr>
          <w:rFonts w:hint="eastAsia" w:ascii="黑体" w:hAnsi="宋体" w:eastAsia="黑体"/>
          <w:b/>
          <w:sz w:val="32"/>
          <w:szCs w:val="32"/>
        </w:rPr>
      </w:pPr>
      <w:bookmarkStart w:id="14" w:name="_Toc97"/>
      <w:bookmarkStart w:id="15" w:name="_Toc1621"/>
      <w:bookmarkStart w:id="16" w:name="_Toc7552"/>
      <w:r>
        <w:rPr>
          <w:rFonts w:hint="eastAsia" w:ascii="黑体" w:hAnsi="宋体" w:eastAsia="黑体"/>
          <w:b/>
          <w:sz w:val="32"/>
          <w:szCs w:val="32"/>
        </w:rPr>
        <w:t>1概述</w:t>
      </w:r>
      <w:bookmarkEnd w:id="14"/>
      <w:bookmarkEnd w:id="15"/>
      <w:bookmarkEnd w:id="16"/>
    </w:p>
    <w:p>
      <w:pPr>
        <w:pStyle w:val="5"/>
        <w:spacing w:line="360" w:lineRule="auto"/>
        <w:rPr>
          <w:rFonts w:hint="eastAsia" w:ascii="宋体" w:hAnsi="宋体" w:eastAsia="宋体" w:cs="宋体"/>
          <w:sz w:val="28"/>
          <w:szCs w:val="28"/>
        </w:rPr>
      </w:pPr>
      <w:bookmarkStart w:id="17" w:name="_Toc10102"/>
      <w:bookmarkStart w:id="18" w:name="_Toc13902"/>
      <w:bookmarkStart w:id="19" w:name="_Toc13747"/>
      <w:r>
        <w:rPr>
          <w:rFonts w:hint="eastAsia" w:ascii="宋体" w:hAnsi="宋体" w:eastAsia="宋体" w:cs="宋体"/>
          <w:sz w:val="28"/>
          <w:szCs w:val="28"/>
        </w:rPr>
        <w:t>1.1评估的主要依据</w:t>
      </w:r>
      <w:bookmarkEnd w:id="17"/>
      <w:bookmarkEnd w:id="18"/>
      <w:bookmarkEnd w:id="19"/>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（1）《中华人民共和国安全生产法》（中华人民共和国主席令第13号，自2014年12月1日起施行）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（2）《中华人民共和国劳动法》（中华人民共和国主席令第28号，自1995年1月1日起施行，2009年8月27日修订）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（3）《中华人民共和国职业病防治法》(中华人民共和国主席令第24号，2018年12月29日修订)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（4）《中华人民共和国消防法》（中华人民共和国主席令第6号，自20</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9年</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月</w:t>
      </w:r>
      <w:r>
        <w:rPr>
          <w:rFonts w:hint="eastAsia" w:ascii="宋体" w:hAnsi="宋体" w:cs="宋体"/>
          <w:color w:val="auto"/>
          <w:sz w:val="28"/>
          <w:szCs w:val="28"/>
          <w:lang w:val="en-US" w:eastAsia="zh-CN"/>
        </w:rPr>
        <w:t>23</w:t>
      </w:r>
      <w:r>
        <w:rPr>
          <w:rFonts w:hint="eastAsia" w:ascii="宋体" w:hAnsi="宋体" w:cs="宋体"/>
          <w:color w:val="auto"/>
          <w:sz w:val="28"/>
          <w:szCs w:val="28"/>
          <w:lang w:val="zh-CN" w:eastAsia="zh-CN"/>
        </w:rPr>
        <w:t>日起修订）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（5）《中华人民共和国突发事件应对法》（中华人民共和国主席令第69号，自2007年11月1日起施行）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（6）《中华人民共和国劳动合同法》（主席令第73号，自2013年7月1日起施行）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（7）《中华人民共和国环境保护法》（主席令第9号，自2015年1月1日起施行）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（8）《中华人民共和国特种设备安全法》（主席令第4号，2014年1月1日起实施）；</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（9）《中华人民共和国防震减灾法》（国家主席令第7号，自2009年5月1日起施行）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（10）《工伤保险条例》（国务院第586号令）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（11）《机关、团体、企业事业单位消防安全管理规定》（公安部第61号令）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（12）《有限空间安全作业五条规定》（国家安监总局令[2014]第69号）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（13）《企业安全生产风险公告六条规定》（国家安监总局令[2014]第70号）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（14）《企业安全生产应急管理九条规定》（国家安监总局令[2015]第74号）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（15）《国家安全监管总局办公厅关于印发用人单位劳动防护用品管理规范的通知》（安监总厅安健〔2015〕124号）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（16）《工作场所职业卫生监督管理规定》（国家安监总局令第47号）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（17）《生产安全事故应急预案管理办法》（国家安全生产监督管理总局令第88号）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（18）《生产经营单位生产安全事故应急预案编制导则》（GB/T29639-2013）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（19）《生产安全事故应急条例》（国令第708号，2019年4月1日起施行）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（20）《生产安全事故应急演练评估规范》（AQ/T9009-2015）</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（21）《生产安全事故应急演练指南》（AQ/T 9007-2011）</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22</w:t>
      </w:r>
      <w:r>
        <w:rPr>
          <w:rFonts w:hint="eastAsia" w:ascii="宋体" w:hAnsi="宋体" w:cs="宋体"/>
          <w:color w:val="auto"/>
          <w:sz w:val="28"/>
          <w:szCs w:val="28"/>
          <w:lang w:val="zh-CN" w:eastAsia="zh-CN"/>
        </w:rPr>
        <w:t>）《危险化学品重大危险源辨识》（GB18218-20</w:t>
      </w:r>
      <w:r>
        <w:rPr>
          <w:rFonts w:hint="eastAsia" w:ascii="宋体" w:hAnsi="宋体" w:cs="宋体"/>
          <w:color w:val="auto"/>
          <w:sz w:val="28"/>
          <w:szCs w:val="28"/>
          <w:lang w:val="en-US" w:eastAsia="zh-CN"/>
        </w:rPr>
        <w:t>18</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）《四川省安全生产条例》（2006年11月30日四川省第十届人大常委会第二十四次会议通过）</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）《危险化学品目录》（2015年版）</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5</w:t>
      </w:r>
      <w:r>
        <w:rPr>
          <w:rFonts w:hint="eastAsia" w:ascii="宋体" w:hAnsi="宋体" w:cs="宋体"/>
          <w:color w:val="auto"/>
          <w:sz w:val="28"/>
          <w:szCs w:val="28"/>
          <w:lang w:val="zh-CN" w:eastAsia="zh-CN"/>
        </w:rPr>
        <w:t>）《易燃易爆性商品储存养护技术条件》（GB17914-2013）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6</w:t>
      </w:r>
      <w:r>
        <w:rPr>
          <w:rFonts w:hint="eastAsia" w:ascii="宋体" w:hAnsi="宋体" w:cs="宋体"/>
          <w:color w:val="auto"/>
          <w:sz w:val="28"/>
          <w:szCs w:val="28"/>
          <w:lang w:val="zh-CN" w:eastAsia="zh-CN"/>
        </w:rPr>
        <w:t>）《四川省生产安全事故应急预案管理实施细则》（川安监〔2018〕43号）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7</w:t>
      </w:r>
      <w:r>
        <w:rPr>
          <w:rFonts w:hint="eastAsia" w:ascii="宋体" w:hAnsi="宋体" w:cs="宋体"/>
          <w:color w:val="auto"/>
          <w:sz w:val="28"/>
          <w:szCs w:val="28"/>
          <w:lang w:val="zh-CN" w:eastAsia="zh-CN"/>
        </w:rPr>
        <w:t>）《成都市安全生产监督管理局关于规范生产安全事故应急预案评审备案工作的通知》成安监函〔2018〕9号</w:t>
      </w:r>
    </w:p>
    <w:p>
      <w:pPr>
        <w:pStyle w:val="5"/>
        <w:spacing w:before="0" w:after="0" w:line="360" w:lineRule="auto"/>
        <w:rPr>
          <w:rFonts w:hint="eastAsia" w:ascii="宋体" w:hAnsi="宋体" w:eastAsia="宋体" w:cs="宋体"/>
          <w:color w:val="auto"/>
          <w:sz w:val="28"/>
          <w:szCs w:val="28"/>
          <w:lang w:val="en-US" w:eastAsia="zh-CN"/>
        </w:rPr>
      </w:pPr>
      <w:bookmarkStart w:id="20" w:name="_Toc10946"/>
      <w:bookmarkStart w:id="21" w:name="_Toc16426"/>
      <w:bookmarkStart w:id="22" w:name="_Toc25561"/>
      <w:r>
        <w:rPr>
          <w:rFonts w:hint="eastAsia" w:ascii="宋体" w:hAnsi="宋体" w:eastAsia="宋体" w:cs="宋体"/>
          <w:color w:val="auto"/>
          <w:sz w:val="28"/>
          <w:szCs w:val="28"/>
          <w:lang w:val="en-US" w:eastAsia="zh-CN"/>
        </w:rPr>
        <w:t>1.2评估目的</w:t>
      </w:r>
      <w:bookmarkEnd w:id="20"/>
      <w:bookmarkEnd w:id="21"/>
      <w:bookmarkEnd w:id="22"/>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为规范</w:t>
      </w:r>
      <w:r>
        <w:rPr>
          <w:rFonts w:hint="eastAsia" w:hAnsi="宋体"/>
          <w:sz w:val="28"/>
          <w:szCs w:val="28"/>
          <w:lang w:eastAsia="zh-CN"/>
        </w:rPr>
        <w:t>公司</w:t>
      </w:r>
      <w:r>
        <w:rPr>
          <w:rFonts w:hint="eastAsia" w:hAnsi="宋体"/>
          <w:sz w:val="28"/>
          <w:szCs w:val="28"/>
        </w:rPr>
        <w:t>风险管理工作，识别和分析生产安全作业中的危险有害因素，消除或减少事故危害，确保安全作业，由</w:t>
      </w:r>
      <w:r>
        <w:rPr>
          <w:rFonts w:hint="eastAsia" w:hAnsi="宋体"/>
          <w:sz w:val="28"/>
          <w:szCs w:val="28"/>
          <w:lang w:eastAsia="zh-CN"/>
        </w:rPr>
        <w:t>公司</w:t>
      </w:r>
      <w:r>
        <w:rPr>
          <w:rFonts w:hint="eastAsia" w:hAnsi="宋体"/>
          <w:sz w:val="28"/>
          <w:szCs w:val="28"/>
        </w:rPr>
        <w:t>风险评价小组进行风险评估。</w:t>
      </w:r>
    </w:p>
    <w:p>
      <w:pPr>
        <w:pStyle w:val="5"/>
        <w:spacing w:before="0" w:after="0" w:line="360" w:lineRule="auto"/>
        <w:rPr>
          <w:rFonts w:hint="eastAsia" w:ascii="宋体" w:hAnsi="宋体" w:eastAsia="宋体" w:cs="宋体"/>
          <w:color w:val="auto"/>
          <w:sz w:val="28"/>
          <w:szCs w:val="28"/>
          <w:lang w:val="en-US" w:eastAsia="zh-CN"/>
        </w:rPr>
      </w:pPr>
      <w:bookmarkStart w:id="23" w:name="_Toc19499"/>
      <w:bookmarkStart w:id="24" w:name="_Toc24333"/>
      <w:bookmarkStart w:id="25" w:name="_Toc12578"/>
      <w:r>
        <w:rPr>
          <w:rFonts w:hint="eastAsia" w:ascii="宋体" w:hAnsi="宋体" w:eastAsia="宋体" w:cs="宋体"/>
          <w:color w:val="auto"/>
          <w:sz w:val="28"/>
          <w:szCs w:val="28"/>
          <w:lang w:val="en-US" w:eastAsia="zh-CN"/>
        </w:rPr>
        <w:t>1.3风险评估范围</w:t>
      </w:r>
      <w:bookmarkEnd w:id="23"/>
      <w:bookmarkEnd w:id="24"/>
      <w:bookmarkEnd w:id="25"/>
      <w:r>
        <w:rPr>
          <w:rFonts w:hint="eastAsia" w:ascii="宋体" w:hAnsi="宋体" w:eastAsia="宋体" w:cs="宋体"/>
          <w:color w:val="auto"/>
          <w:sz w:val="28"/>
          <w:szCs w:val="28"/>
          <w:lang w:val="en-US" w:eastAsia="zh-CN"/>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评估范围主要围绕生产经营活动开展，主要包括</w:t>
      </w:r>
      <w:r>
        <w:rPr>
          <w:rFonts w:hint="eastAsia" w:hAnsi="宋体"/>
          <w:sz w:val="28"/>
          <w:szCs w:val="28"/>
          <w:lang w:eastAsia="zh-CN"/>
        </w:rPr>
        <w:t>公司</w:t>
      </w:r>
      <w:r>
        <w:rPr>
          <w:rFonts w:hint="eastAsia" w:hAnsi="宋体"/>
          <w:sz w:val="28"/>
          <w:szCs w:val="28"/>
        </w:rPr>
        <w:t>在生产经营过程的生产工艺装置和储存设施以及配套的公用工程系统的风险性识别和分析。</w:t>
      </w:r>
    </w:p>
    <w:p>
      <w:pPr>
        <w:pStyle w:val="5"/>
        <w:spacing w:before="0" w:after="0" w:line="360" w:lineRule="auto"/>
        <w:rPr>
          <w:rFonts w:hint="eastAsia" w:ascii="宋体" w:hAnsi="宋体" w:eastAsia="宋体" w:cs="宋体"/>
          <w:sz w:val="28"/>
          <w:szCs w:val="28"/>
        </w:rPr>
      </w:pPr>
      <w:bookmarkStart w:id="26" w:name="_Toc25208"/>
      <w:bookmarkStart w:id="27" w:name="_Toc23032"/>
      <w:bookmarkStart w:id="28" w:name="_Toc15923"/>
      <w:r>
        <w:rPr>
          <w:rFonts w:hint="eastAsia" w:ascii="宋体" w:hAnsi="宋体" w:eastAsia="宋体" w:cs="宋体"/>
          <w:sz w:val="28"/>
          <w:szCs w:val="28"/>
        </w:rPr>
        <w:t>1.4评估程序</w:t>
      </w:r>
      <w:bookmarkEnd w:id="26"/>
      <w:bookmarkEnd w:id="27"/>
      <w:bookmarkEnd w:id="28"/>
      <w:r>
        <w:rPr>
          <w:rFonts w:hint="eastAsia" w:ascii="宋体" w:hAnsi="宋体" w:eastAsia="宋体" w:cs="宋体"/>
          <w:sz w:val="28"/>
          <w:szCs w:val="28"/>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1、成立风险评估小组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2、收集分析资料、现场勘察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3、组织进行风险识别和评估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4、评估汇总交</w:t>
      </w:r>
      <w:r>
        <w:rPr>
          <w:rFonts w:hint="eastAsia" w:hAnsi="宋体"/>
          <w:sz w:val="28"/>
          <w:szCs w:val="28"/>
          <w:lang w:eastAsia="zh-CN"/>
        </w:rPr>
        <w:t>公司</w:t>
      </w:r>
      <w:r>
        <w:rPr>
          <w:rFonts w:hint="eastAsia" w:hAnsi="宋体"/>
          <w:sz w:val="28"/>
          <w:szCs w:val="28"/>
        </w:rPr>
        <w:t xml:space="preserve">主要负责人批准 </w:t>
      </w:r>
    </w:p>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29" w:name="_Toc10053"/>
      <w:r>
        <w:rPr>
          <w:rFonts w:hint="eastAsia" w:ascii="黑体" w:hAnsi="宋体" w:eastAsia="黑体"/>
          <w:b/>
          <w:color w:val="auto"/>
          <w:sz w:val="32"/>
          <w:szCs w:val="32"/>
          <w:lang w:val="en-US" w:eastAsia="zh-CN"/>
        </w:rPr>
        <w:t>2</w:t>
      </w:r>
      <w:r>
        <w:rPr>
          <w:rFonts w:hint="eastAsia" w:ascii="黑体" w:hAnsi="宋体" w:eastAsia="黑体"/>
          <w:b/>
          <w:color w:val="auto"/>
          <w:sz w:val="32"/>
          <w:szCs w:val="32"/>
        </w:rPr>
        <w:t>公司概况</w:t>
      </w:r>
      <w:bookmarkEnd w:id="0"/>
      <w:bookmarkEnd w:id="29"/>
    </w:p>
    <w:p>
      <w:pPr>
        <w:pStyle w:val="5"/>
        <w:spacing w:before="0" w:after="0" w:line="360" w:lineRule="auto"/>
        <w:rPr>
          <w:rFonts w:hint="eastAsia" w:ascii="宋体" w:hAnsi="宋体" w:eastAsia="宋体" w:cs="宋体"/>
          <w:color w:val="auto"/>
          <w:sz w:val="28"/>
          <w:szCs w:val="28"/>
        </w:rPr>
      </w:pPr>
      <w:bookmarkStart w:id="30" w:name="_Toc16670"/>
      <w:bookmarkStart w:id="31" w:name="_Toc7138"/>
      <w:bookmarkStart w:id="32" w:name="_Toc332285103"/>
      <w:bookmarkStart w:id="33" w:name="_Toc176022617"/>
      <w:bookmarkStart w:id="34" w:name="_Toc13200"/>
      <w:bookmarkStart w:id="35" w:name="_Toc514342838"/>
      <w:bookmarkStart w:id="36" w:name="_Toc480804386"/>
      <w:bookmarkStart w:id="37" w:name="_Toc485656588"/>
      <w:r>
        <w:rPr>
          <w:rFonts w:hint="eastAsia" w:ascii="宋体" w:hAnsi="宋体" w:eastAsia="宋体" w:cs="宋体"/>
          <w:color w:val="auto"/>
          <w:sz w:val="28"/>
          <w:szCs w:val="28"/>
        </w:rPr>
        <w:t>2.1 公司概况</w:t>
      </w:r>
      <w:bookmarkEnd w:id="30"/>
      <w:bookmarkEnd w:id="31"/>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2009"/>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单位</w:t>
            </w:r>
            <w:r>
              <w:rPr>
                <w:rFonts w:hint="eastAsia" w:hAnsi="宋体" w:eastAsia="Times New Roman" w:cs="宋体"/>
                <w:color w:val="auto"/>
                <w:kern w:val="2"/>
                <w:sz w:val="28"/>
                <w:szCs w:val="28"/>
                <w:lang w:val="zh-CN" w:eastAsia="zh-CN" w:bidi="ar-SA"/>
              </w:rPr>
              <w:t>名称</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仪陇县复兴镇红旗页岩砖厂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唐秀清</w:t>
            </w:r>
          </w:p>
        </w:tc>
        <w:tc>
          <w:tcPr>
            <w:tcW w:w="2009"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联系电话</w:t>
            </w:r>
          </w:p>
        </w:tc>
        <w:tc>
          <w:tcPr>
            <w:tcW w:w="30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18911003596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联系人</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李小林</w:t>
            </w:r>
          </w:p>
        </w:tc>
        <w:tc>
          <w:tcPr>
            <w:tcW w:w="2009"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成立时间</w:t>
            </w:r>
          </w:p>
        </w:tc>
        <w:tc>
          <w:tcPr>
            <w:tcW w:w="30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zh-CN" w:eastAsia="zh-CN" w:bidi="ar-SA"/>
              </w:rPr>
              <w:t>20</w:t>
            </w:r>
            <w:r>
              <w:rPr>
                <w:rFonts w:hint="eastAsia" w:hAnsi="宋体" w:eastAsia="Times New Roman" w:cs="宋体"/>
                <w:color w:val="auto"/>
                <w:kern w:val="2"/>
                <w:sz w:val="28"/>
                <w:szCs w:val="28"/>
                <w:lang w:val="en-US" w:eastAsia="zh-CN" w:bidi="ar-SA"/>
              </w:rPr>
              <w:t>17</w:t>
            </w:r>
            <w:r>
              <w:rPr>
                <w:rFonts w:hint="eastAsia" w:hAnsi="宋体" w:eastAsia="Times New Roman" w:cs="宋体"/>
                <w:color w:val="auto"/>
                <w:kern w:val="2"/>
                <w:sz w:val="28"/>
                <w:szCs w:val="28"/>
                <w:lang w:val="zh-CN" w:eastAsia="zh-CN" w:bidi="ar-SA"/>
              </w:rPr>
              <w:t>年</w:t>
            </w:r>
            <w:r>
              <w:rPr>
                <w:rFonts w:hint="eastAsia" w:hAnsi="宋体" w:eastAsia="Times New Roman" w:cs="宋体"/>
                <w:color w:val="auto"/>
                <w:kern w:val="2"/>
                <w:sz w:val="28"/>
                <w:szCs w:val="28"/>
                <w:lang w:val="en-US" w:eastAsia="zh-CN" w:bidi="ar-SA"/>
              </w:rPr>
              <w:t>05</w:t>
            </w:r>
            <w:r>
              <w:rPr>
                <w:rFonts w:hint="eastAsia" w:hAnsi="宋体" w:eastAsia="Times New Roman" w:cs="宋体"/>
                <w:color w:val="auto"/>
                <w:kern w:val="2"/>
                <w:sz w:val="28"/>
                <w:szCs w:val="28"/>
                <w:lang w:val="zh-CN" w:eastAsia="zh-CN" w:bidi="ar-SA"/>
              </w:rPr>
              <w:t>月</w:t>
            </w:r>
            <w:r>
              <w:rPr>
                <w:rFonts w:hint="eastAsia" w:hAnsi="宋体" w:eastAsia="Times New Roman" w:cs="宋体"/>
                <w:color w:val="auto"/>
                <w:kern w:val="2"/>
                <w:sz w:val="28"/>
                <w:szCs w:val="28"/>
                <w:lang w:val="en-US" w:eastAsia="zh-CN" w:bidi="ar-SA"/>
              </w:rPr>
              <w:t>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个体工商户</w:t>
            </w:r>
          </w:p>
        </w:tc>
        <w:tc>
          <w:tcPr>
            <w:tcW w:w="2009"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en-US" w:eastAsia="zh-CN" w:bidi="ar-SA"/>
              </w:rPr>
              <w:t>注册号</w:t>
            </w:r>
          </w:p>
        </w:tc>
        <w:tc>
          <w:tcPr>
            <w:tcW w:w="309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Times New Roman" w:cs="宋体"/>
                <w:color w:val="auto"/>
                <w:kern w:val="2"/>
                <w:sz w:val="28"/>
                <w:szCs w:val="28"/>
                <w:lang w:val="en-US" w:eastAsia="zh-CN" w:bidi="ar-SA"/>
              </w:rPr>
            </w:pPr>
            <w:r>
              <w:rPr>
                <w:rFonts w:hint="eastAsia" w:ascii="仿宋_GB2312" w:hAnsi="Times New Roman" w:eastAsia="仿宋_GB2312"/>
                <w:snapToGrid w:val="0"/>
                <w:kern w:val="0"/>
                <w:sz w:val="28"/>
                <w:szCs w:val="28"/>
                <w:lang w:val="en-US" w:eastAsia="zh-CN" w:bidi="ar-SA"/>
              </w:rPr>
              <w:t>92511324MA6</w:t>
            </w:r>
            <w:r>
              <w:rPr>
                <w:rFonts w:hint="eastAsia" w:ascii="仿宋_GB2312" w:hAnsi="Times New Roman"/>
                <w:snapToGrid w:val="0"/>
                <w:kern w:val="0"/>
                <w:sz w:val="28"/>
                <w:szCs w:val="28"/>
                <w:lang w:val="en-US" w:eastAsia="zh-CN" w:bidi="ar-SA"/>
              </w:rPr>
              <w:t>502TP7F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通讯地址</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kern w:val="2"/>
                <w:sz w:val="28"/>
                <w:szCs w:val="28"/>
                <w:lang w:val="en-US" w:eastAsia="zh-CN" w:bidi="ar-SA"/>
              </w:rPr>
            </w:pPr>
            <w:r>
              <w:rPr>
                <w:rFonts w:hint="eastAsia" w:hAnsi="宋体" w:eastAsia="Times New Roman" w:cs="宋体"/>
                <w:color w:val="auto"/>
                <w:kern w:val="2"/>
                <w:sz w:val="28"/>
                <w:szCs w:val="28"/>
                <w:lang w:val="zh-CN" w:eastAsia="zh-CN" w:bidi="ar-SA"/>
              </w:rPr>
              <w:t>仪陇县复兴镇红旗村六社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行业类别及代码</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粘土砖瓦及建筑砌块</w:t>
            </w:r>
            <w:r>
              <w:rPr>
                <w:rFonts w:hint="eastAsia" w:ascii="宋体" w:hAnsi="宋体" w:eastAsia="Times New Roman" w:cs="宋体"/>
                <w:color w:val="auto"/>
                <w:kern w:val="2"/>
                <w:sz w:val="28"/>
                <w:szCs w:val="28"/>
                <w:lang w:val="en-US" w:eastAsia="zh-CN" w:bidi="ar-SA"/>
              </w:rPr>
              <w:t>制造</w:t>
            </w:r>
            <w:r>
              <w:rPr>
                <w:rFonts w:hint="eastAsia" w:hAnsi="宋体" w:eastAsia="Times New Roman" w:cs="宋体"/>
                <w:color w:val="auto"/>
                <w:kern w:val="2"/>
                <w:sz w:val="28"/>
                <w:szCs w:val="28"/>
                <w:lang w:val="en-US" w:eastAsia="zh-CN" w:bidi="ar-SA"/>
              </w:rPr>
              <w:t>（</w:t>
            </w:r>
            <w:r>
              <w:rPr>
                <w:rFonts w:hint="eastAsia" w:ascii="宋体" w:hAnsi="宋体" w:eastAsia="Times New Roman" w:cs="宋体"/>
                <w:color w:val="auto"/>
                <w:kern w:val="2"/>
                <w:sz w:val="28"/>
                <w:szCs w:val="28"/>
                <w:lang w:val="en-US" w:eastAsia="zh-CN" w:bidi="ar-SA"/>
              </w:rPr>
              <w:t>C3</w:t>
            </w:r>
            <w:r>
              <w:rPr>
                <w:rFonts w:hint="eastAsia" w:hAnsi="宋体" w:eastAsia="Times New Roman" w:cs="宋体"/>
                <w:color w:val="auto"/>
                <w:kern w:val="2"/>
                <w:sz w:val="28"/>
                <w:szCs w:val="28"/>
                <w:lang w:val="en-US" w:eastAsia="zh-CN" w:bidi="ar-SA"/>
              </w:rPr>
              <w:t>0</w:t>
            </w:r>
            <w:r>
              <w:rPr>
                <w:rFonts w:hint="eastAsia" w:ascii="宋体" w:hAnsi="宋体" w:eastAsia="Times New Roman" w:cs="宋体"/>
                <w:color w:val="auto"/>
                <w:kern w:val="2"/>
                <w:sz w:val="28"/>
                <w:szCs w:val="28"/>
                <w:lang w:val="en-US" w:eastAsia="zh-CN" w:bidi="ar-SA"/>
              </w:rPr>
              <w:t>31</w:t>
            </w:r>
            <w:r>
              <w:rPr>
                <w:rFonts w:hint="eastAsia" w:hAnsi="宋体" w:eastAsia="Times New Roman" w:cs="宋体"/>
                <w:color w:val="auto"/>
                <w:kern w:val="2"/>
                <w:sz w:val="28"/>
                <w:szCs w:val="2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企业规模</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kern w:val="2"/>
                <w:sz w:val="28"/>
                <w:szCs w:val="28"/>
                <w:lang w:val="en-US" w:eastAsia="zh-CN" w:bidi="ar-SA"/>
              </w:rPr>
            </w:pPr>
            <w:r>
              <w:rPr>
                <w:rFonts w:hint="eastAsia" w:ascii="宋体" w:hAnsi="宋体" w:eastAsia="Times New Roman" w:cs="宋体"/>
                <w:color w:val="FF0000"/>
                <w:kern w:val="2"/>
                <w:sz w:val="28"/>
                <w:szCs w:val="28"/>
                <w:lang w:val="zh-CN" w:eastAsia="zh-CN" w:bidi="ar-SA"/>
              </w:rPr>
              <w:t>年产</w:t>
            </w:r>
            <w:r>
              <w:rPr>
                <w:rFonts w:hint="eastAsia"/>
                <w:snapToGrid w:val="0"/>
                <w:color w:val="FF0000"/>
                <w:kern w:val="0"/>
                <w:sz w:val="28"/>
                <w:szCs w:val="28"/>
                <w:lang w:val="en-US" w:eastAsia="zh-CN"/>
              </w:rPr>
              <w:t>3000万匹标</w:t>
            </w:r>
            <w:r>
              <w:rPr>
                <w:rFonts w:hint="eastAsia" w:ascii="宋体"/>
                <w:snapToGrid w:val="0"/>
                <w:color w:val="FF0000"/>
                <w:kern w:val="0"/>
                <w:sz w:val="28"/>
                <w:szCs w:val="28"/>
              </w:rPr>
              <w:t>砖</w:t>
            </w:r>
            <w:r>
              <w:rPr>
                <w:rFonts w:hint="eastAsia"/>
                <w:snapToGrid w:val="0"/>
                <w:color w:val="FF000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采矿许可证</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证号：C5113242009077130029237</w:t>
            </w: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发证单位：仪陇县国土资源局</w:t>
            </w: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开采矿种：砖瓦用页岩     开采方式：露天开采</w:t>
            </w:r>
          </w:p>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生产规模：2.5万吨/年    矿区面积：0.0112平方公里</w:t>
            </w:r>
          </w:p>
        </w:tc>
      </w:tr>
    </w:tbl>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表2-1 单位基本情况一览表</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仪陇县复兴镇红旗砖厂年生产3000万匹标砖，位于</w:t>
      </w:r>
      <w:r>
        <w:rPr>
          <w:rFonts w:hint="eastAsia" w:ascii="宋体" w:hAnsi="宋体" w:cs="宋体"/>
          <w:color w:val="auto"/>
          <w:sz w:val="28"/>
          <w:szCs w:val="28"/>
          <w:lang w:val="zh-CN" w:eastAsia="zh-CN"/>
        </w:rPr>
        <w:t>仪陇县复兴镇红旗村六社</w:t>
      </w:r>
      <w:r>
        <w:rPr>
          <w:rFonts w:hint="eastAsia" w:ascii="宋体" w:hAnsi="宋体" w:cs="宋体"/>
          <w:color w:val="auto"/>
          <w:sz w:val="28"/>
          <w:szCs w:val="28"/>
          <w:lang w:val="en-US" w:eastAsia="zh-CN"/>
        </w:rPr>
        <w:t>。砖厂建设于1997年7月，租用仪陇县复兴镇红旗村六社当地居民土地修建厂房和进行页岩的开采，于1997年底正式投入运行。现有23人，安全生产管理人员由于总经理唐秀清、厂长李小林、李仲民、于海等组成。</w:t>
      </w:r>
    </w:p>
    <w:p>
      <w:pPr>
        <w:pStyle w:val="5"/>
        <w:spacing w:before="0" w:after="0" w:line="360" w:lineRule="auto"/>
        <w:rPr>
          <w:rFonts w:hint="eastAsia" w:ascii="宋体" w:hAnsi="宋体" w:eastAsia="宋体" w:cs="宋体"/>
          <w:color w:val="auto"/>
          <w:sz w:val="28"/>
          <w:szCs w:val="28"/>
        </w:rPr>
      </w:pPr>
      <w:bookmarkStart w:id="38" w:name="_Toc28926"/>
      <w:bookmarkStart w:id="39" w:name="_Toc9324"/>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rPr>
        <w:t>公司地理位置及环境等情况</w:t>
      </w:r>
      <w:bookmarkEnd w:id="38"/>
      <w:bookmarkEnd w:id="39"/>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仪陇县复兴镇红旗页岩砖厂</w:t>
      </w:r>
      <w:r>
        <w:rPr>
          <w:rFonts w:hint="eastAsia" w:ascii="宋体" w:hAnsi="宋体" w:cs="宋体"/>
          <w:color w:val="auto"/>
          <w:sz w:val="28"/>
          <w:szCs w:val="28"/>
          <w:lang w:val="zh-CN" w:eastAsia="zh-CN"/>
        </w:rPr>
        <w:t>行政区划隶属仪陇县复兴镇，仪陇县复兴镇位于仪陇县北部，距县城25公里，东临文星，保平，南界二道，西靠双胜，北与凤仪，五福接壤，仪华公路与马蓬公路，新马公路交汇于红旗村。 矿山毗邻砖厂，砖厂有约50米简易道路（泥结碎石路面）与公路相接(潆马路)，经潆马路向西接S203省道约1.9公里可达仪陇县复兴镇，经潆马路向东北约5公里可达仪陇县保平镇，全程水泥路面，交通方便。</w:t>
      </w:r>
    </w:p>
    <w:p>
      <w:pPr>
        <w:pStyle w:val="2"/>
        <w:ind w:left="0" w:leftChars="0" w:firstLine="0" w:firstLineChars="0"/>
        <w:rPr>
          <w:rFonts w:hint="eastAsia" w:ascii="宋体" w:hAnsi="宋体" w:cs="宋体"/>
          <w:color w:val="auto"/>
          <w:sz w:val="28"/>
          <w:szCs w:val="28"/>
          <w:lang w:val="zh-CN" w:eastAsia="zh-CN"/>
        </w:rPr>
      </w:pPr>
      <w:r>
        <w:rPr>
          <w:color w:val="auto"/>
          <w:sz w:val="72"/>
        </w:rPr>
        <mc:AlternateContent>
          <mc:Choice Requires="wps">
            <w:drawing>
              <wp:anchor distT="0" distB="0" distL="114300" distR="114300" simplePos="0" relativeHeight="251674624" behindDoc="0" locked="0" layoutInCell="1" allowOverlap="1">
                <wp:simplePos x="0" y="0"/>
                <wp:positionH relativeFrom="column">
                  <wp:posOffset>502920</wp:posOffset>
                </wp:positionH>
                <wp:positionV relativeFrom="paragraph">
                  <wp:posOffset>2379345</wp:posOffset>
                </wp:positionV>
                <wp:extent cx="2337435" cy="304800"/>
                <wp:effectExtent l="5080" t="199390" r="4445" b="13970"/>
                <wp:wrapNone/>
                <wp:docPr id="40" name="圆角矩形标注 40"/>
                <wp:cNvGraphicFramePr/>
                <a:graphic xmlns:a="http://schemas.openxmlformats.org/drawingml/2006/main">
                  <a:graphicData uri="http://schemas.microsoft.com/office/word/2010/wordprocessingShape">
                    <wps:wsp>
                      <wps:cNvSpPr/>
                      <wps:spPr>
                        <a:xfrm flipH="1" flipV="1">
                          <a:off x="0" y="0"/>
                          <a:ext cx="2337435" cy="304800"/>
                        </a:xfrm>
                        <a:prstGeom prst="wedgeRoundRectCallout">
                          <a:avLst>
                            <a:gd name="adj1" fmla="val -48208"/>
                            <a:gd name="adj2" fmla="val 111875"/>
                            <a:gd name="adj3" fmla="val 16667"/>
                          </a:avLst>
                        </a:prstGeom>
                        <a:noFill/>
                        <a:ln w="9525" cap="flat" cmpd="sng">
                          <a:solidFill>
                            <a:srgbClr val="000000"/>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仪陇县复兴镇红旗页岩砖厂</w:t>
                            </w:r>
                          </w:p>
                        </w:txbxContent>
                      </wps:txbx>
                      <wps:bodyPr upright="1"/>
                    </wps:wsp>
                  </a:graphicData>
                </a:graphic>
              </wp:anchor>
            </w:drawing>
          </mc:Choice>
          <mc:Fallback>
            <w:pict>
              <v:shape id="_x0000_s1026" o:spid="_x0000_s1026" o:spt="62" type="#_x0000_t62" style="position:absolute;left:0pt;flip:x y;margin-left:39.6pt;margin-top:187.35pt;height:24pt;width:184.05pt;z-index:251674624;mso-width-relative:page;mso-height-relative:page;" filled="f" stroked="t" coordsize="21600,21600" o:gfxdata="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EBW3XZAAAACgEAAA8AAAAAAAAAAQAgAAAAIgAAAGRy&#10;cy9kb3ducmV2LnhtbFBLAQIUABQAAAAIAIdO4kAm0yzMPQIAAFwEAAAOAAAAAAAAAAEAIAAAACgB&#10;AABkcnMvZTJvRG9jLnhtbFBLBQYAAAAABgAGAFkBAADXBQAAAAA=&#10;" adj="387,34965,14400">
                <v:fill on="f" focussize="0,0"/>
                <v:stroke color="#000000"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仪陇县复兴镇红旗页岩砖厂</w:t>
                      </w:r>
                    </w:p>
                  </w:txbxContent>
                </v:textbox>
              </v:shape>
            </w:pict>
          </mc:Fallback>
        </mc:AlternateContent>
      </w:r>
      <w:r>
        <w:rPr>
          <w:sz w:val="72"/>
        </w:rPr>
        <mc:AlternateContent>
          <mc:Choice Requires="wps">
            <w:drawing>
              <wp:anchor distT="0" distB="0" distL="114300" distR="114300" simplePos="0" relativeHeight="251681792" behindDoc="0" locked="0" layoutInCell="1" allowOverlap="1">
                <wp:simplePos x="0" y="0"/>
                <wp:positionH relativeFrom="column">
                  <wp:posOffset>2783205</wp:posOffset>
                </wp:positionH>
                <wp:positionV relativeFrom="paragraph">
                  <wp:posOffset>2109470</wp:posOffset>
                </wp:positionV>
                <wp:extent cx="92075" cy="75565"/>
                <wp:effectExtent l="4445" t="4445" r="10160" b="11430"/>
                <wp:wrapNone/>
                <wp:docPr id="41" name="椭圆 41"/>
                <wp:cNvGraphicFramePr/>
                <a:graphic xmlns:a="http://schemas.openxmlformats.org/drawingml/2006/main">
                  <a:graphicData uri="http://schemas.microsoft.com/office/word/2010/wordprocessingShape">
                    <wps:wsp>
                      <wps:cNvSpPr/>
                      <wps:spPr>
                        <a:xfrm>
                          <a:off x="0" y="0"/>
                          <a:ext cx="92075" cy="75565"/>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19.15pt;margin-top:166.1pt;height:5.95pt;width:7.25pt;z-index:251681792;mso-width-relative:page;mso-height-relative:page;" fillcolor="#FF0000" filled="t" stroked="t" coordsize="21600,21600" o:gfxdata="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lEdutcAAAALAQAADwAAAAAAAAAB&#10;ACAAAAAiAAAAZHJzL2Rvd25yZXYueG1sUEsBAhQAFAAAAAgAh07iQACOHyjYAQAAyAMAAA4AAAAA&#10;AAAAAQAgAAAAJgEAAGRycy9lMm9Eb2MueG1sUEsFBgAAAAAGAAYAWQEAAHAFAAAAAA==&#10;">
                <v:fill on="t" focussize="0,0"/>
                <v:stroke color="#FF0000" joinstyle="round"/>
                <v:imagedata o:title=""/>
                <o:lock v:ext="edit" aspectratio="f"/>
              </v:shape>
            </w:pict>
          </mc:Fallback>
        </mc:AlternateContent>
      </w:r>
      <w:r>
        <w:drawing>
          <wp:inline distT="0" distB="0" distL="114300" distR="114300">
            <wp:extent cx="5970905" cy="3415665"/>
            <wp:effectExtent l="0" t="0" r="3175" b="1333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6"/>
                    <a:stretch>
                      <a:fillRect/>
                    </a:stretch>
                  </pic:blipFill>
                  <pic:spPr>
                    <a:xfrm>
                      <a:off x="0" y="0"/>
                      <a:ext cx="5970905" cy="3415665"/>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图2-1 地理位置图</w:t>
      </w:r>
    </w:p>
    <w:p>
      <w:pPr>
        <w:pStyle w:val="5"/>
        <w:spacing w:before="0" w:after="0" w:line="360" w:lineRule="auto"/>
        <w:rPr>
          <w:rFonts w:hint="eastAsia" w:ascii="宋体" w:hAnsi="宋体" w:eastAsia="宋体" w:cs="宋体"/>
          <w:color w:val="auto"/>
          <w:sz w:val="28"/>
          <w:szCs w:val="28"/>
          <w:lang w:val="en-US" w:eastAsia="zh-CN"/>
        </w:rPr>
      </w:pPr>
      <w:bookmarkStart w:id="40" w:name="_Toc2396"/>
      <w:bookmarkStart w:id="41" w:name="_Toc11108"/>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总体布置</w:t>
      </w:r>
      <w:bookmarkEnd w:id="40"/>
      <w:bookmarkEnd w:id="41"/>
    </w:p>
    <w:p>
      <w:pPr>
        <w:spacing w:line="360" w:lineRule="auto"/>
        <w:ind w:firstLine="562" w:firstLineChars="200"/>
        <w:rPr>
          <w:rFonts w:hint="eastAsia" w:ascii="宋体"/>
          <w:b/>
          <w:bCs/>
          <w:snapToGrid w:val="0"/>
          <w:color w:val="auto"/>
          <w:kern w:val="0"/>
          <w:sz w:val="28"/>
          <w:szCs w:val="28"/>
          <w:lang w:val="en-US" w:eastAsia="en-US"/>
        </w:rPr>
      </w:pPr>
      <w:r>
        <w:rPr>
          <w:rFonts w:hint="eastAsia" w:ascii="宋体" w:eastAsia="宋体"/>
          <w:b/>
          <w:bCs/>
          <w:snapToGrid w:val="0"/>
          <w:color w:val="auto"/>
          <w:kern w:val="0"/>
          <w:sz w:val="28"/>
          <w:szCs w:val="28"/>
          <w:lang w:val="en-US" w:eastAsia="zh-CN"/>
        </w:rPr>
        <w:t>1、</w:t>
      </w:r>
      <w:r>
        <w:rPr>
          <w:rFonts w:hint="eastAsia" w:ascii="宋体"/>
          <w:b/>
          <w:bCs/>
          <w:snapToGrid w:val="0"/>
          <w:color w:val="auto"/>
          <w:kern w:val="0"/>
          <w:sz w:val="28"/>
          <w:szCs w:val="28"/>
          <w:lang w:val="zh-CN" w:eastAsia="zh-CN"/>
        </w:rPr>
        <w:t>总平面布置</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zh-CN" w:eastAsia="zh-CN"/>
        </w:rPr>
        <w:t>仪陇县复兴镇红旗页岩砖厂厂区分为原料区、制坯车间、成品堆放区和办公生活区。原料堆房紧邻制砖车间；制砖车间位于厂区西部；生活区位于厂区的南部。采场矿山距离生产车间较近，位于本公司东南面，且开采区布置在整个矿区的北面，</w:t>
      </w:r>
      <w:r>
        <w:rPr>
          <w:rFonts w:hint="eastAsia" w:ascii="宋体"/>
          <w:snapToGrid w:val="0"/>
          <w:color w:val="auto"/>
          <w:kern w:val="0"/>
          <w:sz w:val="28"/>
          <w:szCs w:val="28"/>
          <w:lang w:val="en-US" w:eastAsia="zh-CN"/>
        </w:rPr>
        <w:t>其余工序按破碎—筛选―搅拌—陈化—切坯―码坯—干燥—焙烧工序依次设置，布局紧凑，工作方便。</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总体而言，总平面布置功能分区比较清晰，工艺流程较顺畅，物流短捷。详情如图2-2所示</w:t>
      </w:r>
    </w:p>
    <w:p>
      <w:pPr>
        <w:pStyle w:val="12"/>
        <w:spacing w:line="240" w:lineRule="auto"/>
        <w:ind w:left="0" w:leftChars="0" w:firstLine="0" w:firstLineChars="0"/>
        <w:jc w:val="both"/>
        <w:rPr>
          <w:rFonts w:hint="eastAsia" w:ascii="黑体" w:hAnsi="Courier New" w:eastAsia="黑体"/>
          <w:b/>
          <w:color w:val="auto"/>
          <w:sz w:val="24"/>
          <w:lang w:eastAsia="zh-CN"/>
        </w:rPr>
      </w:pPr>
      <w:r>
        <w:rPr>
          <w:sz w:val="24"/>
        </w:rPr>
        <mc:AlternateContent>
          <mc:Choice Requires="wps">
            <w:drawing>
              <wp:anchor distT="0" distB="0" distL="114300" distR="114300" simplePos="0" relativeHeight="251682816" behindDoc="0" locked="0" layoutInCell="1" allowOverlap="1">
                <wp:simplePos x="0" y="0"/>
                <wp:positionH relativeFrom="column">
                  <wp:posOffset>5178425</wp:posOffset>
                </wp:positionH>
                <wp:positionV relativeFrom="paragraph">
                  <wp:posOffset>57150</wp:posOffset>
                </wp:positionV>
                <wp:extent cx="443865" cy="351790"/>
                <wp:effectExtent l="24765" t="5080" r="34290" b="8890"/>
                <wp:wrapNone/>
                <wp:docPr id="42" name="上箭头 42"/>
                <wp:cNvGraphicFramePr/>
                <a:graphic xmlns:a="http://schemas.openxmlformats.org/drawingml/2006/main">
                  <a:graphicData uri="http://schemas.microsoft.com/office/word/2010/wordprocessingShape">
                    <wps:wsp>
                      <wps:cNvSpPr/>
                      <wps:spPr>
                        <a:xfrm>
                          <a:off x="0" y="0"/>
                          <a:ext cx="443865" cy="351790"/>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北</w:t>
                            </w:r>
                          </w:p>
                        </w:txbxContent>
                      </wps:txbx>
                      <wps:bodyPr upright="1"/>
                    </wps:wsp>
                  </a:graphicData>
                </a:graphic>
              </wp:anchor>
            </w:drawing>
          </mc:Choice>
          <mc:Fallback>
            <w:pict>
              <v:shape id="_x0000_s1026" o:spid="_x0000_s1026" o:spt="68" type="#_x0000_t68" style="position:absolute;left:0pt;margin-left:407.75pt;margin-top:4.5pt;height:27.7pt;width:34.95pt;z-index:251682816;mso-width-relative:page;mso-height-relative:page;" fillcolor="#FFFFFF" filled="t" stroked="t" coordsize="21600,21600" o:gfxdata="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Kn411wAAAAgBAAAPAAAAAAAAAAEA&#10;IAAAACIAAABkcnMvZG93bnJldi54bWxQSwECFAAUAAAACACHTuJA5Ht9cBACAAAzBAAADgAAAAAA&#10;AAABACAAAAAmAQAAZHJzL2Uyb0RvYy54bWxQSwUGAAAAAAYABgBZAQAAqAUAAAAA&#10;" adj="5400,5400">
                <v:fill on="t" focussize="0,0"/>
                <v:stroke color="#000000" joinstyle="miter"/>
                <v:imagedata o:title=""/>
                <o:lock v:ext="edit" aspectratio="f"/>
                <v:textbox>
                  <w:txbxContent>
                    <w:p>
                      <w:pPr>
                        <w:rPr>
                          <w:rFonts w:hint="eastAsia" w:eastAsia="宋体"/>
                          <w:lang w:eastAsia="zh-CN"/>
                        </w:rPr>
                      </w:pPr>
                      <w:r>
                        <w:rPr>
                          <w:rFonts w:hint="eastAsia"/>
                          <w:lang w:eastAsia="zh-CN"/>
                        </w:rPr>
                        <w:t>北</w:t>
                      </w:r>
                    </w:p>
                  </w:txbxContent>
                </v:textbox>
              </v:shape>
            </w:pict>
          </mc:Fallback>
        </mc:AlternateContent>
      </w:r>
      <w:r>
        <w:rPr>
          <w:rFonts w:hint="eastAsia" w:ascii="黑体" w:hAnsi="Courier New" w:eastAsia="黑体"/>
          <w:b/>
          <w:color w:val="auto"/>
          <w:sz w:val="24"/>
          <w:lang w:eastAsia="zh-CN"/>
        </w:rPr>
        <w:drawing>
          <wp:inline distT="0" distB="0" distL="114300" distR="114300">
            <wp:extent cx="6012180" cy="3599180"/>
            <wp:effectExtent l="0" t="0" r="7620" b="12700"/>
            <wp:docPr id="44" name="图片 2" descr="新文档 2019-05-23 15.07.4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新文档 2019-05-23 15.07.46_1"/>
                    <pic:cNvPicPr>
                      <a:picLocks noChangeAspect="1"/>
                    </pic:cNvPicPr>
                  </pic:nvPicPr>
                  <pic:blipFill>
                    <a:blip r:embed="rId7"/>
                    <a:srcRect l="7295" t="1178" r="9816" b="15530"/>
                    <a:stretch>
                      <a:fillRect/>
                    </a:stretch>
                  </pic:blipFill>
                  <pic:spPr>
                    <a:xfrm>
                      <a:off x="0" y="0"/>
                      <a:ext cx="6012180" cy="3599180"/>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lang w:eastAsia="zh-CN"/>
        </w:rPr>
        <w:t>图</w:t>
      </w:r>
      <w:r>
        <w:rPr>
          <w:rFonts w:hint="eastAsia" w:ascii="黑体" w:hAnsi="Courier New" w:eastAsia="黑体"/>
          <w:b/>
          <w:color w:val="auto"/>
          <w:sz w:val="24"/>
          <w:lang w:val="en-US" w:eastAsia="zh-CN"/>
        </w:rPr>
        <w:t>2-2  总平面布局示意图</w:t>
      </w:r>
    </w:p>
    <w:p>
      <w:pPr>
        <w:pStyle w:val="5"/>
        <w:spacing w:before="0" w:after="0" w:line="360" w:lineRule="auto"/>
        <w:rPr>
          <w:rFonts w:hint="eastAsia" w:ascii="宋体" w:hAnsi="宋体" w:eastAsia="宋体" w:cs="宋体"/>
          <w:color w:val="auto"/>
          <w:sz w:val="28"/>
          <w:szCs w:val="28"/>
          <w:lang w:val="zh-CN"/>
        </w:rPr>
      </w:pPr>
      <w:bookmarkStart w:id="42" w:name="_Toc5839"/>
      <w:bookmarkStart w:id="43" w:name="_Toc2514"/>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周边环境</w:t>
      </w:r>
      <w:bookmarkEnd w:id="42"/>
      <w:bookmarkEnd w:id="43"/>
    </w:p>
    <w:p>
      <w:pPr>
        <w:spacing w:line="360" w:lineRule="auto"/>
        <w:ind w:firstLine="560" w:firstLineChars="200"/>
        <w:rPr>
          <w:rFonts w:hint="default" w:ascii="宋体"/>
          <w:snapToGrid w:val="0"/>
          <w:color w:val="FF0000"/>
          <w:kern w:val="0"/>
          <w:sz w:val="28"/>
          <w:szCs w:val="28"/>
          <w:lang w:val="en-US" w:eastAsia="zh-CN"/>
        </w:rPr>
      </w:pPr>
      <w:r>
        <w:rPr>
          <w:rFonts w:hint="eastAsia" w:ascii="宋体"/>
          <w:snapToGrid w:val="0"/>
          <w:color w:val="FF0000"/>
          <w:kern w:val="0"/>
          <w:sz w:val="28"/>
          <w:szCs w:val="28"/>
          <w:lang w:val="zh-CN" w:eastAsia="zh-CN"/>
        </w:rPr>
        <w:t>仪陇县复兴镇红旗页岩砖厂</w:t>
      </w:r>
      <w:r>
        <w:rPr>
          <w:rFonts w:hint="eastAsia" w:ascii="宋体" w:hAnsi="宋体" w:cs="宋体"/>
          <w:color w:val="auto"/>
          <w:sz w:val="28"/>
          <w:szCs w:val="28"/>
          <w:lang w:val="en-US" w:eastAsia="zh-CN"/>
        </w:rPr>
        <w:t>位于</w:t>
      </w:r>
      <w:r>
        <w:rPr>
          <w:rFonts w:hint="eastAsia" w:ascii="宋体" w:hAnsi="宋体" w:cs="宋体"/>
          <w:color w:val="auto"/>
          <w:sz w:val="28"/>
          <w:szCs w:val="28"/>
          <w:lang w:val="zh-CN" w:eastAsia="zh-CN"/>
        </w:rPr>
        <w:t>仪陇县复兴镇红旗村六社</w:t>
      </w:r>
      <w:r>
        <w:rPr>
          <w:rFonts w:hint="eastAsia" w:ascii="宋体" w:hAnsi="宋体" w:cs="宋体"/>
          <w:color w:val="auto"/>
          <w:sz w:val="28"/>
          <w:szCs w:val="28"/>
          <w:lang w:val="en-US" w:eastAsia="zh-CN"/>
        </w:rPr>
        <w:t>。地处农村环境，外环境简单。生产区主要为耕地、农户。厂区大门位于东面，东面紧邻进厂道路，道路两侧为农田；厂区北面和西面为农田；东南面为厂区的矿山页岩开采区；开采区以东为丘陵。厂区周围200m范围无环境保护目标。</w:t>
      </w:r>
    </w:p>
    <w:p>
      <w:pPr>
        <w:spacing w:line="360" w:lineRule="auto"/>
        <w:ind w:firstLine="560" w:firstLineChars="200"/>
        <w:rPr>
          <w:rFonts w:hint="eastAsia" w:ascii="宋体"/>
          <w:snapToGrid w:val="0"/>
          <w:color w:val="FF0000"/>
          <w:kern w:val="0"/>
          <w:sz w:val="28"/>
          <w:szCs w:val="28"/>
          <w:lang w:val="en-US" w:eastAsia="zh-CN"/>
        </w:rPr>
      </w:pPr>
      <w:r>
        <w:rPr>
          <w:rFonts w:hint="eastAsia" w:ascii="宋体"/>
          <w:snapToGrid w:val="0"/>
          <w:color w:val="FF0000"/>
          <w:kern w:val="0"/>
          <w:sz w:val="28"/>
          <w:szCs w:val="28"/>
          <w:lang w:val="zh-CN" w:eastAsia="zh-CN"/>
        </w:rPr>
        <w:t>矿山开采登记范围不存在矿权重叠与边界纠纷问题，采场朝向坐南朝北，南面靠山（丘陵），矿山北面为矿山作业广场，西、东面基本属坡地，夹杂部分耕地。除潆马路（直距采场底界约170米）从矿区范围外北面经过，矿区四周300m安全警戒范围内，无其它矿山（包括闭坑矿山）、尾矿库、铁路、河流、居民区、风景区、重要工农业设施、名胜古迹以及其他需要保护的对象。矿区周边环境良好，无相互制约因素。</w:t>
      </w:r>
    </w:p>
    <w:p>
      <w:pPr>
        <w:spacing w:line="360" w:lineRule="auto"/>
        <w:rPr>
          <w:rFonts w:hint="eastAsia" w:ascii="宋体"/>
          <w:snapToGrid w:val="0"/>
          <w:color w:val="auto"/>
          <w:kern w:val="0"/>
          <w:sz w:val="28"/>
          <w:szCs w:val="28"/>
          <w:lang w:val="zh-CN" w:eastAsia="zh-CN"/>
        </w:rPr>
      </w:pPr>
      <w:r>
        <w:drawing>
          <wp:inline distT="0" distB="0" distL="114300" distR="114300">
            <wp:extent cx="5972810" cy="3712210"/>
            <wp:effectExtent l="0" t="0" r="1270" b="635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8"/>
                    <a:stretch>
                      <a:fillRect/>
                    </a:stretch>
                  </pic:blipFill>
                  <pic:spPr>
                    <a:xfrm>
                      <a:off x="0" y="0"/>
                      <a:ext cx="5972810" cy="3712210"/>
                    </a:xfrm>
                    <a:prstGeom prst="rect">
                      <a:avLst/>
                    </a:prstGeom>
                    <a:noFill/>
                    <a:ln>
                      <a:noFill/>
                    </a:ln>
                  </pic:spPr>
                </pic:pic>
              </a:graphicData>
            </a:graphic>
          </wp:inline>
        </w:drawing>
      </w: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图2-</w:t>
      </w:r>
      <w:r>
        <w:rPr>
          <w:rFonts w:hint="eastAsia" w:ascii="黑体" w:hAnsi="黑体" w:eastAsia="黑体"/>
          <w:b/>
          <w:snapToGrid w:val="0"/>
          <w:color w:val="auto"/>
          <w:kern w:val="0"/>
          <w:sz w:val="24"/>
          <w:lang w:val="en-US" w:eastAsia="zh-CN"/>
        </w:rPr>
        <w:t>3</w:t>
      </w:r>
      <w:r>
        <w:rPr>
          <w:rFonts w:hint="eastAsia" w:ascii="黑体" w:hAnsi="黑体" w:eastAsia="黑体"/>
          <w:b/>
          <w:snapToGrid w:val="0"/>
          <w:color w:val="auto"/>
          <w:kern w:val="0"/>
          <w:sz w:val="24"/>
          <w:lang w:eastAsia="zh-CN"/>
        </w:rPr>
        <w:t xml:space="preserve">  周边环境示意图</w:t>
      </w:r>
    </w:p>
    <w:p>
      <w:pPr>
        <w:pStyle w:val="5"/>
        <w:spacing w:before="0" w:after="0" w:line="360" w:lineRule="auto"/>
        <w:rPr>
          <w:rFonts w:hint="eastAsia" w:ascii="宋体" w:hAnsi="宋体" w:eastAsia="宋体" w:cs="宋体"/>
          <w:color w:val="auto"/>
          <w:sz w:val="28"/>
          <w:szCs w:val="28"/>
          <w:lang w:val="zh-CN"/>
        </w:rPr>
      </w:pPr>
      <w:bookmarkStart w:id="44" w:name="_Toc23210"/>
      <w:bookmarkStart w:id="45" w:name="_Toc14799"/>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CN"/>
        </w:rPr>
        <w:t>工艺流程</w:t>
      </w:r>
      <w:bookmarkEnd w:id="44"/>
      <w:bookmarkEnd w:id="45"/>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1、生产工艺流程图</w:t>
      </w:r>
    </w:p>
    <w:p>
      <w:pPr>
        <w:spacing w:line="360" w:lineRule="auto"/>
        <w:ind w:firstLine="560" w:firstLineChars="200"/>
        <w:rPr>
          <w:rFonts w:hint="eastAsia" w:ascii="宋体"/>
          <w:snapToGrid w:val="0"/>
          <w:kern w:val="0"/>
          <w:sz w:val="28"/>
          <w:szCs w:val="28"/>
          <w:lang w:val="zh-CN" w:eastAsia="zh-CN"/>
        </w:rPr>
      </w:pPr>
      <w:r>
        <w:rPr>
          <w:rFonts w:hint="eastAsia" w:ascii="宋体"/>
          <w:snapToGrid w:val="0"/>
          <w:kern w:val="0"/>
          <w:sz w:val="28"/>
          <w:szCs w:val="28"/>
          <w:lang w:val="zh-CN" w:eastAsia="zh-CN"/>
        </w:rPr>
        <w:t>标砖生产主要包括采矿、破碎、筛分、搅拌、制胚、进胚、烧窑、装车8大工序，各工序按照工艺流程布置在各自区域内。公司隧道窑采用环保节能式的隧道窑，首次烧结采用精煤助燃，顺利开窑后可利用标砖中含有的煤自燃热量进行烧结，待自然冷却后装车装车外售。生产工艺流程如图：</w:t>
      </w:r>
    </w:p>
    <w:p>
      <w:pPr>
        <w:pStyle w:val="2"/>
        <w:rPr>
          <w:rFonts w:hint="eastAsia" w:ascii="宋体"/>
          <w:snapToGrid w:val="0"/>
          <w:kern w:val="0"/>
          <w:sz w:val="28"/>
          <w:szCs w:val="28"/>
          <w:lang w:val="zh-CN" w:eastAsia="zh-CN"/>
        </w:rPr>
      </w:pPr>
    </w:p>
    <w:p>
      <w:pPr>
        <w:spacing w:line="360" w:lineRule="auto"/>
        <w:ind w:firstLine="560" w:firstLineChars="200"/>
        <w:rPr>
          <w:rFonts w:hint="eastAsia" w:ascii="宋体"/>
          <w:snapToGrid w:val="0"/>
          <w:color w:val="auto"/>
          <w:kern w:val="0"/>
          <w:sz w:val="28"/>
          <w:szCs w:val="28"/>
        </w:rPr>
      </w:pPr>
      <w:r>
        <w:rPr>
          <w:rFonts w:hint="eastAsia" w:ascii="宋体"/>
          <w:color w:val="auto"/>
          <w:kern w:val="0"/>
          <w:sz w:val="28"/>
          <w:szCs w:val="28"/>
        </w:rPr>
        <mc:AlternateContent>
          <mc:Choice Requires="wpg">
            <w:drawing>
              <wp:anchor distT="0" distB="0" distL="114300" distR="114300" simplePos="0" relativeHeight="251680768" behindDoc="0" locked="0" layoutInCell="1" allowOverlap="1">
                <wp:simplePos x="0" y="0"/>
                <wp:positionH relativeFrom="column">
                  <wp:posOffset>593090</wp:posOffset>
                </wp:positionH>
                <wp:positionV relativeFrom="paragraph">
                  <wp:posOffset>76200</wp:posOffset>
                </wp:positionV>
                <wp:extent cx="4490085" cy="2211070"/>
                <wp:effectExtent l="4445" t="5080" r="16510" b="8890"/>
                <wp:wrapNone/>
                <wp:docPr id="76" name="组合 76"/>
                <wp:cNvGraphicFramePr/>
                <a:graphic xmlns:a="http://schemas.openxmlformats.org/drawingml/2006/main">
                  <a:graphicData uri="http://schemas.microsoft.com/office/word/2010/wordprocessingGroup">
                    <wpg:wgp>
                      <wpg:cNvGrpSpPr/>
                      <wpg:grpSpPr>
                        <a:xfrm>
                          <a:off x="0" y="0"/>
                          <a:ext cx="4490085" cy="2211070"/>
                          <a:chOff x="2310" y="7530"/>
                          <a:chExt cx="7665" cy="4815"/>
                        </a:xfrm>
                      </wpg:grpSpPr>
                      <wps:wsp>
                        <wps:cNvPr id="45" name="矩形 45"/>
                        <wps:cNvSpPr/>
                        <wps:spPr>
                          <a:xfrm>
                            <a:off x="231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煤矸石、页岩</w:t>
                              </w:r>
                            </w:p>
                          </w:txbxContent>
                        </wps:txbx>
                        <wps:bodyPr upright="1"/>
                      </wps:wsp>
                      <wps:wsp>
                        <wps:cNvPr id="46" name="直接箭头连接符 46"/>
                        <wps:cNvCnPr/>
                        <wps:spPr>
                          <a:xfrm>
                            <a:off x="3930" y="7860"/>
                            <a:ext cx="390" cy="0"/>
                          </a:xfrm>
                          <a:prstGeom prst="straightConnector1">
                            <a:avLst/>
                          </a:prstGeom>
                          <a:ln w="9525" cap="flat" cmpd="sng">
                            <a:solidFill>
                              <a:srgbClr val="000000"/>
                            </a:solidFill>
                            <a:prstDash val="solid"/>
                            <a:headEnd type="none" w="med" len="med"/>
                            <a:tailEnd type="triangle" w="med" len="med"/>
                          </a:ln>
                        </wps:spPr>
                        <wps:bodyPr/>
                      </wps:wsp>
                      <wps:wsp>
                        <wps:cNvPr id="47" name="矩形 47"/>
                        <wps:cNvSpPr/>
                        <wps:spPr>
                          <a:xfrm>
                            <a:off x="432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板式给料机</w:t>
                              </w:r>
                            </w:p>
                          </w:txbxContent>
                        </wps:txbx>
                        <wps:bodyPr upright="1"/>
                      </wps:wsp>
                      <wps:wsp>
                        <wps:cNvPr id="48" name="直接箭头连接符 48"/>
                        <wps:cNvCnPr/>
                        <wps:spPr>
                          <a:xfrm>
                            <a:off x="3060" y="9525"/>
                            <a:ext cx="0" cy="825"/>
                          </a:xfrm>
                          <a:prstGeom prst="straightConnector1">
                            <a:avLst/>
                          </a:prstGeom>
                          <a:ln w="9525" cap="flat" cmpd="sng">
                            <a:solidFill>
                              <a:srgbClr val="000000"/>
                            </a:solidFill>
                            <a:prstDash val="solid"/>
                            <a:headEnd type="none" w="med" len="med"/>
                            <a:tailEnd type="triangle" w="med" len="med"/>
                          </a:ln>
                        </wps:spPr>
                        <wps:bodyPr/>
                      </wps:wsp>
                      <wps:wsp>
                        <wps:cNvPr id="49" name="直接箭头连接符 49"/>
                        <wps:cNvCnPr/>
                        <wps:spPr>
                          <a:xfrm>
                            <a:off x="5940" y="7845"/>
                            <a:ext cx="390" cy="0"/>
                          </a:xfrm>
                          <a:prstGeom prst="straightConnector1">
                            <a:avLst/>
                          </a:prstGeom>
                          <a:ln w="9525" cap="flat" cmpd="sng">
                            <a:solidFill>
                              <a:srgbClr val="000000"/>
                            </a:solidFill>
                            <a:prstDash val="solid"/>
                            <a:headEnd type="none" w="med" len="med"/>
                            <a:tailEnd type="triangle" w="med" len="med"/>
                          </a:ln>
                        </wps:spPr>
                        <wps:bodyPr/>
                      </wps:wsp>
                      <wps:wsp>
                        <wps:cNvPr id="50" name="矩形 50"/>
                        <wps:cNvSpPr/>
                        <wps:spPr>
                          <a:xfrm>
                            <a:off x="633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鄂破机</w:t>
                              </w:r>
                            </w:p>
                          </w:txbxContent>
                        </wps:txbx>
                        <wps:bodyPr upright="1"/>
                      </wps:wsp>
                      <wps:wsp>
                        <wps:cNvPr id="51" name="直接箭头连接符 51"/>
                        <wps:cNvCnPr/>
                        <wps:spPr>
                          <a:xfrm>
                            <a:off x="7950" y="7845"/>
                            <a:ext cx="390" cy="0"/>
                          </a:xfrm>
                          <a:prstGeom prst="straightConnector1">
                            <a:avLst/>
                          </a:prstGeom>
                          <a:ln w="9525" cap="flat" cmpd="sng">
                            <a:solidFill>
                              <a:srgbClr val="000000"/>
                            </a:solidFill>
                            <a:prstDash val="solid"/>
                            <a:headEnd type="none" w="med" len="med"/>
                            <a:tailEnd type="triangle" w="med" len="med"/>
                          </a:ln>
                        </wps:spPr>
                        <wps:bodyPr/>
                      </wps:wsp>
                      <wps:wsp>
                        <wps:cNvPr id="52" name="矩形 52"/>
                        <wps:cNvSpPr/>
                        <wps:spPr>
                          <a:xfrm>
                            <a:off x="834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细破机</w:t>
                              </w:r>
                            </w:p>
                          </w:txbxContent>
                        </wps:txbx>
                        <wps:bodyPr upright="1"/>
                      </wps:wsp>
                      <wps:wsp>
                        <wps:cNvPr id="53" name="矩形 53"/>
                        <wps:cNvSpPr/>
                        <wps:spPr>
                          <a:xfrm>
                            <a:off x="834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双轴搅拌机</w:t>
                              </w:r>
                            </w:p>
                          </w:txbxContent>
                        </wps:txbx>
                        <wps:bodyPr upright="1"/>
                      </wps:wsp>
                      <wps:wsp>
                        <wps:cNvPr id="54" name="矩形 54"/>
                        <wps:cNvSpPr/>
                        <wps:spPr>
                          <a:xfrm>
                            <a:off x="633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液压多斗挖掘</w:t>
                              </w:r>
                            </w:p>
                          </w:txbxContent>
                        </wps:txbx>
                        <wps:bodyPr upright="1"/>
                      </wps:wsp>
                      <wps:wsp>
                        <wps:cNvPr id="55" name="矩形 55"/>
                        <wps:cNvSpPr/>
                        <wps:spPr>
                          <a:xfrm>
                            <a:off x="432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箱式给料机</w:t>
                              </w:r>
                            </w:p>
                          </w:txbxContent>
                        </wps:txbx>
                        <wps:bodyPr upright="1"/>
                      </wps:wsp>
                      <wps:wsp>
                        <wps:cNvPr id="56" name="矩形 56"/>
                        <wps:cNvSpPr/>
                        <wps:spPr>
                          <a:xfrm>
                            <a:off x="231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挤泥机</w:t>
                              </w:r>
                            </w:p>
                          </w:txbxContent>
                        </wps:txbx>
                        <wps:bodyPr upright="1"/>
                      </wps:wsp>
                      <wps:wsp>
                        <wps:cNvPr id="57" name="直接箭头连接符 57"/>
                        <wps:cNvCnPr/>
                        <wps:spPr>
                          <a:xfrm flipH="1">
                            <a:off x="7935" y="9240"/>
                            <a:ext cx="405" cy="0"/>
                          </a:xfrm>
                          <a:prstGeom prst="straightConnector1">
                            <a:avLst/>
                          </a:prstGeom>
                          <a:ln w="9525" cap="flat" cmpd="sng">
                            <a:solidFill>
                              <a:srgbClr val="000000"/>
                            </a:solidFill>
                            <a:prstDash val="solid"/>
                            <a:headEnd type="none" w="med" len="med"/>
                            <a:tailEnd type="triangle" w="med" len="med"/>
                          </a:ln>
                        </wps:spPr>
                        <wps:bodyPr/>
                      </wps:wsp>
                      <wps:wsp>
                        <wps:cNvPr id="58" name="直接箭头连接符 58"/>
                        <wps:cNvCnPr/>
                        <wps:spPr>
                          <a:xfrm flipH="1">
                            <a:off x="5940" y="9240"/>
                            <a:ext cx="405" cy="0"/>
                          </a:xfrm>
                          <a:prstGeom prst="straightConnector1">
                            <a:avLst/>
                          </a:prstGeom>
                          <a:ln w="9525" cap="flat" cmpd="sng">
                            <a:solidFill>
                              <a:srgbClr val="000000"/>
                            </a:solidFill>
                            <a:prstDash val="solid"/>
                            <a:headEnd type="none" w="med" len="med"/>
                            <a:tailEnd type="triangle" w="med" len="med"/>
                          </a:ln>
                        </wps:spPr>
                        <wps:bodyPr/>
                      </wps:wsp>
                      <wps:wsp>
                        <wps:cNvPr id="59" name="直接箭头连接符 59"/>
                        <wps:cNvCnPr/>
                        <wps:spPr>
                          <a:xfrm flipH="1">
                            <a:off x="3915" y="9240"/>
                            <a:ext cx="405" cy="0"/>
                          </a:xfrm>
                          <a:prstGeom prst="straightConnector1">
                            <a:avLst/>
                          </a:prstGeom>
                          <a:ln w="9525" cap="flat" cmpd="sng">
                            <a:solidFill>
                              <a:srgbClr val="000000"/>
                            </a:solidFill>
                            <a:prstDash val="solid"/>
                            <a:headEnd type="none" w="med" len="med"/>
                            <a:tailEnd type="triangle" w="med" len="med"/>
                          </a:ln>
                        </wps:spPr>
                        <wps:bodyPr/>
                      </wps:wsp>
                      <wps:wsp>
                        <wps:cNvPr id="60" name="矩形 60"/>
                        <wps:cNvSpPr/>
                        <wps:spPr>
                          <a:xfrm>
                            <a:off x="231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切条、切坏机</w:t>
                              </w:r>
                            </w:p>
                          </w:txbxContent>
                        </wps:txbx>
                        <wps:bodyPr upright="1"/>
                      </wps:wsp>
                      <wps:wsp>
                        <wps:cNvPr id="61" name="直接箭头连接符 61"/>
                        <wps:cNvCnPr/>
                        <wps:spPr>
                          <a:xfrm>
                            <a:off x="3930" y="10680"/>
                            <a:ext cx="390" cy="0"/>
                          </a:xfrm>
                          <a:prstGeom prst="straightConnector1">
                            <a:avLst/>
                          </a:prstGeom>
                          <a:ln w="9525" cap="flat" cmpd="sng">
                            <a:solidFill>
                              <a:srgbClr val="000000"/>
                            </a:solidFill>
                            <a:prstDash val="solid"/>
                            <a:headEnd type="none" w="med" len="med"/>
                            <a:tailEnd type="triangle" w="med" len="med"/>
                          </a:ln>
                        </wps:spPr>
                        <wps:bodyPr/>
                      </wps:wsp>
                      <wps:wsp>
                        <wps:cNvPr id="62" name="矩形 62"/>
                        <wps:cNvSpPr/>
                        <wps:spPr>
                          <a:xfrm>
                            <a:off x="432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自动编码</w:t>
                              </w:r>
                            </w:p>
                          </w:txbxContent>
                        </wps:txbx>
                        <wps:bodyPr upright="1"/>
                      </wps:wsp>
                      <wps:wsp>
                        <wps:cNvPr id="63" name="直接箭头连接符 63"/>
                        <wps:cNvCnPr/>
                        <wps:spPr>
                          <a:xfrm>
                            <a:off x="9180" y="10935"/>
                            <a:ext cx="0" cy="825"/>
                          </a:xfrm>
                          <a:prstGeom prst="straightConnector1">
                            <a:avLst/>
                          </a:prstGeom>
                          <a:ln w="9525" cap="flat" cmpd="sng">
                            <a:solidFill>
                              <a:srgbClr val="000000"/>
                            </a:solidFill>
                            <a:prstDash val="solid"/>
                            <a:headEnd type="none" w="med" len="med"/>
                            <a:tailEnd type="triangle" w="med" len="med"/>
                          </a:ln>
                        </wps:spPr>
                        <wps:bodyPr/>
                      </wps:wsp>
                      <wps:wsp>
                        <wps:cNvPr id="64" name="直接箭头连接符 64"/>
                        <wps:cNvCnPr/>
                        <wps:spPr>
                          <a:xfrm>
                            <a:off x="5940" y="10665"/>
                            <a:ext cx="390" cy="0"/>
                          </a:xfrm>
                          <a:prstGeom prst="straightConnector1">
                            <a:avLst/>
                          </a:prstGeom>
                          <a:ln w="9525" cap="flat" cmpd="sng">
                            <a:solidFill>
                              <a:srgbClr val="000000"/>
                            </a:solidFill>
                            <a:prstDash val="solid"/>
                            <a:headEnd type="none" w="med" len="med"/>
                            <a:tailEnd type="triangle" w="med" len="med"/>
                          </a:ln>
                        </wps:spPr>
                        <wps:bodyPr/>
                      </wps:wsp>
                      <wps:wsp>
                        <wps:cNvPr id="65" name="矩形 65"/>
                        <wps:cNvSpPr/>
                        <wps:spPr>
                          <a:xfrm>
                            <a:off x="633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自动码坯机</w:t>
                              </w:r>
                            </w:p>
                          </w:txbxContent>
                        </wps:txbx>
                        <wps:bodyPr upright="1"/>
                      </wps:wsp>
                      <wps:wsp>
                        <wps:cNvPr id="66" name="直接箭头连接符 66"/>
                        <wps:cNvCnPr/>
                        <wps:spPr>
                          <a:xfrm>
                            <a:off x="7950" y="10665"/>
                            <a:ext cx="390" cy="0"/>
                          </a:xfrm>
                          <a:prstGeom prst="straightConnector1">
                            <a:avLst/>
                          </a:prstGeom>
                          <a:ln w="9525" cap="flat" cmpd="sng">
                            <a:solidFill>
                              <a:srgbClr val="000000"/>
                            </a:solidFill>
                            <a:prstDash val="solid"/>
                            <a:headEnd type="none" w="med" len="med"/>
                            <a:tailEnd type="triangle" w="med" len="med"/>
                          </a:ln>
                        </wps:spPr>
                        <wps:bodyPr/>
                      </wps:wsp>
                      <wps:wsp>
                        <wps:cNvPr id="67" name="矩形 67"/>
                        <wps:cNvSpPr/>
                        <wps:spPr>
                          <a:xfrm>
                            <a:off x="834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窑车</w:t>
                              </w:r>
                            </w:p>
                          </w:txbxContent>
                        </wps:txbx>
                        <wps:bodyPr upright="1"/>
                      </wps:wsp>
                      <wps:wsp>
                        <wps:cNvPr id="68" name="直接箭头连接符 68"/>
                        <wps:cNvCnPr/>
                        <wps:spPr>
                          <a:xfrm>
                            <a:off x="9180" y="8115"/>
                            <a:ext cx="0" cy="825"/>
                          </a:xfrm>
                          <a:prstGeom prst="straightConnector1">
                            <a:avLst/>
                          </a:prstGeom>
                          <a:ln w="9525" cap="flat" cmpd="sng">
                            <a:solidFill>
                              <a:srgbClr val="000000"/>
                            </a:solidFill>
                            <a:prstDash val="solid"/>
                            <a:headEnd type="none" w="med" len="med"/>
                            <a:tailEnd type="triangle" w="med" len="med"/>
                          </a:ln>
                        </wps:spPr>
                        <wps:bodyPr/>
                      </wps:wsp>
                      <wps:wsp>
                        <wps:cNvPr id="69" name="矩形 69"/>
                        <wps:cNvSpPr/>
                        <wps:spPr>
                          <a:xfrm>
                            <a:off x="835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存坯线</w:t>
                              </w:r>
                            </w:p>
                          </w:txbxContent>
                        </wps:txbx>
                        <wps:bodyPr upright="1"/>
                      </wps:wsp>
                      <wps:wsp>
                        <wps:cNvPr id="70" name="矩形 70"/>
                        <wps:cNvSpPr/>
                        <wps:spPr>
                          <a:xfrm>
                            <a:off x="634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干燥窑</w:t>
                              </w:r>
                            </w:p>
                          </w:txbxContent>
                        </wps:txbx>
                        <wps:bodyPr upright="1"/>
                      </wps:wsp>
                      <wps:wsp>
                        <wps:cNvPr id="71" name="矩形 71"/>
                        <wps:cNvSpPr/>
                        <wps:spPr>
                          <a:xfrm>
                            <a:off x="433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焙烧窑</w:t>
                              </w:r>
                            </w:p>
                          </w:txbxContent>
                        </wps:txbx>
                        <wps:bodyPr upright="1"/>
                      </wps:wsp>
                      <wps:wsp>
                        <wps:cNvPr id="72" name="矩形 72"/>
                        <wps:cNvSpPr/>
                        <wps:spPr>
                          <a:xfrm>
                            <a:off x="232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成品装车</w:t>
                              </w:r>
                            </w:p>
                          </w:txbxContent>
                        </wps:txbx>
                        <wps:bodyPr upright="1"/>
                      </wps:wsp>
                      <wps:wsp>
                        <wps:cNvPr id="73" name="直接箭头连接符 73"/>
                        <wps:cNvCnPr/>
                        <wps:spPr>
                          <a:xfrm flipH="1">
                            <a:off x="7950" y="12060"/>
                            <a:ext cx="405" cy="0"/>
                          </a:xfrm>
                          <a:prstGeom prst="straightConnector1">
                            <a:avLst/>
                          </a:prstGeom>
                          <a:ln w="9525" cap="flat" cmpd="sng">
                            <a:solidFill>
                              <a:srgbClr val="000000"/>
                            </a:solidFill>
                            <a:prstDash val="solid"/>
                            <a:headEnd type="none" w="med" len="med"/>
                            <a:tailEnd type="triangle" w="med" len="med"/>
                          </a:ln>
                        </wps:spPr>
                        <wps:bodyPr/>
                      </wps:wsp>
                      <wps:wsp>
                        <wps:cNvPr id="74" name="直接箭头连接符 74"/>
                        <wps:cNvCnPr/>
                        <wps:spPr>
                          <a:xfrm flipH="1">
                            <a:off x="5955" y="12060"/>
                            <a:ext cx="405" cy="0"/>
                          </a:xfrm>
                          <a:prstGeom prst="straightConnector1">
                            <a:avLst/>
                          </a:prstGeom>
                          <a:ln w="9525" cap="flat" cmpd="sng">
                            <a:solidFill>
                              <a:srgbClr val="000000"/>
                            </a:solidFill>
                            <a:prstDash val="solid"/>
                            <a:headEnd type="none" w="med" len="med"/>
                            <a:tailEnd type="triangle" w="med" len="med"/>
                          </a:ln>
                        </wps:spPr>
                        <wps:bodyPr/>
                      </wps:wsp>
                      <wps:wsp>
                        <wps:cNvPr id="75" name="直接箭头连接符 75"/>
                        <wps:cNvCnPr/>
                        <wps:spPr>
                          <a:xfrm flipH="1">
                            <a:off x="3930" y="12060"/>
                            <a:ext cx="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6.7pt;margin-top:6pt;height:174.1pt;width:353.55pt;z-index:251680768;mso-width-relative:page;mso-height-relative:page;" coordorigin="2310,7530" coordsize="7665,4815" o:gfxdata="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Fb/e0DZAAAACQEAAA8AAAAAAAAAAQAgAAAAIgAAAGRycy9kb3ducmV2LnhtbFBL&#10;AQIUABQAAAAIAIdO4kD28UzVvgUAAChHAAAOAAAAAAAAAAEAIAAAACgBAABkcnMvZTJvRG9jLnht&#10;bFBLBQYAAAAABgAGAFkBAABYCQAAAAA=&#10;">
                <o:lock v:ext="edit" aspectratio="f"/>
                <v:rect id="_x0000_s1026" o:spid="_x0000_s1026" o:spt="1" style="position:absolute;left:2310;top:7530;height:585;width:1620;"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煤矸石、页岩</w:t>
                        </w:r>
                      </w:p>
                    </w:txbxContent>
                  </v:textbox>
                </v:rect>
                <v:shape id="_x0000_s1026" o:spid="_x0000_s1026" o:spt="32" type="#_x0000_t32" style="position:absolute;left:3930;top:7860;height:0;width:39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4320;top:7530;height:585;width:1620;"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板式给料机</w:t>
                        </w:r>
                      </w:p>
                    </w:txbxContent>
                  </v:textbox>
                </v:rect>
                <v:shape id="_x0000_s1026" o:spid="_x0000_s1026" o:spt="32" type="#_x0000_t32" style="position:absolute;left:3060;top:9525;height:825;width:0;"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940;top:7845;height:0;width:39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330;top:7530;height:585;width:1620;"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鄂破机</w:t>
                        </w:r>
                      </w:p>
                    </w:txbxContent>
                  </v:textbox>
                </v:rect>
                <v:shape id="_x0000_s1026" o:spid="_x0000_s1026" o:spt="32" type="#_x0000_t32" style="position:absolute;left:7950;top:7845;height:0;width:390;"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40;top:7530;height:585;width:1620;" fillcolor="#FFFFFF" filled="t" stroked="t" coordsize="21600,21600" o:gfxdata="UEsDBAoAAAAAAIdO4kAAAAAAAAAAAAAAAAAEAAAAZHJzL1BLAwQUAAAACACHTuJAjGicvb0AAADb&#10;AAAADwAAAGRycy9kb3ducmV2LnhtbEWPwW7CMBBE75X4B2uReit2UhW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Jy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细破机</w:t>
                        </w:r>
                      </w:p>
                    </w:txbxContent>
                  </v:textbox>
                </v:rect>
                <v:rect id="_x0000_s1026" o:spid="_x0000_s1026" o:spt="1" style="position:absolute;left:8340;top:8940;height:585;width:1620;"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双轴搅拌机</w:t>
                        </w:r>
                      </w:p>
                    </w:txbxContent>
                  </v:textbox>
                </v:rect>
                <v:rect id="_x0000_s1026" o:spid="_x0000_s1026" o:spt="1" style="position:absolute;left:6330;top:8940;height:585;width:1620;"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液压多斗挖掘</w:t>
                        </w:r>
                      </w:p>
                    </w:txbxContent>
                  </v:textbox>
                </v:rect>
                <v:rect id="_x0000_s1026" o:spid="_x0000_s1026" o:spt="1" style="position:absolute;left:4320;top:8940;height:585;width:1620;"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箱式给料机</w:t>
                        </w:r>
                      </w:p>
                    </w:txbxContent>
                  </v:textbox>
                </v:rect>
                <v:rect id="_x0000_s1026" o:spid="_x0000_s1026" o:spt="1" style="position:absolute;left:2310;top:8940;height:585;width:1620;"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挤泥机</w:t>
                        </w:r>
                      </w:p>
                    </w:txbxContent>
                  </v:textbox>
                </v:rect>
                <v:shape id="_x0000_s1026" o:spid="_x0000_s1026" o:spt="32" type="#_x0000_t32" style="position:absolute;left:7935;top:9240;flip:x;height:0;width:405;" filled="f" stroked="t" coordsize="21600,21600" o:gfxdata="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p3g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40;top:9240;flip:x;height:0;width:405;" filled="f" stroked="t" coordsize="21600,21600" o:gfxdata="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J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3915;top:9240;flip:x;height:0;width:405;" filled="f" stroked="t" coordsize="21600,21600" o:gfxdata="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trA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2310;top:10350;height:585;width:162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r>
                          <w:rPr>
                            <w:rFonts w:hint="eastAsia"/>
                          </w:rPr>
                          <w:t>切条、切坏机</w:t>
                        </w:r>
                      </w:p>
                    </w:txbxContent>
                  </v:textbox>
                </v:rect>
                <v:shape id="_x0000_s1026" o:spid="_x0000_s1026" o:spt="32" type="#_x0000_t32" style="position:absolute;left:3930;top:10680;height:0;width:390;" filled="f" stroked="t" coordsize="21600,21600" o:gfxdata="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j8c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4320;top:10350;height:585;width:1620;" fillcolor="#FFFFFF"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自动编码</w:t>
                        </w:r>
                      </w:p>
                    </w:txbxContent>
                  </v:textbox>
                </v:rect>
                <v:shape id="_x0000_s1026" o:spid="_x0000_s1026" o:spt="32" type="#_x0000_t32" style="position:absolute;left:9180;top:10935;height:825;width:0;" filled="f" stroked="t" coordsize="21600,21600" o:gfxdata="UEsDBAoAAAAAAIdO4kAAAAAAAAAAAAAAAAAEAAAAZHJzL1BLAwQUAAAACACHTuJAt1gE8L8AAADb&#10;AAAADwAAAGRycy9kb3ducmV2LnhtbEWPzWrDMBCE74G8g9hAb4nsF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YBP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940;top:10665;height:0;width:390;"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6330;top:10350;height:585;width:1620;"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自动码坯机</w:t>
                        </w:r>
                      </w:p>
                    </w:txbxContent>
                  </v:textbox>
                </v:rect>
                <v:shape id="_x0000_s1026" o:spid="_x0000_s1026" o:spt="32" type="#_x0000_t32" style="position:absolute;left:7950;top:10665;height:0;width:390;"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40;top:10350;height:585;width:1620;"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窑车</w:t>
                        </w:r>
                      </w:p>
                    </w:txbxContent>
                  </v:textbox>
                </v:rect>
                <v:shape id="_x0000_s1026" o:spid="_x0000_s1026" o:spt="32" type="#_x0000_t32" style="position:absolute;left:9180;top:8115;height:825;width:0;" filled="f" stroked="t" coordsize="21600,21600" o:gfxdata="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JaB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rect id="_x0000_s1026" o:spid="_x0000_s1026" o:spt="1" style="position:absolute;left:8355;top:11760;height:585;width:1620;"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存坯线</w:t>
                        </w:r>
                      </w:p>
                    </w:txbxContent>
                  </v:textbox>
                </v:rect>
                <v:rect id="_x0000_s1026" o:spid="_x0000_s1026" o:spt="1" style="position:absolute;left:6345;top:11760;height:585;width:1620;"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干燥窑</w:t>
                        </w:r>
                      </w:p>
                    </w:txbxContent>
                  </v:textbox>
                </v:rect>
                <v:rect id="_x0000_s1026" o:spid="_x0000_s1026" o:spt="1" style="position:absolute;left:4335;top:11760;height:585;width:1620;" fillcolor="#FFFFFF" filled="t" stroked="t" coordsize="21600,21600" o:gfxdata="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16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焙烧窑</w:t>
                        </w:r>
                      </w:p>
                    </w:txbxContent>
                  </v:textbox>
                </v:rect>
                <v:rect id="_x0000_s1026" o:spid="_x0000_s1026" o:spt="1" style="position:absolute;left:2325;top:11760;height:585;width:1620;" fillcolor="#FFFFFF" filled="t" stroked="t" coordsize="21600,21600" o:gfxdata="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cD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成品装车</w:t>
                        </w:r>
                      </w:p>
                    </w:txbxContent>
                  </v:textbox>
                </v:rect>
                <v:shape id="_x0000_s1026" o:spid="_x0000_s1026" o:spt="32" type="#_x0000_t32" style="position:absolute;left:7950;top:12060;flip:x;height:0;width:405;" filled="f" stroked="t" coordsize="21600,21600" o:gfxdata="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DHg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55;top:12060;flip:x;height:0;width:405;" filled="f" stroked="t" coordsize="21600,21600" o:gfxdata="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lf9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930;top:12060;flip:x;height:0;width:405;" filled="f" stroked="t" coordsize="21600,21600" o:gfxdata="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Vfps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w:t>
      </w:r>
      <w:r>
        <w:rPr>
          <w:rFonts w:hint="eastAsia" w:ascii="黑体" w:hAnsi="黑体" w:eastAsia="黑体"/>
          <w:b/>
          <w:snapToGrid w:val="0"/>
          <w:color w:val="auto"/>
          <w:kern w:val="0"/>
          <w:sz w:val="24"/>
          <w:lang w:val="en-US" w:eastAsia="zh-CN"/>
        </w:rPr>
        <w:t>2</w:t>
      </w:r>
      <w:r>
        <w:rPr>
          <w:rFonts w:hint="eastAsia" w:ascii="黑体" w:hAnsi="黑体" w:eastAsia="黑体"/>
          <w:b/>
          <w:snapToGrid w:val="0"/>
          <w:color w:val="auto"/>
          <w:kern w:val="0"/>
          <w:sz w:val="24"/>
          <w:lang w:eastAsia="zh-CN"/>
        </w:rPr>
        <w:t>-</w:t>
      </w:r>
      <w:r>
        <w:rPr>
          <w:rFonts w:hint="eastAsia" w:ascii="黑体" w:hAnsi="黑体" w:eastAsia="黑体"/>
          <w:b/>
          <w:snapToGrid w:val="0"/>
          <w:color w:val="auto"/>
          <w:kern w:val="0"/>
          <w:sz w:val="24"/>
          <w:lang w:val="en-US" w:eastAsia="zh-CN"/>
        </w:rPr>
        <w:t>4</w:t>
      </w:r>
      <w:r>
        <w:rPr>
          <w:rFonts w:hint="eastAsia" w:ascii="黑体" w:hAnsi="黑体" w:eastAsia="黑体"/>
          <w:b/>
          <w:snapToGrid w:val="0"/>
          <w:color w:val="auto"/>
          <w:kern w:val="0"/>
          <w:sz w:val="24"/>
          <w:lang w:eastAsia="zh-CN"/>
        </w:rPr>
        <w:t xml:space="preserve"> 页岩砖生产工艺流程示意图</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2、原料制备</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制砖主要原料煤外购运到厂内，自卸到板式给料机中。经板式给料机定量装到胶带输送机上，运到颚式破碎机处进行粗破，通过刮板给料机、圆盘给料机均匀喂料，至锤式破碎机进行粉碎，粉碎后物料颗粒组成情况为：</w:t>
      </w:r>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39"/>
        <w:gridCol w:w="307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1～3mm</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0.5～1mm</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0.2～0.5mm</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&lt;3%</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30%</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33%</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&gt;34%</w:t>
            </w:r>
          </w:p>
        </w:tc>
      </w:tr>
    </w:tbl>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煤按配合比(</w:t>
      </w:r>
      <w:r>
        <w:rPr>
          <w:rFonts w:hint="eastAsia" w:ascii="宋体" w:hAnsi="宋体"/>
          <w:color w:val="auto"/>
          <w:sz w:val="28"/>
          <w:szCs w:val="28"/>
        </w:rPr>
        <w:t>页岩、煤矸石=7:3)</w:t>
      </w:r>
      <w:r>
        <w:rPr>
          <w:rFonts w:hint="eastAsia" w:ascii="宋体"/>
          <w:snapToGrid w:val="0"/>
          <w:color w:val="auto"/>
          <w:kern w:val="0"/>
          <w:sz w:val="28"/>
          <w:szCs w:val="28"/>
        </w:rPr>
        <w:t>要求经箱式给料机定量给料到胶带输送机上，</w:t>
      </w:r>
      <w:r>
        <w:rPr>
          <w:rFonts w:hint="eastAsia" w:ascii="宋体" w:hAnsi="宋体"/>
          <w:color w:val="auto"/>
          <w:sz w:val="28"/>
          <w:szCs w:val="28"/>
        </w:rPr>
        <w:t>页岩</w:t>
      </w:r>
      <w:r>
        <w:rPr>
          <w:rFonts w:hint="eastAsia" w:ascii="宋体"/>
          <w:snapToGrid w:val="0"/>
          <w:color w:val="auto"/>
          <w:kern w:val="0"/>
          <w:sz w:val="28"/>
          <w:szCs w:val="28"/>
        </w:rPr>
        <w:t>共同进行粗碎、细碎处理。粉碎后的</w:t>
      </w:r>
      <w:r>
        <w:rPr>
          <w:rFonts w:hint="eastAsia" w:ascii="宋体" w:hAnsi="宋体"/>
          <w:color w:val="auto"/>
          <w:sz w:val="28"/>
          <w:szCs w:val="28"/>
        </w:rPr>
        <w:t>页岩</w:t>
      </w:r>
      <w:r>
        <w:rPr>
          <w:rFonts w:hint="eastAsia" w:ascii="宋体"/>
          <w:snapToGrid w:val="0"/>
          <w:color w:val="auto"/>
          <w:kern w:val="0"/>
          <w:sz w:val="28"/>
          <w:szCs w:val="28"/>
        </w:rPr>
        <w:t>、煤粉经强力搅拌机加水搅拌混合。</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3、原料陈化处理</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强力搅拌机处理后的混合料再通过胶带输送机运到陈化库顶部的可逆移动配仓布料机上，将混合料按一定规律均匀的堆存到陈化库中，混合料陈化时间不得小于3小时。陈化的作用是使原料中水分均匀化程度提高，使原料颗粒表面和内部性能更加的均匀，更趋一致，使颗粒变得容易疏解，使混合料的成型性能得到提高。</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4、挤出成型</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过陈化的混合料有装运到胶带输送机上运到成型车间的箱式给料机处定量向强力搅拌机给料。原料通过这次加水搅拌，使其成型水分达到16～17%。搅拌后的物料再经过湿式轮碾机进一步碾练均化处理，使混合料性能满足成型需要。挤出成型采用高挤出压力、高真空度的双极真空挤出机，许用挤出压力达到3.8mpa，真空度达到≤-0.092mpa。挤出的泥条经自动切条机、切坯机割成需要规格的砖坯，再经码坯将砖坯放到窑车上。</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5、干燥、焙烧</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码有砖坯的窑车通过窑车运转系统完成窑车在贮存段、干燥室、焙烧窑的运行。由于成型工段在市场淡季有可能是二班生产，干燥室、焙烧窑是三班生产，因此必须设置码有砖坯的窑车贮存段，用于贮存夜班进窑的窑车，本项目共设250辆窑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装有砖坯的窑车经过贮存后运送到进车端摆渡车上，通过液压顶车机将窑车送入干燥室内，本项目采用一次码烧工艺，遂道焙烧窑两条，长约132米，干燥窑两条，长约105米。干燥热源来自焙烧窑余热。干燥好的砖坯通过干燥室出口拉引机、焙烧窑液压顶车机将窑车送入焙烧窑。</w:t>
      </w:r>
    </w:p>
    <w:p>
      <w:pPr>
        <w:pStyle w:val="5"/>
        <w:spacing w:before="0" w:after="0" w:line="360" w:lineRule="auto"/>
        <w:rPr>
          <w:rFonts w:hint="eastAsia" w:ascii="宋体" w:hAnsi="宋体" w:eastAsia="宋体" w:cs="宋体"/>
          <w:color w:val="auto"/>
          <w:sz w:val="28"/>
          <w:szCs w:val="28"/>
          <w:lang w:val="zh-CN"/>
        </w:rPr>
      </w:pPr>
      <w:bookmarkStart w:id="46" w:name="_Toc6190"/>
      <w:bookmarkStart w:id="47" w:name="_Toc15099"/>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5</w:t>
      </w:r>
      <w:r>
        <w:rPr>
          <w:rFonts w:hint="eastAsia" w:ascii="宋体" w:hAnsi="宋体" w:eastAsia="宋体" w:cs="宋体"/>
          <w:b/>
          <w:bCs/>
          <w:i w:val="0"/>
          <w:iCs w:val="0"/>
          <w:color w:val="auto"/>
          <w:sz w:val="28"/>
          <w:szCs w:val="28"/>
        </w:rPr>
        <w:t>主要生产设备情况</w:t>
      </w:r>
      <w:bookmarkEnd w:id="46"/>
      <w:bookmarkEnd w:id="47"/>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仪陇县复兴镇红旗页岩砖厂</w:t>
      </w:r>
      <w:r>
        <w:rPr>
          <w:rFonts w:hint="eastAsia" w:ascii="宋体" w:hAnsi="宋体" w:cs="宋体"/>
          <w:i w:val="0"/>
          <w:iCs w:val="0"/>
          <w:color w:val="auto"/>
          <w:sz w:val="28"/>
          <w:szCs w:val="28"/>
        </w:rPr>
        <w:t>主要设备清单见表2-</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370"/>
        <w:gridCol w:w="996"/>
        <w:gridCol w:w="907"/>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序号</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设备名称</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数量</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单位</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使用地点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挖机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台</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采矿区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破碎机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restart"/>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破碎区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3</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粉碎机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4</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供煤机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5</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装载机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6</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滚动筛分机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7</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搅拌机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restart"/>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制胚区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8</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自动切条机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9</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泥条机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10</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制胚机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11</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自动捡胚机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12</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渡车</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5</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13</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脱硫装置</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套</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脱硫塔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14</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柴油发电机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柴油发电机房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15</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变配电设施</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16</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电焊机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restart"/>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17</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砂轮打磨机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18</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隧道窑</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座</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19</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烘干室</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座</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20</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自动加煤机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隧道窑</w:t>
            </w:r>
          </w:p>
        </w:tc>
      </w:tr>
    </w:tbl>
    <w:p>
      <w:pPr>
        <w:pStyle w:val="12"/>
        <w:spacing w:line="240" w:lineRule="auto"/>
        <w:ind w:firstLine="482" w:firstLineChars="20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表</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 xml:space="preserve"> 主要设备清单</w:t>
      </w:r>
    </w:p>
    <w:p>
      <w:pPr>
        <w:pStyle w:val="5"/>
        <w:spacing w:before="0" w:after="0" w:line="360" w:lineRule="auto"/>
        <w:rPr>
          <w:rFonts w:hint="eastAsia" w:ascii="宋体" w:hAnsi="宋体" w:eastAsia="宋体" w:cs="宋体"/>
          <w:color w:val="auto"/>
          <w:sz w:val="28"/>
          <w:szCs w:val="28"/>
        </w:rPr>
      </w:pPr>
      <w:bookmarkStart w:id="48" w:name="_Toc27324"/>
      <w:bookmarkStart w:id="49" w:name="_Toc7118"/>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各方应急力量有关基本情况</w:t>
      </w:r>
      <w:bookmarkEnd w:id="48"/>
      <w:bookmarkEnd w:id="49"/>
    </w:p>
    <w:p>
      <w:pPr>
        <w:pStyle w:val="5"/>
        <w:spacing w:before="0" w:after="0" w:line="360" w:lineRule="auto"/>
        <w:rPr>
          <w:rFonts w:hint="eastAsia" w:ascii="宋体" w:hAnsi="宋体" w:eastAsia="宋体" w:cs="宋体"/>
          <w:color w:val="auto"/>
          <w:sz w:val="28"/>
          <w:szCs w:val="28"/>
          <w:lang w:val="zh-CN"/>
        </w:rPr>
      </w:pPr>
      <w:bookmarkStart w:id="50" w:name="_Toc16381"/>
      <w:bookmarkStart w:id="51" w:name="_Toc9132"/>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.1内部应急力量</w:t>
      </w:r>
      <w:bookmarkEnd w:id="50"/>
      <w:bookmarkEnd w:id="51"/>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rPr>
        <w:t>公司成立有以总经理</w:t>
      </w:r>
      <w:r>
        <w:rPr>
          <w:rFonts w:hint="eastAsia" w:ascii="宋体" w:hAnsi="宋体" w:cs="宋体"/>
          <w:i w:val="0"/>
          <w:iCs w:val="0"/>
          <w:color w:val="FF0000"/>
          <w:sz w:val="28"/>
          <w:szCs w:val="28"/>
          <w:lang w:eastAsia="zh-CN"/>
        </w:rPr>
        <w:t>唐秀清</w:t>
      </w:r>
      <w:r>
        <w:rPr>
          <w:rFonts w:hint="eastAsia" w:ascii="宋体" w:hAnsi="宋体" w:cs="宋体"/>
          <w:i w:val="0"/>
          <w:iCs w:val="0"/>
          <w:color w:val="FF0000"/>
          <w:sz w:val="28"/>
          <w:szCs w:val="28"/>
        </w:rPr>
        <w:t>为组长的应急抢险救援领导小组，副组长由公司</w:t>
      </w:r>
      <w:r>
        <w:rPr>
          <w:rFonts w:hint="eastAsia" w:ascii="宋体" w:hAnsi="宋体" w:eastAsia="宋体" w:cs="宋体"/>
          <w:i w:val="0"/>
          <w:iCs w:val="0"/>
          <w:color w:val="FF0000"/>
          <w:sz w:val="28"/>
          <w:szCs w:val="28"/>
          <w:lang w:eastAsia="zh-CN"/>
        </w:rPr>
        <w:t>厂长</w:t>
      </w:r>
      <w:r>
        <w:rPr>
          <w:rFonts w:hint="eastAsia" w:ascii="宋体" w:hAnsi="宋体" w:cs="宋体"/>
          <w:i w:val="0"/>
          <w:iCs w:val="0"/>
          <w:color w:val="FF0000"/>
          <w:sz w:val="28"/>
          <w:szCs w:val="28"/>
          <w:lang w:eastAsia="zh-CN"/>
        </w:rPr>
        <w:t>李小林</w:t>
      </w:r>
      <w:r>
        <w:rPr>
          <w:rFonts w:hint="eastAsia" w:ascii="宋体" w:hAnsi="宋体" w:cs="宋体"/>
          <w:i w:val="0"/>
          <w:iCs w:val="0"/>
          <w:color w:val="FF0000"/>
          <w:sz w:val="28"/>
          <w:szCs w:val="28"/>
        </w:rPr>
        <w:t>担任。成员由其他</w:t>
      </w:r>
      <w:r>
        <w:rPr>
          <w:rFonts w:hint="eastAsia" w:ascii="宋体" w:hAnsi="宋体" w:cs="宋体"/>
          <w:i w:val="0"/>
          <w:iCs w:val="0"/>
          <w:color w:val="FF0000"/>
          <w:sz w:val="28"/>
          <w:szCs w:val="28"/>
          <w:lang w:eastAsia="zh-CN"/>
        </w:rPr>
        <w:t>现场负责人</w:t>
      </w:r>
      <w:r>
        <w:rPr>
          <w:rFonts w:hint="eastAsia" w:ascii="宋体" w:hAnsi="宋体" w:cs="宋体"/>
          <w:i w:val="0"/>
          <w:iCs w:val="0"/>
          <w:color w:val="FF0000"/>
          <w:sz w:val="28"/>
          <w:szCs w:val="28"/>
        </w:rPr>
        <w:t>、车间主管及</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成员组成。并设</w:t>
      </w:r>
      <w:r>
        <w:rPr>
          <w:rFonts w:hint="eastAsia" w:ascii="宋体" w:hAnsi="宋体" w:cs="宋体"/>
          <w:i w:val="0"/>
          <w:iCs w:val="0"/>
          <w:color w:val="FF0000"/>
          <w:sz w:val="28"/>
          <w:szCs w:val="28"/>
          <w:lang w:eastAsia="zh-CN"/>
        </w:rPr>
        <w:t>安全管理员</w:t>
      </w:r>
      <w:r>
        <w:rPr>
          <w:rFonts w:hint="eastAsia" w:ascii="宋体" w:hAnsi="宋体" w:cs="宋体"/>
          <w:i w:val="0"/>
          <w:iCs w:val="0"/>
          <w:color w:val="FF0000"/>
          <w:sz w:val="28"/>
          <w:szCs w:val="28"/>
        </w:rPr>
        <w:t>作为独立的日常安全、环保管理专职人员，应急抢险救援领导小组下设有下设抢险救援组、</w:t>
      </w:r>
      <w:r>
        <w:rPr>
          <w:rFonts w:hint="eastAsia" w:ascii="宋体" w:hAnsi="宋体" w:cs="宋体"/>
          <w:i w:val="0"/>
          <w:iCs w:val="0"/>
          <w:color w:val="FF0000"/>
          <w:sz w:val="28"/>
          <w:szCs w:val="28"/>
          <w:lang w:eastAsia="zh-CN"/>
        </w:rPr>
        <w:t>疏散联络组</w:t>
      </w:r>
      <w:r>
        <w:rPr>
          <w:rFonts w:hint="eastAsia" w:ascii="宋体" w:hAnsi="宋体" w:cs="宋体"/>
          <w:i w:val="0"/>
          <w:iCs w:val="0"/>
          <w:color w:val="FF0000"/>
          <w:sz w:val="28"/>
          <w:szCs w:val="28"/>
        </w:rPr>
        <w:t>、后勤保障组、医疗救护组</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事故调查善后组、</w:t>
      </w:r>
      <w:r>
        <w:rPr>
          <w:rFonts w:hint="eastAsia" w:ascii="宋体" w:hAnsi="宋体" w:cs="宋体"/>
          <w:i w:val="0"/>
          <w:iCs w:val="0"/>
          <w:color w:val="FF0000"/>
          <w:sz w:val="28"/>
          <w:szCs w:val="28"/>
        </w:rPr>
        <w:t>负责处理应急救援事宜。领导小组办公室常设在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，日常工作由</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主管</w:t>
      </w:r>
      <w:r>
        <w:rPr>
          <w:rFonts w:hint="eastAsia" w:ascii="宋体" w:hAnsi="宋体" w:cs="宋体"/>
          <w:i w:val="0"/>
          <w:iCs w:val="0"/>
          <w:color w:val="FF0000"/>
          <w:sz w:val="28"/>
          <w:szCs w:val="28"/>
          <w:lang w:eastAsia="zh-CN"/>
        </w:rPr>
        <w:t>负责</w:t>
      </w:r>
      <w:r>
        <w:rPr>
          <w:rFonts w:hint="eastAsia" w:ascii="宋体" w:hAnsi="宋体" w:cs="宋体"/>
          <w:i w:val="0"/>
          <w:iCs w:val="0"/>
          <w:color w:val="FF0000"/>
          <w:sz w:val="28"/>
          <w:szCs w:val="28"/>
        </w:rPr>
        <w:t>。其它下设的各小组组长由公司指派部门负责人担任。重大事故发生时，由总经理任应急领导组长，领导小组副组长任副应急领导组长，负责组织和指挥应急抢险救护工作。应急领导小组一般设在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。如果应急领导组长或副组长均不在公司时，则由在公司</w:t>
      </w:r>
      <w:r>
        <w:rPr>
          <w:rFonts w:hint="eastAsia" w:ascii="宋体" w:hAnsi="宋体" w:cs="宋体"/>
          <w:i w:val="0"/>
          <w:iCs w:val="0"/>
          <w:color w:val="FF0000"/>
          <w:sz w:val="28"/>
          <w:szCs w:val="28"/>
          <w:lang w:eastAsia="zh-CN"/>
        </w:rPr>
        <w:t>厂长</w:t>
      </w:r>
      <w:r>
        <w:rPr>
          <w:rFonts w:hint="eastAsia" w:ascii="宋体" w:hAnsi="宋体" w:cs="宋体"/>
          <w:i w:val="0"/>
          <w:iCs w:val="0"/>
          <w:color w:val="FF0000"/>
          <w:sz w:val="28"/>
          <w:szCs w:val="28"/>
        </w:rPr>
        <w:t>与</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负责人为临时应急领导组长，全权负责应急抢险及救护工作。</w:t>
      </w:r>
    </w:p>
    <w:p>
      <w:pPr>
        <w:pStyle w:val="5"/>
        <w:spacing w:before="0" w:after="0" w:line="360" w:lineRule="auto"/>
        <w:rPr>
          <w:rFonts w:hint="eastAsia" w:ascii="宋体" w:hAnsi="宋体" w:eastAsia="宋体" w:cs="宋体"/>
          <w:color w:val="auto"/>
          <w:sz w:val="28"/>
          <w:szCs w:val="28"/>
          <w:lang w:val="zh-CN"/>
        </w:rPr>
      </w:pPr>
      <w:bookmarkStart w:id="52" w:name="_Toc15869"/>
      <w:bookmarkStart w:id="53" w:name="_Toc22445"/>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外部应急力量</w:t>
      </w:r>
      <w:bookmarkEnd w:id="52"/>
      <w:bookmarkEnd w:id="53"/>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公司能借用的外部力量包括</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人民政府、</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应急管理局、</w:t>
      </w:r>
      <w:r>
        <w:rPr>
          <w:rFonts w:hint="eastAsia" w:ascii="宋体" w:hAnsi="宋体" w:cs="宋体"/>
          <w:i w:val="0"/>
          <w:iCs w:val="0"/>
          <w:color w:val="auto"/>
          <w:sz w:val="28"/>
          <w:szCs w:val="28"/>
          <w:lang w:eastAsia="zh-CN"/>
        </w:rPr>
        <w:t>仪陇县消防救援局</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lang w:val="zh-CN" w:eastAsia="zh-CN"/>
        </w:rPr>
        <w:t>复兴镇政府</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仪陇县复兴中心卫生院</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以及周边企业应急救援物质。</w:t>
      </w:r>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仪陇县复兴中心卫生院</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2k</w:t>
      </w:r>
      <w:r>
        <w:rPr>
          <w:rFonts w:hint="eastAsia" w:ascii="宋体" w:hAnsi="宋体" w:cs="宋体"/>
          <w:i w:val="0"/>
          <w:iCs w:val="0"/>
          <w:color w:val="auto"/>
          <w:sz w:val="28"/>
          <w:szCs w:val="28"/>
        </w:rPr>
        <w:t>m，发生事故时</w:t>
      </w:r>
      <w:r>
        <w:rPr>
          <w:rFonts w:hint="eastAsia" w:ascii="宋体" w:hAnsi="宋体" w:eastAsia="宋体" w:cs="宋体"/>
          <w:i w:val="0"/>
          <w:iCs w:val="0"/>
          <w:color w:val="auto"/>
          <w:sz w:val="28"/>
          <w:szCs w:val="28"/>
          <w:lang w:val="en-US" w:eastAsia="zh-CN"/>
        </w:rPr>
        <w:t>5</w:t>
      </w:r>
      <w:r>
        <w:rPr>
          <w:rFonts w:hint="eastAsia" w:ascii="宋体" w:hAnsi="宋体" w:cs="宋体"/>
          <w:i w:val="0"/>
          <w:iCs w:val="0"/>
          <w:color w:val="auto"/>
          <w:sz w:val="28"/>
          <w:szCs w:val="28"/>
        </w:rPr>
        <w:t>分钟内能到达现场</w:t>
      </w:r>
      <w:r>
        <w:rPr>
          <w:rFonts w:hint="eastAsia" w:ascii="宋体" w:hAnsi="宋体" w:eastAsia="宋体" w:cs="宋体"/>
          <w:i w:val="0"/>
          <w:iCs w:val="0"/>
          <w:color w:val="auto"/>
          <w:sz w:val="28"/>
          <w:szCs w:val="28"/>
          <w:lang w:eastAsia="zh-CN"/>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23</w:t>
      </w:r>
      <w:r>
        <w:rPr>
          <w:rFonts w:hint="eastAsia" w:ascii="宋体" w:hAnsi="宋体" w:cs="宋体"/>
          <w:i w:val="0"/>
          <w:iCs w:val="0"/>
          <w:color w:val="auto"/>
          <w:sz w:val="28"/>
          <w:szCs w:val="28"/>
        </w:rPr>
        <w:t>km，发生事故时</w:t>
      </w:r>
      <w:r>
        <w:rPr>
          <w:rFonts w:hint="eastAsia" w:ascii="宋体" w:hAnsi="宋体" w:eastAsia="宋体" w:cs="宋体"/>
          <w:i w:val="0"/>
          <w:iCs w:val="0"/>
          <w:color w:val="auto"/>
          <w:sz w:val="28"/>
          <w:szCs w:val="28"/>
          <w:lang w:val="en-US" w:eastAsia="zh-CN"/>
        </w:rPr>
        <w:t>25</w:t>
      </w:r>
      <w:r>
        <w:rPr>
          <w:rFonts w:hint="eastAsia" w:ascii="宋体" w:hAnsi="宋体" w:cs="宋体"/>
          <w:i w:val="0"/>
          <w:iCs w:val="0"/>
          <w:color w:val="auto"/>
          <w:sz w:val="28"/>
          <w:szCs w:val="28"/>
        </w:rPr>
        <w:t>分钟内能到达现场。</w:t>
      </w:r>
    </w:p>
    <w:p>
      <w:pPr>
        <w:spacing w:line="360" w:lineRule="auto"/>
        <w:ind w:firstLine="560" w:firstLineChars="200"/>
        <w:rPr>
          <w:rFonts w:hint="eastAsia" w:ascii="宋体" w:hAnsi="宋体" w:cs="宋体"/>
          <w:i w:val="0"/>
          <w:iCs w:val="0"/>
          <w:color w:val="auto"/>
          <w:sz w:val="28"/>
          <w:szCs w:val="28"/>
          <w:lang w:eastAsia="zh-CN"/>
        </w:rPr>
      </w:pP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lang w:val="zh-CN" w:eastAsia="zh-CN"/>
        </w:rPr>
        <w:t>复兴镇政府</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1.9k</w:t>
      </w:r>
      <w:r>
        <w:rPr>
          <w:rFonts w:hint="eastAsia" w:ascii="宋体" w:hAnsi="宋体" w:cs="宋体"/>
          <w:i w:val="0"/>
          <w:iCs w:val="0"/>
          <w:color w:val="auto"/>
          <w:sz w:val="28"/>
          <w:szCs w:val="28"/>
        </w:rPr>
        <w:t>m，发生事故时</w:t>
      </w:r>
      <w:r>
        <w:rPr>
          <w:rFonts w:hint="eastAsia" w:ascii="宋体" w:hAnsi="宋体" w:eastAsia="宋体" w:cs="宋体"/>
          <w:i w:val="0"/>
          <w:iCs w:val="0"/>
          <w:color w:val="auto"/>
          <w:sz w:val="28"/>
          <w:szCs w:val="28"/>
          <w:lang w:val="en-US" w:eastAsia="zh-CN"/>
        </w:rPr>
        <w:t>5</w:t>
      </w:r>
      <w:r>
        <w:rPr>
          <w:rFonts w:hint="eastAsia" w:ascii="宋体" w:hAnsi="宋体" w:cs="宋体"/>
          <w:i w:val="0"/>
          <w:iCs w:val="0"/>
          <w:color w:val="auto"/>
          <w:sz w:val="28"/>
          <w:szCs w:val="28"/>
        </w:rPr>
        <w:t>分钟内能到达现场</w:t>
      </w:r>
      <w:r>
        <w:rPr>
          <w:rFonts w:hint="eastAsia" w:ascii="宋体" w:hAnsi="宋体" w:eastAsia="宋体" w:cs="宋体"/>
          <w:i w:val="0"/>
          <w:iCs w:val="0"/>
          <w:color w:val="auto"/>
          <w:sz w:val="28"/>
          <w:szCs w:val="28"/>
          <w:lang w:eastAsia="zh-CN"/>
        </w:rPr>
        <w:t>；</w:t>
      </w:r>
      <w:r>
        <w:rPr>
          <w:rFonts w:hint="eastAsia" w:ascii="宋体" w:hAnsi="宋体" w:cs="宋体"/>
          <w:i w:val="0"/>
          <w:iCs w:val="0"/>
          <w:color w:val="auto"/>
          <w:sz w:val="28"/>
          <w:szCs w:val="28"/>
          <w:lang w:eastAsia="zh-CN"/>
        </w:rPr>
        <w:t>仪陇县消防救援局距企业距离约</w:t>
      </w:r>
      <w:r>
        <w:rPr>
          <w:rFonts w:hint="eastAsia" w:ascii="宋体" w:hAnsi="宋体" w:cs="宋体"/>
          <w:i w:val="0"/>
          <w:iCs w:val="0"/>
          <w:color w:val="auto"/>
          <w:sz w:val="28"/>
          <w:szCs w:val="28"/>
          <w:lang w:val="en-US" w:eastAsia="zh-CN"/>
        </w:rPr>
        <w:t>23</w:t>
      </w:r>
      <w:r>
        <w:rPr>
          <w:rFonts w:hint="eastAsia" w:ascii="宋体" w:hAnsi="宋体" w:cs="宋体"/>
          <w:i w:val="0"/>
          <w:iCs w:val="0"/>
          <w:color w:val="auto"/>
          <w:sz w:val="28"/>
          <w:szCs w:val="28"/>
          <w:lang w:eastAsia="zh-CN"/>
        </w:rPr>
        <w:t>km，发生事故时</w:t>
      </w:r>
      <w:r>
        <w:rPr>
          <w:rFonts w:hint="eastAsia" w:ascii="宋体" w:hAnsi="宋体" w:cs="宋体"/>
          <w:i w:val="0"/>
          <w:iCs w:val="0"/>
          <w:color w:val="auto"/>
          <w:sz w:val="28"/>
          <w:szCs w:val="28"/>
          <w:lang w:val="en-US" w:eastAsia="zh-CN"/>
        </w:rPr>
        <w:t>28</w:t>
      </w:r>
      <w:r>
        <w:rPr>
          <w:rFonts w:hint="eastAsia" w:ascii="宋体" w:hAnsi="宋体" w:cs="宋体"/>
          <w:i w:val="0"/>
          <w:iCs w:val="0"/>
          <w:color w:val="auto"/>
          <w:sz w:val="28"/>
          <w:szCs w:val="28"/>
          <w:lang w:eastAsia="zh-CN"/>
        </w:rPr>
        <w:t>分钟内能到达现场。仪陇县金城消防中队距企业距离约</w:t>
      </w:r>
      <w:r>
        <w:rPr>
          <w:rFonts w:hint="eastAsia" w:ascii="宋体" w:hAnsi="宋体" w:cs="宋体"/>
          <w:i w:val="0"/>
          <w:iCs w:val="0"/>
          <w:color w:val="auto"/>
          <w:sz w:val="28"/>
          <w:szCs w:val="28"/>
          <w:lang w:val="en-US" w:eastAsia="zh-CN"/>
        </w:rPr>
        <w:t>26.5</w:t>
      </w:r>
      <w:r>
        <w:rPr>
          <w:rFonts w:hint="eastAsia" w:ascii="宋体" w:hAnsi="宋体" w:cs="宋体"/>
          <w:i w:val="0"/>
          <w:iCs w:val="0"/>
          <w:color w:val="auto"/>
          <w:sz w:val="28"/>
          <w:szCs w:val="28"/>
          <w:lang w:eastAsia="zh-CN"/>
        </w:rPr>
        <w:t>km，发生事故时</w:t>
      </w:r>
      <w:r>
        <w:rPr>
          <w:rFonts w:hint="eastAsia" w:ascii="宋体" w:hAnsi="宋体" w:cs="宋体"/>
          <w:i w:val="0"/>
          <w:iCs w:val="0"/>
          <w:color w:val="auto"/>
          <w:sz w:val="28"/>
          <w:szCs w:val="28"/>
          <w:lang w:val="en-US" w:eastAsia="zh-CN"/>
        </w:rPr>
        <w:t>35</w:t>
      </w:r>
      <w:r>
        <w:rPr>
          <w:rFonts w:hint="eastAsia" w:ascii="宋体" w:hAnsi="宋体" w:cs="宋体"/>
          <w:i w:val="0"/>
          <w:iCs w:val="0"/>
          <w:color w:val="auto"/>
          <w:sz w:val="28"/>
          <w:szCs w:val="28"/>
          <w:lang w:eastAsia="zh-CN"/>
        </w:rPr>
        <w:t>分钟内能到达现场。</w:t>
      </w:r>
    </w:p>
    <w:p>
      <w:pPr>
        <w:spacing w:line="360" w:lineRule="auto"/>
        <w:ind w:firstLine="560" w:firstLineChars="200"/>
        <w:rPr>
          <w:rFonts w:ascii="宋体" w:hAnsi="宋体"/>
          <w:i w:val="0"/>
          <w:iCs w:val="0"/>
          <w:color w:val="auto"/>
          <w:sz w:val="28"/>
          <w:szCs w:val="28"/>
        </w:rPr>
      </w:pPr>
      <w:r>
        <w:rPr>
          <w:rFonts w:hint="eastAsia" w:ascii="宋体" w:hAnsi="宋体"/>
          <w:i w:val="0"/>
          <w:iCs w:val="0"/>
          <w:color w:val="auto"/>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jc w:val="center"/>
        <w:rPr>
          <w:rFonts w:hint="eastAsia" w:ascii="黑体" w:hAnsi="宋体" w:eastAsia="黑体"/>
          <w:b/>
          <w:bCs/>
          <w:i w:val="0"/>
          <w:iCs w:val="0"/>
          <w:color w:val="auto"/>
          <w:sz w:val="24"/>
        </w:rPr>
      </w:pPr>
      <w:r>
        <w:rPr>
          <w:rFonts w:hint="eastAsia" w:ascii="黑体" w:hAnsi="宋体" w:eastAsia="黑体"/>
          <w:b/>
          <w:bCs/>
          <w:i w:val="0"/>
          <w:iCs w:val="0"/>
          <w:color w:val="auto"/>
          <w:sz w:val="24"/>
        </w:rPr>
        <w:t>表2-</w:t>
      </w:r>
      <w:r>
        <w:rPr>
          <w:rFonts w:hint="eastAsia" w:ascii="黑体" w:hAnsi="宋体" w:eastAsia="黑体"/>
          <w:b/>
          <w:bCs/>
          <w:i w:val="0"/>
          <w:iCs w:val="0"/>
          <w:color w:val="auto"/>
          <w:sz w:val="24"/>
          <w:lang w:val="en-US" w:eastAsia="zh-CN"/>
        </w:rPr>
        <w:t>3</w:t>
      </w:r>
      <w:r>
        <w:rPr>
          <w:rFonts w:hint="eastAsia" w:ascii="黑体" w:hAnsi="宋体" w:eastAsia="黑体"/>
          <w:b/>
          <w:bCs/>
          <w:i w:val="0"/>
          <w:iCs w:val="0"/>
          <w:color w:val="auto"/>
          <w:sz w:val="24"/>
        </w:rPr>
        <w:t xml:space="preserve"> 外部应急支援一览表</w:t>
      </w:r>
    </w:p>
    <w:tbl>
      <w:tblPr>
        <w:tblStyle w:val="19"/>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42"/>
        <w:gridCol w:w="765"/>
        <w:gridCol w:w="780"/>
        <w:gridCol w:w="421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序号</w:t>
            </w:r>
          </w:p>
        </w:tc>
        <w:tc>
          <w:tcPr>
            <w:tcW w:w="1742"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物资和装备名称</w:t>
            </w:r>
          </w:p>
        </w:tc>
        <w:tc>
          <w:tcPr>
            <w:tcW w:w="765"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数量</w:t>
            </w:r>
          </w:p>
        </w:tc>
        <w:tc>
          <w:tcPr>
            <w:tcW w:w="780"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w:t>
            </w:r>
          </w:p>
        </w:tc>
        <w:tc>
          <w:tcPr>
            <w:tcW w:w="4216"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单位名称</w:t>
            </w:r>
          </w:p>
        </w:tc>
        <w:tc>
          <w:tcPr>
            <w:tcW w:w="1084" w:type="dxa"/>
            <w:noWrap w:val="0"/>
            <w:vAlign w:val="center"/>
          </w:tcPr>
          <w:p>
            <w:pPr>
              <w:spacing w:line="460" w:lineRule="exact"/>
              <w:jc w:val="center"/>
              <w:rPr>
                <w:rFonts w:hint="eastAsia" w:ascii="宋体" w:hAnsi="宋体"/>
                <w:b/>
                <w:bCs/>
                <w:i w:val="0"/>
                <w:iCs w:val="0"/>
                <w:color w:val="auto"/>
                <w:szCs w:val="21"/>
              </w:rPr>
            </w:pPr>
            <w:r>
              <w:rPr>
                <w:rFonts w:hint="eastAsia" w:ascii="宋体" w:hAnsi="宋体"/>
                <w:b/>
                <w:bCs/>
                <w:i w:val="0"/>
                <w:iCs w:val="0"/>
                <w:color w:val="auto"/>
                <w:szCs w:val="21"/>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1）</w:t>
            </w:r>
          </w:p>
        </w:tc>
        <w:tc>
          <w:tcPr>
            <w:tcW w:w="1742"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消防</w:t>
            </w:r>
            <w:r>
              <w:rPr>
                <w:rFonts w:hint="eastAsia" w:ascii="宋体" w:hAnsi="宋体" w:eastAsia="宋体"/>
                <w:i w:val="0"/>
                <w:iCs w:val="0"/>
                <w:color w:val="auto"/>
                <w:szCs w:val="21"/>
                <w:lang w:eastAsia="zh-CN"/>
              </w:rPr>
              <w:t>用水</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企业</w:t>
            </w:r>
            <w:r>
              <w:rPr>
                <w:rFonts w:hint="eastAsia" w:ascii="宋体" w:hAnsi="宋体" w:eastAsia="宋体"/>
                <w:i w:val="0"/>
                <w:iCs w:val="0"/>
                <w:color w:val="auto"/>
                <w:szCs w:val="21"/>
                <w:lang w:eastAsia="zh-CN"/>
              </w:rPr>
              <w:t>内水池（</w:t>
            </w:r>
            <w:r>
              <w:rPr>
                <w:rFonts w:hint="eastAsia" w:ascii="宋体" w:hAnsi="宋体" w:eastAsia="宋体"/>
                <w:i w:val="0"/>
                <w:iCs w:val="0"/>
                <w:color w:val="auto"/>
                <w:szCs w:val="21"/>
                <w:lang w:val="en-US" w:eastAsia="zh-CN"/>
              </w:rPr>
              <w:t>20m</w:t>
            </w:r>
            <w:r>
              <w:rPr>
                <w:rFonts w:hint="eastAsia" w:ascii="宋体" w:hAnsi="宋体" w:eastAsia="宋体"/>
                <w:i w:val="0"/>
                <w:iCs w:val="0"/>
                <w:color w:val="auto"/>
                <w:szCs w:val="21"/>
                <w:vertAlign w:val="superscript"/>
                <w:lang w:val="en-US" w:eastAsia="zh-CN"/>
              </w:rPr>
              <w:t>3</w:t>
            </w:r>
            <w:r>
              <w:rPr>
                <w:rFonts w:hint="eastAsia" w:ascii="宋体" w:hAnsi="宋体" w:eastAsia="宋体"/>
                <w:i w:val="0"/>
                <w:iCs w:val="0"/>
                <w:color w:val="auto"/>
                <w:szCs w:val="21"/>
                <w:lang w:eastAsia="zh-CN"/>
              </w:rPr>
              <w:t>）</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7"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 xml:space="preserve"> 2）</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消防车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eastAsia="zh-CN"/>
              </w:rPr>
            </w:pPr>
            <w:r>
              <w:rPr>
                <w:rFonts w:hint="eastAsia" w:ascii="宋体" w:hAnsi="宋体"/>
                <w:i w:val="0"/>
                <w:iCs w:val="0"/>
                <w:color w:val="auto"/>
                <w:szCs w:val="21"/>
                <w:lang w:val="en-US" w:eastAsia="zh-CN"/>
              </w:rPr>
              <w:t>7</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辆</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3）</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消防人员</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i w:val="0"/>
                <w:iCs w:val="0"/>
                <w:color w:val="auto"/>
                <w:szCs w:val="21"/>
                <w:lang w:val="en-US" w:eastAsia="zh-CN"/>
              </w:rPr>
              <w:t>4</w:t>
            </w:r>
            <w:r>
              <w:rPr>
                <w:rFonts w:hint="eastAsia" w:ascii="宋体" w:hAnsi="宋体"/>
                <w:i w:val="0"/>
                <w:iCs w:val="0"/>
                <w:color w:val="auto"/>
                <w:szCs w:val="21"/>
              </w:rPr>
              <w:t>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4）</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防护装备</w:t>
            </w:r>
          </w:p>
        </w:tc>
        <w:tc>
          <w:tcPr>
            <w:tcW w:w="765" w:type="dxa"/>
            <w:noWrap w:val="0"/>
            <w:vAlign w:val="top"/>
          </w:tcPr>
          <w:p>
            <w:pPr>
              <w:spacing w:line="440" w:lineRule="exact"/>
              <w:ind w:firstLine="105" w:firstLineChars="50"/>
              <w:rPr>
                <w:rFonts w:hint="default" w:ascii="宋体" w:hAnsi="宋体"/>
                <w:i w:val="0"/>
                <w:iCs w:val="0"/>
                <w:color w:val="auto"/>
                <w:szCs w:val="21"/>
                <w:lang w:val="en-US" w:eastAsia="zh-CN"/>
              </w:rPr>
            </w:pPr>
            <w:r>
              <w:rPr>
                <w:rFonts w:hint="eastAsia" w:ascii="宋体" w:hAnsi="宋体"/>
                <w:i w:val="0"/>
                <w:iCs w:val="0"/>
                <w:color w:val="auto"/>
                <w:szCs w:val="21"/>
                <w:lang w:val="en-US" w:eastAsia="zh-CN"/>
              </w:rPr>
              <w:t>500</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5）</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射水器材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35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6）</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输水器材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7）</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抢险救援装备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171</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8</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其它器材装备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116</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9</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急救车</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i w:val="0"/>
                <w:iCs w:val="0"/>
                <w:color w:val="auto"/>
                <w:szCs w:val="21"/>
                <w:lang w:val="en-US" w:eastAsia="zh-CN"/>
              </w:rPr>
              <w:t>3</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辆</w:t>
            </w:r>
          </w:p>
        </w:tc>
        <w:tc>
          <w:tcPr>
            <w:tcW w:w="4216" w:type="dxa"/>
            <w:noWrap w:val="0"/>
            <w:vAlign w:val="center"/>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10</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担架</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i w:val="0"/>
                <w:iCs w:val="0"/>
                <w:color w:val="auto"/>
                <w:szCs w:val="21"/>
              </w:rPr>
              <w:t>5</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11</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应急床位</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i w:val="0"/>
                <w:iCs w:val="0"/>
                <w:color w:val="auto"/>
                <w:szCs w:val="21"/>
                <w:lang w:val="en-US" w:eastAsia="zh-CN"/>
              </w:rPr>
              <w:t>200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12</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急救医生</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20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center"/>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numPr>
                <w:ilvl w:val="0"/>
                <w:numId w:val="0"/>
              </w:numPr>
              <w:tabs>
                <w:tab w:val="left" w:pos="360"/>
              </w:tabs>
              <w:spacing w:line="460" w:lineRule="exact"/>
              <w:ind w:leftChars="0"/>
              <w:jc w:val="both"/>
              <w:rPr>
                <w:rFonts w:ascii="宋体" w:hAnsi="宋体"/>
                <w:i w:val="0"/>
                <w:iCs w:val="0"/>
                <w:color w:val="auto"/>
                <w:szCs w:val="21"/>
              </w:rPr>
            </w:pPr>
            <w:r>
              <w:rPr>
                <w:rFonts w:hint="eastAsia" w:ascii="宋体" w:hAnsi="宋体"/>
                <w:i w:val="0"/>
                <w:iCs w:val="0"/>
                <w:color w:val="auto"/>
                <w:szCs w:val="21"/>
                <w:lang w:val="en-US" w:eastAsia="zh-CN"/>
              </w:rPr>
              <w:t>13</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急救护士</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50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cs="宋体"/>
                <w:color w:val="000000"/>
                <w:kern w:val="0"/>
                <w:szCs w:val="21"/>
                <w:lang w:eastAsia="zh-CN" w:bidi="ar"/>
              </w:rPr>
              <w:t>李仲民</w:t>
            </w:r>
          </w:p>
        </w:tc>
      </w:tr>
      <w:bookmarkEnd w:id="32"/>
      <w:bookmarkEnd w:id="33"/>
      <w:bookmarkEnd w:id="34"/>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spacing w:line="360" w:lineRule="auto"/>
        <w:jc w:val="center"/>
        <w:outlineLvl w:val="0"/>
        <w:rPr>
          <w:rFonts w:hint="eastAsia" w:ascii="黑体" w:hAnsi="宋体" w:eastAsia="黑体"/>
          <w:b/>
          <w:sz w:val="32"/>
          <w:szCs w:val="32"/>
          <w:lang w:val="en-US" w:eastAsia="zh-CN"/>
        </w:rPr>
      </w:pPr>
      <w:bookmarkStart w:id="54" w:name="_Toc4020"/>
      <w:r>
        <w:rPr>
          <w:rFonts w:hint="eastAsia" w:ascii="黑体" w:hAnsi="宋体" w:eastAsia="黑体"/>
          <w:b/>
          <w:sz w:val="32"/>
          <w:szCs w:val="32"/>
          <w:lang w:val="en-US" w:eastAsia="zh-CN"/>
        </w:rPr>
        <w:t>3危险、有害因素辨识</w:t>
      </w:r>
      <w:bookmarkEnd w:id="54"/>
    </w:p>
    <w:p>
      <w:pPr>
        <w:pStyle w:val="8"/>
        <w:spacing w:line="360" w:lineRule="auto"/>
        <w:ind w:firstLine="0" w:firstLineChars="0"/>
        <w:outlineLvl w:val="1"/>
        <w:rPr>
          <w:rFonts w:hint="eastAsia" w:ascii="黑体" w:eastAsia="黑体"/>
          <w:b/>
          <w:snapToGrid w:val="0"/>
          <w:kern w:val="0"/>
          <w:sz w:val="32"/>
          <w:szCs w:val="32"/>
        </w:rPr>
      </w:pPr>
      <w:bookmarkStart w:id="55" w:name="_Toc23049"/>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1 危险、有害因素辨识的目的</w:t>
      </w:r>
      <w:bookmarkEnd w:id="35"/>
      <w:bookmarkEnd w:id="36"/>
      <w:bookmarkEnd w:id="55"/>
    </w:p>
    <w:p>
      <w:pPr>
        <w:autoSpaceDE w:val="0"/>
        <w:autoSpaceDN w:val="0"/>
        <w:adjustRightInd w:val="0"/>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危险、有害因素是指能造成人员伤亡或影响人体健康、导致疾病和对物造成突发性或慢性损坏的因素。充分识别并掌握</w:t>
      </w:r>
      <w:r>
        <w:rPr>
          <w:rFonts w:hint="eastAsia" w:ascii="宋体" w:hAnsi="宋体"/>
          <w:snapToGrid w:val="0"/>
          <w:kern w:val="0"/>
          <w:sz w:val="28"/>
          <w:szCs w:val="28"/>
          <w:lang w:eastAsia="zh-CN"/>
        </w:rPr>
        <w:t>公司</w:t>
      </w:r>
      <w:r>
        <w:rPr>
          <w:rFonts w:hint="eastAsia" w:ascii="宋体" w:hAnsi="宋体"/>
          <w:snapToGrid w:val="0"/>
          <w:kern w:val="0"/>
          <w:sz w:val="28"/>
          <w:szCs w:val="28"/>
        </w:rPr>
        <w:t>生产系统中的危险有害因素，为企业有效减少人员伤亡和财产损失，确保生产安全具有重要意义；为企业</w:t>
      </w:r>
      <w:r>
        <w:rPr>
          <w:rFonts w:ascii="宋体" w:hAnsi="宋体"/>
          <w:snapToGrid w:val="0"/>
          <w:kern w:val="0"/>
          <w:sz w:val="28"/>
          <w:szCs w:val="28"/>
        </w:rPr>
        <w:t>在</w:t>
      </w:r>
      <w:r>
        <w:rPr>
          <w:rFonts w:hint="eastAsia" w:ascii="宋体" w:hAnsi="宋体"/>
          <w:snapToGrid w:val="0"/>
          <w:kern w:val="0"/>
          <w:sz w:val="28"/>
          <w:szCs w:val="28"/>
        </w:rPr>
        <w:t>实际生产中查找事故隐患并制定整改措施、制定事故应急救援预案</w:t>
      </w:r>
      <w:r>
        <w:rPr>
          <w:rFonts w:ascii="宋体" w:hAnsi="宋体"/>
          <w:snapToGrid w:val="0"/>
          <w:kern w:val="0"/>
          <w:sz w:val="28"/>
          <w:szCs w:val="28"/>
        </w:rPr>
        <w:t>指明方向。</w:t>
      </w:r>
    </w:p>
    <w:p>
      <w:pPr>
        <w:pStyle w:val="8"/>
        <w:spacing w:line="360" w:lineRule="auto"/>
        <w:ind w:firstLine="0" w:firstLineChars="0"/>
        <w:outlineLvl w:val="1"/>
        <w:rPr>
          <w:rFonts w:ascii="黑体" w:eastAsia="黑体"/>
          <w:b/>
          <w:snapToGrid w:val="0"/>
          <w:kern w:val="0"/>
          <w:sz w:val="32"/>
          <w:szCs w:val="32"/>
        </w:rPr>
      </w:pPr>
      <w:bookmarkStart w:id="56" w:name="_Toc480804387"/>
      <w:bookmarkStart w:id="57" w:name="_Toc350781091"/>
      <w:bookmarkStart w:id="58" w:name="_Toc356401484"/>
      <w:bookmarkStart w:id="59" w:name="_Toc5315"/>
      <w:bookmarkStart w:id="60" w:name="_Toc514342839"/>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2 危险、有害因素辨识的依据</w:t>
      </w:r>
      <w:bookmarkEnd w:id="56"/>
      <w:bookmarkEnd w:id="57"/>
      <w:bookmarkEnd w:id="58"/>
      <w:bookmarkEnd w:id="59"/>
      <w:bookmarkEnd w:id="60"/>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（1）按照《危险化学品名录（20</w:t>
      </w:r>
      <w:r>
        <w:rPr>
          <w:rFonts w:hint="eastAsia" w:ascii="宋体" w:hAnsi="宋体"/>
          <w:snapToGrid w:val="0"/>
          <w:kern w:val="0"/>
          <w:sz w:val="28"/>
          <w:szCs w:val="28"/>
        </w:rPr>
        <w:t>15</w:t>
      </w:r>
      <w:r>
        <w:rPr>
          <w:rFonts w:ascii="宋体" w:hAnsi="宋体"/>
          <w:snapToGrid w:val="0"/>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（2）根据《危险化学品重大危险源辨识》（</w:t>
      </w:r>
      <w:r>
        <w:rPr>
          <w:rFonts w:hint="eastAsia" w:ascii="宋体" w:hAnsi="宋体"/>
          <w:snapToGrid w:val="0"/>
          <w:kern w:val="0"/>
          <w:sz w:val="28"/>
          <w:szCs w:val="28"/>
          <w:lang w:eastAsia="zh-CN"/>
        </w:rPr>
        <w:t>GB18218-2018</w:t>
      </w:r>
      <w:r>
        <w:rPr>
          <w:rFonts w:ascii="宋体" w:hAnsi="宋体"/>
          <w:snapToGrid w:val="0"/>
          <w:kern w:val="0"/>
          <w:sz w:val="28"/>
          <w:szCs w:val="28"/>
        </w:rPr>
        <w:t>），对</w:t>
      </w:r>
      <w:r>
        <w:rPr>
          <w:rFonts w:hint="eastAsia" w:ascii="宋体" w:hAnsi="宋体"/>
          <w:snapToGrid w:val="0"/>
          <w:kern w:val="0"/>
          <w:sz w:val="28"/>
          <w:szCs w:val="28"/>
          <w:lang w:eastAsia="zh-CN"/>
        </w:rPr>
        <w:t>厂区</w:t>
      </w:r>
      <w:r>
        <w:rPr>
          <w:rFonts w:ascii="宋体" w:hAnsi="宋体"/>
          <w:snapToGrid w:val="0"/>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（4）根据《生产过程危险和危害因素分类与代码》（GB/T13861-2009）对</w:t>
      </w:r>
      <w:r>
        <w:rPr>
          <w:rFonts w:hint="eastAsia" w:ascii="宋体" w:hAnsi="宋体"/>
          <w:snapToGrid w:val="0"/>
          <w:kern w:val="0"/>
          <w:sz w:val="28"/>
          <w:szCs w:val="28"/>
          <w:lang w:eastAsia="zh-CN"/>
        </w:rPr>
        <w:t>厂区</w:t>
      </w:r>
      <w:r>
        <w:rPr>
          <w:rFonts w:ascii="宋体" w:hAnsi="宋体"/>
          <w:snapToGrid w:val="0"/>
          <w:kern w:val="0"/>
          <w:sz w:val="28"/>
          <w:szCs w:val="28"/>
        </w:rPr>
        <w:t>生产过程中的危险、有害因素进行辨识与分析。</w:t>
      </w:r>
    </w:p>
    <w:p>
      <w:pPr>
        <w:spacing w:line="360" w:lineRule="auto"/>
        <w:ind w:firstLine="560" w:firstLineChars="200"/>
        <w:textAlignment w:val="baseline"/>
        <w:rPr>
          <w:rFonts w:hint="eastAsia" w:ascii="宋体" w:hAnsi="宋体"/>
          <w:sz w:val="28"/>
          <w:szCs w:val="28"/>
        </w:rPr>
      </w:pPr>
      <w:bookmarkStart w:id="61" w:name="_Toc350781092"/>
      <w:bookmarkStart w:id="62" w:name="_Toc356401485"/>
      <w:bookmarkStart w:id="63" w:name="_Toc480804388"/>
      <w:r>
        <w:rPr>
          <w:rFonts w:hint="eastAsia" w:ascii="宋体" w:hAnsi="宋体"/>
          <w:sz w:val="28"/>
          <w:szCs w:val="28"/>
        </w:rPr>
        <w:t>（5）参照</w:t>
      </w:r>
      <w:r>
        <w:rPr>
          <w:rFonts w:hint="eastAsia" w:ascii="宋体" w:hAnsi="宋体"/>
          <w:bCs/>
          <w:sz w:val="28"/>
          <w:szCs w:val="28"/>
        </w:rPr>
        <w:t>《职业病危害因素分类》（</w:t>
      </w:r>
      <w:r>
        <w:rPr>
          <w:rFonts w:ascii="宋体" w:hAnsi="宋体"/>
          <w:bCs/>
          <w:sz w:val="28"/>
          <w:szCs w:val="28"/>
        </w:rPr>
        <w:t>国卫疾控发〔201</w:t>
      </w:r>
      <w:r>
        <w:rPr>
          <w:rFonts w:hint="eastAsia" w:ascii="宋体" w:hAnsi="宋体"/>
          <w:bCs/>
          <w:sz w:val="28"/>
          <w:szCs w:val="28"/>
        </w:rPr>
        <w:t>5</w:t>
      </w:r>
      <w:r>
        <w:rPr>
          <w:rFonts w:ascii="宋体" w:hAnsi="宋体"/>
          <w:bCs/>
          <w:sz w:val="28"/>
          <w:szCs w:val="28"/>
        </w:rPr>
        <w:t>〕</w:t>
      </w:r>
      <w:r>
        <w:rPr>
          <w:rFonts w:hint="eastAsia" w:ascii="宋体" w:hAnsi="宋体"/>
          <w:bCs/>
          <w:sz w:val="28"/>
          <w:szCs w:val="28"/>
        </w:rPr>
        <w:t>92</w:t>
      </w:r>
      <w:r>
        <w:rPr>
          <w:rFonts w:ascii="宋体" w:hAnsi="宋体"/>
          <w:bCs/>
          <w:sz w:val="28"/>
          <w:szCs w:val="28"/>
        </w:rPr>
        <w:t>号</w:t>
      </w:r>
      <w:r>
        <w:rPr>
          <w:rFonts w:hint="eastAsia" w:ascii="宋体" w:hAnsi="宋体"/>
          <w:bCs/>
          <w:sz w:val="28"/>
          <w:szCs w:val="28"/>
        </w:rPr>
        <w:t>）</w:t>
      </w:r>
      <w:r>
        <w:rPr>
          <w:rFonts w:hint="eastAsia" w:ascii="宋体" w:hAnsi="宋体"/>
          <w:sz w:val="28"/>
          <w:szCs w:val="28"/>
        </w:rPr>
        <w:t>对作业环境进行职业危害辨识与分析。</w:t>
      </w:r>
    </w:p>
    <w:p>
      <w:pPr>
        <w:pStyle w:val="8"/>
        <w:spacing w:line="360" w:lineRule="auto"/>
        <w:ind w:firstLine="0" w:firstLineChars="0"/>
        <w:outlineLvl w:val="1"/>
        <w:rPr>
          <w:rFonts w:hint="eastAsia" w:ascii="黑体" w:eastAsia="黑体"/>
          <w:b/>
          <w:snapToGrid w:val="0"/>
          <w:kern w:val="0"/>
          <w:sz w:val="32"/>
          <w:szCs w:val="32"/>
        </w:rPr>
      </w:pPr>
      <w:bookmarkStart w:id="64" w:name="_Toc514342840"/>
      <w:bookmarkStart w:id="65" w:name="_Toc1176"/>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3 危险、有害因素辨识的方法</w:t>
      </w:r>
      <w:bookmarkEnd w:id="61"/>
      <w:bookmarkEnd w:id="62"/>
      <w:bookmarkEnd w:id="63"/>
      <w:bookmarkEnd w:id="64"/>
      <w:bookmarkEnd w:id="65"/>
    </w:p>
    <w:p>
      <w:pPr>
        <w:spacing w:line="360" w:lineRule="auto"/>
        <w:ind w:firstLine="560" w:firstLineChars="200"/>
        <w:textAlignment w:val="baseline"/>
        <w:rPr>
          <w:rFonts w:ascii="宋体" w:hAnsi="宋体"/>
          <w:sz w:val="28"/>
          <w:szCs w:val="28"/>
        </w:rPr>
      </w:pPr>
      <w:r>
        <w:rPr>
          <w:rFonts w:hint="eastAsia" w:ascii="宋体" w:hAnsi="宋体"/>
          <w:sz w:val="28"/>
          <w:szCs w:val="28"/>
          <w:lang w:eastAsia="zh-CN"/>
        </w:rPr>
        <w:t>公司</w:t>
      </w:r>
      <w:r>
        <w:rPr>
          <w:rFonts w:ascii="宋体" w:hAnsi="宋体"/>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⑴ 对照分析法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⑵ 专家评议法</w:t>
      </w:r>
    </w:p>
    <w:p>
      <w:pPr>
        <w:pStyle w:val="8"/>
        <w:spacing w:line="360" w:lineRule="auto"/>
        <w:ind w:firstLine="560"/>
        <w:rPr>
          <w:rFonts w:hint="eastAsia" w:ascii="宋体" w:hAnsi="宋体"/>
          <w:snapToGrid w:val="0"/>
          <w:kern w:val="0"/>
          <w:sz w:val="28"/>
          <w:szCs w:val="28"/>
        </w:rPr>
      </w:pPr>
      <w:r>
        <w:rPr>
          <w:rFonts w:ascii="宋体" w:hAnsi="宋体"/>
          <w:snapToGrid w:val="0"/>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kern w:val="0"/>
          <w:sz w:val="28"/>
          <w:szCs w:val="28"/>
        </w:rPr>
        <w:t>中技术</w:t>
      </w:r>
      <w:r>
        <w:rPr>
          <w:rFonts w:ascii="宋体" w:hAnsi="宋体"/>
          <w:snapToGrid w:val="0"/>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kern w:val="0"/>
          <w:sz w:val="32"/>
          <w:szCs w:val="32"/>
        </w:rPr>
      </w:pPr>
      <w:bookmarkStart w:id="66" w:name="_Toc345593159"/>
      <w:bookmarkStart w:id="67" w:name="_Toc332350845"/>
      <w:bookmarkStart w:id="68" w:name="_Toc480804389"/>
      <w:bookmarkStart w:id="69" w:name="_Toc19838"/>
      <w:bookmarkStart w:id="70" w:name="_Toc356401486"/>
      <w:bookmarkStart w:id="71" w:name="_Toc514342841"/>
      <w:bookmarkStart w:id="72" w:name="_Toc356380973"/>
      <w:bookmarkStart w:id="73" w:name="_Toc35078109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4 主要危险、有害物质特性分析</w:t>
      </w:r>
      <w:bookmarkEnd w:id="66"/>
      <w:bookmarkEnd w:id="67"/>
      <w:bookmarkEnd w:id="68"/>
      <w:bookmarkEnd w:id="69"/>
      <w:bookmarkEnd w:id="70"/>
      <w:bookmarkEnd w:id="71"/>
      <w:bookmarkEnd w:id="72"/>
    </w:p>
    <w:p>
      <w:pPr>
        <w:pStyle w:val="8"/>
        <w:spacing w:line="360" w:lineRule="auto"/>
        <w:ind w:firstLine="560"/>
        <w:rPr>
          <w:rFonts w:hint="eastAsia" w:ascii="宋体" w:hAnsi="宋体"/>
          <w:snapToGrid w:val="0"/>
          <w:kern w:val="0"/>
          <w:sz w:val="28"/>
          <w:szCs w:val="28"/>
        </w:rPr>
      </w:pPr>
      <w:r>
        <w:rPr>
          <w:rFonts w:hint="eastAsia" w:ascii="宋体" w:hAnsi="宋体"/>
          <w:snapToGrid w:val="0"/>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kern w:val="0"/>
          <w:sz w:val="28"/>
          <w:szCs w:val="28"/>
        </w:rPr>
      </w:pPr>
      <w:bookmarkStart w:id="74" w:name="_Toc514342842"/>
      <w:bookmarkStart w:id="75" w:name="_Toc480804390"/>
      <w:bookmarkStart w:id="76" w:name="_Toc356380974"/>
      <w:bookmarkStart w:id="77" w:name="_Toc356401487"/>
      <w:bookmarkStart w:id="78" w:name="_Toc73"/>
      <w:bookmarkStart w:id="79" w:name="_Toc33235084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4.1 煤</w:t>
      </w:r>
      <w:bookmarkEnd w:id="74"/>
      <w:bookmarkEnd w:id="75"/>
      <w:bookmarkEnd w:id="76"/>
      <w:bookmarkEnd w:id="77"/>
      <w:bookmarkEnd w:id="78"/>
      <w:bookmarkEnd w:id="79"/>
    </w:p>
    <w:p>
      <w:pPr>
        <w:spacing w:line="360" w:lineRule="auto"/>
        <w:ind w:firstLine="560" w:firstLineChars="200"/>
        <w:rPr>
          <w:rFonts w:hint="eastAsia" w:ascii="宋体" w:hAnsi="宋体"/>
          <w:sz w:val="28"/>
          <w:szCs w:val="28"/>
        </w:rPr>
      </w:pPr>
      <w:r>
        <w:rPr>
          <w:rFonts w:hint="eastAsia" w:ascii="宋体" w:hAnsi="宋体"/>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kern w:val="0"/>
          <w:sz w:val="28"/>
          <w:szCs w:val="28"/>
        </w:rPr>
      </w:pPr>
      <w:bookmarkStart w:id="80" w:name="_Toc356401488"/>
      <w:bookmarkStart w:id="81" w:name="_Toc514342843"/>
      <w:bookmarkStart w:id="82" w:name="_Toc480804391"/>
      <w:bookmarkStart w:id="83" w:name="_Toc31582"/>
      <w:bookmarkStart w:id="84" w:name="_Toc356380975"/>
      <w:bookmarkStart w:id="85" w:name="_Toc33235084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4.2 柴油</w:t>
      </w:r>
      <w:bookmarkEnd w:id="80"/>
      <w:bookmarkEnd w:id="81"/>
      <w:bookmarkEnd w:id="82"/>
      <w:bookmarkEnd w:id="83"/>
      <w:bookmarkEnd w:id="84"/>
      <w:bookmarkEnd w:id="85"/>
    </w:p>
    <w:p>
      <w:pPr>
        <w:adjustRightInd w:val="0"/>
        <w:snapToGrid w:val="0"/>
        <w:spacing w:line="360" w:lineRule="auto"/>
        <w:ind w:firstLine="560" w:firstLineChars="200"/>
        <w:rPr>
          <w:rFonts w:hint="eastAsia"/>
          <w:sz w:val="28"/>
          <w:szCs w:val="28"/>
        </w:rPr>
      </w:pPr>
      <w:r>
        <w:rPr>
          <w:rFonts w:hint="eastAsia"/>
          <w:sz w:val="28"/>
          <w:szCs w:val="28"/>
        </w:rPr>
        <w:t>柴油主要是由烷烃、烯烃、芳香烃、多环芳烃与少量硫（2~60</w:t>
      </w:r>
      <w:r>
        <w:rPr>
          <w:sz w:val="28"/>
          <w:szCs w:val="28"/>
        </w:rPr>
        <w:t>g/Kg</w:t>
      </w:r>
      <w:r>
        <w:rPr>
          <w:rFonts w:hint="eastAsia"/>
          <w:sz w:val="28"/>
          <w:szCs w:val="28"/>
        </w:rPr>
        <w:t>）、氮（＜1</w:t>
      </w:r>
      <w:r>
        <w:rPr>
          <w:sz w:val="28"/>
          <w:szCs w:val="28"/>
        </w:rPr>
        <w:t xml:space="preserve"> g/Kg</w:t>
      </w:r>
      <w:r>
        <w:rPr>
          <w:rFonts w:hint="eastAsia"/>
          <w:sz w:val="28"/>
          <w:szCs w:val="28"/>
        </w:rPr>
        <w:t>）及添加剂组成的混合物。以燃料油为例：白色或淡黄色液体，相对密度0.85；熔点</w:t>
      </w:r>
      <w:r>
        <w:rPr>
          <w:sz w:val="28"/>
          <w:szCs w:val="28"/>
        </w:rPr>
        <w:t>--</w:t>
      </w:r>
      <w:r>
        <w:rPr>
          <w:rFonts w:hint="eastAsia"/>
          <w:sz w:val="28"/>
          <w:szCs w:val="28"/>
        </w:rPr>
        <w:t>29.56℃，沸点180~370℃，闪点40℃，蒸气密度4，蒸气压4.0</w:t>
      </w:r>
      <w:r>
        <w:rPr>
          <w:sz w:val="28"/>
          <w:szCs w:val="28"/>
        </w:rPr>
        <w:t>Kpa</w:t>
      </w:r>
      <w:r>
        <w:rPr>
          <w:rFonts w:hint="eastAsia"/>
          <w:sz w:val="28"/>
          <w:szCs w:val="28"/>
        </w:rPr>
        <w:t>。</w:t>
      </w:r>
    </w:p>
    <w:p>
      <w:pPr>
        <w:adjustRightInd w:val="0"/>
        <w:snapToGrid w:val="0"/>
        <w:spacing w:line="360" w:lineRule="auto"/>
        <w:ind w:firstLine="560" w:firstLineChars="200"/>
        <w:rPr>
          <w:rFonts w:hint="eastAsia"/>
          <w:sz w:val="28"/>
          <w:szCs w:val="28"/>
        </w:rPr>
      </w:pPr>
      <w:r>
        <w:rPr>
          <w:rFonts w:hint="eastAsia"/>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sz w:val="28"/>
          <w:szCs w:val="28"/>
        </w:rPr>
      </w:pPr>
      <w:r>
        <w:rPr>
          <w:rFonts w:hint="eastAsia"/>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sz w:val="28"/>
          <w:szCs w:val="28"/>
        </w:rPr>
      </w:pPr>
      <w:r>
        <w:rPr>
          <w:rFonts w:hint="eastAsia"/>
          <w:sz w:val="28"/>
          <w:szCs w:val="28"/>
        </w:rPr>
        <w:t>灭火剂：泡沫、干粉、二氧化碳、砂土。</w:t>
      </w:r>
    </w:p>
    <w:p>
      <w:pPr>
        <w:adjustRightInd w:val="0"/>
        <w:snapToGrid w:val="0"/>
        <w:spacing w:line="360" w:lineRule="auto"/>
        <w:ind w:firstLine="560" w:firstLineChars="200"/>
        <w:rPr>
          <w:rFonts w:hint="eastAsia"/>
          <w:sz w:val="28"/>
          <w:szCs w:val="28"/>
        </w:rPr>
      </w:pPr>
      <w:r>
        <w:rPr>
          <w:rFonts w:hint="eastAsia"/>
          <w:sz w:val="28"/>
          <w:szCs w:val="28"/>
        </w:rPr>
        <w:t>着火性、流动性和凝点是柴油性能的重要指标。</w:t>
      </w:r>
    </w:p>
    <w:p>
      <w:pPr>
        <w:pStyle w:val="8"/>
        <w:spacing w:line="360" w:lineRule="auto"/>
        <w:ind w:firstLine="0" w:firstLineChars="0"/>
        <w:outlineLvl w:val="2"/>
        <w:rPr>
          <w:rFonts w:hint="eastAsia" w:ascii="宋体" w:hAnsi="宋体"/>
          <w:b/>
          <w:snapToGrid w:val="0"/>
          <w:kern w:val="0"/>
          <w:sz w:val="28"/>
          <w:szCs w:val="28"/>
        </w:rPr>
      </w:pPr>
      <w:bookmarkStart w:id="86" w:name="_Toc514342844"/>
      <w:bookmarkStart w:id="87" w:name="_Toc332350848"/>
      <w:bookmarkStart w:id="88" w:name="_Toc356401489"/>
      <w:bookmarkStart w:id="89" w:name="_Toc23536"/>
      <w:bookmarkStart w:id="90" w:name="_Toc356380976"/>
      <w:bookmarkStart w:id="91" w:name="_Toc48080439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4.3 一氧化碳</w:t>
      </w:r>
      <w:bookmarkEnd w:id="86"/>
      <w:bookmarkEnd w:id="87"/>
      <w:bookmarkEnd w:id="88"/>
      <w:bookmarkEnd w:id="89"/>
      <w:bookmarkEnd w:id="90"/>
      <w:bookmarkEnd w:id="91"/>
    </w:p>
    <w:p>
      <w:pPr>
        <w:adjustRightInd w:val="0"/>
        <w:snapToGrid w:val="0"/>
        <w:spacing w:line="360" w:lineRule="auto"/>
        <w:ind w:firstLine="560" w:firstLineChars="200"/>
        <w:rPr>
          <w:rFonts w:hint="eastAsia"/>
          <w:sz w:val="28"/>
          <w:szCs w:val="28"/>
        </w:rPr>
      </w:pPr>
      <w:r>
        <w:rPr>
          <w:rFonts w:hint="eastAsia"/>
          <w:sz w:val="28"/>
          <w:szCs w:val="28"/>
        </w:rPr>
        <w:t xml:space="preserve">英文名：Carbon  Monoxide               分子式：CO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性状：无色、无味气体；                 熔点：-199．1℃   </w:t>
      </w:r>
    </w:p>
    <w:p>
      <w:pPr>
        <w:adjustRightInd w:val="0"/>
        <w:snapToGrid w:val="0"/>
        <w:spacing w:line="360" w:lineRule="auto"/>
        <w:ind w:firstLine="560" w:firstLineChars="200"/>
        <w:rPr>
          <w:rFonts w:hint="eastAsia"/>
          <w:sz w:val="28"/>
          <w:szCs w:val="28"/>
        </w:rPr>
      </w:pPr>
      <w:r>
        <w:rPr>
          <w:rFonts w:hint="eastAsia"/>
          <w:sz w:val="28"/>
          <w:szCs w:val="28"/>
        </w:rPr>
        <w:t xml:space="preserve">沸点：-192℃                           相对密度：0．97   </w:t>
      </w:r>
    </w:p>
    <w:p>
      <w:pPr>
        <w:adjustRightInd w:val="0"/>
        <w:snapToGrid w:val="0"/>
        <w:spacing w:line="360" w:lineRule="auto"/>
        <w:ind w:firstLine="560" w:firstLineChars="200"/>
        <w:rPr>
          <w:rFonts w:hint="eastAsia"/>
          <w:sz w:val="28"/>
          <w:szCs w:val="28"/>
        </w:rPr>
      </w:pPr>
      <w:r>
        <w:rPr>
          <w:rFonts w:hint="eastAsia"/>
          <w:sz w:val="28"/>
          <w:szCs w:val="28"/>
        </w:rPr>
        <w:t>危险性类别：第2.易燃气体               危编号：21005</w:t>
      </w:r>
    </w:p>
    <w:p>
      <w:pPr>
        <w:adjustRightInd w:val="0"/>
        <w:snapToGrid w:val="0"/>
        <w:spacing w:line="360" w:lineRule="auto"/>
        <w:ind w:firstLine="560" w:firstLineChars="200"/>
        <w:rPr>
          <w:rFonts w:hint="eastAsia"/>
          <w:sz w:val="28"/>
          <w:szCs w:val="28"/>
        </w:rPr>
      </w:pPr>
      <w:r>
        <w:rPr>
          <w:rFonts w:hint="eastAsia"/>
          <w:sz w:val="28"/>
          <w:szCs w:val="28"/>
        </w:rPr>
        <w:t>un：1016(气体)                     爆炸极限：12</w:t>
      </w:r>
      <w:r>
        <w:rPr>
          <w:sz w:val="28"/>
          <w:szCs w:val="28"/>
        </w:rPr>
        <w:t>.</w:t>
      </w:r>
      <w:r>
        <w:rPr>
          <w:rFonts w:hint="eastAsia"/>
          <w:sz w:val="28"/>
          <w:szCs w:val="28"/>
        </w:rPr>
        <w:t>5~74％（V）</w:t>
      </w:r>
    </w:p>
    <w:p>
      <w:pPr>
        <w:adjustRightInd w:val="0"/>
        <w:snapToGrid w:val="0"/>
        <w:spacing w:line="360" w:lineRule="auto"/>
        <w:ind w:firstLine="560" w:firstLineChars="200"/>
        <w:rPr>
          <w:rFonts w:hint="eastAsia"/>
          <w:sz w:val="28"/>
          <w:szCs w:val="28"/>
        </w:rPr>
      </w:pPr>
      <w:r>
        <w:rPr>
          <w:rFonts w:hint="eastAsia"/>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sz w:val="28"/>
          <w:szCs w:val="28"/>
        </w:rPr>
      </w:pPr>
      <w:r>
        <w:rPr>
          <w:rFonts w:hint="eastAsia"/>
          <w:sz w:val="28"/>
          <w:szCs w:val="28"/>
        </w:rPr>
        <w:t>健康危害：一氧化碳在血液中与血红蛋白结合而造成组织缺氧。</w:t>
      </w:r>
    </w:p>
    <w:p>
      <w:pPr>
        <w:adjustRightInd w:val="0"/>
        <w:snapToGrid w:val="0"/>
        <w:spacing w:line="360" w:lineRule="auto"/>
        <w:ind w:firstLine="560" w:firstLineChars="200"/>
        <w:rPr>
          <w:rFonts w:hint="eastAsia"/>
          <w:sz w:val="28"/>
          <w:szCs w:val="28"/>
        </w:rPr>
      </w:pPr>
      <w:r>
        <w:rPr>
          <w:rFonts w:hint="eastAsia"/>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kern w:val="0"/>
          <w:sz w:val="28"/>
          <w:szCs w:val="28"/>
        </w:rPr>
      </w:pPr>
      <w:bookmarkStart w:id="92" w:name="_Toc356401490"/>
      <w:bookmarkStart w:id="93" w:name="_Toc332350849"/>
      <w:bookmarkStart w:id="94" w:name="_Toc356380977"/>
      <w:bookmarkStart w:id="95" w:name="_Toc480804393"/>
      <w:bookmarkStart w:id="96" w:name="_Toc24633"/>
      <w:bookmarkStart w:id="97" w:name="_Toc51434284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4.4 二氧化碳</w:t>
      </w:r>
      <w:bookmarkEnd w:id="92"/>
      <w:bookmarkEnd w:id="93"/>
      <w:bookmarkEnd w:id="94"/>
      <w:bookmarkEnd w:id="95"/>
      <w:bookmarkEnd w:id="96"/>
      <w:bookmarkEnd w:id="97"/>
      <w:r>
        <w:rPr>
          <w:rFonts w:hint="eastAsia" w:ascii="宋体" w:hAnsi="宋体"/>
          <w:b/>
          <w:snapToGrid w:val="0"/>
          <w:kern w:val="0"/>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英文名：Carbon  Dioxide             分子式：C02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性状：无色、无味、不燃的气体        熔点：-56．6℃   </w:t>
      </w:r>
    </w:p>
    <w:p>
      <w:pPr>
        <w:adjustRightInd w:val="0"/>
        <w:snapToGrid w:val="0"/>
        <w:spacing w:line="360" w:lineRule="auto"/>
        <w:ind w:firstLine="560" w:firstLineChars="200"/>
        <w:rPr>
          <w:rFonts w:hint="eastAsia"/>
          <w:sz w:val="28"/>
          <w:szCs w:val="28"/>
        </w:rPr>
      </w:pPr>
      <w:r>
        <w:rPr>
          <w:rFonts w:hint="eastAsia"/>
          <w:sz w:val="28"/>
          <w:szCs w:val="28"/>
        </w:rPr>
        <w:t>沸点：-78．5℃(升华)           危险性类别：第2.2不燃气体</w:t>
      </w:r>
    </w:p>
    <w:p>
      <w:pPr>
        <w:adjustRightInd w:val="0"/>
        <w:snapToGrid w:val="0"/>
        <w:spacing w:line="360" w:lineRule="auto"/>
        <w:ind w:firstLine="560" w:firstLineChars="200"/>
        <w:rPr>
          <w:rFonts w:hint="eastAsia"/>
          <w:sz w:val="28"/>
          <w:szCs w:val="28"/>
        </w:rPr>
      </w:pPr>
      <w:r>
        <w:rPr>
          <w:rFonts w:hint="eastAsia"/>
          <w:sz w:val="28"/>
          <w:szCs w:val="28"/>
        </w:rPr>
        <w:t>危编号：22019                        un：1013（气体）</w:t>
      </w:r>
    </w:p>
    <w:p>
      <w:pPr>
        <w:adjustRightInd w:val="0"/>
        <w:snapToGrid w:val="0"/>
        <w:spacing w:line="360" w:lineRule="auto"/>
        <w:ind w:firstLine="560" w:firstLineChars="200"/>
        <w:rPr>
          <w:rFonts w:hint="eastAsia"/>
          <w:sz w:val="28"/>
          <w:szCs w:val="28"/>
        </w:rPr>
      </w:pPr>
      <w:r>
        <w:rPr>
          <w:rFonts w:hint="eastAsia"/>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sz w:val="28"/>
          <w:szCs w:val="28"/>
        </w:rPr>
      </w:pPr>
      <w:r>
        <w:rPr>
          <w:rFonts w:hint="eastAsia"/>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sz w:val="28"/>
          <w:szCs w:val="28"/>
        </w:rPr>
      </w:pPr>
      <w:r>
        <w:rPr>
          <w:rFonts w:hint="eastAsia"/>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sz w:val="28"/>
          <w:szCs w:val="28"/>
        </w:rPr>
      </w:pPr>
      <w:r>
        <w:rPr>
          <w:rFonts w:hint="eastAsia"/>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kern w:val="0"/>
          <w:sz w:val="28"/>
          <w:szCs w:val="28"/>
        </w:rPr>
      </w:pPr>
      <w:bookmarkStart w:id="98" w:name="_Toc514342846"/>
      <w:bookmarkStart w:id="99" w:name="_Toc332350850"/>
      <w:bookmarkStart w:id="100" w:name="_Toc356401491"/>
      <w:bookmarkStart w:id="101" w:name="_Toc356380978"/>
      <w:bookmarkStart w:id="102" w:name="_Toc480804394"/>
      <w:bookmarkStart w:id="103" w:name="_Toc2023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4.5 二氧化硫（三氧化硫参考）</w:t>
      </w:r>
      <w:bookmarkEnd w:id="98"/>
      <w:bookmarkEnd w:id="99"/>
      <w:bookmarkEnd w:id="100"/>
      <w:bookmarkEnd w:id="101"/>
      <w:bookmarkEnd w:id="102"/>
      <w:bookmarkEnd w:id="103"/>
    </w:p>
    <w:p>
      <w:pPr>
        <w:adjustRightInd w:val="0"/>
        <w:snapToGrid w:val="0"/>
        <w:spacing w:line="360" w:lineRule="auto"/>
        <w:ind w:firstLine="560" w:firstLineChars="200"/>
        <w:rPr>
          <w:rFonts w:hint="eastAsia"/>
          <w:sz w:val="28"/>
          <w:szCs w:val="28"/>
        </w:rPr>
      </w:pPr>
      <w:r>
        <w:rPr>
          <w:rFonts w:hint="eastAsia"/>
          <w:sz w:val="28"/>
          <w:szCs w:val="28"/>
        </w:rPr>
        <w:t>英文名：（S</w:t>
      </w:r>
      <w:r>
        <w:rPr>
          <w:sz w:val="28"/>
          <w:szCs w:val="28"/>
        </w:rPr>
        <w:t xml:space="preserve">ulfur  </w:t>
      </w:r>
      <w:r>
        <w:rPr>
          <w:rFonts w:hint="eastAsia"/>
          <w:sz w:val="28"/>
          <w:szCs w:val="28"/>
        </w:rPr>
        <w:t>D</w:t>
      </w:r>
      <w:r>
        <w:rPr>
          <w:sz w:val="28"/>
          <w:szCs w:val="28"/>
        </w:rPr>
        <w:t>ioxide</w:t>
      </w:r>
      <w:r>
        <w:rPr>
          <w:rFonts w:hint="eastAsia"/>
          <w:sz w:val="28"/>
          <w:szCs w:val="28"/>
        </w:rPr>
        <w:t>）           分子式：</w:t>
      </w:r>
      <w:r>
        <w:rPr>
          <w:sz w:val="28"/>
          <w:szCs w:val="28"/>
        </w:rPr>
        <w:t>SO2</w:t>
      </w:r>
      <w:r>
        <w:rPr>
          <w:rFonts w:hint="eastAsia"/>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sz w:val="28"/>
          <w:szCs w:val="28"/>
        </w:rPr>
      </w:pPr>
      <w:r>
        <w:rPr>
          <w:rFonts w:hint="eastAsia"/>
          <w:sz w:val="28"/>
          <w:szCs w:val="28"/>
        </w:rPr>
        <w:t>熔点：</w:t>
      </w:r>
      <w:r>
        <w:rPr>
          <w:sz w:val="28"/>
          <w:szCs w:val="28"/>
        </w:rPr>
        <w:t>-75.5</w:t>
      </w:r>
      <w:r>
        <w:rPr>
          <w:rFonts w:hint="eastAsia"/>
          <w:sz w:val="28"/>
          <w:szCs w:val="28"/>
        </w:rPr>
        <w:t xml:space="preserve"> ℃                       沸点：</w:t>
      </w:r>
      <w:r>
        <w:rPr>
          <w:sz w:val="28"/>
          <w:szCs w:val="28"/>
        </w:rPr>
        <w:t>-10</w:t>
      </w:r>
      <w:r>
        <w:rPr>
          <w:rFonts w:hint="eastAsia"/>
          <w:sz w:val="28"/>
          <w:szCs w:val="28"/>
        </w:rPr>
        <w:t xml:space="preserve"> ℃  </w:t>
      </w:r>
    </w:p>
    <w:p>
      <w:pPr>
        <w:adjustRightInd w:val="0"/>
        <w:snapToGrid w:val="0"/>
        <w:spacing w:line="360" w:lineRule="auto"/>
        <w:ind w:firstLine="560" w:firstLineChars="200"/>
        <w:rPr>
          <w:rFonts w:hint="eastAsia"/>
          <w:sz w:val="28"/>
          <w:szCs w:val="28"/>
        </w:rPr>
      </w:pPr>
      <w:r>
        <w:rPr>
          <w:rFonts w:hint="eastAsia"/>
          <w:sz w:val="28"/>
          <w:szCs w:val="28"/>
        </w:rPr>
        <w:t xml:space="preserve">危险性类别：第2.3有毒气体           危编号： </w:t>
      </w:r>
      <w:r>
        <w:rPr>
          <w:sz w:val="28"/>
          <w:szCs w:val="28"/>
        </w:rPr>
        <w:t>23013</w:t>
      </w:r>
    </w:p>
    <w:p>
      <w:pPr>
        <w:adjustRightInd w:val="0"/>
        <w:snapToGrid w:val="0"/>
        <w:spacing w:line="360" w:lineRule="auto"/>
        <w:ind w:firstLine="560" w:firstLineChars="200"/>
        <w:rPr>
          <w:rFonts w:hint="eastAsia"/>
          <w:sz w:val="28"/>
          <w:szCs w:val="28"/>
        </w:rPr>
      </w:pPr>
      <w:r>
        <w:rPr>
          <w:sz w:val="28"/>
          <w:szCs w:val="28"/>
        </w:rPr>
        <w:t>UN</w:t>
      </w:r>
      <w:r>
        <w:rPr>
          <w:rFonts w:hint="eastAsia"/>
          <w:sz w:val="28"/>
          <w:szCs w:val="28"/>
        </w:rPr>
        <w:t>：1079                    相对密度：</w:t>
      </w:r>
      <w:r>
        <w:rPr>
          <w:sz w:val="28"/>
          <w:szCs w:val="28"/>
        </w:rPr>
        <w:t>1.43</w:t>
      </w:r>
      <w:r>
        <w:rPr>
          <w:rFonts w:hint="eastAsia"/>
          <w:sz w:val="28"/>
          <w:szCs w:val="28"/>
        </w:rPr>
        <w:t>（液化）；</w:t>
      </w:r>
      <w:r>
        <w:rPr>
          <w:sz w:val="28"/>
          <w:szCs w:val="28"/>
        </w:rPr>
        <w:t>2.26</w:t>
      </w:r>
      <w:r>
        <w:rPr>
          <w:rFonts w:hint="eastAsia"/>
          <w:sz w:val="28"/>
          <w:szCs w:val="28"/>
        </w:rPr>
        <w:t>（气）</w:t>
      </w:r>
    </w:p>
    <w:p>
      <w:pPr>
        <w:adjustRightInd w:val="0"/>
        <w:snapToGrid w:val="0"/>
        <w:spacing w:line="360" w:lineRule="auto"/>
        <w:ind w:firstLine="560" w:firstLineChars="200"/>
        <w:rPr>
          <w:sz w:val="28"/>
          <w:szCs w:val="28"/>
        </w:rPr>
      </w:pPr>
      <w:r>
        <w:rPr>
          <w:rFonts w:hint="eastAsia"/>
          <w:sz w:val="28"/>
          <w:szCs w:val="28"/>
        </w:rPr>
        <w:t>空气中允许极限：中国</w:t>
      </w:r>
      <w:r>
        <w:rPr>
          <w:sz w:val="28"/>
          <w:szCs w:val="28"/>
        </w:rPr>
        <w:t>MAC</w:t>
      </w:r>
      <w:r>
        <w:rPr>
          <w:rFonts w:hint="eastAsia"/>
          <w:sz w:val="28"/>
          <w:szCs w:val="28"/>
        </w:rPr>
        <w:t>：</w:t>
      </w:r>
      <w:r>
        <w:rPr>
          <w:sz w:val="28"/>
          <w:szCs w:val="28"/>
        </w:rPr>
        <w:t>15mg/m3</w:t>
      </w:r>
    </w:p>
    <w:p>
      <w:pPr>
        <w:adjustRightInd w:val="0"/>
        <w:snapToGrid w:val="0"/>
        <w:spacing w:line="360" w:lineRule="auto"/>
        <w:ind w:firstLine="560" w:firstLineChars="200"/>
        <w:rPr>
          <w:sz w:val="28"/>
          <w:szCs w:val="28"/>
        </w:rPr>
      </w:pPr>
      <w:r>
        <w:rPr>
          <w:rFonts w:hint="eastAsia"/>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sz w:val="28"/>
          <w:szCs w:val="28"/>
        </w:rPr>
      </w:pPr>
      <w:r>
        <w:rPr>
          <w:rFonts w:hint="eastAsia"/>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sz w:val="28"/>
          <w:szCs w:val="28"/>
        </w:rPr>
      </w:pPr>
      <w:r>
        <w:rPr>
          <w:rFonts w:hint="eastAsia"/>
          <w:sz w:val="28"/>
          <w:szCs w:val="28"/>
        </w:rPr>
        <w:t xml:space="preserve">防护措施：戴护目镜，穿防护服；选用适当呼吸器；提供应急眼药水；定期检查皮肤、眼睛及呼吸系统 </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04" w:name="_Toc515659433"/>
      <w:bookmarkStart w:id="105" w:name="_Toc1641"/>
      <w:r>
        <w:rPr>
          <w:rFonts w:hint="eastAsia" w:ascii="宋体" w:hAnsi="宋体"/>
          <w:b/>
          <w:snapToGrid w:val="0"/>
          <w:kern w:val="0"/>
          <w:sz w:val="28"/>
          <w:szCs w:val="28"/>
          <w:lang w:val="en-US" w:eastAsia="zh-CN"/>
        </w:rPr>
        <w:t>3.4.6 柴油安全数据表</w:t>
      </w:r>
      <w:bookmarkEnd w:id="104"/>
      <w:bookmarkEnd w:id="105"/>
    </w:p>
    <w:p>
      <w:pPr>
        <w:jc w:val="center"/>
        <w:rPr>
          <w:rFonts w:ascii="黑体" w:hAnsi="黑体" w:eastAsia="黑体"/>
          <w:b/>
          <w:sz w:val="24"/>
        </w:rPr>
      </w:pPr>
      <w:r>
        <w:rPr>
          <w:rFonts w:ascii="黑体" w:hAnsi="黑体" w:eastAsia="黑体"/>
          <w:b/>
          <w:sz w:val="24"/>
        </w:rPr>
        <w:t>表3-</w:t>
      </w:r>
      <w:r>
        <w:rPr>
          <w:rFonts w:hint="eastAsia" w:ascii="黑体" w:hAnsi="黑体" w:eastAsia="黑体"/>
          <w:b/>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标</w:t>
            </w:r>
          </w:p>
          <w:p>
            <w:pPr>
              <w:adjustRightInd w:val="0"/>
              <w:snapToGrid w:val="0"/>
              <w:jc w:val="left"/>
              <w:rPr>
                <w:rFonts w:ascii="宋体" w:hAnsi="宋体"/>
                <w:szCs w:val="21"/>
              </w:rPr>
            </w:pPr>
            <w:r>
              <w:rPr>
                <w:rFonts w:ascii="宋体" w:hAnsi="宋体"/>
                <w:b/>
                <w:bCs/>
                <w:szCs w:val="21"/>
              </w:rPr>
              <w:t>识</w:t>
            </w:r>
          </w:p>
        </w:tc>
        <w:tc>
          <w:tcPr>
            <w:tcW w:w="7954" w:type="dxa"/>
            <w:noWrap w:val="0"/>
            <w:vAlign w:val="center"/>
          </w:tcPr>
          <w:p>
            <w:pPr>
              <w:adjustRightInd w:val="0"/>
              <w:snapToGrid w:val="0"/>
              <w:jc w:val="left"/>
              <w:rPr>
                <w:rFonts w:ascii="宋体" w:hAnsi="宋体"/>
                <w:szCs w:val="21"/>
              </w:rPr>
            </w:pPr>
            <w:r>
              <w:rPr>
                <w:rFonts w:ascii="宋体" w:hAnsi="宋体"/>
                <w:b/>
                <w:bCs/>
                <w:szCs w:val="21"/>
              </w:rPr>
              <w:t>中文名：</w:t>
            </w:r>
            <w:r>
              <w:rPr>
                <w:rFonts w:ascii="宋体" w:hAnsi="宋体"/>
                <w:szCs w:val="21"/>
              </w:rPr>
              <w:t xml:space="preserve">柴油              </w:t>
            </w:r>
            <w:r>
              <w:rPr>
                <w:rFonts w:ascii="宋体" w:hAnsi="宋体"/>
                <w:b/>
                <w:bCs/>
                <w:szCs w:val="21"/>
              </w:rPr>
              <w:t>英文名：</w:t>
            </w:r>
            <w:r>
              <w:rPr>
                <w:rFonts w:ascii="宋体" w:hAnsi="宋体"/>
                <w:szCs w:val="21"/>
              </w:rPr>
              <w:t>Diesel oil</w:t>
            </w:r>
          </w:p>
          <w:p>
            <w:pPr>
              <w:adjustRightInd w:val="0"/>
              <w:snapToGrid w:val="0"/>
              <w:jc w:val="left"/>
              <w:rPr>
                <w:rFonts w:hint="eastAsia" w:ascii="宋体" w:hAnsi="宋体"/>
                <w:szCs w:val="21"/>
              </w:rPr>
            </w:pPr>
            <w:r>
              <w:rPr>
                <w:rFonts w:ascii="宋体" w:hAnsi="宋体"/>
                <w:b/>
                <w:bCs/>
                <w:szCs w:val="21"/>
              </w:rPr>
              <w:t>CAS号：</w:t>
            </w:r>
            <w:r>
              <w:rPr>
                <w:rFonts w:hint="eastAsia" w:ascii="宋体" w:hAnsi="宋体"/>
                <w:szCs w:val="21"/>
              </w:rPr>
              <w:t>68334-30-5</w:t>
            </w:r>
            <w:r>
              <w:rPr>
                <w:rFonts w:ascii="宋体" w:hAnsi="宋体"/>
                <w:szCs w:val="21"/>
              </w:rPr>
              <w:t xml:space="preserve">            </w:t>
            </w:r>
            <w:r>
              <w:rPr>
                <w:rFonts w:ascii="宋体" w:hAnsi="宋体"/>
                <w:b/>
                <w:bCs/>
                <w:szCs w:val="21"/>
              </w:rPr>
              <w:t>UN号：</w:t>
            </w:r>
            <w:r>
              <w:rPr>
                <w:rFonts w:hint="eastAsia" w:ascii="宋体" w:hAnsi="宋体"/>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理</w:t>
            </w:r>
          </w:p>
          <w:p>
            <w:pPr>
              <w:adjustRightInd w:val="0"/>
              <w:snapToGrid w:val="0"/>
              <w:jc w:val="left"/>
              <w:rPr>
                <w:rFonts w:ascii="宋体" w:hAnsi="宋体"/>
                <w:b/>
                <w:bCs/>
                <w:szCs w:val="21"/>
              </w:rPr>
            </w:pPr>
            <w:r>
              <w:rPr>
                <w:rFonts w:ascii="宋体" w:hAnsi="宋体"/>
                <w:b/>
                <w:bCs/>
                <w:szCs w:val="21"/>
              </w:rPr>
              <w:t>化</w:t>
            </w:r>
          </w:p>
          <w:p>
            <w:pPr>
              <w:adjustRightInd w:val="0"/>
              <w:snapToGrid w:val="0"/>
              <w:jc w:val="left"/>
              <w:rPr>
                <w:rFonts w:ascii="宋体" w:hAnsi="宋体"/>
                <w:b/>
                <w:bCs/>
                <w:szCs w:val="21"/>
              </w:rPr>
            </w:pPr>
            <w:r>
              <w:rPr>
                <w:rFonts w:ascii="宋体" w:hAnsi="宋体"/>
                <w:b/>
                <w:bCs/>
                <w:szCs w:val="21"/>
              </w:rPr>
              <w:t>性</w:t>
            </w:r>
          </w:p>
          <w:p>
            <w:pPr>
              <w:adjustRightInd w:val="0"/>
              <w:snapToGrid w:val="0"/>
              <w:jc w:val="left"/>
              <w:rPr>
                <w:rFonts w:ascii="宋体" w:hAnsi="宋体"/>
                <w:szCs w:val="21"/>
              </w:rPr>
            </w:pPr>
            <w:r>
              <w:rPr>
                <w:rFonts w:ascii="宋体" w:hAnsi="宋体"/>
                <w:b/>
                <w:bCs/>
                <w:szCs w:val="21"/>
              </w:rPr>
              <w:t>质</w:t>
            </w:r>
          </w:p>
        </w:tc>
        <w:tc>
          <w:tcPr>
            <w:tcW w:w="7954" w:type="dxa"/>
            <w:noWrap w:val="0"/>
            <w:vAlign w:val="center"/>
          </w:tcPr>
          <w:p>
            <w:pPr>
              <w:adjustRightInd w:val="0"/>
              <w:snapToGrid w:val="0"/>
              <w:jc w:val="left"/>
              <w:rPr>
                <w:rFonts w:ascii="宋体" w:hAnsi="宋体"/>
                <w:szCs w:val="21"/>
              </w:rPr>
            </w:pPr>
            <w:r>
              <w:rPr>
                <w:rFonts w:ascii="宋体" w:hAnsi="宋体"/>
                <w:b/>
                <w:bCs/>
                <w:szCs w:val="21"/>
              </w:rPr>
              <w:t>外观与性状：</w:t>
            </w:r>
            <w:r>
              <w:rPr>
                <w:rFonts w:ascii="宋体" w:hAnsi="宋体"/>
                <w:szCs w:val="21"/>
              </w:rPr>
              <w:t>稍有粘性的浅黄至棕色液体。</w:t>
            </w:r>
          </w:p>
          <w:p>
            <w:pPr>
              <w:adjustRightInd w:val="0"/>
              <w:snapToGrid w:val="0"/>
              <w:jc w:val="left"/>
              <w:rPr>
                <w:rFonts w:ascii="宋体" w:hAnsi="宋体"/>
                <w:szCs w:val="21"/>
              </w:rPr>
            </w:pPr>
            <w:r>
              <w:rPr>
                <w:rFonts w:ascii="宋体" w:hAnsi="宋体"/>
                <w:b/>
                <w:bCs/>
                <w:szCs w:val="21"/>
              </w:rPr>
              <w:t>熔点(℃)：</w:t>
            </w:r>
            <w:r>
              <w:rPr>
                <w:rFonts w:ascii="宋体" w:hAnsi="宋体"/>
                <w:szCs w:val="21"/>
              </w:rPr>
              <w:t xml:space="preserve">-35～20          </w:t>
            </w:r>
            <w:r>
              <w:rPr>
                <w:rFonts w:ascii="宋体" w:hAnsi="宋体"/>
                <w:b/>
                <w:bCs/>
                <w:szCs w:val="21"/>
              </w:rPr>
              <w:t>相对密度（水=1.0）：</w:t>
            </w:r>
            <w:r>
              <w:rPr>
                <w:rFonts w:ascii="宋体" w:hAnsi="宋体"/>
                <w:szCs w:val="21"/>
              </w:rPr>
              <w:t>0.87～0.9</w:t>
            </w:r>
          </w:p>
          <w:p>
            <w:pPr>
              <w:adjustRightInd w:val="0"/>
              <w:snapToGrid w:val="0"/>
              <w:jc w:val="left"/>
              <w:rPr>
                <w:rFonts w:ascii="宋体" w:hAnsi="宋体"/>
                <w:szCs w:val="21"/>
              </w:rPr>
            </w:pPr>
            <w:r>
              <w:rPr>
                <w:rFonts w:ascii="宋体" w:hAnsi="宋体"/>
                <w:b/>
                <w:bCs/>
                <w:szCs w:val="21"/>
              </w:rPr>
              <w:t>沸程(℃)：</w:t>
            </w:r>
            <w:r>
              <w:rPr>
                <w:rFonts w:ascii="宋体" w:hAnsi="宋体"/>
                <w:szCs w:val="21"/>
              </w:rPr>
              <w:t xml:space="preserve">282～338         </w:t>
            </w:r>
            <w:r>
              <w:rPr>
                <w:rFonts w:ascii="宋体" w:hAnsi="宋体"/>
                <w:b/>
                <w:bCs/>
                <w:szCs w:val="21"/>
              </w:rPr>
              <w:t>相对密度(空气=1):</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 xml:space="preserve">闪点(℃): </w:t>
            </w:r>
            <w:r>
              <w:rPr>
                <w:rFonts w:ascii="宋体" w:hAnsi="宋体"/>
                <w:bCs/>
                <w:szCs w:val="21"/>
              </w:rPr>
              <w:t>&gt;55</w:t>
            </w:r>
            <w:r>
              <w:rPr>
                <w:rFonts w:ascii="宋体" w:hAnsi="宋体"/>
                <w:szCs w:val="21"/>
              </w:rPr>
              <w:t xml:space="preserve">              </w:t>
            </w:r>
            <w:r>
              <w:rPr>
                <w:rFonts w:ascii="宋体" w:hAnsi="宋体"/>
                <w:b/>
                <w:bCs/>
                <w:szCs w:val="21"/>
              </w:rPr>
              <w:t>引燃温度(℃)：</w:t>
            </w:r>
            <w:r>
              <w:rPr>
                <w:rFonts w:ascii="宋体" w:hAnsi="宋体"/>
                <w:szCs w:val="21"/>
              </w:rPr>
              <w:t>257</w:t>
            </w:r>
          </w:p>
          <w:p>
            <w:pPr>
              <w:adjustRightInd w:val="0"/>
              <w:snapToGrid w:val="0"/>
              <w:jc w:val="left"/>
              <w:rPr>
                <w:rFonts w:ascii="宋体" w:hAnsi="宋体"/>
                <w:szCs w:val="21"/>
              </w:rPr>
            </w:pPr>
            <w:r>
              <w:rPr>
                <w:rFonts w:ascii="宋体" w:hAnsi="宋体"/>
                <w:b/>
                <w:bCs/>
                <w:szCs w:val="21"/>
              </w:rPr>
              <w:t>爆炸下限[%(V/V)]:</w:t>
            </w:r>
            <w:r>
              <w:rPr>
                <w:rFonts w:ascii="宋体" w:hAnsi="宋体"/>
                <w:szCs w:val="21"/>
              </w:rPr>
              <w:t xml:space="preserve"> </w:t>
            </w:r>
            <w:r>
              <w:rPr>
                <w:rFonts w:hint="eastAsia" w:ascii="宋体" w:hAnsi="宋体"/>
                <w:szCs w:val="21"/>
              </w:rPr>
              <w:t>0.5</w:t>
            </w:r>
            <w:r>
              <w:rPr>
                <w:rFonts w:ascii="宋体" w:hAnsi="宋体"/>
                <w:szCs w:val="21"/>
              </w:rPr>
              <w:t xml:space="preserve">   </w:t>
            </w:r>
            <w:r>
              <w:rPr>
                <w:rFonts w:ascii="宋体" w:hAnsi="宋体"/>
                <w:b/>
                <w:bCs/>
                <w:szCs w:val="21"/>
              </w:rPr>
              <w:t>最小点火能(mJ):</w:t>
            </w:r>
            <w:r>
              <w:rPr>
                <w:rFonts w:ascii="宋体" w:hAnsi="宋体"/>
                <w:szCs w:val="21"/>
              </w:rPr>
              <w:t>无资料</w:t>
            </w:r>
          </w:p>
          <w:p>
            <w:pPr>
              <w:adjustRightInd w:val="0"/>
              <w:snapToGrid w:val="0"/>
              <w:jc w:val="left"/>
              <w:rPr>
                <w:rFonts w:ascii="宋体" w:hAnsi="宋体"/>
                <w:szCs w:val="21"/>
              </w:rPr>
            </w:pPr>
            <w:r>
              <w:rPr>
                <w:rFonts w:ascii="宋体" w:hAnsi="宋体"/>
                <w:b/>
                <w:bCs/>
                <w:szCs w:val="21"/>
              </w:rPr>
              <w:t>爆炸上限[%(V/V)]:</w:t>
            </w:r>
            <w:r>
              <w:rPr>
                <w:rFonts w:ascii="宋体" w:hAnsi="宋体"/>
                <w:szCs w:val="21"/>
              </w:rPr>
              <w:t xml:space="preserve"> </w:t>
            </w:r>
            <w:r>
              <w:rPr>
                <w:rFonts w:hint="eastAsia" w:ascii="宋体" w:hAnsi="宋体"/>
                <w:szCs w:val="21"/>
              </w:rPr>
              <w:t>4.5</w:t>
            </w:r>
            <w:r>
              <w:rPr>
                <w:rFonts w:ascii="宋体" w:hAnsi="宋体"/>
                <w:szCs w:val="21"/>
              </w:rPr>
              <w:t xml:space="preserve">   </w:t>
            </w:r>
            <w:r>
              <w:rPr>
                <w:rFonts w:ascii="宋体" w:hAnsi="宋体"/>
                <w:b/>
                <w:bCs/>
                <w:szCs w:val="21"/>
              </w:rPr>
              <w:t>最大爆炸压力(MPa):</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溶 解 性：</w:t>
            </w:r>
            <w:r>
              <w:rPr>
                <w:rFonts w:ascii="宋体" w:hAnsi="宋体"/>
                <w:szCs w:val="21"/>
              </w:rPr>
              <w:t>不溶于水,易溶于苯、二硫化碳、醇、脂肪。</w:t>
            </w:r>
          </w:p>
          <w:p>
            <w:pPr>
              <w:adjustRightInd w:val="0"/>
              <w:snapToGrid w:val="0"/>
              <w:jc w:val="left"/>
              <w:rPr>
                <w:rFonts w:ascii="宋体" w:hAnsi="宋体"/>
                <w:szCs w:val="21"/>
              </w:rPr>
            </w:pPr>
            <w:r>
              <w:rPr>
                <w:rFonts w:ascii="宋体" w:hAnsi="宋体"/>
                <w:b/>
                <w:bCs/>
                <w:szCs w:val="21"/>
              </w:rPr>
              <w:t>主要用途：</w:t>
            </w:r>
            <w:r>
              <w:rPr>
                <w:rFonts w:ascii="宋体" w:hAnsi="宋体"/>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燃</w:t>
            </w:r>
          </w:p>
          <w:p>
            <w:pPr>
              <w:adjustRightInd w:val="0"/>
              <w:snapToGrid w:val="0"/>
              <w:jc w:val="left"/>
              <w:rPr>
                <w:rFonts w:ascii="宋体" w:hAnsi="宋体"/>
                <w:szCs w:val="21"/>
              </w:rPr>
            </w:pPr>
            <w:r>
              <w:rPr>
                <w:rFonts w:ascii="宋体" w:hAnsi="宋体"/>
                <w:b/>
                <w:bCs/>
                <w:szCs w:val="21"/>
              </w:rPr>
              <w:t>烧</w:t>
            </w:r>
          </w:p>
          <w:p>
            <w:pPr>
              <w:adjustRightInd w:val="0"/>
              <w:snapToGrid w:val="0"/>
              <w:jc w:val="left"/>
              <w:rPr>
                <w:rFonts w:ascii="宋体" w:hAnsi="宋体"/>
                <w:b/>
                <w:bCs/>
                <w:szCs w:val="21"/>
              </w:rPr>
            </w:pPr>
            <w:r>
              <w:rPr>
                <w:rFonts w:ascii="宋体" w:hAnsi="宋体"/>
                <w:b/>
                <w:bCs/>
                <w:szCs w:val="21"/>
              </w:rPr>
              <w:t>爆</w:t>
            </w:r>
          </w:p>
          <w:p>
            <w:pPr>
              <w:adjustRightInd w:val="0"/>
              <w:snapToGrid w:val="0"/>
              <w:jc w:val="left"/>
              <w:rPr>
                <w:rFonts w:ascii="宋体" w:hAnsi="宋体"/>
                <w:b/>
                <w:bCs/>
                <w:szCs w:val="21"/>
              </w:rPr>
            </w:pPr>
            <w:r>
              <w:rPr>
                <w:rFonts w:ascii="宋体" w:hAnsi="宋体"/>
                <w:b/>
                <w:bCs/>
                <w:szCs w:val="21"/>
              </w:rPr>
              <w:t>炸</w:t>
            </w:r>
          </w:p>
          <w:p>
            <w:pPr>
              <w:adjustRightInd w:val="0"/>
              <w:snapToGrid w:val="0"/>
              <w:jc w:val="left"/>
              <w:rPr>
                <w:rFonts w:ascii="宋体" w:hAnsi="宋体"/>
                <w:b/>
                <w:bCs/>
                <w:szCs w:val="21"/>
              </w:rPr>
            </w:pPr>
            <w:r>
              <w:rPr>
                <w:rFonts w:ascii="宋体" w:hAnsi="宋体"/>
                <w:b/>
                <w:bCs/>
                <w:szCs w:val="21"/>
              </w:rPr>
              <w:t>危</w:t>
            </w:r>
          </w:p>
          <w:p>
            <w:pPr>
              <w:adjustRightInd w:val="0"/>
              <w:snapToGrid w:val="0"/>
              <w:jc w:val="left"/>
              <w:rPr>
                <w:rFonts w:ascii="宋体" w:hAnsi="宋体"/>
                <w:b/>
                <w:bCs/>
                <w:szCs w:val="21"/>
              </w:rPr>
            </w:pPr>
            <w:r>
              <w:rPr>
                <w:rFonts w:ascii="宋体" w:hAnsi="宋体"/>
                <w:b/>
                <w:bCs/>
                <w:szCs w:val="21"/>
              </w:rPr>
              <w:t>险</w:t>
            </w:r>
          </w:p>
          <w:p>
            <w:pPr>
              <w:adjustRightInd w:val="0"/>
              <w:snapToGrid w:val="0"/>
              <w:jc w:val="left"/>
              <w:rPr>
                <w:rFonts w:ascii="宋体" w:hAnsi="宋体"/>
                <w:szCs w:val="21"/>
              </w:rPr>
            </w:pPr>
            <w:r>
              <w:rPr>
                <w:rFonts w:ascii="宋体" w:hAnsi="宋体"/>
                <w:b/>
                <w:bCs/>
                <w:szCs w:val="21"/>
              </w:rPr>
              <w:t>性</w:t>
            </w:r>
          </w:p>
        </w:tc>
        <w:tc>
          <w:tcPr>
            <w:tcW w:w="7954" w:type="dxa"/>
            <w:noWrap w:val="0"/>
            <w:vAlign w:val="center"/>
          </w:tcPr>
          <w:p>
            <w:pPr>
              <w:adjustRightInd w:val="0"/>
              <w:snapToGrid w:val="0"/>
              <w:jc w:val="left"/>
              <w:rPr>
                <w:rFonts w:ascii="宋体" w:hAnsi="宋体"/>
                <w:szCs w:val="21"/>
              </w:rPr>
            </w:pPr>
            <w:r>
              <w:rPr>
                <w:rFonts w:ascii="宋体" w:hAnsi="宋体"/>
                <w:b/>
                <w:bCs/>
                <w:szCs w:val="21"/>
              </w:rPr>
              <w:t>燃 烧 性：</w:t>
            </w:r>
            <w:r>
              <w:rPr>
                <w:rFonts w:ascii="宋体" w:hAnsi="宋体"/>
                <w:szCs w:val="21"/>
              </w:rPr>
              <w:t>易燃。</w:t>
            </w:r>
          </w:p>
          <w:p>
            <w:pPr>
              <w:pStyle w:val="10"/>
              <w:ind w:left="420"/>
              <w:jc w:val="left"/>
              <w:rPr>
                <w:rFonts w:ascii="宋体" w:hAnsi="宋体"/>
                <w:szCs w:val="21"/>
              </w:rPr>
            </w:pPr>
            <w:r>
              <w:rPr>
                <w:rFonts w:ascii="宋体" w:hAnsi="宋体"/>
                <w:b/>
                <w:bCs/>
                <w:szCs w:val="21"/>
              </w:rPr>
              <w:t>危险特性：</w:t>
            </w:r>
            <w:r>
              <w:rPr>
                <w:rFonts w:ascii="宋体" w:hAnsi="宋体"/>
                <w:szCs w:val="21"/>
              </w:rPr>
              <w:t>遇明火、高热或与氧化剂接触,有引起燃烧爆炸的危险。若遇高热，容器内压力增大，有开裂和爆炸的危险。</w:t>
            </w:r>
          </w:p>
          <w:p>
            <w:pPr>
              <w:pStyle w:val="10"/>
              <w:ind w:left="420"/>
              <w:jc w:val="left"/>
              <w:rPr>
                <w:rFonts w:ascii="宋体" w:hAnsi="宋体"/>
                <w:szCs w:val="21"/>
              </w:rPr>
            </w:pPr>
            <w:r>
              <w:rPr>
                <w:rFonts w:ascii="宋体" w:hAnsi="宋体"/>
                <w:b/>
                <w:bCs/>
                <w:szCs w:val="21"/>
              </w:rPr>
              <w:t>有害燃烧产物：</w:t>
            </w:r>
            <w:r>
              <w:rPr>
                <w:rFonts w:ascii="宋体" w:hAnsi="宋体"/>
                <w:szCs w:val="21"/>
              </w:rPr>
              <w:t>一氧化碳、二氧化碳。</w:t>
            </w:r>
          </w:p>
          <w:p>
            <w:pPr>
              <w:adjustRightInd w:val="0"/>
              <w:snapToGrid w:val="0"/>
              <w:jc w:val="left"/>
              <w:rPr>
                <w:rFonts w:ascii="宋体" w:hAnsi="宋体"/>
                <w:szCs w:val="21"/>
              </w:rPr>
            </w:pPr>
            <w:r>
              <w:rPr>
                <w:rFonts w:ascii="宋体" w:hAnsi="宋体"/>
                <w:b/>
                <w:bCs/>
                <w:szCs w:val="21"/>
              </w:rPr>
              <w:t>稳 定 性：</w:t>
            </w:r>
            <w:r>
              <w:rPr>
                <w:rFonts w:ascii="宋体" w:hAnsi="宋体"/>
                <w:szCs w:val="21"/>
              </w:rPr>
              <w:t xml:space="preserve">稳定。           </w:t>
            </w:r>
            <w:r>
              <w:rPr>
                <w:rFonts w:ascii="宋体" w:hAnsi="宋体"/>
                <w:b/>
                <w:bCs/>
                <w:szCs w:val="21"/>
              </w:rPr>
              <w:t>聚合危害：</w:t>
            </w:r>
            <w:r>
              <w:rPr>
                <w:rFonts w:ascii="宋体" w:hAnsi="宋体"/>
                <w:szCs w:val="21"/>
              </w:rPr>
              <w:t>不聚合。</w:t>
            </w:r>
          </w:p>
          <w:p>
            <w:pPr>
              <w:adjustRightInd w:val="0"/>
              <w:snapToGrid w:val="0"/>
              <w:jc w:val="left"/>
              <w:rPr>
                <w:rFonts w:ascii="宋体" w:hAnsi="宋体"/>
                <w:szCs w:val="21"/>
              </w:rPr>
            </w:pPr>
            <w:r>
              <w:rPr>
                <w:rFonts w:ascii="宋体" w:hAnsi="宋体"/>
                <w:b/>
                <w:bCs/>
                <w:szCs w:val="21"/>
              </w:rPr>
              <w:t>禁 配 物：</w:t>
            </w:r>
            <w:r>
              <w:rPr>
                <w:rFonts w:ascii="宋体" w:hAnsi="宋体"/>
                <w:szCs w:val="21"/>
              </w:rPr>
              <w:t>强氧化剂、卤素。</w:t>
            </w:r>
          </w:p>
          <w:p>
            <w:pPr>
              <w:adjustRightInd w:val="0"/>
              <w:snapToGrid w:val="0"/>
              <w:jc w:val="left"/>
              <w:rPr>
                <w:rFonts w:ascii="宋体" w:hAnsi="宋体"/>
                <w:szCs w:val="21"/>
              </w:rPr>
            </w:pPr>
            <w:r>
              <w:rPr>
                <w:rFonts w:ascii="宋体" w:hAnsi="宋体"/>
                <w:b/>
                <w:bCs/>
                <w:szCs w:val="21"/>
              </w:rPr>
              <w:t>灭火方法：</w:t>
            </w:r>
            <w:r>
              <w:rPr>
                <w:rFonts w:ascii="宋体" w:hAnsi="宋体"/>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szCs w:val="21"/>
              </w:rPr>
            </w:pPr>
            <w:r>
              <w:rPr>
                <w:rFonts w:ascii="宋体" w:hAnsi="宋体"/>
                <w:b/>
                <w:bCs/>
                <w:szCs w:val="21"/>
              </w:rPr>
              <w:t>灭 火 剂：</w:t>
            </w:r>
            <w:r>
              <w:rPr>
                <w:rFonts w:ascii="宋体" w:hAnsi="宋体"/>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szCs w:val="21"/>
              </w:rPr>
            </w:pPr>
            <w:r>
              <w:rPr>
                <w:rFonts w:ascii="宋体" w:hAnsi="宋体"/>
                <w:b/>
                <w:bCs/>
                <w:szCs w:val="21"/>
              </w:rPr>
              <w:t>包</w:t>
            </w:r>
          </w:p>
          <w:p>
            <w:pPr>
              <w:adjustRightInd w:val="0"/>
              <w:snapToGrid w:val="0"/>
              <w:rPr>
                <w:rFonts w:ascii="宋体" w:hAnsi="宋体"/>
                <w:b/>
                <w:bCs/>
                <w:szCs w:val="21"/>
              </w:rPr>
            </w:pPr>
            <w:r>
              <w:rPr>
                <w:rFonts w:ascii="宋体" w:hAnsi="宋体"/>
                <w:b/>
                <w:bCs/>
                <w:szCs w:val="21"/>
              </w:rPr>
              <w:t>装</w:t>
            </w:r>
          </w:p>
          <w:p>
            <w:pPr>
              <w:adjustRightInd w:val="0"/>
              <w:snapToGrid w:val="0"/>
              <w:rPr>
                <w:rFonts w:ascii="宋体" w:hAnsi="宋体"/>
                <w:b/>
                <w:bCs/>
                <w:szCs w:val="21"/>
              </w:rPr>
            </w:pPr>
            <w:r>
              <w:rPr>
                <w:rFonts w:ascii="宋体" w:hAnsi="宋体"/>
                <w:b/>
                <w:bCs/>
                <w:szCs w:val="21"/>
              </w:rPr>
              <w:t>与</w:t>
            </w:r>
          </w:p>
          <w:p>
            <w:pPr>
              <w:adjustRightInd w:val="0"/>
              <w:snapToGrid w:val="0"/>
              <w:rPr>
                <w:rFonts w:ascii="宋体" w:hAnsi="宋体"/>
                <w:b/>
                <w:bCs/>
                <w:szCs w:val="21"/>
              </w:rPr>
            </w:pPr>
            <w:r>
              <w:rPr>
                <w:rFonts w:ascii="宋体" w:hAnsi="宋体"/>
                <w:b/>
                <w:bCs/>
                <w:szCs w:val="21"/>
              </w:rPr>
              <w:t>储</w:t>
            </w:r>
          </w:p>
          <w:p>
            <w:pPr>
              <w:adjustRightInd w:val="0"/>
              <w:snapToGrid w:val="0"/>
              <w:jc w:val="left"/>
              <w:rPr>
                <w:rFonts w:ascii="宋体" w:hAnsi="宋体"/>
                <w:b/>
                <w:bCs/>
                <w:szCs w:val="21"/>
              </w:rPr>
            </w:pPr>
            <w:r>
              <w:rPr>
                <w:rFonts w:ascii="宋体" w:hAnsi="宋体"/>
                <w:b/>
                <w:bCs/>
                <w:szCs w:val="21"/>
              </w:rPr>
              <w:t>运</w:t>
            </w:r>
          </w:p>
        </w:tc>
        <w:tc>
          <w:tcPr>
            <w:tcW w:w="7954" w:type="dxa"/>
            <w:noWrap w:val="0"/>
            <w:vAlign w:val="center"/>
          </w:tcPr>
          <w:p>
            <w:pPr>
              <w:adjustRightInd w:val="0"/>
              <w:snapToGrid w:val="0"/>
              <w:rPr>
                <w:rFonts w:ascii="宋体" w:hAnsi="宋体"/>
                <w:szCs w:val="21"/>
              </w:rPr>
            </w:pPr>
            <w:r>
              <w:rPr>
                <w:rFonts w:ascii="宋体" w:hAnsi="宋体"/>
                <w:b/>
                <w:bCs/>
                <w:szCs w:val="21"/>
              </w:rPr>
              <w:t>安全标志：</w:t>
            </w:r>
            <w:r>
              <w:rPr>
                <w:rFonts w:ascii="宋体" w:hAnsi="宋体"/>
                <w:szCs w:val="21"/>
              </w:rPr>
              <w:t xml:space="preserve">易燃液体        </w:t>
            </w:r>
            <w:r>
              <w:rPr>
                <w:rFonts w:ascii="宋体" w:hAnsi="宋体"/>
                <w:b/>
                <w:bCs/>
                <w:szCs w:val="21"/>
              </w:rPr>
              <w:t>包装类别：Ⅲ</w:t>
            </w:r>
            <w:r>
              <w:rPr>
                <w:rFonts w:ascii="宋体" w:hAnsi="宋体"/>
                <w:szCs w:val="21"/>
              </w:rPr>
              <w:t>类包装</w:t>
            </w:r>
          </w:p>
          <w:p>
            <w:pPr>
              <w:adjustRightInd w:val="0"/>
              <w:snapToGrid w:val="0"/>
              <w:rPr>
                <w:rFonts w:ascii="宋体" w:hAnsi="宋体"/>
                <w:szCs w:val="21"/>
              </w:rPr>
            </w:pPr>
            <w:r>
              <w:rPr>
                <w:rFonts w:ascii="宋体" w:hAnsi="宋体"/>
                <w:b/>
                <w:bCs/>
                <w:szCs w:val="21"/>
              </w:rPr>
              <w:t>储存注意事项：</w:t>
            </w:r>
            <w:r>
              <w:rPr>
                <w:rFonts w:ascii="宋体" w:hAnsi="宋体"/>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szCs w:val="21"/>
              </w:rPr>
            </w:pPr>
            <w:r>
              <w:rPr>
                <w:rFonts w:ascii="宋体" w:hAnsi="宋体"/>
                <w:b/>
                <w:bCs/>
                <w:szCs w:val="21"/>
              </w:rPr>
              <w:t>运输注意事项：</w:t>
            </w:r>
            <w:r>
              <w:rPr>
                <w:rFonts w:ascii="宋体" w:hAnsi="宋体"/>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毒</w:t>
            </w:r>
          </w:p>
          <w:p>
            <w:pPr>
              <w:adjustRightInd w:val="0"/>
              <w:snapToGrid w:val="0"/>
              <w:jc w:val="center"/>
              <w:rPr>
                <w:rFonts w:ascii="宋体" w:hAnsi="宋体"/>
                <w:b/>
                <w:bCs/>
                <w:szCs w:val="21"/>
              </w:rPr>
            </w:pPr>
            <w:r>
              <w:rPr>
                <w:rFonts w:ascii="宋体" w:hAnsi="宋体"/>
                <w:b/>
                <w:bCs/>
                <w:szCs w:val="21"/>
              </w:rPr>
              <w:t>性</w:t>
            </w:r>
          </w:p>
          <w:p>
            <w:pPr>
              <w:adjustRightInd w:val="0"/>
              <w:snapToGrid w:val="0"/>
              <w:jc w:val="center"/>
              <w:rPr>
                <w:rFonts w:ascii="宋体" w:hAnsi="宋体"/>
                <w:b/>
                <w:bCs/>
                <w:szCs w:val="21"/>
              </w:rPr>
            </w:pPr>
            <w:r>
              <w:rPr>
                <w:rFonts w:ascii="宋体" w:hAnsi="宋体"/>
                <w:b/>
                <w:bCs/>
                <w:szCs w:val="21"/>
              </w:rPr>
              <w:t>及</w:t>
            </w:r>
          </w:p>
          <w:p>
            <w:pPr>
              <w:adjustRightInd w:val="0"/>
              <w:snapToGrid w:val="0"/>
              <w:jc w:val="center"/>
              <w:rPr>
                <w:rFonts w:ascii="宋体" w:hAnsi="宋体"/>
                <w:b/>
                <w:bCs/>
                <w:szCs w:val="21"/>
              </w:rPr>
            </w:pPr>
            <w:r>
              <w:rPr>
                <w:rFonts w:ascii="宋体" w:hAnsi="宋体"/>
                <w:b/>
                <w:bCs/>
                <w:szCs w:val="21"/>
              </w:rPr>
              <w:t>健</w:t>
            </w:r>
          </w:p>
          <w:p>
            <w:pPr>
              <w:adjustRightInd w:val="0"/>
              <w:snapToGrid w:val="0"/>
              <w:jc w:val="center"/>
              <w:rPr>
                <w:rFonts w:ascii="宋体" w:hAnsi="宋体"/>
                <w:b/>
                <w:bCs/>
                <w:szCs w:val="21"/>
              </w:rPr>
            </w:pPr>
            <w:r>
              <w:rPr>
                <w:rFonts w:ascii="宋体" w:hAnsi="宋体"/>
                <w:b/>
                <w:bCs/>
                <w:szCs w:val="21"/>
              </w:rPr>
              <w:t>康</w:t>
            </w:r>
          </w:p>
          <w:p>
            <w:pPr>
              <w:adjustRightInd w:val="0"/>
              <w:snapToGrid w:val="0"/>
              <w:jc w:val="center"/>
              <w:rPr>
                <w:rFonts w:ascii="宋体" w:hAnsi="宋体"/>
                <w:b/>
                <w:bCs/>
                <w:szCs w:val="21"/>
              </w:rPr>
            </w:pPr>
            <w:r>
              <w:rPr>
                <w:rFonts w:ascii="宋体" w:hAnsi="宋体"/>
                <w:b/>
                <w:bCs/>
                <w:szCs w:val="21"/>
              </w:rPr>
              <w:t>危</w:t>
            </w:r>
          </w:p>
          <w:p>
            <w:pPr>
              <w:adjustRightInd w:val="0"/>
              <w:snapToGrid w:val="0"/>
              <w:jc w:val="center"/>
              <w:rPr>
                <w:rFonts w:ascii="宋体" w:hAnsi="宋体"/>
                <w:b/>
                <w:bCs/>
                <w:szCs w:val="21"/>
              </w:rPr>
            </w:pPr>
            <w:r>
              <w:rPr>
                <w:rFonts w:ascii="宋体" w:hAnsi="宋体"/>
                <w:b/>
                <w:bCs/>
                <w:szCs w:val="21"/>
              </w:rPr>
              <w:t>害</w:t>
            </w:r>
          </w:p>
          <w:p>
            <w:pPr>
              <w:adjustRightInd w:val="0"/>
              <w:snapToGrid w:val="0"/>
              <w:jc w:val="center"/>
              <w:rPr>
                <w:rFonts w:ascii="宋体" w:hAnsi="宋体"/>
                <w:szCs w:val="21"/>
              </w:rPr>
            </w:pPr>
            <w:r>
              <w:rPr>
                <w:rFonts w:ascii="宋体" w:hAnsi="宋体"/>
                <w:b/>
                <w:bCs/>
                <w:szCs w:val="21"/>
              </w:rPr>
              <w:t>性</w:t>
            </w:r>
          </w:p>
        </w:tc>
        <w:tc>
          <w:tcPr>
            <w:tcW w:w="7954" w:type="dxa"/>
            <w:noWrap w:val="0"/>
            <w:vAlign w:val="center"/>
          </w:tcPr>
          <w:p>
            <w:pPr>
              <w:adjustRightInd w:val="0"/>
              <w:snapToGrid w:val="0"/>
              <w:rPr>
                <w:rFonts w:ascii="宋体" w:hAnsi="宋体"/>
                <w:szCs w:val="21"/>
              </w:rPr>
            </w:pPr>
            <w:r>
              <w:rPr>
                <w:rFonts w:ascii="宋体" w:hAnsi="宋体"/>
                <w:b/>
                <w:bCs/>
                <w:szCs w:val="21"/>
              </w:rPr>
              <w:t>接触限值：</w:t>
            </w:r>
            <w:r>
              <w:rPr>
                <w:rFonts w:ascii="宋体" w:hAnsi="宋体"/>
                <w:szCs w:val="21"/>
              </w:rPr>
              <w:t>中国MAC（mg/m</w:t>
            </w:r>
            <w:r>
              <w:rPr>
                <w:rFonts w:ascii="宋体" w:hAnsi="宋体"/>
                <w:szCs w:val="21"/>
                <w:vertAlign w:val="superscript"/>
              </w:rPr>
              <w:t>3</w:t>
            </w:r>
            <w:r>
              <w:rPr>
                <w:rFonts w:ascii="宋体" w:hAnsi="宋体"/>
                <w:szCs w:val="21"/>
              </w:rPr>
              <w:t>）：无资料。</w:t>
            </w:r>
          </w:p>
          <w:p>
            <w:pPr>
              <w:adjustRightInd w:val="0"/>
              <w:snapToGrid w:val="0"/>
              <w:rPr>
                <w:rFonts w:ascii="宋体" w:hAnsi="宋体"/>
                <w:szCs w:val="21"/>
              </w:rPr>
            </w:pPr>
            <w:r>
              <w:rPr>
                <w:rFonts w:ascii="宋体" w:hAnsi="宋体"/>
                <w:b/>
                <w:bCs/>
                <w:szCs w:val="21"/>
              </w:rPr>
              <w:t>侵入途径：</w:t>
            </w:r>
            <w:r>
              <w:rPr>
                <w:rFonts w:ascii="宋体" w:hAnsi="宋体"/>
                <w:szCs w:val="21"/>
              </w:rPr>
              <w:t>吸入、食入、经皮肤吸收。</w:t>
            </w:r>
          </w:p>
          <w:p>
            <w:pPr>
              <w:adjustRightInd w:val="0"/>
              <w:snapToGrid w:val="0"/>
              <w:rPr>
                <w:rFonts w:ascii="宋体" w:hAnsi="宋体"/>
                <w:szCs w:val="21"/>
              </w:rPr>
            </w:pPr>
            <w:r>
              <w:rPr>
                <w:rFonts w:ascii="宋体" w:hAnsi="宋体"/>
                <w:b/>
                <w:bCs/>
                <w:szCs w:val="21"/>
              </w:rPr>
              <w:t>急性毒性：</w:t>
            </w:r>
            <w:r>
              <w:rPr>
                <w:rFonts w:ascii="宋体" w:hAnsi="宋体"/>
                <w:szCs w:val="21"/>
              </w:rPr>
              <w:t>LD</w:t>
            </w:r>
            <w:r>
              <w:rPr>
                <w:rFonts w:ascii="宋体" w:hAnsi="宋体"/>
                <w:szCs w:val="21"/>
                <w:vertAlign w:val="subscript"/>
              </w:rPr>
              <w:t>50</w:t>
            </w:r>
            <w:r>
              <w:rPr>
                <w:rFonts w:ascii="宋体" w:hAnsi="宋体"/>
                <w:szCs w:val="21"/>
              </w:rPr>
              <w:t xml:space="preserve">：无资料 </w:t>
            </w:r>
          </w:p>
          <w:p>
            <w:pPr>
              <w:adjustRightInd w:val="0"/>
              <w:snapToGrid w:val="0"/>
              <w:rPr>
                <w:rFonts w:ascii="宋体" w:hAnsi="宋体"/>
                <w:szCs w:val="21"/>
              </w:rPr>
            </w:pPr>
            <w:r>
              <w:rPr>
                <w:rFonts w:ascii="宋体" w:hAnsi="宋体"/>
                <w:b/>
                <w:bCs/>
                <w:szCs w:val="21"/>
              </w:rPr>
              <w:t>健康危害：</w:t>
            </w:r>
            <w:r>
              <w:rPr>
                <w:rFonts w:ascii="宋体" w:hAnsi="宋体"/>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急</w:t>
            </w:r>
          </w:p>
          <w:p>
            <w:pPr>
              <w:adjustRightInd w:val="0"/>
              <w:snapToGrid w:val="0"/>
              <w:jc w:val="center"/>
              <w:rPr>
                <w:rFonts w:ascii="宋体" w:hAnsi="宋体"/>
                <w:b/>
                <w:bCs/>
                <w:szCs w:val="21"/>
              </w:rPr>
            </w:pPr>
            <w:r>
              <w:rPr>
                <w:rFonts w:ascii="宋体" w:hAnsi="宋体"/>
                <w:b/>
                <w:bCs/>
                <w:szCs w:val="21"/>
              </w:rPr>
              <w:t>救</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皮肤接触：</w:t>
            </w:r>
            <w:r>
              <w:rPr>
                <w:rFonts w:ascii="宋体" w:hAnsi="宋体"/>
                <w:szCs w:val="21"/>
              </w:rPr>
              <w:t>立即脱去被污染的衣着，用肥皂水和清水彻底冲洗皮肤。就医。</w:t>
            </w:r>
          </w:p>
          <w:p>
            <w:pPr>
              <w:adjustRightInd w:val="0"/>
              <w:snapToGrid w:val="0"/>
              <w:rPr>
                <w:rFonts w:ascii="宋体" w:hAnsi="宋体"/>
                <w:szCs w:val="21"/>
              </w:rPr>
            </w:pPr>
            <w:r>
              <w:rPr>
                <w:rFonts w:ascii="宋体" w:hAnsi="宋体"/>
                <w:b/>
                <w:bCs/>
                <w:szCs w:val="21"/>
              </w:rPr>
              <w:t>眼睛接触：</w:t>
            </w:r>
            <w:r>
              <w:rPr>
                <w:rFonts w:ascii="宋体" w:hAnsi="宋体"/>
                <w:szCs w:val="21"/>
              </w:rPr>
              <w:t>立即提起眼睑，用大量流动清水或生理盐水彻底冲洗至少15分钟。就医。</w:t>
            </w:r>
          </w:p>
          <w:p>
            <w:pPr>
              <w:adjustRightInd w:val="0"/>
              <w:snapToGrid w:val="0"/>
              <w:rPr>
                <w:rFonts w:ascii="宋体" w:hAnsi="宋体"/>
                <w:szCs w:val="21"/>
              </w:rPr>
            </w:pPr>
            <w:r>
              <w:rPr>
                <w:rFonts w:ascii="宋体" w:hAnsi="宋体"/>
                <w:b/>
                <w:bCs/>
                <w:szCs w:val="21"/>
              </w:rPr>
              <w:t>吸入：</w:t>
            </w:r>
            <w:r>
              <w:rPr>
                <w:rFonts w:ascii="宋体" w:hAnsi="宋体"/>
                <w:szCs w:val="21"/>
              </w:rPr>
              <w:t>迅速脱离现场至空气新鲜处。保持呼吸道通畅。如呼吸困难，给输氧。如呼吸停止，立即进行人工呼吸。就医。</w:t>
            </w:r>
          </w:p>
          <w:p>
            <w:pPr>
              <w:adjustRightInd w:val="0"/>
              <w:snapToGrid w:val="0"/>
              <w:rPr>
                <w:rFonts w:ascii="宋体" w:hAnsi="宋体"/>
                <w:szCs w:val="21"/>
              </w:rPr>
            </w:pPr>
            <w:r>
              <w:rPr>
                <w:rFonts w:ascii="宋体" w:hAnsi="宋体"/>
                <w:b/>
                <w:bCs/>
                <w:szCs w:val="21"/>
              </w:rPr>
              <w:t>食入：</w:t>
            </w:r>
            <w:r>
              <w:rPr>
                <w:rFonts w:ascii="宋体" w:hAnsi="宋体"/>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防</w:t>
            </w:r>
          </w:p>
          <w:p>
            <w:pPr>
              <w:adjustRightInd w:val="0"/>
              <w:snapToGrid w:val="0"/>
              <w:jc w:val="center"/>
              <w:rPr>
                <w:rFonts w:ascii="宋体" w:hAnsi="宋体"/>
                <w:b/>
                <w:bCs/>
                <w:szCs w:val="21"/>
              </w:rPr>
            </w:pPr>
            <w:r>
              <w:rPr>
                <w:rFonts w:ascii="宋体" w:hAnsi="宋体"/>
                <w:b/>
                <w:bCs/>
                <w:szCs w:val="21"/>
              </w:rPr>
              <w:t>护</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工程控制：</w:t>
            </w:r>
            <w:r>
              <w:rPr>
                <w:rFonts w:ascii="宋体" w:hAnsi="宋体"/>
                <w:szCs w:val="21"/>
              </w:rPr>
              <w:t>生产过程密闭操作，注意通风。</w:t>
            </w:r>
          </w:p>
          <w:p>
            <w:pPr>
              <w:adjustRightInd w:val="0"/>
              <w:snapToGrid w:val="0"/>
              <w:rPr>
                <w:rFonts w:ascii="宋体" w:hAnsi="宋体"/>
                <w:szCs w:val="21"/>
              </w:rPr>
            </w:pPr>
            <w:r>
              <w:rPr>
                <w:rFonts w:ascii="宋体" w:hAnsi="宋体"/>
                <w:b/>
                <w:bCs/>
                <w:szCs w:val="21"/>
              </w:rPr>
              <w:t>呼吸系统防护：</w:t>
            </w:r>
            <w:r>
              <w:rPr>
                <w:rFonts w:ascii="宋体" w:hAnsi="宋体"/>
                <w:szCs w:val="21"/>
              </w:rPr>
              <w:t>空气中浓度超标时，建议佩戴自吸过滤式防毒面具(半面罩)。紧急事态抢救或撤离时,应佩戴空气呼吸器。</w:t>
            </w:r>
          </w:p>
          <w:p>
            <w:pPr>
              <w:adjustRightInd w:val="0"/>
              <w:snapToGrid w:val="0"/>
              <w:rPr>
                <w:rFonts w:ascii="宋体" w:hAnsi="宋体"/>
                <w:szCs w:val="21"/>
              </w:rPr>
            </w:pPr>
            <w:r>
              <w:rPr>
                <w:rFonts w:ascii="宋体" w:hAnsi="宋体"/>
                <w:b/>
                <w:bCs/>
                <w:szCs w:val="21"/>
              </w:rPr>
              <w:t>眼睛防护：</w:t>
            </w:r>
            <w:r>
              <w:rPr>
                <w:rFonts w:ascii="宋体" w:hAnsi="宋体"/>
                <w:szCs w:val="21"/>
              </w:rPr>
              <w:t>必要时戴化学安全防护眼镜。</w:t>
            </w:r>
          </w:p>
          <w:p>
            <w:pPr>
              <w:adjustRightInd w:val="0"/>
              <w:snapToGrid w:val="0"/>
              <w:rPr>
                <w:rFonts w:ascii="宋体" w:hAnsi="宋体"/>
                <w:szCs w:val="21"/>
              </w:rPr>
            </w:pPr>
            <w:r>
              <w:rPr>
                <w:rFonts w:ascii="宋体" w:hAnsi="宋体"/>
                <w:b/>
                <w:bCs/>
                <w:szCs w:val="21"/>
              </w:rPr>
              <w:t>身体防护：</w:t>
            </w:r>
            <w:r>
              <w:rPr>
                <w:rFonts w:ascii="宋体" w:hAnsi="宋体"/>
                <w:szCs w:val="21"/>
              </w:rPr>
              <w:t>穿一般作业工作服。</w:t>
            </w:r>
          </w:p>
          <w:p>
            <w:pPr>
              <w:adjustRightInd w:val="0"/>
              <w:snapToGrid w:val="0"/>
              <w:rPr>
                <w:rFonts w:ascii="宋体" w:hAnsi="宋体"/>
                <w:szCs w:val="21"/>
              </w:rPr>
            </w:pPr>
            <w:r>
              <w:rPr>
                <w:rFonts w:ascii="宋体" w:hAnsi="宋体"/>
                <w:b/>
                <w:bCs/>
                <w:szCs w:val="21"/>
              </w:rPr>
              <w:t>手 防 护：</w:t>
            </w:r>
            <w:r>
              <w:rPr>
                <w:rFonts w:ascii="宋体" w:hAnsi="宋体"/>
                <w:szCs w:val="21"/>
              </w:rPr>
              <w:t>戴橡胶耐油手套。</w:t>
            </w:r>
          </w:p>
          <w:p>
            <w:pPr>
              <w:adjustRightInd w:val="0"/>
              <w:snapToGrid w:val="0"/>
              <w:rPr>
                <w:rFonts w:ascii="宋体" w:hAnsi="宋体"/>
                <w:szCs w:val="21"/>
              </w:rPr>
            </w:pPr>
            <w:r>
              <w:rPr>
                <w:rFonts w:ascii="宋体" w:hAnsi="宋体"/>
                <w:b/>
                <w:bCs/>
                <w:szCs w:val="21"/>
              </w:rPr>
              <w:t>其它防护：</w:t>
            </w:r>
            <w:r>
              <w:rPr>
                <w:rFonts w:ascii="宋体" w:hAnsi="宋体"/>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泄</w:t>
            </w:r>
          </w:p>
          <w:p>
            <w:pPr>
              <w:adjustRightInd w:val="0"/>
              <w:snapToGrid w:val="0"/>
              <w:jc w:val="center"/>
              <w:rPr>
                <w:rFonts w:ascii="宋体" w:hAnsi="宋体"/>
                <w:b/>
                <w:bCs/>
                <w:szCs w:val="21"/>
              </w:rPr>
            </w:pPr>
            <w:r>
              <w:rPr>
                <w:rFonts w:ascii="宋体" w:hAnsi="宋体"/>
                <w:b/>
                <w:bCs/>
                <w:szCs w:val="21"/>
              </w:rPr>
              <w:t>漏</w:t>
            </w:r>
          </w:p>
          <w:p>
            <w:pPr>
              <w:adjustRightInd w:val="0"/>
              <w:snapToGrid w:val="0"/>
              <w:jc w:val="center"/>
              <w:rPr>
                <w:rFonts w:ascii="宋体" w:hAnsi="宋体"/>
                <w:b/>
                <w:bCs/>
                <w:szCs w:val="21"/>
              </w:rPr>
            </w:pPr>
            <w:r>
              <w:rPr>
                <w:rFonts w:ascii="宋体" w:hAnsi="宋体"/>
                <w:b/>
                <w:bCs/>
                <w:szCs w:val="21"/>
              </w:rPr>
              <w:t>处</w:t>
            </w:r>
          </w:p>
          <w:p>
            <w:pPr>
              <w:adjustRightInd w:val="0"/>
              <w:snapToGrid w:val="0"/>
              <w:jc w:val="center"/>
              <w:rPr>
                <w:rFonts w:ascii="宋体" w:hAnsi="宋体"/>
                <w:szCs w:val="21"/>
              </w:rPr>
            </w:pPr>
            <w:r>
              <w:rPr>
                <w:rFonts w:ascii="宋体" w:hAnsi="宋体"/>
                <w:b/>
                <w:bCs/>
                <w:szCs w:val="21"/>
              </w:rPr>
              <w:t>理</w:t>
            </w:r>
          </w:p>
        </w:tc>
        <w:tc>
          <w:tcPr>
            <w:tcW w:w="7954" w:type="dxa"/>
            <w:noWrap w:val="0"/>
            <w:vAlign w:val="center"/>
          </w:tcPr>
          <w:p>
            <w:pPr>
              <w:adjustRightInd w:val="0"/>
              <w:snapToGrid w:val="0"/>
              <w:rPr>
                <w:rFonts w:ascii="宋体" w:hAnsi="宋体"/>
                <w:szCs w:val="21"/>
              </w:rPr>
            </w:pPr>
            <w:r>
              <w:rPr>
                <w:rFonts w:ascii="宋体" w:hAnsi="宋体"/>
                <w:b/>
                <w:bCs/>
                <w:szCs w:val="21"/>
              </w:rPr>
              <w:t>应急行动：</w:t>
            </w:r>
            <w:r>
              <w:rPr>
                <w:rFonts w:ascii="宋体" w:hAnsi="宋体"/>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sz w:val="28"/>
          <w:szCs w:val="28"/>
        </w:rPr>
      </w:pPr>
    </w:p>
    <w:p>
      <w:pPr>
        <w:pStyle w:val="8"/>
        <w:spacing w:line="360" w:lineRule="auto"/>
        <w:ind w:firstLine="0" w:firstLineChars="0"/>
        <w:outlineLvl w:val="2"/>
        <w:rPr>
          <w:rFonts w:hint="eastAsia" w:ascii="宋体" w:hAnsi="宋体"/>
          <w:b/>
          <w:snapToGrid w:val="0"/>
          <w:kern w:val="0"/>
          <w:sz w:val="28"/>
          <w:szCs w:val="28"/>
          <w:lang w:val="en-US" w:eastAsia="zh-CN"/>
        </w:rPr>
      </w:pPr>
      <w:bookmarkStart w:id="106" w:name="_Toc515659434"/>
      <w:bookmarkStart w:id="107" w:name="_Toc475363997"/>
      <w:bookmarkStart w:id="108" w:name="_Toc513735551"/>
      <w:bookmarkStart w:id="109" w:name="_Toc12276"/>
      <w:bookmarkStart w:id="110" w:name="_Toc511994825"/>
      <w:r>
        <w:rPr>
          <w:rFonts w:hint="eastAsia" w:ascii="宋体" w:hAnsi="宋体"/>
          <w:b/>
          <w:snapToGrid w:val="0"/>
          <w:kern w:val="0"/>
          <w:sz w:val="28"/>
          <w:szCs w:val="28"/>
          <w:lang w:val="en-US" w:eastAsia="zh-CN"/>
        </w:rPr>
        <w:t>3.4.7 氧气安全数据表</w:t>
      </w:r>
      <w:bookmarkEnd w:id="106"/>
      <w:bookmarkEnd w:id="107"/>
      <w:bookmarkEnd w:id="108"/>
      <w:bookmarkEnd w:id="109"/>
    </w:p>
    <w:p>
      <w:pPr>
        <w:pStyle w:val="32"/>
        <w:rPr>
          <w:rFonts w:eastAsia="黑体"/>
          <w:sz w:val="24"/>
          <w:szCs w:val="24"/>
        </w:rPr>
      </w:pPr>
      <w:r>
        <w:rPr>
          <w:rFonts w:eastAsia="黑体"/>
          <w:sz w:val="24"/>
          <w:szCs w:val="24"/>
        </w:rPr>
        <w:t>表3-</w:t>
      </w:r>
      <w:r>
        <w:rPr>
          <w:rFonts w:hint="eastAsia" w:eastAsia="黑体"/>
          <w:sz w:val="24"/>
          <w:szCs w:val="24"/>
        </w:rPr>
        <w:t>2</w:t>
      </w:r>
      <w:r>
        <w:rPr>
          <w:rFonts w:eastAsia="黑体"/>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w:t>
            </w:r>
          </w:p>
          <w:p>
            <w:pPr>
              <w:spacing w:line="260" w:lineRule="exact"/>
              <w:rPr>
                <w:rFonts w:ascii="宋体" w:hAnsi="宋体"/>
                <w:szCs w:val="21"/>
              </w:rPr>
            </w:pPr>
            <w:r>
              <w:rPr>
                <w:rFonts w:ascii="宋体" w:hAnsi="宋体"/>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熔点：-218.8</w:t>
            </w:r>
          </w:p>
        </w:tc>
        <w:tc>
          <w:tcPr>
            <w:tcW w:w="4076" w:type="dxa"/>
            <w:gridSpan w:val="5"/>
            <w:noWrap w:val="0"/>
            <w:vAlign w:val="center"/>
          </w:tcPr>
          <w:p>
            <w:pPr>
              <w:spacing w:line="260" w:lineRule="exact"/>
              <w:rPr>
                <w:rFonts w:ascii="宋体" w:hAnsi="宋体"/>
                <w:szCs w:val="21"/>
              </w:rPr>
            </w:pPr>
            <w:r>
              <w:rPr>
                <w:rFonts w:ascii="宋体" w:hAnsi="宋体"/>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危险性类别：第2.2类 不燃气体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bookmarkStart w:id="111" w:name="_Toc321298550"/>
    </w:p>
    <w:p>
      <w:pPr>
        <w:pStyle w:val="8"/>
        <w:spacing w:line="360" w:lineRule="auto"/>
        <w:ind w:firstLine="0" w:firstLineChars="0"/>
        <w:outlineLvl w:val="2"/>
        <w:rPr>
          <w:rFonts w:hint="eastAsia" w:ascii="宋体" w:hAnsi="宋体"/>
          <w:b/>
          <w:snapToGrid w:val="0"/>
          <w:kern w:val="0"/>
          <w:sz w:val="28"/>
          <w:szCs w:val="28"/>
          <w:lang w:val="en-US" w:eastAsia="zh-CN"/>
        </w:rPr>
      </w:pPr>
      <w:bookmarkStart w:id="112" w:name="_Toc475363998"/>
      <w:bookmarkStart w:id="113" w:name="_Toc29433"/>
      <w:bookmarkStart w:id="114" w:name="_Toc513735552"/>
      <w:bookmarkStart w:id="115" w:name="_Toc515659435"/>
      <w:r>
        <w:rPr>
          <w:rFonts w:hint="eastAsia" w:ascii="宋体" w:hAnsi="宋体"/>
          <w:b/>
          <w:snapToGrid w:val="0"/>
          <w:kern w:val="0"/>
          <w:sz w:val="28"/>
          <w:szCs w:val="28"/>
          <w:lang w:val="en-US" w:eastAsia="zh-CN"/>
        </w:rPr>
        <w:t>3.4.8 乙炔安全数据表</w:t>
      </w:r>
      <w:bookmarkEnd w:id="111"/>
      <w:bookmarkEnd w:id="112"/>
      <w:bookmarkEnd w:id="113"/>
      <w:bookmarkEnd w:id="114"/>
      <w:bookmarkEnd w:id="115"/>
    </w:p>
    <w:p>
      <w:pPr>
        <w:pStyle w:val="32"/>
        <w:rPr>
          <w:rFonts w:eastAsia="黑体"/>
          <w:sz w:val="24"/>
          <w:szCs w:val="24"/>
        </w:rPr>
      </w:pPr>
      <w:r>
        <w:rPr>
          <w:rFonts w:hint="eastAsia" w:eastAsia="黑体"/>
          <w:sz w:val="24"/>
          <w:szCs w:val="24"/>
        </w:rPr>
        <w:t>表</w:t>
      </w:r>
      <w:r>
        <w:rPr>
          <w:rFonts w:eastAsia="黑体"/>
          <w:sz w:val="24"/>
          <w:szCs w:val="24"/>
        </w:rPr>
        <w:t>3-</w:t>
      </w:r>
      <w:r>
        <w:rPr>
          <w:rFonts w:hint="eastAsia" w:eastAsia="黑体"/>
          <w:sz w:val="24"/>
          <w:szCs w:val="24"/>
        </w:rPr>
        <w:t>3</w:t>
      </w:r>
      <w:r>
        <w:rPr>
          <w:rFonts w:eastAsia="黑体"/>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熔点：-81.8（119kPa）</w:t>
            </w:r>
          </w:p>
        </w:tc>
        <w:tc>
          <w:tcPr>
            <w:tcW w:w="4076" w:type="dxa"/>
            <w:gridSpan w:val="5"/>
            <w:noWrap w:val="0"/>
            <w:vAlign w:val="center"/>
          </w:tcPr>
          <w:p>
            <w:pPr>
              <w:spacing w:line="260" w:lineRule="exact"/>
              <w:rPr>
                <w:rFonts w:ascii="宋体" w:hAnsi="宋体"/>
                <w:szCs w:val="21"/>
              </w:rPr>
            </w:pPr>
            <w:r>
              <w:rPr>
                <w:rFonts w:ascii="宋体" w:hAnsi="宋体"/>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危险性类别：第2.1类 易燃气体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szCs w:val="21"/>
              </w:rPr>
            </w:pPr>
            <w:r>
              <w:rPr>
                <w:rFonts w:ascii="宋体" w:hAnsi="宋体"/>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
      <w:pPr>
        <w:pStyle w:val="8"/>
        <w:spacing w:line="360" w:lineRule="auto"/>
        <w:ind w:firstLine="0" w:firstLineChars="0"/>
        <w:outlineLvl w:val="1"/>
        <w:rPr>
          <w:rFonts w:hint="eastAsia" w:ascii="黑体" w:eastAsia="黑体"/>
          <w:b/>
          <w:snapToGrid w:val="0"/>
          <w:kern w:val="0"/>
          <w:sz w:val="32"/>
          <w:szCs w:val="32"/>
        </w:rPr>
      </w:pPr>
      <w:bookmarkStart w:id="116" w:name="_Toc515659436"/>
      <w:bookmarkStart w:id="117" w:name="_Toc8107"/>
      <w:r>
        <w:rPr>
          <w:rFonts w:hint="eastAsia" w:ascii="黑体" w:eastAsia="黑体"/>
          <w:b/>
          <w:snapToGrid w:val="0"/>
          <w:kern w:val="0"/>
          <w:sz w:val="32"/>
          <w:szCs w:val="32"/>
        </w:rPr>
        <w:t>3.5 生产过程危险有害因素分析和辨识</w:t>
      </w:r>
      <w:bookmarkEnd w:id="110"/>
      <w:bookmarkEnd w:id="116"/>
      <w:bookmarkEnd w:id="117"/>
    </w:p>
    <w:p>
      <w:pPr>
        <w:pStyle w:val="2"/>
      </w:pPr>
    </w:p>
    <w:p>
      <w:pPr>
        <w:pStyle w:val="8"/>
        <w:spacing w:line="360" w:lineRule="auto"/>
        <w:ind w:firstLine="0" w:firstLineChars="0"/>
        <w:outlineLvl w:val="1"/>
        <w:rPr>
          <w:rFonts w:hint="eastAsia" w:ascii="黑体" w:eastAsia="黑体"/>
          <w:b/>
          <w:snapToGrid w:val="0"/>
          <w:kern w:val="0"/>
          <w:sz w:val="32"/>
          <w:szCs w:val="32"/>
        </w:rPr>
      </w:pPr>
      <w:bookmarkStart w:id="118" w:name="_Toc332350851"/>
      <w:bookmarkStart w:id="119" w:name="_Toc356380979"/>
      <w:bookmarkStart w:id="120" w:name="_Toc514342847"/>
      <w:bookmarkStart w:id="121" w:name="_Toc356401492"/>
      <w:bookmarkStart w:id="122" w:name="_Toc23110"/>
      <w:bookmarkStart w:id="123" w:name="_Toc480804395"/>
      <w:bookmarkStart w:id="124" w:name="_Toc345593160"/>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5 生产过程危险有害因素分析和辨识</w:t>
      </w:r>
      <w:bookmarkEnd w:id="118"/>
      <w:bookmarkEnd w:id="119"/>
      <w:bookmarkEnd w:id="120"/>
      <w:bookmarkEnd w:id="121"/>
      <w:bookmarkEnd w:id="122"/>
      <w:bookmarkEnd w:id="123"/>
      <w:bookmarkEnd w:id="124"/>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kern w:val="0"/>
          <w:sz w:val="28"/>
          <w:szCs w:val="28"/>
        </w:rPr>
      </w:pPr>
      <w:bookmarkStart w:id="125" w:name="_Toc356380982"/>
      <w:bookmarkStart w:id="126" w:name="_Toc514342848"/>
      <w:bookmarkStart w:id="127" w:name="_Toc480804396"/>
      <w:bookmarkStart w:id="128" w:name="_Toc332350854"/>
      <w:bookmarkStart w:id="129" w:name="_Toc356401493"/>
      <w:bookmarkStart w:id="130" w:name="_Toc1704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5.1 车辆事故</w:t>
      </w:r>
      <w:bookmarkEnd w:id="125"/>
      <w:bookmarkEnd w:id="126"/>
      <w:bookmarkEnd w:id="127"/>
      <w:bookmarkEnd w:id="128"/>
      <w:bookmarkEnd w:id="129"/>
      <w:bookmarkEnd w:id="130"/>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车辆伤害事故的主要原因有</w:t>
      </w:r>
      <w:r>
        <w:rPr>
          <w:rFonts w:ascii="宋体" w:hAnsi="宋体"/>
          <w:snapToGrid w:val="0"/>
          <w:kern w:val="0"/>
          <w:sz w:val="28"/>
          <w:szCs w:val="28"/>
        </w:rPr>
        <w:t>:</w:t>
      </w:r>
      <w:r>
        <w:rPr>
          <w:rFonts w:hint="eastAsia" w:ascii="宋体" w:hAnsi="宋体"/>
          <w:snapToGrid w:val="0"/>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kern w:val="0"/>
          <w:sz w:val="28"/>
          <w:szCs w:val="28"/>
        </w:rPr>
        <w:t>"</w:t>
      </w:r>
      <w:r>
        <w:rPr>
          <w:rFonts w:hint="eastAsia" w:ascii="宋体" w:hAnsi="宋体"/>
          <w:snapToGrid w:val="0"/>
          <w:kern w:val="0"/>
          <w:sz w:val="28"/>
          <w:szCs w:val="28"/>
        </w:rPr>
        <w:t>突爆</w:t>
      </w:r>
      <w:r>
        <w:rPr>
          <w:rFonts w:ascii="宋体" w:hAnsi="宋体"/>
          <w:snapToGrid w:val="0"/>
          <w:kern w:val="0"/>
          <w:sz w:val="28"/>
          <w:szCs w:val="28"/>
        </w:rPr>
        <w:t>"</w:t>
      </w:r>
      <w:r>
        <w:rPr>
          <w:rFonts w:hint="eastAsia" w:ascii="宋体" w:hAnsi="宋体"/>
          <w:snapToGrid w:val="0"/>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sz w:val="28"/>
          <w:szCs w:val="28"/>
        </w:rPr>
      </w:pPr>
      <w:r>
        <w:rPr>
          <w:rFonts w:hint="eastAsia"/>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kern w:val="0"/>
          <w:sz w:val="28"/>
          <w:szCs w:val="28"/>
        </w:rPr>
      </w:pPr>
      <w:bookmarkStart w:id="131" w:name="_Toc356380983"/>
      <w:bookmarkStart w:id="132" w:name="_Toc332350855"/>
      <w:bookmarkStart w:id="133" w:name="_Toc480804397"/>
      <w:bookmarkStart w:id="134" w:name="_Toc29379"/>
      <w:bookmarkStart w:id="135" w:name="_Toc356401494"/>
      <w:bookmarkStart w:id="136" w:name="_Toc51434284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5.2 机械</w:t>
      </w:r>
      <w:bookmarkEnd w:id="131"/>
      <w:bookmarkEnd w:id="132"/>
      <w:r>
        <w:rPr>
          <w:rFonts w:hint="eastAsia" w:ascii="宋体" w:hAnsi="宋体"/>
          <w:b/>
          <w:snapToGrid w:val="0"/>
          <w:kern w:val="0"/>
          <w:sz w:val="28"/>
          <w:szCs w:val="28"/>
        </w:rPr>
        <w:t>伤害</w:t>
      </w:r>
      <w:bookmarkEnd w:id="133"/>
      <w:bookmarkEnd w:id="134"/>
      <w:bookmarkEnd w:id="135"/>
      <w:bookmarkEnd w:id="136"/>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机械伤害事故是指机械设备运动</w:t>
      </w:r>
      <w:r>
        <w:rPr>
          <w:rFonts w:ascii="宋体" w:hAnsi="宋体"/>
          <w:snapToGrid w:val="0"/>
          <w:kern w:val="0"/>
          <w:sz w:val="28"/>
          <w:szCs w:val="28"/>
        </w:rPr>
        <w:t>(</w:t>
      </w:r>
      <w:r>
        <w:rPr>
          <w:rFonts w:hint="eastAsia" w:ascii="宋体" w:hAnsi="宋体"/>
          <w:snapToGrid w:val="0"/>
          <w:kern w:val="0"/>
          <w:sz w:val="28"/>
          <w:szCs w:val="28"/>
        </w:rPr>
        <w:t>静止</w:t>
      </w:r>
      <w:r>
        <w:rPr>
          <w:rFonts w:ascii="宋体" w:hAnsi="宋体"/>
          <w:snapToGrid w:val="0"/>
          <w:kern w:val="0"/>
          <w:sz w:val="28"/>
          <w:szCs w:val="28"/>
        </w:rPr>
        <w:t>)</w:t>
      </w:r>
      <w:r>
        <w:rPr>
          <w:rFonts w:hint="eastAsia" w:ascii="宋体" w:hAnsi="宋体"/>
          <w:snapToGrid w:val="0"/>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机械伤害事故产生的主要原因</w:t>
      </w:r>
      <w:r>
        <w:rPr>
          <w:rFonts w:ascii="宋体" w:hAnsi="宋体"/>
          <w:snapToGrid w:val="0"/>
          <w:kern w:val="0"/>
          <w:sz w:val="28"/>
          <w:szCs w:val="28"/>
        </w:rPr>
        <w:t>:</w:t>
      </w:r>
      <w:r>
        <w:rPr>
          <w:rFonts w:hint="eastAsia" w:ascii="宋体" w:hAnsi="宋体"/>
          <w:snapToGrid w:val="0"/>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kern w:val="0"/>
          <w:sz w:val="28"/>
          <w:szCs w:val="28"/>
        </w:rPr>
        <w:t>:</w:t>
      </w:r>
      <w:r>
        <w:rPr>
          <w:rFonts w:hint="eastAsia" w:ascii="宋体" w:hAnsi="宋体"/>
          <w:snapToGrid w:val="0"/>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kern w:val="0"/>
          <w:sz w:val="28"/>
          <w:szCs w:val="28"/>
        </w:rPr>
      </w:pPr>
      <w:r>
        <w:rPr>
          <w:rFonts w:hint="eastAsia" w:ascii="宋体" w:hAnsi="宋体"/>
          <w:snapToGrid w:val="0"/>
          <w:kern w:val="0"/>
          <w:sz w:val="28"/>
          <w:szCs w:val="28"/>
        </w:rPr>
        <w:t>机械伤害的主要后果是造成人员伤亡，其次是对物件的损坏。</w:t>
      </w:r>
      <w:r>
        <w:rPr>
          <w:rFonts w:ascii="宋体" w:hAnsi="宋体"/>
          <w:bCs/>
          <w:snapToGrid w:val="0"/>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kern w:val="0"/>
          <w:sz w:val="28"/>
          <w:szCs w:val="28"/>
        </w:rPr>
      </w:pPr>
      <w:r>
        <w:rPr>
          <w:rFonts w:hint="eastAsia" w:ascii="宋体" w:hAnsi="宋体"/>
          <w:snapToGrid w:val="0"/>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kern w:val="0"/>
          <w:sz w:val="28"/>
          <w:szCs w:val="28"/>
        </w:rPr>
      </w:pPr>
      <w:bookmarkStart w:id="137" w:name="_Toc356401495"/>
      <w:bookmarkStart w:id="138" w:name="_Toc480804398"/>
      <w:bookmarkStart w:id="139" w:name="_Toc21150"/>
      <w:bookmarkStart w:id="140" w:name="_Toc350781098"/>
      <w:bookmarkStart w:id="141" w:name="_Toc51434285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5.3</w:t>
      </w:r>
      <w:r>
        <w:rPr>
          <w:rFonts w:ascii="宋体" w:hAnsi="宋体"/>
          <w:b/>
          <w:snapToGrid w:val="0"/>
          <w:kern w:val="0"/>
          <w:sz w:val="28"/>
          <w:szCs w:val="28"/>
        </w:rPr>
        <w:t xml:space="preserve"> 触电</w:t>
      </w:r>
      <w:r>
        <w:rPr>
          <w:rFonts w:hint="eastAsia" w:ascii="宋体" w:hAnsi="宋体"/>
          <w:b/>
          <w:snapToGrid w:val="0"/>
          <w:kern w:val="0"/>
          <w:sz w:val="28"/>
          <w:szCs w:val="28"/>
        </w:rPr>
        <w:t>事故</w:t>
      </w:r>
      <w:bookmarkEnd w:id="137"/>
      <w:bookmarkEnd w:id="138"/>
      <w:bookmarkEnd w:id="139"/>
      <w:bookmarkEnd w:id="140"/>
      <w:bookmarkEnd w:id="141"/>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kern w:val="0"/>
          <w:sz w:val="28"/>
          <w:szCs w:val="28"/>
        </w:rPr>
        <w:t>(</w:t>
      </w:r>
      <w:r>
        <w:rPr>
          <w:rFonts w:hint="eastAsia" w:ascii="宋体" w:hAnsi="宋体"/>
          <w:bCs/>
          <w:snapToGrid w:val="0"/>
          <w:kern w:val="0"/>
          <w:sz w:val="28"/>
          <w:szCs w:val="28"/>
        </w:rPr>
        <w:t>如保护接零、漏电保护、安全电压等</w:t>
      </w:r>
      <w:r>
        <w:rPr>
          <w:rFonts w:ascii="宋体" w:hAnsi="宋体"/>
          <w:bCs/>
          <w:snapToGrid w:val="0"/>
          <w:kern w:val="0"/>
          <w:sz w:val="28"/>
          <w:szCs w:val="28"/>
        </w:rPr>
        <w:t>)</w:t>
      </w:r>
      <w:r>
        <w:rPr>
          <w:rFonts w:hint="eastAsia" w:ascii="宋体" w:hAnsi="宋体"/>
          <w:bCs/>
          <w:snapToGrid w:val="0"/>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可能存在的触电场所有</w:t>
      </w:r>
      <w:r>
        <w:rPr>
          <w:rFonts w:ascii="宋体" w:hAnsi="宋体"/>
          <w:bCs/>
          <w:snapToGrid w:val="0"/>
          <w:kern w:val="0"/>
          <w:sz w:val="28"/>
          <w:szCs w:val="28"/>
        </w:rPr>
        <w:t>:</w:t>
      </w:r>
      <w:r>
        <w:rPr>
          <w:rFonts w:hint="eastAsia" w:ascii="宋体" w:hAnsi="宋体"/>
          <w:bCs/>
          <w:snapToGrid w:val="0"/>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kern w:val="0"/>
          <w:sz w:val="28"/>
          <w:szCs w:val="28"/>
        </w:rPr>
      </w:pPr>
      <w:r>
        <w:rPr>
          <w:rFonts w:hint="eastAsia" w:ascii="宋体" w:hAnsi="宋体"/>
          <w:bCs/>
          <w:snapToGrid w:val="0"/>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kern w:val="0"/>
          <w:sz w:val="28"/>
          <w:szCs w:val="28"/>
        </w:rPr>
      </w:pPr>
      <w:bookmarkStart w:id="142" w:name="_Toc332350857"/>
      <w:bookmarkStart w:id="143" w:name="_Toc356401496"/>
      <w:bookmarkStart w:id="144" w:name="_Toc7869"/>
      <w:bookmarkStart w:id="145" w:name="_Toc514342851"/>
      <w:bookmarkStart w:id="146" w:name="_Toc356380985"/>
      <w:bookmarkStart w:id="147" w:name="_Toc48080439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5.4 高处坠落</w:t>
      </w:r>
      <w:bookmarkEnd w:id="142"/>
      <w:bookmarkEnd w:id="143"/>
      <w:bookmarkEnd w:id="144"/>
      <w:bookmarkEnd w:id="145"/>
      <w:bookmarkEnd w:id="146"/>
      <w:bookmarkEnd w:id="147"/>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高处坠落指在高处作业中发生坠落造成的伤亡事故，不包括触电坠落事故。</w:t>
      </w:r>
      <w:r>
        <w:rPr>
          <w:rFonts w:ascii="宋体" w:hAnsi="宋体"/>
          <w:bCs/>
          <w:snapToGrid w:val="0"/>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高处坠落造成的事故的后果是人员伤亡和设备损坏。</w:t>
      </w:r>
    </w:p>
    <w:bookmarkEnd w:id="73"/>
    <w:p>
      <w:pPr>
        <w:pStyle w:val="8"/>
        <w:spacing w:line="360" w:lineRule="auto"/>
        <w:ind w:firstLine="0" w:firstLineChars="0"/>
        <w:outlineLvl w:val="2"/>
        <w:rPr>
          <w:rFonts w:ascii="宋体" w:hAnsi="宋体"/>
          <w:b/>
          <w:snapToGrid w:val="0"/>
          <w:kern w:val="0"/>
          <w:sz w:val="28"/>
          <w:szCs w:val="28"/>
        </w:rPr>
      </w:pPr>
      <w:bookmarkStart w:id="148" w:name="_Toc480804400"/>
      <w:bookmarkStart w:id="149" w:name="_Toc350781096"/>
      <w:bookmarkStart w:id="150" w:name="_Toc514342852"/>
      <w:bookmarkStart w:id="151" w:name="_Toc356401497"/>
      <w:bookmarkStart w:id="152" w:name="_Toc12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rPr>
        <w:t>5</w:t>
      </w:r>
      <w:r>
        <w:rPr>
          <w:rFonts w:ascii="宋体" w:hAnsi="宋体"/>
          <w:b/>
          <w:snapToGrid w:val="0"/>
          <w:kern w:val="0"/>
          <w:sz w:val="28"/>
          <w:szCs w:val="28"/>
        </w:rPr>
        <w:t xml:space="preserve"> 物体打击</w:t>
      </w:r>
      <w:bookmarkEnd w:id="148"/>
      <w:bookmarkEnd w:id="149"/>
      <w:bookmarkEnd w:id="150"/>
      <w:bookmarkEnd w:id="151"/>
      <w:bookmarkEnd w:id="152"/>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造成物体打击的主要原因有</w:t>
      </w:r>
      <w:r>
        <w:rPr>
          <w:rFonts w:ascii="宋体" w:hAnsi="宋体"/>
          <w:snapToGrid w:val="0"/>
          <w:kern w:val="0"/>
          <w:sz w:val="28"/>
          <w:szCs w:val="28"/>
        </w:rPr>
        <w:t>:</w:t>
      </w:r>
      <w:r>
        <w:rPr>
          <w:rFonts w:hint="eastAsia" w:ascii="宋体" w:hAnsi="宋体"/>
          <w:snapToGrid w:val="0"/>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kern w:val="0"/>
          <w:sz w:val="28"/>
          <w:szCs w:val="28"/>
        </w:rPr>
      </w:pPr>
      <w:bookmarkStart w:id="153" w:name="_Toc350781100"/>
      <w:bookmarkStart w:id="154" w:name="_Toc11598"/>
      <w:bookmarkStart w:id="155" w:name="_Toc356401498"/>
      <w:bookmarkStart w:id="156" w:name="_Toc514342853"/>
      <w:bookmarkStart w:id="157" w:name="_Toc48080440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5.6 火灾</w:t>
      </w:r>
      <w:bookmarkEnd w:id="153"/>
      <w:r>
        <w:rPr>
          <w:rFonts w:hint="eastAsia" w:ascii="宋体" w:hAnsi="宋体"/>
          <w:b/>
          <w:snapToGrid w:val="0"/>
          <w:kern w:val="0"/>
          <w:sz w:val="28"/>
          <w:szCs w:val="28"/>
        </w:rPr>
        <w:t>事故</w:t>
      </w:r>
      <w:bookmarkEnd w:id="154"/>
      <w:bookmarkEnd w:id="155"/>
      <w:bookmarkEnd w:id="156"/>
      <w:bookmarkEnd w:id="157"/>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火灾是指企业内所发生的火灾。</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火灾事故产生的主要原因</w:t>
      </w:r>
      <w:r>
        <w:rPr>
          <w:rFonts w:ascii="宋体" w:hAnsi="宋体"/>
          <w:snapToGrid w:val="0"/>
          <w:kern w:val="0"/>
          <w:sz w:val="28"/>
          <w:szCs w:val="28"/>
        </w:rPr>
        <w:t>:</w:t>
      </w:r>
      <w:r>
        <w:rPr>
          <w:rFonts w:hint="eastAsia" w:ascii="宋体" w:hAnsi="宋体"/>
          <w:snapToGrid w:val="0"/>
          <w:kern w:val="0"/>
          <w:sz w:val="28"/>
          <w:szCs w:val="28"/>
        </w:rPr>
        <w:t>①明火</w:t>
      </w:r>
      <w:r>
        <w:rPr>
          <w:rFonts w:ascii="宋体" w:hAnsi="宋体"/>
          <w:snapToGrid w:val="0"/>
          <w:kern w:val="0"/>
          <w:sz w:val="28"/>
          <w:szCs w:val="28"/>
        </w:rPr>
        <w:t>(</w:t>
      </w:r>
      <w:r>
        <w:rPr>
          <w:rFonts w:hint="eastAsia" w:ascii="宋体" w:hAnsi="宋体"/>
          <w:snapToGrid w:val="0"/>
          <w:kern w:val="0"/>
          <w:sz w:val="28"/>
          <w:szCs w:val="28"/>
        </w:rPr>
        <w:t>包括火柴点火、吸烟、电焊、气焊、明火灯等</w:t>
      </w:r>
      <w:r>
        <w:rPr>
          <w:rFonts w:ascii="宋体" w:hAnsi="宋体"/>
          <w:snapToGrid w:val="0"/>
          <w:kern w:val="0"/>
          <w:sz w:val="28"/>
          <w:szCs w:val="28"/>
        </w:rPr>
        <w:t>)</w:t>
      </w:r>
      <w:r>
        <w:rPr>
          <w:rFonts w:hint="eastAsia" w:ascii="宋体" w:hAnsi="宋体"/>
          <w:snapToGrid w:val="0"/>
          <w:kern w:val="0"/>
          <w:sz w:val="28"/>
          <w:szCs w:val="28"/>
        </w:rPr>
        <w:t>所引燃；②油料</w:t>
      </w:r>
      <w:r>
        <w:rPr>
          <w:rFonts w:ascii="宋体" w:hAnsi="宋体"/>
          <w:snapToGrid w:val="0"/>
          <w:kern w:val="0"/>
          <w:sz w:val="28"/>
          <w:szCs w:val="28"/>
        </w:rPr>
        <w:t>(</w:t>
      </w:r>
      <w:r>
        <w:rPr>
          <w:rFonts w:hint="eastAsia" w:ascii="宋体" w:hAnsi="宋体"/>
          <w:snapToGrid w:val="0"/>
          <w:kern w:val="0"/>
          <w:sz w:val="28"/>
          <w:szCs w:val="28"/>
        </w:rPr>
        <w:t>润滑油、变压器油、液压设备用油、柴油设备用油、维修设备用油等</w:t>
      </w:r>
      <w:r>
        <w:rPr>
          <w:rFonts w:ascii="宋体" w:hAnsi="宋体"/>
          <w:snapToGrid w:val="0"/>
          <w:kern w:val="0"/>
          <w:sz w:val="28"/>
          <w:szCs w:val="28"/>
        </w:rPr>
        <w:t>)</w:t>
      </w:r>
      <w:r>
        <w:rPr>
          <w:rFonts w:hint="eastAsia" w:ascii="宋体" w:hAnsi="宋体"/>
          <w:snapToGrid w:val="0"/>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kern w:val="0"/>
          <w:sz w:val="28"/>
          <w:szCs w:val="28"/>
        </w:rPr>
        <w:t>(</w:t>
      </w:r>
      <w:r>
        <w:rPr>
          <w:rFonts w:hint="eastAsia" w:ascii="宋体" w:hAnsi="宋体"/>
          <w:snapToGrid w:val="0"/>
          <w:kern w:val="0"/>
          <w:sz w:val="28"/>
          <w:szCs w:val="28"/>
        </w:rPr>
        <w:t>片</w:t>
      </w:r>
      <w:r>
        <w:rPr>
          <w:rFonts w:ascii="宋体" w:hAnsi="宋体"/>
          <w:snapToGrid w:val="0"/>
          <w:kern w:val="0"/>
          <w:sz w:val="28"/>
          <w:szCs w:val="28"/>
        </w:rPr>
        <w:t>)</w:t>
      </w:r>
      <w:r>
        <w:rPr>
          <w:rFonts w:hint="eastAsia" w:ascii="宋体" w:hAnsi="宋体"/>
          <w:snapToGrid w:val="0"/>
          <w:kern w:val="0"/>
          <w:sz w:val="28"/>
          <w:szCs w:val="28"/>
        </w:rPr>
        <w:t>选用不当，使用铜丝、铝线代替保险丝；⑤油开关及配电箱内油料着火</w:t>
      </w:r>
      <w:r>
        <w:rPr>
          <w:rFonts w:ascii="宋体" w:hAnsi="宋体"/>
          <w:snapToGrid w:val="0"/>
          <w:kern w:val="0"/>
          <w:sz w:val="28"/>
          <w:szCs w:val="28"/>
        </w:rPr>
        <w:t>;</w:t>
      </w:r>
      <w:r>
        <w:rPr>
          <w:rFonts w:hint="eastAsia" w:ascii="宋体" w:hAnsi="宋体"/>
          <w:snapToGrid w:val="0"/>
          <w:kern w:val="0"/>
          <w:sz w:val="28"/>
          <w:szCs w:val="28"/>
        </w:rPr>
        <w:t>⑥机械作用</w:t>
      </w:r>
      <w:r>
        <w:rPr>
          <w:rFonts w:ascii="宋体" w:hAnsi="宋体"/>
          <w:snapToGrid w:val="0"/>
          <w:kern w:val="0"/>
          <w:sz w:val="28"/>
          <w:szCs w:val="28"/>
        </w:rPr>
        <w:t>(</w:t>
      </w:r>
      <w:r>
        <w:rPr>
          <w:rFonts w:hint="eastAsia" w:ascii="宋体" w:hAnsi="宋体"/>
          <w:snapToGrid w:val="0"/>
          <w:kern w:val="0"/>
          <w:sz w:val="28"/>
          <w:szCs w:val="28"/>
        </w:rPr>
        <w:t>包括摩擦、震动冲击等</w:t>
      </w:r>
      <w:r>
        <w:rPr>
          <w:rFonts w:ascii="宋体" w:hAnsi="宋体"/>
          <w:snapToGrid w:val="0"/>
          <w:kern w:val="0"/>
          <w:sz w:val="28"/>
          <w:szCs w:val="28"/>
        </w:rPr>
        <w:t>)</w:t>
      </w:r>
      <w:r>
        <w:rPr>
          <w:rFonts w:hint="eastAsia" w:ascii="宋体" w:hAnsi="宋体"/>
          <w:snapToGrid w:val="0"/>
          <w:kern w:val="0"/>
          <w:sz w:val="28"/>
          <w:szCs w:val="28"/>
        </w:rPr>
        <w:t>所引起。</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58" w:name="_Toc359225364"/>
      <w:bookmarkStart w:id="159" w:name="_Toc496016651"/>
      <w:bookmarkStart w:id="160" w:name="_Toc849"/>
      <w:bookmarkStart w:id="161" w:name="_Toc41383408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hint="eastAsia" w:ascii="宋体" w:hAnsi="宋体"/>
          <w:b/>
          <w:snapToGrid w:val="0"/>
          <w:kern w:val="0"/>
          <w:sz w:val="28"/>
          <w:szCs w:val="28"/>
          <w:lang w:val="en-US" w:eastAsia="zh-CN"/>
        </w:rPr>
        <w:t>7 坍塌</w:t>
      </w:r>
      <w:bookmarkEnd w:id="158"/>
      <w:bookmarkEnd w:id="159"/>
      <w:bookmarkEnd w:id="160"/>
      <w:bookmarkEnd w:id="161"/>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坍塌事故产生的主要原因有：①确定的边坡角不合理；②地质因素对边坡的影响；③岩体中的地下水；④人为因素；⑤风化作用；⑥地震等。坍塌是</w:t>
      </w:r>
      <w:r>
        <w:rPr>
          <w:rFonts w:hint="eastAsia" w:ascii="宋体" w:hAnsi="宋体" w:cs="宋体"/>
          <w:color w:val="auto"/>
          <w:sz w:val="28"/>
          <w:szCs w:val="28"/>
          <w:lang w:eastAsia="zh-CN"/>
        </w:rPr>
        <w:t>砖厂页岩开采</w:t>
      </w:r>
      <w:r>
        <w:rPr>
          <w:rFonts w:hint="eastAsia" w:ascii="宋体" w:hAnsi="宋体" w:cs="宋体"/>
          <w:color w:val="auto"/>
          <w:sz w:val="28"/>
          <w:szCs w:val="28"/>
        </w:rPr>
        <w:t>的主要危险因素之一，发生事故的后果是造成重大人员伤亡和设备、设施损坏，对生产企业造成重大经济损失。</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存在原料堆放、砖坯堆码、成品堆垛等工序。如原料打堆过高，由于料堆松软，有可能造成运输机械侧翻、被掩埋的潜在危险，同时现场作业人员或外来人员有被压埋的潜在危险。工作人员在窑内码坯和成品堆垛过程中，由于砖坯堆放不稳，堆放过高或地基不稳，堆垛码放不符合要求，都可能会引起坯（砖）垛倒塌，发生倒塌伤人、损物等事故。</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62" w:name="_Toc13285"/>
      <w:r>
        <w:rPr>
          <w:rFonts w:hint="eastAsia" w:ascii="宋体" w:hAnsi="宋体"/>
          <w:b/>
          <w:snapToGrid w:val="0"/>
          <w:kern w:val="0"/>
          <w:sz w:val="28"/>
          <w:szCs w:val="28"/>
          <w:lang w:val="en-US" w:eastAsia="zh-CN"/>
        </w:rPr>
        <w:t>3.5.8中毒窒息</w:t>
      </w:r>
      <w:bookmarkEnd w:id="162"/>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可能存在的</w:t>
      </w: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场所有:砖窑</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63" w:name="_Toc481870967"/>
      <w:bookmarkStart w:id="164" w:name="_Toc332350852"/>
      <w:bookmarkStart w:id="165" w:name="_Toc511994834"/>
      <w:bookmarkStart w:id="166" w:name="_Toc29314"/>
      <w:bookmarkStart w:id="167" w:name="_Toc515659445"/>
      <w:bookmarkStart w:id="168" w:name="_Toc499478606"/>
      <w:r>
        <w:rPr>
          <w:rFonts w:hint="eastAsia" w:ascii="宋体" w:hAnsi="宋体"/>
          <w:b/>
          <w:snapToGrid w:val="0"/>
          <w:color w:val="FF0000"/>
          <w:kern w:val="0"/>
          <w:sz w:val="28"/>
          <w:szCs w:val="28"/>
          <w:lang w:val="en-US" w:eastAsia="zh-CN"/>
        </w:rPr>
        <w:t>3.5.9高温</w:t>
      </w:r>
      <w:bookmarkEnd w:id="163"/>
      <w:bookmarkEnd w:id="164"/>
      <w:r>
        <w:rPr>
          <w:rFonts w:hint="eastAsia" w:ascii="宋体" w:hAnsi="宋体"/>
          <w:b/>
          <w:snapToGrid w:val="0"/>
          <w:color w:val="FF0000"/>
          <w:kern w:val="0"/>
          <w:sz w:val="28"/>
          <w:szCs w:val="28"/>
          <w:lang w:val="en-US" w:eastAsia="zh-CN"/>
        </w:rPr>
        <w:t>灼烫</w:t>
      </w:r>
      <w:bookmarkEnd w:id="165"/>
      <w:bookmarkEnd w:id="166"/>
      <w:bookmarkEnd w:id="167"/>
      <w:bookmarkEnd w:id="168"/>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在生产工艺中存在烘干窑、隧道窑及高温产品等高温作业环境，作业人员在工作过程中由于劳保用品穿戴不好，违章操作、设备设施故障泄漏或保温失效、检修过程中防护不当以及其它突发事故等原因，均可导致作业人员发生高温烫伤伤害。在烧结时，窑体加煤烧制、成品砖出窑过程中，温度较高，如窑体保温密封不良会产生较强的热辐射，作业人员长期在此环境中易受到高温中暑危害。</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69" w:name="_Toc511994833"/>
      <w:bookmarkStart w:id="170" w:name="_Toc468870614"/>
      <w:bookmarkStart w:id="171" w:name="_Toc19722"/>
      <w:bookmarkStart w:id="172" w:name="_Toc515659444"/>
      <w:r>
        <w:rPr>
          <w:rFonts w:hint="eastAsia" w:ascii="宋体" w:hAnsi="宋体"/>
          <w:b/>
          <w:snapToGrid w:val="0"/>
          <w:color w:val="FF0000"/>
          <w:kern w:val="0"/>
          <w:sz w:val="28"/>
          <w:szCs w:val="28"/>
          <w:lang w:val="en-US" w:eastAsia="zh-CN"/>
        </w:rPr>
        <w:t>3.5.10容器爆炸</w:t>
      </w:r>
      <w:bookmarkEnd w:id="169"/>
      <w:bookmarkEnd w:id="170"/>
      <w:bookmarkEnd w:id="171"/>
      <w:bookmarkEnd w:id="172"/>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公司使用的空压设备配套有压缩空气罐，压缩空气罐属于普通的一类压力容器，压力容器在使用过程中存在压力容器爆炸危险，发生容器爆炸事故的主要原因有：</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(1) 由于设计制造不当造成设备的质量不符合有关规范要求，在运行时发生爆裂，其爆裂的形式有：</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1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①</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韧性爆裂：是压力容器在内部压力下，器壁上产生的应力达到材料强度的极限而断裂的一种破坏形式。引起韧性爆裂的原因大多是：磨损、腐蚀、壁厚减薄、强度不足仍继续运行所致。</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2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②</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脆性爆裂：是容器承受的压力并不高，负荷产生的应力远小于材料屈服极限及明显的变形而突然发生爆裂，其原因是由于温度、应力集中、冲击荷载作用等因素使材料的塑性和韧性下降、材料变脆不能抑制裂纹的结果。</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3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③</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疲劳爆裂：是容器在反复的加压、卸压后，壳体材料长期受到交变载荷的作用，如反复的加压和卸压，开停车或负荷波动幅度大如吸附和再生作业时，导致操作压力波动幅度较大及工作温度周期性的变化的作用而出现的金属疲劳，从而产生的一种爆裂形式。</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4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④</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腐蚀爆裂：是容器壳体由于受到腐蚀介质作用而产生的均匀腐蚀、点腐蚀、晶间腐蚀、应力腐蚀、疲劳腐蚀而引起的爆裂。</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 xml:space="preserve">(2) 在使用过程中，若违反操作规程或因年久腐蚀严重又未按国家规定进行检测，在超压运行状态下，而安全阀又未动作时，罐体承受不住内部气压或液压时，将发生爆裂或爆炸。 </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(3) 由于压力容器的安全阀、压力表等未定期检验或损坏失灵，致不能正确显示和及时泄放，容器超压也可能引起爆炸。</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73" w:name="_Toc515659448"/>
      <w:bookmarkStart w:id="174" w:name="_Toc9222"/>
      <w:bookmarkStart w:id="175" w:name="_Toc515657141"/>
      <w:bookmarkStart w:id="176" w:name="_Toc511994836"/>
      <w:r>
        <w:rPr>
          <w:rFonts w:hint="eastAsia" w:ascii="宋体" w:hAnsi="宋体"/>
          <w:b/>
          <w:snapToGrid w:val="0"/>
          <w:kern w:val="0"/>
          <w:sz w:val="28"/>
          <w:szCs w:val="28"/>
          <w:lang w:val="en-US" w:eastAsia="zh-CN"/>
        </w:rPr>
        <w:t>3.5.11有限空间作业</w:t>
      </w:r>
      <w:bookmarkEnd w:id="173"/>
      <w:bookmarkEnd w:id="174"/>
      <w:bookmarkEnd w:id="175"/>
      <w:bookmarkEnd w:id="176"/>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本项目的各类储罐容器、脱硫塔、窑炉炉膛、砖坯烘干室、设备地下坑道、烟道等设施、设备和场所，在日常维护和检测时会进行有限空间作业。</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有限空间内作业，如管理稍有不慎，极易导致火灾、爆炸、中毒、窒息等人身伤害事故，给作业人员的安全带来严重安全隐患。研究表明很多致命的有限空间事故的发生都与所在空间内存在的种危险因素未得到重视有关，而这些危险因素既可能在员工进入有限空间之前就已存在，也可能是由于他们在其间的活动形成。因此，有限空间是一种作业风险比较高，应当引起人们高度重视的作业环境。</w:t>
      </w:r>
    </w:p>
    <w:p>
      <w:pPr>
        <w:pStyle w:val="8"/>
        <w:spacing w:line="360" w:lineRule="auto"/>
        <w:ind w:firstLine="0" w:firstLineChars="0"/>
        <w:outlineLvl w:val="2"/>
        <w:rPr>
          <w:rFonts w:hint="eastAsia" w:ascii="宋体" w:hAnsi="宋体"/>
          <w:b/>
          <w:snapToGrid w:val="0"/>
          <w:kern w:val="0"/>
          <w:sz w:val="28"/>
          <w:szCs w:val="28"/>
        </w:rPr>
      </w:pPr>
      <w:bookmarkStart w:id="177" w:name="_Toc480804402"/>
      <w:bookmarkStart w:id="178" w:name="_Toc514342854"/>
      <w:bookmarkStart w:id="179" w:name="_Toc350781101"/>
      <w:bookmarkStart w:id="180" w:name="_Toc11848"/>
      <w:bookmarkStart w:id="181" w:name="_Toc35640149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lang w:val="en-US" w:eastAsia="zh-CN"/>
        </w:rPr>
        <w:t>12</w:t>
      </w:r>
      <w:r>
        <w:rPr>
          <w:rFonts w:ascii="宋体" w:hAnsi="宋体"/>
          <w:b/>
          <w:snapToGrid w:val="0"/>
          <w:kern w:val="0"/>
          <w:sz w:val="28"/>
          <w:szCs w:val="28"/>
        </w:rPr>
        <w:t xml:space="preserve"> </w:t>
      </w:r>
      <w:r>
        <w:rPr>
          <w:rFonts w:hint="eastAsia" w:ascii="宋体" w:hAnsi="宋体"/>
          <w:b/>
          <w:snapToGrid w:val="0"/>
          <w:kern w:val="0"/>
          <w:sz w:val="28"/>
          <w:szCs w:val="28"/>
        </w:rPr>
        <w:t>职业</w:t>
      </w:r>
      <w:r>
        <w:rPr>
          <w:rFonts w:ascii="宋体" w:hAnsi="宋体"/>
          <w:b/>
          <w:snapToGrid w:val="0"/>
          <w:kern w:val="0"/>
          <w:sz w:val="28"/>
          <w:szCs w:val="28"/>
        </w:rPr>
        <w:t>危害</w:t>
      </w:r>
      <w:r>
        <w:rPr>
          <w:rFonts w:hint="eastAsia" w:ascii="宋体" w:hAnsi="宋体"/>
          <w:b/>
          <w:snapToGrid w:val="0"/>
          <w:kern w:val="0"/>
          <w:sz w:val="28"/>
          <w:szCs w:val="28"/>
        </w:rPr>
        <w:t>因素</w:t>
      </w:r>
      <w:bookmarkEnd w:id="177"/>
      <w:bookmarkEnd w:id="178"/>
      <w:bookmarkEnd w:id="179"/>
      <w:bookmarkEnd w:id="180"/>
      <w:bookmarkEnd w:id="181"/>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.1 粉尘</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eastAsia="宋体" w:cstheme="minorBidi"/>
          <w:snapToGrid w:val="0"/>
          <w:color w:val="auto"/>
          <w:kern w:val="0"/>
          <w:sz w:val="28"/>
          <w:szCs w:val="28"/>
          <w:lang w:val="en-US" w:eastAsia="zh-CN" w:bidi="ar-SA"/>
        </w:rPr>
        <w:t>窑体在加煤烧制过程中窑顶部、出窑时窑洞中粉尘浓度较大，作</w:t>
      </w:r>
      <w:r>
        <w:rPr>
          <w:rFonts w:hint="eastAsia" w:ascii="宋体" w:hAnsi="宋体"/>
          <w:snapToGrid w:val="0"/>
          <w:color w:val="auto"/>
          <w:kern w:val="0"/>
          <w:sz w:val="28"/>
          <w:szCs w:val="28"/>
          <w:lang w:eastAsia="zh-CN"/>
        </w:rPr>
        <w:t>业人员在此环境中易受到粉尘危害。粉尘危害是砖厂生产作业中最大危害之一。粉尘是在生产过程中产生的细粒状矿物或岩石粉尘。</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粉尘的环节主要有原料装卸、破碎等生产过程。在上述生产作业中产生的细粒状矿物或岩石粉尘，直径大于50μm的尘粒，在重力作用下会很快从气流中分离出来，沉落于地面，此类矿尘称为落尘；直径在0.01～50μm范围内的尘粒，能长时间悬浮于空气中，此类矿尘叫做浮尘。浮尘对空气的污染和对人体健康具有重大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.2 烟气</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烧结自保温砌块的制造生产主要采用内燃烧成工艺，但有时也需要补充少量的外燃，其内燃热值一般为300～500cal/g，因此烟气成分复杂，废气中以无机污染物为主。燃烧过程中可逸出有害气体S02、HF、NOx、CO、HC1等，其主要污染物是S02气体，如不加以治理，将会对工作场所人员健康和环境造成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.3 噪声、振动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噪声指声强和频率的变化都无规律、杂乱无章的声音。砖厂噪声具有强度大、声级高、噪声源多、干扰时间长以及连续噪声多等特点。</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噪声与振动主要来源于各种设备在运转过程中由于震动、摩擦、碰撞而产生的机械动力噪声和由风管排气、漏气而产生的气体动力噪声。</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产生噪声与振动的设备和场所：空压机和空压机泵房；制砖工作面；装载、挖掘设备驾驶室。</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噪声可以使人耳聋，还可能引起高血压、心脏病、神经官能症等疾病。噪声还污染环境，影响人们的正常生活和生产活动。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.4 高温、低温</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82" w:name="_Toc413834096"/>
      <w:bookmarkStart w:id="183" w:name="_Toc496016659"/>
      <w:bookmarkStart w:id="184" w:name="_Toc359225372"/>
      <w:bookmarkStart w:id="185" w:name="_Toc22805"/>
      <w:r>
        <w:rPr>
          <w:rFonts w:hint="eastAsia" w:ascii="宋体" w:hAnsi="宋体"/>
          <w:b/>
          <w:snapToGrid w:val="0"/>
          <w:kern w:val="0"/>
          <w:sz w:val="28"/>
          <w:szCs w:val="28"/>
          <w:lang w:val="en-US" w:eastAsia="zh-CN"/>
        </w:rPr>
        <w:t>3.5.13 自然灾害</w:t>
      </w:r>
      <w:bookmarkEnd w:id="182"/>
      <w:bookmarkEnd w:id="183"/>
      <w:bookmarkEnd w:id="184"/>
      <w:bookmarkEnd w:id="185"/>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.1 地震灾害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地震发生时，可能使建筑物倒塌，建筑设施结构破坏造成人员伤亡，也可能使电气系统短路导致火灾事故发生等。</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.2 雷击危害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雷雨云对地放电形成直击雷。雷击发生时，强大的冲击电压和雷电流会毁坏各种电气设备，强烈的空气扰动会使建筑物和设备损坏，其热效应会引起火灾，还可能击中人员事故伤亡事故。除直击雷外，还有雷电感应、球型雷和雷电侵入波等都可造成危害，其中直击雷的危害最大，此外雷电还可通过静电感应或电磁感应产生破坏作用。</w:t>
      </w:r>
    </w:p>
    <w:p>
      <w:pPr>
        <w:pStyle w:val="8"/>
        <w:spacing w:line="360" w:lineRule="auto"/>
        <w:ind w:firstLine="0" w:firstLineChars="0"/>
        <w:outlineLvl w:val="1"/>
        <w:rPr>
          <w:rFonts w:hint="eastAsia" w:ascii="黑体" w:hAnsi="宋体" w:eastAsia="黑体"/>
          <w:b/>
          <w:snapToGrid w:val="0"/>
          <w:kern w:val="0"/>
          <w:sz w:val="32"/>
          <w:szCs w:val="32"/>
        </w:rPr>
      </w:pPr>
      <w:bookmarkStart w:id="186" w:name="_Toc325528024"/>
      <w:bookmarkStart w:id="187" w:name="_Toc22114"/>
      <w:bookmarkStart w:id="188" w:name="_Toc484594602"/>
      <w:bookmarkStart w:id="189" w:name="_Toc304291284"/>
      <w:bookmarkStart w:id="190" w:name="_Toc303340324"/>
      <w:bookmarkStart w:id="191" w:name="_Toc514342856"/>
      <w:r>
        <w:rPr>
          <w:rFonts w:hint="eastAsia" w:ascii="黑体" w:hAnsi="宋体" w:eastAsia="黑体"/>
          <w:b/>
          <w:snapToGrid w:val="0"/>
          <w:kern w:val="0"/>
          <w:sz w:val="32"/>
          <w:szCs w:val="32"/>
          <w:lang w:val="en-US" w:eastAsia="zh-CN"/>
        </w:rPr>
        <w:t>3</w:t>
      </w:r>
      <w:r>
        <w:rPr>
          <w:rFonts w:hint="eastAsia" w:ascii="黑体" w:hAnsi="宋体" w:eastAsia="黑体"/>
          <w:b/>
          <w:snapToGrid w:val="0"/>
          <w:kern w:val="0"/>
          <w:sz w:val="32"/>
          <w:szCs w:val="32"/>
          <w:lang w:eastAsia="zh-CN"/>
        </w:rPr>
        <w:t>.</w:t>
      </w:r>
      <w:r>
        <w:rPr>
          <w:rFonts w:hint="eastAsia" w:ascii="黑体" w:hAnsi="宋体" w:eastAsia="黑体"/>
          <w:b/>
          <w:snapToGrid w:val="0"/>
          <w:kern w:val="0"/>
          <w:sz w:val="32"/>
          <w:szCs w:val="32"/>
        </w:rPr>
        <w:t>6 厂址安全条件的危险、有害因素辨识与分析</w:t>
      </w:r>
      <w:bookmarkEnd w:id="186"/>
      <w:bookmarkEnd w:id="187"/>
      <w:bookmarkEnd w:id="188"/>
      <w:bookmarkEnd w:id="189"/>
      <w:bookmarkEnd w:id="190"/>
      <w:bookmarkEnd w:id="191"/>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kern w:val="0"/>
          <w:sz w:val="28"/>
          <w:szCs w:val="28"/>
        </w:rPr>
      </w:pPr>
      <w:r>
        <w:rPr>
          <w:rFonts w:ascii="宋体" w:hAnsi="宋体"/>
          <w:snapToGrid w:val="0"/>
          <w:kern w:val="0"/>
          <w:sz w:val="28"/>
          <w:szCs w:val="28"/>
        </w:rPr>
        <w:t>本工程厂址周围无大型重要公共建筑设施</w:t>
      </w:r>
      <w:r>
        <w:rPr>
          <w:rFonts w:hint="eastAsia" w:ascii="宋体" w:hAnsi="宋体"/>
          <w:snapToGrid w:val="0"/>
          <w:kern w:val="0"/>
          <w:sz w:val="28"/>
          <w:szCs w:val="28"/>
        </w:rPr>
        <w:t>，</w:t>
      </w:r>
      <w:r>
        <w:rPr>
          <w:rFonts w:ascii="宋体" w:hAnsi="宋体"/>
          <w:snapToGrid w:val="0"/>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kern w:val="0"/>
          <w:sz w:val="28"/>
          <w:szCs w:val="28"/>
        </w:rPr>
        <w:t>，</w:t>
      </w:r>
      <w:r>
        <w:rPr>
          <w:rFonts w:ascii="宋体" w:hAnsi="宋体"/>
          <w:snapToGrid w:val="0"/>
          <w:kern w:val="0"/>
          <w:sz w:val="28"/>
          <w:szCs w:val="28"/>
        </w:rPr>
        <w:t>已取得政府相关部门的</w:t>
      </w:r>
      <w:r>
        <w:rPr>
          <w:rFonts w:hint="eastAsia" w:ascii="宋体" w:hAnsi="宋体"/>
          <w:snapToGrid w:val="0"/>
          <w:kern w:val="0"/>
          <w:sz w:val="28"/>
          <w:szCs w:val="28"/>
        </w:rPr>
        <w:t>技改</w:t>
      </w:r>
      <w:r>
        <w:rPr>
          <w:rFonts w:ascii="宋体" w:hAnsi="宋体"/>
          <w:snapToGrid w:val="0"/>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kern w:val="0"/>
          <w:sz w:val="28"/>
          <w:szCs w:val="28"/>
        </w:rPr>
      </w:pPr>
      <w:bookmarkStart w:id="192" w:name="_Toc458523590"/>
      <w:bookmarkStart w:id="193" w:name="_Toc514342857"/>
      <w:bookmarkStart w:id="194" w:name="_Toc484594603"/>
      <w:bookmarkStart w:id="195" w:name="_Toc564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 xml:space="preserve">6.1 </w:t>
      </w:r>
      <w:r>
        <w:rPr>
          <w:rFonts w:hint="eastAsia" w:ascii="宋体" w:hAnsi="宋体"/>
          <w:b/>
          <w:snapToGrid w:val="0"/>
          <w:kern w:val="0"/>
          <w:sz w:val="28"/>
          <w:szCs w:val="28"/>
          <w:lang w:eastAsia="zh-CN"/>
        </w:rPr>
        <w:t>公司</w:t>
      </w:r>
      <w:r>
        <w:rPr>
          <w:rFonts w:hint="eastAsia" w:ascii="宋体" w:hAnsi="宋体"/>
          <w:b/>
          <w:snapToGrid w:val="0"/>
          <w:kern w:val="0"/>
          <w:sz w:val="28"/>
          <w:szCs w:val="28"/>
        </w:rPr>
        <w:t>对周边环境的影响分析</w:t>
      </w:r>
      <w:bookmarkEnd w:id="192"/>
      <w:bookmarkEnd w:id="193"/>
      <w:bookmarkEnd w:id="194"/>
      <w:bookmarkEnd w:id="195"/>
    </w:p>
    <w:p>
      <w:pPr>
        <w:tabs>
          <w:tab w:val="left" w:pos="8808"/>
        </w:tabs>
        <w:snapToGrid w:val="0"/>
        <w:spacing w:line="360" w:lineRule="auto"/>
        <w:ind w:firstLine="560" w:firstLineChars="200"/>
        <w:rPr>
          <w:rFonts w:hint="eastAsia" w:ascii="宋体" w:hAnsi="宋体" w:cs="宋体"/>
          <w:sz w:val="28"/>
          <w:szCs w:val="28"/>
        </w:rPr>
      </w:pPr>
      <w:bookmarkStart w:id="196" w:name="_Toc172964203"/>
      <w:bookmarkStart w:id="197" w:name="_Toc374385892"/>
      <w:bookmarkStart w:id="198" w:name="_Toc155775354"/>
      <w:bookmarkStart w:id="199" w:name="_Toc172964408"/>
      <w:bookmarkStart w:id="200" w:name="_Toc172963399"/>
      <w:r>
        <w:rPr>
          <w:rFonts w:hint="eastAsia" w:ascii="宋体" w:hAnsi="宋体" w:cs="宋体"/>
          <w:sz w:val="28"/>
          <w:szCs w:val="28"/>
          <w:lang w:eastAsia="zh-CN"/>
        </w:rPr>
        <w:t>厂</w:t>
      </w:r>
      <w:r>
        <w:rPr>
          <w:rFonts w:ascii="宋体" w:hAnsi="宋体" w:cs="宋体"/>
          <w:sz w:val="28"/>
          <w:szCs w:val="28"/>
        </w:rPr>
        <w:t>区内</w:t>
      </w:r>
      <w:r>
        <w:rPr>
          <w:rFonts w:hint="eastAsia" w:ascii="宋体" w:hAnsi="宋体" w:cs="宋体"/>
          <w:sz w:val="28"/>
          <w:szCs w:val="28"/>
        </w:rPr>
        <w:t>无高压电线敷设、无</w:t>
      </w:r>
      <w:r>
        <w:rPr>
          <w:rFonts w:ascii="宋体" w:hAnsi="宋体" w:cs="宋体"/>
          <w:sz w:val="28"/>
          <w:szCs w:val="28"/>
        </w:rPr>
        <w:t>国家规定的风景名胜区、革命历史古迹等文物保护对象，无集中式水源地等特殊保护对象</w:t>
      </w:r>
      <w:r>
        <w:rPr>
          <w:rFonts w:hint="eastAsia" w:ascii="宋体" w:hAnsi="宋体" w:cs="宋体"/>
          <w:sz w:val="28"/>
          <w:szCs w:val="28"/>
        </w:rPr>
        <w:t>；</w:t>
      </w:r>
      <w:r>
        <w:rPr>
          <w:rFonts w:ascii="宋体" w:hAnsi="宋体" w:cs="宋体"/>
          <w:sz w:val="28"/>
          <w:szCs w:val="28"/>
        </w:rPr>
        <w:t>区域内及附近无</w:t>
      </w:r>
      <w:r>
        <w:rPr>
          <w:rFonts w:hint="eastAsia" w:ascii="宋体" w:hAnsi="宋体" w:cs="宋体"/>
          <w:sz w:val="28"/>
          <w:szCs w:val="28"/>
        </w:rPr>
        <w:t>重大危险源监管单位、无</w:t>
      </w:r>
      <w:r>
        <w:rPr>
          <w:rFonts w:ascii="宋体" w:hAnsi="宋体" w:cs="宋体"/>
          <w:sz w:val="28"/>
          <w:szCs w:val="28"/>
        </w:rPr>
        <w:t>军事设施等保密单位，无军事国防通讯设施及其他通讯设施等敏感目标，地下未发现矿产资源</w:t>
      </w:r>
      <w:r>
        <w:rPr>
          <w:rFonts w:hint="eastAsia" w:ascii="宋体" w:hAnsi="宋体" w:cs="宋体"/>
          <w:sz w:val="28"/>
          <w:szCs w:val="28"/>
        </w:rPr>
        <w:t>，无长输天然气管道、输油管道敷设</w:t>
      </w:r>
      <w:r>
        <w:rPr>
          <w:rFonts w:ascii="宋体" w:hAnsi="宋体" w:cs="宋体"/>
          <w:sz w:val="28"/>
          <w:szCs w:val="28"/>
        </w:rPr>
        <w:t>。</w:t>
      </w:r>
      <w:r>
        <w:rPr>
          <w:rFonts w:hint="eastAsia" w:ascii="宋体" w:hAnsi="宋体" w:cs="宋体"/>
          <w:sz w:val="28"/>
          <w:szCs w:val="28"/>
          <w:lang w:eastAsia="zh-CN"/>
        </w:rPr>
        <w:t>公司</w:t>
      </w:r>
      <w:r>
        <w:rPr>
          <w:rFonts w:hint="eastAsia" w:ascii="宋体" w:hAnsi="宋体" w:cs="宋体"/>
          <w:sz w:val="28"/>
          <w:szCs w:val="28"/>
        </w:rPr>
        <w:t>在正常工况下废水、废气、废渣等经达标后排放，并与周边建构筑留有足够的防火间距，即</w:t>
      </w:r>
      <w:r>
        <w:rPr>
          <w:rFonts w:hint="eastAsia" w:ascii="宋体" w:hAnsi="宋体" w:cs="宋体"/>
          <w:sz w:val="28"/>
          <w:szCs w:val="28"/>
          <w:lang w:eastAsia="zh-CN"/>
        </w:rPr>
        <w:t>公司</w:t>
      </w:r>
      <w:r>
        <w:rPr>
          <w:rFonts w:hint="eastAsia" w:ascii="宋体" w:hAnsi="宋体" w:cs="宋体"/>
          <w:sz w:val="28"/>
          <w:szCs w:val="28"/>
        </w:rPr>
        <w:t>正常工况下不会对周边单位生产、经营活动或者居民生活造成影响。</w:t>
      </w:r>
    </w:p>
    <w:p>
      <w:pPr>
        <w:spacing w:line="360" w:lineRule="auto"/>
        <w:ind w:firstLine="560" w:firstLineChars="200"/>
        <w:rPr>
          <w:rFonts w:hint="eastAsia" w:ascii="宋体" w:hAnsi="宋体"/>
          <w:sz w:val="28"/>
          <w:szCs w:val="28"/>
        </w:rPr>
      </w:pPr>
      <w:r>
        <w:rPr>
          <w:rFonts w:ascii="宋体" w:hAnsi="宋体"/>
          <w:sz w:val="28"/>
          <w:szCs w:val="28"/>
        </w:rPr>
        <w:t>若三废处理不当可能会对周边环境、企业造成不良影响，因此本工程应切实做好三废的处理工作。</w:t>
      </w:r>
      <w:r>
        <w:rPr>
          <w:rFonts w:hint="eastAsia" w:ascii="宋体" w:hAnsi="宋体"/>
          <w:sz w:val="28"/>
          <w:szCs w:val="28"/>
          <w:lang w:eastAsia="zh-CN"/>
        </w:rPr>
        <w:t>公司</w:t>
      </w:r>
      <w:r>
        <w:rPr>
          <w:rFonts w:ascii="宋体" w:hAnsi="宋体"/>
          <w:sz w:val="28"/>
          <w:szCs w:val="28"/>
        </w:rPr>
        <w:t>在采取了可靠的安全、环保的防护措施之后，</w:t>
      </w:r>
      <w:r>
        <w:rPr>
          <w:rFonts w:hint="eastAsia" w:ascii="宋体" w:hAnsi="宋体" w:cs="宋体"/>
          <w:sz w:val="28"/>
          <w:szCs w:val="28"/>
        </w:rPr>
        <w:t>对周边环境的影响在可接受和可控制范围。</w:t>
      </w:r>
    </w:p>
    <w:bookmarkEnd w:id="196"/>
    <w:bookmarkEnd w:id="197"/>
    <w:bookmarkEnd w:id="198"/>
    <w:bookmarkEnd w:id="199"/>
    <w:bookmarkEnd w:id="200"/>
    <w:p>
      <w:pPr>
        <w:pStyle w:val="8"/>
        <w:spacing w:line="360" w:lineRule="auto"/>
        <w:ind w:firstLine="0" w:firstLineChars="0"/>
        <w:outlineLvl w:val="2"/>
        <w:rPr>
          <w:rFonts w:hint="eastAsia" w:ascii="宋体" w:hAnsi="宋体"/>
          <w:b/>
          <w:snapToGrid w:val="0"/>
          <w:kern w:val="0"/>
          <w:sz w:val="28"/>
          <w:szCs w:val="28"/>
        </w:rPr>
      </w:pPr>
      <w:bookmarkStart w:id="201" w:name="_Toc172964213"/>
      <w:bookmarkStart w:id="202" w:name="_Toc172964418"/>
      <w:bookmarkStart w:id="203" w:name="_Toc24130"/>
      <w:bookmarkStart w:id="204" w:name="_Toc458523594"/>
      <w:bookmarkStart w:id="205" w:name="_Toc155775365"/>
      <w:bookmarkStart w:id="206" w:name="_Toc172963410"/>
      <w:bookmarkStart w:id="207" w:name="_Toc514342858"/>
      <w:bookmarkStart w:id="208" w:name="_Toc48459460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6.2 周边环境对</w:t>
      </w:r>
      <w:r>
        <w:rPr>
          <w:rFonts w:hint="eastAsia" w:ascii="宋体" w:hAnsi="宋体"/>
          <w:b/>
          <w:snapToGrid w:val="0"/>
          <w:kern w:val="0"/>
          <w:sz w:val="28"/>
          <w:szCs w:val="28"/>
          <w:lang w:eastAsia="zh-CN"/>
        </w:rPr>
        <w:t>公司</w:t>
      </w:r>
      <w:r>
        <w:rPr>
          <w:rFonts w:hint="eastAsia" w:ascii="宋体" w:hAnsi="宋体"/>
          <w:b/>
          <w:snapToGrid w:val="0"/>
          <w:kern w:val="0"/>
          <w:sz w:val="28"/>
          <w:szCs w:val="28"/>
        </w:rPr>
        <w:t>的影响分析</w:t>
      </w:r>
      <w:bookmarkEnd w:id="201"/>
      <w:bookmarkEnd w:id="202"/>
      <w:bookmarkEnd w:id="203"/>
      <w:bookmarkEnd w:id="204"/>
      <w:bookmarkEnd w:id="205"/>
      <w:bookmarkEnd w:id="206"/>
      <w:bookmarkEnd w:id="207"/>
      <w:bookmarkEnd w:id="208"/>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kern w:val="0"/>
          <w:sz w:val="32"/>
          <w:szCs w:val="32"/>
        </w:rPr>
      </w:pPr>
      <w:bookmarkStart w:id="209" w:name="_Toc350781107"/>
      <w:bookmarkStart w:id="210" w:name="_Toc356401505"/>
      <w:bookmarkStart w:id="211" w:name="_Toc9775"/>
      <w:bookmarkStart w:id="212" w:name="_Toc480804413"/>
      <w:bookmarkStart w:id="213" w:name="_Toc514342863"/>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lang w:val="en-US" w:eastAsia="zh-CN"/>
        </w:rPr>
        <w:t>7</w:t>
      </w:r>
      <w:r>
        <w:rPr>
          <w:rFonts w:hint="eastAsia" w:ascii="黑体" w:eastAsia="黑体"/>
          <w:b/>
          <w:snapToGrid w:val="0"/>
          <w:kern w:val="0"/>
          <w:sz w:val="32"/>
          <w:szCs w:val="32"/>
        </w:rPr>
        <w:t xml:space="preserve"> 重大危险源辨识</w:t>
      </w:r>
      <w:bookmarkEnd w:id="209"/>
      <w:bookmarkEnd w:id="210"/>
      <w:bookmarkEnd w:id="211"/>
      <w:bookmarkEnd w:id="212"/>
      <w:bookmarkEnd w:id="213"/>
    </w:p>
    <w:p>
      <w:pPr>
        <w:pStyle w:val="8"/>
        <w:spacing w:line="360" w:lineRule="auto"/>
        <w:ind w:firstLine="0" w:firstLineChars="0"/>
        <w:outlineLvl w:val="2"/>
        <w:rPr>
          <w:rFonts w:hint="eastAsia" w:ascii="宋体" w:hAnsi="宋体"/>
          <w:b/>
          <w:snapToGrid w:val="0"/>
          <w:kern w:val="0"/>
          <w:sz w:val="28"/>
          <w:szCs w:val="28"/>
        </w:rPr>
      </w:pPr>
      <w:bookmarkStart w:id="214" w:name="_Toc514342864"/>
      <w:bookmarkStart w:id="215" w:name="_Toc356401506"/>
      <w:bookmarkStart w:id="216" w:name="_Toc480804414"/>
      <w:bookmarkStart w:id="217" w:name="_Toc351125383"/>
      <w:bookmarkStart w:id="218" w:name="_Toc262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.1 辨识依据</w:t>
      </w:r>
      <w:bookmarkEnd w:id="214"/>
      <w:bookmarkEnd w:id="215"/>
      <w:bookmarkEnd w:id="216"/>
      <w:bookmarkEnd w:id="217"/>
      <w:bookmarkEnd w:id="218"/>
    </w:p>
    <w:p>
      <w:pPr>
        <w:tabs>
          <w:tab w:val="right" w:leader="hyphen" w:pos="8343"/>
        </w:tabs>
        <w:spacing w:line="360" w:lineRule="auto"/>
        <w:ind w:firstLine="560" w:firstLineChars="200"/>
        <w:rPr>
          <w:rFonts w:hint="eastAsia" w:ascii="宋体" w:hAnsi="宋体"/>
          <w:sz w:val="28"/>
          <w:szCs w:val="28"/>
        </w:rPr>
      </w:pPr>
      <w:r>
        <w:rPr>
          <w:rFonts w:hint="eastAsia" w:ascii="宋体" w:hAnsi="宋体"/>
          <w:sz w:val="28"/>
          <w:szCs w:val="28"/>
        </w:rPr>
        <w:t>根据《中华人民共和国安全生产法》、《危险化学品重大危险源辨识》（</w:t>
      </w:r>
      <w:r>
        <w:rPr>
          <w:rFonts w:hint="eastAsia" w:ascii="宋体" w:hAnsi="宋体"/>
          <w:sz w:val="28"/>
          <w:szCs w:val="28"/>
          <w:lang w:eastAsia="zh-CN"/>
        </w:rPr>
        <w:t>GB18218-2018</w:t>
      </w:r>
      <w:r>
        <w:rPr>
          <w:rFonts w:hint="eastAsia" w:ascii="宋体" w:hAnsi="宋体"/>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kern w:val="0"/>
          <w:sz w:val="28"/>
          <w:szCs w:val="28"/>
        </w:rPr>
      </w:pPr>
      <w:bookmarkStart w:id="219" w:name="_Toc480804415"/>
      <w:bookmarkStart w:id="220" w:name="_Toc4668"/>
      <w:bookmarkStart w:id="221" w:name="_Toc351125385"/>
      <w:bookmarkStart w:id="222" w:name="_Toc514342865"/>
      <w:bookmarkStart w:id="223" w:name="_Toc35640150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.2 辨识结果</w:t>
      </w:r>
      <w:bookmarkEnd w:id="219"/>
      <w:bookmarkEnd w:id="220"/>
      <w:bookmarkEnd w:id="221"/>
      <w:bookmarkEnd w:id="222"/>
      <w:bookmarkEnd w:id="223"/>
    </w:p>
    <w:p>
      <w:pPr>
        <w:spacing w:line="360" w:lineRule="auto"/>
        <w:ind w:firstLine="560" w:firstLineChars="200"/>
        <w:rPr>
          <w:rFonts w:hint="eastAsia" w:ascii="宋体" w:hAnsi="宋体"/>
          <w:sz w:val="28"/>
          <w:szCs w:val="28"/>
        </w:rPr>
      </w:pPr>
      <w:r>
        <w:rPr>
          <w:rFonts w:hint="eastAsia"/>
          <w:sz w:val="28"/>
          <w:szCs w:val="28"/>
          <w:lang w:eastAsia="zh-CN"/>
        </w:rPr>
        <w:t>公司</w:t>
      </w:r>
      <w:r>
        <w:rPr>
          <w:rFonts w:hint="eastAsia"/>
          <w:sz w:val="28"/>
          <w:szCs w:val="28"/>
        </w:rPr>
        <w:t>生产过程中的原料、辅料、中间品、产品除柴油外其余均未列入《重大危险源辨识》中，</w:t>
      </w:r>
      <w:r>
        <w:rPr>
          <w:rFonts w:hint="eastAsia"/>
          <w:sz w:val="28"/>
          <w:szCs w:val="28"/>
          <w:lang w:eastAsia="zh-CN"/>
        </w:rPr>
        <w:t>厂区</w:t>
      </w:r>
      <w:r>
        <w:rPr>
          <w:rFonts w:hint="eastAsia"/>
          <w:sz w:val="28"/>
          <w:szCs w:val="28"/>
        </w:rPr>
        <w:t>使用柴油仅做为点火燃料使用，用量少（仅备用1桶，约200L），使用频率低，</w:t>
      </w:r>
      <w:r>
        <w:rPr>
          <w:rFonts w:hint="eastAsia" w:ascii="宋体" w:hAnsi="宋体"/>
          <w:sz w:val="28"/>
          <w:szCs w:val="28"/>
        </w:rPr>
        <w:t>其临界量和拟存放量见下表：</w:t>
      </w:r>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hint="eastAsia" w:ascii="黑体" w:eastAsia="黑体"/>
          <w:b/>
          <w:sz w:val="24"/>
          <w:lang w:eastAsia="zh-CN"/>
        </w:rPr>
        <w:t>-</w:t>
      </w:r>
      <w:r>
        <w:rPr>
          <w:rFonts w:hint="eastAsia" w:ascii="黑体" w:eastAsia="黑体"/>
          <w:b/>
          <w:sz w:val="24"/>
          <w:lang w:val="en-US" w:eastAsia="zh-CN"/>
        </w:rPr>
        <w:t>4</w:t>
      </w:r>
      <w:r>
        <w:rPr>
          <w:rFonts w:hint="eastAsia" w:ascii="黑体" w:eastAsia="黑体"/>
          <w:b/>
          <w:sz w:val="24"/>
        </w:rPr>
        <w:t>危险化学品名称及其临界量</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5"/>
              <w:tabs>
                <w:tab w:val="left" w:pos="0"/>
              </w:tabs>
              <w:spacing w:before="0" w:after="0"/>
              <w:rPr>
                <w:rFonts w:hint="eastAsia" w:hAnsi="宋体"/>
                <w:b/>
                <w:spacing w:val="10"/>
                <w:sz w:val="24"/>
                <w:szCs w:val="24"/>
              </w:rPr>
            </w:pPr>
            <w:r>
              <w:rPr>
                <w:rFonts w:hint="eastAsia" w:hAnsi="宋体"/>
                <w:b/>
                <w:spacing w:val="10"/>
                <w:sz w:val="24"/>
                <w:szCs w:val="24"/>
              </w:rPr>
              <w:t>物质名称</w:t>
            </w:r>
          </w:p>
        </w:tc>
        <w:tc>
          <w:tcPr>
            <w:tcW w:w="3526"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类别</w:t>
            </w:r>
          </w:p>
        </w:tc>
        <w:tc>
          <w:tcPr>
            <w:tcW w:w="1855"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临界量/t</w:t>
            </w:r>
          </w:p>
        </w:tc>
        <w:tc>
          <w:tcPr>
            <w:tcW w:w="1827"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0.17</w:t>
            </w:r>
          </w:p>
        </w:tc>
      </w:tr>
    </w:tbl>
    <w:p>
      <w:pPr>
        <w:ind w:firstLine="420" w:firstLineChars="200"/>
        <w:rPr>
          <w:rFonts w:hint="eastAsia"/>
          <w:szCs w:val="28"/>
        </w:rPr>
      </w:pPr>
    </w:p>
    <w:p>
      <w:pPr>
        <w:spacing w:line="360" w:lineRule="auto"/>
        <w:ind w:firstLine="560" w:firstLineChars="200"/>
        <w:rPr>
          <w:rFonts w:hint="eastAsia" w:ascii="宋体" w:hAnsi="宋体"/>
          <w:kern w:val="0"/>
          <w:sz w:val="28"/>
          <w:szCs w:val="28"/>
        </w:rPr>
      </w:pPr>
      <w:r>
        <w:rPr>
          <w:rFonts w:hint="eastAsia" w:ascii="宋体" w:hAnsi="宋体"/>
          <w:sz w:val="28"/>
          <w:szCs w:val="28"/>
          <w:lang w:eastAsia="zh-CN"/>
        </w:rPr>
        <w:t>公司</w:t>
      </w:r>
      <w:r>
        <w:rPr>
          <w:rFonts w:hint="eastAsia" w:ascii="宋体" w:hAnsi="宋体"/>
          <w:sz w:val="28"/>
          <w:szCs w:val="28"/>
        </w:rPr>
        <w:t>有柴油储量1桶（200升），柴油密度0.85t/m</w:t>
      </w:r>
      <w:r>
        <w:rPr>
          <w:rFonts w:hint="eastAsia" w:ascii="宋体" w:hAnsi="宋体"/>
          <w:sz w:val="28"/>
          <w:szCs w:val="28"/>
          <w:vertAlign w:val="superscript"/>
        </w:rPr>
        <w:t>3</w:t>
      </w:r>
      <w:r>
        <w:rPr>
          <w:rFonts w:hint="eastAsia" w:ascii="宋体" w:hAnsi="宋体"/>
          <w:sz w:val="28"/>
          <w:szCs w:val="28"/>
        </w:rPr>
        <w:t>，合计0.17t。</w:t>
      </w:r>
    </w:p>
    <w:p>
      <w:pPr>
        <w:spacing w:line="360" w:lineRule="auto"/>
        <w:ind w:firstLine="560" w:firstLineChars="200"/>
        <w:rPr>
          <w:rFonts w:hint="eastAsia" w:ascii="宋体" w:hAnsi="宋体"/>
          <w:sz w:val="28"/>
          <w:szCs w:val="28"/>
          <w:lang w:eastAsia="zh-CN"/>
        </w:rPr>
      </w:pPr>
      <w:r>
        <w:rPr>
          <w:rFonts w:hint="eastAsia" w:ascii="宋体" w:hAnsi="宋体"/>
          <w:sz w:val="28"/>
          <w:szCs w:val="28"/>
          <w:lang w:eastAsia="zh-CN"/>
        </w:rPr>
        <w:t>则：0.17/5000=0.000034＜1</w:t>
      </w:r>
    </w:p>
    <w:bookmarkEnd w:id="37"/>
    <w:p>
      <w:pPr>
        <w:spacing w:line="360" w:lineRule="auto"/>
        <w:ind w:firstLine="560" w:firstLineChars="200"/>
        <w:rPr>
          <w:rFonts w:hint="eastAsia" w:ascii="宋体" w:hAnsi="宋体"/>
          <w:sz w:val="28"/>
          <w:szCs w:val="28"/>
          <w:lang w:eastAsia="zh-CN"/>
        </w:rPr>
      </w:pPr>
      <w:bookmarkStart w:id="224" w:name="_Toc10261"/>
      <w:bookmarkStart w:id="225" w:name="_Toc21054"/>
      <w:r>
        <w:rPr>
          <w:rFonts w:hint="eastAsia" w:ascii="宋体" w:hAnsi="宋体"/>
          <w:sz w:val="28"/>
          <w:szCs w:val="28"/>
          <w:lang w:eastAsia="zh-CN"/>
        </w:rPr>
        <w:t>综上所述，根据《危险化学品重大危险源辨识》(GB18218-20</w:t>
      </w:r>
      <w:r>
        <w:rPr>
          <w:rFonts w:hint="eastAsia" w:ascii="宋体" w:hAnsi="宋体"/>
          <w:sz w:val="28"/>
          <w:szCs w:val="28"/>
          <w:lang w:val="en-US" w:eastAsia="zh-CN"/>
        </w:rPr>
        <w:t>18</w:t>
      </w:r>
      <w:r>
        <w:rPr>
          <w:rFonts w:hint="eastAsia" w:ascii="宋体" w:hAnsi="宋体"/>
          <w:sz w:val="28"/>
          <w:szCs w:val="28"/>
          <w:lang w:eastAsia="zh-CN"/>
        </w:rPr>
        <w:t>)，本公司危险化学品的使用和储存均不构成危险化学品重大危险源。即，仪陇县复兴镇红旗页岩砖厂不构成危险化学品重大危险源。</w:t>
      </w:r>
    </w:p>
    <w:p>
      <w:pPr>
        <w:pStyle w:val="8"/>
        <w:spacing w:line="360" w:lineRule="auto"/>
        <w:ind w:firstLine="0" w:firstLineChars="0"/>
        <w:outlineLvl w:val="1"/>
        <w:rPr>
          <w:rFonts w:hint="eastAsia" w:ascii="黑体" w:eastAsia="黑体"/>
          <w:b/>
          <w:snapToGrid w:val="0"/>
          <w:kern w:val="0"/>
          <w:sz w:val="32"/>
          <w:szCs w:val="32"/>
          <w:lang w:val="en-US" w:eastAsia="zh-CN"/>
        </w:rPr>
      </w:pPr>
      <w:bookmarkStart w:id="226" w:name="_Toc26282"/>
      <w:r>
        <w:rPr>
          <w:rFonts w:hint="eastAsia" w:ascii="黑体" w:eastAsia="黑体"/>
          <w:b/>
          <w:snapToGrid w:val="0"/>
          <w:kern w:val="0"/>
          <w:sz w:val="32"/>
          <w:szCs w:val="32"/>
          <w:lang w:val="en-US" w:eastAsia="zh-CN"/>
        </w:rPr>
        <w:t>3.8小结</w:t>
      </w:r>
      <w:bookmarkEnd w:id="224"/>
      <w:bookmarkEnd w:id="225"/>
      <w:bookmarkEnd w:id="226"/>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ascii="黑体" w:eastAsia="黑体"/>
          <w:b/>
          <w:sz w:val="24"/>
        </w:rPr>
        <w:t>-</w:t>
      </w:r>
      <w:r>
        <w:rPr>
          <w:rFonts w:hint="eastAsia" w:ascii="黑体" w:eastAsia="黑体"/>
          <w:b/>
          <w:sz w:val="24"/>
          <w:lang w:val="en-US" w:eastAsia="zh-CN"/>
        </w:rPr>
        <w:t>5</w:t>
      </w:r>
      <w:r>
        <w:rPr>
          <w:rFonts w:ascii="黑体" w:eastAsia="黑体"/>
          <w:b/>
          <w:sz w:val="24"/>
        </w:rPr>
        <w:t xml:space="preserve">  </w:t>
      </w:r>
      <w:r>
        <w:rPr>
          <w:rFonts w:hint="eastAsia" w:ascii="黑体" w:eastAsia="黑体"/>
          <w:b/>
          <w:sz w:val="24"/>
        </w:rPr>
        <w:t>危险、有害因素汇总表</w:t>
      </w:r>
    </w:p>
    <w:tbl>
      <w:tblPr>
        <w:tblStyle w:val="19"/>
        <w:tblpPr w:leftFromText="180" w:rightFromText="180" w:vertAnchor="text" w:horzAnchor="page" w:tblpX="1249" w:tblpY="44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4"/>
        <w:gridCol w:w="2148"/>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bookmarkStart w:id="227" w:name="_Toc29398"/>
            <w:bookmarkStart w:id="228" w:name="_Toc10334"/>
            <w:r>
              <w:rPr>
                <w:rFonts w:hint="eastAsia" w:ascii="宋体" w:hAnsi="宋体" w:cs="宋体"/>
                <w:color w:val="auto"/>
                <w:sz w:val="24"/>
              </w:rPr>
              <w:t>序号</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524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2148"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5246"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堆土场坍塌和成品区坍塌</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594"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numPr>
          <w:ilvl w:val="0"/>
          <w:numId w:val="0"/>
        </w:numPr>
        <w:spacing w:line="360" w:lineRule="auto"/>
        <w:jc w:val="center"/>
        <w:outlineLvl w:val="0"/>
        <w:rPr>
          <w:rFonts w:hint="eastAsia" w:ascii="黑体" w:hAnsi="宋体" w:eastAsia="黑体"/>
          <w:b/>
          <w:sz w:val="32"/>
          <w:szCs w:val="32"/>
        </w:rPr>
      </w:pPr>
      <w:bookmarkStart w:id="229" w:name="_Toc18779"/>
      <w:r>
        <w:rPr>
          <w:rFonts w:hint="eastAsia" w:ascii="黑体" w:hAnsi="宋体" w:eastAsia="黑体"/>
          <w:b/>
          <w:sz w:val="32"/>
          <w:szCs w:val="32"/>
          <w:lang w:val="en-US" w:eastAsia="zh-CN"/>
        </w:rPr>
        <w:t>4</w:t>
      </w:r>
      <w:r>
        <w:rPr>
          <w:rFonts w:hint="eastAsia" w:ascii="黑体" w:hAnsi="宋体" w:eastAsia="黑体"/>
          <w:b/>
          <w:sz w:val="32"/>
          <w:szCs w:val="32"/>
        </w:rPr>
        <w:t>评估结论与建议</w:t>
      </w:r>
      <w:bookmarkEnd w:id="227"/>
      <w:bookmarkEnd w:id="229"/>
    </w:p>
    <w:p>
      <w:pPr>
        <w:pStyle w:val="5"/>
        <w:autoSpaceDN w:val="0"/>
        <w:spacing w:before="0" w:after="0" w:line="360" w:lineRule="auto"/>
        <w:jc w:val="left"/>
        <w:rPr>
          <w:rFonts w:hint="eastAsia" w:ascii="黑体" w:hAnsi="黑体"/>
          <w:sz w:val="28"/>
          <w:szCs w:val="28"/>
          <w:lang w:val="en-US" w:eastAsia="zh-CN"/>
        </w:rPr>
      </w:pPr>
      <w:bookmarkStart w:id="230" w:name="_Toc20941"/>
      <w:r>
        <w:rPr>
          <w:rFonts w:hint="eastAsia" w:ascii="黑体" w:hAnsi="黑体"/>
          <w:sz w:val="28"/>
          <w:szCs w:val="28"/>
          <w:lang w:val="en-US" w:eastAsia="zh-CN"/>
        </w:rPr>
        <w:t>4.1总体评价结论</w:t>
      </w:r>
      <w:bookmarkEnd w:id="228"/>
      <w:bookmarkEnd w:id="230"/>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复兴镇红旗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sz w:val="28"/>
          <w:szCs w:val="28"/>
        </w:rPr>
      </w:pPr>
      <w:bookmarkStart w:id="231" w:name="_Toc30107"/>
      <w:bookmarkStart w:id="232" w:name="_Toc22214"/>
      <w:bookmarkStart w:id="233" w:name="_Toc5799"/>
      <w:r>
        <w:rPr>
          <w:rFonts w:hint="eastAsia" w:ascii="黑体" w:hAnsi="黑体"/>
          <w:sz w:val="28"/>
          <w:szCs w:val="28"/>
          <w:lang w:val="en-US" w:eastAsia="zh-CN"/>
        </w:rPr>
        <w:t>4</w:t>
      </w:r>
      <w:r>
        <w:rPr>
          <w:rFonts w:hint="eastAsia" w:ascii="黑体" w:hAnsi="黑体"/>
          <w:sz w:val="28"/>
          <w:szCs w:val="28"/>
        </w:rPr>
        <w:t>.</w:t>
      </w:r>
      <w:r>
        <w:rPr>
          <w:rFonts w:hint="eastAsia" w:ascii="黑体" w:hAnsi="黑体"/>
          <w:sz w:val="28"/>
          <w:szCs w:val="28"/>
          <w:lang w:val="en-US" w:eastAsia="zh-CN"/>
        </w:rPr>
        <w:t>2</w:t>
      </w:r>
      <w:r>
        <w:rPr>
          <w:rFonts w:hint="eastAsia" w:ascii="黑体" w:hAnsi="黑体"/>
          <w:sz w:val="28"/>
          <w:szCs w:val="28"/>
        </w:rPr>
        <w:t>建议</w:t>
      </w:r>
      <w:bookmarkEnd w:id="231"/>
      <w:bookmarkEnd w:id="232"/>
      <w:bookmarkEnd w:id="233"/>
    </w:p>
    <w:p>
      <w:pPr>
        <w:spacing w:line="360" w:lineRule="auto"/>
        <w:ind w:firstLine="560" w:firstLineChars="200"/>
        <w:rPr>
          <w:sz w:val="28"/>
          <w:szCs w:val="28"/>
        </w:rPr>
      </w:pPr>
      <w:r>
        <w:rPr>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sz w:val="28"/>
          <w:szCs w:val="28"/>
        </w:rPr>
      </w:pPr>
      <w:r>
        <w:rPr>
          <w:sz w:val="28"/>
          <w:szCs w:val="28"/>
        </w:rPr>
        <w:t>（2）应增加应急救援器材，确保事故发生或作业人员发生人身伤害时，能够及时采取有效救援措施，减轻伤害程度，控制事故的发展。</w:t>
      </w:r>
    </w:p>
    <w:p>
      <w:pPr>
        <w:rPr>
          <w:rFonts w:hint="eastAsia"/>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78"/>
    <w:family w:val="auto"/>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D26CA9"/>
    <w:rsid w:val="01F93A08"/>
    <w:rsid w:val="02EB4D5F"/>
    <w:rsid w:val="03D37A5F"/>
    <w:rsid w:val="04BF1B68"/>
    <w:rsid w:val="04F2060B"/>
    <w:rsid w:val="059A7F41"/>
    <w:rsid w:val="06330342"/>
    <w:rsid w:val="06867417"/>
    <w:rsid w:val="069D7701"/>
    <w:rsid w:val="07024A58"/>
    <w:rsid w:val="0731706A"/>
    <w:rsid w:val="077C2AC8"/>
    <w:rsid w:val="07835CC2"/>
    <w:rsid w:val="079471CE"/>
    <w:rsid w:val="07A44FA0"/>
    <w:rsid w:val="07B56C35"/>
    <w:rsid w:val="07E323AA"/>
    <w:rsid w:val="07F26DF4"/>
    <w:rsid w:val="0808585B"/>
    <w:rsid w:val="0864770A"/>
    <w:rsid w:val="08AB3813"/>
    <w:rsid w:val="08FB3207"/>
    <w:rsid w:val="09022D55"/>
    <w:rsid w:val="09691152"/>
    <w:rsid w:val="09F4433B"/>
    <w:rsid w:val="0A1B12D6"/>
    <w:rsid w:val="0A54055C"/>
    <w:rsid w:val="0A5621CC"/>
    <w:rsid w:val="0AE45EDA"/>
    <w:rsid w:val="0AF829E5"/>
    <w:rsid w:val="0C18342B"/>
    <w:rsid w:val="0D066290"/>
    <w:rsid w:val="0D3B3E73"/>
    <w:rsid w:val="0DE0620E"/>
    <w:rsid w:val="0E6D3139"/>
    <w:rsid w:val="0EB95D58"/>
    <w:rsid w:val="0ECB0C27"/>
    <w:rsid w:val="0F25281E"/>
    <w:rsid w:val="0F77136B"/>
    <w:rsid w:val="0F842DC8"/>
    <w:rsid w:val="0FE50957"/>
    <w:rsid w:val="10FF4A2E"/>
    <w:rsid w:val="112E4204"/>
    <w:rsid w:val="11385FCD"/>
    <w:rsid w:val="11C747FB"/>
    <w:rsid w:val="11D61819"/>
    <w:rsid w:val="11F65369"/>
    <w:rsid w:val="123F4030"/>
    <w:rsid w:val="12651DAC"/>
    <w:rsid w:val="128342A7"/>
    <w:rsid w:val="12CA5EC1"/>
    <w:rsid w:val="13174795"/>
    <w:rsid w:val="134B441C"/>
    <w:rsid w:val="136C6E71"/>
    <w:rsid w:val="13C77420"/>
    <w:rsid w:val="143B6186"/>
    <w:rsid w:val="14694763"/>
    <w:rsid w:val="14742777"/>
    <w:rsid w:val="149039AD"/>
    <w:rsid w:val="15570D21"/>
    <w:rsid w:val="155E39C3"/>
    <w:rsid w:val="158733A6"/>
    <w:rsid w:val="15A14830"/>
    <w:rsid w:val="165B5ABE"/>
    <w:rsid w:val="16ED61B4"/>
    <w:rsid w:val="170B2C2B"/>
    <w:rsid w:val="173B5FB4"/>
    <w:rsid w:val="17D8718E"/>
    <w:rsid w:val="18547625"/>
    <w:rsid w:val="18A56828"/>
    <w:rsid w:val="18E72215"/>
    <w:rsid w:val="18E80829"/>
    <w:rsid w:val="19837993"/>
    <w:rsid w:val="19D37E9F"/>
    <w:rsid w:val="1A4F49A7"/>
    <w:rsid w:val="1AF723BC"/>
    <w:rsid w:val="1B584D22"/>
    <w:rsid w:val="1B7B5998"/>
    <w:rsid w:val="1BB675E2"/>
    <w:rsid w:val="1BCF066F"/>
    <w:rsid w:val="1BD90D39"/>
    <w:rsid w:val="1BEC385B"/>
    <w:rsid w:val="1C0A5497"/>
    <w:rsid w:val="1C4842B9"/>
    <w:rsid w:val="1D752B45"/>
    <w:rsid w:val="1D85003A"/>
    <w:rsid w:val="1DC712A8"/>
    <w:rsid w:val="1DE422CB"/>
    <w:rsid w:val="1DEB3E64"/>
    <w:rsid w:val="1DED05D2"/>
    <w:rsid w:val="1E165C3D"/>
    <w:rsid w:val="1E220183"/>
    <w:rsid w:val="1E506871"/>
    <w:rsid w:val="1E8E35FC"/>
    <w:rsid w:val="1F2F4931"/>
    <w:rsid w:val="1F4340AC"/>
    <w:rsid w:val="1F647F1F"/>
    <w:rsid w:val="1F7A37C8"/>
    <w:rsid w:val="1F8D03F9"/>
    <w:rsid w:val="1F8E5F41"/>
    <w:rsid w:val="1FB86C9B"/>
    <w:rsid w:val="1FC13459"/>
    <w:rsid w:val="1FE208B9"/>
    <w:rsid w:val="208858FB"/>
    <w:rsid w:val="21400AC5"/>
    <w:rsid w:val="22C3776E"/>
    <w:rsid w:val="22C6063A"/>
    <w:rsid w:val="22D832A8"/>
    <w:rsid w:val="22E40C74"/>
    <w:rsid w:val="22E759E4"/>
    <w:rsid w:val="23032879"/>
    <w:rsid w:val="23D97413"/>
    <w:rsid w:val="240D3547"/>
    <w:rsid w:val="2439225C"/>
    <w:rsid w:val="24450122"/>
    <w:rsid w:val="244C16C4"/>
    <w:rsid w:val="245A3C4E"/>
    <w:rsid w:val="25AF1A07"/>
    <w:rsid w:val="25F57BEE"/>
    <w:rsid w:val="26503425"/>
    <w:rsid w:val="26524A71"/>
    <w:rsid w:val="26E103D1"/>
    <w:rsid w:val="27614997"/>
    <w:rsid w:val="277D73A1"/>
    <w:rsid w:val="2793442C"/>
    <w:rsid w:val="27A44FE4"/>
    <w:rsid w:val="27C206E8"/>
    <w:rsid w:val="28982FE2"/>
    <w:rsid w:val="28B83BFF"/>
    <w:rsid w:val="28D7581B"/>
    <w:rsid w:val="290F2046"/>
    <w:rsid w:val="2923409D"/>
    <w:rsid w:val="294C2435"/>
    <w:rsid w:val="298C52F0"/>
    <w:rsid w:val="2A1D0F47"/>
    <w:rsid w:val="2A5B6A09"/>
    <w:rsid w:val="2B34415E"/>
    <w:rsid w:val="2BDD5569"/>
    <w:rsid w:val="2C0870D6"/>
    <w:rsid w:val="2C5A6C5D"/>
    <w:rsid w:val="2C955142"/>
    <w:rsid w:val="2CB53128"/>
    <w:rsid w:val="2CD176A6"/>
    <w:rsid w:val="2CE5756B"/>
    <w:rsid w:val="2D17630C"/>
    <w:rsid w:val="2D2D3B92"/>
    <w:rsid w:val="2D980C0B"/>
    <w:rsid w:val="2DA36ECA"/>
    <w:rsid w:val="2DFE08A6"/>
    <w:rsid w:val="2E313DDB"/>
    <w:rsid w:val="2EB507B6"/>
    <w:rsid w:val="2EB87CC0"/>
    <w:rsid w:val="2EC16023"/>
    <w:rsid w:val="2ED80F4B"/>
    <w:rsid w:val="2F1B7849"/>
    <w:rsid w:val="300251B5"/>
    <w:rsid w:val="305C4346"/>
    <w:rsid w:val="30920E0C"/>
    <w:rsid w:val="310028DA"/>
    <w:rsid w:val="313177DD"/>
    <w:rsid w:val="32240BF8"/>
    <w:rsid w:val="322A0AE4"/>
    <w:rsid w:val="3235563A"/>
    <w:rsid w:val="32683B2D"/>
    <w:rsid w:val="327E3643"/>
    <w:rsid w:val="32AF5AD2"/>
    <w:rsid w:val="32C563AD"/>
    <w:rsid w:val="32DC75F6"/>
    <w:rsid w:val="32FE496E"/>
    <w:rsid w:val="330772D7"/>
    <w:rsid w:val="330C362C"/>
    <w:rsid w:val="335A7005"/>
    <w:rsid w:val="33956D13"/>
    <w:rsid w:val="339D79F1"/>
    <w:rsid w:val="33A20370"/>
    <w:rsid w:val="33B37D8A"/>
    <w:rsid w:val="33BB103D"/>
    <w:rsid w:val="343E683F"/>
    <w:rsid w:val="34554F53"/>
    <w:rsid w:val="347F25F8"/>
    <w:rsid w:val="34C35575"/>
    <w:rsid w:val="368E6BF9"/>
    <w:rsid w:val="37095278"/>
    <w:rsid w:val="37260A87"/>
    <w:rsid w:val="376A4991"/>
    <w:rsid w:val="388958CC"/>
    <w:rsid w:val="393A7B4C"/>
    <w:rsid w:val="39A80794"/>
    <w:rsid w:val="39CB2810"/>
    <w:rsid w:val="3A5F15D0"/>
    <w:rsid w:val="3A7A59C2"/>
    <w:rsid w:val="3A8A5198"/>
    <w:rsid w:val="3CE4144F"/>
    <w:rsid w:val="3D294EE0"/>
    <w:rsid w:val="3DAE5076"/>
    <w:rsid w:val="3DE73B46"/>
    <w:rsid w:val="3DE83AD0"/>
    <w:rsid w:val="3E9F6159"/>
    <w:rsid w:val="3FBC7E4E"/>
    <w:rsid w:val="3FDC1A36"/>
    <w:rsid w:val="3FDD2101"/>
    <w:rsid w:val="3FEA6A42"/>
    <w:rsid w:val="409F3EEA"/>
    <w:rsid w:val="40A21DB4"/>
    <w:rsid w:val="40B7729C"/>
    <w:rsid w:val="411F7579"/>
    <w:rsid w:val="41355E93"/>
    <w:rsid w:val="41730BF7"/>
    <w:rsid w:val="433507F9"/>
    <w:rsid w:val="45770186"/>
    <w:rsid w:val="459F7826"/>
    <w:rsid w:val="464A1410"/>
    <w:rsid w:val="4686592A"/>
    <w:rsid w:val="46F66BD7"/>
    <w:rsid w:val="47341022"/>
    <w:rsid w:val="477E3CE3"/>
    <w:rsid w:val="483B34B0"/>
    <w:rsid w:val="491C391B"/>
    <w:rsid w:val="498E082D"/>
    <w:rsid w:val="49BE1003"/>
    <w:rsid w:val="4A720B65"/>
    <w:rsid w:val="4AAF0090"/>
    <w:rsid w:val="4B064935"/>
    <w:rsid w:val="4B220275"/>
    <w:rsid w:val="4B483AD9"/>
    <w:rsid w:val="4B6768D2"/>
    <w:rsid w:val="4BFC05F5"/>
    <w:rsid w:val="4C0F77AD"/>
    <w:rsid w:val="4C6D0410"/>
    <w:rsid w:val="4C8611D9"/>
    <w:rsid w:val="4D02687F"/>
    <w:rsid w:val="4D453DC9"/>
    <w:rsid w:val="4D8D0BEB"/>
    <w:rsid w:val="4DF07C13"/>
    <w:rsid w:val="4E426085"/>
    <w:rsid w:val="4ED74A31"/>
    <w:rsid w:val="4EFD13C2"/>
    <w:rsid w:val="50993D59"/>
    <w:rsid w:val="515512D0"/>
    <w:rsid w:val="516E3E1E"/>
    <w:rsid w:val="51770C66"/>
    <w:rsid w:val="51C92B72"/>
    <w:rsid w:val="51F47B43"/>
    <w:rsid w:val="525C2381"/>
    <w:rsid w:val="52622A40"/>
    <w:rsid w:val="532B27D1"/>
    <w:rsid w:val="53A07D90"/>
    <w:rsid w:val="53C43072"/>
    <w:rsid w:val="53EA2B27"/>
    <w:rsid w:val="540B4142"/>
    <w:rsid w:val="5455526C"/>
    <w:rsid w:val="54D21C50"/>
    <w:rsid w:val="55FD3636"/>
    <w:rsid w:val="564C147E"/>
    <w:rsid w:val="56775B43"/>
    <w:rsid w:val="57D309C6"/>
    <w:rsid w:val="58B72C33"/>
    <w:rsid w:val="592F0C5C"/>
    <w:rsid w:val="59336AE3"/>
    <w:rsid w:val="59A421BC"/>
    <w:rsid w:val="59E15F92"/>
    <w:rsid w:val="59ED3977"/>
    <w:rsid w:val="5A0C0B47"/>
    <w:rsid w:val="5B8C578C"/>
    <w:rsid w:val="5B942AB1"/>
    <w:rsid w:val="5BA27CFF"/>
    <w:rsid w:val="5BEC5827"/>
    <w:rsid w:val="5C2E219B"/>
    <w:rsid w:val="5C6F0596"/>
    <w:rsid w:val="5CB37775"/>
    <w:rsid w:val="5DDA2367"/>
    <w:rsid w:val="5E373F89"/>
    <w:rsid w:val="5E9B5A1F"/>
    <w:rsid w:val="5EFD55DF"/>
    <w:rsid w:val="5F053AC2"/>
    <w:rsid w:val="5F0B5C76"/>
    <w:rsid w:val="5F16731B"/>
    <w:rsid w:val="5F1C71B2"/>
    <w:rsid w:val="5F1D225B"/>
    <w:rsid w:val="5F4A1C91"/>
    <w:rsid w:val="5FCA3D8D"/>
    <w:rsid w:val="60377224"/>
    <w:rsid w:val="607D49FD"/>
    <w:rsid w:val="60E67C6D"/>
    <w:rsid w:val="612E1200"/>
    <w:rsid w:val="613618D5"/>
    <w:rsid w:val="61E37CF9"/>
    <w:rsid w:val="61EF4BAD"/>
    <w:rsid w:val="622E630D"/>
    <w:rsid w:val="62742DCD"/>
    <w:rsid w:val="62B91BA7"/>
    <w:rsid w:val="62D7527A"/>
    <w:rsid w:val="63156E86"/>
    <w:rsid w:val="6395494B"/>
    <w:rsid w:val="639A41C4"/>
    <w:rsid w:val="63AD0D00"/>
    <w:rsid w:val="63BE17A4"/>
    <w:rsid w:val="63CF1848"/>
    <w:rsid w:val="63E37986"/>
    <w:rsid w:val="64360ADF"/>
    <w:rsid w:val="64FB6E9F"/>
    <w:rsid w:val="654C0C6E"/>
    <w:rsid w:val="65B43BEA"/>
    <w:rsid w:val="663A3EB4"/>
    <w:rsid w:val="66E17464"/>
    <w:rsid w:val="67D414E5"/>
    <w:rsid w:val="69A5229A"/>
    <w:rsid w:val="69A97278"/>
    <w:rsid w:val="69F554D1"/>
    <w:rsid w:val="6A223764"/>
    <w:rsid w:val="6BBC26DD"/>
    <w:rsid w:val="6BF603B0"/>
    <w:rsid w:val="6C290D26"/>
    <w:rsid w:val="6C2D1542"/>
    <w:rsid w:val="6C800B14"/>
    <w:rsid w:val="6CDC19EB"/>
    <w:rsid w:val="6D476F7F"/>
    <w:rsid w:val="6D684322"/>
    <w:rsid w:val="6DFB14C0"/>
    <w:rsid w:val="6E7B4731"/>
    <w:rsid w:val="6E927F94"/>
    <w:rsid w:val="6EEF6407"/>
    <w:rsid w:val="6FAA56EB"/>
    <w:rsid w:val="6FED25A3"/>
    <w:rsid w:val="704A3031"/>
    <w:rsid w:val="70554E01"/>
    <w:rsid w:val="70601362"/>
    <w:rsid w:val="70AD3F02"/>
    <w:rsid w:val="70EA511B"/>
    <w:rsid w:val="716D7957"/>
    <w:rsid w:val="71D106C1"/>
    <w:rsid w:val="71E473EF"/>
    <w:rsid w:val="72251606"/>
    <w:rsid w:val="723C4E0C"/>
    <w:rsid w:val="72421DD8"/>
    <w:rsid w:val="72B32819"/>
    <w:rsid w:val="730D354D"/>
    <w:rsid w:val="7386403F"/>
    <w:rsid w:val="73A236AA"/>
    <w:rsid w:val="73AA2E25"/>
    <w:rsid w:val="73B257D5"/>
    <w:rsid w:val="73C66834"/>
    <w:rsid w:val="74034CD0"/>
    <w:rsid w:val="75494092"/>
    <w:rsid w:val="759E0303"/>
    <w:rsid w:val="75AD4B40"/>
    <w:rsid w:val="75FE1A6B"/>
    <w:rsid w:val="767D74C7"/>
    <w:rsid w:val="76820B04"/>
    <w:rsid w:val="76DA4889"/>
    <w:rsid w:val="76E47588"/>
    <w:rsid w:val="77354976"/>
    <w:rsid w:val="776A67F8"/>
    <w:rsid w:val="77DF6978"/>
    <w:rsid w:val="78046151"/>
    <w:rsid w:val="781A02A0"/>
    <w:rsid w:val="783311DF"/>
    <w:rsid w:val="784F6630"/>
    <w:rsid w:val="78507FEF"/>
    <w:rsid w:val="78B03D86"/>
    <w:rsid w:val="79260D6C"/>
    <w:rsid w:val="79F66BAF"/>
    <w:rsid w:val="7A2F46E7"/>
    <w:rsid w:val="7A4F1784"/>
    <w:rsid w:val="7A5245F9"/>
    <w:rsid w:val="7AF95BE7"/>
    <w:rsid w:val="7B932C66"/>
    <w:rsid w:val="7BF0782B"/>
    <w:rsid w:val="7C05359C"/>
    <w:rsid w:val="7D0275D8"/>
    <w:rsid w:val="7DB96803"/>
    <w:rsid w:val="7E2852A2"/>
    <w:rsid w:val="7E30524F"/>
    <w:rsid w:val="7E605563"/>
    <w:rsid w:val="7EAA408B"/>
    <w:rsid w:val="7EDF4571"/>
    <w:rsid w:val="7F114FA7"/>
    <w:rsid w:val="7F280353"/>
    <w:rsid w:val="7F350E03"/>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annotation reference"/>
    <w:basedOn w:val="21"/>
    <w:semiHidden/>
    <w:qFormat/>
    <w:uiPriority w:val="0"/>
    <w:rPr>
      <w:sz w:val="21"/>
      <w:szCs w:val="21"/>
    </w:rPr>
  </w:style>
  <w:style w:type="paragraph" w:customStyle="1" w:styleId="24">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5">
    <w:name w:val="表格"/>
    <w:basedOn w:val="1"/>
    <w:qFormat/>
    <w:uiPriority w:val="0"/>
    <w:pPr>
      <w:widowControl/>
      <w:snapToGrid w:val="0"/>
      <w:jc w:val="center"/>
    </w:pPr>
    <w:rPr>
      <w:kern w:val="0"/>
    </w:rPr>
  </w:style>
  <w:style w:type="paragraph" w:customStyle="1" w:styleId="26">
    <w:name w:val="简单回函地址"/>
    <w:basedOn w:val="1"/>
    <w:qFormat/>
    <w:uiPriority w:val="0"/>
  </w:style>
  <w:style w:type="paragraph" w:customStyle="1" w:styleId="27">
    <w:name w:val="居中"/>
    <w:basedOn w:val="1"/>
    <w:qFormat/>
    <w:uiPriority w:val="0"/>
    <w:pPr>
      <w:jc w:val="center"/>
    </w:pPr>
    <w:rPr>
      <w:rFonts w:ascii="宋体" w:hAnsi="宋体"/>
      <w:color w:val="000000"/>
      <w:sz w:val="21"/>
    </w:rPr>
  </w:style>
  <w:style w:type="character" w:customStyle="1" w:styleId="28">
    <w:name w:val="zw1"/>
    <w:basedOn w:val="21"/>
    <w:qFormat/>
    <w:uiPriority w:val="0"/>
    <w:rPr>
      <w:rFonts w:hint="eastAsia" w:ascii="宋体" w:hAnsi="宋体" w:eastAsia="宋体"/>
      <w:sz w:val="22"/>
      <w:szCs w:val="22"/>
    </w:rPr>
  </w:style>
  <w:style w:type="character" w:customStyle="1" w:styleId="29">
    <w:name w:val="正文1"/>
    <w:basedOn w:val="21"/>
    <w:qFormat/>
    <w:uiPriority w:val="0"/>
    <w:rPr>
      <w:rFonts w:hint="eastAsia" w:ascii="宋体" w:hAnsi="宋体" w:eastAsia="宋体"/>
      <w:sz w:val="22"/>
      <w:szCs w:val="22"/>
    </w:rPr>
  </w:style>
  <w:style w:type="paragraph" w:customStyle="1" w:styleId="30">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1">
    <w:name w:val="页脚 Char"/>
    <w:link w:val="13"/>
    <w:qFormat/>
    <w:uiPriority w:val="99"/>
    <w:rPr>
      <w:sz w:val="18"/>
    </w:rPr>
  </w:style>
  <w:style w:type="paragraph" w:customStyle="1" w:styleId="32">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1111</cp:lastModifiedBy>
  <cp:lastPrinted>2019-05-14T01:57:00Z</cp:lastPrinted>
  <dcterms:modified xsi:type="dcterms:W3CDTF">2019-05-25T04:35:13Z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