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2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2019年5月10日，公司对编制的《安全生产应急预案》进行了评审论证，形成以下意见：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安全生产综合应急救援预案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论证意见：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编制目的：编制依据引用的法规标准合法有效；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应急预案体系完善；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应急工作原则明确，符合国家有关规定和要求；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企业概况描述清楚；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客观分析了危险源辩识与风险分析；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组织机构及职责明确；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预警信息发布、预警行动科学；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信息报告与处置合理；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二、专项应急预案论证意见：编制目的和工作原则针对性强；组织机构和职责明确；预案的响应、救援、终止程序清晰；后期处置内容完善；保障措施齐全；明确了培训与演练要求。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根据与会人员意见，同意报送县运管局备案。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firstLine="3920" w:firstLineChars="14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firstLine="3920" w:firstLineChars="14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920" w:firstLineChars="1400"/>
              <w:jc w:val="both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/>
              <w:jc w:val="both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/>
              <w:jc w:val="both"/>
              <w:textAlignment w:val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40"/>
          <w:szCs w:val="48"/>
          <w:lang w:eastAsia="zh-CN"/>
        </w:rPr>
      </w:pPr>
      <w:bookmarkStart w:id="0" w:name="_GoBack"/>
      <w:bookmarkEnd w:id="0"/>
      <w:r>
        <w:rPr>
          <w:rFonts w:hint="eastAsia"/>
          <w:sz w:val="40"/>
          <w:szCs w:val="48"/>
          <w:lang w:eastAsia="zh-CN"/>
        </w:rPr>
        <w:t>仪陇县迪盛出租汽车有限公司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eastAsia="zh-CN"/>
        </w:rPr>
        <w:t>专项应急预案要素评审</w:t>
      </w:r>
      <w:r>
        <w:rPr>
          <w:rFonts w:hint="eastAsia"/>
          <w:sz w:val="40"/>
          <w:szCs w:val="48"/>
          <w:lang w:val="en-US" w:eastAsia="zh-CN"/>
        </w:rPr>
        <w:t>表</w:t>
      </w:r>
    </w:p>
    <w:tbl>
      <w:tblPr>
        <w:tblStyle w:val="4"/>
        <w:tblW w:w="978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612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评审内容及要求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事故类型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和危险程度分析*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能够客观分析本单位存在的危险源及危险程度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能够客观分析可能引发事故的诱因、影响范围及后果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能够提出相应的事故预防和应急措施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及职责*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应急组织体系</w:t>
            </w:r>
          </w:p>
        </w:tc>
        <w:tc>
          <w:tcPr>
            <w:tcW w:w="61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能够清晰描述本单位的应急组织体系（推荐使用图表）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明确应急组织人员日常及应急状态下的工作职责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指挥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及职责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清晰表述本单位应急指挥体系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应急指挥部门职责明确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各应急救援小组设置合理，应急工作明确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与预警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危险源监控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明确危险源的监测测控方式、方法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明确技术性预防和管理措施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明确采取的应急处置措施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行动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明确预警信息发布的方式及流程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预警级别与采取的预警措施科学合理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程序*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明确24小时应急值守电话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明确本单位内部信息报告的方式、要求与处置流程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明确事故信息上报的部门、通信方式和内容时限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明确向事故相关单位通告、报警的方式和内容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明确向有关单位发出请求支援的方式和内容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分级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分级清晰合理，且与上级应急预案响应分级衔接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能够体现事故紧急和危害程度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明确紧急情况下应急响应决策的原则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响应*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程序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1、明确具体的应急响应程序和保障措施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明确救援过程中专项应急功能的实施程序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明确扩大应急的基本条件及原则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能够辅以图片直观表述应急响应程序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措施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针对事故种类制定相应的应急处置措施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符合实际，科学合理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程序清晰，简单易行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应急物资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与装备保障*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明确对应急救援所需的物资和装备的要求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应急物资与装备保障符合单位实际，满足应急需求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注：“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”代表应急预案的关键要素。如果专项应急预案作为综合应急预案的附件，综合应急预案已经明确的要素，专项应急预案可省略。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C7CF5"/>
    <w:multiLevelType w:val="singleLevel"/>
    <w:tmpl w:val="922C7C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89B60B3"/>
    <w:multiLevelType w:val="singleLevel"/>
    <w:tmpl w:val="989B60B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1656CA4"/>
    <w:multiLevelType w:val="singleLevel"/>
    <w:tmpl w:val="B1656CA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CD1FF1"/>
    <w:multiLevelType w:val="singleLevel"/>
    <w:tmpl w:val="BBCD1FF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AA4A82C"/>
    <w:multiLevelType w:val="singleLevel"/>
    <w:tmpl w:val="DAA4A82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E30E84A"/>
    <w:multiLevelType w:val="singleLevel"/>
    <w:tmpl w:val="EE30E84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6A46EB0"/>
    <w:multiLevelType w:val="singleLevel"/>
    <w:tmpl w:val="F6A46EB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D1D2081"/>
    <w:multiLevelType w:val="singleLevel"/>
    <w:tmpl w:val="0D1D208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FF810DB"/>
    <w:multiLevelType w:val="singleLevel"/>
    <w:tmpl w:val="1FF810D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BBE88FC"/>
    <w:multiLevelType w:val="singleLevel"/>
    <w:tmpl w:val="7BBE88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67B45"/>
    <w:rsid w:val="37A67B45"/>
    <w:rsid w:val="3F37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2019-05-31T08:12:00Z</dcterms:created>
  <dc:creator>泡泡糖</dc:creator>
  <cp:lastModifiedBy>泡泡糖</cp:lastModifiedBy>
  <dcterms:modified xsi:type="dcterms:W3CDTF">2019-05-31T08:28:44Z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