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606" w:firstLineChars="400"/>
        <w:jc w:val="both"/>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仪陇县迪盛出租汽车有限公司</w:t>
      </w:r>
    </w:p>
    <w:p>
      <w:pPr>
        <w:keepNext w:val="0"/>
        <w:keepLines w:val="0"/>
        <w:widowControl/>
        <w:suppressLineNumbers w:val="0"/>
        <w:jc w:val="center"/>
        <w:rPr>
          <w:rFonts w:hint="eastAsia" w:ascii="仿宋" w:hAnsi="仿宋" w:eastAsia="仿宋" w:cs="仿宋"/>
          <w:kern w:val="0"/>
          <w:sz w:val="32"/>
          <w:szCs w:val="32"/>
          <w:lang w:val="en-US" w:eastAsia="zh-CN" w:bidi="ar"/>
        </w:rPr>
      </w:pPr>
      <w:r>
        <w:rPr>
          <w:rFonts w:hint="eastAsia" w:ascii="仿宋" w:hAnsi="仿宋" w:eastAsia="仿宋" w:cs="仿宋"/>
          <w:b/>
          <w:bCs/>
          <w:kern w:val="0"/>
          <w:sz w:val="40"/>
          <w:szCs w:val="40"/>
          <w:lang w:val="en-US" w:eastAsia="zh-CN" w:bidi="ar"/>
        </w:rPr>
        <w:t>应急预案风险评估说明 </w:t>
      </w:r>
      <w:r>
        <w:rPr>
          <w:rFonts w:hint="eastAsia" w:ascii="仿宋" w:hAnsi="仿宋" w:eastAsia="仿宋" w:cs="仿宋"/>
          <w:b/>
          <w:bCs/>
          <w:kern w:val="0"/>
          <w:sz w:val="40"/>
          <w:szCs w:val="40"/>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根据《中华人民共和国安全生产法》及《生产安全事故应急预案管理办法》（总局88号令）要求--“第十条 编制</w:t>
      </w:r>
      <w:bookmarkStart w:id="0" w:name="_GoBack"/>
      <w:r>
        <w:rPr>
          <w:rFonts w:hint="eastAsia" w:ascii="仿宋" w:hAnsi="仿宋" w:eastAsia="仿宋" w:cs="仿宋"/>
          <w:kern w:val="0"/>
          <w:sz w:val="32"/>
          <w:szCs w:val="32"/>
          <w:lang w:val="en-US" w:eastAsia="zh-CN" w:bidi="ar"/>
        </w:rPr>
        <w:t>应急预案前，编制单位应当进行事故风险评估和应急资源调</w:t>
      </w:r>
      <w:bookmarkEnd w:id="0"/>
      <w:r>
        <w:rPr>
          <w:rFonts w:hint="eastAsia" w:ascii="仿宋" w:hAnsi="仿宋" w:eastAsia="仿宋" w:cs="仿宋"/>
          <w:kern w:val="0"/>
          <w:sz w:val="32"/>
          <w:szCs w:val="32"/>
          <w:lang w:val="en-US" w:eastAsia="zh-CN" w:bidi="ar"/>
        </w:rPr>
        <w:t>查。” 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事故风险评估，是指针对不同事故种类及特点，识别存在的危险危害因素，分析事故可能产生的直接后果以及次生、衍生后果，评估各种后果的危险程度和影响范围，提出防范和控制事故风险措施的过程。</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为进一步降低和消除各类事故给公司带来的灾难，做好生产安全事故应急预案编制工作，在组织相关人员开展事故分析评估的基础上，编制完成了《应急预案事故风险评估》，以便于发生事故后遵照执行。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编制《应急预案事故风险评估》的目的是在公司一旦发生事故后在抢险救援方面有章可循，避免因慌乱而耽误救援时间，造成不必要的人员伤亡和财产损失。事故风险分析报告主要内容包括：事故风险评估目的、事故风险评估原则、企业概况、事故风险评估组织、事故风险评估过程、事故风险评估范围、危险、有害因素辨识与分析、预防控制措施、评估结论。主要识别公司潜在的危险、有害因素，分析事故的可能性及产生后果的严重性，评估各类后果的危害程度和影响范围。</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一、风险评估目的 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了规范公司应急管理工作，提高应对和防范风险与事故的能力，保证员工安全健康和公众生命安全，最大限度地减少财产损失、环境损害和社会影响；及时、有效地组织对突发事故采取应急救援行动，确保快速反应和处理事故的能力，根据有关法律、法规的规定，制定本预案。</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二、评估原则</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坚持客观公正原则。在组织评估和撰写评估报告等各个环节，都从思想和形式上力求做到实事求是，确保评估结果的可信、可用。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坚持发展性原则。评估不是目的，促进应急管理工作的开展和完善才是目的。评估过程中，应始终以发现问题，解决问题为主要目标，建设性的开展工作。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三、评估组织</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风险评价小组由公司主要负责人、分管安全生产责任人及各科室主要负责人组成。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风险评价小组名单</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组长：林尉巍   副组长： 张筱明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组员：李军  刘宣佑  李根琴  杨燕  王勇  李兴胜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评估过程</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1、成立风险评估小组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2、收集分析资料、现场勘察</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3、组织进行风险识别和评估</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4、评估汇总交公司主要负责人批准</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五、风险评估范围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评估范围主要围绕生产经营活动开展，主要包括公司在生产经营过程的生产工艺装置和储存设施以及配套的公用工程系统的风险金性别是和分析。</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六、评估方法</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1、直接判断法</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当出现以下情况之一时，可判断为重要危险源:不符合职业健康安全法律法规、标准、规程、规范的情况;曾发生过重大以上的事故，且仍未采取防范措施的情况;直接观察到的事故隐患，但无预防控制措施的情况。</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2、预先危险分析法(PHA)</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预先危险性分析又称初步危险性分析，是在进行某项工程活动(包括设计、施工、生产、维修等)之前，对系统存在的各种危险因素(类别、分布)、出现条件和事故可能造成的后果进行宏观、概略分析的系统安全分析方法。 主要用于对危险物质和主要工艺、装置等进行分析。通过对生产装置及工艺、设备的安全性进行危险性预先分析，辨别装置的危险部位、主要危险特性以及可导致重大事故的缺陷和隐患，防止这些危险发展成事故。</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分析步骤：收集有关资料，对要进行分析的系统作基本情况了解;  对系统的生产目的、工艺过程以及操作条件和周边环境进行充分的调查了解; 收集以往的经验和同类生产中发生过的事故情况，分析危险、有害因素和触发事件;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 、推测可能导致的事故类型和危险程度;  确定危险、有害因素后果的危险等级;制定相应的安全措施。</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危险性等级：级别 ，即危险程度。可能导致的后果安全的， 不会造成人员伤亡及系统损坏 ； 临界的， 处于事故的边缘状态，暂时还不至于造成人员伤亡、系统损坏或降低系统性能，但应予以排除或采取控制措施；危险的 ，会造成人员伤亡和系统损坏，要立即采取防范对策措施；灾难性的， 会造成重大伤亡及系统严重破坏的灾难性事故，必须予以果断排除并进行重点防范。</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风险表示及分析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主要危险、有害因素分析结果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危险、有害因素分析，参照《企业职工伤亡事故分类》(GB6441-1986)标准要求，综合考虑起因物、引起事故的诱导原因、致害物、伤害方式等，进行危险源辨识，分析辨识出可能存在的危险有害因素为火灾、触电、自然灾害、车辆伤害等事故类型。</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1、火灾</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该公司办公室内使用电气照明设备的安装或使用不当,电源管线存旧老化、消防措施不落实等因素往往会引发火灾事故。所以该公司办公室存在电气火灾危险。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触电危险 ，触电是指人体与带电体直接接触，使人体通过超过承受阈值的电流而造成的伤害，包括雷击伤亡事故。该公司办公室内使用的电器如空调、电脑等电器设备因线路老化、人为操作不当等因素易导致人体触电的可能。</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3、自然灾害</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1)雷击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雷击事故是指因雷击发生火灾、爆炸，导致人员伤亡、建筑物、车辆或设备损毁、公共服务系统(供 水、供电、通信等)中断甚至瘫痪的自然灾害事故。</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2)地震</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地震是地壳快速释放能量过程中造成的振动，期间会产生地震波的一种自然现象。发生地震，会导致建筑物受到破坏或倒塌;同时，因地面倾斜、升降和变形，易造成车辆行车事故发生。</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40" w:lineRule="exact"/>
        <w:ind w:left="640" w:leftChars="0" w:firstLine="0" w:firstLineChars="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洪水、强降雨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640" w:leftChars="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洪水、强降雨发生后，如水位超出警戒水位或在道路上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产生大面积积水，可能造成建筑物及各类设备设施损坏或原材料、产品损失，并对安全行车带来隐患。</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4）雪、冰、雹</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雪、冰、雹等极端天气将严重影响甚至破坏交通、通讯、输电线路等生命线工程。长期积雪还会对钢结构厂房等建筑物产生影响，造成坍塌事故，导致行车事故发生。</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6）大风</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突然刮起的大风，可造成建筑物、树木、市政设施等损坏、坠落而导致人员伤亡；也可造成行车事故发生，通讯、输电线路损坏而大面积停电，或线路短路引发火灾事故。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4、车辆伤害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人、车、路</w:t>
      </w:r>
      <w:r>
        <w:rPr>
          <w:rFonts w:hint="eastAsia" w:ascii="仿宋_GB2312" w:eastAsia="仿宋_GB2312"/>
          <w:sz w:val="32"/>
          <w:szCs w:val="32"/>
          <w:lang w:eastAsia="zh-CN"/>
        </w:rPr>
        <w:t>、气象是影响安全</w:t>
      </w:r>
      <w:r>
        <w:rPr>
          <w:rFonts w:hint="eastAsia" w:ascii="仿宋_GB2312" w:eastAsia="仿宋_GB2312"/>
          <w:sz w:val="32"/>
          <w:szCs w:val="32"/>
        </w:rPr>
        <w:t>运营生产的</w:t>
      </w:r>
      <w:r>
        <w:rPr>
          <w:rFonts w:hint="eastAsia" w:ascii="仿宋_GB2312" w:eastAsia="仿宋_GB2312"/>
          <w:sz w:val="32"/>
          <w:szCs w:val="32"/>
          <w:lang w:eastAsia="zh-CN"/>
        </w:rPr>
        <w:t>主</w:t>
      </w:r>
      <w:r>
        <w:rPr>
          <w:rFonts w:hint="eastAsia" w:ascii="仿宋_GB2312" w:eastAsia="仿宋_GB2312"/>
          <w:sz w:val="32"/>
          <w:szCs w:val="32"/>
        </w:rPr>
        <w:t>要</w:t>
      </w:r>
      <w:r>
        <w:rPr>
          <w:rFonts w:hint="eastAsia" w:ascii="仿宋_GB2312" w:eastAsia="仿宋_GB2312"/>
          <w:sz w:val="32"/>
          <w:szCs w:val="32"/>
          <w:lang w:eastAsia="zh-CN"/>
        </w:rPr>
        <w:t>因</w:t>
      </w:r>
      <w:r>
        <w:rPr>
          <w:rFonts w:hint="eastAsia" w:ascii="仿宋_GB2312" w:eastAsia="仿宋_GB2312"/>
          <w:sz w:val="32"/>
          <w:szCs w:val="32"/>
        </w:rPr>
        <w:t>素</w:t>
      </w:r>
      <w:r>
        <w:rPr>
          <w:rFonts w:hint="eastAsia" w:ascii="仿宋_GB2312" w:eastAsia="仿宋_GB2312"/>
          <w:sz w:val="32"/>
          <w:szCs w:val="32"/>
          <w:lang w:eastAsia="zh-CN"/>
        </w:rPr>
        <w:t>。</w:t>
      </w:r>
      <w:r>
        <w:rPr>
          <w:rFonts w:hint="eastAsia" w:ascii="仿宋_GB2312" w:eastAsia="仿宋_GB2312"/>
          <w:sz w:val="32"/>
          <w:szCs w:val="32"/>
        </w:rPr>
        <w:t>由于驾驶员驾驶车辆行驶在道路上，道路上</w:t>
      </w:r>
      <w:r>
        <w:rPr>
          <w:rFonts w:hint="eastAsia" w:ascii="仿宋_GB2312" w:eastAsia="仿宋_GB2312"/>
          <w:sz w:val="32"/>
          <w:szCs w:val="32"/>
          <w:lang w:eastAsia="zh-CN"/>
        </w:rPr>
        <w:t>的</w:t>
      </w:r>
      <w:r>
        <w:rPr>
          <w:rFonts w:hint="eastAsia" w:ascii="仿宋_GB2312" w:eastAsia="仿宋_GB2312"/>
          <w:sz w:val="32"/>
          <w:szCs w:val="32"/>
        </w:rPr>
        <w:t>车</w:t>
      </w:r>
      <w:r>
        <w:rPr>
          <w:rFonts w:hint="eastAsia" w:ascii="仿宋_GB2312" w:eastAsia="仿宋_GB2312"/>
          <w:sz w:val="32"/>
          <w:szCs w:val="32"/>
          <w:lang w:eastAsia="zh-CN"/>
        </w:rPr>
        <w:t>辆、</w:t>
      </w:r>
      <w:r>
        <w:rPr>
          <w:rFonts w:hint="eastAsia" w:ascii="仿宋_GB2312" w:eastAsia="仿宋_GB2312"/>
          <w:sz w:val="32"/>
          <w:szCs w:val="32"/>
        </w:rPr>
        <w:t>行人的动态位移变化需要驾驶员采取不同的</w:t>
      </w:r>
      <w:r>
        <w:rPr>
          <w:rFonts w:hint="eastAsia" w:ascii="仿宋_GB2312" w:eastAsia="仿宋_GB2312"/>
          <w:sz w:val="32"/>
          <w:szCs w:val="32"/>
          <w:lang w:eastAsia="zh-CN"/>
        </w:rPr>
        <w:t>防御性</w:t>
      </w:r>
      <w:r>
        <w:rPr>
          <w:rFonts w:hint="eastAsia" w:ascii="仿宋_GB2312" w:eastAsia="仿宋_GB2312"/>
          <w:sz w:val="32"/>
          <w:szCs w:val="32"/>
        </w:rPr>
        <w:t>应对措施，稍有不慎或处置不当</w:t>
      </w:r>
      <w:r>
        <w:rPr>
          <w:rFonts w:hint="eastAsia" w:ascii="仿宋_GB2312" w:eastAsia="仿宋_GB2312"/>
          <w:sz w:val="32"/>
          <w:szCs w:val="32"/>
          <w:lang w:eastAsia="zh-CN"/>
        </w:rPr>
        <w:t>，如</w:t>
      </w:r>
      <w:r>
        <w:rPr>
          <w:rFonts w:hint="eastAsia" w:ascii="仿宋" w:hAnsi="仿宋" w:eastAsia="仿宋" w:cs="仿宋"/>
          <w:kern w:val="0"/>
          <w:sz w:val="32"/>
          <w:szCs w:val="32"/>
          <w:lang w:val="en-US" w:eastAsia="zh-CN" w:bidi="ar"/>
        </w:rPr>
        <w:t>速度过快或违章作业均可能导致车辆伤害事故</w:t>
      </w:r>
      <w:r>
        <w:rPr>
          <w:rFonts w:hint="eastAsia" w:ascii="仿宋_GB2312" w:eastAsia="仿宋_GB2312"/>
          <w:sz w:val="32"/>
          <w:szCs w:val="32"/>
        </w:rPr>
        <w:t>发生</w:t>
      </w:r>
      <w:r>
        <w:rPr>
          <w:rFonts w:hint="eastAsia" w:ascii="仿宋" w:hAnsi="仿宋" w:eastAsia="仿宋" w:cs="仿宋"/>
          <w:kern w:val="0"/>
          <w:sz w:val="32"/>
          <w:szCs w:val="32"/>
          <w:lang w:val="en-US" w:eastAsia="zh-CN" w:bidi="ar"/>
        </w:rPr>
        <w:t>。</w:t>
      </w:r>
      <w:r>
        <w:rPr>
          <w:rFonts w:hint="eastAsia" w:ascii="仿宋_GB2312" w:eastAsia="仿宋_GB2312"/>
          <w:sz w:val="32"/>
          <w:szCs w:val="32"/>
        </w:rPr>
        <w:t>其工作性质和特点决定了道路运输的高危、高风险，其危险性由客观和主观因素构成。</w:t>
      </w:r>
      <w:r>
        <w:rPr>
          <w:rFonts w:ascii="仿宋_GB2312" w:eastAsia="仿宋_GB2312"/>
          <w:sz w:val="32"/>
          <w:szCs w:val="32"/>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八、评估结果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1、生产过程中可能存在的主要危险有害因素为火灾、触电、自然灾害和车辆伤害。</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2、主要危险、主要有害因素危险等级分别为车辆伤害、火灾、自然灾、触电。</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3、公司未构成重大危险源，但也应当严格实行安全管理，加强对员工的培训，保持各项措施的良好实施，则能够保证在正常生产下的安全运行。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九、预防控制措施</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1、通过本次评估结果，要求公司各级领导、各部门要坚持“预防为主”的原则，收集生产安全方面的信息，及时做好预防工作。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2、要加强安全检查工作，特别是日常的安全检查工作，并做好安全查记录。</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3、定期检查安全设施，发现问题及时处理，保证各类器材完好有效。加强劳保用品管理，进入重大危险源区域必须佩带劳保用品。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4、加强对人员的安全责任教育，使其熟悉管理制度和安全规程，掌握控制事故发生的方法、相应的急救措施和各种具体管理要求等。</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5、建立健全信息反馈系统，各级领导和安全管理部门要定期召开安全例会，定期检查岗位监控防范和应急救援工作情况，分析可能出现的新情况、新问题，积极采取有效措施，加以改进。</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ind w:firstLine="1600" w:firstLineChars="400"/>
        <w:jc w:val="both"/>
        <w:rPr>
          <w:rFonts w:hint="eastAsia" w:ascii="仿宋" w:hAnsi="仿宋" w:eastAsia="仿宋" w:cs="仿宋"/>
          <w:sz w:val="40"/>
          <w:szCs w:val="4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8EA8C"/>
    <w:multiLevelType w:val="singleLevel"/>
    <w:tmpl w:val="8258EA8C"/>
    <w:lvl w:ilvl="0" w:tentative="0">
      <w:start w:val="7"/>
      <w:numFmt w:val="chineseCounting"/>
      <w:suff w:val="nothing"/>
      <w:lvlText w:val="%1、"/>
      <w:lvlJc w:val="left"/>
      <w:rPr>
        <w:rFonts w:hint="eastAsia"/>
      </w:rPr>
    </w:lvl>
  </w:abstractNum>
  <w:abstractNum w:abstractNumId="1">
    <w:nsid w:val="B9E42C0A"/>
    <w:multiLevelType w:val="singleLevel"/>
    <w:tmpl w:val="B9E42C0A"/>
    <w:lvl w:ilvl="0" w:tentative="0">
      <w:start w:val="1"/>
      <w:numFmt w:val="decimal"/>
      <w:suff w:val="nothing"/>
      <w:lvlText w:val="%1、"/>
      <w:lvlJc w:val="left"/>
    </w:lvl>
  </w:abstractNum>
  <w:abstractNum w:abstractNumId="2">
    <w:nsid w:val="224881E9"/>
    <w:multiLevelType w:val="singleLevel"/>
    <w:tmpl w:val="224881E9"/>
    <w:lvl w:ilvl="0" w:tentative="0">
      <w:start w:val="3"/>
      <w:numFmt w:val="decimal"/>
      <w:suff w:val="nothing"/>
      <w:lvlText w:val="%1）"/>
      <w:lvlJc w:val="left"/>
      <w:pPr>
        <w:ind w:left="640" w:leftChars="0" w:firstLine="0" w:firstLineChars="0"/>
      </w:pPr>
    </w:lvl>
  </w:abstractNum>
  <w:abstractNum w:abstractNumId="3">
    <w:nsid w:val="56C73A0A"/>
    <w:multiLevelType w:val="singleLevel"/>
    <w:tmpl w:val="56C73A0A"/>
    <w:lvl w:ilvl="0" w:tentative="0">
      <w:start w:val="4"/>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C0AAA"/>
    <w:rsid w:val="5456678B"/>
    <w:rsid w:val="69DC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2019-05-31T08:21:00Z</dcterms:created>
  <dc:creator>泡泡糖</dc:creator>
  <cp:lastModifiedBy>泡泡糖</cp:lastModifiedBy>
  <dcterms:modified xsi:type="dcterms:W3CDTF">2019-05-31T08:23:33Z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