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firstLine="1044"/>
        <w:jc w:val="right"/>
        <w:rPr>
          <w:rFonts w:hint="eastAsia"/>
          <w:b/>
          <w:color w:val="auto"/>
          <w:sz w:val="28"/>
          <w:szCs w:val="28"/>
        </w:rPr>
      </w:pPr>
      <w:bookmarkStart w:id="0" w:name="_Toc19720"/>
    </w:p>
    <w:p>
      <w:pPr>
        <w:jc w:val="center"/>
        <w:rPr>
          <w:rFonts w:hint="eastAsia"/>
          <w:color w:val="auto"/>
          <w:sz w:val="32"/>
          <w:szCs w:val="32"/>
        </w:rPr>
      </w:pPr>
    </w:p>
    <w:p>
      <w:pPr>
        <w:jc w:val="center"/>
        <w:rPr>
          <w:rFonts w:hint="eastAsia"/>
          <w:color w:val="auto"/>
          <w:sz w:val="32"/>
          <w:szCs w:val="32"/>
        </w:rPr>
      </w:pPr>
    </w:p>
    <w:p>
      <w:pPr>
        <w:jc w:val="center"/>
        <w:rPr>
          <w:rFonts w:hint="eastAsia"/>
          <w:color w:val="auto"/>
          <w:sz w:val="32"/>
          <w:szCs w:val="32"/>
        </w:rPr>
      </w:pPr>
    </w:p>
    <w:p>
      <w:pPr>
        <w:spacing w:line="360" w:lineRule="auto"/>
        <w:jc w:val="center"/>
        <w:rPr>
          <w:rFonts w:hint="eastAsia" w:ascii="宋体" w:hAnsi="宋体" w:eastAsia="宋体"/>
          <w:b/>
          <w:bCs/>
          <w:caps/>
          <w:color w:val="auto"/>
          <w:sz w:val="48"/>
          <w:szCs w:val="48"/>
          <w:lang w:eastAsia="zh-CN"/>
        </w:rPr>
      </w:pPr>
      <w:r>
        <w:rPr>
          <w:rFonts w:hint="eastAsia" w:ascii="宋体" w:hAnsi="宋体"/>
          <w:b/>
          <w:bCs/>
          <w:caps/>
          <w:color w:val="auto"/>
          <w:sz w:val="48"/>
          <w:szCs w:val="48"/>
          <w:lang w:eastAsia="zh-CN"/>
        </w:rPr>
        <w:t>仪陇县来仪银河页岩砖厂</w:t>
      </w:r>
    </w:p>
    <w:p>
      <w:pPr>
        <w:spacing w:line="360" w:lineRule="auto"/>
        <w:jc w:val="center"/>
        <w:rPr>
          <w:rFonts w:hint="eastAsia" w:ascii="宋体" w:hAnsi="宋体"/>
          <w:b/>
          <w:bCs/>
          <w:caps/>
          <w:color w:val="auto"/>
          <w:sz w:val="48"/>
          <w:szCs w:val="48"/>
        </w:rPr>
      </w:pPr>
    </w:p>
    <w:p>
      <w:pPr>
        <w:spacing w:line="360" w:lineRule="auto"/>
        <w:jc w:val="center"/>
        <w:rPr>
          <w:rFonts w:hint="eastAsia" w:ascii="宋体" w:hAnsi="宋体"/>
          <w:b/>
          <w:bCs/>
          <w:caps/>
          <w:color w:val="auto"/>
          <w:sz w:val="48"/>
          <w:szCs w:val="48"/>
          <w:lang w:eastAsia="zh-CN"/>
        </w:rPr>
      </w:pPr>
      <w:r>
        <w:rPr>
          <w:rFonts w:hint="eastAsia" w:ascii="宋体" w:hAnsi="宋体"/>
          <w:b/>
          <w:bCs/>
          <w:caps/>
          <w:color w:val="auto"/>
          <w:sz w:val="48"/>
          <w:szCs w:val="48"/>
          <w:lang w:eastAsia="zh-CN"/>
        </w:rPr>
        <w:tab/>
      </w:r>
      <w:r>
        <w:rPr>
          <w:rFonts w:hint="eastAsia" w:ascii="宋体" w:hAnsi="宋体"/>
          <w:b/>
          <w:bCs/>
          <w:caps/>
          <w:color w:val="auto"/>
          <w:sz w:val="48"/>
          <w:szCs w:val="48"/>
          <w:lang w:eastAsia="zh-CN"/>
        </w:rPr>
        <w:t>事故风险评估报告</w:t>
      </w:r>
      <w:r>
        <w:rPr>
          <w:rFonts w:hint="eastAsia" w:ascii="宋体" w:hAnsi="宋体"/>
          <w:b/>
          <w:bCs/>
          <w:caps/>
          <w:color w:val="auto"/>
          <w:sz w:val="48"/>
          <w:szCs w:val="48"/>
          <w:lang w:eastAsia="zh-CN"/>
        </w:rPr>
        <w:tab/>
      </w:r>
    </w:p>
    <w:p>
      <w:pPr>
        <w:jc w:val="center"/>
        <w:rPr>
          <w:rFonts w:hint="eastAsia"/>
          <w:color w:val="auto"/>
          <w:sz w:val="32"/>
          <w:szCs w:val="32"/>
        </w:rPr>
      </w:pPr>
    </w:p>
    <w:p>
      <w:pPr>
        <w:jc w:val="center"/>
        <w:rPr>
          <w:color w:val="auto"/>
          <w:sz w:val="32"/>
          <w:szCs w:val="32"/>
        </w:rPr>
      </w:pPr>
    </w:p>
    <w:p>
      <w:pPr>
        <w:jc w:val="center"/>
        <w:rPr>
          <w:rFonts w:hint="eastAsia"/>
          <w:color w:val="auto"/>
          <w:sz w:val="32"/>
          <w:szCs w:val="32"/>
        </w:rPr>
      </w:pPr>
    </w:p>
    <w:p>
      <w:pPr>
        <w:jc w:val="center"/>
        <w:rPr>
          <w:rFonts w:hint="eastAsia"/>
          <w:color w:val="auto"/>
          <w:sz w:val="32"/>
          <w:szCs w:val="32"/>
        </w:rPr>
      </w:pPr>
    </w:p>
    <w:p>
      <w:pPr>
        <w:jc w:val="center"/>
        <w:rPr>
          <w:rFonts w:hint="eastAsia"/>
          <w:color w:val="auto"/>
          <w:sz w:val="32"/>
          <w:szCs w:val="32"/>
        </w:rPr>
      </w:pPr>
    </w:p>
    <w:p>
      <w:pPr>
        <w:jc w:val="center"/>
        <w:rPr>
          <w:rFonts w:hint="eastAsia"/>
          <w:color w:val="auto"/>
          <w:sz w:val="32"/>
          <w:szCs w:val="32"/>
        </w:rPr>
      </w:pPr>
    </w:p>
    <w:p>
      <w:pPr>
        <w:jc w:val="center"/>
        <w:rPr>
          <w:rFonts w:hint="eastAsia"/>
          <w:color w:val="auto"/>
          <w:sz w:val="32"/>
          <w:szCs w:val="32"/>
        </w:rPr>
      </w:pPr>
    </w:p>
    <w:p>
      <w:pPr>
        <w:jc w:val="center"/>
        <w:rPr>
          <w:rFonts w:hint="eastAsia"/>
          <w:color w:val="auto"/>
          <w:sz w:val="32"/>
          <w:szCs w:val="32"/>
        </w:rPr>
      </w:pPr>
    </w:p>
    <w:p>
      <w:pPr>
        <w:jc w:val="center"/>
        <w:rPr>
          <w:rFonts w:hint="eastAsia"/>
          <w:color w:val="auto"/>
          <w:sz w:val="32"/>
          <w:szCs w:val="32"/>
        </w:rPr>
      </w:pPr>
    </w:p>
    <w:p>
      <w:pPr>
        <w:jc w:val="center"/>
        <w:rPr>
          <w:rFonts w:hint="eastAsia"/>
          <w:color w:val="auto"/>
          <w:sz w:val="32"/>
          <w:szCs w:val="32"/>
        </w:rPr>
      </w:pPr>
    </w:p>
    <w:tbl>
      <w:tblPr>
        <w:tblStyle w:val="19"/>
        <w:tblW w:w="8137" w:type="dxa"/>
        <w:jc w:val="center"/>
        <w:tblInd w:w="0" w:type="dxa"/>
        <w:tblLayout w:type="fixed"/>
        <w:tblCellMar>
          <w:top w:w="0" w:type="dxa"/>
          <w:left w:w="108" w:type="dxa"/>
          <w:bottom w:w="0" w:type="dxa"/>
          <w:right w:w="108" w:type="dxa"/>
        </w:tblCellMar>
      </w:tblPr>
      <w:tblGrid>
        <w:gridCol w:w="8137"/>
      </w:tblGrid>
      <w:tr>
        <w:tblPrEx>
          <w:tblLayout w:type="fixed"/>
          <w:tblCellMar>
            <w:top w:w="0" w:type="dxa"/>
            <w:left w:w="108" w:type="dxa"/>
            <w:bottom w:w="0" w:type="dxa"/>
            <w:right w:w="108" w:type="dxa"/>
          </w:tblCellMar>
        </w:tblPrEx>
        <w:trPr>
          <w:jc w:val="center"/>
        </w:trPr>
        <w:tc>
          <w:tcPr>
            <w:tcW w:w="8137" w:type="dxa"/>
            <w:vAlign w:val="center"/>
          </w:tcPr>
          <w:p>
            <w:pPr>
              <w:jc w:val="center"/>
              <w:rPr>
                <w:rFonts w:hint="eastAsia"/>
                <w:color w:val="auto"/>
                <w:sz w:val="36"/>
                <w:szCs w:val="36"/>
              </w:rPr>
            </w:pPr>
            <w:r>
              <w:rPr>
                <w:rFonts w:hint="eastAsia" w:eastAsia="黑体"/>
                <w:bCs/>
                <w:color w:val="auto"/>
                <w:sz w:val="36"/>
                <w:szCs w:val="36"/>
              </w:rPr>
              <w:t>编制单位：</w:t>
            </w:r>
            <w:r>
              <w:rPr>
                <w:rFonts w:hint="eastAsia" w:eastAsia="黑体"/>
                <w:b/>
                <w:bCs/>
                <w:color w:val="auto"/>
                <w:sz w:val="36"/>
                <w:szCs w:val="36"/>
                <w:lang w:eastAsia="zh-CN"/>
              </w:rPr>
              <w:t>仪陇县来仪银河页岩砖厂</w:t>
            </w:r>
          </w:p>
        </w:tc>
      </w:tr>
      <w:tr>
        <w:tblPrEx>
          <w:tblLayout w:type="fixed"/>
          <w:tblCellMar>
            <w:top w:w="0" w:type="dxa"/>
            <w:left w:w="108" w:type="dxa"/>
            <w:bottom w:w="0" w:type="dxa"/>
            <w:right w:w="108" w:type="dxa"/>
          </w:tblCellMar>
        </w:tblPrEx>
        <w:trPr>
          <w:jc w:val="center"/>
        </w:trPr>
        <w:tc>
          <w:tcPr>
            <w:tcW w:w="8137" w:type="dxa"/>
            <w:vAlign w:val="center"/>
          </w:tcPr>
          <w:p>
            <w:pPr>
              <w:ind w:firstLine="720"/>
              <w:rPr>
                <w:rFonts w:hint="eastAsia" w:eastAsia="黑体"/>
                <w:bCs/>
                <w:color w:val="auto"/>
                <w:sz w:val="36"/>
                <w:szCs w:val="36"/>
              </w:rPr>
            </w:pPr>
          </w:p>
        </w:tc>
      </w:tr>
      <w:tr>
        <w:tblPrEx>
          <w:tblLayout w:type="fixed"/>
          <w:tblCellMar>
            <w:top w:w="0" w:type="dxa"/>
            <w:left w:w="108" w:type="dxa"/>
            <w:bottom w:w="0" w:type="dxa"/>
            <w:right w:w="108" w:type="dxa"/>
          </w:tblCellMar>
        </w:tblPrEx>
        <w:trPr>
          <w:jc w:val="center"/>
        </w:trPr>
        <w:tc>
          <w:tcPr>
            <w:tcW w:w="8137" w:type="dxa"/>
            <w:vAlign w:val="center"/>
          </w:tcPr>
          <w:p>
            <w:pPr>
              <w:jc w:val="center"/>
              <w:rPr>
                <w:rFonts w:hint="eastAsia"/>
                <w:color w:val="auto"/>
                <w:sz w:val="36"/>
                <w:szCs w:val="36"/>
              </w:rPr>
            </w:pPr>
            <w:r>
              <w:rPr>
                <w:rFonts w:hint="eastAsia" w:eastAsia="黑体"/>
                <w:bCs/>
                <w:color w:val="auto"/>
                <w:sz w:val="36"/>
                <w:szCs w:val="36"/>
              </w:rPr>
              <w:t>编制时间：201</w:t>
            </w:r>
            <w:r>
              <w:rPr>
                <w:rFonts w:hint="eastAsia" w:eastAsia="黑体"/>
                <w:bCs/>
                <w:color w:val="auto"/>
                <w:sz w:val="36"/>
                <w:szCs w:val="36"/>
                <w:lang w:val="en-US" w:eastAsia="zh-CN"/>
              </w:rPr>
              <w:t>9</w:t>
            </w:r>
            <w:r>
              <w:rPr>
                <w:rFonts w:hint="eastAsia" w:eastAsia="黑体"/>
                <w:bCs/>
                <w:color w:val="auto"/>
                <w:sz w:val="36"/>
                <w:szCs w:val="36"/>
              </w:rPr>
              <w:t>年</w:t>
            </w:r>
            <w:r>
              <w:rPr>
                <w:rFonts w:hint="eastAsia" w:eastAsia="黑体"/>
                <w:bCs/>
                <w:color w:val="auto"/>
                <w:sz w:val="36"/>
                <w:szCs w:val="36"/>
                <w:lang w:val="en-US" w:eastAsia="zh-CN"/>
              </w:rPr>
              <w:t>04</w:t>
            </w:r>
            <w:r>
              <w:rPr>
                <w:rFonts w:hint="eastAsia" w:eastAsia="黑体"/>
                <w:bCs/>
                <w:color w:val="auto"/>
                <w:sz w:val="36"/>
                <w:szCs w:val="36"/>
              </w:rPr>
              <w:t>月</w:t>
            </w:r>
            <w:r>
              <w:rPr>
                <w:rFonts w:hint="eastAsia" w:eastAsia="黑体"/>
                <w:bCs/>
                <w:color w:val="auto"/>
                <w:sz w:val="36"/>
                <w:szCs w:val="36"/>
                <w:lang w:val="en-US" w:eastAsia="zh-CN"/>
              </w:rPr>
              <w:t>25</w:t>
            </w:r>
            <w:r>
              <w:rPr>
                <w:rFonts w:hint="eastAsia" w:eastAsia="黑体"/>
                <w:bCs/>
                <w:color w:val="auto"/>
                <w:sz w:val="36"/>
                <w:szCs w:val="36"/>
              </w:rPr>
              <w:t>日</w:t>
            </w:r>
          </w:p>
        </w:tc>
      </w:tr>
    </w:tbl>
    <w:p>
      <w:pPr>
        <w:jc w:val="center"/>
        <w:rPr>
          <w:rFonts w:hint="eastAsia"/>
          <w:color w:val="auto"/>
          <w:sz w:val="32"/>
          <w:szCs w:val="32"/>
        </w:rPr>
      </w:pPr>
    </w:p>
    <w:p>
      <w:pPr>
        <w:widowControl/>
        <w:spacing w:line="560" w:lineRule="exact"/>
        <w:jc w:val="left"/>
        <w:outlineLvl w:val="2"/>
        <w:rPr>
          <w:rFonts w:hint="eastAsia" w:ascii="宋体" w:hAnsi="宋体" w:cs="宋体"/>
          <w:b/>
          <w:bCs/>
          <w:color w:val="auto"/>
          <w:kern w:val="0"/>
          <w:sz w:val="28"/>
          <w:szCs w:val="28"/>
        </w:rPr>
      </w:pPr>
    </w:p>
    <w:p>
      <w:pPr>
        <w:rPr>
          <w:rFonts w:hint="eastAsia"/>
          <w:color w:val="auto"/>
        </w:rPr>
      </w:pPr>
      <w:bookmarkStart w:id="1" w:name="_Toc489891867"/>
      <w:bookmarkStart w:id="2" w:name="_Toc490472469"/>
      <w:bookmarkStart w:id="3" w:name="_Toc1966"/>
      <w:bookmarkStart w:id="4" w:name="_Toc486865993"/>
      <w:bookmarkStart w:id="5" w:name="_Toc481937753"/>
      <w:r>
        <w:rPr>
          <w:rFonts w:hint="eastAsia"/>
          <w:color w:val="auto"/>
        </w:rPr>
        <w:br w:type="page"/>
      </w:r>
    </w:p>
    <w:p>
      <w:pPr>
        <w:pStyle w:val="4"/>
        <w:spacing w:line="360" w:lineRule="auto"/>
        <w:rPr>
          <w:rFonts w:hint="eastAsia"/>
          <w:color w:val="auto"/>
        </w:rPr>
      </w:pPr>
      <w:bookmarkStart w:id="6" w:name="_Toc2372"/>
      <w:bookmarkStart w:id="7" w:name="_Toc28211"/>
      <w:bookmarkStart w:id="8" w:name="_Toc10859"/>
      <w:bookmarkStart w:id="9" w:name="_Toc17105"/>
      <w:bookmarkStart w:id="10" w:name="_Toc30139"/>
      <w:bookmarkStart w:id="11" w:name="_Toc7658"/>
      <w:bookmarkStart w:id="12" w:name="_Toc5540"/>
      <w:bookmarkStart w:id="13" w:name="_Toc6757"/>
      <w:bookmarkStart w:id="14" w:name="_Toc27937"/>
      <w:bookmarkStart w:id="15" w:name="_Toc32726"/>
      <w:bookmarkStart w:id="16" w:name="_Toc29638"/>
      <w:r>
        <w:rPr>
          <w:rFonts w:hint="eastAsia"/>
          <w:color w:val="auto"/>
        </w:rPr>
        <w:t>目</w:t>
      </w:r>
      <w:r>
        <w:rPr>
          <w:rFonts w:hint="eastAsia"/>
          <w:color w:val="auto"/>
          <w:lang w:val="en-US" w:eastAsia="zh-CN"/>
        </w:rPr>
        <w:t xml:space="preserve">  </w:t>
      </w:r>
      <w:r>
        <w:rPr>
          <w:rFonts w:hint="eastAsia"/>
          <w:color w:val="auto"/>
        </w:rPr>
        <w:t>录</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pPr>
        <w:pStyle w:val="15"/>
        <w:tabs>
          <w:tab w:val="right" w:leader="dot" w:pos="9638"/>
        </w:tabs>
        <w:spacing w:line="360" w:lineRule="auto"/>
        <w:rPr>
          <w:rFonts w:ascii="宋体" w:hAnsi="宋体"/>
          <w:color w:val="auto"/>
          <w:sz w:val="24"/>
        </w:rPr>
      </w:pPr>
    </w:p>
    <w:p>
      <w:pPr>
        <w:pStyle w:val="15"/>
        <w:tabs>
          <w:tab w:val="right" w:leader="dot" w:pos="8306"/>
        </w:tabs>
      </w:pP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TOC \o "1-3" \h \z \u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_Toc28596 </w:instrText>
      </w:r>
      <w:r>
        <w:rPr>
          <w:rFonts w:hint="eastAsia" w:asciiTheme="minorEastAsia" w:hAnsiTheme="minorEastAsia" w:eastAsiaTheme="minorEastAsia" w:cstheme="minorEastAsia"/>
          <w:szCs w:val="21"/>
        </w:rPr>
        <w:fldChar w:fldCharType="separate"/>
      </w:r>
      <w:r>
        <w:rPr>
          <w:rFonts w:hint="eastAsia" w:ascii="黑体" w:hAnsi="宋体" w:eastAsia="黑体"/>
          <w:szCs w:val="32"/>
        </w:rPr>
        <w:t>1概述</w:t>
      </w:r>
      <w:r>
        <w:tab/>
      </w:r>
      <w:r>
        <w:fldChar w:fldCharType="begin"/>
      </w:r>
      <w:r>
        <w:instrText xml:space="preserve"> PAGEREF _Toc28596 </w:instrText>
      </w:r>
      <w:r>
        <w:fldChar w:fldCharType="separate"/>
      </w:r>
      <w:r>
        <w:t>1</w:t>
      </w:r>
      <w:r>
        <w:fldChar w:fldCharType="end"/>
      </w:r>
      <w:r>
        <w:rPr>
          <w:rFonts w:hint="eastAsia" w:asciiTheme="minorEastAsia" w:hAnsiTheme="minorEastAsia" w:eastAsiaTheme="minorEastAsia" w:cstheme="minorEastAsia"/>
          <w:color w:val="auto"/>
          <w:szCs w:val="21"/>
        </w:rPr>
        <w:fldChar w:fldCharType="end"/>
      </w:r>
    </w:p>
    <w:p>
      <w:pPr>
        <w:pStyle w:val="17"/>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_Toc13974 </w:instrText>
      </w:r>
      <w:r>
        <w:rPr>
          <w:rFonts w:hint="eastAsia" w:asciiTheme="minorEastAsia" w:hAnsiTheme="minorEastAsia" w:eastAsiaTheme="minorEastAsia" w:cstheme="minorEastAsia"/>
          <w:szCs w:val="21"/>
        </w:rPr>
        <w:fldChar w:fldCharType="separate"/>
      </w:r>
      <w:r>
        <w:rPr>
          <w:rFonts w:hint="eastAsia" w:ascii="宋体" w:hAnsi="宋体" w:eastAsia="宋体" w:cs="宋体"/>
          <w:szCs w:val="28"/>
        </w:rPr>
        <w:t>1.1评估的主要依据</w:t>
      </w:r>
      <w:r>
        <w:tab/>
      </w:r>
      <w:r>
        <w:fldChar w:fldCharType="begin"/>
      </w:r>
      <w:r>
        <w:instrText xml:space="preserve"> PAGEREF _Toc13974 </w:instrText>
      </w:r>
      <w:r>
        <w:fldChar w:fldCharType="separate"/>
      </w:r>
      <w:r>
        <w:t>1</w:t>
      </w:r>
      <w:r>
        <w:fldChar w:fldCharType="end"/>
      </w:r>
      <w:r>
        <w:rPr>
          <w:rFonts w:hint="eastAsia" w:asciiTheme="minorEastAsia" w:hAnsiTheme="minorEastAsia" w:eastAsiaTheme="minorEastAsia" w:cstheme="minorEastAsia"/>
          <w:color w:val="auto"/>
          <w:szCs w:val="21"/>
        </w:rPr>
        <w:fldChar w:fldCharType="end"/>
      </w:r>
    </w:p>
    <w:p>
      <w:pPr>
        <w:pStyle w:val="17"/>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_Toc21427 </w:instrText>
      </w:r>
      <w:r>
        <w:rPr>
          <w:rFonts w:hint="eastAsia" w:asciiTheme="minorEastAsia" w:hAnsiTheme="minorEastAsia" w:eastAsiaTheme="minorEastAsia" w:cstheme="minorEastAsia"/>
          <w:szCs w:val="21"/>
        </w:rPr>
        <w:fldChar w:fldCharType="separate"/>
      </w:r>
      <w:r>
        <w:rPr>
          <w:rFonts w:hint="eastAsia" w:ascii="宋体" w:hAnsi="宋体" w:eastAsia="宋体" w:cs="宋体"/>
          <w:szCs w:val="28"/>
          <w:lang w:val="en-US" w:eastAsia="zh-CN"/>
        </w:rPr>
        <w:t>1.2评估目的</w:t>
      </w:r>
      <w:r>
        <w:tab/>
      </w:r>
      <w:r>
        <w:fldChar w:fldCharType="begin"/>
      </w:r>
      <w:r>
        <w:instrText xml:space="preserve"> PAGEREF _Toc21427 </w:instrText>
      </w:r>
      <w:r>
        <w:fldChar w:fldCharType="separate"/>
      </w:r>
      <w:r>
        <w:t>3</w:t>
      </w:r>
      <w:r>
        <w:fldChar w:fldCharType="end"/>
      </w:r>
      <w:r>
        <w:rPr>
          <w:rFonts w:hint="eastAsia" w:asciiTheme="minorEastAsia" w:hAnsiTheme="minorEastAsia" w:eastAsiaTheme="minorEastAsia" w:cstheme="minorEastAsia"/>
          <w:color w:val="auto"/>
          <w:szCs w:val="21"/>
        </w:rPr>
        <w:fldChar w:fldCharType="end"/>
      </w:r>
    </w:p>
    <w:p>
      <w:pPr>
        <w:pStyle w:val="17"/>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_Toc27458 </w:instrText>
      </w:r>
      <w:r>
        <w:rPr>
          <w:rFonts w:hint="eastAsia" w:asciiTheme="minorEastAsia" w:hAnsiTheme="minorEastAsia" w:eastAsiaTheme="minorEastAsia" w:cstheme="minorEastAsia"/>
          <w:szCs w:val="21"/>
        </w:rPr>
        <w:fldChar w:fldCharType="separate"/>
      </w:r>
      <w:r>
        <w:rPr>
          <w:rFonts w:hint="eastAsia" w:ascii="宋体" w:hAnsi="宋体" w:eastAsia="宋体" w:cs="宋体"/>
          <w:szCs w:val="28"/>
          <w:lang w:val="en-US" w:eastAsia="zh-CN"/>
        </w:rPr>
        <w:t>1.3风险评估范围</w:t>
      </w:r>
      <w:r>
        <w:tab/>
      </w:r>
      <w:r>
        <w:fldChar w:fldCharType="begin"/>
      </w:r>
      <w:r>
        <w:instrText xml:space="preserve"> PAGEREF _Toc27458 </w:instrText>
      </w:r>
      <w:r>
        <w:fldChar w:fldCharType="separate"/>
      </w:r>
      <w:r>
        <w:t>3</w:t>
      </w:r>
      <w:r>
        <w:fldChar w:fldCharType="end"/>
      </w:r>
      <w:r>
        <w:rPr>
          <w:rFonts w:hint="eastAsia" w:asciiTheme="minorEastAsia" w:hAnsiTheme="minorEastAsia" w:eastAsiaTheme="minorEastAsia" w:cstheme="minorEastAsia"/>
          <w:color w:val="auto"/>
          <w:szCs w:val="21"/>
        </w:rPr>
        <w:fldChar w:fldCharType="end"/>
      </w:r>
    </w:p>
    <w:p>
      <w:pPr>
        <w:pStyle w:val="17"/>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_Toc19282 </w:instrText>
      </w:r>
      <w:r>
        <w:rPr>
          <w:rFonts w:hint="eastAsia" w:asciiTheme="minorEastAsia" w:hAnsiTheme="minorEastAsia" w:eastAsiaTheme="minorEastAsia" w:cstheme="minorEastAsia"/>
          <w:szCs w:val="21"/>
        </w:rPr>
        <w:fldChar w:fldCharType="separate"/>
      </w:r>
      <w:r>
        <w:rPr>
          <w:rFonts w:hint="eastAsia" w:ascii="宋体" w:hAnsi="宋体" w:eastAsia="宋体" w:cs="宋体"/>
          <w:szCs w:val="28"/>
        </w:rPr>
        <w:t>1.4评估程序</w:t>
      </w:r>
      <w:r>
        <w:tab/>
      </w:r>
      <w:r>
        <w:fldChar w:fldCharType="begin"/>
      </w:r>
      <w:r>
        <w:instrText xml:space="preserve"> PAGEREF _Toc19282 </w:instrText>
      </w:r>
      <w:r>
        <w:fldChar w:fldCharType="separate"/>
      </w:r>
      <w:r>
        <w:t>3</w:t>
      </w:r>
      <w:r>
        <w:fldChar w:fldCharType="end"/>
      </w:r>
      <w:r>
        <w:rPr>
          <w:rFonts w:hint="eastAsia" w:asciiTheme="minorEastAsia" w:hAnsiTheme="minorEastAsia" w:eastAsiaTheme="minorEastAsia" w:cstheme="minorEastAsia"/>
          <w:color w:val="auto"/>
          <w:szCs w:val="21"/>
        </w:rPr>
        <w:fldChar w:fldCharType="end"/>
      </w:r>
    </w:p>
    <w:p>
      <w:pPr>
        <w:pStyle w:val="15"/>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_Toc7322 </w:instrText>
      </w:r>
      <w:r>
        <w:rPr>
          <w:rFonts w:hint="eastAsia" w:asciiTheme="minorEastAsia" w:hAnsiTheme="minorEastAsia" w:eastAsiaTheme="minorEastAsia" w:cstheme="minorEastAsia"/>
          <w:szCs w:val="21"/>
        </w:rPr>
        <w:fldChar w:fldCharType="separate"/>
      </w:r>
      <w:r>
        <w:rPr>
          <w:rFonts w:hint="eastAsia" w:ascii="黑体" w:hAnsi="宋体" w:eastAsia="黑体"/>
          <w:szCs w:val="32"/>
          <w:lang w:val="en-US" w:eastAsia="zh-CN"/>
        </w:rPr>
        <w:t>2</w:t>
      </w:r>
      <w:r>
        <w:rPr>
          <w:rFonts w:hint="eastAsia" w:ascii="黑体" w:hAnsi="宋体" w:eastAsia="黑体"/>
          <w:szCs w:val="32"/>
        </w:rPr>
        <w:t>公司概况</w:t>
      </w:r>
      <w:r>
        <w:tab/>
      </w:r>
      <w:r>
        <w:fldChar w:fldCharType="begin"/>
      </w:r>
      <w:r>
        <w:instrText xml:space="preserve"> PAGEREF _Toc7322 </w:instrText>
      </w:r>
      <w:r>
        <w:fldChar w:fldCharType="separate"/>
      </w:r>
      <w:r>
        <w:t>4</w:t>
      </w:r>
      <w:r>
        <w:fldChar w:fldCharType="end"/>
      </w:r>
      <w:r>
        <w:rPr>
          <w:rFonts w:hint="eastAsia" w:asciiTheme="minorEastAsia" w:hAnsiTheme="minorEastAsia" w:eastAsiaTheme="minorEastAsia" w:cstheme="minorEastAsia"/>
          <w:color w:val="auto"/>
          <w:szCs w:val="21"/>
        </w:rPr>
        <w:fldChar w:fldCharType="end"/>
      </w:r>
    </w:p>
    <w:p>
      <w:pPr>
        <w:pStyle w:val="17"/>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_Toc25420 </w:instrText>
      </w:r>
      <w:r>
        <w:rPr>
          <w:rFonts w:hint="eastAsia" w:asciiTheme="minorEastAsia" w:hAnsiTheme="minorEastAsia" w:eastAsiaTheme="minorEastAsia" w:cstheme="minorEastAsia"/>
          <w:szCs w:val="21"/>
        </w:rPr>
        <w:fldChar w:fldCharType="separate"/>
      </w:r>
      <w:r>
        <w:rPr>
          <w:rFonts w:hint="eastAsia" w:ascii="宋体" w:hAnsi="宋体" w:eastAsia="宋体" w:cs="宋体"/>
          <w:szCs w:val="28"/>
        </w:rPr>
        <w:t>2.1 公司概况</w:t>
      </w:r>
      <w:r>
        <w:tab/>
      </w:r>
      <w:r>
        <w:fldChar w:fldCharType="begin"/>
      </w:r>
      <w:r>
        <w:instrText xml:space="preserve"> PAGEREF _Toc25420 </w:instrText>
      </w:r>
      <w:r>
        <w:fldChar w:fldCharType="separate"/>
      </w:r>
      <w:r>
        <w:t>4</w:t>
      </w:r>
      <w:r>
        <w:fldChar w:fldCharType="end"/>
      </w:r>
      <w:r>
        <w:rPr>
          <w:rFonts w:hint="eastAsia" w:asciiTheme="minorEastAsia" w:hAnsiTheme="minorEastAsia" w:eastAsiaTheme="minorEastAsia" w:cstheme="minorEastAsia"/>
          <w:color w:val="auto"/>
          <w:szCs w:val="21"/>
        </w:rPr>
        <w:fldChar w:fldCharType="end"/>
      </w:r>
    </w:p>
    <w:p>
      <w:pPr>
        <w:pStyle w:val="17"/>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_Toc29380 </w:instrText>
      </w:r>
      <w:r>
        <w:rPr>
          <w:rFonts w:hint="eastAsia" w:asciiTheme="minorEastAsia" w:hAnsiTheme="minorEastAsia" w:eastAsiaTheme="minorEastAsia" w:cstheme="minorEastAsia"/>
          <w:szCs w:val="21"/>
        </w:rPr>
        <w:fldChar w:fldCharType="separate"/>
      </w:r>
      <w:r>
        <w:rPr>
          <w:rFonts w:hint="eastAsia" w:ascii="宋体" w:hAnsi="宋体" w:eastAsia="宋体" w:cs="宋体"/>
          <w:szCs w:val="28"/>
        </w:rPr>
        <w:t>2.</w:t>
      </w:r>
      <w:r>
        <w:rPr>
          <w:rFonts w:hint="eastAsia" w:ascii="宋体" w:hAnsi="宋体" w:eastAsia="宋体" w:cs="宋体"/>
          <w:szCs w:val="28"/>
          <w:lang w:val="en-US" w:eastAsia="zh-CN"/>
        </w:rPr>
        <w:t>1.1</w:t>
      </w:r>
      <w:r>
        <w:rPr>
          <w:rFonts w:hint="eastAsia" w:ascii="宋体" w:hAnsi="宋体" w:eastAsia="宋体" w:cs="宋体"/>
          <w:szCs w:val="28"/>
        </w:rPr>
        <w:t>公司地理位置及环境等情况</w:t>
      </w:r>
      <w:r>
        <w:tab/>
      </w:r>
      <w:r>
        <w:fldChar w:fldCharType="begin"/>
      </w:r>
      <w:r>
        <w:instrText xml:space="preserve"> PAGEREF _Toc29380 </w:instrText>
      </w:r>
      <w:r>
        <w:fldChar w:fldCharType="separate"/>
      </w:r>
      <w:r>
        <w:t>4</w:t>
      </w:r>
      <w:r>
        <w:fldChar w:fldCharType="end"/>
      </w:r>
      <w:r>
        <w:rPr>
          <w:rFonts w:hint="eastAsia" w:asciiTheme="minorEastAsia" w:hAnsiTheme="minorEastAsia" w:eastAsiaTheme="minorEastAsia" w:cstheme="minorEastAsia"/>
          <w:color w:val="auto"/>
          <w:szCs w:val="21"/>
        </w:rPr>
        <w:fldChar w:fldCharType="end"/>
      </w:r>
    </w:p>
    <w:p>
      <w:pPr>
        <w:pStyle w:val="17"/>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_Toc8225 </w:instrText>
      </w:r>
      <w:r>
        <w:rPr>
          <w:rFonts w:hint="eastAsia" w:asciiTheme="minorEastAsia" w:hAnsiTheme="minorEastAsia" w:eastAsiaTheme="minorEastAsia" w:cstheme="minorEastAsia"/>
          <w:szCs w:val="21"/>
        </w:rPr>
        <w:fldChar w:fldCharType="separate"/>
      </w:r>
      <w:r>
        <w:rPr>
          <w:rFonts w:hint="eastAsia" w:ascii="宋体" w:hAnsi="宋体" w:eastAsia="宋体" w:cs="宋体"/>
          <w:szCs w:val="28"/>
          <w:lang w:val="zh-CN"/>
        </w:rPr>
        <w:t>2.1.</w:t>
      </w:r>
      <w:r>
        <w:rPr>
          <w:rFonts w:hint="eastAsia" w:ascii="宋体" w:hAnsi="宋体" w:eastAsia="宋体" w:cs="宋体"/>
          <w:szCs w:val="28"/>
          <w:lang w:val="en-US" w:eastAsia="zh-CN"/>
        </w:rPr>
        <w:t>2</w:t>
      </w:r>
      <w:r>
        <w:rPr>
          <w:rFonts w:hint="eastAsia" w:ascii="宋体" w:hAnsi="宋体" w:eastAsia="宋体" w:cs="宋体"/>
          <w:szCs w:val="28"/>
          <w:lang w:val="zh-CN"/>
        </w:rPr>
        <w:t>总体布置</w:t>
      </w:r>
      <w:r>
        <w:tab/>
      </w:r>
      <w:r>
        <w:fldChar w:fldCharType="begin"/>
      </w:r>
      <w:r>
        <w:instrText xml:space="preserve"> PAGEREF _Toc8225 </w:instrText>
      </w:r>
      <w:r>
        <w:fldChar w:fldCharType="separate"/>
      </w:r>
      <w:r>
        <w:t>5</w:t>
      </w:r>
      <w:r>
        <w:fldChar w:fldCharType="end"/>
      </w:r>
      <w:r>
        <w:rPr>
          <w:rFonts w:hint="eastAsia" w:asciiTheme="minorEastAsia" w:hAnsiTheme="minorEastAsia" w:eastAsiaTheme="minorEastAsia" w:cstheme="minorEastAsia"/>
          <w:color w:val="auto"/>
          <w:szCs w:val="21"/>
        </w:rPr>
        <w:fldChar w:fldCharType="end"/>
      </w:r>
    </w:p>
    <w:p>
      <w:pPr>
        <w:pStyle w:val="17"/>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_Toc12655 </w:instrText>
      </w:r>
      <w:r>
        <w:rPr>
          <w:rFonts w:hint="eastAsia" w:asciiTheme="minorEastAsia" w:hAnsiTheme="minorEastAsia" w:eastAsiaTheme="minorEastAsia" w:cstheme="minorEastAsia"/>
          <w:szCs w:val="21"/>
        </w:rPr>
        <w:fldChar w:fldCharType="separate"/>
      </w:r>
      <w:r>
        <w:rPr>
          <w:rFonts w:hint="eastAsia" w:ascii="宋体" w:hAnsi="宋体" w:eastAsia="宋体" w:cs="宋体"/>
          <w:szCs w:val="28"/>
          <w:lang w:val="zh-CN"/>
        </w:rPr>
        <w:t>2.</w:t>
      </w:r>
      <w:r>
        <w:rPr>
          <w:rFonts w:hint="eastAsia" w:ascii="宋体" w:hAnsi="宋体" w:eastAsia="宋体" w:cs="宋体"/>
          <w:szCs w:val="28"/>
        </w:rPr>
        <w:t>1.</w:t>
      </w:r>
      <w:r>
        <w:rPr>
          <w:rFonts w:hint="eastAsia" w:ascii="宋体" w:hAnsi="宋体" w:eastAsia="宋体" w:cs="宋体"/>
          <w:szCs w:val="28"/>
          <w:lang w:val="en-US" w:eastAsia="zh-CN"/>
        </w:rPr>
        <w:t>3</w:t>
      </w:r>
      <w:r>
        <w:rPr>
          <w:rFonts w:hint="eastAsia" w:ascii="宋体" w:hAnsi="宋体" w:eastAsia="宋体" w:cs="宋体"/>
          <w:szCs w:val="28"/>
          <w:lang w:val="zh-CN"/>
        </w:rPr>
        <w:t>周边环境</w:t>
      </w:r>
      <w:r>
        <w:tab/>
      </w:r>
      <w:r>
        <w:fldChar w:fldCharType="begin"/>
      </w:r>
      <w:r>
        <w:instrText xml:space="preserve"> PAGEREF _Toc12655 </w:instrText>
      </w:r>
      <w:r>
        <w:fldChar w:fldCharType="separate"/>
      </w:r>
      <w:r>
        <w:t>6</w:t>
      </w:r>
      <w:r>
        <w:fldChar w:fldCharType="end"/>
      </w:r>
      <w:r>
        <w:rPr>
          <w:rFonts w:hint="eastAsia" w:asciiTheme="minorEastAsia" w:hAnsiTheme="minorEastAsia" w:eastAsiaTheme="minorEastAsia" w:cstheme="minorEastAsia"/>
          <w:color w:val="auto"/>
          <w:szCs w:val="21"/>
        </w:rPr>
        <w:fldChar w:fldCharType="end"/>
      </w:r>
    </w:p>
    <w:p>
      <w:pPr>
        <w:pStyle w:val="17"/>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_Toc27460 </w:instrText>
      </w:r>
      <w:r>
        <w:rPr>
          <w:rFonts w:hint="eastAsia" w:asciiTheme="minorEastAsia" w:hAnsiTheme="minorEastAsia" w:eastAsiaTheme="minorEastAsia" w:cstheme="minorEastAsia"/>
          <w:szCs w:val="21"/>
        </w:rPr>
        <w:fldChar w:fldCharType="separate"/>
      </w:r>
      <w:r>
        <w:rPr>
          <w:rFonts w:hint="eastAsia" w:ascii="宋体" w:hAnsi="宋体" w:eastAsia="宋体" w:cs="宋体"/>
          <w:szCs w:val="28"/>
          <w:lang w:val="zh-CN"/>
        </w:rPr>
        <w:t>2.1.</w:t>
      </w:r>
      <w:r>
        <w:rPr>
          <w:rFonts w:hint="eastAsia" w:ascii="宋体" w:hAnsi="宋体" w:eastAsia="宋体" w:cs="宋体"/>
          <w:szCs w:val="28"/>
          <w:lang w:val="en-US" w:eastAsia="zh-CN"/>
        </w:rPr>
        <w:t>4</w:t>
      </w:r>
      <w:r>
        <w:rPr>
          <w:rFonts w:hint="eastAsia" w:ascii="宋体" w:hAnsi="宋体" w:eastAsia="宋体" w:cs="宋体"/>
          <w:szCs w:val="28"/>
          <w:lang w:val="zh-CN"/>
        </w:rPr>
        <w:t>工艺流程</w:t>
      </w:r>
      <w:r>
        <w:tab/>
      </w:r>
      <w:r>
        <w:fldChar w:fldCharType="begin"/>
      </w:r>
      <w:r>
        <w:instrText xml:space="preserve"> PAGEREF _Toc27460 </w:instrText>
      </w:r>
      <w:r>
        <w:fldChar w:fldCharType="separate"/>
      </w:r>
      <w:r>
        <w:t>7</w:t>
      </w:r>
      <w:r>
        <w:fldChar w:fldCharType="end"/>
      </w:r>
      <w:r>
        <w:rPr>
          <w:rFonts w:hint="eastAsia" w:asciiTheme="minorEastAsia" w:hAnsiTheme="minorEastAsia" w:eastAsiaTheme="minorEastAsia" w:cstheme="minorEastAsia"/>
          <w:color w:val="auto"/>
          <w:szCs w:val="21"/>
        </w:rPr>
        <w:fldChar w:fldCharType="end"/>
      </w:r>
    </w:p>
    <w:p>
      <w:pPr>
        <w:pStyle w:val="17"/>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_Toc1720 </w:instrText>
      </w:r>
      <w:r>
        <w:rPr>
          <w:rFonts w:hint="eastAsia" w:asciiTheme="minorEastAsia" w:hAnsiTheme="minorEastAsia" w:eastAsiaTheme="minorEastAsia" w:cstheme="minorEastAsia"/>
          <w:szCs w:val="21"/>
        </w:rPr>
        <w:fldChar w:fldCharType="separate"/>
      </w:r>
      <w:r>
        <w:rPr>
          <w:rFonts w:hint="eastAsia" w:ascii="宋体" w:hAnsi="宋体" w:eastAsia="宋体" w:cs="宋体"/>
          <w:szCs w:val="28"/>
          <w:lang w:val="zh-CN"/>
        </w:rPr>
        <w:t>2.1.</w:t>
      </w:r>
      <w:r>
        <w:rPr>
          <w:rFonts w:hint="eastAsia" w:ascii="宋体" w:hAnsi="宋体" w:eastAsia="宋体" w:cs="宋体"/>
          <w:szCs w:val="28"/>
          <w:lang w:val="en-US" w:eastAsia="zh-CN"/>
        </w:rPr>
        <w:t>5</w:t>
      </w:r>
      <w:r>
        <w:rPr>
          <w:rFonts w:hint="eastAsia" w:ascii="宋体" w:hAnsi="宋体" w:eastAsia="宋体" w:cs="宋体"/>
          <w:bCs/>
          <w:i w:val="0"/>
          <w:iCs w:val="0"/>
          <w:szCs w:val="28"/>
        </w:rPr>
        <w:t>主要生产设备情况</w:t>
      </w:r>
      <w:r>
        <w:tab/>
      </w:r>
      <w:r>
        <w:fldChar w:fldCharType="begin"/>
      </w:r>
      <w:r>
        <w:instrText xml:space="preserve"> PAGEREF _Toc1720 </w:instrText>
      </w:r>
      <w:r>
        <w:fldChar w:fldCharType="separate"/>
      </w:r>
      <w:r>
        <w:t>9</w:t>
      </w:r>
      <w:r>
        <w:fldChar w:fldCharType="end"/>
      </w:r>
      <w:r>
        <w:rPr>
          <w:rFonts w:hint="eastAsia" w:asciiTheme="minorEastAsia" w:hAnsiTheme="minorEastAsia" w:eastAsiaTheme="minorEastAsia" w:cstheme="minorEastAsia"/>
          <w:color w:val="auto"/>
          <w:szCs w:val="21"/>
        </w:rPr>
        <w:fldChar w:fldCharType="end"/>
      </w:r>
    </w:p>
    <w:p>
      <w:pPr>
        <w:pStyle w:val="17"/>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_Toc25328 </w:instrText>
      </w:r>
      <w:r>
        <w:rPr>
          <w:rFonts w:hint="eastAsia" w:asciiTheme="minorEastAsia" w:hAnsiTheme="minorEastAsia" w:eastAsiaTheme="minorEastAsia" w:cstheme="minorEastAsia"/>
          <w:szCs w:val="21"/>
        </w:rPr>
        <w:fldChar w:fldCharType="separate"/>
      </w:r>
      <w:r>
        <w:rPr>
          <w:rFonts w:hint="eastAsia" w:ascii="宋体" w:hAnsi="宋体" w:eastAsia="宋体" w:cs="宋体"/>
          <w:szCs w:val="28"/>
        </w:rPr>
        <w:t>2.</w:t>
      </w:r>
      <w:r>
        <w:rPr>
          <w:rFonts w:hint="eastAsia" w:ascii="宋体" w:hAnsi="宋体" w:eastAsia="宋体" w:cs="宋体"/>
          <w:szCs w:val="28"/>
          <w:lang w:val="en-US" w:eastAsia="zh-CN"/>
        </w:rPr>
        <w:t>2</w:t>
      </w:r>
      <w:r>
        <w:rPr>
          <w:rFonts w:hint="eastAsia" w:ascii="宋体" w:hAnsi="宋体" w:eastAsia="宋体" w:cs="宋体"/>
          <w:szCs w:val="28"/>
        </w:rPr>
        <w:t>各方应急力量有关基本情况</w:t>
      </w:r>
      <w:r>
        <w:tab/>
      </w:r>
      <w:r>
        <w:fldChar w:fldCharType="begin"/>
      </w:r>
      <w:r>
        <w:instrText xml:space="preserve"> PAGEREF _Toc25328 </w:instrText>
      </w:r>
      <w:r>
        <w:fldChar w:fldCharType="separate"/>
      </w:r>
      <w:r>
        <w:t>10</w:t>
      </w:r>
      <w:r>
        <w:fldChar w:fldCharType="end"/>
      </w:r>
      <w:r>
        <w:rPr>
          <w:rFonts w:hint="eastAsia" w:asciiTheme="minorEastAsia" w:hAnsiTheme="minorEastAsia" w:eastAsiaTheme="minorEastAsia" w:cstheme="minorEastAsia"/>
          <w:color w:val="auto"/>
          <w:szCs w:val="21"/>
        </w:rPr>
        <w:fldChar w:fldCharType="end"/>
      </w:r>
    </w:p>
    <w:p>
      <w:pPr>
        <w:pStyle w:val="17"/>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_Toc26169 </w:instrText>
      </w:r>
      <w:r>
        <w:rPr>
          <w:rFonts w:hint="eastAsia" w:asciiTheme="minorEastAsia" w:hAnsiTheme="minorEastAsia" w:eastAsiaTheme="minorEastAsia" w:cstheme="minorEastAsia"/>
          <w:szCs w:val="21"/>
        </w:rPr>
        <w:fldChar w:fldCharType="separate"/>
      </w:r>
      <w:r>
        <w:rPr>
          <w:rFonts w:hint="eastAsia" w:ascii="宋体" w:hAnsi="宋体" w:eastAsia="宋体" w:cs="宋体"/>
          <w:szCs w:val="28"/>
          <w:lang w:val="zh-CN"/>
        </w:rPr>
        <w:t>2.</w:t>
      </w:r>
      <w:r>
        <w:rPr>
          <w:rFonts w:hint="eastAsia" w:ascii="宋体" w:hAnsi="宋体" w:eastAsia="宋体" w:cs="宋体"/>
          <w:szCs w:val="28"/>
          <w:lang w:val="en-US" w:eastAsia="zh-CN"/>
        </w:rPr>
        <w:t>2</w:t>
      </w:r>
      <w:r>
        <w:rPr>
          <w:rFonts w:hint="eastAsia" w:ascii="宋体" w:hAnsi="宋体" w:eastAsia="宋体" w:cs="宋体"/>
          <w:szCs w:val="28"/>
          <w:lang w:val="zh-CN"/>
        </w:rPr>
        <w:t>.1内部应急力量</w:t>
      </w:r>
      <w:r>
        <w:tab/>
      </w:r>
      <w:r>
        <w:fldChar w:fldCharType="begin"/>
      </w:r>
      <w:r>
        <w:instrText xml:space="preserve"> PAGEREF _Toc26169 </w:instrText>
      </w:r>
      <w:r>
        <w:fldChar w:fldCharType="separate"/>
      </w:r>
      <w:r>
        <w:t>10</w:t>
      </w:r>
      <w:r>
        <w:fldChar w:fldCharType="end"/>
      </w:r>
      <w:r>
        <w:rPr>
          <w:rFonts w:hint="eastAsia" w:asciiTheme="minorEastAsia" w:hAnsiTheme="minorEastAsia" w:eastAsiaTheme="minorEastAsia" w:cstheme="minorEastAsia"/>
          <w:color w:val="auto"/>
          <w:szCs w:val="21"/>
        </w:rPr>
        <w:fldChar w:fldCharType="end"/>
      </w:r>
    </w:p>
    <w:p>
      <w:pPr>
        <w:pStyle w:val="17"/>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_Toc27005 </w:instrText>
      </w:r>
      <w:r>
        <w:rPr>
          <w:rFonts w:hint="eastAsia" w:asciiTheme="minorEastAsia" w:hAnsiTheme="minorEastAsia" w:eastAsiaTheme="minorEastAsia" w:cstheme="minorEastAsia"/>
          <w:szCs w:val="21"/>
        </w:rPr>
        <w:fldChar w:fldCharType="separate"/>
      </w:r>
      <w:r>
        <w:rPr>
          <w:rFonts w:hint="eastAsia" w:ascii="宋体" w:hAnsi="宋体" w:eastAsia="宋体" w:cs="宋体"/>
          <w:szCs w:val="28"/>
          <w:lang w:val="zh-CN"/>
        </w:rPr>
        <w:t>2.</w:t>
      </w:r>
      <w:r>
        <w:rPr>
          <w:rFonts w:hint="eastAsia" w:ascii="宋体" w:hAnsi="宋体" w:eastAsia="宋体" w:cs="宋体"/>
          <w:szCs w:val="28"/>
          <w:lang w:val="en-US" w:eastAsia="zh-CN"/>
        </w:rPr>
        <w:t>2</w:t>
      </w:r>
      <w:r>
        <w:rPr>
          <w:rFonts w:hint="eastAsia" w:ascii="宋体" w:hAnsi="宋体" w:eastAsia="宋体" w:cs="宋体"/>
          <w:szCs w:val="28"/>
          <w:lang w:val="zh-CN"/>
        </w:rPr>
        <w:t>.</w:t>
      </w:r>
      <w:r>
        <w:rPr>
          <w:rFonts w:hint="eastAsia" w:ascii="宋体" w:hAnsi="宋体" w:eastAsia="宋体" w:cs="宋体"/>
          <w:szCs w:val="28"/>
          <w:lang w:val="en-US" w:eastAsia="zh-CN"/>
        </w:rPr>
        <w:t>2</w:t>
      </w:r>
      <w:r>
        <w:rPr>
          <w:rFonts w:hint="eastAsia" w:ascii="宋体" w:hAnsi="宋体" w:eastAsia="宋体" w:cs="宋体"/>
          <w:szCs w:val="28"/>
          <w:lang w:val="zh-CN"/>
        </w:rPr>
        <w:t>外部应急力量</w:t>
      </w:r>
      <w:r>
        <w:tab/>
      </w:r>
      <w:r>
        <w:fldChar w:fldCharType="begin"/>
      </w:r>
      <w:r>
        <w:instrText xml:space="preserve"> PAGEREF _Toc27005 </w:instrText>
      </w:r>
      <w:r>
        <w:fldChar w:fldCharType="separate"/>
      </w:r>
      <w:r>
        <w:t>10</w:t>
      </w:r>
      <w:r>
        <w:fldChar w:fldCharType="end"/>
      </w:r>
      <w:r>
        <w:rPr>
          <w:rFonts w:hint="eastAsia" w:asciiTheme="minorEastAsia" w:hAnsiTheme="minorEastAsia" w:eastAsiaTheme="minorEastAsia" w:cstheme="minorEastAsia"/>
          <w:color w:val="auto"/>
          <w:szCs w:val="21"/>
        </w:rPr>
        <w:fldChar w:fldCharType="end"/>
      </w:r>
    </w:p>
    <w:p>
      <w:pPr>
        <w:pStyle w:val="15"/>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_Toc31109 </w:instrText>
      </w:r>
      <w:r>
        <w:rPr>
          <w:rFonts w:hint="eastAsia" w:asciiTheme="minorEastAsia" w:hAnsiTheme="minorEastAsia" w:eastAsiaTheme="minorEastAsia" w:cstheme="minorEastAsia"/>
          <w:szCs w:val="21"/>
        </w:rPr>
        <w:fldChar w:fldCharType="separate"/>
      </w:r>
      <w:r>
        <w:rPr>
          <w:rFonts w:hint="eastAsia" w:ascii="黑体" w:hAnsi="宋体" w:eastAsia="黑体"/>
          <w:szCs w:val="32"/>
          <w:lang w:val="en-US" w:eastAsia="zh-CN"/>
        </w:rPr>
        <w:t>3危险、有害因素辨识</w:t>
      </w:r>
      <w:r>
        <w:tab/>
      </w:r>
      <w:r>
        <w:fldChar w:fldCharType="begin"/>
      </w:r>
      <w:r>
        <w:instrText xml:space="preserve"> PAGEREF _Toc31109 </w:instrText>
      </w:r>
      <w:r>
        <w:fldChar w:fldCharType="separate"/>
      </w:r>
      <w:r>
        <w:t>13</w:t>
      </w:r>
      <w:r>
        <w:fldChar w:fldCharType="end"/>
      </w:r>
      <w:r>
        <w:rPr>
          <w:rFonts w:hint="eastAsia" w:asciiTheme="minorEastAsia" w:hAnsiTheme="minorEastAsia" w:eastAsiaTheme="minorEastAsia" w:cstheme="minorEastAsia"/>
          <w:color w:val="auto"/>
          <w:szCs w:val="21"/>
        </w:rPr>
        <w:fldChar w:fldCharType="end"/>
      </w:r>
    </w:p>
    <w:p>
      <w:pPr>
        <w:pStyle w:val="17"/>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_Toc30818 </w:instrText>
      </w:r>
      <w:r>
        <w:rPr>
          <w:rFonts w:hint="eastAsia" w:asciiTheme="minorEastAsia" w:hAnsiTheme="minorEastAsia" w:eastAsiaTheme="minorEastAsia" w:cstheme="minorEastAsia"/>
          <w:szCs w:val="21"/>
        </w:rPr>
        <w:fldChar w:fldCharType="separate"/>
      </w:r>
      <w:r>
        <w:rPr>
          <w:rFonts w:hint="eastAsia" w:ascii="黑体" w:eastAsia="黑体"/>
          <w:snapToGrid w:val="0"/>
          <w:kern w:val="0"/>
          <w:szCs w:val="32"/>
          <w:lang w:val="en-US" w:eastAsia="zh-CN"/>
        </w:rPr>
        <w:t>3</w:t>
      </w:r>
      <w:r>
        <w:rPr>
          <w:rFonts w:hint="eastAsia" w:ascii="黑体" w:eastAsia="黑体"/>
          <w:snapToGrid w:val="0"/>
          <w:kern w:val="0"/>
          <w:szCs w:val="32"/>
          <w:lang w:eastAsia="zh-CN"/>
        </w:rPr>
        <w:t>.</w:t>
      </w:r>
      <w:r>
        <w:rPr>
          <w:rFonts w:hint="eastAsia" w:ascii="黑体" w:eastAsia="黑体"/>
          <w:snapToGrid w:val="0"/>
          <w:kern w:val="0"/>
          <w:szCs w:val="32"/>
        </w:rPr>
        <w:t>1 危险、有害因素辨识的目的</w:t>
      </w:r>
      <w:r>
        <w:tab/>
      </w:r>
      <w:r>
        <w:fldChar w:fldCharType="begin"/>
      </w:r>
      <w:r>
        <w:instrText xml:space="preserve"> PAGEREF _Toc30818 </w:instrText>
      </w:r>
      <w:r>
        <w:fldChar w:fldCharType="separate"/>
      </w:r>
      <w:r>
        <w:t>13</w:t>
      </w:r>
      <w:r>
        <w:fldChar w:fldCharType="end"/>
      </w:r>
      <w:r>
        <w:rPr>
          <w:rFonts w:hint="eastAsia" w:asciiTheme="minorEastAsia" w:hAnsiTheme="minorEastAsia" w:eastAsiaTheme="minorEastAsia" w:cstheme="minorEastAsia"/>
          <w:color w:val="auto"/>
          <w:szCs w:val="21"/>
        </w:rPr>
        <w:fldChar w:fldCharType="end"/>
      </w:r>
    </w:p>
    <w:p>
      <w:pPr>
        <w:pStyle w:val="17"/>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_Toc14755 </w:instrText>
      </w:r>
      <w:r>
        <w:rPr>
          <w:rFonts w:hint="eastAsia" w:asciiTheme="minorEastAsia" w:hAnsiTheme="minorEastAsia" w:eastAsiaTheme="minorEastAsia" w:cstheme="minorEastAsia"/>
          <w:szCs w:val="21"/>
        </w:rPr>
        <w:fldChar w:fldCharType="separate"/>
      </w:r>
      <w:r>
        <w:rPr>
          <w:rFonts w:hint="eastAsia" w:ascii="黑体" w:eastAsia="黑体"/>
          <w:snapToGrid w:val="0"/>
          <w:kern w:val="0"/>
          <w:szCs w:val="32"/>
          <w:lang w:val="en-US" w:eastAsia="zh-CN"/>
        </w:rPr>
        <w:t>3</w:t>
      </w:r>
      <w:r>
        <w:rPr>
          <w:rFonts w:hint="eastAsia" w:ascii="黑体" w:eastAsia="黑体"/>
          <w:snapToGrid w:val="0"/>
          <w:kern w:val="0"/>
          <w:szCs w:val="32"/>
          <w:lang w:eastAsia="zh-CN"/>
        </w:rPr>
        <w:t>.</w:t>
      </w:r>
      <w:r>
        <w:rPr>
          <w:rFonts w:hint="eastAsia" w:ascii="黑体" w:eastAsia="黑体"/>
          <w:snapToGrid w:val="0"/>
          <w:kern w:val="0"/>
          <w:szCs w:val="32"/>
        </w:rPr>
        <w:t>2 危险、有害因素辨识的依据</w:t>
      </w:r>
      <w:r>
        <w:tab/>
      </w:r>
      <w:r>
        <w:fldChar w:fldCharType="begin"/>
      </w:r>
      <w:r>
        <w:instrText xml:space="preserve"> PAGEREF _Toc14755 </w:instrText>
      </w:r>
      <w:r>
        <w:fldChar w:fldCharType="separate"/>
      </w:r>
      <w:r>
        <w:t>13</w:t>
      </w:r>
      <w:r>
        <w:fldChar w:fldCharType="end"/>
      </w:r>
      <w:r>
        <w:rPr>
          <w:rFonts w:hint="eastAsia" w:asciiTheme="minorEastAsia" w:hAnsiTheme="minorEastAsia" w:eastAsiaTheme="minorEastAsia" w:cstheme="minorEastAsia"/>
          <w:color w:val="auto"/>
          <w:szCs w:val="21"/>
        </w:rPr>
        <w:fldChar w:fldCharType="end"/>
      </w:r>
    </w:p>
    <w:p>
      <w:pPr>
        <w:pStyle w:val="17"/>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_Toc7242 </w:instrText>
      </w:r>
      <w:r>
        <w:rPr>
          <w:rFonts w:hint="eastAsia" w:asciiTheme="minorEastAsia" w:hAnsiTheme="minorEastAsia" w:eastAsiaTheme="minorEastAsia" w:cstheme="minorEastAsia"/>
          <w:szCs w:val="21"/>
        </w:rPr>
        <w:fldChar w:fldCharType="separate"/>
      </w:r>
      <w:r>
        <w:rPr>
          <w:rFonts w:hint="eastAsia" w:ascii="黑体" w:eastAsia="黑体"/>
          <w:snapToGrid w:val="0"/>
          <w:kern w:val="0"/>
          <w:szCs w:val="32"/>
          <w:lang w:val="en-US" w:eastAsia="zh-CN"/>
        </w:rPr>
        <w:t>3</w:t>
      </w:r>
      <w:r>
        <w:rPr>
          <w:rFonts w:hint="eastAsia" w:ascii="黑体" w:eastAsia="黑体"/>
          <w:snapToGrid w:val="0"/>
          <w:kern w:val="0"/>
          <w:szCs w:val="32"/>
          <w:lang w:eastAsia="zh-CN"/>
        </w:rPr>
        <w:t>.</w:t>
      </w:r>
      <w:r>
        <w:rPr>
          <w:rFonts w:hint="eastAsia" w:ascii="黑体" w:eastAsia="黑体"/>
          <w:snapToGrid w:val="0"/>
          <w:kern w:val="0"/>
          <w:szCs w:val="32"/>
        </w:rPr>
        <w:t>3 危险、有害因素辨识的方法</w:t>
      </w:r>
      <w:r>
        <w:tab/>
      </w:r>
      <w:r>
        <w:fldChar w:fldCharType="begin"/>
      </w:r>
      <w:r>
        <w:instrText xml:space="preserve"> PAGEREF _Toc7242 </w:instrText>
      </w:r>
      <w:r>
        <w:fldChar w:fldCharType="separate"/>
      </w:r>
      <w:r>
        <w:t>13</w:t>
      </w:r>
      <w:r>
        <w:fldChar w:fldCharType="end"/>
      </w:r>
      <w:r>
        <w:rPr>
          <w:rFonts w:hint="eastAsia" w:asciiTheme="minorEastAsia" w:hAnsiTheme="minorEastAsia" w:eastAsiaTheme="minorEastAsia" w:cstheme="minorEastAsia"/>
          <w:color w:val="auto"/>
          <w:szCs w:val="21"/>
        </w:rPr>
        <w:fldChar w:fldCharType="end"/>
      </w:r>
    </w:p>
    <w:p>
      <w:pPr>
        <w:pStyle w:val="17"/>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_Toc8518 </w:instrText>
      </w:r>
      <w:r>
        <w:rPr>
          <w:rFonts w:hint="eastAsia" w:asciiTheme="minorEastAsia" w:hAnsiTheme="minorEastAsia" w:eastAsiaTheme="minorEastAsia" w:cstheme="minorEastAsia"/>
          <w:szCs w:val="21"/>
        </w:rPr>
        <w:fldChar w:fldCharType="separate"/>
      </w:r>
      <w:r>
        <w:rPr>
          <w:rFonts w:hint="eastAsia" w:ascii="黑体" w:eastAsia="黑体"/>
          <w:snapToGrid w:val="0"/>
          <w:kern w:val="0"/>
          <w:szCs w:val="32"/>
          <w:lang w:val="en-US" w:eastAsia="zh-CN"/>
        </w:rPr>
        <w:t>3</w:t>
      </w:r>
      <w:r>
        <w:rPr>
          <w:rFonts w:hint="eastAsia" w:ascii="黑体" w:eastAsia="黑体"/>
          <w:snapToGrid w:val="0"/>
          <w:kern w:val="0"/>
          <w:szCs w:val="32"/>
          <w:lang w:eastAsia="zh-CN"/>
        </w:rPr>
        <w:t>.</w:t>
      </w:r>
      <w:r>
        <w:rPr>
          <w:rFonts w:hint="eastAsia" w:ascii="黑体" w:eastAsia="黑体"/>
          <w:snapToGrid w:val="0"/>
          <w:kern w:val="0"/>
          <w:szCs w:val="32"/>
        </w:rPr>
        <w:t>4 主要危险、有害物质特性分析</w:t>
      </w:r>
      <w:r>
        <w:tab/>
      </w:r>
      <w:r>
        <w:fldChar w:fldCharType="begin"/>
      </w:r>
      <w:r>
        <w:instrText xml:space="preserve"> PAGEREF _Toc8518 </w:instrText>
      </w:r>
      <w:r>
        <w:fldChar w:fldCharType="separate"/>
      </w:r>
      <w:r>
        <w:t>14</w:t>
      </w:r>
      <w:r>
        <w:fldChar w:fldCharType="end"/>
      </w:r>
      <w:r>
        <w:rPr>
          <w:rFonts w:hint="eastAsia" w:asciiTheme="minorEastAsia" w:hAnsiTheme="minorEastAsia" w:eastAsiaTheme="minorEastAsia" w:cstheme="minorEastAsia"/>
          <w:color w:val="auto"/>
          <w:szCs w:val="21"/>
        </w:rPr>
        <w:fldChar w:fldCharType="end"/>
      </w:r>
    </w:p>
    <w:p>
      <w:pPr>
        <w:pStyle w:val="11"/>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_Toc27374 </w:instrText>
      </w:r>
      <w:r>
        <w:rPr>
          <w:rFonts w:hint="eastAsia" w:asciiTheme="minorEastAsia" w:hAnsiTheme="minorEastAsia" w:eastAsiaTheme="minorEastAsia" w:cstheme="minorEastAsia"/>
          <w:szCs w:val="21"/>
        </w:rPr>
        <w:fldChar w:fldCharType="separate"/>
      </w:r>
      <w:r>
        <w:rPr>
          <w:rFonts w:hint="eastAsia" w:ascii="宋体" w:hAnsi="宋体"/>
          <w:snapToGrid w:val="0"/>
          <w:kern w:val="0"/>
          <w:szCs w:val="28"/>
          <w:lang w:val="en-US" w:eastAsia="zh-CN"/>
        </w:rPr>
        <w:t>3</w:t>
      </w:r>
      <w:r>
        <w:rPr>
          <w:rFonts w:hint="eastAsia" w:ascii="宋体" w:hAnsi="宋体"/>
          <w:snapToGrid w:val="0"/>
          <w:kern w:val="0"/>
          <w:szCs w:val="28"/>
          <w:lang w:eastAsia="zh-CN"/>
        </w:rPr>
        <w:t>.</w:t>
      </w:r>
      <w:r>
        <w:rPr>
          <w:rFonts w:hint="eastAsia" w:ascii="宋体" w:hAnsi="宋体"/>
          <w:snapToGrid w:val="0"/>
          <w:kern w:val="0"/>
          <w:szCs w:val="28"/>
        </w:rPr>
        <w:t>4.1 煤</w:t>
      </w:r>
      <w:r>
        <w:tab/>
      </w:r>
      <w:r>
        <w:fldChar w:fldCharType="begin"/>
      </w:r>
      <w:r>
        <w:instrText xml:space="preserve"> PAGEREF _Toc27374 </w:instrText>
      </w:r>
      <w:r>
        <w:fldChar w:fldCharType="separate"/>
      </w:r>
      <w:r>
        <w:t>14</w:t>
      </w:r>
      <w:r>
        <w:fldChar w:fldCharType="end"/>
      </w:r>
      <w:r>
        <w:rPr>
          <w:rFonts w:hint="eastAsia" w:asciiTheme="minorEastAsia" w:hAnsiTheme="minorEastAsia" w:eastAsiaTheme="minorEastAsia" w:cstheme="minorEastAsia"/>
          <w:color w:val="auto"/>
          <w:szCs w:val="21"/>
        </w:rPr>
        <w:fldChar w:fldCharType="end"/>
      </w:r>
    </w:p>
    <w:p>
      <w:pPr>
        <w:pStyle w:val="11"/>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_Toc9680 </w:instrText>
      </w:r>
      <w:r>
        <w:rPr>
          <w:rFonts w:hint="eastAsia" w:asciiTheme="minorEastAsia" w:hAnsiTheme="minorEastAsia" w:eastAsiaTheme="minorEastAsia" w:cstheme="minorEastAsia"/>
          <w:szCs w:val="21"/>
        </w:rPr>
        <w:fldChar w:fldCharType="separate"/>
      </w:r>
      <w:r>
        <w:rPr>
          <w:rFonts w:hint="eastAsia" w:ascii="宋体" w:hAnsi="宋体"/>
          <w:snapToGrid w:val="0"/>
          <w:kern w:val="0"/>
          <w:szCs w:val="28"/>
          <w:lang w:val="en-US" w:eastAsia="zh-CN"/>
        </w:rPr>
        <w:t>3</w:t>
      </w:r>
      <w:r>
        <w:rPr>
          <w:rFonts w:hint="eastAsia" w:ascii="宋体" w:hAnsi="宋体"/>
          <w:snapToGrid w:val="0"/>
          <w:kern w:val="0"/>
          <w:szCs w:val="28"/>
          <w:lang w:eastAsia="zh-CN"/>
        </w:rPr>
        <w:t>.</w:t>
      </w:r>
      <w:r>
        <w:rPr>
          <w:rFonts w:hint="eastAsia" w:ascii="宋体" w:hAnsi="宋体"/>
          <w:snapToGrid w:val="0"/>
          <w:kern w:val="0"/>
          <w:szCs w:val="28"/>
        </w:rPr>
        <w:t>4.2 柴油</w:t>
      </w:r>
      <w:r>
        <w:tab/>
      </w:r>
      <w:r>
        <w:fldChar w:fldCharType="begin"/>
      </w:r>
      <w:r>
        <w:instrText xml:space="preserve"> PAGEREF _Toc9680 </w:instrText>
      </w:r>
      <w:r>
        <w:fldChar w:fldCharType="separate"/>
      </w:r>
      <w:r>
        <w:t>15</w:t>
      </w:r>
      <w:r>
        <w:fldChar w:fldCharType="end"/>
      </w:r>
      <w:r>
        <w:rPr>
          <w:rFonts w:hint="eastAsia" w:asciiTheme="minorEastAsia" w:hAnsiTheme="minorEastAsia" w:eastAsiaTheme="minorEastAsia" w:cstheme="minorEastAsia"/>
          <w:color w:val="auto"/>
          <w:szCs w:val="21"/>
        </w:rPr>
        <w:fldChar w:fldCharType="end"/>
      </w:r>
    </w:p>
    <w:p>
      <w:pPr>
        <w:pStyle w:val="11"/>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_Toc2187 </w:instrText>
      </w:r>
      <w:r>
        <w:rPr>
          <w:rFonts w:hint="eastAsia" w:asciiTheme="minorEastAsia" w:hAnsiTheme="minorEastAsia" w:eastAsiaTheme="minorEastAsia" w:cstheme="minorEastAsia"/>
          <w:szCs w:val="21"/>
        </w:rPr>
        <w:fldChar w:fldCharType="separate"/>
      </w:r>
      <w:r>
        <w:rPr>
          <w:rFonts w:hint="eastAsia" w:ascii="宋体" w:hAnsi="宋体"/>
          <w:snapToGrid w:val="0"/>
          <w:kern w:val="0"/>
          <w:szCs w:val="28"/>
          <w:lang w:val="en-US" w:eastAsia="zh-CN"/>
        </w:rPr>
        <w:t>3</w:t>
      </w:r>
      <w:r>
        <w:rPr>
          <w:rFonts w:hint="eastAsia" w:ascii="宋体" w:hAnsi="宋体"/>
          <w:snapToGrid w:val="0"/>
          <w:kern w:val="0"/>
          <w:szCs w:val="28"/>
          <w:lang w:eastAsia="zh-CN"/>
        </w:rPr>
        <w:t>.</w:t>
      </w:r>
      <w:r>
        <w:rPr>
          <w:rFonts w:hint="eastAsia" w:ascii="宋体" w:hAnsi="宋体"/>
          <w:snapToGrid w:val="0"/>
          <w:kern w:val="0"/>
          <w:szCs w:val="28"/>
        </w:rPr>
        <w:t>4.3 一氧化碳</w:t>
      </w:r>
      <w:r>
        <w:tab/>
      </w:r>
      <w:r>
        <w:fldChar w:fldCharType="begin"/>
      </w:r>
      <w:r>
        <w:instrText xml:space="preserve"> PAGEREF _Toc2187 </w:instrText>
      </w:r>
      <w:r>
        <w:fldChar w:fldCharType="separate"/>
      </w:r>
      <w:r>
        <w:t>15</w:t>
      </w:r>
      <w:r>
        <w:fldChar w:fldCharType="end"/>
      </w:r>
      <w:r>
        <w:rPr>
          <w:rFonts w:hint="eastAsia" w:asciiTheme="minorEastAsia" w:hAnsiTheme="minorEastAsia" w:eastAsiaTheme="minorEastAsia" w:cstheme="minorEastAsia"/>
          <w:color w:val="auto"/>
          <w:szCs w:val="21"/>
        </w:rPr>
        <w:fldChar w:fldCharType="end"/>
      </w:r>
    </w:p>
    <w:p>
      <w:pPr>
        <w:pStyle w:val="11"/>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_Toc21861 </w:instrText>
      </w:r>
      <w:r>
        <w:rPr>
          <w:rFonts w:hint="eastAsia" w:asciiTheme="minorEastAsia" w:hAnsiTheme="minorEastAsia" w:eastAsiaTheme="minorEastAsia" w:cstheme="minorEastAsia"/>
          <w:szCs w:val="21"/>
        </w:rPr>
        <w:fldChar w:fldCharType="separate"/>
      </w:r>
      <w:r>
        <w:rPr>
          <w:rFonts w:hint="eastAsia" w:ascii="宋体" w:hAnsi="宋体"/>
          <w:snapToGrid w:val="0"/>
          <w:kern w:val="0"/>
          <w:szCs w:val="28"/>
          <w:lang w:val="en-US" w:eastAsia="zh-CN"/>
        </w:rPr>
        <w:t>3</w:t>
      </w:r>
      <w:r>
        <w:rPr>
          <w:rFonts w:hint="eastAsia" w:ascii="宋体" w:hAnsi="宋体"/>
          <w:snapToGrid w:val="0"/>
          <w:kern w:val="0"/>
          <w:szCs w:val="28"/>
          <w:lang w:eastAsia="zh-CN"/>
        </w:rPr>
        <w:t>.</w:t>
      </w:r>
      <w:r>
        <w:rPr>
          <w:rFonts w:hint="eastAsia" w:ascii="宋体" w:hAnsi="宋体"/>
          <w:snapToGrid w:val="0"/>
          <w:kern w:val="0"/>
          <w:szCs w:val="28"/>
        </w:rPr>
        <w:t>4.4 二氧化碳</w:t>
      </w:r>
      <w:r>
        <w:tab/>
      </w:r>
      <w:r>
        <w:fldChar w:fldCharType="begin"/>
      </w:r>
      <w:r>
        <w:instrText xml:space="preserve"> PAGEREF _Toc21861 </w:instrText>
      </w:r>
      <w:r>
        <w:fldChar w:fldCharType="separate"/>
      </w:r>
      <w:r>
        <w:t>16</w:t>
      </w:r>
      <w:r>
        <w:fldChar w:fldCharType="end"/>
      </w:r>
      <w:r>
        <w:rPr>
          <w:rFonts w:hint="eastAsia" w:asciiTheme="minorEastAsia" w:hAnsiTheme="minorEastAsia" w:eastAsiaTheme="minorEastAsia" w:cstheme="minorEastAsia"/>
          <w:color w:val="auto"/>
          <w:szCs w:val="21"/>
        </w:rPr>
        <w:fldChar w:fldCharType="end"/>
      </w:r>
    </w:p>
    <w:p>
      <w:pPr>
        <w:pStyle w:val="11"/>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_Toc16937 </w:instrText>
      </w:r>
      <w:r>
        <w:rPr>
          <w:rFonts w:hint="eastAsia" w:asciiTheme="minorEastAsia" w:hAnsiTheme="minorEastAsia" w:eastAsiaTheme="minorEastAsia" w:cstheme="minorEastAsia"/>
          <w:szCs w:val="21"/>
        </w:rPr>
        <w:fldChar w:fldCharType="separate"/>
      </w:r>
      <w:r>
        <w:rPr>
          <w:rFonts w:hint="eastAsia" w:ascii="宋体" w:hAnsi="宋体"/>
          <w:snapToGrid w:val="0"/>
          <w:kern w:val="0"/>
          <w:szCs w:val="28"/>
          <w:lang w:val="en-US" w:eastAsia="zh-CN"/>
        </w:rPr>
        <w:t>3</w:t>
      </w:r>
      <w:r>
        <w:rPr>
          <w:rFonts w:hint="eastAsia" w:ascii="宋体" w:hAnsi="宋体"/>
          <w:snapToGrid w:val="0"/>
          <w:kern w:val="0"/>
          <w:szCs w:val="28"/>
          <w:lang w:eastAsia="zh-CN"/>
        </w:rPr>
        <w:t>.</w:t>
      </w:r>
      <w:r>
        <w:rPr>
          <w:rFonts w:hint="eastAsia" w:ascii="宋体" w:hAnsi="宋体"/>
          <w:snapToGrid w:val="0"/>
          <w:kern w:val="0"/>
          <w:szCs w:val="28"/>
        </w:rPr>
        <w:t>4.5 二氧化硫（三氧化硫参考）</w:t>
      </w:r>
      <w:r>
        <w:tab/>
      </w:r>
      <w:r>
        <w:fldChar w:fldCharType="begin"/>
      </w:r>
      <w:r>
        <w:instrText xml:space="preserve"> PAGEREF _Toc16937 </w:instrText>
      </w:r>
      <w:r>
        <w:fldChar w:fldCharType="separate"/>
      </w:r>
      <w:r>
        <w:t>16</w:t>
      </w:r>
      <w:r>
        <w:fldChar w:fldCharType="end"/>
      </w:r>
      <w:r>
        <w:rPr>
          <w:rFonts w:hint="eastAsia" w:asciiTheme="minorEastAsia" w:hAnsiTheme="minorEastAsia" w:eastAsiaTheme="minorEastAsia" w:cstheme="minorEastAsia"/>
          <w:color w:val="auto"/>
          <w:szCs w:val="21"/>
        </w:rPr>
        <w:fldChar w:fldCharType="end"/>
      </w:r>
    </w:p>
    <w:p>
      <w:pPr>
        <w:pStyle w:val="11"/>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_Toc10901 </w:instrText>
      </w:r>
      <w:r>
        <w:rPr>
          <w:rFonts w:hint="eastAsia" w:asciiTheme="minorEastAsia" w:hAnsiTheme="minorEastAsia" w:eastAsiaTheme="minorEastAsia" w:cstheme="minorEastAsia"/>
          <w:szCs w:val="21"/>
        </w:rPr>
        <w:fldChar w:fldCharType="separate"/>
      </w:r>
      <w:r>
        <w:rPr>
          <w:rFonts w:hint="eastAsia" w:ascii="宋体" w:hAnsi="宋体"/>
          <w:snapToGrid w:val="0"/>
          <w:kern w:val="0"/>
          <w:szCs w:val="28"/>
          <w:lang w:val="en-US" w:eastAsia="zh-CN"/>
        </w:rPr>
        <w:t>3.4.6 柴油安全数据表</w:t>
      </w:r>
      <w:r>
        <w:tab/>
      </w:r>
      <w:r>
        <w:fldChar w:fldCharType="begin"/>
      </w:r>
      <w:r>
        <w:instrText xml:space="preserve"> PAGEREF _Toc10901 </w:instrText>
      </w:r>
      <w:r>
        <w:fldChar w:fldCharType="separate"/>
      </w:r>
      <w:r>
        <w:t>17</w:t>
      </w:r>
      <w:r>
        <w:fldChar w:fldCharType="end"/>
      </w:r>
      <w:r>
        <w:rPr>
          <w:rFonts w:hint="eastAsia" w:asciiTheme="minorEastAsia" w:hAnsiTheme="minorEastAsia" w:eastAsiaTheme="minorEastAsia" w:cstheme="minorEastAsia"/>
          <w:color w:val="auto"/>
          <w:szCs w:val="21"/>
        </w:rPr>
        <w:fldChar w:fldCharType="end"/>
      </w:r>
    </w:p>
    <w:p>
      <w:pPr>
        <w:pStyle w:val="11"/>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_Toc11033 </w:instrText>
      </w:r>
      <w:r>
        <w:rPr>
          <w:rFonts w:hint="eastAsia" w:asciiTheme="minorEastAsia" w:hAnsiTheme="minorEastAsia" w:eastAsiaTheme="minorEastAsia" w:cstheme="minorEastAsia"/>
          <w:szCs w:val="21"/>
        </w:rPr>
        <w:fldChar w:fldCharType="separate"/>
      </w:r>
      <w:r>
        <w:rPr>
          <w:rFonts w:hint="eastAsia" w:ascii="宋体" w:hAnsi="宋体"/>
          <w:snapToGrid w:val="0"/>
          <w:kern w:val="0"/>
          <w:szCs w:val="28"/>
          <w:lang w:val="en-US" w:eastAsia="zh-CN"/>
        </w:rPr>
        <w:t>3.4.7 氧气安全数据表</w:t>
      </w:r>
      <w:r>
        <w:tab/>
      </w:r>
      <w:r>
        <w:fldChar w:fldCharType="begin"/>
      </w:r>
      <w:r>
        <w:instrText xml:space="preserve"> PAGEREF _Toc11033 </w:instrText>
      </w:r>
      <w:r>
        <w:fldChar w:fldCharType="separate"/>
      </w:r>
      <w:r>
        <w:t>18</w:t>
      </w:r>
      <w:r>
        <w:fldChar w:fldCharType="end"/>
      </w:r>
      <w:r>
        <w:rPr>
          <w:rFonts w:hint="eastAsia" w:asciiTheme="minorEastAsia" w:hAnsiTheme="minorEastAsia" w:eastAsiaTheme="minorEastAsia" w:cstheme="minorEastAsia"/>
          <w:color w:val="auto"/>
          <w:szCs w:val="21"/>
        </w:rPr>
        <w:fldChar w:fldCharType="end"/>
      </w:r>
    </w:p>
    <w:p>
      <w:pPr>
        <w:pStyle w:val="11"/>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_Toc27243 </w:instrText>
      </w:r>
      <w:r>
        <w:rPr>
          <w:rFonts w:hint="eastAsia" w:asciiTheme="minorEastAsia" w:hAnsiTheme="minorEastAsia" w:eastAsiaTheme="minorEastAsia" w:cstheme="minorEastAsia"/>
          <w:szCs w:val="21"/>
        </w:rPr>
        <w:fldChar w:fldCharType="separate"/>
      </w:r>
      <w:r>
        <w:rPr>
          <w:rFonts w:hint="eastAsia" w:ascii="宋体" w:hAnsi="宋体"/>
          <w:snapToGrid w:val="0"/>
          <w:kern w:val="0"/>
          <w:szCs w:val="28"/>
          <w:lang w:val="en-US" w:eastAsia="zh-CN"/>
        </w:rPr>
        <w:t>3.4.8 乙炔安全数据表</w:t>
      </w:r>
      <w:r>
        <w:tab/>
      </w:r>
      <w:r>
        <w:fldChar w:fldCharType="begin"/>
      </w:r>
      <w:r>
        <w:instrText xml:space="preserve"> PAGEREF _Toc27243 </w:instrText>
      </w:r>
      <w:r>
        <w:fldChar w:fldCharType="separate"/>
      </w:r>
      <w:r>
        <w:t>19</w:t>
      </w:r>
      <w:r>
        <w:fldChar w:fldCharType="end"/>
      </w:r>
      <w:r>
        <w:rPr>
          <w:rFonts w:hint="eastAsia" w:asciiTheme="minorEastAsia" w:hAnsiTheme="minorEastAsia" w:eastAsiaTheme="minorEastAsia" w:cstheme="minorEastAsia"/>
          <w:color w:val="auto"/>
          <w:szCs w:val="21"/>
        </w:rPr>
        <w:fldChar w:fldCharType="end"/>
      </w:r>
    </w:p>
    <w:p>
      <w:pPr>
        <w:pStyle w:val="17"/>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_Toc24392 </w:instrText>
      </w:r>
      <w:r>
        <w:rPr>
          <w:rFonts w:hint="eastAsia" w:asciiTheme="minorEastAsia" w:hAnsiTheme="minorEastAsia" w:eastAsiaTheme="minorEastAsia" w:cstheme="minorEastAsia"/>
          <w:szCs w:val="21"/>
        </w:rPr>
        <w:fldChar w:fldCharType="separate"/>
      </w:r>
      <w:r>
        <w:rPr>
          <w:rFonts w:hint="eastAsia" w:ascii="黑体" w:eastAsia="黑体"/>
          <w:snapToGrid w:val="0"/>
          <w:kern w:val="0"/>
          <w:szCs w:val="32"/>
        </w:rPr>
        <w:t>3.5 生产过程危险有害因素分析和辨识</w:t>
      </w:r>
      <w:r>
        <w:tab/>
      </w:r>
      <w:r>
        <w:fldChar w:fldCharType="begin"/>
      </w:r>
      <w:r>
        <w:instrText xml:space="preserve"> PAGEREF _Toc24392 </w:instrText>
      </w:r>
      <w:r>
        <w:fldChar w:fldCharType="separate"/>
      </w:r>
      <w:r>
        <w:t>21</w:t>
      </w:r>
      <w:r>
        <w:fldChar w:fldCharType="end"/>
      </w:r>
      <w:r>
        <w:rPr>
          <w:rFonts w:hint="eastAsia" w:asciiTheme="minorEastAsia" w:hAnsiTheme="minorEastAsia" w:eastAsiaTheme="minorEastAsia" w:cstheme="minorEastAsia"/>
          <w:color w:val="auto"/>
          <w:szCs w:val="21"/>
        </w:rPr>
        <w:fldChar w:fldCharType="end"/>
      </w:r>
    </w:p>
    <w:p>
      <w:pPr>
        <w:pStyle w:val="17"/>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_Toc18405 </w:instrText>
      </w:r>
      <w:r>
        <w:rPr>
          <w:rFonts w:hint="eastAsia" w:asciiTheme="minorEastAsia" w:hAnsiTheme="minorEastAsia" w:eastAsiaTheme="minorEastAsia" w:cstheme="minorEastAsia"/>
          <w:szCs w:val="21"/>
        </w:rPr>
        <w:fldChar w:fldCharType="separate"/>
      </w:r>
      <w:r>
        <w:rPr>
          <w:rFonts w:hint="eastAsia" w:ascii="黑体" w:eastAsia="黑体"/>
          <w:snapToGrid w:val="0"/>
          <w:kern w:val="0"/>
          <w:szCs w:val="32"/>
          <w:lang w:val="en-US" w:eastAsia="zh-CN"/>
        </w:rPr>
        <w:t>3</w:t>
      </w:r>
      <w:r>
        <w:rPr>
          <w:rFonts w:hint="eastAsia" w:ascii="黑体" w:eastAsia="黑体"/>
          <w:snapToGrid w:val="0"/>
          <w:kern w:val="0"/>
          <w:szCs w:val="32"/>
          <w:lang w:eastAsia="zh-CN"/>
        </w:rPr>
        <w:t>.</w:t>
      </w:r>
      <w:r>
        <w:rPr>
          <w:rFonts w:hint="eastAsia" w:ascii="黑体" w:eastAsia="黑体"/>
          <w:snapToGrid w:val="0"/>
          <w:kern w:val="0"/>
          <w:szCs w:val="32"/>
        </w:rPr>
        <w:t>5 生产过程危险有害因素分析和辨识</w:t>
      </w:r>
      <w:r>
        <w:tab/>
      </w:r>
      <w:r>
        <w:fldChar w:fldCharType="begin"/>
      </w:r>
      <w:r>
        <w:instrText xml:space="preserve"> PAGEREF _Toc18405 </w:instrText>
      </w:r>
      <w:r>
        <w:fldChar w:fldCharType="separate"/>
      </w:r>
      <w:r>
        <w:t>21</w:t>
      </w:r>
      <w:r>
        <w:fldChar w:fldCharType="end"/>
      </w:r>
      <w:r>
        <w:rPr>
          <w:rFonts w:hint="eastAsia" w:asciiTheme="minorEastAsia" w:hAnsiTheme="minorEastAsia" w:eastAsiaTheme="minorEastAsia" w:cstheme="minorEastAsia"/>
          <w:color w:val="auto"/>
          <w:szCs w:val="21"/>
        </w:rPr>
        <w:fldChar w:fldCharType="end"/>
      </w:r>
    </w:p>
    <w:p>
      <w:pPr>
        <w:pStyle w:val="11"/>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_Toc22884 </w:instrText>
      </w:r>
      <w:r>
        <w:rPr>
          <w:rFonts w:hint="eastAsia" w:asciiTheme="minorEastAsia" w:hAnsiTheme="minorEastAsia" w:eastAsiaTheme="minorEastAsia" w:cstheme="minorEastAsia"/>
          <w:szCs w:val="21"/>
        </w:rPr>
        <w:fldChar w:fldCharType="separate"/>
      </w:r>
      <w:r>
        <w:rPr>
          <w:rFonts w:hint="eastAsia" w:ascii="宋体" w:hAnsi="宋体"/>
          <w:snapToGrid w:val="0"/>
          <w:kern w:val="0"/>
          <w:szCs w:val="28"/>
          <w:lang w:val="en-US" w:eastAsia="zh-CN"/>
        </w:rPr>
        <w:t>3</w:t>
      </w:r>
      <w:r>
        <w:rPr>
          <w:rFonts w:hint="eastAsia" w:ascii="宋体" w:hAnsi="宋体"/>
          <w:snapToGrid w:val="0"/>
          <w:kern w:val="0"/>
          <w:szCs w:val="28"/>
          <w:lang w:eastAsia="zh-CN"/>
        </w:rPr>
        <w:t>.</w:t>
      </w:r>
      <w:r>
        <w:rPr>
          <w:rFonts w:hint="eastAsia" w:ascii="宋体" w:hAnsi="宋体"/>
          <w:snapToGrid w:val="0"/>
          <w:kern w:val="0"/>
          <w:szCs w:val="28"/>
        </w:rPr>
        <w:t>5.1 车辆事故</w:t>
      </w:r>
      <w:r>
        <w:tab/>
      </w:r>
      <w:r>
        <w:fldChar w:fldCharType="begin"/>
      </w:r>
      <w:r>
        <w:instrText xml:space="preserve"> PAGEREF _Toc22884 </w:instrText>
      </w:r>
      <w:r>
        <w:fldChar w:fldCharType="separate"/>
      </w:r>
      <w:r>
        <w:t>21</w:t>
      </w:r>
      <w:r>
        <w:fldChar w:fldCharType="end"/>
      </w:r>
      <w:r>
        <w:rPr>
          <w:rFonts w:hint="eastAsia" w:asciiTheme="minorEastAsia" w:hAnsiTheme="minorEastAsia" w:eastAsiaTheme="minorEastAsia" w:cstheme="minorEastAsia"/>
          <w:color w:val="auto"/>
          <w:szCs w:val="21"/>
        </w:rPr>
        <w:fldChar w:fldCharType="end"/>
      </w:r>
    </w:p>
    <w:p>
      <w:pPr>
        <w:pStyle w:val="11"/>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_Toc8214 </w:instrText>
      </w:r>
      <w:r>
        <w:rPr>
          <w:rFonts w:hint="eastAsia" w:asciiTheme="minorEastAsia" w:hAnsiTheme="minorEastAsia" w:eastAsiaTheme="minorEastAsia" w:cstheme="minorEastAsia"/>
          <w:szCs w:val="21"/>
        </w:rPr>
        <w:fldChar w:fldCharType="separate"/>
      </w:r>
      <w:r>
        <w:rPr>
          <w:rFonts w:hint="eastAsia" w:ascii="宋体" w:hAnsi="宋体"/>
          <w:snapToGrid w:val="0"/>
          <w:kern w:val="0"/>
          <w:szCs w:val="28"/>
          <w:lang w:val="en-US" w:eastAsia="zh-CN"/>
        </w:rPr>
        <w:t>3</w:t>
      </w:r>
      <w:r>
        <w:rPr>
          <w:rFonts w:hint="eastAsia" w:ascii="宋体" w:hAnsi="宋体"/>
          <w:snapToGrid w:val="0"/>
          <w:kern w:val="0"/>
          <w:szCs w:val="28"/>
          <w:lang w:eastAsia="zh-CN"/>
        </w:rPr>
        <w:t>.</w:t>
      </w:r>
      <w:r>
        <w:rPr>
          <w:rFonts w:hint="eastAsia" w:ascii="宋体" w:hAnsi="宋体"/>
          <w:snapToGrid w:val="0"/>
          <w:kern w:val="0"/>
          <w:szCs w:val="28"/>
        </w:rPr>
        <w:t>5.2 机械伤害</w:t>
      </w:r>
      <w:r>
        <w:tab/>
      </w:r>
      <w:r>
        <w:fldChar w:fldCharType="begin"/>
      </w:r>
      <w:r>
        <w:instrText xml:space="preserve"> PAGEREF _Toc8214 </w:instrText>
      </w:r>
      <w:r>
        <w:fldChar w:fldCharType="separate"/>
      </w:r>
      <w:r>
        <w:t>22</w:t>
      </w:r>
      <w:r>
        <w:fldChar w:fldCharType="end"/>
      </w:r>
      <w:r>
        <w:rPr>
          <w:rFonts w:hint="eastAsia" w:asciiTheme="minorEastAsia" w:hAnsiTheme="minorEastAsia" w:eastAsiaTheme="minorEastAsia" w:cstheme="minorEastAsia"/>
          <w:color w:val="auto"/>
          <w:szCs w:val="21"/>
        </w:rPr>
        <w:fldChar w:fldCharType="end"/>
      </w:r>
    </w:p>
    <w:p>
      <w:pPr>
        <w:pStyle w:val="11"/>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_Toc736 </w:instrText>
      </w:r>
      <w:r>
        <w:rPr>
          <w:rFonts w:hint="eastAsia" w:asciiTheme="minorEastAsia" w:hAnsiTheme="minorEastAsia" w:eastAsiaTheme="minorEastAsia" w:cstheme="minorEastAsia"/>
          <w:szCs w:val="21"/>
        </w:rPr>
        <w:fldChar w:fldCharType="separate"/>
      </w:r>
      <w:r>
        <w:rPr>
          <w:rFonts w:hint="eastAsia" w:ascii="宋体" w:hAnsi="宋体"/>
          <w:snapToGrid w:val="0"/>
          <w:kern w:val="0"/>
          <w:szCs w:val="28"/>
          <w:lang w:val="en-US" w:eastAsia="zh-CN"/>
        </w:rPr>
        <w:t>3</w:t>
      </w:r>
      <w:r>
        <w:rPr>
          <w:rFonts w:hint="eastAsia" w:ascii="宋体" w:hAnsi="宋体"/>
          <w:snapToGrid w:val="0"/>
          <w:kern w:val="0"/>
          <w:szCs w:val="28"/>
          <w:lang w:eastAsia="zh-CN"/>
        </w:rPr>
        <w:t>.</w:t>
      </w:r>
      <w:r>
        <w:rPr>
          <w:rFonts w:hint="eastAsia" w:ascii="宋体" w:hAnsi="宋体"/>
          <w:snapToGrid w:val="0"/>
          <w:kern w:val="0"/>
          <w:szCs w:val="28"/>
        </w:rPr>
        <w:t>5.3</w:t>
      </w:r>
      <w:r>
        <w:rPr>
          <w:rFonts w:ascii="宋体" w:hAnsi="宋体"/>
          <w:snapToGrid w:val="0"/>
          <w:kern w:val="0"/>
          <w:szCs w:val="28"/>
        </w:rPr>
        <w:t xml:space="preserve"> 触电</w:t>
      </w:r>
      <w:r>
        <w:rPr>
          <w:rFonts w:hint="eastAsia" w:ascii="宋体" w:hAnsi="宋体"/>
          <w:snapToGrid w:val="0"/>
          <w:kern w:val="0"/>
          <w:szCs w:val="28"/>
        </w:rPr>
        <w:t>事故</w:t>
      </w:r>
      <w:r>
        <w:tab/>
      </w:r>
      <w:r>
        <w:fldChar w:fldCharType="begin"/>
      </w:r>
      <w:r>
        <w:instrText xml:space="preserve"> PAGEREF _Toc736 </w:instrText>
      </w:r>
      <w:r>
        <w:fldChar w:fldCharType="separate"/>
      </w:r>
      <w:r>
        <w:t>23</w:t>
      </w:r>
      <w:r>
        <w:fldChar w:fldCharType="end"/>
      </w:r>
      <w:r>
        <w:rPr>
          <w:rFonts w:hint="eastAsia" w:asciiTheme="minorEastAsia" w:hAnsiTheme="minorEastAsia" w:eastAsiaTheme="minorEastAsia" w:cstheme="minorEastAsia"/>
          <w:color w:val="auto"/>
          <w:szCs w:val="21"/>
        </w:rPr>
        <w:fldChar w:fldCharType="end"/>
      </w:r>
    </w:p>
    <w:p>
      <w:pPr>
        <w:pStyle w:val="11"/>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_Toc31884 </w:instrText>
      </w:r>
      <w:r>
        <w:rPr>
          <w:rFonts w:hint="eastAsia" w:asciiTheme="minorEastAsia" w:hAnsiTheme="minorEastAsia" w:eastAsiaTheme="minorEastAsia" w:cstheme="minorEastAsia"/>
          <w:szCs w:val="21"/>
        </w:rPr>
        <w:fldChar w:fldCharType="separate"/>
      </w:r>
      <w:r>
        <w:rPr>
          <w:rFonts w:hint="eastAsia" w:ascii="宋体" w:hAnsi="宋体"/>
          <w:snapToGrid w:val="0"/>
          <w:kern w:val="0"/>
          <w:szCs w:val="28"/>
          <w:lang w:val="en-US" w:eastAsia="zh-CN"/>
        </w:rPr>
        <w:t>3</w:t>
      </w:r>
      <w:r>
        <w:rPr>
          <w:rFonts w:hint="eastAsia" w:ascii="宋体" w:hAnsi="宋体"/>
          <w:snapToGrid w:val="0"/>
          <w:kern w:val="0"/>
          <w:szCs w:val="28"/>
          <w:lang w:eastAsia="zh-CN"/>
        </w:rPr>
        <w:t>.</w:t>
      </w:r>
      <w:r>
        <w:rPr>
          <w:rFonts w:hint="eastAsia" w:ascii="宋体" w:hAnsi="宋体"/>
          <w:snapToGrid w:val="0"/>
          <w:kern w:val="0"/>
          <w:szCs w:val="28"/>
        </w:rPr>
        <w:t>5.4 高处坠落</w:t>
      </w:r>
      <w:r>
        <w:tab/>
      </w:r>
      <w:r>
        <w:fldChar w:fldCharType="begin"/>
      </w:r>
      <w:r>
        <w:instrText xml:space="preserve"> PAGEREF _Toc31884 </w:instrText>
      </w:r>
      <w:r>
        <w:fldChar w:fldCharType="separate"/>
      </w:r>
      <w:r>
        <w:t>23</w:t>
      </w:r>
      <w:r>
        <w:fldChar w:fldCharType="end"/>
      </w:r>
      <w:r>
        <w:rPr>
          <w:rFonts w:hint="eastAsia" w:asciiTheme="minorEastAsia" w:hAnsiTheme="minorEastAsia" w:eastAsiaTheme="minorEastAsia" w:cstheme="minorEastAsia"/>
          <w:color w:val="auto"/>
          <w:szCs w:val="21"/>
        </w:rPr>
        <w:fldChar w:fldCharType="end"/>
      </w:r>
    </w:p>
    <w:p>
      <w:pPr>
        <w:pStyle w:val="11"/>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_Toc5466 </w:instrText>
      </w:r>
      <w:r>
        <w:rPr>
          <w:rFonts w:hint="eastAsia" w:asciiTheme="minorEastAsia" w:hAnsiTheme="minorEastAsia" w:eastAsiaTheme="minorEastAsia" w:cstheme="minorEastAsia"/>
          <w:szCs w:val="21"/>
        </w:rPr>
        <w:fldChar w:fldCharType="separate"/>
      </w:r>
      <w:r>
        <w:rPr>
          <w:rFonts w:hint="eastAsia" w:ascii="宋体" w:hAnsi="宋体"/>
          <w:snapToGrid w:val="0"/>
          <w:kern w:val="0"/>
          <w:szCs w:val="28"/>
          <w:lang w:val="en-US" w:eastAsia="zh-CN"/>
        </w:rPr>
        <w:t>3</w:t>
      </w:r>
      <w:r>
        <w:rPr>
          <w:rFonts w:hint="eastAsia" w:ascii="宋体" w:hAnsi="宋体"/>
          <w:snapToGrid w:val="0"/>
          <w:kern w:val="0"/>
          <w:szCs w:val="28"/>
          <w:lang w:eastAsia="zh-CN"/>
        </w:rPr>
        <w:t>.</w:t>
      </w:r>
      <w:r>
        <w:rPr>
          <w:rFonts w:hint="eastAsia" w:ascii="宋体" w:hAnsi="宋体"/>
          <w:snapToGrid w:val="0"/>
          <w:kern w:val="0"/>
          <w:szCs w:val="28"/>
        </w:rPr>
        <w:t>5</w:t>
      </w:r>
      <w:r>
        <w:rPr>
          <w:rFonts w:ascii="宋体" w:hAnsi="宋体"/>
          <w:snapToGrid w:val="0"/>
          <w:kern w:val="0"/>
          <w:szCs w:val="28"/>
        </w:rPr>
        <w:t>.</w:t>
      </w:r>
      <w:r>
        <w:rPr>
          <w:rFonts w:hint="eastAsia" w:ascii="宋体" w:hAnsi="宋体"/>
          <w:snapToGrid w:val="0"/>
          <w:kern w:val="0"/>
          <w:szCs w:val="28"/>
        </w:rPr>
        <w:t>5</w:t>
      </w:r>
      <w:r>
        <w:rPr>
          <w:rFonts w:ascii="宋体" w:hAnsi="宋体"/>
          <w:snapToGrid w:val="0"/>
          <w:kern w:val="0"/>
          <w:szCs w:val="28"/>
        </w:rPr>
        <w:t xml:space="preserve"> 物体打击</w:t>
      </w:r>
      <w:r>
        <w:tab/>
      </w:r>
      <w:r>
        <w:fldChar w:fldCharType="begin"/>
      </w:r>
      <w:r>
        <w:instrText xml:space="preserve"> PAGEREF _Toc5466 </w:instrText>
      </w:r>
      <w:r>
        <w:fldChar w:fldCharType="separate"/>
      </w:r>
      <w:r>
        <w:t>24</w:t>
      </w:r>
      <w:r>
        <w:fldChar w:fldCharType="end"/>
      </w:r>
      <w:r>
        <w:rPr>
          <w:rFonts w:hint="eastAsia" w:asciiTheme="minorEastAsia" w:hAnsiTheme="minorEastAsia" w:eastAsiaTheme="minorEastAsia" w:cstheme="minorEastAsia"/>
          <w:color w:val="auto"/>
          <w:szCs w:val="21"/>
        </w:rPr>
        <w:fldChar w:fldCharType="end"/>
      </w:r>
    </w:p>
    <w:p>
      <w:pPr>
        <w:pStyle w:val="11"/>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_Toc13741 </w:instrText>
      </w:r>
      <w:r>
        <w:rPr>
          <w:rFonts w:hint="eastAsia" w:asciiTheme="minorEastAsia" w:hAnsiTheme="minorEastAsia" w:eastAsiaTheme="minorEastAsia" w:cstheme="minorEastAsia"/>
          <w:szCs w:val="21"/>
        </w:rPr>
        <w:fldChar w:fldCharType="separate"/>
      </w:r>
      <w:r>
        <w:rPr>
          <w:rFonts w:hint="eastAsia" w:ascii="宋体" w:hAnsi="宋体"/>
          <w:snapToGrid w:val="0"/>
          <w:kern w:val="0"/>
          <w:szCs w:val="28"/>
          <w:lang w:val="en-US" w:eastAsia="zh-CN"/>
        </w:rPr>
        <w:t>3</w:t>
      </w:r>
      <w:r>
        <w:rPr>
          <w:rFonts w:hint="eastAsia" w:ascii="宋体" w:hAnsi="宋体"/>
          <w:snapToGrid w:val="0"/>
          <w:kern w:val="0"/>
          <w:szCs w:val="28"/>
          <w:lang w:eastAsia="zh-CN"/>
        </w:rPr>
        <w:t>.</w:t>
      </w:r>
      <w:r>
        <w:rPr>
          <w:rFonts w:hint="eastAsia" w:ascii="宋体" w:hAnsi="宋体"/>
          <w:snapToGrid w:val="0"/>
          <w:kern w:val="0"/>
          <w:szCs w:val="28"/>
        </w:rPr>
        <w:t>5.6 火灾事故</w:t>
      </w:r>
      <w:r>
        <w:tab/>
      </w:r>
      <w:r>
        <w:fldChar w:fldCharType="begin"/>
      </w:r>
      <w:r>
        <w:instrText xml:space="preserve"> PAGEREF _Toc13741 </w:instrText>
      </w:r>
      <w:r>
        <w:fldChar w:fldCharType="separate"/>
      </w:r>
      <w:r>
        <w:t>25</w:t>
      </w:r>
      <w:r>
        <w:fldChar w:fldCharType="end"/>
      </w:r>
      <w:r>
        <w:rPr>
          <w:rFonts w:hint="eastAsia" w:asciiTheme="minorEastAsia" w:hAnsiTheme="minorEastAsia" w:eastAsiaTheme="minorEastAsia" w:cstheme="minorEastAsia"/>
          <w:color w:val="auto"/>
          <w:szCs w:val="21"/>
        </w:rPr>
        <w:fldChar w:fldCharType="end"/>
      </w:r>
    </w:p>
    <w:p>
      <w:pPr>
        <w:pStyle w:val="11"/>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_Toc24561 </w:instrText>
      </w:r>
      <w:r>
        <w:rPr>
          <w:rFonts w:hint="eastAsia" w:asciiTheme="minorEastAsia" w:hAnsiTheme="minorEastAsia" w:eastAsiaTheme="minorEastAsia" w:cstheme="minorEastAsia"/>
          <w:szCs w:val="21"/>
        </w:rPr>
        <w:fldChar w:fldCharType="separate"/>
      </w:r>
      <w:r>
        <w:rPr>
          <w:rFonts w:hint="eastAsia" w:ascii="宋体" w:hAnsi="宋体"/>
          <w:snapToGrid w:val="0"/>
          <w:kern w:val="0"/>
          <w:szCs w:val="28"/>
          <w:lang w:val="en-US" w:eastAsia="zh-CN"/>
        </w:rPr>
        <w:t>3</w:t>
      </w:r>
      <w:r>
        <w:rPr>
          <w:rFonts w:hint="eastAsia" w:ascii="宋体" w:hAnsi="宋体"/>
          <w:snapToGrid w:val="0"/>
          <w:kern w:val="0"/>
          <w:szCs w:val="28"/>
          <w:lang w:eastAsia="zh-CN"/>
        </w:rPr>
        <w:t>.</w:t>
      </w:r>
      <w:r>
        <w:rPr>
          <w:rFonts w:hint="eastAsia" w:ascii="宋体" w:hAnsi="宋体"/>
          <w:snapToGrid w:val="0"/>
          <w:kern w:val="0"/>
          <w:szCs w:val="28"/>
        </w:rPr>
        <w:t>5.</w:t>
      </w:r>
      <w:r>
        <w:rPr>
          <w:rFonts w:hint="eastAsia" w:ascii="宋体" w:hAnsi="宋体"/>
          <w:snapToGrid w:val="0"/>
          <w:kern w:val="0"/>
          <w:szCs w:val="28"/>
          <w:lang w:val="en-US" w:eastAsia="zh-CN"/>
        </w:rPr>
        <w:t>7 坍塌</w:t>
      </w:r>
      <w:r>
        <w:tab/>
      </w:r>
      <w:r>
        <w:fldChar w:fldCharType="begin"/>
      </w:r>
      <w:r>
        <w:instrText xml:space="preserve"> PAGEREF _Toc24561 </w:instrText>
      </w:r>
      <w:r>
        <w:fldChar w:fldCharType="separate"/>
      </w:r>
      <w:r>
        <w:t>25</w:t>
      </w:r>
      <w:r>
        <w:fldChar w:fldCharType="end"/>
      </w:r>
      <w:r>
        <w:rPr>
          <w:rFonts w:hint="eastAsia" w:asciiTheme="minorEastAsia" w:hAnsiTheme="minorEastAsia" w:eastAsiaTheme="minorEastAsia" w:cstheme="minorEastAsia"/>
          <w:color w:val="auto"/>
          <w:szCs w:val="21"/>
        </w:rPr>
        <w:fldChar w:fldCharType="end"/>
      </w:r>
    </w:p>
    <w:p>
      <w:pPr>
        <w:pStyle w:val="11"/>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_Toc7456 </w:instrText>
      </w:r>
      <w:r>
        <w:rPr>
          <w:rFonts w:hint="eastAsia" w:asciiTheme="minorEastAsia" w:hAnsiTheme="minorEastAsia" w:eastAsiaTheme="minorEastAsia" w:cstheme="minorEastAsia"/>
          <w:szCs w:val="21"/>
        </w:rPr>
        <w:fldChar w:fldCharType="separate"/>
      </w:r>
      <w:r>
        <w:rPr>
          <w:rFonts w:hint="eastAsia" w:ascii="宋体" w:hAnsi="宋体"/>
          <w:snapToGrid w:val="0"/>
          <w:kern w:val="0"/>
          <w:szCs w:val="28"/>
          <w:lang w:val="en-US" w:eastAsia="zh-CN"/>
        </w:rPr>
        <w:t>3.5.8中毒窒息</w:t>
      </w:r>
      <w:r>
        <w:tab/>
      </w:r>
      <w:r>
        <w:fldChar w:fldCharType="begin"/>
      </w:r>
      <w:r>
        <w:instrText xml:space="preserve"> PAGEREF _Toc7456 </w:instrText>
      </w:r>
      <w:r>
        <w:fldChar w:fldCharType="separate"/>
      </w:r>
      <w:r>
        <w:t>26</w:t>
      </w:r>
      <w:r>
        <w:fldChar w:fldCharType="end"/>
      </w:r>
      <w:r>
        <w:rPr>
          <w:rFonts w:hint="eastAsia" w:asciiTheme="minorEastAsia" w:hAnsiTheme="minorEastAsia" w:eastAsiaTheme="minorEastAsia" w:cstheme="minorEastAsia"/>
          <w:color w:val="auto"/>
          <w:szCs w:val="21"/>
        </w:rPr>
        <w:fldChar w:fldCharType="end"/>
      </w:r>
    </w:p>
    <w:p>
      <w:pPr>
        <w:pStyle w:val="11"/>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_Toc22667 </w:instrText>
      </w:r>
      <w:r>
        <w:rPr>
          <w:rFonts w:hint="eastAsia" w:asciiTheme="minorEastAsia" w:hAnsiTheme="minorEastAsia" w:eastAsiaTheme="minorEastAsia" w:cstheme="minorEastAsia"/>
          <w:szCs w:val="21"/>
        </w:rPr>
        <w:fldChar w:fldCharType="separate"/>
      </w:r>
      <w:r>
        <w:rPr>
          <w:rFonts w:hint="eastAsia" w:ascii="宋体" w:hAnsi="宋体"/>
          <w:snapToGrid w:val="0"/>
          <w:kern w:val="0"/>
          <w:szCs w:val="28"/>
          <w:lang w:val="en-US" w:eastAsia="zh-CN"/>
        </w:rPr>
        <w:t>3.5.9高温灼烫</w:t>
      </w:r>
      <w:r>
        <w:tab/>
      </w:r>
      <w:r>
        <w:fldChar w:fldCharType="begin"/>
      </w:r>
      <w:r>
        <w:instrText xml:space="preserve"> PAGEREF _Toc22667 </w:instrText>
      </w:r>
      <w:r>
        <w:fldChar w:fldCharType="separate"/>
      </w:r>
      <w:r>
        <w:t>26</w:t>
      </w:r>
      <w:r>
        <w:fldChar w:fldCharType="end"/>
      </w:r>
      <w:r>
        <w:rPr>
          <w:rFonts w:hint="eastAsia" w:asciiTheme="minorEastAsia" w:hAnsiTheme="minorEastAsia" w:eastAsiaTheme="minorEastAsia" w:cstheme="minorEastAsia"/>
          <w:color w:val="auto"/>
          <w:szCs w:val="21"/>
        </w:rPr>
        <w:fldChar w:fldCharType="end"/>
      </w:r>
    </w:p>
    <w:p>
      <w:pPr>
        <w:pStyle w:val="11"/>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_Toc6288 </w:instrText>
      </w:r>
      <w:r>
        <w:rPr>
          <w:rFonts w:hint="eastAsia" w:asciiTheme="minorEastAsia" w:hAnsiTheme="minorEastAsia" w:eastAsiaTheme="minorEastAsia" w:cstheme="minorEastAsia"/>
          <w:szCs w:val="21"/>
        </w:rPr>
        <w:fldChar w:fldCharType="separate"/>
      </w:r>
      <w:r>
        <w:rPr>
          <w:rFonts w:hint="eastAsia" w:ascii="宋体" w:hAnsi="宋体"/>
          <w:snapToGrid w:val="0"/>
          <w:kern w:val="0"/>
          <w:szCs w:val="28"/>
          <w:lang w:val="en-US" w:eastAsia="zh-CN"/>
        </w:rPr>
        <w:t>3.5.10容器爆炸</w:t>
      </w:r>
      <w:r>
        <w:tab/>
      </w:r>
      <w:r>
        <w:fldChar w:fldCharType="begin"/>
      </w:r>
      <w:r>
        <w:instrText xml:space="preserve"> PAGEREF _Toc6288 </w:instrText>
      </w:r>
      <w:r>
        <w:fldChar w:fldCharType="separate"/>
      </w:r>
      <w:r>
        <w:t>26</w:t>
      </w:r>
      <w:r>
        <w:fldChar w:fldCharType="end"/>
      </w:r>
      <w:r>
        <w:rPr>
          <w:rFonts w:hint="eastAsia" w:asciiTheme="minorEastAsia" w:hAnsiTheme="minorEastAsia" w:eastAsiaTheme="minorEastAsia" w:cstheme="minorEastAsia"/>
          <w:color w:val="auto"/>
          <w:szCs w:val="21"/>
        </w:rPr>
        <w:fldChar w:fldCharType="end"/>
      </w:r>
    </w:p>
    <w:p>
      <w:pPr>
        <w:pStyle w:val="11"/>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_Toc24611 </w:instrText>
      </w:r>
      <w:r>
        <w:rPr>
          <w:rFonts w:hint="eastAsia" w:asciiTheme="minorEastAsia" w:hAnsiTheme="minorEastAsia" w:eastAsiaTheme="minorEastAsia" w:cstheme="minorEastAsia"/>
          <w:szCs w:val="21"/>
        </w:rPr>
        <w:fldChar w:fldCharType="separate"/>
      </w:r>
      <w:r>
        <w:rPr>
          <w:rFonts w:hint="eastAsia" w:ascii="宋体" w:hAnsi="宋体"/>
          <w:snapToGrid w:val="0"/>
          <w:kern w:val="0"/>
          <w:szCs w:val="28"/>
          <w:lang w:val="en-US" w:eastAsia="zh-CN"/>
        </w:rPr>
        <w:t>3.5.11有限空间作业</w:t>
      </w:r>
      <w:r>
        <w:tab/>
      </w:r>
      <w:r>
        <w:fldChar w:fldCharType="begin"/>
      </w:r>
      <w:r>
        <w:instrText xml:space="preserve"> PAGEREF _Toc24611 </w:instrText>
      </w:r>
      <w:r>
        <w:fldChar w:fldCharType="separate"/>
      </w:r>
      <w:r>
        <w:t>27</w:t>
      </w:r>
      <w:r>
        <w:fldChar w:fldCharType="end"/>
      </w:r>
      <w:r>
        <w:rPr>
          <w:rFonts w:hint="eastAsia" w:asciiTheme="minorEastAsia" w:hAnsiTheme="minorEastAsia" w:eastAsiaTheme="minorEastAsia" w:cstheme="minorEastAsia"/>
          <w:color w:val="auto"/>
          <w:szCs w:val="21"/>
        </w:rPr>
        <w:fldChar w:fldCharType="end"/>
      </w:r>
    </w:p>
    <w:p>
      <w:pPr>
        <w:pStyle w:val="11"/>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_Toc5941 </w:instrText>
      </w:r>
      <w:r>
        <w:rPr>
          <w:rFonts w:hint="eastAsia" w:asciiTheme="minorEastAsia" w:hAnsiTheme="minorEastAsia" w:eastAsiaTheme="minorEastAsia" w:cstheme="minorEastAsia"/>
          <w:szCs w:val="21"/>
        </w:rPr>
        <w:fldChar w:fldCharType="separate"/>
      </w:r>
      <w:r>
        <w:rPr>
          <w:rFonts w:hint="eastAsia" w:ascii="宋体" w:hAnsi="宋体"/>
          <w:snapToGrid w:val="0"/>
          <w:kern w:val="0"/>
          <w:szCs w:val="28"/>
          <w:lang w:val="en-US" w:eastAsia="zh-CN"/>
        </w:rPr>
        <w:t>3</w:t>
      </w:r>
      <w:r>
        <w:rPr>
          <w:rFonts w:hint="eastAsia" w:ascii="宋体" w:hAnsi="宋体"/>
          <w:snapToGrid w:val="0"/>
          <w:kern w:val="0"/>
          <w:szCs w:val="28"/>
          <w:lang w:eastAsia="zh-CN"/>
        </w:rPr>
        <w:t>.</w:t>
      </w:r>
      <w:r>
        <w:rPr>
          <w:rFonts w:hint="eastAsia" w:ascii="宋体" w:hAnsi="宋体"/>
          <w:snapToGrid w:val="0"/>
          <w:kern w:val="0"/>
          <w:szCs w:val="28"/>
        </w:rPr>
        <w:t>5</w:t>
      </w:r>
      <w:r>
        <w:rPr>
          <w:rFonts w:ascii="宋体" w:hAnsi="宋体"/>
          <w:snapToGrid w:val="0"/>
          <w:kern w:val="0"/>
          <w:szCs w:val="28"/>
        </w:rPr>
        <w:t>.</w:t>
      </w:r>
      <w:r>
        <w:rPr>
          <w:rFonts w:hint="eastAsia" w:ascii="宋体" w:hAnsi="宋体"/>
          <w:snapToGrid w:val="0"/>
          <w:kern w:val="0"/>
          <w:szCs w:val="28"/>
          <w:lang w:val="en-US" w:eastAsia="zh-CN"/>
        </w:rPr>
        <w:t>12</w:t>
      </w:r>
      <w:r>
        <w:rPr>
          <w:rFonts w:ascii="宋体" w:hAnsi="宋体"/>
          <w:snapToGrid w:val="0"/>
          <w:kern w:val="0"/>
          <w:szCs w:val="28"/>
        </w:rPr>
        <w:t xml:space="preserve"> </w:t>
      </w:r>
      <w:r>
        <w:rPr>
          <w:rFonts w:hint="eastAsia" w:ascii="宋体" w:hAnsi="宋体"/>
          <w:snapToGrid w:val="0"/>
          <w:kern w:val="0"/>
          <w:szCs w:val="28"/>
        </w:rPr>
        <w:t>职业</w:t>
      </w:r>
      <w:r>
        <w:rPr>
          <w:rFonts w:ascii="宋体" w:hAnsi="宋体"/>
          <w:snapToGrid w:val="0"/>
          <w:kern w:val="0"/>
          <w:szCs w:val="28"/>
        </w:rPr>
        <w:t>危害</w:t>
      </w:r>
      <w:r>
        <w:rPr>
          <w:rFonts w:hint="eastAsia" w:ascii="宋体" w:hAnsi="宋体"/>
          <w:snapToGrid w:val="0"/>
          <w:kern w:val="0"/>
          <w:szCs w:val="28"/>
        </w:rPr>
        <w:t>因素</w:t>
      </w:r>
      <w:r>
        <w:tab/>
      </w:r>
      <w:r>
        <w:fldChar w:fldCharType="begin"/>
      </w:r>
      <w:r>
        <w:instrText xml:space="preserve"> PAGEREF _Toc5941 </w:instrText>
      </w:r>
      <w:r>
        <w:fldChar w:fldCharType="separate"/>
      </w:r>
      <w:r>
        <w:t>28</w:t>
      </w:r>
      <w:r>
        <w:fldChar w:fldCharType="end"/>
      </w:r>
      <w:r>
        <w:rPr>
          <w:rFonts w:hint="eastAsia" w:asciiTheme="minorEastAsia" w:hAnsiTheme="minorEastAsia" w:eastAsiaTheme="minorEastAsia" w:cstheme="minorEastAsia"/>
          <w:color w:val="auto"/>
          <w:szCs w:val="21"/>
        </w:rPr>
        <w:fldChar w:fldCharType="end"/>
      </w:r>
    </w:p>
    <w:p>
      <w:pPr>
        <w:pStyle w:val="11"/>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_Toc6795 </w:instrText>
      </w:r>
      <w:r>
        <w:rPr>
          <w:rFonts w:hint="eastAsia" w:asciiTheme="minorEastAsia" w:hAnsiTheme="minorEastAsia" w:eastAsiaTheme="minorEastAsia" w:cstheme="minorEastAsia"/>
          <w:szCs w:val="21"/>
        </w:rPr>
        <w:fldChar w:fldCharType="separate"/>
      </w:r>
      <w:r>
        <w:rPr>
          <w:rFonts w:hint="eastAsia" w:ascii="宋体" w:hAnsi="宋体"/>
          <w:snapToGrid w:val="0"/>
          <w:kern w:val="0"/>
          <w:szCs w:val="28"/>
          <w:lang w:val="en-US" w:eastAsia="zh-CN"/>
        </w:rPr>
        <w:t>3.5.13 自然灾害</w:t>
      </w:r>
      <w:r>
        <w:tab/>
      </w:r>
      <w:r>
        <w:fldChar w:fldCharType="begin"/>
      </w:r>
      <w:r>
        <w:instrText xml:space="preserve"> PAGEREF _Toc6795 </w:instrText>
      </w:r>
      <w:r>
        <w:fldChar w:fldCharType="separate"/>
      </w:r>
      <w:r>
        <w:t>29</w:t>
      </w:r>
      <w:r>
        <w:fldChar w:fldCharType="end"/>
      </w:r>
      <w:r>
        <w:rPr>
          <w:rFonts w:hint="eastAsia" w:asciiTheme="minorEastAsia" w:hAnsiTheme="minorEastAsia" w:eastAsiaTheme="minorEastAsia" w:cstheme="minorEastAsia"/>
          <w:color w:val="auto"/>
          <w:szCs w:val="21"/>
        </w:rPr>
        <w:fldChar w:fldCharType="end"/>
      </w:r>
    </w:p>
    <w:p>
      <w:pPr>
        <w:pStyle w:val="17"/>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_Toc24851 </w:instrText>
      </w:r>
      <w:r>
        <w:rPr>
          <w:rFonts w:hint="eastAsia" w:asciiTheme="minorEastAsia" w:hAnsiTheme="minorEastAsia" w:eastAsiaTheme="minorEastAsia" w:cstheme="minorEastAsia"/>
          <w:szCs w:val="21"/>
        </w:rPr>
        <w:fldChar w:fldCharType="separate"/>
      </w:r>
      <w:r>
        <w:rPr>
          <w:rFonts w:hint="eastAsia" w:ascii="黑体" w:hAnsi="宋体" w:eastAsia="黑体"/>
          <w:snapToGrid w:val="0"/>
          <w:kern w:val="0"/>
          <w:szCs w:val="32"/>
          <w:lang w:val="en-US" w:eastAsia="zh-CN"/>
        </w:rPr>
        <w:t>3</w:t>
      </w:r>
      <w:r>
        <w:rPr>
          <w:rFonts w:hint="eastAsia" w:ascii="黑体" w:hAnsi="宋体" w:eastAsia="黑体"/>
          <w:snapToGrid w:val="0"/>
          <w:kern w:val="0"/>
          <w:szCs w:val="32"/>
          <w:lang w:eastAsia="zh-CN"/>
        </w:rPr>
        <w:t>.</w:t>
      </w:r>
      <w:r>
        <w:rPr>
          <w:rFonts w:hint="eastAsia" w:ascii="黑体" w:hAnsi="宋体" w:eastAsia="黑体"/>
          <w:snapToGrid w:val="0"/>
          <w:kern w:val="0"/>
          <w:szCs w:val="32"/>
        </w:rPr>
        <w:t>6 厂址安全条件的危险、有害因素辨识与分析</w:t>
      </w:r>
      <w:r>
        <w:tab/>
      </w:r>
      <w:r>
        <w:fldChar w:fldCharType="begin"/>
      </w:r>
      <w:r>
        <w:instrText xml:space="preserve"> PAGEREF _Toc24851 </w:instrText>
      </w:r>
      <w:r>
        <w:fldChar w:fldCharType="separate"/>
      </w:r>
      <w:r>
        <w:t>30</w:t>
      </w:r>
      <w:r>
        <w:fldChar w:fldCharType="end"/>
      </w:r>
      <w:r>
        <w:rPr>
          <w:rFonts w:hint="eastAsia" w:asciiTheme="minorEastAsia" w:hAnsiTheme="minorEastAsia" w:eastAsiaTheme="minorEastAsia" w:cstheme="minorEastAsia"/>
          <w:color w:val="auto"/>
          <w:szCs w:val="21"/>
        </w:rPr>
        <w:fldChar w:fldCharType="end"/>
      </w:r>
    </w:p>
    <w:p>
      <w:pPr>
        <w:pStyle w:val="11"/>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_Toc32079 </w:instrText>
      </w:r>
      <w:r>
        <w:rPr>
          <w:rFonts w:hint="eastAsia" w:asciiTheme="minorEastAsia" w:hAnsiTheme="minorEastAsia" w:eastAsiaTheme="minorEastAsia" w:cstheme="minorEastAsia"/>
          <w:szCs w:val="21"/>
        </w:rPr>
        <w:fldChar w:fldCharType="separate"/>
      </w:r>
      <w:r>
        <w:rPr>
          <w:rFonts w:hint="eastAsia" w:ascii="宋体" w:hAnsi="宋体"/>
          <w:snapToGrid w:val="0"/>
          <w:kern w:val="0"/>
          <w:szCs w:val="28"/>
          <w:lang w:val="en-US" w:eastAsia="zh-CN"/>
        </w:rPr>
        <w:t>3</w:t>
      </w:r>
      <w:r>
        <w:rPr>
          <w:rFonts w:hint="eastAsia" w:ascii="宋体" w:hAnsi="宋体"/>
          <w:snapToGrid w:val="0"/>
          <w:kern w:val="0"/>
          <w:szCs w:val="28"/>
          <w:lang w:eastAsia="zh-CN"/>
        </w:rPr>
        <w:t>.</w:t>
      </w:r>
      <w:r>
        <w:rPr>
          <w:rFonts w:hint="eastAsia" w:ascii="宋体" w:hAnsi="宋体"/>
          <w:snapToGrid w:val="0"/>
          <w:kern w:val="0"/>
          <w:szCs w:val="28"/>
        </w:rPr>
        <w:t xml:space="preserve">6.1 </w:t>
      </w:r>
      <w:r>
        <w:rPr>
          <w:rFonts w:hint="eastAsia" w:ascii="宋体" w:hAnsi="宋体"/>
          <w:snapToGrid w:val="0"/>
          <w:kern w:val="0"/>
          <w:szCs w:val="28"/>
          <w:lang w:eastAsia="zh-CN"/>
        </w:rPr>
        <w:t>公司</w:t>
      </w:r>
      <w:r>
        <w:rPr>
          <w:rFonts w:hint="eastAsia" w:ascii="宋体" w:hAnsi="宋体"/>
          <w:snapToGrid w:val="0"/>
          <w:kern w:val="0"/>
          <w:szCs w:val="28"/>
        </w:rPr>
        <w:t>对周边环境的影响分析</w:t>
      </w:r>
      <w:r>
        <w:tab/>
      </w:r>
      <w:r>
        <w:fldChar w:fldCharType="begin"/>
      </w:r>
      <w:r>
        <w:instrText xml:space="preserve"> PAGEREF _Toc32079 </w:instrText>
      </w:r>
      <w:r>
        <w:fldChar w:fldCharType="separate"/>
      </w:r>
      <w:r>
        <w:t>31</w:t>
      </w:r>
      <w:r>
        <w:fldChar w:fldCharType="end"/>
      </w:r>
      <w:r>
        <w:rPr>
          <w:rFonts w:hint="eastAsia" w:asciiTheme="minorEastAsia" w:hAnsiTheme="minorEastAsia" w:eastAsiaTheme="minorEastAsia" w:cstheme="minorEastAsia"/>
          <w:color w:val="auto"/>
          <w:szCs w:val="21"/>
        </w:rPr>
        <w:fldChar w:fldCharType="end"/>
      </w:r>
    </w:p>
    <w:p>
      <w:pPr>
        <w:pStyle w:val="11"/>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_Toc29905 </w:instrText>
      </w:r>
      <w:r>
        <w:rPr>
          <w:rFonts w:hint="eastAsia" w:asciiTheme="minorEastAsia" w:hAnsiTheme="minorEastAsia" w:eastAsiaTheme="minorEastAsia" w:cstheme="minorEastAsia"/>
          <w:szCs w:val="21"/>
        </w:rPr>
        <w:fldChar w:fldCharType="separate"/>
      </w:r>
      <w:r>
        <w:rPr>
          <w:rFonts w:hint="eastAsia" w:ascii="宋体" w:hAnsi="宋体"/>
          <w:snapToGrid w:val="0"/>
          <w:kern w:val="0"/>
          <w:szCs w:val="28"/>
          <w:lang w:val="en-US" w:eastAsia="zh-CN"/>
        </w:rPr>
        <w:t>3</w:t>
      </w:r>
      <w:r>
        <w:rPr>
          <w:rFonts w:hint="eastAsia" w:ascii="宋体" w:hAnsi="宋体"/>
          <w:snapToGrid w:val="0"/>
          <w:kern w:val="0"/>
          <w:szCs w:val="28"/>
          <w:lang w:eastAsia="zh-CN"/>
        </w:rPr>
        <w:t>.</w:t>
      </w:r>
      <w:r>
        <w:rPr>
          <w:rFonts w:hint="eastAsia" w:ascii="宋体" w:hAnsi="宋体"/>
          <w:snapToGrid w:val="0"/>
          <w:kern w:val="0"/>
          <w:szCs w:val="28"/>
        </w:rPr>
        <w:t>6.2 周边环境对</w:t>
      </w:r>
      <w:r>
        <w:rPr>
          <w:rFonts w:hint="eastAsia" w:ascii="宋体" w:hAnsi="宋体"/>
          <w:snapToGrid w:val="0"/>
          <w:kern w:val="0"/>
          <w:szCs w:val="28"/>
          <w:lang w:eastAsia="zh-CN"/>
        </w:rPr>
        <w:t>公司</w:t>
      </w:r>
      <w:r>
        <w:rPr>
          <w:rFonts w:hint="eastAsia" w:ascii="宋体" w:hAnsi="宋体"/>
          <w:snapToGrid w:val="0"/>
          <w:kern w:val="0"/>
          <w:szCs w:val="28"/>
        </w:rPr>
        <w:t>的影响分析</w:t>
      </w:r>
      <w:r>
        <w:tab/>
      </w:r>
      <w:r>
        <w:fldChar w:fldCharType="begin"/>
      </w:r>
      <w:r>
        <w:instrText xml:space="preserve"> PAGEREF _Toc29905 </w:instrText>
      </w:r>
      <w:r>
        <w:fldChar w:fldCharType="separate"/>
      </w:r>
      <w:r>
        <w:t>31</w:t>
      </w:r>
      <w:r>
        <w:fldChar w:fldCharType="end"/>
      </w:r>
      <w:r>
        <w:rPr>
          <w:rFonts w:hint="eastAsia" w:asciiTheme="minorEastAsia" w:hAnsiTheme="minorEastAsia" w:eastAsiaTheme="minorEastAsia" w:cstheme="minorEastAsia"/>
          <w:color w:val="auto"/>
          <w:szCs w:val="21"/>
        </w:rPr>
        <w:fldChar w:fldCharType="end"/>
      </w:r>
    </w:p>
    <w:p>
      <w:pPr>
        <w:pStyle w:val="17"/>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_Toc5784 </w:instrText>
      </w:r>
      <w:r>
        <w:rPr>
          <w:rFonts w:hint="eastAsia" w:asciiTheme="minorEastAsia" w:hAnsiTheme="minorEastAsia" w:eastAsiaTheme="minorEastAsia" w:cstheme="minorEastAsia"/>
          <w:szCs w:val="21"/>
        </w:rPr>
        <w:fldChar w:fldCharType="separate"/>
      </w:r>
      <w:r>
        <w:rPr>
          <w:rFonts w:hint="eastAsia" w:ascii="黑体" w:eastAsia="黑体"/>
          <w:snapToGrid w:val="0"/>
          <w:kern w:val="0"/>
          <w:szCs w:val="32"/>
          <w:lang w:val="en-US" w:eastAsia="zh-CN"/>
        </w:rPr>
        <w:t>3</w:t>
      </w:r>
      <w:r>
        <w:rPr>
          <w:rFonts w:hint="eastAsia" w:ascii="黑体" w:eastAsia="黑体"/>
          <w:snapToGrid w:val="0"/>
          <w:kern w:val="0"/>
          <w:szCs w:val="32"/>
          <w:lang w:eastAsia="zh-CN"/>
        </w:rPr>
        <w:t>.</w:t>
      </w:r>
      <w:r>
        <w:rPr>
          <w:rFonts w:hint="eastAsia" w:ascii="黑体" w:eastAsia="黑体"/>
          <w:snapToGrid w:val="0"/>
          <w:kern w:val="0"/>
          <w:szCs w:val="32"/>
          <w:lang w:val="en-US" w:eastAsia="zh-CN"/>
        </w:rPr>
        <w:t>7</w:t>
      </w:r>
      <w:r>
        <w:rPr>
          <w:rFonts w:hint="eastAsia" w:ascii="黑体" w:eastAsia="黑体"/>
          <w:snapToGrid w:val="0"/>
          <w:kern w:val="0"/>
          <w:szCs w:val="32"/>
        </w:rPr>
        <w:t xml:space="preserve"> 重大危险源辨识</w:t>
      </w:r>
      <w:r>
        <w:tab/>
      </w:r>
      <w:r>
        <w:fldChar w:fldCharType="begin"/>
      </w:r>
      <w:r>
        <w:instrText xml:space="preserve"> PAGEREF _Toc5784 </w:instrText>
      </w:r>
      <w:r>
        <w:fldChar w:fldCharType="separate"/>
      </w:r>
      <w:r>
        <w:t>32</w:t>
      </w:r>
      <w:r>
        <w:fldChar w:fldCharType="end"/>
      </w:r>
      <w:r>
        <w:rPr>
          <w:rFonts w:hint="eastAsia" w:asciiTheme="minorEastAsia" w:hAnsiTheme="minorEastAsia" w:eastAsiaTheme="minorEastAsia" w:cstheme="minorEastAsia"/>
          <w:color w:val="auto"/>
          <w:szCs w:val="21"/>
        </w:rPr>
        <w:fldChar w:fldCharType="end"/>
      </w:r>
    </w:p>
    <w:p>
      <w:pPr>
        <w:pStyle w:val="11"/>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_Toc4492 </w:instrText>
      </w:r>
      <w:r>
        <w:rPr>
          <w:rFonts w:hint="eastAsia" w:asciiTheme="minorEastAsia" w:hAnsiTheme="minorEastAsia" w:eastAsiaTheme="minorEastAsia" w:cstheme="minorEastAsia"/>
          <w:szCs w:val="21"/>
        </w:rPr>
        <w:fldChar w:fldCharType="separate"/>
      </w:r>
      <w:r>
        <w:rPr>
          <w:rFonts w:hint="eastAsia" w:ascii="宋体" w:hAnsi="宋体"/>
          <w:snapToGrid w:val="0"/>
          <w:kern w:val="0"/>
          <w:szCs w:val="28"/>
          <w:lang w:val="en-US" w:eastAsia="zh-CN"/>
        </w:rPr>
        <w:t>3</w:t>
      </w:r>
      <w:r>
        <w:rPr>
          <w:rFonts w:hint="eastAsia" w:ascii="宋体" w:hAnsi="宋体"/>
          <w:snapToGrid w:val="0"/>
          <w:kern w:val="0"/>
          <w:szCs w:val="28"/>
          <w:lang w:eastAsia="zh-CN"/>
        </w:rPr>
        <w:t>.</w:t>
      </w:r>
      <w:r>
        <w:rPr>
          <w:rFonts w:hint="eastAsia" w:ascii="宋体" w:hAnsi="宋体"/>
          <w:snapToGrid w:val="0"/>
          <w:kern w:val="0"/>
          <w:szCs w:val="28"/>
          <w:lang w:val="en-US" w:eastAsia="zh-CN"/>
        </w:rPr>
        <w:t>7</w:t>
      </w:r>
      <w:r>
        <w:rPr>
          <w:rFonts w:hint="eastAsia" w:ascii="宋体" w:hAnsi="宋体"/>
          <w:snapToGrid w:val="0"/>
          <w:kern w:val="0"/>
          <w:szCs w:val="28"/>
        </w:rPr>
        <w:t>.1 辨识依据</w:t>
      </w:r>
      <w:r>
        <w:tab/>
      </w:r>
      <w:r>
        <w:fldChar w:fldCharType="begin"/>
      </w:r>
      <w:r>
        <w:instrText xml:space="preserve"> PAGEREF _Toc4492 </w:instrText>
      </w:r>
      <w:r>
        <w:fldChar w:fldCharType="separate"/>
      </w:r>
      <w:r>
        <w:t>32</w:t>
      </w:r>
      <w:r>
        <w:fldChar w:fldCharType="end"/>
      </w:r>
      <w:r>
        <w:rPr>
          <w:rFonts w:hint="eastAsia" w:asciiTheme="minorEastAsia" w:hAnsiTheme="minorEastAsia" w:eastAsiaTheme="minorEastAsia" w:cstheme="minorEastAsia"/>
          <w:color w:val="auto"/>
          <w:szCs w:val="21"/>
        </w:rPr>
        <w:fldChar w:fldCharType="end"/>
      </w:r>
    </w:p>
    <w:p>
      <w:pPr>
        <w:pStyle w:val="11"/>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_Toc21569 </w:instrText>
      </w:r>
      <w:r>
        <w:rPr>
          <w:rFonts w:hint="eastAsia" w:asciiTheme="minorEastAsia" w:hAnsiTheme="minorEastAsia" w:eastAsiaTheme="minorEastAsia" w:cstheme="minorEastAsia"/>
          <w:szCs w:val="21"/>
        </w:rPr>
        <w:fldChar w:fldCharType="separate"/>
      </w:r>
      <w:r>
        <w:rPr>
          <w:rFonts w:hint="eastAsia" w:ascii="宋体" w:hAnsi="宋体"/>
          <w:snapToGrid w:val="0"/>
          <w:kern w:val="0"/>
          <w:szCs w:val="28"/>
          <w:lang w:val="en-US" w:eastAsia="zh-CN"/>
        </w:rPr>
        <w:t>3</w:t>
      </w:r>
      <w:r>
        <w:rPr>
          <w:rFonts w:hint="eastAsia" w:ascii="宋体" w:hAnsi="宋体"/>
          <w:snapToGrid w:val="0"/>
          <w:kern w:val="0"/>
          <w:szCs w:val="28"/>
          <w:lang w:eastAsia="zh-CN"/>
        </w:rPr>
        <w:t>.</w:t>
      </w:r>
      <w:r>
        <w:rPr>
          <w:rFonts w:hint="eastAsia" w:ascii="宋体" w:hAnsi="宋体"/>
          <w:snapToGrid w:val="0"/>
          <w:kern w:val="0"/>
          <w:szCs w:val="28"/>
          <w:lang w:val="en-US" w:eastAsia="zh-CN"/>
        </w:rPr>
        <w:t>7</w:t>
      </w:r>
      <w:r>
        <w:rPr>
          <w:rFonts w:hint="eastAsia" w:ascii="宋体" w:hAnsi="宋体"/>
          <w:snapToGrid w:val="0"/>
          <w:kern w:val="0"/>
          <w:szCs w:val="28"/>
        </w:rPr>
        <w:t>.2 辨识结果</w:t>
      </w:r>
      <w:r>
        <w:tab/>
      </w:r>
      <w:r>
        <w:fldChar w:fldCharType="begin"/>
      </w:r>
      <w:r>
        <w:instrText xml:space="preserve"> PAGEREF _Toc21569 </w:instrText>
      </w:r>
      <w:r>
        <w:fldChar w:fldCharType="separate"/>
      </w:r>
      <w:r>
        <w:t>32</w:t>
      </w:r>
      <w:r>
        <w:fldChar w:fldCharType="end"/>
      </w:r>
      <w:r>
        <w:rPr>
          <w:rFonts w:hint="eastAsia" w:asciiTheme="minorEastAsia" w:hAnsiTheme="minorEastAsia" w:eastAsiaTheme="minorEastAsia" w:cstheme="minorEastAsia"/>
          <w:color w:val="auto"/>
          <w:szCs w:val="21"/>
        </w:rPr>
        <w:fldChar w:fldCharType="end"/>
      </w:r>
    </w:p>
    <w:p>
      <w:pPr>
        <w:pStyle w:val="17"/>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_Toc13344 </w:instrText>
      </w:r>
      <w:r>
        <w:rPr>
          <w:rFonts w:hint="eastAsia" w:asciiTheme="minorEastAsia" w:hAnsiTheme="minorEastAsia" w:eastAsiaTheme="minorEastAsia" w:cstheme="minorEastAsia"/>
          <w:szCs w:val="21"/>
        </w:rPr>
        <w:fldChar w:fldCharType="separate"/>
      </w:r>
      <w:r>
        <w:rPr>
          <w:rFonts w:hint="eastAsia" w:ascii="黑体" w:eastAsia="黑体"/>
          <w:snapToGrid w:val="0"/>
          <w:kern w:val="0"/>
          <w:szCs w:val="32"/>
          <w:lang w:val="en-US" w:eastAsia="zh-CN"/>
        </w:rPr>
        <w:t>3.8小结</w:t>
      </w:r>
      <w:r>
        <w:tab/>
      </w:r>
      <w:r>
        <w:fldChar w:fldCharType="begin"/>
      </w:r>
      <w:r>
        <w:instrText xml:space="preserve"> PAGEREF _Toc13344 </w:instrText>
      </w:r>
      <w:r>
        <w:fldChar w:fldCharType="separate"/>
      </w:r>
      <w:r>
        <w:t>32</w:t>
      </w:r>
      <w:r>
        <w:fldChar w:fldCharType="end"/>
      </w:r>
      <w:r>
        <w:rPr>
          <w:rFonts w:hint="eastAsia" w:asciiTheme="minorEastAsia" w:hAnsiTheme="minorEastAsia" w:eastAsiaTheme="minorEastAsia" w:cstheme="minorEastAsia"/>
          <w:color w:val="auto"/>
          <w:szCs w:val="21"/>
        </w:rPr>
        <w:fldChar w:fldCharType="end"/>
      </w:r>
    </w:p>
    <w:p>
      <w:pPr>
        <w:pStyle w:val="15"/>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_Toc5245 </w:instrText>
      </w:r>
      <w:r>
        <w:rPr>
          <w:rFonts w:hint="eastAsia" w:asciiTheme="minorEastAsia" w:hAnsiTheme="minorEastAsia" w:eastAsiaTheme="minorEastAsia" w:cstheme="minorEastAsia"/>
          <w:szCs w:val="21"/>
        </w:rPr>
        <w:fldChar w:fldCharType="separate"/>
      </w:r>
      <w:r>
        <w:rPr>
          <w:rFonts w:hint="eastAsia" w:ascii="黑体" w:hAnsi="宋体" w:eastAsia="黑体"/>
          <w:szCs w:val="32"/>
          <w:lang w:val="en-US" w:eastAsia="zh-CN"/>
        </w:rPr>
        <w:t>4</w:t>
      </w:r>
      <w:r>
        <w:rPr>
          <w:rFonts w:hint="eastAsia" w:ascii="黑体" w:hAnsi="宋体" w:eastAsia="黑体"/>
          <w:szCs w:val="32"/>
        </w:rPr>
        <w:t>评估结论与建议</w:t>
      </w:r>
      <w:r>
        <w:tab/>
      </w:r>
      <w:r>
        <w:fldChar w:fldCharType="begin"/>
      </w:r>
      <w:r>
        <w:instrText xml:space="preserve"> PAGEREF _Toc5245 </w:instrText>
      </w:r>
      <w:r>
        <w:fldChar w:fldCharType="separate"/>
      </w:r>
      <w:r>
        <w:t>34</w:t>
      </w:r>
      <w:r>
        <w:fldChar w:fldCharType="end"/>
      </w:r>
      <w:r>
        <w:rPr>
          <w:rFonts w:hint="eastAsia" w:asciiTheme="minorEastAsia" w:hAnsiTheme="minorEastAsia" w:eastAsiaTheme="minorEastAsia" w:cstheme="minorEastAsia"/>
          <w:color w:val="auto"/>
          <w:szCs w:val="21"/>
        </w:rPr>
        <w:fldChar w:fldCharType="end"/>
      </w:r>
    </w:p>
    <w:p>
      <w:pPr>
        <w:pStyle w:val="17"/>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_Toc19371 </w:instrText>
      </w:r>
      <w:r>
        <w:rPr>
          <w:rFonts w:hint="eastAsia" w:asciiTheme="minorEastAsia" w:hAnsiTheme="minorEastAsia" w:eastAsiaTheme="minorEastAsia" w:cstheme="minorEastAsia"/>
          <w:szCs w:val="21"/>
        </w:rPr>
        <w:fldChar w:fldCharType="separate"/>
      </w:r>
      <w:r>
        <w:rPr>
          <w:rFonts w:hint="eastAsia" w:ascii="黑体" w:hAnsi="黑体"/>
          <w:szCs w:val="28"/>
          <w:lang w:val="en-US" w:eastAsia="zh-CN"/>
        </w:rPr>
        <w:t>4.1总体评价结论</w:t>
      </w:r>
      <w:r>
        <w:tab/>
      </w:r>
      <w:r>
        <w:fldChar w:fldCharType="begin"/>
      </w:r>
      <w:r>
        <w:instrText xml:space="preserve"> PAGEREF _Toc19371 </w:instrText>
      </w:r>
      <w:r>
        <w:fldChar w:fldCharType="separate"/>
      </w:r>
      <w:r>
        <w:t>34</w:t>
      </w:r>
      <w:r>
        <w:fldChar w:fldCharType="end"/>
      </w:r>
      <w:r>
        <w:rPr>
          <w:rFonts w:hint="eastAsia" w:asciiTheme="minorEastAsia" w:hAnsiTheme="minorEastAsia" w:eastAsiaTheme="minorEastAsia" w:cstheme="minorEastAsia"/>
          <w:color w:val="auto"/>
          <w:szCs w:val="21"/>
        </w:rPr>
        <w:fldChar w:fldCharType="end"/>
      </w:r>
    </w:p>
    <w:p>
      <w:pPr>
        <w:pStyle w:val="17"/>
        <w:tabs>
          <w:tab w:val="right" w:leader="dot" w:pos="8306"/>
        </w:tabs>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szCs w:val="21"/>
        </w:rPr>
        <w:instrText xml:space="preserve"> HYPERLINK \l _Toc21693 </w:instrText>
      </w:r>
      <w:r>
        <w:rPr>
          <w:rFonts w:hint="eastAsia" w:asciiTheme="minorEastAsia" w:hAnsiTheme="minorEastAsia" w:eastAsiaTheme="minorEastAsia" w:cstheme="minorEastAsia"/>
          <w:szCs w:val="21"/>
        </w:rPr>
        <w:fldChar w:fldCharType="separate"/>
      </w:r>
      <w:r>
        <w:rPr>
          <w:rFonts w:hint="eastAsia" w:ascii="黑体" w:hAnsi="黑体"/>
          <w:szCs w:val="28"/>
          <w:lang w:val="en-US" w:eastAsia="zh-CN"/>
        </w:rPr>
        <w:t>4</w:t>
      </w:r>
      <w:r>
        <w:rPr>
          <w:rFonts w:hint="eastAsia" w:ascii="黑体" w:hAnsi="黑体"/>
          <w:szCs w:val="28"/>
        </w:rPr>
        <w:t>.</w:t>
      </w:r>
      <w:r>
        <w:rPr>
          <w:rFonts w:hint="eastAsia" w:ascii="黑体" w:hAnsi="黑体"/>
          <w:szCs w:val="28"/>
          <w:lang w:val="en-US" w:eastAsia="zh-CN"/>
        </w:rPr>
        <w:t>2</w:t>
      </w:r>
      <w:r>
        <w:rPr>
          <w:rFonts w:hint="eastAsia" w:ascii="黑体" w:hAnsi="黑体"/>
          <w:szCs w:val="28"/>
        </w:rPr>
        <w:t>建议</w:t>
      </w:r>
      <w:r>
        <w:tab/>
      </w:r>
      <w:r>
        <w:fldChar w:fldCharType="begin"/>
      </w:r>
      <w:r>
        <w:instrText xml:space="preserve"> PAGEREF _Toc21693 </w:instrText>
      </w:r>
      <w:r>
        <w:fldChar w:fldCharType="separate"/>
      </w:r>
      <w:r>
        <w:t>34</w:t>
      </w:r>
      <w:r>
        <w:fldChar w:fldCharType="end"/>
      </w:r>
      <w:r>
        <w:rPr>
          <w:rFonts w:hint="eastAsia" w:asciiTheme="minorEastAsia" w:hAnsiTheme="minorEastAsia" w:eastAsiaTheme="minorEastAsia" w:cstheme="minorEastAsia"/>
          <w:color w:val="auto"/>
          <w:szCs w:val="21"/>
        </w:rPr>
        <w:fldChar w:fldCharType="end"/>
      </w:r>
    </w:p>
    <w:p>
      <w:pPr>
        <w:widowControl/>
        <w:spacing w:line="360" w:lineRule="auto"/>
        <w:jc w:val="left"/>
        <w:outlineLvl w:val="2"/>
        <w:rPr>
          <w:rFonts w:hint="eastAsia" w:ascii="宋体" w:hAnsi="宋体" w:cs="宋体"/>
          <w:b/>
          <w:bCs/>
          <w:color w:val="auto"/>
          <w:kern w:val="0"/>
          <w:sz w:val="28"/>
          <w:szCs w:val="28"/>
        </w:rPr>
      </w:pPr>
      <w:r>
        <w:rPr>
          <w:rFonts w:hint="eastAsia" w:asciiTheme="minorEastAsia" w:hAnsiTheme="minorEastAsia" w:eastAsiaTheme="minorEastAsia" w:cstheme="minorEastAsia"/>
          <w:color w:val="auto"/>
          <w:szCs w:val="21"/>
        </w:rPr>
        <w:fldChar w:fldCharType="end"/>
      </w:r>
    </w:p>
    <w:p>
      <w:pPr>
        <w:numPr>
          <w:ilvl w:val="0"/>
          <w:numId w:val="0"/>
        </w:numPr>
        <w:spacing w:line="360" w:lineRule="auto"/>
        <w:jc w:val="center"/>
        <w:outlineLvl w:val="0"/>
        <w:rPr>
          <w:rFonts w:hint="eastAsia" w:ascii="黑体" w:hAnsi="宋体" w:eastAsia="黑体"/>
          <w:b/>
          <w:color w:val="auto"/>
          <w:sz w:val="32"/>
          <w:szCs w:val="32"/>
          <w:lang w:val="en-US" w:eastAsia="zh-CN"/>
        </w:rPr>
        <w:sectPr>
          <w:pgSz w:w="11906" w:h="16838"/>
          <w:pgMar w:top="1440" w:right="1800" w:bottom="1440" w:left="1800" w:header="851" w:footer="992" w:gutter="0"/>
          <w:pgNumType w:fmt="decimal" w:start="1"/>
          <w:cols w:space="425" w:num="1"/>
          <w:docGrid w:type="lines" w:linePitch="312" w:charSpace="0"/>
        </w:sectPr>
      </w:pPr>
      <w:bookmarkStart w:id="267" w:name="_GoBack"/>
      <w:bookmarkEnd w:id="267"/>
    </w:p>
    <w:p>
      <w:pPr>
        <w:spacing w:line="360" w:lineRule="auto"/>
        <w:jc w:val="center"/>
        <w:outlineLvl w:val="0"/>
        <w:rPr>
          <w:rFonts w:hint="eastAsia" w:ascii="黑体" w:hAnsi="宋体" w:eastAsia="黑体"/>
          <w:b/>
          <w:sz w:val="32"/>
          <w:szCs w:val="32"/>
        </w:rPr>
      </w:pPr>
      <w:bookmarkStart w:id="17" w:name="_Toc28596"/>
      <w:bookmarkStart w:id="18" w:name="_Toc1621"/>
      <w:bookmarkStart w:id="19" w:name="_Toc97"/>
      <w:r>
        <w:rPr>
          <w:rFonts w:hint="eastAsia" w:ascii="黑体" w:hAnsi="宋体" w:eastAsia="黑体"/>
          <w:b/>
          <w:sz w:val="32"/>
          <w:szCs w:val="32"/>
        </w:rPr>
        <w:t>1概述</w:t>
      </w:r>
      <w:bookmarkEnd w:id="17"/>
      <w:bookmarkEnd w:id="18"/>
      <w:bookmarkEnd w:id="19"/>
    </w:p>
    <w:p>
      <w:pPr>
        <w:pStyle w:val="5"/>
        <w:spacing w:line="360" w:lineRule="auto"/>
        <w:rPr>
          <w:rFonts w:hint="eastAsia" w:ascii="宋体" w:hAnsi="宋体" w:eastAsia="宋体" w:cs="宋体"/>
          <w:sz w:val="28"/>
          <w:szCs w:val="28"/>
        </w:rPr>
      </w:pPr>
      <w:bookmarkStart w:id="20" w:name="_Toc10102"/>
      <w:bookmarkStart w:id="21" w:name="_Toc13902"/>
      <w:bookmarkStart w:id="22" w:name="_Toc13974"/>
      <w:r>
        <w:rPr>
          <w:rFonts w:hint="eastAsia" w:ascii="宋体" w:hAnsi="宋体" w:eastAsia="宋体" w:cs="宋体"/>
          <w:sz w:val="28"/>
          <w:szCs w:val="28"/>
        </w:rPr>
        <w:t>1.1评估的主要依据</w:t>
      </w:r>
      <w:bookmarkEnd w:id="20"/>
      <w:bookmarkEnd w:id="21"/>
      <w:bookmarkEnd w:id="22"/>
    </w:p>
    <w:p>
      <w:pPr>
        <w:spacing w:line="360" w:lineRule="auto"/>
        <w:ind w:firstLine="560" w:firstLineChars="200"/>
        <w:rPr>
          <w:rFonts w:hint="eastAsia" w:ascii="宋体" w:hAnsi="宋体" w:cs="宋体"/>
          <w:color w:val="auto"/>
          <w:sz w:val="28"/>
          <w:szCs w:val="28"/>
          <w:lang w:val="zh-CN" w:eastAsia="zh-CN"/>
        </w:rPr>
      </w:pPr>
      <w:r>
        <w:rPr>
          <w:rFonts w:hint="eastAsia" w:ascii="宋体" w:hAnsi="宋体" w:cs="宋体"/>
          <w:color w:val="auto"/>
          <w:sz w:val="28"/>
          <w:szCs w:val="28"/>
          <w:lang w:val="zh-CN" w:eastAsia="zh-CN"/>
        </w:rPr>
        <w:t>（1）《中华人民共和国安全生产法》（中华人民共和国主席令第13号，自2014年12月1日起施行）</w:t>
      </w:r>
    </w:p>
    <w:p>
      <w:pPr>
        <w:spacing w:line="360" w:lineRule="auto"/>
        <w:ind w:firstLine="560" w:firstLineChars="200"/>
        <w:rPr>
          <w:rFonts w:hint="eastAsia" w:ascii="宋体" w:hAnsi="宋体" w:cs="宋体"/>
          <w:color w:val="auto"/>
          <w:sz w:val="28"/>
          <w:szCs w:val="28"/>
          <w:lang w:val="zh-CN" w:eastAsia="zh-CN"/>
        </w:rPr>
      </w:pPr>
      <w:r>
        <w:rPr>
          <w:rFonts w:hint="eastAsia" w:ascii="宋体" w:hAnsi="宋体" w:cs="宋体"/>
          <w:color w:val="auto"/>
          <w:sz w:val="28"/>
          <w:szCs w:val="28"/>
          <w:lang w:val="zh-CN" w:eastAsia="zh-CN"/>
        </w:rPr>
        <w:t>（2）《中华人民共和国劳动法》（中华人民共和国主席令第28号，自1995年1月1日起施行，2009年8月27日修订）</w:t>
      </w:r>
    </w:p>
    <w:p>
      <w:pPr>
        <w:spacing w:line="360" w:lineRule="auto"/>
        <w:ind w:firstLine="560" w:firstLineChars="200"/>
        <w:rPr>
          <w:rFonts w:hint="eastAsia" w:ascii="宋体" w:hAnsi="宋体" w:cs="宋体"/>
          <w:color w:val="auto"/>
          <w:sz w:val="28"/>
          <w:szCs w:val="28"/>
          <w:lang w:val="zh-CN" w:eastAsia="zh-CN"/>
        </w:rPr>
      </w:pPr>
      <w:r>
        <w:rPr>
          <w:rFonts w:hint="eastAsia" w:ascii="宋体" w:hAnsi="宋体" w:cs="宋体"/>
          <w:color w:val="auto"/>
          <w:sz w:val="28"/>
          <w:szCs w:val="28"/>
          <w:lang w:val="zh-CN" w:eastAsia="zh-CN"/>
        </w:rPr>
        <w:t>（3）《中华人民共和国职业病防治法》(中华人民共和国主席令第24号，2018年12月29日修订)</w:t>
      </w:r>
    </w:p>
    <w:p>
      <w:pPr>
        <w:spacing w:line="360" w:lineRule="auto"/>
        <w:ind w:firstLine="560" w:firstLineChars="200"/>
        <w:rPr>
          <w:rFonts w:hint="eastAsia" w:ascii="宋体" w:hAnsi="宋体" w:cs="宋体"/>
          <w:color w:val="auto"/>
          <w:sz w:val="28"/>
          <w:szCs w:val="28"/>
          <w:lang w:val="zh-CN" w:eastAsia="zh-CN"/>
        </w:rPr>
      </w:pPr>
      <w:r>
        <w:rPr>
          <w:rFonts w:hint="eastAsia" w:ascii="宋体" w:hAnsi="宋体" w:cs="宋体"/>
          <w:color w:val="auto"/>
          <w:sz w:val="28"/>
          <w:szCs w:val="28"/>
          <w:lang w:val="zh-CN" w:eastAsia="zh-CN"/>
        </w:rPr>
        <w:t>（4）《中华人民共和国消防法》（中华人民共和国主席令第6号，自20</w:t>
      </w:r>
      <w:r>
        <w:rPr>
          <w:rFonts w:hint="eastAsia" w:ascii="宋体" w:hAnsi="宋体" w:cs="宋体"/>
          <w:color w:val="auto"/>
          <w:sz w:val="28"/>
          <w:szCs w:val="28"/>
          <w:lang w:val="en-US" w:eastAsia="zh-CN"/>
        </w:rPr>
        <w:t>1</w:t>
      </w:r>
      <w:r>
        <w:rPr>
          <w:rFonts w:hint="eastAsia" w:ascii="宋体" w:hAnsi="宋体" w:cs="宋体"/>
          <w:color w:val="auto"/>
          <w:sz w:val="28"/>
          <w:szCs w:val="28"/>
          <w:lang w:val="zh-CN" w:eastAsia="zh-CN"/>
        </w:rPr>
        <w:t>9年</w:t>
      </w:r>
      <w:r>
        <w:rPr>
          <w:rFonts w:hint="eastAsia" w:ascii="宋体" w:hAnsi="宋体" w:cs="宋体"/>
          <w:color w:val="auto"/>
          <w:sz w:val="28"/>
          <w:szCs w:val="28"/>
          <w:lang w:val="en-US" w:eastAsia="zh-CN"/>
        </w:rPr>
        <w:t>4</w:t>
      </w:r>
      <w:r>
        <w:rPr>
          <w:rFonts w:hint="eastAsia" w:ascii="宋体" w:hAnsi="宋体" w:cs="宋体"/>
          <w:color w:val="auto"/>
          <w:sz w:val="28"/>
          <w:szCs w:val="28"/>
          <w:lang w:val="zh-CN" w:eastAsia="zh-CN"/>
        </w:rPr>
        <w:t>月</w:t>
      </w:r>
      <w:r>
        <w:rPr>
          <w:rFonts w:hint="eastAsia" w:ascii="宋体" w:hAnsi="宋体" w:cs="宋体"/>
          <w:color w:val="auto"/>
          <w:sz w:val="28"/>
          <w:szCs w:val="28"/>
          <w:lang w:val="en-US" w:eastAsia="zh-CN"/>
        </w:rPr>
        <w:t>23</w:t>
      </w:r>
      <w:r>
        <w:rPr>
          <w:rFonts w:hint="eastAsia" w:ascii="宋体" w:hAnsi="宋体" w:cs="宋体"/>
          <w:color w:val="auto"/>
          <w:sz w:val="28"/>
          <w:szCs w:val="28"/>
          <w:lang w:val="zh-CN" w:eastAsia="zh-CN"/>
        </w:rPr>
        <w:t>日起修订）</w:t>
      </w:r>
    </w:p>
    <w:p>
      <w:pPr>
        <w:spacing w:line="360" w:lineRule="auto"/>
        <w:ind w:firstLine="560" w:firstLineChars="200"/>
        <w:rPr>
          <w:rFonts w:hint="eastAsia" w:ascii="宋体" w:hAnsi="宋体" w:cs="宋体"/>
          <w:color w:val="auto"/>
          <w:sz w:val="28"/>
          <w:szCs w:val="28"/>
          <w:lang w:val="zh-CN" w:eastAsia="zh-CN"/>
        </w:rPr>
      </w:pPr>
      <w:r>
        <w:rPr>
          <w:rFonts w:hint="eastAsia" w:ascii="宋体" w:hAnsi="宋体" w:cs="宋体"/>
          <w:color w:val="auto"/>
          <w:sz w:val="28"/>
          <w:szCs w:val="28"/>
          <w:lang w:val="zh-CN" w:eastAsia="zh-CN"/>
        </w:rPr>
        <w:t>（5）《中华人民共和国突发事件应对法》（中华人民共和国主席令第69号，自2007年11月1日起施行）</w:t>
      </w:r>
    </w:p>
    <w:p>
      <w:pPr>
        <w:spacing w:line="360" w:lineRule="auto"/>
        <w:ind w:firstLine="560" w:firstLineChars="200"/>
        <w:rPr>
          <w:rFonts w:hint="eastAsia" w:ascii="宋体" w:hAnsi="宋体" w:cs="宋体"/>
          <w:color w:val="auto"/>
          <w:sz w:val="28"/>
          <w:szCs w:val="28"/>
          <w:lang w:val="zh-CN" w:eastAsia="zh-CN"/>
        </w:rPr>
      </w:pPr>
      <w:r>
        <w:rPr>
          <w:rFonts w:hint="eastAsia" w:ascii="宋体" w:hAnsi="宋体" w:cs="宋体"/>
          <w:color w:val="auto"/>
          <w:sz w:val="28"/>
          <w:szCs w:val="28"/>
          <w:lang w:val="zh-CN" w:eastAsia="zh-CN"/>
        </w:rPr>
        <w:t>（6）《中华人民共和国劳动合同法》（主席令第73号，自2013年7月1日起施行）</w:t>
      </w:r>
    </w:p>
    <w:p>
      <w:pPr>
        <w:spacing w:line="360" w:lineRule="auto"/>
        <w:ind w:firstLine="560" w:firstLineChars="200"/>
        <w:rPr>
          <w:rFonts w:hint="eastAsia" w:ascii="宋体" w:hAnsi="宋体" w:cs="宋体"/>
          <w:color w:val="auto"/>
          <w:sz w:val="28"/>
          <w:szCs w:val="28"/>
          <w:lang w:val="zh-CN" w:eastAsia="zh-CN"/>
        </w:rPr>
      </w:pPr>
      <w:r>
        <w:rPr>
          <w:rFonts w:hint="eastAsia" w:ascii="宋体" w:hAnsi="宋体" w:cs="宋体"/>
          <w:color w:val="auto"/>
          <w:sz w:val="28"/>
          <w:szCs w:val="28"/>
          <w:lang w:val="zh-CN" w:eastAsia="zh-CN"/>
        </w:rPr>
        <w:t>（7）《中华人民共和国环境保护法》（主席令第9号，自2015年1月1日起施行）</w:t>
      </w:r>
    </w:p>
    <w:p>
      <w:pPr>
        <w:spacing w:line="360" w:lineRule="auto"/>
        <w:ind w:firstLine="560" w:firstLineChars="200"/>
        <w:rPr>
          <w:rFonts w:hint="eastAsia" w:ascii="宋体" w:hAnsi="宋体" w:cs="宋体"/>
          <w:color w:val="auto"/>
          <w:sz w:val="28"/>
          <w:szCs w:val="28"/>
          <w:lang w:val="zh-CN" w:eastAsia="zh-CN"/>
        </w:rPr>
      </w:pPr>
      <w:r>
        <w:rPr>
          <w:rFonts w:hint="eastAsia" w:ascii="宋体" w:hAnsi="宋体" w:cs="宋体"/>
          <w:color w:val="auto"/>
          <w:sz w:val="28"/>
          <w:szCs w:val="28"/>
          <w:lang w:val="zh-CN" w:eastAsia="zh-CN"/>
        </w:rPr>
        <w:t>（8）《中华人民共和国特种设备安全法》（主席令第4号，2014年1月1日起实施）；</w:t>
      </w:r>
    </w:p>
    <w:p>
      <w:pPr>
        <w:spacing w:line="360" w:lineRule="auto"/>
        <w:ind w:firstLine="560" w:firstLineChars="200"/>
        <w:rPr>
          <w:rFonts w:hint="eastAsia" w:ascii="宋体" w:hAnsi="宋体" w:cs="宋体"/>
          <w:color w:val="auto"/>
          <w:sz w:val="28"/>
          <w:szCs w:val="28"/>
          <w:lang w:val="zh-CN" w:eastAsia="zh-CN"/>
        </w:rPr>
      </w:pPr>
      <w:r>
        <w:rPr>
          <w:rFonts w:hint="eastAsia" w:ascii="宋体" w:hAnsi="宋体" w:cs="宋体"/>
          <w:color w:val="auto"/>
          <w:sz w:val="28"/>
          <w:szCs w:val="28"/>
          <w:lang w:val="zh-CN" w:eastAsia="zh-CN"/>
        </w:rPr>
        <w:t>（9）《中华人民共和国防震减灾法》（国家主席令第7号，自2009年5月1日起施行）</w:t>
      </w:r>
    </w:p>
    <w:p>
      <w:pPr>
        <w:spacing w:line="360" w:lineRule="auto"/>
        <w:ind w:firstLine="560" w:firstLineChars="200"/>
        <w:rPr>
          <w:rFonts w:hint="eastAsia" w:ascii="宋体" w:hAnsi="宋体" w:cs="宋体"/>
          <w:color w:val="auto"/>
          <w:sz w:val="28"/>
          <w:szCs w:val="28"/>
          <w:lang w:val="zh-CN" w:eastAsia="zh-CN"/>
        </w:rPr>
      </w:pPr>
      <w:r>
        <w:rPr>
          <w:rFonts w:hint="eastAsia" w:ascii="宋体" w:hAnsi="宋体" w:cs="宋体"/>
          <w:color w:val="auto"/>
          <w:sz w:val="28"/>
          <w:szCs w:val="28"/>
          <w:lang w:val="zh-CN" w:eastAsia="zh-CN"/>
        </w:rPr>
        <w:t>（10）《工伤保险条例》（国务院第586号令）</w:t>
      </w:r>
    </w:p>
    <w:p>
      <w:pPr>
        <w:spacing w:line="360" w:lineRule="auto"/>
        <w:ind w:firstLine="560" w:firstLineChars="200"/>
        <w:rPr>
          <w:rFonts w:hint="eastAsia" w:ascii="宋体" w:hAnsi="宋体" w:cs="宋体"/>
          <w:color w:val="auto"/>
          <w:sz w:val="28"/>
          <w:szCs w:val="28"/>
          <w:lang w:val="zh-CN" w:eastAsia="zh-CN"/>
        </w:rPr>
      </w:pPr>
      <w:r>
        <w:rPr>
          <w:rFonts w:hint="eastAsia" w:ascii="宋体" w:hAnsi="宋体" w:cs="宋体"/>
          <w:color w:val="auto"/>
          <w:sz w:val="28"/>
          <w:szCs w:val="28"/>
          <w:lang w:val="zh-CN" w:eastAsia="zh-CN"/>
        </w:rPr>
        <w:t>（11）《机关、团体、企业事业单位消防安全管理规定》（公安部第61号令）</w:t>
      </w:r>
    </w:p>
    <w:p>
      <w:pPr>
        <w:spacing w:line="360" w:lineRule="auto"/>
        <w:ind w:firstLine="560" w:firstLineChars="200"/>
        <w:rPr>
          <w:rFonts w:hint="eastAsia" w:ascii="宋体" w:hAnsi="宋体" w:cs="宋体"/>
          <w:color w:val="auto"/>
          <w:sz w:val="28"/>
          <w:szCs w:val="28"/>
          <w:lang w:val="zh-CN" w:eastAsia="zh-CN"/>
        </w:rPr>
      </w:pPr>
      <w:r>
        <w:rPr>
          <w:rFonts w:hint="eastAsia" w:ascii="宋体" w:hAnsi="宋体" w:cs="宋体"/>
          <w:color w:val="auto"/>
          <w:sz w:val="28"/>
          <w:szCs w:val="28"/>
          <w:lang w:val="zh-CN" w:eastAsia="zh-CN"/>
        </w:rPr>
        <w:t>（12）《有限空间安全作业五条规定》（国家安监总局令[2014]第69号）</w:t>
      </w:r>
    </w:p>
    <w:p>
      <w:pPr>
        <w:spacing w:line="360" w:lineRule="auto"/>
        <w:ind w:firstLine="560" w:firstLineChars="200"/>
        <w:rPr>
          <w:rFonts w:hint="eastAsia" w:ascii="宋体" w:hAnsi="宋体" w:cs="宋体"/>
          <w:color w:val="auto"/>
          <w:sz w:val="28"/>
          <w:szCs w:val="28"/>
          <w:lang w:val="zh-CN" w:eastAsia="zh-CN"/>
        </w:rPr>
      </w:pPr>
      <w:r>
        <w:rPr>
          <w:rFonts w:hint="eastAsia" w:ascii="宋体" w:hAnsi="宋体" w:cs="宋体"/>
          <w:color w:val="auto"/>
          <w:sz w:val="28"/>
          <w:szCs w:val="28"/>
          <w:lang w:val="zh-CN" w:eastAsia="zh-CN"/>
        </w:rPr>
        <w:t>（13）《企业安全生产风险公告六条规定》（国家安监总局令[2014]第70号）</w:t>
      </w:r>
    </w:p>
    <w:p>
      <w:pPr>
        <w:spacing w:line="360" w:lineRule="auto"/>
        <w:ind w:firstLine="560" w:firstLineChars="200"/>
        <w:rPr>
          <w:rFonts w:hint="eastAsia" w:ascii="宋体" w:hAnsi="宋体" w:cs="宋体"/>
          <w:color w:val="auto"/>
          <w:sz w:val="28"/>
          <w:szCs w:val="28"/>
          <w:lang w:val="zh-CN" w:eastAsia="zh-CN"/>
        </w:rPr>
      </w:pPr>
      <w:r>
        <w:rPr>
          <w:rFonts w:hint="eastAsia" w:ascii="宋体" w:hAnsi="宋体" w:cs="宋体"/>
          <w:color w:val="auto"/>
          <w:sz w:val="28"/>
          <w:szCs w:val="28"/>
          <w:lang w:val="zh-CN" w:eastAsia="zh-CN"/>
        </w:rPr>
        <w:t>（14）《企业安全生产应急管理九条规定》（国家安监总局令[2015]第74号）</w:t>
      </w:r>
    </w:p>
    <w:p>
      <w:pPr>
        <w:spacing w:line="360" w:lineRule="auto"/>
        <w:ind w:firstLine="560" w:firstLineChars="200"/>
        <w:rPr>
          <w:rFonts w:hint="eastAsia" w:ascii="宋体" w:hAnsi="宋体" w:cs="宋体"/>
          <w:color w:val="auto"/>
          <w:sz w:val="28"/>
          <w:szCs w:val="28"/>
          <w:lang w:val="zh-CN" w:eastAsia="zh-CN"/>
        </w:rPr>
      </w:pPr>
      <w:r>
        <w:rPr>
          <w:rFonts w:hint="eastAsia" w:ascii="宋体" w:hAnsi="宋体" w:cs="宋体"/>
          <w:color w:val="auto"/>
          <w:sz w:val="28"/>
          <w:szCs w:val="28"/>
          <w:lang w:val="zh-CN" w:eastAsia="zh-CN"/>
        </w:rPr>
        <w:t>（15）《国家安全监管总局办公厅关于印发用人单位劳动防护用品管理规范的通知》（安监总厅安健〔2015〕124号）</w:t>
      </w:r>
    </w:p>
    <w:p>
      <w:pPr>
        <w:spacing w:line="360" w:lineRule="auto"/>
        <w:ind w:firstLine="560" w:firstLineChars="200"/>
        <w:rPr>
          <w:rFonts w:hint="eastAsia" w:ascii="宋体" w:hAnsi="宋体" w:cs="宋体"/>
          <w:color w:val="auto"/>
          <w:sz w:val="28"/>
          <w:szCs w:val="28"/>
          <w:lang w:val="zh-CN" w:eastAsia="zh-CN"/>
        </w:rPr>
      </w:pPr>
      <w:r>
        <w:rPr>
          <w:rFonts w:hint="eastAsia" w:ascii="宋体" w:hAnsi="宋体" w:cs="宋体"/>
          <w:color w:val="auto"/>
          <w:sz w:val="28"/>
          <w:szCs w:val="28"/>
          <w:lang w:val="zh-CN" w:eastAsia="zh-CN"/>
        </w:rPr>
        <w:t>（16）《工作场所职业卫生监督管理规定》（国家安监总局令第47号）</w:t>
      </w:r>
    </w:p>
    <w:p>
      <w:pPr>
        <w:spacing w:line="360" w:lineRule="auto"/>
        <w:ind w:firstLine="560" w:firstLineChars="200"/>
        <w:rPr>
          <w:rFonts w:hint="eastAsia" w:ascii="宋体" w:hAnsi="宋体" w:cs="宋体"/>
          <w:color w:val="auto"/>
          <w:sz w:val="28"/>
          <w:szCs w:val="28"/>
          <w:lang w:val="zh-CN" w:eastAsia="zh-CN"/>
        </w:rPr>
      </w:pPr>
      <w:r>
        <w:rPr>
          <w:rFonts w:hint="eastAsia" w:ascii="宋体" w:hAnsi="宋体" w:cs="宋体"/>
          <w:color w:val="auto"/>
          <w:sz w:val="28"/>
          <w:szCs w:val="28"/>
          <w:lang w:val="zh-CN" w:eastAsia="zh-CN"/>
        </w:rPr>
        <w:t>（17）《生产安全事故应急预案管理办法》（国家安全生产监督管理总局令第88号）</w:t>
      </w:r>
    </w:p>
    <w:p>
      <w:pPr>
        <w:spacing w:line="360" w:lineRule="auto"/>
        <w:ind w:firstLine="560" w:firstLineChars="200"/>
        <w:rPr>
          <w:rFonts w:hint="eastAsia" w:ascii="宋体" w:hAnsi="宋体" w:cs="宋体"/>
          <w:color w:val="auto"/>
          <w:sz w:val="28"/>
          <w:szCs w:val="28"/>
          <w:lang w:val="zh-CN" w:eastAsia="zh-CN"/>
        </w:rPr>
      </w:pPr>
      <w:r>
        <w:rPr>
          <w:rFonts w:hint="eastAsia" w:ascii="宋体" w:hAnsi="宋体" w:cs="宋体"/>
          <w:color w:val="auto"/>
          <w:sz w:val="28"/>
          <w:szCs w:val="28"/>
          <w:lang w:val="zh-CN" w:eastAsia="zh-CN"/>
        </w:rPr>
        <w:t>（18）《生产经营单位生产安全事故应急预案编制导则》（GB/T29639-2013）</w:t>
      </w:r>
    </w:p>
    <w:p>
      <w:pPr>
        <w:spacing w:line="360" w:lineRule="auto"/>
        <w:ind w:firstLine="560" w:firstLineChars="200"/>
        <w:rPr>
          <w:rFonts w:hint="eastAsia" w:ascii="宋体" w:hAnsi="宋体" w:cs="宋体"/>
          <w:color w:val="auto"/>
          <w:sz w:val="28"/>
          <w:szCs w:val="28"/>
          <w:lang w:val="zh-CN" w:eastAsia="zh-CN"/>
        </w:rPr>
      </w:pPr>
      <w:r>
        <w:rPr>
          <w:rFonts w:hint="eastAsia" w:ascii="宋体" w:hAnsi="宋体" w:cs="宋体"/>
          <w:color w:val="auto"/>
          <w:sz w:val="28"/>
          <w:szCs w:val="28"/>
          <w:lang w:val="zh-CN" w:eastAsia="zh-CN"/>
        </w:rPr>
        <w:t>（19）《生产安全事故应急条例》（国令第708号，2019年4月1日起施行）</w:t>
      </w:r>
    </w:p>
    <w:p>
      <w:pPr>
        <w:spacing w:line="360" w:lineRule="auto"/>
        <w:ind w:firstLine="560" w:firstLineChars="200"/>
        <w:rPr>
          <w:rFonts w:hint="eastAsia" w:ascii="宋体" w:hAnsi="宋体" w:cs="宋体"/>
          <w:color w:val="auto"/>
          <w:sz w:val="28"/>
          <w:szCs w:val="28"/>
          <w:lang w:val="zh-CN" w:eastAsia="zh-CN"/>
        </w:rPr>
      </w:pPr>
      <w:r>
        <w:rPr>
          <w:rFonts w:hint="eastAsia" w:ascii="宋体" w:hAnsi="宋体" w:cs="宋体"/>
          <w:color w:val="auto"/>
          <w:sz w:val="28"/>
          <w:szCs w:val="28"/>
          <w:lang w:val="zh-CN" w:eastAsia="zh-CN"/>
        </w:rPr>
        <w:t>（20）《生产安全事故应急演练评估规范》（AQ/T9009-2015）</w:t>
      </w:r>
    </w:p>
    <w:p>
      <w:pPr>
        <w:spacing w:line="360" w:lineRule="auto"/>
        <w:ind w:firstLine="560" w:firstLineChars="200"/>
        <w:rPr>
          <w:rFonts w:hint="eastAsia" w:ascii="宋体" w:hAnsi="宋体" w:cs="宋体"/>
          <w:color w:val="auto"/>
          <w:sz w:val="28"/>
          <w:szCs w:val="28"/>
          <w:lang w:val="zh-CN" w:eastAsia="zh-CN"/>
        </w:rPr>
      </w:pPr>
      <w:r>
        <w:rPr>
          <w:rFonts w:hint="eastAsia" w:ascii="宋体" w:hAnsi="宋体" w:cs="宋体"/>
          <w:color w:val="auto"/>
          <w:sz w:val="28"/>
          <w:szCs w:val="28"/>
          <w:lang w:val="zh-CN" w:eastAsia="zh-CN"/>
        </w:rPr>
        <w:t>（21）《生产安全事故应急演练指南》（AQ/T 9007-2011）</w:t>
      </w:r>
    </w:p>
    <w:p>
      <w:pPr>
        <w:spacing w:line="360" w:lineRule="auto"/>
        <w:ind w:firstLine="560" w:firstLineChars="200"/>
        <w:rPr>
          <w:rFonts w:hint="eastAsia" w:ascii="宋体" w:hAnsi="宋体" w:cs="宋体"/>
          <w:color w:val="auto"/>
          <w:sz w:val="28"/>
          <w:szCs w:val="28"/>
          <w:lang w:val="zh-CN" w:eastAsia="zh-CN"/>
        </w:rPr>
      </w:pPr>
      <w:r>
        <w:rPr>
          <w:rFonts w:hint="eastAsia" w:ascii="宋体" w:hAnsi="宋体" w:cs="宋体"/>
          <w:color w:val="auto"/>
          <w:sz w:val="28"/>
          <w:szCs w:val="28"/>
          <w:lang w:val="zh-CN" w:eastAsia="zh-CN"/>
        </w:rPr>
        <w:t>（</w:t>
      </w:r>
      <w:r>
        <w:rPr>
          <w:rFonts w:hint="eastAsia" w:ascii="宋体" w:hAnsi="宋体" w:cs="宋体"/>
          <w:color w:val="auto"/>
          <w:sz w:val="28"/>
          <w:szCs w:val="28"/>
          <w:lang w:val="en-US" w:eastAsia="zh-CN"/>
        </w:rPr>
        <w:t>22</w:t>
      </w:r>
      <w:r>
        <w:rPr>
          <w:rFonts w:hint="eastAsia" w:ascii="宋体" w:hAnsi="宋体" w:cs="宋体"/>
          <w:color w:val="auto"/>
          <w:sz w:val="28"/>
          <w:szCs w:val="28"/>
          <w:lang w:val="zh-CN" w:eastAsia="zh-CN"/>
        </w:rPr>
        <w:t>）《危险化学品重大危险源辨识》（GB18218-20</w:t>
      </w:r>
      <w:r>
        <w:rPr>
          <w:rFonts w:hint="eastAsia" w:ascii="宋体" w:hAnsi="宋体" w:cs="宋体"/>
          <w:color w:val="auto"/>
          <w:sz w:val="28"/>
          <w:szCs w:val="28"/>
          <w:lang w:val="en-US" w:eastAsia="zh-CN"/>
        </w:rPr>
        <w:t>18</w:t>
      </w:r>
      <w:r>
        <w:rPr>
          <w:rFonts w:hint="eastAsia" w:ascii="宋体" w:hAnsi="宋体" w:cs="宋体"/>
          <w:color w:val="auto"/>
          <w:sz w:val="28"/>
          <w:szCs w:val="28"/>
          <w:lang w:val="zh-CN" w:eastAsia="zh-CN"/>
        </w:rPr>
        <w:t>）</w:t>
      </w:r>
    </w:p>
    <w:p>
      <w:pPr>
        <w:spacing w:line="360" w:lineRule="auto"/>
        <w:ind w:firstLine="560" w:firstLineChars="200"/>
        <w:rPr>
          <w:rFonts w:hint="eastAsia" w:ascii="宋体" w:hAnsi="宋体" w:cs="宋体"/>
          <w:color w:val="auto"/>
          <w:sz w:val="28"/>
          <w:szCs w:val="28"/>
          <w:lang w:val="zh-CN" w:eastAsia="zh-CN"/>
        </w:rPr>
      </w:pPr>
      <w:r>
        <w:rPr>
          <w:rFonts w:hint="eastAsia" w:ascii="宋体" w:hAnsi="宋体" w:cs="宋体"/>
          <w:color w:val="auto"/>
          <w:sz w:val="28"/>
          <w:szCs w:val="28"/>
          <w:lang w:val="zh-CN" w:eastAsia="zh-CN"/>
        </w:rPr>
        <w:t>（2</w:t>
      </w:r>
      <w:r>
        <w:rPr>
          <w:rFonts w:hint="eastAsia" w:ascii="宋体" w:hAnsi="宋体" w:cs="宋体"/>
          <w:color w:val="auto"/>
          <w:sz w:val="28"/>
          <w:szCs w:val="28"/>
          <w:lang w:val="en-US" w:eastAsia="zh-CN"/>
        </w:rPr>
        <w:t>3</w:t>
      </w:r>
      <w:r>
        <w:rPr>
          <w:rFonts w:hint="eastAsia" w:ascii="宋体" w:hAnsi="宋体" w:cs="宋体"/>
          <w:color w:val="auto"/>
          <w:sz w:val="28"/>
          <w:szCs w:val="28"/>
          <w:lang w:val="zh-CN" w:eastAsia="zh-CN"/>
        </w:rPr>
        <w:t>）《四川省安全生产条例》（2006年11月30日四川省第十届人大常委会第二十四次会议通过）</w:t>
      </w:r>
    </w:p>
    <w:p>
      <w:pPr>
        <w:spacing w:line="360" w:lineRule="auto"/>
        <w:ind w:firstLine="560" w:firstLineChars="200"/>
        <w:rPr>
          <w:rFonts w:hint="eastAsia" w:ascii="宋体" w:hAnsi="宋体" w:cs="宋体"/>
          <w:color w:val="auto"/>
          <w:sz w:val="28"/>
          <w:szCs w:val="28"/>
          <w:lang w:val="zh-CN" w:eastAsia="zh-CN"/>
        </w:rPr>
      </w:pPr>
      <w:r>
        <w:rPr>
          <w:rFonts w:hint="eastAsia" w:ascii="宋体" w:hAnsi="宋体" w:cs="宋体"/>
          <w:color w:val="auto"/>
          <w:sz w:val="28"/>
          <w:szCs w:val="28"/>
          <w:lang w:val="zh-CN" w:eastAsia="zh-CN"/>
        </w:rPr>
        <w:t>（2</w:t>
      </w:r>
      <w:r>
        <w:rPr>
          <w:rFonts w:hint="eastAsia" w:ascii="宋体" w:hAnsi="宋体" w:cs="宋体"/>
          <w:color w:val="auto"/>
          <w:sz w:val="28"/>
          <w:szCs w:val="28"/>
          <w:lang w:val="en-US" w:eastAsia="zh-CN"/>
        </w:rPr>
        <w:t>4</w:t>
      </w:r>
      <w:r>
        <w:rPr>
          <w:rFonts w:hint="eastAsia" w:ascii="宋体" w:hAnsi="宋体" w:cs="宋体"/>
          <w:color w:val="auto"/>
          <w:sz w:val="28"/>
          <w:szCs w:val="28"/>
          <w:lang w:val="zh-CN" w:eastAsia="zh-CN"/>
        </w:rPr>
        <w:t>）《危险化学品目录》（2015年版）</w:t>
      </w:r>
    </w:p>
    <w:p>
      <w:pPr>
        <w:spacing w:line="360" w:lineRule="auto"/>
        <w:ind w:firstLine="560" w:firstLineChars="200"/>
        <w:rPr>
          <w:rFonts w:hint="eastAsia" w:ascii="宋体" w:hAnsi="宋体" w:cs="宋体"/>
          <w:color w:val="auto"/>
          <w:sz w:val="28"/>
          <w:szCs w:val="28"/>
          <w:lang w:val="zh-CN" w:eastAsia="zh-CN"/>
        </w:rPr>
      </w:pPr>
      <w:r>
        <w:rPr>
          <w:rFonts w:hint="eastAsia" w:ascii="宋体" w:hAnsi="宋体" w:cs="宋体"/>
          <w:color w:val="auto"/>
          <w:sz w:val="28"/>
          <w:szCs w:val="28"/>
          <w:lang w:val="zh-CN" w:eastAsia="zh-CN"/>
        </w:rPr>
        <w:t>（2</w:t>
      </w:r>
      <w:r>
        <w:rPr>
          <w:rFonts w:hint="eastAsia" w:ascii="宋体" w:hAnsi="宋体" w:cs="宋体"/>
          <w:color w:val="auto"/>
          <w:sz w:val="28"/>
          <w:szCs w:val="28"/>
          <w:lang w:val="en-US" w:eastAsia="zh-CN"/>
        </w:rPr>
        <w:t>5</w:t>
      </w:r>
      <w:r>
        <w:rPr>
          <w:rFonts w:hint="eastAsia" w:ascii="宋体" w:hAnsi="宋体" w:cs="宋体"/>
          <w:color w:val="auto"/>
          <w:sz w:val="28"/>
          <w:szCs w:val="28"/>
          <w:lang w:val="zh-CN" w:eastAsia="zh-CN"/>
        </w:rPr>
        <w:t>）《易燃易爆性商品储存养护技术条件》（GB17914-2013）</w:t>
      </w:r>
    </w:p>
    <w:p>
      <w:pPr>
        <w:spacing w:line="360" w:lineRule="auto"/>
        <w:ind w:firstLine="560" w:firstLineChars="200"/>
        <w:rPr>
          <w:rFonts w:hint="eastAsia" w:ascii="宋体" w:hAnsi="宋体" w:cs="宋体"/>
          <w:color w:val="auto"/>
          <w:sz w:val="28"/>
          <w:szCs w:val="28"/>
          <w:lang w:val="zh-CN" w:eastAsia="zh-CN"/>
        </w:rPr>
      </w:pPr>
      <w:r>
        <w:rPr>
          <w:rFonts w:hint="eastAsia" w:ascii="宋体" w:hAnsi="宋体" w:cs="宋体"/>
          <w:color w:val="auto"/>
          <w:sz w:val="28"/>
          <w:szCs w:val="28"/>
          <w:lang w:val="zh-CN" w:eastAsia="zh-CN"/>
        </w:rPr>
        <w:t>（2</w:t>
      </w:r>
      <w:r>
        <w:rPr>
          <w:rFonts w:hint="eastAsia" w:ascii="宋体" w:hAnsi="宋体" w:cs="宋体"/>
          <w:color w:val="auto"/>
          <w:sz w:val="28"/>
          <w:szCs w:val="28"/>
          <w:lang w:val="en-US" w:eastAsia="zh-CN"/>
        </w:rPr>
        <w:t>6</w:t>
      </w:r>
      <w:r>
        <w:rPr>
          <w:rFonts w:hint="eastAsia" w:ascii="宋体" w:hAnsi="宋体" w:cs="宋体"/>
          <w:color w:val="auto"/>
          <w:sz w:val="28"/>
          <w:szCs w:val="28"/>
          <w:lang w:val="zh-CN" w:eastAsia="zh-CN"/>
        </w:rPr>
        <w:t>）《四川省生产安全事故应急预案管理实施细则》（川安监〔2018〕43号）</w:t>
      </w:r>
    </w:p>
    <w:p>
      <w:pPr>
        <w:spacing w:line="360" w:lineRule="auto"/>
        <w:ind w:firstLine="560" w:firstLineChars="200"/>
        <w:rPr>
          <w:rFonts w:hint="eastAsia" w:ascii="宋体" w:hAnsi="宋体" w:cs="宋体"/>
          <w:color w:val="auto"/>
          <w:sz w:val="28"/>
          <w:szCs w:val="28"/>
          <w:lang w:val="zh-CN" w:eastAsia="zh-CN"/>
        </w:rPr>
      </w:pPr>
      <w:r>
        <w:rPr>
          <w:rFonts w:hint="eastAsia" w:ascii="宋体" w:hAnsi="宋体" w:cs="宋体"/>
          <w:color w:val="auto"/>
          <w:sz w:val="28"/>
          <w:szCs w:val="28"/>
          <w:lang w:val="zh-CN" w:eastAsia="zh-CN"/>
        </w:rPr>
        <w:t>（2</w:t>
      </w:r>
      <w:r>
        <w:rPr>
          <w:rFonts w:hint="eastAsia" w:ascii="宋体" w:hAnsi="宋体" w:cs="宋体"/>
          <w:color w:val="auto"/>
          <w:sz w:val="28"/>
          <w:szCs w:val="28"/>
          <w:lang w:val="en-US" w:eastAsia="zh-CN"/>
        </w:rPr>
        <w:t>7</w:t>
      </w:r>
      <w:r>
        <w:rPr>
          <w:rFonts w:hint="eastAsia" w:ascii="宋体" w:hAnsi="宋体" w:cs="宋体"/>
          <w:color w:val="auto"/>
          <w:sz w:val="28"/>
          <w:szCs w:val="28"/>
          <w:lang w:val="zh-CN" w:eastAsia="zh-CN"/>
        </w:rPr>
        <w:t>）《成都市安全生产监督管理局关于规范生产安全事故应急预案评审备案工作的通知》成安监函〔2018〕9号</w:t>
      </w:r>
    </w:p>
    <w:p>
      <w:pPr>
        <w:pStyle w:val="5"/>
        <w:spacing w:before="0" w:after="0" w:line="360" w:lineRule="auto"/>
        <w:rPr>
          <w:rFonts w:hint="eastAsia" w:ascii="宋体" w:hAnsi="宋体" w:eastAsia="宋体" w:cs="宋体"/>
          <w:color w:val="auto"/>
          <w:sz w:val="28"/>
          <w:szCs w:val="28"/>
          <w:lang w:val="en-US" w:eastAsia="zh-CN"/>
        </w:rPr>
      </w:pPr>
      <w:bookmarkStart w:id="23" w:name="_Toc16426"/>
      <w:bookmarkStart w:id="24" w:name="_Toc25561"/>
      <w:bookmarkStart w:id="25" w:name="_Toc21427"/>
      <w:r>
        <w:rPr>
          <w:rFonts w:hint="eastAsia" w:ascii="宋体" w:hAnsi="宋体" w:eastAsia="宋体" w:cs="宋体"/>
          <w:color w:val="auto"/>
          <w:sz w:val="28"/>
          <w:szCs w:val="28"/>
          <w:lang w:val="en-US" w:eastAsia="zh-CN"/>
        </w:rPr>
        <w:t>1.2评估目的</w:t>
      </w:r>
      <w:bookmarkEnd w:id="23"/>
      <w:bookmarkEnd w:id="24"/>
      <w:bookmarkEnd w:id="25"/>
    </w:p>
    <w:p>
      <w:pPr>
        <w:autoSpaceDE w:val="0"/>
        <w:autoSpaceDN w:val="0"/>
        <w:adjustRightInd w:val="0"/>
        <w:spacing w:line="360" w:lineRule="auto"/>
        <w:ind w:firstLine="560" w:firstLineChars="200"/>
        <w:rPr>
          <w:rFonts w:hint="eastAsia" w:hAnsi="宋体"/>
          <w:sz w:val="28"/>
          <w:szCs w:val="28"/>
        </w:rPr>
      </w:pPr>
      <w:r>
        <w:rPr>
          <w:rFonts w:hint="eastAsia" w:hAnsi="宋体"/>
          <w:sz w:val="28"/>
          <w:szCs w:val="28"/>
        </w:rPr>
        <w:t>为规范</w:t>
      </w:r>
      <w:r>
        <w:rPr>
          <w:rFonts w:hint="eastAsia" w:hAnsi="宋体"/>
          <w:sz w:val="28"/>
          <w:szCs w:val="28"/>
          <w:lang w:eastAsia="zh-CN"/>
        </w:rPr>
        <w:t>公司</w:t>
      </w:r>
      <w:r>
        <w:rPr>
          <w:rFonts w:hint="eastAsia" w:hAnsi="宋体"/>
          <w:sz w:val="28"/>
          <w:szCs w:val="28"/>
        </w:rPr>
        <w:t>风险管理工作，识别和分析生产安全作业中的危险有害因素，消除或减少事故危害，确保安全作业，由</w:t>
      </w:r>
      <w:r>
        <w:rPr>
          <w:rFonts w:hint="eastAsia" w:hAnsi="宋体"/>
          <w:sz w:val="28"/>
          <w:szCs w:val="28"/>
          <w:lang w:eastAsia="zh-CN"/>
        </w:rPr>
        <w:t>公司</w:t>
      </w:r>
      <w:r>
        <w:rPr>
          <w:rFonts w:hint="eastAsia" w:hAnsi="宋体"/>
          <w:sz w:val="28"/>
          <w:szCs w:val="28"/>
        </w:rPr>
        <w:t>风险评价小组进行风险评估。</w:t>
      </w:r>
    </w:p>
    <w:p>
      <w:pPr>
        <w:pStyle w:val="5"/>
        <w:spacing w:before="0" w:after="0" w:line="360" w:lineRule="auto"/>
        <w:rPr>
          <w:rFonts w:hint="eastAsia" w:ascii="宋体" w:hAnsi="宋体" w:eastAsia="宋体" w:cs="宋体"/>
          <w:color w:val="auto"/>
          <w:sz w:val="28"/>
          <w:szCs w:val="28"/>
          <w:lang w:val="en-US" w:eastAsia="zh-CN"/>
        </w:rPr>
      </w:pPr>
      <w:bookmarkStart w:id="26" w:name="_Toc12578"/>
      <w:bookmarkStart w:id="27" w:name="_Toc19499"/>
      <w:bookmarkStart w:id="28" w:name="_Toc27458"/>
      <w:r>
        <w:rPr>
          <w:rFonts w:hint="eastAsia" w:ascii="宋体" w:hAnsi="宋体" w:eastAsia="宋体" w:cs="宋体"/>
          <w:color w:val="auto"/>
          <w:sz w:val="28"/>
          <w:szCs w:val="28"/>
          <w:lang w:val="en-US" w:eastAsia="zh-CN"/>
        </w:rPr>
        <w:t>1.3风险评估范围</w:t>
      </w:r>
      <w:bookmarkEnd w:id="26"/>
      <w:bookmarkEnd w:id="27"/>
      <w:bookmarkEnd w:id="28"/>
      <w:r>
        <w:rPr>
          <w:rFonts w:hint="eastAsia" w:ascii="宋体" w:hAnsi="宋体" w:eastAsia="宋体" w:cs="宋体"/>
          <w:color w:val="auto"/>
          <w:sz w:val="28"/>
          <w:szCs w:val="28"/>
          <w:lang w:val="en-US" w:eastAsia="zh-CN"/>
        </w:rPr>
        <w:t xml:space="preserve"> </w:t>
      </w:r>
    </w:p>
    <w:p>
      <w:pPr>
        <w:autoSpaceDE w:val="0"/>
        <w:autoSpaceDN w:val="0"/>
        <w:adjustRightInd w:val="0"/>
        <w:spacing w:line="360" w:lineRule="auto"/>
        <w:ind w:firstLine="560" w:firstLineChars="200"/>
        <w:rPr>
          <w:rFonts w:hint="eastAsia" w:hAnsi="宋体"/>
          <w:sz w:val="28"/>
          <w:szCs w:val="28"/>
        </w:rPr>
      </w:pPr>
      <w:r>
        <w:rPr>
          <w:rFonts w:hint="eastAsia" w:hAnsi="宋体"/>
          <w:sz w:val="28"/>
          <w:szCs w:val="28"/>
        </w:rPr>
        <w:t>评估范围主要围绕生产经营活动开展，主要包括</w:t>
      </w:r>
      <w:r>
        <w:rPr>
          <w:rFonts w:hint="eastAsia" w:hAnsi="宋体"/>
          <w:sz w:val="28"/>
          <w:szCs w:val="28"/>
          <w:lang w:eastAsia="zh-CN"/>
        </w:rPr>
        <w:t>公司</w:t>
      </w:r>
      <w:r>
        <w:rPr>
          <w:rFonts w:hint="eastAsia" w:hAnsi="宋体"/>
          <w:sz w:val="28"/>
          <w:szCs w:val="28"/>
        </w:rPr>
        <w:t>在生产经营过程的生产工艺装置和储存设施以及配套的公用工程系统的风险性识别和分析。</w:t>
      </w:r>
    </w:p>
    <w:p>
      <w:pPr>
        <w:pStyle w:val="5"/>
        <w:spacing w:before="0" w:after="0" w:line="360" w:lineRule="auto"/>
        <w:rPr>
          <w:rFonts w:hint="eastAsia" w:ascii="宋体" w:hAnsi="宋体" w:eastAsia="宋体" w:cs="宋体"/>
          <w:sz w:val="28"/>
          <w:szCs w:val="28"/>
        </w:rPr>
      </w:pPr>
      <w:bookmarkStart w:id="29" w:name="_Toc23032"/>
      <w:bookmarkStart w:id="30" w:name="_Toc19282"/>
      <w:bookmarkStart w:id="31" w:name="_Toc15923"/>
      <w:r>
        <w:rPr>
          <w:rFonts w:hint="eastAsia" w:ascii="宋体" w:hAnsi="宋体" w:eastAsia="宋体" w:cs="宋体"/>
          <w:sz w:val="28"/>
          <w:szCs w:val="28"/>
        </w:rPr>
        <w:t>1.4评估程序</w:t>
      </w:r>
      <w:bookmarkEnd w:id="29"/>
      <w:bookmarkEnd w:id="30"/>
      <w:bookmarkEnd w:id="31"/>
      <w:r>
        <w:rPr>
          <w:rFonts w:hint="eastAsia" w:ascii="宋体" w:hAnsi="宋体" w:eastAsia="宋体" w:cs="宋体"/>
          <w:sz w:val="28"/>
          <w:szCs w:val="28"/>
        </w:rPr>
        <w:t xml:space="preserve"> </w:t>
      </w:r>
    </w:p>
    <w:p>
      <w:pPr>
        <w:autoSpaceDE w:val="0"/>
        <w:autoSpaceDN w:val="0"/>
        <w:adjustRightInd w:val="0"/>
        <w:spacing w:line="360" w:lineRule="auto"/>
        <w:ind w:firstLine="560" w:firstLineChars="200"/>
        <w:rPr>
          <w:rFonts w:hint="eastAsia" w:hAnsi="宋体"/>
          <w:sz w:val="28"/>
          <w:szCs w:val="28"/>
        </w:rPr>
      </w:pPr>
      <w:r>
        <w:rPr>
          <w:rFonts w:hint="eastAsia" w:hAnsi="宋体"/>
          <w:sz w:val="28"/>
          <w:szCs w:val="28"/>
        </w:rPr>
        <w:t xml:space="preserve">1、成立风险评估小组 </w:t>
      </w:r>
    </w:p>
    <w:p>
      <w:pPr>
        <w:autoSpaceDE w:val="0"/>
        <w:autoSpaceDN w:val="0"/>
        <w:adjustRightInd w:val="0"/>
        <w:spacing w:line="360" w:lineRule="auto"/>
        <w:ind w:firstLine="560" w:firstLineChars="200"/>
        <w:rPr>
          <w:rFonts w:hint="eastAsia" w:hAnsi="宋体"/>
          <w:sz w:val="28"/>
          <w:szCs w:val="28"/>
        </w:rPr>
      </w:pPr>
      <w:r>
        <w:rPr>
          <w:rFonts w:hint="eastAsia" w:hAnsi="宋体"/>
          <w:sz w:val="28"/>
          <w:szCs w:val="28"/>
        </w:rPr>
        <w:t xml:space="preserve">2、收集分析资料、现场勘察 </w:t>
      </w:r>
    </w:p>
    <w:p>
      <w:pPr>
        <w:autoSpaceDE w:val="0"/>
        <w:autoSpaceDN w:val="0"/>
        <w:adjustRightInd w:val="0"/>
        <w:spacing w:line="360" w:lineRule="auto"/>
        <w:ind w:firstLine="560" w:firstLineChars="200"/>
        <w:rPr>
          <w:rFonts w:hint="eastAsia" w:hAnsi="宋体"/>
          <w:sz w:val="28"/>
          <w:szCs w:val="28"/>
        </w:rPr>
      </w:pPr>
      <w:r>
        <w:rPr>
          <w:rFonts w:hint="eastAsia" w:hAnsi="宋体"/>
          <w:sz w:val="28"/>
          <w:szCs w:val="28"/>
        </w:rPr>
        <w:t xml:space="preserve">3、组织进行风险识别和评估 </w:t>
      </w:r>
    </w:p>
    <w:p>
      <w:pPr>
        <w:autoSpaceDE w:val="0"/>
        <w:autoSpaceDN w:val="0"/>
        <w:adjustRightInd w:val="0"/>
        <w:spacing w:line="360" w:lineRule="auto"/>
        <w:ind w:firstLine="560" w:firstLineChars="200"/>
        <w:rPr>
          <w:rFonts w:hint="eastAsia" w:hAnsi="宋体"/>
          <w:sz w:val="28"/>
          <w:szCs w:val="28"/>
        </w:rPr>
      </w:pPr>
      <w:r>
        <w:rPr>
          <w:rFonts w:hint="eastAsia" w:hAnsi="宋体"/>
          <w:sz w:val="28"/>
          <w:szCs w:val="28"/>
        </w:rPr>
        <w:t>4、评估汇总交</w:t>
      </w:r>
      <w:r>
        <w:rPr>
          <w:rFonts w:hint="eastAsia" w:hAnsi="宋体"/>
          <w:sz w:val="28"/>
          <w:szCs w:val="28"/>
          <w:lang w:eastAsia="zh-CN"/>
        </w:rPr>
        <w:t>公司</w:t>
      </w:r>
      <w:r>
        <w:rPr>
          <w:rFonts w:hint="eastAsia" w:hAnsi="宋体"/>
          <w:sz w:val="28"/>
          <w:szCs w:val="28"/>
        </w:rPr>
        <w:t xml:space="preserve">主要负责人批准 </w:t>
      </w:r>
    </w:p>
    <w:p>
      <w:pPr>
        <w:rPr>
          <w:rFonts w:hint="eastAsia" w:ascii="黑体" w:hAnsi="宋体" w:eastAsia="黑体"/>
          <w:b/>
          <w:color w:val="auto"/>
          <w:sz w:val="32"/>
          <w:szCs w:val="32"/>
          <w:lang w:val="en-US" w:eastAsia="zh-CN"/>
        </w:rPr>
      </w:pPr>
      <w:r>
        <w:rPr>
          <w:rFonts w:hint="eastAsia" w:ascii="黑体" w:hAnsi="宋体" w:eastAsia="黑体"/>
          <w:b/>
          <w:color w:val="auto"/>
          <w:sz w:val="32"/>
          <w:szCs w:val="32"/>
          <w:lang w:val="en-US" w:eastAsia="zh-CN"/>
        </w:rPr>
        <w:br w:type="page"/>
      </w:r>
    </w:p>
    <w:p>
      <w:pPr>
        <w:numPr>
          <w:ilvl w:val="0"/>
          <w:numId w:val="0"/>
        </w:numPr>
        <w:spacing w:line="360" w:lineRule="auto"/>
        <w:jc w:val="center"/>
        <w:outlineLvl w:val="0"/>
        <w:rPr>
          <w:rFonts w:hint="eastAsia" w:ascii="黑体" w:hAnsi="宋体" w:eastAsia="黑体"/>
          <w:b/>
          <w:color w:val="auto"/>
          <w:sz w:val="32"/>
          <w:szCs w:val="32"/>
        </w:rPr>
      </w:pPr>
      <w:bookmarkStart w:id="32" w:name="_Toc7322"/>
      <w:r>
        <w:rPr>
          <w:rFonts w:hint="eastAsia" w:ascii="黑体" w:hAnsi="宋体" w:eastAsia="黑体"/>
          <w:b/>
          <w:color w:val="auto"/>
          <w:sz w:val="32"/>
          <w:szCs w:val="32"/>
          <w:lang w:val="en-US" w:eastAsia="zh-CN"/>
        </w:rPr>
        <w:t>2</w:t>
      </w:r>
      <w:r>
        <w:rPr>
          <w:rFonts w:hint="eastAsia" w:ascii="黑体" w:hAnsi="宋体" w:eastAsia="黑体"/>
          <w:b/>
          <w:color w:val="auto"/>
          <w:sz w:val="32"/>
          <w:szCs w:val="32"/>
        </w:rPr>
        <w:t>公司概况</w:t>
      </w:r>
      <w:bookmarkEnd w:id="0"/>
      <w:bookmarkEnd w:id="32"/>
    </w:p>
    <w:p>
      <w:pPr>
        <w:pStyle w:val="5"/>
        <w:spacing w:before="0" w:after="0" w:line="360" w:lineRule="auto"/>
        <w:rPr>
          <w:rFonts w:hint="eastAsia" w:ascii="宋体" w:hAnsi="宋体" w:eastAsia="宋体" w:cs="宋体"/>
          <w:color w:val="auto"/>
          <w:sz w:val="28"/>
          <w:szCs w:val="28"/>
        </w:rPr>
      </w:pPr>
      <w:bookmarkStart w:id="33" w:name="_Toc13200"/>
      <w:bookmarkStart w:id="34" w:name="_Toc176022617"/>
      <w:bookmarkStart w:id="35" w:name="_Toc332285103"/>
      <w:bookmarkStart w:id="36" w:name="_Toc25420"/>
      <w:bookmarkStart w:id="37" w:name="_Toc480804386"/>
      <w:bookmarkStart w:id="38" w:name="_Toc514342838"/>
      <w:bookmarkStart w:id="39" w:name="_Toc485656588"/>
      <w:r>
        <w:rPr>
          <w:rFonts w:hint="eastAsia" w:ascii="宋体" w:hAnsi="宋体" w:eastAsia="宋体" w:cs="宋体"/>
          <w:color w:val="auto"/>
          <w:sz w:val="28"/>
          <w:szCs w:val="28"/>
        </w:rPr>
        <w:t>2.1 公司概况</w:t>
      </w:r>
      <w:bookmarkEnd w:id="33"/>
      <w:bookmarkEnd w:id="34"/>
      <w:bookmarkEnd w:id="35"/>
      <w:bookmarkEnd w:id="36"/>
    </w:p>
    <w:tbl>
      <w:tblPr>
        <w:tblStyle w:val="20"/>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6"/>
        <w:gridCol w:w="1907"/>
        <w:gridCol w:w="1643"/>
        <w:gridCol w:w="366"/>
        <w:gridCol w:w="1134"/>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76" w:type="dxa"/>
            <w:noWrap w:val="0"/>
            <w:vAlign w:val="top"/>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Times New Roman" w:cs="宋体"/>
                <w:color w:val="auto"/>
                <w:kern w:val="2"/>
                <w:sz w:val="28"/>
                <w:szCs w:val="28"/>
                <w:lang w:val="zh-CN" w:eastAsia="zh-CN" w:bidi="ar-SA"/>
              </w:rPr>
            </w:pPr>
            <w:r>
              <w:rPr>
                <w:rFonts w:hint="eastAsia" w:ascii="宋体" w:hAnsi="宋体" w:eastAsia="Times New Roman" w:cs="宋体"/>
                <w:color w:val="auto"/>
                <w:kern w:val="2"/>
                <w:sz w:val="28"/>
                <w:szCs w:val="28"/>
                <w:lang w:val="zh-CN" w:eastAsia="zh-CN" w:bidi="ar-SA"/>
              </w:rPr>
              <w:t>单位</w:t>
            </w:r>
            <w:r>
              <w:rPr>
                <w:rFonts w:hint="eastAsia" w:hAnsi="宋体" w:eastAsia="Times New Roman" w:cs="宋体"/>
                <w:color w:val="auto"/>
                <w:kern w:val="2"/>
                <w:sz w:val="28"/>
                <w:szCs w:val="28"/>
                <w:lang w:val="zh-CN" w:eastAsia="zh-CN" w:bidi="ar-SA"/>
              </w:rPr>
              <w:t>名称</w:t>
            </w:r>
          </w:p>
        </w:tc>
        <w:tc>
          <w:tcPr>
            <w:tcW w:w="7012" w:type="dxa"/>
            <w:gridSpan w:val="5"/>
            <w:noWrap w:val="0"/>
            <w:vAlign w:val="top"/>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Times New Roman" w:cs="宋体"/>
                <w:color w:val="auto"/>
                <w:kern w:val="2"/>
                <w:sz w:val="28"/>
                <w:szCs w:val="28"/>
                <w:lang w:val="zh-CN" w:eastAsia="zh-CN" w:bidi="ar-SA"/>
              </w:rPr>
            </w:pPr>
            <w:r>
              <w:rPr>
                <w:rFonts w:hint="eastAsia" w:hAnsi="宋体" w:eastAsia="Times New Roman" w:cs="宋体"/>
                <w:color w:val="auto"/>
                <w:kern w:val="2"/>
                <w:sz w:val="28"/>
                <w:szCs w:val="28"/>
                <w:lang w:val="zh-CN" w:eastAsia="zh-CN" w:bidi="ar-SA"/>
              </w:rPr>
              <w:t>仪陇县来仪银河页岩砖厂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76" w:type="dxa"/>
            <w:noWrap w:val="0"/>
            <w:vAlign w:val="top"/>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Times New Roman" w:cs="宋体"/>
                <w:color w:val="auto"/>
                <w:kern w:val="2"/>
                <w:sz w:val="28"/>
                <w:szCs w:val="28"/>
                <w:lang w:val="zh-CN" w:eastAsia="zh-CN" w:bidi="ar-SA"/>
              </w:rPr>
            </w:pPr>
            <w:r>
              <w:rPr>
                <w:rFonts w:hint="eastAsia" w:ascii="宋体" w:hAnsi="宋体" w:eastAsia="Times New Roman" w:cs="宋体"/>
                <w:color w:val="auto"/>
                <w:kern w:val="2"/>
                <w:sz w:val="28"/>
                <w:szCs w:val="28"/>
                <w:lang w:val="zh-CN" w:eastAsia="zh-CN" w:bidi="ar-SA"/>
              </w:rPr>
              <w:t>法人代表</w:t>
            </w:r>
          </w:p>
        </w:tc>
        <w:tc>
          <w:tcPr>
            <w:tcW w:w="1907" w:type="dxa"/>
            <w:noWrap w:val="0"/>
            <w:vAlign w:val="top"/>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Times New Roman" w:cs="宋体"/>
                <w:color w:val="auto"/>
                <w:kern w:val="2"/>
                <w:sz w:val="28"/>
                <w:szCs w:val="28"/>
                <w:lang w:val="zh-CN" w:eastAsia="zh-CN" w:bidi="ar-SA"/>
              </w:rPr>
            </w:pPr>
            <w:r>
              <w:rPr>
                <w:rFonts w:hint="eastAsia" w:hAnsi="宋体" w:eastAsia="Times New Roman" w:cs="宋体"/>
                <w:color w:val="auto"/>
                <w:kern w:val="2"/>
                <w:sz w:val="28"/>
                <w:szCs w:val="28"/>
                <w:lang w:val="zh-CN" w:eastAsia="zh-CN" w:bidi="ar-SA"/>
              </w:rPr>
              <w:t>邓先银</w:t>
            </w:r>
          </w:p>
        </w:tc>
        <w:tc>
          <w:tcPr>
            <w:tcW w:w="2009" w:type="dxa"/>
            <w:gridSpan w:val="2"/>
            <w:noWrap w:val="0"/>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Times New Roman" w:cs="宋体"/>
                <w:color w:val="auto"/>
                <w:kern w:val="2"/>
                <w:sz w:val="28"/>
                <w:szCs w:val="28"/>
                <w:lang w:val="zh-CN" w:eastAsia="zh-CN" w:bidi="ar-SA"/>
              </w:rPr>
            </w:pPr>
            <w:r>
              <w:rPr>
                <w:rFonts w:hint="eastAsia" w:ascii="宋体" w:hAnsi="宋体" w:eastAsia="Times New Roman" w:cs="宋体"/>
                <w:color w:val="auto"/>
                <w:kern w:val="2"/>
                <w:sz w:val="28"/>
                <w:szCs w:val="28"/>
                <w:lang w:val="zh-CN" w:eastAsia="zh-CN" w:bidi="ar-SA"/>
              </w:rPr>
              <w:t>联系电话</w:t>
            </w:r>
          </w:p>
        </w:tc>
        <w:tc>
          <w:tcPr>
            <w:tcW w:w="3096" w:type="dxa"/>
            <w:gridSpan w:val="2"/>
            <w:noWrap w:val="0"/>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hAnsi="宋体" w:eastAsia="Times New Roman" w:cs="宋体"/>
                <w:color w:val="auto"/>
                <w:kern w:val="2"/>
                <w:sz w:val="28"/>
                <w:szCs w:val="28"/>
                <w:lang w:val="en-US" w:eastAsia="zh-CN" w:bidi="ar-SA"/>
              </w:rPr>
            </w:pPr>
            <w:r>
              <w:rPr>
                <w:rFonts w:hint="eastAsia" w:hAnsi="宋体" w:eastAsia="Times New Roman" w:cs="宋体"/>
                <w:color w:val="auto"/>
                <w:kern w:val="2"/>
                <w:sz w:val="28"/>
                <w:szCs w:val="28"/>
                <w:lang w:val="en-US" w:eastAsia="zh-CN" w:bidi="ar-SA"/>
              </w:rPr>
              <w:t>18783968488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76" w:type="dxa"/>
            <w:noWrap w:val="0"/>
            <w:vAlign w:val="top"/>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Times New Roman" w:cs="宋体"/>
                <w:color w:val="auto"/>
                <w:kern w:val="2"/>
                <w:sz w:val="28"/>
                <w:szCs w:val="28"/>
                <w:lang w:val="zh-CN" w:eastAsia="zh-CN" w:bidi="ar-SA"/>
              </w:rPr>
            </w:pPr>
            <w:r>
              <w:rPr>
                <w:rFonts w:hint="eastAsia" w:hAnsi="宋体" w:eastAsia="Times New Roman" w:cs="宋体"/>
                <w:color w:val="auto"/>
                <w:kern w:val="2"/>
                <w:sz w:val="28"/>
                <w:szCs w:val="28"/>
                <w:lang w:val="zh-CN" w:eastAsia="zh-CN" w:bidi="ar-SA"/>
              </w:rPr>
              <w:t>联系人</w:t>
            </w:r>
          </w:p>
        </w:tc>
        <w:tc>
          <w:tcPr>
            <w:tcW w:w="1907" w:type="dxa"/>
            <w:noWrap w:val="0"/>
            <w:vAlign w:val="top"/>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Times New Roman" w:cs="宋体"/>
                <w:color w:val="auto"/>
                <w:kern w:val="2"/>
                <w:sz w:val="28"/>
                <w:szCs w:val="28"/>
                <w:lang w:val="zh-CN" w:eastAsia="zh-CN" w:bidi="ar-SA"/>
              </w:rPr>
            </w:pPr>
            <w:r>
              <w:rPr>
                <w:rFonts w:hint="eastAsia" w:hAnsi="宋体" w:eastAsia="Times New Roman" w:cs="宋体"/>
                <w:color w:val="auto"/>
                <w:kern w:val="2"/>
                <w:sz w:val="28"/>
                <w:szCs w:val="28"/>
                <w:lang w:val="zh-CN" w:eastAsia="zh-CN" w:bidi="ar-SA"/>
              </w:rPr>
              <w:t>邓宝</w:t>
            </w:r>
          </w:p>
        </w:tc>
        <w:tc>
          <w:tcPr>
            <w:tcW w:w="2009" w:type="dxa"/>
            <w:gridSpan w:val="2"/>
            <w:noWrap w:val="0"/>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Times New Roman" w:cs="宋体"/>
                <w:color w:val="auto"/>
                <w:kern w:val="2"/>
                <w:sz w:val="28"/>
                <w:szCs w:val="28"/>
                <w:lang w:val="zh-CN" w:eastAsia="zh-CN" w:bidi="ar-SA"/>
              </w:rPr>
            </w:pPr>
            <w:r>
              <w:rPr>
                <w:rFonts w:hint="eastAsia" w:ascii="宋体" w:hAnsi="宋体" w:eastAsia="Times New Roman" w:cs="宋体"/>
                <w:color w:val="auto"/>
                <w:kern w:val="2"/>
                <w:sz w:val="28"/>
                <w:szCs w:val="28"/>
                <w:lang w:val="zh-CN" w:eastAsia="zh-CN" w:bidi="ar-SA"/>
              </w:rPr>
              <w:t>成立时间</w:t>
            </w:r>
          </w:p>
        </w:tc>
        <w:tc>
          <w:tcPr>
            <w:tcW w:w="3096" w:type="dxa"/>
            <w:gridSpan w:val="2"/>
            <w:noWrap w:val="0"/>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hAnsi="宋体" w:eastAsia="Times New Roman" w:cs="宋体"/>
                <w:color w:val="auto"/>
                <w:kern w:val="2"/>
                <w:sz w:val="28"/>
                <w:szCs w:val="28"/>
                <w:lang w:val="en-US" w:eastAsia="zh-CN" w:bidi="ar-SA"/>
              </w:rPr>
            </w:pPr>
            <w:r>
              <w:rPr>
                <w:rFonts w:hint="eastAsia" w:ascii="宋体" w:hAnsi="宋体"/>
                <w:color w:val="auto"/>
                <w:sz w:val="28"/>
                <w:szCs w:val="28"/>
                <w:lang w:val="en-US" w:eastAsia="zh-CN"/>
              </w:rPr>
              <w:t>20</w:t>
            </w:r>
            <w:r>
              <w:rPr>
                <w:rFonts w:hint="eastAsia" w:hAnsi="宋体"/>
                <w:color w:val="auto"/>
                <w:sz w:val="28"/>
                <w:szCs w:val="28"/>
                <w:lang w:val="en-US" w:eastAsia="zh-CN"/>
              </w:rPr>
              <w:t>10</w:t>
            </w:r>
            <w:r>
              <w:rPr>
                <w:rFonts w:hint="eastAsia" w:ascii="仿宋_GB2312"/>
                <w:snapToGrid w:val="0"/>
                <w:color w:val="auto"/>
                <w:kern w:val="0"/>
                <w:sz w:val="28"/>
                <w:szCs w:val="28"/>
                <w:lang w:val="en-US" w:eastAsia="zh-CN"/>
              </w:rPr>
              <w:t>年10月14日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76" w:type="dxa"/>
            <w:noWrap w:val="0"/>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Times New Roman" w:cs="宋体"/>
                <w:color w:val="auto"/>
                <w:kern w:val="2"/>
                <w:sz w:val="28"/>
                <w:szCs w:val="28"/>
                <w:lang w:val="zh-CN" w:eastAsia="zh-CN" w:bidi="ar-SA"/>
              </w:rPr>
            </w:pPr>
            <w:r>
              <w:rPr>
                <w:rFonts w:hint="eastAsia" w:ascii="宋体" w:hAnsi="宋体" w:eastAsia="Times New Roman" w:cs="宋体"/>
                <w:color w:val="auto"/>
                <w:kern w:val="2"/>
                <w:sz w:val="28"/>
                <w:szCs w:val="28"/>
                <w:lang w:val="zh-CN" w:eastAsia="zh-CN" w:bidi="ar-SA"/>
              </w:rPr>
              <w:t>企业性质</w:t>
            </w:r>
          </w:p>
        </w:tc>
        <w:tc>
          <w:tcPr>
            <w:tcW w:w="1907" w:type="dxa"/>
            <w:noWrap w:val="0"/>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hAnsi="宋体" w:eastAsia="Times New Roman" w:cs="宋体"/>
                <w:color w:val="auto"/>
                <w:kern w:val="2"/>
                <w:sz w:val="28"/>
                <w:szCs w:val="28"/>
                <w:lang w:val="en-US" w:eastAsia="zh-CN" w:bidi="ar-SA"/>
              </w:rPr>
            </w:pPr>
            <w:r>
              <w:rPr>
                <w:rFonts w:hint="eastAsia" w:hAnsi="宋体" w:eastAsia="Times New Roman" w:cs="宋体"/>
                <w:color w:val="auto"/>
                <w:kern w:val="2"/>
                <w:sz w:val="28"/>
                <w:szCs w:val="28"/>
                <w:lang w:val="en-US" w:eastAsia="zh-CN" w:bidi="ar-SA"/>
              </w:rPr>
              <w:t>个人独资企业</w:t>
            </w:r>
          </w:p>
        </w:tc>
        <w:tc>
          <w:tcPr>
            <w:tcW w:w="2009" w:type="dxa"/>
            <w:gridSpan w:val="2"/>
            <w:noWrap w:val="0"/>
            <w:vAlign w:val="top"/>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hAnsi="宋体" w:eastAsia="Times New Roman" w:cs="宋体"/>
                <w:color w:val="auto"/>
                <w:kern w:val="2"/>
                <w:sz w:val="28"/>
                <w:szCs w:val="28"/>
                <w:lang w:val="zh-CN" w:eastAsia="zh-CN" w:bidi="ar-SA"/>
              </w:rPr>
            </w:pPr>
            <w:r>
              <w:rPr>
                <w:rFonts w:hint="eastAsia" w:hAnsi="宋体" w:eastAsia="Times New Roman" w:cs="宋体"/>
                <w:color w:val="auto"/>
                <w:kern w:val="2"/>
                <w:sz w:val="28"/>
                <w:szCs w:val="28"/>
                <w:lang w:val="en-US" w:eastAsia="zh-CN" w:bidi="ar-SA"/>
              </w:rPr>
              <w:t>注册号</w:t>
            </w:r>
          </w:p>
        </w:tc>
        <w:tc>
          <w:tcPr>
            <w:tcW w:w="3096" w:type="dxa"/>
            <w:gridSpan w:val="2"/>
            <w:noWrap w:val="0"/>
            <w:vAlign w:val="top"/>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hAnsi="宋体" w:eastAsia="Times New Roman" w:cs="宋体"/>
                <w:color w:val="auto"/>
                <w:kern w:val="2"/>
                <w:sz w:val="28"/>
                <w:szCs w:val="28"/>
                <w:lang w:val="zh-CN" w:eastAsia="zh-CN" w:bidi="ar-SA"/>
              </w:rPr>
            </w:pPr>
            <w:r>
              <w:rPr>
                <w:rFonts w:hint="eastAsia" w:ascii="宋体" w:hAnsi="宋体"/>
                <w:szCs w:val="21"/>
              </w:rPr>
              <w:t>91511324L28643318M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2276" w:type="dxa"/>
            <w:noWrap w:val="0"/>
            <w:vAlign w:val="top"/>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Times New Roman" w:cs="宋体"/>
                <w:color w:val="auto"/>
                <w:kern w:val="2"/>
                <w:sz w:val="28"/>
                <w:szCs w:val="28"/>
                <w:lang w:val="zh-CN" w:eastAsia="zh-CN" w:bidi="ar-SA"/>
              </w:rPr>
            </w:pPr>
            <w:r>
              <w:rPr>
                <w:rFonts w:hint="eastAsia" w:ascii="宋体" w:hAnsi="宋体" w:eastAsia="Times New Roman" w:cs="宋体"/>
                <w:color w:val="auto"/>
                <w:kern w:val="2"/>
                <w:sz w:val="28"/>
                <w:szCs w:val="28"/>
                <w:lang w:val="zh-CN" w:eastAsia="zh-CN" w:bidi="ar-SA"/>
              </w:rPr>
              <w:t>通讯地址</w:t>
            </w:r>
          </w:p>
        </w:tc>
        <w:tc>
          <w:tcPr>
            <w:tcW w:w="7012" w:type="dxa"/>
            <w:gridSpan w:val="5"/>
            <w:noWrap w:val="0"/>
            <w:vAlign w:val="top"/>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hAnsi="宋体" w:eastAsia="Times New Roman" w:cs="宋体"/>
                <w:color w:val="auto"/>
                <w:kern w:val="2"/>
                <w:sz w:val="28"/>
                <w:szCs w:val="28"/>
                <w:lang w:val="zh-CN" w:eastAsia="zh-CN" w:bidi="ar-SA"/>
              </w:rPr>
            </w:pPr>
            <w:r>
              <w:rPr>
                <w:rFonts w:hint="eastAsia" w:hAnsi="宋体" w:eastAsia="Times New Roman" w:cs="宋体"/>
                <w:color w:val="auto"/>
                <w:kern w:val="2"/>
                <w:sz w:val="28"/>
                <w:szCs w:val="28"/>
                <w:lang w:val="zh-CN" w:eastAsia="zh-CN" w:bidi="ar-SA"/>
              </w:rPr>
              <w:t>仪陇县来仪乡黄包村一社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76" w:type="dxa"/>
            <w:noWrap w:val="0"/>
            <w:vAlign w:val="top"/>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Times New Roman" w:cs="宋体"/>
                <w:color w:val="auto"/>
                <w:kern w:val="2"/>
                <w:sz w:val="28"/>
                <w:szCs w:val="28"/>
                <w:lang w:val="zh-CN" w:eastAsia="zh-CN" w:bidi="ar-SA"/>
              </w:rPr>
            </w:pPr>
            <w:r>
              <w:rPr>
                <w:rFonts w:hint="eastAsia" w:ascii="宋体" w:hAnsi="宋体" w:eastAsia="Times New Roman" w:cs="宋体"/>
                <w:color w:val="auto"/>
                <w:kern w:val="2"/>
                <w:sz w:val="28"/>
                <w:szCs w:val="28"/>
                <w:lang w:val="zh-CN" w:eastAsia="zh-CN" w:bidi="ar-SA"/>
              </w:rPr>
              <w:t>行业类别及代码</w:t>
            </w:r>
          </w:p>
        </w:tc>
        <w:tc>
          <w:tcPr>
            <w:tcW w:w="7012" w:type="dxa"/>
            <w:gridSpan w:val="5"/>
            <w:noWrap w:val="0"/>
            <w:vAlign w:val="top"/>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hAnsi="宋体" w:eastAsia="Times New Roman" w:cs="宋体"/>
                <w:color w:val="auto"/>
                <w:kern w:val="2"/>
                <w:sz w:val="28"/>
                <w:szCs w:val="28"/>
                <w:lang w:val="en-US" w:eastAsia="zh-CN" w:bidi="ar-SA"/>
              </w:rPr>
            </w:pPr>
            <w:r>
              <w:rPr>
                <w:rFonts w:hint="eastAsia" w:hAnsi="宋体" w:eastAsia="Times New Roman" w:cs="宋体"/>
                <w:color w:val="auto"/>
                <w:kern w:val="2"/>
                <w:sz w:val="28"/>
                <w:szCs w:val="28"/>
                <w:lang w:val="en-US" w:eastAsia="zh-CN" w:bidi="ar-SA"/>
              </w:rPr>
              <w:t>粘土砖瓦及建设砌块制造C3131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76" w:type="dxa"/>
            <w:noWrap w:val="0"/>
            <w:vAlign w:val="top"/>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Times New Roman" w:cs="宋体"/>
                <w:color w:val="auto"/>
                <w:kern w:val="2"/>
                <w:sz w:val="28"/>
                <w:szCs w:val="28"/>
                <w:lang w:val="zh-CN" w:eastAsia="zh-CN" w:bidi="ar-SA"/>
              </w:rPr>
            </w:pPr>
            <w:r>
              <w:rPr>
                <w:rFonts w:hint="eastAsia" w:ascii="宋体" w:hAnsi="宋体" w:eastAsia="Times New Roman" w:cs="宋体"/>
                <w:color w:val="auto"/>
                <w:kern w:val="2"/>
                <w:sz w:val="28"/>
                <w:szCs w:val="28"/>
                <w:lang w:val="zh-CN" w:eastAsia="zh-CN" w:bidi="ar-SA"/>
              </w:rPr>
              <w:t>企业规模</w:t>
            </w:r>
          </w:p>
        </w:tc>
        <w:tc>
          <w:tcPr>
            <w:tcW w:w="3550" w:type="dxa"/>
            <w:gridSpan w:val="2"/>
            <w:noWrap w:val="0"/>
            <w:vAlign w:val="top"/>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Times New Roman" w:cs="宋体"/>
                <w:color w:val="auto"/>
                <w:kern w:val="2"/>
                <w:sz w:val="28"/>
                <w:szCs w:val="28"/>
                <w:lang w:val="en-US" w:eastAsia="zh-CN" w:bidi="ar-SA"/>
              </w:rPr>
            </w:pPr>
            <w:r>
              <w:rPr>
                <w:rFonts w:hint="eastAsia" w:hAnsi="宋体" w:cs="宋体"/>
                <w:lang w:val="en-US" w:eastAsia="zh-CN"/>
              </w:rPr>
              <w:t>4</w:t>
            </w:r>
            <w:r>
              <w:rPr>
                <w:rFonts w:hint="eastAsia" w:ascii="宋体" w:hAnsi="宋体" w:eastAsia="宋体" w:cs="宋体"/>
              </w:rPr>
              <w:t>000万标砖/年</w:t>
            </w:r>
          </w:p>
        </w:tc>
        <w:tc>
          <w:tcPr>
            <w:tcW w:w="1500" w:type="dxa"/>
            <w:gridSpan w:val="2"/>
            <w:noWrap w:val="0"/>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Times New Roman" w:cs="宋体"/>
                <w:color w:val="auto"/>
                <w:kern w:val="2"/>
                <w:sz w:val="28"/>
                <w:szCs w:val="28"/>
                <w:lang w:val="zh-CN" w:eastAsia="zh-CN" w:bidi="ar-SA"/>
              </w:rPr>
            </w:pPr>
            <w:r>
              <w:rPr>
                <w:rFonts w:hint="eastAsia" w:ascii="宋体" w:hAnsi="宋体" w:eastAsia="Times New Roman" w:cs="宋体"/>
                <w:color w:val="auto"/>
                <w:kern w:val="2"/>
                <w:sz w:val="28"/>
                <w:szCs w:val="28"/>
                <w:lang w:val="zh-CN" w:eastAsia="zh-CN" w:bidi="ar-SA"/>
              </w:rPr>
              <w:t>占地面积</w:t>
            </w:r>
          </w:p>
        </w:tc>
        <w:tc>
          <w:tcPr>
            <w:tcW w:w="1962" w:type="dxa"/>
            <w:noWrap w:val="0"/>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Times New Roman" w:cs="宋体"/>
                <w:color w:val="auto"/>
                <w:kern w:val="2"/>
                <w:sz w:val="28"/>
                <w:szCs w:val="28"/>
                <w:lang w:val="zh-CN" w:eastAsia="zh-CN" w:bidi="ar-SA"/>
              </w:rPr>
            </w:pPr>
            <w:r>
              <w:rPr>
                <w:rFonts w:hint="eastAsia" w:ascii="宋体" w:hAnsi="宋体" w:eastAsia="宋体" w:cs="宋体"/>
              </w:rPr>
              <w:t>9300m</w:t>
            </w:r>
            <w:r>
              <w:rPr>
                <w:rFonts w:hint="eastAsia" w:ascii="宋体" w:hAnsi="宋体" w:eastAsia="宋体" w:cs="宋体"/>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76" w:type="dxa"/>
            <w:noWrap w:val="0"/>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Times New Roman" w:cs="宋体"/>
                <w:color w:val="auto"/>
                <w:kern w:val="2"/>
                <w:sz w:val="28"/>
                <w:szCs w:val="28"/>
                <w:lang w:val="zh-CN" w:eastAsia="zh-CN" w:bidi="ar-SA"/>
              </w:rPr>
            </w:pPr>
            <w:r>
              <w:rPr>
                <w:rFonts w:hint="eastAsia" w:ascii="宋体" w:hAnsi="宋体" w:eastAsia="Times New Roman" w:cs="宋体"/>
                <w:color w:val="auto"/>
                <w:kern w:val="2"/>
                <w:sz w:val="28"/>
                <w:szCs w:val="28"/>
                <w:lang w:val="zh-CN" w:eastAsia="zh-CN" w:bidi="ar-SA"/>
              </w:rPr>
              <w:t>采矿许可证</w:t>
            </w:r>
          </w:p>
        </w:tc>
        <w:tc>
          <w:tcPr>
            <w:tcW w:w="7012" w:type="dxa"/>
            <w:gridSpan w:val="5"/>
            <w:noWrap w:val="0"/>
            <w:vAlign w:val="top"/>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Times New Roman" w:cs="宋体"/>
                <w:color w:val="auto"/>
                <w:kern w:val="2"/>
                <w:sz w:val="28"/>
                <w:szCs w:val="28"/>
                <w:lang w:val="zh-CN" w:eastAsia="zh-CN" w:bidi="ar-SA"/>
              </w:rPr>
            </w:pPr>
            <w:r>
              <w:rPr>
                <w:rFonts w:hint="eastAsia" w:ascii="宋体" w:hAnsi="宋体" w:eastAsia="Times New Roman" w:cs="宋体"/>
                <w:color w:val="auto"/>
                <w:kern w:val="2"/>
                <w:sz w:val="28"/>
                <w:szCs w:val="28"/>
                <w:lang w:val="zh-CN" w:eastAsia="zh-CN" w:bidi="ar-SA"/>
              </w:rPr>
              <w:t>证号：C5113242009097130035089</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Times New Roman" w:cs="宋体"/>
                <w:color w:val="auto"/>
                <w:kern w:val="2"/>
                <w:sz w:val="28"/>
                <w:szCs w:val="28"/>
                <w:lang w:val="zh-CN" w:eastAsia="zh-CN" w:bidi="ar-SA"/>
              </w:rPr>
            </w:pPr>
            <w:r>
              <w:rPr>
                <w:rFonts w:hint="eastAsia" w:ascii="宋体" w:hAnsi="宋体" w:eastAsia="Times New Roman" w:cs="宋体"/>
                <w:color w:val="auto"/>
                <w:kern w:val="2"/>
                <w:sz w:val="28"/>
                <w:szCs w:val="28"/>
                <w:lang w:val="zh-CN" w:eastAsia="zh-CN" w:bidi="ar-SA"/>
              </w:rPr>
              <w:t>发证单位：仪陇县国土资源局</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Times New Roman" w:cs="宋体"/>
                <w:color w:val="auto"/>
                <w:kern w:val="2"/>
                <w:sz w:val="28"/>
                <w:szCs w:val="28"/>
                <w:lang w:val="zh-CN" w:eastAsia="zh-CN" w:bidi="ar-SA"/>
              </w:rPr>
            </w:pPr>
            <w:r>
              <w:rPr>
                <w:rFonts w:hint="eastAsia" w:ascii="宋体" w:hAnsi="宋体" w:eastAsia="Times New Roman" w:cs="宋体"/>
                <w:color w:val="auto"/>
                <w:kern w:val="2"/>
                <w:sz w:val="28"/>
                <w:szCs w:val="28"/>
                <w:lang w:val="zh-CN" w:eastAsia="zh-CN" w:bidi="ar-SA"/>
              </w:rPr>
              <w:t>开采矿种：砖瓦用页岩      开采方式：露天开采</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Times New Roman" w:cs="宋体"/>
                <w:color w:val="auto"/>
                <w:kern w:val="2"/>
                <w:sz w:val="28"/>
                <w:szCs w:val="28"/>
                <w:lang w:val="en-US" w:eastAsia="zh-CN" w:bidi="ar-SA"/>
              </w:rPr>
            </w:pPr>
            <w:r>
              <w:rPr>
                <w:rFonts w:hint="eastAsia" w:ascii="宋体" w:hAnsi="宋体" w:eastAsia="Times New Roman" w:cs="宋体"/>
                <w:color w:val="auto"/>
                <w:kern w:val="2"/>
                <w:sz w:val="28"/>
                <w:szCs w:val="28"/>
                <w:lang w:val="zh-CN" w:eastAsia="zh-CN" w:bidi="ar-SA"/>
              </w:rPr>
              <w:t>生产规模：2.5万吨/年     矿区面积：0.007平方公里</w:t>
            </w:r>
          </w:p>
        </w:tc>
      </w:tr>
    </w:tbl>
    <w:p>
      <w:pPr>
        <w:pStyle w:val="12"/>
        <w:spacing w:line="240" w:lineRule="auto"/>
        <w:ind w:firstLine="482" w:firstLineChars="200"/>
        <w:jc w:val="center"/>
        <w:rPr>
          <w:rFonts w:hint="eastAsia" w:ascii="黑体" w:hAnsi="Courier New" w:eastAsia="黑体"/>
          <w:b/>
          <w:color w:val="auto"/>
          <w:sz w:val="24"/>
        </w:rPr>
      </w:pPr>
      <w:bookmarkStart w:id="40" w:name="_Toc332285104"/>
      <w:r>
        <w:rPr>
          <w:rFonts w:hint="eastAsia" w:ascii="黑体" w:hAnsi="Courier New" w:eastAsia="黑体"/>
          <w:b/>
          <w:color w:val="auto"/>
          <w:sz w:val="24"/>
        </w:rPr>
        <w:t>表2-1 单位基本情况一览表</w:t>
      </w:r>
    </w:p>
    <w:p>
      <w:pPr>
        <w:spacing w:line="360" w:lineRule="auto"/>
        <w:ind w:firstLine="560" w:firstLineChars="200"/>
        <w:rPr>
          <w:rFonts w:hint="eastAsia"/>
          <w:sz w:val="28"/>
          <w:szCs w:val="28"/>
        </w:rPr>
      </w:pPr>
      <w:r>
        <w:rPr>
          <w:rFonts w:hint="eastAsia"/>
          <w:sz w:val="28"/>
          <w:szCs w:val="28"/>
          <w:lang w:eastAsia="zh-CN"/>
        </w:rPr>
        <w:t>仪陇</w:t>
      </w:r>
      <w:r>
        <w:rPr>
          <w:rFonts w:hint="eastAsia"/>
          <w:sz w:val="28"/>
          <w:szCs w:val="28"/>
        </w:rPr>
        <w:t>县来仪乡银河页岩机砖厂于</w:t>
      </w:r>
      <w:r>
        <w:rPr>
          <w:rFonts w:hint="eastAsia"/>
          <w:sz w:val="28"/>
          <w:szCs w:val="28"/>
          <w:lang w:val="en-US" w:eastAsia="zh-CN"/>
        </w:rPr>
        <w:t>2010年10月</w:t>
      </w:r>
      <w:r>
        <w:rPr>
          <w:rFonts w:hint="eastAsia" w:ascii="仿宋_GB2312"/>
          <w:snapToGrid w:val="0"/>
          <w:kern w:val="0"/>
          <w:sz w:val="28"/>
          <w:szCs w:val="28"/>
          <w:lang w:val="en-US" w:eastAsia="zh-CN"/>
        </w:rPr>
        <w:t>14日</w:t>
      </w:r>
      <w:r>
        <w:rPr>
          <w:rFonts w:hint="eastAsia"/>
          <w:sz w:val="28"/>
          <w:szCs w:val="28"/>
        </w:rPr>
        <w:t>成立，租赁来仪乡黄包村一社14亩土地进行建设页岩机砖厂。使用</w:t>
      </w:r>
      <w:r>
        <w:rPr>
          <w:rFonts w:hint="eastAsia"/>
          <w:sz w:val="28"/>
          <w:szCs w:val="28"/>
          <w:lang w:eastAsia="zh-CN"/>
        </w:rPr>
        <w:t>隧</w:t>
      </w:r>
      <w:r>
        <w:rPr>
          <w:rFonts w:hint="eastAsia"/>
          <w:sz w:val="28"/>
          <w:szCs w:val="28"/>
        </w:rPr>
        <w:t>道</w:t>
      </w:r>
      <w:r>
        <w:rPr>
          <w:rFonts w:hint="eastAsia"/>
          <w:sz w:val="28"/>
          <w:szCs w:val="28"/>
          <w:lang w:eastAsia="zh-CN"/>
        </w:rPr>
        <w:t>窖</w:t>
      </w:r>
      <w:r>
        <w:rPr>
          <w:rFonts w:hint="eastAsia"/>
          <w:sz w:val="28"/>
          <w:szCs w:val="28"/>
        </w:rPr>
        <w:t>生产工艺，目前拥有年产</w:t>
      </w:r>
      <w:r>
        <w:rPr>
          <w:rFonts w:hint="eastAsia"/>
          <w:sz w:val="28"/>
          <w:szCs w:val="28"/>
          <w:lang w:val="en-US" w:eastAsia="zh-CN"/>
        </w:rPr>
        <w:t>4</w:t>
      </w:r>
      <w:r>
        <w:rPr>
          <w:rFonts w:hint="eastAsia"/>
          <w:sz w:val="28"/>
          <w:szCs w:val="28"/>
        </w:rPr>
        <w:t>000万 /匹页岩实心砖的生产能力。</w:t>
      </w:r>
      <w:r>
        <w:rPr>
          <w:rFonts w:hint="eastAsia" w:ascii="仿宋_GB2312"/>
          <w:snapToGrid w:val="0"/>
          <w:kern w:val="0"/>
          <w:sz w:val="28"/>
          <w:szCs w:val="28"/>
          <w:lang w:val="en-US" w:eastAsia="zh-CN"/>
        </w:rPr>
        <w:t>现有13人，安全生产管理人员由于总经理邓先银、厂长邓宝、蒋建国、范强、王燕萍组成。</w:t>
      </w:r>
    </w:p>
    <w:p>
      <w:pPr>
        <w:pStyle w:val="5"/>
        <w:spacing w:before="0" w:after="0" w:line="360" w:lineRule="auto"/>
        <w:rPr>
          <w:rFonts w:hint="eastAsia" w:ascii="宋体" w:hAnsi="宋体" w:eastAsia="宋体" w:cs="宋体"/>
          <w:color w:val="0000FF"/>
          <w:sz w:val="28"/>
          <w:szCs w:val="28"/>
        </w:rPr>
      </w:pPr>
      <w:bookmarkStart w:id="41" w:name="_Toc30627"/>
      <w:bookmarkStart w:id="42" w:name="_Toc29380"/>
      <w:r>
        <w:rPr>
          <w:rFonts w:hint="eastAsia" w:ascii="宋体" w:hAnsi="宋体" w:eastAsia="宋体" w:cs="宋体"/>
          <w:color w:val="0000FF"/>
          <w:sz w:val="28"/>
          <w:szCs w:val="28"/>
        </w:rPr>
        <w:t>2.</w:t>
      </w:r>
      <w:r>
        <w:rPr>
          <w:rFonts w:hint="eastAsia" w:ascii="宋体" w:hAnsi="宋体" w:eastAsia="宋体" w:cs="宋体"/>
          <w:color w:val="0000FF"/>
          <w:sz w:val="28"/>
          <w:szCs w:val="28"/>
          <w:lang w:val="en-US" w:eastAsia="zh-CN"/>
        </w:rPr>
        <w:t>1.1</w:t>
      </w:r>
      <w:r>
        <w:rPr>
          <w:rFonts w:hint="eastAsia" w:ascii="宋体" w:hAnsi="宋体" w:eastAsia="宋体" w:cs="宋体"/>
          <w:color w:val="0000FF"/>
          <w:sz w:val="28"/>
          <w:szCs w:val="28"/>
        </w:rPr>
        <w:t>公司地理位置及环境等情况</w:t>
      </w:r>
      <w:bookmarkEnd w:id="40"/>
      <w:bookmarkEnd w:id="41"/>
      <w:bookmarkEnd w:id="42"/>
    </w:p>
    <w:p>
      <w:pPr>
        <w:spacing w:line="360" w:lineRule="auto"/>
        <w:ind w:firstLine="560" w:firstLineChars="200"/>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仪陇县来仪银河页岩砖厂</w:t>
      </w:r>
      <w:r>
        <w:rPr>
          <w:rFonts w:hint="eastAsia" w:ascii="宋体" w:hAnsi="宋体" w:cs="宋体"/>
          <w:color w:val="auto"/>
          <w:sz w:val="28"/>
          <w:szCs w:val="28"/>
          <w:lang w:val="zh-CN" w:eastAsia="zh-CN"/>
        </w:rPr>
        <w:t>行政区划隶属仪陇县来仪乡黄包村一社，</w:t>
      </w:r>
      <w:r>
        <w:rPr>
          <w:rFonts w:hint="eastAsia" w:ascii="宋体" w:hAnsi="宋体" w:cs="宋体"/>
          <w:color w:val="auto"/>
          <w:sz w:val="28"/>
          <w:szCs w:val="28"/>
          <w:lang w:val="en-US" w:eastAsia="zh-CN"/>
        </w:rPr>
        <w:t>来仪乡距离仪陇县人民政府约57公里，东与茶坝镇相邻，南连福临乡，西靠碧泉乡，北接观音井镇。砖厂建有约150m的碎石路与村公路相接，村路系统较为健全，全程为水泥路面，路况较好，交通方便。</w:t>
      </w:r>
    </w:p>
    <w:p>
      <w:pPr>
        <w:pStyle w:val="2"/>
        <w:ind w:left="0" w:leftChars="0" w:firstLine="0" w:firstLineChars="0"/>
        <w:rPr>
          <w:color w:val="0000FF"/>
        </w:rPr>
      </w:pPr>
      <w:r>
        <w:rPr>
          <w:color w:val="0000FF"/>
          <w:sz w:val="72"/>
        </w:rPr>
        <mc:AlternateContent>
          <mc:Choice Requires="wps">
            <w:drawing>
              <wp:anchor distT="0" distB="0" distL="114300" distR="114300" simplePos="0" relativeHeight="251663360" behindDoc="0" locked="0" layoutInCell="1" allowOverlap="1">
                <wp:simplePos x="0" y="0"/>
                <wp:positionH relativeFrom="column">
                  <wp:posOffset>1496060</wp:posOffset>
                </wp:positionH>
                <wp:positionV relativeFrom="paragraph">
                  <wp:posOffset>1330325</wp:posOffset>
                </wp:positionV>
                <wp:extent cx="1728470" cy="276225"/>
                <wp:effectExtent l="5080" t="5080" r="171450" b="145415"/>
                <wp:wrapNone/>
                <wp:docPr id="19" name="圆角矩形标注 19"/>
                <wp:cNvGraphicFramePr/>
                <a:graphic xmlns:a="http://schemas.openxmlformats.org/drawingml/2006/main">
                  <a:graphicData uri="http://schemas.microsoft.com/office/word/2010/wordprocessingShape">
                    <wps:wsp>
                      <wps:cNvSpPr/>
                      <wps:spPr>
                        <a:xfrm flipH="1">
                          <a:off x="0" y="0"/>
                          <a:ext cx="1728470" cy="276225"/>
                        </a:xfrm>
                        <a:prstGeom prst="wedgeRoundRectCallout">
                          <a:avLst>
                            <a:gd name="adj1" fmla="val -57491"/>
                            <a:gd name="adj2" fmla="val 95208"/>
                            <a:gd name="adj3" fmla="val 16667"/>
                          </a:avLst>
                        </a:prstGeom>
                        <a:noFill/>
                        <a:ln w="9525" cap="flat" cmpd="sng">
                          <a:solidFill>
                            <a:srgbClr val="000000"/>
                          </a:solidFill>
                          <a:prstDash val="solid"/>
                          <a:miter/>
                          <a:headEnd type="none" w="med" len="med"/>
                          <a:tailEnd type="none" w="med" len="med"/>
                        </a:ln>
                      </wps:spPr>
                      <wps:txbx>
                        <w:txbxContent>
                          <w:p>
                            <w:pPr>
                              <w:rPr>
                                <w:color w:val="FF0000"/>
                                <w:sz w:val="18"/>
                                <w:szCs w:val="18"/>
                              </w:rPr>
                            </w:pPr>
                            <w:r>
                              <w:rPr>
                                <w:rFonts w:hint="eastAsia" w:ascii="宋体" w:hAnsi="宋体" w:cs="宋体"/>
                                <w:color w:val="FF0000"/>
                                <w:sz w:val="18"/>
                                <w:szCs w:val="18"/>
                                <w:lang w:val="zh-CN" w:eastAsia="zh-CN"/>
                              </w:rPr>
                              <w:t>仪陇县来仪银河页岩砖厂</w:t>
                            </w:r>
                          </w:p>
                        </w:txbxContent>
                      </wps:txbx>
                      <wps:bodyPr upright="1"/>
                    </wps:wsp>
                  </a:graphicData>
                </a:graphic>
              </wp:anchor>
            </w:drawing>
          </mc:Choice>
          <mc:Fallback>
            <w:pict>
              <v:shape id="_x0000_s1026" o:spid="_x0000_s1026" o:spt="62" type="#_x0000_t62" style="position:absolute;left:0pt;flip:x;margin-left:117.8pt;margin-top:104.75pt;height:21.75pt;width:136.1pt;z-index:251663360;mso-width-relative:page;mso-height-relative:page;" filled="f" stroked="t" coordsize="21600,21600" o:gfxdata="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7V5D49oAAAALAQAADwAAAAAAAAABACAAAAAiAAAAZHJzL2Rv&#10;d25yZXYueG1sUEsBAhQAFAAAAAgAh07iQJQEKdQ4AgAAUQQAAA4AAAAAAAAAAQAgAAAAKQEAAGRy&#10;cy9lMm9Eb2MueG1sUEsFBgAAAAAGAAYAWQEAANMFAAAAAA==&#10;" adj="-1618,31365,14400">
                <v:fill on="f" focussize="0,0"/>
                <v:stroke color="#000000" joinstyle="miter"/>
                <v:imagedata o:title=""/>
                <o:lock v:ext="edit" aspectratio="f"/>
                <v:textbox>
                  <w:txbxContent>
                    <w:p>
                      <w:pPr>
                        <w:rPr>
                          <w:color w:val="FF0000"/>
                          <w:sz w:val="18"/>
                          <w:szCs w:val="18"/>
                        </w:rPr>
                      </w:pPr>
                      <w:r>
                        <w:rPr>
                          <w:rFonts w:hint="eastAsia" w:ascii="宋体" w:hAnsi="宋体" w:cs="宋体"/>
                          <w:color w:val="FF0000"/>
                          <w:sz w:val="18"/>
                          <w:szCs w:val="18"/>
                          <w:lang w:val="zh-CN" w:eastAsia="zh-CN"/>
                        </w:rPr>
                        <w:t>仪陇县来仪银河页岩砖厂</w:t>
                      </w:r>
                    </w:p>
                  </w:txbxContent>
                </v:textbox>
              </v:shape>
            </w:pict>
          </mc:Fallback>
        </mc:AlternateContent>
      </w:r>
      <w:r>
        <w:drawing>
          <wp:inline distT="0" distB="0" distL="114300" distR="114300">
            <wp:extent cx="5970270" cy="3380105"/>
            <wp:effectExtent l="0" t="0" r="3810" b="3175"/>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5"/>
                    <a:srcRect t="560"/>
                    <a:stretch>
                      <a:fillRect/>
                    </a:stretch>
                  </pic:blipFill>
                  <pic:spPr>
                    <a:xfrm>
                      <a:off x="0" y="0"/>
                      <a:ext cx="5970270" cy="3380105"/>
                    </a:xfrm>
                    <a:prstGeom prst="rect">
                      <a:avLst/>
                    </a:prstGeom>
                    <a:noFill/>
                    <a:ln>
                      <a:noFill/>
                    </a:ln>
                  </pic:spPr>
                </pic:pic>
              </a:graphicData>
            </a:graphic>
          </wp:inline>
        </w:drawing>
      </w:r>
    </w:p>
    <w:p>
      <w:pPr>
        <w:pStyle w:val="12"/>
        <w:spacing w:line="240" w:lineRule="auto"/>
        <w:ind w:firstLine="482" w:firstLineChars="200"/>
        <w:jc w:val="center"/>
        <w:rPr>
          <w:rFonts w:hint="eastAsia" w:ascii="黑体" w:hAnsi="Courier New" w:eastAsia="黑体"/>
          <w:b/>
          <w:color w:val="auto"/>
          <w:sz w:val="24"/>
          <w:lang w:eastAsia="zh-CN"/>
        </w:rPr>
      </w:pPr>
      <w:bookmarkStart w:id="43" w:name="_Toc26359"/>
      <w:bookmarkStart w:id="44" w:name="_Toc332285105"/>
      <w:r>
        <w:rPr>
          <w:rFonts w:hint="eastAsia" w:ascii="黑体" w:hAnsi="Courier New" w:eastAsia="黑体"/>
          <w:b/>
          <w:color w:val="auto"/>
          <w:sz w:val="24"/>
          <w:lang w:eastAsia="zh-CN"/>
        </w:rPr>
        <w:t>图2-1 地理位置图</w:t>
      </w:r>
      <w:bookmarkEnd w:id="43"/>
    </w:p>
    <w:p>
      <w:pPr>
        <w:pStyle w:val="5"/>
        <w:spacing w:before="0" w:after="0" w:line="360" w:lineRule="auto"/>
        <w:rPr>
          <w:rFonts w:hint="eastAsia" w:ascii="宋体" w:hAnsi="宋体" w:eastAsia="宋体" w:cs="宋体"/>
          <w:color w:val="0000FF"/>
          <w:sz w:val="28"/>
          <w:szCs w:val="28"/>
          <w:lang w:val="en-US" w:eastAsia="zh-CN"/>
        </w:rPr>
      </w:pPr>
      <w:bookmarkStart w:id="45" w:name="_Toc30665"/>
      <w:bookmarkStart w:id="46" w:name="_Toc8225"/>
      <w:r>
        <w:rPr>
          <w:rFonts w:hint="eastAsia" w:ascii="宋体" w:hAnsi="宋体" w:eastAsia="宋体" w:cs="宋体"/>
          <w:color w:val="0000FF"/>
          <w:sz w:val="28"/>
          <w:szCs w:val="28"/>
          <w:lang w:val="zh-CN"/>
        </w:rPr>
        <w:t>2.1.</w:t>
      </w:r>
      <w:r>
        <w:rPr>
          <w:rFonts w:hint="eastAsia" w:ascii="宋体" w:hAnsi="宋体" w:eastAsia="宋体" w:cs="宋体"/>
          <w:color w:val="0000FF"/>
          <w:sz w:val="28"/>
          <w:szCs w:val="28"/>
          <w:lang w:val="en-US" w:eastAsia="zh-CN"/>
        </w:rPr>
        <w:t>2</w:t>
      </w:r>
      <w:r>
        <w:rPr>
          <w:rFonts w:hint="eastAsia" w:ascii="宋体" w:hAnsi="宋体" w:eastAsia="宋体" w:cs="宋体"/>
          <w:color w:val="0000FF"/>
          <w:sz w:val="28"/>
          <w:szCs w:val="28"/>
          <w:lang w:val="zh-CN"/>
        </w:rPr>
        <w:t>总体布置</w:t>
      </w:r>
      <w:bookmarkEnd w:id="45"/>
      <w:bookmarkEnd w:id="46"/>
    </w:p>
    <w:p>
      <w:pPr>
        <w:spacing w:line="360" w:lineRule="auto"/>
        <w:ind w:firstLine="562" w:firstLineChars="200"/>
        <w:rPr>
          <w:rFonts w:hint="eastAsia" w:ascii="宋体"/>
          <w:b/>
          <w:bCs/>
          <w:snapToGrid w:val="0"/>
          <w:color w:val="0000FF"/>
          <w:kern w:val="0"/>
          <w:sz w:val="28"/>
          <w:szCs w:val="28"/>
          <w:lang w:val="en-US" w:eastAsia="en-US"/>
        </w:rPr>
      </w:pPr>
      <w:r>
        <w:rPr>
          <w:rFonts w:hint="eastAsia" w:ascii="宋体" w:eastAsia="宋体"/>
          <w:b/>
          <w:bCs/>
          <w:snapToGrid w:val="0"/>
          <w:color w:val="0000FF"/>
          <w:kern w:val="0"/>
          <w:sz w:val="28"/>
          <w:szCs w:val="28"/>
          <w:lang w:val="en-US" w:eastAsia="zh-CN"/>
        </w:rPr>
        <w:t>1、</w:t>
      </w:r>
      <w:r>
        <w:rPr>
          <w:rFonts w:hint="eastAsia" w:ascii="宋体"/>
          <w:b/>
          <w:bCs/>
          <w:snapToGrid w:val="0"/>
          <w:color w:val="0000FF"/>
          <w:kern w:val="0"/>
          <w:sz w:val="28"/>
          <w:szCs w:val="28"/>
          <w:lang w:val="zh-CN" w:eastAsia="zh-CN"/>
        </w:rPr>
        <w:t>总平面布置</w:t>
      </w:r>
    </w:p>
    <w:p>
      <w:pPr>
        <w:spacing w:line="360" w:lineRule="auto"/>
        <w:ind w:firstLine="560" w:firstLineChars="200"/>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砖厂总平面布置较为简单，厂区用地按功能用途分为办公生活区、生产区，并将生产区与办公生活区分开布置。</w:t>
      </w:r>
    </w:p>
    <w:p>
      <w:pPr>
        <w:spacing w:line="360" w:lineRule="auto"/>
        <w:ind w:firstLine="560" w:firstLineChars="200"/>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生活区位于厂区东南部，建筑结构拟为砖混结构。生产区的页岩矿山开采区位于厂区的南侧，中部的烧结砖生产线主要包括：隧道窑、回车场地、陈料车间、破碎车间、制砖车间等。原料车间位于厂区的南侧侧，成品堆放区位于厂区东侧。其余工序按破碎—筛选―搅拌—陈化—切坯―码坯—干燥—焙烧工序依次设置，布局紧凑，工作方便。详情如图2-2所示</w:t>
      </w:r>
    </w:p>
    <w:p>
      <w:pPr>
        <w:spacing w:line="360" w:lineRule="auto"/>
        <w:ind w:firstLine="560" w:firstLineChars="200"/>
        <w:rPr>
          <w:rFonts w:hint="eastAsia" w:ascii="宋体" w:hAnsi="宋体" w:cs="宋体"/>
          <w:color w:val="auto"/>
          <w:sz w:val="28"/>
          <w:szCs w:val="28"/>
          <w:lang w:val="zh-CN" w:eastAsia="zh-CN"/>
        </w:rPr>
      </w:pPr>
      <w:r>
        <w:rPr>
          <w:rFonts w:hint="eastAsia" w:ascii="宋体" w:hAnsi="宋体" w:cs="宋体"/>
          <w:color w:val="auto"/>
          <w:sz w:val="28"/>
          <w:szCs w:val="28"/>
          <w:lang w:val="zh-CN" w:eastAsia="zh-CN"/>
        </w:rPr>
        <w:t>综上，厂内各生产工序有机结合，有利于生产活动的开展，各地块利用功能集中且合理清楚，总平面布置较合理。</w:t>
      </w:r>
    </w:p>
    <w:p>
      <w:pPr>
        <w:spacing w:line="360" w:lineRule="auto"/>
        <w:ind w:firstLine="2800" w:firstLineChars="1000"/>
        <w:rPr>
          <w:rFonts w:hint="eastAsia"/>
          <w:color w:val="000000"/>
          <w:sz w:val="28"/>
          <w:szCs w:val="28"/>
        </w:rPr>
      </w:pPr>
    </w:p>
    <w:p>
      <w:pPr>
        <w:spacing w:line="360" w:lineRule="auto"/>
        <w:ind w:firstLine="2800" w:firstLineChars="1000"/>
        <w:rPr>
          <w:sz w:val="28"/>
          <w:szCs w:val="28"/>
        </w:rPr>
      </w:pPr>
      <w:r>
        <w:rPr>
          <w:color w:val="FF0000"/>
          <w:sz w:val="28"/>
          <w:szCs w:val="28"/>
        </w:rPr>
        <mc:AlternateContent>
          <mc:Choice Requires="wps">
            <w:drawing>
              <wp:anchor distT="0" distB="0" distL="114300" distR="114300" simplePos="0" relativeHeight="251685888" behindDoc="0" locked="0" layoutInCell="1" allowOverlap="1">
                <wp:simplePos x="0" y="0"/>
                <wp:positionH relativeFrom="column">
                  <wp:posOffset>943610</wp:posOffset>
                </wp:positionH>
                <wp:positionV relativeFrom="paragraph">
                  <wp:posOffset>142875</wp:posOffset>
                </wp:positionV>
                <wp:extent cx="3438525" cy="635"/>
                <wp:effectExtent l="0" t="0" r="0" b="0"/>
                <wp:wrapNone/>
                <wp:docPr id="12" name="直接箭头连接符 12"/>
                <wp:cNvGraphicFramePr/>
                <a:graphic xmlns:a="http://schemas.openxmlformats.org/drawingml/2006/main">
                  <a:graphicData uri="http://schemas.microsoft.com/office/word/2010/wordprocessingShape">
                    <wps:wsp>
                      <wps:cNvCnPr/>
                      <wps:spPr>
                        <a:xfrm>
                          <a:off x="0" y="0"/>
                          <a:ext cx="343852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4.3pt;margin-top:11.25pt;height:0.05pt;width:270.75pt;z-index:251685888;mso-width-relative:page;mso-height-relative:page;" filled="f" stroked="t" coordsize="21600,21600" o:gfxdata="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qIuSi1wAAAAkB&#10;AAAPAAAAAAAAAAEAIAAAACIAAABkcnMvZG93bnJldi54bWxQSwECFAAUAAAACACHTuJAEMG87eMB&#10;AACiAwAADgAAAAAAAAABACAAAAAmAQAAZHJzL2Uyb0RvYy54bWxQSwUGAAAAAAYABgBZAQAAewUA&#10;AAAA&#10;">
                <v:fill on="f" focussize="0,0"/>
                <v:stroke color="#000000" joinstyle="round"/>
                <v:imagedata o:title=""/>
                <o:lock v:ext="edit" aspectratio="f"/>
              </v:shape>
            </w:pict>
          </mc:Fallback>
        </mc:AlternateContent>
      </w:r>
      <w:r>
        <w:rPr>
          <w:color w:val="FF0000"/>
          <w:sz w:val="28"/>
          <w:szCs w:val="28"/>
        </w:rPr>
        <mc:AlternateContent>
          <mc:Choice Requires="wps">
            <w:drawing>
              <wp:anchor distT="0" distB="0" distL="114300" distR="114300" simplePos="0" relativeHeight="251688960" behindDoc="0" locked="0" layoutInCell="1" allowOverlap="1">
                <wp:simplePos x="0" y="0"/>
                <wp:positionH relativeFrom="column">
                  <wp:posOffset>4982210</wp:posOffset>
                </wp:positionH>
                <wp:positionV relativeFrom="paragraph">
                  <wp:posOffset>391795</wp:posOffset>
                </wp:positionV>
                <wp:extent cx="600075" cy="351155"/>
                <wp:effectExtent l="33020" t="5080" r="37465" b="9525"/>
                <wp:wrapNone/>
                <wp:docPr id="17" name="上箭头 17"/>
                <wp:cNvGraphicFramePr/>
                <a:graphic xmlns:a="http://schemas.openxmlformats.org/drawingml/2006/main">
                  <a:graphicData uri="http://schemas.microsoft.com/office/word/2010/wordprocessingShape">
                    <wps:wsp>
                      <wps:cNvSpPr/>
                      <wps:spPr>
                        <a:xfrm>
                          <a:off x="0" y="0"/>
                          <a:ext cx="600075" cy="351155"/>
                        </a:xfrm>
                        <a:prstGeom prst="up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t>北</w:t>
                            </w:r>
                          </w:p>
                        </w:txbxContent>
                      </wps:txbx>
                      <wps:bodyPr vert="eaVert" upright="1"/>
                    </wps:wsp>
                  </a:graphicData>
                </a:graphic>
              </wp:anchor>
            </w:drawing>
          </mc:Choice>
          <mc:Fallback>
            <w:pict>
              <v:shape id="_x0000_s1026" o:spid="_x0000_s1026" o:spt="68" type="#_x0000_t68" style="position:absolute;left:0pt;margin-left:392.3pt;margin-top:30.85pt;height:27.65pt;width:47.25pt;z-index:251688960;mso-width-relative:page;mso-height-relative:page;" fillcolor="#FFFFFF" filled="t" stroked="t" coordsize="21600,21600" o:gfxdata="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LDqgtcAAAAKAQAADwAA&#10;AAAAAAABACAAAAAiAAAAZHJzL2Rvd25yZXYueG1sUEsBAhQAFAAAAAgAh07iQLfkDMwXAgAAQQQA&#10;AA4AAAAAAAAAAQAgAAAAJgEAAGRycy9lMm9Eb2MueG1sUEsFBgAAAAAGAAYAWQEAAK8FAAAAAA==&#10;" adj="5400,5400">
                <v:fill on="t" focussize="0,0"/>
                <v:stroke color="#000000" joinstyle="miter"/>
                <v:imagedata o:title=""/>
                <o:lock v:ext="edit" aspectratio="f"/>
                <v:textbox style="layout-flow:vertical-ideographic;">
                  <w:txbxContent>
                    <w:p>
                      <w:pPr>
                        <w:rPr>
                          <w:rFonts w:hint="eastAsia"/>
                        </w:rPr>
                      </w:pPr>
                      <w:r>
                        <w:t>北</w:t>
                      </w:r>
                    </w:p>
                  </w:txbxContent>
                </v:textbox>
              </v:shape>
            </w:pict>
          </mc:Fallback>
        </mc:AlternateContent>
      </w:r>
      <w:r>
        <w:rPr>
          <w:rFonts w:hint="eastAsia"/>
          <w:color w:val="000000"/>
          <w:sz w:val="28"/>
          <w:szCs w:val="28"/>
        </w:rPr>
        <w:t>村公路</w:t>
      </w:r>
    </w:p>
    <w:p>
      <w:pPr>
        <w:rPr>
          <w:color w:val="000000"/>
          <w:sz w:val="28"/>
          <w:szCs w:val="28"/>
        </w:rPr>
      </w:pPr>
      <w:r>
        <w:rPr>
          <w:color w:val="000000"/>
          <w:sz w:val="28"/>
          <w:szCs w:val="28"/>
        </w:rPr>
        <mc:AlternateContent>
          <mc:Choice Requires="wps">
            <w:drawing>
              <wp:anchor distT="0" distB="0" distL="114300" distR="114300" simplePos="0" relativeHeight="251698176" behindDoc="0" locked="0" layoutInCell="1" allowOverlap="1">
                <wp:simplePos x="0" y="0"/>
                <wp:positionH relativeFrom="column">
                  <wp:posOffset>1172210</wp:posOffset>
                </wp:positionH>
                <wp:positionV relativeFrom="paragraph">
                  <wp:posOffset>127635</wp:posOffset>
                </wp:positionV>
                <wp:extent cx="971550" cy="334645"/>
                <wp:effectExtent l="8255" t="4445" r="10795" b="11430"/>
                <wp:wrapNone/>
                <wp:docPr id="14" name="流程图: 手动操作 14"/>
                <wp:cNvGraphicFramePr/>
                <a:graphic xmlns:a="http://schemas.openxmlformats.org/drawingml/2006/main">
                  <a:graphicData uri="http://schemas.microsoft.com/office/word/2010/wordprocessingShape">
                    <wps:wsp>
                      <wps:cNvSpPr/>
                      <wps:spPr>
                        <a:xfrm>
                          <a:off x="0" y="0"/>
                          <a:ext cx="971550" cy="334645"/>
                        </a:xfrm>
                        <a:prstGeom prst="flowChartManualOperation">
                          <a:avLst/>
                        </a:prstGeom>
                        <a:solidFill>
                          <a:srgbClr val="FFFFFF"/>
                        </a:solidFill>
                        <a:ln w="9525" cap="flat" cmpd="sng">
                          <a:solidFill>
                            <a:srgbClr val="000000"/>
                          </a:solidFill>
                          <a:prstDash val="solid"/>
                          <a:miter/>
                          <a:headEnd type="none" w="med" len="med"/>
                          <a:tailEnd type="none" w="med" len="med"/>
                        </a:ln>
                      </wps:spPr>
                      <wps:txbx>
                        <w:txbxContent>
                          <w:p>
                            <w:r>
                              <w:t>大门</w:t>
                            </w:r>
                          </w:p>
                        </w:txbxContent>
                      </wps:txbx>
                      <wps:bodyPr upright="1"/>
                    </wps:wsp>
                  </a:graphicData>
                </a:graphic>
              </wp:anchor>
            </w:drawing>
          </mc:Choice>
          <mc:Fallback>
            <w:pict>
              <v:shape id="_x0000_s1026" o:spid="_x0000_s1026" o:spt="119" type="#_x0000_t119" style="position:absolute;left:0pt;margin-left:92.3pt;margin-top:10.05pt;height:26.35pt;width:76.5pt;z-index:251698176;mso-width-relative:page;mso-height-relative:page;" fillcolor="#FFFFFF" filled="t" stroked="t" coordsize="21600,21600" o:gfxdata="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qIWTNkAAAAJAQAADwAAAAAAAAAB&#10;ACAAAAAiAAAAZHJzL2Rvd25yZXYueG1sUEsBAhQAFAAAAAgAh07iQECXZHAPAgAAAQQAAA4AAAAA&#10;AAAAAQAgAAAAKAEAAGRycy9lMm9Eb2MueG1sUEsFBgAAAAAGAAYAWQEAAKkFAAAAAA==&#10;">
                <v:fill on="t" focussize="0,0"/>
                <v:stroke color="#000000" joinstyle="miter"/>
                <v:imagedata o:title=""/>
                <o:lock v:ext="edit" aspectratio="f"/>
                <v:textbox>
                  <w:txbxContent>
                    <w:p>
                      <w:r>
                        <w:t>大门</w:t>
                      </w:r>
                    </w:p>
                  </w:txbxContent>
                </v:textbox>
              </v:shape>
            </w:pict>
          </mc:Fallback>
        </mc:AlternateContent>
      </w:r>
      <w:r>
        <w:rPr>
          <w:color w:val="000000"/>
          <w:sz w:val="28"/>
          <w:szCs w:val="28"/>
        </w:rPr>
        <mc:AlternateContent>
          <mc:Choice Requires="wps">
            <w:drawing>
              <wp:anchor distT="0" distB="0" distL="114300" distR="114300" simplePos="0" relativeHeight="251694080" behindDoc="0" locked="0" layoutInCell="1" allowOverlap="1">
                <wp:simplePos x="0" y="0"/>
                <wp:positionH relativeFrom="column">
                  <wp:posOffset>2972435</wp:posOffset>
                </wp:positionH>
                <wp:positionV relativeFrom="paragraph">
                  <wp:posOffset>222885</wp:posOffset>
                </wp:positionV>
                <wp:extent cx="714375" cy="304800"/>
                <wp:effectExtent l="4445" t="5080" r="12700" b="10160"/>
                <wp:wrapNone/>
                <wp:docPr id="1" name="矩形 1"/>
                <wp:cNvGraphicFramePr/>
                <a:graphic xmlns:a="http://schemas.openxmlformats.org/drawingml/2006/main">
                  <a:graphicData uri="http://schemas.microsoft.com/office/word/2010/wordprocessingShape">
                    <wps:wsp>
                      <wps:cNvSpPr/>
                      <wps:spPr>
                        <a:xfrm>
                          <a:off x="0" y="0"/>
                          <a:ext cx="714375"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r>
                              <w:t>办公室</w:t>
                            </w:r>
                          </w:p>
                        </w:txbxContent>
                      </wps:txbx>
                      <wps:bodyPr upright="1"/>
                    </wps:wsp>
                  </a:graphicData>
                </a:graphic>
              </wp:anchor>
            </w:drawing>
          </mc:Choice>
          <mc:Fallback>
            <w:pict>
              <v:rect id="_x0000_s1026" o:spid="_x0000_s1026" o:spt="1" style="position:absolute;left:0pt;margin-left:234.05pt;margin-top:17.55pt;height:24pt;width:56.25pt;z-index:251694080;mso-width-relative:page;mso-height-relative:page;" fillcolor="#FFFFFF" filled="t" stroked="t" coordsize="21600,21600" o:gfxdata="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Cwl9Z&#10;2AAAAAkBAAAPAAAAAAAAAAEAIAAAACIAAABkcnMvZG93bnJldi54bWxQSwECFAAUAAAACACHTuJA&#10;j023xegBAADaAwAADgAAAAAAAAABACAAAAAnAQAAZHJzL2Uyb0RvYy54bWxQSwUGAAAAAAYABgBZ&#10;AQAAgQUAAAAA&#10;">
                <v:fill on="t" focussize="0,0"/>
                <v:stroke color="#000000" joinstyle="miter"/>
                <v:imagedata o:title=""/>
                <o:lock v:ext="edit" aspectratio="f"/>
                <v:textbox>
                  <w:txbxContent>
                    <w:p>
                      <w:r>
                        <w:t>办公室</w:t>
                      </w:r>
                    </w:p>
                  </w:txbxContent>
                </v:textbox>
              </v:rect>
            </w:pict>
          </mc:Fallback>
        </mc:AlternateContent>
      </w:r>
      <w:r>
        <w:rPr>
          <w:color w:val="000000"/>
          <w:sz w:val="28"/>
          <w:szCs w:val="28"/>
        </w:rPr>
        <mc:AlternateContent>
          <mc:Choice Requires="wps">
            <w:drawing>
              <wp:anchor distT="0" distB="0" distL="114300" distR="114300" simplePos="0" relativeHeight="251686912" behindDoc="0" locked="0" layoutInCell="1" allowOverlap="1">
                <wp:simplePos x="0" y="0"/>
                <wp:positionH relativeFrom="column">
                  <wp:posOffset>943610</wp:posOffset>
                </wp:positionH>
                <wp:positionV relativeFrom="paragraph">
                  <wp:posOffset>127635</wp:posOffset>
                </wp:positionV>
                <wp:extent cx="3590925" cy="635"/>
                <wp:effectExtent l="0" t="0" r="0" b="0"/>
                <wp:wrapNone/>
                <wp:docPr id="9" name="直接箭头连接符 9"/>
                <wp:cNvGraphicFramePr/>
                <a:graphic xmlns:a="http://schemas.openxmlformats.org/drawingml/2006/main">
                  <a:graphicData uri="http://schemas.microsoft.com/office/word/2010/wordprocessingShape">
                    <wps:wsp>
                      <wps:cNvCnPr/>
                      <wps:spPr>
                        <a:xfrm>
                          <a:off x="0" y="0"/>
                          <a:ext cx="359092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4.3pt;margin-top:10.05pt;height:0.05pt;width:282.75pt;z-index:251686912;mso-width-relative:page;mso-height-relative:page;" filled="f" stroked="t" coordsize="21600,21600" o:gfxdata="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L76PfXAAAACQEA&#10;AA8AAAAAAAAAAQAgAAAAIgAAAGRycy9kb3ducmV2LnhtbFBLAQIUABQAAAAIAIdO4kAVBkeH4gEA&#10;AKADAAAOAAAAAAAAAAEAIAAAACYBAABkcnMvZTJvRG9jLnhtbFBLBQYAAAAABgAGAFkBAAB6BQAA&#10;AAA=&#10;">
                <v:fill on="f" focussize="0,0"/>
                <v:stroke color="#000000" joinstyle="round"/>
                <v:imagedata o:title=""/>
                <o:lock v:ext="edit" aspectratio="f"/>
              </v:shape>
            </w:pict>
          </mc:Fallback>
        </mc:AlternateContent>
      </w:r>
      <w:r>
        <w:rPr>
          <w:color w:val="FF0000"/>
          <w:sz w:val="28"/>
          <w:szCs w:val="28"/>
        </w:rPr>
        <mc:AlternateContent>
          <mc:Choice Requires="wps">
            <w:drawing>
              <wp:anchor distT="0" distB="0" distL="114300" distR="114300" simplePos="0" relativeHeight="251693056" behindDoc="0" locked="0" layoutInCell="1" allowOverlap="1">
                <wp:simplePos x="0" y="0"/>
                <wp:positionH relativeFrom="column">
                  <wp:posOffset>191135</wp:posOffset>
                </wp:positionH>
                <wp:positionV relativeFrom="paragraph">
                  <wp:posOffset>346710</wp:posOffset>
                </wp:positionV>
                <wp:extent cx="114300" cy="1933575"/>
                <wp:effectExtent l="4445" t="0" r="18415" b="1905"/>
                <wp:wrapNone/>
                <wp:docPr id="2" name="直接箭头连接符 2"/>
                <wp:cNvGraphicFramePr/>
                <a:graphic xmlns:a="http://schemas.openxmlformats.org/drawingml/2006/main">
                  <a:graphicData uri="http://schemas.microsoft.com/office/word/2010/wordprocessingShape">
                    <wps:wsp>
                      <wps:cNvCnPr/>
                      <wps:spPr>
                        <a:xfrm flipH="1">
                          <a:off x="0" y="0"/>
                          <a:ext cx="114300" cy="19335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15.05pt;margin-top:27.3pt;height:152.25pt;width:9pt;z-index:251693056;mso-width-relative:page;mso-height-relative:page;" filled="f" stroked="t" coordsize="21600,21600" o:gfxdata="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J&#10;gKSU1gAAAAgBAAAPAAAAAAAAAAEAIAAAACIAAABkcnMvZG93bnJldi54bWxQSwECFAAUAAAACACH&#10;TuJAXF10Te0BAACtAwAADgAAAAAAAAABACAAAAAlAQAAZHJzL2Uyb0RvYy54bWxQSwUGAAAAAAYA&#10;BgBZAQAAhAUAAAAA&#10;">
                <v:fill on="f" focussize="0,0"/>
                <v:stroke color="#000000" joinstyle="round"/>
                <v:imagedata o:title=""/>
                <o:lock v:ext="edit" aspectratio="f"/>
              </v:shape>
            </w:pict>
          </mc:Fallback>
        </mc:AlternateContent>
      </w:r>
      <w:r>
        <w:rPr>
          <w:rFonts w:hint="eastAsia"/>
          <w:color w:val="FF0000"/>
          <w:sz w:val="28"/>
          <w:szCs w:val="28"/>
        </w:rPr>
        <w:t xml:space="preserve">                  </w:t>
      </w:r>
    </w:p>
    <w:p>
      <w:pPr>
        <w:rPr>
          <w:color w:val="FF0000"/>
          <w:sz w:val="28"/>
          <w:szCs w:val="28"/>
        </w:rPr>
      </w:pPr>
      <w:r>
        <w:rPr>
          <w:color w:val="000000"/>
          <w:sz w:val="28"/>
          <w:szCs w:val="28"/>
        </w:rPr>
        <mc:AlternateContent>
          <mc:Choice Requires="wps">
            <w:drawing>
              <wp:anchor distT="0" distB="0" distL="114300" distR="114300" simplePos="0" relativeHeight="251691008" behindDoc="0" locked="0" layoutInCell="1" allowOverlap="1">
                <wp:simplePos x="0" y="0"/>
                <wp:positionH relativeFrom="column">
                  <wp:posOffset>3953510</wp:posOffset>
                </wp:positionH>
                <wp:positionV relativeFrom="paragraph">
                  <wp:posOffset>66040</wp:posOffset>
                </wp:positionV>
                <wp:extent cx="762000" cy="1006475"/>
                <wp:effectExtent l="4445" t="4445" r="10795" b="10160"/>
                <wp:wrapNone/>
                <wp:docPr id="15" name="矩形 15"/>
                <wp:cNvGraphicFramePr/>
                <a:graphic xmlns:a="http://schemas.openxmlformats.org/drawingml/2006/main">
                  <a:graphicData uri="http://schemas.microsoft.com/office/word/2010/wordprocessingShape">
                    <wps:wsp>
                      <wps:cNvSpPr/>
                      <wps:spPr>
                        <a:xfrm>
                          <a:off x="0" y="0"/>
                          <a:ext cx="762000" cy="10064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r>
                              <w:rPr>
                                <w:rFonts w:hint="eastAsia"/>
                              </w:rPr>
                              <w:t>山坡</w:t>
                            </w:r>
                            <w:r>
                              <w:t>林地</w:t>
                            </w:r>
                          </w:p>
                        </w:txbxContent>
                      </wps:txbx>
                      <wps:bodyPr upright="1"/>
                    </wps:wsp>
                  </a:graphicData>
                </a:graphic>
              </wp:anchor>
            </w:drawing>
          </mc:Choice>
          <mc:Fallback>
            <w:pict>
              <v:rect id="_x0000_s1026" o:spid="_x0000_s1026" o:spt="1" style="position:absolute;left:0pt;margin-left:311.3pt;margin-top:5.2pt;height:79.25pt;width:60pt;z-index:251691008;mso-width-relative:page;mso-height-relative:page;" fillcolor="#FFFFFF" filled="t" stroked="t" coordsize="21600,21600" o:gfxdata="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nnXDH&#10;1wAAAAoBAAAPAAAAAAAAAAEAIAAAACIAAABkcnMvZG93bnJldi54bWxQSwECFAAUAAAACACHTuJA&#10;iFCz6+kBAADdAwAADgAAAAAAAAABACAAAAAmAQAAZHJzL2Uyb0RvYy54bWxQSwUGAAAAAAYABgBZ&#10;AQAAgQUAAAAA&#10;">
                <v:fill on="t" focussize="0,0"/>
                <v:stroke color="#000000" joinstyle="miter"/>
                <v:imagedata o:title=""/>
                <o:lock v:ext="edit" aspectratio="f"/>
                <v:textbox>
                  <w:txbxContent>
                    <w:p>
                      <w:pPr>
                        <w:rPr>
                          <w:rFonts w:hint="eastAsia"/>
                        </w:rPr>
                      </w:pPr>
                    </w:p>
                    <w:p>
                      <w:r>
                        <w:rPr>
                          <w:rFonts w:hint="eastAsia"/>
                        </w:rPr>
                        <w:t>山坡</w:t>
                      </w:r>
                      <w:r>
                        <w:t>林地</w:t>
                      </w:r>
                    </w:p>
                  </w:txbxContent>
                </v:textbox>
              </v:rect>
            </w:pict>
          </mc:Fallback>
        </mc:AlternateContent>
      </w:r>
      <w:r>
        <w:rPr>
          <w:color w:val="000000"/>
          <w:sz w:val="28"/>
          <w:szCs w:val="28"/>
        </w:rPr>
        <mc:AlternateContent>
          <mc:Choice Requires="wps">
            <w:drawing>
              <wp:anchor distT="0" distB="0" distL="114300" distR="114300" simplePos="0" relativeHeight="251699200" behindDoc="0" locked="0" layoutInCell="1" allowOverlap="1">
                <wp:simplePos x="0" y="0"/>
                <wp:positionH relativeFrom="column">
                  <wp:posOffset>2791460</wp:posOffset>
                </wp:positionH>
                <wp:positionV relativeFrom="paragraph">
                  <wp:posOffset>283845</wp:posOffset>
                </wp:positionV>
                <wp:extent cx="276225" cy="998855"/>
                <wp:effectExtent l="4445" t="4445" r="8890" b="17780"/>
                <wp:wrapNone/>
                <wp:docPr id="16" name="矩形 16"/>
                <wp:cNvGraphicFramePr/>
                <a:graphic xmlns:a="http://schemas.openxmlformats.org/drawingml/2006/main">
                  <a:graphicData uri="http://schemas.microsoft.com/office/word/2010/wordprocessingShape">
                    <wps:wsp>
                      <wps:cNvSpPr/>
                      <wps:spPr>
                        <a:xfrm>
                          <a:off x="0" y="0"/>
                          <a:ext cx="276225" cy="998855"/>
                        </a:xfrm>
                        <a:prstGeom prst="rect">
                          <a:avLst/>
                        </a:prstGeom>
                        <a:solidFill>
                          <a:srgbClr val="FFFFFF"/>
                        </a:solidFill>
                        <a:ln w="9525" cap="flat" cmpd="sng">
                          <a:solidFill>
                            <a:srgbClr val="000000"/>
                          </a:solidFill>
                          <a:prstDash val="solid"/>
                          <a:miter/>
                          <a:headEnd type="none" w="med" len="med"/>
                          <a:tailEnd type="none" w="med" len="med"/>
                        </a:ln>
                      </wps:spPr>
                      <wps:txbx>
                        <w:txbxContent>
                          <w:p>
                            <w:r>
                              <w:t>卸砖区</w:t>
                            </w:r>
                          </w:p>
                        </w:txbxContent>
                      </wps:txbx>
                      <wps:bodyPr upright="1"/>
                    </wps:wsp>
                  </a:graphicData>
                </a:graphic>
              </wp:anchor>
            </w:drawing>
          </mc:Choice>
          <mc:Fallback>
            <w:pict>
              <v:rect id="_x0000_s1026" o:spid="_x0000_s1026" o:spt="1" style="position:absolute;left:0pt;margin-left:219.8pt;margin-top:22.35pt;height:78.65pt;width:21.75pt;z-index:251699200;mso-width-relative:page;mso-height-relative:page;" fillcolor="#FFFFFF" filled="t" stroked="t" coordsize="21600,21600" o:gfxdata="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sZTSNkA&#10;AAAKAQAADwAAAAAAAAABACAAAAAiAAAAZHJzL2Rvd25yZXYueG1sUEsBAhQAFAAAAAgAh07iQH1y&#10;K7DlAQAA3AMAAA4AAAAAAAAAAQAgAAAAKAEAAGRycy9lMm9Eb2MueG1sUEsFBgAAAAAGAAYAWQEA&#10;AH8FAAAAAA==&#10;">
                <v:fill on="t" focussize="0,0"/>
                <v:stroke color="#000000" joinstyle="miter"/>
                <v:imagedata o:title=""/>
                <o:lock v:ext="edit" aspectratio="f"/>
                <v:textbox>
                  <w:txbxContent>
                    <w:p>
                      <w:r>
                        <w:t>卸砖区</w:t>
                      </w:r>
                    </w:p>
                  </w:txbxContent>
                </v:textbox>
              </v:rect>
            </w:pict>
          </mc:Fallback>
        </mc:AlternateContent>
      </w:r>
      <w:r>
        <w:rPr>
          <w:color w:val="000000"/>
          <w:sz w:val="28"/>
          <w:szCs w:val="28"/>
        </w:rPr>
        <mc:AlternateContent>
          <mc:Choice Requires="wps">
            <w:drawing>
              <wp:anchor distT="0" distB="0" distL="114300" distR="114300" simplePos="0" relativeHeight="251684864" behindDoc="0" locked="0" layoutInCell="1" allowOverlap="1">
                <wp:simplePos x="0" y="0"/>
                <wp:positionH relativeFrom="column">
                  <wp:posOffset>1867535</wp:posOffset>
                </wp:positionH>
                <wp:positionV relativeFrom="paragraph">
                  <wp:posOffset>283845</wp:posOffset>
                </wp:positionV>
                <wp:extent cx="819150" cy="998855"/>
                <wp:effectExtent l="4445" t="4445" r="14605" b="17780"/>
                <wp:wrapNone/>
                <wp:docPr id="10" name="矩形 10"/>
                <wp:cNvGraphicFramePr/>
                <a:graphic xmlns:a="http://schemas.openxmlformats.org/drawingml/2006/main">
                  <a:graphicData uri="http://schemas.microsoft.com/office/word/2010/wordprocessingShape">
                    <wps:wsp>
                      <wps:cNvSpPr/>
                      <wps:spPr>
                        <a:xfrm>
                          <a:off x="0" y="0"/>
                          <a:ext cx="819150" cy="9988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ind w:left="210" w:hanging="210" w:hangingChars="100"/>
                            </w:pPr>
                            <w:r>
                              <w:t>一烘一烧隧道窑</w:t>
                            </w:r>
                          </w:p>
                          <w:p>
                            <w:pPr>
                              <w:ind w:firstLine="630" w:firstLineChars="300"/>
                            </w:pPr>
                          </w:p>
                        </w:txbxContent>
                      </wps:txbx>
                      <wps:bodyPr upright="1"/>
                    </wps:wsp>
                  </a:graphicData>
                </a:graphic>
              </wp:anchor>
            </w:drawing>
          </mc:Choice>
          <mc:Fallback>
            <w:pict>
              <v:rect id="_x0000_s1026" o:spid="_x0000_s1026" o:spt="1" style="position:absolute;left:0pt;margin-left:147.05pt;margin-top:22.35pt;height:78.65pt;width:64.5pt;z-index:251684864;mso-width-relative:page;mso-height-relative:page;" fillcolor="#FFFFFF" filled="t" stroked="t" coordsize="21600,21600" o:gfxdata="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cOoZdcAAAAK&#10;AQAADwAAAAAAAAABACAAAAAiAAAAZHJzL2Rvd25yZXYueG1sUEsBAhQAFAAAAAgAh07iQDw8DXnk&#10;AQAA3AMAAA4AAAAAAAAAAQAgAAAAJgEAAGRycy9lMm9Eb2MueG1sUEsFBgAAAAAGAAYAWQEAAHwF&#10;AAAAAA==&#10;">
                <v:fill on="t" focussize="0,0"/>
                <v:stroke color="#000000" joinstyle="miter"/>
                <v:imagedata o:title=""/>
                <o:lock v:ext="edit" aspectratio="f"/>
                <v:textbox>
                  <w:txbxContent>
                    <w:p>
                      <w:pPr>
                        <w:rPr>
                          <w:rFonts w:hint="eastAsia"/>
                        </w:rPr>
                      </w:pPr>
                    </w:p>
                    <w:p>
                      <w:pPr>
                        <w:ind w:left="210" w:hanging="210" w:hangingChars="100"/>
                      </w:pPr>
                      <w:r>
                        <w:t>一烘一烧隧道窑</w:t>
                      </w:r>
                    </w:p>
                    <w:p>
                      <w:pPr>
                        <w:ind w:firstLine="630" w:firstLineChars="300"/>
                      </w:pPr>
                    </w:p>
                  </w:txbxContent>
                </v:textbox>
              </v:rect>
            </w:pict>
          </mc:Fallback>
        </mc:AlternateContent>
      </w:r>
      <w:r>
        <w:rPr>
          <w:color w:val="000000"/>
          <w:sz w:val="28"/>
          <w:szCs w:val="28"/>
        </w:rPr>
        <mc:AlternateContent>
          <mc:Choice Requires="wps">
            <w:drawing>
              <wp:anchor distT="0" distB="0" distL="114300" distR="114300" simplePos="0" relativeHeight="251692032" behindDoc="0" locked="0" layoutInCell="1" allowOverlap="1">
                <wp:simplePos x="0" y="0"/>
                <wp:positionH relativeFrom="column">
                  <wp:posOffset>619760</wp:posOffset>
                </wp:positionH>
                <wp:positionV relativeFrom="paragraph">
                  <wp:posOffset>131445</wp:posOffset>
                </wp:positionV>
                <wp:extent cx="104775" cy="1704975"/>
                <wp:effectExtent l="4445" t="0" r="12700" b="1905"/>
                <wp:wrapNone/>
                <wp:docPr id="3" name="直接箭头连接符 3"/>
                <wp:cNvGraphicFramePr/>
                <a:graphic xmlns:a="http://schemas.openxmlformats.org/drawingml/2006/main">
                  <a:graphicData uri="http://schemas.microsoft.com/office/word/2010/wordprocessingShape">
                    <wps:wsp>
                      <wps:cNvCnPr/>
                      <wps:spPr>
                        <a:xfrm flipH="1">
                          <a:off x="0" y="0"/>
                          <a:ext cx="104775" cy="17049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8.8pt;margin-top:10.35pt;height:134.25pt;width:8.25pt;z-index:251692032;mso-width-relative:page;mso-height-relative:page;" filled="f" stroked="t" coordsize="21600,21600" o:gfxdata="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4SINtcAAAAJAQAADwAAAAAAAAABACAAAAAiAAAAZHJzL2Rvd25yZXYueG1sUEsBAhQAFAAAAAgA&#10;h07iQAVfZ1/tAQAArQMAAA4AAAAAAAAAAQAgAAAAJgEAAGRycy9lMm9Eb2MueG1sUEsFBgAAAAAG&#10;AAYAWQEAAIUFAAAAAA==&#10;">
                <v:fill on="f" focussize="0,0"/>
                <v:stroke color="#000000" joinstyle="round"/>
                <v:imagedata o:title=""/>
                <o:lock v:ext="edit" aspectratio="f"/>
              </v:shape>
            </w:pict>
          </mc:Fallback>
        </mc:AlternateContent>
      </w:r>
    </w:p>
    <w:p>
      <w:pPr>
        <w:rPr>
          <w:color w:val="000000"/>
          <w:sz w:val="28"/>
          <w:szCs w:val="28"/>
        </w:rPr>
      </w:pPr>
      <w:r>
        <w:rPr>
          <w:rFonts w:hint="eastAsia"/>
          <w:color w:val="FF0000"/>
          <w:sz w:val="28"/>
          <w:szCs w:val="28"/>
        </w:rPr>
        <w:t xml:space="preserve">  </w:t>
      </w:r>
      <w:r>
        <w:rPr>
          <w:rFonts w:hint="eastAsia"/>
          <w:color w:val="000000"/>
          <w:sz w:val="28"/>
          <w:szCs w:val="28"/>
        </w:rPr>
        <w:t>村公路</w:t>
      </w:r>
    </w:p>
    <w:p>
      <w:pPr>
        <w:rPr>
          <w:color w:val="FF0000"/>
          <w:sz w:val="28"/>
          <w:szCs w:val="28"/>
        </w:rPr>
      </w:pPr>
    </w:p>
    <w:p>
      <w:pPr>
        <w:rPr>
          <w:color w:val="FF0000"/>
          <w:sz w:val="28"/>
          <w:szCs w:val="28"/>
        </w:rPr>
      </w:pPr>
      <w:r>
        <w:rPr>
          <w:rFonts w:hint="eastAsia" w:ascii="宋体"/>
          <w:b/>
          <w:kern w:val="0"/>
          <w:sz w:val="28"/>
          <w:szCs w:val="28"/>
        </w:rPr>
        <mc:AlternateContent>
          <mc:Choice Requires="wps">
            <w:drawing>
              <wp:anchor distT="0" distB="0" distL="114300" distR="114300" simplePos="0" relativeHeight="251695104" behindDoc="0" locked="0" layoutInCell="1" allowOverlap="1">
                <wp:simplePos x="0" y="0"/>
                <wp:positionH relativeFrom="column">
                  <wp:posOffset>4382135</wp:posOffset>
                </wp:positionH>
                <wp:positionV relativeFrom="paragraph">
                  <wp:posOffset>93980</wp:posOffset>
                </wp:positionV>
                <wp:extent cx="762000" cy="374015"/>
                <wp:effectExtent l="4445" t="4445" r="10795" b="17780"/>
                <wp:wrapNone/>
                <wp:docPr id="8" name="矩形 8"/>
                <wp:cNvGraphicFramePr/>
                <a:graphic xmlns:a="http://schemas.openxmlformats.org/drawingml/2006/main">
                  <a:graphicData uri="http://schemas.microsoft.com/office/word/2010/wordprocessingShape">
                    <wps:wsp>
                      <wps:cNvSpPr/>
                      <wps:spPr>
                        <a:xfrm>
                          <a:off x="0" y="0"/>
                          <a:ext cx="762000" cy="374015"/>
                        </a:xfrm>
                        <a:prstGeom prst="rect">
                          <a:avLst/>
                        </a:prstGeom>
                        <a:solidFill>
                          <a:srgbClr val="FFFFFF"/>
                        </a:solidFill>
                        <a:ln w="9525" cap="flat" cmpd="sng">
                          <a:solidFill>
                            <a:srgbClr val="000000"/>
                          </a:solidFill>
                          <a:prstDash val="solid"/>
                          <a:miter/>
                          <a:headEnd type="none" w="med" len="med"/>
                          <a:tailEnd type="none" w="med" len="med"/>
                        </a:ln>
                      </wps:spPr>
                      <wps:txbx>
                        <w:txbxContent>
                          <w:p>
                            <w:r>
                              <w:t>工人宿舍</w:t>
                            </w:r>
                          </w:p>
                        </w:txbxContent>
                      </wps:txbx>
                      <wps:bodyPr upright="1"/>
                    </wps:wsp>
                  </a:graphicData>
                </a:graphic>
              </wp:anchor>
            </w:drawing>
          </mc:Choice>
          <mc:Fallback>
            <w:pict>
              <v:rect id="_x0000_s1026" o:spid="_x0000_s1026" o:spt="1" style="position:absolute;left:0pt;margin-left:345.05pt;margin-top:7.4pt;height:29.45pt;width:60pt;z-index:251695104;mso-width-relative:page;mso-height-relative:page;" fillcolor="#FFFFFF" filled="t" stroked="t" coordsize="21600,21600" o:gfxdata="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ix+uXX&#10;AAAACQEAAA8AAAAAAAAAAQAgAAAAIgAAAGRycy9kb3ducmV2LnhtbFBLAQIUABQAAAAIAIdO4kC7&#10;FwYM6AEAANoDAAAOAAAAAAAAAAEAIAAAACYBAABkcnMvZTJvRG9jLnhtbFBLBQYAAAAABgAGAFkB&#10;AACABQAAAAA=&#10;">
                <v:fill on="t" focussize="0,0"/>
                <v:stroke color="#000000" joinstyle="miter"/>
                <v:imagedata o:title=""/>
                <o:lock v:ext="edit" aspectratio="f"/>
                <v:textbox>
                  <w:txbxContent>
                    <w:p>
                      <w:r>
                        <w:t>工人宿舍</w:t>
                      </w:r>
                    </w:p>
                  </w:txbxContent>
                </v:textbox>
              </v:rect>
            </w:pict>
          </mc:Fallback>
        </mc:AlternateContent>
      </w:r>
      <w:r>
        <w:rPr>
          <w:color w:val="FF0000"/>
          <w:sz w:val="28"/>
          <w:szCs w:val="28"/>
        </w:rPr>
        <mc:AlternateContent>
          <mc:Choice Requires="wps">
            <w:drawing>
              <wp:anchor distT="0" distB="0" distL="114300" distR="114300" simplePos="0" relativeHeight="251697152" behindDoc="0" locked="0" layoutInCell="1" allowOverlap="1">
                <wp:simplePos x="0" y="0"/>
                <wp:positionH relativeFrom="column">
                  <wp:posOffset>1124585</wp:posOffset>
                </wp:positionH>
                <wp:positionV relativeFrom="paragraph">
                  <wp:posOffset>179705</wp:posOffset>
                </wp:positionV>
                <wp:extent cx="723900" cy="353695"/>
                <wp:effectExtent l="4445" t="4445" r="18415" b="7620"/>
                <wp:wrapNone/>
                <wp:docPr id="6" name="矩形 6"/>
                <wp:cNvGraphicFramePr/>
                <a:graphic xmlns:a="http://schemas.openxmlformats.org/drawingml/2006/main">
                  <a:graphicData uri="http://schemas.microsoft.com/office/word/2010/wordprocessingShape">
                    <wps:wsp>
                      <wps:cNvSpPr/>
                      <wps:spPr>
                        <a:xfrm>
                          <a:off x="0" y="0"/>
                          <a:ext cx="723900" cy="353695"/>
                        </a:xfrm>
                        <a:prstGeom prst="rect">
                          <a:avLst/>
                        </a:prstGeom>
                        <a:solidFill>
                          <a:srgbClr val="FFFFFF"/>
                        </a:solidFill>
                        <a:ln w="9525" cap="flat" cmpd="sng">
                          <a:solidFill>
                            <a:srgbClr val="000000"/>
                          </a:solidFill>
                          <a:prstDash val="solid"/>
                          <a:miter/>
                          <a:headEnd type="none" w="med" len="med"/>
                          <a:tailEnd type="none" w="med" len="med"/>
                        </a:ln>
                      </wps:spPr>
                      <wps:txbx>
                        <w:txbxContent>
                          <w:p>
                            <w:r>
                              <w:t>生产区</w:t>
                            </w:r>
                          </w:p>
                        </w:txbxContent>
                      </wps:txbx>
                      <wps:bodyPr upright="1"/>
                    </wps:wsp>
                  </a:graphicData>
                </a:graphic>
              </wp:anchor>
            </w:drawing>
          </mc:Choice>
          <mc:Fallback>
            <w:pict>
              <v:rect id="_x0000_s1026" o:spid="_x0000_s1026" o:spt="1" style="position:absolute;left:0pt;margin-left:88.55pt;margin-top:14.15pt;height:27.85pt;width:57pt;z-index:251697152;mso-width-relative:page;mso-height-relative:page;" fillcolor="#FFFFFF" filled="t" stroked="t" coordsize="21600,21600" o:gfxdata="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7rmKM1wAA&#10;AAkBAAAPAAAAAAAAAAEAIAAAACIAAABkcnMvZG93bnJldi54bWxQSwECFAAUAAAACACHTuJAM7xO&#10;fOYBAADaAwAADgAAAAAAAAABACAAAAAmAQAAZHJzL2Uyb0RvYy54bWxQSwUGAAAAAAYABgBZAQAA&#10;fgUAAAAA&#10;">
                <v:fill on="t" focussize="0,0"/>
                <v:stroke color="#000000" joinstyle="miter"/>
                <v:imagedata o:title=""/>
                <o:lock v:ext="edit" aspectratio="f"/>
                <v:textbox>
                  <w:txbxContent>
                    <w:p>
                      <w:r>
                        <w:t>生产区</w:t>
                      </w:r>
                    </w:p>
                  </w:txbxContent>
                </v:textbox>
              </v:rect>
            </w:pict>
          </mc:Fallback>
        </mc:AlternateContent>
      </w:r>
    </w:p>
    <w:p>
      <w:pPr>
        <w:tabs>
          <w:tab w:val="left" w:pos="2127"/>
        </w:tabs>
        <w:spacing w:line="360" w:lineRule="auto"/>
        <w:ind w:firstLine="562" w:firstLineChars="200"/>
        <w:jc w:val="center"/>
        <w:rPr>
          <w:rFonts w:hint="eastAsia" w:ascii="宋体"/>
          <w:b/>
          <w:snapToGrid w:val="0"/>
          <w:kern w:val="0"/>
          <w:sz w:val="28"/>
          <w:szCs w:val="28"/>
        </w:rPr>
      </w:pPr>
      <w:r>
        <w:rPr>
          <w:rFonts w:hint="eastAsia" w:ascii="宋体"/>
          <w:b/>
          <w:kern w:val="0"/>
          <w:sz w:val="28"/>
          <w:szCs w:val="28"/>
        </w:rPr>
        <mc:AlternateContent>
          <mc:Choice Requires="wps">
            <w:drawing>
              <wp:anchor distT="0" distB="0" distL="114300" distR="114300" simplePos="0" relativeHeight="251696128" behindDoc="0" locked="0" layoutInCell="1" allowOverlap="1">
                <wp:simplePos x="0" y="0"/>
                <wp:positionH relativeFrom="column">
                  <wp:posOffset>1124585</wp:posOffset>
                </wp:positionH>
                <wp:positionV relativeFrom="paragraph">
                  <wp:posOffset>184785</wp:posOffset>
                </wp:positionV>
                <wp:extent cx="685800" cy="390525"/>
                <wp:effectExtent l="4445" t="4445" r="10795" b="16510"/>
                <wp:wrapNone/>
                <wp:docPr id="11" name="矩形 11"/>
                <wp:cNvGraphicFramePr/>
                <a:graphic xmlns:a="http://schemas.openxmlformats.org/drawingml/2006/main">
                  <a:graphicData uri="http://schemas.microsoft.com/office/word/2010/wordprocessingShape">
                    <wps:wsp>
                      <wps:cNvSpPr/>
                      <wps:spPr>
                        <a:xfrm>
                          <a:off x="0" y="0"/>
                          <a:ext cx="685800" cy="390525"/>
                        </a:xfrm>
                        <a:prstGeom prst="rect">
                          <a:avLst/>
                        </a:prstGeom>
                        <a:solidFill>
                          <a:srgbClr val="FFFFFF"/>
                        </a:solidFill>
                        <a:ln w="9525" cap="flat" cmpd="sng">
                          <a:solidFill>
                            <a:srgbClr val="000000"/>
                          </a:solidFill>
                          <a:prstDash val="solid"/>
                          <a:miter/>
                          <a:headEnd type="none" w="med" len="med"/>
                          <a:tailEnd type="none" w="med" len="med"/>
                        </a:ln>
                      </wps:spPr>
                      <wps:txbx>
                        <w:txbxContent>
                          <w:p>
                            <w:r>
                              <w:t>破碎区</w:t>
                            </w:r>
                          </w:p>
                        </w:txbxContent>
                      </wps:txbx>
                      <wps:bodyPr upright="1"/>
                    </wps:wsp>
                  </a:graphicData>
                </a:graphic>
              </wp:anchor>
            </w:drawing>
          </mc:Choice>
          <mc:Fallback>
            <w:pict>
              <v:rect id="_x0000_s1026" o:spid="_x0000_s1026" o:spt="1" style="position:absolute;left:0pt;margin-left:88.55pt;margin-top:14.55pt;height:30.75pt;width:54pt;z-index:251696128;mso-width-relative:page;mso-height-relative:page;" fillcolor="#FFFFFF" filled="t" stroked="t" coordsize="21600,21600" o:gfxdata="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1g51NcAAAAJ&#10;AQAADwAAAAAAAAABACAAAAAiAAAAZHJzL2Rvd25yZXYueG1sUEsBAhQAFAAAAAgAh07iQLfpx0Xk&#10;AQAA3AMAAA4AAAAAAAAAAQAgAAAAJgEAAGRycy9lMm9Eb2MueG1sUEsFBgAAAAAGAAYAWQEAAHwF&#10;AAAAAA==&#10;">
                <v:fill on="t" focussize="0,0"/>
                <v:stroke color="#000000" joinstyle="miter"/>
                <v:imagedata o:title=""/>
                <o:lock v:ext="edit" aspectratio="f"/>
                <v:textbox>
                  <w:txbxContent>
                    <w:p>
                      <w:r>
                        <w:t>破碎区</w:t>
                      </w:r>
                    </w:p>
                  </w:txbxContent>
                </v:textbox>
              </v:rect>
            </w:pict>
          </mc:Fallback>
        </mc:AlternateContent>
      </w:r>
    </w:p>
    <w:p>
      <w:pPr>
        <w:tabs>
          <w:tab w:val="left" w:pos="2127"/>
        </w:tabs>
        <w:spacing w:line="360" w:lineRule="auto"/>
        <w:rPr>
          <w:rFonts w:hint="eastAsia" w:ascii="宋体"/>
          <w:b/>
          <w:snapToGrid w:val="0"/>
          <w:kern w:val="0"/>
          <w:sz w:val="28"/>
          <w:szCs w:val="28"/>
        </w:rPr>
      </w:pPr>
      <w:r>
        <w:rPr>
          <w:color w:val="FF0000"/>
          <w:sz w:val="28"/>
          <w:szCs w:val="28"/>
        </w:rPr>
        <mc:AlternateContent>
          <mc:Choice Requires="wps">
            <w:drawing>
              <wp:anchor distT="0" distB="0" distL="114300" distR="114300" simplePos="0" relativeHeight="251689984" behindDoc="0" locked="0" layoutInCell="1" allowOverlap="1">
                <wp:simplePos x="0" y="0"/>
                <wp:positionH relativeFrom="column">
                  <wp:posOffset>1740535</wp:posOffset>
                </wp:positionH>
                <wp:positionV relativeFrom="paragraph">
                  <wp:posOffset>93345</wp:posOffset>
                </wp:positionV>
                <wp:extent cx="2308225" cy="476250"/>
                <wp:effectExtent l="3175" t="0" r="5080" b="16510"/>
                <wp:wrapNone/>
                <wp:docPr id="5" name="任意多边形 5"/>
                <wp:cNvGraphicFramePr/>
                <a:graphic xmlns:a="http://schemas.openxmlformats.org/drawingml/2006/main">
                  <a:graphicData uri="http://schemas.microsoft.com/office/word/2010/wordprocessingShape">
                    <wps:wsp>
                      <wps:cNvSpPr/>
                      <wps:spPr>
                        <a:xfrm>
                          <a:off x="0" y="0"/>
                          <a:ext cx="2308225" cy="476250"/>
                        </a:xfrm>
                        <a:custGeom>
                          <a:avLst/>
                          <a:gdLst/>
                          <a:ahLst/>
                          <a:cxnLst/>
                          <a:pathLst>
                            <a:path w="4595" h="1256">
                              <a:moveTo>
                                <a:pt x="274" y="416"/>
                              </a:moveTo>
                              <a:cubicBezTo>
                                <a:pt x="484" y="411"/>
                                <a:pt x="694" y="415"/>
                                <a:pt x="904" y="401"/>
                              </a:cubicBezTo>
                              <a:cubicBezTo>
                                <a:pt x="938" y="399"/>
                                <a:pt x="1000" y="341"/>
                                <a:pt x="1024" y="326"/>
                              </a:cubicBezTo>
                              <a:cubicBezTo>
                                <a:pt x="1137" y="255"/>
                                <a:pt x="1279" y="221"/>
                                <a:pt x="1399" y="161"/>
                              </a:cubicBezTo>
                              <a:cubicBezTo>
                                <a:pt x="1611" y="55"/>
                                <a:pt x="1822" y="79"/>
                                <a:pt x="2059" y="71"/>
                              </a:cubicBezTo>
                              <a:cubicBezTo>
                                <a:pt x="2271" y="0"/>
                                <a:pt x="2465" y="32"/>
                                <a:pt x="2689" y="41"/>
                              </a:cubicBezTo>
                              <a:cubicBezTo>
                                <a:pt x="2770" y="95"/>
                                <a:pt x="2854" y="108"/>
                                <a:pt x="2944" y="146"/>
                              </a:cubicBezTo>
                              <a:cubicBezTo>
                                <a:pt x="3064" y="197"/>
                                <a:pt x="3165" y="270"/>
                                <a:pt x="3289" y="311"/>
                              </a:cubicBezTo>
                              <a:cubicBezTo>
                                <a:pt x="3601" y="545"/>
                                <a:pt x="4475" y="414"/>
                                <a:pt x="4534" y="416"/>
                              </a:cubicBezTo>
                              <a:cubicBezTo>
                                <a:pt x="4554" y="431"/>
                                <a:pt x="4585" y="438"/>
                                <a:pt x="4594" y="461"/>
                              </a:cubicBezTo>
                              <a:cubicBezTo>
                                <a:pt x="4595" y="463"/>
                                <a:pt x="4575" y="567"/>
                                <a:pt x="4564" y="581"/>
                              </a:cubicBezTo>
                              <a:cubicBezTo>
                                <a:pt x="4497" y="665"/>
                                <a:pt x="4396" y="772"/>
                                <a:pt x="4294" y="806"/>
                              </a:cubicBezTo>
                              <a:cubicBezTo>
                                <a:pt x="4207" y="871"/>
                                <a:pt x="4180" y="919"/>
                                <a:pt x="4069" y="941"/>
                              </a:cubicBezTo>
                              <a:cubicBezTo>
                                <a:pt x="4049" y="956"/>
                                <a:pt x="4031" y="975"/>
                                <a:pt x="4009" y="986"/>
                              </a:cubicBezTo>
                              <a:cubicBezTo>
                                <a:pt x="3991" y="995"/>
                                <a:pt x="3967" y="991"/>
                                <a:pt x="3949" y="1001"/>
                              </a:cubicBezTo>
                              <a:cubicBezTo>
                                <a:pt x="3931" y="1012"/>
                                <a:pt x="3922" y="1034"/>
                                <a:pt x="3904" y="1046"/>
                              </a:cubicBezTo>
                              <a:cubicBezTo>
                                <a:pt x="3891" y="1055"/>
                                <a:pt x="3873" y="1054"/>
                                <a:pt x="3859" y="1061"/>
                              </a:cubicBezTo>
                              <a:cubicBezTo>
                                <a:pt x="3724" y="1128"/>
                                <a:pt x="3849" y="1097"/>
                                <a:pt x="3679" y="1121"/>
                              </a:cubicBezTo>
                              <a:cubicBezTo>
                                <a:pt x="3664" y="1136"/>
                                <a:pt x="3654" y="1158"/>
                                <a:pt x="3634" y="1166"/>
                              </a:cubicBezTo>
                              <a:cubicBezTo>
                                <a:pt x="3601" y="1179"/>
                                <a:pt x="3564" y="1174"/>
                                <a:pt x="3529" y="1181"/>
                              </a:cubicBezTo>
                              <a:cubicBezTo>
                                <a:pt x="3513" y="1184"/>
                                <a:pt x="3499" y="1192"/>
                                <a:pt x="3484" y="1196"/>
                              </a:cubicBezTo>
                              <a:cubicBezTo>
                                <a:pt x="3444" y="1207"/>
                                <a:pt x="3405" y="1219"/>
                                <a:pt x="3364" y="1226"/>
                              </a:cubicBezTo>
                              <a:cubicBezTo>
                                <a:pt x="3284" y="1239"/>
                                <a:pt x="3124" y="1256"/>
                                <a:pt x="3124" y="1256"/>
                              </a:cubicBezTo>
                              <a:cubicBezTo>
                                <a:pt x="2809" y="1251"/>
                                <a:pt x="2494" y="1250"/>
                                <a:pt x="2179" y="1241"/>
                              </a:cubicBezTo>
                              <a:cubicBezTo>
                                <a:pt x="1935" y="1234"/>
                                <a:pt x="1687" y="1178"/>
                                <a:pt x="1444" y="1151"/>
                              </a:cubicBezTo>
                              <a:cubicBezTo>
                                <a:pt x="1150" y="1053"/>
                                <a:pt x="1451" y="1148"/>
                                <a:pt x="619" y="1121"/>
                              </a:cubicBezTo>
                              <a:cubicBezTo>
                                <a:pt x="519" y="1118"/>
                                <a:pt x="419" y="1100"/>
                                <a:pt x="319" y="1091"/>
                              </a:cubicBezTo>
                              <a:cubicBezTo>
                                <a:pt x="218" y="1057"/>
                                <a:pt x="143" y="1063"/>
                                <a:pt x="49" y="1001"/>
                              </a:cubicBezTo>
                              <a:cubicBezTo>
                                <a:pt x="38" y="969"/>
                                <a:pt x="5" y="945"/>
                                <a:pt x="4" y="911"/>
                              </a:cubicBezTo>
                              <a:cubicBezTo>
                                <a:pt x="0" y="791"/>
                                <a:pt x="6" y="670"/>
                                <a:pt x="19" y="551"/>
                              </a:cubicBezTo>
                              <a:cubicBezTo>
                                <a:pt x="22" y="528"/>
                                <a:pt x="71" y="479"/>
                                <a:pt x="94" y="476"/>
                              </a:cubicBezTo>
                              <a:cubicBezTo>
                                <a:pt x="178" y="463"/>
                                <a:pt x="264" y="466"/>
                                <a:pt x="349" y="461"/>
                              </a:cubicBezTo>
                              <a:cubicBezTo>
                                <a:pt x="366" y="411"/>
                                <a:pt x="364" y="432"/>
                                <a:pt x="364" y="401"/>
                              </a:cubicBez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37.05pt;margin-top:7.35pt;height:37.5pt;width:181.75pt;z-index:251689984;mso-width-relative:page;mso-height-relative:page;" filled="f" stroked="t" coordsize="4595,1256" o:gfxdata="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" path="m274,416c484,411,694,415,904,401c938,399,1000,341,1024,326c1137,255,1279,221,1399,161c1611,55,1822,79,2059,71c2271,0,2465,32,2689,41c2770,95,2854,108,2944,146c3064,197,3165,270,3289,311c3601,545,4475,414,4534,416c4554,431,4585,438,4594,461c4595,463,4575,567,4564,581c4497,665,4396,772,4294,806c4207,871,4180,919,4069,941c4049,956,4031,975,4009,986c3991,995,3967,991,3949,1001c3931,1012,3922,1034,3904,1046c3891,1055,3873,1054,3859,1061c3724,1128,3849,1097,3679,1121c3664,1136,3654,1158,3634,1166c3601,1179,3564,1174,3529,1181c3513,1184,3499,1192,3484,1196c3444,1207,3405,1219,3364,1226c3284,1239,3124,1256,3124,1256c2809,1251,2494,1250,2179,1241c1935,1234,1687,1178,1444,1151c1150,1053,1451,1148,619,1121c519,1118,419,1100,319,1091c218,1057,143,1063,49,1001c38,969,5,945,4,911c0,791,6,670,19,551c22,528,71,479,94,476c178,463,264,466,349,461c366,411,364,432,364,401e">
                <v:fill on="f" focussize="0,0"/>
                <v:stroke color="#000000" joinstyle="round"/>
                <v:imagedata o:title=""/>
                <o:lock v:ext="edit" aspectratio="f"/>
              </v:shape>
            </w:pict>
          </mc:Fallback>
        </mc:AlternateContent>
      </w:r>
      <w:r>
        <w:rPr>
          <w:color w:val="FF0000"/>
          <w:sz w:val="28"/>
          <w:szCs w:val="28"/>
        </w:rPr>
        <mc:AlternateContent>
          <mc:Choice Requires="wps">
            <w:drawing>
              <wp:anchor distT="0" distB="0" distL="114300" distR="114300" simplePos="0" relativeHeight="251687936" behindDoc="0" locked="0" layoutInCell="1" allowOverlap="1">
                <wp:simplePos x="0" y="0"/>
                <wp:positionH relativeFrom="column">
                  <wp:posOffset>4210685</wp:posOffset>
                </wp:positionH>
                <wp:positionV relativeFrom="paragraph">
                  <wp:posOffset>19685</wp:posOffset>
                </wp:positionV>
                <wp:extent cx="771525" cy="492760"/>
                <wp:effectExtent l="1179830" t="4445" r="14605" b="20955"/>
                <wp:wrapNone/>
                <wp:docPr id="7" name="矩形标注 7"/>
                <wp:cNvGraphicFramePr/>
                <a:graphic xmlns:a="http://schemas.openxmlformats.org/drawingml/2006/main">
                  <a:graphicData uri="http://schemas.microsoft.com/office/word/2010/wordprocessingShape">
                    <wps:wsp>
                      <wps:cNvSpPr/>
                      <wps:spPr>
                        <a:xfrm>
                          <a:off x="0" y="0"/>
                          <a:ext cx="771525" cy="492760"/>
                        </a:xfrm>
                        <a:prstGeom prst="wedgeRectCallout">
                          <a:avLst>
                            <a:gd name="adj1" fmla="val -197981"/>
                            <a:gd name="adj2" fmla="val 50903"/>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矿山、采矿区</w:t>
                            </w:r>
                          </w:p>
                        </w:txbxContent>
                      </wps:txbx>
                      <wps:bodyPr upright="1"/>
                    </wps:wsp>
                  </a:graphicData>
                </a:graphic>
              </wp:anchor>
            </w:drawing>
          </mc:Choice>
          <mc:Fallback>
            <w:pict>
              <v:shape id="_x0000_s1026" o:spid="_x0000_s1026" o:spt="61" type="#_x0000_t61" style="position:absolute;left:0pt;margin-left:331.55pt;margin-top:1.55pt;height:38.8pt;width:60.75pt;z-index:251687936;mso-width-relative:page;mso-height-relative:page;" fillcolor="#FFFFFF" filled="t" stroked="t" coordsize="21600,21600" o:gfxdata="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bWqka1QAAAAgBAAAP&#10;AAAAAAAAAAEAIAAAACIAAABkcnMvZG93bnJldi54bWxQSwECFAAUAAAACACHTuJA+0UOchsCAAA/&#10;BAAADgAAAAAAAAABACAAAAAkAQAAZHJzL2Uyb0RvYy54bWxQSwUGAAAAAAYABgBZAQAAsQUAAAAA&#10;" adj="-31964,21795">
                <v:fill on="t" focussize="0,0"/>
                <v:stroke color="#000000" joinstyle="miter"/>
                <v:imagedata o:title=""/>
                <o:lock v:ext="edit" aspectratio="f"/>
                <v:textbox>
                  <w:txbxContent>
                    <w:p>
                      <w:r>
                        <w:rPr>
                          <w:rFonts w:hint="eastAsia"/>
                        </w:rPr>
                        <w:t>矿山、采矿区</w:t>
                      </w:r>
                    </w:p>
                  </w:txbxContent>
                </v:textbox>
              </v:shape>
            </w:pict>
          </mc:Fallback>
        </mc:AlternateContent>
      </w:r>
    </w:p>
    <w:p>
      <w:pPr>
        <w:tabs>
          <w:tab w:val="left" w:pos="2127"/>
        </w:tabs>
        <w:spacing w:line="360" w:lineRule="auto"/>
        <w:ind w:firstLine="562" w:firstLineChars="200"/>
        <w:jc w:val="center"/>
        <w:rPr>
          <w:rFonts w:hint="eastAsia" w:ascii="宋体"/>
          <w:b/>
          <w:snapToGrid w:val="0"/>
          <w:kern w:val="0"/>
          <w:sz w:val="28"/>
          <w:szCs w:val="28"/>
        </w:rPr>
      </w:pPr>
    </w:p>
    <w:p>
      <w:pPr>
        <w:pStyle w:val="12"/>
        <w:spacing w:line="240" w:lineRule="auto"/>
        <w:ind w:firstLine="482" w:firstLineChars="200"/>
        <w:jc w:val="center"/>
        <w:rPr>
          <w:rFonts w:hint="default" w:ascii="黑体" w:hAnsi="Courier New" w:eastAsia="黑体"/>
          <w:b/>
          <w:color w:val="auto"/>
          <w:sz w:val="24"/>
          <w:lang w:val="en-US"/>
        </w:rPr>
      </w:pPr>
      <w:r>
        <w:rPr>
          <w:rFonts w:hint="eastAsia" w:ascii="黑体" w:hAnsi="Courier New" w:eastAsia="黑体"/>
          <w:b/>
          <w:color w:val="auto"/>
          <w:sz w:val="24"/>
          <w:lang w:eastAsia="zh-CN"/>
        </w:rPr>
        <w:t>图</w:t>
      </w:r>
      <w:r>
        <w:rPr>
          <w:rFonts w:hint="eastAsia" w:ascii="黑体" w:hAnsi="Courier New" w:eastAsia="黑体"/>
          <w:b/>
          <w:color w:val="auto"/>
          <w:sz w:val="24"/>
          <w:lang w:val="en-US" w:eastAsia="zh-CN"/>
        </w:rPr>
        <w:t>2-2  总平面布局示意图</w:t>
      </w:r>
    </w:p>
    <w:p>
      <w:pPr>
        <w:pStyle w:val="5"/>
        <w:spacing w:before="0" w:after="0" w:line="360" w:lineRule="auto"/>
        <w:rPr>
          <w:rFonts w:hint="eastAsia" w:ascii="宋体" w:hAnsi="宋体" w:eastAsia="宋体" w:cs="宋体"/>
          <w:color w:val="auto"/>
          <w:sz w:val="28"/>
          <w:szCs w:val="28"/>
          <w:lang w:val="zh-CN"/>
        </w:rPr>
      </w:pPr>
      <w:bookmarkStart w:id="47" w:name="_Toc440539582"/>
      <w:bookmarkStart w:id="48" w:name="_Toc12655"/>
      <w:bookmarkStart w:id="49" w:name="_Toc8678"/>
      <w:bookmarkStart w:id="50" w:name="_Toc18802"/>
      <w:r>
        <w:rPr>
          <w:rFonts w:hint="eastAsia" w:ascii="宋体" w:hAnsi="宋体" w:eastAsia="宋体" w:cs="宋体"/>
          <w:color w:val="auto"/>
          <w:sz w:val="28"/>
          <w:szCs w:val="28"/>
          <w:lang w:val="zh-CN"/>
        </w:rPr>
        <w:t>2.</w:t>
      </w: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val="zh-CN"/>
        </w:rPr>
        <w:t>周边环境</w:t>
      </w:r>
      <w:bookmarkEnd w:id="47"/>
      <w:bookmarkEnd w:id="48"/>
      <w:bookmarkEnd w:id="49"/>
      <w:bookmarkEnd w:id="50"/>
    </w:p>
    <w:p>
      <w:pPr>
        <w:spacing w:line="360" w:lineRule="auto"/>
        <w:ind w:firstLine="560" w:firstLineChars="200"/>
        <w:rPr>
          <w:rFonts w:hint="eastAsia" w:ascii="宋体" w:hAnsi="宋体"/>
          <w:sz w:val="28"/>
          <w:szCs w:val="28"/>
        </w:rPr>
      </w:pPr>
      <w:r>
        <w:rPr>
          <w:rFonts w:hint="eastAsia" w:ascii="宋体" w:hAnsi="宋体"/>
          <w:sz w:val="28"/>
          <w:szCs w:val="28"/>
          <w:lang w:val="zh-CN" w:eastAsia="zh-CN"/>
        </w:rPr>
        <w:t>仪陇县来仪银河页岩砖厂位于仪陇县来仪乡黄包村一社，厂区</w:t>
      </w:r>
      <w:r>
        <w:rPr>
          <w:rFonts w:hint="eastAsia" w:ascii="宋体" w:hAnsi="宋体"/>
          <w:sz w:val="28"/>
          <w:szCs w:val="28"/>
        </w:rPr>
        <w:t>朝向近似座南朝北，东面为山坡林地，南面为矿山和采场，西面和北面均为村公路，砖厂大门朝向北面与村公路相连。</w:t>
      </w:r>
      <w:r>
        <w:rPr>
          <w:rFonts w:hint="eastAsia" w:ascii="宋体" w:hAnsi="宋体"/>
          <w:sz w:val="28"/>
          <w:szCs w:val="28"/>
          <w:lang w:eastAsia="zh-CN"/>
        </w:rPr>
        <w:t>公司</w:t>
      </w:r>
      <w:r>
        <w:rPr>
          <w:rFonts w:hint="eastAsia" w:ascii="宋体" w:hAnsi="宋体"/>
          <w:sz w:val="28"/>
          <w:szCs w:val="28"/>
        </w:rPr>
        <w:t>北侧厂界外85米为来仪乡黄包村一社村民（6户，30人）</w:t>
      </w:r>
      <w:r>
        <w:rPr>
          <w:rFonts w:hint="eastAsia" w:ascii="宋体" w:hAnsi="宋体"/>
          <w:sz w:val="28"/>
          <w:szCs w:val="28"/>
          <w:lang w:eastAsia="zh-CN"/>
        </w:rPr>
        <w:t>；</w:t>
      </w:r>
      <w:r>
        <w:rPr>
          <w:rFonts w:hint="eastAsia" w:ascii="宋体" w:hAnsi="宋体"/>
          <w:sz w:val="28"/>
          <w:szCs w:val="28"/>
        </w:rPr>
        <w:t>厂界西侧距离厂界最近23米处有一户村民（3人），65〜60</w:t>
      </w:r>
      <w:r>
        <w:rPr>
          <w:rFonts w:hint="eastAsia" w:ascii="宋体" w:hAnsi="宋体"/>
          <w:sz w:val="28"/>
          <w:szCs w:val="28"/>
          <w:lang w:val="en-US" w:eastAsia="zh-CN"/>
        </w:rPr>
        <w:t>0</w:t>
      </w:r>
      <w:r>
        <w:rPr>
          <w:rFonts w:hint="eastAsia" w:ascii="宋体" w:hAnsi="宋体"/>
          <w:sz w:val="28"/>
          <w:szCs w:val="28"/>
        </w:rPr>
        <w:t>米为来仪乡村民聚</w:t>
      </w:r>
      <w:r>
        <w:rPr>
          <w:rFonts w:hint="eastAsia" w:ascii="宋体" w:hAnsi="宋体"/>
          <w:sz w:val="28"/>
          <w:szCs w:val="28"/>
          <w:lang w:eastAsia="zh-CN"/>
        </w:rPr>
        <w:t>居</w:t>
      </w:r>
      <w:r>
        <w:rPr>
          <w:rFonts w:hint="eastAsia" w:ascii="宋体" w:hAnsi="宋体"/>
          <w:sz w:val="28"/>
          <w:szCs w:val="28"/>
        </w:rPr>
        <w:t>区（62户，248人），其中</w:t>
      </w:r>
      <w:r>
        <w:rPr>
          <w:rFonts w:hint="eastAsia" w:ascii="宋体" w:hAnsi="宋体"/>
          <w:sz w:val="28"/>
          <w:szCs w:val="28"/>
          <w:lang w:eastAsia="zh-CN"/>
        </w:rPr>
        <w:t>西</w:t>
      </w:r>
      <w:r>
        <w:rPr>
          <w:rFonts w:hint="eastAsia" w:ascii="宋体" w:hAnsi="宋体"/>
          <w:sz w:val="28"/>
          <w:szCs w:val="28"/>
        </w:rPr>
        <w:t>侧距</w:t>
      </w:r>
      <w:r>
        <w:rPr>
          <w:rFonts w:hint="eastAsia" w:ascii="宋体" w:hAnsi="宋体"/>
          <w:sz w:val="28"/>
          <w:szCs w:val="28"/>
          <w:lang w:eastAsia="zh-CN"/>
        </w:rPr>
        <w:t>离</w:t>
      </w:r>
      <w:r>
        <w:rPr>
          <w:rFonts w:hint="eastAsia" w:ascii="宋体" w:hAnsi="宋体"/>
          <w:sz w:val="28"/>
          <w:szCs w:val="28"/>
        </w:rPr>
        <w:t>厂界530m为</w:t>
      </w:r>
      <w:r>
        <w:rPr>
          <w:rFonts w:hint="eastAsia" w:ascii="宋体" w:hAnsi="宋体"/>
          <w:sz w:val="28"/>
          <w:szCs w:val="28"/>
          <w:lang w:eastAsia="zh-CN"/>
        </w:rPr>
        <w:t>来</w:t>
      </w:r>
      <w:r>
        <w:rPr>
          <w:rFonts w:hint="eastAsia" w:ascii="宋体" w:hAnsi="宋体"/>
          <w:sz w:val="28"/>
          <w:szCs w:val="28"/>
        </w:rPr>
        <w:t>仪小学；</w:t>
      </w:r>
      <w:r>
        <w:rPr>
          <w:rFonts w:hint="eastAsia" w:ascii="宋体" w:hAnsi="宋体"/>
          <w:sz w:val="28"/>
          <w:szCs w:val="28"/>
          <w:lang w:eastAsia="zh-CN"/>
        </w:rPr>
        <w:t>公司</w:t>
      </w:r>
      <w:r>
        <w:rPr>
          <w:rFonts w:hint="eastAsia" w:ascii="宋体" w:hAnsi="宋体"/>
          <w:sz w:val="28"/>
          <w:szCs w:val="28"/>
        </w:rPr>
        <w:t>厂界南侧和东侧为耕地和林地没</w:t>
      </w:r>
      <w:r>
        <w:rPr>
          <w:rFonts w:hint="eastAsia" w:ascii="宋体" w:hAnsi="宋体"/>
          <w:sz w:val="28"/>
          <w:szCs w:val="28"/>
          <w:lang w:eastAsia="zh-CN"/>
        </w:rPr>
        <w:t>有居</w:t>
      </w:r>
      <w:r>
        <w:rPr>
          <w:rFonts w:hint="eastAsia" w:ascii="宋体" w:hAnsi="宋体"/>
          <w:sz w:val="28"/>
          <w:szCs w:val="28"/>
        </w:rPr>
        <w:t>民</w:t>
      </w:r>
      <w:r>
        <w:rPr>
          <w:rFonts w:hint="eastAsia" w:ascii="宋体" w:hAnsi="宋体"/>
          <w:sz w:val="28"/>
          <w:szCs w:val="28"/>
          <w:lang w:eastAsia="zh-CN"/>
        </w:rPr>
        <w:t>居</w:t>
      </w:r>
      <w:r>
        <w:rPr>
          <w:rFonts w:hint="eastAsia" w:ascii="宋体" w:hAnsi="宋体"/>
          <w:sz w:val="28"/>
          <w:szCs w:val="28"/>
        </w:rPr>
        <w:t>住，</w:t>
      </w:r>
      <w:r>
        <w:rPr>
          <w:rFonts w:hint="eastAsia" w:ascii="宋体" w:hAnsi="宋体"/>
          <w:sz w:val="28"/>
          <w:szCs w:val="28"/>
          <w:lang w:eastAsia="zh-CN"/>
        </w:rPr>
        <w:t>公司</w:t>
      </w:r>
      <w:r>
        <w:rPr>
          <w:rFonts w:hint="eastAsia" w:ascii="宋体" w:hAnsi="宋体"/>
          <w:sz w:val="28"/>
          <w:szCs w:val="28"/>
        </w:rPr>
        <w:t>北侧为大门入口，紧邻乡村公路。</w:t>
      </w:r>
    </w:p>
    <w:p>
      <w:pPr>
        <w:spacing w:line="360" w:lineRule="auto"/>
        <w:ind w:firstLine="560" w:firstLineChars="200"/>
        <w:rPr>
          <w:rFonts w:hint="eastAsia" w:ascii="宋体" w:hAnsi="宋体"/>
          <w:sz w:val="28"/>
          <w:szCs w:val="28"/>
        </w:rPr>
      </w:pPr>
      <w:r>
        <w:rPr>
          <w:rFonts w:hint="eastAsia" w:ascii="宋体" w:hAnsi="宋体"/>
          <w:sz w:val="28"/>
          <w:szCs w:val="28"/>
        </w:rPr>
        <w:t>除此外厂区四周200m安全警戒范围内，无其它</w:t>
      </w:r>
      <w:r>
        <w:rPr>
          <w:rFonts w:ascii="宋体" w:hAnsi="宋体"/>
          <w:sz w:val="28"/>
          <w:szCs w:val="28"/>
        </w:rPr>
        <w:t>矿山（包括闭坑矿山）、尾矿库、铁路、</w:t>
      </w:r>
      <w:r>
        <w:rPr>
          <w:rFonts w:hint="eastAsia" w:ascii="宋体" w:hAnsi="宋体"/>
          <w:sz w:val="28"/>
          <w:szCs w:val="28"/>
        </w:rPr>
        <w:t>河流、</w:t>
      </w:r>
      <w:r>
        <w:rPr>
          <w:rFonts w:ascii="宋体" w:hAnsi="宋体"/>
          <w:sz w:val="28"/>
          <w:szCs w:val="28"/>
        </w:rPr>
        <w:t>风景区、重要工农业设施、名胜古迹以及其他需要保护的对象。</w:t>
      </w:r>
      <w:r>
        <w:rPr>
          <w:rFonts w:hint="eastAsia" w:ascii="宋体" w:hAnsi="宋体"/>
          <w:sz w:val="28"/>
          <w:szCs w:val="28"/>
        </w:rPr>
        <w:t>厂址周边环境良好，无相互制约因素。具体情况如图</w:t>
      </w:r>
      <w:r>
        <w:rPr>
          <w:rFonts w:hint="eastAsia" w:ascii="宋体" w:hAnsi="宋体" w:eastAsia="宋体"/>
          <w:sz w:val="28"/>
          <w:szCs w:val="28"/>
          <w:lang w:val="en-US" w:eastAsia="zh-CN"/>
        </w:rPr>
        <w:t>2-3</w:t>
      </w:r>
      <w:r>
        <w:rPr>
          <w:rFonts w:hint="eastAsia" w:ascii="宋体" w:hAnsi="宋体"/>
          <w:sz w:val="28"/>
          <w:szCs w:val="28"/>
        </w:rPr>
        <w:t>所示：</w:t>
      </w:r>
    </w:p>
    <w:p>
      <w:pPr>
        <w:spacing w:line="360" w:lineRule="auto"/>
        <w:ind w:firstLine="560" w:firstLineChars="200"/>
        <w:rPr>
          <w:rFonts w:hint="eastAsia" w:ascii="宋体"/>
          <w:snapToGrid w:val="0"/>
          <w:color w:val="auto"/>
          <w:kern w:val="0"/>
          <w:sz w:val="28"/>
          <w:szCs w:val="28"/>
          <w:lang w:val="zh-CN" w:eastAsia="zh-CN"/>
        </w:rPr>
      </w:pPr>
    </w:p>
    <w:p>
      <w:pPr>
        <w:spacing w:line="360" w:lineRule="auto"/>
        <w:ind w:firstLine="560" w:firstLineChars="200"/>
        <w:rPr>
          <w:rFonts w:hint="eastAsia" w:ascii="宋体"/>
          <w:snapToGrid w:val="0"/>
          <w:color w:val="auto"/>
          <w:kern w:val="0"/>
          <w:sz w:val="28"/>
          <w:szCs w:val="28"/>
          <w:lang w:val="zh-CN" w:eastAsia="zh-CN"/>
        </w:rPr>
      </w:pPr>
    </w:p>
    <w:p>
      <w:pPr>
        <w:tabs>
          <w:tab w:val="left" w:pos="180"/>
          <w:tab w:val="left" w:pos="1800"/>
          <w:tab w:val="left" w:pos="1980"/>
          <w:tab w:val="left" w:pos="2520"/>
          <w:tab w:val="left" w:pos="2700"/>
          <w:tab w:val="left" w:pos="2880"/>
          <w:tab w:val="left" w:pos="4140"/>
          <w:tab w:val="left" w:pos="4680"/>
        </w:tabs>
        <w:spacing w:line="360" w:lineRule="auto"/>
        <w:jc w:val="both"/>
        <w:rPr>
          <w:rFonts w:hint="eastAsia" w:ascii="黑体" w:hAnsi="黑体" w:eastAsia="黑体"/>
          <w:b/>
          <w:snapToGrid w:val="0"/>
          <w:color w:val="FF0000"/>
          <w:kern w:val="0"/>
          <w:sz w:val="24"/>
          <w:lang w:eastAsia="zh-CN"/>
        </w:rPr>
      </w:pPr>
      <w:r>
        <w:drawing>
          <wp:inline distT="0" distB="0" distL="114300" distR="114300">
            <wp:extent cx="5711825" cy="3522980"/>
            <wp:effectExtent l="0" t="0" r="3175" b="1270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6"/>
                    <a:srcRect b="1596"/>
                    <a:stretch>
                      <a:fillRect/>
                    </a:stretch>
                  </pic:blipFill>
                  <pic:spPr>
                    <a:xfrm>
                      <a:off x="0" y="0"/>
                      <a:ext cx="5711825" cy="3522980"/>
                    </a:xfrm>
                    <a:prstGeom prst="rect">
                      <a:avLst/>
                    </a:prstGeom>
                    <a:noFill/>
                    <a:ln>
                      <a:noFill/>
                    </a:ln>
                  </pic:spPr>
                </pic:pic>
              </a:graphicData>
            </a:graphic>
          </wp:inline>
        </w:drawing>
      </w:r>
    </w:p>
    <w:p>
      <w:pPr>
        <w:tabs>
          <w:tab w:val="left" w:pos="180"/>
          <w:tab w:val="left" w:pos="1800"/>
          <w:tab w:val="left" w:pos="1980"/>
          <w:tab w:val="left" w:pos="2520"/>
          <w:tab w:val="left" w:pos="2700"/>
          <w:tab w:val="left" w:pos="2880"/>
          <w:tab w:val="left" w:pos="4140"/>
          <w:tab w:val="left" w:pos="4680"/>
        </w:tabs>
        <w:spacing w:line="360" w:lineRule="auto"/>
        <w:jc w:val="center"/>
        <w:rPr>
          <w:rFonts w:hint="eastAsia" w:ascii="黑体" w:hAnsi="黑体" w:eastAsia="黑体"/>
          <w:b/>
          <w:snapToGrid w:val="0"/>
          <w:color w:val="FF0000"/>
          <w:kern w:val="0"/>
          <w:sz w:val="24"/>
          <w:lang w:eastAsia="zh-CN"/>
        </w:rPr>
      </w:pPr>
      <w:r>
        <w:rPr>
          <w:rFonts w:hint="eastAsia" w:ascii="黑体" w:hAnsi="黑体" w:eastAsia="黑体"/>
          <w:b/>
          <w:snapToGrid w:val="0"/>
          <w:color w:val="FF0000"/>
          <w:kern w:val="0"/>
          <w:sz w:val="24"/>
          <w:lang w:eastAsia="zh-CN"/>
        </w:rPr>
        <w:t>图2-</w:t>
      </w:r>
      <w:r>
        <w:rPr>
          <w:rFonts w:hint="eastAsia" w:ascii="黑体" w:hAnsi="黑体" w:eastAsia="黑体"/>
          <w:b/>
          <w:snapToGrid w:val="0"/>
          <w:color w:val="FF0000"/>
          <w:kern w:val="0"/>
          <w:sz w:val="24"/>
          <w:lang w:val="en-US" w:eastAsia="zh-CN"/>
        </w:rPr>
        <w:t>3</w:t>
      </w:r>
      <w:r>
        <w:rPr>
          <w:rFonts w:hint="eastAsia" w:ascii="黑体" w:hAnsi="黑体" w:eastAsia="黑体"/>
          <w:b/>
          <w:snapToGrid w:val="0"/>
          <w:color w:val="FF0000"/>
          <w:kern w:val="0"/>
          <w:sz w:val="24"/>
          <w:lang w:eastAsia="zh-CN"/>
        </w:rPr>
        <w:t xml:space="preserve">  周边环境示意图</w:t>
      </w:r>
    </w:p>
    <w:p>
      <w:pPr>
        <w:pStyle w:val="5"/>
        <w:spacing w:before="0" w:after="0" w:line="360" w:lineRule="auto"/>
        <w:rPr>
          <w:rFonts w:hint="eastAsia" w:ascii="宋体" w:hAnsi="宋体" w:eastAsia="宋体" w:cs="宋体"/>
          <w:color w:val="FF0000"/>
          <w:sz w:val="28"/>
          <w:szCs w:val="28"/>
          <w:lang w:val="zh-CN"/>
        </w:rPr>
      </w:pPr>
      <w:bookmarkStart w:id="51" w:name="_Toc440539584"/>
      <w:bookmarkStart w:id="52" w:name="_Toc25723"/>
      <w:bookmarkStart w:id="53" w:name="_Toc13520"/>
      <w:bookmarkStart w:id="54" w:name="_Toc27460"/>
      <w:r>
        <w:rPr>
          <w:rFonts w:hint="eastAsia" w:ascii="宋体" w:hAnsi="宋体" w:eastAsia="宋体" w:cs="宋体"/>
          <w:color w:val="FF0000"/>
          <w:sz w:val="28"/>
          <w:szCs w:val="28"/>
          <w:lang w:val="zh-CN"/>
        </w:rPr>
        <w:t>2.1.</w:t>
      </w:r>
      <w:r>
        <w:rPr>
          <w:rFonts w:hint="eastAsia" w:ascii="宋体" w:hAnsi="宋体" w:eastAsia="宋体" w:cs="宋体"/>
          <w:color w:val="FF0000"/>
          <w:sz w:val="28"/>
          <w:szCs w:val="28"/>
          <w:lang w:val="en-US" w:eastAsia="zh-CN"/>
        </w:rPr>
        <w:t>4</w:t>
      </w:r>
      <w:r>
        <w:rPr>
          <w:rFonts w:hint="eastAsia" w:ascii="宋体" w:hAnsi="宋体" w:eastAsia="宋体" w:cs="宋体"/>
          <w:color w:val="FF0000"/>
          <w:sz w:val="28"/>
          <w:szCs w:val="28"/>
          <w:lang w:val="zh-CN"/>
        </w:rPr>
        <w:t>工艺流程</w:t>
      </w:r>
      <w:bookmarkEnd w:id="51"/>
      <w:bookmarkEnd w:id="52"/>
      <w:bookmarkEnd w:id="53"/>
      <w:bookmarkEnd w:id="54"/>
    </w:p>
    <w:p>
      <w:pPr>
        <w:spacing w:line="360" w:lineRule="auto"/>
        <w:ind w:firstLine="562" w:firstLineChars="200"/>
        <w:rPr>
          <w:rFonts w:hint="eastAsia" w:ascii="宋体"/>
          <w:b/>
          <w:bCs/>
          <w:snapToGrid w:val="0"/>
          <w:color w:val="FF0000"/>
          <w:kern w:val="0"/>
          <w:sz w:val="28"/>
          <w:szCs w:val="28"/>
          <w:lang w:val="en-US" w:eastAsia="zh-CN"/>
        </w:rPr>
      </w:pPr>
      <w:bookmarkStart w:id="55" w:name="_Toc480804369"/>
      <w:bookmarkStart w:id="56" w:name="_Toc515872918"/>
      <w:bookmarkStart w:id="57" w:name="_Toc356380956"/>
      <w:bookmarkStart w:id="58" w:name="_Toc356401465"/>
      <w:bookmarkStart w:id="59" w:name="_Toc480804370"/>
      <w:bookmarkStart w:id="60" w:name="_Toc356380957"/>
      <w:bookmarkStart w:id="61" w:name="_Toc356401466"/>
      <w:bookmarkStart w:id="62" w:name="_Toc515872919"/>
      <w:r>
        <w:rPr>
          <w:rFonts w:hint="eastAsia" w:ascii="宋体"/>
          <w:b/>
          <w:bCs/>
          <w:snapToGrid w:val="0"/>
          <w:color w:val="FF0000"/>
          <w:kern w:val="0"/>
          <w:sz w:val="28"/>
          <w:szCs w:val="28"/>
          <w:lang w:val="en-US" w:eastAsia="zh-CN"/>
        </w:rPr>
        <w:t>1、生产工艺流程图</w:t>
      </w:r>
      <w:bookmarkEnd w:id="55"/>
      <w:bookmarkEnd w:id="56"/>
      <w:bookmarkEnd w:id="57"/>
      <w:bookmarkEnd w:id="58"/>
    </w:p>
    <w:p>
      <w:pPr>
        <w:spacing w:line="360" w:lineRule="auto"/>
        <w:ind w:firstLine="560" w:firstLineChars="200"/>
        <w:rPr>
          <w:rFonts w:hint="eastAsia" w:ascii="宋体"/>
          <w:snapToGrid w:val="0"/>
          <w:color w:val="FF0000"/>
          <w:kern w:val="0"/>
          <w:sz w:val="28"/>
          <w:szCs w:val="28"/>
          <w:lang w:val="zh-CN" w:eastAsia="zh-CN"/>
        </w:rPr>
      </w:pPr>
      <w:r>
        <w:rPr>
          <w:rFonts w:hint="eastAsia" w:ascii="宋体"/>
          <w:snapToGrid w:val="0"/>
          <w:color w:val="FF0000"/>
          <w:kern w:val="0"/>
          <w:sz w:val="28"/>
          <w:szCs w:val="28"/>
          <w:lang w:val="zh-CN" w:eastAsia="zh-CN"/>
        </w:rPr>
        <w:t>标砖生产主要包括采矿、破碎、筛分、搅拌、制胚、进胚、烧窑、装车8大工序，各工序按照工艺流程布置在各自区域内。公司隧道窑采用环保节能式的隧道窑，首次烧结采用精煤助燃，顺利开窑后可利用标砖中含有的煤自燃热量进行烧结，待自然冷却后装车装车外售。生产工艺流程如图：</w:t>
      </w:r>
    </w:p>
    <w:p>
      <w:pPr>
        <w:spacing w:line="360" w:lineRule="auto"/>
        <w:ind w:firstLine="560" w:firstLineChars="200"/>
        <w:rPr>
          <w:rFonts w:hint="eastAsia" w:ascii="宋体"/>
          <w:snapToGrid w:val="0"/>
          <w:color w:val="auto"/>
          <w:kern w:val="0"/>
          <w:sz w:val="28"/>
          <w:szCs w:val="28"/>
        </w:rPr>
      </w:pPr>
      <w:r>
        <w:rPr>
          <w:rFonts w:hint="eastAsia" w:ascii="宋体"/>
          <w:color w:val="FF0000"/>
          <w:kern w:val="0"/>
          <w:sz w:val="28"/>
          <w:szCs w:val="28"/>
        </w:rPr>
        <mc:AlternateContent>
          <mc:Choice Requires="wpg">
            <w:drawing>
              <wp:anchor distT="0" distB="0" distL="114300" distR="114300" simplePos="0" relativeHeight="251669504" behindDoc="0" locked="0" layoutInCell="1" allowOverlap="1">
                <wp:simplePos x="0" y="0"/>
                <wp:positionH relativeFrom="column">
                  <wp:posOffset>231775</wp:posOffset>
                </wp:positionH>
                <wp:positionV relativeFrom="paragraph">
                  <wp:posOffset>635</wp:posOffset>
                </wp:positionV>
                <wp:extent cx="5307965" cy="2550795"/>
                <wp:effectExtent l="4445" t="5080" r="6350" b="4445"/>
                <wp:wrapNone/>
                <wp:docPr id="52" name="组合 52"/>
                <wp:cNvGraphicFramePr/>
                <a:graphic xmlns:a="http://schemas.openxmlformats.org/drawingml/2006/main">
                  <a:graphicData uri="http://schemas.microsoft.com/office/word/2010/wordprocessingGroup">
                    <wpg:wgp>
                      <wpg:cNvGrpSpPr/>
                      <wpg:grpSpPr>
                        <a:xfrm>
                          <a:off x="0" y="0"/>
                          <a:ext cx="5307965" cy="2550795"/>
                          <a:chOff x="2310" y="7530"/>
                          <a:chExt cx="7665" cy="4815"/>
                        </a:xfrm>
                      </wpg:grpSpPr>
                      <wps:wsp>
                        <wps:cNvPr id="21" name="矩形 21"/>
                        <wps:cNvSpPr/>
                        <wps:spPr>
                          <a:xfrm>
                            <a:off x="2310" y="7530"/>
                            <a:ext cx="1620" cy="58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煤矸石、页岩</w:t>
                              </w:r>
                            </w:p>
                          </w:txbxContent>
                        </wps:txbx>
                        <wps:bodyPr upright="1"/>
                      </wps:wsp>
                      <wps:wsp>
                        <wps:cNvPr id="22" name="直接箭头连接符 22"/>
                        <wps:cNvCnPr/>
                        <wps:spPr>
                          <a:xfrm>
                            <a:off x="3930" y="7860"/>
                            <a:ext cx="390" cy="0"/>
                          </a:xfrm>
                          <a:prstGeom prst="straightConnector1">
                            <a:avLst/>
                          </a:prstGeom>
                          <a:ln w="9525" cap="flat" cmpd="sng">
                            <a:solidFill>
                              <a:srgbClr val="000000"/>
                            </a:solidFill>
                            <a:prstDash val="solid"/>
                            <a:headEnd type="none" w="med" len="med"/>
                            <a:tailEnd type="triangle" w="med" len="med"/>
                          </a:ln>
                        </wps:spPr>
                        <wps:bodyPr/>
                      </wps:wsp>
                      <wps:wsp>
                        <wps:cNvPr id="23" name="矩形 23"/>
                        <wps:cNvSpPr/>
                        <wps:spPr>
                          <a:xfrm>
                            <a:off x="4320" y="7530"/>
                            <a:ext cx="1620" cy="5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板式给料机</w:t>
                              </w:r>
                            </w:p>
                          </w:txbxContent>
                        </wps:txbx>
                        <wps:bodyPr upright="1"/>
                      </wps:wsp>
                      <wps:wsp>
                        <wps:cNvPr id="24" name="直接箭头连接符 24"/>
                        <wps:cNvCnPr/>
                        <wps:spPr>
                          <a:xfrm>
                            <a:off x="3060" y="9525"/>
                            <a:ext cx="0" cy="825"/>
                          </a:xfrm>
                          <a:prstGeom prst="straightConnector1">
                            <a:avLst/>
                          </a:prstGeom>
                          <a:ln w="9525" cap="flat" cmpd="sng">
                            <a:solidFill>
                              <a:srgbClr val="000000"/>
                            </a:solidFill>
                            <a:prstDash val="solid"/>
                            <a:headEnd type="none" w="med" len="med"/>
                            <a:tailEnd type="triangle" w="med" len="med"/>
                          </a:ln>
                        </wps:spPr>
                        <wps:bodyPr/>
                      </wps:wsp>
                      <wps:wsp>
                        <wps:cNvPr id="25" name="直接箭头连接符 25"/>
                        <wps:cNvCnPr/>
                        <wps:spPr>
                          <a:xfrm>
                            <a:off x="5940" y="7845"/>
                            <a:ext cx="390" cy="0"/>
                          </a:xfrm>
                          <a:prstGeom prst="straightConnector1">
                            <a:avLst/>
                          </a:prstGeom>
                          <a:ln w="9525" cap="flat" cmpd="sng">
                            <a:solidFill>
                              <a:srgbClr val="000000"/>
                            </a:solidFill>
                            <a:prstDash val="solid"/>
                            <a:headEnd type="none" w="med" len="med"/>
                            <a:tailEnd type="triangle" w="med" len="med"/>
                          </a:ln>
                        </wps:spPr>
                        <wps:bodyPr/>
                      </wps:wsp>
                      <wps:wsp>
                        <wps:cNvPr id="26" name="矩形 26"/>
                        <wps:cNvSpPr/>
                        <wps:spPr>
                          <a:xfrm>
                            <a:off x="6330" y="7530"/>
                            <a:ext cx="1620" cy="5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鄂破机</w:t>
                              </w:r>
                            </w:p>
                          </w:txbxContent>
                        </wps:txbx>
                        <wps:bodyPr upright="1"/>
                      </wps:wsp>
                      <wps:wsp>
                        <wps:cNvPr id="27" name="直接箭头连接符 27"/>
                        <wps:cNvCnPr/>
                        <wps:spPr>
                          <a:xfrm>
                            <a:off x="7950" y="7845"/>
                            <a:ext cx="390" cy="0"/>
                          </a:xfrm>
                          <a:prstGeom prst="straightConnector1">
                            <a:avLst/>
                          </a:prstGeom>
                          <a:ln w="9525" cap="flat" cmpd="sng">
                            <a:solidFill>
                              <a:srgbClr val="000000"/>
                            </a:solidFill>
                            <a:prstDash val="solid"/>
                            <a:headEnd type="none" w="med" len="med"/>
                            <a:tailEnd type="triangle" w="med" len="med"/>
                          </a:ln>
                        </wps:spPr>
                        <wps:bodyPr/>
                      </wps:wsp>
                      <wps:wsp>
                        <wps:cNvPr id="28" name="矩形 28"/>
                        <wps:cNvSpPr/>
                        <wps:spPr>
                          <a:xfrm>
                            <a:off x="8340" y="7530"/>
                            <a:ext cx="1620" cy="5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细破机</w:t>
                              </w:r>
                            </w:p>
                          </w:txbxContent>
                        </wps:txbx>
                        <wps:bodyPr upright="1"/>
                      </wps:wsp>
                      <wps:wsp>
                        <wps:cNvPr id="29" name="矩形 29"/>
                        <wps:cNvSpPr/>
                        <wps:spPr>
                          <a:xfrm>
                            <a:off x="8340" y="8940"/>
                            <a:ext cx="1620" cy="5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双轴搅拌机</w:t>
                              </w:r>
                            </w:p>
                          </w:txbxContent>
                        </wps:txbx>
                        <wps:bodyPr upright="1"/>
                      </wps:wsp>
                      <wps:wsp>
                        <wps:cNvPr id="30" name="矩形 30"/>
                        <wps:cNvSpPr/>
                        <wps:spPr>
                          <a:xfrm>
                            <a:off x="6330" y="8940"/>
                            <a:ext cx="1620" cy="5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液压多斗挖掘</w:t>
                              </w:r>
                            </w:p>
                          </w:txbxContent>
                        </wps:txbx>
                        <wps:bodyPr upright="1"/>
                      </wps:wsp>
                      <wps:wsp>
                        <wps:cNvPr id="31" name="矩形 31"/>
                        <wps:cNvSpPr/>
                        <wps:spPr>
                          <a:xfrm>
                            <a:off x="4320" y="8940"/>
                            <a:ext cx="1620" cy="5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箱式给料机</w:t>
                              </w:r>
                            </w:p>
                          </w:txbxContent>
                        </wps:txbx>
                        <wps:bodyPr upright="1"/>
                      </wps:wsp>
                      <wps:wsp>
                        <wps:cNvPr id="32" name="矩形 32"/>
                        <wps:cNvSpPr/>
                        <wps:spPr>
                          <a:xfrm>
                            <a:off x="2310" y="8940"/>
                            <a:ext cx="1620" cy="5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挤泥机</w:t>
                              </w:r>
                            </w:p>
                          </w:txbxContent>
                        </wps:txbx>
                        <wps:bodyPr upright="1"/>
                      </wps:wsp>
                      <wps:wsp>
                        <wps:cNvPr id="33" name="直接箭头连接符 33"/>
                        <wps:cNvCnPr/>
                        <wps:spPr>
                          <a:xfrm flipH="1">
                            <a:off x="7935" y="9240"/>
                            <a:ext cx="405" cy="0"/>
                          </a:xfrm>
                          <a:prstGeom prst="straightConnector1">
                            <a:avLst/>
                          </a:prstGeom>
                          <a:ln w="9525" cap="flat" cmpd="sng">
                            <a:solidFill>
                              <a:srgbClr val="000000"/>
                            </a:solidFill>
                            <a:prstDash val="solid"/>
                            <a:headEnd type="none" w="med" len="med"/>
                            <a:tailEnd type="triangle" w="med" len="med"/>
                          </a:ln>
                        </wps:spPr>
                        <wps:bodyPr/>
                      </wps:wsp>
                      <wps:wsp>
                        <wps:cNvPr id="34" name="直接箭头连接符 34"/>
                        <wps:cNvCnPr/>
                        <wps:spPr>
                          <a:xfrm flipH="1">
                            <a:off x="5940" y="9240"/>
                            <a:ext cx="405" cy="0"/>
                          </a:xfrm>
                          <a:prstGeom prst="straightConnector1">
                            <a:avLst/>
                          </a:prstGeom>
                          <a:ln w="9525" cap="flat" cmpd="sng">
                            <a:solidFill>
                              <a:srgbClr val="000000"/>
                            </a:solidFill>
                            <a:prstDash val="solid"/>
                            <a:headEnd type="none" w="med" len="med"/>
                            <a:tailEnd type="triangle" w="med" len="med"/>
                          </a:ln>
                        </wps:spPr>
                        <wps:bodyPr/>
                      </wps:wsp>
                      <wps:wsp>
                        <wps:cNvPr id="35" name="直接箭头连接符 35"/>
                        <wps:cNvCnPr/>
                        <wps:spPr>
                          <a:xfrm flipH="1">
                            <a:off x="3915" y="9240"/>
                            <a:ext cx="405" cy="0"/>
                          </a:xfrm>
                          <a:prstGeom prst="straightConnector1">
                            <a:avLst/>
                          </a:prstGeom>
                          <a:ln w="9525" cap="flat" cmpd="sng">
                            <a:solidFill>
                              <a:srgbClr val="000000"/>
                            </a:solidFill>
                            <a:prstDash val="solid"/>
                            <a:headEnd type="none" w="med" len="med"/>
                            <a:tailEnd type="triangle" w="med" len="med"/>
                          </a:ln>
                        </wps:spPr>
                        <wps:bodyPr/>
                      </wps:wsp>
                      <wps:wsp>
                        <wps:cNvPr id="36" name="矩形 36"/>
                        <wps:cNvSpPr/>
                        <wps:spPr>
                          <a:xfrm>
                            <a:off x="2310" y="10350"/>
                            <a:ext cx="1620" cy="58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切条、切坏机</w:t>
                              </w:r>
                            </w:p>
                          </w:txbxContent>
                        </wps:txbx>
                        <wps:bodyPr upright="1"/>
                      </wps:wsp>
                      <wps:wsp>
                        <wps:cNvPr id="37" name="直接箭头连接符 37"/>
                        <wps:cNvCnPr/>
                        <wps:spPr>
                          <a:xfrm>
                            <a:off x="3930" y="10680"/>
                            <a:ext cx="390" cy="0"/>
                          </a:xfrm>
                          <a:prstGeom prst="straightConnector1">
                            <a:avLst/>
                          </a:prstGeom>
                          <a:ln w="9525" cap="flat" cmpd="sng">
                            <a:solidFill>
                              <a:srgbClr val="000000"/>
                            </a:solidFill>
                            <a:prstDash val="solid"/>
                            <a:headEnd type="none" w="med" len="med"/>
                            <a:tailEnd type="triangle" w="med" len="med"/>
                          </a:ln>
                        </wps:spPr>
                        <wps:bodyPr/>
                      </wps:wsp>
                      <wps:wsp>
                        <wps:cNvPr id="38" name="矩形 38"/>
                        <wps:cNvSpPr/>
                        <wps:spPr>
                          <a:xfrm>
                            <a:off x="4320" y="10350"/>
                            <a:ext cx="1620" cy="5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自动编码</w:t>
                              </w:r>
                            </w:p>
                          </w:txbxContent>
                        </wps:txbx>
                        <wps:bodyPr upright="1"/>
                      </wps:wsp>
                      <wps:wsp>
                        <wps:cNvPr id="39" name="直接箭头连接符 39"/>
                        <wps:cNvCnPr/>
                        <wps:spPr>
                          <a:xfrm>
                            <a:off x="9180" y="10935"/>
                            <a:ext cx="0" cy="825"/>
                          </a:xfrm>
                          <a:prstGeom prst="straightConnector1">
                            <a:avLst/>
                          </a:prstGeom>
                          <a:ln w="9525" cap="flat" cmpd="sng">
                            <a:solidFill>
                              <a:srgbClr val="000000"/>
                            </a:solidFill>
                            <a:prstDash val="solid"/>
                            <a:headEnd type="none" w="med" len="med"/>
                            <a:tailEnd type="triangle" w="med" len="med"/>
                          </a:ln>
                        </wps:spPr>
                        <wps:bodyPr/>
                      </wps:wsp>
                      <wps:wsp>
                        <wps:cNvPr id="40" name="直接箭头连接符 40"/>
                        <wps:cNvCnPr/>
                        <wps:spPr>
                          <a:xfrm>
                            <a:off x="5940" y="10665"/>
                            <a:ext cx="390" cy="0"/>
                          </a:xfrm>
                          <a:prstGeom prst="straightConnector1">
                            <a:avLst/>
                          </a:prstGeom>
                          <a:ln w="9525" cap="flat" cmpd="sng">
                            <a:solidFill>
                              <a:srgbClr val="000000"/>
                            </a:solidFill>
                            <a:prstDash val="solid"/>
                            <a:headEnd type="none" w="med" len="med"/>
                            <a:tailEnd type="triangle" w="med" len="med"/>
                          </a:ln>
                        </wps:spPr>
                        <wps:bodyPr/>
                      </wps:wsp>
                      <wps:wsp>
                        <wps:cNvPr id="41" name="矩形 41"/>
                        <wps:cNvSpPr/>
                        <wps:spPr>
                          <a:xfrm>
                            <a:off x="6330" y="10350"/>
                            <a:ext cx="1620" cy="5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自动码坯机</w:t>
                              </w:r>
                            </w:p>
                          </w:txbxContent>
                        </wps:txbx>
                        <wps:bodyPr upright="1"/>
                      </wps:wsp>
                      <wps:wsp>
                        <wps:cNvPr id="42" name="直接箭头连接符 42"/>
                        <wps:cNvCnPr/>
                        <wps:spPr>
                          <a:xfrm>
                            <a:off x="7950" y="10665"/>
                            <a:ext cx="390" cy="0"/>
                          </a:xfrm>
                          <a:prstGeom prst="straightConnector1">
                            <a:avLst/>
                          </a:prstGeom>
                          <a:ln w="9525" cap="flat" cmpd="sng">
                            <a:solidFill>
                              <a:srgbClr val="000000"/>
                            </a:solidFill>
                            <a:prstDash val="solid"/>
                            <a:headEnd type="none" w="med" len="med"/>
                            <a:tailEnd type="triangle" w="med" len="med"/>
                          </a:ln>
                        </wps:spPr>
                        <wps:bodyPr/>
                      </wps:wsp>
                      <wps:wsp>
                        <wps:cNvPr id="43" name="矩形 43"/>
                        <wps:cNvSpPr/>
                        <wps:spPr>
                          <a:xfrm>
                            <a:off x="8340" y="10350"/>
                            <a:ext cx="1620" cy="5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窑车</w:t>
                              </w:r>
                            </w:p>
                          </w:txbxContent>
                        </wps:txbx>
                        <wps:bodyPr upright="1"/>
                      </wps:wsp>
                      <wps:wsp>
                        <wps:cNvPr id="44" name="直接箭头连接符 44"/>
                        <wps:cNvCnPr/>
                        <wps:spPr>
                          <a:xfrm>
                            <a:off x="9180" y="8115"/>
                            <a:ext cx="0" cy="825"/>
                          </a:xfrm>
                          <a:prstGeom prst="straightConnector1">
                            <a:avLst/>
                          </a:prstGeom>
                          <a:ln w="9525" cap="flat" cmpd="sng">
                            <a:solidFill>
                              <a:srgbClr val="000000"/>
                            </a:solidFill>
                            <a:prstDash val="solid"/>
                            <a:headEnd type="none" w="med" len="med"/>
                            <a:tailEnd type="triangle" w="med" len="med"/>
                          </a:ln>
                        </wps:spPr>
                        <wps:bodyPr/>
                      </wps:wsp>
                      <wps:wsp>
                        <wps:cNvPr id="45" name="矩形 45"/>
                        <wps:cNvSpPr/>
                        <wps:spPr>
                          <a:xfrm>
                            <a:off x="8355" y="11760"/>
                            <a:ext cx="1620" cy="5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存坯线</w:t>
                              </w:r>
                            </w:p>
                          </w:txbxContent>
                        </wps:txbx>
                        <wps:bodyPr upright="1"/>
                      </wps:wsp>
                      <wps:wsp>
                        <wps:cNvPr id="46" name="矩形 46"/>
                        <wps:cNvSpPr/>
                        <wps:spPr>
                          <a:xfrm>
                            <a:off x="6345" y="11760"/>
                            <a:ext cx="1620" cy="5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干燥窑</w:t>
                              </w:r>
                            </w:p>
                          </w:txbxContent>
                        </wps:txbx>
                        <wps:bodyPr upright="1"/>
                      </wps:wsp>
                      <wps:wsp>
                        <wps:cNvPr id="47" name="矩形 47"/>
                        <wps:cNvSpPr/>
                        <wps:spPr>
                          <a:xfrm>
                            <a:off x="4335" y="11760"/>
                            <a:ext cx="1620" cy="5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焙烧窑</w:t>
                              </w:r>
                            </w:p>
                          </w:txbxContent>
                        </wps:txbx>
                        <wps:bodyPr upright="1"/>
                      </wps:wsp>
                      <wps:wsp>
                        <wps:cNvPr id="48" name="矩形 48"/>
                        <wps:cNvSpPr/>
                        <wps:spPr>
                          <a:xfrm>
                            <a:off x="2325" y="11760"/>
                            <a:ext cx="1620" cy="5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成品装车</w:t>
                              </w:r>
                            </w:p>
                          </w:txbxContent>
                        </wps:txbx>
                        <wps:bodyPr upright="1"/>
                      </wps:wsp>
                      <wps:wsp>
                        <wps:cNvPr id="49" name="直接箭头连接符 49"/>
                        <wps:cNvCnPr/>
                        <wps:spPr>
                          <a:xfrm flipH="1">
                            <a:off x="7950" y="12060"/>
                            <a:ext cx="405" cy="0"/>
                          </a:xfrm>
                          <a:prstGeom prst="straightConnector1">
                            <a:avLst/>
                          </a:prstGeom>
                          <a:ln w="9525" cap="flat" cmpd="sng">
                            <a:solidFill>
                              <a:srgbClr val="000000"/>
                            </a:solidFill>
                            <a:prstDash val="solid"/>
                            <a:headEnd type="none" w="med" len="med"/>
                            <a:tailEnd type="triangle" w="med" len="med"/>
                          </a:ln>
                        </wps:spPr>
                        <wps:bodyPr/>
                      </wps:wsp>
                      <wps:wsp>
                        <wps:cNvPr id="50" name="直接箭头连接符 50"/>
                        <wps:cNvCnPr/>
                        <wps:spPr>
                          <a:xfrm flipH="1">
                            <a:off x="5955" y="12060"/>
                            <a:ext cx="405" cy="0"/>
                          </a:xfrm>
                          <a:prstGeom prst="straightConnector1">
                            <a:avLst/>
                          </a:prstGeom>
                          <a:ln w="9525" cap="flat" cmpd="sng">
                            <a:solidFill>
                              <a:srgbClr val="000000"/>
                            </a:solidFill>
                            <a:prstDash val="solid"/>
                            <a:headEnd type="none" w="med" len="med"/>
                            <a:tailEnd type="triangle" w="med" len="med"/>
                          </a:ln>
                        </wps:spPr>
                        <wps:bodyPr/>
                      </wps:wsp>
                      <wps:wsp>
                        <wps:cNvPr id="51" name="直接箭头连接符 51"/>
                        <wps:cNvCnPr/>
                        <wps:spPr>
                          <a:xfrm flipH="1">
                            <a:off x="3930" y="12060"/>
                            <a:ext cx="405" cy="0"/>
                          </a:xfrm>
                          <a:prstGeom prst="straightConnector1">
                            <a:avLst/>
                          </a:prstGeom>
                          <a:ln w="9525" cap="flat" cmpd="sng">
                            <a:solidFill>
                              <a:srgbClr val="000000"/>
                            </a:solidFill>
                            <a:prstDash val="solid"/>
                            <a:headEnd type="none" w="med" len="med"/>
                            <a:tailEnd type="triangle" w="med" len="med"/>
                          </a:ln>
                        </wps:spPr>
                        <wps:bodyPr/>
                      </wps:wsp>
                    </wpg:wgp>
                  </a:graphicData>
                </a:graphic>
              </wp:anchor>
            </w:drawing>
          </mc:Choice>
          <mc:Fallback>
            <w:pict>
              <v:group id="_x0000_s1026" o:spid="_x0000_s1026" o:spt="203" style="position:absolute;left:0pt;margin-left:18.25pt;margin-top:0.05pt;height:200.85pt;width:417.95pt;z-index:251669504;mso-width-relative:page;mso-height-relative:page;" coordorigin="2310,7530" coordsize="7665,4815" o:gfxdata="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">
                <o:lock v:ext="edit" aspectratio="f"/>
                <v:rect id="_x0000_s1026" o:spid="_x0000_s1026" o:spt="1" style="position:absolute;left:2310;top:7530;height:585;width:1620;" fillcolor="#FFFFFF" filled="t" stroked="t" coordsize="21600,21600" o:gfxdata="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vHG3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r>
                          <w:rPr>
                            <w:rFonts w:hint="eastAsia"/>
                          </w:rPr>
                          <w:t>煤矸石、页岩</w:t>
                        </w:r>
                      </w:p>
                    </w:txbxContent>
                  </v:textbox>
                </v:rect>
                <v:shape id="_x0000_s1026" o:spid="_x0000_s1026" o:spt="32" type="#_x0000_t32" style="position:absolute;left:3930;top:7860;height:0;width:390;" filled="f" stroked="t" coordsize="21600,21600" o:gfxdata="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fhir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ect id="_x0000_s1026" o:spid="_x0000_s1026" o:spt="1" style="position:absolute;left:4320;top:7530;height:585;width:1620;" fillcolor="#FFFFFF" filled="t" stroked="t" coordsize="21600,21600" o:gfxdata="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iSlu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pPr>
                        <w:r>
                          <w:rPr>
                            <w:rFonts w:hint="eastAsia"/>
                          </w:rPr>
                          <w:t>板式给料机</w:t>
                        </w:r>
                      </w:p>
                    </w:txbxContent>
                  </v:textbox>
                </v:rect>
                <v:shape id="_x0000_s1026" o:spid="_x0000_s1026" o:spt="32" type="#_x0000_t32" style="position:absolute;left:3060;top:9525;height:825;width:0;" filled="f" stroked="t" coordsize="21600,21600" o:gfxdata="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tslR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5940;top:7845;height:0;width:390;" filled="f" stroked="t" coordsize="21600,21600" o:gfxdata="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ZeA3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_x0000_s1026" o:spid="_x0000_s1026" o:spt="1" style="position:absolute;left:6330;top:7530;height:585;width:1620;" fillcolor="#FFFFFF" filled="t" stroked="t" coordsize="21600,21600" o:gfxdata="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V6c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pPr>
                        <w:r>
                          <w:rPr>
                            <w:rFonts w:hint="eastAsia"/>
                          </w:rPr>
                          <w:t>鄂破机</w:t>
                        </w:r>
                      </w:p>
                    </w:txbxContent>
                  </v:textbox>
                </v:rect>
                <v:shape id="_x0000_s1026" o:spid="_x0000_s1026" o:spt="32" type="#_x0000_t32" style="position:absolute;left:7950;top:7845;height:0;width:390;" filled="f" stroked="t" coordsize="21600,21600" o:gfxdata="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gm7M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_x0000_s1026" o:spid="_x0000_s1026" o:spt="1" style="position:absolute;left:8340;top:7530;height:585;width:1620;" fillcolor="#FFFFFF" filled="t" stroked="t" coordsize="21600,21600" o:gfxdata="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htgq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pPr>
                        <w:r>
                          <w:rPr>
                            <w:rFonts w:hint="eastAsia"/>
                          </w:rPr>
                          <w:t>细破机</w:t>
                        </w:r>
                      </w:p>
                    </w:txbxContent>
                  </v:textbox>
                </v:rect>
                <v:rect id="_x0000_s1026" o:spid="_x0000_s1026" o:spt="1" style="position:absolute;left:8340;top:8940;height:585;width:1620;" fillcolor="#FFFFFF" filled="t" stroked="t" coordsize="21600,21600" o:gfxdata="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Kfb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pPr>
                        <w:r>
                          <w:rPr>
                            <w:rFonts w:hint="eastAsia"/>
                          </w:rPr>
                          <w:t>双轴搅拌机</w:t>
                        </w:r>
                      </w:p>
                    </w:txbxContent>
                  </v:textbox>
                </v:rect>
                <v:rect id="_x0000_s1026" o:spid="_x0000_s1026" o:spt="1" style="position:absolute;left:6330;top:8940;height:585;width:1620;" fillcolor="#FFFFFF" filled="t" stroked="t" coordsize="21600,21600" o:gfxdata="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lC8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pPr>
                        <w:r>
                          <w:rPr>
                            <w:rFonts w:hint="eastAsia"/>
                          </w:rPr>
                          <w:t>液压多斗挖掘</w:t>
                        </w:r>
                      </w:p>
                    </w:txbxContent>
                  </v:textbox>
                </v:rect>
                <v:rect id="_x0000_s1026" o:spid="_x0000_s1026" o:spt="1" style="position:absolute;left:4320;top:8940;height:585;width:1620;" fillcolor="#FFFFFF" filled="t" stroked="t" coordsize="21600,21600" o:gfxdata="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l52q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pPr>
                        <w:r>
                          <w:rPr>
                            <w:rFonts w:hint="eastAsia"/>
                          </w:rPr>
                          <w:t>箱式给料机</w:t>
                        </w:r>
                      </w:p>
                    </w:txbxContent>
                  </v:textbox>
                </v:rect>
                <v:rect id="_x0000_s1026" o:spid="_x0000_s1026" o:spt="1" style="position:absolute;left:2310;top:8940;height:585;width:1620;" fillcolor="#FFFFFF" filled="t" stroked="t" coordsize="21600,21600" o:gfxdata="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3eR2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pPr>
                        <w:r>
                          <w:rPr>
                            <w:rFonts w:hint="eastAsia"/>
                          </w:rPr>
                          <w:t>挤泥机</w:t>
                        </w:r>
                      </w:p>
                    </w:txbxContent>
                  </v:textbox>
                </v:rect>
                <v:shape id="_x0000_s1026" o:spid="_x0000_s1026" o:spt="32" type="#_x0000_t32" style="position:absolute;left:7935;top:9240;flip:x;height:0;width:405;" filled="f" stroked="t" coordsize="21600,21600" o:gfxdata="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mn5D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_x0000_s1026" o:spid="_x0000_s1026" o:spt="32" type="#_x0000_t32" style="position:absolute;left:5940;top:9240;flip:x;height:0;width:405;" filled="f" stroked="t" coordsize="21600,21600" o:gfxdata="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PmN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3915;top:9240;flip:x;height:0;width:405;" filled="f" stroked="t" coordsize="21600,21600" o:gfxdata="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P0Os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ect id="_x0000_s1026" o:spid="_x0000_s1026" o:spt="1" style="position:absolute;left:2310;top:10350;height:585;width:1620;" fillcolor="#FFFFFF" filled="t" stroked="t" coordsize="21600,21600" o:gfxdata="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jH8e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r>
                          <w:rPr>
                            <w:rFonts w:hint="eastAsia"/>
                          </w:rPr>
                          <w:t>切条、切坏机</w:t>
                        </w:r>
                      </w:p>
                    </w:txbxContent>
                  </v:textbox>
                </v:rect>
                <v:shape id="_x0000_s1026" o:spid="_x0000_s1026" o:spt="32" type="#_x0000_t32" style="position:absolute;left:3930;top:10680;height:0;width:390;" filled="f" stroked="t" coordsize="21600,21600" o:gfxdata="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9At7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_x0000_s1026" o:spid="_x0000_s1026" o:spt="1" style="position:absolute;left:4320;top:10350;height:585;width:1620;" fillcolor="#FFFFFF" filled="t" stroked="t" coordsize="21600,21600" o:gfxdata="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F9O97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pPr>
                        <w:r>
                          <w:rPr>
                            <w:rFonts w:hint="eastAsia"/>
                          </w:rPr>
                          <w:t>自动编码</w:t>
                        </w:r>
                      </w:p>
                    </w:txbxContent>
                  </v:textbox>
                </v:rect>
                <v:shape id="_x0000_s1026" o:spid="_x0000_s1026" o:spt="32" type="#_x0000_t32" style="position:absolute;left:9180;top:10935;height:825;width:0;" filled="f" stroked="t" coordsize="21600,21600" o:gfxdata="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QMcB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5940;top:10665;height:0;width:390;" filled="f" stroked="t" coordsize="21600,21600" o:gfxdata="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D/G5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rect id="_x0000_s1026" o:spid="_x0000_s1026" o:spt="1" style="position:absolute;left:6330;top:10350;height:585;width:1620;" fillcolor="#FFFFFF" filled="t" stroked="t" coordsize="21600,21600" o:gfxdata="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Y5QX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自动码坯机</w:t>
                        </w:r>
                      </w:p>
                    </w:txbxContent>
                  </v:textbox>
                </v:rect>
                <v:shape id="_x0000_s1026" o:spid="_x0000_s1026" o:spt="32" type="#_x0000_t32" style="position:absolute;left:7950;top:10665;height:0;width:390;" filled="f" stroked="t" coordsize="21600,21600" o:gfxdata="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6H9C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_x0000_s1026" o:spid="_x0000_s1026" o:spt="1" style="position:absolute;left:8340;top:10350;height:585;width:1620;" fillcolor="#FFFFFF" filled="t" stroked="t" coordsize="21600,21600" o:gfxdata="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a/7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窑车</w:t>
                        </w:r>
                      </w:p>
                    </w:txbxContent>
                  </v:textbox>
                </v:rect>
                <v:shape id="_x0000_s1026" o:spid="_x0000_s1026" o:spt="32" type="#_x0000_t32" style="position:absolute;left:9180;top:8115;height:825;width:0;" filled="f" stroked="t" coordsize="21600,21600" o:gfxdata="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wTA5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_x0000_s1026" o:spid="_x0000_s1026" o:spt="1" style="position:absolute;left:8355;top:11760;height:585;width:1620;" fillcolor="#FFFFFF" filled="t" stroked="t" coordsize="21600,21600" o:gfxdata="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WJIU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存坯线</w:t>
                        </w:r>
                      </w:p>
                    </w:txbxContent>
                  </v:textbox>
                </v:rect>
                <v:rect id="_x0000_s1026" o:spid="_x0000_s1026" o:spt="1" style="position:absolute;left:6345;top:11760;height:585;width:1620;" fillcolor="#FFFFFF" filled="t" stroked="t" coordsize="21600,21600" o:gfxdata="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aKDG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pPr>
                        <w:r>
                          <w:rPr>
                            <w:rFonts w:hint="eastAsia"/>
                          </w:rPr>
                          <w:t>干燥窑</w:t>
                        </w:r>
                      </w:p>
                    </w:txbxContent>
                  </v:textbox>
                </v:rect>
                <v:rect id="_x0000_s1026" o:spid="_x0000_s1026" o:spt="1" style="position:absolute;left:4335;top:11760;height:585;width:1620;" fillcolor="#FFFFFF" filled="t" stroked="t" coordsize="21600,21600" o:gfxdata="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xqn4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焙烧窑</w:t>
                        </w:r>
                      </w:p>
                    </w:txbxContent>
                  </v:textbox>
                </v:rect>
                <v:rect id="_x0000_s1026" o:spid="_x0000_s1026" o:spt="1" style="position:absolute;left:2325;top:11760;height:585;width:1620;" fillcolor="#FFFFFF" filled="t" stroked="t" coordsize="21600,21600" o:gfxdata="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WT2K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pPr>
                        <w:r>
                          <w:rPr>
                            <w:rFonts w:hint="eastAsia"/>
                          </w:rPr>
                          <w:t>成品装车</w:t>
                        </w:r>
                      </w:p>
                    </w:txbxContent>
                  </v:textbox>
                </v:rect>
                <v:shape id="_x0000_s1026" o:spid="_x0000_s1026" o:spt="32" type="#_x0000_t32" style="position:absolute;left:7950;top:12060;flip:x;height:0;width:405;" filled="f" stroked="t" coordsize="21600,21600" o:gfxdata="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XQ61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5955;top:12060;flip:x;height:0;width:405;" filled="f" stroked="t" coordsize="21600,21600" o:gfxdata="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ZcFl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_x0000_s1026" o:spid="_x0000_s1026" o:spt="32" type="#_x0000_t32" style="position:absolute;left:3930;top:12060;flip:x;height:0;width:405;" filled="f" stroked="t" coordsize="21600,21600" o:gfxdata="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tugD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w:pict>
          </mc:Fallback>
        </mc:AlternateContent>
      </w:r>
    </w:p>
    <w:p>
      <w:pPr>
        <w:spacing w:line="360" w:lineRule="auto"/>
        <w:ind w:firstLine="560" w:firstLineChars="200"/>
        <w:rPr>
          <w:rFonts w:hint="eastAsia" w:ascii="宋体"/>
          <w:snapToGrid w:val="0"/>
          <w:color w:val="auto"/>
          <w:kern w:val="0"/>
          <w:sz w:val="28"/>
          <w:szCs w:val="28"/>
        </w:rPr>
      </w:pPr>
    </w:p>
    <w:p>
      <w:pPr>
        <w:tabs>
          <w:tab w:val="left" w:pos="180"/>
          <w:tab w:val="left" w:pos="1800"/>
          <w:tab w:val="left" w:pos="1980"/>
          <w:tab w:val="left" w:pos="2520"/>
          <w:tab w:val="left" w:pos="2700"/>
          <w:tab w:val="left" w:pos="2880"/>
          <w:tab w:val="left" w:pos="4140"/>
          <w:tab w:val="left" w:pos="4680"/>
        </w:tabs>
        <w:spacing w:line="360" w:lineRule="auto"/>
        <w:jc w:val="center"/>
        <w:rPr>
          <w:rFonts w:hint="eastAsia" w:ascii="黑体" w:hAnsi="黑体" w:eastAsia="黑体"/>
          <w:b/>
          <w:snapToGrid w:val="0"/>
          <w:color w:val="auto"/>
          <w:kern w:val="0"/>
          <w:sz w:val="24"/>
          <w:lang w:eastAsia="zh-CN"/>
        </w:rPr>
      </w:pPr>
    </w:p>
    <w:p>
      <w:pPr>
        <w:tabs>
          <w:tab w:val="left" w:pos="180"/>
          <w:tab w:val="left" w:pos="1800"/>
          <w:tab w:val="left" w:pos="1980"/>
          <w:tab w:val="left" w:pos="2520"/>
          <w:tab w:val="left" w:pos="2700"/>
          <w:tab w:val="left" w:pos="2880"/>
          <w:tab w:val="left" w:pos="4140"/>
          <w:tab w:val="left" w:pos="4680"/>
        </w:tabs>
        <w:spacing w:line="360" w:lineRule="auto"/>
        <w:jc w:val="center"/>
        <w:rPr>
          <w:rFonts w:hint="eastAsia" w:ascii="黑体" w:hAnsi="黑体" w:eastAsia="黑体"/>
          <w:b/>
          <w:snapToGrid w:val="0"/>
          <w:color w:val="auto"/>
          <w:kern w:val="0"/>
          <w:sz w:val="24"/>
          <w:lang w:eastAsia="zh-CN"/>
        </w:rPr>
      </w:pPr>
    </w:p>
    <w:p>
      <w:pPr>
        <w:tabs>
          <w:tab w:val="left" w:pos="180"/>
          <w:tab w:val="left" w:pos="1800"/>
          <w:tab w:val="left" w:pos="1980"/>
          <w:tab w:val="left" w:pos="2520"/>
          <w:tab w:val="left" w:pos="2700"/>
          <w:tab w:val="left" w:pos="2880"/>
          <w:tab w:val="left" w:pos="4140"/>
          <w:tab w:val="left" w:pos="4680"/>
        </w:tabs>
        <w:spacing w:line="360" w:lineRule="auto"/>
        <w:jc w:val="center"/>
        <w:rPr>
          <w:rFonts w:hint="eastAsia" w:ascii="黑体" w:hAnsi="黑体" w:eastAsia="黑体"/>
          <w:b/>
          <w:snapToGrid w:val="0"/>
          <w:color w:val="auto"/>
          <w:kern w:val="0"/>
          <w:sz w:val="24"/>
          <w:lang w:eastAsia="zh-CN"/>
        </w:rPr>
      </w:pPr>
    </w:p>
    <w:p>
      <w:pPr>
        <w:tabs>
          <w:tab w:val="left" w:pos="180"/>
          <w:tab w:val="left" w:pos="1800"/>
          <w:tab w:val="left" w:pos="1980"/>
          <w:tab w:val="left" w:pos="2520"/>
          <w:tab w:val="left" w:pos="2700"/>
          <w:tab w:val="left" w:pos="2880"/>
          <w:tab w:val="left" w:pos="4140"/>
          <w:tab w:val="left" w:pos="4680"/>
        </w:tabs>
        <w:spacing w:line="360" w:lineRule="auto"/>
        <w:jc w:val="center"/>
        <w:rPr>
          <w:rFonts w:hint="eastAsia" w:ascii="黑体" w:hAnsi="黑体" w:eastAsia="黑体"/>
          <w:b/>
          <w:snapToGrid w:val="0"/>
          <w:color w:val="auto"/>
          <w:kern w:val="0"/>
          <w:sz w:val="24"/>
          <w:lang w:eastAsia="zh-CN"/>
        </w:rPr>
      </w:pPr>
    </w:p>
    <w:p>
      <w:pPr>
        <w:tabs>
          <w:tab w:val="left" w:pos="180"/>
          <w:tab w:val="left" w:pos="1800"/>
          <w:tab w:val="left" w:pos="1980"/>
          <w:tab w:val="left" w:pos="2520"/>
          <w:tab w:val="left" w:pos="2700"/>
          <w:tab w:val="left" w:pos="2880"/>
          <w:tab w:val="left" w:pos="4140"/>
          <w:tab w:val="left" w:pos="4680"/>
        </w:tabs>
        <w:spacing w:line="360" w:lineRule="auto"/>
        <w:jc w:val="center"/>
        <w:rPr>
          <w:rFonts w:hint="eastAsia" w:ascii="黑体" w:hAnsi="黑体" w:eastAsia="黑体"/>
          <w:b/>
          <w:snapToGrid w:val="0"/>
          <w:color w:val="auto"/>
          <w:kern w:val="0"/>
          <w:sz w:val="24"/>
          <w:lang w:eastAsia="zh-CN"/>
        </w:rPr>
      </w:pPr>
    </w:p>
    <w:p>
      <w:pPr>
        <w:tabs>
          <w:tab w:val="left" w:pos="180"/>
          <w:tab w:val="left" w:pos="1800"/>
          <w:tab w:val="left" w:pos="1980"/>
          <w:tab w:val="left" w:pos="2520"/>
          <w:tab w:val="left" w:pos="2700"/>
          <w:tab w:val="left" w:pos="2880"/>
          <w:tab w:val="left" w:pos="4140"/>
          <w:tab w:val="left" w:pos="4680"/>
        </w:tabs>
        <w:spacing w:line="360" w:lineRule="auto"/>
        <w:jc w:val="center"/>
        <w:rPr>
          <w:rFonts w:hint="eastAsia" w:ascii="黑体" w:hAnsi="黑体" w:eastAsia="黑体"/>
          <w:b/>
          <w:snapToGrid w:val="0"/>
          <w:color w:val="auto"/>
          <w:kern w:val="0"/>
          <w:sz w:val="24"/>
          <w:lang w:eastAsia="zh-CN"/>
        </w:rPr>
      </w:pPr>
    </w:p>
    <w:p>
      <w:pPr>
        <w:tabs>
          <w:tab w:val="left" w:pos="180"/>
          <w:tab w:val="left" w:pos="1800"/>
          <w:tab w:val="left" w:pos="1980"/>
          <w:tab w:val="left" w:pos="2520"/>
          <w:tab w:val="left" w:pos="2700"/>
          <w:tab w:val="left" w:pos="2880"/>
          <w:tab w:val="left" w:pos="4140"/>
          <w:tab w:val="left" w:pos="4680"/>
        </w:tabs>
        <w:spacing w:line="360" w:lineRule="auto"/>
        <w:jc w:val="center"/>
        <w:rPr>
          <w:rFonts w:hint="eastAsia" w:ascii="黑体" w:hAnsi="黑体" w:eastAsia="黑体"/>
          <w:b/>
          <w:snapToGrid w:val="0"/>
          <w:color w:val="auto"/>
          <w:kern w:val="0"/>
          <w:sz w:val="24"/>
          <w:lang w:eastAsia="zh-CN"/>
        </w:rPr>
      </w:pPr>
      <w:r>
        <w:rPr>
          <w:rFonts w:hint="eastAsia" w:ascii="黑体" w:hAnsi="黑体" w:eastAsia="黑体"/>
          <w:b/>
          <w:snapToGrid w:val="0"/>
          <w:color w:val="auto"/>
          <w:kern w:val="0"/>
          <w:sz w:val="24"/>
          <w:lang w:eastAsia="zh-CN"/>
        </w:rPr>
        <w:t>图</w:t>
      </w:r>
      <w:r>
        <w:rPr>
          <w:rFonts w:hint="eastAsia" w:ascii="黑体" w:hAnsi="黑体" w:eastAsia="黑体"/>
          <w:b/>
          <w:snapToGrid w:val="0"/>
          <w:color w:val="auto"/>
          <w:kern w:val="0"/>
          <w:sz w:val="24"/>
          <w:lang w:val="en-US" w:eastAsia="zh-CN"/>
        </w:rPr>
        <w:t>2</w:t>
      </w:r>
      <w:r>
        <w:rPr>
          <w:rFonts w:hint="eastAsia" w:ascii="黑体" w:hAnsi="黑体" w:eastAsia="黑体"/>
          <w:b/>
          <w:snapToGrid w:val="0"/>
          <w:color w:val="auto"/>
          <w:kern w:val="0"/>
          <w:sz w:val="24"/>
          <w:lang w:eastAsia="zh-CN"/>
        </w:rPr>
        <w:t>-</w:t>
      </w:r>
      <w:r>
        <w:rPr>
          <w:rFonts w:hint="eastAsia" w:ascii="黑体" w:hAnsi="黑体" w:eastAsia="黑体"/>
          <w:b/>
          <w:snapToGrid w:val="0"/>
          <w:color w:val="auto"/>
          <w:kern w:val="0"/>
          <w:sz w:val="24"/>
          <w:lang w:val="en-US" w:eastAsia="zh-CN"/>
        </w:rPr>
        <w:t>4</w:t>
      </w:r>
      <w:r>
        <w:rPr>
          <w:rFonts w:hint="eastAsia" w:ascii="黑体" w:hAnsi="黑体" w:eastAsia="黑体"/>
          <w:b/>
          <w:snapToGrid w:val="0"/>
          <w:color w:val="auto"/>
          <w:kern w:val="0"/>
          <w:sz w:val="24"/>
          <w:lang w:eastAsia="zh-CN"/>
        </w:rPr>
        <w:t xml:space="preserve"> 页岩砖生产工艺流程示意图</w:t>
      </w:r>
    </w:p>
    <w:p>
      <w:pPr>
        <w:spacing w:line="360" w:lineRule="auto"/>
        <w:ind w:firstLine="562" w:firstLineChars="200"/>
        <w:rPr>
          <w:rFonts w:hint="eastAsia" w:ascii="宋体"/>
          <w:b/>
          <w:bCs/>
          <w:snapToGrid w:val="0"/>
          <w:color w:val="auto"/>
          <w:kern w:val="0"/>
          <w:sz w:val="28"/>
          <w:szCs w:val="28"/>
          <w:lang w:val="en-US" w:eastAsia="zh-CN"/>
        </w:rPr>
      </w:pPr>
      <w:r>
        <w:rPr>
          <w:rFonts w:hint="eastAsia" w:ascii="宋体"/>
          <w:b/>
          <w:bCs/>
          <w:snapToGrid w:val="0"/>
          <w:color w:val="auto"/>
          <w:kern w:val="0"/>
          <w:sz w:val="28"/>
          <w:szCs w:val="28"/>
          <w:lang w:val="en-US" w:eastAsia="zh-CN"/>
        </w:rPr>
        <w:t>2、原料制备</w:t>
      </w:r>
      <w:bookmarkEnd w:id="59"/>
      <w:bookmarkEnd w:id="60"/>
      <w:bookmarkEnd w:id="61"/>
      <w:bookmarkEnd w:id="62"/>
    </w:p>
    <w:p>
      <w:pPr>
        <w:spacing w:line="360" w:lineRule="auto"/>
        <w:ind w:firstLine="560" w:firstLineChars="200"/>
        <w:rPr>
          <w:rFonts w:hint="eastAsia" w:ascii="宋体"/>
          <w:snapToGrid w:val="0"/>
          <w:color w:val="auto"/>
          <w:kern w:val="0"/>
          <w:sz w:val="28"/>
          <w:szCs w:val="28"/>
        </w:rPr>
      </w:pPr>
      <w:bookmarkStart w:id="63" w:name="_Toc480804371"/>
      <w:bookmarkStart w:id="64" w:name="_Toc356401467"/>
      <w:bookmarkStart w:id="65" w:name="_Toc356380958"/>
      <w:bookmarkStart w:id="66" w:name="_Toc515872920"/>
      <w:r>
        <w:rPr>
          <w:rFonts w:hint="eastAsia" w:ascii="宋体"/>
          <w:snapToGrid w:val="0"/>
          <w:color w:val="auto"/>
          <w:kern w:val="0"/>
          <w:sz w:val="28"/>
          <w:szCs w:val="28"/>
        </w:rPr>
        <w:t>制砖主要原料煤外购运到厂内，自卸到板式给料机中。经板式给料机定量装到胶带输送机上，运到颚式破碎机处进行粗破，通过刮板给料机、圆盘给料机均匀喂料，至锤式破碎机进行粉碎，粉碎后物料颗粒组成情况为：</w:t>
      </w:r>
    </w:p>
    <w:tbl>
      <w:tblPr>
        <w:tblStyle w:val="1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9"/>
        <w:gridCol w:w="2539"/>
        <w:gridCol w:w="3074"/>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09" w:type="dxa"/>
            <w:noWrap w:val="0"/>
            <w:vAlign w:val="top"/>
          </w:tcPr>
          <w:p>
            <w:pPr>
              <w:spacing w:line="360" w:lineRule="auto"/>
              <w:rPr>
                <w:rFonts w:hint="eastAsia" w:ascii="宋体"/>
                <w:snapToGrid w:val="0"/>
                <w:color w:val="auto"/>
                <w:kern w:val="0"/>
                <w:szCs w:val="21"/>
              </w:rPr>
            </w:pPr>
            <w:r>
              <w:rPr>
                <w:rFonts w:hint="eastAsia" w:ascii="宋体"/>
                <w:snapToGrid w:val="0"/>
                <w:color w:val="auto"/>
                <w:kern w:val="0"/>
                <w:szCs w:val="21"/>
              </w:rPr>
              <w:t>1～3mm</w:t>
            </w:r>
          </w:p>
        </w:tc>
        <w:tc>
          <w:tcPr>
            <w:tcW w:w="2539" w:type="dxa"/>
            <w:noWrap w:val="0"/>
            <w:vAlign w:val="top"/>
          </w:tcPr>
          <w:p>
            <w:pPr>
              <w:spacing w:line="360" w:lineRule="auto"/>
              <w:rPr>
                <w:rFonts w:hint="eastAsia" w:ascii="宋体"/>
                <w:snapToGrid w:val="0"/>
                <w:color w:val="auto"/>
                <w:kern w:val="0"/>
                <w:szCs w:val="21"/>
              </w:rPr>
            </w:pPr>
            <w:r>
              <w:rPr>
                <w:rFonts w:hint="eastAsia" w:ascii="宋体"/>
                <w:snapToGrid w:val="0"/>
                <w:color w:val="auto"/>
                <w:kern w:val="0"/>
                <w:szCs w:val="21"/>
              </w:rPr>
              <w:t>0.5～1mm</w:t>
            </w:r>
          </w:p>
        </w:tc>
        <w:tc>
          <w:tcPr>
            <w:tcW w:w="3074" w:type="dxa"/>
            <w:noWrap w:val="0"/>
            <w:vAlign w:val="top"/>
          </w:tcPr>
          <w:p>
            <w:pPr>
              <w:spacing w:line="360" w:lineRule="auto"/>
              <w:rPr>
                <w:rFonts w:hint="eastAsia" w:ascii="宋体"/>
                <w:snapToGrid w:val="0"/>
                <w:color w:val="auto"/>
                <w:kern w:val="0"/>
                <w:szCs w:val="21"/>
              </w:rPr>
            </w:pPr>
            <w:r>
              <w:rPr>
                <w:rFonts w:hint="eastAsia" w:ascii="宋体"/>
                <w:snapToGrid w:val="0"/>
                <w:color w:val="auto"/>
                <w:kern w:val="0"/>
                <w:szCs w:val="21"/>
              </w:rPr>
              <w:t>0.2～0.5mm</w:t>
            </w:r>
          </w:p>
        </w:tc>
        <w:tc>
          <w:tcPr>
            <w:tcW w:w="2006" w:type="dxa"/>
            <w:noWrap w:val="0"/>
            <w:vAlign w:val="top"/>
          </w:tcPr>
          <w:p>
            <w:pPr>
              <w:spacing w:line="360" w:lineRule="auto"/>
              <w:rPr>
                <w:rFonts w:hint="eastAsia" w:ascii="宋体"/>
                <w:snapToGrid w:val="0"/>
                <w:color w:val="auto"/>
                <w:kern w:val="0"/>
                <w:szCs w:val="21"/>
              </w:rPr>
            </w:pPr>
            <w:r>
              <w:rPr>
                <w:rFonts w:hint="eastAsia" w:ascii="宋体"/>
                <w:snapToGrid w:val="0"/>
                <w:color w:val="auto"/>
                <w:kern w:val="0"/>
                <w:szCs w:val="21"/>
              </w:rPr>
              <w:t>&lt;0.2mm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09" w:type="dxa"/>
            <w:noWrap w:val="0"/>
            <w:vAlign w:val="top"/>
          </w:tcPr>
          <w:p>
            <w:pPr>
              <w:spacing w:line="360" w:lineRule="auto"/>
              <w:rPr>
                <w:rFonts w:hint="eastAsia" w:ascii="宋体"/>
                <w:snapToGrid w:val="0"/>
                <w:color w:val="auto"/>
                <w:kern w:val="0"/>
                <w:szCs w:val="21"/>
              </w:rPr>
            </w:pPr>
            <w:r>
              <w:rPr>
                <w:rFonts w:hint="eastAsia" w:ascii="宋体"/>
                <w:snapToGrid w:val="0"/>
                <w:color w:val="auto"/>
                <w:kern w:val="0"/>
                <w:szCs w:val="21"/>
              </w:rPr>
              <w:t>&lt;3%</w:t>
            </w:r>
          </w:p>
        </w:tc>
        <w:tc>
          <w:tcPr>
            <w:tcW w:w="2539" w:type="dxa"/>
            <w:noWrap w:val="0"/>
            <w:vAlign w:val="top"/>
          </w:tcPr>
          <w:p>
            <w:pPr>
              <w:spacing w:line="360" w:lineRule="auto"/>
              <w:rPr>
                <w:rFonts w:hint="eastAsia" w:ascii="宋体"/>
                <w:snapToGrid w:val="0"/>
                <w:color w:val="auto"/>
                <w:kern w:val="0"/>
                <w:szCs w:val="21"/>
              </w:rPr>
            </w:pPr>
            <w:r>
              <w:rPr>
                <w:rFonts w:hint="eastAsia" w:ascii="宋体"/>
                <w:snapToGrid w:val="0"/>
                <w:color w:val="auto"/>
                <w:kern w:val="0"/>
                <w:szCs w:val="21"/>
              </w:rPr>
              <w:t>30%</w:t>
            </w:r>
          </w:p>
        </w:tc>
        <w:tc>
          <w:tcPr>
            <w:tcW w:w="3074" w:type="dxa"/>
            <w:noWrap w:val="0"/>
            <w:vAlign w:val="top"/>
          </w:tcPr>
          <w:p>
            <w:pPr>
              <w:spacing w:line="360" w:lineRule="auto"/>
              <w:rPr>
                <w:rFonts w:hint="eastAsia" w:ascii="宋体"/>
                <w:snapToGrid w:val="0"/>
                <w:color w:val="auto"/>
                <w:kern w:val="0"/>
                <w:szCs w:val="21"/>
              </w:rPr>
            </w:pPr>
            <w:r>
              <w:rPr>
                <w:rFonts w:hint="eastAsia" w:ascii="宋体"/>
                <w:snapToGrid w:val="0"/>
                <w:color w:val="auto"/>
                <w:kern w:val="0"/>
                <w:szCs w:val="21"/>
              </w:rPr>
              <w:t>33%</w:t>
            </w:r>
          </w:p>
        </w:tc>
        <w:tc>
          <w:tcPr>
            <w:tcW w:w="2006" w:type="dxa"/>
            <w:noWrap w:val="0"/>
            <w:vAlign w:val="top"/>
          </w:tcPr>
          <w:p>
            <w:pPr>
              <w:spacing w:line="360" w:lineRule="auto"/>
              <w:rPr>
                <w:rFonts w:hint="eastAsia" w:ascii="宋体"/>
                <w:snapToGrid w:val="0"/>
                <w:color w:val="auto"/>
                <w:kern w:val="0"/>
                <w:szCs w:val="21"/>
              </w:rPr>
            </w:pPr>
            <w:r>
              <w:rPr>
                <w:rFonts w:hint="eastAsia" w:ascii="宋体"/>
                <w:snapToGrid w:val="0"/>
                <w:color w:val="auto"/>
                <w:kern w:val="0"/>
                <w:szCs w:val="21"/>
              </w:rPr>
              <w:t>&gt;34%</w:t>
            </w:r>
          </w:p>
        </w:tc>
      </w:tr>
    </w:tbl>
    <w:p>
      <w:pPr>
        <w:spacing w:line="360" w:lineRule="auto"/>
        <w:ind w:firstLine="560" w:firstLineChars="200"/>
        <w:rPr>
          <w:rFonts w:hint="eastAsia" w:ascii="宋体"/>
          <w:snapToGrid w:val="0"/>
          <w:color w:val="auto"/>
          <w:kern w:val="0"/>
          <w:sz w:val="28"/>
          <w:szCs w:val="28"/>
        </w:rPr>
      </w:pPr>
      <w:r>
        <w:rPr>
          <w:rFonts w:hint="eastAsia" w:ascii="宋体"/>
          <w:snapToGrid w:val="0"/>
          <w:color w:val="auto"/>
          <w:kern w:val="0"/>
          <w:sz w:val="28"/>
          <w:szCs w:val="28"/>
        </w:rPr>
        <w:t>煤按配合比(</w:t>
      </w:r>
      <w:r>
        <w:rPr>
          <w:rFonts w:hint="eastAsia" w:ascii="宋体" w:hAnsi="宋体"/>
          <w:color w:val="auto"/>
          <w:sz w:val="28"/>
          <w:szCs w:val="28"/>
        </w:rPr>
        <w:t>页岩、煤矸石=7:3)</w:t>
      </w:r>
      <w:r>
        <w:rPr>
          <w:rFonts w:hint="eastAsia" w:ascii="宋体"/>
          <w:snapToGrid w:val="0"/>
          <w:color w:val="auto"/>
          <w:kern w:val="0"/>
          <w:sz w:val="28"/>
          <w:szCs w:val="28"/>
        </w:rPr>
        <w:t>要求经箱式给料机定量给料到胶带输送机上，</w:t>
      </w:r>
      <w:r>
        <w:rPr>
          <w:rFonts w:hint="eastAsia" w:ascii="宋体" w:hAnsi="宋体"/>
          <w:color w:val="auto"/>
          <w:sz w:val="28"/>
          <w:szCs w:val="28"/>
        </w:rPr>
        <w:t>页岩</w:t>
      </w:r>
      <w:r>
        <w:rPr>
          <w:rFonts w:hint="eastAsia" w:ascii="宋体"/>
          <w:snapToGrid w:val="0"/>
          <w:color w:val="auto"/>
          <w:kern w:val="0"/>
          <w:sz w:val="28"/>
          <w:szCs w:val="28"/>
        </w:rPr>
        <w:t>共同进行粗碎、细碎处理。粉碎后的</w:t>
      </w:r>
      <w:r>
        <w:rPr>
          <w:rFonts w:hint="eastAsia" w:ascii="宋体" w:hAnsi="宋体"/>
          <w:color w:val="auto"/>
          <w:sz w:val="28"/>
          <w:szCs w:val="28"/>
        </w:rPr>
        <w:t>页岩</w:t>
      </w:r>
      <w:r>
        <w:rPr>
          <w:rFonts w:hint="eastAsia" w:ascii="宋体"/>
          <w:snapToGrid w:val="0"/>
          <w:color w:val="auto"/>
          <w:kern w:val="0"/>
          <w:sz w:val="28"/>
          <w:szCs w:val="28"/>
        </w:rPr>
        <w:t>、煤粉经强力搅拌机加水搅拌混合。</w:t>
      </w:r>
    </w:p>
    <w:p>
      <w:pPr>
        <w:spacing w:line="360" w:lineRule="auto"/>
        <w:ind w:firstLine="562" w:firstLineChars="200"/>
        <w:rPr>
          <w:rFonts w:hint="eastAsia" w:ascii="宋体"/>
          <w:b/>
          <w:bCs/>
          <w:snapToGrid w:val="0"/>
          <w:color w:val="auto"/>
          <w:kern w:val="0"/>
          <w:sz w:val="28"/>
          <w:szCs w:val="28"/>
          <w:lang w:val="en-US" w:eastAsia="zh-CN"/>
        </w:rPr>
      </w:pPr>
      <w:r>
        <w:rPr>
          <w:rFonts w:hint="eastAsia" w:ascii="宋体"/>
          <w:b/>
          <w:bCs/>
          <w:snapToGrid w:val="0"/>
          <w:color w:val="auto"/>
          <w:kern w:val="0"/>
          <w:sz w:val="28"/>
          <w:szCs w:val="28"/>
          <w:lang w:val="en-US" w:eastAsia="zh-CN"/>
        </w:rPr>
        <w:t>3、原料陈化处理</w:t>
      </w:r>
      <w:bookmarkEnd w:id="63"/>
      <w:bookmarkEnd w:id="64"/>
      <w:bookmarkEnd w:id="65"/>
      <w:bookmarkEnd w:id="66"/>
    </w:p>
    <w:p>
      <w:pPr>
        <w:spacing w:line="360" w:lineRule="auto"/>
        <w:ind w:firstLine="560" w:firstLineChars="200"/>
        <w:rPr>
          <w:rFonts w:hint="eastAsia" w:ascii="宋体"/>
          <w:snapToGrid w:val="0"/>
          <w:color w:val="auto"/>
          <w:kern w:val="0"/>
          <w:sz w:val="28"/>
          <w:szCs w:val="28"/>
        </w:rPr>
      </w:pPr>
      <w:r>
        <w:rPr>
          <w:rFonts w:hint="eastAsia" w:ascii="宋体"/>
          <w:snapToGrid w:val="0"/>
          <w:color w:val="auto"/>
          <w:kern w:val="0"/>
          <w:sz w:val="28"/>
          <w:szCs w:val="28"/>
        </w:rPr>
        <w:t>经强力搅拌机处理后的混合料再通过胶带输送机运到陈化库顶部的可逆移动配仓布料机上，将混合料按一定规律均匀的堆存到陈化库中，混合料陈化时间不得小于3小时。陈化的作用是使原料中水分均匀化程度提高，使原料颗粒表面和内部性能更加的均匀，更趋一致，使颗粒变得容易疏解，使混合料的成型性能得到提高。</w:t>
      </w:r>
    </w:p>
    <w:p>
      <w:pPr>
        <w:spacing w:line="360" w:lineRule="auto"/>
        <w:ind w:firstLine="562" w:firstLineChars="200"/>
        <w:rPr>
          <w:rFonts w:hint="eastAsia" w:ascii="宋体"/>
          <w:b/>
          <w:bCs/>
          <w:snapToGrid w:val="0"/>
          <w:color w:val="auto"/>
          <w:kern w:val="0"/>
          <w:sz w:val="28"/>
          <w:szCs w:val="28"/>
          <w:lang w:val="en-US" w:eastAsia="zh-CN"/>
        </w:rPr>
      </w:pPr>
      <w:bookmarkStart w:id="67" w:name="_Toc356380959"/>
      <w:bookmarkStart w:id="68" w:name="_Toc480804372"/>
      <w:bookmarkStart w:id="69" w:name="_Toc515872921"/>
      <w:bookmarkStart w:id="70" w:name="_Toc356401468"/>
      <w:r>
        <w:rPr>
          <w:rFonts w:hint="eastAsia" w:ascii="宋体"/>
          <w:b/>
          <w:bCs/>
          <w:snapToGrid w:val="0"/>
          <w:color w:val="auto"/>
          <w:kern w:val="0"/>
          <w:sz w:val="28"/>
          <w:szCs w:val="28"/>
          <w:lang w:val="en-US" w:eastAsia="zh-CN"/>
        </w:rPr>
        <w:t>4、挤出成型</w:t>
      </w:r>
      <w:bookmarkEnd w:id="67"/>
      <w:bookmarkEnd w:id="68"/>
      <w:bookmarkEnd w:id="69"/>
      <w:bookmarkEnd w:id="70"/>
    </w:p>
    <w:p>
      <w:pPr>
        <w:spacing w:line="360" w:lineRule="auto"/>
        <w:ind w:firstLine="560" w:firstLineChars="200"/>
        <w:rPr>
          <w:rFonts w:hint="eastAsia" w:ascii="宋体"/>
          <w:snapToGrid w:val="0"/>
          <w:color w:val="auto"/>
          <w:kern w:val="0"/>
          <w:sz w:val="28"/>
          <w:szCs w:val="28"/>
        </w:rPr>
      </w:pPr>
      <w:r>
        <w:rPr>
          <w:rFonts w:hint="eastAsia" w:ascii="宋体"/>
          <w:snapToGrid w:val="0"/>
          <w:color w:val="auto"/>
          <w:kern w:val="0"/>
          <w:sz w:val="28"/>
          <w:szCs w:val="28"/>
        </w:rPr>
        <w:t>经过陈化的混合料有装运到胶带输送机上运到成型车间的箱式给料机处定量向强力搅拌机给料。原料通过这次加水搅拌，使其成型水分达到16～17%。搅拌后的物料再经过湿式轮碾机进一步碾练均化处理，使混合料性能满足成型需要。挤出成型采用高挤出压力、高真空度的双极真空挤出机，许用挤出压力达到3.8mpa，真空度达到≤-0.092mpa。挤出的泥条经自动切条机、切坯机割成需要规格的砖坯，再经码坯将砖坯放到窑车上。</w:t>
      </w:r>
    </w:p>
    <w:p>
      <w:pPr>
        <w:spacing w:line="360" w:lineRule="auto"/>
        <w:ind w:firstLine="562" w:firstLineChars="200"/>
        <w:rPr>
          <w:rFonts w:hint="eastAsia" w:ascii="宋体"/>
          <w:b/>
          <w:bCs/>
          <w:snapToGrid w:val="0"/>
          <w:color w:val="auto"/>
          <w:kern w:val="0"/>
          <w:sz w:val="28"/>
          <w:szCs w:val="28"/>
          <w:lang w:val="en-US" w:eastAsia="zh-CN"/>
        </w:rPr>
      </w:pPr>
      <w:bookmarkStart w:id="71" w:name="_Toc480804373"/>
      <w:bookmarkStart w:id="72" w:name="_Toc356380960"/>
      <w:bookmarkStart w:id="73" w:name="_Toc356401469"/>
      <w:bookmarkStart w:id="74" w:name="_Toc515872922"/>
      <w:r>
        <w:rPr>
          <w:rFonts w:hint="eastAsia" w:ascii="宋体"/>
          <w:b/>
          <w:bCs/>
          <w:snapToGrid w:val="0"/>
          <w:color w:val="auto"/>
          <w:kern w:val="0"/>
          <w:sz w:val="28"/>
          <w:szCs w:val="28"/>
          <w:lang w:val="en-US" w:eastAsia="zh-CN"/>
        </w:rPr>
        <w:t>5、干燥、焙烧</w:t>
      </w:r>
      <w:bookmarkEnd w:id="71"/>
      <w:bookmarkEnd w:id="72"/>
      <w:bookmarkEnd w:id="73"/>
      <w:bookmarkEnd w:id="74"/>
    </w:p>
    <w:p>
      <w:pPr>
        <w:spacing w:line="360" w:lineRule="auto"/>
        <w:ind w:firstLine="560" w:firstLineChars="200"/>
        <w:rPr>
          <w:rFonts w:hint="eastAsia" w:ascii="宋体"/>
          <w:snapToGrid w:val="0"/>
          <w:color w:val="auto"/>
          <w:kern w:val="0"/>
          <w:sz w:val="28"/>
          <w:szCs w:val="28"/>
          <w:lang w:val="en-US" w:eastAsia="zh-CN"/>
        </w:rPr>
      </w:pPr>
      <w:r>
        <w:rPr>
          <w:rFonts w:hint="eastAsia" w:ascii="宋体"/>
          <w:snapToGrid w:val="0"/>
          <w:color w:val="auto"/>
          <w:kern w:val="0"/>
          <w:sz w:val="28"/>
          <w:szCs w:val="28"/>
          <w:lang w:val="en-US" w:eastAsia="zh-CN"/>
        </w:rPr>
        <w:t>码有砖坯的窑车通过窑车运转系统完成窑车在贮存段、干燥室、焙烧窑的运行。由于成型工段在市场淡季有可能是二班生产，干燥室、焙烧窑是三班生产，因此必须设置码有砖坯的窑车贮存段，用于贮存夜班进窑的窑车，本项目共设250辆窑车。</w:t>
      </w:r>
    </w:p>
    <w:p>
      <w:pPr>
        <w:spacing w:line="360" w:lineRule="auto"/>
        <w:ind w:firstLine="560" w:firstLineChars="200"/>
        <w:rPr>
          <w:rFonts w:hint="eastAsia" w:ascii="宋体"/>
          <w:snapToGrid w:val="0"/>
          <w:color w:val="auto"/>
          <w:kern w:val="0"/>
          <w:sz w:val="28"/>
          <w:szCs w:val="28"/>
          <w:lang w:val="en-US" w:eastAsia="zh-CN"/>
        </w:rPr>
      </w:pPr>
      <w:r>
        <w:rPr>
          <w:rFonts w:hint="eastAsia" w:ascii="宋体"/>
          <w:snapToGrid w:val="0"/>
          <w:color w:val="auto"/>
          <w:kern w:val="0"/>
          <w:sz w:val="28"/>
          <w:szCs w:val="28"/>
          <w:lang w:val="en-US" w:eastAsia="zh-CN"/>
        </w:rPr>
        <w:t>装有砖坯的窑车经过贮存后运送到进车端摆渡车上，通过液压顶车机将窑车送入干燥室内，本项目采用一次码烧工艺，</w:t>
      </w:r>
      <w:r>
        <w:rPr>
          <w:rFonts w:hint="eastAsia" w:ascii="宋体"/>
          <w:snapToGrid w:val="0"/>
          <w:color w:val="FF0000"/>
          <w:kern w:val="0"/>
          <w:sz w:val="28"/>
          <w:szCs w:val="28"/>
          <w:lang w:val="en-US" w:eastAsia="zh-CN"/>
        </w:rPr>
        <w:t>遂道焙烧窑一条，干燥窑一条。</w:t>
      </w:r>
      <w:r>
        <w:rPr>
          <w:rFonts w:hint="eastAsia" w:ascii="宋体"/>
          <w:snapToGrid w:val="0"/>
          <w:color w:val="auto"/>
          <w:kern w:val="0"/>
          <w:sz w:val="28"/>
          <w:szCs w:val="28"/>
          <w:lang w:val="en-US" w:eastAsia="zh-CN"/>
        </w:rPr>
        <w:t>干燥热源来自焙烧窑余热。干燥好的砖坯通过干燥室出口拉引机、焙烧窑液压顶车机将窑车送入焙烧窑。</w:t>
      </w:r>
    </w:p>
    <w:p>
      <w:pPr>
        <w:pStyle w:val="5"/>
        <w:spacing w:before="0" w:after="0" w:line="360" w:lineRule="auto"/>
        <w:rPr>
          <w:rFonts w:hint="eastAsia" w:ascii="宋体" w:hAnsi="宋体" w:eastAsia="宋体" w:cs="宋体"/>
          <w:color w:val="auto"/>
          <w:sz w:val="28"/>
          <w:szCs w:val="28"/>
          <w:lang w:val="zh-CN"/>
        </w:rPr>
      </w:pPr>
      <w:bookmarkStart w:id="75" w:name="_Toc21887"/>
      <w:bookmarkStart w:id="76" w:name="_Toc1720"/>
      <w:r>
        <w:rPr>
          <w:rFonts w:hint="eastAsia" w:ascii="宋体" w:hAnsi="宋体" w:eastAsia="宋体" w:cs="宋体"/>
          <w:color w:val="auto"/>
          <w:sz w:val="28"/>
          <w:szCs w:val="28"/>
          <w:lang w:val="zh-CN"/>
        </w:rPr>
        <w:t>2.1.</w:t>
      </w:r>
      <w:r>
        <w:rPr>
          <w:rFonts w:hint="eastAsia" w:ascii="宋体" w:hAnsi="宋体" w:eastAsia="宋体" w:cs="宋体"/>
          <w:color w:val="auto"/>
          <w:sz w:val="28"/>
          <w:szCs w:val="28"/>
          <w:lang w:val="en-US" w:eastAsia="zh-CN"/>
        </w:rPr>
        <w:t>5</w:t>
      </w:r>
      <w:r>
        <w:rPr>
          <w:rFonts w:hint="eastAsia" w:ascii="宋体" w:hAnsi="宋体" w:eastAsia="宋体" w:cs="宋体"/>
          <w:b/>
          <w:bCs/>
          <w:i w:val="0"/>
          <w:iCs w:val="0"/>
          <w:color w:val="auto"/>
          <w:sz w:val="28"/>
          <w:szCs w:val="28"/>
        </w:rPr>
        <w:t>主要生产设备情况</w:t>
      </w:r>
      <w:bookmarkEnd w:id="75"/>
      <w:bookmarkEnd w:id="76"/>
    </w:p>
    <w:p>
      <w:pPr>
        <w:spacing w:line="360" w:lineRule="auto"/>
        <w:ind w:firstLine="560" w:firstLineChars="200"/>
        <w:rPr>
          <w:rFonts w:hint="eastAsia" w:ascii="宋体" w:hAnsi="宋体" w:cs="宋体"/>
          <w:i w:val="0"/>
          <w:iCs w:val="0"/>
          <w:color w:val="auto"/>
          <w:sz w:val="28"/>
          <w:szCs w:val="28"/>
        </w:rPr>
      </w:pPr>
      <w:r>
        <w:rPr>
          <w:rFonts w:hint="eastAsia" w:ascii="宋体" w:hAnsi="宋体" w:cs="宋体"/>
          <w:i w:val="0"/>
          <w:iCs w:val="0"/>
          <w:color w:val="auto"/>
          <w:sz w:val="28"/>
          <w:szCs w:val="28"/>
          <w:lang w:eastAsia="zh-CN"/>
        </w:rPr>
        <w:t>仪陇县来仪银河页岩砖厂</w:t>
      </w:r>
      <w:r>
        <w:rPr>
          <w:rFonts w:hint="eastAsia" w:ascii="宋体" w:hAnsi="宋体" w:cs="宋体"/>
          <w:i w:val="0"/>
          <w:iCs w:val="0"/>
          <w:color w:val="auto"/>
          <w:sz w:val="28"/>
          <w:szCs w:val="28"/>
        </w:rPr>
        <w:t>主要设备清单见表</w:t>
      </w:r>
      <w:r>
        <w:rPr>
          <w:rFonts w:hint="eastAsia" w:ascii="宋体" w:hAnsi="宋体" w:eastAsia="宋体" w:cs="宋体"/>
          <w:i w:val="0"/>
          <w:iCs w:val="0"/>
          <w:color w:val="auto"/>
          <w:sz w:val="28"/>
          <w:szCs w:val="28"/>
          <w:lang w:val="en-US" w:eastAsia="zh-CN"/>
        </w:rPr>
        <w:t>2</w:t>
      </w:r>
      <w:r>
        <w:rPr>
          <w:rFonts w:hint="eastAsia" w:ascii="宋体" w:hAnsi="宋体" w:cs="宋体"/>
          <w:i w:val="0"/>
          <w:iCs w:val="0"/>
          <w:color w:val="auto"/>
          <w:sz w:val="28"/>
          <w:szCs w:val="28"/>
        </w:rPr>
        <w:t>-</w:t>
      </w:r>
      <w:r>
        <w:rPr>
          <w:rFonts w:hint="eastAsia" w:ascii="宋体" w:hAnsi="宋体" w:cs="宋体"/>
          <w:i w:val="0"/>
          <w:iCs w:val="0"/>
          <w:color w:val="auto"/>
          <w:sz w:val="28"/>
          <w:szCs w:val="28"/>
          <w:lang w:val="en-US" w:eastAsia="zh-CN"/>
        </w:rPr>
        <w:t>2</w:t>
      </w:r>
      <w:r>
        <w:rPr>
          <w:rFonts w:hint="eastAsia" w:ascii="宋体" w:hAnsi="宋体" w:cs="宋体"/>
          <w:i w:val="0"/>
          <w:iCs w:val="0"/>
          <w:color w:val="auto"/>
          <w:sz w:val="28"/>
          <w:szCs w:val="28"/>
        </w:rPr>
        <w:t>所示。</w:t>
      </w:r>
    </w:p>
    <w:tbl>
      <w:tblPr>
        <w:tblStyle w:val="20"/>
        <w:tblW w:w="9271" w:type="dxa"/>
        <w:jc w:val="center"/>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5"/>
        <w:gridCol w:w="2407"/>
        <w:gridCol w:w="2407"/>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5" w:type="dxa"/>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序号</w:t>
            </w:r>
          </w:p>
        </w:tc>
        <w:tc>
          <w:tcPr>
            <w:tcW w:w="2407" w:type="dxa"/>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名称</w:t>
            </w:r>
          </w:p>
        </w:tc>
        <w:tc>
          <w:tcPr>
            <w:tcW w:w="2407" w:type="dxa"/>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型号</w:t>
            </w:r>
          </w:p>
        </w:tc>
        <w:tc>
          <w:tcPr>
            <w:tcW w:w="2232" w:type="dxa"/>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5" w:type="dxa"/>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w:t>
            </w:r>
          </w:p>
        </w:tc>
        <w:tc>
          <w:tcPr>
            <w:tcW w:w="2407" w:type="dxa"/>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挤出机</w:t>
            </w:r>
          </w:p>
        </w:tc>
        <w:tc>
          <w:tcPr>
            <w:tcW w:w="2407" w:type="dxa"/>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60-5</w:t>
            </w:r>
          </w:p>
        </w:tc>
        <w:tc>
          <w:tcPr>
            <w:tcW w:w="2232" w:type="dxa"/>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5" w:type="dxa"/>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w:t>
            </w:r>
          </w:p>
        </w:tc>
        <w:tc>
          <w:tcPr>
            <w:tcW w:w="2407" w:type="dxa"/>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全自动码坯机</w:t>
            </w:r>
          </w:p>
        </w:tc>
        <w:tc>
          <w:tcPr>
            <w:tcW w:w="2407" w:type="dxa"/>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JK1350/50</w:t>
            </w:r>
          </w:p>
        </w:tc>
        <w:tc>
          <w:tcPr>
            <w:tcW w:w="2232" w:type="dxa"/>
          </w:tcPr>
          <w:p>
            <w:pPr>
              <w:jc w:val="center"/>
              <w:rPr>
                <w:rFonts w:hint="eastAsia" w:ascii="宋体" w:hAnsi="宋体" w:eastAsia="宋体" w:cs="宋体"/>
                <w:vertAlign w:val="baseline"/>
                <w:lang w:eastAsia="zh-CN"/>
              </w:rPr>
            </w:pPr>
            <w:r>
              <w:rPr>
                <w:rFonts w:hint="eastAsia" w:ascii="宋体" w:hAnsi="宋体" w:eastAsia="宋体" w:cs="宋体"/>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5" w:type="dxa"/>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3</w:t>
            </w:r>
          </w:p>
        </w:tc>
        <w:tc>
          <w:tcPr>
            <w:tcW w:w="2407" w:type="dxa"/>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颚式破碎机</w:t>
            </w:r>
          </w:p>
        </w:tc>
        <w:tc>
          <w:tcPr>
            <w:tcW w:w="2407" w:type="dxa"/>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50-70</w:t>
            </w:r>
          </w:p>
        </w:tc>
        <w:tc>
          <w:tcPr>
            <w:tcW w:w="2232" w:type="dxa"/>
          </w:tcPr>
          <w:p>
            <w:pPr>
              <w:jc w:val="center"/>
              <w:rPr>
                <w:rFonts w:hint="eastAsia" w:ascii="宋体" w:hAnsi="宋体" w:eastAsia="宋体" w:cs="宋体"/>
                <w:vertAlign w:val="baseline"/>
                <w:lang w:eastAsia="zh-CN"/>
              </w:rPr>
            </w:pPr>
            <w:r>
              <w:rPr>
                <w:rFonts w:hint="eastAsia" w:ascii="宋体" w:hAnsi="宋体" w:eastAsia="宋体" w:cs="宋体"/>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5" w:type="dxa"/>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4</w:t>
            </w:r>
          </w:p>
        </w:tc>
        <w:tc>
          <w:tcPr>
            <w:tcW w:w="2407" w:type="dxa"/>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搅拌机</w:t>
            </w:r>
          </w:p>
        </w:tc>
        <w:tc>
          <w:tcPr>
            <w:tcW w:w="2407" w:type="dxa"/>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4.5m</w:t>
            </w:r>
          </w:p>
        </w:tc>
        <w:tc>
          <w:tcPr>
            <w:tcW w:w="2232" w:type="dxa"/>
          </w:tcPr>
          <w:p>
            <w:pPr>
              <w:jc w:val="center"/>
              <w:rPr>
                <w:rFonts w:hint="eastAsia" w:ascii="宋体" w:hAnsi="宋体" w:eastAsia="宋体" w:cs="宋体"/>
                <w:vertAlign w:val="baseline"/>
                <w:lang w:eastAsia="zh-CN"/>
              </w:rPr>
            </w:pPr>
            <w:r>
              <w:rPr>
                <w:rFonts w:hint="eastAsia" w:ascii="宋体" w:hAnsi="宋体" w:eastAsia="宋体" w:cs="宋体"/>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5" w:type="dxa"/>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5</w:t>
            </w:r>
          </w:p>
        </w:tc>
        <w:tc>
          <w:tcPr>
            <w:tcW w:w="2407" w:type="dxa"/>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滚动筛</w:t>
            </w:r>
          </w:p>
        </w:tc>
        <w:tc>
          <w:tcPr>
            <w:tcW w:w="2407" w:type="dxa"/>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2.2*1m</w:t>
            </w:r>
          </w:p>
        </w:tc>
        <w:tc>
          <w:tcPr>
            <w:tcW w:w="2232" w:type="dxa"/>
          </w:tcPr>
          <w:p>
            <w:pPr>
              <w:jc w:val="center"/>
              <w:rPr>
                <w:rFonts w:hint="eastAsia" w:ascii="宋体" w:hAnsi="宋体" w:eastAsia="宋体" w:cs="宋体"/>
                <w:vertAlign w:val="baseline"/>
                <w:lang w:eastAsia="zh-CN"/>
              </w:rPr>
            </w:pPr>
            <w:r>
              <w:rPr>
                <w:rFonts w:hint="eastAsia" w:ascii="宋体" w:hAnsi="宋体" w:eastAsia="宋体" w:cs="宋体"/>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5" w:type="dxa"/>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6</w:t>
            </w:r>
          </w:p>
        </w:tc>
        <w:tc>
          <w:tcPr>
            <w:tcW w:w="2407" w:type="dxa"/>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粉碎机</w:t>
            </w:r>
          </w:p>
        </w:tc>
        <w:tc>
          <w:tcPr>
            <w:tcW w:w="2407" w:type="dxa"/>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PCF900</w:t>
            </w:r>
            <w:r>
              <w:rPr>
                <w:rFonts w:hint="default" w:ascii="Arial" w:hAnsi="Arial" w:eastAsia="宋体" w:cs="Arial"/>
                <w:vertAlign w:val="baseline"/>
                <w:lang w:val="en-US" w:eastAsia="zh-CN"/>
              </w:rPr>
              <w:t>×</w:t>
            </w:r>
            <w:r>
              <w:rPr>
                <w:rFonts w:hint="eastAsia" w:ascii="宋体" w:hAnsi="宋体" w:eastAsia="宋体" w:cs="宋体"/>
                <w:vertAlign w:val="baseline"/>
                <w:lang w:val="en-US" w:eastAsia="zh-CN"/>
              </w:rPr>
              <w:t>900型</w:t>
            </w:r>
          </w:p>
        </w:tc>
        <w:tc>
          <w:tcPr>
            <w:tcW w:w="2232" w:type="dxa"/>
          </w:tcPr>
          <w:p>
            <w:pPr>
              <w:jc w:val="center"/>
              <w:rPr>
                <w:rFonts w:hint="eastAsia" w:ascii="宋体" w:hAnsi="宋体" w:eastAsia="宋体" w:cs="宋体"/>
                <w:vertAlign w:val="baseline"/>
                <w:lang w:eastAsia="zh-CN"/>
              </w:rPr>
            </w:pPr>
            <w:r>
              <w:rPr>
                <w:rFonts w:hint="eastAsia" w:ascii="宋体" w:hAnsi="宋体" w:eastAsia="宋体" w:cs="宋体"/>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5" w:type="dxa"/>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7</w:t>
            </w:r>
          </w:p>
        </w:tc>
        <w:tc>
          <w:tcPr>
            <w:tcW w:w="2407" w:type="dxa"/>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供煤机</w:t>
            </w:r>
          </w:p>
        </w:tc>
        <w:tc>
          <w:tcPr>
            <w:tcW w:w="2407" w:type="dxa"/>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w:t>
            </w:r>
          </w:p>
        </w:tc>
        <w:tc>
          <w:tcPr>
            <w:tcW w:w="2232" w:type="dxa"/>
          </w:tcPr>
          <w:p>
            <w:pPr>
              <w:jc w:val="center"/>
              <w:rPr>
                <w:rFonts w:hint="eastAsia" w:ascii="宋体" w:hAnsi="宋体" w:eastAsia="宋体" w:cs="宋体"/>
                <w:vertAlign w:val="baseline"/>
                <w:lang w:eastAsia="zh-CN"/>
              </w:rPr>
            </w:pPr>
            <w:r>
              <w:rPr>
                <w:rFonts w:hint="eastAsia" w:ascii="宋体" w:hAnsi="宋体" w:eastAsia="宋体" w:cs="宋体"/>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5" w:type="dxa"/>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8</w:t>
            </w:r>
          </w:p>
        </w:tc>
        <w:tc>
          <w:tcPr>
            <w:tcW w:w="2407" w:type="dxa"/>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自动切条机</w:t>
            </w:r>
          </w:p>
        </w:tc>
        <w:tc>
          <w:tcPr>
            <w:tcW w:w="2407" w:type="dxa"/>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36*9</w:t>
            </w:r>
          </w:p>
        </w:tc>
        <w:tc>
          <w:tcPr>
            <w:tcW w:w="2232" w:type="dxa"/>
          </w:tcPr>
          <w:p>
            <w:pPr>
              <w:jc w:val="center"/>
              <w:rPr>
                <w:rFonts w:hint="eastAsia" w:ascii="宋体" w:hAnsi="宋体" w:eastAsia="宋体" w:cs="宋体"/>
                <w:vertAlign w:val="baseline"/>
                <w:lang w:eastAsia="zh-CN"/>
              </w:rPr>
            </w:pPr>
            <w:r>
              <w:rPr>
                <w:rFonts w:hint="eastAsia" w:ascii="宋体" w:hAnsi="宋体" w:eastAsia="宋体" w:cs="宋体"/>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5" w:type="dxa"/>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9</w:t>
            </w:r>
          </w:p>
        </w:tc>
        <w:tc>
          <w:tcPr>
            <w:tcW w:w="2407" w:type="dxa"/>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切坯机</w:t>
            </w:r>
          </w:p>
        </w:tc>
        <w:tc>
          <w:tcPr>
            <w:tcW w:w="2407" w:type="dxa"/>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w:t>
            </w:r>
          </w:p>
        </w:tc>
        <w:tc>
          <w:tcPr>
            <w:tcW w:w="2232" w:type="dxa"/>
          </w:tcPr>
          <w:p>
            <w:pPr>
              <w:jc w:val="center"/>
              <w:rPr>
                <w:rFonts w:hint="eastAsia" w:ascii="宋体" w:hAnsi="宋体" w:eastAsia="宋体" w:cs="宋体"/>
                <w:vertAlign w:val="baseline"/>
                <w:lang w:eastAsia="zh-CN"/>
              </w:rPr>
            </w:pPr>
            <w:r>
              <w:rPr>
                <w:rFonts w:hint="eastAsia" w:ascii="宋体" w:hAnsi="宋体" w:eastAsia="宋体" w:cs="宋体"/>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5" w:type="dxa"/>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10</w:t>
            </w:r>
          </w:p>
        </w:tc>
        <w:tc>
          <w:tcPr>
            <w:tcW w:w="2407" w:type="dxa"/>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小平车</w:t>
            </w:r>
          </w:p>
        </w:tc>
        <w:tc>
          <w:tcPr>
            <w:tcW w:w="2407" w:type="dxa"/>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w:t>
            </w:r>
          </w:p>
        </w:tc>
        <w:tc>
          <w:tcPr>
            <w:tcW w:w="2232" w:type="dxa"/>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800台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5" w:type="dxa"/>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11</w:t>
            </w:r>
          </w:p>
        </w:tc>
        <w:tc>
          <w:tcPr>
            <w:tcW w:w="2407" w:type="dxa"/>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电动车</w:t>
            </w:r>
          </w:p>
        </w:tc>
        <w:tc>
          <w:tcPr>
            <w:tcW w:w="2407" w:type="dxa"/>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w:t>
            </w:r>
          </w:p>
        </w:tc>
        <w:tc>
          <w:tcPr>
            <w:tcW w:w="2232" w:type="dxa"/>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30台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5" w:type="dxa"/>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12</w:t>
            </w:r>
          </w:p>
        </w:tc>
        <w:tc>
          <w:tcPr>
            <w:tcW w:w="2407" w:type="dxa"/>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风机</w:t>
            </w:r>
          </w:p>
        </w:tc>
        <w:tc>
          <w:tcPr>
            <w:tcW w:w="2407" w:type="dxa"/>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直径</w:t>
            </w:r>
            <w:r>
              <w:rPr>
                <w:rFonts w:hint="eastAsia" w:ascii="宋体" w:hAnsi="宋体" w:eastAsia="宋体" w:cs="宋体"/>
                <w:vertAlign w:val="baseline"/>
                <w:lang w:val="en-US" w:eastAsia="zh-CN"/>
              </w:rPr>
              <w:t>1.4m</w:t>
            </w:r>
          </w:p>
        </w:tc>
        <w:tc>
          <w:tcPr>
            <w:tcW w:w="2232" w:type="dxa"/>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5" w:type="dxa"/>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13</w:t>
            </w:r>
          </w:p>
        </w:tc>
        <w:tc>
          <w:tcPr>
            <w:tcW w:w="2407" w:type="dxa"/>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除尘器</w:t>
            </w:r>
          </w:p>
        </w:tc>
        <w:tc>
          <w:tcPr>
            <w:tcW w:w="2407" w:type="dxa"/>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JGB096-J布袋型</w:t>
            </w:r>
          </w:p>
        </w:tc>
        <w:tc>
          <w:tcPr>
            <w:tcW w:w="2232" w:type="dxa"/>
          </w:tcPr>
          <w:p>
            <w:pPr>
              <w:jc w:val="center"/>
              <w:rPr>
                <w:rFonts w:hint="eastAsia" w:ascii="宋体" w:hAnsi="宋体" w:eastAsia="宋体" w:cs="宋体"/>
                <w:vertAlign w:val="baseline"/>
                <w:lang w:eastAsia="zh-CN"/>
              </w:rPr>
            </w:pPr>
            <w:r>
              <w:rPr>
                <w:rFonts w:hint="eastAsia" w:ascii="宋体" w:hAnsi="宋体" w:eastAsia="宋体" w:cs="宋体"/>
                <w:vertAlign w:val="baseline"/>
                <w:lang w:val="en-US" w:eastAsia="zh-CN"/>
              </w:rPr>
              <w:t>1</w:t>
            </w:r>
            <w:r>
              <w:rPr>
                <w:rFonts w:hint="eastAsia" w:ascii="宋体" w:hAnsi="宋体" w:eastAsia="宋体" w:cs="宋体"/>
                <w:vertAlign w:val="baseline"/>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5" w:type="dxa"/>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14</w:t>
            </w:r>
          </w:p>
        </w:tc>
        <w:tc>
          <w:tcPr>
            <w:tcW w:w="2407" w:type="dxa"/>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脱硫塔</w:t>
            </w:r>
          </w:p>
        </w:tc>
        <w:tc>
          <w:tcPr>
            <w:tcW w:w="2407" w:type="dxa"/>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CQXST型湿式</w:t>
            </w:r>
          </w:p>
        </w:tc>
        <w:tc>
          <w:tcPr>
            <w:tcW w:w="2232" w:type="dxa"/>
          </w:tcPr>
          <w:p>
            <w:pPr>
              <w:jc w:val="center"/>
              <w:rPr>
                <w:rFonts w:hint="eastAsia" w:ascii="宋体" w:hAnsi="宋体" w:eastAsia="宋体" w:cs="宋体"/>
                <w:vertAlign w:val="baseline"/>
                <w:lang w:eastAsia="zh-CN"/>
              </w:rPr>
            </w:pPr>
            <w:r>
              <w:rPr>
                <w:rFonts w:hint="eastAsia" w:ascii="宋体" w:hAnsi="宋体" w:eastAsia="宋体" w:cs="宋体"/>
                <w:vertAlign w:val="baseline"/>
                <w:lang w:val="en-US" w:eastAsia="zh-CN"/>
              </w:rPr>
              <w:t>1</w:t>
            </w:r>
            <w:r>
              <w:rPr>
                <w:rFonts w:hint="eastAsia" w:ascii="宋体" w:hAnsi="宋体" w:eastAsia="宋体" w:cs="宋体"/>
                <w:vertAlign w:val="baseline"/>
                <w:lang w:eastAsia="zh-CN"/>
              </w:rPr>
              <w:t>套</w:t>
            </w:r>
          </w:p>
        </w:tc>
      </w:tr>
    </w:tbl>
    <w:p>
      <w:pPr>
        <w:pStyle w:val="12"/>
        <w:spacing w:line="240" w:lineRule="auto"/>
        <w:ind w:firstLine="482" w:firstLineChars="200"/>
        <w:jc w:val="center"/>
        <w:rPr>
          <w:rFonts w:hint="eastAsia" w:ascii="黑体" w:hAnsi="Courier New" w:eastAsia="黑体"/>
          <w:b/>
          <w:color w:val="auto"/>
          <w:sz w:val="24"/>
          <w:lang w:eastAsia="zh-CN"/>
        </w:rPr>
      </w:pPr>
      <w:bookmarkStart w:id="77" w:name="_Toc16275"/>
      <w:bookmarkStart w:id="78" w:name="_Toc18643"/>
      <w:r>
        <w:rPr>
          <w:rFonts w:hint="eastAsia" w:ascii="黑体" w:hAnsi="Courier New" w:eastAsia="黑体"/>
          <w:b/>
          <w:color w:val="auto"/>
          <w:sz w:val="24"/>
          <w:lang w:eastAsia="zh-CN"/>
        </w:rPr>
        <w:t>表</w:t>
      </w:r>
      <w:r>
        <w:rPr>
          <w:rFonts w:hint="eastAsia" w:ascii="黑体" w:hAnsi="Courier New" w:eastAsia="黑体"/>
          <w:b/>
          <w:color w:val="auto"/>
          <w:sz w:val="24"/>
          <w:lang w:val="en-US" w:eastAsia="zh-CN"/>
        </w:rPr>
        <w:t>2</w:t>
      </w:r>
      <w:r>
        <w:rPr>
          <w:rFonts w:hint="eastAsia" w:ascii="黑体" w:hAnsi="Courier New" w:eastAsia="黑体"/>
          <w:b/>
          <w:color w:val="auto"/>
          <w:sz w:val="24"/>
          <w:lang w:eastAsia="zh-CN"/>
        </w:rPr>
        <w:t>-</w:t>
      </w:r>
      <w:r>
        <w:rPr>
          <w:rFonts w:hint="eastAsia" w:ascii="黑体" w:hAnsi="Courier New" w:eastAsia="黑体"/>
          <w:b/>
          <w:color w:val="auto"/>
          <w:sz w:val="24"/>
          <w:lang w:val="en-US" w:eastAsia="zh-CN"/>
        </w:rPr>
        <w:t>2</w:t>
      </w:r>
      <w:r>
        <w:rPr>
          <w:rFonts w:hint="eastAsia" w:ascii="黑体" w:hAnsi="Courier New" w:eastAsia="黑体"/>
          <w:b/>
          <w:color w:val="auto"/>
          <w:sz w:val="24"/>
          <w:lang w:eastAsia="zh-CN"/>
        </w:rPr>
        <w:t xml:space="preserve"> 主要设备清单</w:t>
      </w:r>
    </w:p>
    <w:p>
      <w:pPr>
        <w:pStyle w:val="5"/>
        <w:spacing w:before="0" w:after="0" w:line="360" w:lineRule="auto"/>
        <w:rPr>
          <w:rFonts w:hint="eastAsia" w:ascii="宋体" w:hAnsi="宋体" w:eastAsia="宋体" w:cs="宋体"/>
          <w:color w:val="auto"/>
          <w:sz w:val="28"/>
          <w:szCs w:val="28"/>
        </w:rPr>
      </w:pPr>
      <w:bookmarkStart w:id="79" w:name="_Toc25328"/>
      <w:bookmarkStart w:id="80" w:name="_Toc32671"/>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各方应急力量有关基本情况</w:t>
      </w:r>
      <w:bookmarkEnd w:id="77"/>
      <w:bookmarkEnd w:id="78"/>
      <w:bookmarkEnd w:id="79"/>
      <w:bookmarkEnd w:id="80"/>
    </w:p>
    <w:p>
      <w:pPr>
        <w:pStyle w:val="5"/>
        <w:spacing w:before="0" w:after="0" w:line="360" w:lineRule="auto"/>
        <w:rPr>
          <w:rFonts w:hint="eastAsia" w:ascii="宋体" w:hAnsi="宋体" w:eastAsia="宋体" w:cs="宋体"/>
          <w:color w:val="auto"/>
          <w:sz w:val="28"/>
          <w:szCs w:val="28"/>
          <w:lang w:val="zh-CN"/>
        </w:rPr>
      </w:pPr>
      <w:bookmarkStart w:id="81" w:name="_Toc18478"/>
      <w:bookmarkStart w:id="82" w:name="_Toc21350"/>
      <w:bookmarkStart w:id="83" w:name="_Toc26169"/>
      <w:r>
        <w:rPr>
          <w:rFonts w:hint="eastAsia" w:ascii="宋体" w:hAnsi="宋体" w:eastAsia="宋体" w:cs="宋体"/>
          <w:color w:val="auto"/>
          <w:sz w:val="28"/>
          <w:szCs w:val="28"/>
          <w:lang w:val="zh-CN"/>
        </w:rPr>
        <w:t>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val="zh-CN"/>
        </w:rPr>
        <w:t>.1内部应急力量</w:t>
      </w:r>
      <w:bookmarkEnd w:id="81"/>
      <w:bookmarkEnd w:id="82"/>
      <w:bookmarkEnd w:id="83"/>
    </w:p>
    <w:p>
      <w:pPr>
        <w:spacing w:line="360" w:lineRule="auto"/>
        <w:ind w:firstLine="560" w:firstLineChars="200"/>
        <w:rPr>
          <w:rFonts w:hint="eastAsia" w:ascii="宋体" w:hAnsi="宋体" w:cs="宋体"/>
          <w:i w:val="0"/>
          <w:iCs w:val="0"/>
          <w:color w:val="FF0000"/>
          <w:sz w:val="28"/>
          <w:szCs w:val="28"/>
        </w:rPr>
      </w:pPr>
      <w:r>
        <w:rPr>
          <w:rFonts w:hint="eastAsia" w:ascii="宋体" w:hAnsi="宋体" w:cs="宋体"/>
          <w:i w:val="0"/>
          <w:iCs w:val="0"/>
          <w:color w:val="FF0000"/>
          <w:sz w:val="28"/>
          <w:szCs w:val="28"/>
        </w:rPr>
        <w:t>公司成立有以总经理</w:t>
      </w:r>
      <w:r>
        <w:rPr>
          <w:rFonts w:hint="eastAsia" w:ascii="宋体" w:hAnsi="宋体" w:cs="宋体"/>
          <w:i w:val="0"/>
          <w:iCs w:val="0"/>
          <w:color w:val="FF0000"/>
          <w:sz w:val="28"/>
          <w:szCs w:val="28"/>
          <w:lang w:eastAsia="zh-CN"/>
        </w:rPr>
        <w:t>邓先银</w:t>
      </w:r>
      <w:r>
        <w:rPr>
          <w:rFonts w:hint="eastAsia" w:ascii="宋体" w:hAnsi="宋体" w:cs="宋体"/>
          <w:i w:val="0"/>
          <w:iCs w:val="0"/>
          <w:color w:val="FF0000"/>
          <w:sz w:val="28"/>
          <w:szCs w:val="28"/>
        </w:rPr>
        <w:t>为组长的应急抢险救援领导小组，副组长由公司</w:t>
      </w:r>
      <w:r>
        <w:rPr>
          <w:rFonts w:hint="eastAsia" w:ascii="宋体" w:hAnsi="宋体" w:eastAsia="宋体" w:cs="宋体"/>
          <w:i w:val="0"/>
          <w:iCs w:val="0"/>
          <w:color w:val="FF0000"/>
          <w:sz w:val="28"/>
          <w:szCs w:val="28"/>
          <w:lang w:eastAsia="zh-CN"/>
        </w:rPr>
        <w:t>厂长</w:t>
      </w:r>
      <w:r>
        <w:rPr>
          <w:rFonts w:hint="eastAsia" w:ascii="宋体" w:hAnsi="宋体" w:cs="宋体"/>
          <w:i w:val="0"/>
          <w:iCs w:val="0"/>
          <w:color w:val="FF0000"/>
          <w:sz w:val="28"/>
          <w:szCs w:val="28"/>
          <w:lang w:eastAsia="zh-CN"/>
        </w:rPr>
        <w:t>邓宝</w:t>
      </w:r>
      <w:r>
        <w:rPr>
          <w:rFonts w:hint="eastAsia" w:ascii="宋体" w:hAnsi="宋体" w:cs="宋体"/>
          <w:i w:val="0"/>
          <w:iCs w:val="0"/>
          <w:color w:val="FF0000"/>
          <w:sz w:val="28"/>
          <w:szCs w:val="28"/>
        </w:rPr>
        <w:t>担任。成员由其他</w:t>
      </w:r>
      <w:r>
        <w:rPr>
          <w:rFonts w:hint="eastAsia" w:ascii="宋体" w:hAnsi="宋体" w:cs="宋体"/>
          <w:i w:val="0"/>
          <w:iCs w:val="0"/>
          <w:color w:val="FF0000"/>
          <w:sz w:val="28"/>
          <w:szCs w:val="28"/>
          <w:lang w:eastAsia="zh-CN"/>
        </w:rPr>
        <w:t>现场负责人</w:t>
      </w:r>
      <w:r>
        <w:rPr>
          <w:rFonts w:hint="eastAsia" w:ascii="宋体" w:hAnsi="宋体" w:cs="宋体"/>
          <w:i w:val="0"/>
          <w:iCs w:val="0"/>
          <w:color w:val="FF0000"/>
          <w:sz w:val="28"/>
          <w:szCs w:val="28"/>
        </w:rPr>
        <w:t>、车间主管及</w:t>
      </w:r>
      <w:r>
        <w:rPr>
          <w:rFonts w:hint="eastAsia" w:ascii="宋体" w:hAnsi="宋体" w:cs="宋体"/>
          <w:i w:val="0"/>
          <w:iCs w:val="0"/>
          <w:color w:val="FF0000"/>
          <w:sz w:val="28"/>
          <w:szCs w:val="28"/>
          <w:lang w:eastAsia="zh-CN"/>
        </w:rPr>
        <w:t>行政部</w:t>
      </w:r>
      <w:r>
        <w:rPr>
          <w:rFonts w:hint="eastAsia" w:ascii="宋体" w:hAnsi="宋体" w:cs="宋体"/>
          <w:i w:val="0"/>
          <w:iCs w:val="0"/>
          <w:color w:val="FF0000"/>
          <w:sz w:val="28"/>
          <w:szCs w:val="28"/>
        </w:rPr>
        <w:t>成员组成。并设</w:t>
      </w:r>
      <w:r>
        <w:rPr>
          <w:rFonts w:hint="eastAsia" w:ascii="宋体" w:hAnsi="宋体" w:cs="宋体"/>
          <w:i w:val="0"/>
          <w:iCs w:val="0"/>
          <w:color w:val="FF0000"/>
          <w:sz w:val="28"/>
          <w:szCs w:val="28"/>
          <w:lang w:eastAsia="zh-CN"/>
        </w:rPr>
        <w:t>安全管理员</w:t>
      </w:r>
      <w:r>
        <w:rPr>
          <w:rFonts w:hint="eastAsia" w:ascii="宋体" w:hAnsi="宋体" w:cs="宋体"/>
          <w:i w:val="0"/>
          <w:iCs w:val="0"/>
          <w:color w:val="FF0000"/>
          <w:sz w:val="28"/>
          <w:szCs w:val="28"/>
        </w:rPr>
        <w:t>作为独立的日常安全、环保管理专职人员，应急抢险救援领导小组下设有下设抢险救援组、</w:t>
      </w:r>
      <w:r>
        <w:rPr>
          <w:rFonts w:hint="eastAsia" w:ascii="宋体" w:hAnsi="宋体" w:cs="宋体"/>
          <w:i w:val="0"/>
          <w:iCs w:val="0"/>
          <w:color w:val="FF0000"/>
          <w:sz w:val="28"/>
          <w:szCs w:val="28"/>
          <w:lang w:eastAsia="zh-CN"/>
        </w:rPr>
        <w:t>疏散联络组</w:t>
      </w:r>
      <w:r>
        <w:rPr>
          <w:rFonts w:hint="eastAsia" w:ascii="宋体" w:hAnsi="宋体" w:cs="宋体"/>
          <w:i w:val="0"/>
          <w:iCs w:val="0"/>
          <w:color w:val="FF0000"/>
          <w:sz w:val="28"/>
          <w:szCs w:val="28"/>
        </w:rPr>
        <w:t>、后勤保障组、医疗救护组</w:t>
      </w:r>
      <w:r>
        <w:rPr>
          <w:rFonts w:hint="eastAsia" w:ascii="宋体" w:hAnsi="宋体" w:eastAsia="宋体" w:cs="宋体"/>
          <w:i w:val="0"/>
          <w:iCs w:val="0"/>
          <w:color w:val="FF0000"/>
          <w:sz w:val="28"/>
          <w:szCs w:val="28"/>
          <w:lang w:eastAsia="zh-CN"/>
        </w:rPr>
        <w:t>、</w:t>
      </w:r>
      <w:r>
        <w:rPr>
          <w:rFonts w:hint="eastAsia" w:ascii="宋体" w:hAnsi="宋体" w:cs="宋体"/>
          <w:i w:val="0"/>
          <w:iCs w:val="0"/>
          <w:color w:val="FF0000"/>
          <w:sz w:val="28"/>
          <w:szCs w:val="28"/>
          <w:lang w:eastAsia="zh-CN"/>
        </w:rPr>
        <w:t>事故调查善后组、</w:t>
      </w:r>
      <w:r>
        <w:rPr>
          <w:rFonts w:hint="eastAsia" w:ascii="宋体" w:hAnsi="宋体" w:cs="宋体"/>
          <w:i w:val="0"/>
          <w:iCs w:val="0"/>
          <w:color w:val="FF0000"/>
          <w:sz w:val="28"/>
          <w:szCs w:val="28"/>
        </w:rPr>
        <w:t>负责处理应急救援事宜。领导小组办公室常设在</w:t>
      </w:r>
      <w:r>
        <w:rPr>
          <w:rFonts w:hint="eastAsia" w:ascii="宋体" w:hAnsi="宋体" w:cs="宋体"/>
          <w:i w:val="0"/>
          <w:iCs w:val="0"/>
          <w:color w:val="FF0000"/>
          <w:sz w:val="28"/>
          <w:szCs w:val="28"/>
          <w:lang w:eastAsia="zh-CN"/>
        </w:rPr>
        <w:t>行政部</w:t>
      </w:r>
      <w:r>
        <w:rPr>
          <w:rFonts w:hint="eastAsia" w:ascii="宋体" w:hAnsi="宋体" w:cs="宋体"/>
          <w:i w:val="0"/>
          <w:iCs w:val="0"/>
          <w:color w:val="FF0000"/>
          <w:sz w:val="28"/>
          <w:szCs w:val="28"/>
        </w:rPr>
        <w:t>，日常工作由</w:t>
      </w:r>
      <w:r>
        <w:rPr>
          <w:rFonts w:hint="eastAsia" w:ascii="宋体" w:hAnsi="宋体" w:cs="宋体"/>
          <w:i w:val="0"/>
          <w:iCs w:val="0"/>
          <w:color w:val="FF0000"/>
          <w:sz w:val="28"/>
          <w:szCs w:val="28"/>
          <w:lang w:eastAsia="zh-CN"/>
        </w:rPr>
        <w:t>行政部</w:t>
      </w:r>
      <w:r>
        <w:rPr>
          <w:rFonts w:hint="eastAsia" w:ascii="宋体" w:hAnsi="宋体" w:cs="宋体"/>
          <w:i w:val="0"/>
          <w:iCs w:val="0"/>
          <w:color w:val="FF0000"/>
          <w:sz w:val="28"/>
          <w:szCs w:val="28"/>
        </w:rPr>
        <w:t>主管</w:t>
      </w:r>
      <w:r>
        <w:rPr>
          <w:rFonts w:hint="eastAsia" w:ascii="宋体" w:hAnsi="宋体" w:cs="宋体"/>
          <w:i w:val="0"/>
          <w:iCs w:val="0"/>
          <w:color w:val="FF0000"/>
          <w:sz w:val="28"/>
          <w:szCs w:val="28"/>
          <w:lang w:eastAsia="zh-CN"/>
        </w:rPr>
        <w:t>负责</w:t>
      </w:r>
      <w:r>
        <w:rPr>
          <w:rFonts w:hint="eastAsia" w:ascii="宋体" w:hAnsi="宋体" w:cs="宋体"/>
          <w:i w:val="0"/>
          <w:iCs w:val="0"/>
          <w:color w:val="FF0000"/>
          <w:sz w:val="28"/>
          <w:szCs w:val="28"/>
        </w:rPr>
        <w:t>。其它下设的各小组组长由公司指派部门负责人担任。重大事故发生时，由总经理任应急领导组长，领导小组副组长任副应急领导组长，负责组织和指挥应急抢险救护工作。应急领导小组一般设在</w:t>
      </w:r>
      <w:r>
        <w:rPr>
          <w:rFonts w:hint="eastAsia" w:ascii="宋体" w:hAnsi="宋体" w:cs="宋体"/>
          <w:i w:val="0"/>
          <w:iCs w:val="0"/>
          <w:color w:val="FF0000"/>
          <w:sz w:val="28"/>
          <w:szCs w:val="28"/>
          <w:lang w:eastAsia="zh-CN"/>
        </w:rPr>
        <w:t>行政部</w:t>
      </w:r>
      <w:r>
        <w:rPr>
          <w:rFonts w:hint="eastAsia" w:ascii="宋体" w:hAnsi="宋体" w:cs="宋体"/>
          <w:i w:val="0"/>
          <w:iCs w:val="0"/>
          <w:color w:val="FF0000"/>
          <w:sz w:val="28"/>
          <w:szCs w:val="28"/>
        </w:rPr>
        <w:t>。如果应急领导组长或副组长均不在公司时，则由在公司</w:t>
      </w:r>
      <w:r>
        <w:rPr>
          <w:rFonts w:hint="eastAsia" w:ascii="宋体" w:hAnsi="宋体" w:cs="宋体"/>
          <w:i w:val="0"/>
          <w:iCs w:val="0"/>
          <w:color w:val="FF0000"/>
          <w:sz w:val="28"/>
          <w:szCs w:val="28"/>
          <w:lang w:eastAsia="zh-CN"/>
        </w:rPr>
        <w:t>厂长</w:t>
      </w:r>
      <w:r>
        <w:rPr>
          <w:rFonts w:hint="eastAsia" w:ascii="宋体" w:hAnsi="宋体" w:cs="宋体"/>
          <w:i w:val="0"/>
          <w:iCs w:val="0"/>
          <w:color w:val="FF0000"/>
          <w:sz w:val="28"/>
          <w:szCs w:val="28"/>
        </w:rPr>
        <w:t>与</w:t>
      </w:r>
      <w:r>
        <w:rPr>
          <w:rFonts w:hint="eastAsia" w:ascii="宋体" w:hAnsi="宋体" w:cs="宋体"/>
          <w:i w:val="0"/>
          <w:iCs w:val="0"/>
          <w:color w:val="FF0000"/>
          <w:sz w:val="28"/>
          <w:szCs w:val="28"/>
          <w:lang w:eastAsia="zh-CN"/>
        </w:rPr>
        <w:t>行政部</w:t>
      </w:r>
      <w:r>
        <w:rPr>
          <w:rFonts w:hint="eastAsia" w:ascii="宋体" w:hAnsi="宋体" w:cs="宋体"/>
          <w:i w:val="0"/>
          <w:iCs w:val="0"/>
          <w:color w:val="FF0000"/>
          <w:sz w:val="28"/>
          <w:szCs w:val="28"/>
        </w:rPr>
        <w:t>负责人为临时应急领导组长，全权负责应急抢险及救护工作。</w:t>
      </w:r>
    </w:p>
    <w:p>
      <w:pPr>
        <w:pStyle w:val="5"/>
        <w:spacing w:before="0" w:after="0" w:line="360" w:lineRule="auto"/>
        <w:rPr>
          <w:rFonts w:hint="eastAsia" w:ascii="宋体" w:hAnsi="宋体" w:eastAsia="宋体" w:cs="宋体"/>
          <w:color w:val="auto"/>
          <w:sz w:val="28"/>
          <w:szCs w:val="28"/>
          <w:lang w:val="zh-CN"/>
        </w:rPr>
      </w:pPr>
      <w:bookmarkStart w:id="84" w:name="_Toc19588"/>
      <w:bookmarkStart w:id="85" w:name="_Toc15756"/>
      <w:bookmarkStart w:id="86" w:name="_Toc27005"/>
      <w:r>
        <w:rPr>
          <w:rFonts w:hint="eastAsia" w:ascii="宋体" w:hAnsi="宋体" w:eastAsia="宋体" w:cs="宋体"/>
          <w:color w:val="auto"/>
          <w:sz w:val="28"/>
          <w:szCs w:val="28"/>
          <w:lang w:val="zh-CN"/>
        </w:rPr>
        <w:t>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val="zh-CN"/>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val="zh-CN"/>
        </w:rPr>
        <w:t>外部应急力量</w:t>
      </w:r>
      <w:bookmarkEnd w:id="84"/>
      <w:bookmarkEnd w:id="85"/>
      <w:bookmarkEnd w:id="86"/>
    </w:p>
    <w:p>
      <w:pPr>
        <w:spacing w:line="360" w:lineRule="auto"/>
        <w:ind w:firstLine="560" w:firstLineChars="200"/>
        <w:rPr>
          <w:rFonts w:hint="eastAsia" w:ascii="宋体" w:hAnsi="宋体" w:cs="宋体"/>
          <w:i w:val="0"/>
          <w:iCs w:val="0"/>
          <w:color w:val="auto"/>
          <w:sz w:val="28"/>
          <w:szCs w:val="28"/>
        </w:rPr>
      </w:pPr>
      <w:r>
        <w:rPr>
          <w:rFonts w:hint="eastAsia" w:ascii="宋体" w:hAnsi="宋体" w:cs="宋体"/>
          <w:i w:val="0"/>
          <w:iCs w:val="0"/>
          <w:color w:val="auto"/>
          <w:sz w:val="28"/>
          <w:szCs w:val="28"/>
        </w:rPr>
        <w:t>公司能借用的外部力量包括</w:t>
      </w:r>
      <w:r>
        <w:rPr>
          <w:rFonts w:hint="eastAsia" w:ascii="宋体" w:hAnsi="宋体" w:cs="宋体"/>
          <w:i w:val="0"/>
          <w:iCs w:val="0"/>
          <w:color w:val="auto"/>
          <w:sz w:val="28"/>
          <w:szCs w:val="28"/>
          <w:lang w:eastAsia="zh-CN"/>
        </w:rPr>
        <w:t>仪陇县</w:t>
      </w:r>
      <w:r>
        <w:rPr>
          <w:rFonts w:hint="eastAsia" w:ascii="宋体" w:hAnsi="宋体" w:cs="宋体"/>
          <w:i w:val="0"/>
          <w:iCs w:val="0"/>
          <w:color w:val="auto"/>
          <w:sz w:val="28"/>
          <w:szCs w:val="28"/>
        </w:rPr>
        <w:t>人民政府、</w:t>
      </w:r>
      <w:r>
        <w:rPr>
          <w:rFonts w:hint="eastAsia" w:ascii="宋体" w:hAnsi="宋体" w:cs="宋体"/>
          <w:i w:val="0"/>
          <w:iCs w:val="0"/>
          <w:color w:val="auto"/>
          <w:sz w:val="28"/>
          <w:szCs w:val="28"/>
          <w:lang w:eastAsia="zh-CN"/>
        </w:rPr>
        <w:t>仪陇县</w:t>
      </w:r>
      <w:r>
        <w:rPr>
          <w:rFonts w:hint="eastAsia" w:ascii="宋体" w:hAnsi="宋体" w:cs="宋体"/>
          <w:i w:val="0"/>
          <w:iCs w:val="0"/>
          <w:color w:val="auto"/>
          <w:sz w:val="28"/>
          <w:szCs w:val="28"/>
        </w:rPr>
        <w:t>应急管理局、</w:t>
      </w:r>
      <w:r>
        <w:rPr>
          <w:rFonts w:hint="eastAsia" w:ascii="宋体" w:hAnsi="宋体" w:cs="宋体"/>
          <w:i w:val="0"/>
          <w:iCs w:val="0"/>
          <w:color w:val="auto"/>
          <w:sz w:val="28"/>
          <w:szCs w:val="28"/>
          <w:lang w:eastAsia="zh-CN"/>
        </w:rPr>
        <w:t>仪陇县消防救援局</w:t>
      </w:r>
      <w:r>
        <w:rPr>
          <w:rFonts w:hint="eastAsia" w:ascii="宋体" w:hAnsi="宋体" w:cs="宋体"/>
          <w:i w:val="0"/>
          <w:iCs w:val="0"/>
          <w:color w:val="auto"/>
          <w:sz w:val="28"/>
          <w:szCs w:val="28"/>
        </w:rPr>
        <w:t>、</w:t>
      </w:r>
      <w:r>
        <w:rPr>
          <w:rFonts w:hint="eastAsia" w:ascii="宋体" w:hAnsi="宋体" w:cs="宋体"/>
          <w:i w:val="0"/>
          <w:iCs w:val="0"/>
          <w:color w:val="auto"/>
          <w:sz w:val="28"/>
          <w:szCs w:val="28"/>
          <w:lang w:eastAsia="zh-CN"/>
        </w:rPr>
        <w:t>仪陇县来仪乡</w:t>
      </w:r>
      <w:r>
        <w:rPr>
          <w:rFonts w:hint="eastAsia" w:ascii="宋体" w:hAnsi="宋体" w:cs="宋体"/>
          <w:i w:val="0"/>
          <w:iCs w:val="0"/>
          <w:color w:val="auto"/>
          <w:sz w:val="28"/>
          <w:szCs w:val="28"/>
          <w:lang w:val="zh-CN" w:eastAsia="zh-CN"/>
        </w:rPr>
        <w:t>政府</w:t>
      </w:r>
      <w:r>
        <w:rPr>
          <w:rFonts w:hint="eastAsia" w:ascii="宋体" w:hAnsi="宋体" w:cs="宋体"/>
          <w:i w:val="0"/>
          <w:iCs w:val="0"/>
          <w:color w:val="auto"/>
          <w:sz w:val="28"/>
          <w:szCs w:val="28"/>
        </w:rPr>
        <w:t>、</w:t>
      </w:r>
      <w:r>
        <w:rPr>
          <w:rFonts w:hint="eastAsia" w:ascii="宋体" w:hAnsi="宋体" w:cs="宋体"/>
          <w:i w:val="0"/>
          <w:iCs w:val="0"/>
          <w:color w:val="auto"/>
          <w:sz w:val="28"/>
          <w:szCs w:val="28"/>
          <w:lang w:eastAsia="zh-CN"/>
        </w:rPr>
        <w:t>仪陇县来仪乡卫生院</w:t>
      </w:r>
      <w:r>
        <w:rPr>
          <w:rFonts w:hint="eastAsia" w:ascii="宋体" w:hAnsi="宋体" w:cs="宋体"/>
          <w:i w:val="0"/>
          <w:iCs w:val="0"/>
          <w:color w:val="auto"/>
          <w:sz w:val="28"/>
          <w:szCs w:val="28"/>
        </w:rPr>
        <w:t>、</w:t>
      </w:r>
      <w:r>
        <w:rPr>
          <w:rFonts w:hint="eastAsia" w:ascii="宋体" w:hAnsi="宋体" w:cs="宋体"/>
          <w:i w:val="0"/>
          <w:iCs w:val="0"/>
          <w:color w:val="auto"/>
          <w:sz w:val="28"/>
          <w:szCs w:val="28"/>
          <w:lang w:eastAsia="zh-CN"/>
        </w:rPr>
        <w:t>仪陇县人民医院</w:t>
      </w:r>
      <w:r>
        <w:rPr>
          <w:rFonts w:hint="eastAsia" w:ascii="宋体" w:hAnsi="宋体" w:cs="宋体"/>
          <w:i w:val="0"/>
          <w:iCs w:val="0"/>
          <w:color w:val="auto"/>
          <w:sz w:val="28"/>
          <w:szCs w:val="28"/>
        </w:rPr>
        <w:t>以及周边企业应急救援物质。</w:t>
      </w:r>
    </w:p>
    <w:p>
      <w:pPr>
        <w:spacing w:line="360" w:lineRule="auto"/>
        <w:ind w:firstLine="560" w:firstLineChars="200"/>
        <w:rPr>
          <w:rFonts w:hint="eastAsia" w:ascii="宋体" w:hAnsi="宋体" w:cs="宋体"/>
          <w:i w:val="0"/>
          <w:iCs w:val="0"/>
          <w:color w:val="FF0000"/>
          <w:sz w:val="28"/>
          <w:szCs w:val="28"/>
        </w:rPr>
      </w:pPr>
      <w:r>
        <w:rPr>
          <w:rFonts w:hint="eastAsia" w:ascii="宋体" w:hAnsi="宋体" w:cs="宋体"/>
          <w:i w:val="0"/>
          <w:iCs w:val="0"/>
          <w:color w:val="FF0000"/>
          <w:sz w:val="28"/>
          <w:szCs w:val="28"/>
          <w:lang w:eastAsia="zh-CN"/>
        </w:rPr>
        <w:t>仪陇县来仪乡卫生院</w:t>
      </w:r>
      <w:r>
        <w:rPr>
          <w:rFonts w:hint="eastAsia" w:ascii="宋体" w:hAnsi="宋体" w:cs="宋体"/>
          <w:i w:val="0"/>
          <w:iCs w:val="0"/>
          <w:color w:val="FF0000"/>
          <w:sz w:val="28"/>
          <w:szCs w:val="28"/>
        </w:rPr>
        <w:t>距企业距离约</w:t>
      </w:r>
      <w:r>
        <w:rPr>
          <w:rFonts w:hint="eastAsia" w:ascii="宋体" w:hAnsi="宋体" w:eastAsia="宋体" w:cs="宋体"/>
          <w:i w:val="0"/>
          <w:iCs w:val="0"/>
          <w:color w:val="FF0000"/>
          <w:sz w:val="28"/>
          <w:szCs w:val="28"/>
          <w:lang w:val="en-US" w:eastAsia="zh-CN"/>
        </w:rPr>
        <w:t>500</w:t>
      </w:r>
      <w:r>
        <w:rPr>
          <w:rFonts w:hint="eastAsia" w:ascii="宋体" w:hAnsi="宋体" w:cs="宋体"/>
          <w:i w:val="0"/>
          <w:iCs w:val="0"/>
          <w:color w:val="FF0000"/>
          <w:sz w:val="28"/>
          <w:szCs w:val="28"/>
        </w:rPr>
        <w:t>m，发生事故时</w:t>
      </w:r>
      <w:r>
        <w:rPr>
          <w:rFonts w:hint="eastAsia" w:ascii="宋体" w:hAnsi="宋体" w:eastAsia="宋体" w:cs="宋体"/>
          <w:i w:val="0"/>
          <w:iCs w:val="0"/>
          <w:color w:val="FF0000"/>
          <w:sz w:val="28"/>
          <w:szCs w:val="28"/>
          <w:lang w:val="en-US" w:eastAsia="zh-CN"/>
        </w:rPr>
        <w:t>5</w:t>
      </w:r>
      <w:r>
        <w:rPr>
          <w:rFonts w:hint="eastAsia" w:ascii="宋体" w:hAnsi="宋体" w:cs="宋体"/>
          <w:i w:val="0"/>
          <w:iCs w:val="0"/>
          <w:color w:val="FF0000"/>
          <w:sz w:val="28"/>
          <w:szCs w:val="28"/>
        </w:rPr>
        <w:t>分钟内能到达现场</w:t>
      </w:r>
      <w:r>
        <w:rPr>
          <w:rFonts w:hint="eastAsia" w:ascii="宋体" w:hAnsi="宋体" w:eastAsia="宋体" w:cs="宋体"/>
          <w:i w:val="0"/>
          <w:iCs w:val="0"/>
          <w:color w:val="FF0000"/>
          <w:sz w:val="28"/>
          <w:szCs w:val="28"/>
          <w:lang w:eastAsia="zh-CN"/>
        </w:rPr>
        <w:t>；</w:t>
      </w:r>
      <w:r>
        <w:rPr>
          <w:rFonts w:hint="eastAsia" w:ascii="宋体" w:hAnsi="宋体" w:cs="宋体"/>
          <w:i w:val="0"/>
          <w:iCs w:val="0"/>
          <w:color w:val="FF0000"/>
          <w:sz w:val="28"/>
          <w:szCs w:val="28"/>
          <w:lang w:eastAsia="zh-CN"/>
        </w:rPr>
        <w:t>仪陇县人民医院</w:t>
      </w:r>
      <w:r>
        <w:rPr>
          <w:rFonts w:hint="eastAsia" w:ascii="宋体" w:hAnsi="宋体" w:cs="宋体"/>
          <w:i w:val="0"/>
          <w:iCs w:val="0"/>
          <w:color w:val="FF0000"/>
          <w:sz w:val="28"/>
          <w:szCs w:val="28"/>
        </w:rPr>
        <w:t>距企业距离约</w:t>
      </w:r>
      <w:r>
        <w:rPr>
          <w:rFonts w:hint="eastAsia" w:ascii="宋体" w:hAnsi="宋体" w:eastAsia="宋体" w:cs="宋体"/>
          <w:i w:val="0"/>
          <w:iCs w:val="0"/>
          <w:color w:val="FF0000"/>
          <w:sz w:val="28"/>
          <w:szCs w:val="28"/>
          <w:lang w:val="en-US" w:eastAsia="zh-CN"/>
        </w:rPr>
        <w:t>59</w:t>
      </w:r>
      <w:r>
        <w:rPr>
          <w:rFonts w:hint="eastAsia" w:ascii="宋体" w:hAnsi="宋体" w:cs="宋体"/>
          <w:i w:val="0"/>
          <w:iCs w:val="0"/>
          <w:color w:val="FF0000"/>
          <w:sz w:val="28"/>
          <w:szCs w:val="28"/>
        </w:rPr>
        <w:t>km，发生事故时</w:t>
      </w:r>
      <w:r>
        <w:rPr>
          <w:rFonts w:hint="eastAsia" w:ascii="宋体" w:hAnsi="宋体" w:eastAsia="宋体" w:cs="宋体"/>
          <w:i w:val="0"/>
          <w:iCs w:val="0"/>
          <w:color w:val="FF0000"/>
          <w:sz w:val="28"/>
          <w:szCs w:val="28"/>
          <w:lang w:val="en-US" w:eastAsia="zh-CN"/>
        </w:rPr>
        <w:t>1小时</w:t>
      </w:r>
      <w:r>
        <w:rPr>
          <w:rFonts w:hint="eastAsia" w:ascii="宋体" w:hAnsi="宋体" w:cs="宋体"/>
          <w:i w:val="0"/>
          <w:iCs w:val="0"/>
          <w:color w:val="FF0000"/>
          <w:sz w:val="28"/>
          <w:szCs w:val="28"/>
        </w:rPr>
        <w:t>内能到达现场。</w:t>
      </w:r>
    </w:p>
    <w:p>
      <w:pPr>
        <w:spacing w:line="360" w:lineRule="auto"/>
        <w:ind w:firstLine="560" w:firstLineChars="200"/>
        <w:rPr>
          <w:rFonts w:hint="eastAsia" w:ascii="宋体" w:hAnsi="宋体" w:cs="宋体"/>
          <w:i w:val="0"/>
          <w:iCs w:val="0"/>
          <w:color w:val="FF0000"/>
          <w:sz w:val="28"/>
          <w:szCs w:val="28"/>
          <w:lang w:eastAsia="zh-CN"/>
        </w:rPr>
      </w:pPr>
      <w:r>
        <w:rPr>
          <w:rFonts w:hint="eastAsia" w:ascii="宋体" w:hAnsi="宋体" w:cs="宋体"/>
          <w:i w:val="0"/>
          <w:iCs w:val="0"/>
          <w:color w:val="FF0000"/>
          <w:sz w:val="28"/>
          <w:szCs w:val="28"/>
          <w:lang w:eastAsia="zh-CN"/>
        </w:rPr>
        <w:t>仪陇县来仪乡</w:t>
      </w:r>
      <w:r>
        <w:rPr>
          <w:rFonts w:hint="eastAsia" w:ascii="宋体" w:hAnsi="宋体" w:cs="宋体"/>
          <w:i w:val="0"/>
          <w:iCs w:val="0"/>
          <w:color w:val="FF0000"/>
          <w:sz w:val="28"/>
          <w:szCs w:val="28"/>
          <w:lang w:val="zh-CN" w:eastAsia="zh-CN"/>
        </w:rPr>
        <w:t>政府</w:t>
      </w:r>
      <w:r>
        <w:rPr>
          <w:rFonts w:hint="eastAsia" w:ascii="宋体" w:hAnsi="宋体" w:cs="宋体"/>
          <w:i w:val="0"/>
          <w:iCs w:val="0"/>
          <w:color w:val="FF0000"/>
          <w:sz w:val="28"/>
          <w:szCs w:val="28"/>
        </w:rPr>
        <w:t>距企业距离约</w:t>
      </w:r>
      <w:r>
        <w:rPr>
          <w:rFonts w:hint="eastAsia" w:ascii="宋体" w:hAnsi="宋体" w:eastAsia="宋体" w:cs="宋体"/>
          <w:i w:val="0"/>
          <w:iCs w:val="0"/>
          <w:color w:val="FF0000"/>
          <w:sz w:val="28"/>
          <w:szCs w:val="28"/>
          <w:lang w:val="en-US" w:eastAsia="zh-CN"/>
        </w:rPr>
        <w:t>900</w:t>
      </w:r>
      <w:r>
        <w:rPr>
          <w:rFonts w:hint="eastAsia" w:ascii="宋体" w:hAnsi="宋体" w:cs="宋体"/>
          <w:i w:val="0"/>
          <w:iCs w:val="0"/>
          <w:color w:val="FF0000"/>
          <w:sz w:val="28"/>
          <w:szCs w:val="28"/>
        </w:rPr>
        <w:t>m，发生事故时</w:t>
      </w:r>
      <w:r>
        <w:rPr>
          <w:rFonts w:hint="eastAsia" w:ascii="宋体" w:hAnsi="宋体" w:eastAsia="宋体" w:cs="宋体"/>
          <w:i w:val="0"/>
          <w:iCs w:val="0"/>
          <w:color w:val="FF0000"/>
          <w:sz w:val="28"/>
          <w:szCs w:val="28"/>
          <w:lang w:val="en-US" w:eastAsia="zh-CN"/>
        </w:rPr>
        <w:t>5</w:t>
      </w:r>
      <w:r>
        <w:rPr>
          <w:rFonts w:hint="eastAsia" w:ascii="宋体" w:hAnsi="宋体" w:cs="宋体"/>
          <w:i w:val="0"/>
          <w:iCs w:val="0"/>
          <w:color w:val="FF0000"/>
          <w:sz w:val="28"/>
          <w:szCs w:val="28"/>
        </w:rPr>
        <w:t>分钟内能到达现场</w:t>
      </w:r>
      <w:r>
        <w:rPr>
          <w:rFonts w:hint="eastAsia" w:ascii="宋体" w:hAnsi="宋体" w:eastAsia="宋体" w:cs="宋体"/>
          <w:i w:val="0"/>
          <w:iCs w:val="0"/>
          <w:color w:val="FF0000"/>
          <w:sz w:val="28"/>
          <w:szCs w:val="28"/>
          <w:lang w:eastAsia="zh-CN"/>
        </w:rPr>
        <w:t>；</w:t>
      </w:r>
      <w:r>
        <w:rPr>
          <w:rFonts w:hint="eastAsia" w:ascii="宋体" w:hAnsi="宋体" w:cs="宋体"/>
          <w:i w:val="0"/>
          <w:iCs w:val="0"/>
          <w:color w:val="FF0000"/>
          <w:sz w:val="28"/>
          <w:szCs w:val="28"/>
          <w:lang w:eastAsia="zh-CN"/>
        </w:rPr>
        <w:t>仪陇县金城消防中队距企业距离约</w:t>
      </w:r>
      <w:r>
        <w:rPr>
          <w:rFonts w:hint="eastAsia" w:ascii="宋体" w:hAnsi="宋体" w:cs="宋体"/>
          <w:i w:val="0"/>
          <w:iCs w:val="0"/>
          <w:color w:val="FF0000"/>
          <w:sz w:val="28"/>
          <w:szCs w:val="28"/>
          <w:lang w:val="en-US" w:eastAsia="zh-CN"/>
        </w:rPr>
        <w:t>25</w:t>
      </w:r>
      <w:r>
        <w:rPr>
          <w:rFonts w:hint="eastAsia" w:ascii="宋体" w:hAnsi="宋体" w:cs="宋体"/>
          <w:i w:val="0"/>
          <w:iCs w:val="0"/>
          <w:color w:val="FF0000"/>
          <w:sz w:val="28"/>
          <w:szCs w:val="28"/>
          <w:lang w:eastAsia="zh-CN"/>
        </w:rPr>
        <w:t>km，发生事故时</w:t>
      </w:r>
      <w:r>
        <w:rPr>
          <w:rFonts w:hint="eastAsia" w:ascii="宋体" w:hAnsi="宋体" w:cs="宋体"/>
          <w:i w:val="0"/>
          <w:iCs w:val="0"/>
          <w:color w:val="FF0000"/>
          <w:sz w:val="28"/>
          <w:szCs w:val="28"/>
          <w:lang w:val="en-US" w:eastAsia="zh-CN"/>
        </w:rPr>
        <w:t>40</w:t>
      </w:r>
      <w:r>
        <w:rPr>
          <w:rFonts w:hint="eastAsia" w:ascii="宋体" w:hAnsi="宋体" w:cs="宋体"/>
          <w:i w:val="0"/>
          <w:iCs w:val="0"/>
          <w:color w:val="FF0000"/>
          <w:sz w:val="28"/>
          <w:szCs w:val="28"/>
          <w:lang w:eastAsia="zh-CN"/>
        </w:rPr>
        <w:t>分钟内能到达现场；仪陇县消防救援局距企业距离约</w:t>
      </w:r>
      <w:r>
        <w:rPr>
          <w:rFonts w:hint="eastAsia" w:ascii="宋体" w:hAnsi="宋体" w:cs="宋体"/>
          <w:i w:val="0"/>
          <w:iCs w:val="0"/>
          <w:color w:val="FF0000"/>
          <w:sz w:val="28"/>
          <w:szCs w:val="28"/>
          <w:lang w:val="en-US" w:eastAsia="zh-CN"/>
        </w:rPr>
        <w:t>60</w:t>
      </w:r>
      <w:r>
        <w:rPr>
          <w:rFonts w:hint="eastAsia" w:ascii="宋体" w:hAnsi="宋体" w:cs="宋体"/>
          <w:i w:val="0"/>
          <w:iCs w:val="0"/>
          <w:color w:val="FF0000"/>
          <w:sz w:val="28"/>
          <w:szCs w:val="28"/>
          <w:lang w:eastAsia="zh-CN"/>
        </w:rPr>
        <w:t>km，发生事故时</w:t>
      </w:r>
      <w:r>
        <w:rPr>
          <w:rFonts w:hint="eastAsia" w:ascii="宋体" w:hAnsi="宋体" w:eastAsia="宋体" w:cs="宋体"/>
          <w:i w:val="0"/>
          <w:iCs w:val="0"/>
          <w:color w:val="FF0000"/>
          <w:sz w:val="28"/>
          <w:szCs w:val="28"/>
          <w:lang w:val="en-US" w:eastAsia="zh-CN"/>
        </w:rPr>
        <w:t>1小时</w:t>
      </w:r>
      <w:r>
        <w:rPr>
          <w:rFonts w:hint="eastAsia" w:ascii="宋体" w:hAnsi="宋体" w:cs="宋体"/>
          <w:i w:val="0"/>
          <w:iCs w:val="0"/>
          <w:color w:val="FF0000"/>
          <w:sz w:val="28"/>
          <w:szCs w:val="28"/>
        </w:rPr>
        <w:t>内</w:t>
      </w:r>
      <w:r>
        <w:rPr>
          <w:rFonts w:hint="eastAsia" w:ascii="宋体" w:hAnsi="宋体" w:cs="宋体"/>
          <w:i w:val="0"/>
          <w:iCs w:val="0"/>
          <w:color w:val="FF0000"/>
          <w:sz w:val="28"/>
          <w:szCs w:val="28"/>
          <w:lang w:eastAsia="zh-CN"/>
        </w:rPr>
        <w:t>内能到达现场。</w:t>
      </w:r>
    </w:p>
    <w:p>
      <w:pPr>
        <w:spacing w:line="360" w:lineRule="auto"/>
        <w:ind w:firstLine="560" w:firstLineChars="200"/>
        <w:rPr>
          <w:rFonts w:ascii="宋体" w:hAnsi="宋体"/>
          <w:i w:val="0"/>
          <w:iCs w:val="0"/>
          <w:color w:val="auto"/>
          <w:sz w:val="28"/>
          <w:szCs w:val="28"/>
        </w:rPr>
      </w:pPr>
      <w:r>
        <w:rPr>
          <w:rFonts w:hint="eastAsia" w:ascii="宋体" w:hAnsi="宋体"/>
          <w:i w:val="0"/>
          <w:iCs w:val="0"/>
          <w:color w:val="auto"/>
          <w:sz w:val="28"/>
          <w:szCs w:val="28"/>
        </w:rPr>
        <w:t>外部救援工作具体由指挥部负责，指挥部门负责与外部救援单位及时取得联系，并将具体地点、路线、发生事故的情况，救援所需器材的种类与外部救援单位讲清楚，同时应安排专人去接应并引路。</w:t>
      </w:r>
    </w:p>
    <w:p>
      <w:pPr>
        <w:spacing w:line="360" w:lineRule="auto"/>
        <w:jc w:val="center"/>
        <w:rPr>
          <w:rFonts w:hint="eastAsia" w:ascii="黑体" w:hAnsi="宋体" w:eastAsia="黑体"/>
          <w:b/>
          <w:bCs/>
          <w:i w:val="0"/>
          <w:iCs w:val="0"/>
          <w:color w:val="auto"/>
          <w:sz w:val="24"/>
        </w:rPr>
      </w:pPr>
      <w:r>
        <w:rPr>
          <w:rFonts w:hint="eastAsia" w:ascii="黑体" w:hAnsi="宋体" w:eastAsia="黑体"/>
          <w:b/>
          <w:bCs/>
          <w:i w:val="0"/>
          <w:iCs w:val="0"/>
          <w:color w:val="auto"/>
          <w:sz w:val="24"/>
        </w:rPr>
        <w:t>表2-</w:t>
      </w:r>
      <w:r>
        <w:rPr>
          <w:rFonts w:hint="eastAsia" w:ascii="黑体" w:hAnsi="宋体" w:eastAsia="黑体"/>
          <w:b/>
          <w:bCs/>
          <w:i w:val="0"/>
          <w:iCs w:val="0"/>
          <w:color w:val="auto"/>
          <w:sz w:val="24"/>
          <w:lang w:val="en-US" w:eastAsia="zh-CN"/>
        </w:rPr>
        <w:t>3</w:t>
      </w:r>
      <w:r>
        <w:rPr>
          <w:rFonts w:hint="eastAsia" w:ascii="黑体" w:hAnsi="宋体" w:eastAsia="黑体"/>
          <w:b/>
          <w:bCs/>
          <w:i w:val="0"/>
          <w:iCs w:val="0"/>
          <w:color w:val="auto"/>
          <w:sz w:val="24"/>
        </w:rPr>
        <w:t xml:space="preserve"> 外部应急支援一览表</w:t>
      </w:r>
    </w:p>
    <w:tbl>
      <w:tblPr>
        <w:tblStyle w:val="19"/>
        <w:tblW w:w="93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742"/>
        <w:gridCol w:w="765"/>
        <w:gridCol w:w="780"/>
        <w:gridCol w:w="4216"/>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7" w:type="dxa"/>
            <w:noWrap w:val="0"/>
            <w:vAlign w:val="center"/>
          </w:tcPr>
          <w:p>
            <w:pPr>
              <w:spacing w:line="460" w:lineRule="exact"/>
              <w:jc w:val="center"/>
              <w:rPr>
                <w:rFonts w:ascii="宋体" w:hAnsi="宋体"/>
                <w:b/>
                <w:bCs/>
                <w:i w:val="0"/>
                <w:iCs w:val="0"/>
                <w:color w:val="auto"/>
                <w:szCs w:val="21"/>
              </w:rPr>
            </w:pPr>
            <w:r>
              <w:rPr>
                <w:rFonts w:hint="eastAsia" w:ascii="宋体" w:hAnsi="宋体"/>
                <w:b/>
                <w:bCs/>
                <w:i w:val="0"/>
                <w:iCs w:val="0"/>
                <w:color w:val="auto"/>
                <w:szCs w:val="21"/>
              </w:rPr>
              <w:t>序号</w:t>
            </w:r>
          </w:p>
        </w:tc>
        <w:tc>
          <w:tcPr>
            <w:tcW w:w="1742" w:type="dxa"/>
            <w:noWrap w:val="0"/>
            <w:vAlign w:val="center"/>
          </w:tcPr>
          <w:p>
            <w:pPr>
              <w:spacing w:line="460" w:lineRule="exact"/>
              <w:jc w:val="center"/>
              <w:rPr>
                <w:rFonts w:ascii="宋体" w:hAnsi="宋体"/>
                <w:b/>
                <w:bCs/>
                <w:i w:val="0"/>
                <w:iCs w:val="0"/>
                <w:color w:val="auto"/>
                <w:szCs w:val="21"/>
              </w:rPr>
            </w:pPr>
            <w:r>
              <w:rPr>
                <w:rFonts w:hint="eastAsia" w:ascii="宋体" w:hAnsi="宋体"/>
                <w:b/>
                <w:bCs/>
                <w:i w:val="0"/>
                <w:iCs w:val="0"/>
                <w:color w:val="auto"/>
                <w:szCs w:val="21"/>
              </w:rPr>
              <w:t>物资和装备名称</w:t>
            </w:r>
          </w:p>
        </w:tc>
        <w:tc>
          <w:tcPr>
            <w:tcW w:w="765" w:type="dxa"/>
            <w:noWrap w:val="0"/>
            <w:vAlign w:val="center"/>
          </w:tcPr>
          <w:p>
            <w:pPr>
              <w:spacing w:line="460" w:lineRule="exact"/>
              <w:jc w:val="center"/>
              <w:rPr>
                <w:rFonts w:ascii="宋体" w:hAnsi="宋体"/>
                <w:b/>
                <w:bCs/>
                <w:i w:val="0"/>
                <w:iCs w:val="0"/>
                <w:color w:val="auto"/>
                <w:szCs w:val="21"/>
              </w:rPr>
            </w:pPr>
            <w:r>
              <w:rPr>
                <w:rFonts w:hint="eastAsia" w:ascii="宋体" w:hAnsi="宋体"/>
                <w:b/>
                <w:bCs/>
                <w:i w:val="0"/>
                <w:iCs w:val="0"/>
                <w:color w:val="auto"/>
                <w:szCs w:val="21"/>
              </w:rPr>
              <w:t>数量</w:t>
            </w:r>
          </w:p>
        </w:tc>
        <w:tc>
          <w:tcPr>
            <w:tcW w:w="780" w:type="dxa"/>
            <w:noWrap w:val="0"/>
            <w:vAlign w:val="center"/>
          </w:tcPr>
          <w:p>
            <w:pPr>
              <w:spacing w:line="460" w:lineRule="exact"/>
              <w:jc w:val="center"/>
              <w:rPr>
                <w:rFonts w:ascii="宋体" w:hAnsi="宋体"/>
                <w:b/>
                <w:bCs/>
                <w:i w:val="0"/>
                <w:iCs w:val="0"/>
                <w:color w:val="auto"/>
                <w:szCs w:val="21"/>
              </w:rPr>
            </w:pPr>
            <w:r>
              <w:rPr>
                <w:rFonts w:hint="eastAsia" w:ascii="宋体" w:hAnsi="宋体"/>
                <w:b/>
                <w:bCs/>
                <w:i w:val="0"/>
                <w:iCs w:val="0"/>
                <w:color w:val="auto"/>
                <w:szCs w:val="21"/>
              </w:rPr>
              <w:t>单位</w:t>
            </w:r>
          </w:p>
        </w:tc>
        <w:tc>
          <w:tcPr>
            <w:tcW w:w="4216" w:type="dxa"/>
            <w:noWrap w:val="0"/>
            <w:vAlign w:val="center"/>
          </w:tcPr>
          <w:p>
            <w:pPr>
              <w:spacing w:line="460" w:lineRule="exact"/>
              <w:jc w:val="center"/>
              <w:rPr>
                <w:rFonts w:ascii="宋体" w:hAnsi="宋体"/>
                <w:b/>
                <w:bCs/>
                <w:i w:val="0"/>
                <w:iCs w:val="0"/>
                <w:color w:val="auto"/>
                <w:szCs w:val="21"/>
              </w:rPr>
            </w:pPr>
            <w:r>
              <w:rPr>
                <w:rFonts w:hint="eastAsia" w:ascii="宋体" w:hAnsi="宋体"/>
                <w:b/>
                <w:bCs/>
                <w:i w:val="0"/>
                <w:iCs w:val="0"/>
                <w:color w:val="auto"/>
                <w:szCs w:val="21"/>
              </w:rPr>
              <w:t>单位名称</w:t>
            </w:r>
          </w:p>
        </w:tc>
        <w:tc>
          <w:tcPr>
            <w:tcW w:w="1084" w:type="dxa"/>
            <w:noWrap w:val="0"/>
            <w:vAlign w:val="center"/>
          </w:tcPr>
          <w:p>
            <w:pPr>
              <w:spacing w:line="460" w:lineRule="exact"/>
              <w:jc w:val="center"/>
              <w:rPr>
                <w:rFonts w:hint="eastAsia" w:ascii="宋体" w:hAnsi="宋体"/>
                <w:b/>
                <w:bCs/>
                <w:i w:val="0"/>
                <w:iCs w:val="0"/>
                <w:color w:val="auto"/>
                <w:szCs w:val="21"/>
              </w:rPr>
            </w:pPr>
            <w:r>
              <w:rPr>
                <w:rFonts w:hint="eastAsia" w:ascii="宋体" w:hAnsi="宋体"/>
                <w:b/>
                <w:bCs/>
                <w:i w:val="0"/>
                <w:iCs w:val="0"/>
                <w:color w:val="auto"/>
                <w:szCs w:val="21"/>
              </w:rPr>
              <w:t>联络人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7" w:type="dxa"/>
            <w:noWrap w:val="0"/>
            <w:vAlign w:val="center"/>
          </w:tcPr>
          <w:p>
            <w:pPr>
              <w:spacing w:line="460" w:lineRule="exact"/>
              <w:rPr>
                <w:rFonts w:ascii="宋体" w:hAnsi="宋体"/>
                <w:i w:val="0"/>
                <w:iCs w:val="0"/>
                <w:color w:val="auto"/>
                <w:szCs w:val="21"/>
              </w:rPr>
            </w:pPr>
            <w:r>
              <w:rPr>
                <w:rFonts w:hint="eastAsia" w:ascii="宋体" w:hAnsi="宋体"/>
                <w:i w:val="0"/>
                <w:iCs w:val="0"/>
                <w:color w:val="auto"/>
                <w:szCs w:val="21"/>
              </w:rPr>
              <w:t xml:space="preserve"> 1）</w:t>
            </w:r>
          </w:p>
        </w:tc>
        <w:tc>
          <w:tcPr>
            <w:tcW w:w="1742" w:type="dxa"/>
            <w:noWrap w:val="0"/>
            <w:vAlign w:val="top"/>
          </w:tcPr>
          <w:p>
            <w:pPr>
              <w:spacing w:line="440" w:lineRule="exact"/>
              <w:ind w:firstLine="105" w:firstLineChars="50"/>
              <w:rPr>
                <w:rFonts w:hint="eastAsia" w:ascii="宋体" w:hAnsi="宋体" w:eastAsia="宋体"/>
                <w:i w:val="0"/>
                <w:iCs w:val="0"/>
                <w:color w:val="auto"/>
                <w:szCs w:val="21"/>
                <w:lang w:eastAsia="zh-CN"/>
              </w:rPr>
            </w:pPr>
            <w:r>
              <w:rPr>
                <w:rFonts w:hint="eastAsia" w:ascii="宋体" w:hAnsi="宋体"/>
                <w:i w:val="0"/>
                <w:iCs w:val="0"/>
                <w:color w:val="auto"/>
                <w:szCs w:val="21"/>
              </w:rPr>
              <w:t>消防</w:t>
            </w:r>
            <w:r>
              <w:rPr>
                <w:rFonts w:hint="eastAsia" w:ascii="宋体" w:hAnsi="宋体" w:eastAsia="宋体"/>
                <w:i w:val="0"/>
                <w:iCs w:val="0"/>
                <w:color w:val="auto"/>
                <w:szCs w:val="21"/>
                <w:lang w:eastAsia="zh-CN"/>
              </w:rPr>
              <w:t>用水</w:t>
            </w:r>
          </w:p>
        </w:tc>
        <w:tc>
          <w:tcPr>
            <w:tcW w:w="765" w:type="dxa"/>
            <w:noWrap w:val="0"/>
            <w:vAlign w:val="top"/>
          </w:tcPr>
          <w:p>
            <w:pPr>
              <w:spacing w:line="440" w:lineRule="exact"/>
              <w:ind w:firstLine="105" w:firstLineChars="50"/>
              <w:jc w:val="center"/>
              <w:rPr>
                <w:rFonts w:hint="eastAsia" w:ascii="宋体" w:hAnsi="宋体" w:eastAsia="宋体"/>
                <w:i w:val="0"/>
                <w:iCs w:val="0"/>
                <w:color w:val="auto"/>
                <w:szCs w:val="21"/>
                <w:lang w:eastAsia="zh-CN"/>
              </w:rPr>
            </w:pPr>
            <w:r>
              <w:rPr>
                <w:rFonts w:hint="eastAsia" w:ascii="宋体" w:hAnsi="宋体" w:eastAsia="宋体"/>
                <w:i w:val="0"/>
                <w:iCs w:val="0"/>
                <w:color w:val="auto"/>
                <w:szCs w:val="21"/>
                <w:lang w:val="en-US" w:eastAsia="zh-CN"/>
              </w:rPr>
              <w:t>1</w:t>
            </w:r>
          </w:p>
        </w:tc>
        <w:tc>
          <w:tcPr>
            <w:tcW w:w="780" w:type="dxa"/>
            <w:noWrap w:val="0"/>
            <w:vAlign w:val="center"/>
          </w:tcPr>
          <w:p>
            <w:pPr>
              <w:spacing w:line="460" w:lineRule="exact"/>
              <w:jc w:val="center"/>
              <w:rPr>
                <w:rFonts w:ascii="宋体" w:hAnsi="宋体"/>
                <w:i w:val="0"/>
                <w:iCs w:val="0"/>
                <w:color w:val="auto"/>
                <w:szCs w:val="21"/>
              </w:rPr>
            </w:pPr>
            <w:r>
              <w:rPr>
                <w:rFonts w:hint="eastAsia" w:ascii="宋体" w:hAnsi="宋体"/>
                <w:i w:val="0"/>
                <w:iCs w:val="0"/>
                <w:color w:val="auto"/>
                <w:szCs w:val="21"/>
              </w:rPr>
              <w:t>个</w:t>
            </w:r>
          </w:p>
        </w:tc>
        <w:tc>
          <w:tcPr>
            <w:tcW w:w="4216" w:type="dxa"/>
            <w:noWrap w:val="0"/>
            <w:vAlign w:val="top"/>
          </w:tcPr>
          <w:p>
            <w:pPr>
              <w:spacing w:line="440" w:lineRule="exact"/>
              <w:ind w:firstLine="105" w:firstLineChars="50"/>
              <w:rPr>
                <w:rFonts w:hint="eastAsia" w:ascii="宋体" w:hAnsi="宋体" w:eastAsia="宋体"/>
                <w:i w:val="0"/>
                <w:iCs w:val="0"/>
                <w:color w:val="auto"/>
                <w:szCs w:val="21"/>
                <w:lang w:eastAsia="zh-CN"/>
              </w:rPr>
            </w:pPr>
            <w:r>
              <w:rPr>
                <w:rFonts w:hint="eastAsia" w:ascii="宋体" w:hAnsi="宋体"/>
                <w:i w:val="0"/>
                <w:iCs w:val="0"/>
                <w:color w:val="auto"/>
                <w:szCs w:val="21"/>
              </w:rPr>
              <w:t>企业</w:t>
            </w:r>
            <w:r>
              <w:rPr>
                <w:rFonts w:hint="eastAsia" w:ascii="宋体" w:hAnsi="宋体" w:eastAsia="宋体"/>
                <w:i w:val="0"/>
                <w:iCs w:val="0"/>
                <w:color w:val="auto"/>
                <w:szCs w:val="21"/>
                <w:lang w:eastAsia="zh-CN"/>
              </w:rPr>
              <w:t>内水池（</w:t>
            </w:r>
            <w:r>
              <w:rPr>
                <w:rFonts w:hint="eastAsia" w:ascii="宋体" w:hAnsi="宋体" w:eastAsia="宋体"/>
                <w:i w:val="0"/>
                <w:iCs w:val="0"/>
                <w:color w:val="auto"/>
                <w:szCs w:val="21"/>
                <w:lang w:val="en-US" w:eastAsia="zh-CN"/>
              </w:rPr>
              <w:t>20m</w:t>
            </w:r>
            <w:r>
              <w:rPr>
                <w:rFonts w:hint="eastAsia" w:ascii="宋体" w:hAnsi="宋体" w:eastAsia="宋体"/>
                <w:i w:val="0"/>
                <w:iCs w:val="0"/>
                <w:color w:val="auto"/>
                <w:szCs w:val="21"/>
                <w:vertAlign w:val="superscript"/>
                <w:lang w:val="en-US" w:eastAsia="zh-CN"/>
              </w:rPr>
              <w:t>3</w:t>
            </w:r>
            <w:r>
              <w:rPr>
                <w:rFonts w:hint="eastAsia" w:ascii="宋体" w:hAnsi="宋体" w:eastAsia="宋体"/>
                <w:i w:val="0"/>
                <w:iCs w:val="0"/>
                <w:color w:val="auto"/>
                <w:szCs w:val="21"/>
                <w:lang w:eastAsia="zh-CN"/>
              </w:rPr>
              <w:t>）</w:t>
            </w:r>
          </w:p>
        </w:tc>
        <w:tc>
          <w:tcPr>
            <w:tcW w:w="1084" w:type="dxa"/>
            <w:noWrap w:val="0"/>
            <w:vAlign w:val="center"/>
          </w:tcPr>
          <w:p>
            <w:pPr>
              <w:spacing w:line="460" w:lineRule="exact"/>
              <w:jc w:val="center"/>
              <w:rPr>
                <w:rFonts w:hint="eastAsia" w:ascii="宋体" w:hAnsi="宋体"/>
                <w:i w:val="0"/>
                <w:iCs w:val="0"/>
                <w:color w:val="auto"/>
                <w:szCs w:val="21"/>
              </w:rPr>
            </w:pPr>
            <w:r>
              <w:rPr>
                <w:rFonts w:hint="eastAsia" w:ascii="宋体" w:hAnsi="宋体"/>
                <w:i w:val="0"/>
                <w:iCs w:val="0"/>
                <w:color w:val="auto"/>
                <w:szCs w:val="21"/>
                <w:lang w:eastAsia="zh-CN"/>
              </w:rPr>
              <w:t>邓宝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717" w:type="dxa"/>
            <w:noWrap w:val="0"/>
            <w:vAlign w:val="center"/>
          </w:tcPr>
          <w:p>
            <w:pPr>
              <w:spacing w:line="440" w:lineRule="exact"/>
              <w:ind w:firstLine="105" w:firstLineChars="50"/>
              <w:rPr>
                <w:rFonts w:hint="eastAsia" w:ascii="宋体" w:hAnsi="宋体"/>
                <w:i w:val="0"/>
                <w:iCs w:val="0"/>
                <w:color w:val="auto"/>
                <w:szCs w:val="21"/>
              </w:rPr>
            </w:pPr>
            <w:r>
              <w:rPr>
                <w:rFonts w:hint="eastAsia" w:ascii="宋体" w:hAnsi="宋体"/>
                <w:i w:val="0"/>
                <w:iCs w:val="0"/>
                <w:color w:val="auto"/>
                <w:szCs w:val="21"/>
              </w:rPr>
              <w:t xml:space="preserve"> 2）</w:t>
            </w:r>
          </w:p>
        </w:tc>
        <w:tc>
          <w:tcPr>
            <w:tcW w:w="1742" w:type="dxa"/>
            <w:noWrap w:val="0"/>
            <w:vAlign w:val="top"/>
          </w:tcPr>
          <w:p>
            <w:pPr>
              <w:spacing w:line="440" w:lineRule="exact"/>
              <w:ind w:firstLine="105" w:firstLineChars="50"/>
              <w:rPr>
                <w:rFonts w:hint="eastAsia" w:ascii="宋体" w:hAnsi="宋体"/>
                <w:i w:val="0"/>
                <w:iCs w:val="0"/>
                <w:color w:val="auto"/>
                <w:szCs w:val="21"/>
              </w:rPr>
            </w:pPr>
            <w:r>
              <w:rPr>
                <w:rFonts w:hint="eastAsia" w:ascii="宋体" w:hAnsi="宋体"/>
                <w:i w:val="0"/>
                <w:iCs w:val="0"/>
                <w:color w:val="auto"/>
                <w:szCs w:val="21"/>
              </w:rPr>
              <w:t>消防车</w:t>
            </w:r>
          </w:p>
        </w:tc>
        <w:tc>
          <w:tcPr>
            <w:tcW w:w="765" w:type="dxa"/>
            <w:noWrap w:val="0"/>
            <w:vAlign w:val="top"/>
          </w:tcPr>
          <w:p>
            <w:pPr>
              <w:spacing w:line="440" w:lineRule="exact"/>
              <w:ind w:firstLine="105" w:firstLineChars="50"/>
              <w:jc w:val="center"/>
              <w:rPr>
                <w:rFonts w:hint="eastAsia" w:ascii="宋体" w:hAnsi="宋体"/>
                <w:i w:val="0"/>
                <w:iCs w:val="0"/>
                <w:color w:val="auto"/>
                <w:szCs w:val="21"/>
                <w:lang w:eastAsia="zh-CN"/>
              </w:rPr>
            </w:pPr>
            <w:r>
              <w:rPr>
                <w:rFonts w:hint="eastAsia" w:ascii="宋体" w:hAnsi="宋体"/>
                <w:i w:val="0"/>
                <w:iCs w:val="0"/>
                <w:color w:val="auto"/>
                <w:szCs w:val="21"/>
                <w:lang w:val="en-US" w:eastAsia="zh-CN"/>
              </w:rPr>
              <w:t>7</w:t>
            </w:r>
          </w:p>
        </w:tc>
        <w:tc>
          <w:tcPr>
            <w:tcW w:w="780" w:type="dxa"/>
            <w:noWrap w:val="0"/>
            <w:vAlign w:val="center"/>
          </w:tcPr>
          <w:p>
            <w:pPr>
              <w:spacing w:line="440" w:lineRule="exact"/>
              <w:ind w:firstLine="105" w:firstLineChars="50"/>
              <w:rPr>
                <w:rFonts w:hint="eastAsia" w:ascii="宋体" w:hAnsi="宋体"/>
                <w:i w:val="0"/>
                <w:iCs w:val="0"/>
                <w:color w:val="auto"/>
                <w:szCs w:val="21"/>
              </w:rPr>
            </w:pPr>
            <w:r>
              <w:rPr>
                <w:rFonts w:hint="eastAsia" w:ascii="宋体" w:hAnsi="宋体"/>
                <w:i w:val="0"/>
                <w:iCs w:val="0"/>
                <w:color w:val="auto"/>
                <w:szCs w:val="21"/>
              </w:rPr>
              <w:t>辆</w:t>
            </w:r>
          </w:p>
        </w:tc>
        <w:tc>
          <w:tcPr>
            <w:tcW w:w="4216" w:type="dxa"/>
            <w:noWrap w:val="0"/>
            <w:vAlign w:val="top"/>
          </w:tcPr>
          <w:p>
            <w:pPr>
              <w:spacing w:line="440" w:lineRule="exact"/>
              <w:ind w:firstLine="105" w:firstLineChars="50"/>
              <w:rPr>
                <w:rFonts w:hint="eastAsia" w:ascii="宋体" w:hAnsi="宋体"/>
                <w:i w:val="0"/>
                <w:iCs w:val="0"/>
                <w:color w:val="auto"/>
                <w:szCs w:val="21"/>
                <w:lang w:val="en-US" w:eastAsia="zh-CN"/>
              </w:rPr>
            </w:pPr>
            <w:r>
              <w:rPr>
                <w:rFonts w:hint="eastAsia" w:ascii="宋体" w:hAnsi="宋体"/>
                <w:i w:val="0"/>
                <w:iCs w:val="0"/>
                <w:color w:val="auto"/>
                <w:szCs w:val="21"/>
                <w:lang w:val="en-US" w:eastAsia="zh-CN"/>
              </w:rPr>
              <w:t>仪陇县消防救援局、仪陇县金城消防中队</w:t>
            </w:r>
          </w:p>
        </w:tc>
        <w:tc>
          <w:tcPr>
            <w:tcW w:w="1084" w:type="dxa"/>
            <w:noWrap w:val="0"/>
            <w:vAlign w:val="center"/>
          </w:tcPr>
          <w:p>
            <w:pPr>
              <w:spacing w:line="440" w:lineRule="exact"/>
              <w:jc w:val="center"/>
              <w:rPr>
                <w:rFonts w:hint="eastAsia" w:ascii="宋体" w:hAnsi="宋体"/>
                <w:i w:val="0"/>
                <w:iCs w:val="0"/>
                <w:color w:val="auto"/>
                <w:szCs w:val="21"/>
              </w:rPr>
            </w:pPr>
            <w:r>
              <w:rPr>
                <w:rFonts w:hint="eastAsia" w:ascii="宋体" w:hAnsi="宋体"/>
                <w:i w:val="0"/>
                <w:iCs w:val="0"/>
                <w:color w:val="auto"/>
                <w:szCs w:val="21"/>
                <w:lang w:eastAsia="zh-CN"/>
              </w:rPr>
              <w:t>邓宝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7" w:type="dxa"/>
            <w:noWrap w:val="0"/>
            <w:vAlign w:val="center"/>
          </w:tcPr>
          <w:p>
            <w:pPr>
              <w:spacing w:line="460" w:lineRule="exact"/>
              <w:rPr>
                <w:rFonts w:ascii="宋体" w:hAnsi="宋体"/>
                <w:i w:val="0"/>
                <w:iCs w:val="0"/>
                <w:color w:val="auto"/>
                <w:szCs w:val="21"/>
              </w:rPr>
            </w:pPr>
            <w:r>
              <w:rPr>
                <w:rFonts w:hint="eastAsia" w:ascii="宋体" w:hAnsi="宋体"/>
                <w:i w:val="0"/>
                <w:iCs w:val="0"/>
                <w:color w:val="auto"/>
                <w:szCs w:val="21"/>
              </w:rPr>
              <w:t xml:space="preserve"> 3）</w:t>
            </w:r>
          </w:p>
        </w:tc>
        <w:tc>
          <w:tcPr>
            <w:tcW w:w="1742" w:type="dxa"/>
            <w:noWrap w:val="0"/>
            <w:vAlign w:val="top"/>
          </w:tcPr>
          <w:p>
            <w:pPr>
              <w:spacing w:line="440" w:lineRule="exact"/>
              <w:ind w:firstLine="105" w:firstLineChars="50"/>
              <w:rPr>
                <w:rFonts w:ascii="宋体" w:hAnsi="宋体"/>
                <w:i w:val="0"/>
                <w:iCs w:val="0"/>
                <w:color w:val="auto"/>
                <w:szCs w:val="21"/>
              </w:rPr>
            </w:pPr>
            <w:r>
              <w:rPr>
                <w:rFonts w:hint="eastAsia" w:ascii="宋体" w:hAnsi="宋体"/>
                <w:i w:val="0"/>
                <w:iCs w:val="0"/>
                <w:color w:val="auto"/>
                <w:szCs w:val="21"/>
              </w:rPr>
              <w:t>消防人员</w:t>
            </w:r>
          </w:p>
        </w:tc>
        <w:tc>
          <w:tcPr>
            <w:tcW w:w="765" w:type="dxa"/>
            <w:noWrap w:val="0"/>
            <w:vAlign w:val="top"/>
          </w:tcPr>
          <w:p>
            <w:pPr>
              <w:spacing w:line="440" w:lineRule="exact"/>
              <w:ind w:firstLine="105" w:firstLineChars="50"/>
              <w:jc w:val="center"/>
              <w:rPr>
                <w:rFonts w:hint="eastAsia" w:ascii="宋体" w:hAnsi="宋体"/>
                <w:i w:val="0"/>
                <w:iCs w:val="0"/>
                <w:color w:val="auto"/>
                <w:szCs w:val="21"/>
              </w:rPr>
            </w:pPr>
            <w:r>
              <w:rPr>
                <w:rFonts w:hint="eastAsia" w:ascii="宋体" w:hAnsi="宋体"/>
                <w:i w:val="0"/>
                <w:iCs w:val="0"/>
                <w:color w:val="auto"/>
                <w:szCs w:val="21"/>
                <w:lang w:val="en-US" w:eastAsia="zh-CN"/>
              </w:rPr>
              <w:t>4</w:t>
            </w:r>
            <w:r>
              <w:rPr>
                <w:rFonts w:hint="eastAsia" w:ascii="宋体" w:hAnsi="宋体"/>
                <w:i w:val="0"/>
                <w:iCs w:val="0"/>
                <w:color w:val="auto"/>
                <w:szCs w:val="21"/>
              </w:rPr>
              <w:t>0</w:t>
            </w:r>
          </w:p>
        </w:tc>
        <w:tc>
          <w:tcPr>
            <w:tcW w:w="780" w:type="dxa"/>
            <w:noWrap w:val="0"/>
            <w:vAlign w:val="center"/>
          </w:tcPr>
          <w:p>
            <w:pPr>
              <w:spacing w:line="460" w:lineRule="exact"/>
              <w:jc w:val="center"/>
              <w:rPr>
                <w:rFonts w:ascii="宋体" w:hAnsi="宋体"/>
                <w:i w:val="0"/>
                <w:iCs w:val="0"/>
                <w:color w:val="auto"/>
                <w:szCs w:val="21"/>
              </w:rPr>
            </w:pPr>
            <w:r>
              <w:rPr>
                <w:rFonts w:hint="eastAsia" w:ascii="宋体" w:hAnsi="宋体"/>
                <w:i w:val="0"/>
                <w:iCs w:val="0"/>
                <w:color w:val="auto"/>
                <w:szCs w:val="21"/>
              </w:rPr>
              <w:t>人</w:t>
            </w:r>
          </w:p>
        </w:tc>
        <w:tc>
          <w:tcPr>
            <w:tcW w:w="4216" w:type="dxa"/>
            <w:noWrap w:val="0"/>
            <w:vAlign w:val="top"/>
          </w:tcPr>
          <w:p>
            <w:pPr>
              <w:spacing w:line="440" w:lineRule="exact"/>
              <w:ind w:firstLine="105" w:firstLineChars="50"/>
              <w:rPr>
                <w:rFonts w:hint="eastAsia" w:ascii="宋体" w:hAnsi="宋体"/>
                <w:i w:val="0"/>
                <w:iCs w:val="0"/>
                <w:color w:val="auto"/>
                <w:szCs w:val="21"/>
                <w:lang w:val="en-US" w:eastAsia="zh-CN"/>
              </w:rPr>
            </w:pPr>
            <w:r>
              <w:rPr>
                <w:rFonts w:hint="eastAsia" w:ascii="宋体" w:hAnsi="宋体"/>
                <w:i w:val="0"/>
                <w:iCs w:val="0"/>
                <w:color w:val="auto"/>
                <w:szCs w:val="21"/>
                <w:lang w:val="en-US" w:eastAsia="zh-CN"/>
              </w:rPr>
              <w:t>仪陇县消防救援局、仪陇县金城消防中队</w:t>
            </w:r>
          </w:p>
        </w:tc>
        <w:tc>
          <w:tcPr>
            <w:tcW w:w="1084" w:type="dxa"/>
            <w:noWrap w:val="0"/>
            <w:vAlign w:val="center"/>
          </w:tcPr>
          <w:p>
            <w:pPr>
              <w:spacing w:line="460" w:lineRule="exact"/>
              <w:jc w:val="center"/>
              <w:rPr>
                <w:rFonts w:hint="eastAsia" w:ascii="宋体" w:hAnsi="宋体"/>
                <w:i w:val="0"/>
                <w:iCs w:val="0"/>
                <w:color w:val="auto"/>
                <w:szCs w:val="21"/>
              </w:rPr>
            </w:pPr>
            <w:r>
              <w:rPr>
                <w:rFonts w:hint="eastAsia" w:ascii="宋体" w:hAnsi="宋体"/>
                <w:i w:val="0"/>
                <w:iCs w:val="0"/>
                <w:color w:val="auto"/>
                <w:szCs w:val="21"/>
                <w:lang w:eastAsia="zh-CN"/>
              </w:rPr>
              <w:t>邓宝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717" w:type="dxa"/>
            <w:noWrap w:val="0"/>
            <w:vAlign w:val="center"/>
          </w:tcPr>
          <w:p>
            <w:pPr>
              <w:spacing w:line="460" w:lineRule="exact"/>
              <w:rPr>
                <w:rFonts w:hint="eastAsia" w:ascii="宋体" w:hAnsi="宋体"/>
                <w:i w:val="0"/>
                <w:iCs w:val="0"/>
                <w:color w:val="auto"/>
                <w:szCs w:val="21"/>
              </w:rPr>
            </w:pPr>
            <w:r>
              <w:rPr>
                <w:rFonts w:hint="eastAsia" w:ascii="宋体" w:hAnsi="宋体"/>
                <w:i w:val="0"/>
                <w:iCs w:val="0"/>
                <w:color w:val="auto"/>
                <w:szCs w:val="21"/>
              </w:rPr>
              <w:t xml:space="preserve"> 4）</w:t>
            </w:r>
          </w:p>
        </w:tc>
        <w:tc>
          <w:tcPr>
            <w:tcW w:w="1742" w:type="dxa"/>
            <w:noWrap w:val="0"/>
            <w:vAlign w:val="top"/>
          </w:tcPr>
          <w:p>
            <w:pPr>
              <w:spacing w:line="440" w:lineRule="exact"/>
              <w:ind w:firstLine="105" w:firstLineChars="50"/>
              <w:rPr>
                <w:rFonts w:hint="eastAsia" w:ascii="宋体" w:hAnsi="宋体"/>
                <w:i w:val="0"/>
                <w:iCs w:val="0"/>
                <w:color w:val="auto"/>
                <w:szCs w:val="21"/>
              </w:rPr>
            </w:pPr>
            <w:r>
              <w:rPr>
                <w:rFonts w:hint="eastAsia" w:ascii="宋体" w:hAnsi="宋体"/>
                <w:i w:val="0"/>
                <w:iCs w:val="0"/>
                <w:color w:val="auto"/>
                <w:szCs w:val="21"/>
                <w:lang w:val="en-US" w:eastAsia="zh-CN"/>
              </w:rPr>
              <w:t>防护装备</w:t>
            </w:r>
          </w:p>
        </w:tc>
        <w:tc>
          <w:tcPr>
            <w:tcW w:w="765" w:type="dxa"/>
            <w:noWrap w:val="0"/>
            <w:vAlign w:val="top"/>
          </w:tcPr>
          <w:p>
            <w:pPr>
              <w:spacing w:line="440" w:lineRule="exact"/>
              <w:ind w:firstLine="105" w:firstLineChars="50"/>
              <w:rPr>
                <w:rFonts w:hint="default" w:ascii="宋体" w:hAnsi="宋体"/>
                <w:i w:val="0"/>
                <w:iCs w:val="0"/>
                <w:color w:val="auto"/>
                <w:szCs w:val="21"/>
                <w:lang w:val="en-US" w:eastAsia="zh-CN"/>
              </w:rPr>
            </w:pPr>
            <w:r>
              <w:rPr>
                <w:rFonts w:hint="eastAsia" w:ascii="宋体" w:hAnsi="宋体"/>
                <w:i w:val="0"/>
                <w:iCs w:val="0"/>
                <w:color w:val="auto"/>
                <w:szCs w:val="21"/>
                <w:lang w:val="en-US" w:eastAsia="zh-CN"/>
              </w:rPr>
              <w:t>500</w:t>
            </w:r>
          </w:p>
        </w:tc>
        <w:tc>
          <w:tcPr>
            <w:tcW w:w="780" w:type="dxa"/>
            <w:noWrap w:val="0"/>
            <w:vAlign w:val="center"/>
          </w:tcPr>
          <w:p>
            <w:pPr>
              <w:spacing w:line="440" w:lineRule="exact"/>
              <w:ind w:firstLine="105" w:firstLineChars="50"/>
              <w:rPr>
                <w:rFonts w:hint="eastAsia" w:ascii="宋体" w:hAnsi="宋体"/>
                <w:i w:val="0"/>
                <w:iCs w:val="0"/>
                <w:color w:val="auto"/>
                <w:szCs w:val="21"/>
              </w:rPr>
            </w:pPr>
            <w:r>
              <w:rPr>
                <w:rFonts w:hint="eastAsia" w:ascii="宋体" w:hAnsi="宋体"/>
                <w:i w:val="0"/>
                <w:iCs w:val="0"/>
                <w:color w:val="auto"/>
                <w:szCs w:val="21"/>
                <w:lang w:val="en-US" w:eastAsia="zh-CN"/>
              </w:rPr>
              <w:t>件</w:t>
            </w:r>
          </w:p>
        </w:tc>
        <w:tc>
          <w:tcPr>
            <w:tcW w:w="4216" w:type="dxa"/>
            <w:noWrap w:val="0"/>
            <w:vAlign w:val="top"/>
          </w:tcPr>
          <w:p>
            <w:pPr>
              <w:spacing w:line="440" w:lineRule="exact"/>
              <w:ind w:firstLine="105" w:firstLineChars="50"/>
              <w:rPr>
                <w:rFonts w:hint="eastAsia" w:ascii="宋体" w:hAnsi="宋体"/>
                <w:i w:val="0"/>
                <w:iCs w:val="0"/>
                <w:color w:val="auto"/>
                <w:szCs w:val="21"/>
                <w:lang w:val="en-US" w:eastAsia="zh-CN"/>
              </w:rPr>
            </w:pPr>
            <w:r>
              <w:rPr>
                <w:rFonts w:hint="eastAsia" w:ascii="宋体" w:hAnsi="宋体"/>
                <w:i w:val="0"/>
                <w:iCs w:val="0"/>
                <w:color w:val="auto"/>
                <w:szCs w:val="21"/>
                <w:lang w:val="en-US" w:eastAsia="zh-CN"/>
              </w:rPr>
              <w:t>仪陇县消防救援局、仪陇县金城消防中队</w:t>
            </w:r>
          </w:p>
        </w:tc>
        <w:tc>
          <w:tcPr>
            <w:tcW w:w="1084" w:type="dxa"/>
            <w:noWrap w:val="0"/>
            <w:vAlign w:val="center"/>
          </w:tcPr>
          <w:p>
            <w:pPr>
              <w:spacing w:line="460" w:lineRule="exact"/>
              <w:jc w:val="center"/>
              <w:rPr>
                <w:rFonts w:hint="eastAsia" w:ascii="宋体" w:hAnsi="宋体"/>
                <w:i w:val="0"/>
                <w:iCs w:val="0"/>
                <w:color w:val="auto"/>
                <w:szCs w:val="21"/>
              </w:rPr>
            </w:pPr>
            <w:r>
              <w:rPr>
                <w:rFonts w:hint="eastAsia" w:ascii="宋体" w:hAnsi="宋体"/>
                <w:i w:val="0"/>
                <w:iCs w:val="0"/>
                <w:color w:val="auto"/>
                <w:szCs w:val="21"/>
                <w:lang w:eastAsia="zh-CN"/>
              </w:rPr>
              <w:t>邓宝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7" w:type="dxa"/>
            <w:noWrap w:val="0"/>
            <w:vAlign w:val="center"/>
          </w:tcPr>
          <w:p>
            <w:pPr>
              <w:spacing w:line="460" w:lineRule="exact"/>
              <w:rPr>
                <w:rFonts w:hint="eastAsia" w:ascii="宋体" w:hAnsi="宋体"/>
                <w:i w:val="0"/>
                <w:iCs w:val="0"/>
                <w:color w:val="auto"/>
                <w:szCs w:val="21"/>
              </w:rPr>
            </w:pPr>
            <w:r>
              <w:rPr>
                <w:rFonts w:hint="eastAsia" w:ascii="宋体" w:hAnsi="宋体"/>
                <w:i w:val="0"/>
                <w:iCs w:val="0"/>
                <w:color w:val="auto"/>
                <w:szCs w:val="21"/>
              </w:rPr>
              <w:t xml:space="preserve"> 5）</w:t>
            </w:r>
          </w:p>
        </w:tc>
        <w:tc>
          <w:tcPr>
            <w:tcW w:w="1742" w:type="dxa"/>
            <w:noWrap w:val="0"/>
            <w:vAlign w:val="top"/>
          </w:tcPr>
          <w:p>
            <w:pPr>
              <w:spacing w:line="440" w:lineRule="exact"/>
              <w:ind w:firstLine="105" w:firstLineChars="50"/>
              <w:rPr>
                <w:rFonts w:hint="eastAsia" w:ascii="宋体" w:hAnsi="宋体"/>
                <w:i w:val="0"/>
                <w:iCs w:val="0"/>
                <w:color w:val="auto"/>
                <w:szCs w:val="21"/>
                <w:lang w:val="en-US" w:eastAsia="zh-CN"/>
              </w:rPr>
            </w:pPr>
            <w:r>
              <w:rPr>
                <w:rFonts w:hint="eastAsia" w:ascii="宋体" w:hAnsi="宋体"/>
                <w:i w:val="0"/>
                <w:iCs w:val="0"/>
                <w:color w:val="auto"/>
                <w:szCs w:val="21"/>
                <w:lang w:val="en-US" w:eastAsia="zh-CN"/>
              </w:rPr>
              <w:t>射水器材</w:t>
            </w:r>
          </w:p>
        </w:tc>
        <w:tc>
          <w:tcPr>
            <w:tcW w:w="765" w:type="dxa"/>
            <w:noWrap w:val="0"/>
            <w:vAlign w:val="top"/>
          </w:tcPr>
          <w:p>
            <w:pPr>
              <w:spacing w:line="440" w:lineRule="exact"/>
              <w:ind w:firstLine="105" w:firstLineChars="50"/>
              <w:rPr>
                <w:rFonts w:hint="eastAsia" w:ascii="宋体" w:hAnsi="宋体"/>
                <w:i w:val="0"/>
                <w:iCs w:val="0"/>
                <w:color w:val="auto"/>
                <w:szCs w:val="21"/>
                <w:lang w:val="en-US" w:eastAsia="zh-CN"/>
              </w:rPr>
            </w:pPr>
            <w:r>
              <w:rPr>
                <w:rFonts w:hint="eastAsia" w:ascii="宋体" w:hAnsi="宋体"/>
                <w:i w:val="0"/>
                <w:iCs w:val="0"/>
                <w:color w:val="auto"/>
                <w:szCs w:val="21"/>
                <w:lang w:val="en-US" w:eastAsia="zh-CN"/>
              </w:rPr>
              <w:t>35</w:t>
            </w:r>
          </w:p>
        </w:tc>
        <w:tc>
          <w:tcPr>
            <w:tcW w:w="780" w:type="dxa"/>
            <w:noWrap w:val="0"/>
            <w:vAlign w:val="center"/>
          </w:tcPr>
          <w:p>
            <w:pPr>
              <w:spacing w:line="440" w:lineRule="exact"/>
              <w:ind w:firstLine="105" w:firstLineChars="50"/>
              <w:rPr>
                <w:rFonts w:hint="eastAsia" w:ascii="宋体" w:hAnsi="宋体"/>
                <w:i w:val="0"/>
                <w:iCs w:val="0"/>
                <w:color w:val="auto"/>
                <w:szCs w:val="21"/>
                <w:lang w:val="en-US" w:eastAsia="zh-CN"/>
              </w:rPr>
            </w:pPr>
            <w:r>
              <w:rPr>
                <w:rFonts w:hint="eastAsia" w:ascii="宋体" w:hAnsi="宋体"/>
                <w:i w:val="0"/>
                <w:iCs w:val="0"/>
                <w:color w:val="auto"/>
                <w:szCs w:val="21"/>
                <w:lang w:val="en-US" w:eastAsia="zh-CN"/>
              </w:rPr>
              <w:t>件</w:t>
            </w:r>
          </w:p>
        </w:tc>
        <w:tc>
          <w:tcPr>
            <w:tcW w:w="4216" w:type="dxa"/>
            <w:noWrap w:val="0"/>
            <w:vAlign w:val="top"/>
          </w:tcPr>
          <w:p>
            <w:pPr>
              <w:spacing w:line="440" w:lineRule="exact"/>
              <w:ind w:firstLine="105" w:firstLineChars="50"/>
              <w:rPr>
                <w:rFonts w:hint="eastAsia" w:ascii="宋体" w:hAnsi="宋体"/>
                <w:i w:val="0"/>
                <w:iCs w:val="0"/>
                <w:color w:val="auto"/>
                <w:szCs w:val="21"/>
                <w:lang w:val="en-US" w:eastAsia="zh-CN"/>
              </w:rPr>
            </w:pPr>
            <w:r>
              <w:rPr>
                <w:rFonts w:hint="eastAsia" w:ascii="宋体" w:hAnsi="宋体"/>
                <w:i w:val="0"/>
                <w:iCs w:val="0"/>
                <w:color w:val="auto"/>
                <w:szCs w:val="21"/>
                <w:lang w:val="en-US" w:eastAsia="zh-CN"/>
              </w:rPr>
              <w:t>仪陇县消防救援局、仪陇县金城消防中队</w:t>
            </w:r>
          </w:p>
        </w:tc>
        <w:tc>
          <w:tcPr>
            <w:tcW w:w="1084" w:type="dxa"/>
            <w:noWrap w:val="0"/>
            <w:vAlign w:val="center"/>
          </w:tcPr>
          <w:p>
            <w:pPr>
              <w:spacing w:line="460" w:lineRule="exact"/>
              <w:jc w:val="center"/>
              <w:rPr>
                <w:rFonts w:hint="eastAsia" w:ascii="宋体" w:hAnsi="宋体"/>
                <w:i w:val="0"/>
                <w:iCs w:val="0"/>
                <w:color w:val="auto"/>
                <w:szCs w:val="21"/>
              </w:rPr>
            </w:pPr>
            <w:r>
              <w:rPr>
                <w:rFonts w:hint="eastAsia" w:ascii="宋体" w:hAnsi="宋体"/>
                <w:i w:val="0"/>
                <w:iCs w:val="0"/>
                <w:color w:val="auto"/>
                <w:szCs w:val="21"/>
                <w:lang w:eastAsia="zh-CN"/>
              </w:rPr>
              <w:t>邓宝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7" w:type="dxa"/>
            <w:noWrap w:val="0"/>
            <w:vAlign w:val="center"/>
          </w:tcPr>
          <w:p>
            <w:pPr>
              <w:spacing w:line="460" w:lineRule="exact"/>
              <w:rPr>
                <w:rFonts w:hint="eastAsia" w:ascii="宋体" w:hAnsi="宋体"/>
                <w:i w:val="0"/>
                <w:iCs w:val="0"/>
                <w:color w:val="auto"/>
                <w:szCs w:val="21"/>
              </w:rPr>
            </w:pPr>
            <w:r>
              <w:rPr>
                <w:rFonts w:hint="eastAsia" w:ascii="宋体" w:hAnsi="宋体"/>
                <w:i w:val="0"/>
                <w:iCs w:val="0"/>
                <w:color w:val="auto"/>
                <w:szCs w:val="21"/>
              </w:rPr>
              <w:t xml:space="preserve"> 6）</w:t>
            </w:r>
          </w:p>
        </w:tc>
        <w:tc>
          <w:tcPr>
            <w:tcW w:w="1742" w:type="dxa"/>
            <w:noWrap w:val="0"/>
            <w:vAlign w:val="top"/>
          </w:tcPr>
          <w:p>
            <w:pPr>
              <w:spacing w:line="440" w:lineRule="exact"/>
              <w:ind w:firstLine="105" w:firstLineChars="50"/>
              <w:rPr>
                <w:rFonts w:hint="eastAsia" w:ascii="宋体" w:hAnsi="宋体"/>
                <w:i w:val="0"/>
                <w:iCs w:val="0"/>
                <w:color w:val="auto"/>
                <w:szCs w:val="21"/>
                <w:lang w:val="en-US" w:eastAsia="zh-CN"/>
              </w:rPr>
            </w:pPr>
            <w:r>
              <w:rPr>
                <w:rFonts w:hint="eastAsia" w:ascii="宋体" w:hAnsi="宋体"/>
                <w:i w:val="0"/>
                <w:iCs w:val="0"/>
                <w:color w:val="auto"/>
                <w:szCs w:val="21"/>
                <w:lang w:val="en-US" w:eastAsia="zh-CN"/>
              </w:rPr>
              <w:t>输水器材</w:t>
            </w:r>
          </w:p>
        </w:tc>
        <w:tc>
          <w:tcPr>
            <w:tcW w:w="765" w:type="dxa"/>
            <w:noWrap w:val="0"/>
            <w:vAlign w:val="top"/>
          </w:tcPr>
          <w:p>
            <w:pPr>
              <w:spacing w:line="440" w:lineRule="exact"/>
              <w:ind w:firstLine="105" w:firstLineChars="50"/>
              <w:rPr>
                <w:rFonts w:hint="eastAsia" w:ascii="宋体" w:hAnsi="宋体"/>
                <w:i w:val="0"/>
                <w:iCs w:val="0"/>
                <w:color w:val="auto"/>
                <w:szCs w:val="21"/>
                <w:lang w:val="en-US" w:eastAsia="zh-CN"/>
              </w:rPr>
            </w:pPr>
            <w:r>
              <w:rPr>
                <w:rFonts w:hint="eastAsia" w:ascii="宋体" w:hAnsi="宋体"/>
                <w:i w:val="0"/>
                <w:iCs w:val="0"/>
                <w:color w:val="auto"/>
                <w:szCs w:val="21"/>
                <w:lang w:val="en-US" w:eastAsia="zh-CN"/>
              </w:rPr>
              <w:t>175</w:t>
            </w:r>
          </w:p>
        </w:tc>
        <w:tc>
          <w:tcPr>
            <w:tcW w:w="780" w:type="dxa"/>
            <w:noWrap w:val="0"/>
            <w:vAlign w:val="center"/>
          </w:tcPr>
          <w:p>
            <w:pPr>
              <w:spacing w:line="440" w:lineRule="exact"/>
              <w:ind w:firstLine="105" w:firstLineChars="50"/>
              <w:rPr>
                <w:rFonts w:hint="eastAsia" w:ascii="宋体" w:hAnsi="宋体"/>
                <w:i w:val="0"/>
                <w:iCs w:val="0"/>
                <w:color w:val="auto"/>
                <w:szCs w:val="21"/>
                <w:lang w:val="en-US" w:eastAsia="zh-CN"/>
              </w:rPr>
            </w:pPr>
            <w:r>
              <w:rPr>
                <w:rFonts w:hint="eastAsia" w:ascii="宋体" w:hAnsi="宋体"/>
                <w:i w:val="0"/>
                <w:iCs w:val="0"/>
                <w:color w:val="auto"/>
                <w:szCs w:val="21"/>
                <w:lang w:val="en-US" w:eastAsia="zh-CN"/>
              </w:rPr>
              <w:t>件</w:t>
            </w:r>
          </w:p>
        </w:tc>
        <w:tc>
          <w:tcPr>
            <w:tcW w:w="4216" w:type="dxa"/>
            <w:noWrap w:val="0"/>
            <w:vAlign w:val="top"/>
          </w:tcPr>
          <w:p>
            <w:pPr>
              <w:spacing w:line="440" w:lineRule="exact"/>
              <w:ind w:firstLine="105" w:firstLineChars="50"/>
              <w:rPr>
                <w:rFonts w:hint="eastAsia" w:ascii="宋体" w:hAnsi="宋体"/>
                <w:i w:val="0"/>
                <w:iCs w:val="0"/>
                <w:color w:val="auto"/>
                <w:szCs w:val="21"/>
                <w:lang w:val="en-US" w:eastAsia="zh-CN"/>
              </w:rPr>
            </w:pPr>
            <w:r>
              <w:rPr>
                <w:rFonts w:hint="eastAsia" w:ascii="宋体" w:hAnsi="宋体"/>
                <w:i w:val="0"/>
                <w:iCs w:val="0"/>
                <w:color w:val="auto"/>
                <w:szCs w:val="21"/>
                <w:lang w:val="en-US" w:eastAsia="zh-CN"/>
              </w:rPr>
              <w:t>仪陇县消防救援局、仪陇县金城消防中队</w:t>
            </w:r>
          </w:p>
        </w:tc>
        <w:tc>
          <w:tcPr>
            <w:tcW w:w="1084" w:type="dxa"/>
            <w:noWrap w:val="0"/>
            <w:vAlign w:val="center"/>
          </w:tcPr>
          <w:p>
            <w:pPr>
              <w:spacing w:line="460" w:lineRule="exact"/>
              <w:jc w:val="center"/>
              <w:rPr>
                <w:rFonts w:hint="eastAsia" w:ascii="宋体" w:hAnsi="宋体"/>
                <w:i w:val="0"/>
                <w:iCs w:val="0"/>
                <w:color w:val="auto"/>
                <w:szCs w:val="21"/>
              </w:rPr>
            </w:pPr>
            <w:r>
              <w:rPr>
                <w:rFonts w:hint="eastAsia" w:ascii="宋体" w:hAnsi="宋体"/>
                <w:i w:val="0"/>
                <w:iCs w:val="0"/>
                <w:color w:val="auto"/>
                <w:szCs w:val="21"/>
                <w:lang w:eastAsia="zh-CN"/>
              </w:rPr>
              <w:t>邓宝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7" w:type="dxa"/>
            <w:noWrap w:val="0"/>
            <w:vAlign w:val="center"/>
          </w:tcPr>
          <w:p>
            <w:pPr>
              <w:spacing w:line="460" w:lineRule="exact"/>
              <w:rPr>
                <w:rFonts w:hint="eastAsia" w:ascii="宋体" w:hAnsi="宋体"/>
                <w:i w:val="0"/>
                <w:iCs w:val="0"/>
                <w:color w:val="auto"/>
                <w:szCs w:val="21"/>
              </w:rPr>
            </w:pPr>
            <w:r>
              <w:rPr>
                <w:rFonts w:hint="eastAsia" w:ascii="宋体" w:hAnsi="宋体"/>
                <w:i w:val="0"/>
                <w:iCs w:val="0"/>
                <w:color w:val="auto"/>
                <w:szCs w:val="21"/>
              </w:rPr>
              <w:t xml:space="preserve"> 7）</w:t>
            </w:r>
          </w:p>
        </w:tc>
        <w:tc>
          <w:tcPr>
            <w:tcW w:w="1742" w:type="dxa"/>
            <w:noWrap w:val="0"/>
            <w:vAlign w:val="top"/>
          </w:tcPr>
          <w:p>
            <w:pPr>
              <w:spacing w:line="440" w:lineRule="exact"/>
              <w:ind w:firstLine="105" w:firstLineChars="50"/>
              <w:rPr>
                <w:rFonts w:hint="eastAsia" w:ascii="宋体" w:hAnsi="宋体"/>
                <w:i w:val="0"/>
                <w:iCs w:val="0"/>
                <w:color w:val="auto"/>
                <w:szCs w:val="21"/>
                <w:lang w:val="en-US" w:eastAsia="zh-CN"/>
              </w:rPr>
            </w:pPr>
            <w:r>
              <w:rPr>
                <w:rFonts w:hint="eastAsia" w:ascii="宋体" w:hAnsi="宋体"/>
                <w:i w:val="0"/>
                <w:iCs w:val="0"/>
                <w:color w:val="auto"/>
                <w:szCs w:val="21"/>
                <w:lang w:val="en-US" w:eastAsia="zh-CN"/>
              </w:rPr>
              <w:t>抢险救援装备</w:t>
            </w:r>
          </w:p>
        </w:tc>
        <w:tc>
          <w:tcPr>
            <w:tcW w:w="765" w:type="dxa"/>
            <w:noWrap w:val="0"/>
            <w:vAlign w:val="top"/>
          </w:tcPr>
          <w:p>
            <w:pPr>
              <w:spacing w:line="440" w:lineRule="exact"/>
              <w:ind w:firstLine="105" w:firstLineChars="50"/>
              <w:rPr>
                <w:rFonts w:hint="eastAsia" w:ascii="宋体" w:hAnsi="宋体"/>
                <w:i w:val="0"/>
                <w:iCs w:val="0"/>
                <w:color w:val="auto"/>
                <w:szCs w:val="21"/>
                <w:lang w:val="en-US" w:eastAsia="zh-CN"/>
              </w:rPr>
            </w:pPr>
            <w:r>
              <w:rPr>
                <w:rFonts w:hint="eastAsia" w:ascii="宋体" w:hAnsi="宋体"/>
                <w:i w:val="0"/>
                <w:iCs w:val="0"/>
                <w:color w:val="auto"/>
                <w:szCs w:val="21"/>
                <w:lang w:val="en-US" w:eastAsia="zh-CN"/>
              </w:rPr>
              <w:t>171</w:t>
            </w:r>
          </w:p>
        </w:tc>
        <w:tc>
          <w:tcPr>
            <w:tcW w:w="780" w:type="dxa"/>
            <w:noWrap w:val="0"/>
            <w:vAlign w:val="center"/>
          </w:tcPr>
          <w:p>
            <w:pPr>
              <w:spacing w:line="440" w:lineRule="exact"/>
              <w:ind w:firstLine="105" w:firstLineChars="50"/>
              <w:rPr>
                <w:rFonts w:hint="eastAsia" w:ascii="宋体" w:hAnsi="宋体"/>
                <w:i w:val="0"/>
                <w:iCs w:val="0"/>
                <w:color w:val="auto"/>
                <w:szCs w:val="21"/>
                <w:lang w:val="en-US" w:eastAsia="zh-CN"/>
              </w:rPr>
            </w:pPr>
            <w:r>
              <w:rPr>
                <w:rFonts w:hint="eastAsia" w:ascii="宋体" w:hAnsi="宋体"/>
                <w:i w:val="0"/>
                <w:iCs w:val="0"/>
                <w:color w:val="auto"/>
                <w:szCs w:val="21"/>
                <w:lang w:val="en-US" w:eastAsia="zh-CN"/>
              </w:rPr>
              <w:t>件</w:t>
            </w:r>
          </w:p>
        </w:tc>
        <w:tc>
          <w:tcPr>
            <w:tcW w:w="4216" w:type="dxa"/>
            <w:noWrap w:val="0"/>
            <w:vAlign w:val="top"/>
          </w:tcPr>
          <w:p>
            <w:pPr>
              <w:spacing w:line="440" w:lineRule="exact"/>
              <w:ind w:firstLine="105" w:firstLineChars="50"/>
              <w:rPr>
                <w:rFonts w:hint="eastAsia" w:ascii="宋体" w:hAnsi="宋体"/>
                <w:i w:val="0"/>
                <w:iCs w:val="0"/>
                <w:color w:val="auto"/>
                <w:szCs w:val="21"/>
                <w:lang w:val="en-US" w:eastAsia="zh-CN"/>
              </w:rPr>
            </w:pPr>
            <w:r>
              <w:rPr>
                <w:rFonts w:hint="eastAsia" w:ascii="宋体" w:hAnsi="宋体"/>
                <w:i w:val="0"/>
                <w:iCs w:val="0"/>
                <w:color w:val="auto"/>
                <w:szCs w:val="21"/>
                <w:lang w:val="en-US" w:eastAsia="zh-CN"/>
              </w:rPr>
              <w:t>仪陇县消防救援局、仪陇县金城消防中队</w:t>
            </w:r>
          </w:p>
        </w:tc>
        <w:tc>
          <w:tcPr>
            <w:tcW w:w="1084" w:type="dxa"/>
            <w:noWrap w:val="0"/>
            <w:vAlign w:val="center"/>
          </w:tcPr>
          <w:p>
            <w:pPr>
              <w:spacing w:line="460" w:lineRule="exact"/>
              <w:jc w:val="center"/>
              <w:rPr>
                <w:rFonts w:hint="eastAsia" w:ascii="宋体" w:hAnsi="宋体"/>
                <w:i w:val="0"/>
                <w:iCs w:val="0"/>
                <w:color w:val="auto"/>
                <w:szCs w:val="21"/>
              </w:rPr>
            </w:pPr>
            <w:r>
              <w:rPr>
                <w:rFonts w:hint="eastAsia" w:ascii="宋体" w:hAnsi="宋体"/>
                <w:i w:val="0"/>
                <w:iCs w:val="0"/>
                <w:color w:val="auto"/>
                <w:szCs w:val="21"/>
                <w:lang w:eastAsia="zh-CN"/>
              </w:rPr>
              <w:t>邓宝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7" w:type="dxa"/>
            <w:noWrap w:val="0"/>
            <w:vAlign w:val="center"/>
          </w:tcPr>
          <w:p>
            <w:pPr>
              <w:spacing w:line="460" w:lineRule="exact"/>
              <w:rPr>
                <w:rFonts w:hint="eastAsia" w:ascii="宋体" w:hAnsi="宋体"/>
                <w:i w:val="0"/>
                <w:iCs w:val="0"/>
                <w:color w:val="auto"/>
                <w:szCs w:val="21"/>
              </w:rPr>
            </w:pPr>
            <w:r>
              <w:rPr>
                <w:rFonts w:hint="eastAsia" w:ascii="宋体" w:hAnsi="宋体"/>
                <w:i w:val="0"/>
                <w:iCs w:val="0"/>
                <w:color w:val="auto"/>
                <w:szCs w:val="21"/>
              </w:rPr>
              <w:t xml:space="preserve"> </w:t>
            </w:r>
            <w:r>
              <w:rPr>
                <w:rFonts w:hint="eastAsia" w:ascii="宋体" w:hAnsi="宋体"/>
                <w:i w:val="0"/>
                <w:iCs w:val="0"/>
                <w:color w:val="auto"/>
                <w:szCs w:val="21"/>
                <w:lang w:val="en-US" w:eastAsia="zh-CN"/>
              </w:rPr>
              <w:t>8</w:t>
            </w:r>
            <w:r>
              <w:rPr>
                <w:rFonts w:hint="eastAsia" w:ascii="宋体" w:hAnsi="宋体"/>
                <w:i w:val="0"/>
                <w:iCs w:val="0"/>
                <w:color w:val="auto"/>
                <w:szCs w:val="21"/>
              </w:rPr>
              <w:t>）</w:t>
            </w:r>
          </w:p>
        </w:tc>
        <w:tc>
          <w:tcPr>
            <w:tcW w:w="1742" w:type="dxa"/>
            <w:noWrap w:val="0"/>
            <w:vAlign w:val="top"/>
          </w:tcPr>
          <w:p>
            <w:pPr>
              <w:spacing w:line="440" w:lineRule="exact"/>
              <w:ind w:firstLine="105" w:firstLineChars="50"/>
              <w:rPr>
                <w:rFonts w:hint="eastAsia" w:ascii="宋体" w:hAnsi="宋体"/>
                <w:i w:val="0"/>
                <w:iCs w:val="0"/>
                <w:color w:val="auto"/>
                <w:szCs w:val="21"/>
                <w:lang w:val="en-US" w:eastAsia="zh-CN"/>
              </w:rPr>
            </w:pPr>
            <w:r>
              <w:rPr>
                <w:rFonts w:hint="eastAsia" w:ascii="宋体" w:hAnsi="宋体"/>
                <w:i w:val="0"/>
                <w:iCs w:val="0"/>
                <w:color w:val="auto"/>
                <w:szCs w:val="21"/>
                <w:lang w:val="en-US" w:eastAsia="zh-CN"/>
              </w:rPr>
              <w:t>其它器材装备</w:t>
            </w:r>
          </w:p>
        </w:tc>
        <w:tc>
          <w:tcPr>
            <w:tcW w:w="765" w:type="dxa"/>
            <w:noWrap w:val="0"/>
            <w:vAlign w:val="top"/>
          </w:tcPr>
          <w:p>
            <w:pPr>
              <w:spacing w:line="440" w:lineRule="exact"/>
              <w:ind w:firstLine="105" w:firstLineChars="50"/>
              <w:rPr>
                <w:rFonts w:hint="eastAsia" w:ascii="宋体" w:hAnsi="宋体"/>
                <w:i w:val="0"/>
                <w:iCs w:val="0"/>
                <w:color w:val="auto"/>
                <w:szCs w:val="21"/>
                <w:lang w:val="en-US" w:eastAsia="zh-CN"/>
              </w:rPr>
            </w:pPr>
            <w:r>
              <w:rPr>
                <w:rFonts w:hint="eastAsia" w:ascii="宋体" w:hAnsi="宋体"/>
                <w:i w:val="0"/>
                <w:iCs w:val="0"/>
                <w:color w:val="auto"/>
                <w:szCs w:val="21"/>
                <w:lang w:val="en-US" w:eastAsia="zh-CN"/>
              </w:rPr>
              <w:t>116</w:t>
            </w:r>
          </w:p>
        </w:tc>
        <w:tc>
          <w:tcPr>
            <w:tcW w:w="780" w:type="dxa"/>
            <w:noWrap w:val="0"/>
            <w:vAlign w:val="center"/>
          </w:tcPr>
          <w:p>
            <w:pPr>
              <w:spacing w:line="440" w:lineRule="exact"/>
              <w:ind w:firstLine="105" w:firstLineChars="50"/>
              <w:rPr>
                <w:rFonts w:hint="eastAsia" w:ascii="宋体" w:hAnsi="宋体"/>
                <w:i w:val="0"/>
                <w:iCs w:val="0"/>
                <w:color w:val="auto"/>
                <w:szCs w:val="21"/>
                <w:lang w:val="en-US" w:eastAsia="zh-CN"/>
              </w:rPr>
            </w:pPr>
            <w:r>
              <w:rPr>
                <w:rFonts w:hint="eastAsia" w:ascii="宋体" w:hAnsi="宋体"/>
                <w:i w:val="0"/>
                <w:iCs w:val="0"/>
                <w:color w:val="auto"/>
                <w:szCs w:val="21"/>
                <w:lang w:val="en-US" w:eastAsia="zh-CN"/>
              </w:rPr>
              <w:t>件</w:t>
            </w:r>
          </w:p>
        </w:tc>
        <w:tc>
          <w:tcPr>
            <w:tcW w:w="4216" w:type="dxa"/>
            <w:noWrap w:val="0"/>
            <w:vAlign w:val="top"/>
          </w:tcPr>
          <w:p>
            <w:pPr>
              <w:spacing w:line="440" w:lineRule="exact"/>
              <w:ind w:firstLine="105" w:firstLineChars="50"/>
              <w:rPr>
                <w:rFonts w:hint="eastAsia" w:ascii="宋体" w:hAnsi="宋体"/>
                <w:i w:val="0"/>
                <w:iCs w:val="0"/>
                <w:color w:val="auto"/>
                <w:szCs w:val="21"/>
                <w:lang w:val="en-US" w:eastAsia="zh-CN"/>
              </w:rPr>
            </w:pPr>
            <w:r>
              <w:rPr>
                <w:rFonts w:hint="eastAsia" w:ascii="宋体" w:hAnsi="宋体"/>
                <w:i w:val="0"/>
                <w:iCs w:val="0"/>
                <w:color w:val="auto"/>
                <w:szCs w:val="21"/>
                <w:lang w:val="en-US" w:eastAsia="zh-CN"/>
              </w:rPr>
              <w:t>仪陇县消防救援局、仪陇县金城消防中队</w:t>
            </w:r>
          </w:p>
        </w:tc>
        <w:tc>
          <w:tcPr>
            <w:tcW w:w="1084" w:type="dxa"/>
            <w:noWrap w:val="0"/>
            <w:vAlign w:val="center"/>
          </w:tcPr>
          <w:p>
            <w:pPr>
              <w:spacing w:line="460" w:lineRule="exact"/>
              <w:jc w:val="center"/>
              <w:rPr>
                <w:rFonts w:hint="eastAsia" w:ascii="宋体" w:hAnsi="宋体"/>
                <w:i w:val="0"/>
                <w:iCs w:val="0"/>
                <w:color w:val="auto"/>
                <w:szCs w:val="21"/>
              </w:rPr>
            </w:pPr>
            <w:r>
              <w:rPr>
                <w:rFonts w:hint="eastAsia" w:ascii="宋体" w:hAnsi="宋体"/>
                <w:i w:val="0"/>
                <w:iCs w:val="0"/>
                <w:color w:val="auto"/>
                <w:szCs w:val="21"/>
                <w:lang w:eastAsia="zh-CN"/>
              </w:rPr>
              <w:t>邓宝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7" w:type="dxa"/>
            <w:noWrap w:val="0"/>
            <w:vAlign w:val="center"/>
          </w:tcPr>
          <w:p>
            <w:pPr>
              <w:spacing w:line="460" w:lineRule="exact"/>
              <w:rPr>
                <w:rFonts w:ascii="宋体" w:hAnsi="宋体"/>
                <w:i w:val="0"/>
                <w:iCs w:val="0"/>
                <w:color w:val="auto"/>
                <w:szCs w:val="21"/>
              </w:rPr>
            </w:pPr>
            <w:r>
              <w:rPr>
                <w:rFonts w:hint="eastAsia" w:ascii="宋体" w:hAnsi="宋体"/>
                <w:i w:val="0"/>
                <w:iCs w:val="0"/>
                <w:color w:val="auto"/>
                <w:szCs w:val="21"/>
              </w:rPr>
              <w:t xml:space="preserve"> </w:t>
            </w:r>
            <w:r>
              <w:rPr>
                <w:rFonts w:hint="eastAsia" w:ascii="宋体" w:hAnsi="宋体"/>
                <w:i w:val="0"/>
                <w:iCs w:val="0"/>
                <w:color w:val="auto"/>
                <w:szCs w:val="21"/>
                <w:lang w:val="en-US" w:eastAsia="zh-CN"/>
              </w:rPr>
              <w:t>9</w:t>
            </w:r>
            <w:r>
              <w:rPr>
                <w:rFonts w:hint="eastAsia" w:ascii="宋体" w:hAnsi="宋体"/>
                <w:i w:val="0"/>
                <w:iCs w:val="0"/>
                <w:color w:val="auto"/>
                <w:szCs w:val="21"/>
              </w:rPr>
              <w:t>）</w:t>
            </w:r>
          </w:p>
        </w:tc>
        <w:tc>
          <w:tcPr>
            <w:tcW w:w="1742" w:type="dxa"/>
            <w:noWrap w:val="0"/>
            <w:vAlign w:val="top"/>
          </w:tcPr>
          <w:p>
            <w:pPr>
              <w:spacing w:line="440" w:lineRule="exact"/>
              <w:ind w:firstLine="105" w:firstLineChars="50"/>
              <w:rPr>
                <w:rFonts w:ascii="宋体" w:hAnsi="宋体"/>
                <w:i w:val="0"/>
                <w:iCs w:val="0"/>
                <w:color w:val="auto"/>
                <w:szCs w:val="21"/>
              </w:rPr>
            </w:pPr>
            <w:r>
              <w:rPr>
                <w:rFonts w:hint="eastAsia" w:ascii="宋体" w:hAnsi="宋体"/>
                <w:i w:val="0"/>
                <w:iCs w:val="0"/>
                <w:color w:val="auto"/>
                <w:szCs w:val="21"/>
              </w:rPr>
              <w:t>急救车</w:t>
            </w:r>
          </w:p>
        </w:tc>
        <w:tc>
          <w:tcPr>
            <w:tcW w:w="765" w:type="dxa"/>
            <w:noWrap w:val="0"/>
            <w:vAlign w:val="top"/>
          </w:tcPr>
          <w:p>
            <w:pPr>
              <w:spacing w:line="440" w:lineRule="exact"/>
              <w:ind w:firstLine="105" w:firstLineChars="50"/>
              <w:jc w:val="center"/>
              <w:rPr>
                <w:rFonts w:hint="eastAsia" w:ascii="宋体" w:hAnsi="宋体" w:eastAsia="宋体"/>
                <w:i w:val="0"/>
                <w:iCs w:val="0"/>
                <w:color w:val="auto"/>
                <w:szCs w:val="21"/>
                <w:lang w:eastAsia="zh-CN"/>
              </w:rPr>
            </w:pPr>
            <w:r>
              <w:rPr>
                <w:rFonts w:hint="eastAsia" w:ascii="宋体" w:hAnsi="宋体"/>
                <w:i w:val="0"/>
                <w:iCs w:val="0"/>
                <w:color w:val="auto"/>
                <w:szCs w:val="21"/>
                <w:lang w:val="en-US" w:eastAsia="zh-CN"/>
              </w:rPr>
              <w:t>1</w:t>
            </w:r>
          </w:p>
        </w:tc>
        <w:tc>
          <w:tcPr>
            <w:tcW w:w="780" w:type="dxa"/>
            <w:noWrap w:val="0"/>
            <w:vAlign w:val="center"/>
          </w:tcPr>
          <w:p>
            <w:pPr>
              <w:spacing w:line="460" w:lineRule="exact"/>
              <w:jc w:val="center"/>
              <w:rPr>
                <w:rFonts w:ascii="宋体" w:hAnsi="宋体"/>
                <w:i w:val="0"/>
                <w:iCs w:val="0"/>
                <w:color w:val="auto"/>
                <w:szCs w:val="21"/>
              </w:rPr>
            </w:pPr>
            <w:r>
              <w:rPr>
                <w:rFonts w:hint="eastAsia" w:ascii="宋体" w:hAnsi="宋体"/>
                <w:i w:val="0"/>
                <w:iCs w:val="0"/>
                <w:color w:val="auto"/>
                <w:szCs w:val="21"/>
              </w:rPr>
              <w:t>辆</w:t>
            </w:r>
          </w:p>
        </w:tc>
        <w:tc>
          <w:tcPr>
            <w:tcW w:w="4216" w:type="dxa"/>
            <w:noWrap w:val="0"/>
            <w:vAlign w:val="center"/>
          </w:tcPr>
          <w:p>
            <w:pPr>
              <w:rPr>
                <w:rFonts w:hint="eastAsia" w:ascii="宋体" w:hAnsi="宋体"/>
                <w:i w:val="0"/>
                <w:iCs w:val="0"/>
                <w:color w:val="auto"/>
                <w:szCs w:val="21"/>
              </w:rPr>
            </w:pPr>
            <w:r>
              <w:rPr>
                <w:rFonts w:hint="eastAsia" w:ascii="宋体" w:hAnsi="宋体"/>
                <w:i w:val="0"/>
                <w:iCs w:val="0"/>
                <w:color w:val="auto"/>
                <w:szCs w:val="21"/>
                <w:lang w:val="en-US" w:eastAsia="zh-CN"/>
              </w:rPr>
              <w:t>仪陇县人民医院、仪陇县来仪乡卫生院</w:t>
            </w:r>
          </w:p>
        </w:tc>
        <w:tc>
          <w:tcPr>
            <w:tcW w:w="1084" w:type="dxa"/>
            <w:noWrap w:val="0"/>
            <w:vAlign w:val="center"/>
          </w:tcPr>
          <w:p>
            <w:pPr>
              <w:spacing w:line="460" w:lineRule="exact"/>
              <w:jc w:val="center"/>
              <w:rPr>
                <w:rFonts w:hint="eastAsia" w:ascii="宋体" w:hAnsi="宋体"/>
                <w:i w:val="0"/>
                <w:iCs w:val="0"/>
                <w:color w:val="auto"/>
                <w:szCs w:val="21"/>
              </w:rPr>
            </w:pPr>
            <w:r>
              <w:rPr>
                <w:rFonts w:hint="eastAsia" w:ascii="宋体" w:hAnsi="宋体"/>
                <w:i w:val="0"/>
                <w:iCs w:val="0"/>
                <w:color w:val="auto"/>
                <w:szCs w:val="21"/>
                <w:lang w:eastAsia="zh-CN"/>
              </w:rPr>
              <w:t>邓宝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7" w:type="dxa"/>
            <w:noWrap w:val="0"/>
            <w:vAlign w:val="center"/>
          </w:tcPr>
          <w:p>
            <w:pPr>
              <w:spacing w:line="460" w:lineRule="exact"/>
              <w:rPr>
                <w:rFonts w:ascii="宋体" w:hAnsi="宋体"/>
                <w:i w:val="0"/>
                <w:iCs w:val="0"/>
                <w:color w:val="auto"/>
                <w:szCs w:val="21"/>
              </w:rPr>
            </w:pPr>
            <w:r>
              <w:rPr>
                <w:rFonts w:hint="eastAsia" w:ascii="宋体" w:hAnsi="宋体"/>
                <w:i w:val="0"/>
                <w:iCs w:val="0"/>
                <w:color w:val="auto"/>
                <w:szCs w:val="21"/>
                <w:lang w:val="en-US" w:eastAsia="zh-CN"/>
              </w:rPr>
              <w:t>10</w:t>
            </w:r>
            <w:r>
              <w:rPr>
                <w:rFonts w:hint="eastAsia" w:ascii="宋体" w:hAnsi="宋体"/>
                <w:i w:val="0"/>
                <w:iCs w:val="0"/>
                <w:color w:val="auto"/>
                <w:szCs w:val="21"/>
              </w:rPr>
              <w:t>）</w:t>
            </w:r>
          </w:p>
        </w:tc>
        <w:tc>
          <w:tcPr>
            <w:tcW w:w="1742" w:type="dxa"/>
            <w:noWrap w:val="0"/>
            <w:vAlign w:val="top"/>
          </w:tcPr>
          <w:p>
            <w:pPr>
              <w:spacing w:line="440" w:lineRule="exact"/>
              <w:ind w:firstLine="105" w:firstLineChars="50"/>
              <w:rPr>
                <w:rFonts w:ascii="宋体" w:hAnsi="宋体"/>
                <w:i w:val="0"/>
                <w:iCs w:val="0"/>
                <w:color w:val="auto"/>
                <w:szCs w:val="21"/>
              </w:rPr>
            </w:pPr>
            <w:r>
              <w:rPr>
                <w:rFonts w:hint="eastAsia" w:ascii="宋体" w:hAnsi="宋体"/>
                <w:i w:val="0"/>
                <w:iCs w:val="0"/>
                <w:color w:val="auto"/>
                <w:szCs w:val="21"/>
              </w:rPr>
              <w:t>担架</w:t>
            </w:r>
          </w:p>
        </w:tc>
        <w:tc>
          <w:tcPr>
            <w:tcW w:w="765" w:type="dxa"/>
            <w:noWrap w:val="0"/>
            <w:vAlign w:val="top"/>
          </w:tcPr>
          <w:p>
            <w:pPr>
              <w:spacing w:line="440" w:lineRule="exact"/>
              <w:ind w:firstLine="105" w:firstLineChars="50"/>
              <w:jc w:val="center"/>
              <w:rPr>
                <w:rFonts w:hint="eastAsia" w:ascii="宋体" w:hAnsi="宋体" w:eastAsia="宋体"/>
                <w:i w:val="0"/>
                <w:iCs w:val="0"/>
                <w:color w:val="auto"/>
                <w:szCs w:val="21"/>
                <w:lang w:eastAsia="zh-CN"/>
              </w:rPr>
            </w:pPr>
            <w:r>
              <w:rPr>
                <w:rFonts w:hint="eastAsia" w:ascii="宋体" w:hAnsi="宋体" w:eastAsia="宋体"/>
                <w:i w:val="0"/>
                <w:iCs w:val="0"/>
                <w:color w:val="auto"/>
                <w:szCs w:val="21"/>
                <w:lang w:val="en-US" w:eastAsia="zh-CN"/>
              </w:rPr>
              <w:t>3</w:t>
            </w:r>
          </w:p>
        </w:tc>
        <w:tc>
          <w:tcPr>
            <w:tcW w:w="780" w:type="dxa"/>
            <w:noWrap w:val="0"/>
            <w:vAlign w:val="center"/>
          </w:tcPr>
          <w:p>
            <w:pPr>
              <w:spacing w:line="460" w:lineRule="exact"/>
              <w:jc w:val="center"/>
              <w:rPr>
                <w:rFonts w:ascii="宋体" w:hAnsi="宋体"/>
                <w:i w:val="0"/>
                <w:iCs w:val="0"/>
                <w:color w:val="auto"/>
                <w:szCs w:val="21"/>
              </w:rPr>
            </w:pPr>
            <w:r>
              <w:rPr>
                <w:rFonts w:hint="eastAsia" w:ascii="宋体" w:hAnsi="宋体"/>
                <w:i w:val="0"/>
                <w:iCs w:val="0"/>
                <w:color w:val="auto"/>
                <w:szCs w:val="21"/>
              </w:rPr>
              <w:t>个</w:t>
            </w:r>
          </w:p>
        </w:tc>
        <w:tc>
          <w:tcPr>
            <w:tcW w:w="4216" w:type="dxa"/>
            <w:noWrap w:val="0"/>
            <w:vAlign w:val="top"/>
          </w:tcPr>
          <w:p>
            <w:pPr>
              <w:rPr>
                <w:rFonts w:hint="eastAsia" w:ascii="宋体" w:hAnsi="宋体"/>
                <w:i w:val="0"/>
                <w:iCs w:val="0"/>
                <w:color w:val="auto"/>
                <w:szCs w:val="21"/>
              </w:rPr>
            </w:pPr>
            <w:r>
              <w:rPr>
                <w:rFonts w:hint="eastAsia" w:ascii="宋体" w:hAnsi="宋体"/>
                <w:i w:val="0"/>
                <w:iCs w:val="0"/>
                <w:color w:val="auto"/>
                <w:szCs w:val="21"/>
                <w:lang w:val="en-US" w:eastAsia="zh-CN"/>
              </w:rPr>
              <w:t>仪陇县人民医院、仪陇县来仪乡卫生院</w:t>
            </w:r>
          </w:p>
        </w:tc>
        <w:tc>
          <w:tcPr>
            <w:tcW w:w="1084" w:type="dxa"/>
            <w:noWrap w:val="0"/>
            <w:vAlign w:val="center"/>
          </w:tcPr>
          <w:p>
            <w:pPr>
              <w:spacing w:line="460" w:lineRule="exact"/>
              <w:jc w:val="center"/>
              <w:rPr>
                <w:rFonts w:hint="eastAsia" w:ascii="宋体" w:hAnsi="宋体"/>
                <w:i w:val="0"/>
                <w:iCs w:val="0"/>
                <w:color w:val="auto"/>
                <w:szCs w:val="21"/>
              </w:rPr>
            </w:pPr>
            <w:r>
              <w:rPr>
                <w:rFonts w:hint="eastAsia" w:ascii="宋体" w:hAnsi="宋体"/>
                <w:i w:val="0"/>
                <w:iCs w:val="0"/>
                <w:color w:val="auto"/>
                <w:szCs w:val="21"/>
                <w:lang w:eastAsia="zh-CN"/>
              </w:rPr>
              <w:t>邓宝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7" w:type="dxa"/>
            <w:noWrap w:val="0"/>
            <w:vAlign w:val="center"/>
          </w:tcPr>
          <w:p>
            <w:pPr>
              <w:spacing w:line="460" w:lineRule="exact"/>
              <w:rPr>
                <w:rFonts w:ascii="宋体" w:hAnsi="宋体"/>
                <w:i w:val="0"/>
                <w:iCs w:val="0"/>
                <w:color w:val="auto"/>
                <w:szCs w:val="21"/>
              </w:rPr>
            </w:pPr>
            <w:r>
              <w:rPr>
                <w:rFonts w:hint="eastAsia" w:ascii="宋体" w:hAnsi="宋体"/>
                <w:i w:val="0"/>
                <w:iCs w:val="0"/>
                <w:color w:val="auto"/>
                <w:szCs w:val="21"/>
                <w:lang w:val="en-US" w:eastAsia="zh-CN"/>
              </w:rPr>
              <w:t>11</w:t>
            </w:r>
            <w:r>
              <w:rPr>
                <w:rFonts w:hint="eastAsia" w:ascii="宋体" w:hAnsi="宋体"/>
                <w:i w:val="0"/>
                <w:iCs w:val="0"/>
                <w:color w:val="auto"/>
                <w:szCs w:val="21"/>
              </w:rPr>
              <w:t>）</w:t>
            </w:r>
          </w:p>
        </w:tc>
        <w:tc>
          <w:tcPr>
            <w:tcW w:w="1742" w:type="dxa"/>
            <w:noWrap w:val="0"/>
            <w:vAlign w:val="top"/>
          </w:tcPr>
          <w:p>
            <w:pPr>
              <w:spacing w:line="440" w:lineRule="exact"/>
              <w:ind w:firstLine="105" w:firstLineChars="50"/>
              <w:rPr>
                <w:rFonts w:ascii="宋体" w:hAnsi="宋体"/>
                <w:i w:val="0"/>
                <w:iCs w:val="0"/>
                <w:color w:val="auto"/>
                <w:szCs w:val="21"/>
              </w:rPr>
            </w:pPr>
            <w:r>
              <w:rPr>
                <w:rFonts w:hint="eastAsia" w:ascii="宋体" w:hAnsi="宋体"/>
                <w:i w:val="0"/>
                <w:iCs w:val="0"/>
                <w:color w:val="auto"/>
                <w:szCs w:val="21"/>
              </w:rPr>
              <w:t>应急床位</w:t>
            </w:r>
          </w:p>
        </w:tc>
        <w:tc>
          <w:tcPr>
            <w:tcW w:w="765" w:type="dxa"/>
            <w:noWrap w:val="0"/>
            <w:vAlign w:val="top"/>
          </w:tcPr>
          <w:p>
            <w:pPr>
              <w:spacing w:line="440" w:lineRule="exact"/>
              <w:ind w:firstLine="105" w:firstLineChars="50"/>
              <w:jc w:val="center"/>
              <w:rPr>
                <w:rFonts w:hint="default" w:ascii="宋体" w:hAnsi="宋体" w:eastAsia="宋体"/>
                <w:i w:val="0"/>
                <w:iCs w:val="0"/>
                <w:color w:val="auto"/>
                <w:szCs w:val="21"/>
                <w:lang w:val="en-US" w:eastAsia="zh-CN"/>
              </w:rPr>
            </w:pPr>
            <w:r>
              <w:rPr>
                <w:rFonts w:hint="eastAsia" w:ascii="宋体" w:hAnsi="宋体"/>
                <w:i w:val="0"/>
                <w:iCs w:val="0"/>
                <w:color w:val="auto"/>
                <w:szCs w:val="21"/>
                <w:lang w:val="en-US" w:eastAsia="zh-CN"/>
              </w:rPr>
              <w:t>20</w:t>
            </w:r>
          </w:p>
        </w:tc>
        <w:tc>
          <w:tcPr>
            <w:tcW w:w="780" w:type="dxa"/>
            <w:noWrap w:val="0"/>
            <w:vAlign w:val="center"/>
          </w:tcPr>
          <w:p>
            <w:pPr>
              <w:spacing w:line="460" w:lineRule="exact"/>
              <w:jc w:val="center"/>
              <w:rPr>
                <w:rFonts w:ascii="宋体" w:hAnsi="宋体"/>
                <w:i w:val="0"/>
                <w:iCs w:val="0"/>
                <w:color w:val="auto"/>
                <w:szCs w:val="21"/>
              </w:rPr>
            </w:pPr>
            <w:r>
              <w:rPr>
                <w:rFonts w:hint="eastAsia" w:ascii="宋体" w:hAnsi="宋体"/>
                <w:i w:val="0"/>
                <w:iCs w:val="0"/>
                <w:color w:val="auto"/>
                <w:szCs w:val="21"/>
              </w:rPr>
              <w:t>个</w:t>
            </w:r>
          </w:p>
        </w:tc>
        <w:tc>
          <w:tcPr>
            <w:tcW w:w="4216" w:type="dxa"/>
            <w:noWrap w:val="0"/>
            <w:vAlign w:val="top"/>
          </w:tcPr>
          <w:p>
            <w:pPr>
              <w:rPr>
                <w:rFonts w:hint="eastAsia" w:ascii="宋体" w:hAnsi="宋体"/>
                <w:i w:val="0"/>
                <w:iCs w:val="0"/>
                <w:color w:val="auto"/>
                <w:szCs w:val="21"/>
                <w:lang w:val="en-US" w:eastAsia="zh-CN"/>
              </w:rPr>
            </w:pPr>
            <w:r>
              <w:rPr>
                <w:rFonts w:hint="eastAsia" w:ascii="宋体" w:hAnsi="宋体"/>
                <w:i w:val="0"/>
                <w:iCs w:val="0"/>
                <w:color w:val="auto"/>
                <w:szCs w:val="21"/>
                <w:lang w:val="en-US" w:eastAsia="zh-CN"/>
              </w:rPr>
              <w:t>仪陇县人民医院、仪陇县来仪乡卫生院</w:t>
            </w:r>
          </w:p>
        </w:tc>
        <w:tc>
          <w:tcPr>
            <w:tcW w:w="1084" w:type="dxa"/>
            <w:noWrap w:val="0"/>
            <w:vAlign w:val="center"/>
          </w:tcPr>
          <w:p>
            <w:pPr>
              <w:spacing w:line="460" w:lineRule="exact"/>
              <w:jc w:val="center"/>
              <w:rPr>
                <w:rFonts w:hint="eastAsia" w:ascii="宋体" w:hAnsi="宋体"/>
                <w:i w:val="0"/>
                <w:iCs w:val="0"/>
                <w:color w:val="auto"/>
                <w:szCs w:val="21"/>
              </w:rPr>
            </w:pPr>
            <w:r>
              <w:rPr>
                <w:rFonts w:hint="eastAsia" w:ascii="宋体" w:hAnsi="宋体"/>
                <w:i w:val="0"/>
                <w:iCs w:val="0"/>
                <w:color w:val="auto"/>
                <w:szCs w:val="21"/>
                <w:lang w:eastAsia="zh-CN"/>
              </w:rPr>
              <w:t>邓宝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jc w:val="center"/>
        </w:trPr>
        <w:tc>
          <w:tcPr>
            <w:tcW w:w="717" w:type="dxa"/>
            <w:noWrap w:val="0"/>
            <w:vAlign w:val="center"/>
          </w:tcPr>
          <w:p>
            <w:pPr>
              <w:spacing w:line="460" w:lineRule="exact"/>
              <w:rPr>
                <w:rFonts w:ascii="宋体" w:hAnsi="宋体"/>
                <w:i w:val="0"/>
                <w:iCs w:val="0"/>
                <w:color w:val="auto"/>
                <w:szCs w:val="21"/>
              </w:rPr>
            </w:pPr>
            <w:r>
              <w:rPr>
                <w:rFonts w:hint="eastAsia" w:ascii="宋体" w:hAnsi="宋体"/>
                <w:i w:val="0"/>
                <w:iCs w:val="0"/>
                <w:color w:val="auto"/>
                <w:szCs w:val="21"/>
                <w:lang w:val="en-US" w:eastAsia="zh-CN"/>
              </w:rPr>
              <w:t>12</w:t>
            </w:r>
            <w:r>
              <w:rPr>
                <w:rFonts w:hint="eastAsia" w:ascii="宋体" w:hAnsi="宋体"/>
                <w:i w:val="0"/>
                <w:iCs w:val="0"/>
                <w:color w:val="auto"/>
                <w:szCs w:val="21"/>
              </w:rPr>
              <w:t>）</w:t>
            </w:r>
          </w:p>
        </w:tc>
        <w:tc>
          <w:tcPr>
            <w:tcW w:w="1742" w:type="dxa"/>
            <w:noWrap w:val="0"/>
            <w:vAlign w:val="top"/>
          </w:tcPr>
          <w:p>
            <w:pPr>
              <w:spacing w:line="440" w:lineRule="exact"/>
              <w:ind w:firstLine="105" w:firstLineChars="50"/>
              <w:rPr>
                <w:rFonts w:ascii="宋体" w:hAnsi="宋体"/>
                <w:i w:val="0"/>
                <w:iCs w:val="0"/>
                <w:color w:val="auto"/>
                <w:szCs w:val="21"/>
              </w:rPr>
            </w:pPr>
            <w:r>
              <w:rPr>
                <w:rFonts w:hint="eastAsia" w:ascii="宋体" w:hAnsi="宋体"/>
                <w:i w:val="0"/>
                <w:iCs w:val="0"/>
                <w:color w:val="auto"/>
                <w:szCs w:val="21"/>
              </w:rPr>
              <w:t>急救医生</w:t>
            </w:r>
          </w:p>
        </w:tc>
        <w:tc>
          <w:tcPr>
            <w:tcW w:w="765" w:type="dxa"/>
            <w:noWrap w:val="0"/>
            <w:vAlign w:val="top"/>
          </w:tcPr>
          <w:p>
            <w:pPr>
              <w:spacing w:line="440" w:lineRule="exact"/>
              <w:ind w:firstLine="105" w:firstLineChars="50"/>
              <w:jc w:val="center"/>
              <w:rPr>
                <w:rFonts w:hint="default" w:ascii="宋体" w:hAnsi="宋体" w:eastAsia="宋体"/>
                <w:i w:val="0"/>
                <w:iCs w:val="0"/>
                <w:color w:val="auto"/>
                <w:szCs w:val="21"/>
                <w:lang w:val="en-US" w:eastAsia="zh-CN"/>
              </w:rPr>
            </w:pPr>
            <w:r>
              <w:rPr>
                <w:rFonts w:hint="eastAsia" w:ascii="宋体" w:hAnsi="宋体" w:eastAsia="宋体"/>
                <w:i w:val="0"/>
                <w:iCs w:val="0"/>
                <w:color w:val="auto"/>
                <w:szCs w:val="21"/>
                <w:lang w:val="en-US" w:eastAsia="zh-CN"/>
              </w:rPr>
              <w:t>10</w:t>
            </w:r>
          </w:p>
        </w:tc>
        <w:tc>
          <w:tcPr>
            <w:tcW w:w="780" w:type="dxa"/>
            <w:noWrap w:val="0"/>
            <w:vAlign w:val="center"/>
          </w:tcPr>
          <w:p>
            <w:pPr>
              <w:spacing w:line="460" w:lineRule="exact"/>
              <w:jc w:val="center"/>
              <w:rPr>
                <w:rFonts w:ascii="宋体" w:hAnsi="宋体"/>
                <w:i w:val="0"/>
                <w:iCs w:val="0"/>
                <w:color w:val="auto"/>
                <w:szCs w:val="21"/>
              </w:rPr>
            </w:pPr>
            <w:r>
              <w:rPr>
                <w:rFonts w:hint="eastAsia" w:ascii="宋体" w:hAnsi="宋体"/>
                <w:i w:val="0"/>
                <w:iCs w:val="0"/>
                <w:color w:val="auto"/>
                <w:szCs w:val="21"/>
              </w:rPr>
              <w:t>人</w:t>
            </w:r>
          </w:p>
        </w:tc>
        <w:tc>
          <w:tcPr>
            <w:tcW w:w="4216" w:type="dxa"/>
            <w:noWrap w:val="0"/>
            <w:vAlign w:val="center"/>
          </w:tcPr>
          <w:p>
            <w:pPr>
              <w:rPr>
                <w:rFonts w:hint="eastAsia" w:ascii="宋体" w:hAnsi="宋体"/>
                <w:i w:val="0"/>
                <w:iCs w:val="0"/>
                <w:color w:val="auto"/>
                <w:szCs w:val="21"/>
                <w:lang w:val="en-US" w:eastAsia="zh-CN"/>
              </w:rPr>
            </w:pPr>
            <w:r>
              <w:rPr>
                <w:rFonts w:hint="eastAsia" w:ascii="宋体" w:hAnsi="宋体"/>
                <w:i w:val="0"/>
                <w:iCs w:val="0"/>
                <w:color w:val="auto"/>
                <w:szCs w:val="21"/>
                <w:lang w:val="en-US" w:eastAsia="zh-CN"/>
              </w:rPr>
              <w:t>仪陇县人民医院、仪陇县来仪乡卫生院</w:t>
            </w:r>
          </w:p>
        </w:tc>
        <w:tc>
          <w:tcPr>
            <w:tcW w:w="1084" w:type="dxa"/>
            <w:noWrap w:val="0"/>
            <w:vAlign w:val="center"/>
          </w:tcPr>
          <w:p>
            <w:pPr>
              <w:spacing w:line="460" w:lineRule="exact"/>
              <w:jc w:val="center"/>
              <w:rPr>
                <w:rFonts w:hint="eastAsia" w:ascii="宋体" w:hAnsi="宋体"/>
                <w:i w:val="0"/>
                <w:iCs w:val="0"/>
                <w:color w:val="auto"/>
                <w:szCs w:val="21"/>
              </w:rPr>
            </w:pPr>
            <w:r>
              <w:rPr>
                <w:rFonts w:hint="eastAsia" w:ascii="宋体" w:hAnsi="宋体"/>
                <w:i w:val="0"/>
                <w:iCs w:val="0"/>
                <w:color w:val="auto"/>
                <w:szCs w:val="21"/>
                <w:lang w:eastAsia="zh-CN"/>
              </w:rPr>
              <w:t>邓宝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7" w:type="dxa"/>
            <w:noWrap w:val="0"/>
            <w:vAlign w:val="center"/>
          </w:tcPr>
          <w:p>
            <w:pPr>
              <w:numPr>
                <w:ilvl w:val="0"/>
                <w:numId w:val="0"/>
              </w:numPr>
              <w:tabs>
                <w:tab w:val="left" w:pos="360"/>
              </w:tabs>
              <w:spacing w:line="460" w:lineRule="exact"/>
              <w:ind w:leftChars="0"/>
              <w:jc w:val="both"/>
              <w:rPr>
                <w:rFonts w:ascii="宋体" w:hAnsi="宋体"/>
                <w:i w:val="0"/>
                <w:iCs w:val="0"/>
                <w:color w:val="auto"/>
                <w:szCs w:val="21"/>
              </w:rPr>
            </w:pPr>
            <w:r>
              <w:rPr>
                <w:rFonts w:hint="eastAsia" w:ascii="宋体" w:hAnsi="宋体"/>
                <w:i w:val="0"/>
                <w:iCs w:val="0"/>
                <w:color w:val="auto"/>
                <w:szCs w:val="21"/>
                <w:lang w:val="en-US" w:eastAsia="zh-CN"/>
              </w:rPr>
              <w:t>13</w:t>
            </w:r>
            <w:r>
              <w:rPr>
                <w:rFonts w:hint="eastAsia" w:ascii="宋体" w:hAnsi="宋体"/>
                <w:i w:val="0"/>
                <w:iCs w:val="0"/>
                <w:color w:val="auto"/>
                <w:szCs w:val="21"/>
              </w:rPr>
              <w:t>）</w:t>
            </w:r>
          </w:p>
        </w:tc>
        <w:tc>
          <w:tcPr>
            <w:tcW w:w="1742" w:type="dxa"/>
            <w:noWrap w:val="0"/>
            <w:vAlign w:val="top"/>
          </w:tcPr>
          <w:p>
            <w:pPr>
              <w:spacing w:line="440" w:lineRule="exact"/>
              <w:ind w:firstLine="105" w:firstLineChars="50"/>
              <w:rPr>
                <w:rFonts w:ascii="宋体" w:hAnsi="宋体"/>
                <w:i w:val="0"/>
                <w:iCs w:val="0"/>
                <w:color w:val="auto"/>
                <w:szCs w:val="21"/>
              </w:rPr>
            </w:pPr>
            <w:r>
              <w:rPr>
                <w:rFonts w:hint="eastAsia" w:ascii="宋体" w:hAnsi="宋体"/>
                <w:i w:val="0"/>
                <w:iCs w:val="0"/>
                <w:color w:val="auto"/>
                <w:szCs w:val="21"/>
              </w:rPr>
              <w:t>急救护士</w:t>
            </w:r>
          </w:p>
        </w:tc>
        <w:tc>
          <w:tcPr>
            <w:tcW w:w="765" w:type="dxa"/>
            <w:noWrap w:val="0"/>
            <w:vAlign w:val="top"/>
          </w:tcPr>
          <w:p>
            <w:pPr>
              <w:spacing w:line="440" w:lineRule="exact"/>
              <w:ind w:firstLine="105" w:firstLineChars="50"/>
              <w:jc w:val="center"/>
              <w:rPr>
                <w:rFonts w:hint="default" w:ascii="宋体" w:hAnsi="宋体" w:eastAsia="宋体"/>
                <w:i w:val="0"/>
                <w:iCs w:val="0"/>
                <w:color w:val="auto"/>
                <w:szCs w:val="21"/>
                <w:lang w:val="en-US" w:eastAsia="zh-CN"/>
              </w:rPr>
            </w:pPr>
            <w:r>
              <w:rPr>
                <w:rFonts w:hint="eastAsia" w:ascii="宋体" w:hAnsi="宋体" w:eastAsia="宋体"/>
                <w:i w:val="0"/>
                <w:iCs w:val="0"/>
                <w:color w:val="auto"/>
                <w:szCs w:val="21"/>
                <w:lang w:val="en-US" w:eastAsia="zh-CN"/>
              </w:rPr>
              <w:t>19</w:t>
            </w:r>
          </w:p>
        </w:tc>
        <w:tc>
          <w:tcPr>
            <w:tcW w:w="780" w:type="dxa"/>
            <w:noWrap w:val="0"/>
            <w:vAlign w:val="center"/>
          </w:tcPr>
          <w:p>
            <w:pPr>
              <w:spacing w:line="460" w:lineRule="exact"/>
              <w:jc w:val="center"/>
              <w:rPr>
                <w:rFonts w:ascii="宋体" w:hAnsi="宋体"/>
                <w:i w:val="0"/>
                <w:iCs w:val="0"/>
                <w:color w:val="auto"/>
                <w:szCs w:val="21"/>
              </w:rPr>
            </w:pPr>
            <w:r>
              <w:rPr>
                <w:rFonts w:hint="eastAsia" w:ascii="宋体" w:hAnsi="宋体"/>
                <w:i w:val="0"/>
                <w:iCs w:val="0"/>
                <w:color w:val="auto"/>
                <w:szCs w:val="21"/>
              </w:rPr>
              <w:t>人</w:t>
            </w:r>
          </w:p>
        </w:tc>
        <w:tc>
          <w:tcPr>
            <w:tcW w:w="4216" w:type="dxa"/>
            <w:noWrap w:val="0"/>
            <w:vAlign w:val="top"/>
          </w:tcPr>
          <w:p>
            <w:pPr>
              <w:rPr>
                <w:rFonts w:hint="eastAsia" w:ascii="宋体" w:hAnsi="宋体"/>
                <w:i w:val="0"/>
                <w:iCs w:val="0"/>
                <w:color w:val="auto"/>
                <w:szCs w:val="21"/>
                <w:lang w:val="en-US" w:eastAsia="zh-CN"/>
              </w:rPr>
            </w:pPr>
            <w:r>
              <w:rPr>
                <w:rFonts w:hint="eastAsia" w:ascii="宋体" w:hAnsi="宋体"/>
                <w:i w:val="0"/>
                <w:iCs w:val="0"/>
                <w:color w:val="auto"/>
                <w:szCs w:val="21"/>
                <w:lang w:val="en-US" w:eastAsia="zh-CN"/>
              </w:rPr>
              <w:t>仪陇县人民医院、仪陇县来仪乡卫生院</w:t>
            </w:r>
          </w:p>
        </w:tc>
        <w:tc>
          <w:tcPr>
            <w:tcW w:w="1084" w:type="dxa"/>
            <w:noWrap w:val="0"/>
            <w:vAlign w:val="center"/>
          </w:tcPr>
          <w:p>
            <w:pPr>
              <w:spacing w:line="460" w:lineRule="exact"/>
              <w:jc w:val="center"/>
              <w:rPr>
                <w:rFonts w:hint="eastAsia" w:ascii="宋体" w:hAnsi="宋体"/>
                <w:i w:val="0"/>
                <w:iCs w:val="0"/>
                <w:color w:val="auto"/>
                <w:szCs w:val="21"/>
              </w:rPr>
            </w:pPr>
            <w:r>
              <w:rPr>
                <w:rFonts w:hint="eastAsia" w:ascii="宋体" w:hAnsi="宋体"/>
                <w:i w:val="0"/>
                <w:iCs w:val="0"/>
                <w:color w:val="auto"/>
                <w:szCs w:val="21"/>
                <w:lang w:eastAsia="zh-CN"/>
              </w:rPr>
              <w:t>邓宝</w:t>
            </w:r>
          </w:p>
        </w:tc>
      </w:tr>
      <w:bookmarkEnd w:id="44"/>
    </w:tbl>
    <w:p>
      <w:pPr>
        <w:rPr>
          <w:rFonts w:hint="eastAsia" w:ascii="黑体" w:hAnsi="宋体" w:eastAsia="黑体"/>
          <w:b/>
          <w:sz w:val="32"/>
          <w:szCs w:val="32"/>
          <w:lang w:val="en-US" w:eastAsia="zh-CN"/>
        </w:rPr>
      </w:pPr>
      <w:r>
        <w:rPr>
          <w:rFonts w:hint="eastAsia" w:ascii="黑体" w:hAnsi="宋体" w:eastAsia="黑体"/>
          <w:b/>
          <w:sz w:val="32"/>
          <w:szCs w:val="32"/>
          <w:lang w:val="en-US" w:eastAsia="zh-CN"/>
        </w:rPr>
        <w:br w:type="page"/>
      </w:r>
    </w:p>
    <w:p>
      <w:pPr>
        <w:spacing w:line="360" w:lineRule="auto"/>
        <w:jc w:val="center"/>
        <w:outlineLvl w:val="0"/>
        <w:rPr>
          <w:rFonts w:hint="eastAsia" w:ascii="黑体" w:hAnsi="宋体" w:eastAsia="黑体"/>
          <w:b/>
          <w:sz w:val="32"/>
          <w:szCs w:val="32"/>
          <w:lang w:val="en-US" w:eastAsia="zh-CN"/>
        </w:rPr>
      </w:pPr>
      <w:bookmarkStart w:id="87" w:name="_Toc31109"/>
      <w:r>
        <w:rPr>
          <w:rFonts w:hint="eastAsia" w:ascii="黑体" w:hAnsi="宋体" w:eastAsia="黑体"/>
          <w:b/>
          <w:sz w:val="32"/>
          <w:szCs w:val="32"/>
          <w:lang w:val="en-US" w:eastAsia="zh-CN"/>
        </w:rPr>
        <w:t>3危险、有害因素辨识</w:t>
      </w:r>
      <w:bookmarkEnd w:id="87"/>
    </w:p>
    <w:p>
      <w:pPr>
        <w:pStyle w:val="8"/>
        <w:spacing w:line="360" w:lineRule="auto"/>
        <w:ind w:firstLine="0" w:firstLineChars="0"/>
        <w:outlineLvl w:val="1"/>
        <w:rPr>
          <w:rFonts w:hint="eastAsia" w:ascii="黑体" w:eastAsia="黑体"/>
          <w:b/>
          <w:snapToGrid w:val="0"/>
          <w:kern w:val="0"/>
          <w:sz w:val="32"/>
          <w:szCs w:val="32"/>
        </w:rPr>
      </w:pPr>
      <w:bookmarkStart w:id="88" w:name="_Toc30818"/>
      <w:r>
        <w:rPr>
          <w:rFonts w:hint="eastAsia" w:ascii="黑体" w:eastAsia="黑体"/>
          <w:b/>
          <w:snapToGrid w:val="0"/>
          <w:kern w:val="0"/>
          <w:sz w:val="32"/>
          <w:szCs w:val="32"/>
          <w:lang w:val="en-US" w:eastAsia="zh-CN"/>
        </w:rPr>
        <w:t>3</w:t>
      </w:r>
      <w:r>
        <w:rPr>
          <w:rFonts w:hint="eastAsia" w:ascii="黑体" w:eastAsia="黑体"/>
          <w:b/>
          <w:snapToGrid w:val="0"/>
          <w:kern w:val="0"/>
          <w:sz w:val="32"/>
          <w:szCs w:val="32"/>
          <w:lang w:eastAsia="zh-CN"/>
        </w:rPr>
        <w:t>.</w:t>
      </w:r>
      <w:r>
        <w:rPr>
          <w:rFonts w:hint="eastAsia" w:ascii="黑体" w:eastAsia="黑体"/>
          <w:b/>
          <w:snapToGrid w:val="0"/>
          <w:kern w:val="0"/>
          <w:sz w:val="32"/>
          <w:szCs w:val="32"/>
        </w:rPr>
        <w:t>1 危险、有害因素辨识的目的</w:t>
      </w:r>
      <w:bookmarkEnd w:id="37"/>
      <w:bookmarkEnd w:id="38"/>
      <w:bookmarkEnd w:id="88"/>
    </w:p>
    <w:p>
      <w:pPr>
        <w:autoSpaceDE w:val="0"/>
        <w:autoSpaceDN w:val="0"/>
        <w:adjustRightInd w:val="0"/>
        <w:spacing w:line="360" w:lineRule="auto"/>
        <w:ind w:firstLine="560" w:firstLineChars="200"/>
        <w:rPr>
          <w:rFonts w:hint="eastAsia" w:ascii="宋体" w:hAnsi="宋体"/>
          <w:snapToGrid w:val="0"/>
          <w:kern w:val="0"/>
          <w:sz w:val="28"/>
          <w:szCs w:val="28"/>
        </w:rPr>
      </w:pPr>
      <w:r>
        <w:rPr>
          <w:rFonts w:hint="eastAsia" w:ascii="宋体" w:hAnsi="宋体"/>
          <w:snapToGrid w:val="0"/>
          <w:kern w:val="0"/>
          <w:sz w:val="28"/>
          <w:szCs w:val="28"/>
        </w:rPr>
        <w:t>危险、有害因素是指能造成人员伤亡或影响人体健康、导致疾病和对物造成突发性或慢性损坏的因素。充分识别并掌握</w:t>
      </w:r>
      <w:r>
        <w:rPr>
          <w:rFonts w:hint="eastAsia" w:ascii="宋体" w:hAnsi="宋体"/>
          <w:snapToGrid w:val="0"/>
          <w:kern w:val="0"/>
          <w:sz w:val="28"/>
          <w:szCs w:val="28"/>
          <w:lang w:eastAsia="zh-CN"/>
        </w:rPr>
        <w:t>公司</w:t>
      </w:r>
      <w:r>
        <w:rPr>
          <w:rFonts w:hint="eastAsia" w:ascii="宋体" w:hAnsi="宋体"/>
          <w:snapToGrid w:val="0"/>
          <w:kern w:val="0"/>
          <w:sz w:val="28"/>
          <w:szCs w:val="28"/>
        </w:rPr>
        <w:t>生产系统中的危险有害因素，为企业有效减少人员伤亡和财产损失，确保生产安全具有重要意义；为企业</w:t>
      </w:r>
      <w:r>
        <w:rPr>
          <w:rFonts w:ascii="宋体" w:hAnsi="宋体"/>
          <w:snapToGrid w:val="0"/>
          <w:kern w:val="0"/>
          <w:sz w:val="28"/>
          <w:szCs w:val="28"/>
        </w:rPr>
        <w:t>在</w:t>
      </w:r>
      <w:r>
        <w:rPr>
          <w:rFonts w:hint="eastAsia" w:ascii="宋体" w:hAnsi="宋体"/>
          <w:snapToGrid w:val="0"/>
          <w:kern w:val="0"/>
          <w:sz w:val="28"/>
          <w:szCs w:val="28"/>
        </w:rPr>
        <w:t>实际生产中查找事故隐患并制定整改措施、制定事故应急救援预案</w:t>
      </w:r>
      <w:r>
        <w:rPr>
          <w:rFonts w:ascii="宋体" w:hAnsi="宋体"/>
          <w:snapToGrid w:val="0"/>
          <w:kern w:val="0"/>
          <w:sz w:val="28"/>
          <w:szCs w:val="28"/>
        </w:rPr>
        <w:t>指明方向。</w:t>
      </w:r>
    </w:p>
    <w:p>
      <w:pPr>
        <w:pStyle w:val="8"/>
        <w:spacing w:line="360" w:lineRule="auto"/>
        <w:ind w:firstLine="0" w:firstLineChars="0"/>
        <w:outlineLvl w:val="1"/>
        <w:rPr>
          <w:rFonts w:ascii="黑体" w:eastAsia="黑体"/>
          <w:b/>
          <w:snapToGrid w:val="0"/>
          <w:kern w:val="0"/>
          <w:sz w:val="32"/>
          <w:szCs w:val="32"/>
        </w:rPr>
      </w:pPr>
      <w:bookmarkStart w:id="89" w:name="_Toc514342839"/>
      <w:bookmarkStart w:id="90" w:name="_Toc356401484"/>
      <w:bookmarkStart w:id="91" w:name="_Toc14755"/>
      <w:bookmarkStart w:id="92" w:name="_Toc350781091"/>
      <w:bookmarkStart w:id="93" w:name="_Toc480804387"/>
      <w:r>
        <w:rPr>
          <w:rFonts w:hint="eastAsia" w:ascii="黑体" w:eastAsia="黑体"/>
          <w:b/>
          <w:snapToGrid w:val="0"/>
          <w:kern w:val="0"/>
          <w:sz w:val="32"/>
          <w:szCs w:val="32"/>
          <w:lang w:val="en-US" w:eastAsia="zh-CN"/>
        </w:rPr>
        <w:t>3</w:t>
      </w:r>
      <w:r>
        <w:rPr>
          <w:rFonts w:hint="eastAsia" w:ascii="黑体" w:eastAsia="黑体"/>
          <w:b/>
          <w:snapToGrid w:val="0"/>
          <w:kern w:val="0"/>
          <w:sz w:val="32"/>
          <w:szCs w:val="32"/>
          <w:lang w:eastAsia="zh-CN"/>
        </w:rPr>
        <w:t>.</w:t>
      </w:r>
      <w:r>
        <w:rPr>
          <w:rFonts w:hint="eastAsia" w:ascii="黑体" w:eastAsia="黑体"/>
          <w:b/>
          <w:snapToGrid w:val="0"/>
          <w:kern w:val="0"/>
          <w:sz w:val="32"/>
          <w:szCs w:val="32"/>
        </w:rPr>
        <w:t>2 危险、有害因素辨识的依据</w:t>
      </w:r>
      <w:bookmarkEnd w:id="89"/>
      <w:bookmarkEnd w:id="90"/>
      <w:bookmarkEnd w:id="91"/>
      <w:bookmarkEnd w:id="92"/>
      <w:bookmarkEnd w:id="93"/>
    </w:p>
    <w:p>
      <w:pPr>
        <w:adjustRightInd w:val="0"/>
        <w:snapToGrid w:val="0"/>
        <w:spacing w:line="360" w:lineRule="auto"/>
        <w:ind w:firstLine="560" w:firstLineChars="200"/>
        <w:rPr>
          <w:rFonts w:ascii="宋体" w:hAnsi="宋体"/>
          <w:snapToGrid w:val="0"/>
          <w:kern w:val="0"/>
          <w:sz w:val="28"/>
          <w:szCs w:val="28"/>
        </w:rPr>
      </w:pPr>
      <w:r>
        <w:rPr>
          <w:rFonts w:ascii="宋体" w:hAnsi="宋体"/>
          <w:snapToGrid w:val="0"/>
          <w:kern w:val="0"/>
          <w:sz w:val="28"/>
          <w:szCs w:val="28"/>
        </w:rPr>
        <w:t>（1）按照《危险化学品名录（20</w:t>
      </w:r>
      <w:r>
        <w:rPr>
          <w:rFonts w:hint="eastAsia" w:ascii="宋体" w:hAnsi="宋体"/>
          <w:snapToGrid w:val="0"/>
          <w:kern w:val="0"/>
          <w:sz w:val="28"/>
          <w:szCs w:val="28"/>
        </w:rPr>
        <w:t>1</w:t>
      </w:r>
      <w:r>
        <w:rPr>
          <w:rFonts w:hint="eastAsia" w:ascii="宋体" w:hAnsi="宋体"/>
          <w:snapToGrid w:val="0"/>
          <w:kern w:val="0"/>
          <w:sz w:val="28"/>
          <w:szCs w:val="28"/>
          <w:lang w:val="en-US" w:eastAsia="zh-CN"/>
        </w:rPr>
        <w:t>8</w:t>
      </w:r>
      <w:r>
        <w:rPr>
          <w:rFonts w:ascii="宋体" w:hAnsi="宋体"/>
          <w:snapToGrid w:val="0"/>
          <w:kern w:val="0"/>
          <w:sz w:val="28"/>
          <w:szCs w:val="28"/>
        </w:rPr>
        <w:t>版）》将有害物质分为爆炸品、压缩气体和液化气体、易燃液体、易燃固体、自燃物品和遇湿易燃物品、氧化剂和有机过氧化物、毒害品和感染性物品、腐蚀品8大类，对系统中使用的物质及产品进行辨识与分析。</w:t>
      </w:r>
    </w:p>
    <w:p>
      <w:pPr>
        <w:adjustRightInd w:val="0"/>
        <w:snapToGrid w:val="0"/>
        <w:spacing w:line="360" w:lineRule="auto"/>
        <w:ind w:firstLine="560" w:firstLineChars="200"/>
        <w:rPr>
          <w:rFonts w:ascii="宋体" w:hAnsi="宋体"/>
          <w:snapToGrid w:val="0"/>
          <w:kern w:val="0"/>
          <w:sz w:val="28"/>
          <w:szCs w:val="28"/>
        </w:rPr>
      </w:pPr>
      <w:r>
        <w:rPr>
          <w:rFonts w:ascii="宋体" w:hAnsi="宋体"/>
          <w:snapToGrid w:val="0"/>
          <w:kern w:val="0"/>
          <w:sz w:val="28"/>
          <w:szCs w:val="28"/>
        </w:rPr>
        <w:t>（2）根据《危险化学品重大危险源辨识》（</w:t>
      </w:r>
      <w:r>
        <w:rPr>
          <w:rFonts w:hint="eastAsia" w:ascii="宋体" w:hAnsi="宋体"/>
          <w:snapToGrid w:val="0"/>
          <w:kern w:val="0"/>
          <w:sz w:val="28"/>
          <w:szCs w:val="28"/>
          <w:lang w:eastAsia="zh-CN"/>
        </w:rPr>
        <w:t>GB18218-2018</w:t>
      </w:r>
      <w:r>
        <w:rPr>
          <w:rFonts w:ascii="宋体" w:hAnsi="宋体"/>
          <w:snapToGrid w:val="0"/>
          <w:kern w:val="0"/>
          <w:sz w:val="28"/>
          <w:szCs w:val="28"/>
        </w:rPr>
        <w:t>），对</w:t>
      </w:r>
      <w:r>
        <w:rPr>
          <w:rFonts w:hint="eastAsia" w:ascii="宋体" w:hAnsi="宋体"/>
          <w:snapToGrid w:val="0"/>
          <w:kern w:val="0"/>
          <w:sz w:val="28"/>
          <w:szCs w:val="28"/>
          <w:lang w:eastAsia="zh-CN"/>
        </w:rPr>
        <w:t>厂区</w:t>
      </w:r>
      <w:r>
        <w:rPr>
          <w:rFonts w:ascii="宋体" w:hAnsi="宋体"/>
          <w:snapToGrid w:val="0"/>
          <w:kern w:val="0"/>
          <w:sz w:val="28"/>
          <w:szCs w:val="28"/>
        </w:rPr>
        <w:t>中使用到的各种物质进行重大危险源的计算与辨识。</w:t>
      </w:r>
    </w:p>
    <w:p>
      <w:pPr>
        <w:adjustRightInd w:val="0"/>
        <w:snapToGrid w:val="0"/>
        <w:spacing w:line="360" w:lineRule="auto"/>
        <w:ind w:firstLine="560" w:firstLineChars="200"/>
        <w:rPr>
          <w:rFonts w:ascii="宋体" w:hAnsi="宋体"/>
          <w:snapToGrid w:val="0"/>
          <w:kern w:val="0"/>
          <w:sz w:val="28"/>
          <w:szCs w:val="28"/>
        </w:rPr>
      </w:pPr>
      <w:r>
        <w:rPr>
          <w:rFonts w:ascii="宋体" w:hAnsi="宋体"/>
          <w:snapToGrid w:val="0"/>
          <w:kern w:val="0"/>
          <w:sz w:val="28"/>
          <w:szCs w:val="28"/>
        </w:rPr>
        <w:t>（3）参照《企业职工伤亡事故分类》（GB6441-1986），综合考虑起因物、引发事故的诱导性原因、致害物、伤害方式等，将事故分为物体打击、车辆伤害、机械伤害、起重伤害、触电等20类，对系统中作业场所按照事故类型进行辨识与分析。</w:t>
      </w:r>
    </w:p>
    <w:p>
      <w:pPr>
        <w:adjustRightInd w:val="0"/>
        <w:snapToGrid w:val="0"/>
        <w:spacing w:line="360" w:lineRule="auto"/>
        <w:ind w:firstLine="560" w:firstLineChars="200"/>
        <w:rPr>
          <w:rFonts w:ascii="宋体" w:hAnsi="宋体"/>
          <w:snapToGrid w:val="0"/>
          <w:kern w:val="0"/>
          <w:sz w:val="28"/>
          <w:szCs w:val="28"/>
        </w:rPr>
      </w:pPr>
      <w:r>
        <w:rPr>
          <w:rFonts w:ascii="宋体" w:hAnsi="宋体"/>
          <w:snapToGrid w:val="0"/>
          <w:kern w:val="0"/>
          <w:sz w:val="28"/>
          <w:szCs w:val="28"/>
        </w:rPr>
        <w:t>（4）根据《生产过程危险和危害因素分类与代码》（GB/T13861-2009）对</w:t>
      </w:r>
      <w:r>
        <w:rPr>
          <w:rFonts w:hint="eastAsia" w:ascii="宋体" w:hAnsi="宋体"/>
          <w:snapToGrid w:val="0"/>
          <w:kern w:val="0"/>
          <w:sz w:val="28"/>
          <w:szCs w:val="28"/>
          <w:lang w:eastAsia="zh-CN"/>
        </w:rPr>
        <w:t>厂区</w:t>
      </w:r>
      <w:r>
        <w:rPr>
          <w:rFonts w:ascii="宋体" w:hAnsi="宋体"/>
          <w:snapToGrid w:val="0"/>
          <w:kern w:val="0"/>
          <w:sz w:val="28"/>
          <w:szCs w:val="28"/>
        </w:rPr>
        <w:t>生产过程中的危险、有害因素进行辨识与分析。</w:t>
      </w:r>
    </w:p>
    <w:p>
      <w:pPr>
        <w:spacing w:line="360" w:lineRule="auto"/>
        <w:ind w:firstLine="560" w:firstLineChars="200"/>
        <w:textAlignment w:val="baseline"/>
        <w:rPr>
          <w:rFonts w:hint="eastAsia" w:ascii="宋体" w:hAnsi="宋体"/>
          <w:sz w:val="28"/>
          <w:szCs w:val="28"/>
        </w:rPr>
      </w:pPr>
      <w:bookmarkStart w:id="94" w:name="_Toc356401485"/>
      <w:bookmarkStart w:id="95" w:name="_Toc480804388"/>
      <w:bookmarkStart w:id="96" w:name="_Toc350781092"/>
      <w:r>
        <w:rPr>
          <w:rFonts w:hint="eastAsia" w:ascii="宋体" w:hAnsi="宋体"/>
          <w:sz w:val="28"/>
          <w:szCs w:val="28"/>
        </w:rPr>
        <w:t>（5）参照</w:t>
      </w:r>
      <w:r>
        <w:rPr>
          <w:rFonts w:hint="eastAsia" w:ascii="宋体" w:hAnsi="宋体"/>
          <w:bCs/>
          <w:sz w:val="28"/>
          <w:szCs w:val="28"/>
        </w:rPr>
        <w:t>《职业病危害因素分类》（</w:t>
      </w:r>
      <w:r>
        <w:rPr>
          <w:rFonts w:ascii="宋体" w:hAnsi="宋体"/>
          <w:bCs/>
          <w:sz w:val="28"/>
          <w:szCs w:val="28"/>
        </w:rPr>
        <w:t>国卫疾控发〔201</w:t>
      </w:r>
      <w:r>
        <w:rPr>
          <w:rFonts w:hint="eastAsia" w:ascii="宋体" w:hAnsi="宋体"/>
          <w:bCs/>
          <w:sz w:val="28"/>
          <w:szCs w:val="28"/>
        </w:rPr>
        <w:t>5</w:t>
      </w:r>
      <w:r>
        <w:rPr>
          <w:rFonts w:ascii="宋体" w:hAnsi="宋体"/>
          <w:bCs/>
          <w:sz w:val="28"/>
          <w:szCs w:val="28"/>
        </w:rPr>
        <w:t>〕</w:t>
      </w:r>
      <w:r>
        <w:rPr>
          <w:rFonts w:hint="eastAsia" w:ascii="宋体" w:hAnsi="宋体"/>
          <w:bCs/>
          <w:sz w:val="28"/>
          <w:szCs w:val="28"/>
        </w:rPr>
        <w:t>92</w:t>
      </w:r>
      <w:r>
        <w:rPr>
          <w:rFonts w:ascii="宋体" w:hAnsi="宋体"/>
          <w:bCs/>
          <w:sz w:val="28"/>
          <w:szCs w:val="28"/>
        </w:rPr>
        <w:t>号</w:t>
      </w:r>
      <w:r>
        <w:rPr>
          <w:rFonts w:hint="eastAsia" w:ascii="宋体" w:hAnsi="宋体"/>
          <w:bCs/>
          <w:sz w:val="28"/>
          <w:szCs w:val="28"/>
        </w:rPr>
        <w:t>）</w:t>
      </w:r>
      <w:r>
        <w:rPr>
          <w:rFonts w:hint="eastAsia" w:ascii="宋体" w:hAnsi="宋体"/>
          <w:sz w:val="28"/>
          <w:szCs w:val="28"/>
        </w:rPr>
        <w:t>对作业环境进行职业危害辨识与分析。</w:t>
      </w:r>
    </w:p>
    <w:p>
      <w:pPr>
        <w:pStyle w:val="8"/>
        <w:spacing w:line="360" w:lineRule="auto"/>
        <w:ind w:firstLine="0" w:firstLineChars="0"/>
        <w:outlineLvl w:val="1"/>
        <w:rPr>
          <w:rFonts w:hint="eastAsia" w:ascii="黑体" w:eastAsia="黑体"/>
          <w:b/>
          <w:snapToGrid w:val="0"/>
          <w:kern w:val="0"/>
          <w:sz w:val="32"/>
          <w:szCs w:val="32"/>
        </w:rPr>
      </w:pPr>
      <w:bookmarkStart w:id="97" w:name="_Toc7242"/>
      <w:bookmarkStart w:id="98" w:name="_Toc514342840"/>
      <w:r>
        <w:rPr>
          <w:rFonts w:hint="eastAsia" w:ascii="黑体" w:eastAsia="黑体"/>
          <w:b/>
          <w:snapToGrid w:val="0"/>
          <w:kern w:val="0"/>
          <w:sz w:val="32"/>
          <w:szCs w:val="32"/>
          <w:lang w:val="en-US" w:eastAsia="zh-CN"/>
        </w:rPr>
        <w:t>3</w:t>
      </w:r>
      <w:r>
        <w:rPr>
          <w:rFonts w:hint="eastAsia" w:ascii="黑体" w:eastAsia="黑体"/>
          <w:b/>
          <w:snapToGrid w:val="0"/>
          <w:kern w:val="0"/>
          <w:sz w:val="32"/>
          <w:szCs w:val="32"/>
          <w:lang w:eastAsia="zh-CN"/>
        </w:rPr>
        <w:t>.</w:t>
      </w:r>
      <w:r>
        <w:rPr>
          <w:rFonts w:hint="eastAsia" w:ascii="黑体" w:eastAsia="黑体"/>
          <w:b/>
          <w:snapToGrid w:val="0"/>
          <w:kern w:val="0"/>
          <w:sz w:val="32"/>
          <w:szCs w:val="32"/>
        </w:rPr>
        <w:t>3 危险、有害因素辨识的方法</w:t>
      </w:r>
      <w:bookmarkEnd w:id="94"/>
      <w:bookmarkEnd w:id="95"/>
      <w:bookmarkEnd w:id="96"/>
      <w:bookmarkEnd w:id="97"/>
      <w:bookmarkEnd w:id="98"/>
    </w:p>
    <w:p>
      <w:pPr>
        <w:spacing w:line="360" w:lineRule="auto"/>
        <w:ind w:firstLine="560" w:firstLineChars="200"/>
        <w:textAlignment w:val="baseline"/>
        <w:rPr>
          <w:rFonts w:ascii="宋体" w:hAnsi="宋体"/>
          <w:sz w:val="28"/>
          <w:szCs w:val="28"/>
        </w:rPr>
      </w:pPr>
      <w:r>
        <w:rPr>
          <w:rFonts w:hint="eastAsia" w:ascii="宋体" w:hAnsi="宋体"/>
          <w:sz w:val="28"/>
          <w:szCs w:val="28"/>
          <w:lang w:eastAsia="zh-CN"/>
        </w:rPr>
        <w:t>公司</w:t>
      </w:r>
      <w:r>
        <w:rPr>
          <w:rFonts w:ascii="宋体" w:hAnsi="宋体"/>
          <w:sz w:val="28"/>
          <w:szCs w:val="28"/>
        </w:rPr>
        <w:t>生产过程复杂，生产条件多变，涉及的危险、有害因素较多。必须选择适当的方法识别分析危险和有害因素，为制定相关的防范措施奠定基础。本次安全评价选用对照分析法和专家评议法对生产过程中主要危险、有害因素进行辨识。</w:t>
      </w:r>
    </w:p>
    <w:p>
      <w:pPr>
        <w:spacing w:line="360" w:lineRule="auto"/>
        <w:ind w:firstLine="560" w:firstLineChars="200"/>
        <w:rPr>
          <w:rFonts w:ascii="宋体" w:hAnsi="宋体"/>
          <w:snapToGrid w:val="0"/>
          <w:kern w:val="0"/>
          <w:sz w:val="28"/>
          <w:szCs w:val="28"/>
        </w:rPr>
      </w:pPr>
      <w:r>
        <w:rPr>
          <w:rFonts w:ascii="宋体" w:hAnsi="宋体"/>
          <w:snapToGrid w:val="0"/>
          <w:kern w:val="0"/>
          <w:sz w:val="28"/>
          <w:szCs w:val="28"/>
        </w:rPr>
        <w:t>⑴ 对照分析法</w:t>
      </w:r>
    </w:p>
    <w:p>
      <w:pPr>
        <w:spacing w:line="360" w:lineRule="auto"/>
        <w:ind w:firstLine="560" w:firstLineChars="200"/>
        <w:rPr>
          <w:rFonts w:ascii="宋体" w:hAnsi="宋体"/>
          <w:snapToGrid w:val="0"/>
          <w:kern w:val="0"/>
          <w:sz w:val="28"/>
          <w:szCs w:val="28"/>
        </w:rPr>
      </w:pPr>
      <w:r>
        <w:rPr>
          <w:rFonts w:ascii="宋体" w:hAnsi="宋体"/>
          <w:snapToGrid w:val="0"/>
          <w:kern w:val="0"/>
          <w:sz w:val="28"/>
          <w:szCs w:val="28"/>
        </w:rPr>
        <w:t>对照分析法是对照有关标准、规范、规程、法规或依靠分析人员的观察能力，借助其经验和判断能力，直观地对评价对象的危险因素进行分析的方法。</w:t>
      </w:r>
    </w:p>
    <w:p>
      <w:pPr>
        <w:spacing w:line="360" w:lineRule="auto"/>
        <w:ind w:firstLine="560" w:firstLineChars="200"/>
        <w:rPr>
          <w:rFonts w:ascii="宋体" w:hAnsi="宋体"/>
          <w:snapToGrid w:val="0"/>
          <w:kern w:val="0"/>
          <w:sz w:val="28"/>
          <w:szCs w:val="28"/>
        </w:rPr>
      </w:pPr>
      <w:r>
        <w:rPr>
          <w:rFonts w:ascii="宋体" w:hAnsi="宋体"/>
          <w:snapToGrid w:val="0"/>
          <w:kern w:val="0"/>
          <w:sz w:val="28"/>
          <w:szCs w:val="28"/>
        </w:rPr>
        <w:t>⑵ 专家评议法</w:t>
      </w:r>
    </w:p>
    <w:p>
      <w:pPr>
        <w:pStyle w:val="8"/>
        <w:spacing w:line="360" w:lineRule="auto"/>
        <w:ind w:firstLine="560"/>
        <w:rPr>
          <w:rFonts w:hint="eastAsia" w:ascii="宋体" w:hAnsi="宋体"/>
          <w:snapToGrid w:val="0"/>
          <w:kern w:val="0"/>
          <w:sz w:val="28"/>
          <w:szCs w:val="28"/>
        </w:rPr>
      </w:pPr>
      <w:r>
        <w:rPr>
          <w:rFonts w:ascii="宋体" w:hAnsi="宋体"/>
          <w:snapToGrid w:val="0"/>
          <w:kern w:val="0"/>
          <w:sz w:val="28"/>
          <w:szCs w:val="28"/>
        </w:rPr>
        <w:t>专家评议法是一种吸收专家参加，根据事物过去、现在及发展趋势，进行积极思维活动，对事物的未来进行分析、预测的方法。其实质是集</w:t>
      </w:r>
      <w:r>
        <w:rPr>
          <w:rFonts w:hint="eastAsia" w:ascii="宋体" w:hAnsi="宋体"/>
          <w:snapToGrid w:val="0"/>
          <w:kern w:val="0"/>
          <w:sz w:val="28"/>
          <w:szCs w:val="28"/>
        </w:rPr>
        <w:t>中技术</w:t>
      </w:r>
      <w:r>
        <w:rPr>
          <w:rFonts w:ascii="宋体" w:hAnsi="宋体"/>
          <w:snapToGrid w:val="0"/>
          <w:kern w:val="0"/>
          <w:sz w:val="28"/>
          <w:szCs w:val="28"/>
        </w:rPr>
        <w:t>专家的经验、知识和分析、推断能力来分析、识别危险、有害因素。</w:t>
      </w:r>
    </w:p>
    <w:p>
      <w:pPr>
        <w:pStyle w:val="8"/>
        <w:spacing w:line="360" w:lineRule="auto"/>
        <w:ind w:firstLine="0" w:firstLineChars="0"/>
        <w:outlineLvl w:val="1"/>
        <w:rPr>
          <w:rFonts w:hint="eastAsia" w:ascii="黑体" w:eastAsia="黑体"/>
          <w:b/>
          <w:snapToGrid w:val="0"/>
          <w:kern w:val="0"/>
          <w:sz w:val="32"/>
          <w:szCs w:val="32"/>
        </w:rPr>
      </w:pPr>
      <w:bookmarkStart w:id="99" w:name="_Toc514342841"/>
      <w:bookmarkStart w:id="100" w:name="_Toc356380973"/>
      <w:bookmarkStart w:id="101" w:name="_Toc8518"/>
      <w:bookmarkStart w:id="102" w:name="_Toc332350845"/>
      <w:bookmarkStart w:id="103" w:name="_Toc480804389"/>
      <w:bookmarkStart w:id="104" w:name="_Toc356401486"/>
      <w:bookmarkStart w:id="105" w:name="_Toc345593159"/>
      <w:bookmarkStart w:id="106" w:name="_Toc350781094"/>
      <w:r>
        <w:rPr>
          <w:rFonts w:hint="eastAsia" w:ascii="黑体" w:eastAsia="黑体"/>
          <w:b/>
          <w:snapToGrid w:val="0"/>
          <w:kern w:val="0"/>
          <w:sz w:val="32"/>
          <w:szCs w:val="32"/>
          <w:lang w:val="en-US" w:eastAsia="zh-CN"/>
        </w:rPr>
        <w:t>3</w:t>
      </w:r>
      <w:r>
        <w:rPr>
          <w:rFonts w:hint="eastAsia" w:ascii="黑体" w:eastAsia="黑体"/>
          <w:b/>
          <w:snapToGrid w:val="0"/>
          <w:kern w:val="0"/>
          <w:sz w:val="32"/>
          <w:szCs w:val="32"/>
          <w:lang w:eastAsia="zh-CN"/>
        </w:rPr>
        <w:t>.</w:t>
      </w:r>
      <w:r>
        <w:rPr>
          <w:rFonts w:hint="eastAsia" w:ascii="黑体" w:eastAsia="黑体"/>
          <w:b/>
          <w:snapToGrid w:val="0"/>
          <w:kern w:val="0"/>
          <w:sz w:val="32"/>
          <w:szCs w:val="32"/>
        </w:rPr>
        <w:t>4 主要危险、有害物质特性分析</w:t>
      </w:r>
      <w:bookmarkEnd w:id="99"/>
      <w:bookmarkEnd w:id="100"/>
      <w:bookmarkEnd w:id="101"/>
      <w:bookmarkEnd w:id="102"/>
      <w:bookmarkEnd w:id="103"/>
      <w:bookmarkEnd w:id="104"/>
      <w:bookmarkEnd w:id="105"/>
    </w:p>
    <w:p>
      <w:pPr>
        <w:pStyle w:val="8"/>
        <w:spacing w:line="360" w:lineRule="auto"/>
        <w:ind w:firstLine="560"/>
        <w:rPr>
          <w:rFonts w:hint="eastAsia" w:ascii="宋体" w:hAnsi="宋体"/>
          <w:snapToGrid w:val="0"/>
          <w:kern w:val="0"/>
          <w:sz w:val="28"/>
          <w:szCs w:val="28"/>
        </w:rPr>
      </w:pPr>
      <w:r>
        <w:rPr>
          <w:rFonts w:hint="eastAsia" w:ascii="宋体" w:hAnsi="宋体"/>
          <w:snapToGrid w:val="0"/>
          <w:kern w:val="0"/>
          <w:sz w:val="28"/>
          <w:szCs w:val="28"/>
        </w:rPr>
        <w:t>本系统主要使用煤炭作为燃料，点火时使用柴油。煤炭、柴油等物质在燃烧过程中，产生一氧化碳、二氧化碳及硫（磷）氧化物等危险、有害物质，对人体及周边环境造成影响。</w:t>
      </w:r>
    </w:p>
    <w:p>
      <w:pPr>
        <w:pStyle w:val="8"/>
        <w:spacing w:line="360" w:lineRule="auto"/>
        <w:ind w:firstLine="0" w:firstLineChars="0"/>
        <w:outlineLvl w:val="2"/>
        <w:rPr>
          <w:rFonts w:ascii="宋体" w:hAnsi="宋体"/>
          <w:b/>
          <w:snapToGrid w:val="0"/>
          <w:kern w:val="0"/>
          <w:sz w:val="28"/>
          <w:szCs w:val="28"/>
        </w:rPr>
      </w:pPr>
      <w:bookmarkStart w:id="107" w:name="_Toc480804390"/>
      <w:bookmarkStart w:id="108" w:name="_Toc356380974"/>
      <w:bookmarkStart w:id="109" w:name="_Toc514342842"/>
      <w:bookmarkStart w:id="110" w:name="_Toc356401487"/>
      <w:bookmarkStart w:id="111" w:name="_Toc332350846"/>
      <w:bookmarkStart w:id="112" w:name="_Toc27374"/>
      <w:r>
        <w:rPr>
          <w:rFonts w:hint="eastAsia" w:ascii="宋体" w:hAnsi="宋体"/>
          <w:b/>
          <w:snapToGrid w:val="0"/>
          <w:kern w:val="0"/>
          <w:sz w:val="28"/>
          <w:szCs w:val="28"/>
          <w:lang w:val="en-US" w:eastAsia="zh-CN"/>
        </w:rPr>
        <w:t>3</w:t>
      </w:r>
      <w:r>
        <w:rPr>
          <w:rFonts w:hint="eastAsia" w:ascii="宋体" w:hAnsi="宋体"/>
          <w:b/>
          <w:snapToGrid w:val="0"/>
          <w:kern w:val="0"/>
          <w:sz w:val="28"/>
          <w:szCs w:val="28"/>
          <w:lang w:eastAsia="zh-CN"/>
        </w:rPr>
        <w:t>.</w:t>
      </w:r>
      <w:r>
        <w:rPr>
          <w:rFonts w:hint="eastAsia" w:ascii="宋体" w:hAnsi="宋体"/>
          <w:b/>
          <w:snapToGrid w:val="0"/>
          <w:kern w:val="0"/>
          <w:sz w:val="28"/>
          <w:szCs w:val="28"/>
        </w:rPr>
        <w:t>4.1 煤</w:t>
      </w:r>
      <w:bookmarkEnd w:id="107"/>
      <w:bookmarkEnd w:id="108"/>
      <w:bookmarkEnd w:id="109"/>
      <w:bookmarkEnd w:id="110"/>
      <w:bookmarkEnd w:id="111"/>
      <w:bookmarkEnd w:id="112"/>
    </w:p>
    <w:p>
      <w:pPr>
        <w:spacing w:line="360" w:lineRule="auto"/>
        <w:ind w:firstLine="560" w:firstLineChars="200"/>
        <w:rPr>
          <w:rFonts w:hint="eastAsia" w:ascii="宋体" w:hAnsi="宋体"/>
          <w:sz w:val="28"/>
          <w:szCs w:val="28"/>
        </w:rPr>
      </w:pPr>
      <w:r>
        <w:rPr>
          <w:rFonts w:hint="eastAsia" w:ascii="宋体" w:hAnsi="宋体"/>
          <w:sz w:val="28"/>
          <w:szCs w:val="28"/>
        </w:rPr>
        <w:t>煤的主要元素是碳，其次是氢，并含有少量的氧、氮、硫。碳和氢是煤的主要可燃元素；氧是煤中的一种有害物质，因为它和碳、氢等可燃元素构成氧化物而使它们推动了进行燃烧的可能性；氮在一般情况下不参加燃烧反应，是燃料中的惰性元素，但在高温条件下，氮和氧形成NOX，这是一种对大气有严重污染作用的有害气体；硫是一种极有害的物质，因为燃烧后生产二氧化硫和三氧化硫，能危害人体健康和造成大气污染。煤炭的储存也很重要，主要是防火灾危险，因为各种煤有不同程度的自燃能力，再加上煤内水分的影响、空气湿度的影响、氧化影响、粒度大小的影响等等，也影响了自燃能力的大小。</w:t>
      </w:r>
    </w:p>
    <w:p>
      <w:pPr>
        <w:pStyle w:val="8"/>
        <w:spacing w:line="360" w:lineRule="auto"/>
        <w:ind w:firstLine="0" w:firstLineChars="0"/>
        <w:outlineLvl w:val="2"/>
        <w:rPr>
          <w:rFonts w:ascii="宋体" w:hAnsi="宋体"/>
          <w:b/>
          <w:snapToGrid w:val="0"/>
          <w:kern w:val="0"/>
          <w:sz w:val="28"/>
          <w:szCs w:val="28"/>
        </w:rPr>
      </w:pPr>
      <w:bookmarkStart w:id="113" w:name="_Toc356380975"/>
      <w:bookmarkStart w:id="114" w:name="_Toc356401488"/>
      <w:bookmarkStart w:id="115" w:name="_Toc480804391"/>
      <w:bookmarkStart w:id="116" w:name="_Toc9680"/>
      <w:bookmarkStart w:id="117" w:name="_Toc332350847"/>
      <w:bookmarkStart w:id="118" w:name="_Toc514342843"/>
      <w:r>
        <w:rPr>
          <w:rFonts w:hint="eastAsia" w:ascii="宋体" w:hAnsi="宋体"/>
          <w:b/>
          <w:snapToGrid w:val="0"/>
          <w:kern w:val="0"/>
          <w:sz w:val="28"/>
          <w:szCs w:val="28"/>
          <w:lang w:val="en-US" w:eastAsia="zh-CN"/>
        </w:rPr>
        <w:t>3</w:t>
      </w:r>
      <w:r>
        <w:rPr>
          <w:rFonts w:hint="eastAsia" w:ascii="宋体" w:hAnsi="宋体"/>
          <w:b/>
          <w:snapToGrid w:val="0"/>
          <w:kern w:val="0"/>
          <w:sz w:val="28"/>
          <w:szCs w:val="28"/>
          <w:lang w:eastAsia="zh-CN"/>
        </w:rPr>
        <w:t>.</w:t>
      </w:r>
      <w:r>
        <w:rPr>
          <w:rFonts w:hint="eastAsia" w:ascii="宋体" w:hAnsi="宋体"/>
          <w:b/>
          <w:snapToGrid w:val="0"/>
          <w:kern w:val="0"/>
          <w:sz w:val="28"/>
          <w:szCs w:val="28"/>
        </w:rPr>
        <w:t>4.2 柴油</w:t>
      </w:r>
      <w:bookmarkEnd w:id="113"/>
      <w:bookmarkEnd w:id="114"/>
      <w:bookmarkEnd w:id="115"/>
      <w:bookmarkEnd w:id="116"/>
      <w:bookmarkEnd w:id="117"/>
      <w:bookmarkEnd w:id="118"/>
    </w:p>
    <w:p>
      <w:pPr>
        <w:adjustRightInd w:val="0"/>
        <w:snapToGrid w:val="0"/>
        <w:spacing w:line="360" w:lineRule="auto"/>
        <w:ind w:firstLine="560" w:firstLineChars="200"/>
        <w:rPr>
          <w:rFonts w:hint="eastAsia"/>
          <w:sz w:val="28"/>
          <w:szCs w:val="28"/>
        </w:rPr>
      </w:pPr>
      <w:r>
        <w:rPr>
          <w:rFonts w:hint="eastAsia"/>
          <w:sz w:val="28"/>
          <w:szCs w:val="28"/>
        </w:rPr>
        <w:t>柴油主要是由烷烃、烯烃、芳香烃、多环芳烃与少量硫（2~60</w:t>
      </w:r>
      <w:r>
        <w:rPr>
          <w:sz w:val="28"/>
          <w:szCs w:val="28"/>
        </w:rPr>
        <w:t>g/Kg</w:t>
      </w:r>
      <w:r>
        <w:rPr>
          <w:rFonts w:hint="eastAsia"/>
          <w:sz w:val="28"/>
          <w:szCs w:val="28"/>
        </w:rPr>
        <w:t>）、氮（＜1</w:t>
      </w:r>
      <w:r>
        <w:rPr>
          <w:sz w:val="28"/>
          <w:szCs w:val="28"/>
        </w:rPr>
        <w:t xml:space="preserve"> g/Kg</w:t>
      </w:r>
      <w:r>
        <w:rPr>
          <w:rFonts w:hint="eastAsia"/>
          <w:sz w:val="28"/>
          <w:szCs w:val="28"/>
        </w:rPr>
        <w:t>）及添加剂组成的混合物。以燃料油为例：白色或淡黄色液体，相对密度0.85；熔点</w:t>
      </w:r>
      <w:r>
        <w:rPr>
          <w:sz w:val="28"/>
          <w:szCs w:val="28"/>
        </w:rPr>
        <w:t>--</w:t>
      </w:r>
      <w:r>
        <w:rPr>
          <w:rFonts w:hint="eastAsia"/>
          <w:sz w:val="28"/>
          <w:szCs w:val="28"/>
        </w:rPr>
        <w:t>29.56℃，沸点180~370℃，闪点40℃，蒸气密度4，蒸气压4.0</w:t>
      </w:r>
      <w:r>
        <w:rPr>
          <w:sz w:val="28"/>
          <w:szCs w:val="28"/>
        </w:rPr>
        <w:t>Kpa</w:t>
      </w:r>
      <w:r>
        <w:rPr>
          <w:rFonts w:hint="eastAsia"/>
          <w:sz w:val="28"/>
          <w:szCs w:val="28"/>
        </w:rPr>
        <w:t>。</w:t>
      </w:r>
    </w:p>
    <w:p>
      <w:pPr>
        <w:adjustRightInd w:val="0"/>
        <w:snapToGrid w:val="0"/>
        <w:spacing w:line="360" w:lineRule="auto"/>
        <w:ind w:firstLine="560" w:firstLineChars="200"/>
        <w:rPr>
          <w:rFonts w:hint="eastAsia"/>
          <w:sz w:val="28"/>
          <w:szCs w:val="28"/>
        </w:rPr>
      </w:pPr>
      <w:r>
        <w:rPr>
          <w:rFonts w:hint="eastAsia"/>
          <w:sz w:val="28"/>
          <w:szCs w:val="28"/>
        </w:rPr>
        <w:t>危险性：蒸气与空气混合物可燃限0.7~5.0%；不溶于水；遇热、火花、明火易燃，可蓄积静电，引起电火花；分解和燃烧产物为一氧化化碳、二氧化碳和硫氧化物；避免接触氧化剂。</w:t>
      </w:r>
    </w:p>
    <w:p>
      <w:pPr>
        <w:adjustRightInd w:val="0"/>
        <w:snapToGrid w:val="0"/>
        <w:spacing w:line="360" w:lineRule="auto"/>
        <w:ind w:firstLine="560" w:firstLineChars="200"/>
        <w:rPr>
          <w:rFonts w:hint="eastAsia"/>
          <w:sz w:val="28"/>
          <w:szCs w:val="28"/>
        </w:rPr>
      </w:pPr>
      <w:r>
        <w:rPr>
          <w:rFonts w:hint="eastAsia"/>
          <w:sz w:val="28"/>
          <w:szCs w:val="28"/>
        </w:rPr>
        <w:t>危害性：皮肤大量接触后，个别人可能发生肾脏损害；皮肤接触后，可发生接触性皮炎，表现为红斑、水疱、丘疹。</w:t>
      </w:r>
    </w:p>
    <w:p>
      <w:pPr>
        <w:adjustRightInd w:val="0"/>
        <w:snapToGrid w:val="0"/>
        <w:spacing w:line="360" w:lineRule="auto"/>
        <w:ind w:firstLine="560" w:firstLineChars="200"/>
        <w:rPr>
          <w:rFonts w:hint="eastAsia"/>
          <w:sz w:val="28"/>
          <w:szCs w:val="28"/>
        </w:rPr>
      </w:pPr>
      <w:r>
        <w:rPr>
          <w:rFonts w:hint="eastAsia"/>
          <w:sz w:val="28"/>
          <w:szCs w:val="28"/>
        </w:rPr>
        <w:t>灭火剂：泡沫、干粉、二氧化碳、砂土。</w:t>
      </w:r>
    </w:p>
    <w:p>
      <w:pPr>
        <w:adjustRightInd w:val="0"/>
        <w:snapToGrid w:val="0"/>
        <w:spacing w:line="360" w:lineRule="auto"/>
        <w:ind w:firstLine="560" w:firstLineChars="200"/>
        <w:rPr>
          <w:rFonts w:hint="eastAsia"/>
          <w:sz w:val="28"/>
          <w:szCs w:val="28"/>
        </w:rPr>
      </w:pPr>
      <w:r>
        <w:rPr>
          <w:rFonts w:hint="eastAsia"/>
          <w:sz w:val="28"/>
          <w:szCs w:val="28"/>
        </w:rPr>
        <w:t>着火性、流动性和凝点是柴油性能的重要指标。</w:t>
      </w:r>
    </w:p>
    <w:p>
      <w:pPr>
        <w:pStyle w:val="8"/>
        <w:spacing w:line="360" w:lineRule="auto"/>
        <w:ind w:firstLine="0" w:firstLineChars="0"/>
        <w:outlineLvl w:val="2"/>
        <w:rPr>
          <w:rFonts w:hint="eastAsia" w:ascii="宋体" w:hAnsi="宋体"/>
          <w:b/>
          <w:snapToGrid w:val="0"/>
          <w:kern w:val="0"/>
          <w:sz w:val="28"/>
          <w:szCs w:val="28"/>
        </w:rPr>
      </w:pPr>
      <w:bookmarkStart w:id="119" w:name="_Toc332350848"/>
      <w:bookmarkStart w:id="120" w:name="_Toc480804392"/>
      <w:bookmarkStart w:id="121" w:name="_Toc356380976"/>
      <w:bookmarkStart w:id="122" w:name="_Toc356401489"/>
      <w:bookmarkStart w:id="123" w:name="_Toc2187"/>
      <w:bookmarkStart w:id="124" w:name="_Toc514342844"/>
      <w:r>
        <w:rPr>
          <w:rFonts w:hint="eastAsia" w:ascii="宋体" w:hAnsi="宋体"/>
          <w:b/>
          <w:snapToGrid w:val="0"/>
          <w:kern w:val="0"/>
          <w:sz w:val="28"/>
          <w:szCs w:val="28"/>
          <w:lang w:val="en-US" w:eastAsia="zh-CN"/>
        </w:rPr>
        <w:t>3</w:t>
      </w:r>
      <w:r>
        <w:rPr>
          <w:rFonts w:hint="eastAsia" w:ascii="宋体" w:hAnsi="宋体"/>
          <w:b/>
          <w:snapToGrid w:val="0"/>
          <w:kern w:val="0"/>
          <w:sz w:val="28"/>
          <w:szCs w:val="28"/>
          <w:lang w:eastAsia="zh-CN"/>
        </w:rPr>
        <w:t>.</w:t>
      </w:r>
      <w:r>
        <w:rPr>
          <w:rFonts w:hint="eastAsia" w:ascii="宋体" w:hAnsi="宋体"/>
          <w:b/>
          <w:snapToGrid w:val="0"/>
          <w:kern w:val="0"/>
          <w:sz w:val="28"/>
          <w:szCs w:val="28"/>
        </w:rPr>
        <w:t>4.3 一氧化碳</w:t>
      </w:r>
      <w:bookmarkEnd w:id="119"/>
      <w:bookmarkEnd w:id="120"/>
      <w:bookmarkEnd w:id="121"/>
      <w:bookmarkEnd w:id="122"/>
      <w:bookmarkEnd w:id="123"/>
      <w:bookmarkEnd w:id="124"/>
    </w:p>
    <w:p>
      <w:pPr>
        <w:adjustRightInd w:val="0"/>
        <w:snapToGrid w:val="0"/>
        <w:spacing w:line="360" w:lineRule="auto"/>
        <w:ind w:firstLine="560" w:firstLineChars="200"/>
        <w:rPr>
          <w:rFonts w:hint="eastAsia"/>
          <w:sz w:val="28"/>
          <w:szCs w:val="28"/>
        </w:rPr>
      </w:pPr>
      <w:r>
        <w:rPr>
          <w:rFonts w:hint="eastAsia"/>
          <w:sz w:val="28"/>
          <w:szCs w:val="28"/>
        </w:rPr>
        <w:t xml:space="preserve">英文名：Carbon  Monoxide               分子式：CO   </w:t>
      </w:r>
    </w:p>
    <w:p>
      <w:pPr>
        <w:adjustRightInd w:val="0"/>
        <w:snapToGrid w:val="0"/>
        <w:spacing w:line="360" w:lineRule="auto"/>
        <w:ind w:firstLine="560" w:firstLineChars="200"/>
        <w:rPr>
          <w:rFonts w:hint="eastAsia"/>
          <w:sz w:val="28"/>
          <w:szCs w:val="28"/>
        </w:rPr>
      </w:pPr>
      <w:r>
        <w:rPr>
          <w:rFonts w:hint="eastAsia"/>
          <w:sz w:val="28"/>
          <w:szCs w:val="28"/>
        </w:rPr>
        <w:t xml:space="preserve">性状：无色、无味气体；                 熔点：-199．1℃   </w:t>
      </w:r>
    </w:p>
    <w:p>
      <w:pPr>
        <w:adjustRightInd w:val="0"/>
        <w:snapToGrid w:val="0"/>
        <w:spacing w:line="360" w:lineRule="auto"/>
        <w:ind w:firstLine="560" w:firstLineChars="200"/>
        <w:rPr>
          <w:rFonts w:hint="eastAsia"/>
          <w:sz w:val="28"/>
          <w:szCs w:val="28"/>
        </w:rPr>
      </w:pPr>
      <w:r>
        <w:rPr>
          <w:rFonts w:hint="eastAsia"/>
          <w:sz w:val="28"/>
          <w:szCs w:val="28"/>
        </w:rPr>
        <w:t xml:space="preserve">沸点：-192℃                           相对密度：0．97   </w:t>
      </w:r>
    </w:p>
    <w:p>
      <w:pPr>
        <w:adjustRightInd w:val="0"/>
        <w:snapToGrid w:val="0"/>
        <w:spacing w:line="360" w:lineRule="auto"/>
        <w:ind w:firstLine="560" w:firstLineChars="200"/>
        <w:rPr>
          <w:rFonts w:hint="eastAsia"/>
          <w:sz w:val="28"/>
          <w:szCs w:val="28"/>
        </w:rPr>
      </w:pPr>
      <w:r>
        <w:rPr>
          <w:rFonts w:hint="eastAsia"/>
          <w:sz w:val="28"/>
          <w:szCs w:val="28"/>
        </w:rPr>
        <w:t>危险性类别：第2.易燃气体               危编号：21005</w:t>
      </w:r>
    </w:p>
    <w:p>
      <w:pPr>
        <w:adjustRightInd w:val="0"/>
        <w:snapToGrid w:val="0"/>
        <w:spacing w:line="360" w:lineRule="auto"/>
        <w:ind w:firstLine="560" w:firstLineChars="200"/>
        <w:rPr>
          <w:rFonts w:hint="eastAsia"/>
          <w:sz w:val="28"/>
          <w:szCs w:val="28"/>
        </w:rPr>
      </w:pPr>
      <w:r>
        <w:rPr>
          <w:rFonts w:hint="eastAsia"/>
          <w:sz w:val="28"/>
          <w:szCs w:val="28"/>
        </w:rPr>
        <w:t>un：1016(气体)                     爆炸极限：12</w:t>
      </w:r>
      <w:r>
        <w:rPr>
          <w:sz w:val="28"/>
          <w:szCs w:val="28"/>
        </w:rPr>
        <w:t>.</w:t>
      </w:r>
      <w:r>
        <w:rPr>
          <w:rFonts w:hint="eastAsia"/>
          <w:sz w:val="28"/>
          <w:szCs w:val="28"/>
        </w:rPr>
        <w:t>5~74％（V）</w:t>
      </w:r>
    </w:p>
    <w:p>
      <w:pPr>
        <w:adjustRightInd w:val="0"/>
        <w:snapToGrid w:val="0"/>
        <w:spacing w:line="360" w:lineRule="auto"/>
        <w:ind w:firstLine="560" w:firstLineChars="200"/>
        <w:rPr>
          <w:rFonts w:hint="eastAsia"/>
          <w:sz w:val="28"/>
          <w:szCs w:val="28"/>
        </w:rPr>
      </w:pPr>
      <w:r>
        <w:rPr>
          <w:rFonts w:hint="eastAsia"/>
          <w:sz w:val="28"/>
          <w:szCs w:val="28"/>
        </w:rPr>
        <w:t>最高容许浓度：30mg／m³(按职业性接触毒物危害程度分级为Ⅱ级，高度危害物质)。</w:t>
      </w:r>
    </w:p>
    <w:p>
      <w:pPr>
        <w:adjustRightInd w:val="0"/>
        <w:snapToGrid w:val="0"/>
        <w:spacing w:line="360" w:lineRule="auto"/>
        <w:ind w:firstLine="560" w:firstLineChars="200"/>
        <w:rPr>
          <w:rFonts w:hint="eastAsia"/>
          <w:sz w:val="28"/>
          <w:szCs w:val="28"/>
        </w:rPr>
      </w:pPr>
      <w:r>
        <w:rPr>
          <w:rFonts w:hint="eastAsia"/>
          <w:sz w:val="28"/>
          <w:szCs w:val="28"/>
        </w:rPr>
        <w:t>健康危害：一氧化碳在血液中与血红蛋白结合而造成组织缺氧。</w:t>
      </w:r>
    </w:p>
    <w:p>
      <w:pPr>
        <w:adjustRightInd w:val="0"/>
        <w:snapToGrid w:val="0"/>
        <w:spacing w:line="360" w:lineRule="auto"/>
        <w:ind w:firstLine="560" w:firstLineChars="200"/>
        <w:rPr>
          <w:rFonts w:hint="eastAsia"/>
          <w:sz w:val="28"/>
          <w:szCs w:val="28"/>
        </w:rPr>
      </w:pPr>
      <w:r>
        <w:rPr>
          <w:rFonts w:hint="eastAsia"/>
          <w:sz w:val="28"/>
          <w:szCs w:val="28"/>
        </w:rPr>
        <w:t>急性中毒：轻度中毒出现头痛、头晕、耳鸣、心悸、恶心、呕吐、无力；中度中毒除出现上述症状外还有皮肤粘膜呈樱红色、脉快、烦躁、步态不稳；重度患者深度昏迷、瞳孔扩大、肌张力增强，频繁抽搐、大小便失禁、休克、肺水肿、严重心肌损害等。</w:t>
      </w:r>
    </w:p>
    <w:p>
      <w:pPr>
        <w:pStyle w:val="8"/>
        <w:spacing w:line="360" w:lineRule="auto"/>
        <w:ind w:firstLine="0" w:firstLineChars="0"/>
        <w:outlineLvl w:val="2"/>
        <w:rPr>
          <w:rFonts w:hint="eastAsia" w:ascii="宋体" w:hAnsi="宋体"/>
          <w:b/>
          <w:snapToGrid w:val="0"/>
          <w:kern w:val="0"/>
          <w:sz w:val="28"/>
          <w:szCs w:val="28"/>
        </w:rPr>
      </w:pPr>
      <w:bookmarkStart w:id="125" w:name="_Toc356401490"/>
      <w:bookmarkStart w:id="126" w:name="_Toc356380977"/>
      <w:bookmarkStart w:id="127" w:name="_Toc514342845"/>
      <w:bookmarkStart w:id="128" w:name="_Toc480804393"/>
      <w:bookmarkStart w:id="129" w:name="_Toc21861"/>
      <w:bookmarkStart w:id="130" w:name="_Toc332350849"/>
      <w:r>
        <w:rPr>
          <w:rFonts w:hint="eastAsia" w:ascii="宋体" w:hAnsi="宋体"/>
          <w:b/>
          <w:snapToGrid w:val="0"/>
          <w:kern w:val="0"/>
          <w:sz w:val="28"/>
          <w:szCs w:val="28"/>
          <w:lang w:val="en-US" w:eastAsia="zh-CN"/>
        </w:rPr>
        <w:t>3</w:t>
      </w:r>
      <w:r>
        <w:rPr>
          <w:rFonts w:hint="eastAsia" w:ascii="宋体" w:hAnsi="宋体"/>
          <w:b/>
          <w:snapToGrid w:val="0"/>
          <w:kern w:val="0"/>
          <w:sz w:val="28"/>
          <w:szCs w:val="28"/>
          <w:lang w:eastAsia="zh-CN"/>
        </w:rPr>
        <w:t>.</w:t>
      </w:r>
      <w:r>
        <w:rPr>
          <w:rFonts w:hint="eastAsia" w:ascii="宋体" w:hAnsi="宋体"/>
          <w:b/>
          <w:snapToGrid w:val="0"/>
          <w:kern w:val="0"/>
          <w:sz w:val="28"/>
          <w:szCs w:val="28"/>
        </w:rPr>
        <w:t>4.4 二氧化碳</w:t>
      </w:r>
      <w:bookmarkEnd w:id="125"/>
      <w:bookmarkEnd w:id="126"/>
      <w:bookmarkEnd w:id="127"/>
      <w:bookmarkEnd w:id="128"/>
      <w:bookmarkEnd w:id="129"/>
      <w:bookmarkEnd w:id="130"/>
      <w:r>
        <w:rPr>
          <w:rFonts w:hint="eastAsia" w:ascii="宋体" w:hAnsi="宋体"/>
          <w:b/>
          <w:snapToGrid w:val="0"/>
          <w:kern w:val="0"/>
          <w:sz w:val="28"/>
          <w:szCs w:val="28"/>
        </w:rPr>
        <w:t xml:space="preserve"> </w:t>
      </w:r>
    </w:p>
    <w:p>
      <w:pPr>
        <w:adjustRightInd w:val="0"/>
        <w:snapToGrid w:val="0"/>
        <w:spacing w:line="360" w:lineRule="auto"/>
        <w:ind w:firstLine="560" w:firstLineChars="200"/>
        <w:rPr>
          <w:rFonts w:hint="eastAsia"/>
          <w:sz w:val="28"/>
          <w:szCs w:val="28"/>
        </w:rPr>
      </w:pPr>
      <w:r>
        <w:rPr>
          <w:rFonts w:hint="eastAsia"/>
          <w:sz w:val="28"/>
          <w:szCs w:val="28"/>
        </w:rPr>
        <w:t xml:space="preserve">英文名：Carbon  Dioxide             分子式：C02   </w:t>
      </w:r>
    </w:p>
    <w:p>
      <w:pPr>
        <w:adjustRightInd w:val="0"/>
        <w:snapToGrid w:val="0"/>
        <w:spacing w:line="360" w:lineRule="auto"/>
        <w:ind w:firstLine="560" w:firstLineChars="200"/>
        <w:rPr>
          <w:rFonts w:hint="eastAsia"/>
          <w:sz w:val="28"/>
          <w:szCs w:val="28"/>
        </w:rPr>
      </w:pPr>
      <w:r>
        <w:rPr>
          <w:rFonts w:hint="eastAsia"/>
          <w:sz w:val="28"/>
          <w:szCs w:val="28"/>
        </w:rPr>
        <w:t xml:space="preserve">性状：无色、无味、不燃的气体        熔点：-56．6℃   </w:t>
      </w:r>
    </w:p>
    <w:p>
      <w:pPr>
        <w:adjustRightInd w:val="0"/>
        <w:snapToGrid w:val="0"/>
        <w:spacing w:line="360" w:lineRule="auto"/>
        <w:ind w:firstLine="560" w:firstLineChars="200"/>
        <w:rPr>
          <w:rFonts w:hint="eastAsia"/>
          <w:sz w:val="28"/>
          <w:szCs w:val="28"/>
        </w:rPr>
      </w:pPr>
      <w:r>
        <w:rPr>
          <w:rFonts w:hint="eastAsia"/>
          <w:sz w:val="28"/>
          <w:szCs w:val="28"/>
        </w:rPr>
        <w:t>沸点：-78．5℃(升华)           危险性类别：第2.2不燃气体</w:t>
      </w:r>
    </w:p>
    <w:p>
      <w:pPr>
        <w:adjustRightInd w:val="0"/>
        <w:snapToGrid w:val="0"/>
        <w:spacing w:line="360" w:lineRule="auto"/>
        <w:ind w:firstLine="560" w:firstLineChars="200"/>
        <w:rPr>
          <w:rFonts w:hint="eastAsia"/>
          <w:sz w:val="28"/>
          <w:szCs w:val="28"/>
        </w:rPr>
      </w:pPr>
      <w:r>
        <w:rPr>
          <w:rFonts w:hint="eastAsia"/>
          <w:sz w:val="28"/>
          <w:szCs w:val="28"/>
        </w:rPr>
        <w:t>危编号：22019                        un：1013（气体）</w:t>
      </w:r>
    </w:p>
    <w:p>
      <w:pPr>
        <w:adjustRightInd w:val="0"/>
        <w:snapToGrid w:val="0"/>
        <w:spacing w:line="360" w:lineRule="auto"/>
        <w:ind w:firstLine="560" w:firstLineChars="200"/>
        <w:rPr>
          <w:rFonts w:hint="eastAsia"/>
          <w:sz w:val="28"/>
          <w:szCs w:val="28"/>
        </w:rPr>
      </w:pPr>
      <w:r>
        <w:rPr>
          <w:rFonts w:hint="eastAsia"/>
          <w:sz w:val="28"/>
          <w:szCs w:val="28"/>
        </w:rPr>
        <w:t>健康危害：在低浓度时，对呼吸中枢呈兴奋作用，高浓度时则产生抑制甚至麻痹作用。中毒机制中还兼有缺氧的因素。</w:t>
      </w:r>
    </w:p>
    <w:p>
      <w:pPr>
        <w:adjustRightInd w:val="0"/>
        <w:snapToGrid w:val="0"/>
        <w:spacing w:line="360" w:lineRule="auto"/>
        <w:ind w:firstLine="560" w:firstLineChars="200"/>
        <w:rPr>
          <w:rFonts w:hint="eastAsia"/>
          <w:sz w:val="28"/>
          <w:szCs w:val="28"/>
        </w:rPr>
      </w:pPr>
      <w:r>
        <w:rPr>
          <w:rFonts w:hint="eastAsia"/>
          <w:sz w:val="28"/>
          <w:szCs w:val="28"/>
        </w:rPr>
        <w:t>急性中毒：人进入高浓度二氧化碳环境，在几秒钟迅速昏迷倒下，反射消失、瞳孔扩大或缩小、大小便失禁、呕吐等，更严重者出现呼吸停止及休克，甚至死亡。</w:t>
      </w:r>
    </w:p>
    <w:p>
      <w:pPr>
        <w:adjustRightInd w:val="0"/>
        <w:snapToGrid w:val="0"/>
        <w:spacing w:line="360" w:lineRule="auto"/>
        <w:ind w:firstLine="560" w:firstLineChars="200"/>
        <w:rPr>
          <w:rFonts w:hint="eastAsia"/>
          <w:sz w:val="28"/>
          <w:szCs w:val="28"/>
        </w:rPr>
      </w:pPr>
      <w:r>
        <w:rPr>
          <w:rFonts w:hint="eastAsia"/>
          <w:sz w:val="28"/>
          <w:szCs w:val="28"/>
        </w:rPr>
        <w:t>慢性影响：经常接触较高的二氧化碳者，会有头晕、头痛、失眠、易兴奋、无力等神经功能紊乱等主诉。</w:t>
      </w:r>
    </w:p>
    <w:p>
      <w:pPr>
        <w:adjustRightInd w:val="0"/>
        <w:snapToGrid w:val="0"/>
        <w:spacing w:line="360" w:lineRule="auto"/>
        <w:ind w:firstLine="560" w:firstLineChars="200"/>
        <w:rPr>
          <w:rFonts w:hint="eastAsia"/>
          <w:sz w:val="28"/>
          <w:szCs w:val="28"/>
        </w:rPr>
      </w:pPr>
      <w:r>
        <w:rPr>
          <w:rFonts w:hint="eastAsia"/>
          <w:sz w:val="28"/>
          <w:szCs w:val="28"/>
        </w:rPr>
        <w:t>防护措施：呼吸系统防护：一般不需特殊防护，高浓度接触时可佩戴空气呼吸器；眼睛防护：一般不需特殊防护；身体防护：穿一般作业工作服；手防护：戴一般作业防护手套；其它：避免高浓度吸入。</w:t>
      </w:r>
    </w:p>
    <w:p>
      <w:pPr>
        <w:pStyle w:val="8"/>
        <w:spacing w:line="360" w:lineRule="auto"/>
        <w:ind w:firstLine="0" w:firstLineChars="0"/>
        <w:outlineLvl w:val="2"/>
        <w:rPr>
          <w:rFonts w:hint="eastAsia" w:ascii="宋体" w:hAnsi="宋体"/>
          <w:b/>
          <w:snapToGrid w:val="0"/>
          <w:kern w:val="0"/>
          <w:sz w:val="28"/>
          <w:szCs w:val="28"/>
        </w:rPr>
      </w:pPr>
      <w:bookmarkStart w:id="131" w:name="_Toc332350850"/>
      <w:bookmarkStart w:id="132" w:name="_Toc514342846"/>
      <w:bookmarkStart w:id="133" w:name="_Toc480804394"/>
      <w:bookmarkStart w:id="134" w:name="_Toc16937"/>
      <w:bookmarkStart w:id="135" w:name="_Toc356401491"/>
      <w:bookmarkStart w:id="136" w:name="_Toc356380978"/>
      <w:r>
        <w:rPr>
          <w:rFonts w:hint="eastAsia" w:ascii="宋体" w:hAnsi="宋体"/>
          <w:b/>
          <w:snapToGrid w:val="0"/>
          <w:kern w:val="0"/>
          <w:sz w:val="28"/>
          <w:szCs w:val="28"/>
          <w:lang w:val="en-US" w:eastAsia="zh-CN"/>
        </w:rPr>
        <w:t>3</w:t>
      </w:r>
      <w:r>
        <w:rPr>
          <w:rFonts w:hint="eastAsia" w:ascii="宋体" w:hAnsi="宋体"/>
          <w:b/>
          <w:snapToGrid w:val="0"/>
          <w:kern w:val="0"/>
          <w:sz w:val="28"/>
          <w:szCs w:val="28"/>
          <w:lang w:eastAsia="zh-CN"/>
        </w:rPr>
        <w:t>.</w:t>
      </w:r>
      <w:r>
        <w:rPr>
          <w:rFonts w:hint="eastAsia" w:ascii="宋体" w:hAnsi="宋体"/>
          <w:b/>
          <w:snapToGrid w:val="0"/>
          <w:kern w:val="0"/>
          <w:sz w:val="28"/>
          <w:szCs w:val="28"/>
        </w:rPr>
        <w:t>4.5 二氧化硫（三氧化硫参考）</w:t>
      </w:r>
      <w:bookmarkEnd w:id="131"/>
      <w:bookmarkEnd w:id="132"/>
      <w:bookmarkEnd w:id="133"/>
      <w:bookmarkEnd w:id="134"/>
      <w:bookmarkEnd w:id="135"/>
      <w:bookmarkEnd w:id="136"/>
    </w:p>
    <w:p>
      <w:pPr>
        <w:adjustRightInd w:val="0"/>
        <w:snapToGrid w:val="0"/>
        <w:spacing w:line="360" w:lineRule="auto"/>
        <w:ind w:firstLine="560" w:firstLineChars="200"/>
        <w:rPr>
          <w:rFonts w:hint="eastAsia"/>
          <w:sz w:val="28"/>
          <w:szCs w:val="28"/>
        </w:rPr>
      </w:pPr>
      <w:r>
        <w:rPr>
          <w:rFonts w:hint="eastAsia"/>
          <w:sz w:val="28"/>
          <w:szCs w:val="28"/>
        </w:rPr>
        <w:t>英文名：（S</w:t>
      </w:r>
      <w:r>
        <w:rPr>
          <w:sz w:val="28"/>
          <w:szCs w:val="28"/>
        </w:rPr>
        <w:t xml:space="preserve">ulfur  </w:t>
      </w:r>
      <w:r>
        <w:rPr>
          <w:rFonts w:hint="eastAsia"/>
          <w:sz w:val="28"/>
          <w:szCs w:val="28"/>
        </w:rPr>
        <w:t>D</w:t>
      </w:r>
      <w:r>
        <w:rPr>
          <w:sz w:val="28"/>
          <w:szCs w:val="28"/>
        </w:rPr>
        <w:t>ioxide</w:t>
      </w:r>
      <w:r>
        <w:rPr>
          <w:rFonts w:hint="eastAsia"/>
          <w:sz w:val="28"/>
          <w:szCs w:val="28"/>
        </w:rPr>
        <w:t>）           分子式：</w:t>
      </w:r>
      <w:r>
        <w:rPr>
          <w:sz w:val="28"/>
          <w:szCs w:val="28"/>
        </w:rPr>
        <w:t>SO2</w:t>
      </w:r>
      <w:r>
        <w:rPr>
          <w:rFonts w:hint="eastAsia"/>
          <w:sz w:val="28"/>
          <w:szCs w:val="28"/>
        </w:rPr>
        <w:t xml:space="preserve">     </w:t>
      </w:r>
    </w:p>
    <w:p>
      <w:pPr>
        <w:adjustRightInd w:val="0"/>
        <w:snapToGrid w:val="0"/>
        <w:spacing w:line="360" w:lineRule="auto"/>
        <w:ind w:firstLine="560" w:firstLineChars="200"/>
        <w:rPr>
          <w:rFonts w:hint="eastAsia"/>
          <w:sz w:val="28"/>
          <w:szCs w:val="28"/>
        </w:rPr>
      </w:pPr>
      <w:r>
        <w:rPr>
          <w:rFonts w:hint="eastAsia"/>
          <w:sz w:val="28"/>
          <w:szCs w:val="28"/>
        </w:rPr>
        <w:t xml:space="preserve">外观及性状：无色气体，室温下具有强烈刺激气味，可溶于水及有机溶剂 </w:t>
      </w:r>
    </w:p>
    <w:p>
      <w:pPr>
        <w:adjustRightInd w:val="0"/>
        <w:snapToGrid w:val="0"/>
        <w:spacing w:line="360" w:lineRule="auto"/>
        <w:ind w:firstLine="560" w:firstLineChars="200"/>
        <w:rPr>
          <w:rFonts w:hint="eastAsia"/>
          <w:sz w:val="28"/>
          <w:szCs w:val="28"/>
        </w:rPr>
      </w:pPr>
      <w:r>
        <w:rPr>
          <w:rFonts w:hint="eastAsia"/>
          <w:sz w:val="28"/>
          <w:szCs w:val="28"/>
        </w:rPr>
        <w:t>熔点：</w:t>
      </w:r>
      <w:r>
        <w:rPr>
          <w:sz w:val="28"/>
          <w:szCs w:val="28"/>
        </w:rPr>
        <w:t>-75.5</w:t>
      </w:r>
      <w:r>
        <w:rPr>
          <w:rFonts w:hint="eastAsia"/>
          <w:sz w:val="28"/>
          <w:szCs w:val="28"/>
        </w:rPr>
        <w:t xml:space="preserve"> ℃                       沸点：</w:t>
      </w:r>
      <w:r>
        <w:rPr>
          <w:sz w:val="28"/>
          <w:szCs w:val="28"/>
        </w:rPr>
        <w:t>-10</w:t>
      </w:r>
      <w:r>
        <w:rPr>
          <w:rFonts w:hint="eastAsia"/>
          <w:sz w:val="28"/>
          <w:szCs w:val="28"/>
        </w:rPr>
        <w:t xml:space="preserve"> ℃  </w:t>
      </w:r>
    </w:p>
    <w:p>
      <w:pPr>
        <w:adjustRightInd w:val="0"/>
        <w:snapToGrid w:val="0"/>
        <w:spacing w:line="360" w:lineRule="auto"/>
        <w:ind w:firstLine="560" w:firstLineChars="200"/>
        <w:rPr>
          <w:rFonts w:hint="eastAsia"/>
          <w:sz w:val="28"/>
          <w:szCs w:val="28"/>
        </w:rPr>
      </w:pPr>
      <w:r>
        <w:rPr>
          <w:rFonts w:hint="eastAsia"/>
          <w:sz w:val="28"/>
          <w:szCs w:val="28"/>
        </w:rPr>
        <w:t xml:space="preserve">危险性类别：第2.3有毒气体           危编号： </w:t>
      </w:r>
      <w:r>
        <w:rPr>
          <w:sz w:val="28"/>
          <w:szCs w:val="28"/>
        </w:rPr>
        <w:t>23013</w:t>
      </w:r>
    </w:p>
    <w:p>
      <w:pPr>
        <w:adjustRightInd w:val="0"/>
        <w:snapToGrid w:val="0"/>
        <w:spacing w:line="360" w:lineRule="auto"/>
        <w:ind w:firstLine="560" w:firstLineChars="200"/>
        <w:rPr>
          <w:rFonts w:hint="eastAsia"/>
          <w:sz w:val="28"/>
          <w:szCs w:val="28"/>
        </w:rPr>
      </w:pPr>
      <w:r>
        <w:rPr>
          <w:sz w:val="28"/>
          <w:szCs w:val="28"/>
        </w:rPr>
        <w:t>UN</w:t>
      </w:r>
      <w:r>
        <w:rPr>
          <w:rFonts w:hint="eastAsia"/>
          <w:sz w:val="28"/>
          <w:szCs w:val="28"/>
        </w:rPr>
        <w:t>：1079                    相对密度：</w:t>
      </w:r>
      <w:r>
        <w:rPr>
          <w:sz w:val="28"/>
          <w:szCs w:val="28"/>
        </w:rPr>
        <w:t>1.43</w:t>
      </w:r>
      <w:r>
        <w:rPr>
          <w:rFonts w:hint="eastAsia"/>
          <w:sz w:val="28"/>
          <w:szCs w:val="28"/>
        </w:rPr>
        <w:t>（液化）；</w:t>
      </w:r>
      <w:r>
        <w:rPr>
          <w:sz w:val="28"/>
          <w:szCs w:val="28"/>
        </w:rPr>
        <w:t>2.26</w:t>
      </w:r>
      <w:r>
        <w:rPr>
          <w:rFonts w:hint="eastAsia"/>
          <w:sz w:val="28"/>
          <w:szCs w:val="28"/>
        </w:rPr>
        <w:t>（气）</w:t>
      </w:r>
    </w:p>
    <w:p>
      <w:pPr>
        <w:adjustRightInd w:val="0"/>
        <w:snapToGrid w:val="0"/>
        <w:spacing w:line="360" w:lineRule="auto"/>
        <w:ind w:firstLine="560" w:firstLineChars="200"/>
        <w:rPr>
          <w:sz w:val="28"/>
          <w:szCs w:val="28"/>
        </w:rPr>
      </w:pPr>
      <w:r>
        <w:rPr>
          <w:rFonts w:hint="eastAsia"/>
          <w:sz w:val="28"/>
          <w:szCs w:val="28"/>
        </w:rPr>
        <w:t>空气中允许极限：中国</w:t>
      </w:r>
      <w:r>
        <w:rPr>
          <w:sz w:val="28"/>
          <w:szCs w:val="28"/>
        </w:rPr>
        <w:t>MAC</w:t>
      </w:r>
      <w:r>
        <w:rPr>
          <w:rFonts w:hint="eastAsia"/>
          <w:sz w:val="28"/>
          <w:szCs w:val="28"/>
        </w:rPr>
        <w:t>：</w:t>
      </w:r>
      <w:r>
        <w:rPr>
          <w:sz w:val="28"/>
          <w:szCs w:val="28"/>
        </w:rPr>
        <w:t>15mg/m3</w:t>
      </w:r>
    </w:p>
    <w:p>
      <w:pPr>
        <w:adjustRightInd w:val="0"/>
        <w:snapToGrid w:val="0"/>
        <w:spacing w:line="360" w:lineRule="auto"/>
        <w:ind w:firstLine="560" w:firstLineChars="200"/>
        <w:rPr>
          <w:sz w:val="28"/>
          <w:szCs w:val="28"/>
        </w:rPr>
      </w:pPr>
      <w:r>
        <w:rPr>
          <w:rFonts w:hint="eastAsia"/>
          <w:sz w:val="28"/>
          <w:szCs w:val="28"/>
        </w:rPr>
        <w:t>健康危害：短期暴露：吸入刺激鼻、咽喉，出现流涕、呼吸困难、气阻、咳嗽、肺水肿、喘鸣、胸闷、肺炎，直至死亡；刺激皮肤，尤其湿润皮肤；接触液体可致冻伤和化学烧伤、紫绀；还可刺激眼，造成冻伤、失明；食入会引起口腔冻伤、化学烧伤、恶心、呕吐、腹疼；长期暴露，刺激咽喉和肺，出现鼻出血，对哮喘、肺功能不正常、心血管病人更危险。</w:t>
      </w:r>
    </w:p>
    <w:p>
      <w:pPr>
        <w:adjustRightInd w:val="0"/>
        <w:snapToGrid w:val="0"/>
        <w:spacing w:line="360" w:lineRule="auto"/>
        <w:ind w:firstLine="560" w:firstLineChars="200"/>
        <w:rPr>
          <w:sz w:val="28"/>
          <w:szCs w:val="28"/>
        </w:rPr>
      </w:pPr>
      <w:r>
        <w:rPr>
          <w:rFonts w:hint="eastAsia"/>
          <w:sz w:val="28"/>
          <w:szCs w:val="28"/>
        </w:rPr>
        <w:t>急救措施：眼接触：立即清洗。皮肤接触：立即用大量水清洗。吸入：将患者移至新鲜空气处，施行人工呼吸。</w:t>
      </w:r>
    </w:p>
    <w:p>
      <w:pPr>
        <w:adjustRightInd w:val="0"/>
        <w:snapToGrid w:val="0"/>
        <w:spacing w:line="360" w:lineRule="auto"/>
        <w:ind w:firstLine="560" w:firstLineChars="200"/>
        <w:rPr>
          <w:rFonts w:hint="eastAsia"/>
          <w:sz w:val="28"/>
          <w:szCs w:val="28"/>
        </w:rPr>
      </w:pPr>
      <w:r>
        <w:rPr>
          <w:rFonts w:hint="eastAsia"/>
          <w:sz w:val="28"/>
          <w:szCs w:val="28"/>
        </w:rPr>
        <w:t xml:space="preserve">防护措施：戴护目镜，穿防护服；选用适当呼吸器；提供应急眼药水；定期检查皮肤、眼睛及呼吸系统 </w:t>
      </w:r>
    </w:p>
    <w:p>
      <w:pPr>
        <w:pStyle w:val="8"/>
        <w:spacing w:line="360" w:lineRule="auto"/>
        <w:ind w:firstLine="0" w:firstLineChars="0"/>
        <w:outlineLvl w:val="2"/>
        <w:rPr>
          <w:rFonts w:hint="eastAsia" w:ascii="宋体" w:hAnsi="宋体"/>
          <w:b/>
          <w:snapToGrid w:val="0"/>
          <w:kern w:val="0"/>
          <w:sz w:val="28"/>
          <w:szCs w:val="28"/>
          <w:lang w:val="en-US" w:eastAsia="zh-CN"/>
        </w:rPr>
      </w:pPr>
      <w:bookmarkStart w:id="137" w:name="_Toc10901"/>
      <w:bookmarkStart w:id="138" w:name="_Toc515659433"/>
      <w:r>
        <w:rPr>
          <w:rFonts w:hint="eastAsia" w:ascii="宋体" w:hAnsi="宋体"/>
          <w:b/>
          <w:snapToGrid w:val="0"/>
          <w:kern w:val="0"/>
          <w:sz w:val="28"/>
          <w:szCs w:val="28"/>
          <w:lang w:val="en-US" w:eastAsia="zh-CN"/>
        </w:rPr>
        <w:t>3.4.6 柴油安全数据表</w:t>
      </w:r>
      <w:bookmarkEnd w:id="137"/>
      <w:bookmarkEnd w:id="138"/>
    </w:p>
    <w:p>
      <w:pPr>
        <w:jc w:val="center"/>
        <w:rPr>
          <w:rFonts w:ascii="黑体" w:hAnsi="黑体" w:eastAsia="黑体"/>
          <w:b/>
          <w:sz w:val="24"/>
        </w:rPr>
      </w:pPr>
      <w:r>
        <w:rPr>
          <w:rFonts w:ascii="黑体" w:hAnsi="黑体" w:eastAsia="黑体"/>
          <w:b/>
          <w:sz w:val="24"/>
        </w:rPr>
        <w:t>表3-</w:t>
      </w:r>
      <w:r>
        <w:rPr>
          <w:rFonts w:hint="eastAsia" w:ascii="黑体" w:hAnsi="黑体" w:eastAsia="黑体"/>
          <w:b/>
          <w:sz w:val="24"/>
        </w:rPr>
        <w:t>1 柴油物料安全数据表</w:t>
      </w:r>
    </w:p>
    <w:tbl>
      <w:tblPr>
        <w:tblStyle w:val="19"/>
        <w:tblW w:w="8522"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568"/>
        <w:gridCol w:w="7954"/>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568" w:type="dxa"/>
            <w:noWrap w:val="0"/>
            <w:vAlign w:val="center"/>
          </w:tcPr>
          <w:p>
            <w:pPr>
              <w:adjustRightInd w:val="0"/>
              <w:snapToGrid w:val="0"/>
              <w:jc w:val="left"/>
              <w:rPr>
                <w:rFonts w:ascii="宋体" w:hAnsi="宋体"/>
                <w:b/>
                <w:bCs/>
                <w:szCs w:val="21"/>
              </w:rPr>
            </w:pPr>
            <w:r>
              <w:rPr>
                <w:rFonts w:ascii="宋体" w:hAnsi="宋体"/>
                <w:b/>
                <w:bCs/>
                <w:szCs w:val="21"/>
              </w:rPr>
              <w:t>标</w:t>
            </w:r>
          </w:p>
          <w:p>
            <w:pPr>
              <w:adjustRightInd w:val="0"/>
              <w:snapToGrid w:val="0"/>
              <w:jc w:val="left"/>
              <w:rPr>
                <w:rFonts w:ascii="宋体" w:hAnsi="宋体"/>
                <w:szCs w:val="21"/>
              </w:rPr>
            </w:pPr>
            <w:r>
              <w:rPr>
                <w:rFonts w:ascii="宋体" w:hAnsi="宋体"/>
                <w:b/>
                <w:bCs/>
                <w:szCs w:val="21"/>
              </w:rPr>
              <w:t>识</w:t>
            </w:r>
          </w:p>
        </w:tc>
        <w:tc>
          <w:tcPr>
            <w:tcW w:w="7954" w:type="dxa"/>
            <w:noWrap w:val="0"/>
            <w:vAlign w:val="center"/>
          </w:tcPr>
          <w:p>
            <w:pPr>
              <w:adjustRightInd w:val="0"/>
              <w:snapToGrid w:val="0"/>
              <w:jc w:val="left"/>
              <w:rPr>
                <w:rFonts w:ascii="宋体" w:hAnsi="宋体"/>
                <w:szCs w:val="21"/>
              </w:rPr>
            </w:pPr>
            <w:r>
              <w:rPr>
                <w:rFonts w:ascii="宋体" w:hAnsi="宋体"/>
                <w:b/>
                <w:bCs/>
                <w:szCs w:val="21"/>
              </w:rPr>
              <w:t>中文名：</w:t>
            </w:r>
            <w:r>
              <w:rPr>
                <w:rFonts w:ascii="宋体" w:hAnsi="宋体"/>
                <w:szCs w:val="21"/>
              </w:rPr>
              <w:t xml:space="preserve">柴油              </w:t>
            </w:r>
            <w:r>
              <w:rPr>
                <w:rFonts w:ascii="宋体" w:hAnsi="宋体"/>
                <w:b/>
                <w:bCs/>
                <w:szCs w:val="21"/>
              </w:rPr>
              <w:t>英文名：</w:t>
            </w:r>
            <w:r>
              <w:rPr>
                <w:rFonts w:ascii="宋体" w:hAnsi="宋体"/>
                <w:szCs w:val="21"/>
              </w:rPr>
              <w:t>Diesel oil</w:t>
            </w:r>
          </w:p>
          <w:p>
            <w:pPr>
              <w:adjustRightInd w:val="0"/>
              <w:snapToGrid w:val="0"/>
              <w:jc w:val="left"/>
              <w:rPr>
                <w:rFonts w:hint="eastAsia" w:ascii="宋体" w:hAnsi="宋体"/>
                <w:szCs w:val="21"/>
              </w:rPr>
            </w:pPr>
            <w:r>
              <w:rPr>
                <w:rFonts w:ascii="宋体" w:hAnsi="宋体"/>
                <w:b/>
                <w:bCs/>
                <w:szCs w:val="21"/>
              </w:rPr>
              <w:t>CAS号：</w:t>
            </w:r>
            <w:r>
              <w:rPr>
                <w:rFonts w:hint="eastAsia" w:ascii="宋体" w:hAnsi="宋体"/>
                <w:szCs w:val="21"/>
              </w:rPr>
              <w:t>68334-30-5</w:t>
            </w:r>
            <w:r>
              <w:rPr>
                <w:rFonts w:ascii="宋体" w:hAnsi="宋体"/>
                <w:szCs w:val="21"/>
              </w:rPr>
              <w:t xml:space="preserve">            </w:t>
            </w:r>
            <w:r>
              <w:rPr>
                <w:rFonts w:ascii="宋体" w:hAnsi="宋体"/>
                <w:b/>
                <w:bCs/>
                <w:szCs w:val="21"/>
              </w:rPr>
              <w:t>UN号：</w:t>
            </w:r>
            <w:r>
              <w:rPr>
                <w:rFonts w:hint="eastAsia" w:ascii="宋体" w:hAnsi="宋体"/>
                <w:szCs w:val="21"/>
              </w:rPr>
              <w:t>1202        危规编号：1674</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568" w:type="dxa"/>
            <w:noWrap w:val="0"/>
            <w:vAlign w:val="center"/>
          </w:tcPr>
          <w:p>
            <w:pPr>
              <w:adjustRightInd w:val="0"/>
              <w:snapToGrid w:val="0"/>
              <w:jc w:val="left"/>
              <w:rPr>
                <w:rFonts w:ascii="宋体" w:hAnsi="宋体"/>
                <w:b/>
                <w:bCs/>
                <w:szCs w:val="21"/>
              </w:rPr>
            </w:pPr>
            <w:r>
              <w:rPr>
                <w:rFonts w:ascii="宋体" w:hAnsi="宋体"/>
                <w:b/>
                <w:bCs/>
                <w:szCs w:val="21"/>
              </w:rPr>
              <w:t>理</w:t>
            </w:r>
          </w:p>
          <w:p>
            <w:pPr>
              <w:adjustRightInd w:val="0"/>
              <w:snapToGrid w:val="0"/>
              <w:jc w:val="left"/>
              <w:rPr>
                <w:rFonts w:ascii="宋体" w:hAnsi="宋体"/>
                <w:b/>
                <w:bCs/>
                <w:szCs w:val="21"/>
              </w:rPr>
            </w:pPr>
            <w:r>
              <w:rPr>
                <w:rFonts w:ascii="宋体" w:hAnsi="宋体"/>
                <w:b/>
                <w:bCs/>
                <w:szCs w:val="21"/>
              </w:rPr>
              <w:t>化</w:t>
            </w:r>
          </w:p>
          <w:p>
            <w:pPr>
              <w:adjustRightInd w:val="0"/>
              <w:snapToGrid w:val="0"/>
              <w:jc w:val="left"/>
              <w:rPr>
                <w:rFonts w:ascii="宋体" w:hAnsi="宋体"/>
                <w:b/>
                <w:bCs/>
                <w:szCs w:val="21"/>
              </w:rPr>
            </w:pPr>
            <w:r>
              <w:rPr>
                <w:rFonts w:ascii="宋体" w:hAnsi="宋体"/>
                <w:b/>
                <w:bCs/>
                <w:szCs w:val="21"/>
              </w:rPr>
              <w:t>性</w:t>
            </w:r>
          </w:p>
          <w:p>
            <w:pPr>
              <w:adjustRightInd w:val="0"/>
              <w:snapToGrid w:val="0"/>
              <w:jc w:val="left"/>
              <w:rPr>
                <w:rFonts w:ascii="宋体" w:hAnsi="宋体"/>
                <w:szCs w:val="21"/>
              </w:rPr>
            </w:pPr>
            <w:r>
              <w:rPr>
                <w:rFonts w:ascii="宋体" w:hAnsi="宋体"/>
                <w:b/>
                <w:bCs/>
                <w:szCs w:val="21"/>
              </w:rPr>
              <w:t>质</w:t>
            </w:r>
          </w:p>
        </w:tc>
        <w:tc>
          <w:tcPr>
            <w:tcW w:w="7954" w:type="dxa"/>
            <w:noWrap w:val="0"/>
            <w:vAlign w:val="center"/>
          </w:tcPr>
          <w:p>
            <w:pPr>
              <w:adjustRightInd w:val="0"/>
              <w:snapToGrid w:val="0"/>
              <w:jc w:val="left"/>
              <w:rPr>
                <w:rFonts w:ascii="宋体" w:hAnsi="宋体"/>
                <w:szCs w:val="21"/>
              </w:rPr>
            </w:pPr>
            <w:r>
              <w:rPr>
                <w:rFonts w:ascii="宋体" w:hAnsi="宋体"/>
                <w:b/>
                <w:bCs/>
                <w:szCs w:val="21"/>
              </w:rPr>
              <w:t>外观与性状：</w:t>
            </w:r>
            <w:r>
              <w:rPr>
                <w:rFonts w:ascii="宋体" w:hAnsi="宋体"/>
                <w:szCs w:val="21"/>
              </w:rPr>
              <w:t>稍有粘性的浅黄至棕色液体。</w:t>
            </w:r>
          </w:p>
          <w:p>
            <w:pPr>
              <w:adjustRightInd w:val="0"/>
              <w:snapToGrid w:val="0"/>
              <w:jc w:val="left"/>
              <w:rPr>
                <w:rFonts w:ascii="宋体" w:hAnsi="宋体"/>
                <w:szCs w:val="21"/>
              </w:rPr>
            </w:pPr>
            <w:r>
              <w:rPr>
                <w:rFonts w:ascii="宋体" w:hAnsi="宋体"/>
                <w:b/>
                <w:bCs/>
                <w:szCs w:val="21"/>
              </w:rPr>
              <w:t>熔点(℃)：</w:t>
            </w:r>
            <w:r>
              <w:rPr>
                <w:rFonts w:ascii="宋体" w:hAnsi="宋体"/>
                <w:szCs w:val="21"/>
              </w:rPr>
              <w:t xml:space="preserve">-35～20          </w:t>
            </w:r>
            <w:r>
              <w:rPr>
                <w:rFonts w:ascii="宋体" w:hAnsi="宋体"/>
                <w:b/>
                <w:bCs/>
                <w:szCs w:val="21"/>
              </w:rPr>
              <w:t>相对密度（水=1.0）：</w:t>
            </w:r>
            <w:r>
              <w:rPr>
                <w:rFonts w:ascii="宋体" w:hAnsi="宋体"/>
                <w:szCs w:val="21"/>
              </w:rPr>
              <w:t>0.87～0.9</w:t>
            </w:r>
          </w:p>
          <w:p>
            <w:pPr>
              <w:adjustRightInd w:val="0"/>
              <w:snapToGrid w:val="0"/>
              <w:jc w:val="left"/>
              <w:rPr>
                <w:rFonts w:ascii="宋体" w:hAnsi="宋体"/>
                <w:szCs w:val="21"/>
              </w:rPr>
            </w:pPr>
            <w:r>
              <w:rPr>
                <w:rFonts w:ascii="宋体" w:hAnsi="宋体"/>
                <w:b/>
                <w:bCs/>
                <w:szCs w:val="21"/>
              </w:rPr>
              <w:t>沸程(℃)：</w:t>
            </w:r>
            <w:r>
              <w:rPr>
                <w:rFonts w:ascii="宋体" w:hAnsi="宋体"/>
                <w:szCs w:val="21"/>
              </w:rPr>
              <w:t xml:space="preserve">282～338         </w:t>
            </w:r>
            <w:r>
              <w:rPr>
                <w:rFonts w:ascii="宋体" w:hAnsi="宋体"/>
                <w:b/>
                <w:bCs/>
                <w:szCs w:val="21"/>
              </w:rPr>
              <w:t>相对密度(空气=1):</w:t>
            </w:r>
            <w:r>
              <w:rPr>
                <w:rFonts w:ascii="宋体" w:hAnsi="宋体"/>
                <w:szCs w:val="21"/>
              </w:rPr>
              <w:t xml:space="preserve"> 无资料</w:t>
            </w:r>
          </w:p>
          <w:p>
            <w:pPr>
              <w:adjustRightInd w:val="0"/>
              <w:snapToGrid w:val="0"/>
              <w:jc w:val="left"/>
              <w:rPr>
                <w:rFonts w:ascii="宋体" w:hAnsi="宋体"/>
                <w:szCs w:val="21"/>
              </w:rPr>
            </w:pPr>
            <w:r>
              <w:rPr>
                <w:rFonts w:ascii="宋体" w:hAnsi="宋体"/>
                <w:b/>
                <w:bCs/>
                <w:szCs w:val="21"/>
              </w:rPr>
              <w:t xml:space="preserve">闪点(℃): </w:t>
            </w:r>
            <w:r>
              <w:rPr>
                <w:rFonts w:ascii="宋体" w:hAnsi="宋体"/>
                <w:bCs/>
                <w:szCs w:val="21"/>
              </w:rPr>
              <w:t>&gt;55</w:t>
            </w:r>
            <w:r>
              <w:rPr>
                <w:rFonts w:ascii="宋体" w:hAnsi="宋体"/>
                <w:szCs w:val="21"/>
              </w:rPr>
              <w:t xml:space="preserve">              </w:t>
            </w:r>
            <w:r>
              <w:rPr>
                <w:rFonts w:ascii="宋体" w:hAnsi="宋体"/>
                <w:b/>
                <w:bCs/>
                <w:szCs w:val="21"/>
              </w:rPr>
              <w:t>引燃温度(℃)：</w:t>
            </w:r>
            <w:r>
              <w:rPr>
                <w:rFonts w:ascii="宋体" w:hAnsi="宋体"/>
                <w:szCs w:val="21"/>
              </w:rPr>
              <w:t>257</w:t>
            </w:r>
          </w:p>
          <w:p>
            <w:pPr>
              <w:adjustRightInd w:val="0"/>
              <w:snapToGrid w:val="0"/>
              <w:jc w:val="left"/>
              <w:rPr>
                <w:rFonts w:ascii="宋体" w:hAnsi="宋体"/>
                <w:szCs w:val="21"/>
              </w:rPr>
            </w:pPr>
            <w:r>
              <w:rPr>
                <w:rFonts w:ascii="宋体" w:hAnsi="宋体"/>
                <w:b/>
                <w:bCs/>
                <w:szCs w:val="21"/>
              </w:rPr>
              <w:t>爆炸下限[%(V/V)]:</w:t>
            </w:r>
            <w:r>
              <w:rPr>
                <w:rFonts w:ascii="宋体" w:hAnsi="宋体"/>
                <w:szCs w:val="21"/>
              </w:rPr>
              <w:t xml:space="preserve"> </w:t>
            </w:r>
            <w:r>
              <w:rPr>
                <w:rFonts w:hint="eastAsia" w:ascii="宋体" w:hAnsi="宋体"/>
                <w:szCs w:val="21"/>
              </w:rPr>
              <w:t>0.5</w:t>
            </w:r>
            <w:r>
              <w:rPr>
                <w:rFonts w:ascii="宋体" w:hAnsi="宋体"/>
                <w:szCs w:val="21"/>
              </w:rPr>
              <w:t xml:space="preserve">   </w:t>
            </w:r>
            <w:r>
              <w:rPr>
                <w:rFonts w:ascii="宋体" w:hAnsi="宋体"/>
                <w:b/>
                <w:bCs/>
                <w:szCs w:val="21"/>
              </w:rPr>
              <w:t>最小点火能(mJ):</w:t>
            </w:r>
            <w:r>
              <w:rPr>
                <w:rFonts w:ascii="宋体" w:hAnsi="宋体"/>
                <w:szCs w:val="21"/>
              </w:rPr>
              <w:t>无资料</w:t>
            </w:r>
          </w:p>
          <w:p>
            <w:pPr>
              <w:adjustRightInd w:val="0"/>
              <w:snapToGrid w:val="0"/>
              <w:jc w:val="left"/>
              <w:rPr>
                <w:rFonts w:ascii="宋体" w:hAnsi="宋体"/>
                <w:szCs w:val="21"/>
              </w:rPr>
            </w:pPr>
            <w:r>
              <w:rPr>
                <w:rFonts w:ascii="宋体" w:hAnsi="宋体"/>
                <w:b/>
                <w:bCs/>
                <w:szCs w:val="21"/>
              </w:rPr>
              <w:t>爆炸上限[%(V/V)]:</w:t>
            </w:r>
            <w:r>
              <w:rPr>
                <w:rFonts w:ascii="宋体" w:hAnsi="宋体"/>
                <w:szCs w:val="21"/>
              </w:rPr>
              <w:t xml:space="preserve"> </w:t>
            </w:r>
            <w:r>
              <w:rPr>
                <w:rFonts w:hint="eastAsia" w:ascii="宋体" w:hAnsi="宋体"/>
                <w:szCs w:val="21"/>
              </w:rPr>
              <w:t>4.5</w:t>
            </w:r>
            <w:r>
              <w:rPr>
                <w:rFonts w:ascii="宋体" w:hAnsi="宋体"/>
                <w:szCs w:val="21"/>
              </w:rPr>
              <w:t xml:space="preserve">   </w:t>
            </w:r>
            <w:r>
              <w:rPr>
                <w:rFonts w:ascii="宋体" w:hAnsi="宋体"/>
                <w:b/>
                <w:bCs/>
                <w:szCs w:val="21"/>
              </w:rPr>
              <w:t>最大爆炸压力(MPa):</w:t>
            </w:r>
            <w:r>
              <w:rPr>
                <w:rFonts w:ascii="宋体" w:hAnsi="宋体"/>
                <w:szCs w:val="21"/>
              </w:rPr>
              <w:t xml:space="preserve"> 无资料</w:t>
            </w:r>
          </w:p>
          <w:p>
            <w:pPr>
              <w:adjustRightInd w:val="0"/>
              <w:snapToGrid w:val="0"/>
              <w:jc w:val="left"/>
              <w:rPr>
                <w:rFonts w:ascii="宋体" w:hAnsi="宋体"/>
                <w:szCs w:val="21"/>
              </w:rPr>
            </w:pPr>
            <w:r>
              <w:rPr>
                <w:rFonts w:ascii="宋体" w:hAnsi="宋体"/>
                <w:b/>
                <w:bCs/>
                <w:szCs w:val="21"/>
              </w:rPr>
              <w:t>溶 解 性：</w:t>
            </w:r>
            <w:r>
              <w:rPr>
                <w:rFonts w:ascii="宋体" w:hAnsi="宋体"/>
                <w:szCs w:val="21"/>
              </w:rPr>
              <w:t>不溶于水,易溶于苯、二硫化碳、醇、脂肪。</w:t>
            </w:r>
          </w:p>
          <w:p>
            <w:pPr>
              <w:adjustRightInd w:val="0"/>
              <w:snapToGrid w:val="0"/>
              <w:jc w:val="left"/>
              <w:rPr>
                <w:rFonts w:ascii="宋体" w:hAnsi="宋体"/>
                <w:szCs w:val="21"/>
              </w:rPr>
            </w:pPr>
            <w:r>
              <w:rPr>
                <w:rFonts w:ascii="宋体" w:hAnsi="宋体"/>
                <w:b/>
                <w:bCs/>
                <w:szCs w:val="21"/>
              </w:rPr>
              <w:t>主要用途：</w:t>
            </w:r>
            <w:r>
              <w:rPr>
                <w:rFonts w:ascii="宋体" w:hAnsi="宋体"/>
                <w:szCs w:val="21"/>
              </w:rPr>
              <w:t xml:space="preserve">主要用作柴油机的燃料。 </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568" w:type="dxa"/>
            <w:noWrap w:val="0"/>
            <w:vAlign w:val="center"/>
          </w:tcPr>
          <w:p>
            <w:pPr>
              <w:adjustRightInd w:val="0"/>
              <w:snapToGrid w:val="0"/>
              <w:jc w:val="left"/>
              <w:rPr>
                <w:rFonts w:ascii="宋体" w:hAnsi="宋体"/>
                <w:b/>
                <w:bCs/>
                <w:szCs w:val="21"/>
              </w:rPr>
            </w:pPr>
            <w:r>
              <w:rPr>
                <w:rFonts w:ascii="宋体" w:hAnsi="宋体"/>
                <w:b/>
                <w:bCs/>
                <w:szCs w:val="21"/>
              </w:rPr>
              <w:t>燃</w:t>
            </w:r>
          </w:p>
          <w:p>
            <w:pPr>
              <w:adjustRightInd w:val="0"/>
              <w:snapToGrid w:val="0"/>
              <w:jc w:val="left"/>
              <w:rPr>
                <w:rFonts w:ascii="宋体" w:hAnsi="宋体"/>
                <w:szCs w:val="21"/>
              </w:rPr>
            </w:pPr>
            <w:r>
              <w:rPr>
                <w:rFonts w:ascii="宋体" w:hAnsi="宋体"/>
                <w:b/>
                <w:bCs/>
                <w:szCs w:val="21"/>
              </w:rPr>
              <w:t>烧</w:t>
            </w:r>
          </w:p>
          <w:p>
            <w:pPr>
              <w:adjustRightInd w:val="0"/>
              <w:snapToGrid w:val="0"/>
              <w:jc w:val="left"/>
              <w:rPr>
                <w:rFonts w:ascii="宋体" w:hAnsi="宋体"/>
                <w:b/>
                <w:bCs/>
                <w:szCs w:val="21"/>
              </w:rPr>
            </w:pPr>
            <w:r>
              <w:rPr>
                <w:rFonts w:ascii="宋体" w:hAnsi="宋体"/>
                <w:b/>
                <w:bCs/>
                <w:szCs w:val="21"/>
              </w:rPr>
              <w:t>爆</w:t>
            </w:r>
          </w:p>
          <w:p>
            <w:pPr>
              <w:adjustRightInd w:val="0"/>
              <w:snapToGrid w:val="0"/>
              <w:jc w:val="left"/>
              <w:rPr>
                <w:rFonts w:ascii="宋体" w:hAnsi="宋体"/>
                <w:b/>
                <w:bCs/>
                <w:szCs w:val="21"/>
              </w:rPr>
            </w:pPr>
            <w:r>
              <w:rPr>
                <w:rFonts w:ascii="宋体" w:hAnsi="宋体"/>
                <w:b/>
                <w:bCs/>
                <w:szCs w:val="21"/>
              </w:rPr>
              <w:t>炸</w:t>
            </w:r>
          </w:p>
          <w:p>
            <w:pPr>
              <w:adjustRightInd w:val="0"/>
              <w:snapToGrid w:val="0"/>
              <w:jc w:val="left"/>
              <w:rPr>
                <w:rFonts w:ascii="宋体" w:hAnsi="宋体"/>
                <w:b/>
                <w:bCs/>
                <w:szCs w:val="21"/>
              </w:rPr>
            </w:pPr>
            <w:r>
              <w:rPr>
                <w:rFonts w:ascii="宋体" w:hAnsi="宋体"/>
                <w:b/>
                <w:bCs/>
                <w:szCs w:val="21"/>
              </w:rPr>
              <w:t>危</w:t>
            </w:r>
          </w:p>
          <w:p>
            <w:pPr>
              <w:adjustRightInd w:val="0"/>
              <w:snapToGrid w:val="0"/>
              <w:jc w:val="left"/>
              <w:rPr>
                <w:rFonts w:ascii="宋体" w:hAnsi="宋体"/>
                <w:b/>
                <w:bCs/>
                <w:szCs w:val="21"/>
              </w:rPr>
            </w:pPr>
            <w:r>
              <w:rPr>
                <w:rFonts w:ascii="宋体" w:hAnsi="宋体"/>
                <w:b/>
                <w:bCs/>
                <w:szCs w:val="21"/>
              </w:rPr>
              <w:t>险</w:t>
            </w:r>
          </w:p>
          <w:p>
            <w:pPr>
              <w:adjustRightInd w:val="0"/>
              <w:snapToGrid w:val="0"/>
              <w:jc w:val="left"/>
              <w:rPr>
                <w:rFonts w:ascii="宋体" w:hAnsi="宋体"/>
                <w:szCs w:val="21"/>
              </w:rPr>
            </w:pPr>
            <w:r>
              <w:rPr>
                <w:rFonts w:ascii="宋体" w:hAnsi="宋体"/>
                <w:b/>
                <w:bCs/>
                <w:szCs w:val="21"/>
              </w:rPr>
              <w:t>性</w:t>
            </w:r>
          </w:p>
        </w:tc>
        <w:tc>
          <w:tcPr>
            <w:tcW w:w="7954" w:type="dxa"/>
            <w:noWrap w:val="0"/>
            <w:vAlign w:val="center"/>
          </w:tcPr>
          <w:p>
            <w:pPr>
              <w:adjustRightInd w:val="0"/>
              <w:snapToGrid w:val="0"/>
              <w:jc w:val="left"/>
              <w:rPr>
                <w:rFonts w:ascii="宋体" w:hAnsi="宋体"/>
                <w:szCs w:val="21"/>
              </w:rPr>
            </w:pPr>
            <w:r>
              <w:rPr>
                <w:rFonts w:ascii="宋体" w:hAnsi="宋体"/>
                <w:b/>
                <w:bCs/>
                <w:szCs w:val="21"/>
              </w:rPr>
              <w:t>燃 烧 性：</w:t>
            </w:r>
            <w:r>
              <w:rPr>
                <w:rFonts w:ascii="宋体" w:hAnsi="宋体"/>
                <w:szCs w:val="21"/>
              </w:rPr>
              <w:t>易燃。</w:t>
            </w:r>
          </w:p>
          <w:p>
            <w:pPr>
              <w:pStyle w:val="10"/>
              <w:ind w:left="420"/>
              <w:jc w:val="left"/>
              <w:rPr>
                <w:rFonts w:ascii="宋体" w:hAnsi="宋体"/>
                <w:szCs w:val="21"/>
              </w:rPr>
            </w:pPr>
            <w:r>
              <w:rPr>
                <w:rFonts w:ascii="宋体" w:hAnsi="宋体"/>
                <w:b/>
                <w:bCs/>
                <w:szCs w:val="21"/>
              </w:rPr>
              <w:t>危险特性：</w:t>
            </w:r>
            <w:r>
              <w:rPr>
                <w:rFonts w:ascii="宋体" w:hAnsi="宋体"/>
                <w:szCs w:val="21"/>
              </w:rPr>
              <w:t>遇明火、高热或与氧化剂接触,有引起燃烧爆炸的危险。若遇高热，容器内压力增大，有开裂和爆炸的危险。</w:t>
            </w:r>
          </w:p>
          <w:p>
            <w:pPr>
              <w:pStyle w:val="10"/>
              <w:ind w:left="420"/>
              <w:jc w:val="left"/>
              <w:rPr>
                <w:rFonts w:ascii="宋体" w:hAnsi="宋体"/>
                <w:szCs w:val="21"/>
              </w:rPr>
            </w:pPr>
            <w:r>
              <w:rPr>
                <w:rFonts w:ascii="宋体" w:hAnsi="宋体"/>
                <w:b/>
                <w:bCs/>
                <w:szCs w:val="21"/>
              </w:rPr>
              <w:t>有害燃烧产物：</w:t>
            </w:r>
            <w:r>
              <w:rPr>
                <w:rFonts w:ascii="宋体" w:hAnsi="宋体"/>
                <w:szCs w:val="21"/>
              </w:rPr>
              <w:t>一氧化碳、二氧化碳。</w:t>
            </w:r>
          </w:p>
          <w:p>
            <w:pPr>
              <w:adjustRightInd w:val="0"/>
              <w:snapToGrid w:val="0"/>
              <w:jc w:val="left"/>
              <w:rPr>
                <w:rFonts w:ascii="宋体" w:hAnsi="宋体"/>
                <w:szCs w:val="21"/>
              </w:rPr>
            </w:pPr>
            <w:r>
              <w:rPr>
                <w:rFonts w:ascii="宋体" w:hAnsi="宋体"/>
                <w:b/>
                <w:bCs/>
                <w:szCs w:val="21"/>
              </w:rPr>
              <w:t>稳 定 性：</w:t>
            </w:r>
            <w:r>
              <w:rPr>
                <w:rFonts w:ascii="宋体" w:hAnsi="宋体"/>
                <w:szCs w:val="21"/>
              </w:rPr>
              <w:t xml:space="preserve">稳定。           </w:t>
            </w:r>
            <w:r>
              <w:rPr>
                <w:rFonts w:ascii="宋体" w:hAnsi="宋体"/>
                <w:b/>
                <w:bCs/>
                <w:szCs w:val="21"/>
              </w:rPr>
              <w:t>聚合危害：</w:t>
            </w:r>
            <w:r>
              <w:rPr>
                <w:rFonts w:ascii="宋体" w:hAnsi="宋体"/>
                <w:szCs w:val="21"/>
              </w:rPr>
              <w:t>不聚合。</w:t>
            </w:r>
          </w:p>
          <w:p>
            <w:pPr>
              <w:adjustRightInd w:val="0"/>
              <w:snapToGrid w:val="0"/>
              <w:jc w:val="left"/>
              <w:rPr>
                <w:rFonts w:ascii="宋体" w:hAnsi="宋体"/>
                <w:szCs w:val="21"/>
              </w:rPr>
            </w:pPr>
            <w:r>
              <w:rPr>
                <w:rFonts w:ascii="宋体" w:hAnsi="宋体"/>
                <w:b/>
                <w:bCs/>
                <w:szCs w:val="21"/>
              </w:rPr>
              <w:t>禁 配 物：</w:t>
            </w:r>
            <w:r>
              <w:rPr>
                <w:rFonts w:ascii="宋体" w:hAnsi="宋体"/>
                <w:szCs w:val="21"/>
              </w:rPr>
              <w:t>强氧化剂、卤素。</w:t>
            </w:r>
          </w:p>
          <w:p>
            <w:pPr>
              <w:adjustRightInd w:val="0"/>
              <w:snapToGrid w:val="0"/>
              <w:jc w:val="left"/>
              <w:rPr>
                <w:rFonts w:ascii="宋体" w:hAnsi="宋体"/>
                <w:szCs w:val="21"/>
              </w:rPr>
            </w:pPr>
            <w:r>
              <w:rPr>
                <w:rFonts w:ascii="宋体" w:hAnsi="宋体"/>
                <w:b/>
                <w:bCs/>
                <w:szCs w:val="21"/>
              </w:rPr>
              <w:t>灭火方法：</w:t>
            </w:r>
            <w:r>
              <w:rPr>
                <w:rFonts w:ascii="宋体" w:hAnsi="宋体"/>
                <w:szCs w:val="21"/>
              </w:rPr>
              <w:t>消防人员须配戴防毒面具、穿全身消防服,在上风向灭火。尽可能将容器从火场移至空旷处，喷水保持容器冷却，直至灭火结束。处在火场中的容器若已变色或从安全泄压装置中产生声音，必须马上撤离。</w:t>
            </w:r>
          </w:p>
          <w:p>
            <w:pPr>
              <w:adjustRightInd w:val="0"/>
              <w:snapToGrid w:val="0"/>
              <w:jc w:val="left"/>
              <w:rPr>
                <w:rFonts w:ascii="宋体" w:hAnsi="宋体"/>
                <w:szCs w:val="21"/>
              </w:rPr>
            </w:pPr>
            <w:r>
              <w:rPr>
                <w:rFonts w:ascii="宋体" w:hAnsi="宋体"/>
                <w:b/>
                <w:bCs/>
                <w:szCs w:val="21"/>
              </w:rPr>
              <w:t>灭 火 剂：</w:t>
            </w:r>
            <w:r>
              <w:rPr>
                <w:rFonts w:ascii="宋体" w:hAnsi="宋体"/>
                <w:szCs w:val="21"/>
              </w:rPr>
              <w:t>泡沫、干粉、二氧化碳、砂土。用水灭火无效。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trPr>
        <w:tc>
          <w:tcPr>
            <w:tcW w:w="568" w:type="dxa"/>
            <w:noWrap w:val="0"/>
            <w:vAlign w:val="center"/>
          </w:tcPr>
          <w:p>
            <w:pPr>
              <w:adjustRightInd w:val="0"/>
              <w:snapToGrid w:val="0"/>
              <w:rPr>
                <w:rFonts w:ascii="宋体" w:hAnsi="宋体"/>
                <w:b/>
                <w:bCs/>
                <w:szCs w:val="21"/>
              </w:rPr>
            </w:pPr>
            <w:r>
              <w:rPr>
                <w:rFonts w:ascii="宋体" w:hAnsi="宋体"/>
                <w:b/>
                <w:bCs/>
                <w:szCs w:val="21"/>
              </w:rPr>
              <w:t>包</w:t>
            </w:r>
          </w:p>
          <w:p>
            <w:pPr>
              <w:adjustRightInd w:val="0"/>
              <w:snapToGrid w:val="0"/>
              <w:rPr>
                <w:rFonts w:ascii="宋体" w:hAnsi="宋体"/>
                <w:b/>
                <w:bCs/>
                <w:szCs w:val="21"/>
              </w:rPr>
            </w:pPr>
            <w:r>
              <w:rPr>
                <w:rFonts w:ascii="宋体" w:hAnsi="宋体"/>
                <w:b/>
                <w:bCs/>
                <w:szCs w:val="21"/>
              </w:rPr>
              <w:t>装</w:t>
            </w:r>
          </w:p>
          <w:p>
            <w:pPr>
              <w:adjustRightInd w:val="0"/>
              <w:snapToGrid w:val="0"/>
              <w:rPr>
                <w:rFonts w:ascii="宋体" w:hAnsi="宋体"/>
                <w:b/>
                <w:bCs/>
                <w:szCs w:val="21"/>
              </w:rPr>
            </w:pPr>
            <w:r>
              <w:rPr>
                <w:rFonts w:ascii="宋体" w:hAnsi="宋体"/>
                <w:b/>
                <w:bCs/>
                <w:szCs w:val="21"/>
              </w:rPr>
              <w:t>与</w:t>
            </w:r>
          </w:p>
          <w:p>
            <w:pPr>
              <w:adjustRightInd w:val="0"/>
              <w:snapToGrid w:val="0"/>
              <w:rPr>
                <w:rFonts w:ascii="宋体" w:hAnsi="宋体"/>
                <w:b/>
                <w:bCs/>
                <w:szCs w:val="21"/>
              </w:rPr>
            </w:pPr>
            <w:r>
              <w:rPr>
                <w:rFonts w:ascii="宋体" w:hAnsi="宋体"/>
                <w:b/>
                <w:bCs/>
                <w:szCs w:val="21"/>
              </w:rPr>
              <w:t>储</w:t>
            </w:r>
          </w:p>
          <w:p>
            <w:pPr>
              <w:adjustRightInd w:val="0"/>
              <w:snapToGrid w:val="0"/>
              <w:jc w:val="left"/>
              <w:rPr>
                <w:rFonts w:ascii="宋体" w:hAnsi="宋体"/>
                <w:b/>
                <w:bCs/>
                <w:szCs w:val="21"/>
              </w:rPr>
            </w:pPr>
            <w:r>
              <w:rPr>
                <w:rFonts w:ascii="宋体" w:hAnsi="宋体"/>
                <w:b/>
                <w:bCs/>
                <w:szCs w:val="21"/>
              </w:rPr>
              <w:t>运</w:t>
            </w:r>
          </w:p>
        </w:tc>
        <w:tc>
          <w:tcPr>
            <w:tcW w:w="7954" w:type="dxa"/>
            <w:noWrap w:val="0"/>
            <w:vAlign w:val="center"/>
          </w:tcPr>
          <w:p>
            <w:pPr>
              <w:adjustRightInd w:val="0"/>
              <w:snapToGrid w:val="0"/>
              <w:rPr>
                <w:rFonts w:ascii="宋体" w:hAnsi="宋体"/>
                <w:szCs w:val="21"/>
              </w:rPr>
            </w:pPr>
            <w:r>
              <w:rPr>
                <w:rFonts w:ascii="宋体" w:hAnsi="宋体"/>
                <w:b/>
                <w:bCs/>
                <w:szCs w:val="21"/>
              </w:rPr>
              <w:t>安全标志：</w:t>
            </w:r>
            <w:r>
              <w:rPr>
                <w:rFonts w:ascii="宋体" w:hAnsi="宋体"/>
                <w:szCs w:val="21"/>
              </w:rPr>
              <w:t xml:space="preserve">易燃液体        </w:t>
            </w:r>
            <w:r>
              <w:rPr>
                <w:rFonts w:ascii="宋体" w:hAnsi="宋体"/>
                <w:b/>
                <w:bCs/>
                <w:szCs w:val="21"/>
              </w:rPr>
              <w:t>包装类别：Ⅲ</w:t>
            </w:r>
            <w:r>
              <w:rPr>
                <w:rFonts w:ascii="宋体" w:hAnsi="宋体"/>
                <w:szCs w:val="21"/>
              </w:rPr>
              <w:t>类包装</w:t>
            </w:r>
          </w:p>
          <w:p>
            <w:pPr>
              <w:adjustRightInd w:val="0"/>
              <w:snapToGrid w:val="0"/>
              <w:rPr>
                <w:rFonts w:ascii="宋体" w:hAnsi="宋体"/>
                <w:szCs w:val="21"/>
              </w:rPr>
            </w:pPr>
            <w:r>
              <w:rPr>
                <w:rFonts w:ascii="宋体" w:hAnsi="宋体"/>
                <w:b/>
                <w:bCs/>
                <w:szCs w:val="21"/>
              </w:rPr>
              <w:t>储存注意事项：</w:t>
            </w:r>
            <w:r>
              <w:rPr>
                <w:rFonts w:ascii="宋体" w:hAnsi="宋体"/>
                <w:szCs w:val="21"/>
              </w:rPr>
              <w:t>储存于阴凉、通风的库房 。远离火种、热源。应与氧化剂、卤素分开存放,切忌混储。储存间内的照明、通风等设施应采用防爆型，开关设在库房外。禁止使用易产生火花的机械设备和工具。储备区应有泄漏应急处理设备和合适的收容材料</w:t>
            </w:r>
          </w:p>
          <w:p>
            <w:pPr>
              <w:adjustRightInd w:val="0"/>
              <w:snapToGrid w:val="0"/>
              <w:jc w:val="left"/>
              <w:rPr>
                <w:rFonts w:ascii="宋体" w:hAnsi="宋体"/>
                <w:b/>
                <w:bCs/>
                <w:szCs w:val="21"/>
              </w:rPr>
            </w:pPr>
            <w:r>
              <w:rPr>
                <w:rFonts w:ascii="宋体" w:hAnsi="宋体"/>
                <w:b/>
                <w:bCs/>
                <w:szCs w:val="21"/>
              </w:rPr>
              <w:t>运输注意事项：</w:t>
            </w:r>
            <w:r>
              <w:rPr>
                <w:rFonts w:ascii="宋体" w:hAnsi="宋体"/>
                <w:szCs w:val="21"/>
              </w:rPr>
              <w:t>运输前应先检查包装容器是否完整、密封，运输过程中要确保容器不泄漏、不倒塌、不坠落、不损坏。运输时车辆应配备相应品种和数量的消防器材及泄漏应急处理设备。夏季最好早晚运输。运输时所用的槽（罐）车应有接地链，槽内可设孔隔板以减少震荡产生静电。严禁与氧化剂、卤素、食用化学品等混装混运。运输途中应防曝晒、雨淋，防高温。中途停留时应远离火种、热源、高温区。装运该物品的车辆排气管必须配备阻火装置，禁止使用易产生火花的机械设备和工具装卸。运输车船必须彻底清洗、消毒，否则不得装运其它物品。船运时，配装位置应远离卧室、厨房，并与机舱、电源、火源等部位隔离。公路运输时要按规定路线行驶。</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568" w:type="dxa"/>
            <w:noWrap w:val="0"/>
            <w:vAlign w:val="center"/>
          </w:tcPr>
          <w:p>
            <w:pPr>
              <w:adjustRightInd w:val="0"/>
              <w:snapToGrid w:val="0"/>
              <w:jc w:val="center"/>
              <w:rPr>
                <w:rFonts w:ascii="宋体" w:hAnsi="宋体"/>
                <w:b/>
                <w:bCs/>
                <w:szCs w:val="21"/>
              </w:rPr>
            </w:pPr>
            <w:r>
              <w:rPr>
                <w:rFonts w:ascii="宋体" w:hAnsi="宋体"/>
                <w:b/>
                <w:bCs/>
                <w:szCs w:val="21"/>
              </w:rPr>
              <w:t>毒</w:t>
            </w:r>
          </w:p>
          <w:p>
            <w:pPr>
              <w:adjustRightInd w:val="0"/>
              <w:snapToGrid w:val="0"/>
              <w:jc w:val="center"/>
              <w:rPr>
                <w:rFonts w:ascii="宋体" w:hAnsi="宋体"/>
                <w:b/>
                <w:bCs/>
                <w:szCs w:val="21"/>
              </w:rPr>
            </w:pPr>
            <w:r>
              <w:rPr>
                <w:rFonts w:ascii="宋体" w:hAnsi="宋体"/>
                <w:b/>
                <w:bCs/>
                <w:szCs w:val="21"/>
              </w:rPr>
              <w:t>性</w:t>
            </w:r>
          </w:p>
          <w:p>
            <w:pPr>
              <w:adjustRightInd w:val="0"/>
              <w:snapToGrid w:val="0"/>
              <w:jc w:val="center"/>
              <w:rPr>
                <w:rFonts w:ascii="宋体" w:hAnsi="宋体"/>
                <w:b/>
                <w:bCs/>
                <w:szCs w:val="21"/>
              </w:rPr>
            </w:pPr>
            <w:r>
              <w:rPr>
                <w:rFonts w:ascii="宋体" w:hAnsi="宋体"/>
                <w:b/>
                <w:bCs/>
                <w:szCs w:val="21"/>
              </w:rPr>
              <w:t>及</w:t>
            </w:r>
          </w:p>
          <w:p>
            <w:pPr>
              <w:adjustRightInd w:val="0"/>
              <w:snapToGrid w:val="0"/>
              <w:jc w:val="center"/>
              <w:rPr>
                <w:rFonts w:ascii="宋体" w:hAnsi="宋体"/>
                <w:b/>
                <w:bCs/>
                <w:szCs w:val="21"/>
              </w:rPr>
            </w:pPr>
            <w:r>
              <w:rPr>
                <w:rFonts w:ascii="宋体" w:hAnsi="宋体"/>
                <w:b/>
                <w:bCs/>
                <w:szCs w:val="21"/>
              </w:rPr>
              <w:t>健</w:t>
            </w:r>
          </w:p>
          <w:p>
            <w:pPr>
              <w:adjustRightInd w:val="0"/>
              <w:snapToGrid w:val="0"/>
              <w:jc w:val="center"/>
              <w:rPr>
                <w:rFonts w:ascii="宋体" w:hAnsi="宋体"/>
                <w:b/>
                <w:bCs/>
                <w:szCs w:val="21"/>
              </w:rPr>
            </w:pPr>
            <w:r>
              <w:rPr>
                <w:rFonts w:ascii="宋体" w:hAnsi="宋体"/>
                <w:b/>
                <w:bCs/>
                <w:szCs w:val="21"/>
              </w:rPr>
              <w:t>康</w:t>
            </w:r>
          </w:p>
          <w:p>
            <w:pPr>
              <w:adjustRightInd w:val="0"/>
              <w:snapToGrid w:val="0"/>
              <w:jc w:val="center"/>
              <w:rPr>
                <w:rFonts w:ascii="宋体" w:hAnsi="宋体"/>
                <w:b/>
                <w:bCs/>
                <w:szCs w:val="21"/>
              </w:rPr>
            </w:pPr>
            <w:r>
              <w:rPr>
                <w:rFonts w:ascii="宋体" w:hAnsi="宋体"/>
                <w:b/>
                <w:bCs/>
                <w:szCs w:val="21"/>
              </w:rPr>
              <w:t>危</w:t>
            </w:r>
          </w:p>
          <w:p>
            <w:pPr>
              <w:adjustRightInd w:val="0"/>
              <w:snapToGrid w:val="0"/>
              <w:jc w:val="center"/>
              <w:rPr>
                <w:rFonts w:ascii="宋体" w:hAnsi="宋体"/>
                <w:b/>
                <w:bCs/>
                <w:szCs w:val="21"/>
              </w:rPr>
            </w:pPr>
            <w:r>
              <w:rPr>
                <w:rFonts w:ascii="宋体" w:hAnsi="宋体"/>
                <w:b/>
                <w:bCs/>
                <w:szCs w:val="21"/>
              </w:rPr>
              <w:t>害</w:t>
            </w:r>
          </w:p>
          <w:p>
            <w:pPr>
              <w:adjustRightInd w:val="0"/>
              <w:snapToGrid w:val="0"/>
              <w:jc w:val="center"/>
              <w:rPr>
                <w:rFonts w:ascii="宋体" w:hAnsi="宋体"/>
                <w:szCs w:val="21"/>
              </w:rPr>
            </w:pPr>
            <w:r>
              <w:rPr>
                <w:rFonts w:ascii="宋体" w:hAnsi="宋体"/>
                <w:b/>
                <w:bCs/>
                <w:szCs w:val="21"/>
              </w:rPr>
              <w:t>性</w:t>
            </w:r>
          </w:p>
        </w:tc>
        <w:tc>
          <w:tcPr>
            <w:tcW w:w="7954" w:type="dxa"/>
            <w:noWrap w:val="0"/>
            <w:vAlign w:val="center"/>
          </w:tcPr>
          <w:p>
            <w:pPr>
              <w:adjustRightInd w:val="0"/>
              <w:snapToGrid w:val="0"/>
              <w:rPr>
                <w:rFonts w:ascii="宋体" w:hAnsi="宋体"/>
                <w:szCs w:val="21"/>
              </w:rPr>
            </w:pPr>
            <w:r>
              <w:rPr>
                <w:rFonts w:ascii="宋体" w:hAnsi="宋体"/>
                <w:b/>
                <w:bCs/>
                <w:szCs w:val="21"/>
              </w:rPr>
              <w:t>接触限值：</w:t>
            </w:r>
            <w:r>
              <w:rPr>
                <w:rFonts w:ascii="宋体" w:hAnsi="宋体"/>
                <w:szCs w:val="21"/>
              </w:rPr>
              <w:t>中国MAC（mg/m</w:t>
            </w:r>
            <w:r>
              <w:rPr>
                <w:rFonts w:ascii="宋体" w:hAnsi="宋体"/>
                <w:szCs w:val="21"/>
                <w:vertAlign w:val="superscript"/>
              </w:rPr>
              <w:t>3</w:t>
            </w:r>
            <w:r>
              <w:rPr>
                <w:rFonts w:ascii="宋体" w:hAnsi="宋体"/>
                <w:szCs w:val="21"/>
              </w:rPr>
              <w:t>）：无资料。</w:t>
            </w:r>
          </w:p>
          <w:p>
            <w:pPr>
              <w:adjustRightInd w:val="0"/>
              <w:snapToGrid w:val="0"/>
              <w:rPr>
                <w:rFonts w:ascii="宋体" w:hAnsi="宋体"/>
                <w:szCs w:val="21"/>
              </w:rPr>
            </w:pPr>
            <w:r>
              <w:rPr>
                <w:rFonts w:ascii="宋体" w:hAnsi="宋体"/>
                <w:b/>
                <w:bCs/>
                <w:szCs w:val="21"/>
              </w:rPr>
              <w:t>侵入途径：</w:t>
            </w:r>
            <w:r>
              <w:rPr>
                <w:rFonts w:ascii="宋体" w:hAnsi="宋体"/>
                <w:szCs w:val="21"/>
              </w:rPr>
              <w:t>吸入、食入、经皮肤吸收。</w:t>
            </w:r>
          </w:p>
          <w:p>
            <w:pPr>
              <w:adjustRightInd w:val="0"/>
              <w:snapToGrid w:val="0"/>
              <w:rPr>
                <w:rFonts w:ascii="宋体" w:hAnsi="宋体"/>
                <w:szCs w:val="21"/>
              </w:rPr>
            </w:pPr>
            <w:r>
              <w:rPr>
                <w:rFonts w:ascii="宋体" w:hAnsi="宋体"/>
                <w:b/>
                <w:bCs/>
                <w:szCs w:val="21"/>
              </w:rPr>
              <w:t>急性毒性：</w:t>
            </w:r>
            <w:r>
              <w:rPr>
                <w:rFonts w:ascii="宋体" w:hAnsi="宋体"/>
                <w:szCs w:val="21"/>
              </w:rPr>
              <w:t>LD</w:t>
            </w:r>
            <w:r>
              <w:rPr>
                <w:rFonts w:ascii="宋体" w:hAnsi="宋体"/>
                <w:szCs w:val="21"/>
                <w:vertAlign w:val="subscript"/>
              </w:rPr>
              <w:t>50</w:t>
            </w:r>
            <w:r>
              <w:rPr>
                <w:rFonts w:ascii="宋体" w:hAnsi="宋体"/>
                <w:szCs w:val="21"/>
              </w:rPr>
              <w:t xml:space="preserve">：无资料 </w:t>
            </w:r>
          </w:p>
          <w:p>
            <w:pPr>
              <w:adjustRightInd w:val="0"/>
              <w:snapToGrid w:val="0"/>
              <w:rPr>
                <w:rFonts w:ascii="宋体" w:hAnsi="宋体"/>
                <w:szCs w:val="21"/>
              </w:rPr>
            </w:pPr>
            <w:r>
              <w:rPr>
                <w:rFonts w:ascii="宋体" w:hAnsi="宋体"/>
                <w:b/>
                <w:bCs/>
                <w:szCs w:val="21"/>
              </w:rPr>
              <w:t>健康危害：</w:t>
            </w:r>
            <w:r>
              <w:rPr>
                <w:rFonts w:ascii="宋体" w:hAnsi="宋体"/>
                <w:szCs w:val="21"/>
              </w:rPr>
              <w:t>皮肤接触可为主要吸收途径，可致急性肾脏损害。柴油可引起接触性皮炎、油性痤疮。吸入其雾滴或液体呛入可引起吸入性肺炎。能经胎盘进入胎儿血液中。柴油废气可引起眼、鼻刺激症状,头晕及头痛。</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568" w:type="dxa"/>
            <w:noWrap w:val="0"/>
            <w:vAlign w:val="center"/>
          </w:tcPr>
          <w:p>
            <w:pPr>
              <w:adjustRightInd w:val="0"/>
              <w:snapToGrid w:val="0"/>
              <w:jc w:val="center"/>
              <w:rPr>
                <w:rFonts w:ascii="宋体" w:hAnsi="宋体"/>
                <w:b/>
                <w:bCs/>
                <w:szCs w:val="21"/>
              </w:rPr>
            </w:pPr>
            <w:r>
              <w:rPr>
                <w:rFonts w:ascii="宋体" w:hAnsi="宋体"/>
                <w:b/>
                <w:bCs/>
                <w:szCs w:val="21"/>
              </w:rPr>
              <w:t>急</w:t>
            </w:r>
          </w:p>
          <w:p>
            <w:pPr>
              <w:adjustRightInd w:val="0"/>
              <w:snapToGrid w:val="0"/>
              <w:jc w:val="center"/>
              <w:rPr>
                <w:rFonts w:ascii="宋体" w:hAnsi="宋体"/>
                <w:b/>
                <w:bCs/>
                <w:szCs w:val="21"/>
              </w:rPr>
            </w:pPr>
            <w:r>
              <w:rPr>
                <w:rFonts w:ascii="宋体" w:hAnsi="宋体"/>
                <w:b/>
                <w:bCs/>
                <w:szCs w:val="21"/>
              </w:rPr>
              <w:t>救</w:t>
            </w:r>
          </w:p>
          <w:p>
            <w:pPr>
              <w:adjustRightInd w:val="0"/>
              <w:snapToGrid w:val="0"/>
              <w:jc w:val="center"/>
              <w:rPr>
                <w:rFonts w:ascii="宋体" w:hAnsi="宋体"/>
                <w:b/>
                <w:bCs/>
                <w:szCs w:val="21"/>
              </w:rPr>
            </w:pPr>
            <w:r>
              <w:rPr>
                <w:rFonts w:ascii="宋体" w:hAnsi="宋体"/>
                <w:b/>
                <w:bCs/>
                <w:szCs w:val="21"/>
              </w:rPr>
              <w:t>措</w:t>
            </w:r>
          </w:p>
          <w:p>
            <w:pPr>
              <w:adjustRightInd w:val="0"/>
              <w:snapToGrid w:val="0"/>
              <w:jc w:val="center"/>
              <w:rPr>
                <w:rFonts w:ascii="宋体" w:hAnsi="宋体"/>
                <w:szCs w:val="21"/>
              </w:rPr>
            </w:pPr>
            <w:r>
              <w:rPr>
                <w:rFonts w:ascii="宋体" w:hAnsi="宋体"/>
                <w:b/>
                <w:bCs/>
                <w:szCs w:val="21"/>
              </w:rPr>
              <w:t>施</w:t>
            </w:r>
          </w:p>
        </w:tc>
        <w:tc>
          <w:tcPr>
            <w:tcW w:w="7954" w:type="dxa"/>
            <w:noWrap w:val="0"/>
            <w:vAlign w:val="center"/>
          </w:tcPr>
          <w:p>
            <w:pPr>
              <w:adjustRightInd w:val="0"/>
              <w:snapToGrid w:val="0"/>
              <w:rPr>
                <w:rFonts w:ascii="宋体" w:hAnsi="宋体"/>
                <w:szCs w:val="21"/>
              </w:rPr>
            </w:pPr>
            <w:r>
              <w:rPr>
                <w:rFonts w:ascii="宋体" w:hAnsi="宋体"/>
                <w:b/>
                <w:bCs/>
                <w:szCs w:val="21"/>
              </w:rPr>
              <w:t>皮肤接触：</w:t>
            </w:r>
            <w:r>
              <w:rPr>
                <w:rFonts w:ascii="宋体" w:hAnsi="宋体"/>
                <w:szCs w:val="21"/>
              </w:rPr>
              <w:t>立即脱去被污染的衣着，用肥皂水和清水彻底冲洗皮肤。就医。</w:t>
            </w:r>
          </w:p>
          <w:p>
            <w:pPr>
              <w:adjustRightInd w:val="0"/>
              <w:snapToGrid w:val="0"/>
              <w:rPr>
                <w:rFonts w:ascii="宋体" w:hAnsi="宋体"/>
                <w:szCs w:val="21"/>
              </w:rPr>
            </w:pPr>
            <w:r>
              <w:rPr>
                <w:rFonts w:ascii="宋体" w:hAnsi="宋体"/>
                <w:b/>
                <w:bCs/>
                <w:szCs w:val="21"/>
              </w:rPr>
              <w:t>眼睛接触：</w:t>
            </w:r>
            <w:r>
              <w:rPr>
                <w:rFonts w:ascii="宋体" w:hAnsi="宋体"/>
                <w:szCs w:val="21"/>
              </w:rPr>
              <w:t>立即提起眼睑，用大量流动清水或生理盐水彻底冲洗至少15分钟。就医。</w:t>
            </w:r>
          </w:p>
          <w:p>
            <w:pPr>
              <w:adjustRightInd w:val="0"/>
              <w:snapToGrid w:val="0"/>
              <w:rPr>
                <w:rFonts w:ascii="宋体" w:hAnsi="宋体"/>
                <w:szCs w:val="21"/>
              </w:rPr>
            </w:pPr>
            <w:r>
              <w:rPr>
                <w:rFonts w:ascii="宋体" w:hAnsi="宋体"/>
                <w:b/>
                <w:bCs/>
                <w:szCs w:val="21"/>
              </w:rPr>
              <w:t>吸入：</w:t>
            </w:r>
            <w:r>
              <w:rPr>
                <w:rFonts w:ascii="宋体" w:hAnsi="宋体"/>
                <w:szCs w:val="21"/>
              </w:rPr>
              <w:t>迅速脱离现场至空气新鲜处。保持呼吸道通畅。如呼吸困难，给输氧。如呼吸停止，立即进行人工呼吸。就医。</w:t>
            </w:r>
          </w:p>
          <w:p>
            <w:pPr>
              <w:adjustRightInd w:val="0"/>
              <w:snapToGrid w:val="0"/>
              <w:rPr>
                <w:rFonts w:ascii="宋体" w:hAnsi="宋体"/>
                <w:szCs w:val="21"/>
              </w:rPr>
            </w:pPr>
            <w:r>
              <w:rPr>
                <w:rFonts w:ascii="宋体" w:hAnsi="宋体"/>
                <w:b/>
                <w:bCs/>
                <w:szCs w:val="21"/>
              </w:rPr>
              <w:t>食入：</w:t>
            </w:r>
            <w:r>
              <w:rPr>
                <w:rFonts w:ascii="宋体" w:hAnsi="宋体"/>
                <w:szCs w:val="21"/>
              </w:rPr>
              <w:t>给饮牛奶或用植物油洗胃和灌肠。就医。</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568" w:type="dxa"/>
            <w:noWrap w:val="0"/>
            <w:vAlign w:val="center"/>
          </w:tcPr>
          <w:p>
            <w:pPr>
              <w:adjustRightInd w:val="0"/>
              <w:snapToGrid w:val="0"/>
              <w:jc w:val="center"/>
              <w:rPr>
                <w:rFonts w:ascii="宋体" w:hAnsi="宋体"/>
                <w:b/>
                <w:bCs/>
                <w:szCs w:val="21"/>
              </w:rPr>
            </w:pPr>
            <w:r>
              <w:rPr>
                <w:rFonts w:ascii="宋体" w:hAnsi="宋体"/>
                <w:b/>
                <w:bCs/>
                <w:szCs w:val="21"/>
              </w:rPr>
              <w:t>防</w:t>
            </w:r>
          </w:p>
          <w:p>
            <w:pPr>
              <w:adjustRightInd w:val="0"/>
              <w:snapToGrid w:val="0"/>
              <w:jc w:val="center"/>
              <w:rPr>
                <w:rFonts w:ascii="宋体" w:hAnsi="宋体"/>
                <w:b/>
                <w:bCs/>
                <w:szCs w:val="21"/>
              </w:rPr>
            </w:pPr>
            <w:r>
              <w:rPr>
                <w:rFonts w:ascii="宋体" w:hAnsi="宋体"/>
                <w:b/>
                <w:bCs/>
                <w:szCs w:val="21"/>
              </w:rPr>
              <w:t>护</w:t>
            </w:r>
          </w:p>
          <w:p>
            <w:pPr>
              <w:adjustRightInd w:val="0"/>
              <w:snapToGrid w:val="0"/>
              <w:jc w:val="center"/>
              <w:rPr>
                <w:rFonts w:ascii="宋体" w:hAnsi="宋体"/>
                <w:b/>
                <w:bCs/>
                <w:szCs w:val="21"/>
              </w:rPr>
            </w:pPr>
            <w:r>
              <w:rPr>
                <w:rFonts w:ascii="宋体" w:hAnsi="宋体"/>
                <w:b/>
                <w:bCs/>
                <w:szCs w:val="21"/>
              </w:rPr>
              <w:t>措</w:t>
            </w:r>
          </w:p>
          <w:p>
            <w:pPr>
              <w:adjustRightInd w:val="0"/>
              <w:snapToGrid w:val="0"/>
              <w:jc w:val="center"/>
              <w:rPr>
                <w:rFonts w:ascii="宋体" w:hAnsi="宋体"/>
                <w:szCs w:val="21"/>
              </w:rPr>
            </w:pPr>
            <w:r>
              <w:rPr>
                <w:rFonts w:ascii="宋体" w:hAnsi="宋体"/>
                <w:b/>
                <w:bCs/>
                <w:szCs w:val="21"/>
              </w:rPr>
              <w:t>施</w:t>
            </w:r>
          </w:p>
        </w:tc>
        <w:tc>
          <w:tcPr>
            <w:tcW w:w="7954" w:type="dxa"/>
            <w:noWrap w:val="0"/>
            <w:vAlign w:val="center"/>
          </w:tcPr>
          <w:p>
            <w:pPr>
              <w:adjustRightInd w:val="0"/>
              <w:snapToGrid w:val="0"/>
              <w:rPr>
                <w:rFonts w:ascii="宋体" w:hAnsi="宋体"/>
                <w:szCs w:val="21"/>
              </w:rPr>
            </w:pPr>
            <w:r>
              <w:rPr>
                <w:rFonts w:ascii="宋体" w:hAnsi="宋体"/>
                <w:b/>
                <w:bCs/>
                <w:szCs w:val="21"/>
              </w:rPr>
              <w:t>工程控制：</w:t>
            </w:r>
            <w:r>
              <w:rPr>
                <w:rFonts w:ascii="宋体" w:hAnsi="宋体"/>
                <w:szCs w:val="21"/>
              </w:rPr>
              <w:t>生产过程密闭操作，注意通风。</w:t>
            </w:r>
          </w:p>
          <w:p>
            <w:pPr>
              <w:adjustRightInd w:val="0"/>
              <w:snapToGrid w:val="0"/>
              <w:rPr>
                <w:rFonts w:ascii="宋体" w:hAnsi="宋体"/>
                <w:szCs w:val="21"/>
              </w:rPr>
            </w:pPr>
            <w:r>
              <w:rPr>
                <w:rFonts w:ascii="宋体" w:hAnsi="宋体"/>
                <w:b/>
                <w:bCs/>
                <w:szCs w:val="21"/>
              </w:rPr>
              <w:t>呼吸系统防护：</w:t>
            </w:r>
            <w:r>
              <w:rPr>
                <w:rFonts w:ascii="宋体" w:hAnsi="宋体"/>
                <w:szCs w:val="21"/>
              </w:rPr>
              <w:t>空气中浓度超标时，建议佩戴自吸过滤式防毒面具(半面罩)。紧急事态抢救或撤离时,应佩戴空气呼吸器。</w:t>
            </w:r>
          </w:p>
          <w:p>
            <w:pPr>
              <w:adjustRightInd w:val="0"/>
              <w:snapToGrid w:val="0"/>
              <w:rPr>
                <w:rFonts w:ascii="宋体" w:hAnsi="宋体"/>
                <w:szCs w:val="21"/>
              </w:rPr>
            </w:pPr>
            <w:r>
              <w:rPr>
                <w:rFonts w:ascii="宋体" w:hAnsi="宋体"/>
                <w:b/>
                <w:bCs/>
                <w:szCs w:val="21"/>
              </w:rPr>
              <w:t>眼睛防护：</w:t>
            </w:r>
            <w:r>
              <w:rPr>
                <w:rFonts w:ascii="宋体" w:hAnsi="宋体"/>
                <w:szCs w:val="21"/>
              </w:rPr>
              <w:t>必要时戴化学安全防护眼镜。</w:t>
            </w:r>
          </w:p>
          <w:p>
            <w:pPr>
              <w:adjustRightInd w:val="0"/>
              <w:snapToGrid w:val="0"/>
              <w:rPr>
                <w:rFonts w:ascii="宋体" w:hAnsi="宋体"/>
                <w:szCs w:val="21"/>
              </w:rPr>
            </w:pPr>
            <w:r>
              <w:rPr>
                <w:rFonts w:ascii="宋体" w:hAnsi="宋体"/>
                <w:b/>
                <w:bCs/>
                <w:szCs w:val="21"/>
              </w:rPr>
              <w:t>身体防护：</w:t>
            </w:r>
            <w:r>
              <w:rPr>
                <w:rFonts w:ascii="宋体" w:hAnsi="宋体"/>
                <w:szCs w:val="21"/>
              </w:rPr>
              <w:t>穿一般作业工作服。</w:t>
            </w:r>
          </w:p>
          <w:p>
            <w:pPr>
              <w:adjustRightInd w:val="0"/>
              <w:snapToGrid w:val="0"/>
              <w:rPr>
                <w:rFonts w:ascii="宋体" w:hAnsi="宋体"/>
                <w:szCs w:val="21"/>
              </w:rPr>
            </w:pPr>
            <w:r>
              <w:rPr>
                <w:rFonts w:ascii="宋体" w:hAnsi="宋体"/>
                <w:b/>
                <w:bCs/>
                <w:szCs w:val="21"/>
              </w:rPr>
              <w:t>手 防 护：</w:t>
            </w:r>
            <w:r>
              <w:rPr>
                <w:rFonts w:ascii="宋体" w:hAnsi="宋体"/>
                <w:szCs w:val="21"/>
              </w:rPr>
              <w:t>戴橡胶耐油手套。</w:t>
            </w:r>
          </w:p>
          <w:p>
            <w:pPr>
              <w:adjustRightInd w:val="0"/>
              <w:snapToGrid w:val="0"/>
              <w:rPr>
                <w:rFonts w:ascii="宋体" w:hAnsi="宋体"/>
                <w:szCs w:val="21"/>
              </w:rPr>
            </w:pPr>
            <w:r>
              <w:rPr>
                <w:rFonts w:ascii="宋体" w:hAnsi="宋体"/>
                <w:b/>
                <w:bCs/>
                <w:szCs w:val="21"/>
              </w:rPr>
              <w:t>其它防护：</w:t>
            </w:r>
            <w:r>
              <w:rPr>
                <w:rFonts w:ascii="宋体" w:hAnsi="宋体"/>
                <w:szCs w:val="21"/>
              </w:rPr>
              <w:t>工作现场禁止吸烟。避免长期反复接触。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568" w:type="dxa"/>
            <w:noWrap w:val="0"/>
            <w:vAlign w:val="center"/>
          </w:tcPr>
          <w:p>
            <w:pPr>
              <w:adjustRightInd w:val="0"/>
              <w:snapToGrid w:val="0"/>
              <w:jc w:val="center"/>
              <w:rPr>
                <w:rFonts w:ascii="宋体" w:hAnsi="宋体"/>
                <w:b/>
                <w:bCs/>
                <w:szCs w:val="21"/>
              </w:rPr>
            </w:pPr>
            <w:r>
              <w:rPr>
                <w:rFonts w:ascii="宋体" w:hAnsi="宋体"/>
                <w:b/>
                <w:bCs/>
                <w:szCs w:val="21"/>
              </w:rPr>
              <w:t>泄</w:t>
            </w:r>
          </w:p>
          <w:p>
            <w:pPr>
              <w:adjustRightInd w:val="0"/>
              <w:snapToGrid w:val="0"/>
              <w:jc w:val="center"/>
              <w:rPr>
                <w:rFonts w:ascii="宋体" w:hAnsi="宋体"/>
                <w:b/>
                <w:bCs/>
                <w:szCs w:val="21"/>
              </w:rPr>
            </w:pPr>
            <w:r>
              <w:rPr>
                <w:rFonts w:ascii="宋体" w:hAnsi="宋体"/>
                <w:b/>
                <w:bCs/>
                <w:szCs w:val="21"/>
              </w:rPr>
              <w:t>漏</w:t>
            </w:r>
          </w:p>
          <w:p>
            <w:pPr>
              <w:adjustRightInd w:val="0"/>
              <w:snapToGrid w:val="0"/>
              <w:jc w:val="center"/>
              <w:rPr>
                <w:rFonts w:ascii="宋体" w:hAnsi="宋体"/>
                <w:b/>
                <w:bCs/>
                <w:szCs w:val="21"/>
              </w:rPr>
            </w:pPr>
            <w:r>
              <w:rPr>
                <w:rFonts w:ascii="宋体" w:hAnsi="宋体"/>
                <w:b/>
                <w:bCs/>
                <w:szCs w:val="21"/>
              </w:rPr>
              <w:t>处</w:t>
            </w:r>
          </w:p>
          <w:p>
            <w:pPr>
              <w:adjustRightInd w:val="0"/>
              <w:snapToGrid w:val="0"/>
              <w:jc w:val="center"/>
              <w:rPr>
                <w:rFonts w:ascii="宋体" w:hAnsi="宋体"/>
                <w:szCs w:val="21"/>
              </w:rPr>
            </w:pPr>
            <w:r>
              <w:rPr>
                <w:rFonts w:ascii="宋体" w:hAnsi="宋体"/>
                <w:b/>
                <w:bCs/>
                <w:szCs w:val="21"/>
              </w:rPr>
              <w:t>理</w:t>
            </w:r>
          </w:p>
        </w:tc>
        <w:tc>
          <w:tcPr>
            <w:tcW w:w="7954" w:type="dxa"/>
            <w:noWrap w:val="0"/>
            <w:vAlign w:val="center"/>
          </w:tcPr>
          <w:p>
            <w:pPr>
              <w:adjustRightInd w:val="0"/>
              <w:snapToGrid w:val="0"/>
              <w:rPr>
                <w:rFonts w:ascii="宋体" w:hAnsi="宋体"/>
                <w:szCs w:val="21"/>
              </w:rPr>
            </w:pPr>
            <w:r>
              <w:rPr>
                <w:rFonts w:ascii="宋体" w:hAnsi="宋体"/>
                <w:b/>
                <w:bCs/>
                <w:szCs w:val="21"/>
              </w:rPr>
              <w:t>应急行动：</w:t>
            </w:r>
            <w:r>
              <w:rPr>
                <w:rFonts w:ascii="宋体" w:hAnsi="宋体"/>
                <w:szCs w:val="21"/>
              </w:rPr>
              <w:t>迅速撤离泄漏污染区人员至安全区，并进行隔离，严格限制出入。切断火源。建议应急处理人员戴自给正压式呼吸器，穿一般作业工作服。尽可能切断泄漏源。防止流入下水道、排洪沟等限制性空间。小量泄漏：用活性炭或其它惰性材料吸收。大量泄漏：构筑围堤或挖坑收容。用防爆泵转移至槽车或专用收集容器内，回收或运至废物处理场所处置。</w:t>
            </w:r>
          </w:p>
        </w:tc>
      </w:tr>
    </w:tbl>
    <w:p>
      <w:pPr>
        <w:adjustRightInd w:val="0"/>
        <w:snapToGrid w:val="0"/>
        <w:spacing w:line="360" w:lineRule="auto"/>
        <w:ind w:firstLine="560" w:firstLineChars="200"/>
        <w:rPr>
          <w:rFonts w:hint="eastAsia"/>
          <w:sz w:val="28"/>
          <w:szCs w:val="28"/>
        </w:rPr>
      </w:pPr>
    </w:p>
    <w:p>
      <w:pPr>
        <w:pStyle w:val="8"/>
        <w:spacing w:line="360" w:lineRule="auto"/>
        <w:ind w:firstLine="0" w:firstLineChars="0"/>
        <w:outlineLvl w:val="2"/>
        <w:rPr>
          <w:rFonts w:hint="eastAsia" w:ascii="宋体" w:hAnsi="宋体"/>
          <w:b/>
          <w:snapToGrid w:val="0"/>
          <w:kern w:val="0"/>
          <w:sz w:val="28"/>
          <w:szCs w:val="28"/>
          <w:lang w:val="en-US" w:eastAsia="zh-CN"/>
        </w:rPr>
      </w:pPr>
      <w:bookmarkStart w:id="139" w:name="_Toc515659434"/>
      <w:bookmarkStart w:id="140" w:name="_Toc513735551"/>
      <w:bookmarkStart w:id="141" w:name="_Toc475363997"/>
      <w:bookmarkStart w:id="142" w:name="_Toc11033"/>
      <w:bookmarkStart w:id="143" w:name="_Toc511994825"/>
      <w:r>
        <w:rPr>
          <w:rFonts w:hint="eastAsia" w:ascii="宋体" w:hAnsi="宋体"/>
          <w:b/>
          <w:snapToGrid w:val="0"/>
          <w:kern w:val="0"/>
          <w:sz w:val="28"/>
          <w:szCs w:val="28"/>
          <w:lang w:val="en-US" w:eastAsia="zh-CN"/>
        </w:rPr>
        <w:t>3.4.7 氧气安全数据表</w:t>
      </w:r>
      <w:bookmarkEnd w:id="139"/>
      <w:bookmarkEnd w:id="140"/>
      <w:bookmarkEnd w:id="141"/>
      <w:bookmarkEnd w:id="142"/>
    </w:p>
    <w:p>
      <w:pPr>
        <w:pStyle w:val="32"/>
        <w:rPr>
          <w:rFonts w:eastAsia="黑体"/>
          <w:sz w:val="24"/>
          <w:szCs w:val="24"/>
        </w:rPr>
      </w:pPr>
      <w:r>
        <w:rPr>
          <w:rFonts w:eastAsia="黑体"/>
          <w:sz w:val="24"/>
          <w:szCs w:val="24"/>
        </w:rPr>
        <w:t>表3-</w:t>
      </w:r>
      <w:r>
        <w:rPr>
          <w:rFonts w:hint="eastAsia" w:eastAsia="黑体"/>
          <w:sz w:val="24"/>
          <w:szCs w:val="24"/>
        </w:rPr>
        <w:t>2</w:t>
      </w:r>
      <w:r>
        <w:rPr>
          <w:rFonts w:eastAsia="黑体"/>
          <w:sz w:val="24"/>
          <w:szCs w:val="24"/>
        </w:rPr>
        <w:t xml:space="preserve"> 氧气安全数据表</w:t>
      </w:r>
    </w:p>
    <w:tbl>
      <w:tblPr>
        <w:tblStyle w:val="19"/>
        <w:tblW w:w="8336"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476"/>
        <w:gridCol w:w="1947"/>
        <w:gridCol w:w="531"/>
        <w:gridCol w:w="788"/>
        <w:gridCol w:w="255"/>
        <w:gridCol w:w="43"/>
        <w:gridCol w:w="220"/>
        <w:gridCol w:w="436"/>
        <w:gridCol w:w="967"/>
        <w:gridCol w:w="229"/>
        <w:gridCol w:w="408"/>
        <w:gridCol w:w="203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 w:hRule="atLeast"/>
        </w:trPr>
        <w:tc>
          <w:tcPr>
            <w:tcW w:w="476" w:type="dxa"/>
            <w:vMerge w:val="restart"/>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标识</w:t>
            </w:r>
          </w:p>
        </w:tc>
        <w:tc>
          <w:tcPr>
            <w:tcW w:w="2478" w:type="dxa"/>
            <w:gridSpan w:val="2"/>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中文名：氧气</w:t>
            </w:r>
          </w:p>
        </w:tc>
        <w:tc>
          <w:tcPr>
            <w:tcW w:w="5382" w:type="dxa"/>
            <w:gridSpan w:val="9"/>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英文名：oxygen</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 w:hRule="atLeast"/>
        </w:trPr>
        <w:tc>
          <w:tcPr>
            <w:tcW w:w="476" w:type="dxa"/>
            <w:vMerge w:val="continue"/>
            <w:noWrap w:val="0"/>
            <w:vAlign w:val="center"/>
          </w:tcPr>
          <w:p>
            <w:pPr>
              <w:spacing w:line="260" w:lineRule="exact"/>
              <w:rPr>
                <w:rFonts w:ascii="宋体" w:hAnsi="宋体"/>
                <w:szCs w:val="21"/>
              </w:rPr>
            </w:pPr>
          </w:p>
        </w:tc>
        <w:tc>
          <w:tcPr>
            <w:tcW w:w="2478" w:type="dxa"/>
            <w:gridSpan w:val="2"/>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CAS号：7782-44-7</w:t>
            </w:r>
          </w:p>
        </w:tc>
        <w:tc>
          <w:tcPr>
            <w:tcW w:w="3346" w:type="dxa"/>
            <w:gridSpan w:val="8"/>
            <w:noWrap w:val="0"/>
            <w:tcMar>
              <w:top w:w="15" w:type="dxa"/>
              <w:left w:w="15" w:type="dxa"/>
              <w:bottom w:w="15" w:type="dxa"/>
              <w:right w:w="15" w:type="dxa"/>
            </w:tcMar>
            <w:vAlign w:val="center"/>
          </w:tcPr>
          <w:p>
            <w:pPr>
              <w:spacing w:line="260" w:lineRule="exact"/>
              <w:rPr>
                <w:rFonts w:ascii="宋体" w:hAnsi="宋体"/>
                <w:szCs w:val="21"/>
              </w:rPr>
            </w:pPr>
            <w:r>
              <w:rPr>
                <w:rFonts w:hint="eastAsia" w:ascii="宋体" w:hAnsi="宋体"/>
                <w:szCs w:val="21"/>
              </w:rPr>
              <w:t>危规</w:t>
            </w:r>
            <w:r>
              <w:rPr>
                <w:rFonts w:ascii="宋体" w:hAnsi="宋体"/>
                <w:szCs w:val="21"/>
              </w:rPr>
              <w:t>编号：</w:t>
            </w:r>
            <w:r>
              <w:rPr>
                <w:rFonts w:hint="eastAsia" w:ascii="宋体" w:hAnsi="宋体"/>
                <w:szCs w:val="21"/>
              </w:rPr>
              <w:t>2528</w:t>
            </w:r>
          </w:p>
        </w:tc>
        <w:tc>
          <w:tcPr>
            <w:tcW w:w="2036" w:type="dxa"/>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危险货物编号：22001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15" w:hRule="atLeast"/>
        </w:trPr>
        <w:tc>
          <w:tcPr>
            <w:tcW w:w="476" w:type="dxa"/>
            <w:vMerge w:val="restart"/>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理化性质</w:t>
            </w:r>
          </w:p>
        </w:tc>
        <w:tc>
          <w:tcPr>
            <w:tcW w:w="7860" w:type="dxa"/>
            <w:gridSpan w:val="11"/>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性状：无色无臭气体。</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15" w:hRule="atLeast"/>
        </w:trPr>
        <w:tc>
          <w:tcPr>
            <w:tcW w:w="476" w:type="dxa"/>
            <w:vMerge w:val="continue"/>
            <w:noWrap w:val="0"/>
            <w:vAlign w:val="center"/>
          </w:tcPr>
          <w:p>
            <w:pPr>
              <w:spacing w:line="260" w:lineRule="exact"/>
              <w:rPr>
                <w:rFonts w:ascii="宋体" w:hAnsi="宋体"/>
                <w:szCs w:val="21"/>
              </w:rPr>
            </w:pPr>
          </w:p>
        </w:tc>
        <w:tc>
          <w:tcPr>
            <w:tcW w:w="7860" w:type="dxa"/>
            <w:gridSpan w:val="11"/>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主要用途：用于切割、焊接金属，制造医药、染料、炸药等。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0" w:hRule="atLeast"/>
        </w:trPr>
        <w:tc>
          <w:tcPr>
            <w:tcW w:w="476" w:type="dxa"/>
            <w:vMerge w:val="continue"/>
            <w:noWrap w:val="0"/>
            <w:vAlign w:val="center"/>
          </w:tcPr>
          <w:p>
            <w:pPr>
              <w:spacing w:line="260" w:lineRule="exact"/>
              <w:rPr>
                <w:rFonts w:ascii="宋体" w:hAnsi="宋体"/>
                <w:szCs w:val="21"/>
              </w:rPr>
            </w:pPr>
          </w:p>
        </w:tc>
        <w:tc>
          <w:tcPr>
            <w:tcW w:w="2478" w:type="dxa"/>
            <w:gridSpan w:val="2"/>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相对密度(水=1)：</w:t>
            </w:r>
          </w:p>
          <w:p>
            <w:pPr>
              <w:spacing w:line="260" w:lineRule="exact"/>
              <w:rPr>
                <w:rFonts w:ascii="宋体" w:hAnsi="宋体"/>
                <w:szCs w:val="21"/>
              </w:rPr>
            </w:pPr>
            <w:r>
              <w:rPr>
                <w:rFonts w:ascii="宋体" w:hAnsi="宋体"/>
                <w:szCs w:val="21"/>
              </w:rPr>
              <w:t>1.14（-183℃）</w:t>
            </w:r>
          </w:p>
        </w:tc>
        <w:tc>
          <w:tcPr>
            <w:tcW w:w="2938" w:type="dxa"/>
            <w:gridSpan w:val="7"/>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饱和蒸汽压(kPa)：506.62（-164℃）</w:t>
            </w:r>
          </w:p>
        </w:tc>
        <w:tc>
          <w:tcPr>
            <w:tcW w:w="2444" w:type="dxa"/>
            <w:gridSpan w:val="2"/>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临界温度(℃)：-118.4</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0" w:hRule="atLeast"/>
        </w:trPr>
        <w:tc>
          <w:tcPr>
            <w:tcW w:w="476" w:type="dxa"/>
            <w:vMerge w:val="continue"/>
            <w:noWrap w:val="0"/>
            <w:vAlign w:val="center"/>
          </w:tcPr>
          <w:p>
            <w:pPr>
              <w:spacing w:line="260" w:lineRule="exact"/>
              <w:rPr>
                <w:rFonts w:ascii="宋体" w:hAnsi="宋体"/>
                <w:szCs w:val="21"/>
              </w:rPr>
            </w:pPr>
          </w:p>
        </w:tc>
        <w:tc>
          <w:tcPr>
            <w:tcW w:w="2478" w:type="dxa"/>
            <w:gridSpan w:val="2"/>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相对密度(空气=1): 1.43</w:t>
            </w:r>
          </w:p>
        </w:tc>
        <w:tc>
          <w:tcPr>
            <w:tcW w:w="2938" w:type="dxa"/>
            <w:gridSpan w:val="7"/>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闪点(℃)：不适用</w:t>
            </w:r>
          </w:p>
        </w:tc>
        <w:tc>
          <w:tcPr>
            <w:tcW w:w="2444" w:type="dxa"/>
            <w:gridSpan w:val="2"/>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临界压力(MPa)：5.08</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34" w:hRule="atLeast"/>
        </w:trPr>
        <w:tc>
          <w:tcPr>
            <w:tcW w:w="476" w:type="dxa"/>
            <w:vMerge w:val="continue"/>
            <w:noWrap w:val="0"/>
            <w:vAlign w:val="center"/>
          </w:tcPr>
          <w:p>
            <w:pPr>
              <w:spacing w:line="260" w:lineRule="exact"/>
              <w:rPr>
                <w:rFonts w:ascii="宋体" w:hAnsi="宋体"/>
                <w:szCs w:val="21"/>
              </w:rPr>
            </w:pPr>
          </w:p>
        </w:tc>
        <w:tc>
          <w:tcPr>
            <w:tcW w:w="3784" w:type="dxa"/>
            <w:gridSpan w:val="6"/>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熔点：-218.8</w:t>
            </w:r>
          </w:p>
        </w:tc>
        <w:tc>
          <w:tcPr>
            <w:tcW w:w="4076" w:type="dxa"/>
            <w:gridSpan w:val="5"/>
            <w:noWrap w:val="0"/>
            <w:vAlign w:val="center"/>
          </w:tcPr>
          <w:p>
            <w:pPr>
              <w:spacing w:line="260" w:lineRule="exact"/>
              <w:rPr>
                <w:rFonts w:ascii="宋体" w:hAnsi="宋体"/>
                <w:szCs w:val="21"/>
              </w:rPr>
            </w:pPr>
            <w:r>
              <w:rPr>
                <w:rFonts w:ascii="宋体" w:hAnsi="宋体"/>
                <w:szCs w:val="21"/>
              </w:rPr>
              <w:t>沸点：-183.1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90" w:hRule="atLeast"/>
        </w:trPr>
        <w:tc>
          <w:tcPr>
            <w:tcW w:w="476" w:type="dxa"/>
            <w:vMerge w:val="continue"/>
            <w:noWrap w:val="0"/>
            <w:vAlign w:val="center"/>
          </w:tcPr>
          <w:p>
            <w:pPr>
              <w:spacing w:line="260" w:lineRule="exact"/>
              <w:rPr>
                <w:rFonts w:ascii="宋体" w:hAnsi="宋体"/>
                <w:szCs w:val="21"/>
              </w:rPr>
            </w:pPr>
          </w:p>
        </w:tc>
        <w:tc>
          <w:tcPr>
            <w:tcW w:w="7860" w:type="dxa"/>
            <w:gridSpan w:val="11"/>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溶解性：溶于水、乙醇。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 w:hRule="atLeast"/>
        </w:trPr>
        <w:tc>
          <w:tcPr>
            <w:tcW w:w="476" w:type="dxa"/>
            <w:vMerge w:val="continue"/>
            <w:noWrap w:val="0"/>
            <w:vAlign w:val="center"/>
          </w:tcPr>
          <w:p>
            <w:pPr>
              <w:spacing w:line="260" w:lineRule="exact"/>
              <w:rPr>
                <w:rFonts w:ascii="宋体" w:hAnsi="宋体"/>
                <w:szCs w:val="21"/>
              </w:rPr>
            </w:pPr>
          </w:p>
        </w:tc>
        <w:tc>
          <w:tcPr>
            <w:tcW w:w="7860" w:type="dxa"/>
            <w:gridSpan w:val="11"/>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危险特性：是易燃物、可燃物燃烧爆炸的基本要素之一, 能氧化大多数活性物质。与易燃物（如乙炔、甲烷等）形成有爆炸性的混合物。</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 w:hRule="atLeast"/>
        </w:trPr>
        <w:tc>
          <w:tcPr>
            <w:tcW w:w="476" w:type="dxa"/>
            <w:vMerge w:val="continue"/>
            <w:noWrap w:val="0"/>
            <w:vAlign w:val="center"/>
          </w:tcPr>
          <w:p>
            <w:pPr>
              <w:spacing w:line="260" w:lineRule="exact"/>
              <w:rPr>
                <w:rFonts w:ascii="宋体" w:hAnsi="宋体"/>
                <w:szCs w:val="21"/>
              </w:rPr>
            </w:pPr>
          </w:p>
        </w:tc>
        <w:tc>
          <w:tcPr>
            <w:tcW w:w="1947" w:type="dxa"/>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燃烧分解产物：无数据</w:t>
            </w:r>
          </w:p>
        </w:tc>
        <w:tc>
          <w:tcPr>
            <w:tcW w:w="1319" w:type="dxa"/>
            <w:gridSpan w:val="2"/>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稳定性：无数据</w:t>
            </w:r>
          </w:p>
        </w:tc>
        <w:tc>
          <w:tcPr>
            <w:tcW w:w="1921" w:type="dxa"/>
            <w:gridSpan w:val="5"/>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聚合危害：无数据</w:t>
            </w:r>
          </w:p>
        </w:tc>
        <w:tc>
          <w:tcPr>
            <w:tcW w:w="2673" w:type="dxa"/>
            <w:gridSpan w:val="3"/>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禁忌物：易燃或可燃物、活性金属粉末、乙炔。</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60" w:hRule="atLeast"/>
        </w:trPr>
        <w:tc>
          <w:tcPr>
            <w:tcW w:w="476" w:type="dxa"/>
            <w:vMerge w:val="continue"/>
            <w:noWrap w:val="0"/>
            <w:vAlign w:val="center"/>
          </w:tcPr>
          <w:p>
            <w:pPr>
              <w:spacing w:line="260" w:lineRule="exact"/>
              <w:rPr>
                <w:rFonts w:ascii="宋体" w:hAnsi="宋体"/>
                <w:szCs w:val="21"/>
              </w:rPr>
            </w:pPr>
          </w:p>
        </w:tc>
        <w:tc>
          <w:tcPr>
            <w:tcW w:w="7860" w:type="dxa"/>
            <w:gridSpan w:val="11"/>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灭火方法：用水保持容器冷却，以防受热爆炸，急剧助长火势。迅速切断气源，用水喷淋保护切断气源的人员，然后根据着火原因选择适当灭火剂灭火。</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0" w:hRule="atLeast"/>
        </w:trPr>
        <w:tc>
          <w:tcPr>
            <w:tcW w:w="476" w:type="dxa"/>
            <w:vMerge w:val="restart"/>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危害</w:t>
            </w:r>
          </w:p>
        </w:tc>
        <w:tc>
          <w:tcPr>
            <w:tcW w:w="3521" w:type="dxa"/>
            <w:gridSpan w:val="4"/>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危险性类别：第2.2类 不燃气体</w:t>
            </w:r>
          </w:p>
        </w:tc>
        <w:tc>
          <w:tcPr>
            <w:tcW w:w="4339" w:type="dxa"/>
            <w:gridSpan w:val="7"/>
            <w:noWrap w:val="0"/>
            <w:vAlign w:val="center"/>
          </w:tcPr>
          <w:p>
            <w:pPr>
              <w:spacing w:line="260" w:lineRule="exact"/>
              <w:rPr>
                <w:rFonts w:ascii="宋体" w:hAnsi="宋体"/>
                <w:szCs w:val="21"/>
              </w:rPr>
            </w:pPr>
            <w:r>
              <w:rPr>
                <w:rFonts w:ascii="宋体" w:hAnsi="宋体"/>
                <w:szCs w:val="21"/>
              </w:rPr>
              <w:t>侵入途径：无数据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0" w:hRule="atLeast"/>
        </w:trPr>
        <w:tc>
          <w:tcPr>
            <w:tcW w:w="476" w:type="dxa"/>
            <w:vMerge w:val="continue"/>
            <w:noWrap w:val="0"/>
            <w:vAlign w:val="center"/>
          </w:tcPr>
          <w:p>
            <w:pPr>
              <w:spacing w:line="260" w:lineRule="exact"/>
              <w:rPr>
                <w:rFonts w:ascii="宋体" w:hAnsi="宋体"/>
                <w:szCs w:val="21"/>
              </w:rPr>
            </w:pPr>
          </w:p>
        </w:tc>
        <w:tc>
          <w:tcPr>
            <w:tcW w:w="7860" w:type="dxa"/>
            <w:gridSpan w:val="11"/>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健康危害：常压下，当氧的浓度超过40％时，有可能发生氧中毒。吸入40％～60％的氧时，出现胸骨后不适感、轻咳，进而胸闷、胸骨后烧灼感和呼吸困难，咳嗽加剧；严重时可发生肺水肿，甚至出现呼吸窘迫综合征。吸入氧浓度在80％以上时，出现面部肌肉抽动、面色苍白、眩晕、心动过速、虚脱，继而全身强直性抽搐、昏迷、呼吸衰竭而死亡。长期处于氧分压为60～100kPa（相当于吸入氧浓度40％左右）的条件下可发生眼损害，严重者可失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75" w:hRule="atLeast"/>
        </w:trPr>
        <w:tc>
          <w:tcPr>
            <w:tcW w:w="476" w:type="dxa"/>
            <w:vMerge w:val="continue"/>
            <w:noWrap w:val="0"/>
            <w:vAlign w:val="center"/>
          </w:tcPr>
          <w:p>
            <w:pPr>
              <w:spacing w:line="260" w:lineRule="exact"/>
              <w:rPr>
                <w:rFonts w:ascii="宋体" w:hAnsi="宋体"/>
                <w:szCs w:val="21"/>
              </w:rPr>
            </w:pPr>
          </w:p>
        </w:tc>
        <w:tc>
          <w:tcPr>
            <w:tcW w:w="7860" w:type="dxa"/>
            <w:gridSpan w:val="11"/>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燃爆危险：本品助燃。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69" w:hRule="atLeast"/>
        </w:trPr>
        <w:tc>
          <w:tcPr>
            <w:tcW w:w="476" w:type="dxa"/>
            <w:vMerge w:val="restart"/>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包装与储运</w:t>
            </w:r>
          </w:p>
        </w:tc>
        <w:tc>
          <w:tcPr>
            <w:tcW w:w="3564" w:type="dxa"/>
            <w:gridSpan w:val="5"/>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危险货物包装标志：无数据</w:t>
            </w:r>
          </w:p>
        </w:tc>
        <w:tc>
          <w:tcPr>
            <w:tcW w:w="4296" w:type="dxa"/>
            <w:gridSpan w:val="6"/>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包装类别：O53</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870" w:hRule="atLeast"/>
        </w:trPr>
        <w:tc>
          <w:tcPr>
            <w:tcW w:w="476" w:type="dxa"/>
            <w:vMerge w:val="continue"/>
            <w:noWrap w:val="0"/>
            <w:vAlign w:val="center"/>
          </w:tcPr>
          <w:p>
            <w:pPr>
              <w:spacing w:line="260" w:lineRule="exact"/>
              <w:rPr>
                <w:rFonts w:ascii="宋体" w:hAnsi="宋体"/>
                <w:szCs w:val="21"/>
              </w:rPr>
            </w:pPr>
          </w:p>
        </w:tc>
        <w:tc>
          <w:tcPr>
            <w:tcW w:w="7860" w:type="dxa"/>
            <w:gridSpan w:val="11"/>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钢质气瓶包装。氧气钢瓶不得沾污油脂。采用刚瓶运输时必须戴好钢瓶上的安全帽。钢瓶一般平放，并应将瓶口朝同一方向，不可交叉；高度不得超过车辆的防护栏板，并用三角木垫卡牢，防止滚动。严禁与易燃物或可燃物、活性金属粉末等混装混运。夏季应早晚运输，防止日光曝晒。铁路运输时要禁止溜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 w:hRule="atLeast"/>
        </w:trPr>
        <w:tc>
          <w:tcPr>
            <w:tcW w:w="476" w:type="dxa"/>
            <w:vMerge w:val="restart"/>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急救措施</w:t>
            </w:r>
          </w:p>
        </w:tc>
        <w:tc>
          <w:tcPr>
            <w:tcW w:w="7860" w:type="dxa"/>
            <w:gridSpan w:val="11"/>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眼睛接触：无数据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 w:hRule="atLeast"/>
        </w:trPr>
        <w:tc>
          <w:tcPr>
            <w:tcW w:w="476" w:type="dxa"/>
            <w:vMerge w:val="continue"/>
            <w:noWrap w:val="0"/>
            <w:vAlign w:val="center"/>
          </w:tcPr>
          <w:p>
            <w:pPr>
              <w:spacing w:line="260" w:lineRule="exact"/>
              <w:rPr>
                <w:rFonts w:ascii="宋体" w:hAnsi="宋体"/>
                <w:szCs w:val="21"/>
              </w:rPr>
            </w:pPr>
          </w:p>
        </w:tc>
        <w:tc>
          <w:tcPr>
            <w:tcW w:w="7860" w:type="dxa"/>
            <w:gridSpan w:val="11"/>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皮肤接触：无数据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 w:hRule="atLeast"/>
        </w:trPr>
        <w:tc>
          <w:tcPr>
            <w:tcW w:w="476" w:type="dxa"/>
            <w:vMerge w:val="continue"/>
            <w:noWrap w:val="0"/>
            <w:vAlign w:val="center"/>
          </w:tcPr>
          <w:p>
            <w:pPr>
              <w:spacing w:line="260" w:lineRule="exact"/>
              <w:rPr>
                <w:rFonts w:ascii="宋体" w:hAnsi="宋体"/>
                <w:szCs w:val="21"/>
              </w:rPr>
            </w:pPr>
          </w:p>
        </w:tc>
        <w:tc>
          <w:tcPr>
            <w:tcW w:w="7860" w:type="dxa"/>
            <w:gridSpan w:val="11"/>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食入：无数据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 w:hRule="atLeast"/>
        </w:trPr>
        <w:tc>
          <w:tcPr>
            <w:tcW w:w="476" w:type="dxa"/>
            <w:vMerge w:val="continue"/>
            <w:noWrap w:val="0"/>
            <w:vAlign w:val="center"/>
          </w:tcPr>
          <w:p>
            <w:pPr>
              <w:spacing w:line="260" w:lineRule="exact"/>
              <w:rPr>
                <w:rFonts w:ascii="宋体" w:hAnsi="宋体"/>
                <w:szCs w:val="21"/>
              </w:rPr>
            </w:pPr>
          </w:p>
        </w:tc>
        <w:tc>
          <w:tcPr>
            <w:tcW w:w="7860" w:type="dxa"/>
            <w:gridSpan w:val="11"/>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吸入：迅速脱离现场至空气新鲜处。保持呼吸道通畅。如呼吸停止，立即进行人工呼吸。就医。</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 w:hRule="atLeast"/>
        </w:trPr>
        <w:tc>
          <w:tcPr>
            <w:tcW w:w="476" w:type="dxa"/>
            <w:vMerge w:val="restart"/>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防护措施</w:t>
            </w:r>
          </w:p>
        </w:tc>
        <w:tc>
          <w:tcPr>
            <w:tcW w:w="7860" w:type="dxa"/>
            <w:gridSpan w:val="11"/>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工程控制：密闭操作。提供良好的自然通风条件。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 w:hRule="atLeast"/>
        </w:trPr>
        <w:tc>
          <w:tcPr>
            <w:tcW w:w="476" w:type="dxa"/>
            <w:vMerge w:val="continue"/>
            <w:noWrap w:val="0"/>
            <w:vAlign w:val="center"/>
          </w:tcPr>
          <w:p>
            <w:pPr>
              <w:spacing w:line="260" w:lineRule="exact"/>
              <w:rPr>
                <w:rFonts w:ascii="宋体" w:hAnsi="宋体"/>
                <w:szCs w:val="21"/>
              </w:rPr>
            </w:pPr>
          </w:p>
        </w:tc>
        <w:tc>
          <w:tcPr>
            <w:tcW w:w="7860" w:type="dxa"/>
            <w:gridSpan w:val="11"/>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眼睛防护：一般不需特殊防护。</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 w:hRule="atLeast"/>
        </w:trPr>
        <w:tc>
          <w:tcPr>
            <w:tcW w:w="476" w:type="dxa"/>
            <w:vMerge w:val="continue"/>
            <w:noWrap w:val="0"/>
            <w:vAlign w:val="center"/>
          </w:tcPr>
          <w:p>
            <w:pPr>
              <w:spacing w:line="260" w:lineRule="exact"/>
              <w:rPr>
                <w:rFonts w:ascii="宋体" w:hAnsi="宋体"/>
                <w:szCs w:val="21"/>
              </w:rPr>
            </w:pPr>
          </w:p>
        </w:tc>
        <w:tc>
          <w:tcPr>
            <w:tcW w:w="7860" w:type="dxa"/>
            <w:gridSpan w:val="11"/>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呼吸系统防护：一般不需特殊防护。</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 w:hRule="atLeast"/>
        </w:trPr>
        <w:tc>
          <w:tcPr>
            <w:tcW w:w="476" w:type="dxa"/>
            <w:vMerge w:val="continue"/>
            <w:noWrap w:val="0"/>
            <w:vAlign w:val="center"/>
          </w:tcPr>
          <w:p>
            <w:pPr>
              <w:spacing w:line="260" w:lineRule="exact"/>
              <w:rPr>
                <w:rFonts w:ascii="宋体" w:hAnsi="宋体"/>
                <w:szCs w:val="21"/>
              </w:rPr>
            </w:pPr>
          </w:p>
        </w:tc>
        <w:tc>
          <w:tcPr>
            <w:tcW w:w="4220" w:type="dxa"/>
            <w:gridSpan w:val="7"/>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身体防护：穿一般作业工作服。</w:t>
            </w:r>
          </w:p>
        </w:tc>
        <w:tc>
          <w:tcPr>
            <w:tcW w:w="3640" w:type="dxa"/>
            <w:gridSpan w:val="4"/>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手防护：戴一般作业防护手套。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 w:hRule="atLeast"/>
        </w:trPr>
        <w:tc>
          <w:tcPr>
            <w:tcW w:w="476" w:type="dxa"/>
            <w:vMerge w:val="continue"/>
            <w:noWrap w:val="0"/>
            <w:vAlign w:val="center"/>
          </w:tcPr>
          <w:p>
            <w:pPr>
              <w:spacing w:line="260" w:lineRule="exact"/>
              <w:rPr>
                <w:rFonts w:ascii="宋体" w:hAnsi="宋体"/>
                <w:szCs w:val="21"/>
              </w:rPr>
            </w:pPr>
          </w:p>
        </w:tc>
        <w:tc>
          <w:tcPr>
            <w:tcW w:w="7860" w:type="dxa"/>
            <w:gridSpan w:val="11"/>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其它防护：避免高浓度吸入。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859" w:hRule="atLeast"/>
        </w:trPr>
        <w:tc>
          <w:tcPr>
            <w:tcW w:w="476" w:type="dxa"/>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泄漏处理</w:t>
            </w:r>
          </w:p>
        </w:tc>
        <w:tc>
          <w:tcPr>
            <w:tcW w:w="7860" w:type="dxa"/>
            <w:gridSpan w:val="11"/>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迅速撤离泄漏污染区人员至上风处，并进行隔离，严格限制出入。切断火源。建议应急处理人员戴自给正压式呼吸器，穿一般作业工作服。避免与可燃物或易燃物接触。尽可能切断泄漏源。合理通风，加速扩散。漏气容器要妥善处理，修复、检验后再用。</w:t>
            </w:r>
          </w:p>
        </w:tc>
      </w:tr>
    </w:tbl>
    <w:p>
      <w:bookmarkStart w:id="144" w:name="_Toc321298550"/>
    </w:p>
    <w:p>
      <w:pPr>
        <w:pStyle w:val="8"/>
        <w:spacing w:line="360" w:lineRule="auto"/>
        <w:ind w:firstLine="0" w:firstLineChars="0"/>
        <w:outlineLvl w:val="2"/>
        <w:rPr>
          <w:rFonts w:hint="eastAsia" w:ascii="宋体" w:hAnsi="宋体"/>
          <w:b/>
          <w:snapToGrid w:val="0"/>
          <w:kern w:val="0"/>
          <w:sz w:val="28"/>
          <w:szCs w:val="28"/>
          <w:lang w:val="en-US" w:eastAsia="zh-CN"/>
        </w:rPr>
      </w:pPr>
      <w:bookmarkStart w:id="145" w:name="_Toc475363998"/>
      <w:bookmarkStart w:id="146" w:name="_Toc27243"/>
      <w:bookmarkStart w:id="147" w:name="_Toc513735552"/>
      <w:bookmarkStart w:id="148" w:name="_Toc515659435"/>
      <w:r>
        <w:rPr>
          <w:rFonts w:hint="eastAsia" w:ascii="宋体" w:hAnsi="宋体"/>
          <w:b/>
          <w:snapToGrid w:val="0"/>
          <w:kern w:val="0"/>
          <w:sz w:val="28"/>
          <w:szCs w:val="28"/>
          <w:lang w:val="en-US" w:eastAsia="zh-CN"/>
        </w:rPr>
        <w:t>3.4.8 乙炔安全数据表</w:t>
      </w:r>
      <w:bookmarkEnd w:id="144"/>
      <w:bookmarkEnd w:id="145"/>
      <w:bookmarkEnd w:id="146"/>
      <w:bookmarkEnd w:id="147"/>
      <w:bookmarkEnd w:id="148"/>
    </w:p>
    <w:p>
      <w:pPr>
        <w:pStyle w:val="32"/>
        <w:rPr>
          <w:rFonts w:eastAsia="黑体"/>
          <w:sz w:val="24"/>
          <w:szCs w:val="24"/>
        </w:rPr>
      </w:pPr>
      <w:r>
        <w:rPr>
          <w:rFonts w:hint="eastAsia" w:eastAsia="黑体"/>
          <w:sz w:val="24"/>
          <w:szCs w:val="24"/>
        </w:rPr>
        <w:t>表</w:t>
      </w:r>
      <w:r>
        <w:rPr>
          <w:rFonts w:eastAsia="黑体"/>
          <w:sz w:val="24"/>
          <w:szCs w:val="24"/>
        </w:rPr>
        <w:t>3-</w:t>
      </w:r>
      <w:r>
        <w:rPr>
          <w:rFonts w:hint="eastAsia" w:eastAsia="黑体"/>
          <w:sz w:val="24"/>
          <w:szCs w:val="24"/>
        </w:rPr>
        <w:t>3</w:t>
      </w:r>
      <w:r>
        <w:rPr>
          <w:rFonts w:eastAsia="黑体"/>
          <w:sz w:val="24"/>
          <w:szCs w:val="24"/>
        </w:rPr>
        <w:t xml:space="preserve"> 乙炔安全数据表</w:t>
      </w:r>
    </w:p>
    <w:tbl>
      <w:tblPr>
        <w:tblStyle w:val="19"/>
        <w:tblW w:w="8336"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476"/>
        <w:gridCol w:w="1947"/>
        <w:gridCol w:w="531"/>
        <w:gridCol w:w="788"/>
        <w:gridCol w:w="255"/>
        <w:gridCol w:w="43"/>
        <w:gridCol w:w="220"/>
        <w:gridCol w:w="436"/>
        <w:gridCol w:w="967"/>
        <w:gridCol w:w="229"/>
        <w:gridCol w:w="408"/>
        <w:gridCol w:w="203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 w:hRule="atLeast"/>
        </w:trPr>
        <w:tc>
          <w:tcPr>
            <w:tcW w:w="476" w:type="dxa"/>
            <w:vMerge w:val="restart"/>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标 识</w:t>
            </w:r>
          </w:p>
        </w:tc>
        <w:tc>
          <w:tcPr>
            <w:tcW w:w="2478" w:type="dxa"/>
            <w:gridSpan w:val="2"/>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中文名：乙炔</w:t>
            </w:r>
          </w:p>
        </w:tc>
        <w:tc>
          <w:tcPr>
            <w:tcW w:w="5382" w:type="dxa"/>
            <w:gridSpan w:val="9"/>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英文名：acetylene</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 w:hRule="atLeast"/>
        </w:trPr>
        <w:tc>
          <w:tcPr>
            <w:tcW w:w="476" w:type="dxa"/>
            <w:vMerge w:val="continue"/>
            <w:noWrap w:val="0"/>
            <w:vAlign w:val="center"/>
          </w:tcPr>
          <w:p>
            <w:pPr>
              <w:spacing w:line="260" w:lineRule="exact"/>
              <w:rPr>
                <w:rFonts w:ascii="宋体" w:hAnsi="宋体"/>
                <w:szCs w:val="21"/>
              </w:rPr>
            </w:pPr>
          </w:p>
        </w:tc>
        <w:tc>
          <w:tcPr>
            <w:tcW w:w="2478" w:type="dxa"/>
            <w:gridSpan w:val="2"/>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CAS号：74-86-2</w:t>
            </w:r>
          </w:p>
        </w:tc>
        <w:tc>
          <w:tcPr>
            <w:tcW w:w="3346" w:type="dxa"/>
            <w:gridSpan w:val="8"/>
            <w:noWrap w:val="0"/>
            <w:tcMar>
              <w:top w:w="15" w:type="dxa"/>
              <w:left w:w="15" w:type="dxa"/>
              <w:bottom w:w="15" w:type="dxa"/>
              <w:right w:w="15" w:type="dxa"/>
            </w:tcMar>
            <w:vAlign w:val="center"/>
          </w:tcPr>
          <w:p>
            <w:pPr>
              <w:spacing w:line="260" w:lineRule="exact"/>
              <w:rPr>
                <w:rFonts w:ascii="宋体" w:hAnsi="宋体"/>
                <w:szCs w:val="21"/>
              </w:rPr>
            </w:pPr>
            <w:r>
              <w:rPr>
                <w:rFonts w:hint="eastAsia" w:ascii="宋体" w:hAnsi="宋体"/>
                <w:szCs w:val="21"/>
              </w:rPr>
              <w:t>危规</w:t>
            </w:r>
            <w:r>
              <w:rPr>
                <w:rFonts w:ascii="宋体" w:hAnsi="宋体"/>
                <w:szCs w:val="21"/>
              </w:rPr>
              <w:t>编号：</w:t>
            </w:r>
            <w:r>
              <w:rPr>
                <w:rFonts w:hint="eastAsia" w:ascii="宋体" w:hAnsi="宋体"/>
                <w:szCs w:val="21"/>
              </w:rPr>
              <w:t>2629</w:t>
            </w:r>
          </w:p>
        </w:tc>
        <w:tc>
          <w:tcPr>
            <w:tcW w:w="2036" w:type="dxa"/>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危险货物编号：21024</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15" w:hRule="atLeast"/>
        </w:trPr>
        <w:tc>
          <w:tcPr>
            <w:tcW w:w="476" w:type="dxa"/>
            <w:vMerge w:val="restart"/>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理化性质</w:t>
            </w:r>
          </w:p>
        </w:tc>
        <w:tc>
          <w:tcPr>
            <w:tcW w:w="7860" w:type="dxa"/>
            <w:gridSpan w:val="11"/>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性状：无色无臭气体，工业品有使人不愉快的大蒜气味。</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15" w:hRule="atLeast"/>
        </w:trPr>
        <w:tc>
          <w:tcPr>
            <w:tcW w:w="476" w:type="dxa"/>
            <w:vMerge w:val="continue"/>
            <w:noWrap w:val="0"/>
            <w:vAlign w:val="center"/>
          </w:tcPr>
          <w:p>
            <w:pPr>
              <w:spacing w:line="260" w:lineRule="exact"/>
              <w:rPr>
                <w:rFonts w:ascii="宋体" w:hAnsi="宋体"/>
                <w:szCs w:val="21"/>
              </w:rPr>
            </w:pPr>
          </w:p>
        </w:tc>
        <w:tc>
          <w:tcPr>
            <w:tcW w:w="7860" w:type="dxa"/>
            <w:gridSpan w:val="11"/>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主要用途：是有机合成的重要原料之一。亦是合成橡胶、合成纤维和塑料的单体，也用于氧炔焊割。</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0" w:hRule="atLeast"/>
        </w:trPr>
        <w:tc>
          <w:tcPr>
            <w:tcW w:w="476" w:type="dxa"/>
            <w:vMerge w:val="continue"/>
            <w:noWrap w:val="0"/>
            <w:vAlign w:val="center"/>
          </w:tcPr>
          <w:p>
            <w:pPr>
              <w:spacing w:line="260" w:lineRule="exact"/>
              <w:rPr>
                <w:rFonts w:ascii="宋体" w:hAnsi="宋体"/>
                <w:szCs w:val="21"/>
              </w:rPr>
            </w:pPr>
          </w:p>
        </w:tc>
        <w:tc>
          <w:tcPr>
            <w:tcW w:w="2478" w:type="dxa"/>
            <w:gridSpan w:val="2"/>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相对密度(水=1)：0.62</w:t>
            </w:r>
          </w:p>
        </w:tc>
        <w:tc>
          <w:tcPr>
            <w:tcW w:w="2938" w:type="dxa"/>
            <w:gridSpan w:val="7"/>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饱和蒸汽压(kPa)：4053（16.8℃）</w:t>
            </w:r>
          </w:p>
        </w:tc>
        <w:tc>
          <w:tcPr>
            <w:tcW w:w="2444" w:type="dxa"/>
            <w:gridSpan w:val="2"/>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临界温度(℃)：35.2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0" w:hRule="atLeast"/>
        </w:trPr>
        <w:tc>
          <w:tcPr>
            <w:tcW w:w="476" w:type="dxa"/>
            <w:vMerge w:val="continue"/>
            <w:noWrap w:val="0"/>
            <w:vAlign w:val="center"/>
          </w:tcPr>
          <w:p>
            <w:pPr>
              <w:spacing w:line="260" w:lineRule="exact"/>
              <w:rPr>
                <w:rFonts w:ascii="宋体" w:hAnsi="宋体"/>
                <w:szCs w:val="21"/>
              </w:rPr>
            </w:pPr>
          </w:p>
        </w:tc>
        <w:tc>
          <w:tcPr>
            <w:tcW w:w="2478" w:type="dxa"/>
            <w:gridSpan w:val="2"/>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相对密度(空气=1): 0.91</w:t>
            </w:r>
          </w:p>
        </w:tc>
        <w:tc>
          <w:tcPr>
            <w:tcW w:w="2938" w:type="dxa"/>
            <w:gridSpan w:val="7"/>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闪点(℃)：不适用</w:t>
            </w:r>
          </w:p>
        </w:tc>
        <w:tc>
          <w:tcPr>
            <w:tcW w:w="2444" w:type="dxa"/>
            <w:gridSpan w:val="2"/>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临界压力(MPa)：6.14</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34" w:hRule="atLeast"/>
        </w:trPr>
        <w:tc>
          <w:tcPr>
            <w:tcW w:w="476" w:type="dxa"/>
            <w:vMerge w:val="continue"/>
            <w:noWrap w:val="0"/>
            <w:vAlign w:val="center"/>
          </w:tcPr>
          <w:p>
            <w:pPr>
              <w:spacing w:line="260" w:lineRule="exact"/>
              <w:rPr>
                <w:rFonts w:ascii="宋体" w:hAnsi="宋体"/>
                <w:szCs w:val="21"/>
              </w:rPr>
            </w:pPr>
          </w:p>
        </w:tc>
        <w:tc>
          <w:tcPr>
            <w:tcW w:w="3784" w:type="dxa"/>
            <w:gridSpan w:val="6"/>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熔点：-81.8（119kPa）</w:t>
            </w:r>
          </w:p>
        </w:tc>
        <w:tc>
          <w:tcPr>
            <w:tcW w:w="4076" w:type="dxa"/>
            <w:gridSpan w:val="5"/>
            <w:noWrap w:val="0"/>
            <w:vAlign w:val="center"/>
          </w:tcPr>
          <w:p>
            <w:pPr>
              <w:spacing w:line="260" w:lineRule="exact"/>
              <w:rPr>
                <w:rFonts w:ascii="宋体" w:hAnsi="宋体"/>
                <w:szCs w:val="21"/>
              </w:rPr>
            </w:pPr>
            <w:r>
              <w:rPr>
                <w:rFonts w:ascii="宋体" w:hAnsi="宋体"/>
                <w:szCs w:val="21"/>
              </w:rPr>
              <w:t>沸点：-83.8</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90" w:hRule="atLeast"/>
        </w:trPr>
        <w:tc>
          <w:tcPr>
            <w:tcW w:w="476" w:type="dxa"/>
            <w:vMerge w:val="continue"/>
            <w:noWrap w:val="0"/>
            <w:vAlign w:val="center"/>
          </w:tcPr>
          <w:p>
            <w:pPr>
              <w:spacing w:line="260" w:lineRule="exact"/>
              <w:rPr>
                <w:rFonts w:ascii="宋体" w:hAnsi="宋体"/>
                <w:szCs w:val="21"/>
              </w:rPr>
            </w:pPr>
          </w:p>
        </w:tc>
        <w:tc>
          <w:tcPr>
            <w:tcW w:w="7860" w:type="dxa"/>
            <w:gridSpan w:val="11"/>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溶解性：微溶于水、乙醇，溶于丙酮、氯仿、苯。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 w:hRule="atLeast"/>
        </w:trPr>
        <w:tc>
          <w:tcPr>
            <w:tcW w:w="476" w:type="dxa"/>
            <w:vMerge w:val="continue"/>
            <w:noWrap w:val="0"/>
            <w:vAlign w:val="center"/>
          </w:tcPr>
          <w:p>
            <w:pPr>
              <w:spacing w:line="260" w:lineRule="exact"/>
              <w:rPr>
                <w:rFonts w:ascii="宋体" w:hAnsi="宋体"/>
                <w:szCs w:val="21"/>
              </w:rPr>
            </w:pPr>
          </w:p>
        </w:tc>
        <w:tc>
          <w:tcPr>
            <w:tcW w:w="7860" w:type="dxa"/>
            <w:gridSpan w:val="11"/>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危险特性：极易燃烧爆炸。与空气混合能形成爆炸性混合物，遇明火、高热能引起燃烧爆炸。与氧化剂接触猛烈反应。与氟、氯等接触会发生剧烈的化学反应。能与铜、银、汞等的化合物生成爆炸性物质。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 w:hRule="atLeast"/>
        </w:trPr>
        <w:tc>
          <w:tcPr>
            <w:tcW w:w="476" w:type="dxa"/>
            <w:vMerge w:val="continue"/>
            <w:noWrap w:val="0"/>
            <w:vAlign w:val="center"/>
          </w:tcPr>
          <w:p>
            <w:pPr>
              <w:spacing w:line="260" w:lineRule="exact"/>
              <w:rPr>
                <w:rFonts w:ascii="宋体" w:hAnsi="宋体"/>
                <w:szCs w:val="21"/>
              </w:rPr>
            </w:pPr>
          </w:p>
        </w:tc>
        <w:tc>
          <w:tcPr>
            <w:tcW w:w="1947" w:type="dxa"/>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燃烧分解产物：一氧化碳、二氧化碳。</w:t>
            </w:r>
          </w:p>
        </w:tc>
        <w:tc>
          <w:tcPr>
            <w:tcW w:w="1319" w:type="dxa"/>
            <w:gridSpan w:val="2"/>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稳定性：稳定</w:t>
            </w:r>
          </w:p>
        </w:tc>
        <w:tc>
          <w:tcPr>
            <w:tcW w:w="1921" w:type="dxa"/>
            <w:gridSpan w:val="5"/>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聚合危害：</w:t>
            </w:r>
          </w:p>
        </w:tc>
        <w:tc>
          <w:tcPr>
            <w:tcW w:w="2673" w:type="dxa"/>
            <w:gridSpan w:val="3"/>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禁忌物：强氧化剂、强酸、卤素。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60" w:hRule="atLeast"/>
        </w:trPr>
        <w:tc>
          <w:tcPr>
            <w:tcW w:w="476" w:type="dxa"/>
            <w:vMerge w:val="continue"/>
            <w:noWrap w:val="0"/>
            <w:vAlign w:val="center"/>
          </w:tcPr>
          <w:p>
            <w:pPr>
              <w:spacing w:line="260" w:lineRule="exact"/>
              <w:rPr>
                <w:rFonts w:ascii="宋体" w:hAnsi="宋体"/>
                <w:szCs w:val="21"/>
              </w:rPr>
            </w:pPr>
          </w:p>
        </w:tc>
        <w:tc>
          <w:tcPr>
            <w:tcW w:w="7860" w:type="dxa"/>
            <w:gridSpan w:val="11"/>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灭火方法：切断气源。若不能切断气源，则不允许熄灭泄漏处的火焰。喷水冷却容器，可能的话将容器从火场移至空旷处。灭火剂：雾状水、泡沫、二氧化碳、干粉。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0" w:hRule="atLeast"/>
        </w:trPr>
        <w:tc>
          <w:tcPr>
            <w:tcW w:w="476" w:type="dxa"/>
            <w:vMerge w:val="restart"/>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危害</w:t>
            </w:r>
          </w:p>
        </w:tc>
        <w:tc>
          <w:tcPr>
            <w:tcW w:w="3521" w:type="dxa"/>
            <w:gridSpan w:val="4"/>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危险性类别：第2.1类 易燃气体</w:t>
            </w:r>
          </w:p>
        </w:tc>
        <w:tc>
          <w:tcPr>
            <w:tcW w:w="4339" w:type="dxa"/>
            <w:gridSpan w:val="7"/>
            <w:noWrap w:val="0"/>
            <w:vAlign w:val="center"/>
          </w:tcPr>
          <w:p>
            <w:pPr>
              <w:spacing w:line="260" w:lineRule="exact"/>
              <w:rPr>
                <w:rFonts w:ascii="宋体" w:hAnsi="宋体"/>
                <w:szCs w:val="21"/>
              </w:rPr>
            </w:pPr>
            <w:r>
              <w:rPr>
                <w:rFonts w:ascii="宋体" w:hAnsi="宋体"/>
                <w:szCs w:val="21"/>
              </w:rPr>
              <w:t>侵入途径：吸入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839" w:hRule="atLeast"/>
        </w:trPr>
        <w:tc>
          <w:tcPr>
            <w:tcW w:w="476" w:type="dxa"/>
            <w:vMerge w:val="continue"/>
            <w:noWrap w:val="0"/>
            <w:vAlign w:val="center"/>
          </w:tcPr>
          <w:p>
            <w:pPr>
              <w:spacing w:line="260" w:lineRule="exact"/>
              <w:rPr>
                <w:rFonts w:ascii="宋体" w:hAnsi="宋体"/>
                <w:szCs w:val="21"/>
              </w:rPr>
            </w:pPr>
          </w:p>
        </w:tc>
        <w:tc>
          <w:tcPr>
            <w:tcW w:w="7860" w:type="dxa"/>
            <w:gridSpan w:val="11"/>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健康危害：具有弱麻醉作用。高浓度吸入可引起单纯窒息。 急性中毒：暴露于20％浓度时，出现明显缺氧症状；吸入高浓度，初期兴奋、多语、哭笑不安，后出现眩晕、头痛、恶心、呕吐、共济失调、嗜睡；严重者昏迷、紫绀、瞳孔对光反应消失、脉弱而不齐。当混有磷化氢、硫化氢时，毒性增大，应予以注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75" w:hRule="atLeast"/>
        </w:trPr>
        <w:tc>
          <w:tcPr>
            <w:tcW w:w="476" w:type="dxa"/>
            <w:vMerge w:val="continue"/>
            <w:noWrap w:val="0"/>
            <w:vAlign w:val="center"/>
          </w:tcPr>
          <w:p>
            <w:pPr>
              <w:spacing w:line="260" w:lineRule="exact"/>
              <w:rPr>
                <w:rFonts w:ascii="宋体" w:hAnsi="宋体"/>
                <w:szCs w:val="21"/>
              </w:rPr>
            </w:pPr>
          </w:p>
        </w:tc>
        <w:tc>
          <w:tcPr>
            <w:tcW w:w="7860" w:type="dxa"/>
            <w:gridSpan w:val="11"/>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燃爆危险：本品易燃，具窒息性。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0" w:hRule="atLeast"/>
        </w:trPr>
        <w:tc>
          <w:tcPr>
            <w:tcW w:w="476" w:type="dxa"/>
            <w:vMerge w:val="restart"/>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包装与储运</w:t>
            </w:r>
          </w:p>
        </w:tc>
        <w:tc>
          <w:tcPr>
            <w:tcW w:w="3564" w:type="dxa"/>
            <w:gridSpan w:val="5"/>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危险货物包装标志：易燃气体</w:t>
            </w:r>
          </w:p>
        </w:tc>
        <w:tc>
          <w:tcPr>
            <w:tcW w:w="4296" w:type="dxa"/>
            <w:gridSpan w:val="6"/>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包装类别：O52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870" w:hRule="atLeast"/>
        </w:trPr>
        <w:tc>
          <w:tcPr>
            <w:tcW w:w="476" w:type="dxa"/>
            <w:vMerge w:val="continue"/>
            <w:noWrap w:val="0"/>
            <w:vAlign w:val="center"/>
          </w:tcPr>
          <w:p>
            <w:pPr>
              <w:spacing w:line="260" w:lineRule="exact"/>
              <w:rPr>
                <w:rFonts w:ascii="宋体" w:hAnsi="宋体"/>
                <w:szCs w:val="21"/>
              </w:rPr>
            </w:pPr>
          </w:p>
        </w:tc>
        <w:tc>
          <w:tcPr>
            <w:tcW w:w="7860" w:type="dxa"/>
            <w:gridSpan w:val="11"/>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乙炔的包装法通常是溶解在溶剂及多孔物中, 装入钢瓶内。储存于阴凉、通风的库房。远离火种、热源。库温不宜超过30℃。应与氧化剂、酸类、卤素分开存放，切忌混储。采用防爆型照明、通风设施。禁止使用易产生火花的机械设备和工具。储区应备有泄漏应急处理设备。</w:t>
            </w:r>
          </w:p>
          <w:p>
            <w:pPr>
              <w:spacing w:line="260" w:lineRule="exact"/>
              <w:rPr>
                <w:rFonts w:ascii="宋体" w:hAnsi="宋体"/>
                <w:szCs w:val="21"/>
              </w:rPr>
            </w:pPr>
            <w:r>
              <w:rPr>
                <w:rFonts w:ascii="宋体" w:hAnsi="宋体"/>
                <w:szCs w:val="21"/>
              </w:rPr>
              <w:t>采用刚瓶运输时必须戴好钢瓶上的安全帽。钢瓶一般平放，并应将瓶口朝同一方向，不可交叉；高度不得超过车辆的防护栏板，并用三角木垫卡牢，防止滚动。运输时运输车辆应配备相应品种和数量的消防器材。装运该物品的车辆排气管必须配备阻火装置，禁止使用易产生火花的机械设备和工具装卸。严禁与氧化剂、酸类、卤素等混装混运。夏季应早晚运输，防止日光曝晒。中途停留时应远离火种、热源。公路运输时要按规定路线行驶，勿在居民区和人口稠密区停留。铁路运输时要禁止溜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 w:hRule="atLeast"/>
        </w:trPr>
        <w:tc>
          <w:tcPr>
            <w:tcW w:w="476" w:type="dxa"/>
            <w:vMerge w:val="restart"/>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急救措施</w:t>
            </w:r>
          </w:p>
        </w:tc>
        <w:tc>
          <w:tcPr>
            <w:tcW w:w="7860" w:type="dxa"/>
            <w:gridSpan w:val="11"/>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眼睛接触：无数据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 w:hRule="atLeast"/>
        </w:trPr>
        <w:tc>
          <w:tcPr>
            <w:tcW w:w="476" w:type="dxa"/>
            <w:vMerge w:val="continue"/>
            <w:noWrap w:val="0"/>
            <w:vAlign w:val="center"/>
          </w:tcPr>
          <w:p>
            <w:pPr>
              <w:spacing w:line="260" w:lineRule="exact"/>
              <w:rPr>
                <w:rFonts w:ascii="宋体" w:hAnsi="宋体"/>
                <w:szCs w:val="21"/>
              </w:rPr>
            </w:pPr>
          </w:p>
        </w:tc>
        <w:tc>
          <w:tcPr>
            <w:tcW w:w="7860" w:type="dxa"/>
            <w:gridSpan w:val="11"/>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皮肤接触：无数据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 w:hRule="atLeast"/>
        </w:trPr>
        <w:tc>
          <w:tcPr>
            <w:tcW w:w="476" w:type="dxa"/>
            <w:vMerge w:val="continue"/>
            <w:noWrap w:val="0"/>
            <w:vAlign w:val="center"/>
          </w:tcPr>
          <w:p>
            <w:pPr>
              <w:spacing w:line="260" w:lineRule="exact"/>
              <w:rPr>
                <w:rFonts w:ascii="宋体" w:hAnsi="宋体"/>
                <w:szCs w:val="21"/>
              </w:rPr>
            </w:pPr>
          </w:p>
        </w:tc>
        <w:tc>
          <w:tcPr>
            <w:tcW w:w="7860" w:type="dxa"/>
            <w:gridSpan w:val="11"/>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食入：无数据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 w:hRule="atLeast"/>
        </w:trPr>
        <w:tc>
          <w:tcPr>
            <w:tcW w:w="476" w:type="dxa"/>
            <w:vMerge w:val="continue"/>
            <w:noWrap w:val="0"/>
            <w:vAlign w:val="center"/>
          </w:tcPr>
          <w:p>
            <w:pPr>
              <w:spacing w:line="260" w:lineRule="exact"/>
              <w:rPr>
                <w:rFonts w:ascii="宋体" w:hAnsi="宋体"/>
                <w:szCs w:val="21"/>
              </w:rPr>
            </w:pPr>
          </w:p>
        </w:tc>
        <w:tc>
          <w:tcPr>
            <w:tcW w:w="7860" w:type="dxa"/>
            <w:gridSpan w:val="11"/>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吸入：迅速脱离现场至空气新鲜处。保持呼吸道通畅。如呼吸困难，给输氧。如呼吸停止，立即进行人工呼吸。就医。</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 w:hRule="atLeast"/>
        </w:trPr>
        <w:tc>
          <w:tcPr>
            <w:tcW w:w="476" w:type="dxa"/>
            <w:vMerge w:val="restart"/>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防护措施</w:t>
            </w:r>
          </w:p>
        </w:tc>
        <w:tc>
          <w:tcPr>
            <w:tcW w:w="7860" w:type="dxa"/>
            <w:gridSpan w:val="11"/>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工程控制：生产过程密闭，全面通风。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 w:hRule="atLeast"/>
        </w:trPr>
        <w:tc>
          <w:tcPr>
            <w:tcW w:w="476" w:type="dxa"/>
            <w:vMerge w:val="continue"/>
            <w:noWrap w:val="0"/>
            <w:vAlign w:val="center"/>
          </w:tcPr>
          <w:p>
            <w:pPr>
              <w:spacing w:line="260" w:lineRule="exact"/>
              <w:rPr>
                <w:rFonts w:ascii="宋体" w:hAnsi="宋体"/>
                <w:szCs w:val="21"/>
              </w:rPr>
            </w:pPr>
          </w:p>
        </w:tc>
        <w:tc>
          <w:tcPr>
            <w:tcW w:w="7860" w:type="dxa"/>
            <w:gridSpan w:val="11"/>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眼睛防护：一般不需特殊防护。</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 w:hRule="atLeast"/>
        </w:trPr>
        <w:tc>
          <w:tcPr>
            <w:tcW w:w="476" w:type="dxa"/>
            <w:vMerge w:val="continue"/>
            <w:noWrap w:val="0"/>
            <w:vAlign w:val="center"/>
          </w:tcPr>
          <w:p>
            <w:pPr>
              <w:spacing w:line="260" w:lineRule="exact"/>
              <w:rPr>
                <w:rFonts w:ascii="宋体" w:hAnsi="宋体"/>
                <w:szCs w:val="21"/>
              </w:rPr>
            </w:pPr>
          </w:p>
        </w:tc>
        <w:tc>
          <w:tcPr>
            <w:tcW w:w="7860" w:type="dxa"/>
            <w:gridSpan w:val="11"/>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呼吸系统防护：一般不需要特殊防护，但建议特殊情况下，佩戴自吸过滤式防毒面具（半面罩）。</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 w:hRule="atLeast"/>
        </w:trPr>
        <w:tc>
          <w:tcPr>
            <w:tcW w:w="476" w:type="dxa"/>
            <w:vMerge w:val="continue"/>
            <w:noWrap w:val="0"/>
            <w:vAlign w:val="center"/>
          </w:tcPr>
          <w:p>
            <w:pPr>
              <w:spacing w:line="260" w:lineRule="exact"/>
              <w:rPr>
                <w:rFonts w:ascii="宋体" w:hAnsi="宋体"/>
                <w:szCs w:val="21"/>
              </w:rPr>
            </w:pPr>
          </w:p>
        </w:tc>
        <w:tc>
          <w:tcPr>
            <w:tcW w:w="4220" w:type="dxa"/>
            <w:gridSpan w:val="7"/>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身体防护：穿防静电工作服。</w:t>
            </w:r>
          </w:p>
        </w:tc>
        <w:tc>
          <w:tcPr>
            <w:tcW w:w="3640" w:type="dxa"/>
            <w:gridSpan w:val="4"/>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手防护：戴一般作业防护手套。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 w:hRule="atLeast"/>
        </w:trPr>
        <w:tc>
          <w:tcPr>
            <w:tcW w:w="476" w:type="dxa"/>
            <w:vMerge w:val="continue"/>
            <w:noWrap w:val="0"/>
            <w:vAlign w:val="center"/>
          </w:tcPr>
          <w:p>
            <w:pPr>
              <w:spacing w:line="260" w:lineRule="exact"/>
              <w:rPr>
                <w:rFonts w:ascii="宋体" w:hAnsi="宋体"/>
                <w:szCs w:val="21"/>
              </w:rPr>
            </w:pPr>
          </w:p>
        </w:tc>
        <w:tc>
          <w:tcPr>
            <w:tcW w:w="7860" w:type="dxa"/>
            <w:gridSpan w:val="11"/>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其它防护：无数据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859" w:hRule="atLeast"/>
        </w:trPr>
        <w:tc>
          <w:tcPr>
            <w:tcW w:w="476" w:type="dxa"/>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泄漏处理</w:t>
            </w:r>
          </w:p>
        </w:tc>
        <w:tc>
          <w:tcPr>
            <w:tcW w:w="7860" w:type="dxa"/>
            <w:gridSpan w:val="11"/>
            <w:noWrap w:val="0"/>
            <w:tcMar>
              <w:top w:w="15" w:type="dxa"/>
              <w:left w:w="15" w:type="dxa"/>
              <w:bottom w:w="15" w:type="dxa"/>
              <w:right w:w="15" w:type="dxa"/>
            </w:tcMar>
            <w:vAlign w:val="center"/>
          </w:tcPr>
          <w:p>
            <w:pPr>
              <w:spacing w:line="260" w:lineRule="exact"/>
              <w:rPr>
                <w:rFonts w:ascii="宋体" w:hAnsi="宋体"/>
                <w:szCs w:val="21"/>
              </w:rPr>
            </w:pPr>
            <w:r>
              <w:rPr>
                <w:rFonts w:ascii="宋体" w:hAnsi="宋体"/>
                <w:szCs w:val="21"/>
              </w:rPr>
              <w:t>迅速撤离泄漏污染区人员至上风处，并进行隔离，严格限制出入。切断火源。建议应急处理人员戴自给正压式呼吸器，穿防静电工作服。尽可能切断泄漏源。合理通风，加速扩散。喷雾状水稀释、溶解。构筑围堤或挖坑收容产生的大量废水。如有可能，将漏出气用排风机送至空旷地方或装设适当喷头烧掉。漏气容器要妥善处理，修复、检验后再用。</w:t>
            </w:r>
          </w:p>
        </w:tc>
      </w:tr>
    </w:tbl>
    <w:p/>
    <w:p>
      <w:pPr>
        <w:pStyle w:val="8"/>
        <w:spacing w:line="360" w:lineRule="auto"/>
        <w:ind w:firstLine="0" w:firstLineChars="0"/>
        <w:outlineLvl w:val="1"/>
        <w:rPr>
          <w:rFonts w:hint="eastAsia" w:ascii="黑体" w:eastAsia="黑体"/>
          <w:b/>
          <w:snapToGrid w:val="0"/>
          <w:kern w:val="0"/>
          <w:sz w:val="32"/>
          <w:szCs w:val="32"/>
        </w:rPr>
      </w:pPr>
      <w:bookmarkStart w:id="149" w:name="_Toc515659436"/>
      <w:bookmarkStart w:id="150" w:name="_Toc24392"/>
      <w:r>
        <w:rPr>
          <w:rFonts w:hint="eastAsia" w:ascii="黑体" w:eastAsia="黑体"/>
          <w:b/>
          <w:snapToGrid w:val="0"/>
          <w:kern w:val="0"/>
          <w:sz w:val="32"/>
          <w:szCs w:val="32"/>
        </w:rPr>
        <w:t>3.5 生产过程危险有害因素分析和辨识</w:t>
      </w:r>
      <w:bookmarkEnd w:id="143"/>
      <w:bookmarkEnd w:id="149"/>
      <w:bookmarkEnd w:id="150"/>
    </w:p>
    <w:p>
      <w:pPr>
        <w:pStyle w:val="2"/>
      </w:pPr>
    </w:p>
    <w:p>
      <w:pPr>
        <w:pStyle w:val="8"/>
        <w:spacing w:line="360" w:lineRule="auto"/>
        <w:ind w:firstLine="0" w:firstLineChars="0"/>
        <w:outlineLvl w:val="1"/>
        <w:rPr>
          <w:rFonts w:hint="eastAsia" w:ascii="黑体" w:eastAsia="黑体"/>
          <w:b/>
          <w:snapToGrid w:val="0"/>
          <w:kern w:val="0"/>
          <w:sz w:val="32"/>
          <w:szCs w:val="32"/>
        </w:rPr>
      </w:pPr>
      <w:bookmarkStart w:id="151" w:name="_Toc18405"/>
      <w:bookmarkStart w:id="152" w:name="_Toc480804395"/>
      <w:bookmarkStart w:id="153" w:name="_Toc332350851"/>
      <w:bookmarkStart w:id="154" w:name="_Toc356380979"/>
      <w:bookmarkStart w:id="155" w:name="_Toc356401492"/>
      <w:bookmarkStart w:id="156" w:name="_Toc345593160"/>
      <w:bookmarkStart w:id="157" w:name="_Toc514342847"/>
      <w:r>
        <w:rPr>
          <w:rFonts w:hint="eastAsia" w:ascii="黑体" w:eastAsia="黑体"/>
          <w:b/>
          <w:snapToGrid w:val="0"/>
          <w:kern w:val="0"/>
          <w:sz w:val="32"/>
          <w:szCs w:val="32"/>
          <w:lang w:val="en-US" w:eastAsia="zh-CN"/>
        </w:rPr>
        <w:t>3</w:t>
      </w:r>
      <w:r>
        <w:rPr>
          <w:rFonts w:hint="eastAsia" w:ascii="黑体" w:eastAsia="黑体"/>
          <w:b/>
          <w:snapToGrid w:val="0"/>
          <w:kern w:val="0"/>
          <w:sz w:val="32"/>
          <w:szCs w:val="32"/>
          <w:lang w:eastAsia="zh-CN"/>
        </w:rPr>
        <w:t>.</w:t>
      </w:r>
      <w:r>
        <w:rPr>
          <w:rFonts w:hint="eastAsia" w:ascii="黑体" w:eastAsia="黑体"/>
          <w:b/>
          <w:snapToGrid w:val="0"/>
          <w:kern w:val="0"/>
          <w:sz w:val="32"/>
          <w:szCs w:val="32"/>
        </w:rPr>
        <w:t>5 生产过程危险有害因素分析和辨识</w:t>
      </w:r>
      <w:bookmarkEnd w:id="151"/>
      <w:bookmarkEnd w:id="152"/>
      <w:bookmarkEnd w:id="153"/>
      <w:bookmarkEnd w:id="154"/>
      <w:bookmarkEnd w:id="155"/>
      <w:bookmarkEnd w:id="156"/>
      <w:bookmarkEnd w:id="157"/>
    </w:p>
    <w:p>
      <w:pPr>
        <w:spacing w:line="360" w:lineRule="auto"/>
        <w:ind w:firstLine="560" w:firstLineChars="200"/>
        <w:rPr>
          <w:rFonts w:ascii="宋体" w:hAnsi="宋体"/>
          <w:snapToGrid w:val="0"/>
          <w:kern w:val="0"/>
          <w:sz w:val="28"/>
          <w:szCs w:val="28"/>
        </w:rPr>
      </w:pPr>
      <w:r>
        <w:rPr>
          <w:rFonts w:hint="eastAsia" w:ascii="宋体" w:hAnsi="宋体"/>
          <w:snapToGrid w:val="0"/>
          <w:kern w:val="0"/>
          <w:sz w:val="28"/>
          <w:szCs w:val="28"/>
        </w:rPr>
        <w:t>根据现场检查及工艺过程分析，生产过程中危险有害因素分为：</w:t>
      </w:r>
    </w:p>
    <w:p>
      <w:pPr>
        <w:pStyle w:val="8"/>
        <w:spacing w:line="360" w:lineRule="auto"/>
        <w:ind w:firstLine="0" w:firstLineChars="0"/>
        <w:outlineLvl w:val="2"/>
        <w:rPr>
          <w:rFonts w:hint="eastAsia" w:ascii="宋体" w:hAnsi="宋体"/>
          <w:b/>
          <w:snapToGrid w:val="0"/>
          <w:kern w:val="0"/>
          <w:sz w:val="28"/>
          <w:szCs w:val="28"/>
        </w:rPr>
      </w:pPr>
      <w:bookmarkStart w:id="158" w:name="_Toc514342848"/>
      <w:bookmarkStart w:id="159" w:name="_Toc480804396"/>
      <w:bookmarkStart w:id="160" w:name="_Toc356380982"/>
      <w:bookmarkStart w:id="161" w:name="_Toc22884"/>
      <w:bookmarkStart w:id="162" w:name="_Toc356401493"/>
      <w:bookmarkStart w:id="163" w:name="_Toc332350854"/>
      <w:r>
        <w:rPr>
          <w:rFonts w:hint="eastAsia" w:ascii="宋体" w:hAnsi="宋体"/>
          <w:b/>
          <w:snapToGrid w:val="0"/>
          <w:kern w:val="0"/>
          <w:sz w:val="28"/>
          <w:szCs w:val="28"/>
          <w:lang w:val="en-US" w:eastAsia="zh-CN"/>
        </w:rPr>
        <w:t>3</w:t>
      </w:r>
      <w:r>
        <w:rPr>
          <w:rFonts w:hint="eastAsia" w:ascii="宋体" w:hAnsi="宋体"/>
          <w:b/>
          <w:snapToGrid w:val="0"/>
          <w:kern w:val="0"/>
          <w:sz w:val="28"/>
          <w:szCs w:val="28"/>
          <w:lang w:eastAsia="zh-CN"/>
        </w:rPr>
        <w:t>.</w:t>
      </w:r>
      <w:r>
        <w:rPr>
          <w:rFonts w:hint="eastAsia" w:ascii="宋体" w:hAnsi="宋体"/>
          <w:b/>
          <w:snapToGrid w:val="0"/>
          <w:kern w:val="0"/>
          <w:sz w:val="28"/>
          <w:szCs w:val="28"/>
        </w:rPr>
        <w:t>5.1 车辆事故</w:t>
      </w:r>
      <w:bookmarkEnd w:id="158"/>
      <w:bookmarkEnd w:id="159"/>
      <w:bookmarkEnd w:id="160"/>
      <w:bookmarkEnd w:id="161"/>
      <w:bookmarkEnd w:id="162"/>
      <w:bookmarkEnd w:id="163"/>
    </w:p>
    <w:p>
      <w:pPr>
        <w:spacing w:line="360" w:lineRule="auto"/>
        <w:ind w:firstLine="560" w:firstLineChars="200"/>
        <w:rPr>
          <w:rFonts w:ascii="宋体" w:hAnsi="宋体"/>
          <w:snapToGrid w:val="0"/>
          <w:kern w:val="0"/>
          <w:sz w:val="28"/>
          <w:szCs w:val="28"/>
        </w:rPr>
      </w:pPr>
      <w:r>
        <w:rPr>
          <w:rFonts w:hint="eastAsia" w:ascii="宋体" w:hAnsi="宋体"/>
          <w:snapToGrid w:val="0"/>
          <w:kern w:val="0"/>
          <w:sz w:val="28"/>
          <w:szCs w:val="28"/>
        </w:rPr>
        <w:t>车辆伤害事故指企业机动车辆在行驶中引起的人体坠落和物体倒塌、坠落、挤压伤亡事故。</w:t>
      </w:r>
    </w:p>
    <w:p>
      <w:pPr>
        <w:spacing w:line="360" w:lineRule="auto"/>
        <w:ind w:firstLine="560" w:firstLineChars="200"/>
        <w:rPr>
          <w:rFonts w:hint="eastAsia" w:ascii="宋体" w:hAnsi="宋体"/>
          <w:snapToGrid w:val="0"/>
          <w:kern w:val="0"/>
          <w:sz w:val="28"/>
          <w:szCs w:val="28"/>
        </w:rPr>
      </w:pPr>
      <w:r>
        <w:rPr>
          <w:rFonts w:hint="eastAsia" w:ascii="宋体" w:hAnsi="宋体"/>
          <w:snapToGrid w:val="0"/>
          <w:kern w:val="0"/>
          <w:sz w:val="28"/>
          <w:szCs w:val="28"/>
        </w:rPr>
        <w:t>车辆伤害事故的主要原因有</w:t>
      </w:r>
      <w:r>
        <w:rPr>
          <w:rFonts w:ascii="宋体" w:hAnsi="宋体"/>
          <w:snapToGrid w:val="0"/>
          <w:kern w:val="0"/>
          <w:sz w:val="28"/>
          <w:szCs w:val="28"/>
        </w:rPr>
        <w:t>:</w:t>
      </w:r>
      <w:r>
        <w:rPr>
          <w:rFonts w:hint="eastAsia" w:ascii="宋体" w:hAnsi="宋体"/>
          <w:snapToGrid w:val="0"/>
          <w:kern w:val="0"/>
          <w:sz w:val="28"/>
          <w:szCs w:val="28"/>
        </w:rPr>
        <w:t>①违章驾车：如酒后驾车、疲劳驾车、非驾驶员驾车、超速行驶、争道抢行、违章超车和超载等；②疏忽大意：如情绪急躁、精神分散、心理烦乱、身体不适等；③车况不好：如安全装置不齐全、工作装置工作不可靠、安全防护装置工作不可靠、车辆维护修理不及时、带“病”行驶等；④道路环境：如道路条件差、视线不良、在恶劣的气候条件下行驶等；⑤管理因素：如车辆安全行驶制度不落实、管理规章制度或操作规程不健全、车辆维修不及时、交通信号、标志、设施缺陷等。</w:t>
      </w:r>
    </w:p>
    <w:p>
      <w:pPr>
        <w:spacing w:line="360" w:lineRule="auto"/>
        <w:ind w:firstLine="560" w:firstLineChars="200"/>
        <w:rPr>
          <w:rFonts w:hint="eastAsia" w:ascii="宋体" w:hAnsi="宋体"/>
          <w:snapToGrid w:val="0"/>
          <w:kern w:val="0"/>
          <w:sz w:val="28"/>
          <w:szCs w:val="28"/>
        </w:rPr>
      </w:pPr>
      <w:r>
        <w:rPr>
          <w:rFonts w:hint="eastAsia" w:ascii="宋体" w:hAnsi="宋体"/>
          <w:snapToGrid w:val="0"/>
          <w:kern w:val="0"/>
          <w:sz w:val="28"/>
          <w:szCs w:val="28"/>
        </w:rPr>
        <w:t>企业可能发生的车辆伤害事故：矿车行驶中撞击或挤压到人员；人员从行驶中的车辆上坠落；挖掘设备给矿车装过大的大块或矿车装料时由于停放处坑洼不平等造成矿车翻倒事故；交叉路口或超车或会车时发生车辆相撞事故；矿车倒车排废时由于车上的大块卡住车斗或操作不当或发生滑坡、塌方造成矿车翻下山；矿车行驶中轮胎</w:t>
      </w:r>
      <w:r>
        <w:rPr>
          <w:rFonts w:ascii="宋体" w:hAnsi="宋体"/>
          <w:snapToGrid w:val="0"/>
          <w:kern w:val="0"/>
          <w:sz w:val="28"/>
          <w:szCs w:val="28"/>
        </w:rPr>
        <w:t>"</w:t>
      </w:r>
      <w:r>
        <w:rPr>
          <w:rFonts w:hint="eastAsia" w:ascii="宋体" w:hAnsi="宋体"/>
          <w:snapToGrid w:val="0"/>
          <w:kern w:val="0"/>
          <w:sz w:val="28"/>
          <w:szCs w:val="28"/>
        </w:rPr>
        <w:t>突爆</w:t>
      </w:r>
      <w:r>
        <w:rPr>
          <w:rFonts w:ascii="宋体" w:hAnsi="宋体"/>
          <w:snapToGrid w:val="0"/>
          <w:kern w:val="0"/>
          <w:sz w:val="28"/>
          <w:szCs w:val="28"/>
        </w:rPr>
        <w:t>"</w:t>
      </w:r>
      <w:r>
        <w:rPr>
          <w:rFonts w:hint="eastAsia" w:ascii="宋体" w:hAnsi="宋体"/>
          <w:snapToGrid w:val="0"/>
          <w:kern w:val="0"/>
          <w:sz w:val="28"/>
          <w:szCs w:val="28"/>
        </w:rPr>
        <w:t>造成翻车等事故的发生；挖掘设备上下坡或在坡上作业时发生倾倒事故；挖掘设备回转过程中或卸料时铲斗碰到矿车驾驶室或其它部位造成事故。</w:t>
      </w:r>
    </w:p>
    <w:p>
      <w:pPr>
        <w:spacing w:line="360" w:lineRule="auto"/>
        <w:ind w:firstLine="560" w:firstLineChars="200"/>
        <w:rPr>
          <w:rFonts w:hint="eastAsia"/>
          <w:sz w:val="28"/>
          <w:szCs w:val="28"/>
        </w:rPr>
      </w:pPr>
      <w:r>
        <w:rPr>
          <w:rFonts w:hint="eastAsia"/>
          <w:sz w:val="28"/>
          <w:szCs w:val="28"/>
        </w:rPr>
        <w:t>砖瓦厂在原料（泥土、煤渣）运输堆积、半成品及成品砖运输等过程中，各种车辆来往频繁。车辆的装载和驾驶、车辆及驾驶员的管理等方面的缺陷均可能引发车辆伤害事故。</w:t>
      </w:r>
    </w:p>
    <w:p>
      <w:pPr>
        <w:spacing w:line="360" w:lineRule="auto"/>
        <w:ind w:firstLine="560" w:firstLineChars="200"/>
        <w:rPr>
          <w:rFonts w:hint="eastAsia" w:ascii="宋体" w:hAnsi="宋体"/>
          <w:snapToGrid w:val="0"/>
          <w:kern w:val="0"/>
          <w:sz w:val="28"/>
          <w:szCs w:val="28"/>
        </w:rPr>
      </w:pPr>
      <w:r>
        <w:rPr>
          <w:rFonts w:hint="eastAsia" w:ascii="宋体" w:hAnsi="宋体"/>
          <w:snapToGrid w:val="0"/>
          <w:kern w:val="0"/>
          <w:sz w:val="28"/>
          <w:szCs w:val="28"/>
        </w:rPr>
        <w:t>车辆伤害后果是人员的伤亡和设备物品的损毁。</w:t>
      </w:r>
    </w:p>
    <w:p>
      <w:pPr>
        <w:pStyle w:val="8"/>
        <w:spacing w:line="360" w:lineRule="auto"/>
        <w:ind w:firstLine="0" w:firstLineChars="0"/>
        <w:outlineLvl w:val="2"/>
        <w:rPr>
          <w:rFonts w:hint="eastAsia" w:ascii="宋体" w:hAnsi="宋体"/>
          <w:b/>
          <w:snapToGrid w:val="0"/>
          <w:kern w:val="0"/>
          <w:sz w:val="28"/>
          <w:szCs w:val="28"/>
        </w:rPr>
      </w:pPr>
      <w:bookmarkStart w:id="164" w:name="_Toc356380983"/>
      <w:bookmarkStart w:id="165" w:name="_Toc332350855"/>
      <w:bookmarkStart w:id="166" w:name="_Toc8214"/>
      <w:bookmarkStart w:id="167" w:name="_Toc356401494"/>
      <w:bookmarkStart w:id="168" w:name="_Toc514342849"/>
      <w:bookmarkStart w:id="169" w:name="_Toc480804397"/>
      <w:r>
        <w:rPr>
          <w:rFonts w:hint="eastAsia" w:ascii="宋体" w:hAnsi="宋体"/>
          <w:b/>
          <w:snapToGrid w:val="0"/>
          <w:kern w:val="0"/>
          <w:sz w:val="28"/>
          <w:szCs w:val="28"/>
          <w:lang w:val="en-US" w:eastAsia="zh-CN"/>
        </w:rPr>
        <w:t>3</w:t>
      </w:r>
      <w:r>
        <w:rPr>
          <w:rFonts w:hint="eastAsia" w:ascii="宋体" w:hAnsi="宋体"/>
          <w:b/>
          <w:snapToGrid w:val="0"/>
          <w:kern w:val="0"/>
          <w:sz w:val="28"/>
          <w:szCs w:val="28"/>
          <w:lang w:eastAsia="zh-CN"/>
        </w:rPr>
        <w:t>.</w:t>
      </w:r>
      <w:r>
        <w:rPr>
          <w:rFonts w:hint="eastAsia" w:ascii="宋体" w:hAnsi="宋体"/>
          <w:b/>
          <w:snapToGrid w:val="0"/>
          <w:kern w:val="0"/>
          <w:sz w:val="28"/>
          <w:szCs w:val="28"/>
        </w:rPr>
        <w:t>5.2 机械</w:t>
      </w:r>
      <w:bookmarkEnd w:id="164"/>
      <w:bookmarkEnd w:id="165"/>
      <w:r>
        <w:rPr>
          <w:rFonts w:hint="eastAsia" w:ascii="宋体" w:hAnsi="宋体"/>
          <w:b/>
          <w:snapToGrid w:val="0"/>
          <w:kern w:val="0"/>
          <w:sz w:val="28"/>
          <w:szCs w:val="28"/>
        </w:rPr>
        <w:t>伤害</w:t>
      </w:r>
      <w:bookmarkEnd w:id="166"/>
      <w:bookmarkEnd w:id="167"/>
      <w:bookmarkEnd w:id="168"/>
      <w:bookmarkEnd w:id="169"/>
    </w:p>
    <w:p>
      <w:pPr>
        <w:spacing w:line="360" w:lineRule="auto"/>
        <w:ind w:firstLine="515" w:firstLineChars="184"/>
        <w:rPr>
          <w:rFonts w:ascii="宋体" w:hAnsi="宋体"/>
          <w:snapToGrid w:val="0"/>
          <w:kern w:val="0"/>
          <w:sz w:val="28"/>
          <w:szCs w:val="28"/>
        </w:rPr>
      </w:pPr>
      <w:r>
        <w:rPr>
          <w:rFonts w:hint="eastAsia" w:ascii="宋体" w:hAnsi="宋体"/>
          <w:snapToGrid w:val="0"/>
          <w:kern w:val="0"/>
          <w:sz w:val="28"/>
          <w:szCs w:val="28"/>
        </w:rPr>
        <w:t>机械伤害事故是指机械设备运动</w:t>
      </w:r>
      <w:r>
        <w:rPr>
          <w:rFonts w:ascii="宋体" w:hAnsi="宋体"/>
          <w:snapToGrid w:val="0"/>
          <w:kern w:val="0"/>
          <w:sz w:val="28"/>
          <w:szCs w:val="28"/>
        </w:rPr>
        <w:t>(</w:t>
      </w:r>
      <w:r>
        <w:rPr>
          <w:rFonts w:hint="eastAsia" w:ascii="宋体" w:hAnsi="宋体"/>
          <w:snapToGrid w:val="0"/>
          <w:kern w:val="0"/>
          <w:sz w:val="28"/>
          <w:szCs w:val="28"/>
        </w:rPr>
        <w:t>静止</w:t>
      </w:r>
      <w:r>
        <w:rPr>
          <w:rFonts w:ascii="宋体" w:hAnsi="宋体"/>
          <w:snapToGrid w:val="0"/>
          <w:kern w:val="0"/>
          <w:sz w:val="28"/>
          <w:szCs w:val="28"/>
        </w:rPr>
        <w:t>)</w:t>
      </w:r>
      <w:r>
        <w:rPr>
          <w:rFonts w:hint="eastAsia" w:ascii="宋体" w:hAnsi="宋体"/>
          <w:snapToGrid w:val="0"/>
          <w:kern w:val="0"/>
          <w:sz w:val="28"/>
          <w:szCs w:val="28"/>
        </w:rPr>
        <w:t>部件、工具、加工件直接与人体接触引起的夹击、碰撞、剪切、卷人、绞、碾、割、刺等伤害，不包括车辆、起重机械引起的机械伤害。</w:t>
      </w:r>
    </w:p>
    <w:p>
      <w:pPr>
        <w:spacing w:line="360" w:lineRule="auto"/>
        <w:ind w:firstLine="515" w:firstLineChars="184"/>
        <w:rPr>
          <w:rFonts w:ascii="宋体" w:hAnsi="宋体"/>
          <w:snapToGrid w:val="0"/>
          <w:kern w:val="0"/>
          <w:sz w:val="28"/>
          <w:szCs w:val="28"/>
        </w:rPr>
      </w:pPr>
      <w:r>
        <w:rPr>
          <w:rFonts w:hint="eastAsia" w:ascii="宋体" w:hAnsi="宋体"/>
          <w:snapToGrid w:val="0"/>
          <w:kern w:val="0"/>
          <w:sz w:val="28"/>
          <w:szCs w:val="28"/>
        </w:rPr>
        <w:t>机械伤害事故产生的主要原因</w:t>
      </w:r>
      <w:r>
        <w:rPr>
          <w:rFonts w:ascii="宋体" w:hAnsi="宋体"/>
          <w:snapToGrid w:val="0"/>
          <w:kern w:val="0"/>
          <w:sz w:val="28"/>
          <w:szCs w:val="28"/>
        </w:rPr>
        <w:t>:</w:t>
      </w:r>
      <w:r>
        <w:rPr>
          <w:rFonts w:hint="eastAsia" w:ascii="宋体" w:hAnsi="宋体"/>
          <w:snapToGrid w:val="0"/>
          <w:kern w:val="0"/>
          <w:sz w:val="28"/>
          <w:szCs w:val="28"/>
        </w:rPr>
        <w:t>①指挥人员违章指挥，操作人员违章操作；②机械设备安全防护装置缺乏或防护装置失效等，导致事故发生；③安全管理上存在不足；④场地及运输道路缺陷；⑤意外因素影响</w:t>
      </w:r>
      <w:r>
        <w:rPr>
          <w:rFonts w:ascii="宋体" w:hAnsi="宋体"/>
          <w:snapToGrid w:val="0"/>
          <w:kern w:val="0"/>
          <w:sz w:val="28"/>
          <w:szCs w:val="28"/>
        </w:rPr>
        <w:t>:</w:t>
      </w:r>
      <w:r>
        <w:rPr>
          <w:rFonts w:hint="eastAsia" w:ascii="宋体" w:hAnsi="宋体"/>
          <w:snapToGrid w:val="0"/>
          <w:kern w:val="0"/>
          <w:sz w:val="28"/>
          <w:szCs w:val="28"/>
        </w:rPr>
        <w:t>如在检修和正常工作时，机器突然被别人随意启动，导致事故发生；⑥在不安全的机械上停留、休息，导致事故发生等。</w:t>
      </w:r>
    </w:p>
    <w:p>
      <w:pPr>
        <w:spacing w:line="360" w:lineRule="auto"/>
        <w:ind w:firstLine="515" w:firstLineChars="184"/>
        <w:rPr>
          <w:rFonts w:hint="eastAsia" w:ascii="宋体" w:hAnsi="宋体"/>
          <w:bCs/>
          <w:snapToGrid w:val="0"/>
          <w:kern w:val="0"/>
          <w:sz w:val="28"/>
          <w:szCs w:val="28"/>
        </w:rPr>
      </w:pPr>
      <w:r>
        <w:rPr>
          <w:rFonts w:hint="eastAsia" w:ascii="宋体" w:hAnsi="宋体"/>
          <w:snapToGrid w:val="0"/>
          <w:kern w:val="0"/>
          <w:sz w:val="28"/>
          <w:szCs w:val="28"/>
        </w:rPr>
        <w:t>机械伤害的主要后果是造成人员伤亡，其次是对物件的损坏。</w:t>
      </w:r>
      <w:r>
        <w:rPr>
          <w:rFonts w:ascii="宋体" w:hAnsi="宋体"/>
          <w:bCs/>
          <w:snapToGrid w:val="0"/>
          <w:kern w:val="0"/>
          <w:sz w:val="28"/>
          <w:szCs w:val="28"/>
        </w:rPr>
        <w:t>因此，加强生产作业中的安全防护是防止机械伤害事故的关键，即保持安全防护设施的完好，按规定使用安全防护用品等。同时加强安全管理力度，禁止违章作业和冒险接触机械危险部位，操作时集中精力，防止非操作人员随意开机，做好正常检修设备时的安全防护措施等对于预防机械事故的发生也很重要。</w:t>
      </w:r>
    </w:p>
    <w:p>
      <w:pPr>
        <w:spacing w:line="360" w:lineRule="auto"/>
        <w:ind w:firstLine="515" w:firstLineChars="184"/>
        <w:rPr>
          <w:rFonts w:hint="eastAsia" w:ascii="宋体" w:hAnsi="宋体"/>
          <w:snapToGrid w:val="0"/>
          <w:kern w:val="0"/>
          <w:sz w:val="28"/>
          <w:szCs w:val="28"/>
        </w:rPr>
      </w:pPr>
      <w:r>
        <w:rPr>
          <w:rFonts w:hint="eastAsia" w:ascii="宋体" w:hAnsi="宋体"/>
          <w:snapToGrid w:val="0"/>
          <w:kern w:val="0"/>
          <w:sz w:val="28"/>
          <w:szCs w:val="28"/>
        </w:rPr>
        <w:t>砖瓦厂在泥土破碎、运输、搅拌、挤压成型、截条、切条等过程中涉及到机械设备，某些设备的转动部件、移动部件等若缺乏良好的防护设施或防护设施有缺陷、操作错误等，均可能造成人身伤害。若没有配备或正确穿戴必需的劳动防护用品时，也可能造成机械伤害。</w:t>
      </w:r>
    </w:p>
    <w:p>
      <w:pPr>
        <w:pStyle w:val="8"/>
        <w:spacing w:line="360" w:lineRule="auto"/>
        <w:ind w:firstLine="0" w:firstLineChars="0"/>
        <w:outlineLvl w:val="2"/>
        <w:rPr>
          <w:rFonts w:hint="eastAsia" w:ascii="宋体" w:hAnsi="宋体"/>
          <w:b/>
          <w:snapToGrid w:val="0"/>
          <w:kern w:val="0"/>
          <w:sz w:val="28"/>
          <w:szCs w:val="28"/>
        </w:rPr>
      </w:pPr>
      <w:bookmarkStart w:id="170" w:name="_Toc350781098"/>
      <w:bookmarkStart w:id="171" w:name="_Toc356401495"/>
      <w:bookmarkStart w:id="172" w:name="_Toc480804398"/>
      <w:bookmarkStart w:id="173" w:name="_Toc514342850"/>
      <w:bookmarkStart w:id="174" w:name="_Toc736"/>
      <w:r>
        <w:rPr>
          <w:rFonts w:hint="eastAsia" w:ascii="宋体" w:hAnsi="宋体"/>
          <w:b/>
          <w:snapToGrid w:val="0"/>
          <w:kern w:val="0"/>
          <w:sz w:val="28"/>
          <w:szCs w:val="28"/>
          <w:lang w:val="en-US" w:eastAsia="zh-CN"/>
        </w:rPr>
        <w:t>3</w:t>
      </w:r>
      <w:r>
        <w:rPr>
          <w:rFonts w:hint="eastAsia" w:ascii="宋体" w:hAnsi="宋体"/>
          <w:b/>
          <w:snapToGrid w:val="0"/>
          <w:kern w:val="0"/>
          <w:sz w:val="28"/>
          <w:szCs w:val="28"/>
          <w:lang w:eastAsia="zh-CN"/>
        </w:rPr>
        <w:t>.</w:t>
      </w:r>
      <w:r>
        <w:rPr>
          <w:rFonts w:hint="eastAsia" w:ascii="宋体" w:hAnsi="宋体"/>
          <w:b/>
          <w:snapToGrid w:val="0"/>
          <w:kern w:val="0"/>
          <w:sz w:val="28"/>
          <w:szCs w:val="28"/>
        </w:rPr>
        <w:t>5.3</w:t>
      </w:r>
      <w:r>
        <w:rPr>
          <w:rFonts w:ascii="宋体" w:hAnsi="宋体"/>
          <w:b/>
          <w:snapToGrid w:val="0"/>
          <w:kern w:val="0"/>
          <w:sz w:val="28"/>
          <w:szCs w:val="28"/>
        </w:rPr>
        <w:t xml:space="preserve"> 触电</w:t>
      </w:r>
      <w:r>
        <w:rPr>
          <w:rFonts w:hint="eastAsia" w:ascii="宋体" w:hAnsi="宋体"/>
          <w:b/>
          <w:snapToGrid w:val="0"/>
          <w:kern w:val="0"/>
          <w:sz w:val="28"/>
          <w:szCs w:val="28"/>
        </w:rPr>
        <w:t>事故</w:t>
      </w:r>
      <w:bookmarkEnd w:id="170"/>
      <w:bookmarkEnd w:id="171"/>
      <w:bookmarkEnd w:id="172"/>
      <w:bookmarkEnd w:id="173"/>
      <w:bookmarkEnd w:id="174"/>
    </w:p>
    <w:p>
      <w:pPr>
        <w:spacing w:line="360" w:lineRule="auto"/>
        <w:ind w:firstLine="560" w:firstLineChars="200"/>
        <w:rPr>
          <w:rFonts w:ascii="宋体" w:hAnsi="宋体"/>
          <w:bCs/>
          <w:snapToGrid w:val="0"/>
          <w:kern w:val="0"/>
          <w:sz w:val="28"/>
          <w:szCs w:val="28"/>
        </w:rPr>
      </w:pPr>
      <w:r>
        <w:rPr>
          <w:rFonts w:hint="eastAsia" w:ascii="宋体" w:hAnsi="宋体"/>
          <w:bCs/>
          <w:snapToGrid w:val="0"/>
          <w:kern w:val="0"/>
          <w:sz w:val="28"/>
          <w:szCs w:val="28"/>
        </w:rPr>
        <w:t>触电事故是指由于电流流经人体导致的生理伤害，包括雷击伤亡事故。</w:t>
      </w:r>
    </w:p>
    <w:p>
      <w:pPr>
        <w:spacing w:line="360" w:lineRule="auto"/>
        <w:ind w:firstLine="560" w:firstLineChars="200"/>
        <w:rPr>
          <w:rFonts w:ascii="宋体" w:hAnsi="宋体"/>
          <w:bCs/>
          <w:snapToGrid w:val="0"/>
          <w:kern w:val="0"/>
          <w:sz w:val="28"/>
          <w:szCs w:val="28"/>
        </w:rPr>
      </w:pPr>
      <w:r>
        <w:rPr>
          <w:rFonts w:hint="eastAsia" w:ascii="宋体" w:hAnsi="宋体"/>
          <w:bCs/>
          <w:snapToGrid w:val="0"/>
          <w:kern w:val="0"/>
          <w:sz w:val="28"/>
          <w:szCs w:val="28"/>
        </w:rPr>
        <w:t>触电伤害产生的主要原因：①电气线路或电气设备在设计、安装上存在缺陷，或在运行中缺乏必要的检修维护；②没有设置必要的安全技术措施</w:t>
      </w:r>
      <w:r>
        <w:rPr>
          <w:rFonts w:ascii="宋体" w:hAnsi="宋体"/>
          <w:bCs/>
          <w:snapToGrid w:val="0"/>
          <w:kern w:val="0"/>
          <w:sz w:val="28"/>
          <w:szCs w:val="28"/>
        </w:rPr>
        <w:t>(</w:t>
      </w:r>
      <w:r>
        <w:rPr>
          <w:rFonts w:hint="eastAsia" w:ascii="宋体" w:hAnsi="宋体"/>
          <w:bCs/>
          <w:snapToGrid w:val="0"/>
          <w:kern w:val="0"/>
          <w:sz w:val="28"/>
          <w:szCs w:val="28"/>
        </w:rPr>
        <w:t>如保护接零、漏电保护、安全电压等</w:t>
      </w:r>
      <w:r>
        <w:rPr>
          <w:rFonts w:ascii="宋体" w:hAnsi="宋体"/>
          <w:bCs/>
          <w:snapToGrid w:val="0"/>
          <w:kern w:val="0"/>
          <w:sz w:val="28"/>
          <w:szCs w:val="28"/>
        </w:rPr>
        <w:t>)</w:t>
      </w:r>
      <w:r>
        <w:rPr>
          <w:rFonts w:hint="eastAsia" w:ascii="宋体" w:hAnsi="宋体"/>
          <w:bCs/>
          <w:snapToGrid w:val="0"/>
          <w:kern w:val="0"/>
          <w:sz w:val="28"/>
          <w:szCs w:val="28"/>
        </w:rPr>
        <w:t>，或安全措施失效；③电气设备运行管理不当，安全管理制度不完善；④专业电工或机电设备操作人员操作失误，或违章作业等；⑤非专业电工人员私自进行检修、接线等专业工作；⑥电气安全管理工作存在漏洞；⑦在规定地点没有使用安全电压；⑧违章指挥等。</w:t>
      </w:r>
    </w:p>
    <w:p>
      <w:pPr>
        <w:spacing w:line="360" w:lineRule="auto"/>
        <w:ind w:firstLine="560" w:firstLineChars="200"/>
        <w:rPr>
          <w:rFonts w:ascii="宋体" w:hAnsi="宋体"/>
          <w:bCs/>
          <w:snapToGrid w:val="0"/>
          <w:kern w:val="0"/>
          <w:sz w:val="28"/>
          <w:szCs w:val="28"/>
        </w:rPr>
      </w:pPr>
      <w:r>
        <w:rPr>
          <w:rFonts w:hint="eastAsia" w:ascii="宋体" w:hAnsi="宋体"/>
          <w:bCs/>
          <w:snapToGrid w:val="0"/>
          <w:kern w:val="0"/>
          <w:sz w:val="28"/>
          <w:szCs w:val="28"/>
        </w:rPr>
        <w:t>可能存在的触电场所有</w:t>
      </w:r>
      <w:r>
        <w:rPr>
          <w:rFonts w:ascii="宋体" w:hAnsi="宋体"/>
          <w:bCs/>
          <w:snapToGrid w:val="0"/>
          <w:kern w:val="0"/>
          <w:sz w:val="28"/>
          <w:szCs w:val="28"/>
        </w:rPr>
        <w:t>:</w:t>
      </w:r>
      <w:r>
        <w:rPr>
          <w:rFonts w:hint="eastAsia" w:ascii="宋体" w:hAnsi="宋体"/>
          <w:bCs/>
          <w:snapToGrid w:val="0"/>
          <w:kern w:val="0"/>
          <w:sz w:val="28"/>
          <w:szCs w:val="28"/>
        </w:rPr>
        <w:t>地面变压器、配电线路以及在生产过程中使用的各种电气设备、动力设备采用闸刀直接起动的设备、手持电动设备、照明线路及照明器具等。</w:t>
      </w:r>
    </w:p>
    <w:p>
      <w:pPr>
        <w:spacing w:line="360" w:lineRule="auto"/>
        <w:ind w:firstLine="560" w:firstLineChars="200"/>
        <w:rPr>
          <w:rFonts w:hint="eastAsia" w:ascii="宋体" w:hAnsi="宋体"/>
          <w:bCs/>
          <w:snapToGrid w:val="0"/>
          <w:kern w:val="0"/>
          <w:sz w:val="28"/>
          <w:szCs w:val="28"/>
        </w:rPr>
      </w:pPr>
      <w:r>
        <w:rPr>
          <w:rFonts w:hint="eastAsia" w:ascii="宋体" w:hAnsi="宋体"/>
          <w:bCs/>
          <w:snapToGrid w:val="0"/>
          <w:kern w:val="0"/>
          <w:sz w:val="28"/>
          <w:szCs w:val="28"/>
        </w:rPr>
        <w:t>触电伤害的后果是直接造成人员伤亡事故。</w:t>
      </w:r>
    </w:p>
    <w:p>
      <w:pPr>
        <w:pStyle w:val="8"/>
        <w:spacing w:line="360" w:lineRule="auto"/>
        <w:ind w:firstLine="0" w:firstLineChars="0"/>
        <w:outlineLvl w:val="2"/>
        <w:rPr>
          <w:rFonts w:hint="eastAsia" w:ascii="宋体" w:hAnsi="宋体"/>
          <w:b/>
          <w:snapToGrid w:val="0"/>
          <w:kern w:val="0"/>
          <w:sz w:val="28"/>
          <w:szCs w:val="28"/>
        </w:rPr>
      </w:pPr>
      <w:bookmarkStart w:id="175" w:name="_Toc480804399"/>
      <w:bookmarkStart w:id="176" w:name="_Toc356380985"/>
      <w:bookmarkStart w:id="177" w:name="_Toc31884"/>
      <w:bookmarkStart w:id="178" w:name="_Toc356401496"/>
      <w:bookmarkStart w:id="179" w:name="_Toc332350857"/>
      <w:bookmarkStart w:id="180" w:name="_Toc514342851"/>
      <w:r>
        <w:rPr>
          <w:rFonts w:hint="eastAsia" w:ascii="宋体" w:hAnsi="宋体"/>
          <w:b/>
          <w:snapToGrid w:val="0"/>
          <w:kern w:val="0"/>
          <w:sz w:val="28"/>
          <w:szCs w:val="28"/>
          <w:lang w:val="en-US" w:eastAsia="zh-CN"/>
        </w:rPr>
        <w:t>3</w:t>
      </w:r>
      <w:r>
        <w:rPr>
          <w:rFonts w:hint="eastAsia" w:ascii="宋体" w:hAnsi="宋体"/>
          <w:b/>
          <w:snapToGrid w:val="0"/>
          <w:kern w:val="0"/>
          <w:sz w:val="28"/>
          <w:szCs w:val="28"/>
          <w:lang w:eastAsia="zh-CN"/>
        </w:rPr>
        <w:t>.</w:t>
      </w:r>
      <w:r>
        <w:rPr>
          <w:rFonts w:hint="eastAsia" w:ascii="宋体" w:hAnsi="宋体"/>
          <w:b/>
          <w:snapToGrid w:val="0"/>
          <w:kern w:val="0"/>
          <w:sz w:val="28"/>
          <w:szCs w:val="28"/>
        </w:rPr>
        <w:t>5.4 高处坠落</w:t>
      </w:r>
      <w:bookmarkEnd w:id="175"/>
      <w:bookmarkEnd w:id="176"/>
      <w:bookmarkEnd w:id="177"/>
      <w:bookmarkEnd w:id="178"/>
      <w:bookmarkEnd w:id="179"/>
      <w:bookmarkEnd w:id="180"/>
    </w:p>
    <w:p>
      <w:pPr>
        <w:spacing w:line="360" w:lineRule="auto"/>
        <w:ind w:firstLine="560" w:firstLineChars="200"/>
        <w:rPr>
          <w:rFonts w:hint="eastAsia" w:ascii="宋体" w:hAnsi="宋体"/>
          <w:snapToGrid w:val="0"/>
          <w:kern w:val="0"/>
          <w:sz w:val="28"/>
          <w:szCs w:val="28"/>
        </w:rPr>
      </w:pPr>
      <w:r>
        <w:rPr>
          <w:rFonts w:hint="eastAsia" w:ascii="宋体" w:hAnsi="宋体"/>
          <w:snapToGrid w:val="0"/>
          <w:kern w:val="0"/>
          <w:sz w:val="28"/>
          <w:szCs w:val="28"/>
        </w:rPr>
        <w:t>高处坠落指在高处作业中发生坠落造成的伤亡事故，不包括触电坠落事故。</w:t>
      </w:r>
      <w:r>
        <w:rPr>
          <w:rFonts w:ascii="宋体" w:hAnsi="宋体"/>
          <w:bCs/>
          <w:snapToGrid w:val="0"/>
          <w:kern w:val="0"/>
          <w:sz w:val="28"/>
          <w:szCs w:val="28"/>
        </w:rPr>
        <w:t>高处坠落主要包括：采场顶部的高处坠落，检修安装设备时的高处坠落，人员行进中的意外滑倒等，增加防护装置是预防事故发生的重要措施。</w:t>
      </w:r>
    </w:p>
    <w:p>
      <w:pPr>
        <w:spacing w:line="360" w:lineRule="auto"/>
        <w:ind w:firstLine="560" w:firstLineChars="200"/>
        <w:rPr>
          <w:rFonts w:ascii="宋体" w:hAnsi="宋体"/>
          <w:snapToGrid w:val="0"/>
          <w:kern w:val="0"/>
          <w:sz w:val="28"/>
          <w:szCs w:val="28"/>
        </w:rPr>
      </w:pPr>
      <w:r>
        <w:rPr>
          <w:rFonts w:hint="eastAsia" w:ascii="宋体" w:hAnsi="宋体"/>
          <w:snapToGrid w:val="0"/>
          <w:kern w:val="0"/>
          <w:sz w:val="28"/>
          <w:szCs w:val="28"/>
        </w:rPr>
        <w:t>造成高处坠落的主要原因有：①没有按要求使用安全带、安全索；②没有按要求穿防滑性能良好的软底鞋；③高处作业时安全防护设施不完善或损坏；④工作责任心不强，主观判断失误；⑤使用安全保护装置不完善或缺乏的设备、设施进行作业；⑥作业人员疏忽大意，疲劳作业；⑦高处作业无专人负责指挥，安全管理不到位；⑧作业场所狭小，不符合安全要求。</w:t>
      </w:r>
    </w:p>
    <w:p>
      <w:pPr>
        <w:spacing w:line="360" w:lineRule="auto"/>
        <w:ind w:firstLine="560" w:firstLineChars="200"/>
        <w:rPr>
          <w:rFonts w:hint="eastAsia" w:ascii="宋体" w:hAnsi="宋体"/>
          <w:snapToGrid w:val="0"/>
          <w:kern w:val="0"/>
          <w:sz w:val="28"/>
          <w:szCs w:val="28"/>
        </w:rPr>
      </w:pPr>
      <w:r>
        <w:rPr>
          <w:rFonts w:hint="eastAsia" w:ascii="宋体" w:hAnsi="宋体"/>
          <w:snapToGrid w:val="0"/>
          <w:kern w:val="0"/>
          <w:sz w:val="28"/>
          <w:szCs w:val="28"/>
        </w:rPr>
        <w:t>阴雨、积雪可引起料堆、砖坯堆垛坍方；料场土堆高3米，在堆料、喂料过程中土堆可能发生坍塌；料场打堆车道宽6米、坡度25°，在往高处打堆时，由于料堆松软，有可能造成运输机械侧翻、被掩埋的潜在危险，同时现场作业人员或外来人员有被压埋的潜在危险。同时，窑炉和烟囱在进行相关作业时，也存在坍塌和高处坠落的危险。</w:t>
      </w:r>
    </w:p>
    <w:p>
      <w:pPr>
        <w:spacing w:line="360" w:lineRule="auto"/>
        <w:ind w:firstLine="560" w:firstLineChars="200"/>
        <w:rPr>
          <w:rFonts w:hint="eastAsia" w:ascii="宋体" w:hAnsi="宋体"/>
          <w:snapToGrid w:val="0"/>
          <w:kern w:val="0"/>
          <w:sz w:val="28"/>
          <w:szCs w:val="28"/>
        </w:rPr>
      </w:pPr>
      <w:r>
        <w:rPr>
          <w:rFonts w:hint="eastAsia" w:ascii="宋体" w:hAnsi="宋体"/>
          <w:snapToGrid w:val="0"/>
          <w:kern w:val="0"/>
          <w:sz w:val="28"/>
          <w:szCs w:val="28"/>
        </w:rPr>
        <w:t>高处坠落造成的事故的后果是人员伤亡和设备损坏。</w:t>
      </w:r>
    </w:p>
    <w:bookmarkEnd w:id="106"/>
    <w:p>
      <w:pPr>
        <w:pStyle w:val="8"/>
        <w:spacing w:line="360" w:lineRule="auto"/>
        <w:ind w:firstLine="0" w:firstLineChars="0"/>
        <w:outlineLvl w:val="2"/>
        <w:rPr>
          <w:rFonts w:ascii="宋体" w:hAnsi="宋体"/>
          <w:b/>
          <w:snapToGrid w:val="0"/>
          <w:kern w:val="0"/>
          <w:sz w:val="28"/>
          <w:szCs w:val="28"/>
        </w:rPr>
      </w:pPr>
      <w:bookmarkStart w:id="181" w:name="_Toc350781096"/>
      <w:bookmarkStart w:id="182" w:name="_Toc356401497"/>
      <w:bookmarkStart w:id="183" w:name="_Toc514342852"/>
      <w:bookmarkStart w:id="184" w:name="_Toc5466"/>
      <w:bookmarkStart w:id="185" w:name="_Toc480804400"/>
      <w:r>
        <w:rPr>
          <w:rFonts w:hint="eastAsia" w:ascii="宋体" w:hAnsi="宋体"/>
          <w:b/>
          <w:snapToGrid w:val="0"/>
          <w:kern w:val="0"/>
          <w:sz w:val="28"/>
          <w:szCs w:val="28"/>
          <w:lang w:val="en-US" w:eastAsia="zh-CN"/>
        </w:rPr>
        <w:t>3</w:t>
      </w:r>
      <w:r>
        <w:rPr>
          <w:rFonts w:hint="eastAsia" w:ascii="宋体" w:hAnsi="宋体"/>
          <w:b/>
          <w:snapToGrid w:val="0"/>
          <w:kern w:val="0"/>
          <w:sz w:val="28"/>
          <w:szCs w:val="28"/>
          <w:lang w:eastAsia="zh-CN"/>
        </w:rPr>
        <w:t>.</w:t>
      </w:r>
      <w:r>
        <w:rPr>
          <w:rFonts w:hint="eastAsia" w:ascii="宋体" w:hAnsi="宋体"/>
          <w:b/>
          <w:snapToGrid w:val="0"/>
          <w:kern w:val="0"/>
          <w:sz w:val="28"/>
          <w:szCs w:val="28"/>
        </w:rPr>
        <w:t>5</w:t>
      </w:r>
      <w:r>
        <w:rPr>
          <w:rFonts w:ascii="宋体" w:hAnsi="宋体"/>
          <w:b/>
          <w:snapToGrid w:val="0"/>
          <w:kern w:val="0"/>
          <w:sz w:val="28"/>
          <w:szCs w:val="28"/>
        </w:rPr>
        <w:t>.</w:t>
      </w:r>
      <w:r>
        <w:rPr>
          <w:rFonts w:hint="eastAsia" w:ascii="宋体" w:hAnsi="宋体"/>
          <w:b/>
          <w:snapToGrid w:val="0"/>
          <w:kern w:val="0"/>
          <w:sz w:val="28"/>
          <w:szCs w:val="28"/>
        </w:rPr>
        <w:t>5</w:t>
      </w:r>
      <w:r>
        <w:rPr>
          <w:rFonts w:ascii="宋体" w:hAnsi="宋体"/>
          <w:b/>
          <w:snapToGrid w:val="0"/>
          <w:kern w:val="0"/>
          <w:sz w:val="28"/>
          <w:szCs w:val="28"/>
        </w:rPr>
        <w:t xml:space="preserve"> 物体打击</w:t>
      </w:r>
      <w:bookmarkEnd w:id="181"/>
      <w:bookmarkEnd w:id="182"/>
      <w:bookmarkEnd w:id="183"/>
      <w:bookmarkEnd w:id="184"/>
      <w:bookmarkEnd w:id="185"/>
    </w:p>
    <w:p>
      <w:pPr>
        <w:spacing w:line="360" w:lineRule="auto"/>
        <w:ind w:firstLine="560" w:firstLineChars="200"/>
        <w:rPr>
          <w:rFonts w:ascii="宋体" w:hAnsi="宋体"/>
          <w:snapToGrid w:val="0"/>
          <w:kern w:val="0"/>
          <w:sz w:val="28"/>
          <w:szCs w:val="28"/>
        </w:rPr>
      </w:pPr>
      <w:r>
        <w:rPr>
          <w:rFonts w:hint="eastAsia" w:ascii="宋体" w:hAnsi="宋体"/>
          <w:snapToGrid w:val="0"/>
          <w:kern w:val="0"/>
          <w:sz w:val="28"/>
          <w:szCs w:val="28"/>
        </w:rPr>
        <w:t>物体打击事故是指物体在重力或其它外力的作用下产生运动，打击人体造成人身伤亡事故，不包括因机械设备、车辆、起重机械、坍塌等引发的物体打击。</w:t>
      </w:r>
    </w:p>
    <w:p>
      <w:pPr>
        <w:spacing w:line="360" w:lineRule="auto"/>
        <w:ind w:firstLine="560" w:firstLineChars="200"/>
        <w:rPr>
          <w:rFonts w:hint="eastAsia" w:ascii="宋体" w:hAnsi="宋体"/>
          <w:snapToGrid w:val="0"/>
          <w:kern w:val="0"/>
          <w:sz w:val="28"/>
          <w:szCs w:val="28"/>
        </w:rPr>
      </w:pPr>
      <w:r>
        <w:rPr>
          <w:rFonts w:hint="eastAsia" w:ascii="宋体" w:hAnsi="宋体"/>
          <w:snapToGrid w:val="0"/>
          <w:kern w:val="0"/>
          <w:sz w:val="28"/>
          <w:szCs w:val="28"/>
        </w:rPr>
        <w:t>造成物体打击的主要原因有</w:t>
      </w:r>
      <w:r>
        <w:rPr>
          <w:rFonts w:ascii="宋体" w:hAnsi="宋体"/>
          <w:snapToGrid w:val="0"/>
          <w:kern w:val="0"/>
          <w:sz w:val="28"/>
          <w:szCs w:val="28"/>
        </w:rPr>
        <w:t>:</w:t>
      </w:r>
      <w:r>
        <w:rPr>
          <w:rFonts w:hint="eastAsia" w:ascii="宋体" w:hAnsi="宋体"/>
          <w:snapToGrid w:val="0"/>
          <w:kern w:val="0"/>
          <w:sz w:val="28"/>
          <w:szCs w:val="28"/>
        </w:rPr>
        <w:t>①工作场所狭小，缺乏躲避空间，上下同时作业；②没有排险工具或排险工具有缺陷等；③工作时精力不集中，对出现的险情不能及时做出反应；④安全帽等劳保用品穿戴不规范、不齐全；⑤传递工具物件方法不当等</w:t>
      </w:r>
    </w:p>
    <w:p>
      <w:pPr>
        <w:spacing w:line="360" w:lineRule="auto"/>
        <w:ind w:firstLine="560" w:firstLineChars="200"/>
        <w:rPr>
          <w:rFonts w:ascii="宋体" w:hAnsi="宋体"/>
          <w:snapToGrid w:val="0"/>
          <w:kern w:val="0"/>
          <w:sz w:val="28"/>
          <w:szCs w:val="28"/>
        </w:rPr>
      </w:pPr>
      <w:r>
        <w:rPr>
          <w:rFonts w:hint="eastAsia" w:ascii="宋体" w:hAnsi="宋体"/>
          <w:snapToGrid w:val="0"/>
          <w:kern w:val="0"/>
          <w:sz w:val="28"/>
          <w:szCs w:val="28"/>
        </w:rPr>
        <w:t>可能发生的物体打击事故：拆卸设备部件时敲打工具造成工具强出伤人；高空作业时，由于工具、托辊、零件、砖瓦、木块等物不慎从高处掉落伤人或乱扔废物、杂物击中他人；</w:t>
      </w:r>
    </w:p>
    <w:p>
      <w:pPr>
        <w:spacing w:line="360" w:lineRule="auto"/>
        <w:ind w:firstLine="560" w:firstLineChars="200"/>
        <w:rPr>
          <w:rFonts w:hint="eastAsia" w:ascii="宋体" w:hAnsi="宋体"/>
          <w:snapToGrid w:val="0"/>
          <w:kern w:val="0"/>
          <w:sz w:val="28"/>
          <w:szCs w:val="28"/>
        </w:rPr>
      </w:pPr>
      <w:r>
        <w:rPr>
          <w:rFonts w:hint="eastAsia" w:ascii="宋体" w:hAnsi="宋体"/>
          <w:snapToGrid w:val="0"/>
          <w:kern w:val="0"/>
          <w:sz w:val="28"/>
          <w:szCs w:val="28"/>
        </w:rPr>
        <w:t>一旦遭受物体打击其后果是人员的伤亡和物品的损毁。</w:t>
      </w:r>
    </w:p>
    <w:p>
      <w:pPr>
        <w:pStyle w:val="8"/>
        <w:spacing w:line="360" w:lineRule="auto"/>
        <w:ind w:firstLine="0" w:firstLineChars="0"/>
        <w:outlineLvl w:val="2"/>
        <w:rPr>
          <w:rFonts w:hint="eastAsia" w:ascii="宋体" w:hAnsi="宋体"/>
          <w:b/>
          <w:snapToGrid w:val="0"/>
          <w:kern w:val="0"/>
          <w:sz w:val="28"/>
          <w:szCs w:val="28"/>
        </w:rPr>
      </w:pPr>
      <w:bookmarkStart w:id="186" w:name="_Toc350781100"/>
      <w:bookmarkStart w:id="187" w:name="_Toc356401498"/>
      <w:bookmarkStart w:id="188" w:name="_Toc514342853"/>
      <w:bookmarkStart w:id="189" w:name="_Toc13741"/>
      <w:bookmarkStart w:id="190" w:name="_Toc480804401"/>
      <w:r>
        <w:rPr>
          <w:rFonts w:hint="eastAsia" w:ascii="宋体" w:hAnsi="宋体"/>
          <w:b/>
          <w:snapToGrid w:val="0"/>
          <w:kern w:val="0"/>
          <w:sz w:val="28"/>
          <w:szCs w:val="28"/>
          <w:lang w:val="en-US" w:eastAsia="zh-CN"/>
        </w:rPr>
        <w:t>3</w:t>
      </w:r>
      <w:r>
        <w:rPr>
          <w:rFonts w:hint="eastAsia" w:ascii="宋体" w:hAnsi="宋体"/>
          <w:b/>
          <w:snapToGrid w:val="0"/>
          <w:kern w:val="0"/>
          <w:sz w:val="28"/>
          <w:szCs w:val="28"/>
          <w:lang w:eastAsia="zh-CN"/>
        </w:rPr>
        <w:t>.</w:t>
      </w:r>
      <w:r>
        <w:rPr>
          <w:rFonts w:hint="eastAsia" w:ascii="宋体" w:hAnsi="宋体"/>
          <w:b/>
          <w:snapToGrid w:val="0"/>
          <w:kern w:val="0"/>
          <w:sz w:val="28"/>
          <w:szCs w:val="28"/>
        </w:rPr>
        <w:t>5.6 火灾</w:t>
      </w:r>
      <w:bookmarkEnd w:id="186"/>
      <w:r>
        <w:rPr>
          <w:rFonts w:hint="eastAsia" w:ascii="宋体" w:hAnsi="宋体"/>
          <w:b/>
          <w:snapToGrid w:val="0"/>
          <w:kern w:val="0"/>
          <w:sz w:val="28"/>
          <w:szCs w:val="28"/>
        </w:rPr>
        <w:t>事故</w:t>
      </w:r>
      <w:bookmarkEnd w:id="187"/>
      <w:bookmarkEnd w:id="188"/>
      <w:bookmarkEnd w:id="189"/>
      <w:bookmarkEnd w:id="190"/>
    </w:p>
    <w:p>
      <w:pPr>
        <w:spacing w:line="360" w:lineRule="auto"/>
        <w:ind w:firstLine="560" w:firstLineChars="200"/>
        <w:rPr>
          <w:rFonts w:ascii="宋体" w:hAnsi="宋体"/>
          <w:snapToGrid w:val="0"/>
          <w:kern w:val="0"/>
          <w:sz w:val="28"/>
          <w:szCs w:val="28"/>
        </w:rPr>
      </w:pPr>
      <w:r>
        <w:rPr>
          <w:rFonts w:hint="eastAsia" w:ascii="宋体" w:hAnsi="宋体"/>
          <w:snapToGrid w:val="0"/>
          <w:kern w:val="0"/>
          <w:sz w:val="28"/>
          <w:szCs w:val="28"/>
        </w:rPr>
        <w:t>火灾是指企业内所发生的火灾。</w:t>
      </w:r>
    </w:p>
    <w:p>
      <w:pPr>
        <w:spacing w:line="360" w:lineRule="auto"/>
        <w:ind w:firstLine="560" w:firstLineChars="200"/>
        <w:rPr>
          <w:rFonts w:ascii="宋体" w:hAnsi="宋体"/>
          <w:snapToGrid w:val="0"/>
          <w:kern w:val="0"/>
          <w:sz w:val="28"/>
          <w:szCs w:val="28"/>
        </w:rPr>
      </w:pPr>
      <w:r>
        <w:rPr>
          <w:rFonts w:hint="eastAsia" w:ascii="宋体" w:hAnsi="宋体"/>
          <w:snapToGrid w:val="0"/>
          <w:kern w:val="0"/>
          <w:sz w:val="28"/>
          <w:szCs w:val="28"/>
        </w:rPr>
        <w:t>火灾事故产生的主要原因</w:t>
      </w:r>
      <w:r>
        <w:rPr>
          <w:rFonts w:ascii="宋体" w:hAnsi="宋体"/>
          <w:snapToGrid w:val="0"/>
          <w:kern w:val="0"/>
          <w:sz w:val="28"/>
          <w:szCs w:val="28"/>
        </w:rPr>
        <w:t>:</w:t>
      </w:r>
      <w:r>
        <w:rPr>
          <w:rFonts w:hint="eastAsia" w:ascii="宋体" w:hAnsi="宋体"/>
          <w:snapToGrid w:val="0"/>
          <w:kern w:val="0"/>
          <w:sz w:val="28"/>
          <w:szCs w:val="28"/>
        </w:rPr>
        <w:t>①明火</w:t>
      </w:r>
      <w:r>
        <w:rPr>
          <w:rFonts w:ascii="宋体" w:hAnsi="宋体"/>
          <w:snapToGrid w:val="0"/>
          <w:kern w:val="0"/>
          <w:sz w:val="28"/>
          <w:szCs w:val="28"/>
        </w:rPr>
        <w:t>(</w:t>
      </w:r>
      <w:r>
        <w:rPr>
          <w:rFonts w:hint="eastAsia" w:ascii="宋体" w:hAnsi="宋体"/>
          <w:snapToGrid w:val="0"/>
          <w:kern w:val="0"/>
          <w:sz w:val="28"/>
          <w:szCs w:val="28"/>
        </w:rPr>
        <w:t>包括火柴点火、吸烟、电焊、气焊、明火灯等</w:t>
      </w:r>
      <w:r>
        <w:rPr>
          <w:rFonts w:ascii="宋体" w:hAnsi="宋体"/>
          <w:snapToGrid w:val="0"/>
          <w:kern w:val="0"/>
          <w:sz w:val="28"/>
          <w:szCs w:val="28"/>
        </w:rPr>
        <w:t>)</w:t>
      </w:r>
      <w:r>
        <w:rPr>
          <w:rFonts w:hint="eastAsia" w:ascii="宋体" w:hAnsi="宋体"/>
          <w:snapToGrid w:val="0"/>
          <w:kern w:val="0"/>
          <w:sz w:val="28"/>
          <w:szCs w:val="28"/>
        </w:rPr>
        <w:t>所引燃；②油料</w:t>
      </w:r>
      <w:r>
        <w:rPr>
          <w:rFonts w:ascii="宋体" w:hAnsi="宋体"/>
          <w:snapToGrid w:val="0"/>
          <w:kern w:val="0"/>
          <w:sz w:val="28"/>
          <w:szCs w:val="28"/>
        </w:rPr>
        <w:t>(</w:t>
      </w:r>
      <w:r>
        <w:rPr>
          <w:rFonts w:hint="eastAsia" w:ascii="宋体" w:hAnsi="宋体"/>
          <w:snapToGrid w:val="0"/>
          <w:kern w:val="0"/>
          <w:sz w:val="28"/>
          <w:szCs w:val="28"/>
        </w:rPr>
        <w:t>润滑油、变压器油、液压设备用油、柴油设备用油、维修设备用油等</w:t>
      </w:r>
      <w:r>
        <w:rPr>
          <w:rFonts w:ascii="宋体" w:hAnsi="宋体"/>
          <w:snapToGrid w:val="0"/>
          <w:kern w:val="0"/>
          <w:sz w:val="28"/>
          <w:szCs w:val="28"/>
        </w:rPr>
        <w:t>)</w:t>
      </w:r>
      <w:r>
        <w:rPr>
          <w:rFonts w:hint="eastAsia" w:ascii="宋体" w:hAnsi="宋体"/>
          <w:snapToGrid w:val="0"/>
          <w:kern w:val="0"/>
          <w:sz w:val="28"/>
          <w:szCs w:val="28"/>
        </w:rPr>
        <w:t>保管、运输和使用不当；③电缆、电线、电动机、电钻等电器设备绝缘损坏及性能不良产生的电弧、电火花、漏电、失爆、短路或超负荷运行引起火灾；④保险丝</w:t>
      </w:r>
      <w:r>
        <w:rPr>
          <w:rFonts w:ascii="宋体" w:hAnsi="宋体"/>
          <w:snapToGrid w:val="0"/>
          <w:kern w:val="0"/>
          <w:sz w:val="28"/>
          <w:szCs w:val="28"/>
        </w:rPr>
        <w:t>(</w:t>
      </w:r>
      <w:r>
        <w:rPr>
          <w:rFonts w:hint="eastAsia" w:ascii="宋体" w:hAnsi="宋体"/>
          <w:snapToGrid w:val="0"/>
          <w:kern w:val="0"/>
          <w:sz w:val="28"/>
          <w:szCs w:val="28"/>
        </w:rPr>
        <w:t>片</w:t>
      </w:r>
      <w:r>
        <w:rPr>
          <w:rFonts w:ascii="宋体" w:hAnsi="宋体"/>
          <w:snapToGrid w:val="0"/>
          <w:kern w:val="0"/>
          <w:sz w:val="28"/>
          <w:szCs w:val="28"/>
        </w:rPr>
        <w:t>)</w:t>
      </w:r>
      <w:r>
        <w:rPr>
          <w:rFonts w:hint="eastAsia" w:ascii="宋体" w:hAnsi="宋体"/>
          <w:snapToGrid w:val="0"/>
          <w:kern w:val="0"/>
          <w:sz w:val="28"/>
          <w:szCs w:val="28"/>
        </w:rPr>
        <w:t>选用不当，使用铜丝、铝线代替保险丝；⑤油开关及配电箱内油料着火</w:t>
      </w:r>
      <w:r>
        <w:rPr>
          <w:rFonts w:ascii="宋体" w:hAnsi="宋体"/>
          <w:snapToGrid w:val="0"/>
          <w:kern w:val="0"/>
          <w:sz w:val="28"/>
          <w:szCs w:val="28"/>
        </w:rPr>
        <w:t>;</w:t>
      </w:r>
      <w:r>
        <w:rPr>
          <w:rFonts w:hint="eastAsia" w:ascii="宋体" w:hAnsi="宋体"/>
          <w:snapToGrid w:val="0"/>
          <w:kern w:val="0"/>
          <w:sz w:val="28"/>
          <w:szCs w:val="28"/>
        </w:rPr>
        <w:t>⑥机械作用</w:t>
      </w:r>
      <w:r>
        <w:rPr>
          <w:rFonts w:ascii="宋体" w:hAnsi="宋体"/>
          <w:snapToGrid w:val="0"/>
          <w:kern w:val="0"/>
          <w:sz w:val="28"/>
          <w:szCs w:val="28"/>
        </w:rPr>
        <w:t>(</w:t>
      </w:r>
      <w:r>
        <w:rPr>
          <w:rFonts w:hint="eastAsia" w:ascii="宋体" w:hAnsi="宋体"/>
          <w:snapToGrid w:val="0"/>
          <w:kern w:val="0"/>
          <w:sz w:val="28"/>
          <w:szCs w:val="28"/>
        </w:rPr>
        <w:t>包括摩擦、震动冲击等</w:t>
      </w:r>
      <w:r>
        <w:rPr>
          <w:rFonts w:ascii="宋体" w:hAnsi="宋体"/>
          <w:snapToGrid w:val="0"/>
          <w:kern w:val="0"/>
          <w:sz w:val="28"/>
          <w:szCs w:val="28"/>
        </w:rPr>
        <w:t>)</w:t>
      </w:r>
      <w:r>
        <w:rPr>
          <w:rFonts w:hint="eastAsia" w:ascii="宋体" w:hAnsi="宋体"/>
          <w:snapToGrid w:val="0"/>
          <w:kern w:val="0"/>
          <w:sz w:val="28"/>
          <w:szCs w:val="28"/>
        </w:rPr>
        <w:t>所引起。</w:t>
      </w:r>
    </w:p>
    <w:p>
      <w:pPr>
        <w:spacing w:line="360" w:lineRule="auto"/>
        <w:ind w:firstLine="560" w:firstLineChars="200"/>
        <w:rPr>
          <w:rFonts w:ascii="宋体" w:hAnsi="宋体"/>
          <w:snapToGrid w:val="0"/>
          <w:kern w:val="0"/>
          <w:sz w:val="28"/>
          <w:szCs w:val="28"/>
        </w:rPr>
      </w:pPr>
      <w:r>
        <w:rPr>
          <w:rFonts w:hint="eastAsia" w:ascii="宋体" w:hAnsi="宋体"/>
          <w:snapToGrid w:val="0"/>
          <w:kern w:val="0"/>
          <w:sz w:val="28"/>
          <w:szCs w:val="28"/>
        </w:rPr>
        <w:t>火灾可能发生在空压机房、机修车间、综合材料库、变压器等用电部位。</w:t>
      </w:r>
    </w:p>
    <w:p>
      <w:pPr>
        <w:spacing w:line="360" w:lineRule="auto"/>
        <w:ind w:firstLine="560" w:firstLineChars="200"/>
        <w:rPr>
          <w:rFonts w:hint="eastAsia" w:ascii="宋体" w:hAnsi="宋体"/>
          <w:snapToGrid w:val="0"/>
          <w:kern w:val="0"/>
          <w:sz w:val="28"/>
          <w:szCs w:val="28"/>
        </w:rPr>
      </w:pPr>
      <w:r>
        <w:rPr>
          <w:rFonts w:hint="eastAsia" w:ascii="宋体" w:hAnsi="宋体"/>
          <w:snapToGrid w:val="0"/>
          <w:kern w:val="0"/>
          <w:sz w:val="28"/>
          <w:szCs w:val="28"/>
        </w:rPr>
        <w:t>火灾事故的主要后果是造成人员伤亡和财产损失。</w:t>
      </w:r>
    </w:p>
    <w:p>
      <w:pPr>
        <w:pStyle w:val="8"/>
        <w:spacing w:line="360" w:lineRule="auto"/>
        <w:ind w:firstLine="0" w:firstLineChars="0"/>
        <w:outlineLvl w:val="2"/>
        <w:rPr>
          <w:rFonts w:hint="eastAsia" w:ascii="宋体" w:hAnsi="宋体"/>
          <w:b/>
          <w:snapToGrid w:val="0"/>
          <w:kern w:val="0"/>
          <w:sz w:val="28"/>
          <w:szCs w:val="28"/>
          <w:lang w:val="en-US" w:eastAsia="zh-CN"/>
        </w:rPr>
      </w:pPr>
      <w:bookmarkStart w:id="191" w:name="_Toc496016651"/>
      <w:bookmarkStart w:id="192" w:name="_Toc413834088"/>
      <w:bookmarkStart w:id="193" w:name="_Toc359225364"/>
      <w:bookmarkStart w:id="194" w:name="_Toc24561"/>
      <w:r>
        <w:rPr>
          <w:rFonts w:hint="eastAsia" w:ascii="宋体" w:hAnsi="宋体"/>
          <w:b/>
          <w:snapToGrid w:val="0"/>
          <w:kern w:val="0"/>
          <w:sz w:val="28"/>
          <w:szCs w:val="28"/>
          <w:lang w:val="en-US" w:eastAsia="zh-CN"/>
        </w:rPr>
        <w:t>3</w:t>
      </w:r>
      <w:r>
        <w:rPr>
          <w:rFonts w:hint="eastAsia" w:ascii="宋体" w:hAnsi="宋体"/>
          <w:b/>
          <w:snapToGrid w:val="0"/>
          <w:kern w:val="0"/>
          <w:sz w:val="28"/>
          <w:szCs w:val="28"/>
          <w:lang w:eastAsia="zh-CN"/>
        </w:rPr>
        <w:t>.</w:t>
      </w:r>
      <w:r>
        <w:rPr>
          <w:rFonts w:hint="eastAsia" w:ascii="宋体" w:hAnsi="宋体"/>
          <w:b/>
          <w:snapToGrid w:val="0"/>
          <w:kern w:val="0"/>
          <w:sz w:val="28"/>
          <w:szCs w:val="28"/>
        </w:rPr>
        <w:t>5.</w:t>
      </w:r>
      <w:r>
        <w:rPr>
          <w:rFonts w:hint="eastAsia" w:ascii="宋体" w:hAnsi="宋体"/>
          <w:b/>
          <w:snapToGrid w:val="0"/>
          <w:kern w:val="0"/>
          <w:sz w:val="28"/>
          <w:szCs w:val="28"/>
          <w:lang w:val="en-US" w:eastAsia="zh-CN"/>
        </w:rPr>
        <w:t>7 坍塌</w:t>
      </w:r>
      <w:bookmarkEnd w:id="191"/>
      <w:bookmarkEnd w:id="192"/>
      <w:bookmarkEnd w:id="193"/>
      <w:bookmarkEnd w:id="194"/>
    </w:p>
    <w:p>
      <w:pPr>
        <w:spacing w:line="360" w:lineRule="auto"/>
        <w:ind w:firstLine="560" w:firstLineChars="200"/>
        <w:rPr>
          <w:rFonts w:hint="eastAsia" w:ascii="宋体" w:hAnsi="宋体" w:cs="宋体"/>
          <w:color w:val="auto"/>
          <w:sz w:val="28"/>
          <w:szCs w:val="28"/>
        </w:rPr>
      </w:pPr>
      <w:r>
        <w:rPr>
          <w:rFonts w:hint="eastAsia" w:ascii="宋体" w:hAnsi="宋体" w:cs="宋体"/>
          <w:color w:val="auto"/>
          <w:sz w:val="28"/>
          <w:szCs w:val="28"/>
        </w:rPr>
        <w:t>坍塌事故产生的主要原因有：①确定的边坡角不合理；②地质因素对边坡的影响；③岩体中的地下水；④人为因素；⑤风化作用；⑥地震等。坍塌是</w:t>
      </w:r>
      <w:r>
        <w:rPr>
          <w:rFonts w:hint="eastAsia" w:ascii="宋体" w:hAnsi="宋体" w:cs="宋体"/>
          <w:color w:val="auto"/>
          <w:sz w:val="28"/>
          <w:szCs w:val="28"/>
          <w:lang w:eastAsia="zh-CN"/>
        </w:rPr>
        <w:t>砖厂页岩开采</w:t>
      </w:r>
      <w:r>
        <w:rPr>
          <w:rFonts w:hint="eastAsia" w:ascii="宋体" w:hAnsi="宋体" w:cs="宋体"/>
          <w:color w:val="auto"/>
          <w:sz w:val="28"/>
          <w:szCs w:val="28"/>
        </w:rPr>
        <w:t>的主要危险因素之一，发生事故的后果是造成重大人员伤亡和设备、设施损坏，对生产企业造成重大经济损失。</w:t>
      </w:r>
    </w:p>
    <w:p>
      <w:pPr>
        <w:spacing w:line="360" w:lineRule="auto"/>
        <w:ind w:firstLine="560" w:firstLineChars="200"/>
        <w:rPr>
          <w:rFonts w:hint="eastAsia" w:ascii="宋体" w:hAnsi="宋体"/>
          <w:snapToGrid w:val="0"/>
          <w:color w:val="FF0000"/>
          <w:kern w:val="0"/>
          <w:sz w:val="28"/>
          <w:szCs w:val="28"/>
          <w:lang w:eastAsia="zh-CN"/>
        </w:rPr>
      </w:pPr>
      <w:r>
        <w:rPr>
          <w:rFonts w:hint="eastAsia" w:ascii="宋体" w:hAnsi="宋体"/>
          <w:snapToGrid w:val="0"/>
          <w:color w:val="FF0000"/>
          <w:kern w:val="0"/>
          <w:sz w:val="28"/>
          <w:szCs w:val="28"/>
          <w:lang w:eastAsia="zh-CN"/>
        </w:rPr>
        <w:t>本项目存在原料堆放、砖坯堆码、成品堆垛等工序。如原料打堆过高，由于料堆松软，有可能造成运输机械侧翻、被掩埋的潜在危险，同时现场作业人员或外来人员有被压埋的潜在危险。工作人员在窑内码坯和成品堆垛过程中，由于砖坯堆放不稳，堆放过高或地基不稳，堆垛码放不符合要求，都可能会引起坯（砖）垛倒塌，发生倒塌伤人、损物等事故。</w:t>
      </w:r>
    </w:p>
    <w:p>
      <w:pPr>
        <w:pStyle w:val="8"/>
        <w:spacing w:line="360" w:lineRule="auto"/>
        <w:ind w:firstLine="0" w:firstLineChars="0"/>
        <w:outlineLvl w:val="2"/>
        <w:rPr>
          <w:rFonts w:hint="eastAsia" w:ascii="宋体" w:hAnsi="宋体"/>
          <w:b/>
          <w:snapToGrid w:val="0"/>
          <w:kern w:val="0"/>
          <w:sz w:val="28"/>
          <w:szCs w:val="28"/>
          <w:lang w:val="en-US" w:eastAsia="zh-CN"/>
        </w:rPr>
      </w:pPr>
      <w:bookmarkStart w:id="195" w:name="_Toc7456"/>
      <w:r>
        <w:rPr>
          <w:rFonts w:hint="eastAsia" w:ascii="宋体" w:hAnsi="宋体"/>
          <w:b/>
          <w:snapToGrid w:val="0"/>
          <w:kern w:val="0"/>
          <w:sz w:val="28"/>
          <w:szCs w:val="28"/>
          <w:lang w:val="en-US" w:eastAsia="zh-CN"/>
        </w:rPr>
        <w:t>3.5.8中毒窒息</w:t>
      </w:r>
      <w:bookmarkEnd w:id="195"/>
    </w:p>
    <w:p>
      <w:pPr>
        <w:spacing w:line="360" w:lineRule="auto"/>
        <w:ind w:firstLine="560" w:firstLineChars="200"/>
        <w:rPr>
          <w:rFonts w:hint="eastAsia" w:ascii="宋体" w:hAnsi="宋体"/>
          <w:snapToGrid w:val="0"/>
          <w:kern w:val="0"/>
          <w:sz w:val="28"/>
          <w:szCs w:val="28"/>
        </w:rPr>
      </w:pPr>
      <w:r>
        <w:rPr>
          <w:rFonts w:hint="eastAsia" w:ascii="宋体" w:hAnsi="宋体"/>
          <w:snapToGrid w:val="0"/>
          <w:kern w:val="0"/>
          <w:sz w:val="28"/>
          <w:szCs w:val="28"/>
          <w:lang w:val="en-US" w:eastAsia="zh-CN"/>
        </w:rPr>
        <w:t>中毒窒息</w:t>
      </w:r>
      <w:r>
        <w:rPr>
          <w:rFonts w:hint="eastAsia" w:ascii="宋体" w:hAnsi="宋体"/>
          <w:snapToGrid w:val="0"/>
          <w:kern w:val="0"/>
          <w:sz w:val="28"/>
          <w:szCs w:val="28"/>
        </w:rPr>
        <w:t>产生的主要原因：①出窑作业未按规定通风；②烧窑过程燃烧不充分产生有毒气体; ③人员违反规定进入受限空间作业;④窑台边缘安全防护措施未落实,未设警示标识,人员误操作或能见度低引发高空坠落事故。</w:t>
      </w:r>
    </w:p>
    <w:p>
      <w:pPr>
        <w:spacing w:line="360" w:lineRule="auto"/>
        <w:ind w:firstLine="560" w:firstLineChars="200"/>
        <w:rPr>
          <w:rFonts w:hint="eastAsia" w:ascii="宋体" w:hAnsi="宋体"/>
          <w:snapToGrid w:val="0"/>
          <w:kern w:val="0"/>
          <w:sz w:val="28"/>
          <w:szCs w:val="28"/>
        </w:rPr>
      </w:pPr>
      <w:r>
        <w:rPr>
          <w:rFonts w:hint="eastAsia" w:ascii="宋体" w:hAnsi="宋体"/>
          <w:snapToGrid w:val="0"/>
          <w:kern w:val="0"/>
          <w:sz w:val="28"/>
          <w:szCs w:val="28"/>
        </w:rPr>
        <w:t>可能存在的</w:t>
      </w:r>
      <w:r>
        <w:rPr>
          <w:rFonts w:hint="eastAsia" w:ascii="宋体" w:hAnsi="宋体"/>
          <w:snapToGrid w:val="0"/>
          <w:kern w:val="0"/>
          <w:sz w:val="28"/>
          <w:szCs w:val="28"/>
          <w:lang w:val="en-US" w:eastAsia="zh-CN"/>
        </w:rPr>
        <w:t>中毒窒息</w:t>
      </w:r>
      <w:r>
        <w:rPr>
          <w:rFonts w:hint="eastAsia" w:ascii="宋体" w:hAnsi="宋体"/>
          <w:snapToGrid w:val="0"/>
          <w:kern w:val="0"/>
          <w:sz w:val="28"/>
          <w:szCs w:val="28"/>
        </w:rPr>
        <w:t>场所有:砖窑</w:t>
      </w:r>
    </w:p>
    <w:p>
      <w:pPr>
        <w:spacing w:line="360" w:lineRule="auto"/>
        <w:ind w:firstLine="560" w:firstLineChars="200"/>
        <w:rPr>
          <w:rFonts w:hint="eastAsia" w:ascii="宋体" w:hAnsi="宋体"/>
          <w:snapToGrid w:val="0"/>
          <w:kern w:val="0"/>
          <w:sz w:val="28"/>
          <w:szCs w:val="28"/>
        </w:rPr>
      </w:pPr>
      <w:r>
        <w:rPr>
          <w:rFonts w:hint="eastAsia" w:ascii="宋体" w:hAnsi="宋体"/>
          <w:snapToGrid w:val="0"/>
          <w:kern w:val="0"/>
          <w:sz w:val="28"/>
          <w:szCs w:val="28"/>
          <w:lang w:val="en-US" w:eastAsia="zh-CN"/>
        </w:rPr>
        <w:t>中毒窒息</w:t>
      </w:r>
      <w:r>
        <w:rPr>
          <w:rFonts w:hint="eastAsia" w:ascii="宋体" w:hAnsi="宋体"/>
          <w:snapToGrid w:val="0"/>
          <w:kern w:val="0"/>
          <w:sz w:val="28"/>
          <w:szCs w:val="28"/>
        </w:rPr>
        <w:t>的主要后果是中毒窒息、高处坠落造成人员死亡、人身伤害、经济损失等。事故多发生生产旺季。</w:t>
      </w:r>
    </w:p>
    <w:p>
      <w:pPr>
        <w:pStyle w:val="8"/>
        <w:spacing w:line="360" w:lineRule="auto"/>
        <w:ind w:firstLine="0" w:firstLineChars="0"/>
        <w:outlineLvl w:val="2"/>
        <w:rPr>
          <w:rFonts w:hint="eastAsia" w:ascii="宋体" w:hAnsi="宋体"/>
          <w:b/>
          <w:snapToGrid w:val="0"/>
          <w:color w:val="FF0000"/>
          <w:kern w:val="0"/>
          <w:sz w:val="28"/>
          <w:szCs w:val="28"/>
          <w:lang w:val="en-US" w:eastAsia="zh-CN"/>
        </w:rPr>
      </w:pPr>
      <w:bookmarkStart w:id="196" w:name="_Toc332350852"/>
      <w:bookmarkStart w:id="197" w:name="_Toc481870967"/>
      <w:bookmarkStart w:id="198" w:name="_Toc499478606"/>
      <w:bookmarkStart w:id="199" w:name="_Toc515659445"/>
      <w:bookmarkStart w:id="200" w:name="_Toc511994834"/>
      <w:bookmarkStart w:id="201" w:name="_Toc22667"/>
      <w:r>
        <w:rPr>
          <w:rFonts w:hint="eastAsia" w:ascii="宋体" w:hAnsi="宋体"/>
          <w:b/>
          <w:snapToGrid w:val="0"/>
          <w:color w:val="FF0000"/>
          <w:kern w:val="0"/>
          <w:sz w:val="28"/>
          <w:szCs w:val="28"/>
          <w:lang w:val="en-US" w:eastAsia="zh-CN"/>
        </w:rPr>
        <w:t>3.5.9高温</w:t>
      </w:r>
      <w:bookmarkEnd w:id="196"/>
      <w:bookmarkEnd w:id="197"/>
      <w:r>
        <w:rPr>
          <w:rFonts w:hint="eastAsia" w:ascii="宋体" w:hAnsi="宋体"/>
          <w:b/>
          <w:snapToGrid w:val="0"/>
          <w:color w:val="FF0000"/>
          <w:kern w:val="0"/>
          <w:sz w:val="28"/>
          <w:szCs w:val="28"/>
          <w:lang w:val="en-US" w:eastAsia="zh-CN"/>
        </w:rPr>
        <w:t>灼烫</w:t>
      </w:r>
      <w:bookmarkEnd w:id="198"/>
      <w:bookmarkEnd w:id="199"/>
      <w:bookmarkEnd w:id="200"/>
      <w:bookmarkEnd w:id="201"/>
    </w:p>
    <w:p>
      <w:pPr>
        <w:spacing w:line="360" w:lineRule="auto"/>
        <w:ind w:firstLine="560" w:firstLineChars="200"/>
        <w:rPr>
          <w:rFonts w:hint="eastAsia" w:ascii="宋体" w:hAnsi="宋体"/>
          <w:snapToGrid w:val="0"/>
          <w:color w:val="FF0000"/>
          <w:kern w:val="0"/>
          <w:sz w:val="28"/>
          <w:szCs w:val="28"/>
          <w:lang w:eastAsia="zh-CN"/>
        </w:rPr>
      </w:pPr>
      <w:r>
        <w:rPr>
          <w:rFonts w:hint="eastAsia" w:ascii="宋体" w:hAnsi="宋体"/>
          <w:snapToGrid w:val="0"/>
          <w:color w:val="FF0000"/>
          <w:kern w:val="0"/>
          <w:sz w:val="28"/>
          <w:szCs w:val="28"/>
          <w:lang w:eastAsia="zh-CN"/>
        </w:rPr>
        <w:t>在生产工艺中存在烘干窑、隧道窑及高温产品等高温作业环境，作业人员在工作过程中由于劳保用品穿戴不好，违章操作、设备设施故障泄漏或保温失效、检修过程中防护不当以及其它突发事故等原因，均可导致作业人员发生高温烫伤伤害。在烧结时，窑体加煤烧制、成品砖出窑过程中，温度较高，如窑体保温密封不良会产生较强的热辐射，作业人员长期在此环境中易受到高温中暑危害。</w:t>
      </w:r>
    </w:p>
    <w:p>
      <w:pPr>
        <w:pStyle w:val="8"/>
        <w:spacing w:line="360" w:lineRule="auto"/>
        <w:ind w:firstLine="0" w:firstLineChars="0"/>
        <w:outlineLvl w:val="2"/>
        <w:rPr>
          <w:rFonts w:hint="eastAsia" w:ascii="宋体" w:hAnsi="宋体"/>
          <w:b/>
          <w:snapToGrid w:val="0"/>
          <w:color w:val="FF0000"/>
          <w:kern w:val="0"/>
          <w:sz w:val="28"/>
          <w:szCs w:val="28"/>
          <w:lang w:val="en-US" w:eastAsia="zh-CN"/>
        </w:rPr>
      </w:pPr>
      <w:bookmarkStart w:id="202" w:name="_Toc511994833"/>
      <w:bookmarkStart w:id="203" w:name="_Toc468870614"/>
      <w:bookmarkStart w:id="204" w:name="_Toc515659444"/>
      <w:bookmarkStart w:id="205" w:name="_Toc6288"/>
      <w:r>
        <w:rPr>
          <w:rFonts w:hint="eastAsia" w:ascii="宋体" w:hAnsi="宋体"/>
          <w:b/>
          <w:snapToGrid w:val="0"/>
          <w:color w:val="FF0000"/>
          <w:kern w:val="0"/>
          <w:sz w:val="28"/>
          <w:szCs w:val="28"/>
          <w:lang w:val="en-US" w:eastAsia="zh-CN"/>
        </w:rPr>
        <w:t>3.5.10容器爆炸</w:t>
      </w:r>
      <w:bookmarkEnd w:id="202"/>
      <w:bookmarkEnd w:id="203"/>
      <w:bookmarkEnd w:id="204"/>
      <w:bookmarkEnd w:id="205"/>
    </w:p>
    <w:p>
      <w:pPr>
        <w:spacing w:line="360" w:lineRule="auto"/>
        <w:ind w:firstLine="560" w:firstLineChars="200"/>
        <w:rPr>
          <w:rFonts w:hint="eastAsia" w:ascii="宋体" w:hAnsi="宋体"/>
          <w:snapToGrid w:val="0"/>
          <w:color w:val="FF0000"/>
          <w:kern w:val="0"/>
          <w:sz w:val="28"/>
          <w:szCs w:val="28"/>
          <w:lang w:eastAsia="zh-CN"/>
        </w:rPr>
      </w:pPr>
      <w:r>
        <w:rPr>
          <w:rFonts w:hint="eastAsia" w:ascii="宋体" w:hAnsi="宋体"/>
          <w:snapToGrid w:val="0"/>
          <w:color w:val="FF0000"/>
          <w:kern w:val="0"/>
          <w:sz w:val="28"/>
          <w:szCs w:val="28"/>
          <w:lang w:eastAsia="zh-CN"/>
        </w:rPr>
        <w:t>公司使用的空压设备配套有压缩空气罐，压缩空气罐属于普通的一类压力容器，压力容器在使用过程中存在压力容器爆炸危险，发生容器爆炸事故的主要原因有：</w:t>
      </w:r>
    </w:p>
    <w:p>
      <w:pPr>
        <w:spacing w:line="360" w:lineRule="auto"/>
        <w:ind w:firstLine="560" w:firstLineChars="200"/>
        <w:rPr>
          <w:rFonts w:hint="eastAsia" w:ascii="宋体" w:hAnsi="宋体"/>
          <w:snapToGrid w:val="0"/>
          <w:kern w:val="0"/>
          <w:sz w:val="28"/>
          <w:szCs w:val="28"/>
          <w:lang w:eastAsia="zh-CN"/>
        </w:rPr>
      </w:pPr>
      <w:r>
        <w:rPr>
          <w:rFonts w:hint="eastAsia" w:ascii="宋体" w:hAnsi="宋体"/>
          <w:snapToGrid w:val="0"/>
          <w:kern w:val="0"/>
          <w:sz w:val="28"/>
          <w:szCs w:val="28"/>
          <w:lang w:eastAsia="zh-CN"/>
        </w:rPr>
        <w:t>(1) 由于设计制造不当造成设备的质量不符合有关规范要求，在运行时发生爆裂，其爆裂的形式有：</w:t>
      </w:r>
      <w:r>
        <w:rPr>
          <w:rFonts w:hint="eastAsia" w:ascii="宋体" w:hAnsi="宋体"/>
          <w:snapToGrid w:val="0"/>
          <w:kern w:val="0"/>
          <w:sz w:val="28"/>
          <w:szCs w:val="28"/>
          <w:lang w:eastAsia="zh-CN"/>
        </w:rPr>
        <w:fldChar w:fldCharType="begin"/>
      </w:r>
      <w:r>
        <w:rPr>
          <w:rFonts w:hint="eastAsia" w:ascii="宋体" w:hAnsi="宋体"/>
          <w:snapToGrid w:val="0"/>
          <w:kern w:val="0"/>
          <w:sz w:val="28"/>
          <w:szCs w:val="28"/>
          <w:lang w:eastAsia="zh-CN"/>
        </w:rPr>
        <w:instrText xml:space="preserve"> = 1 \* GB3 </w:instrText>
      </w:r>
      <w:r>
        <w:rPr>
          <w:rFonts w:hint="eastAsia" w:ascii="宋体" w:hAnsi="宋体"/>
          <w:snapToGrid w:val="0"/>
          <w:kern w:val="0"/>
          <w:sz w:val="28"/>
          <w:szCs w:val="28"/>
          <w:lang w:eastAsia="zh-CN"/>
        </w:rPr>
        <w:fldChar w:fldCharType="separate"/>
      </w:r>
      <w:r>
        <w:rPr>
          <w:rFonts w:hint="eastAsia" w:ascii="宋体" w:hAnsi="宋体"/>
          <w:snapToGrid w:val="0"/>
          <w:kern w:val="0"/>
          <w:sz w:val="28"/>
          <w:szCs w:val="28"/>
          <w:lang w:eastAsia="zh-CN"/>
        </w:rPr>
        <w:t>①</w:t>
      </w:r>
      <w:r>
        <w:rPr>
          <w:rFonts w:hint="eastAsia" w:ascii="宋体" w:hAnsi="宋体"/>
          <w:snapToGrid w:val="0"/>
          <w:kern w:val="0"/>
          <w:sz w:val="28"/>
          <w:szCs w:val="28"/>
          <w:lang w:eastAsia="zh-CN"/>
        </w:rPr>
        <w:fldChar w:fldCharType="end"/>
      </w:r>
      <w:r>
        <w:rPr>
          <w:rFonts w:hint="eastAsia" w:ascii="宋体" w:hAnsi="宋体"/>
          <w:snapToGrid w:val="0"/>
          <w:kern w:val="0"/>
          <w:sz w:val="28"/>
          <w:szCs w:val="28"/>
          <w:lang w:eastAsia="zh-CN"/>
        </w:rPr>
        <w:t>韧性爆裂：是压力容器在内部压力下，器壁上产生的应力达到材料强度的极限而断裂的一种破坏形式。引起韧性爆裂的原因大多是：磨损、腐蚀、壁厚减薄、强度不足仍继续运行所致。</w:t>
      </w:r>
      <w:r>
        <w:rPr>
          <w:rFonts w:hint="eastAsia" w:ascii="宋体" w:hAnsi="宋体"/>
          <w:snapToGrid w:val="0"/>
          <w:kern w:val="0"/>
          <w:sz w:val="28"/>
          <w:szCs w:val="28"/>
          <w:lang w:eastAsia="zh-CN"/>
        </w:rPr>
        <w:fldChar w:fldCharType="begin"/>
      </w:r>
      <w:r>
        <w:rPr>
          <w:rFonts w:hint="eastAsia" w:ascii="宋体" w:hAnsi="宋体"/>
          <w:snapToGrid w:val="0"/>
          <w:kern w:val="0"/>
          <w:sz w:val="28"/>
          <w:szCs w:val="28"/>
          <w:lang w:eastAsia="zh-CN"/>
        </w:rPr>
        <w:instrText xml:space="preserve"> = 2 \* GB3 </w:instrText>
      </w:r>
      <w:r>
        <w:rPr>
          <w:rFonts w:hint="eastAsia" w:ascii="宋体" w:hAnsi="宋体"/>
          <w:snapToGrid w:val="0"/>
          <w:kern w:val="0"/>
          <w:sz w:val="28"/>
          <w:szCs w:val="28"/>
          <w:lang w:eastAsia="zh-CN"/>
        </w:rPr>
        <w:fldChar w:fldCharType="separate"/>
      </w:r>
      <w:r>
        <w:rPr>
          <w:rFonts w:hint="eastAsia" w:ascii="宋体" w:hAnsi="宋体"/>
          <w:snapToGrid w:val="0"/>
          <w:kern w:val="0"/>
          <w:sz w:val="28"/>
          <w:szCs w:val="28"/>
          <w:lang w:eastAsia="zh-CN"/>
        </w:rPr>
        <w:t>②</w:t>
      </w:r>
      <w:r>
        <w:rPr>
          <w:rFonts w:hint="eastAsia" w:ascii="宋体" w:hAnsi="宋体"/>
          <w:snapToGrid w:val="0"/>
          <w:kern w:val="0"/>
          <w:sz w:val="28"/>
          <w:szCs w:val="28"/>
          <w:lang w:eastAsia="zh-CN"/>
        </w:rPr>
        <w:fldChar w:fldCharType="end"/>
      </w:r>
      <w:r>
        <w:rPr>
          <w:rFonts w:hint="eastAsia" w:ascii="宋体" w:hAnsi="宋体"/>
          <w:snapToGrid w:val="0"/>
          <w:kern w:val="0"/>
          <w:sz w:val="28"/>
          <w:szCs w:val="28"/>
          <w:lang w:eastAsia="zh-CN"/>
        </w:rPr>
        <w:t>脆性爆裂：是容器承受的压力并不高，负荷产生的应力远小于材料屈服极限及明显的变形而突然发生爆裂，其原因是由于温度、应力集中、冲击荷载作用等因素使材料的塑性和韧性下降、材料变脆不能抑制裂纹的结果。</w:t>
      </w:r>
      <w:r>
        <w:rPr>
          <w:rFonts w:hint="eastAsia" w:ascii="宋体" w:hAnsi="宋体"/>
          <w:snapToGrid w:val="0"/>
          <w:kern w:val="0"/>
          <w:sz w:val="28"/>
          <w:szCs w:val="28"/>
          <w:lang w:eastAsia="zh-CN"/>
        </w:rPr>
        <w:fldChar w:fldCharType="begin"/>
      </w:r>
      <w:r>
        <w:rPr>
          <w:rFonts w:hint="eastAsia" w:ascii="宋体" w:hAnsi="宋体"/>
          <w:snapToGrid w:val="0"/>
          <w:kern w:val="0"/>
          <w:sz w:val="28"/>
          <w:szCs w:val="28"/>
          <w:lang w:eastAsia="zh-CN"/>
        </w:rPr>
        <w:instrText xml:space="preserve"> = 3 \* GB3 </w:instrText>
      </w:r>
      <w:r>
        <w:rPr>
          <w:rFonts w:hint="eastAsia" w:ascii="宋体" w:hAnsi="宋体"/>
          <w:snapToGrid w:val="0"/>
          <w:kern w:val="0"/>
          <w:sz w:val="28"/>
          <w:szCs w:val="28"/>
          <w:lang w:eastAsia="zh-CN"/>
        </w:rPr>
        <w:fldChar w:fldCharType="separate"/>
      </w:r>
      <w:r>
        <w:rPr>
          <w:rFonts w:hint="eastAsia" w:ascii="宋体" w:hAnsi="宋体"/>
          <w:snapToGrid w:val="0"/>
          <w:kern w:val="0"/>
          <w:sz w:val="28"/>
          <w:szCs w:val="28"/>
          <w:lang w:eastAsia="zh-CN"/>
        </w:rPr>
        <w:t>③</w:t>
      </w:r>
      <w:r>
        <w:rPr>
          <w:rFonts w:hint="eastAsia" w:ascii="宋体" w:hAnsi="宋体"/>
          <w:snapToGrid w:val="0"/>
          <w:kern w:val="0"/>
          <w:sz w:val="28"/>
          <w:szCs w:val="28"/>
          <w:lang w:eastAsia="zh-CN"/>
        </w:rPr>
        <w:fldChar w:fldCharType="end"/>
      </w:r>
      <w:r>
        <w:rPr>
          <w:rFonts w:hint="eastAsia" w:ascii="宋体" w:hAnsi="宋体"/>
          <w:snapToGrid w:val="0"/>
          <w:kern w:val="0"/>
          <w:sz w:val="28"/>
          <w:szCs w:val="28"/>
          <w:lang w:eastAsia="zh-CN"/>
        </w:rPr>
        <w:t>疲劳爆裂：是容器在反复的加压、卸压后，壳体材料长期受到交变载荷的作用，如反复的加压和卸压，开停车或负荷波动幅度大如吸附和再生作业时，导致操作压力波动幅度较大及工作温度周期性的变化的作用而出现的金属疲劳，从而产生的一种爆裂形式。</w:t>
      </w:r>
      <w:r>
        <w:rPr>
          <w:rFonts w:hint="eastAsia" w:ascii="宋体" w:hAnsi="宋体"/>
          <w:snapToGrid w:val="0"/>
          <w:kern w:val="0"/>
          <w:sz w:val="28"/>
          <w:szCs w:val="28"/>
          <w:lang w:eastAsia="zh-CN"/>
        </w:rPr>
        <w:fldChar w:fldCharType="begin"/>
      </w:r>
      <w:r>
        <w:rPr>
          <w:rFonts w:hint="eastAsia" w:ascii="宋体" w:hAnsi="宋体"/>
          <w:snapToGrid w:val="0"/>
          <w:kern w:val="0"/>
          <w:sz w:val="28"/>
          <w:szCs w:val="28"/>
          <w:lang w:eastAsia="zh-CN"/>
        </w:rPr>
        <w:instrText xml:space="preserve"> = 4 \* GB3 </w:instrText>
      </w:r>
      <w:r>
        <w:rPr>
          <w:rFonts w:hint="eastAsia" w:ascii="宋体" w:hAnsi="宋体"/>
          <w:snapToGrid w:val="0"/>
          <w:kern w:val="0"/>
          <w:sz w:val="28"/>
          <w:szCs w:val="28"/>
          <w:lang w:eastAsia="zh-CN"/>
        </w:rPr>
        <w:fldChar w:fldCharType="separate"/>
      </w:r>
      <w:r>
        <w:rPr>
          <w:rFonts w:hint="eastAsia" w:ascii="宋体" w:hAnsi="宋体"/>
          <w:snapToGrid w:val="0"/>
          <w:kern w:val="0"/>
          <w:sz w:val="28"/>
          <w:szCs w:val="28"/>
          <w:lang w:eastAsia="zh-CN"/>
        </w:rPr>
        <w:t>④</w:t>
      </w:r>
      <w:r>
        <w:rPr>
          <w:rFonts w:hint="eastAsia" w:ascii="宋体" w:hAnsi="宋体"/>
          <w:snapToGrid w:val="0"/>
          <w:kern w:val="0"/>
          <w:sz w:val="28"/>
          <w:szCs w:val="28"/>
          <w:lang w:eastAsia="zh-CN"/>
        </w:rPr>
        <w:fldChar w:fldCharType="end"/>
      </w:r>
      <w:r>
        <w:rPr>
          <w:rFonts w:hint="eastAsia" w:ascii="宋体" w:hAnsi="宋体"/>
          <w:snapToGrid w:val="0"/>
          <w:kern w:val="0"/>
          <w:sz w:val="28"/>
          <w:szCs w:val="28"/>
          <w:lang w:eastAsia="zh-CN"/>
        </w:rPr>
        <w:t>腐蚀爆裂：是容器壳体由于受到腐蚀介质作用而产生的均匀腐蚀、点腐蚀、晶间腐蚀、应力腐蚀、疲劳腐蚀而引起的爆裂。</w:t>
      </w:r>
    </w:p>
    <w:p>
      <w:pPr>
        <w:spacing w:line="360" w:lineRule="auto"/>
        <w:ind w:firstLine="560" w:firstLineChars="200"/>
        <w:rPr>
          <w:rFonts w:hint="eastAsia" w:ascii="宋体" w:hAnsi="宋体"/>
          <w:snapToGrid w:val="0"/>
          <w:kern w:val="0"/>
          <w:sz w:val="28"/>
          <w:szCs w:val="28"/>
          <w:lang w:eastAsia="zh-CN"/>
        </w:rPr>
      </w:pPr>
      <w:r>
        <w:rPr>
          <w:rFonts w:hint="eastAsia" w:ascii="宋体" w:hAnsi="宋体"/>
          <w:snapToGrid w:val="0"/>
          <w:kern w:val="0"/>
          <w:sz w:val="28"/>
          <w:szCs w:val="28"/>
          <w:lang w:eastAsia="zh-CN"/>
        </w:rPr>
        <w:t xml:space="preserve">(2) 在使用过程中，若违反操作规程或因年久腐蚀严重又未按国家规定进行检测，在超压运行状态下，而安全阀又未动作时，罐体承受不住内部气压或液压时，将发生爆裂或爆炸。 </w:t>
      </w:r>
    </w:p>
    <w:p>
      <w:pPr>
        <w:spacing w:line="360" w:lineRule="auto"/>
        <w:ind w:firstLine="560" w:firstLineChars="200"/>
        <w:rPr>
          <w:rFonts w:hint="eastAsia" w:ascii="宋体" w:hAnsi="宋体"/>
          <w:snapToGrid w:val="0"/>
          <w:kern w:val="0"/>
          <w:sz w:val="28"/>
          <w:szCs w:val="28"/>
          <w:lang w:eastAsia="zh-CN"/>
        </w:rPr>
      </w:pPr>
      <w:r>
        <w:rPr>
          <w:rFonts w:hint="eastAsia" w:ascii="宋体" w:hAnsi="宋体"/>
          <w:snapToGrid w:val="0"/>
          <w:kern w:val="0"/>
          <w:sz w:val="28"/>
          <w:szCs w:val="28"/>
          <w:lang w:eastAsia="zh-CN"/>
        </w:rPr>
        <w:t>(3) 由于压力容器的安全阀、压力表等未定期检验或损坏失灵，致不能正确显示和及时泄放，容器超压也可能引起爆炸。</w:t>
      </w:r>
    </w:p>
    <w:p>
      <w:pPr>
        <w:pStyle w:val="8"/>
        <w:spacing w:line="360" w:lineRule="auto"/>
        <w:ind w:firstLine="0" w:firstLineChars="0"/>
        <w:outlineLvl w:val="2"/>
        <w:rPr>
          <w:rFonts w:hint="eastAsia" w:ascii="宋体" w:hAnsi="宋体"/>
          <w:b/>
          <w:snapToGrid w:val="0"/>
          <w:kern w:val="0"/>
          <w:sz w:val="28"/>
          <w:szCs w:val="28"/>
          <w:lang w:val="en-US" w:eastAsia="zh-CN"/>
        </w:rPr>
      </w:pPr>
      <w:bookmarkStart w:id="206" w:name="_Toc511994836"/>
      <w:bookmarkStart w:id="207" w:name="_Toc515657141"/>
      <w:bookmarkStart w:id="208" w:name="_Toc515659448"/>
      <w:bookmarkStart w:id="209" w:name="_Toc24611"/>
      <w:r>
        <w:rPr>
          <w:rFonts w:hint="eastAsia" w:ascii="宋体" w:hAnsi="宋体"/>
          <w:b/>
          <w:snapToGrid w:val="0"/>
          <w:kern w:val="0"/>
          <w:sz w:val="28"/>
          <w:szCs w:val="28"/>
          <w:lang w:val="en-US" w:eastAsia="zh-CN"/>
        </w:rPr>
        <w:t>3.5.11有限空间作业</w:t>
      </w:r>
      <w:bookmarkEnd w:id="206"/>
      <w:bookmarkEnd w:id="207"/>
      <w:bookmarkEnd w:id="208"/>
      <w:bookmarkEnd w:id="209"/>
    </w:p>
    <w:p>
      <w:pPr>
        <w:spacing w:line="360" w:lineRule="auto"/>
        <w:ind w:firstLine="560" w:firstLineChars="200"/>
        <w:rPr>
          <w:rFonts w:hint="eastAsia" w:ascii="宋体" w:hAnsi="宋体"/>
          <w:snapToGrid w:val="0"/>
          <w:color w:val="FF0000"/>
          <w:kern w:val="0"/>
          <w:sz w:val="28"/>
          <w:szCs w:val="28"/>
          <w:lang w:eastAsia="zh-CN"/>
        </w:rPr>
      </w:pPr>
      <w:r>
        <w:rPr>
          <w:rFonts w:hint="eastAsia" w:ascii="宋体" w:hAnsi="宋体"/>
          <w:snapToGrid w:val="0"/>
          <w:color w:val="FF0000"/>
          <w:kern w:val="0"/>
          <w:sz w:val="28"/>
          <w:szCs w:val="28"/>
          <w:lang w:eastAsia="zh-CN"/>
        </w:rPr>
        <w:t>本项目的各类储罐容器、脱硫塔、窑炉炉膛、砖坯烘干室、设备地下坑道、烟道等设施、设备和场所，在日常维护和检测时会进行有限空间作业。</w:t>
      </w:r>
    </w:p>
    <w:p>
      <w:pPr>
        <w:spacing w:line="360" w:lineRule="auto"/>
        <w:ind w:firstLine="560" w:firstLineChars="200"/>
        <w:rPr>
          <w:rFonts w:hint="eastAsia" w:ascii="宋体" w:hAnsi="宋体"/>
          <w:snapToGrid w:val="0"/>
          <w:color w:val="FF0000"/>
          <w:kern w:val="0"/>
          <w:sz w:val="28"/>
          <w:szCs w:val="28"/>
          <w:lang w:eastAsia="zh-CN"/>
        </w:rPr>
      </w:pPr>
      <w:r>
        <w:rPr>
          <w:rFonts w:hint="eastAsia" w:ascii="宋体" w:hAnsi="宋体"/>
          <w:snapToGrid w:val="0"/>
          <w:color w:val="FF0000"/>
          <w:kern w:val="0"/>
          <w:sz w:val="28"/>
          <w:szCs w:val="28"/>
          <w:lang w:eastAsia="zh-CN"/>
        </w:rPr>
        <w:t>有限空间内作业，如管理稍有不慎，极易导致火灾、爆炸、中毒、窒息等人身伤害事故，给作业人员的安全带来严重安全隐患。研究表明很多致命的有限空间事故的发生都与所在空间内存在的种危险因素未得到重视有关，而这些危险因素既可能在员工进入有限空间之前就已存在，也可能是由于他们在其间的活动形成。因此，有限空间是一种作业风险比较高，应当引起人们高度重视的作业环境。</w:t>
      </w:r>
    </w:p>
    <w:p>
      <w:pPr>
        <w:pStyle w:val="8"/>
        <w:spacing w:line="360" w:lineRule="auto"/>
        <w:ind w:firstLine="0" w:firstLineChars="0"/>
        <w:outlineLvl w:val="2"/>
        <w:rPr>
          <w:rFonts w:hint="eastAsia" w:ascii="宋体" w:hAnsi="宋体"/>
          <w:b/>
          <w:snapToGrid w:val="0"/>
          <w:kern w:val="0"/>
          <w:sz w:val="28"/>
          <w:szCs w:val="28"/>
        </w:rPr>
      </w:pPr>
      <w:bookmarkStart w:id="210" w:name="_Toc480804402"/>
      <w:bookmarkStart w:id="211" w:name="_Toc350781101"/>
      <w:bookmarkStart w:id="212" w:name="_Toc356401499"/>
      <w:bookmarkStart w:id="213" w:name="_Toc5941"/>
      <w:bookmarkStart w:id="214" w:name="_Toc514342854"/>
      <w:r>
        <w:rPr>
          <w:rFonts w:hint="eastAsia" w:ascii="宋体" w:hAnsi="宋体"/>
          <w:b/>
          <w:snapToGrid w:val="0"/>
          <w:kern w:val="0"/>
          <w:sz w:val="28"/>
          <w:szCs w:val="28"/>
          <w:lang w:val="en-US" w:eastAsia="zh-CN"/>
        </w:rPr>
        <w:t>3</w:t>
      </w:r>
      <w:r>
        <w:rPr>
          <w:rFonts w:hint="eastAsia" w:ascii="宋体" w:hAnsi="宋体"/>
          <w:b/>
          <w:snapToGrid w:val="0"/>
          <w:kern w:val="0"/>
          <w:sz w:val="28"/>
          <w:szCs w:val="28"/>
          <w:lang w:eastAsia="zh-CN"/>
        </w:rPr>
        <w:t>.</w:t>
      </w:r>
      <w:r>
        <w:rPr>
          <w:rFonts w:hint="eastAsia" w:ascii="宋体" w:hAnsi="宋体"/>
          <w:b/>
          <w:snapToGrid w:val="0"/>
          <w:kern w:val="0"/>
          <w:sz w:val="28"/>
          <w:szCs w:val="28"/>
        </w:rPr>
        <w:t>5</w:t>
      </w:r>
      <w:r>
        <w:rPr>
          <w:rFonts w:ascii="宋体" w:hAnsi="宋体"/>
          <w:b/>
          <w:snapToGrid w:val="0"/>
          <w:kern w:val="0"/>
          <w:sz w:val="28"/>
          <w:szCs w:val="28"/>
        </w:rPr>
        <w:t>.</w:t>
      </w:r>
      <w:r>
        <w:rPr>
          <w:rFonts w:hint="eastAsia" w:ascii="宋体" w:hAnsi="宋体"/>
          <w:b/>
          <w:snapToGrid w:val="0"/>
          <w:kern w:val="0"/>
          <w:sz w:val="28"/>
          <w:szCs w:val="28"/>
          <w:lang w:val="en-US" w:eastAsia="zh-CN"/>
        </w:rPr>
        <w:t>12</w:t>
      </w:r>
      <w:r>
        <w:rPr>
          <w:rFonts w:ascii="宋体" w:hAnsi="宋体"/>
          <w:b/>
          <w:snapToGrid w:val="0"/>
          <w:kern w:val="0"/>
          <w:sz w:val="28"/>
          <w:szCs w:val="28"/>
        </w:rPr>
        <w:t xml:space="preserve"> </w:t>
      </w:r>
      <w:r>
        <w:rPr>
          <w:rFonts w:hint="eastAsia" w:ascii="宋体" w:hAnsi="宋体"/>
          <w:b/>
          <w:snapToGrid w:val="0"/>
          <w:kern w:val="0"/>
          <w:sz w:val="28"/>
          <w:szCs w:val="28"/>
        </w:rPr>
        <w:t>职业</w:t>
      </w:r>
      <w:r>
        <w:rPr>
          <w:rFonts w:ascii="宋体" w:hAnsi="宋体"/>
          <w:b/>
          <w:snapToGrid w:val="0"/>
          <w:kern w:val="0"/>
          <w:sz w:val="28"/>
          <w:szCs w:val="28"/>
        </w:rPr>
        <w:t>危害</w:t>
      </w:r>
      <w:r>
        <w:rPr>
          <w:rFonts w:hint="eastAsia" w:ascii="宋体" w:hAnsi="宋体"/>
          <w:b/>
          <w:snapToGrid w:val="0"/>
          <w:kern w:val="0"/>
          <w:sz w:val="28"/>
          <w:szCs w:val="28"/>
        </w:rPr>
        <w:t>因素</w:t>
      </w:r>
      <w:bookmarkEnd w:id="210"/>
      <w:bookmarkEnd w:id="211"/>
      <w:bookmarkEnd w:id="212"/>
      <w:bookmarkEnd w:id="213"/>
      <w:bookmarkEnd w:id="214"/>
    </w:p>
    <w:p>
      <w:pPr>
        <w:spacing w:line="360" w:lineRule="auto"/>
        <w:ind w:firstLine="560" w:firstLineChars="200"/>
        <w:rPr>
          <w:rFonts w:hint="eastAsia" w:ascii="宋体" w:hAnsi="宋体" w:eastAsia="宋体" w:cstheme="minorBidi"/>
          <w:snapToGrid w:val="0"/>
          <w:color w:val="auto"/>
          <w:kern w:val="0"/>
          <w:sz w:val="28"/>
          <w:szCs w:val="28"/>
          <w:lang w:val="en-US" w:eastAsia="zh-CN" w:bidi="ar-SA"/>
        </w:rPr>
      </w:pPr>
      <w:r>
        <w:rPr>
          <w:rFonts w:hint="eastAsia" w:ascii="宋体" w:hAnsi="宋体" w:eastAsia="宋体" w:cstheme="minorBidi"/>
          <w:snapToGrid w:val="0"/>
          <w:color w:val="auto"/>
          <w:kern w:val="0"/>
          <w:sz w:val="28"/>
          <w:szCs w:val="28"/>
          <w:lang w:val="en-US" w:eastAsia="zh-CN" w:bidi="ar-SA"/>
        </w:rPr>
        <w:t>3.5.</w:t>
      </w:r>
      <w:r>
        <w:rPr>
          <w:rFonts w:hint="eastAsia" w:ascii="宋体" w:hAnsi="宋体" w:cstheme="minorBidi"/>
          <w:snapToGrid w:val="0"/>
          <w:color w:val="auto"/>
          <w:kern w:val="0"/>
          <w:sz w:val="28"/>
          <w:szCs w:val="28"/>
          <w:lang w:val="en-US" w:eastAsia="zh-CN" w:bidi="ar-SA"/>
        </w:rPr>
        <w:t>12</w:t>
      </w:r>
      <w:r>
        <w:rPr>
          <w:rFonts w:hint="eastAsia" w:ascii="宋体" w:hAnsi="宋体" w:eastAsia="宋体" w:cstheme="minorBidi"/>
          <w:snapToGrid w:val="0"/>
          <w:color w:val="auto"/>
          <w:kern w:val="0"/>
          <w:sz w:val="28"/>
          <w:szCs w:val="28"/>
          <w:lang w:val="en-US" w:eastAsia="zh-CN" w:bidi="ar-SA"/>
        </w:rPr>
        <w:t>.1 粉尘</w:t>
      </w:r>
    </w:p>
    <w:p>
      <w:pPr>
        <w:spacing w:line="360" w:lineRule="auto"/>
        <w:ind w:firstLine="560" w:firstLineChars="200"/>
        <w:rPr>
          <w:rFonts w:hint="eastAsia" w:ascii="宋体" w:hAnsi="宋体"/>
          <w:snapToGrid w:val="0"/>
          <w:color w:val="auto"/>
          <w:kern w:val="0"/>
          <w:sz w:val="28"/>
          <w:szCs w:val="28"/>
          <w:lang w:eastAsia="zh-CN"/>
        </w:rPr>
      </w:pPr>
      <w:r>
        <w:rPr>
          <w:rFonts w:hint="eastAsia" w:ascii="宋体" w:hAnsi="宋体" w:eastAsia="宋体" w:cstheme="minorBidi"/>
          <w:snapToGrid w:val="0"/>
          <w:color w:val="auto"/>
          <w:kern w:val="0"/>
          <w:sz w:val="28"/>
          <w:szCs w:val="28"/>
          <w:lang w:val="en-US" w:eastAsia="zh-CN" w:bidi="ar-SA"/>
        </w:rPr>
        <w:t>窑体在加煤烧制过程中窑顶部、出窑时窑洞中粉尘浓度较大，作</w:t>
      </w:r>
      <w:r>
        <w:rPr>
          <w:rFonts w:hint="eastAsia" w:ascii="宋体" w:hAnsi="宋体"/>
          <w:snapToGrid w:val="0"/>
          <w:color w:val="auto"/>
          <w:kern w:val="0"/>
          <w:sz w:val="28"/>
          <w:szCs w:val="28"/>
          <w:lang w:eastAsia="zh-CN"/>
        </w:rPr>
        <w:t>业人员在此环境中易受到粉尘危害。粉尘危害是砖厂生产作业中最大危害之一。粉尘是在生产过程中产生的细粒状矿物或岩石粉尘。</w:t>
      </w:r>
    </w:p>
    <w:p>
      <w:pPr>
        <w:spacing w:line="360" w:lineRule="auto"/>
        <w:ind w:firstLine="560" w:firstLineChars="200"/>
        <w:rPr>
          <w:rFonts w:hint="eastAsia" w:ascii="宋体" w:hAnsi="宋体" w:eastAsia="宋体" w:cstheme="minorBidi"/>
          <w:snapToGrid w:val="0"/>
          <w:color w:val="auto"/>
          <w:kern w:val="0"/>
          <w:sz w:val="28"/>
          <w:szCs w:val="28"/>
          <w:lang w:val="en-US" w:eastAsia="zh-CN" w:bidi="ar-SA"/>
        </w:rPr>
      </w:pPr>
      <w:r>
        <w:rPr>
          <w:rFonts w:hint="eastAsia" w:ascii="宋体" w:hAnsi="宋体" w:eastAsia="宋体" w:cstheme="minorBidi"/>
          <w:snapToGrid w:val="0"/>
          <w:color w:val="auto"/>
          <w:kern w:val="0"/>
          <w:sz w:val="28"/>
          <w:szCs w:val="28"/>
          <w:lang w:val="en-US" w:eastAsia="zh-CN" w:bidi="ar-SA"/>
        </w:rPr>
        <w:t>产生粉尘的环节主要有原料装卸、破碎等生产过程。在上述生产作业中产生的细粒状矿物或岩石粉尘，直径大于50μm的尘粒，在重力作用下会很快从气流中分离出来，沉落于地面，此类矿尘称为落尘；直径在0.01～50μm范围内的尘粒，能长时间悬浮于空气中，此类矿尘叫做浮尘。浮尘对空气的污染和对人体健康具有重大影响。</w:t>
      </w:r>
    </w:p>
    <w:p>
      <w:pPr>
        <w:spacing w:line="360" w:lineRule="auto"/>
        <w:ind w:firstLine="560" w:firstLineChars="200"/>
        <w:rPr>
          <w:rFonts w:hint="eastAsia" w:ascii="宋体" w:hAnsi="宋体" w:eastAsia="宋体" w:cstheme="minorBidi"/>
          <w:snapToGrid w:val="0"/>
          <w:color w:val="auto"/>
          <w:kern w:val="0"/>
          <w:sz w:val="28"/>
          <w:szCs w:val="28"/>
          <w:lang w:val="en-US" w:eastAsia="zh-CN" w:bidi="ar-SA"/>
        </w:rPr>
      </w:pPr>
      <w:r>
        <w:rPr>
          <w:rFonts w:hint="eastAsia" w:ascii="宋体" w:hAnsi="宋体" w:eastAsia="宋体" w:cstheme="minorBidi"/>
          <w:snapToGrid w:val="0"/>
          <w:color w:val="auto"/>
          <w:kern w:val="0"/>
          <w:sz w:val="28"/>
          <w:szCs w:val="28"/>
          <w:lang w:val="en-US" w:eastAsia="zh-CN" w:bidi="ar-SA"/>
        </w:rPr>
        <w:t>3.5.</w:t>
      </w:r>
      <w:r>
        <w:rPr>
          <w:rFonts w:hint="eastAsia" w:ascii="宋体" w:hAnsi="宋体" w:cstheme="minorBidi"/>
          <w:snapToGrid w:val="0"/>
          <w:color w:val="auto"/>
          <w:kern w:val="0"/>
          <w:sz w:val="28"/>
          <w:szCs w:val="28"/>
          <w:lang w:val="en-US" w:eastAsia="zh-CN" w:bidi="ar-SA"/>
        </w:rPr>
        <w:t>12</w:t>
      </w:r>
      <w:r>
        <w:rPr>
          <w:rFonts w:hint="eastAsia" w:ascii="宋体" w:hAnsi="宋体" w:eastAsia="宋体" w:cstheme="minorBidi"/>
          <w:snapToGrid w:val="0"/>
          <w:color w:val="auto"/>
          <w:kern w:val="0"/>
          <w:sz w:val="28"/>
          <w:szCs w:val="28"/>
          <w:lang w:val="en-US" w:eastAsia="zh-CN" w:bidi="ar-SA"/>
        </w:rPr>
        <w:t>.2 烟气</w:t>
      </w:r>
    </w:p>
    <w:p>
      <w:pPr>
        <w:spacing w:line="360" w:lineRule="auto"/>
        <w:ind w:firstLine="560" w:firstLineChars="200"/>
        <w:rPr>
          <w:rFonts w:hint="eastAsia" w:ascii="宋体" w:hAnsi="宋体" w:eastAsia="宋体" w:cstheme="minorBidi"/>
          <w:snapToGrid w:val="0"/>
          <w:color w:val="auto"/>
          <w:kern w:val="0"/>
          <w:sz w:val="28"/>
          <w:szCs w:val="28"/>
          <w:lang w:val="en-US" w:eastAsia="zh-CN" w:bidi="ar-SA"/>
        </w:rPr>
      </w:pPr>
      <w:r>
        <w:rPr>
          <w:rFonts w:hint="eastAsia" w:ascii="宋体" w:hAnsi="宋体" w:eastAsia="宋体" w:cstheme="minorBidi"/>
          <w:snapToGrid w:val="0"/>
          <w:color w:val="auto"/>
          <w:kern w:val="0"/>
          <w:sz w:val="28"/>
          <w:szCs w:val="28"/>
          <w:lang w:val="en-US" w:eastAsia="zh-CN" w:bidi="ar-SA"/>
        </w:rPr>
        <w:t>烧结自保温砌块的制造生产主要采用内燃烧成工艺，但有时也需要补充少量的外燃，其内燃热值一般为300～500cal/g，因此烟气成分复杂，废气中以无机污染物为主。燃烧过程中可逸出有害气体S02、HF、NOx、CO、HC1等，其主要污染物是S02气体，如不加以治理，将会对工作场所人员健康和环境造成影响。</w:t>
      </w:r>
    </w:p>
    <w:p>
      <w:pPr>
        <w:spacing w:line="360" w:lineRule="auto"/>
        <w:ind w:firstLine="560" w:firstLineChars="200"/>
        <w:rPr>
          <w:rFonts w:hint="eastAsia" w:ascii="宋体" w:hAnsi="宋体" w:eastAsia="宋体" w:cstheme="minorBidi"/>
          <w:snapToGrid w:val="0"/>
          <w:color w:val="auto"/>
          <w:kern w:val="0"/>
          <w:sz w:val="28"/>
          <w:szCs w:val="28"/>
          <w:lang w:val="en-US" w:eastAsia="zh-CN" w:bidi="ar-SA"/>
        </w:rPr>
      </w:pPr>
      <w:r>
        <w:rPr>
          <w:rFonts w:hint="eastAsia" w:ascii="宋体" w:hAnsi="宋体" w:eastAsia="宋体" w:cstheme="minorBidi"/>
          <w:snapToGrid w:val="0"/>
          <w:color w:val="auto"/>
          <w:kern w:val="0"/>
          <w:sz w:val="28"/>
          <w:szCs w:val="28"/>
          <w:lang w:val="en-US" w:eastAsia="zh-CN" w:bidi="ar-SA"/>
        </w:rPr>
        <w:t>3.5.</w:t>
      </w:r>
      <w:r>
        <w:rPr>
          <w:rFonts w:hint="eastAsia" w:ascii="宋体" w:hAnsi="宋体" w:cstheme="minorBidi"/>
          <w:snapToGrid w:val="0"/>
          <w:color w:val="auto"/>
          <w:kern w:val="0"/>
          <w:sz w:val="28"/>
          <w:szCs w:val="28"/>
          <w:lang w:val="en-US" w:eastAsia="zh-CN" w:bidi="ar-SA"/>
        </w:rPr>
        <w:t>12</w:t>
      </w:r>
      <w:r>
        <w:rPr>
          <w:rFonts w:hint="eastAsia" w:ascii="宋体" w:hAnsi="宋体" w:eastAsia="宋体" w:cstheme="minorBidi"/>
          <w:snapToGrid w:val="0"/>
          <w:color w:val="auto"/>
          <w:kern w:val="0"/>
          <w:sz w:val="28"/>
          <w:szCs w:val="28"/>
          <w:lang w:val="en-US" w:eastAsia="zh-CN" w:bidi="ar-SA"/>
        </w:rPr>
        <w:t>.3 噪声、振动</w:t>
      </w:r>
    </w:p>
    <w:p>
      <w:pPr>
        <w:spacing w:line="360" w:lineRule="auto"/>
        <w:ind w:firstLine="560" w:firstLineChars="200"/>
        <w:rPr>
          <w:rFonts w:hint="eastAsia" w:ascii="宋体" w:hAnsi="宋体" w:eastAsia="宋体" w:cstheme="minorBidi"/>
          <w:snapToGrid w:val="0"/>
          <w:color w:val="auto"/>
          <w:kern w:val="0"/>
          <w:sz w:val="28"/>
          <w:szCs w:val="28"/>
          <w:lang w:val="en-US" w:eastAsia="zh-CN" w:bidi="ar-SA"/>
        </w:rPr>
      </w:pPr>
      <w:r>
        <w:rPr>
          <w:rFonts w:hint="eastAsia" w:ascii="宋体" w:hAnsi="宋体" w:eastAsia="宋体" w:cstheme="minorBidi"/>
          <w:snapToGrid w:val="0"/>
          <w:color w:val="auto"/>
          <w:kern w:val="0"/>
          <w:sz w:val="28"/>
          <w:szCs w:val="28"/>
          <w:lang w:val="en-US" w:eastAsia="zh-CN" w:bidi="ar-SA"/>
        </w:rPr>
        <w:t>噪声指声强和频率的变化都无规律、杂乱无章的声音。砖厂噪声具有强度大、声级高、噪声源多、干扰时间长以及连续噪声多等特点。</w:t>
      </w:r>
    </w:p>
    <w:p>
      <w:pPr>
        <w:spacing w:line="360" w:lineRule="auto"/>
        <w:ind w:firstLine="560" w:firstLineChars="200"/>
        <w:rPr>
          <w:rFonts w:hint="eastAsia" w:ascii="宋体" w:hAnsi="宋体" w:eastAsia="宋体" w:cstheme="minorBidi"/>
          <w:snapToGrid w:val="0"/>
          <w:color w:val="auto"/>
          <w:kern w:val="0"/>
          <w:sz w:val="28"/>
          <w:szCs w:val="28"/>
          <w:lang w:val="en-US" w:eastAsia="zh-CN" w:bidi="ar-SA"/>
        </w:rPr>
      </w:pPr>
      <w:r>
        <w:rPr>
          <w:rFonts w:hint="eastAsia" w:ascii="宋体" w:hAnsi="宋体" w:eastAsia="宋体" w:cstheme="minorBidi"/>
          <w:snapToGrid w:val="0"/>
          <w:color w:val="auto"/>
          <w:kern w:val="0"/>
          <w:sz w:val="28"/>
          <w:szCs w:val="28"/>
          <w:lang w:val="en-US" w:eastAsia="zh-CN" w:bidi="ar-SA"/>
        </w:rPr>
        <w:t>噪声与振动主要来源于各种设备在运转过程中由于震动、摩擦、碰撞而产生的机械动力噪声和由风管排气、漏气而产生的气体动力噪声。</w:t>
      </w:r>
    </w:p>
    <w:p>
      <w:pPr>
        <w:spacing w:line="360" w:lineRule="auto"/>
        <w:ind w:firstLine="560" w:firstLineChars="200"/>
        <w:rPr>
          <w:rFonts w:hint="eastAsia" w:ascii="宋体" w:hAnsi="宋体" w:eastAsia="宋体" w:cstheme="minorBidi"/>
          <w:snapToGrid w:val="0"/>
          <w:color w:val="auto"/>
          <w:kern w:val="0"/>
          <w:sz w:val="28"/>
          <w:szCs w:val="28"/>
          <w:lang w:val="en-US" w:eastAsia="zh-CN" w:bidi="ar-SA"/>
        </w:rPr>
      </w:pPr>
      <w:r>
        <w:rPr>
          <w:rFonts w:hint="eastAsia" w:ascii="宋体" w:hAnsi="宋体" w:eastAsia="宋体" w:cstheme="minorBidi"/>
          <w:snapToGrid w:val="0"/>
          <w:color w:val="auto"/>
          <w:kern w:val="0"/>
          <w:sz w:val="28"/>
          <w:szCs w:val="28"/>
          <w:lang w:val="en-US" w:eastAsia="zh-CN" w:bidi="ar-SA"/>
        </w:rPr>
        <w:t>产生噪声与振动的设备和场所：空压机和空压机泵房；制砖工作面；装载、挖掘设备驾驶室。</w:t>
      </w:r>
    </w:p>
    <w:p>
      <w:pPr>
        <w:spacing w:line="360" w:lineRule="auto"/>
        <w:ind w:firstLine="560" w:firstLineChars="200"/>
        <w:rPr>
          <w:rFonts w:hint="eastAsia" w:ascii="宋体" w:hAnsi="宋体" w:eastAsia="宋体" w:cstheme="minorBidi"/>
          <w:snapToGrid w:val="0"/>
          <w:color w:val="auto"/>
          <w:kern w:val="0"/>
          <w:sz w:val="28"/>
          <w:szCs w:val="28"/>
          <w:lang w:val="en-US" w:eastAsia="zh-CN" w:bidi="ar-SA"/>
        </w:rPr>
      </w:pPr>
      <w:r>
        <w:rPr>
          <w:rFonts w:hint="eastAsia" w:ascii="宋体" w:hAnsi="宋体" w:eastAsia="宋体" w:cstheme="minorBidi"/>
          <w:snapToGrid w:val="0"/>
          <w:color w:val="auto"/>
          <w:kern w:val="0"/>
          <w:sz w:val="28"/>
          <w:szCs w:val="28"/>
          <w:lang w:val="en-US" w:eastAsia="zh-CN" w:bidi="ar-SA"/>
        </w:rPr>
        <w:t>噪声可以使人耳聋，还可能引起高血压、心脏病、神经官能症等疾病。噪声还污染环境，影响人们的正常生活和生产活动。</w:t>
      </w:r>
    </w:p>
    <w:p>
      <w:pPr>
        <w:spacing w:line="360" w:lineRule="auto"/>
        <w:ind w:firstLine="560" w:firstLineChars="200"/>
        <w:rPr>
          <w:rFonts w:hint="eastAsia" w:ascii="宋体" w:hAnsi="宋体" w:eastAsia="宋体" w:cstheme="minorBidi"/>
          <w:snapToGrid w:val="0"/>
          <w:color w:val="auto"/>
          <w:kern w:val="0"/>
          <w:sz w:val="28"/>
          <w:szCs w:val="28"/>
          <w:lang w:val="en-US" w:eastAsia="zh-CN" w:bidi="ar-SA"/>
        </w:rPr>
      </w:pPr>
      <w:r>
        <w:rPr>
          <w:rFonts w:hint="eastAsia" w:ascii="宋体" w:hAnsi="宋体" w:eastAsia="宋体" w:cstheme="minorBidi"/>
          <w:snapToGrid w:val="0"/>
          <w:color w:val="auto"/>
          <w:kern w:val="0"/>
          <w:sz w:val="28"/>
          <w:szCs w:val="28"/>
          <w:lang w:val="en-US" w:eastAsia="zh-CN" w:bidi="ar-SA"/>
        </w:rPr>
        <w:t>3.5.</w:t>
      </w:r>
      <w:r>
        <w:rPr>
          <w:rFonts w:hint="eastAsia" w:ascii="宋体" w:hAnsi="宋体" w:cstheme="minorBidi"/>
          <w:snapToGrid w:val="0"/>
          <w:color w:val="auto"/>
          <w:kern w:val="0"/>
          <w:sz w:val="28"/>
          <w:szCs w:val="28"/>
          <w:lang w:val="en-US" w:eastAsia="zh-CN" w:bidi="ar-SA"/>
        </w:rPr>
        <w:t>12</w:t>
      </w:r>
      <w:r>
        <w:rPr>
          <w:rFonts w:hint="eastAsia" w:ascii="宋体" w:hAnsi="宋体" w:eastAsia="宋体" w:cstheme="minorBidi"/>
          <w:snapToGrid w:val="0"/>
          <w:color w:val="auto"/>
          <w:kern w:val="0"/>
          <w:sz w:val="28"/>
          <w:szCs w:val="28"/>
          <w:lang w:val="en-US" w:eastAsia="zh-CN" w:bidi="ar-SA"/>
        </w:rPr>
        <w:t>.4 高温、低温</w:t>
      </w:r>
    </w:p>
    <w:p>
      <w:pPr>
        <w:spacing w:line="360" w:lineRule="auto"/>
        <w:ind w:firstLine="560" w:firstLineChars="200"/>
        <w:rPr>
          <w:rFonts w:hint="eastAsia" w:ascii="宋体" w:hAnsi="宋体" w:eastAsia="宋体" w:cstheme="minorBidi"/>
          <w:snapToGrid w:val="0"/>
          <w:color w:val="auto"/>
          <w:kern w:val="0"/>
          <w:sz w:val="28"/>
          <w:szCs w:val="28"/>
          <w:lang w:val="en-US" w:eastAsia="zh-CN" w:bidi="ar-SA"/>
        </w:rPr>
      </w:pPr>
      <w:r>
        <w:rPr>
          <w:rFonts w:hint="eastAsia" w:ascii="宋体" w:hAnsi="宋体" w:eastAsia="宋体" w:cstheme="minorBidi"/>
          <w:snapToGrid w:val="0"/>
          <w:color w:val="auto"/>
          <w:kern w:val="0"/>
          <w:sz w:val="28"/>
          <w:szCs w:val="28"/>
          <w:lang w:val="en-US" w:eastAsia="zh-CN" w:bidi="ar-SA"/>
        </w:rPr>
        <w:t>高温、高湿环境会增加人员中暑机率，并会加速有毒物质吸收，会导致操作失误率升高，易发生事故，长期在高温、高湿环境下工作，可引发关节炎等疾病；高温、高湿环境会加速材料的腐蚀；过大的湿度会引起电气设备受潮、绝缘下降，引起触电事故；</w:t>
      </w:r>
    </w:p>
    <w:p>
      <w:pPr>
        <w:spacing w:line="360" w:lineRule="auto"/>
        <w:ind w:firstLine="560" w:firstLineChars="200"/>
        <w:rPr>
          <w:rFonts w:hint="eastAsia" w:ascii="宋体" w:hAnsi="宋体" w:eastAsia="宋体" w:cstheme="minorBidi"/>
          <w:snapToGrid w:val="0"/>
          <w:color w:val="auto"/>
          <w:kern w:val="0"/>
          <w:sz w:val="28"/>
          <w:szCs w:val="28"/>
          <w:lang w:val="en-US" w:eastAsia="zh-CN" w:bidi="ar-SA"/>
        </w:rPr>
      </w:pPr>
      <w:r>
        <w:rPr>
          <w:rFonts w:hint="eastAsia" w:ascii="宋体" w:hAnsi="宋体" w:eastAsia="宋体" w:cstheme="minorBidi"/>
          <w:snapToGrid w:val="0"/>
          <w:color w:val="auto"/>
          <w:kern w:val="0"/>
          <w:sz w:val="28"/>
          <w:szCs w:val="28"/>
          <w:lang w:val="en-US" w:eastAsia="zh-CN" w:bidi="ar-SA"/>
        </w:rPr>
        <w:t>在烧结时，窑体加煤烧制、成品砖出窑过程中，温度较高，如窑体保温密封不良会产生较强的热辐射，作业人员在此环境中易受到高温危害。</w:t>
      </w:r>
    </w:p>
    <w:p>
      <w:pPr>
        <w:spacing w:line="360" w:lineRule="auto"/>
        <w:ind w:firstLine="560" w:firstLineChars="200"/>
        <w:rPr>
          <w:rFonts w:hint="eastAsia" w:ascii="宋体" w:hAnsi="宋体" w:eastAsia="宋体" w:cstheme="minorBidi"/>
          <w:snapToGrid w:val="0"/>
          <w:color w:val="auto"/>
          <w:kern w:val="0"/>
          <w:sz w:val="28"/>
          <w:szCs w:val="28"/>
          <w:lang w:val="en-US" w:eastAsia="zh-CN" w:bidi="ar-SA"/>
        </w:rPr>
      </w:pPr>
      <w:r>
        <w:rPr>
          <w:rFonts w:hint="eastAsia" w:ascii="宋体" w:hAnsi="宋体" w:eastAsia="宋体" w:cstheme="minorBidi"/>
          <w:snapToGrid w:val="0"/>
          <w:color w:val="auto"/>
          <w:kern w:val="0"/>
          <w:sz w:val="28"/>
          <w:szCs w:val="28"/>
          <w:lang w:val="en-US" w:eastAsia="zh-CN" w:bidi="ar-SA"/>
        </w:rPr>
        <w:t>在低温环境下，人员操作功能随温度的下降而明显下降，注意力不集中，反应时间延长，作业失误率上升，且可能发生冻伤。</w:t>
      </w:r>
    </w:p>
    <w:p>
      <w:pPr>
        <w:pStyle w:val="8"/>
        <w:spacing w:line="360" w:lineRule="auto"/>
        <w:ind w:firstLine="0" w:firstLineChars="0"/>
        <w:outlineLvl w:val="2"/>
        <w:rPr>
          <w:rFonts w:hint="eastAsia" w:ascii="宋体" w:hAnsi="宋体"/>
          <w:b/>
          <w:snapToGrid w:val="0"/>
          <w:kern w:val="0"/>
          <w:sz w:val="28"/>
          <w:szCs w:val="28"/>
          <w:lang w:val="en-US" w:eastAsia="zh-CN"/>
        </w:rPr>
      </w:pPr>
      <w:bookmarkStart w:id="215" w:name="_Toc413834096"/>
      <w:bookmarkStart w:id="216" w:name="_Toc359225372"/>
      <w:bookmarkStart w:id="217" w:name="_Toc496016659"/>
      <w:bookmarkStart w:id="218" w:name="_Toc6795"/>
      <w:r>
        <w:rPr>
          <w:rFonts w:hint="eastAsia" w:ascii="宋体" w:hAnsi="宋体"/>
          <w:b/>
          <w:snapToGrid w:val="0"/>
          <w:kern w:val="0"/>
          <w:sz w:val="28"/>
          <w:szCs w:val="28"/>
          <w:lang w:val="en-US" w:eastAsia="zh-CN"/>
        </w:rPr>
        <w:t>3.5.13 自然灾害</w:t>
      </w:r>
      <w:bookmarkEnd w:id="215"/>
      <w:bookmarkEnd w:id="216"/>
      <w:bookmarkEnd w:id="217"/>
      <w:bookmarkEnd w:id="218"/>
    </w:p>
    <w:p>
      <w:pPr>
        <w:spacing w:line="360" w:lineRule="auto"/>
        <w:ind w:firstLine="560" w:firstLineChars="200"/>
        <w:rPr>
          <w:rFonts w:hint="eastAsia" w:ascii="宋体" w:hAnsi="宋体" w:cs="宋体"/>
          <w:color w:val="auto"/>
          <w:sz w:val="28"/>
          <w:szCs w:val="28"/>
        </w:rPr>
      </w:pPr>
      <w:r>
        <w:rPr>
          <w:rFonts w:hint="eastAsia" w:ascii="宋体" w:hAnsi="宋体" w:cs="宋体"/>
          <w:color w:val="auto"/>
          <w:sz w:val="28"/>
          <w:szCs w:val="28"/>
          <w:lang w:val="en-US" w:eastAsia="zh-CN"/>
        </w:rPr>
        <w:t>3.5.13</w:t>
      </w:r>
      <w:r>
        <w:rPr>
          <w:rFonts w:hint="eastAsia" w:ascii="宋体" w:hAnsi="宋体" w:cs="宋体"/>
          <w:color w:val="auto"/>
          <w:sz w:val="28"/>
          <w:szCs w:val="28"/>
        </w:rPr>
        <w:t>.1 地震灾害</w:t>
      </w:r>
    </w:p>
    <w:p>
      <w:pPr>
        <w:spacing w:line="360" w:lineRule="auto"/>
        <w:ind w:firstLine="560" w:firstLineChars="200"/>
        <w:rPr>
          <w:rFonts w:hint="eastAsia" w:ascii="宋体" w:hAnsi="宋体" w:cs="宋体"/>
          <w:color w:val="auto"/>
          <w:sz w:val="28"/>
          <w:szCs w:val="28"/>
        </w:rPr>
      </w:pPr>
      <w:r>
        <w:rPr>
          <w:rFonts w:hint="eastAsia" w:ascii="宋体" w:hAnsi="宋体" w:cs="宋体"/>
          <w:color w:val="auto"/>
          <w:sz w:val="28"/>
          <w:szCs w:val="28"/>
        </w:rPr>
        <w:t>地震发生时，可能使建筑物倒塌，建筑设施结构破坏造成人员伤亡，也可能使电气系统短路导致火灾事故发生等。</w:t>
      </w:r>
    </w:p>
    <w:p>
      <w:pPr>
        <w:spacing w:line="360" w:lineRule="auto"/>
        <w:ind w:firstLine="560" w:firstLineChars="200"/>
        <w:rPr>
          <w:rFonts w:hint="eastAsia" w:ascii="宋体" w:hAnsi="宋体" w:cs="宋体"/>
          <w:color w:val="auto"/>
          <w:sz w:val="28"/>
          <w:szCs w:val="28"/>
        </w:rPr>
      </w:pPr>
      <w:r>
        <w:rPr>
          <w:rFonts w:hint="eastAsia" w:ascii="宋体" w:hAnsi="宋体" w:cs="宋体"/>
          <w:color w:val="auto"/>
          <w:sz w:val="28"/>
          <w:szCs w:val="28"/>
          <w:lang w:val="en-US" w:eastAsia="zh-CN"/>
        </w:rPr>
        <w:t>3.5.13</w:t>
      </w:r>
      <w:r>
        <w:rPr>
          <w:rFonts w:hint="eastAsia" w:ascii="宋体" w:hAnsi="宋体" w:cs="宋体"/>
          <w:color w:val="auto"/>
          <w:sz w:val="28"/>
          <w:szCs w:val="28"/>
        </w:rPr>
        <w:t>.2 雷击危害</w:t>
      </w:r>
    </w:p>
    <w:p>
      <w:pPr>
        <w:spacing w:line="360" w:lineRule="auto"/>
        <w:ind w:firstLine="560" w:firstLineChars="200"/>
        <w:rPr>
          <w:rFonts w:hint="eastAsia" w:ascii="宋体" w:hAnsi="宋体" w:cs="宋体"/>
          <w:color w:val="auto"/>
          <w:sz w:val="28"/>
          <w:szCs w:val="28"/>
        </w:rPr>
      </w:pPr>
      <w:r>
        <w:rPr>
          <w:rFonts w:hint="eastAsia" w:ascii="宋体" w:hAnsi="宋体" w:cs="宋体"/>
          <w:color w:val="auto"/>
          <w:sz w:val="28"/>
          <w:szCs w:val="28"/>
        </w:rPr>
        <w:t>雷雨云对地放电形成直击雷。雷击发生时，强大的冲击电压和雷电流会毁坏各种电气设备，强烈的空气扰动会使建筑物和设备损坏，其热效应会引起火灾，还可能击中人员事故伤亡事故。除直击雷外，还有雷电感应、球型雷和雷电侵入波等都可造成危害，其中直击雷的危害最大，此外雷电还可通过静电感应或电磁感应产生破坏作用。</w:t>
      </w:r>
    </w:p>
    <w:p>
      <w:pPr>
        <w:pStyle w:val="8"/>
        <w:spacing w:line="360" w:lineRule="auto"/>
        <w:ind w:firstLine="0" w:firstLineChars="0"/>
        <w:outlineLvl w:val="1"/>
        <w:rPr>
          <w:rFonts w:hint="eastAsia" w:ascii="黑体" w:hAnsi="宋体" w:eastAsia="黑体"/>
          <w:b/>
          <w:snapToGrid w:val="0"/>
          <w:kern w:val="0"/>
          <w:sz w:val="32"/>
          <w:szCs w:val="32"/>
        </w:rPr>
      </w:pPr>
      <w:bookmarkStart w:id="219" w:name="_Toc325528024"/>
      <w:bookmarkStart w:id="220" w:name="_Toc514342856"/>
      <w:bookmarkStart w:id="221" w:name="_Toc304291284"/>
      <w:bookmarkStart w:id="222" w:name="_Toc484594602"/>
      <w:bookmarkStart w:id="223" w:name="_Toc303340324"/>
      <w:bookmarkStart w:id="224" w:name="_Toc24851"/>
      <w:r>
        <w:rPr>
          <w:rFonts w:hint="eastAsia" w:ascii="黑体" w:hAnsi="宋体" w:eastAsia="黑体"/>
          <w:b/>
          <w:snapToGrid w:val="0"/>
          <w:kern w:val="0"/>
          <w:sz w:val="32"/>
          <w:szCs w:val="32"/>
          <w:lang w:val="en-US" w:eastAsia="zh-CN"/>
        </w:rPr>
        <w:t>3</w:t>
      </w:r>
      <w:r>
        <w:rPr>
          <w:rFonts w:hint="eastAsia" w:ascii="黑体" w:hAnsi="宋体" w:eastAsia="黑体"/>
          <w:b/>
          <w:snapToGrid w:val="0"/>
          <w:kern w:val="0"/>
          <w:sz w:val="32"/>
          <w:szCs w:val="32"/>
          <w:lang w:eastAsia="zh-CN"/>
        </w:rPr>
        <w:t>.</w:t>
      </w:r>
      <w:r>
        <w:rPr>
          <w:rFonts w:hint="eastAsia" w:ascii="黑体" w:hAnsi="宋体" w:eastAsia="黑体"/>
          <w:b/>
          <w:snapToGrid w:val="0"/>
          <w:kern w:val="0"/>
          <w:sz w:val="32"/>
          <w:szCs w:val="32"/>
        </w:rPr>
        <w:t>6 厂址安全条件的危险、有害因素辨识与分析</w:t>
      </w:r>
      <w:bookmarkEnd w:id="219"/>
      <w:bookmarkEnd w:id="220"/>
      <w:bookmarkEnd w:id="221"/>
      <w:bookmarkEnd w:id="222"/>
      <w:bookmarkEnd w:id="223"/>
      <w:bookmarkEnd w:id="224"/>
    </w:p>
    <w:p>
      <w:pPr>
        <w:spacing w:line="360" w:lineRule="auto"/>
        <w:ind w:firstLine="560" w:firstLineChars="200"/>
        <w:rPr>
          <w:rFonts w:hint="eastAsia" w:ascii="宋体" w:hAnsi="宋体"/>
          <w:snapToGrid w:val="0"/>
          <w:kern w:val="0"/>
          <w:sz w:val="28"/>
          <w:szCs w:val="28"/>
        </w:rPr>
      </w:pPr>
      <w:r>
        <w:rPr>
          <w:rFonts w:hint="eastAsia" w:ascii="宋体" w:hAnsi="宋体"/>
          <w:snapToGrid w:val="0"/>
          <w:kern w:val="0"/>
          <w:sz w:val="28"/>
          <w:szCs w:val="28"/>
        </w:rPr>
        <w:t>工业企业若选址不当，厂址条件差，可能存在以下危险、有害因素：①厂址工程地质不良，厂址周围为陡坎或有河流、沟渠通过，容易造成厂内塌陷和周边垮塌，设备、设施损坏，造成有害物质泄漏，引发火灾爆炸和窒息事故。②厂址所在地地形地貌差，处于窝风地带，厂内有害气体得不到及时散放，其生产作业危险性就大。③厂址与周边居民区或企业，安全距离不够，相互间会产生不利影响。④厂址所在地水文、气象条件恶劣，易发生水灾、雷击灾害，影响企业的正常生产。⑤厂址周边交通运输条件不畅、消防配备设施不完善，会造成运输不便，增加运输风险。</w:t>
      </w:r>
    </w:p>
    <w:p>
      <w:pPr>
        <w:spacing w:line="360" w:lineRule="auto"/>
        <w:ind w:firstLine="560" w:firstLineChars="200"/>
        <w:rPr>
          <w:rFonts w:hint="eastAsia" w:ascii="宋体" w:hAnsi="宋体"/>
          <w:snapToGrid w:val="0"/>
          <w:kern w:val="0"/>
          <w:sz w:val="28"/>
          <w:szCs w:val="28"/>
        </w:rPr>
      </w:pPr>
      <w:r>
        <w:rPr>
          <w:rFonts w:ascii="宋体" w:hAnsi="宋体"/>
          <w:snapToGrid w:val="0"/>
          <w:kern w:val="0"/>
          <w:sz w:val="28"/>
          <w:szCs w:val="28"/>
        </w:rPr>
        <w:t>本工程厂址周围无大型重要公共建筑设施</w:t>
      </w:r>
      <w:r>
        <w:rPr>
          <w:rFonts w:hint="eastAsia" w:ascii="宋体" w:hAnsi="宋体"/>
          <w:snapToGrid w:val="0"/>
          <w:kern w:val="0"/>
          <w:sz w:val="28"/>
          <w:szCs w:val="28"/>
        </w:rPr>
        <w:t>，</w:t>
      </w:r>
      <w:r>
        <w:rPr>
          <w:rFonts w:ascii="宋体" w:hAnsi="宋体"/>
          <w:snapToGrid w:val="0"/>
          <w:kern w:val="0"/>
          <w:sz w:val="28"/>
          <w:szCs w:val="28"/>
        </w:rPr>
        <w:t>位于相对稳定地块，场地无不良地质现象，地基承载力较高，不受洪水威胁；地下水对混凝土结构和钢筋混凝土结构中的钢筋不具腐蚀性。厂址交通运输方便</w:t>
      </w:r>
      <w:r>
        <w:rPr>
          <w:rFonts w:hint="eastAsia" w:ascii="宋体" w:hAnsi="宋体"/>
          <w:snapToGrid w:val="0"/>
          <w:kern w:val="0"/>
          <w:sz w:val="28"/>
          <w:szCs w:val="28"/>
        </w:rPr>
        <w:t>，</w:t>
      </w:r>
      <w:r>
        <w:rPr>
          <w:rFonts w:ascii="宋体" w:hAnsi="宋体"/>
          <w:snapToGrid w:val="0"/>
          <w:kern w:val="0"/>
          <w:sz w:val="28"/>
          <w:szCs w:val="28"/>
        </w:rPr>
        <w:t>已取得政府相关部门的</w:t>
      </w:r>
      <w:r>
        <w:rPr>
          <w:rFonts w:hint="eastAsia" w:ascii="宋体" w:hAnsi="宋体"/>
          <w:snapToGrid w:val="0"/>
          <w:kern w:val="0"/>
          <w:sz w:val="28"/>
          <w:szCs w:val="28"/>
        </w:rPr>
        <w:t>技改</w:t>
      </w:r>
      <w:r>
        <w:rPr>
          <w:rFonts w:ascii="宋体" w:hAnsi="宋体"/>
          <w:snapToGrid w:val="0"/>
          <w:kern w:val="0"/>
          <w:sz w:val="28"/>
          <w:szCs w:val="28"/>
        </w:rPr>
        <w:t>批复。因此，该工程选址符合当地政府部门规划，选址符合厂址选择的技术要求。</w:t>
      </w:r>
    </w:p>
    <w:p>
      <w:pPr>
        <w:pStyle w:val="8"/>
        <w:spacing w:line="360" w:lineRule="auto"/>
        <w:ind w:firstLine="0" w:firstLineChars="0"/>
        <w:outlineLvl w:val="2"/>
        <w:rPr>
          <w:rFonts w:hint="eastAsia" w:ascii="宋体" w:hAnsi="宋体"/>
          <w:b/>
          <w:snapToGrid w:val="0"/>
          <w:kern w:val="0"/>
          <w:sz w:val="28"/>
          <w:szCs w:val="28"/>
        </w:rPr>
      </w:pPr>
      <w:bookmarkStart w:id="225" w:name="_Toc458523590"/>
      <w:bookmarkStart w:id="226" w:name="_Toc514342857"/>
      <w:bookmarkStart w:id="227" w:name="_Toc484594603"/>
      <w:bookmarkStart w:id="228" w:name="_Toc32079"/>
      <w:r>
        <w:rPr>
          <w:rFonts w:hint="eastAsia" w:ascii="宋体" w:hAnsi="宋体"/>
          <w:b/>
          <w:snapToGrid w:val="0"/>
          <w:kern w:val="0"/>
          <w:sz w:val="28"/>
          <w:szCs w:val="28"/>
          <w:lang w:val="en-US" w:eastAsia="zh-CN"/>
        </w:rPr>
        <w:t>3</w:t>
      </w:r>
      <w:r>
        <w:rPr>
          <w:rFonts w:hint="eastAsia" w:ascii="宋体" w:hAnsi="宋体"/>
          <w:b/>
          <w:snapToGrid w:val="0"/>
          <w:kern w:val="0"/>
          <w:sz w:val="28"/>
          <w:szCs w:val="28"/>
          <w:lang w:eastAsia="zh-CN"/>
        </w:rPr>
        <w:t>.</w:t>
      </w:r>
      <w:r>
        <w:rPr>
          <w:rFonts w:hint="eastAsia" w:ascii="宋体" w:hAnsi="宋体"/>
          <w:b/>
          <w:snapToGrid w:val="0"/>
          <w:kern w:val="0"/>
          <w:sz w:val="28"/>
          <w:szCs w:val="28"/>
        </w:rPr>
        <w:t xml:space="preserve">6.1 </w:t>
      </w:r>
      <w:r>
        <w:rPr>
          <w:rFonts w:hint="eastAsia" w:ascii="宋体" w:hAnsi="宋体"/>
          <w:b/>
          <w:snapToGrid w:val="0"/>
          <w:kern w:val="0"/>
          <w:sz w:val="28"/>
          <w:szCs w:val="28"/>
          <w:lang w:eastAsia="zh-CN"/>
        </w:rPr>
        <w:t>公司</w:t>
      </w:r>
      <w:r>
        <w:rPr>
          <w:rFonts w:hint="eastAsia" w:ascii="宋体" w:hAnsi="宋体"/>
          <w:b/>
          <w:snapToGrid w:val="0"/>
          <w:kern w:val="0"/>
          <w:sz w:val="28"/>
          <w:szCs w:val="28"/>
        </w:rPr>
        <w:t>对周边环境的影响分析</w:t>
      </w:r>
      <w:bookmarkEnd w:id="225"/>
      <w:bookmarkEnd w:id="226"/>
      <w:bookmarkEnd w:id="227"/>
      <w:bookmarkEnd w:id="228"/>
    </w:p>
    <w:p>
      <w:pPr>
        <w:tabs>
          <w:tab w:val="left" w:pos="8808"/>
        </w:tabs>
        <w:snapToGrid w:val="0"/>
        <w:spacing w:line="360" w:lineRule="auto"/>
        <w:ind w:firstLine="560" w:firstLineChars="200"/>
        <w:rPr>
          <w:rFonts w:hint="eastAsia" w:ascii="宋体" w:hAnsi="宋体" w:cs="宋体"/>
          <w:sz w:val="28"/>
          <w:szCs w:val="28"/>
        </w:rPr>
      </w:pPr>
      <w:bookmarkStart w:id="229" w:name="_Toc374385892"/>
      <w:bookmarkStart w:id="230" w:name="_Toc155775354"/>
      <w:bookmarkStart w:id="231" w:name="_Toc172964408"/>
      <w:bookmarkStart w:id="232" w:name="_Toc172964203"/>
      <w:bookmarkStart w:id="233" w:name="_Toc172963399"/>
      <w:r>
        <w:rPr>
          <w:rFonts w:hint="eastAsia" w:ascii="宋体" w:hAnsi="宋体" w:cs="宋体"/>
          <w:sz w:val="28"/>
          <w:szCs w:val="28"/>
          <w:lang w:eastAsia="zh-CN"/>
        </w:rPr>
        <w:t>厂</w:t>
      </w:r>
      <w:r>
        <w:rPr>
          <w:rFonts w:ascii="宋体" w:hAnsi="宋体" w:cs="宋体"/>
          <w:sz w:val="28"/>
          <w:szCs w:val="28"/>
        </w:rPr>
        <w:t>区内</w:t>
      </w:r>
      <w:r>
        <w:rPr>
          <w:rFonts w:hint="eastAsia" w:ascii="宋体" w:hAnsi="宋体" w:cs="宋体"/>
          <w:sz w:val="28"/>
          <w:szCs w:val="28"/>
        </w:rPr>
        <w:t>无高压电线敷设、无</w:t>
      </w:r>
      <w:r>
        <w:rPr>
          <w:rFonts w:ascii="宋体" w:hAnsi="宋体" w:cs="宋体"/>
          <w:sz w:val="28"/>
          <w:szCs w:val="28"/>
        </w:rPr>
        <w:t>国家规定的风景名胜区、革命历史古迹等文物保护对象，无集中式水源地等特殊保护对象</w:t>
      </w:r>
      <w:r>
        <w:rPr>
          <w:rFonts w:hint="eastAsia" w:ascii="宋体" w:hAnsi="宋体" w:cs="宋体"/>
          <w:sz w:val="28"/>
          <w:szCs w:val="28"/>
        </w:rPr>
        <w:t>；</w:t>
      </w:r>
      <w:r>
        <w:rPr>
          <w:rFonts w:ascii="宋体" w:hAnsi="宋体" w:cs="宋体"/>
          <w:sz w:val="28"/>
          <w:szCs w:val="28"/>
        </w:rPr>
        <w:t>区域内及附近无</w:t>
      </w:r>
      <w:r>
        <w:rPr>
          <w:rFonts w:hint="eastAsia" w:ascii="宋体" w:hAnsi="宋体" w:cs="宋体"/>
          <w:sz w:val="28"/>
          <w:szCs w:val="28"/>
        </w:rPr>
        <w:t>重大危险源监管单位、无</w:t>
      </w:r>
      <w:r>
        <w:rPr>
          <w:rFonts w:ascii="宋体" w:hAnsi="宋体" w:cs="宋体"/>
          <w:sz w:val="28"/>
          <w:szCs w:val="28"/>
        </w:rPr>
        <w:t>军事设施等保密单位，无军事国防通讯设施及其他通讯设施等敏感目标，地下未发现矿产资源</w:t>
      </w:r>
      <w:r>
        <w:rPr>
          <w:rFonts w:hint="eastAsia" w:ascii="宋体" w:hAnsi="宋体" w:cs="宋体"/>
          <w:sz w:val="28"/>
          <w:szCs w:val="28"/>
        </w:rPr>
        <w:t>，无长输天然气管道、输油管道敷设</w:t>
      </w:r>
      <w:r>
        <w:rPr>
          <w:rFonts w:ascii="宋体" w:hAnsi="宋体" w:cs="宋体"/>
          <w:sz w:val="28"/>
          <w:szCs w:val="28"/>
        </w:rPr>
        <w:t>。</w:t>
      </w:r>
      <w:r>
        <w:rPr>
          <w:rFonts w:hint="eastAsia" w:ascii="宋体" w:hAnsi="宋体" w:cs="宋体"/>
          <w:sz w:val="28"/>
          <w:szCs w:val="28"/>
          <w:lang w:eastAsia="zh-CN"/>
        </w:rPr>
        <w:t>公司</w:t>
      </w:r>
      <w:r>
        <w:rPr>
          <w:rFonts w:hint="eastAsia" w:ascii="宋体" w:hAnsi="宋体" w:cs="宋体"/>
          <w:sz w:val="28"/>
          <w:szCs w:val="28"/>
        </w:rPr>
        <w:t>在正常工况下废水、废气、废渣等经达标后排放，并与周边建构筑留有足够的防火间距，即</w:t>
      </w:r>
      <w:r>
        <w:rPr>
          <w:rFonts w:hint="eastAsia" w:ascii="宋体" w:hAnsi="宋体" w:cs="宋体"/>
          <w:sz w:val="28"/>
          <w:szCs w:val="28"/>
          <w:lang w:eastAsia="zh-CN"/>
        </w:rPr>
        <w:t>公司</w:t>
      </w:r>
      <w:r>
        <w:rPr>
          <w:rFonts w:hint="eastAsia" w:ascii="宋体" w:hAnsi="宋体" w:cs="宋体"/>
          <w:sz w:val="28"/>
          <w:szCs w:val="28"/>
        </w:rPr>
        <w:t>正常工况下不会对周边单位生产、经营活动或者居民生活造成影响。</w:t>
      </w:r>
    </w:p>
    <w:p>
      <w:pPr>
        <w:spacing w:line="360" w:lineRule="auto"/>
        <w:ind w:firstLine="560" w:firstLineChars="200"/>
        <w:rPr>
          <w:rFonts w:hint="eastAsia" w:ascii="宋体" w:hAnsi="宋体"/>
          <w:sz w:val="28"/>
          <w:szCs w:val="28"/>
        </w:rPr>
      </w:pPr>
      <w:r>
        <w:rPr>
          <w:rFonts w:ascii="宋体" w:hAnsi="宋体"/>
          <w:sz w:val="28"/>
          <w:szCs w:val="28"/>
        </w:rPr>
        <w:t>若三废处理不当可能会对周边环境、企业造成不良影响，因此本工程应切实做好三废的处理工作。</w:t>
      </w:r>
      <w:r>
        <w:rPr>
          <w:rFonts w:hint="eastAsia" w:ascii="宋体" w:hAnsi="宋体"/>
          <w:sz w:val="28"/>
          <w:szCs w:val="28"/>
          <w:lang w:eastAsia="zh-CN"/>
        </w:rPr>
        <w:t>公司</w:t>
      </w:r>
      <w:r>
        <w:rPr>
          <w:rFonts w:ascii="宋体" w:hAnsi="宋体"/>
          <w:sz w:val="28"/>
          <w:szCs w:val="28"/>
        </w:rPr>
        <w:t>在采取了可靠的安全、环保的防护措施之后，</w:t>
      </w:r>
      <w:r>
        <w:rPr>
          <w:rFonts w:hint="eastAsia" w:ascii="宋体" w:hAnsi="宋体" w:cs="宋体"/>
          <w:sz w:val="28"/>
          <w:szCs w:val="28"/>
        </w:rPr>
        <w:t>对周边环境的影响在可接受和可控制范围。</w:t>
      </w:r>
    </w:p>
    <w:bookmarkEnd w:id="229"/>
    <w:bookmarkEnd w:id="230"/>
    <w:bookmarkEnd w:id="231"/>
    <w:bookmarkEnd w:id="232"/>
    <w:bookmarkEnd w:id="233"/>
    <w:p>
      <w:pPr>
        <w:pStyle w:val="8"/>
        <w:spacing w:line="360" w:lineRule="auto"/>
        <w:ind w:firstLine="0" w:firstLineChars="0"/>
        <w:outlineLvl w:val="2"/>
        <w:rPr>
          <w:rFonts w:hint="eastAsia" w:ascii="宋体" w:hAnsi="宋体"/>
          <w:b/>
          <w:snapToGrid w:val="0"/>
          <w:kern w:val="0"/>
          <w:sz w:val="28"/>
          <w:szCs w:val="28"/>
        </w:rPr>
      </w:pPr>
      <w:bookmarkStart w:id="234" w:name="_Toc29905"/>
      <w:bookmarkStart w:id="235" w:name="_Toc155775365"/>
      <w:bookmarkStart w:id="236" w:name="_Toc514342858"/>
      <w:bookmarkStart w:id="237" w:name="_Toc172963410"/>
      <w:bookmarkStart w:id="238" w:name="_Toc484594604"/>
      <w:bookmarkStart w:id="239" w:name="_Toc172964418"/>
      <w:bookmarkStart w:id="240" w:name="_Toc458523594"/>
      <w:bookmarkStart w:id="241" w:name="_Toc172964213"/>
      <w:r>
        <w:rPr>
          <w:rFonts w:hint="eastAsia" w:ascii="宋体" w:hAnsi="宋体"/>
          <w:b/>
          <w:snapToGrid w:val="0"/>
          <w:kern w:val="0"/>
          <w:sz w:val="28"/>
          <w:szCs w:val="28"/>
          <w:lang w:val="en-US" w:eastAsia="zh-CN"/>
        </w:rPr>
        <w:t>3</w:t>
      </w:r>
      <w:r>
        <w:rPr>
          <w:rFonts w:hint="eastAsia" w:ascii="宋体" w:hAnsi="宋体"/>
          <w:b/>
          <w:snapToGrid w:val="0"/>
          <w:kern w:val="0"/>
          <w:sz w:val="28"/>
          <w:szCs w:val="28"/>
          <w:lang w:eastAsia="zh-CN"/>
        </w:rPr>
        <w:t>.</w:t>
      </w:r>
      <w:r>
        <w:rPr>
          <w:rFonts w:hint="eastAsia" w:ascii="宋体" w:hAnsi="宋体"/>
          <w:b/>
          <w:snapToGrid w:val="0"/>
          <w:kern w:val="0"/>
          <w:sz w:val="28"/>
          <w:szCs w:val="28"/>
        </w:rPr>
        <w:t>6.2 周边环境对</w:t>
      </w:r>
      <w:r>
        <w:rPr>
          <w:rFonts w:hint="eastAsia" w:ascii="宋体" w:hAnsi="宋体"/>
          <w:b/>
          <w:snapToGrid w:val="0"/>
          <w:kern w:val="0"/>
          <w:sz w:val="28"/>
          <w:szCs w:val="28"/>
          <w:lang w:eastAsia="zh-CN"/>
        </w:rPr>
        <w:t>公司</w:t>
      </w:r>
      <w:r>
        <w:rPr>
          <w:rFonts w:hint="eastAsia" w:ascii="宋体" w:hAnsi="宋体"/>
          <w:b/>
          <w:snapToGrid w:val="0"/>
          <w:kern w:val="0"/>
          <w:sz w:val="28"/>
          <w:szCs w:val="28"/>
        </w:rPr>
        <w:t>的影响分析</w:t>
      </w:r>
      <w:bookmarkEnd w:id="234"/>
      <w:bookmarkEnd w:id="235"/>
      <w:bookmarkEnd w:id="236"/>
      <w:bookmarkEnd w:id="237"/>
      <w:bookmarkEnd w:id="238"/>
      <w:bookmarkEnd w:id="239"/>
      <w:bookmarkEnd w:id="240"/>
      <w:bookmarkEnd w:id="241"/>
    </w:p>
    <w:p>
      <w:pPr>
        <w:spacing w:line="360" w:lineRule="auto"/>
        <w:ind w:firstLine="560" w:firstLineChars="200"/>
        <w:rPr>
          <w:rFonts w:hint="eastAsia" w:ascii="宋体" w:hAnsi="宋体" w:cs="宋体"/>
          <w:color w:val="auto"/>
          <w:sz w:val="28"/>
          <w:szCs w:val="28"/>
          <w:lang w:val="en-US" w:eastAsia="zh-CN"/>
        </w:rPr>
      </w:pPr>
      <w:r>
        <w:rPr>
          <w:rFonts w:hint="eastAsia" w:ascii="宋体" w:hAnsi="宋体" w:cs="宋体"/>
          <w:color w:val="auto"/>
          <w:sz w:val="28"/>
          <w:szCs w:val="28"/>
          <w:lang w:val="zh-CN" w:eastAsia="zh-CN"/>
        </w:rPr>
        <w:t>公司</w:t>
      </w:r>
      <w:r>
        <w:rPr>
          <w:rFonts w:hint="eastAsia" w:ascii="宋体" w:hAnsi="宋体" w:cs="宋体"/>
          <w:color w:val="auto"/>
          <w:sz w:val="28"/>
          <w:szCs w:val="28"/>
          <w:lang w:val="en-US" w:eastAsia="zh-CN"/>
        </w:rPr>
        <w:t>矿山开采登记范围不存在矿权重叠与边界纠纷问题，矿区附近谷地及缓坡平地为农业耕作区，斜坡以上大部分为荒坡，少量林木分布。矿区周围大多为农田，矿山范围内人类工程主要以农耕地为主。</w:t>
      </w:r>
    </w:p>
    <w:p>
      <w:pPr>
        <w:spacing w:line="360" w:lineRule="auto"/>
        <w:ind w:firstLine="560" w:firstLineChars="200"/>
        <w:rPr>
          <w:rFonts w:hint="eastAsia" w:ascii="宋体" w:hAnsi="宋体" w:cs="宋体"/>
          <w:color w:val="auto"/>
          <w:sz w:val="28"/>
          <w:szCs w:val="28"/>
          <w:lang w:val="en-US" w:eastAsia="en-US"/>
        </w:rPr>
      </w:pPr>
      <w:r>
        <w:rPr>
          <w:rFonts w:hint="eastAsia" w:ascii="宋体" w:hAnsi="宋体" w:cs="宋体"/>
          <w:color w:val="auto"/>
          <w:sz w:val="28"/>
          <w:szCs w:val="28"/>
          <w:lang w:val="en-US" w:eastAsia="zh-CN"/>
        </w:rPr>
        <w:t>砖厂朝向近似座北朝东，</w:t>
      </w:r>
      <w:r>
        <w:rPr>
          <w:rFonts w:hint="eastAsia" w:ascii="宋体" w:hAnsi="宋体" w:cs="宋体"/>
          <w:color w:val="auto"/>
          <w:sz w:val="28"/>
          <w:szCs w:val="28"/>
          <w:lang w:val="zh-CN" w:eastAsia="zh-CN"/>
        </w:rPr>
        <w:t>地处农村环境，外环境简单，具体情况如下：厂区周边主要为山坡地，植被为杂草、灌木丛及农作物，不存在珍稀植物。根据现场勘查，公司生产区周边主要为耕地、农户。公司大门位于东面，东面紧邻进厂道路，道路 两侧为农田；公司北面和西面为农田；东南面为本公司矿山页岩开采区；开采区以东为丘陵。</w:t>
      </w:r>
    </w:p>
    <w:p>
      <w:pPr>
        <w:spacing w:line="360" w:lineRule="auto"/>
        <w:ind w:firstLine="560" w:firstLineChars="200"/>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周边200米范围内的零散居民住户与公司的防火间距均大于50米。公司周边环境条件良好，周边环境不会对公司形成制约影响因素。</w:t>
      </w:r>
    </w:p>
    <w:p>
      <w:pPr>
        <w:pStyle w:val="8"/>
        <w:spacing w:line="360" w:lineRule="auto"/>
        <w:ind w:firstLine="0" w:firstLineChars="0"/>
        <w:outlineLvl w:val="1"/>
        <w:rPr>
          <w:rFonts w:hint="eastAsia" w:ascii="黑体" w:eastAsia="黑体"/>
          <w:b/>
          <w:snapToGrid w:val="0"/>
          <w:kern w:val="0"/>
          <w:sz w:val="32"/>
          <w:szCs w:val="32"/>
        </w:rPr>
      </w:pPr>
      <w:bookmarkStart w:id="242" w:name="_Toc356401505"/>
      <w:bookmarkStart w:id="243" w:name="_Toc480804413"/>
      <w:bookmarkStart w:id="244" w:name="_Toc5784"/>
      <w:bookmarkStart w:id="245" w:name="_Toc514342863"/>
      <w:bookmarkStart w:id="246" w:name="_Toc350781107"/>
      <w:r>
        <w:rPr>
          <w:rFonts w:hint="eastAsia" w:ascii="黑体" w:eastAsia="黑体"/>
          <w:b/>
          <w:snapToGrid w:val="0"/>
          <w:kern w:val="0"/>
          <w:sz w:val="32"/>
          <w:szCs w:val="32"/>
          <w:lang w:val="en-US" w:eastAsia="zh-CN"/>
        </w:rPr>
        <w:t>3</w:t>
      </w:r>
      <w:r>
        <w:rPr>
          <w:rFonts w:hint="eastAsia" w:ascii="黑体" w:eastAsia="黑体"/>
          <w:b/>
          <w:snapToGrid w:val="0"/>
          <w:kern w:val="0"/>
          <w:sz w:val="32"/>
          <w:szCs w:val="32"/>
          <w:lang w:eastAsia="zh-CN"/>
        </w:rPr>
        <w:t>.</w:t>
      </w:r>
      <w:r>
        <w:rPr>
          <w:rFonts w:hint="eastAsia" w:ascii="黑体" w:eastAsia="黑体"/>
          <w:b/>
          <w:snapToGrid w:val="0"/>
          <w:kern w:val="0"/>
          <w:sz w:val="32"/>
          <w:szCs w:val="32"/>
          <w:lang w:val="en-US" w:eastAsia="zh-CN"/>
        </w:rPr>
        <w:t>7</w:t>
      </w:r>
      <w:r>
        <w:rPr>
          <w:rFonts w:hint="eastAsia" w:ascii="黑体" w:eastAsia="黑体"/>
          <w:b/>
          <w:snapToGrid w:val="0"/>
          <w:kern w:val="0"/>
          <w:sz w:val="32"/>
          <w:szCs w:val="32"/>
        </w:rPr>
        <w:t xml:space="preserve"> 重大危险源辨识</w:t>
      </w:r>
      <w:bookmarkEnd w:id="242"/>
      <w:bookmarkEnd w:id="243"/>
      <w:bookmarkEnd w:id="244"/>
      <w:bookmarkEnd w:id="245"/>
      <w:bookmarkEnd w:id="246"/>
    </w:p>
    <w:p>
      <w:pPr>
        <w:pStyle w:val="8"/>
        <w:spacing w:line="360" w:lineRule="auto"/>
        <w:ind w:firstLine="0" w:firstLineChars="0"/>
        <w:outlineLvl w:val="2"/>
        <w:rPr>
          <w:rFonts w:hint="eastAsia" w:ascii="宋体" w:hAnsi="宋体"/>
          <w:b/>
          <w:snapToGrid w:val="0"/>
          <w:kern w:val="0"/>
          <w:sz w:val="28"/>
          <w:szCs w:val="28"/>
        </w:rPr>
      </w:pPr>
      <w:bookmarkStart w:id="247" w:name="_Toc480804414"/>
      <w:bookmarkStart w:id="248" w:name="_Toc4492"/>
      <w:bookmarkStart w:id="249" w:name="_Toc356401506"/>
      <w:bookmarkStart w:id="250" w:name="_Toc351125383"/>
      <w:bookmarkStart w:id="251" w:name="_Toc514342864"/>
      <w:r>
        <w:rPr>
          <w:rFonts w:hint="eastAsia" w:ascii="宋体" w:hAnsi="宋体"/>
          <w:b/>
          <w:snapToGrid w:val="0"/>
          <w:kern w:val="0"/>
          <w:sz w:val="28"/>
          <w:szCs w:val="28"/>
          <w:lang w:val="en-US" w:eastAsia="zh-CN"/>
        </w:rPr>
        <w:t>3</w:t>
      </w:r>
      <w:r>
        <w:rPr>
          <w:rFonts w:hint="eastAsia" w:ascii="宋体" w:hAnsi="宋体"/>
          <w:b/>
          <w:snapToGrid w:val="0"/>
          <w:kern w:val="0"/>
          <w:sz w:val="28"/>
          <w:szCs w:val="28"/>
          <w:lang w:eastAsia="zh-CN"/>
        </w:rPr>
        <w:t>.</w:t>
      </w:r>
      <w:r>
        <w:rPr>
          <w:rFonts w:hint="eastAsia" w:ascii="宋体" w:hAnsi="宋体"/>
          <w:b/>
          <w:snapToGrid w:val="0"/>
          <w:kern w:val="0"/>
          <w:sz w:val="28"/>
          <w:szCs w:val="28"/>
          <w:lang w:val="en-US" w:eastAsia="zh-CN"/>
        </w:rPr>
        <w:t>7</w:t>
      </w:r>
      <w:r>
        <w:rPr>
          <w:rFonts w:hint="eastAsia" w:ascii="宋体" w:hAnsi="宋体"/>
          <w:b/>
          <w:snapToGrid w:val="0"/>
          <w:kern w:val="0"/>
          <w:sz w:val="28"/>
          <w:szCs w:val="28"/>
        </w:rPr>
        <w:t>.1 辨识依据</w:t>
      </w:r>
      <w:bookmarkEnd w:id="247"/>
      <w:bookmarkEnd w:id="248"/>
      <w:bookmarkEnd w:id="249"/>
      <w:bookmarkEnd w:id="250"/>
      <w:bookmarkEnd w:id="251"/>
    </w:p>
    <w:p>
      <w:pPr>
        <w:tabs>
          <w:tab w:val="right" w:leader="hyphen" w:pos="8343"/>
        </w:tabs>
        <w:spacing w:line="360" w:lineRule="auto"/>
        <w:ind w:firstLine="560" w:firstLineChars="200"/>
        <w:rPr>
          <w:rFonts w:hint="eastAsia" w:ascii="宋体" w:hAnsi="宋体"/>
          <w:sz w:val="28"/>
          <w:szCs w:val="28"/>
        </w:rPr>
      </w:pPr>
      <w:r>
        <w:rPr>
          <w:rFonts w:hint="eastAsia" w:ascii="宋体" w:hAnsi="宋体"/>
          <w:sz w:val="28"/>
          <w:szCs w:val="28"/>
        </w:rPr>
        <w:t>根据《中华人民共和国安全生产法》、《危险化学品重大危险源辨识》（</w:t>
      </w:r>
      <w:r>
        <w:rPr>
          <w:rFonts w:hint="eastAsia" w:ascii="宋体" w:hAnsi="宋体"/>
          <w:sz w:val="28"/>
          <w:szCs w:val="28"/>
          <w:lang w:eastAsia="zh-CN"/>
        </w:rPr>
        <w:t>GB18218-2018</w:t>
      </w:r>
      <w:r>
        <w:rPr>
          <w:rFonts w:hint="eastAsia" w:ascii="宋体" w:hAnsi="宋体"/>
          <w:sz w:val="28"/>
          <w:szCs w:val="28"/>
        </w:rPr>
        <w:t>）的有关规定，重大危险源是指长期地或者临时地生产、加工、搬运、使用或储存危险物品，且危险物品的数量等于或超过临界量的场所和设施，以及其他存在危险能量等于或超过临界量的场所和设施。</w:t>
      </w:r>
    </w:p>
    <w:p>
      <w:pPr>
        <w:pStyle w:val="8"/>
        <w:spacing w:line="360" w:lineRule="auto"/>
        <w:ind w:firstLine="0" w:firstLineChars="0"/>
        <w:outlineLvl w:val="2"/>
        <w:rPr>
          <w:rFonts w:hint="eastAsia" w:ascii="宋体" w:hAnsi="宋体"/>
          <w:b/>
          <w:snapToGrid w:val="0"/>
          <w:kern w:val="0"/>
          <w:sz w:val="28"/>
          <w:szCs w:val="28"/>
        </w:rPr>
      </w:pPr>
      <w:bookmarkStart w:id="252" w:name="_Toc356401507"/>
      <w:bookmarkStart w:id="253" w:name="_Toc351125385"/>
      <w:bookmarkStart w:id="254" w:name="_Toc480804415"/>
      <w:bookmarkStart w:id="255" w:name="_Toc514342865"/>
      <w:bookmarkStart w:id="256" w:name="_Toc21569"/>
      <w:r>
        <w:rPr>
          <w:rFonts w:hint="eastAsia" w:ascii="宋体" w:hAnsi="宋体"/>
          <w:b/>
          <w:snapToGrid w:val="0"/>
          <w:kern w:val="0"/>
          <w:sz w:val="28"/>
          <w:szCs w:val="28"/>
          <w:lang w:val="en-US" w:eastAsia="zh-CN"/>
        </w:rPr>
        <w:t>3</w:t>
      </w:r>
      <w:r>
        <w:rPr>
          <w:rFonts w:hint="eastAsia" w:ascii="宋体" w:hAnsi="宋体"/>
          <w:b/>
          <w:snapToGrid w:val="0"/>
          <w:kern w:val="0"/>
          <w:sz w:val="28"/>
          <w:szCs w:val="28"/>
          <w:lang w:eastAsia="zh-CN"/>
        </w:rPr>
        <w:t>.</w:t>
      </w:r>
      <w:r>
        <w:rPr>
          <w:rFonts w:hint="eastAsia" w:ascii="宋体" w:hAnsi="宋体"/>
          <w:b/>
          <w:snapToGrid w:val="0"/>
          <w:kern w:val="0"/>
          <w:sz w:val="28"/>
          <w:szCs w:val="28"/>
          <w:lang w:val="en-US" w:eastAsia="zh-CN"/>
        </w:rPr>
        <w:t>7</w:t>
      </w:r>
      <w:r>
        <w:rPr>
          <w:rFonts w:hint="eastAsia" w:ascii="宋体" w:hAnsi="宋体"/>
          <w:b/>
          <w:snapToGrid w:val="0"/>
          <w:kern w:val="0"/>
          <w:sz w:val="28"/>
          <w:szCs w:val="28"/>
        </w:rPr>
        <w:t>.2 辨识结果</w:t>
      </w:r>
      <w:bookmarkEnd w:id="252"/>
      <w:bookmarkEnd w:id="253"/>
      <w:bookmarkEnd w:id="254"/>
      <w:bookmarkEnd w:id="255"/>
      <w:bookmarkEnd w:id="256"/>
    </w:p>
    <w:p>
      <w:pPr>
        <w:spacing w:line="360" w:lineRule="auto"/>
        <w:ind w:firstLine="560" w:firstLineChars="200"/>
        <w:rPr>
          <w:rFonts w:hint="eastAsia" w:ascii="宋体" w:hAnsi="宋体"/>
          <w:sz w:val="28"/>
          <w:szCs w:val="28"/>
        </w:rPr>
      </w:pPr>
      <w:r>
        <w:rPr>
          <w:rFonts w:hint="eastAsia"/>
          <w:sz w:val="28"/>
          <w:szCs w:val="28"/>
          <w:lang w:eastAsia="zh-CN"/>
        </w:rPr>
        <w:t>公司</w:t>
      </w:r>
      <w:r>
        <w:rPr>
          <w:rFonts w:hint="eastAsia"/>
          <w:sz w:val="28"/>
          <w:szCs w:val="28"/>
        </w:rPr>
        <w:t>生产过程中的原料、辅料、中间品、产品除柴油外其余均未列入《重大危险源辨识》中，</w:t>
      </w:r>
      <w:r>
        <w:rPr>
          <w:rFonts w:hint="eastAsia"/>
          <w:sz w:val="28"/>
          <w:szCs w:val="28"/>
          <w:lang w:eastAsia="zh-CN"/>
        </w:rPr>
        <w:t>厂区</w:t>
      </w:r>
      <w:r>
        <w:rPr>
          <w:rFonts w:hint="eastAsia"/>
          <w:sz w:val="28"/>
          <w:szCs w:val="28"/>
        </w:rPr>
        <w:t>使用柴油仅做为点火燃料使用，用量少（仅备用1桶，约200L），使用频率低，</w:t>
      </w:r>
      <w:r>
        <w:rPr>
          <w:rFonts w:hint="eastAsia" w:ascii="宋体" w:hAnsi="宋体"/>
          <w:sz w:val="28"/>
          <w:szCs w:val="28"/>
        </w:rPr>
        <w:t>其临界量和拟存放量见下表：</w:t>
      </w:r>
    </w:p>
    <w:p>
      <w:pPr>
        <w:spacing w:line="360" w:lineRule="auto"/>
        <w:jc w:val="center"/>
        <w:rPr>
          <w:rFonts w:hint="eastAsia" w:ascii="黑体" w:eastAsia="黑体"/>
          <w:b/>
          <w:sz w:val="24"/>
        </w:rPr>
      </w:pPr>
      <w:r>
        <w:rPr>
          <w:rFonts w:hint="eastAsia" w:ascii="黑体" w:eastAsia="黑体"/>
          <w:b/>
          <w:sz w:val="24"/>
        </w:rPr>
        <w:t>表</w:t>
      </w:r>
      <w:r>
        <w:rPr>
          <w:rFonts w:hint="eastAsia" w:ascii="黑体" w:eastAsia="黑体"/>
          <w:b/>
          <w:sz w:val="24"/>
          <w:lang w:val="en-US" w:eastAsia="zh-CN"/>
        </w:rPr>
        <w:t>3</w:t>
      </w:r>
      <w:r>
        <w:rPr>
          <w:rFonts w:hint="eastAsia" w:ascii="黑体" w:eastAsia="黑体"/>
          <w:b/>
          <w:sz w:val="24"/>
          <w:lang w:eastAsia="zh-CN"/>
        </w:rPr>
        <w:t>-</w:t>
      </w:r>
      <w:r>
        <w:rPr>
          <w:rFonts w:hint="eastAsia" w:ascii="黑体" w:eastAsia="黑体"/>
          <w:b/>
          <w:sz w:val="24"/>
          <w:lang w:val="en-US" w:eastAsia="zh-CN"/>
        </w:rPr>
        <w:t>4</w:t>
      </w:r>
      <w:r>
        <w:rPr>
          <w:rFonts w:hint="eastAsia" w:ascii="黑体" w:eastAsia="黑体"/>
          <w:b/>
          <w:sz w:val="24"/>
        </w:rPr>
        <w:t>危险化学品名称及其临界量</w:t>
      </w:r>
    </w:p>
    <w:tbl>
      <w:tblPr>
        <w:tblStyle w:val="19"/>
        <w:tblW w:w="8711" w:type="dxa"/>
        <w:jc w:val="center"/>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3526"/>
        <w:gridCol w:w="1855"/>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8" w:hRule="atLeast"/>
          <w:jc w:val="center"/>
        </w:trPr>
        <w:tc>
          <w:tcPr>
            <w:tcW w:w="1503" w:type="dxa"/>
            <w:noWrap w:val="0"/>
            <w:vAlign w:val="center"/>
          </w:tcPr>
          <w:p>
            <w:pPr>
              <w:pStyle w:val="25"/>
              <w:tabs>
                <w:tab w:val="left" w:pos="0"/>
              </w:tabs>
              <w:spacing w:before="0" w:after="0"/>
              <w:rPr>
                <w:rFonts w:hint="eastAsia" w:hAnsi="宋体"/>
                <w:b/>
                <w:spacing w:val="10"/>
                <w:sz w:val="24"/>
                <w:szCs w:val="24"/>
              </w:rPr>
            </w:pPr>
            <w:r>
              <w:rPr>
                <w:rFonts w:hint="eastAsia" w:hAnsi="宋体"/>
                <w:b/>
                <w:spacing w:val="10"/>
                <w:sz w:val="24"/>
                <w:szCs w:val="24"/>
              </w:rPr>
              <w:t>物质名称</w:t>
            </w:r>
          </w:p>
        </w:tc>
        <w:tc>
          <w:tcPr>
            <w:tcW w:w="3526" w:type="dxa"/>
            <w:noWrap w:val="0"/>
            <w:vAlign w:val="center"/>
          </w:tcPr>
          <w:p>
            <w:pPr>
              <w:tabs>
                <w:tab w:val="left" w:pos="0"/>
              </w:tabs>
              <w:jc w:val="center"/>
              <w:rPr>
                <w:rFonts w:hint="eastAsia" w:ascii="宋体" w:hAnsi="宋体"/>
                <w:b/>
                <w:spacing w:val="10"/>
                <w:sz w:val="24"/>
              </w:rPr>
            </w:pPr>
            <w:r>
              <w:rPr>
                <w:rFonts w:hint="eastAsia" w:ascii="宋体" w:hAnsi="宋体"/>
                <w:b/>
                <w:spacing w:val="10"/>
                <w:sz w:val="24"/>
              </w:rPr>
              <w:t>类别</w:t>
            </w:r>
          </w:p>
        </w:tc>
        <w:tc>
          <w:tcPr>
            <w:tcW w:w="1855" w:type="dxa"/>
            <w:noWrap w:val="0"/>
            <w:vAlign w:val="center"/>
          </w:tcPr>
          <w:p>
            <w:pPr>
              <w:tabs>
                <w:tab w:val="left" w:pos="0"/>
              </w:tabs>
              <w:jc w:val="center"/>
              <w:rPr>
                <w:rFonts w:hint="eastAsia" w:ascii="宋体" w:hAnsi="宋体"/>
                <w:b/>
                <w:spacing w:val="10"/>
                <w:sz w:val="24"/>
              </w:rPr>
            </w:pPr>
            <w:r>
              <w:rPr>
                <w:rFonts w:hint="eastAsia" w:ascii="宋体" w:hAnsi="宋体"/>
                <w:b/>
                <w:spacing w:val="10"/>
                <w:sz w:val="24"/>
              </w:rPr>
              <w:t>临界量/t</w:t>
            </w:r>
          </w:p>
        </w:tc>
        <w:tc>
          <w:tcPr>
            <w:tcW w:w="1827" w:type="dxa"/>
            <w:noWrap w:val="0"/>
            <w:vAlign w:val="center"/>
          </w:tcPr>
          <w:p>
            <w:pPr>
              <w:tabs>
                <w:tab w:val="left" w:pos="0"/>
              </w:tabs>
              <w:jc w:val="center"/>
              <w:rPr>
                <w:rFonts w:hint="eastAsia" w:ascii="宋体" w:hAnsi="宋体"/>
                <w:b/>
                <w:spacing w:val="10"/>
                <w:sz w:val="24"/>
              </w:rPr>
            </w:pPr>
            <w:r>
              <w:rPr>
                <w:rFonts w:hint="eastAsia" w:ascii="宋体" w:hAnsi="宋体"/>
                <w:b/>
                <w:spacing w:val="10"/>
                <w:sz w:val="24"/>
              </w:rPr>
              <w:t>实际量/t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1503" w:type="dxa"/>
            <w:noWrap w:val="0"/>
            <w:vAlign w:val="center"/>
          </w:tcPr>
          <w:p>
            <w:pPr>
              <w:tabs>
                <w:tab w:val="left" w:pos="0"/>
              </w:tabs>
              <w:spacing w:before="100" w:beforeAutospacing="1" w:after="100" w:afterAutospacing="1"/>
              <w:jc w:val="center"/>
              <w:rPr>
                <w:rFonts w:hint="eastAsia" w:ascii="宋体" w:hAnsi="宋体"/>
                <w:spacing w:val="10"/>
                <w:sz w:val="24"/>
              </w:rPr>
            </w:pPr>
            <w:r>
              <w:rPr>
                <w:rFonts w:hint="eastAsia" w:ascii="宋体" w:hAnsi="宋体"/>
                <w:spacing w:val="10"/>
                <w:sz w:val="24"/>
              </w:rPr>
              <w:t>柴油</w:t>
            </w:r>
          </w:p>
        </w:tc>
        <w:tc>
          <w:tcPr>
            <w:tcW w:w="3526" w:type="dxa"/>
            <w:noWrap w:val="0"/>
            <w:vAlign w:val="center"/>
          </w:tcPr>
          <w:p>
            <w:pPr>
              <w:tabs>
                <w:tab w:val="left" w:pos="0"/>
              </w:tabs>
              <w:spacing w:before="100" w:beforeAutospacing="1" w:after="100" w:afterAutospacing="1"/>
              <w:jc w:val="center"/>
              <w:rPr>
                <w:rFonts w:hint="eastAsia" w:ascii="宋体" w:hAnsi="宋体"/>
                <w:spacing w:val="10"/>
                <w:sz w:val="24"/>
              </w:rPr>
            </w:pPr>
            <w:r>
              <w:rPr>
                <w:rFonts w:hint="eastAsia" w:ascii="宋体" w:hAnsi="宋体"/>
                <w:spacing w:val="10"/>
                <w:sz w:val="24"/>
              </w:rPr>
              <w:t>易燃液体（23℃&lt;闪点&lt;61℃）</w:t>
            </w:r>
          </w:p>
        </w:tc>
        <w:tc>
          <w:tcPr>
            <w:tcW w:w="1855" w:type="dxa"/>
            <w:noWrap w:val="0"/>
            <w:vAlign w:val="center"/>
          </w:tcPr>
          <w:p>
            <w:pPr>
              <w:tabs>
                <w:tab w:val="left" w:pos="0"/>
              </w:tabs>
              <w:spacing w:before="100" w:beforeAutospacing="1" w:after="100" w:afterAutospacing="1"/>
              <w:jc w:val="center"/>
              <w:rPr>
                <w:rFonts w:hint="eastAsia" w:ascii="宋体" w:hAnsi="宋体"/>
                <w:spacing w:val="10"/>
                <w:sz w:val="24"/>
              </w:rPr>
            </w:pPr>
            <w:r>
              <w:rPr>
                <w:rFonts w:hint="eastAsia" w:ascii="宋体" w:hAnsi="宋体"/>
                <w:spacing w:val="10"/>
                <w:sz w:val="24"/>
              </w:rPr>
              <w:t>5000</w:t>
            </w:r>
          </w:p>
        </w:tc>
        <w:tc>
          <w:tcPr>
            <w:tcW w:w="1827" w:type="dxa"/>
            <w:noWrap w:val="0"/>
            <w:vAlign w:val="center"/>
          </w:tcPr>
          <w:p>
            <w:pPr>
              <w:tabs>
                <w:tab w:val="left" w:pos="0"/>
              </w:tabs>
              <w:spacing w:before="100" w:beforeAutospacing="1" w:after="100" w:afterAutospacing="1"/>
              <w:jc w:val="center"/>
              <w:rPr>
                <w:rFonts w:hint="eastAsia" w:ascii="宋体" w:hAnsi="宋体"/>
                <w:spacing w:val="10"/>
                <w:sz w:val="24"/>
              </w:rPr>
            </w:pPr>
            <w:r>
              <w:rPr>
                <w:rFonts w:hint="eastAsia" w:ascii="宋体" w:hAnsi="宋体"/>
                <w:spacing w:val="10"/>
                <w:sz w:val="24"/>
              </w:rPr>
              <w:t>0.17</w:t>
            </w:r>
          </w:p>
        </w:tc>
      </w:tr>
    </w:tbl>
    <w:p>
      <w:pPr>
        <w:ind w:firstLine="420" w:firstLineChars="200"/>
        <w:rPr>
          <w:rFonts w:hint="eastAsia"/>
          <w:szCs w:val="28"/>
        </w:rPr>
      </w:pPr>
    </w:p>
    <w:p>
      <w:pPr>
        <w:spacing w:line="360" w:lineRule="auto"/>
        <w:ind w:firstLine="560" w:firstLineChars="200"/>
        <w:rPr>
          <w:rFonts w:hint="eastAsia" w:ascii="宋体" w:hAnsi="宋体"/>
          <w:kern w:val="0"/>
          <w:sz w:val="28"/>
          <w:szCs w:val="28"/>
        </w:rPr>
      </w:pPr>
      <w:r>
        <w:rPr>
          <w:rFonts w:hint="eastAsia" w:ascii="宋体" w:hAnsi="宋体"/>
          <w:sz w:val="28"/>
          <w:szCs w:val="28"/>
          <w:lang w:eastAsia="zh-CN"/>
        </w:rPr>
        <w:t>公司</w:t>
      </w:r>
      <w:r>
        <w:rPr>
          <w:rFonts w:hint="eastAsia" w:ascii="宋体" w:hAnsi="宋体"/>
          <w:sz w:val="28"/>
          <w:szCs w:val="28"/>
        </w:rPr>
        <w:t>有柴油储量1桶（200升），柴油密度0.85t/m</w:t>
      </w:r>
      <w:r>
        <w:rPr>
          <w:rFonts w:hint="eastAsia" w:ascii="宋体" w:hAnsi="宋体"/>
          <w:sz w:val="28"/>
          <w:szCs w:val="28"/>
          <w:vertAlign w:val="superscript"/>
        </w:rPr>
        <w:t>3</w:t>
      </w:r>
      <w:r>
        <w:rPr>
          <w:rFonts w:hint="eastAsia" w:ascii="宋体" w:hAnsi="宋体"/>
          <w:sz w:val="28"/>
          <w:szCs w:val="28"/>
        </w:rPr>
        <w:t>，合计0.17t。</w:t>
      </w:r>
    </w:p>
    <w:p>
      <w:pPr>
        <w:spacing w:line="360" w:lineRule="auto"/>
        <w:ind w:firstLine="560" w:firstLineChars="200"/>
        <w:rPr>
          <w:rFonts w:hint="eastAsia" w:ascii="宋体" w:hAnsi="宋体"/>
          <w:sz w:val="28"/>
          <w:szCs w:val="28"/>
          <w:lang w:eastAsia="zh-CN"/>
        </w:rPr>
      </w:pPr>
      <w:r>
        <w:rPr>
          <w:rFonts w:hint="eastAsia" w:ascii="宋体" w:hAnsi="宋体"/>
          <w:sz w:val="28"/>
          <w:szCs w:val="28"/>
          <w:lang w:eastAsia="zh-CN"/>
        </w:rPr>
        <w:t>则：0.17/5000=0.000034＜1</w:t>
      </w:r>
    </w:p>
    <w:bookmarkEnd w:id="39"/>
    <w:p>
      <w:pPr>
        <w:spacing w:line="360" w:lineRule="auto"/>
        <w:ind w:firstLine="560" w:firstLineChars="200"/>
        <w:rPr>
          <w:rFonts w:hint="eastAsia" w:ascii="宋体" w:hAnsi="宋体"/>
          <w:sz w:val="28"/>
          <w:szCs w:val="28"/>
          <w:lang w:eastAsia="zh-CN"/>
        </w:rPr>
      </w:pPr>
      <w:bookmarkStart w:id="257" w:name="_Toc21054"/>
      <w:bookmarkStart w:id="258" w:name="_Toc10261"/>
      <w:r>
        <w:rPr>
          <w:rFonts w:hint="eastAsia" w:ascii="宋体" w:hAnsi="宋体"/>
          <w:sz w:val="28"/>
          <w:szCs w:val="28"/>
          <w:lang w:eastAsia="zh-CN"/>
        </w:rPr>
        <w:t>综上所述，根据《危险化学品重大危险源辨识》(GB18218-20</w:t>
      </w:r>
      <w:r>
        <w:rPr>
          <w:rFonts w:hint="eastAsia" w:ascii="宋体" w:hAnsi="宋体"/>
          <w:sz w:val="28"/>
          <w:szCs w:val="28"/>
          <w:lang w:val="en-US" w:eastAsia="zh-CN"/>
        </w:rPr>
        <w:t>18</w:t>
      </w:r>
      <w:r>
        <w:rPr>
          <w:rFonts w:hint="eastAsia" w:ascii="宋体" w:hAnsi="宋体"/>
          <w:sz w:val="28"/>
          <w:szCs w:val="28"/>
          <w:lang w:eastAsia="zh-CN"/>
        </w:rPr>
        <w:t>)，本公司危险化学品的使用和储存均不构成危险化学品重大危险源。即，仪陇县来仪银河页岩砖厂不构成危险化学品重大危险源。</w:t>
      </w:r>
    </w:p>
    <w:p>
      <w:pPr>
        <w:pStyle w:val="8"/>
        <w:spacing w:line="360" w:lineRule="auto"/>
        <w:ind w:firstLine="0" w:firstLineChars="0"/>
        <w:outlineLvl w:val="1"/>
        <w:rPr>
          <w:rFonts w:hint="eastAsia" w:ascii="黑体" w:eastAsia="黑体"/>
          <w:b/>
          <w:snapToGrid w:val="0"/>
          <w:kern w:val="0"/>
          <w:sz w:val="32"/>
          <w:szCs w:val="32"/>
          <w:lang w:val="en-US" w:eastAsia="zh-CN"/>
        </w:rPr>
      </w:pPr>
      <w:bookmarkStart w:id="259" w:name="_Toc13344"/>
      <w:r>
        <w:rPr>
          <w:rFonts w:hint="eastAsia" w:ascii="黑体" w:eastAsia="黑体"/>
          <w:b/>
          <w:snapToGrid w:val="0"/>
          <w:kern w:val="0"/>
          <w:sz w:val="32"/>
          <w:szCs w:val="32"/>
          <w:lang w:val="en-US" w:eastAsia="zh-CN"/>
        </w:rPr>
        <w:t>3.8小结</w:t>
      </w:r>
      <w:bookmarkEnd w:id="257"/>
      <w:bookmarkEnd w:id="258"/>
      <w:bookmarkEnd w:id="259"/>
    </w:p>
    <w:p>
      <w:pPr>
        <w:spacing w:line="360" w:lineRule="auto"/>
        <w:jc w:val="center"/>
        <w:rPr>
          <w:rFonts w:hint="eastAsia" w:ascii="黑体" w:eastAsia="黑体"/>
          <w:b/>
          <w:sz w:val="24"/>
        </w:rPr>
      </w:pPr>
      <w:r>
        <w:rPr>
          <w:rFonts w:hint="eastAsia" w:ascii="黑体" w:eastAsia="黑体"/>
          <w:b/>
          <w:sz w:val="24"/>
        </w:rPr>
        <w:t>表</w:t>
      </w:r>
      <w:r>
        <w:rPr>
          <w:rFonts w:hint="eastAsia" w:ascii="黑体" w:eastAsia="黑体"/>
          <w:b/>
          <w:sz w:val="24"/>
          <w:lang w:val="en-US" w:eastAsia="zh-CN"/>
        </w:rPr>
        <w:t>3</w:t>
      </w:r>
      <w:r>
        <w:rPr>
          <w:rFonts w:ascii="黑体" w:eastAsia="黑体"/>
          <w:b/>
          <w:sz w:val="24"/>
        </w:rPr>
        <w:t>-</w:t>
      </w:r>
      <w:r>
        <w:rPr>
          <w:rFonts w:hint="eastAsia" w:ascii="黑体" w:eastAsia="黑体"/>
          <w:b/>
          <w:sz w:val="24"/>
          <w:lang w:val="en-US" w:eastAsia="zh-CN"/>
        </w:rPr>
        <w:t>5</w:t>
      </w:r>
      <w:r>
        <w:rPr>
          <w:rFonts w:ascii="黑体" w:eastAsia="黑体"/>
          <w:b/>
          <w:sz w:val="24"/>
        </w:rPr>
        <w:t xml:space="preserve">  </w:t>
      </w:r>
      <w:r>
        <w:rPr>
          <w:rFonts w:hint="eastAsia" w:ascii="黑体" w:eastAsia="黑体"/>
          <w:b/>
          <w:sz w:val="24"/>
        </w:rPr>
        <w:t>危险、有害因素汇总表</w:t>
      </w:r>
    </w:p>
    <w:tbl>
      <w:tblPr>
        <w:tblStyle w:val="19"/>
        <w:tblpPr w:leftFromText="180" w:rightFromText="180" w:vertAnchor="text" w:horzAnchor="page" w:tblpX="1249" w:tblpY="447"/>
        <w:tblOverlap w:val="never"/>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594"/>
        <w:gridCol w:w="2148"/>
        <w:gridCol w:w="5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640" w:type="dxa"/>
            <w:noWrap w:val="0"/>
            <w:vAlign w:val="center"/>
          </w:tcPr>
          <w:p>
            <w:pPr>
              <w:spacing w:line="240" w:lineRule="auto"/>
              <w:jc w:val="center"/>
              <w:rPr>
                <w:rFonts w:hint="eastAsia" w:ascii="宋体" w:hAnsi="宋体" w:cs="宋体"/>
                <w:color w:val="auto"/>
                <w:sz w:val="24"/>
              </w:rPr>
            </w:pPr>
            <w:bookmarkStart w:id="260" w:name="_Toc29398"/>
            <w:bookmarkStart w:id="261" w:name="_Toc10334"/>
            <w:r>
              <w:rPr>
                <w:rFonts w:hint="eastAsia" w:ascii="宋体" w:hAnsi="宋体" w:cs="宋体"/>
                <w:color w:val="auto"/>
                <w:sz w:val="24"/>
              </w:rPr>
              <w:t>序号</w:t>
            </w:r>
          </w:p>
        </w:tc>
        <w:tc>
          <w:tcPr>
            <w:tcW w:w="1594" w:type="dxa"/>
            <w:noWrap w:val="0"/>
            <w:vAlign w:val="center"/>
          </w:tcPr>
          <w:p>
            <w:pPr>
              <w:spacing w:line="240" w:lineRule="auto"/>
              <w:jc w:val="center"/>
              <w:rPr>
                <w:rFonts w:hint="eastAsia" w:ascii="宋体" w:hAnsi="宋体" w:cs="宋体"/>
                <w:color w:val="auto"/>
                <w:sz w:val="24"/>
              </w:rPr>
            </w:pPr>
            <w:r>
              <w:rPr>
                <w:rFonts w:hint="eastAsia" w:ascii="宋体" w:hAnsi="宋体" w:cs="宋体"/>
                <w:color w:val="auto"/>
                <w:sz w:val="24"/>
              </w:rPr>
              <w:t>活动/工序/地点</w:t>
            </w:r>
          </w:p>
        </w:tc>
        <w:tc>
          <w:tcPr>
            <w:tcW w:w="2148" w:type="dxa"/>
            <w:noWrap w:val="0"/>
            <w:vAlign w:val="center"/>
          </w:tcPr>
          <w:p>
            <w:pPr>
              <w:spacing w:line="240" w:lineRule="auto"/>
              <w:jc w:val="center"/>
              <w:rPr>
                <w:rFonts w:hint="eastAsia" w:ascii="宋体" w:hAnsi="宋体" w:cs="宋体"/>
                <w:color w:val="auto"/>
                <w:sz w:val="24"/>
              </w:rPr>
            </w:pPr>
            <w:r>
              <w:rPr>
                <w:rFonts w:hint="eastAsia" w:ascii="宋体" w:hAnsi="宋体" w:cs="宋体"/>
                <w:color w:val="auto"/>
                <w:sz w:val="24"/>
              </w:rPr>
              <w:t>项 目</w:t>
            </w:r>
          </w:p>
        </w:tc>
        <w:tc>
          <w:tcPr>
            <w:tcW w:w="5246" w:type="dxa"/>
            <w:noWrap w:val="0"/>
            <w:vAlign w:val="center"/>
          </w:tcPr>
          <w:p>
            <w:pPr>
              <w:spacing w:line="240" w:lineRule="auto"/>
              <w:jc w:val="center"/>
              <w:rPr>
                <w:rFonts w:hint="eastAsia" w:ascii="宋体" w:hAnsi="宋体" w:cs="宋体"/>
                <w:color w:val="auto"/>
                <w:sz w:val="24"/>
              </w:rPr>
            </w:pPr>
            <w:r>
              <w:rPr>
                <w:rFonts w:hint="eastAsia" w:ascii="宋体" w:hAnsi="宋体" w:cs="宋体"/>
                <w:color w:val="auto"/>
                <w:sz w:val="24"/>
              </w:rPr>
              <w:t>主要危险、危害简要分析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640" w:type="dxa"/>
            <w:noWrap w:val="0"/>
            <w:vAlign w:val="center"/>
          </w:tcPr>
          <w:p>
            <w:pPr>
              <w:spacing w:line="240" w:lineRule="auto"/>
              <w:jc w:val="center"/>
              <w:rPr>
                <w:rFonts w:hint="eastAsia" w:ascii="宋体" w:hAnsi="宋体" w:cs="宋体"/>
                <w:color w:val="auto"/>
                <w:sz w:val="24"/>
              </w:rPr>
            </w:pPr>
            <w:r>
              <w:rPr>
                <w:rFonts w:hint="eastAsia" w:ascii="宋体" w:hAnsi="宋体" w:cs="宋体"/>
                <w:color w:val="auto"/>
                <w:sz w:val="24"/>
              </w:rPr>
              <w:t>1</w:t>
            </w:r>
          </w:p>
        </w:tc>
        <w:tc>
          <w:tcPr>
            <w:tcW w:w="1594" w:type="dxa"/>
            <w:vMerge w:val="restart"/>
            <w:noWrap w:val="0"/>
            <w:vAlign w:val="center"/>
          </w:tcPr>
          <w:p>
            <w:pPr>
              <w:spacing w:line="240" w:lineRule="auto"/>
              <w:jc w:val="center"/>
              <w:rPr>
                <w:rFonts w:hint="eastAsia" w:ascii="宋体" w:hAnsi="宋体" w:cs="宋体"/>
                <w:color w:val="auto"/>
                <w:sz w:val="24"/>
              </w:rPr>
            </w:pPr>
            <w:r>
              <w:rPr>
                <w:rFonts w:hint="eastAsia" w:ascii="宋体" w:hAnsi="宋体" w:cs="宋体"/>
                <w:color w:val="auto"/>
                <w:sz w:val="24"/>
              </w:rPr>
              <w:t>进入工作场所人员</w:t>
            </w:r>
          </w:p>
        </w:tc>
        <w:tc>
          <w:tcPr>
            <w:tcW w:w="2148" w:type="dxa"/>
            <w:noWrap w:val="0"/>
            <w:vAlign w:val="center"/>
          </w:tcPr>
          <w:p>
            <w:pPr>
              <w:spacing w:line="240" w:lineRule="auto"/>
              <w:jc w:val="center"/>
              <w:rPr>
                <w:rFonts w:hint="eastAsia" w:ascii="宋体" w:hAnsi="宋体" w:cs="宋体"/>
                <w:color w:val="auto"/>
                <w:sz w:val="24"/>
              </w:rPr>
            </w:pPr>
            <w:r>
              <w:rPr>
                <w:rFonts w:hint="eastAsia" w:ascii="宋体" w:hAnsi="宋体" w:cs="宋体"/>
                <w:color w:val="auto"/>
                <w:sz w:val="24"/>
              </w:rPr>
              <w:t>进场安全教育</w:t>
            </w:r>
          </w:p>
        </w:tc>
        <w:tc>
          <w:tcPr>
            <w:tcW w:w="5246" w:type="dxa"/>
            <w:noWrap w:val="0"/>
            <w:vAlign w:val="center"/>
          </w:tcPr>
          <w:p>
            <w:pPr>
              <w:spacing w:line="240" w:lineRule="auto"/>
              <w:jc w:val="left"/>
              <w:rPr>
                <w:rFonts w:hint="eastAsia" w:ascii="宋体" w:hAnsi="宋体" w:cs="宋体"/>
                <w:color w:val="auto"/>
                <w:sz w:val="24"/>
              </w:rPr>
            </w:pPr>
            <w:r>
              <w:rPr>
                <w:rFonts w:hint="eastAsia" w:ascii="宋体" w:hAnsi="宋体" w:cs="宋体"/>
                <w:color w:val="auto"/>
                <w:sz w:val="24"/>
              </w:rPr>
              <w:t>为严格按规定内容教育，造成多种伤害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640" w:type="dxa"/>
            <w:noWrap w:val="0"/>
            <w:vAlign w:val="center"/>
          </w:tcPr>
          <w:p>
            <w:pPr>
              <w:spacing w:line="240" w:lineRule="auto"/>
              <w:jc w:val="center"/>
              <w:rPr>
                <w:rFonts w:hint="eastAsia" w:ascii="宋体" w:hAnsi="宋体" w:cs="宋体"/>
                <w:color w:val="auto"/>
                <w:sz w:val="24"/>
              </w:rPr>
            </w:pPr>
            <w:r>
              <w:rPr>
                <w:rFonts w:hint="eastAsia" w:ascii="宋体" w:hAnsi="宋体" w:cs="宋体"/>
                <w:color w:val="auto"/>
                <w:sz w:val="24"/>
              </w:rPr>
              <w:t>2</w:t>
            </w:r>
          </w:p>
        </w:tc>
        <w:tc>
          <w:tcPr>
            <w:tcW w:w="1594" w:type="dxa"/>
            <w:vMerge w:val="continue"/>
            <w:noWrap w:val="0"/>
            <w:vAlign w:val="center"/>
          </w:tcPr>
          <w:p>
            <w:pPr>
              <w:spacing w:line="240" w:lineRule="auto"/>
              <w:jc w:val="center"/>
              <w:rPr>
                <w:rFonts w:hint="eastAsia" w:ascii="宋体" w:hAnsi="宋体" w:cs="宋体"/>
                <w:color w:val="auto"/>
                <w:sz w:val="24"/>
              </w:rPr>
            </w:pPr>
          </w:p>
        </w:tc>
        <w:tc>
          <w:tcPr>
            <w:tcW w:w="2148" w:type="dxa"/>
            <w:noWrap w:val="0"/>
            <w:vAlign w:val="center"/>
          </w:tcPr>
          <w:p>
            <w:pPr>
              <w:spacing w:line="240" w:lineRule="auto"/>
              <w:jc w:val="center"/>
              <w:rPr>
                <w:rFonts w:hint="eastAsia" w:ascii="宋体" w:hAnsi="宋体" w:cs="宋体"/>
                <w:color w:val="auto"/>
                <w:sz w:val="24"/>
              </w:rPr>
            </w:pPr>
            <w:r>
              <w:rPr>
                <w:rFonts w:hint="eastAsia" w:ascii="宋体" w:hAnsi="宋体" w:cs="宋体"/>
                <w:color w:val="auto"/>
                <w:sz w:val="24"/>
              </w:rPr>
              <w:t>特殊工种及特种作业人员培训</w:t>
            </w:r>
          </w:p>
        </w:tc>
        <w:tc>
          <w:tcPr>
            <w:tcW w:w="5246" w:type="dxa"/>
            <w:noWrap w:val="0"/>
            <w:vAlign w:val="center"/>
          </w:tcPr>
          <w:p>
            <w:pPr>
              <w:spacing w:line="240" w:lineRule="auto"/>
              <w:jc w:val="left"/>
              <w:rPr>
                <w:rFonts w:hint="eastAsia" w:ascii="宋体" w:hAnsi="宋体" w:cs="宋体"/>
                <w:color w:val="auto"/>
                <w:sz w:val="24"/>
              </w:rPr>
            </w:pPr>
            <w:r>
              <w:rPr>
                <w:rFonts w:hint="eastAsia" w:ascii="宋体" w:hAnsi="宋体" w:cs="宋体"/>
                <w:color w:val="auto"/>
                <w:sz w:val="24"/>
              </w:rPr>
              <w:t>作业人员培训效果不好，造成多种伤害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640" w:type="dxa"/>
            <w:noWrap w:val="0"/>
            <w:vAlign w:val="center"/>
          </w:tcPr>
          <w:p>
            <w:pPr>
              <w:spacing w:line="240" w:lineRule="auto"/>
              <w:jc w:val="center"/>
              <w:rPr>
                <w:rFonts w:hint="eastAsia" w:ascii="宋体" w:hAnsi="宋体" w:cs="宋体"/>
                <w:color w:val="auto"/>
                <w:sz w:val="24"/>
              </w:rPr>
            </w:pPr>
            <w:r>
              <w:rPr>
                <w:rFonts w:hint="eastAsia" w:ascii="宋体" w:hAnsi="宋体" w:cs="宋体"/>
                <w:color w:val="auto"/>
                <w:sz w:val="24"/>
              </w:rPr>
              <w:t>3</w:t>
            </w:r>
          </w:p>
        </w:tc>
        <w:tc>
          <w:tcPr>
            <w:tcW w:w="1594" w:type="dxa"/>
            <w:vMerge w:val="continue"/>
            <w:noWrap w:val="0"/>
            <w:vAlign w:val="center"/>
          </w:tcPr>
          <w:p>
            <w:pPr>
              <w:spacing w:line="240" w:lineRule="auto"/>
              <w:jc w:val="center"/>
              <w:rPr>
                <w:rFonts w:hint="eastAsia" w:ascii="宋体" w:hAnsi="宋体" w:cs="宋体"/>
                <w:color w:val="auto"/>
                <w:sz w:val="24"/>
              </w:rPr>
            </w:pPr>
          </w:p>
        </w:tc>
        <w:tc>
          <w:tcPr>
            <w:tcW w:w="2148" w:type="dxa"/>
            <w:noWrap w:val="0"/>
            <w:vAlign w:val="center"/>
          </w:tcPr>
          <w:p>
            <w:pPr>
              <w:spacing w:line="240" w:lineRule="auto"/>
              <w:jc w:val="center"/>
              <w:rPr>
                <w:rFonts w:hint="eastAsia" w:ascii="宋体" w:hAnsi="宋体" w:cs="宋体"/>
                <w:color w:val="auto"/>
                <w:sz w:val="24"/>
              </w:rPr>
            </w:pPr>
            <w:r>
              <w:rPr>
                <w:rFonts w:hint="eastAsia" w:ascii="宋体" w:hAnsi="宋体" w:cs="宋体"/>
                <w:color w:val="auto"/>
                <w:sz w:val="24"/>
              </w:rPr>
              <w:t>现场作业人员教育</w:t>
            </w:r>
          </w:p>
        </w:tc>
        <w:tc>
          <w:tcPr>
            <w:tcW w:w="5246" w:type="dxa"/>
            <w:noWrap w:val="0"/>
            <w:vAlign w:val="center"/>
          </w:tcPr>
          <w:p>
            <w:pPr>
              <w:spacing w:line="240" w:lineRule="auto"/>
              <w:jc w:val="left"/>
              <w:rPr>
                <w:rFonts w:hint="eastAsia" w:ascii="宋体" w:hAnsi="宋体" w:cs="宋体"/>
                <w:color w:val="auto"/>
                <w:sz w:val="24"/>
              </w:rPr>
            </w:pPr>
            <w:r>
              <w:rPr>
                <w:rFonts w:hint="eastAsia" w:ascii="宋体" w:hAnsi="宋体" w:cs="宋体"/>
                <w:color w:val="auto"/>
                <w:sz w:val="24"/>
              </w:rPr>
              <w:t>安全意识不强，发生高处坠落和物体打击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0" w:type="dxa"/>
            <w:noWrap w:val="0"/>
            <w:vAlign w:val="center"/>
          </w:tcPr>
          <w:p>
            <w:pPr>
              <w:spacing w:line="240" w:lineRule="auto"/>
              <w:jc w:val="center"/>
              <w:rPr>
                <w:rFonts w:hint="eastAsia" w:ascii="宋体" w:hAnsi="宋体" w:cs="宋体"/>
                <w:color w:val="auto"/>
                <w:sz w:val="24"/>
              </w:rPr>
            </w:pPr>
            <w:r>
              <w:rPr>
                <w:rFonts w:hint="eastAsia" w:ascii="宋体" w:hAnsi="宋体" w:cs="宋体"/>
                <w:color w:val="auto"/>
                <w:sz w:val="24"/>
              </w:rPr>
              <w:t>4</w:t>
            </w:r>
          </w:p>
        </w:tc>
        <w:tc>
          <w:tcPr>
            <w:tcW w:w="1594" w:type="dxa"/>
            <w:noWrap w:val="0"/>
            <w:vAlign w:val="center"/>
          </w:tcPr>
          <w:p>
            <w:pPr>
              <w:spacing w:line="240" w:lineRule="auto"/>
              <w:jc w:val="center"/>
              <w:rPr>
                <w:rFonts w:hint="eastAsia" w:ascii="宋体" w:hAnsi="宋体" w:cs="宋体"/>
                <w:color w:val="auto"/>
                <w:sz w:val="24"/>
              </w:rPr>
            </w:pPr>
            <w:r>
              <w:rPr>
                <w:rFonts w:hint="eastAsia" w:ascii="宋体" w:hAnsi="宋体" w:cs="宋体"/>
                <w:color w:val="auto"/>
                <w:sz w:val="24"/>
              </w:rPr>
              <w:t xml:space="preserve"> 原材料、辅料储存和运输</w:t>
            </w:r>
          </w:p>
        </w:tc>
        <w:tc>
          <w:tcPr>
            <w:tcW w:w="2148" w:type="dxa"/>
            <w:noWrap w:val="0"/>
            <w:vAlign w:val="center"/>
          </w:tcPr>
          <w:p>
            <w:pPr>
              <w:spacing w:line="240" w:lineRule="auto"/>
              <w:jc w:val="center"/>
              <w:rPr>
                <w:rFonts w:hint="eastAsia" w:ascii="宋体" w:hAnsi="宋体" w:eastAsia="宋体" w:cs="宋体"/>
                <w:color w:val="auto"/>
                <w:sz w:val="24"/>
                <w:lang w:eastAsia="zh-CN"/>
              </w:rPr>
            </w:pPr>
            <w:r>
              <w:rPr>
                <w:rFonts w:hint="eastAsia" w:ascii="宋体" w:hAnsi="宋体" w:cs="宋体"/>
                <w:color w:val="auto"/>
                <w:sz w:val="24"/>
                <w:lang w:eastAsia="zh-CN"/>
              </w:rPr>
              <w:t>页岩矿、煤、砖</w:t>
            </w:r>
          </w:p>
        </w:tc>
        <w:tc>
          <w:tcPr>
            <w:tcW w:w="5246" w:type="dxa"/>
            <w:noWrap w:val="0"/>
            <w:vAlign w:val="center"/>
          </w:tcPr>
          <w:p>
            <w:pPr>
              <w:spacing w:line="240" w:lineRule="auto"/>
              <w:jc w:val="left"/>
              <w:rPr>
                <w:rFonts w:hint="eastAsia" w:ascii="宋体" w:hAnsi="宋体" w:cs="宋体"/>
                <w:color w:val="auto"/>
                <w:sz w:val="24"/>
              </w:rPr>
            </w:pPr>
            <w:r>
              <w:rPr>
                <w:rFonts w:hint="eastAsia" w:ascii="宋体" w:hAnsi="宋体" w:cs="宋体"/>
                <w:color w:val="auto"/>
                <w:sz w:val="24"/>
              </w:rPr>
              <w:t>在装卸、</w:t>
            </w:r>
            <w:r>
              <w:rPr>
                <w:rFonts w:hint="eastAsia" w:ascii="宋体" w:hAnsi="宋体" w:cs="宋体"/>
                <w:color w:val="auto"/>
                <w:sz w:val="24"/>
                <w:lang w:eastAsia="zh-CN"/>
              </w:rPr>
              <w:t>破碎</w:t>
            </w:r>
            <w:r>
              <w:rPr>
                <w:rFonts w:hint="eastAsia" w:ascii="宋体" w:hAnsi="宋体" w:cs="宋体"/>
                <w:color w:val="auto"/>
                <w:sz w:val="24"/>
              </w:rPr>
              <w:t>、</w:t>
            </w:r>
            <w:r>
              <w:rPr>
                <w:rFonts w:hint="eastAsia" w:ascii="宋体" w:hAnsi="宋体" w:cs="宋体"/>
                <w:color w:val="auto"/>
                <w:sz w:val="24"/>
                <w:lang w:eastAsia="zh-CN"/>
              </w:rPr>
              <w:t>制砖、上煤、</w:t>
            </w:r>
            <w:r>
              <w:rPr>
                <w:rFonts w:hint="eastAsia" w:ascii="宋体" w:hAnsi="宋体" w:cs="宋体"/>
                <w:color w:val="auto"/>
                <w:sz w:val="24"/>
              </w:rPr>
              <w:t>搅拌过程中主要存在粉尘危害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640" w:type="dxa"/>
            <w:noWrap w:val="0"/>
            <w:vAlign w:val="center"/>
          </w:tcPr>
          <w:p>
            <w:pPr>
              <w:spacing w:line="240" w:lineRule="auto"/>
              <w:jc w:val="center"/>
              <w:rPr>
                <w:rFonts w:hint="eastAsia" w:ascii="宋体" w:hAnsi="宋体" w:eastAsia="宋体" w:cs="宋体"/>
                <w:color w:val="auto"/>
                <w:sz w:val="24"/>
                <w:lang w:eastAsia="zh-CN"/>
              </w:rPr>
            </w:pPr>
            <w:r>
              <w:rPr>
                <w:rFonts w:hint="eastAsia" w:ascii="宋体" w:hAnsi="宋体" w:cs="宋体"/>
                <w:color w:val="auto"/>
                <w:sz w:val="24"/>
              </w:rPr>
              <w:t>5</w:t>
            </w:r>
          </w:p>
        </w:tc>
        <w:tc>
          <w:tcPr>
            <w:tcW w:w="1594" w:type="dxa"/>
            <w:vMerge w:val="restart"/>
            <w:noWrap w:val="0"/>
            <w:vAlign w:val="center"/>
          </w:tcPr>
          <w:p>
            <w:pPr>
              <w:spacing w:line="240" w:lineRule="auto"/>
              <w:jc w:val="center"/>
              <w:rPr>
                <w:rFonts w:hint="eastAsia" w:ascii="宋体" w:hAnsi="宋体" w:cs="宋体"/>
                <w:color w:val="auto"/>
                <w:sz w:val="24"/>
              </w:rPr>
            </w:pPr>
            <w:r>
              <w:rPr>
                <w:rFonts w:hint="eastAsia" w:ascii="宋体" w:hAnsi="宋体" w:cs="宋体"/>
                <w:color w:val="auto"/>
                <w:sz w:val="24"/>
              </w:rPr>
              <w:t>生产</w:t>
            </w:r>
          </w:p>
          <w:p>
            <w:pPr>
              <w:spacing w:line="240" w:lineRule="auto"/>
              <w:jc w:val="center"/>
              <w:rPr>
                <w:rFonts w:hint="eastAsia" w:ascii="宋体" w:hAnsi="宋体" w:cs="宋体"/>
                <w:color w:val="auto"/>
                <w:sz w:val="24"/>
              </w:rPr>
            </w:pPr>
            <w:r>
              <w:rPr>
                <w:rFonts w:hint="eastAsia" w:ascii="宋体" w:hAnsi="宋体" w:cs="宋体"/>
                <w:color w:val="auto"/>
                <w:sz w:val="24"/>
              </w:rPr>
              <w:t>过程</w:t>
            </w:r>
          </w:p>
        </w:tc>
        <w:tc>
          <w:tcPr>
            <w:tcW w:w="2148" w:type="dxa"/>
            <w:noWrap w:val="0"/>
            <w:vAlign w:val="center"/>
          </w:tcPr>
          <w:p>
            <w:pPr>
              <w:spacing w:line="240" w:lineRule="auto"/>
              <w:jc w:val="center"/>
              <w:rPr>
                <w:rFonts w:hint="eastAsia" w:ascii="宋体" w:hAnsi="宋体" w:cs="宋体"/>
                <w:color w:val="auto"/>
                <w:sz w:val="24"/>
              </w:rPr>
            </w:pPr>
            <w:r>
              <w:rPr>
                <w:rFonts w:hint="eastAsia" w:ascii="宋体" w:hAnsi="宋体" w:cs="宋体"/>
                <w:color w:val="auto"/>
                <w:sz w:val="24"/>
              </w:rPr>
              <w:t>凿岩作业</w:t>
            </w:r>
            <w:r>
              <w:rPr>
                <w:rFonts w:hint="eastAsia" w:ascii="宋体" w:hAnsi="宋体" w:cs="宋体"/>
                <w:color w:val="auto"/>
                <w:sz w:val="24"/>
                <w:lang w:eastAsia="zh-CN"/>
              </w:rPr>
              <w:t>和</w:t>
            </w:r>
            <w:r>
              <w:rPr>
                <w:rFonts w:hint="eastAsia" w:ascii="宋体" w:hAnsi="宋体" w:cs="宋体"/>
                <w:color w:val="auto"/>
                <w:sz w:val="24"/>
              </w:rPr>
              <w:t>砖窑</w:t>
            </w:r>
            <w:r>
              <w:rPr>
                <w:rFonts w:hint="eastAsia" w:ascii="宋体" w:hAnsi="宋体" w:cs="宋体"/>
                <w:color w:val="auto"/>
                <w:sz w:val="24"/>
                <w:lang w:eastAsia="zh-CN"/>
              </w:rPr>
              <w:t>等</w:t>
            </w:r>
          </w:p>
        </w:tc>
        <w:tc>
          <w:tcPr>
            <w:tcW w:w="5246" w:type="dxa"/>
            <w:noWrap w:val="0"/>
            <w:vAlign w:val="center"/>
          </w:tcPr>
          <w:p>
            <w:pPr>
              <w:spacing w:line="240" w:lineRule="auto"/>
              <w:jc w:val="left"/>
              <w:rPr>
                <w:rFonts w:hint="eastAsia" w:ascii="宋体" w:hAnsi="宋体" w:cs="宋体"/>
                <w:color w:val="auto"/>
                <w:sz w:val="24"/>
              </w:rPr>
            </w:pPr>
            <w:r>
              <w:rPr>
                <w:rFonts w:hint="eastAsia" w:ascii="宋体" w:hAnsi="宋体" w:cs="宋体"/>
                <w:color w:val="auto"/>
                <w:sz w:val="24"/>
              </w:rPr>
              <w:t>造成物体打击及高处坠落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640" w:type="dxa"/>
            <w:noWrap w:val="0"/>
            <w:vAlign w:val="center"/>
          </w:tcPr>
          <w:p>
            <w:pPr>
              <w:spacing w:line="240" w:lineRule="auto"/>
              <w:jc w:val="center"/>
              <w:rPr>
                <w:rFonts w:hint="eastAsia" w:ascii="宋体" w:hAnsi="宋体" w:cs="宋体"/>
                <w:color w:val="auto"/>
                <w:sz w:val="24"/>
              </w:rPr>
            </w:pPr>
          </w:p>
        </w:tc>
        <w:tc>
          <w:tcPr>
            <w:tcW w:w="1594" w:type="dxa"/>
            <w:vMerge w:val="continue"/>
            <w:noWrap w:val="0"/>
            <w:vAlign w:val="center"/>
          </w:tcPr>
          <w:p>
            <w:pPr>
              <w:spacing w:line="240" w:lineRule="auto"/>
              <w:jc w:val="center"/>
              <w:rPr>
                <w:rFonts w:hint="eastAsia" w:ascii="宋体" w:hAnsi="宋体" w:cs="宋体"/>
                <w:color w:val="auto"/>
                <w:sz w:val="24"/>
              </w:rPr>
            </w:pPr>
          </w:p>
        </w:tc>
        <w:tc>
          <w:tcPr>
            <w:tcW w:w="2148" w:type="dxa"/>
            <w:noWrap w:val="0"/>
            <w:vAlign w:val="center"/>
          </w:tcPr>
          <w:p>
            <w:pPr>
              <w:spacing w:line="240" w:lineRule="auto"/>
              <w:jc w:val="center"/>
              <w:rPr>
                <w:rFonts w:hint="eastAsia" w:ascii="宋体" w:hAnsi="宋体" w:cs="宋体"/>
                <w:color w:val="auto"/>
                <w:sz w:val="24"/>
              </w:rPr>
            </w:pPr>
            <w:r>
              <w:rPr>
                <w:rFonts w:hint="eastAsia" w:ascii="宋体" w:hAnsi="宋体" w:cs="宋体"/>
                <w:color w:val="auto"/>
                <w:sz w:val="24"/>
                <w:lang w:eastAsia="zh-CN"/>
              </w:rPr>
              <w:t>破碎区上料口、上砖</w:t>
            </w:r>
            <w:r>
              <w:rPr>
                <w:rFonts w:hint="eastAsia" w:ascii="宋体" w:hAnsi="宋体" w:cs="宋体"/>
                <w:color w:val="auto"/>
                <w:sz w:val="24"/>
              </w:rPr>
              <w:t>作业场所</w:t>
            </w:r>
            <w:r>
              <w:rPr>
                <w:rFonts w:hint="eastAsia" w:ascii="宋体" w:hAnsi="宋体" w:cs="宋体"/>
                <w:color w:val="auto"/>
                <w:sz w:val="24"/>
                <w:lang w:eastAsia="zh-CN"/>
              </w:rPr>
              <w:t>和</w:t>
            </w:r>
            <w:r>
              <w:rPr>
                <w:rFonts w:hint="eastAsia" w:ascii="宋体" w:hAnsi="宋体" w:cs="宋体"/>
                <w:color w:val="auto"/>
                <w:sz w:val="24"/>
              </w:rPr>
              <w:t>运输途中</w:t>
            </w:r>
          </w:p>
        </w:tc>
        <w:tc>
          <w:tcPr>
            <w:tcW w:w="5246" w:type="dxa"/>
            <w:noWrap w:val="0"/>
            <w:vAlign w:val="center"/>
          </w:tcPr>
          <w:p>
            <w:pPr>
              <w:spacing w:line="240" w:lineRule="auto"/>
              <w:jc w:val="left"/>
              <w:rPr>
                <w:rFonts w:hint="eastAsia" w:ascii="宋体" w:hAnsi="宋体" w:eastAsia="宋体" w:cs="宋体"/>
                <w:color w:val="auto"/>
                <w:sz w:val="24"/>
                <w:lang w:val="en-US" w:eastAsia="zh-CN"/>
              </w:rPr>
            </w:pPr>
            <w:r>
              <w:rPr>
                <w:rFonts w:hint="eastAsia" w:ascii="宋体" w:hAnsi="宋体" w:cs="宋体"/>
                <w:color w:val="auto"/>
                <w:sz w:val="24"/>
              </w:rPr>
              <w:t>造成</w:t>
            </w:r>
            <w:r>
              <w:rPr>
                <w:rFonts w:hint="eastAsia" w:ascii="宋体" w:hAnsi="宋体" w:cs="宋体"/>
                <w:color w:val="auto"/>
                <w:sz w:val="24"/>
                <w:lang w:eastAsia="zh-CN"/>
              </w:rPr>
              <w:t>车辆伤害、机械伤害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40" w:type="dxa"/>
            <w:noWrap w:val="0"/>
            <w:vAlign w:val="center"/>
          </w:tcPr>
          <w:p>
            <w:pPr>
              <w:spacing w:line="240" w:lineRule="auto"/>
              <w:jc w:val="center"/>
              <w:rPr>
                <w:rFonts w:hint="eastAsia" w:ascii="宋体" w:hAnsi="宋体" w:eastAsia="宋体" w:cs="宋体"/>
                <w:color w:val="auto"/>
                <w:sz w:val="24"/>
                <w:lang w:eastAsia="zh-CN"/>
              </w:rPr>
            </w:pPr>
            <w:r>
              <w:rPr>
                <w:rFonts w:hint="eastAsia" w:ascii="宋体" w:hAnsi="宋体" w:cs="宋体"/>
                <w:color w:val="auto"/>
                <w:sz w:val="24"/>
              </w:rPr>
              <w:t>6</w:t>
            </w:r>
          </w:p>
        </w:tc>
        <w:tc>
          <w:tcPr>
            <w:tcW w:w="1594" w:type="dxa"/>
            <w:vMerge w:val="continue"/>
            <w:noWrap w:val="0"/>
            <w:vAlign w:val="center"/>
          </w:tcPr>
          <w:p>
            <w:pPr>
              <w:spacing w:line="240" w:lineRule="auto"/>
              <w:jc w:val="center"/>
              <w:rPr>
                <w:rFonts w:hint="eastAsia" w:ascii="宋体" w:hAnsi="宋体" w:cs="宋体"/>
                <w:color w:val="auto"/>
                <w:sz w:val="24"/>
              </w:rPr>
            </w:pPr>
          </w:p>
        </w:tc>
        <w:tc>
          <w:tcPr>
            <w:tcW w:w="2148" w:type="dxa"/>
            <w:noWrap w:val="0"/>
            <w:vAlign w:val="center"/>
          </w:tcPr>
          <w:p>
            <w:pPr>
              <w:spacing w:line="240" w:lineRule="auto"/>
              <w:jc w:val="center"/>
              <w:rPr>
                <w:rFonts w:hint="eastAsia" w:ascii="宋体" w:hAnsi="宋体" w:cs="宋体"/>
                <w:color w:val="auto"/>
                <w:sz w:val="24"/>
                <w:lang w:eastAsia="zh-CN"/>
              </w:rPr>
            </w:pPr>
            <w:r>
              <w:rPr>
                <w:rFonts w:hint="eastAsia" w:ascii="宋体" w:hAnsi="宋体" w:cs="宋体"/>
                <w:color w:val="auto"/>
                <w:sz w:val="24"/>
                <w:lang w:eastAsia="zh-CN"/>
              </w:rPr>
              <w:t>堆土场坍塌和成品区坍塌</w:t>
            </w:r>
          </w:p>
        </w:tc>
        <w:tc>
          <w:tcPr>
            <w:tcW w:w="5246" w:type="dxa"/>
            <w:noWrap w:val="0"/>
            <w:vAlign w:val="center"/>
          </w:tcPr>
          <w:p>
            <w:pPr>
              <w:spacing w:line="240" w:lineRule="auto"/>
              <w:jc w:val="left"/>
              <w:rPr>
                <w:rFonts w:hint="eastAsia" w:ascii="宋体" w:hAnsi="宋体" w:cs="宋体"/>
                <w:color w:val="auto"/>
                <w:sz w:val="24"/>
                <w:lang w:eastAsia="zh-CN"/>
              </w:rPr>
            </w:pPr>
            <w:r>
              <w:rPr>
                <w:rFonts w:hint="eastAsia" w:ascii="宋体" w:hAnsi="宋体" w:cs="宋体"/>
                <w:color w:val="auto"/>
                <w:sz w:val="24"/>
                <w:lang w:eastAsia="zh-CN"/>
              </w:rPr>
              <w:t>造成坍塌事故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40" w:type="dxa"/>
            <w:noWrap w:val="0"/>
            <w:vAlign w:val="center"/>
          </w:tcPr>
          <w:p>
            <w:pPr>
              <w:spacing w:line="240" w:lineRule="auto"/>
              <w:jc w:val="center"/>
              <w:rPr>
                <w:rFonts w:hint="eastAsia" w:ascii="宋体" w:hAnsi="宋体" w:cs="宋体"/>
                <w:color w:val="auto"/>
                <w:sz w:val="24"/>
              </w:rPr>
            </w:pPr>
          </w:p>
        </w:tc>
        <w:tc>
          <w:tcPr>
            <w:tcW w:w="1594" w:type="dxa"/>
            <w:vMerge w:val="continue"/>
            <w:noWrap w:val="0"/>
            <w:vAlign w:val="center"/>
          </w:tcPr>
          <w:p>
            <w:pPr>
              <w:spacing w:line="240" w:lineRule="auto"/>
              <w:jc w:val="center"/>
              <w:rPr>
                <w:rFonts w:hint="eastAsia" w:ascii="宋体" w:hAnsi="宋体" w:cs="宋体"/>
                <w:color w:val="auto"/>
                <w:sz w:val="24"/>
              </w:rPr>
            </w:pPr>
          </w:p>
        </w:tc>
        <w:tc>
          <w:tcPr>
            <w:tcW w:w="2148" w:type="dxa"/>
            <w:noWrap w:val="0"/>
            <w:vAlign w:val="center"/>
          </w:tcPr>
          <w:p>
            <w:pPr>
              <w:spacing w:line="240" w:lineRule="auto"/>
              <w:jc w:val="center"/>
              <w:rPr>
                <w:rFonts w:hint="eastAsia" w:ascii="宋体" w:hAnsi="宋体" w:cs="宋体"/>
                <w:color w:val="auto"/>
                <w:sz w:val="24"/>
                <w:lang w:eastAsia="zh-CN"/>
              </w:rPr>
            </w:pPr>
            <w:r>
              <w:rPr>
                <w:rFonts w:hint="eastAsia" w:ascii="宋体" w:hAnsi="宋体" w:cs="宋体"/>
                <w:color w:val="auto"/>
                <w:sz w:val="24"/>
                <w:lang w:eastAsia="zh-CN"/>
              </w:rPr>
              <w:t>烧窑过程中</w:t>
            </w:r>
          </w:p>
        </w:tc>
        <w:tc>
          <w:tcPr>
            <w:tcW w:w="5246" w:type="dxa"/>
            <w:noWrap w:val="0"/>
            <w:vAlign w:val="center"/>
          </w:tcPr>
          <w:p>
            <w:pPr>
              <w:spacing w:line="240" w:lineRule="auto"/>
              <w:jc w:val="left"/>
              <w:rPr>
                <w:rFonts w:hint="eastAsia" w:ascii="宋体" w:hAnsi="宋体" w:cs="宋体"/>
                <w:color w:val="auto"/>
                <w:sz w:val="24"/>
                <w:lang w:eastAsia="zh-CN"/>
              </w:rPr>
            </w:pPr>
            <w:r>
              <w:rPr>
                <w:rFonts w:hint="eastAsia" w:ascii="宋体" w:hAnsi="宋体" w:cs="宋体"/>
                <w:color w:val="auto"/>
                <w:sz w:val="24"/>
                <w:lang w:eastAsia="zh-CN"/>
              </w:rPr>
              <w:t>造成中毒窒息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640" w:type="dxa"/>
            <w:noWrap w:val="0"/>
            <w:vAlign w:val="center"/>
          </w:tcPr>
          <w:p>
            <w:pPr>
              <w:spacing w:line="240" w:lineRule="auto"/>
              <w:jc w:val="center"/>
              <w:rPr>
                <w:rFonts w:hint="eastAsia" w:ascii="宋体" w:hAnsi="宋体" w:eastAsia="宋体" w:cs="宋体"/>
                <w:color w:val="auto"/>
                <w:sz w:val="24"/>
                <w:lang w:eastAsia="zh-CN"/>
              </w:rPr>
            </w:pPr>
            <w:r>
              <w:rPr>
                <w:rFonts w:hint="eastAsia" w:ascii="宋体" w:hAnsi="宋体" w:cs="宋体"/>
                <w:color w:val="auto"/>
                <w:sz w:val="24"/>
              </w:rPr>
              <w:t>7</w:t>
            </w:r>
          </w:p>
        </w:tc>
        <w:tc>
          <w:tcPr>
            <w:tcW w:w="1594" w:type="dxa"/>
            <w:vMerge w:val="continue"/>
            <w:noWrap w:val="0"/>
            <w:vAlign w:val="center"/>
          </w:tcPr>
          <w:p>
            <w:pPr>
              <w:spacing w:line="240" w:lineRule="auto"/>
              <w:jc w:val="center"/>
              <w:rPr>
                <w:rFonts w:hint="eastAsia" w:ascii="宋体" w:hAnsi="宋体" w:cs="宋体"/>
                <w:color w:val="auto"/>
                <w:sz w:val="24"/>
              </w:rPr>
            </w:pPr>
          </w:p>
        </w:tc>
        <w:tc>
          <w:tcPr>
            <w:tcW w:w="2148" w:type="dxa"/>
            <w:noWrap w:val="0"/>
            <w:vAlign w:val="center"/>
          </w:tcPr>
          <w:p>
            <w:pPr>
              <w:spacing w:line="240" w:lineRule="auto"/>
              <w:jc w:val="center"/>
              <w:rPr>
                <w:rFonts w:hint="eastAsia" w:ascii="宋体" w:hAnsi="宋体" w:cs="宋体"/>
                <w:color w:val="auto"/>
                <w:sz w:val="24"/>
              </w:rPr>
            </w:pPr>
            <w:r>
              <w:rPr>
                <w:rFonts w:hint="eastAsia" w:ascii="宋体" w:hAnsi="宋体" w:cs="宋体"/>
                <w:color w:val="auto"/>
                <w:sz w:val="24"/>
              </w:rPr>
              <w:t>生产管理</w:t>
            </w:r>
          </w:p>
        </w:tc>
        <w:tc>
          <w:tcPr>
            <w:tcW w:w="5246" w:type="dxa"/>
            <w:noWrap w:val="0"/>
            <w:vAlign w:val="center"/>
          </w:tcPr>
          <w:p>
            <w:pPr>
              <w:spacing w:line="240" w:lineRule="auto"/>
              <w:jc w:val="left"/>
              <w:rPr>
                <w:rFonts w:hint="eastAsia" w:ascii="宋体" w:hAnsi="宋体" w:cs="宋体"/>
                <w:color w:val="auto"/>
                <w:sz w:val="24"/>
              </w:rPr>
            </w:pPr>
            <w:r>
              <w:rPr>
                <w:rFonts w:hint="eastAsia" w:ascii="宋体" w:hAnsi="宋体" w:cs="宋体"/>
                <w:color w:val="auto"/>
                <w:sz w:val="24"/>
              </w:rPr>
              <w:t>指挥错误造成多种伤害。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0" w:type="dxa"/>
            <w:noWrap w:val="0"/>
            <w:vAlign w:val="center"/>
          </w:tcPr>
          <w:p>
            <w:pPr>
              <w:spacing w:line="240" w:lineRule="auto"/>
              <w:jc w:val="center"/>
              <w:rPr>
                <w:rFonts w:hint="eastAsia" w:ascii="宋体" w:hAnsi="宋体" w:cs="宋体"/>
                <w:color w:val="auto"/>
                <w:sz w:val="24"/>
              </w:rPr>
            </w:pPr>
            <w:r>
              <w:rPr>
                <w:rFonts w:hint="eastAsia" w:ascii="宋体" w:hAnsi="宋体" w:cs="宋体"/>
                <w:color w:val="auto"/>
                <w:sz w:val="24"/>
                <w:lang w:val="en-US" w:eastAsia="zh-CN"/>
              </w:rPr>
              <w:t>8</w:t>
            </w:r>
          </w:p>
        </w:tc>
        <w:tc>
          <w:tcPr>
            <w:tcW w:w="1594" w:type="dxa"/>
            <w:vMerge w:val="continue"/>
            <w:noWrap w:val="0"/>
            <w:vAlign w:val="center"/>
          </w:tcPr>
          <w:p>
            <w:pPr>
              <w:spacing w:line="240" w:lineRule="auto"/>
              <w:jc w:val="center"/>
              <w:rPr>
                <w:rFonts w:hint="eastAsia" w:ascii="宋体" w:hAnsi="宋体" w:cs="宋体"/>
                <w:color w:val="auto"/>
                <w:sz w:val="24"/>
              </w:rPr>
            </w:pPr>
          </w:p>
        </w:tc>
        <w:tc>
          <w:tcPr>
            <w:tcW w:w="2148" w:type="dxa"/>
            <w:noWrap w:val="0"/>
            <w:vAlign w:val="center"/>
          </w:tcPr>
          <w:p>
            <w:pPr>
              <w:spacing w:line="240" w:lineRule="auto"/>
              <w:jc w:val="center"/>
              <w:rPr>
                <w:rFonts w:hint="eastAsia" w:ascii="宋体" w:hAnsi="宋体" w:cs="宋体"/>
                <w:color w:val="auto"/>
                <w:sz w:val="24"/>
              </w:rPr>
            </w:pPr>
            <w:r>
              <w:rPr>
                <w:rFonts w:hint="eastAsia" w:ascii="宋体" w:hAnsi="宋体" w:cs="宋体"/>
                <w:color w:val="auto"/>
                <w:sz w:val="24"/>
              </w:rPr>
              <w:t>电工作业</w:t>
            </w:r>
          </w:p>
        </w:tc>
        <w:tc>
          <w:tcPr>
            <w:tcW w:w="5246" w:type="dxa"/>
            <w:noWrap w:val="0"/>
            <w:vAlign w:val="center"/>
          </w:tcPr>
          <w:p>
            <w:pPr>
              <w:spacing w:line="240" w:lineRule="auto"/>
              <w:jc w:val="left"/>
              <w:rPr>
                <w:rFonts w:hint="eastAsia" w:ascii="宋体" w:hAnsi="宋体" w:cs="宋体"/>
                <w:color w:val="auto"/>
                <w:sz w:val="24"/>
              </w:rPr>
            </w:pPr>
            <w:r>
              <w:rPr>
                <w:rFonts w:hint="eastAsia" w:ascii="宋体" w:hAnsi="宋体" w:cs="宋体"/>
                <w:color w:val="auto"/>
                <w:sz w:val="24"/>
              </w:rPr>
              <w:t>违章操作用电造成触电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640" w:type="dxa"/>
            <w:noWrap w:val="0"/>
            <w:vAlign w:val="center"/>
          </w:tcPr>
          <w:p>
            <w:pPr>
              <w:spacing w:line="240" w:lineRule="auto"/>
              <w:jc w:val="center"/>
              <w:rPr>
                <w:rFonts w:hint="eastAsia" w:ascii="宋体" w:hAnsi="宋体" w:cs="宋体"/>
                <w:color w:val="auto"/>
                <w:sz w:val="24"/>
              </w:rPr>
            </w:pPr>
            <w:r>
              <w:rPr>
                <w:rFonts w:hint="eastAsia" w:ascii="宋体" w:hAnsi="宋体" w:cs="宋体"/>
                <w:color w:val="auto"/>
                <w:sz w:val="24"/>
                <w:lang w:val="en-US" w:eastAsia="zh-CN"/>
              </w:rPr>
              <w:t>9</w:t>
            </w:r>
          </w:p>
        </w:tc>
        <w:tc>
          <w:tcPr>
            <w:tcW w:w="1594" w:type="dxa"/>
            <w:vMerge w:val="restart"/>
            <w:noWrap w:val="0"/>
            <w:vAlign w:val="center"/>
          </w:tcPr>
          <w:p>
            <w:pPr>
              <w:spacing w:line="240" w:lineRule="auto"/>
              <w:jc w:val="center"/>
              <w:rPr>
                <w:rFonts w:hint="eastAsia" w:ascii="宋体" w:hAnsi="宋体" w:cs="宋体"/>
                <w:color w:val="auto"/>
                <w:sz w:val="24"/>
              </w:rPr>
            </w:pPr>
          </w:p>
          <w:p>
            <w:pPr>
              <w:spacing w:line="240" w:lineRule="auto"/>
              <w:jc w:val="center"/>
              <w:rPr>
                <w:rFonts w:hint="eastAsia" w:ascii="宋体" w:hAnsi="宋体" w:cs="宋体"/>
                <w:color w:val="auto"/>
                <w:sz w:val="24"/>
              </w:rPr>
            </w:pPr>
            <w:r>
              <w:rPr>
                <w:rFonts w:hint="eastAsia" w:ascii="宋体" w:hAnsi="宋体" w:cs="宋体"/>
                <w:color w:val="auto"/>
                <w:sz w:val="24"/>
              </w:rPr>
              <w:t>设备运行、维护和保养</w:t>
            </w:r>
          </w:p>
        </w:tc>
        <w:tc>
          <w:tcPr>
            <w:tcW w:w="2148" w:type="dxa"/>
            <w:noWrap w:val="0"/>
            <w:vAlign w:val="center"/>
          </w:tcPr>
          <w:p>
            <w:pPr>
              <w:spacing w:line="240" w:lineRule="auto"/>
              <w:jc w:val="center"/>
              <w:rPr>
                <w:rFonts w:hint="eastAsia" w:ascii="宋体" w:hAnsi="宋体" w:cs="宋体"/>
                <w:color w:val="auto"/>
                <w:sz w:val="24"/>
              </w:rPr>
            </w:pPr>
            <w:r>
              <w:rPr>
                <w:rFonts w:hint="eastAsia" w:ascii="宋体" w:hAnsi="宋体" w:cs="宋体"/>
                <w:color w:val="auto"/>
                <w:sz w:val="24"/>
              </w:rPr>
              <w:t>机动车辆驾驶(包括装载机)</w:t>
            </w:r>
          </w:p>
        </w:tc>
        <w:tc>
          <w:tcPr>
            <w:tcW w:w="5246" w:type="dxa"/>
            <w:noWrap w:val="0"/>
            <w:vAlign w:val="center"/>
          </w:tcPr>
          <w:p>
            <w:pPr>
              <w:spacing w:line="240" w:lineRule="auto"/>
              <w:jc w:val="left"/>
              <w:rPr>
                <w:rFonts w:hint="eastAsia" w:ascii="宋体" w:hAnsi="宋体" w:cs="宋体"/>
                <w:color w:val="auto"/>
                <w:sz w:val="24"/>
              </w:rPr>
            </w:pPr>
            <w:r>
              <w:rPr>
                <w:rFonts w:hint="eastAsia" w:ascii="宋体" w:hAnsi="宋体" w:cs="宋体"/>
                <w:color w:val="auto"/>
                <w:sz w:val="24"/>
              </w:rPr>
              <w:t>作业环境不良，违章驾驶造成机械伤害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1" w:hRule="atLeast"/>
        </w:trPr>
        <w:tc>
          <w:tcPr>
            <w:tcW w:w="640" w:type="dxa"/>
            <w:noWrap w:val="0"/>
            <w:vAlign w:val="center"/>
          </w:tcPr>
          <w:p>
            <w:pPr>
              <w:spacing w:line="240" w:lineRule="auto"/>
              <w:jc w:val="center"/>
              <w:rPr>
                <w:rFonts w:hint="eastAsia" w:ascii="宋体" w:hAnsi="宋体" w:cs="宋体"/>
                <w:color w:val="auto"/>
                <w:sz w:val="24"/>
              </w:rPr>
            </w:pPr>
            <w:r>
              <w:rPr>
                <w:rFonts w:hint="eastAsia" w:ascii="宋体" w:hAnsi="宋体" w:cs="宋体"/>
                <w:color w:val="auto"/>
                <w:sz w:val="24"/>
                <w:lang w:val="en-US" w:eastAsia="zh-CN"/>
              </w:rPr>
              <w:t>10</w:t>
            </w:r>
          </w:p>
        </w:tc>
        <w:tc>
          <w:tcPr>
            <w:tcW w:w="1594" w:type="dxa"/>
            <w:vMerge w:val="continue"/>
            <w:noWrap w:val="0"/>
            <w:vAlign w:val="center"/>
          </w:tcPr>
          <w:p>
            <w:pPr>
              <w:spacing w:line="240" w:lineRule="auto"/>
              <w:jc w:val="center"/>
              <w:rPr>
                <w:rFonts w:hint="eastAsia" w:ascii="宋体" w:hAnsi="宋体" w:cs="宋体"/>
                <w:color w:val="auto"/>
                <w:sz w:val="24"/>
              </w:rPr>
            </w:pPr>
          </w:p>
        </w:tc>
        <w:tc>
          <w:tcPr>
            <w:tcW w:w="2148" w:type="dxa"/>
            <w:noWrap w:val="0"/>
            <w:vAlign w:val="center"/>
          </w:tcPr>
          <w:p>
            <w:pPr>
              <w:spacing w:line="240" w:lineRule="auto"/>
              <w:jc w:val="center"/>
              <w:rPr>
                <w:rFonts w:hint="eastAsia" w:ascii="宋体" w:hAnsi="宋体" w:cs="宋体"/>
                <w:color w:val="auto"/>
                <w:sz w:val="24"/>
              </w:rPr>
            </w:pPr>
            <w:r>
              <w:rPr>
                <w:rFonts w:hint="eastAsia" w:ascii="宋体" w:hAnsi="宋体" w:cs="宋体"/>
                <w:color w:val="auto"/>
                <w:sz w:val="24"/>
              </w:rPr>
              <w:t>焊接(切割)作业</w:t>
            </w:r>
          </w:p>
        </w:tc>
        <w:tc>
          <w:tcPr>
            <w:tcW w:w="5246" w:type="dxa"/>
            <w:noWrap w:val="0"/>
            <w:vAlign w:val="center"/>
          </w:tcPr>
          <w:p>
            <w:pPr>
              <w:spacing w:line="240" w:lineRule="auto"/>
              <w:jc w:val="left"/>
              <w:rPr>
                <w:rFonts w:hint="eastAsia" w:ascii="宋体" w:hAnsi="宋体" w:cs="宋体"/>
                <w:color w:val="auto"/>
                <w:sz w:val="24"/>
              </w:rPr>
            </w:pPr>
            <w:r>
              <w:rPr>
                <w:rFonts w:hint="eastAsia" w:ascii="宋体" w:hAnsi="宋体" w:cs="宋体"/>
                <w:color w:val="auto"/>
                <w:sz w:val="24"/>
              </w:rPr>
              <w:t>紫外线、电危害粉尘等金属烟尘，造成中毒、尘肺、触电烧烫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640" w:type="dxa"/>
            <w:noWrap w:val="0"/>
            <w:vAlign w:val="center"/>
          </w:tcPr>
          <w:p>
            <w:pPr>
              <w:spacing w:line="240" w:lineRule="auto"/>
              <w:jc w:val="center"/>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1</w:t>
            </w:r>
          </w:p>
        </w:tc>
        <w:tc>
          <w:tcPr>
            <w:tcW w:w="1594" w:type="dxa"/>
            <w:vMerge w:val="continue"/>
            <w:noWrap w:val="0"/>
            <w:vAlign w:val="center"/>
          </w:tcPr>
          <w:p>
            <w:pPr>
              <w:spacing w:line="240" w:lineRule="auto"/>
              <w:jc w:val="center"/>
              <w:rPr>
                <w:rFonts w:hint="eastAsia" w:ascii="宋体" w:hAnsi="宋体" w:cs="宋体"/>
                <w:color w:val="auto"/>
                <w:sz w:val="24"/>
              </w:rPr>
            </w:pPr>
          </w:p>
        </w:tc>
        <w:tc>
          <w:tcPr>
            <w:tcW w:w="2148" w:type="dxa"/>
            <w:noWrap w:val="0"/>
            <w:vAlign w:val="center"/>
          </w:tcPr>
          <w:p>
            <w:pPr>
              <w:spacing w:line="240" w:lineRule="auto"/>
              <w:jc w:val="center"/>
              <w:rPr>
                <w:rFonts w:hint="eastAsia" w:ascii="宋体" w:hAnsi="宋体" w:cs="宋体"/>
                <w:color w:val="auto"/>
                <w:sz w:val="24"/>
              </w:rPr>
            </w:pPr>
            <w:r>
              <w:rPr>
                <w:rFonts w:hint="eastAsia" w:ascii="宋体" w:hAnsi="宋体" w:cs="宋体"/>
                <w:color w:val="auto"/>
                <w:sz w:val="24"/>
                <w:lang w:eastAsia="zh-CN"/>
              </w:rPr>
              <w:t>制砖</w:t>
            </w:r>
            <w:r>
              <w:rPr>
                <w:rFonts w:hint="eastAsia" w:ascii="宋体" w:hAnsi="宋体" w:cs="宋体"/>
                <w:color w:val="auto"/>
                <w:sz w:val="24"/>
              </w:rPr>
              <w:t>设备</w:t>
            </w:r>
            <w:r>
              <w:rPr>
                <w:rFonts w:hint="eastAsia" w:ascii="宋体" w:hAnsi="宋体" w:cs="宋体"/>
                <w:color w:val="auto"/>
                <w:sz w:val="24"/>
                <w:lang w:eastAsia="zh-CN"/>
              </w:rPr>
              <w:t>、破碎设备</w:t>
            </w:r>
          </w:p>
        </w:tc>
        <w:tc>
          <w:tcPr>
            <w:tcW w:w="5246" w:type="dxa"/>
            <w:noWrap w:val="0"/>
            <w:vAlign w:val="center"/>
          </w:tcPr>
          <w:p>
            <w:pPr>
              <w:spacing w:line="240" w:lineRule="auto"/>
              <w:jc w:val="left"/>
              <w:rPr>
                <w:rFonts w:hint="eastAsia" w:ascii="宋体" w:hAnsi="宋体" w:cs="宋体"/>
                <w:color w:val="auto"/>
                <w:sz w:val="24"/>
              </w:rPr>
            </w:pPr>
            <w:r>
              <w:rPr>
                <w:rFonts w:hint="eastAsia" w:ascii="宋体" w:hAnsi="宋体" w:cs="宋体"/>
                <w:color w:val="auto"/>
                <w:sz w:val="24"/>
              </w:rPr>
              <w:t>结构庞大、设备复杂，结构暴露部位多，且作业时需多人配合，极易发生</w:t>
            </w:r>
            <w:r>
              <w:rPr>
                <w:rFonts w:hint="eastAsia" w:ascii="宋体" w:hAnsi="宋体" w:cs="宋体"/>
                <w:color w:val="auto"/>
                <w:sz w:val="24"/>
                <w:lang w:eastAsia="zh-CN"/>
              </w:rPr>
              <w:t>机械伤害</w:t>
            </w:r>
            <w:r>
              <w:rPr>
                <w:rFonts w:hint="eastAsia" w:ascii="宋体" w:hAnsi="宋体" w:cs="宋体"/>
                <w:color w:val="auto"/>
                <w:sz w:val="24"/>
              </w:rPr>
              <w:t>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0" w:type="dxa"/>
            <w:noWrap w:val="0"/>
            <w:vAlign w:val="center"/>
          </w:tcPr>
          <w:p>
            <w:pPr>
              <w:spacing w:line="240" w:lineRule="auto"/>
              <w:jc w:val="center"/>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2</w:t>
            </w:r>
          </w:p>
        </w:tc>
        <w:tc>
          <w:tcPr>
            <w:tcW w:w="1594" w:type="dxa"/>
            <w:vMerge w:val="restart"/>
            <w:noWrap w:val="0"/>
            <w:vAlign w:val="center"/>
          </w:tcPr>
          <w:p>
            <w:pPr>
              <w:spacing w:line="240" w:lineRule="auto"/>
              <w:jc w:val="center"/>
              <w:rPr>
                <w:rFonts w:hint="eastAsia" w:ascii="宋体" w:hAnsi="宋体" w:cs="宋体"/>
                <w:color w:val="auto"/>
                <w:sz w:val="24"/>
              </w:rPr>
            </w:pPr>
            <w:r>
              <w:rPr>
                <w:rFonts w:hint="eastAsia" w:ascii="宋体" w:hAnsi="宋体" w:cs="宋体"/>
                <w:color w:val="auto"/>
                <w:sz w:val="24"/>
              </w:rPr>
              <w:t>其它辅助活动</w:t>
            </w:r>
          </w:p>
        </w:tc>
        <w:tc>
          <w:tcPr>
            <w:tcW w:w="2148" w:type="dxa"/>
            <w:noWrap w:val="0"/>
            <w:vAlign w:val="center"/>
          </w:tcPr>
          <w:p>
            <w:pPr>
              <w:spacing w:line="240" w:lineRule="auto"/>
              <w:jc w:val="center"/>
              <w:rPr>
                <w:rFonts w:hint="eastAsia" w:ascii="宋体" w:hAnsi="宋体" w:cs="宋体"/>
                <w:color w:val="auto"/>
                <w:sz w:val="24"/>
              </w:rPr>
            </w:pPr>
            <w:r>
              <w:rPr>
                <w:rFonts w:hint="eastAsia" w:ascii="宋体" w:hAnsi="宋体" w:cs="宋体"/>
                <w:color w:val="auto"/>
                <w:sz w:val="24"/>
              </w:rPr>
              <w:t>档案、资料管理</w:t>
            </w:r>
          </w:p>
        </w:tc>
        <w:tc>
          <w:tcPr>
            <w:tcW w:w="5246" w:type="dxa"/>
            <w:noWrap w:val="0"/>
            <w:vAlign w:val="center"/>
          </w:tcPr>
          <w:p>
            <w:pPr>
              <w:spacing w:line="240" w:lineRule="auto"/>
              <w:jc w:val="left"/>
              <w:rPr>
                <w:rFonts w:hint="eastAsia" w:ascii="宋体" w:hAnsi="宋体" w:cs="宋体"/>
                <w:color w:val="auto"/>
                <w:sz w:val="24"/>
              </w:rPr>
            </w:pPr>
            <w:r>
              <w:rPr>
                <w:rFonts w:hint="eastAsia" w:ascii="宋体" w:hAnsi="宋体" w:cs="宋体"/>
                <w:color w:val="auto"/>
                <w:sz w:val="24"/>
              </w:rPr>
              <w:t>明火、照明线路不良等造成火灾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0" w:type="dxa"/>
            <w:noWrap w:val="0"/>
            <w:vAlign w:val="center"/>
          </w:tcPr>
          <w:p>
            <w:pPr>
              <w:spacing w:line="240" w:lineRule="auto"/>
              <w:jc w:val="center"/>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3</w:t>
            </w:r>
          </w:p>
        </w:tc>
        <w:tc>
          <w:tcPr>
            <w:tcW w:w="1594" w:type="dxa"/>
            <w:vMerge w:val="continue"/>
            <w:noWrap w:val="0"/>
            <w:vAlign w:val="center"/>
          </w:tcPr>
          <w:p>
            <w:pPr>
              <w:spacing w:line="240" w:lineRule="auto"/>
              <w:jc w:val="center"/>
              <w:rPr>
                <w:rFonts w:hint="eastAsia" w:ascii="宋体" w:hAnsi="宋体" w:cs="宋体"/>
                <w:color w:val="auto"/>
                <w:sz w:val="24"/>
              </w:rPr>
            </w:pPr>
          </w:p>
        </w:tc>
        <w:tc>
          <w:tcPr>
            <w:tcW w:w="2148" w:type="dxa"/>
            <w:noWrap w:val="0"/>
            <w:vAlign w:val="center"/>
          </w:tcPr>
          <w:p>
            <w:pPr>
              <w:spacing w:line="240" w:lineRule="auto"/>
              <w:jc w:val="center"/>
              <w:rPr>
                <w:rFonts w:hint="eastAsia" w:ascii="宋体" w:hAnsi="宋体" w:cs="宋体"/>
                <w:color w:val="auto"/>
                <w:sz w:val="24"/>
              </w:rPr>
            </w:pPr>
            <w:r>
              <w:rPr>
                <w:rFonts w:hint="eastAsia" w:ascii="宋体" w:hAnsi="宋体" w:cs="宋体"/>
                <w:color w:val="auto"/>
                <w:sz w:val="24"/>
              </w:rPr>
              <w:t>办  公</w:t>
            </w:r>
          </w:p>
        </w:tc>
        <w:tc>
          <w:tcPr>
            <w:tcW w:w="5246" w:type="dxa"/>
            <w:noWrap w:val="0"/>
            <w:vAlign w:val="center"/>
          </w:tcPr>
          <w:p>
            <w:pPr>
              <w:spacing w:line="240" w:lineRule="auto"/>
              <w:jc w:val="left"/>
              <w:rPr>
                <w:rFonts w:hint="eastAsia" w:ascii="宋体" w:hAnsi="宋体" w:cs="宋体"/>
                <w:color w:val="auto"/>
                <w:sz w:val="24"/>
              </w:rPr>
            </w:pPr>
            <w:r>
              <w:rPr>
                <w:rFonts w:hint="eastAsia" w:ascii="宋体" w:hAnsi="宋体" w:cs="宋体"/>
                <w:color w:val="auto"/>
                <w:sz w:val="24"/>
              </w:rPr>
              <w:t>地面、楼梯存水及障碍物其他伤害摔伤、撞伤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0" w:type="dxa"/>
            <w:noWrap w:val="0"/>
            <w:vAlign w:val="center"/>
          </w:tcPr>
          <w:p>
            <w:pPr>
              <w:spacing w:line="240" w:lineRule="auto"/>
              <w:jc w:val="center"/>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4</w:t>
            </w:r>
          </w:p>
        </w:tc>
        <w:tc>
          <w:tcPr>
            <w:tcW w:w="1594" w:type="dxa"/>
            <w:vMerge w:val="continue"/>
            <w:noWrap w:val="0"/>
            <w:vAlign w:val="center"/>
          </w:tcPr>
          <w:p>
            <w:pPr>
              <w:spacing w:line="240" w:lineRule="auto"/>
              <w:jc w:val="center"/>
              <w:rPr>
                <w:rFonts w:hint="eastAsia" w:ascii="宋体" w:hAnsi="宋体" w:cs="宋体"/>
                <w:color w:val="auto"/>
                <w:sz w:val="24"/>
              </w:rPr>
            </w:pPr>
          </w:p>
        </w:tc>
        <w:tc>
          <w:tcPr>
            <w:tcW w:w="2148" w:type="dxa"/>
            <w:noWrap w:val="0"/>
            <w:vAlign w:val="center"/>
          </w:tcPr>
          <w:p>
            <w:pPr>
              <w:spacing w:line="240" w:lineRule="auto"/>
              <w:jc w:val="center"/>
              <w:rPr>
                <w:rFonts w:hint="eastAsia" w:ascii="宋体" w:hAnsi="宋体" w:cs="宋体"/>
                <w:color w:val="auto"/>
                <w:sz w:val="24"/>
              </w:rPr>
            </w:pPr>
            <w:r>
              <w:rPr>
                <w:rFonts w:hint="eastAsia" w:ascii="宋体" w:hAnsi="宋体" w:cs="宋体"/>
                <w:color w:val="auto"/>
                <w:sz w:val="24"/>
              </w:rPr>
              <w:t>办公照明用电</w:t>
            </w:r>
          </w:p>
        </w:tc>
        <w:tc>
          <w:tcPr>
            <w:tcW w:w="5246" w:type="dxa"/>
            <w:noWrap w:val="0"/>
            <w:vAlign w:val="center"/>
          </w:tcPr>
          <w:p>
            <w:pPr>
              <w:spacing w:line="240" w:lineRule="auto"/>
              <w:jc w:val="left"/>
              <w:rPr>
                <w:rFonts w:hint="eastAsia" w:ascii="宋体" w:hAnsi="宋体" w:cs="宋体"/>
                <w:color w:val="auto"/>
                <w:sz w:val="24"/>
              </w:rPr>
            </w:pPr>
            <w:r>
              <w:rPr>
                <w:rFonts w:hint="eastAsia" w:ascii="宋体" w:hAnsi="宋体" w:cs="宋体"/>
                <w:color w:val="auto"/>
                <w:sz w:val="24"/>
              </w:rPr>
              <w:t>违章操作触电</w:t>
            </w:r>
          </w:p>
        </w:tc>
      </w:tr>
    </w:tbl>
    <w:p>
      <w:pPr>
        <w:rPr>
          <w:rFonts w:hint="eastAsia" w:ascii="黑体" w:hAnsi="宋体" w:eastAsia="黑体"/>
          <w:b/>
          <w:sz w:val="32"/>
          <w:szCs w:val="32"/>
          <w:lang w:val="en-US" w:eastAsia="zh-CN"/>
        </w:rPr>
      </w:pPr>
      <w:r>
        <w:rPr>
          <w:rFonts w:hint="eastAsia" w:ascii="黑体" w:hAnsi="宋体" w:eastAsia="黑体"/>
          <w:b/>
          <w:sz w:val="32"/>
          <w:szCs w:val="32"/>
          <w:lang w:val="en-US" w:eastAsia="zh-CN"/>
        </w:rPr>
        <w:br w:type="page"/>
      </w:r>
    </w:p>
    <w:p>
      <w:pPr>
        <w:numPr>
          <w:ilvl w:val="0"/>
          <w:numId w:val="0"/>
        </w:numPr>
        <w:spacing w:line="360" w:lineRule="auto"/>
        <w:jc w:val="center"/>
        <w:outlineLvl w:val="0"/>
        <w:rPr>
          <w:rFonts w:hint="eastAsia" w:ascii="黑体" w:hAnsi="宋体" w:eastAsia="黑体"/>
          <w:b/>
          <w:sz w:val="32"/>
          <w:szCs w:val="32"/>
        </w:rPr>
      </w:pPr>
      <w:bookmarkStart w:id="262" w:name="_Toc5245"/>
      <w:r>
        <w:rPr>
          <w:rFonts w:hint="eastAsia" w:ascii="黑体" w:hAnsi="宋体" w:eastAsia="黑体"/>
          <w:b/>
          <w:sz w:val="32"/>
          <w:szCs w:val="32"/>
          <w:lang w:val="en-US" w:eastAsia="zh-CN"/>
        </w:rPr>
        <w:t>4</w:t>
      </w:r>
      <w:r>
        <w:rPr>
          <w:rFonts w:hint="eastAsia" w:ascii="黑体" w:hAnsi="宋体" w:eastAsia="黑体"/>
          <w:b/>
          <w:sz w:val="32"/>
          <w:szCs w:val="32"/>
        </w:rPr>
        <w:t>评估结论与建议</w:t>
      </w:r>
      <w:bookmarkEnd w:id="260"/>
      <w:bookmarkEnd w:id="262"/>
    </w:p>
    <w:p>
      <w:pPr>
        <w:pStyle w:val="5"/>
        <w:autoSpaceDN w:val="0"/>
        <w:spacing w:before="0" w:after="0" w:line="360" w:lineRule="auto"/>
        <w:jc w:val="left"/>
        <w:rPr>
          <w:rFonts w:hint="eastAsia" w:ascii="黑体" w:hAnsi="黑体"/>
          <w:sz w:val="28"/>
          <w:szCs w:val="28"/>
          <w:lang w:val="en-US" w:eastAsia="zh-CN"/>
        </w:rPr>
      </w:pPr>
      <w:bookmarkStart w:id="263" w:name="_Toc19371"/>
      <w:r>
        <w:rPr>
          <w:rFonts w:hint="eastAsia" w:ascii="黑体" w:hAnsi="黑体"/>
          <w:sz w:val="28"/>
          <w:szCs w:val="28"/>
          <w:lang w:val="en-US" w:eastAsia="zh-CN"/>
        </w:rPr>
        <w:t>4.1总体评价结论</w:t>
      </w:r>
      <w:bookmarkEnd w:id="261"/>
      <w:bookmarkEnd w:id="263"/>
    </w:p>
    <w:p>
      <w:pPr>
        <w:spacing w:line="360" w:lineRule="auto"/>
        <w:ind w:firstLine="560" w:firstLineChars="200"/>
        <w:rPr>
          <w:rFonts w:hint="eastAsia" w:ascii="宋体" w:hAnsi="宋体" w:cs="宋体"/>
          <w:color w:val="auto"/>
          <w:sz w:val="28"/>
          <w:szCs w:val="28"/>
          <w:lang w:eastAsia="zh-CN"/>
        </w:rPr>
      </w:pPr>
      <w:r>
        <w:rPr>
          <w:rFonts w:hint="eastAsia" w:ascii="宋体" w:hAnsi="宋体" w:cs="宋体"/>
          <w:color w:val="auto"/>
          <w:sz w:val="28"/>
          <w:szCs w:val="28"/>
          <w:lang w:eastAsia="zh-CN"/>
        </w:rPr>
        <w:t>通过对仪陇县来仪银河页岩砖厂周边环境、总平面布置及建构筑物、生产设施与设备安全、生产工艺控制、危险化学品储存使用、公辅工程、安全管理等方面的综合评价，本公司各类危险源均处在动态监控中，在日常生产过程中发现隐患问题，能够及时得到整改，加强员工教育，杜绝“三违”现象，就能够做到事故可防可控。本公司《生产安全事故应急救援预案》内容具有可操作性，对事故应急总的处置方案和具体岗位的应急操作流程进行了详细规定，通过对应急救援机构、应急救援队伍、应急救援装备、应急救援物质储备、应急救援医疗保障的调查，与实际情况相符。</w:t>
      </w:r>
    </w:p>
    <w:p>
      <w:pPr>
        <w:pStyle w:val="5"/>
        <w:autoSpaceDN w:val="0"/>
        <w:spacing w:before="0" w:after="0" w:line="360" w:lineRule="auto"/>
        <w:jc w:val="left"/>
        <w:rPr>
          <w:rFonts w:hint="eastAsia" w:ascii="黑体" w:hAnsi="黑体"/>
          <w:sz w:val="28"/>
          <w:szCs w:val="28"/>
        </w:rPr>
      </w:pPr>
      <w:bookmarkStart w:id="264" w:name="_Toc22214"/>
      <w:bookmarkStart w:id="265" w:name="_Toc5799"/>
      <w:bookmarkStart w:id="266" w:name="_Toc21693"/>
      <w:r>
        <w:rPr>
          <w:rFonts w:hint="eastAsia" w:ascii="黑体" w:hAnsi="黑体"/>
          <w:sz w:val="28"/>
          <w:szCs w:val="28"/>
          <w:lang w:val="en-US" w:eastAsia="zh-CN"/>
        </w:rPr>
        <w:t>4</w:t>
      </w:r>
      <w:r>
        <w:rPr>
          <w:rFonts w:hint="eastAsia" w:ascii="黑体" w:hAnsi="黑体"/>
          <w:sz w:val="28"/>
          <w:szCs w:val="28"/>
        </w:rPr>
        <w:t>.</w:t>
      </w:r>
      <w:r>
        <w:rPr>
          <w:rFonts w:hint="eastAsia" w:ascii="黑体" w:hAnsi="黑体"/>
          <w:sz w:val="28"/>
          <w:szCs w:val="28"/>
          <w:lang w:val="en-US" w:eastAsia="zh-CN"/>
        </w:rPr>
        <w:t>2</w:t>
      </w:r>
      <w:r>
        <w:rPr>
          <w:rFonts w:hint="eastAsia" w:ascii="黑体" w:hAnsi="黑体"/>
          <w:sz w:val="28"/>
          <w:szCs w:val="28"/>
        </w:rPr>
        <w:t>建议</w:t>
      </w:r>
      <w:bookmarkEnd w:id="264"/>
      <w:bookmarkEnd w:id="265"/>
      <w:bookmarkEnd w:id="266"/>
    </w:p>
    <w:p>
      <w:pPr>
        <w:spacing w:line="360" w:lineRule="auto"/>
        <w:ind w:firstLine="560" w:firstLineChars="200"/>
        <w:rPr>
          <w:sz w:val="28"/>
          <w:szCs w:val="28"/>
        </w:rPr>
      </w:pPr>
      <w:r>
        <w:rPr>
          <w:sz w:val="28"/>
          <w:szCs w:val="28"/>
        </w:rPr>
        <w:t>（1）应加强对现有安全措施及消防装置的维护检查，确保安全设施及消防措施的可靠性，在发生险情时能有效地发挥其作用。对损坏、失效的消防设备设施要作到及时修复和更换。</w:t>
      </w:r>
    </w:p>
    <w:p>
      <w:pPr>
        <w:spacing w:line="360" w:lineRule="auto"/>
        <w:ind w:firstLine="560" w:firstLineChars="200"/>
        <w:rPr>
          <w:sz w:val="28"/>
          <w:szCs w:val="28"/>
        </w:rPr>
      </w:pPr>
      <w:r>
        <w:rPr>
          <w:sz w:val="28"/>
          <w:szCs w:val="28"/>
        </w:rPr>
        <w:t>（2）应增加应急救援器材，确保事故发生或作业人员发生人身伤害时，能够及时采取有效救援措施，减轻伤害程度，控制事故的发展。</w:t>
      </w:r>
    </w:p>
    <w:p>
      <w:pPr>
        <w:rPr>
          <w:rFonts w:hint="eastAsia"/>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宋体"/>
    <w:panose1 w:val="02010601030101010101"/>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PMingLiU">
    <w:altName w:val="PMingLiU-ExtB"/>
    <w:panose1 w:val="02020500000000000000"/>
    <w:charset w:val="78"/>
    <w:family w:val="auto"/>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F723BC"/>
    <w:rsid w:val="00324365"/>
    <w:rsid w:val="005247D8"/>
    <w:rsid w:val="005D60C3"/>
    <w:rsid w:val="00B44381"/>
    <w:rsid w:val="01B34626"/>
    <w:rsid w:val="01D26CA9"/>
    <w:rsid w:val="02EB4D5F"/>
    <w:rsid w:val="03D37A5F"/>
    <w:rsid w:val="047007AE"/>
    <w:rsid w:val="059A7F41"/>
    <w:rsid w:val="06330342"/>
    <w:rsid w:val="06867417"/>
    <w:rsid w:val="069D7701"/>
    <w:rsid w:val="07024A58"/>
    <w:rsid w:val="0731706A"/>
    <w:rsid w:val="07835CC2"/>
    <w:rsid w:val="07A44FA0"/>
    <w:rsid w:val="07B56C35"/>
    <w:rsid w:val="07E323AA"/>
    <w:rsid w:val="07F26DF4"/>
    <w:rsid w:val="0808585B"/>
    <w:rsid w:val="0814262C"/>
    <w:rsid w:val="08FB3207"/>
    <w:rsid w:val="0A1B12D6"/>
    <w:rsid w:val="0A54055C"/>
    <w:rsid w:val="0A5621CC"/>
    <w:rsid w:val="0AE45EDA"/>
    <w:rsid w:val="0AF829E5"/>
    <w:rsid w:val="0C18342B"/>
    <w:rsid w:val="0CA8623A"/>
    <w:rsid w:val="0D066290"/>
    <w:rsid w:val="0D3B3E73"/>
    <w:rsid w:val="0DE0620E"/>
    <w:rsid w:val="0E6D3139"/>
    <w:rsid w:val="0EB95D58"/>
    <w:rsid w:val="0ECB0C27"/>
    <w:rsid w:val="0F25281E"/>
    <w:rsid w:val="0F77136B"/>
    <w:rsid w:val="0F842DC8"/>
    <w:rsid w:val="0F9227C9"/>
    <w:rsid w:val="0FE50957"/>
    <w:rsid w:val="112E4204"/>
    <w:rsid w:val="11385FCD"/>
    <w:rsid w:val="11C747FB"/>
    <w:rsid w:val="11D61819"/>
    <w:rsid w:val="11F65369"/>
    <w:rsid w:val="12651DAC"/>
    <w:rsid w:val="128342A7"/>
    <w:rsid w:val="12CA5EC1"/>
    <w:rsid w:val="13174795"/>
    <w:rsid w:val="134B441C"/>
    <w:rsid w:val="136C6E71"/>
    <w:rsid w:val="13C77420"/>
    <w:rsid w:val="140B1FB2"/>
    <w:rsid w:val="143B6186"/>
    <w:rsid w:val="14694763"/>
    <w:rsid w:val="14742777"/>
    <w:rsid w:val="149039AD"/>
    <w:rsid w:val="14B414F7"/>
    <w:rsid w:val="15570D21"/>
    <w:rsid w:val="155E39C3"/>
    <w:rsid w:val="158733A6"/>
    <w:rsid w:val="15A14830"/>
    <w:rsid w:val="165B5ABE"/>
    <w:rsid w:val="16ED61B4"/>
    <w:rsid w:val="170B2C2B"/>
    <w:rsid w:val="172C1FB3"/>
    <w:rsid w:val="173B5FB4"/>
    <w:rsid w:val="17D8718E"/>
    <w:rsid w:val="18A56828"/>
    <w:rsid w:val="18E72215"/>
    <w:rsid w:val="18E80829"/>
    <w:rsid w:val="19837993"/>
    <w:rsid w:val="19D37E9F"/>
    <w:rsid w:val="1A4F49A7"/>
    <w:rsid w:val="1AF723BC"/>
    <w:rsid w:val="1B584D22"/>
    <w:rsid w:val="1B7B5998"/>
    <w:rsid w:val="1BB675E2"/>
    <w:rsid w:val="1BCF066F"/>
    <w:rsid w:val="1BD90D39"/>
    <w:rsid w:val="1BEC385B"/>
    <w:rsid w:val="1C0A5497"/>
    <w:rsid w:val="1D752B45"/>
    <w:rsid w:val="1D85003A"/>
    <w:rsid w:val="1DC712A8"/>
    <w:rsid w:val="1DEB3E64"/>
    <w:rsid w:val="1E165C3D"/>
    <w:rsid w:val="1E220183"/>
    <w:rsid w:val="1E8E35FC"/>
    <w:rsid w:val="1F2F4931"/>
    <w:rsid w:val="1F3805F9"/>
    <w:rsid w:val="1F4340AC"/>
    <w:rsid w:val="1F48275D"/>
    <w:rsid w:val="1F647F1F"/>
    <w:rsid w:val="1F7A37C8"/>
    <w:rsid w:val="1F8D03F9"/>
    <w:rsid w:val="1F8E5F41"/>
    <w:rsid w:val="1FB86C9B"/>
    <w:rsid w:val="1FC13459"/>
    <w:rsid w:val="1FE208B9"/>
    <w:rsid w:val="208858FB"/>
    <w:rsid w:val="20BE35EE"/>
    <w:rsid w:val="22627230"/>
    <w:rsid w:val="22C3776E"/>
    <w:rsid w:val="22D832A8"/>
    <w:rsid w:val="22E40C74"/>
    <w:rsid w:val="22E759E4"/>
    <w:rsid w:val="23032879"/>
    <w:rsid w:val="23D97413"/>
    <w:rsid w:val="240D3547"/>
    <w:rsid w:val="2439225C"/>
    <w:rsid w:val="24450122"/>
    <w:rsid w:val="244C16C4"/>
    <w:rsid w:val="245A3C4E"/>
    <w:rsid w:val="24FB56BC"/>
    <w:rsid w:val="25AF1A07"/>
    <w:rsid w:val="25F57BEE"/>
    <w:rsid w:val="26524A71"/>
    <w:rsid w:val="26A96685"/>
    <w:rsid w:val="26E103D1"/>
    <w:rsid w:val="27614997"/>
    <w:rsid w:val="277D73A1"/>
    <w:rsid w:val="2793442C"/>
    <w:rsid w:val="27C206E8"/>
    <w:rsid w:val="28982FE2"/>
    <w:rsid w:val="28B83BFF"/>
    <w:rsid w:val="290F2046"/>
    <w:rsid w:val="2923409D"/>
    <w:rsid w:val="294C2435"/>
    <w:rsid w:val="298C52F0"/>
    <w:rsid w:val="29925E1A"/>
    <w:rsid w:val="2997713A"/>
    <w:rsid w:val="2A1D0F47"/>
    <w:rsid w:val="2A5B6A09"/>
    <w:rsid w:val="2B040F9D"/>
    <w:rsid w:val="2B34415E"/>
    <w:rsid w:val="2B3C65FF"/>
    <w:rsid w:val="2BDD5569"/>
    <w:rsid w:val="2C0870D6"/>
    <w:rsid w:val="2C5A6C5D"/>
    <w:rsid w:val="2C955142"/>
    <w:rsid w:val="2CB53128"/>
    <w:rsid w:val="2CD176A6"/>
    <w:rsid w:val="2CE03705"/>
    <w:rsid w:val="2CE5756B"/>
    <w:rsid w:val="2D17630C"/>
    <w:rsid w:val="2D2D3B92"/>
    <w:rsid w:val="2D980C0B"/>
    <w:rsid w:val="2DA36ECA"/>
    <w:rsid w:val="2DFE08A6"/>
    <w:rsid w:val="2E313DDB"/>
    <w:rsid w:val="2EB87CC0"/>
    <w:rsid w:val="2EC16023"/>
    <w:rsid w:val="2ED80F4B"/>
    <w:rsid w:val="2F1B7849"/>
    <w:rsid w:val="2F8D64C0"/>
    <w:rsid w:val="300251B5"/>
    <w:rsid w:val="305C4346"/>
    <w:rsid w:val="310028DA"/>
    <w:rsid w:val="313177DD"/>
    <w:rsid w:val="32240BF8"/>
    <w:rsid w:val="322A0AE4"/>
    <w:rsid w:val="3235563A"/>
    <w:rsid w:val="32683B2D"/>
    <w:rsid w:val="327E3643"/>
    <w:rsid w:val="32AF5AD2"/>
    <w:rsid w:val="32C563AD"/>
    <w:rsid w:val="32FE496E"/>
    <w:rsid w:val="330C362C"/>
    <w:rsid w:val="335A7005"/>
    <w:rsid w:val="33956D13"/>
    <w:rsid w:val="339D79F1"/>
    <w:rsid w:val="33A20370"/>
    <w:rsid w:val="33B37D8A"/>
    <w:rsid w:val="33BB103D"/>
    <w:rsid w:val="34383A5B"/>
    <w:rsid w:val="343E683F"/>
    <w:rsid w:val="34554F53"/>
    <w:rsid w:val="34662EA6"/>
    <w:rsid w:val="347F25F8"/>
    <w:rsid w:val="37095278"/>
    <w:rsid w:val="37260A87"/>
    <w:rsid w:val="376A4991"/>
    <w:rsid w:val="37F5632A"/>
    <w:rsid w:val="388958CC"/>
    <w:rsid w:val="39102AC2"/>
    <w:rsid w:val="393A7B4C"/>
    <w:rsid w:val="39A80794"/>
    <w:rsid w:val="39CB2810"/>
    <w:rsid w:val="39EF57AC"/>
    <w:rsid w:val="3A5F15D0"/>
    <w:rsid w:val="3A7A59C2"/>
    <w:rsid w:val="3A8A5198"/>
    <w:rsid w:val="3AB647BD"/>
    <w:rsid w:val="3B3E3E45"/>
    <w:rsid w:val="3CA77EE1"/>
    <w:rsid w:val="3CE4144F"/>
    <w:rsid w:val="3D294EE0"/>
    <w:rsid w:val="3DAE5076"/>
    <w:rsid w:val="3DE73B46"/>
    <w:rsid w:val="3DE83AD0"/>
    <w:rsid w:val="3E9F6159"/>
    <w:rsid w:val="3FBC7E4E"/>
    <w:rsid w:val="3FDC1A36"/>
    <w:rsid w:val="3FDD2101"/>
    <w:rsid w:val="3FEA6A42"/>
    <w:rsid w:val="409F3EEA"/>
    <w:rsid w:val="40A21DB4"/>
    <w:rsid w:val="40B7729C"/>
    <w:rsid w:val="411F7579"/>
    <w:rsid w:val="41355E93"/>
    <w:rsid w:val="41730BF7"/>
    <w:rsid w:val="428B2341"/>
    <w:rsid w:val="433507F9"/>
    <w:rsid w:val="441915F5"/>
    <w:rsid w:val="45770186"/>
    <w:rsid w:val="459F7826"/>
    <w:rsid w:val="464A1410"/>
    <w:rsid w:val="46F66BD7"/>
    <w:rsid w:val="47341022"/>
    <w:rsid w:val="477E3CE3"/>
    <w:rsid w:val="48184499"/>
    <w:rsid w:val="483B34B0"/>
    <w:rsid w:val="48FD757B"/>
    <w:rsid w:val="491C391B"/>
    <w:rsid w:val="492B09D8"/>
    <w:rsid w:val="498E082D"/>
    <w:rsid w:val="4A720B65"/>
    <w:rsid w:val="4AAF0090"/>
    <w:rsid w:val="4B064935"/>
    <w:rsid w:val="4B090AF7"/>
    <w:rsid w:val="4B220275"/>
    <w:rsid w:val="4B483AD9"/>
    <w:rsid w:val="4B6768D2"/>
    <w:rsid w:val="4BFC05F5"/>
    <w:rsid w:val="4C0F77AD"/>
    <w:rsid w:val="4C6D0410"/>
    <w:rsid w:val="4C8611D9"/>
    <w:rsid w:val="4D02687F"/>
    <w:rsid w:val="4D453DC9"/>
    <w:rsid w:val="4D8D0BEB"/>
    <w:rsid w:val="4DB8268A"/>
    <w:rsid w:val="4DF07C13"/>
    <w:rsid w:val="4E426085"/>
    <w:rsid w:val="4E8B327B"/>
    <w:rsid w:val="4ED74A31"/>
    <w:rsid w:val="4EFD13C2"/>
    <w:rsid w:val="4F886CE6"/>
    <w:rsid w:val="50993D59"/>
    <w:rsid w:val="515512D0"/>
    <w:rsid w:val="516E3E1E"/>
    <w:rsid w:val="51770C66"/>
    <w:rsid w:val="51C92B72"/>
    <w:rsid w:val="51F47B43"/>
    <w:rsid w:val="525C2381"/>
    <w:rsid w:val="52622A40"/>
    <w:rsid w:val="52755F2A"/>
    <w:rsid w:val="527A20EE"/>
    <w:rsid w:val="532B27D1"/>
    <w:rsid w:val="53A07D90"/>
    <w:rsid w:val="53C43072"/>
    <w:rsid w:val="53EA2B27"/>
    <w:rsid w:val="540B4142"/>
    <w:rsid w:val="5455526C"/>
    <w:rsid w:val="54D21C50"/>
    <w:rsid w:val="55FD3636"/>
    <w:rsid w:val="564C147E"/>
    <w:rsid w:val="56775B43"/>
    <w:rsid w:val="5681710C"/>
    <w:rsid w:val="571950BC"/>
    <w:rsid w:val="57D309C6"/>
    <w:rsid w:val="58B72C33"/>
    <w:rsid w:val="590B70B3"/>
    <w:rsid w:val="592F0C5C"/>
    <w:rsid w:val="59336AE3"/>
    <w:rsid w:val="59A421BC"/>
    <w:rsid w:val="59E15F92"/>
    <w:rsid w:val="59ED3977"/>
    <w:rsid w:val="5A0C0B47"/>
    <w:rsid w:val="5AE86358"/>
    <w:rsid w:val="5B8C578C"/>
    <w:rsid w:val="5B942AB1"/>
    <w:rsid w:val="5BA27CFF"/>
    <w:rsid w:val="5BE34BD9"/>
    <w:rsid w:val="5BEC5827"/>
    <w:rsid w:val="5C2E219B"/>
    <w:rsid w:val="5C6F0596"/>
    <w:rsid w:val="5CB37775"/>
    <w:rsid w:val="5DDA2367"/>
    <w:rsid w:val="5E373F89"/>
    <w:rsid w:val="5E5068C1"/>
    <w:rsid w:val="5E9B5A1F"/>
    <w:rsid w:val="5EFD55DF"/>
    <w:rsid w:val="5F053AC2"/>
    <w:rsid w:val="5F0B5C76"/>
    <w:rsid w:val="5F16731B"/>
    <w:rsid w:val="5F1C71B2"/>
    <w:rsid w:val="5F1D225B"/>
    <w:rsid w:val="5F21657F"/>
    <w:rsid w:val="5F4A1C91"/>
    <w:rsid w:val="5FCA3D8D"/>
    <w:rsid w:val="60377224"/>
    <w:rsid w:val="607D49FD"/>
    <w:rsid w:val="60E67C6D"/>
    <w:rsid w:val="61043818"/>
    <w:rsid w:val="612E1200"/>
    <w:rsid w:val="613618D5"/>
    <w:rsid w:val="61E37CF9"/>
    <w:rsid w:val="61EF4BAD"/>
    <w:rsid w:val="622E630D"/>
    <w:rsid w:val="62742DCD"/>
    <w:rsid w:val="62B91BA7"/>
    <w:rsid w:val="62D7527A"/>
    <w:rsid w:val="63156E86"/>
    <w:rsid w:val="6395494B"/>
    <w:rsid w:val="639A41C4"/>
    <w:rsid w:val="63AD0D00"/>
    <w:rsid w:val="63CF1848"/>
    <w:rsid w:val="63E37986"/>
    <w:rsid w:val="64360ADF"/>
    <w:rsid w:val="64F03451"/>
    <w:rsid w:val="64FB6E9F"/>
    <w:rsid w:val="654C0C6E"/>
    <w:rsid w:val="65B43BEA"/>
    <w:rsid w:val="65C409EA"/>
    <w:rsid w:val="663A3EB4"/>
    <w:rsid w:val="66E17464"/>
    <w:rsid w:val="67D414E5"/>
    <w:rsid w:val="69A5229A"/>
    <w:rsid w:val="69A97278"/>
    <w:rsid w:val="69F554D1"/>
    <w:rsid w:val="6BBC26DD"/>
    <w:rsid w:val="6BF603B0"/>
    <w:rsid w:val="6C290D26"/>
    <w:rsid w:val="6C2D1542"/>
    <w:rsid w:val="6C4912EE"/>
    <w:rsid w:val="6C800B14"/>
    <w:rsid w:val="6CDC19EB"/>
    <w:rsid w:val="6D11498F"/>
    <w:rsid w:val="6D476F7F"/>
    <w:rsid w:val="6D684322"/>
    <w:rsid w:val="6DBA0093"/>
    <w:rsid w:val="6E7B4731"/>
    <w:rsid w:val="6E927F94"/>
    <w:rsid w:val="6EEF6407"/>
    <w:rsid w:val="6F555EF3"/>
    <w:rsid w:val="6FAA56EB"/>
    <w:rsid w:val="6FED25A3"/>
    <w:rsid w:val="704A3031"/>
    <w:rsid w:val="70554E01"/>
    <w:rsid w:val="70601362"/>
    <w:rsid w:val="70AD3F02"/>
    <w:rsid w:val="70EA511B"/>
    <w:rsid w:val="716D7957"/>
    <w:rsid w:val="71E473EF"/>
    <w:rsid w:val="72251606"/>
    <w:rsid w:val="723C4E0C"/>
    <w:rsid w:val="72421DD8"/>
    <w:rsid w:val="727017CD"/>
    <w:rsid w:val="730D354D"/>
    <w:rsid w:val="734E2F8F"/>
    <w:rsid w:val="7386403F"/>
    <w:rsid w:val="73A236AA"/>
    <w:rsid w:val="73AA2E25"/>
    <w:rsid w:val="73B257D5"/>
    <w:rsid w:val="73C66834"/>
    <w:rsid w:val="74034CD0"/>
    <w:rsid w:val="74B623B5"/>
    <w:rsid w:val="74FC7F63"/>
    <w:rsid w:val="75494092"/>
    <w:rsid w:val="759E0303"/>
    <w:rsid w:val="75AD4B40"/>
    <w:rsid w:val="75FE1A6B"/>
    <w:rsid w:val="767D74C7"/>
    <w:rsid w:val="76820B04"/>
    <w:rsid w:val="76DA4889"/>
    <w:rsid w:val="76E47588"/>
    <w:rsid w:val="77354976"/>
    <w:rsid w:val="776A67F8"/>
    <w:rsid w:val="77DF6978"/>
    <w:rsid w:val="78046151"/>
    <w:rsid w:val="783311DF"/>
    <w:rsid w:val="784F6630"/>
    <w:rsid w:val="78507FEF"/>
    <w:rsid w:val="78B03D86"/>
    <w:rsid w:val="78EA49E2"/>
    <w:rsid w:val="78F42CFF"/>
    <w:rsid w:val="79260D6C"/>
    <w:rsid w:val="79F66BAF"/>
    <w:rsid w:val="7A2F46E7"/>
    <w:rsid w:val="7A4F1784"/>
    <w:rsid w:val="7A5245F9"/>
    <w:rsid w:val="7AF95BE7"/>
    <w:rsid w:val="7B70248C"/>
    <w:rsid w:val="7B932C66"/>
    <w:rsid w:val="7BB02559"/>
    <w:rsid w:val="7BF0782B"/>
    <w:rsid w:val="7C05359C"/>
    <w:rsid w:val="7CF11279"/>
    <w:rsid w:val="7D0275D8"/>
    <w:rsid w:val="7DB96803"/>
    <w:rsid w:val="7E2852A2"/>
    <w:rsid w:val="7E605563"/>
    <w:rsid w:val="7EAA408B"/>
    <w:rsid w:val="7EC478BA"/>
    <w:rsid w:val="7EDF4571"/>
    <w:rsid w:val="7F114FA7"/>
    <w:rsid w:val="7F1F28DF"/>
    <w:rsid w:val="7F280353"/>
    <w:rsid w:val="7F350E03"/>
    <w:rsid w:val="7F666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4">
    <w:name w:val="heading 1"/>
    <w:basedOn w:val="1"/>
    <w:next w:val="1"/>
    <w:qFormat/>
    <w:uiPriority w:val="0"/>
    <w:pPr>
      <w:widowControl/>
      <w:adjustRightInd w:val="0"/>
      <w:snapToGrid w:val="0"/>
      <w:spacing w:line="640" w:lineRule="exact"/>
      <w:jc w:val="center"/>
      <w:outlineLvl w:val="0"/>
    </w:pPr>
    <w:rPr>
      <w:rFonts w:ascii="黑体" w:eastAsia="黑体"/>
      <w:b/>
      <w:kern w:val="0"/>
      <w:sz w:val="28"/>
      <w:szCs w:val="28"/>
    </w:rPr>
  </w:style>
  <w:style w:type="paragraph" w:styleId="5">
    <w:name w:val="heading 2"/>
    <w:basedOn w:val="1"/>
    <w:next w:val="1"/>
    <w:unhideWhenUsed/>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6">
    <w:name w:val="heading 3"/>
    <w:basedOn w:val="1"/>
    <w:next w:val="1"/>
    <w:unhideWhenUsed/>
    <w:qFormat/>
    <w:uiPriority w:val="0"/>
    <w:pPr>
      <w:keepNext/>
      <w:keepLines/>
      <w:spacing w:before="260" w:after="260" w:line="413" w:lineRule="auto"/>
      <w:outlineLvl w:val="2"/>
    </w:pPr>
    <w:rPr>
      <w:b/>
      <w:bCs/>
      <w:sz w:val="32"/>
      <w:szCs w:val="32"/>
    </w:rPr>
  </w:style>
  <w:style w:type="paragraph" w:styleId="7">
    <w:name w:val="heading 4"/>
    <w:basedOn w:val="1"/>
    <w:next w:val="1"/>
    <w:qFormat/>
    <w:uiPriority w:val="0"/>
    <w:pPr>
      <w:keepNext/>
      <w:widowControl w:val="0"/>
      <w:ind w:firstLine="600" w:firstLineChars="600"/>
      <w:outlineLvl w:val="3"/>
    </w:pPr>
    <w:rPr>
      <w:rFonts w:ascii="宋体"/>
      <w:sz w:val="28"/>
    </w:rPr>
  </w:style>
  <w:style w:type="character" w:default="1" w:styleId="21">
    <w:name w:val="Default Paragraph Font"/>
    <w:link w:val="22"/>
    <w:semiHidden/>
    <w:qFormat/>
    <w:uiPriority w:val="0"/>
    <w:rPr>
      <w:rFonts w:eastAsia="方正仿宋简体"/>
      <w:sz w:val="32"/>
      <w:szCs w:val="21"/>
    </w:rPr>
  </w:style>
  <w:style w:type="table" w:default="1" w:styleId="19">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autoSpaceDE/>
      <w:autoSpaceDN/>
      <w:adjustRightInd/>
      <w:spacing w:after="120" w:line="240" w:lineRule="auto"/>
      <w:ind w:firstLine="420" w:firstLineChars="100"/>
      <w:jc w:val="both"/>
      <w:textAlignment w:val="auto"/>
    </w:pPr>
    <w:rPr>
      <w:rFonts w:ascii="Times New Roman"/>
      <w:color w:val="auto"/>
      <w:kern w:val="2"/>
      <w:sz w:val="21"/>
      <w:szCs w:val="24"/>
    </w:rPr>
  </w:style>
  <w:style w:type="paragraph" w:styleId="3">
    <w:name w:val="Body Text"/>
    <w:basedOn w:val="1"/>
    <w:qFormat/>
    <w:uiPriority w:val="0"/>
    <w:pPr>
      <w:spacing w:line="400" w:lineRule="exact"/>
    </w:pPr>
    <w:rPr>
      <w:sz w:val="28"/>
    </w:rPr>
  </w:style>
  <w:style w:type="paragraph" w:styleId="8">
    <w:name w:val="Normal Indent"/>
    <w:basedOn w:val="1"/>
    <w:qFormat/>
    <w:uiPriority w:val="0"/>
    <w:pPr>
      <w:ind w:firstLine="420"/>
    </w:pPr>
  </w:style>
  <w:style w:type="paragraph" w:styleId="9">
    <w:name w:val="caption"/>
    <w:basedOn w:val="1"/>
    <w:next w:val="1"/>
    <w:semiHidden/>
    <w:qFormat/>
    <w:uiPriority w:val="0"/>
    <w:pPr>
      <w:spacing w:before="152" w:after="160"/>
    </w:pPr>
    <w:rPr>
      <w:rFonts w:ascii="Arial" w:hAnsi="Arial" w:eastAsia="黑体" w:cs="Arial"/>
      <w:sz w:val="20"/>
    </w:rPr>
  </w:style>
  <w:style w:type="paragraph" w:styleId="10">
    <w:name w:val="Body Text Indent"/>
    <w:basedOn w:val="1"/>
    <w:qFormat/>
    <w:uiPriority w:val="0"/>
    <w:pPr>
      <w:ind w:firstLine="480"/>
    </w:pPr>
    <w:rPr>
      <w:rFonts w:ascii="宋体"/>
      <w:sz w:val="24"/>
    </w:rPr>
  </w:style>
  <w:style w:type="paragraph" w:styleId="11">
    <w:name w:val="toc 3"/>
    <w:basedOn w:val="1"/>
    <w:next w:val="1"/>
    <w:qFormat/>
    <w:uiPriority w:val="0"/>
    <w:pPr>
      <w:ind w:left="840" w:leftChars="400"/>
    </w:pPr>
  </w:style>
  <w:style w:type="paragraph" w:styleId="12">
    <w:name w:val="Plain Text"/>
    <w:basedOn w:val="1"/>
    <w:qFormat/>
    <w:uiPriority w:val="0"/>
    <w:pPr>
      <w:spacing w:line="360" w:lineRule="auto"/>
      <w:ind w:firstLine="200" w:firstLineChars="200"/>
    </w:pPr>
    <w:rPr>
      <w:rFonts w:ascii="宋体" w:hAnsi="Courier New" w:cs="Courier New"/>
      <w:sz w:val="28"/>
      <w:szCs w:val="21"/>
    </w:rPr>
  </w:style>
  <w:style w:type="paragraph" w:styleId="13">
    <w:name w:val="footer"/>
    <w:basedOn w:val="1"/>
    <w:link w:val="3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Body Text Indent 3"/>
    <w:basedOn w:val="1"/>
    <w:qFormat/>
    <w:uiPriority w:val="0"/>
    <w:pPr>
      <w:tabs>
        <w:tab w:val="left" w:pos="1050"/>
      </w:tabs>
      <w:spacing w:before="120" w:line="360" w:lineRule="auto"/>
      <w:ind w:firstLine="420" w:firstLineChars="150"/>
    </w:pPr>
    <w:rPr>
      <w:rFonts w:ascii="宋体"/>
      <w:spacing w:val="20"/>
      <w:sz w:val="24"/>
    </w:rPr>
  </w:style>
  <w:style w:type="paragraph" w:styleId="17">
    <w:name w:val="toc 2"/>
    <w:basedOn w:val="1"/>
    <w:next w:val="1"/>
    <w:qFormat/>
    <w:uiPriority w:val="0"/>
    <w:pPr>
      <w:ind w:left="420" w:leftChars="200"/>
    </w:pPr>
  </w:style>
  <w:style w:type="paragraph" w:styleId="18">
    <w:name w:val="Normal (Web)"/>
    <w:basedOn w:val="1"/>
    <w:qFormat/>
    <w:uiPriority w:val="0"/>
    <w:pPr>
      <w:widowControl/>
      <w:spacing w:before="100" w:beforeLines="0" w:beforeAutospacing="1" w:after="100" w:afterLines="0" w:afterAutospacing="1" w:line="360" w:lineRule="auto"/>
      <w:jc w:val="left"/>
    </w:pPr>
    <w:rPr>
      <w:rFonts w:ascii="宋体" w:hAnsi="宋体"/>
      <w:kern w:val="0"/>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2">
    <w:name w:val="Char"/>
    <w:basedOn w:val="1"/>
    <w:link w:val="21"/>
    <w:qFormat/>
    <w:uiPriority w:val="0"/>
    <w:rPr>
      <w:rFonts w:eastAsia="方正仿宋简体"/>
      <w:sz w:val="32"/>
      <w:szCs w:val="21"/>
    </w:rPr>
  </w:style>
  <w:style w:type="character" w:styleId="23">
    <w:name w:val="annotation reference"/>
    <w:basedOn w:val="21"/>
    <w:semiHidden/>
    <w:qFormat/>
    <w:uiPriority w:val="0"/>
    <w:rPr>
      <w:sz w:val="21"/>
      <w:szCs w:val="21"/>
    </w:rPr>
  </w:style>
  <w:style w:type="paragraph" w:customStyle="1" w:styleId="24">
    <w:name w:val="xl53"/>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kern w:val="0"/>
      <w:sz w:val="28"/>
      <w:szCs w:val="28"/>
    </w:rPr>
  </w:style>
  <w:style w:type="paragraph" w:customStyle="1" w:styleId="25">
    <w:name w:val="表格"/>
    <w:basedOn w:val="1"/>
    <w:qFormat/>
    <w:uiPriority w:val="0"/>
    <w:pPr>
      <w:widowControl/>
      <w:snapToGrid w:val="0"/>
      <w:jc w:val="center"/>
    </w:pPr>
    <w:rPr>
      <w:kern w:val="0"/>
    </w:rPr>
  </w:style>
  <w:style w:type="paragraph" w:customStyle="1" w:styleId="26">
    <w:name w:val="简单回函地址"/>
    <w:basedOn w:val="1"/>
    <w:qFormat/>
    <w:uiPriority w:val="0"/>
  </w:style>
  <w:style w:type="paragraph" w:customStyle="1" w:styleId="27">
    <w:name w:val="居中"/>
    <w:basedOn w:val="1"/>
    <w:qFormat/>
    <w:uiPriority w:val="0"/>
    <w:pPr>
      <w:jc w:val="center"/>
    </w:pPr>
    <w:rPr>
      <w:rFonts w:ascii="宋体" w:hAnsi="宋体"/>
      <w:color w:val="000000"/>
      <w:sz w:val="21"/>
    </w:rPr>
  </w:style>
  <w:style w:type="character" w:customStyle="1" w:styleId="28">
    <w:name w:val="zw1"/>
    <w:basedOn w:val="21"/>
    <w:qFormat/>
    <w:uiPriority w:val="0"/>
    <w:rPr>
      <w:rFonts w:hint="eastAsia" w:ascii="宋体" w:hAnsi="宋体" w:eastAsia="宋体"/>
      <w:sz w:val="22"/>
      <w:szCs w:val="22"/>
    </w:rPr>
  </w:style>
  <w:style w:type="character" w:customStyle="1" w:styleId="29">
    <w:name w:val="正文1"/>
    <w:basedOn w:val="21"/>
    <w:qFormat/>
    <w:uiPriority w:val="0"/>
    <w:rPr>
      <w:rFonts w:hint="eastAsia" w:ascii="宋体" w:hAnsi="宋体" w:eastAsia="宋体"/>
      <w:sz w:val="22"/>
      <w:szCs w:val="22"/>
    </w:rPr>
  </w:style>
  <w:style w:type="paragraph" w:customStyle="1" w:styleId="30">
    <w:name w:val="Body text|2"/>
    <w:basedOn w:val="1"/>
    <w:qFormat/>
    <w:uiPriority w:val="0"/>
    <w:pPr>
      <w:widowControl w:val="0"/>
      <w:shd w:val="clear" w:color="auto" w:fill="FFFFFF"/>
      <w:spacing w:line="242" w:lineRule="exact"/>
    </w:pPr>
    <w:rPr>
      <w:rFonts w:ascii="PMingLiU" w:hAnsi="PMingLiU" w:eastAsia="PMingLiU" w:cs="PMingLiU"/>
      <w:sz w:val="13"/>
      <w:szCs w:val="13"/>
      <w:u w:val="none"/>
    </w:rPr>
  </w:style>
  <w:style w:type="character" w:customStyle="1" w:styleId="31">
    <w:name w:val="页脚 Char"/>
    <w:link w:val="13"/>
    <w:qFormat/>
    <w:uiPriority w:val="99"/>
    <w:rPr>
      <w:sz w:val="18"/>
    </w:rPr>
  </w:style>
  <w:style w:type="paragraph" w:customStyle="1" w:styleId="32">
    <w:name w:val="【表头】"/>
    <w:basedOn w:val="1"/>
    <w:qFormat/>
    <w:uiPriority w:val="0"/>
    <w:pPr>
      <w:spacing w:line="360" w:lineRule="auto"/>
      <w:jc w:val="center"/>
    </w:pPr>
    <w:rPr>
      <w:b/>
      <w:kern w:val="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2018-03-12T10:48:00Z</dcterms:created>
  <dc:creator>1111</dc:creator>
  <cp:lastModifiedBy>1111</cp:lastModifiedBy>
  <cp:lastPrinted>2019-05-24T06:32:51Z</cp:lastPrinted>
  <dcterms:modified xsi:type="dcterms:W3CDTF">2019-05-24T06:33:02Z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