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firstLine="1044"/>
        <w:jc w:val="right"/>
        <w:rPr>
          <w:rFonts w:hint="eastAsia"/>
          <w:b/>
          <w:color w:val="auto"/>
          <w:sz w:val="28"/>
          <w:szCs w:val="28"/>
        </w:rPr>
      </w:pPr>
      <w:bookmarkStart w:id="0" w:name="_Toc19720"/>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spacing w:line="360" w:lineRule="auto"/>
        <w:jc w:val="center"/>
        <w:rPr>
          <w:rFonts w:hint="eastAsia" w:ascii="宋体" w:hAnsi="宋体" w:eastAsia="宋体"/>
          <w:b/>
          <w:bCs/>
          <w:caps/>
          <w:color w:val="auto"/>
          <w:sz w:val="48"/>
          <w:szCs w:val="48"/>
          <w:lang w:eastAsia="zh-CN"/>
        </w:rPr>
      </w:pPr>
      <w:r>
        <w:rPr>
          <w:rFonts w:hint="eastAsia" w:ascii="宋体" w:hAnsi="宋体"/>
          <w:b/>
          <w:bCs/>
          <w:caps/>
          <w:color w:val="auto"/>
          <w:sz w:val="48"/>
          <w:szCs w:val="48"/>
          <w:lang w:eastAsia="zh-CN"/>
        </w:rPr>
        <w:t>仪陇县炬光乡页岩砖厂</w:t>
      </w:r>
    </w:p>
    <w:p>
      <w:pPr>
        <w:spacing w:line="360" w:lineRule="auto"/>
        <w:jc w:val="center"/>
        <w:rPr>
          <w:rFonts w:hint="eastAsia" w:ascii="宋体" w:hAnsi="宋体"/>
          <w:b/>
          <w:bCs/>
          <w:caps/>
          <w:color w:val="auto"/>
          <w:sz w:val="48"/>
          <w:szCs w:val="48"/>
        </w:rPr>
      </w:pPr>
    </w:p>
    <w:p>
      <w:pPr>
        <w:spacing w:line="360" w:lineRule="auto"/>
        <w:jc w:val="center"/>
        <w:rPr>
          <w:rFonts w:hint="eastAsia" w:ascii="宋体" w:hAnsi="宋体"/>
          <w:b/>
          <w:bCs/>
          <w:caps/>
          <w:color w:val="auto"/>
          <w:sz w:val="48"/>
          <w:szCs w:val="48"/>
          <w:lang w:eastAsia="zh-CN"/>
        </w:rPr>
      </w:pPr>
      <w:r>
        <w:rPr>
          <w:rFonts w:hint="eastAsia" w:ascii="宋体" w:hAnsi="宋体"/>
          <w:b/>
          <w:bCs/>
          <w:caps/>
          <w:color w:val="auto"/>
          <w:sz w:val="48"/>
          <w:szCs w:val="48"/>
          <w:lang w:eastAsia="zh-CN"/>
        </w:rPr>
        <w:tab/>
      </w:r>
      <w:r>
        <w:rPr>
          <w:rFonts w:hint="eastAsia" w:ascii="宋体" w:hAnsi="宋体"/>
          <w:b/>
          <w:bCs/>
          <w:caps/>
          <w:color w:val="auto"/>
          <w:sz w:val="48"/>
          <w:szCs w:val="48"/>
          <w:lang w:eastAsia="zh-CN"/>
        </w:rPr>
        <w:t>事故风险评估报告</w:t>
      </w:r>
      <w:r>
        <w:rPr>
          <w:rFonts w:hint="eastAsia" w:ascii="宋体" w:hAnsi="宋体"/>
          <w:b/>
          <w:bCs/>
          <w:caps/>
          <w:color w:val="auto"/>
          <w:sz w:val="48"/>
          <w:szCs w:val="48"/>
          <w:lang w:eastAsia="zh-CN"/>
        </w:rPr>
        <w:tab/>
      </w:r>
    </w:p>
    <w:p>
      <w:pPr>
        <w:jc w:val="center"/>
        <w:rPr>
          <w:rFonts w:hint="eastAsia"/>
          <w:color w:val="auto"/>
          <w:sz w:val="32"/>
          <w:szCs w:val="32"/>
        </w:rPr>
      </w:pPr>
    </w:p>
    <w:p>
      <w:pPr>
        <w:jc w:val="center"/>
        <w:rPr>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p>
      <w:pPr>
        <w:jc w:val="center"/>
        <w:rPr>
          <w:rFonts w:hint="eastAsia"/>
          <w:color w:val="auto"/>
          <w:sz w:val="32"/>
          <w:szCs w:val="32"/>
        </w:rPr>
      </w:pPr>
    </w:p>
    <w:tbl>
      <w:tblPr>
        <w:tblStyle w:val="19"/>
        <w:tblW w:w="8137" w:type="dxa"/>
        <w:jc w:val="center"/>
        <w:tblInd w:w="0" w:type="dxa"/>
        <w:tblLayout w:type="fixed"/>
        <w:tblCellMar>
          <w:top w:w="0" w:type="dxa"/>
          <w:left w:w="108" w:type="dxa"/>
          <w:bottom w:w="0" w:type="dxa"/>
          <w:right w:w="108" w:type="dxa"/>
        </w:tblCellMar>
      </w:tblPr>
      <w:tblGrid>
        <w:gridCol w:w="8137"/>
      </w:tblGrid>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编制单位：</w:t>
            </w:r>
            <w:r>
              <w:rPr>
                <w:rFonts w:hint="eastAsia" w:eastAsia="黑体"/>
                <w:b/>
                <w:bCs/>
                <w:color w:val="auto"/>
                <w:sz w:val="36"/>
                <w:szCs w:val="36"/>
                <w:lang w:eastAsia="zh-CN"/>
              </w:rPr>
              <w:t>仪陇县炬光乡页岩砖厂</w:t>
            </w:r>
          </w:p>
        </w:tc>
      </w:tr>
      <w:tr>
        <w:tblPrEx>
          <w:tblLayout w:type="fixed"/>
          <w:tblCellMar>
            <w:top w:w="0" w:type="dxa"/>
            <w:left w:w="108" w:type="dxa"/>
            <w:bottom w:w="0" w:type="dxa"/>
            <w:right w:w="108" w:type="dxa"/>
          </w:tblCellMar>
        </w:tblPrEx>
        <w:trPr>
          <w:jc w:val="center"/>
        </w:trPr>
        <w:tc>
          <w:tcPr>
            <w:tcW w:w="8137" w:type="dxa"/>
            <w:vAlign w:val="center"/>
          </w:tcPr>
          <w:p>
            <w:pPr>
              <w:ind w:firstLine="720"/>
              <w:rPr>
                <w:rFonts w:hint="eastAsia" w:eastAsia="黑体"/>
                <w:bCs/>
                <w:color w:val="auto"/>
                <w:sz w:val="36"/>
                <w:szCs w:val="36"/>
              </w:rPr>
            </w:pPr>
          </w:p>
        </w:tc>
      </w:tr>
      <w:tr>
        <w:tblPrEx>
          <w:tblLayout w:type="fixed"/>
          <w:tblCellMar>
            <w:top w:w="0" w:type="dxa"/>
            <w:left w:w="108" w:type="dxa"/>
            <w:bottom w:w="0" w:type="dxa"/>
            <w:right w:w="108" w:type="dxa"/>
          </w:tblCellMar>
        </w:tblPrEx>
        <w:trPr>
          <w:jc w:val="center"/>
        </w:trPr>
        <w:tc>
          <w:tcPr>
            <w:tcW w:w="8137" w:type="dxa"/>
            <w:vAlign w:val="center"/>
          </w:tcPr>
          <w:p>
            <w:pPr>
              <w:jc w:val="center"/>
              <w:rPr>
                <w:rFonts w:hint="eastAsia"/>
                <w:color w:val="auto"/>
                <w:sz w:val="36"/>
                <w:szCs w:val="36"/>
              </w:rPr>
            </w:pPr>
            <w:r>
              <w:rPr>
                <w:rFonts w:hint="eastAsia" w:eastAsia="黑体"/>
                <w:bCs/>
                <w:color w:val="auto"/>
                <w:sz w:val="36"/>
                <w:szCs w:val="36"/>
              </w:rPr>
              <w:t>编制时间：201</w:t>
            </w:r>
            <w:r>
              <w:rPr>
                <w:rFonts w:hint="eastAsia" w:eastAsia="黑体"/>
                <w:bCs/>
                <w:color w:val="auto"/>
                <w:sz w:val="36"/>
                <w:szCs w:val="36"/>
                <w:lang w:val="en-US" w:eastAsia="zh-CN"/>
              </w:rPr>
              <w:t>9</w:t>
            </w:r>
            <w:r>
              <w:rPr>
                <w:rFonts w:hint="eastAsia" w:eastAsia="黑体"/>
                <w:bCs/>
                <w:color w:val="auto"/>
                <w:sz w:val="36"/>
                <w:szCs w:val="36"/>
              </w:rPr>
              <w:t>年</w:t>
            </w:r>
            <w:r>
              <w:rPr>
                <w:rFonts w:hint="eastAsia" w:eastAsia="黑体"/>
                <w:bCs/>
                <w:color w:val="auto"/>
                <w:sz w:val="36"/>
                <w:szCs w:val="36"/>
                <w:lang w:val="en-US" w:eastAsia="zh-CN"/>
              </w:rPr>
              <w:t>04</w:t>
            </w:r>
            <w:r>
              <w:rPr>
                <w:rFonts w:hint="eastAsia" w:eastAsia="黑体"/>
                <w:bCs/>
                <w:color w:val="auto"/>
                <w:sz w:val="36"/>
                <w:szCs w:val="36"/>
              </w:rPr>
              <w:t>月</w:t>
            </w:r>
            <w:r>
              <w:rPr>
                <w:rFonts w:hint="eastAsia" w:eastAsia="黑体"/>
                <w:bCs/>
                <w:color w:val="auto"/>
                <w:sz w:val="36"/>
                <w:szCs w:val="36"/>
                <w:lang w:val="en-US" w:eastAsia="zh-CN"/>
              </w:rPr>
              <w:t>25</w:t>
            </w:r>
            <w:r>
              <w:rPr>
                <w:rFonts w:hint="eastAsia" w:eastAsia="黑体"/>
                <w:bCs/>
                <w:color w:val="auto"/>
                <w:sz w:val="36"/>
                <w:szCs w:val="36"/>
              </w:rPr>
              <w:t>日</w:t>
            </w:r>
          </w:p>
        </w:tc>
      </w:tr>
    </w:tbl>
    <w:p>
      <w:pPr>
        <w:jc w:val="center"/>
        <w:rPr>
          <w:rFonts w:hint="eastAsia"/>
          <w:color w:val="auto"/>
          <w:sz w:val="32"/>
          <w:szCs w:val="32"/>
        </w:rPr>
      </w:pPr>
    </w:p>
    <w:p>
      <w:pPr>
        <w:widowControl/>
        <w:spacing w:line="560" w:lineRule="exact"/>
        <w:jc w:val="left"/>
        <w:outlineLvl w:val="2"/>
        <w:rPr>
          <w:rFonts w:hint="eastAsia" w:ascii="宋体" w:hAnsi="宋体" w:cs="宋体"/>
          <w:b/>
          <w:bCs/>
          <w:color w:val="auto"/>
          <w:kern w:val="0"/>
          <w:sz w:val="28"/>
          <w:szCs w:val="28"/>
        </w:rPr>
      </w:pPr>
    </w:p>
    <w:p>
      <w:pPr>
        <w:rPr>
          <w:rFonts w:hint="eastAsia"/>
          <w:color w:val="auto"/>
        </w:rPr>
      </w:pPr>
      <w:bookmarkStart w:id="1" w:name="_Toc1966"/>
      <w:bookmarkStart w:id="2" w:name="_Toc489891867"/>
      <w:bookmarkStart w:id="3" w:name="_Toc486865993"/>
      <w:bookmarkStart w:id="4" w:name="_Toc481937753"/>
      <w:bookmarkStart w:id="5" w:name="_Toc490472469"/>
      <w:r>
        <w:rPr>
          <w:rFonts w:hint="eastAsia"/>
          <w:color w:val="auto"/>
        </w:rPr>
        <w:br w:type="page"/>
      </w:r>
    </w:p>
    <w:p>
      <w:pPr>
        <w:pStyle w:val="4"/>
        <w:spacing w:line="360" w:lineRule="auto"/>
        <w:rPr>
          <w:rFonts w:hint="eastAsia"/>
          <w:color w:val="auto"/>
        </w:rPr>
      </w:pPr>
      <w:bookmarkStart w:id="6" w:name="_Toc16896"/>
      <w:bookmarkStart w:id="7" w:name="_Toc6757"/>
      <w:bookmarkStart w:id="8" w:name="_Toc2372"/>
      <w:bookmarkStart w:id="9" w:name="_Toc29638"/>
      <w:bookmarkStart w:id="10" w:name="_Toc5540"/>
      <w:bookmarkStart w:id="11" w:name="_Toc7658"/>
      <w:bookmarkStart w:id="12" w:name="_Toc30139"/>
      <w:bookmarkStart w:id="13" w:name="_Toc17105"/>
      <w:bookmarkStart w:id="14" w:name="_Toc27937"/>
      <w:bookmarkStart w:id="15" w:name="_Toc32726"/>
      <w:r>
        <w:rPr>
          <w:rFonts w:hint="eastAsia"/>
          <w:color w:val="auto"/>
        </w:rPr>
        <w:t>目</w:t>
      </w:r>
      <w:r>
        <w:rPr>
          <w:rFonts w:hint="eastAsia"/>
          <w:color w:val="auto"/>
          <w:lang w:val="en-US" w:eastAsia="zh-CN"/>
        </w:rPr>
        <w:t xml:space="preserve">  </w:t>
      </w:r>
      <w:r>
        <w:rPr>
          <w:rFonts w:hint="eastAsia"/>
          <w:color w:val="auto"/>
        </w:rPr>
        <w:t>录</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pStyle w:val="15"/>
        <w:tabs>
          <w:tab w:val="right" w:leader="dot" w:pos="9638"/>
        </w:tabs>
        <w:spacing w:line="360" w:lineRule="auto"/>
        <w:rPr>
          <w:rFonts w:ascii="宋体" w:hAnsi="宋体"/>
          <w:color w:val="auto"/>
          <w:sz w:val="24"/>
        </w:rPr>
      </w:pPr>
    </w:p>
    <w:p>
      <w:pPr>
        <w:pStyle w:val="15"/>
        <w:tabs>
          <w:tab w:val="right" w:leader="dot" w:pos="8306"/>
        </w:tabs>
      </w:pPr>
      <w:r>
        <w:rPr>
          <w:rFonts w:hint="eastAsia" w:asciiTheme="minorEastAsia" w:hAnsiTheme="minorEastAsia" w:eastAsiaTheme="minorEastAsia" w:cstheme="minorEastAsia"/>
          <w:color w:val="auto"/>
          <w:sz w:val="21"/>
          <w:szCs w:val="21"/>
        </w:rPr>
        <w:fldChar w:fldCharType="begin"/>
      </w:r>
      <w:r>
        <w:rPr>
          <w:rFonts w:hint="eastAsia" w:asciiTheme="minorEastAsia" w:hAnsiTheme="minorEastAsia" w:eastAsiaTheme="minorEastAsia" w:cstheme="minorEastAsia"/>
          <w:color w:val="auto"/>
          <w:sz w:val="21"/>
          <w:szCs w:val="21"/>
        </w:rPr>
        <w:instrText xml:space="preserve"> TOC \o "1-3" \h \z \u </w:instrText>
      </w:r>
      <w:r>
        <w:rPr>
          <w:rFonts w:hint="eastAsia" w:asciiTheme="minorEastAsia" w:hAnsiTheme="minorEastAsia" w:eastAsiaTheme="minorEastAsia" w:cstheme="minorEastAsia"/>
          <w:color w:val="auto"/>
          <w:sz w:val="21"/>
          <w:szCs w:val="21"/>
        </w:rPr>
        <w:fldChar w:fldCharType="separate"/>
      </w: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_Toc14223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rPr>
        <w:t>1概述</w:t>
      </w:r>
      <w:r>
        <w:tab/>
      </w:r>
      <w:r>
        <w:fldChar w:fldCharType="begin"/>
      </w:r>
      <w:r>
        <w:instrText xml:space="preserve"> PAGEREF _Toc14223 </w:instrText>
      </w:r>
      <w:r>
        <w:fldChar w:fldCharType="separate"/>
      </w:r>
      <w:r>
        <w:t>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_Toc17518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1.1评估的主要依据</w:t>
      </w:r>
      <w:r>
        <w:tab/>
      </w:r>
      <w:r>
        <w:fldChar w:fldCharType="begin"/>
      </w:r>
      <w:r>
        <w:instrText xml:space="preserve"> PAGEREF _Toc17518 </w:instrText>
      </w:r>
      <w:r>
        <w:fldChar w:fldCharType="separate"/>
      </w:r>
      <w:r>
        <w:t>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_Toc11357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en-US" w:eastAsia="zh-CN"/>
        </w:rPr>
        <w:t>1.2评估目的</w:t>
      </w:r>
      <w:r>
        <w:tab/>
      </w:r>
      <w:r>
        <w:fldChar w:fldCharType="begin"/>
      </w:r>
      <w:r>
        <w:instrText xml:space="preserve"> PAGEREF _Toc11357 </w:instrText>
      </w:r>
      <w:r>
        <w:fldChar w:fldCharType="separate"/>
      </w:r>
      <w:r>
        <w:t>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_Toc861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en-US" w:eastAsia="zh-CN"/>
        </w:rPr>
        <w:t>1.3风险评估范围</w:t>
      </w:r>
      <w:r>
        <w:tab/>
      </w:r>
      <w:r>
        <w:fldChar w:fldCharType="begin"/>
      </w:r>
      <w:r>
        <w:instrText xml:space="preserve"> PAGEREF _Toc861 </w:instrText>
      </w:r>
      <w:r>
        <w:fldChar w:fldCharType="separate"/>
      </w:r>
      <w:r>
        <w:t>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_Toc25254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1.4评估程序</w:t>
      </w:r>
      <w:r>
        <w:tab/>
      </w:r>
      <w:r>
        <w:fldChar w:fldCharType="begin"/>
      </w:r>
      <w:r>
        <w:instrText xml:space="preserve"> PAGEREF _Toc25254 </w:instrText>
      </w:r>
      <w:r>
        <w:fldChar w:fldCharType="separate"/>
      </w:r>
      <w:r>
        <w:t>3</w:t>
      </w:r>
      <w: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_Toc9692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lang w:val="en-US" w:eastAsia="zh-CN"/>
        </w:rPr>
        <w:t>2</w:t>
      </w:r>
      <w:r>
        <w:rPr>
          <w:rFonts w:hint="eastAsia" w:ascii="黑体" w:hAnsi="宋体" w:eastAsia="黑体"/>
          <w:szCs w:val="32"/>
        </w:rPr>
        <w:t>公司概况</w:t>
      </w:r>
      <w:r>
        <w:tab/>
      </w:r>
      <w:r>
        <w:fldChar w:fldCharType="begin"/>
      </w:r>
      <w:r>
        <w:instrText xml:space="preserve"> PAGEREF _Toc9692 </w:instrText>
      </w:r>
      <w:r>
        <w:fldChar w:fldCharType="separate"/>
      </w:r>
      <w:r>
        <w:t>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_Toc20282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2.1 公司概况</w:t>
      </w:r>
      <w:r>
        <w:tab/>
      </w:r>
      <w:r>
        <w:fldChar w:fldCharType="begin"/>
      </w:r>
      <w:r>
        <w:instrText xml:space="preserve"> PAGEREF _Toc20282 </w:instrText>
      </w:r>
      <w:r>
        <w:fldChar w:fldCharType="separate"/>
      </w:r>
      <w:r>
        <w:t>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_Toc30606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2.</w:t>
      </w:r>
      <w:r>
        <w:rPr>
          <w:rFonts w:hint="eastAsia" w:ascii="宋体" w:hAnsi="宋体" w:eastAsia="宋体" w:cs="宋体"/>
          <w:szCs w:val="28"/>
          <w:lang w:val="en-US" w:eastAsia="zh-CN"/>
        </w:rPr>
        <w:t>1.1</w:t>
      </w:r>
      <w:r>
        <w:rPr>
          <w:rFonts w:hint="eastAsia" w:ascii="宋体" w:hAnsi="宋体" w:eastAsia="宋体" w:cs="宋体"/>
          <w:szCs w:val="28"/>
        </w:rPr>
        <w:t>公司地理位置及环境等情况</w:t>
      </w:r>
      <w:r>
        <w:tab/>
      </w:r>
      <w:r>
        <w:fldChar w:fldCharType="begin"/>
      </w:r>
      <w:r>
        <w:instrText xml:space="preserve"> PAGEREF _Toc30606 </w:instrText>
      </w:r>
      <w:r>
        <w:fldChar w:fldCharType="separate"/>
      </w:r>
      <w:r>
        <w:t>4</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_Toc22776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2</w:t>
      </w:r>
      <w:r>
        <w:rPr>
          <w:rFonts w:hint="eastAsia" w:ascii="宋体" w:hAnsi="宋体" w:eastAsia="宋体" w:cs="宋体"/>
          <w:szCs w:val="28"/>
          <w:lang w:val="zh-CN"/>
        </w:rPr>
        <w:t>总体布置</w:t>
      </w:r>
      <w:r>
        <w:tab/>
      </w:r>
      <w:r>
        <w:fldChar w:fldCharType="begin"/>
      </w:r>
      <w:r>
        <w:instrText xml:space="preserve"> PAGEREF _Toc22776 </w:instrText>
      </w:r>
      <w:r>
        <w:fldChar w:fldCharType="separate"/>
      </w:r>
      <w:r>
        <w:t>5</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_Toc3707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w:t>
      </w:r>
      <w:r>
        <w:rPr>
          <w:rFonts w:hint="eastAsia" w:ascii="宋体" w:hAnsi="宋体" w:eastAsia="宋体" w:cs="宋体"/>
          <w:szCs w:val="28"/>
        </w:rPr>
        <w:t>1.</w:t>
      </w:r>
      <w:r>
        <w:rPr>
          <w:rFonts w:hint="eastAsia" w:ascii="宋体" w:hAnsi="宋体" w:eastAsia="宋体" w:cs="宋体"/>
          <w:szCs w:val="28"/>
          <w:lang w:val="en-US" w:eastAsia="zh-CN"/>
        </w:rPr>
        <w:t>3</w:t>
      </w:r>
      <w:r>
        <w:rPr>
          <w:rFonts w:hint="eastAsia" w:ascii="宋体" w:hAnsi="宋体" w:eastAsia="宋体" w:cs="宋体"/>
          <w:szCs w:val="28"/>
          <w:lang w:val="zh-CN"/>
        </w:rPr>
        <w:t>周边环境</w:t>
      </w:r>
      <w:r>
        <w:tab/>
      </w:r>
      <w:r>
        <w:fldChar w:fldCharType="begin"/>
      </w:r>
      <w:r>
        <w:instrText xml:space="preserve"> PAGEREF _Toc3707 </w:instrText>
      </w:r>
      <w:r>
        <w:fldChar w:fldCharType="separate"/>
      </w:r>
      <w:r>
        <w:t>6</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_Toc26083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4</w:t>
      </w:r>
      <w:r>
        <w:rPr>
          <w:rFonts w:hint="eastAsia" w:ascii="宋体" w:hAnsi="宋体" w:eastAsia="宋体" w:cs="宋体"/>
          <w:szCs w:val="28"/>
          <w:lang w:val="zh-CN"/>
        </w:rPr>
        <w:t>工艺流程</w:t>
      </w:r>
      <w:r>
        <w:tab/>
      </w:r>
      <w:r>
        <w:fldChar w:fldCharType="begin"/>
      </w:r>
      <w:r>
        <w:instrText xml:space="preserve"> PAGEREF _Toc26083 </w:instrText>
      </w:r>
      <w:r>
        <w:fldChar w:fldCharType="separate"/>
      </w:r>
      <w:r>
        <w:t>7</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_Toc10311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2.1.</w:t>
      </w:r>
      <w:r>
        <w:rPr>
          <w:rFonts w:hint="eastAsia" w:ascii="宋体" w:hAnsi="宋体" w:eastAsia="宋体" w:cs="宋体"/>
          <w:szCs w:val="28"/>
          <w:lang w:val="en-US" w:eastAsia="zh-CN"/>
        </w:rPr>
        <w:t>5</w:t>
      </w:r>
      <w:r>
        <w:rPr>
          <w:rFonts w:hint="eastAsia" w:ascii="宋体" w:hAnsi="宋体" w:eastAsia="宋体" w:cs="宋体"/>
          <w:bCs/>
          <w:i w:val="0"/>
          <w:iCs w:val="0"/>
          <w:szCs w:val="28"/>
        </w:rPr>
        <w:t>主要生产设备情况</w:t>
      </w:r>
      <w:r>
        <w:tab/>
      </w:r>
      <w:r>
        <w:fldChar w:fldCharType="begin"/>
      </w:r>
      <w:r>
        <w:instrText xml:space="preserve"> PAGEREF _Toc10311 </w:instrText>
      </w:r>
      <w:r>
        <w:fldChar w:fldCharType="separate"/>
      </w:r>
      <w:r>
        <w:t>9</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_Toc13813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rPr>
        <w:t>2.</w:t>
      </w:r>
      <w:r>
        <w:rPr>
          <w:rFonts w:hint="eastAsia" w:ascii="宋体" w:hAnsi="宋体" w:eastAsia="宋体" w:cs="宋体"/>
          <w:szCs w:val="28"/>
          <w:lang w:val="en-US" w:eastAsia="zh-CN"/>
        </w:rPr>
        <w:t>2</w:t>
      </w:r>
      <w:r>
        <w:rPr>
          <w:rFonts w:hint="eastAsia" w:ascii="宋体" w:hAnsi="宋体" w:eastAsia="宋体" w:cs="宋体"/>
          <w:szCs w:val="28"/>
        </w:rPr>
        <w:t>各方应急力量有关基本情况</w:t>
      </w:r>
      <w:r>
        <w:tab/>
      </w:r>
      <w:r>
        <w:fldChar w:fldCharType="begin"/>
      </w:r>
      <w:r>
        <w:instrText xml:space="preserve"> PAGEREF _Toc13813 </w:instrText>
      </w:r>
      <w:r>
        <w:fldChar w:fldCharType="separate"/>
      </w:r>
      <w:r>
        <w:t>10</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_Toc16966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w:t>
      </w:r>
      <w:r>
        <w:rPr>
          <w:rFonts w:hint="eastAsia" w:ascii="宋体" w:hAnsi="宋体" w:eastAsia="宋体" w:cs="宋体"/>
          <w:szCs w:val="28"/>
          <w:lang w:val="en-US" w:eastAsia="zh-CN"/>
        </w:rPr>
        <w:t>2</w:t>
      </w:r>
      <w:r>
        <w:rPr>
          <w:rFonts w:hint="eastAsia" w:ascii="宋体" w:hAnsi="宋体" w:eastAsia="宋体" w:cs="宋体"/>
          <w:szCs w:val="28"/>
          <w:lang w:val="zh-CN"/>
        </w:rPr>
        <w:t>.1内部应急力量</w:t>
      </w:r>
      <w:r>
        <w:tab/>
      </w:r>
      <w:r>
        <w:fldChar w:fldCharType="begin"/>
      </w:r>
      <w:r>
        <w:instrText xml:space="preserve"> PAGEREF _Toc16966 </w:instrText>
      </w:r>
      <w:r>
        <w:fldChar w:fldCharType="separate"/>
      </w:r>
      <w:r>
        <w:t>10</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_Toc8562 </w:instrText>
      </w:r>
      <w:r>
        <w:rPr>
          <w:rFonts w:hint="eastAsia" w:asciiTheme="minorEastAsia" w:hAnsiTheme="minorEastAsia" w:eastAsiaTheme="minorEastAsia" w:cstheme="minorEastAsia"/>
          <w:szCs w:val="21"/>
        </w:rPr>
        <w:fldChar w:fldCharType="separate"/>
      </w:r>
      <w:r>
        <w:rPr>
          <w:rFonts w:hint="eastAsia" w:ascii="宋体" w:hAnsi="宋体" w:eastAsia="宋体" w:cs="宋体"/>
          <w:szCs w:val="28"/>
          <w:lang w:val="zh-CN"/>
        </w:rPr>
        <w:t>2.</w:t>
      </w:r>
      <w:r>
        <w:rPr>
          <w:rFonts w:hint="eastAsia" w:ascii="宋体" w:hAnsi="宋体" w:eastAsia="宋体" w:cs="宋体"/>
          <w:szCs w:val="28"/>
          <w:lang w:val="en-US" w:eastAsia="zh-CN"/>
        </w:rPr>
        <w:t>2</w:t>
      </w:r>
      <w:r>
        <w:rPr>
          <w:rFonts w:hint="eastAsia" w:ascii="宋体" w:hAnsi="宋体" w:eastAsia="宋体" w:cs="宋体"/>
          <w:szCs w:val="28"/>
          <w:lang w:val="zh-CN"/>
        </w:rPr>
        <w:t>.</w:t>
      </w:r>
      <w:r>
        <w:rPr>
          <w:rFonts w:hint="eastAsia" w:ascii="宋体" w:hAnsi="宋体" w:eastAsia="宋体" w:cs="宋体"/>
          <w:szCs w:val="28"/>
          <w:lang w:val="en-US" w:eastAsia="zh-CN"/>
        </w:rPr>
        <w:t>2</w:t>
      </w:r>
      <w:r>
        <w:rPr>
          <w:rFonts w:hint="eastAsia" w:ascii="宋体" w:hAnsi="宋体" w:eastAsia="宋体" w:cs="宋体"/>
          <w:szCs w:val="28"/>
          <w:lang w:val="zh-CN"/>
        </w:rPr>
        <w:t>外部应急力量</w:t>
      </w:r>
      <w:r>
        <w:tab/>
      </w:r>
      <w:r>
        <w:fldChar w:fldCharType="begin"/>
      </w:r>
      <w:r>
        <w:instrText xml:space="preserve"> PAGEREF _Toc8562 </w:instrText>
      </w:r>
      <w:r>
        <w:fldChar w:fldCharType="separate"/>
      </w:r>
      <w:r>
        <w:t>10</w:t>
      </w:r>
      <w: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_Toc19205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lang w:val="en-US" w:eastAsia="zh-CN"/>
        </w:rPr>
        <w:t>3危险、有害因素辨识</w:t>
      </w:r>
      <w:r>
        <w:tab/>
      </w:r>
      <w:r>
        <w:fldChar w:fldCharType="begin"/>
      </w:r>
      <w:r>
        <w:instrText xml:space="preserve"> PAGEREF _Toc19205 </w:instrText>
      </w:r>
      <w:r>
        <w:fldChar w:fldCharType="separate"/>
      </w:r>
      <w:r>
        <w:t>12</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_Toc16059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1 危险、有害因素辨识的目的</w:t>
      </w:r>
      <w:r>
        <w:tab/>
      </w:r>
      <w:r>
        <w:fldChar w:fldCharType="begin"/>
      </w:r>
      <w:r>
        <w:instrText xml:space="preserve"> PAGEREF _Toc16059 </w:instrText>
      </w:r>
      <w:r>
        <w:fldChar w:fldCharType="separate"/>
      </w:r>
      <w:r>
        <w:t>12</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_Toc316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2 危险、有害因素辨识的依据</w:t>
      </w:r>
      <w:r>
        <w:tab/>
      </w:r>
      <w:r>
        <w:fldChar w:fldCharType="begin"/>
      </w:r>
      <w:r>
        <w:instrText xml:space="preserve"> PAGEREF _Toc316 </w:instrText>
      </w:r>
      <w:r>
        <w:fldChar w:fldCharType="separate"/>
      </w:r>
      <w:r>
        <w:t>12</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_Toc21504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3 危险、有害因素辨识的方法</w:t>
      </w:r>
      <w:r>
        <w:tab/>
      </w:r>
      <w:r>
        <w:fldChar w:fldCharType="begin"/>
      </w:r>
      <w:r>
        <w:instrText xml:space="preserve"> PAGEREF _Toc21504 </w:instrText>
      </w:r>
      <w:r>
        <w:fldChar w:fldCharType="separate"/>
      </w:r>
      <w:r>
        <w:t>12</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_Toc29518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4 主要危险、有害物质特性分析</w:t>
      </w:r>
      <w:r>
        <w:tab/>
      </w:r>
      <w:r>
        <w:fldChar w:fldCharType="begin"/>
      </w:r>
      <w:r>
        <w:instrText xml:space="preserve"> PAGEREF _Toc29518 </w:instrText>
      </w:r>
      <w:r>
        <w:fldChar w:fldCharType="separate"/>
      </w:r>
      <w:r>
        <w:t>13</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_Toc23362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4.1 煤</w:t>
      </w:r>
      <w:r>
        <w:tab/>
      </w:r>
      <w:r>
        <w:fldChar w:fldCharType="begin"/>
      </w:r>
      <w:r>
        <w:instrText xml:space="preserve"> PAGEREF _Toc23362 </w:instrText>
      </w:r>
      <w:r>
        <w:fldChar w:fldCharType="separate"/>
      </w:r>
      <w:r>
        <w:t>13</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_Toc27582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4.2 柴油</w:t>
      </w:r>
      <w:r>
        <w:tab/>
      </w:r>
      <w:r>
        <w:fldChar w:fldCharType="begin"/>
      </w:r>
      <w:r>
        <w:instrText xml:space="preserve"> PAGEREF _Toc27582 </w:instrText>
      </w:r>
      <w:r>
        <w:fldChar w:fldCharType="separate"/>
      </w:r>
      <w:r>
        <w:t>14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_Toc21366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4.3 一氧化碳</w:t>
      </w:r>
      <w:r>
        <w:tab/>
      </w:r>
      <w:r>
        <w:fldChar w:fldCharType="begin"/>
      </w:r>
      <w:r>
        <w:instrText xml:space="preserve"> PAGEREF _Toc21366 </w:instrText>
      </w:r>
      <w:r>
        <w:fldChar w:fldCharType="separate"/>
      </w:r>
      <w:r>
        <w:t>14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_Toc14906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4.4 二氧化碳</w:t>
      </w:r>
      <w:r>
        <w:tab/>
      </w:r>
      <w:r>
        <w:fldChar w:fldCharType="begin"/>
      </w:r>
      <w:r>
        <w:instrText xml:space="preserve"> PAGEREF _Toc14906 </w:instrText>
      </w:r>
      <w:r>
        <w:fldChar w:fldCharType="separate"/>
      </w:r>
      <w:r>
        <w:t>15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_Toc12246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4.5 二氧化硫（三氧化硫参考）</w:t>
      </w:r>
      <w:r>
        <w:tab/>
      </w:r>
      <w:r>
        <w:fldChar w:fldCharType="begin"/>
      </w:r>
      <w:r>
        <w:instrText xml:space="preserve"> PAGEREF _Toc12246 </w:instrText>
      </w:r>
      <w:r>
        <w:fldChar w:fldCharType="separate"/>
      </w:r>
      <w:r>
        <w:t>15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_Toc1592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3.4.6 柴油安全数据表</w:t>
      </w:r>
      <w:r>
        <w:tab/>
      </w:r>
      <w:r>
        <w:fldChar w:fldCharType="begin"/>
      </w:r>
      <w:r>
        <w:instrText xml:space="preserve"> PAGEREF _Toc1592 </w:instrText>
      </w:r>
      <w:r>
        <w:fldChar w:fldCharType="separate"/>
      </w:r>
      <w:r>
        <w:t>16</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_Toc32416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3.4.7 氧气安全数据表</w:t>
      </w:r>
      <w:r>
        <w:tab/>
      </w:r>
      <w:r>
        <w:fldChar w:fldCharType="begin"/>
      </w:r>
      <w:r>
        <w:instrText xml:space="preserve"> PAGEREF _Toc32416 </w:instrText>
      </w:r>
      <w:r>
        <w:fldChar w:fldCharType="separate"/>
      </w:r>
      <w:r>
        <w:t>17</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_Toc32562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3.4.8 乙炔安全数据表</w:t>
      </w:r>
      <w:r>
        <w:tab/>
      </w:r>
      <w:r>
        <w:fldChar w:fldCharType="begin"/>
      </w:r>
      <w:r>
        <w:instrText xml:space="preserve"> PAGEREF _Toc32562 </w:instrText>
      </w:r>
      <w:r>
        <w:fldChar w:fldCharType="separate"/>
      </w:r>
      <w:r>
        <w:t>18</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_Toc27339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rPr>
        <w:t>3.5 生产过程危险有害因素分析和辨识</w:t>
      </w:r>
      <w:r>
        <w:tab/>
      </w:r>
      <w:r>
        <w:fldChar w:fldCharType="begin"/>
      </w:r>
      <w:r>
        <w:instrText xml:space="preserve"> PAGEREF _Toc27339 </w:instrText>
      </w:r>
      <w:r>
        <w:fldChar w:fldCharType="separate"/>
      </w:r>
      <w:r>
        <w:t>20</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_Toc8195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rPr>
        <w:t>5 生产过程危险有害因素分析和辨识</w:t>
      </w:r>
      <w:r>
        <w:tab/>
      </w:r>
      <w:r>
        <w:fldChar w:fldCharType="begin"/>
      </w:r>
      <w:r>
        <w:instrText xml:space="preserve"> PAGEREF _Toc8195 </w:instrText>
      </w:r>
      <w:r>
        <w:fldChar w:fldCharType="separate"/>
      </w:r>
      <w:r>
        <w:t>20</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_Toc6275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5.1 车辆事故</w:t>
      </w:r>
      <w:r>
        <w:tab/>
      </w:r>
      <w:r>
        <w:fldChar w:fldCharType="begin"/>
      </w:r>
      <w:r>
        <w:instrText xml:space="preserve"> PAGEREF _Toc6275 </w:instrText>
      </w:r>
      <w:r>
        <w:fldChar w:fldCharType="separate"/>
      </w:r>
      <w:r>
        <w:t>20</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_Toc9720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5.2 机械伤害</w:t>
      </w:r>
      <w:r>
        <w:tab/>
      </w:r>
      <w:r>
        <w:fldChar w:fldCharType="begin"/>
      </w:r>
      <w:r>
        <w:instrText xml:space="preserve"> PAGEREF _Toc9720 </w:instrText>
      </w:r>
      <w:r>
        <w:fldChar w:fldCharType="separate"/>
      </w:r>
      <w:r>
        <w:t>21</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_Toc6764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5.3</w:t>
      </w:r>
      <w:r>
        <w:rPr>
          <w:rFonts w:ascii="宋体" w:hAnsi="宋体"/>
          <w:snapToGrid w:val="0"/>
          <w:kern w:val="0"/>
          <w:szCs w:val="28"/>
        </w:rPr>
        <w:t xml:space="preserve"> 触电</w:t>
      </w:r>
      <w:r>
        <w:rPr>
          <w:rFonts w:hint="eastAsia" w:ascii="宋体" w:hAnsi="宋体"/>
          <w:snapToGrid w:val="0"/>
          <w:kern w:val="0"/>
          <w:szCs w:val="28"/>
        </w:rPr>
        <w:t>事故</w:t>
      </w:r>
      <w:r>
        <w:tab/>
      </w:r>
      <w:r>
        <w:fldChar w:fldCharType="begin"/>
      </w:r>
      <w:r>
        <w:instrText xml:space="preserve"> PAGEREF _Toc6764 </w:instrText>
      </w:r>
      <w:r>
        <w:fldChar w:fldCharType="separate"/>
      </w:r>
      <w:r>
        <w:t>22</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_Toc8586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5.4 高处坠落</w:t>
      </w:r>
      <w:r>
        <w:tab/>
      </w:r>
      <w:r>
        <w:fldChar w:fldCharType="begin"/>
      </w:r>
      <w:r>
        <w:instrText xml:space="preserve"> PAGEREF _Toc8586 </w:instrText>
      </w:r>
      <w:r>
        <w:fldChar w:fldCharType="separate"/>
      </w:r>
      <w:r>
        <w:t>22</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_Toc28145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ascii="宋体" w:hAnsi="宋体"/>
          <w:snapToGrid w:val="0"/>
          <w:kern w:val="0"/>
          <w:szCs w:val="28"/>
        </w:rPr>
        <w:t>.</w:t>
      </w:r>
      <w:r>
        <w:rPr>
          <w:rFonts w:hint="eastAsia" w:ascii="宋体" w:hAnsi="宋体"/>
          <w:snapToGrid w:val="0"/>
          <w:kern w:val="0"/>
          <w:szCs w:val="28"/>
        </w:rPr>
        <w:t>5</w:t>
      </w:r>
      <w:r>
        <w:rPr>
          <w:rFonts w:ascii="宋体" w:hAnsi="宋体"/>
          <w:snapToGrid w:val="0"/>
          <w:kern w:val="0"/>
          <w:szCs w:val="28"/>
        </w:rPr>
        <w:t xml:space="preserve"> 物体打击</w:t>
      </w:r>
      <w:r>
        <w:tab/>
      </w:r>
      <w:r>
        <w:fldChar w:fldCharType="begin"/>
      </w:r>
      <w:r>
        <w:instrText xml:space="preserve"> PAGEREF _Toc28145 </w:instrText>
      </w:r>
      <w:r>
        <w:fldChar w:fldCharType="separate"/>
      </w:r>
      <w:r>
        <w:t>23</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_Toc30183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5.6 火灾事故</w:t>
      </w:r>
      <w:r>
        <w:tab/>
      </w:r>
      <w:r>
        <w:fldChar w:fldCharType="begin"/>
      </w:r>
      <w:r>
        <w:instrText xml:space="preserve"> PAGEREF _Toc30183 </w:instrText>
      </w:r>
      <w:r>
        <w:fldChar w:fldCharType="separate"/>
      </w:r>
      <w:r>
        <w:t>24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_Toc7988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hint="eastAsia" w:ascii="宋体" w:hAnsi="宋体"/>
          <w:snapToGrid w:val="0"/>
          <w:kern w:val="0"/>
          <w:szCs w:val="28"/>
          <w:lang w:val="en-US" w:eastAsia="zh-CN"/>
        </w:rPr>
        <w:t>7 坍塌</w:t>
      </w:r>
      <w:r>
        <w:tab/>
      </w:r>
      <w:r>
        <w:fldChar w:fldCharType="begin"/>
      </w:r>
      <w:r>
        <w:instrText xml:space="preserve"> PAGEREF _Toc7988 </w:instrText>
      </w:r>
      <w:r>
        <w:fldChar w:fldCharType="separate"/>
      </w:r>
      <w:r>
        <w:t>24</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_Toc1452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3.5.8中毒窒息</w:t>
      </w:r>
      <w:r>
        <w:tab/>
      </w:r>
      <w:r>
        <w:fldChar w:fldCharType="begin"/>
      </w:r>
      <w:r>
        <w:instrText xml:space="preserve"> PAGEREF _Toc1452 </w:instrText>
      </w:r>
      <w:r>
        <w:fldChar w:fldCharType="separate"/>
      </w:r>
      <w:r>
        <w:t>25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_Toc31066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3.5.9高温灼烫</w:t>
      </w:r>
      <w:r>
        <w:tab/>
      </w:r>
      <w:r>
        <w:fldChar w:fldCharType="begin"/>
      </w:r>
      <w:r>
        <w:instrText xml:space="preserve"> PAGEREF _Toc31066 </w:instrText>
      </w:r>
      <w:r>
        <w:fldChar w:fldCharType="separate"/>
      </w:r>
      <w:r>
        <w:t>25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_Toc32381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3.5.10容器爆炸</w:t>
      </w:r>
      <w:r>
        <w:tab/>
      </w:r>
      <w:r>
        <w:fldChar w:fldCharType="begin"/>
      </w:r>
      <w:r>
        <w:instrText xml:space="preserve"> PAGEREF _Toc32381 </w:instrText>
      </w:r>
      <w:r>
        <w:fldChar w:fldCharType="separate"/>
      </w:r>
      <w:r>
        <w:t>25</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_Toc3649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3.5.11有限空间作业</w:t>
      </w:r>
      <w:r>
        <w:tab/>
      </w:r>
      <w:r>
        <w:fldChar w:fldCharType="begin"/>
      </w:r>
      <w:r>
        <w:instrText xml:space="preserve"> PAGEREF _Toc3649 </w:instrText>
      </w:r>
      <w:r>
        <w:fldChar w:fldCharType="separate"/>
      </w:r>
      <w:r>
        <w:t>26</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_Toc610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5</w:t>
      </w:r>
      <w:r>
        <w:rPr>
          <w:rFonts w:ascii="宋体" w:hAnsi="宋体"/>
          <w:snapToGrid w:val="0"/>
          <w:kern w:val="0"/>
          <w:szCs w:val="28"/>
        </w:rPr>
        <w:t>.</w:t>
      </w:r>
      <w:r>
        <w:rPr>
          <w:rFonts w:hint="eastAsia" w:ascii="宋体" w:hAnsi="宋体"/>
          <w:snapToGrid w:val="0"/>
          <w:kern w:val="0"/>
          <w:szCs w:val="28"/>
          <w:lang w:val="en-US" w:eastAsia="zh-CN"/>
        </w:rPr>
        <w:t>12</w:t>
      </w:r>
      <w:r>
        <w:rPr>
          <w:rFonts w:ascii="宋体" w:hAnsi="宋体"/>
          <w:snapToGrid w:val="0"/>
          <w:kern w:val="0"/>
          <w:szCs w:val="28"/>
        </w:rPr>
        <w:t xml:space="preserve"> </w:t>
      </w:r>
      <w:r>
        <w:rPr>
          <w:rFonts w:hint="eastAsia" w:ascii="宋体" w:hAnsi="宋体"/>
          <w:snapToGrid w:val="0"/>
          <w:kern w:val="0"/>
          <w:szCs w:val="28"/>
        </w:rPr>
        <w:t>职业</w:t>
      </w:r>
      <w:r>
        <w:rPr>
          <w:rFonts w:ascii="宋体" w:hAnsi="宋体"/>
          <w:snapToGrid w:val="0"/>
          <w:kern w:val="0"/>
          <w:szCs w:val="28"/>
        </w:rPr>
        <w:t>危害</w:t>
      </w:r>
      <w:r>
        <w:rPr>
          <w:rFonts w:hint="eastAsia" w:ascii="宋体" w:hAnsi="宋体"/>
          <w:snapToGrid w:val="0"/>
          <w:kern w:val="0"/>
          <w:szCs w:val="28"/>
        </w:rPr>
        <w:t>因素</w:t>
      </w:r>
      <w:r>
        <w:tab/>
      </w:r>
      <w:r>
        <w:fldChar w:fldCharType="begin"/>
      </w:r>
      <w:r>
        <w:instrText xml:space="preserve"> PAGEREF _Toc610 </w:instrText>
      </w:r>
      <w:r>
        <w:fldChar w:fldCharType="separate"/>
      </w:r>
      <w:r>
        <w:t>27</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_Toc30949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3.5.13 自然灾害</w:t>
      </w:r>
      <w:r>
        <w:tab/>
      </w:r>
      <w:r>
        <w:fldChar w:fldCharType="begin"/>
      </w:r>
      <w:r>
        <w:instrText xml:space="preserve"> PAGEREF _Toc30949 </w:instrText>
      </w:r>
      <w:r>
        <w:fldChar w:fldCharType="separate"/>
      </w:r>
      <w:r>
        <w:t>28</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_Toc9494 </w:instrText>
      </w:r>
      <w:r>
        <w:rPr>
          <w:rFonts w:hint="eastAsia" w:asciiTheme="minorEastAsia" w:hAnsiTheme="minorEastAsia" w:eastAsiaTheme="minorEastAsia" w:cstheme="minorEastAsia"/>
          <w:szCs w:val="21"/>
        </w:rPr>
        <w:fldChar w:fldCharType="separate"/>
      </w:r>
      <w:r>
        <w:rPr>
          <w:rFonts w:hint="eastAsia" w:ascii="黑体" w:hAnsi="宋体" w:eastAsia="黑体"/>
          <w:snapToGrid w:val="0"/>
          <w:kern w:val="0"/>
          <w:szCs w:val="32"/>
          <w:lang w:val="en-US" w:eastAsia="zh-CN"/>
        </w:rPr>
        <w:t>3</w:t>
      </w:r>
      <w:r>
        <w:rPr>
          <w:rFonts w:hint="eastAsia" w:ascii="黑体" w:hAnsi="宋体" w:eastAsia="黑体"/>
          <w:snapToGrid w:val="0"/>
          <w:kern w:val="0"/>
          <w:szCs w:val="32"/>
          <w:lang w:eastAsia="zh-CN"/>
        </w:rPr>
        <w:t>.</w:t>
      </w:r>
      <w:r>
        <w:rPr>
          <w:rFonts w:hint="eastAsia" w:ascii="黑体" w:hAnsi="宋体" w:eastAsia="黑体"/>
          <w:snapToGrid w:val="0"/>
          <w:kern w:val="0"/>
          <w:szCs w:val="32"/>
        </w:rPr>
        <w:t>6 厂址安全条件的危险、有害因素辨识与分析</w:t>
      </w:r>
      <w:r>
        <w:tab/>
      </w:r>
      <w:r>
        <w:fldChar w:fldCharType="begin"/>
      </w:r>
      <w:r>
        <w:instrText xml:space="preserve"> PAGEREF _Toc9494 </w:instrText>
      </w:r>
      <w:r>
        <w:fldChar w:fldCharType="separate"/>
      </w:r>
      <w:r>
        <w:t>29</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_Toc6149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 xml:space="preserve">6.1 </w:t>
      </w:r>
      <w:r>
        <w:rPr>
          <w:rFonts w:hint="eastAsia" w:ascii="宋体" w:hAnsi="宋体"/>
          <w:snapToGrid w:val="0"/>
          <w:kern w:val="0"/>
          <w:szCs w:val="28"/>
          <w:lang w:eastAsia="zh-CN"/>
        </w:rPr>
        <w:t>公司</w:t>
      </w:r>
      <w:r>
        <w:rPr>
          <w:rFonts w:hint="eastAsia" w:ascii="宋体" w:hAnsi="宋体"/>
          <w:snapToGrid w:val="0"/>
          <w:kern w:val="0"/>
          <w:szCs w:val="28"/>
        </w:rPr>
        <w:t>对周边环境的影响分析</w:t>
      </w:r>
      <w:r>
        <w:tab/>
      </w:r>
      <w:r>
        <w:fldChar w:fldCharType="begin"/>
      </w:r>
      <w:r>
        <w:instrText xml:space="preserve"> PAGEREF _Toc6149 </w:instrText>
      </w:r>
      <w:r>
        <w:fldChar w:fldCharType="separate"/>
      </w:r>
      <w:r>
        <w:t>30</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_Toc9378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rPr>
        <w:t>6.2 周边环境对</w:t>
      </w:r>
      <w:r>
        <w:rPr>
          <w:rFonts w:hint="eastAsia" w:ascii="宋体" w:hAnsi="宋体"/>
          <w:snapToGrid w:val="0"/>
          <w:kern w:val="0"/>
          <w:szCs w:val="28"/>
          <w:lang w:eastAsia="zh-CN"/>
        </w:rPr>
        <w:t>公司</w:t>
      </w:r>
      <w:r>
        <w:rPr>
          <w:rFonts w:hint="eastAsia" w:ascii="宋体" w:hAnsi="宋体"/>
          <w:snapToGrid w:val="0"/>
          <w:kern w:val="0"/>
          <w:szCs w:val="28"/>
        </w:rPr>
        <w:t>的影响分析</w:t>
      </w:r>
      <w:r>
        <w:tab/>
      </w:r>
      <w:r>
        <w:fldChar w:fldCharType="begin"/>
      </w:r>
      <w:r>
        <w:instrText xml:space="preserve"> PAGEREF _Toc9378 </w:instrText>
      </w:r>
      <w:r>
        <w:fldChar w:fldCharType="separate"/>
      </w:r>
      <w:r>
        <w:t>30</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_Toc10943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w:t>
      </w:r>
      <w:r>
        <w:rPr>
          <w:rFonts w:hint="eastAsia" w:ascii="黑体" w:eastAsia="黑体"/>
          <w:snapToGrid w:val="0"/>
          <w:kern w:val="0"/>
          <w:szCs w:val="32"/>
          <w:lang w:eastAsia="zh-CN"/>
        </w:rPr>
        <w:t>.</w:t>
      </w:r>
      <w:r>
        <w:rPr>
          <w:rFonts w:hint="eastAsia" w:ascii="黑体" w:eastAsia="黑体"/>
          <w:snapToGrid w:val="0"/>
          <w:kern w:val="0"/>
          <w:szCs w:val="32"/>
          <w:lang w:val="en-US" w:eastAsia="zh-CN"/>
        </w:rPr>
        <w:t>7</w:t>
      </w:r>
      <w:r>
        <w:rPr>
          <w:rFonts w:hint="eastAsia" w:ascii="黑体" w:eastAsia="黑体"/>
          <w:snapToGrid w:val="0"/>
          <w:kern w:val="0"/>
          <w:szCs w:val="32"/>
        </w:rPr>
        <w:t xml:space="preserve"> 重大危险源辨识</w:t>
      </w:r>
      <w:r>
        <w:tab/>
      </w:r>
      <w:r>
        <w:fldChar w:fldCharType="begin"/>
      </w:r>
      <w:r>
        <w:instrText xml:space="preserve"> PAGEREF _Toc10943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_Toc16378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lang w:val="en-US" w:eastAsia="zh-CN"/>
        </w:rPr>
        <w:t>7</w:t>
      </w:r>
      <w:r>
        <w:rPr>
          <w:rFonts w:hint="eastAsia" w:ascii="宋体" w:hAnsi="宋体"/>
          <w:snapToGrid w:val="0"/>
          <w:kern w:val="0"/>
          <w:szCs w:val="28"/>
        </w:rPr>
        <w:t>.1 辨识依据</w:t>
      </w:r>
      <w:r>
        <w:tab/>
      </w:r>
      <w:r>
        <w:fldChar w:fldCharType="begin"/>
      </w:r>
      <w:r>
        <w:instrText xml:space="preserve"> PAGEREF _Toc16378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1"/>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_Toc18239 </w:instrText>
      </w:r>
      <w:r>
        <w:rPr>
          <w:rFonts w:hint="eastAsia" w:asciiTheme="minorEastAsia" w:hAnsiTheme="minorEastAsia" w:eastAsiaTheme="minorEastAsia" w:cstheme="minorEastAsia"/>
          <w:szCs w:val="21"/>
        </w:rPr>
        <w:fldChar w:fldCharType="separate"/>
      </w:r>
      <w:r>
        <w:rPr>
          <w:rFonts w:hint="eastAsia" w:ascii="宋体" w:hAnsi="宋体"/>
          <w:snapToGrid w:val="0"/>
          <w:kern w:val="0"/>
          <w:szCs w:val="28"/>
          <w:lang w:val="en-US" w:eastAsia="zh-CN"/>
        </w:rPr>
        <w:t>3</w:t>
      </w:r>
      <w:r>
        <w:rPr>
          <w:rFonts w:hint="eastAsia" w:ascii="宋体" w:hAnsi="宋体"/>
          <w:snapToGrid w:val="0"/>
          <w:kern w:val="0"/>
          <w:szCs w:val="28"/>
          <w:lang w:eastAsia="zh-CN"/>
        </w:rPr>
        <w:t>.</w:t>
      </w:r>
      <w:r>
        <w:rPr>
          <w:rFonts w:hint="eastAsia" w:ascii="宋体" w:hAnsi="宋体"/>
          <w:snapToGrid w:val="0"/>
          <w:kern w:val="0"/>
          <w:szCs w:val="28"/>
          <w:lang w:val="en-US" w:eastAsia="zh-CN"/>
        </w:rPr>
        <w:t>7</w:t>
      </w:r>
      <w:r>
        <w:rPr>
          <w:rFonts w:hint="eastAsia" w:ascii="宋体" w:hAnsi="宋体"/>
          <w:snapToGrid w:val="0"/>
          <w:kern w:val="0"/>
          <w:szCs w:val="28"/>
        </w:rPr>
        <w:t>.2 辨识结果</w:t>
      </w:r>
      <w:r>
        <w:tab/>
      </w:r>
      <w:r>
        <w:fldChar w:fldCharType="begin"/>
      </w:r>
      <w:r>
        <w:instrText xml:space="preserve"> PAGEREF _Toc18239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_Toc25475 </w:instrText>
      </w:r>
      <w:r>
        <w:rPr>
          <w:rFonts w:hint="eastAsia" w:asciiTheme="minorEastAsia" w:hAnsiTheme="minorEastAsia" w:eastAsiaTheme="minorEastAsia" w:cstheme="minorEastAsia"/>
          <w:szCs w:val="21"/>
        </w:rPr>
        <w:fldChar w:fldCharType="separate"/>
      </w:r>
      <w:r>
        <w:rPr>
          <w:rFonts w:hint="eastAsia" w:ascii="黑体" w:eastAsia="黑体"/>
          <w:snapToGrid w:val="0"/>
          <w:kern w:val="0"/>
          <w:szCs w:val="32"/>
          <w:lang w:val="en-US" w:eastAsia="zh-CN"/>
        </w:rPr>
        <w:t>3.8小结</w:t>
      </w:r>
      <w:r>
        <w:tab/>
      </w:r>
      <w:r>
        <w:fldChar w:fldCharType="begin"/>
      </w:r>
      <w:r>
        <w:instrText xml:space="preserve"> PAGEREF _Toc25475 </w:instrText>
      </w:r>
      <w:r>
        <w:fldChar w:fldCharType="separate"/>
      </w:r>
      <w:r>
        <w:t>31</w:t>
      </w:r>
      <w:r>
        <w:fldChar w:fldCharType="end"/>
      </w:r>
      <w:r>
        <w:rPr>
          <w:rFonts w:hint="eastAsia" w:asciiTheme="minorEastAsia" w:hAnsiTheme="minorEastAsia" w:eastAsiaTheme="minorEastAsia" w:cstheme="minorEastAsia"/>
          <w:color w:val="auto"/>
          <w:szCs w:val="21"/>
        </w:rPr>
        <w:fldChar w:fldCharType="end"/>
      </w:r>
    </w:p>
    <w:p>
      <w:pPr>
        <w:pStyle w:val="15"/>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_Toc9139 </w:instrText>
      </w:r>
      <w:r>
        <w:rPr>
          <w:rFonts w:hint="eastAsia" w:asciiTheme="minorEastAsia" w:hAnsiTheme="minorEastAsia" w:eastAsiaTheme="minorEastAsia" w:cstheme="minorEastAsia"/>
          <w:szCs w:val="21"/>
        </w:rPr>
        <w:fldChar w:fldCharType="separate"/>
      </w:r>
      <w:r>
        <w:rPr>
          <w:rFonts w:hint="eastAsia" w:ascii="黑体" w:hAnsi="宋体" w:eastAsia="黑体"/>
          <w:szCs w:val="32"/>
          <w:lang w:val="en-US" w:eastAsia="zh-CN"/>
        </w:rPr>
        <w:t>4</w:t>
      </w:r>
      <w:r>
        <w:rPr>
          <w:rFonts w:hint="eastAsia" w:ascii="黑体" w:hAnsi="宋体" w:eastAsia="黑体"/>
          <w:szCs w:val="32"/>
        </w:rPr>
        <w:t>评估结论与建议</w:t>
      </w:r>
      <w:r>
        <w:tab/>
      </w:r>
      <w:r>
        <w:fldChar w:fldCharType="begin"/>
      </w:r>
      <w:r>
        <w:instrText xml:space="preserve"> PAGEREF _Toc9139 </w:instrText>
      </w:r>
      <w:r>
        <w:fldChar w:fldCharType="separate"/>
      </w:r>
      <w:r>
        <w:t>33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_Toc25242 </w:instrText>
      </w:r>
      <w:r>
        <w:rPr>
          <w:rFonts w:hint="eastAsia" w:asciiTheme="minorEastAsia" w:hAnsiTheme="minorEastAsia" w:eastAsiaTheme="minorEastAsia" w:cstheme="minorEastAsia"/>
          <w:szCs w:val="21"/>
        </w:rPr>
        <w:fldChar w:fldCharType="separate"/>
      </w:r>
      <w:r>
        <w:rPr>
          <w:rFonts w:hint="eastAsia" w:ascii="黑体" w:hAnsi="黑体"/>
          <w:szCs w:val="28"/>
          <w:lang w:val="en-US" w:eastAsia="zh-CN"/>
        </w:rPr>
        <w:t>4.1总体评价结论</w:t>
      </w:r>
      <w:r>
        <w:tab/>
      </w:r>
      <w:r>
        <w:fldChar w:fldCharType="begin"/>
      </w:r>
      <w:r>
        <w:instrText xml:space="preserve"> PAGEREF _Toc25242 </w:instrText>
      </w:r>
      <w:r>
        <w:fldChar w:fldCharType="separate"/>
      </w:r>
      <w:r>
        <w:t>33</w:t>
      </w:r>
      <w:r>
        <w:fldChar w:fldCharType="end"/>
      </w:r>
      <w:r>
        <w:rPr>
          <w:rFonts w:hint="eastAsia" w:asciiTheme="minorEastAsia" w:hAnsiTheme="minorEastAsia" w:eastAsiaTheme="minorEastAsia" w:cstheme="minorEastAsia"/>
          <w:color w:val="auto"/>
          <w:szCs w:val="21"/>
        </w:rPr>
        <w:fldChar w:fldCharType="end"/>
      </w:r>
    </w:p>
    <w:p>
      <w:pPr>
        <w:pStyle w:val="17"/>
        <w:tabs>
          <w:tab w:val="right" w:leader="dot" w:pos="8306"/>
        </w:tabs>
      </w:pPr>
      <w:r>
        <w:rPr>
          <w:rFonts w:hint="eastAsia" w:asciiTheme="minorEastAsia" w:hAnsiTheme="minorEastAsia" w:eastAsiaTheme="minorEastAsia" w:cstheme="minorEastAsia"/>
          <w:color w:val="auto"/>
          <w:szCs w:val="21"/>
        </w:rPr>
        <w:fldChar w:fldCharType="begin"/>
      </w:r>
      <w:r>
        <w:rPr>
          <w:rFonts w:hint="eastAsia" w:asciiTheme="minorEastAsia" w:hAnsiTheme="minorEastAsia" w:eastAsiaTheme="minorEastAsia" w:cstheme="minorEastAsia"/>
          <w:szCs w:val="21"/>
        </w:rPr>
        <w:instrText xml:space="preserve"> HYPERLINK \l _Toc11305 </w:instrText>
      </w:r>
      <w:r>
        <w:rPr>
          <w:rFonts w:hint="eastAsia" w:asciiTheme="minorEastAsia" w:hAnsiTheme="minorEastAsia" w:eastAsiaTheme="minorEastAsia" w:cstheme="minorEastAsia"/>
          <w:szCs w:val="21"/>
        </w:rPr>
        <w:fldChar w:fldCharType="separate"/>
      </w:r>
      <w:r>
        <w:rPr>
          <w:rFonts w:hint="eastAsia" w:ascii="黑体" w:hAnsi="黑体"/>
          <w:szCs w:val="28"/>
          <w:lang w:val="en-US" w:eastAsia="zh-CN"/>
        </w:rPr>
        <w:t>4</w:t>
      </w:r>
      <w:r>
        <w:rPr>
          <w:rFonts w:hint="eastAsia" w:ascii="黑体" w:hAnsi="黑体"/>
          <w:szCs w:val="28"/>
        </w:rPr>
        <w:t>.</w:t>
      </w:r>
      <w:r>
        <w:rPr>
          <w:rFonts w:hint="eastAsia" w:ascii="黑体" w:hAnsi="黑体"/>
          <w:szCs w:val="28"/>
          <w:lang w:val="en-US" w:eastAsia="zh-CN"/>
        </w:rPr>
        <w:t>2</w:t>
      </w:r>
      <w:r>
        <w:rPr>
          <w:rFonts w:hint="eastAsia" w:ascii="黑体" w:hAnsi="黑体"/>
          <w:szCs w:val="28"/>
        </w:rPr>
        <w:t>建议</w:t>
      </w:r>
      <w:r>
        <w:tab/>
      </w:r>
      <w:r>
        <w:fldChar w:fldCharType="begin"/>
      </w:r>
      <w:r>
        <w:instrText xml:space="preserve"> PAGEREF _Toc11305 </w:instrText>
      </w:r>
      <w:r>
        <w:fldChar w:fldCharType="separate"/>
      </w:r>
      <w:r>
        <w:t>33</w:t>
      </w:r>
      <w:r>
        <w:fldChar w:fldCharType="end"/>
      </w:r>
      <w:r>
        <w:rPr>
          <w:rFonts w:hint="eastAsia" w:asciiTheme="minorEastAsia" w:hAnsiTheme="minorEastAsia" w:eastAsiaTheme="minorEastAsia" w:cstheme="minorEastAsia"/>
          <w:color w:val="auto"/>
          <w:szCs w:val="21"/>
        </w:rPr>
        <w:fldChar w:fldCharType="end"/>
      </w:r>
    </w:p>
    <w:p>
      <w:pPr>
        <w:widowControl/>
        <w:spacing w:line="360" w:lineRule="auto"/>
        <w:jc w:val="left"/>
        <w:outlineLvl w:val="2"/>
        <w:rPr>
          <w:rFonts w:hint="eastAsia" w:ascii="宋体" w:hAnsi="宋体" w:cs="宋体"/>
          <w:b/>
          <w:bCs/>
          <w:color w:val="auto"/>
          <w:kern w:val="0"/>
          <w:sz w:val="28"/>
          <w:szCs w:val="28"/>
        </w:rPr>
      </w:pPr>
      <w:r>
        <w:rPr>
          <w:rFonts w:hint="eastAsia" w:asciiTheme="minorEastAsia" w:hAnsiTheme="minorEastAsia" w:eastAsiaTheme="minorEastAsia" w:cstheme="minorEastAsia"/>
          <w:color w:val="auto"/>
          <w:szCs w:val="21"/>
        </w:rPr>
        <w:fldChar w:fldCharType="end"/>
      </w:r>
    </w:p>
    <w:p>
      <w:pPr>
        <w:numPr>
          <w:ilvl w:val="0"/>
          <w:numId w:val="0"/>
        </w:numPr>
        <w:spacing w:line="360" w:lineRule="auto"/>
        <w:jc w:val="center"/>
        <w:outlineLvl w:val="0"/>
        <w:rPr>
          <w:rFonts w:hint="eastAsia" w:ascii="黑体" w:hAnsi="宋体" w:eastAsia="黑体"/>
          <w:b/>
          <w:color w:val="auto"/>
          <w:sz w:val="32"/>
          <w:szCs w:val="32"/>
          <w:lang w:val="en-US" w:eastAsia="zh-CN"/>
        </w:rPr>
        <w:sectPr>
          <w:pgSz w:w="11906" w:h="16838"/>
          <w:pgMar w:top="1440" w:right="1800" w:bottom="1440" w:left="1800" w:header="851" w:footer="992" w:gutter="0"/>
          <w:pgNumType w:fmt="decimal" w:start="1"/>
          <w:cols w:space="425" w:num="1"/>
          <w:docGrid w:type="lines" w:linePitch="312" w:charSpace="0"/>
        </w:sectPr>
      </w:pPr>
      <w:bookmarkStart w:id="227" w:name="_GoBack"/>
      <w:bookmarkEnd w:id="227"/>
    </w:p>
    <w:p>
      <w:pPr>
        <w:spacing w:line="360" w:lineRule="auto"/>
        <w:jc w:val="center"/>
        <w:outlineLvl w:val="0"/>
        <w:rPr>
          <w:rFonts w:hint="eastAsia" w:ascii="黑体" w:hAnsi="宋体" w:eastAsia="黑体"/>
          <w:b/>
          <w:sz w:val="32"/>
          <w:szCs w:val="32"/>
        </w:rPr>
      </w:pPr>
      <w:bookmarkStart w:id="16" w:name="_Toc1621"/>
      <w:bookmarkStart w:id="17" w:name="_Toc97"/>
      <w:bookmarkStart w:id="18" w:name="_Toc14223"/>
      <w:r>
        <w:rPr>
          <w:rFonts w:hint="eastAsia" w:ascii="黑体" w:hAnsi="宋体" w:eastAsia="黑体"/>
          <w:b/>
          <w:sz w:val="32"/>
          <w:szCs w:val="32"/>
        </w:rPr>
        <w:t>1概述</w:t>
      </w:r>
      <w:bookmarkEnd w:id="16"/>
      <w:bookmarkEnd w:id="17"/>
      <w:bookmarkEnd w:id="18"/>
    </w:p>
    <w:p>
      <w:pPr>
        <w:pStyle w:val="5"/>
        <w:spacing w:line="360" w:lineRule="auto"/>
        <w:rPr>
          <w:rFonts w:hint="eastAsia" w:ascii="宋体" w:hAnsi="宋体" w:eastAsia="宋体" w:cs="宋体"/>
          <w:sz w:val="28"/>
          <w:szCs w:val="28"/>
        </w:rPr>
      </w:pPr>
      <w:bookmarkStart w:id="19" w:name="_Toc10102"/>
      <w:bookmarkStart w:id="20" w:name="_Toc17518"/>
      <w:bookmarkStart w:id="21" w:name="_Toc13902"/>
      <w:r>
        <w:rPr>
          <w:rFonts w:hint="eastAsia" w:ascii="宋体" w:hAnsi="宋体" w:eastAsia="宋体" w:cs="宋体"/>
          <w:sz w:val="28"/>
          <w:szCs w:val="28"/>
        </w:rPr>
        <w:t>1.1评估的主要依据</w:t>
      </w:r>
      <w:bookmarkEnd w:id="19"/>
      <w:bookmarkEnd w:id="20"/>
      <w:bookmarkEnd w:id="21"/>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（1）《中华人民共和国安全生产法》（中华人民共和国主席令第13号，自2014年12月1日起施行）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（2）《中华人民共和国劳动法》（中华人民共和国主席令第28号，自1995年1月1日起施行，2009年8月27日修订）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（3）《中华人民共和国职业病防治法》(中华人民共和国主席令第24号，2018年12月29日修订)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（4）《中华人民共和国消防法》（中华人民共和国主席令第6号，自20</w:t>
      </w:r>
      <w:r>
        <w:rPr>
          <w:rFonts w:hint="eastAsia" w:ascii="宋体" w:hAnsi="宋体" w:cs="宋体"/>
          <w:color w:val="auto"/>
          <w:sz w:val="28"/>
          <w:szCs w:val="28"/>
          <w:lang w:val="en-US" w:eastAsia="zh-CN"/>
        </w:rPr>
        <w:t>1</w:t>
      </w:r>
      <w:r>
        <w:rPr>
          <w:rFonts w:hint="eastAsia" w:ascii="宋体" w:hAnsi="宋体" w:cs="宋体"/>
          <w:color w:val="auto"/>
          <w:sz w:val="28"/>
          <w:szCs w:val="28"/>
          <w:lang w:val="zh-CN" w:eastAsia="zh-CN"/>
        </w:rPr>
        <w:t>9年</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月</w:t>
      </w:r>
      <w:r>
        <w:rPr>
          <w:rFonts w:hint="eastAsia" w:ascii="宋体" w:hAnsi="宋体" w:cs="宋体"/>
          <w:color w:val="auto"/>
          <w:sz w:val="28"/>
          <w:szCs w:val="28"/>
          <w:lang w:val="en-US" w:eastAsia="zh-CN"/>
        </w:rPr>
        <w:t>23</w:t>
      </w:r>
      <w:r>
        <w:rPr>
          <w:rFonts w:hint="eastAsia" w:ascii="宋体" w:hAnsi="宋体" w:cs="宋体"/>
          <w:color w:val="auto"/>
          <w:sz w:val="28"/>
          <w:szCs w:val="28"/>
          <w:lang w:val="zh-CN" w:eastAsia="zh-CN"/>
        </w:rPr>
        <w:t>日起修订）</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（5）《中华人民共和国突发事件应对法》（中华人民共和国主席令第69号，自2007年11月1日起施行）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（6）《中华人民共和国劳动合同法》（主席令第73号，自2013年7月1日起施行）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（7）《中华人民共和国环境保护法》（主席令第9号，自2015年1月1日起施行）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（8）《中华人民共和国特种设备安全法》（主席令第4号，2014年1月1日起实施）；</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（9）《中华人民共和国防震减灾法》（国家主席令第7号，自2009年5月1日起施行）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（10）《工伤保险条例》（国务院第586号令）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（11）《机关、团体、企业事业单位消防安全管理规定》（公安部第61号令）</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（12）《有限空间安全作业五条规定》（国家安监总局令[2014]第69号）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（13）《企业安全生产风险公告六条规定》（国家安监总局令[2014]第70号）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（14）《企业安全生产应急管理九条规定》（国家安监总局令[2015]第74号）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（15）《国家安全监管总局办公厅关于印发用人单位劳动防护用品管理规范的通知》（安监总厅安健〔2015〕124号）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（16）《工作场所职业卫生监督管理规定》（国家安监总局令第47号）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（17）《生产安全事故应急预案管理办法》（国家安全生产监督管理总局令第88号）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（18）《生产经营单位生产安全事故应急预案编制导则》（GB/T29639-2013）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（19）《生产安全事故应急条例》（国令第708号，2019年4月1日起施行）</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（20）《生产安全事故应急演练评估规范》（AQ/T9009-2015）</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（21）《生产安全事故应急演练指南》（AQ/T 9007-2011）</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w:t>
      </w:r>
      <w:r>
        <w:rPr>
          <w:rFonts w:hint="eastAsia" w:ascii="宋体" w:hAnsi="宋体" w:cs="宋体"/>
          <w:color w:val="auto"/>
          <w:sz w:val="28"/>
          <w:szCs w:val="28"/>
          <w:lang w:val="en-US" w:eastAsia="zh-CN"/>
        </w:rPr>
        <w:t>22</w:t>
      </w:r>
      <w:r>
        <w:rPr>
          <w:rFonts w:hint="eastAsia" w:ascii="宋体" w:hAnsi="宋体" w:cs="宋体"/>
          <w:color w:val="auto"/>
          <w:sz w:val="28"/>
          <w:szCs w:val="28"/>
          <w:lang w:val="zh-CN" w:eastAsia="zh-CN"/>
        </w:rPr>
        <w:t>）《危险化学品重大危险源辨识》（GB18218-20</w:t>
      </w:r>
      <w:r>
        <w:rPr>
          <w:rFonts w:hint="eastAsia" w:ascii="宋体" w:hAnsi="宋体" w:cs="宋体"/>
          <w:color w:val="auto"/>
          <w:sz w:val="28"/>
          <w:szCs w:val="28"/>
          <w:lang w:val="en-US" w:eastAsia="zh-CN"/>
        </w:rPr>
        <w:t>18</w:t>
      </w:r>
      <w:r>
        <w:rPr>
          <w:rFonts w:hint="eastAsia" w:ascii="宋体" w:hAnsi="宋体" w:cs="宋体"/>
          <w:color w:val="auto"/>
          <w:sz w:val="28"/>
          <w:szCs w:val="28"/>
          <w:lang w:val="zh-CN" w:eastAsia="zh-CN"/>
        </w:rPr>
        <w:t>）</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3</w:t>
      </w:r>
      <w:r>
        <w:rPr>
          <w:rFonts w:hint="eastAsia" w:ascii="宋体" w:hAnsi="宋体" w:cs="宋体"/>
          <w:color w:val="auto"/>
          <w:sz w:val="28"/>
          <w:szCs w:val="28"/>
          <w:lang w:val="zh-CN" w:eastAsia="zh-CN"/>
        </w:rPr>
        <w:t>）《四川省安全生产条例》（2006年11月30日四川省第十届人大常委会第二十四次会议通过）</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4</w:t>
      </w:r>
      <w:r>
        <w:rPr>
          <w:rFonts w:hint="eastAsia" w:ascii="宋体" w:hAnsi="宋体" w:cs="宋体"/>
          <w:color w:val="auto"/>
          <w:sz w:val="28"/>
          <w:szCs w:val="28"/>
          <w:lang w:val="zh-CN" w:eastAsia="zh-CN"/>
        </w:rPr>
        <w:t>）《危险化学品目录》（2015年版）</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5</w:t>
      </w:r>
      <w:r>
        <w:rPr>
          <w:rFonts w:hint="eastAsia" w:ascii="宋体" w:hAnsi="宋体" w:cs="宋体"/>
          <w:color w:val="auto"/>
          <w:sz w:val="28"/>
          <w:szCs w:val="28"/>
          <w:lang w:val="zh-CN" w:eastAsia="zh-CN"/>
        </w:rPr>
        <w:t>）《易燃易爆性商品储存养护技术条件》（GB17914-2013）</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6</w:t>
      </w:r>
      <w:r>
        <w:rPr>
          <w:rFonts w:hint="eastAsia" w:ascii="宋体" w:hAnsi="宋体" w:cs="宋体"/>
          <w:color w:val="auto"/>
          <w:sz w:val="28"/>
          <w:szCs w:val="28"/>
          <w:lang w:val="zh-CN" w:eastAsia="zh-CN"/>
        </w:rPr>
        <w:t>）《四川省生产安全事故应急预案管理实施细则》（川安监〔2018〕43号）</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（2</w:t>
      </w:r>
      <w:r>
        <w:rPr>
          <w:rFonts w:hint="eastAsia" w:ascii="宋体" w:hAnsi="宋体" w:cs="宋体"/>
          <w:color w:val="auto"/>
          <w:sz w:val="28"/>
          <w:szCs w:val="28"/>
          <w:lang w:val="en-US" w:eastAsia="zh-CN"/>
        </w:rPr>
        <w:t>7</w:t>
      </w:r>
      <w:r>
        <w:rPr>
          <w:rFonts w:hint="eastAsia" w:ascii="宋体" w:hAnsi="宋体" w:cs="宋体"/>
          <w:color w:val="auto"/>
          <w:sz w:val="28"/>
          <w:szCs w:val="28"/>
          <w:lang w:val="zh-CN" w:eastAsia="zh-CN"/>
        </w:rPr>
        <w:t>）《成都市安全生产监督管理局关于规范生产安全事故应急预案评审备案工作的通知》成安监函〔2018〕9号</w:t>
      </w:r>
    </w:p>
    <w:p>
      <w:pPr>
        <w:pStyle w:val="5"/>
        <w:spacing w:before="0" w:after="0" w:line="360" w:lineRule="auto"/>
        <w:rPr>
          <w:rFonts w:hint="eastAsia" w:ascii="宋体" w:hAnsi="宋体" w:eastAsia="宋体" w:cs="宋体"/>
          <w:color w:val="auto"/>
          <w:sz w:val="28"/>
          <w:szCs w:val="28"/>
          <w:lang w:val="en-US" w:eastAsia="zh-CN"/>
        </w:rPr>
      </w:pPr>
      <w:bookmarkStart w:id="22" w:name="_Toc16426"/>
      <w:bookmarkStart w:id="23" w:name="_Toc25561"/>
      <w:bookmarkStart w:id="24" w:name="_Toc11357"/>
      <w:r>
        <w:rPr>
          <w:rFonts w:hint="eastAsia" w:ascii="宋体" w:hAnsi="宋体" w:eastAsia="宋体" w:cs="宋体"/>
          <w:color w:val="auto"/>
          <w:sz w:val="28"/>
          <w:szCs w:val="28"/>
          <w:lang w:val="en-US" w:eastAsia="zh-CN"/>
        </w:rPr>
        <w:t>1.2评估目的</w:t>
      </w:r>
      <w:bookmarkEnd w:id="22"/>
      <w:bookmarkEnd w:id="23"/>
      <w:bookmarkEnd w:id="24"/>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为规范</w:t>
      </w:r>
      <w:r>
        <w:rPr>
          <w:rFonts w:hint="eastAsia" w:hAnsi="宋体"/>
          <w:sz w:val="28"/>
          <w:szCs w:val="28"/>
          <w:lang w:eastAsia="zh-CN"/>
        </w:rPr>
        <w:t>公司</w:t>
      </w:r>
      <w:r>
        <w:rPr>
          <w:rFonts w:hint="eastAsia" w:hAnsi="宋体"/>
          <w:sz w:val="28"/>
          <w:szCs w:val="28"/>
        </w:rPr>
        <w:t>风险管理工作，识别和分析生产安全作业中的危险有害因素，消除或减少事故危害，确保安全作业，由</w:t>
      </w:r>
      <w:r>
        <w:rPr>
          <w:rFonts w:hint="eastAsia" w:hAnsi="宋体"/>
          <w:sz w:val="28"/>
          <w:szCs w:val="28"/>
          <w:lang w:eastAsia="zh-CN"/>
        </w:rPr>
        <w:t>公司</w:t>
      </w:r>
      <w:r>
        <w:rPr>
          <w:rFonts w:hint="eastAsia" w:hAnsi="宋体"/>
          <w:sz w:val="28"/>
          <w:szCs w:val="28"/>
        </w:rPr>
        <w:t>风险评价小组进行风险评估。</w:t>
      </w:r>
    </w:p>
    <w:p>
      <w:pPr>
        <w:pStyle w:val="5"/>
        <w:spacing w:before="0" w:after="0" w:line="360" w:lineRule="auto"/>
        <w:rPr>
          <w:rFonts w:hint="eastAsia" w:ascii="宋体" w:hAnsi="宋体" w:eastAsia="宋体" w:cs="宋体"/>
          <w:color w:val="auto"/>
          <w:sz w:val="28"/>
          <w:szCs w:val="28"/>
          <w:lang w:val="en-US" w:eastAsia="zh-CN"/>
        </w:rPr>
      </w:pPr>
      <w:bookmarkStart w:id="25" w:name="_Toc12578"/>
      <w:bookmarkStart w:id="26" w:name="_Toc19499"/>
      <w:bookmarkStart w:id="27" w:name="_Toc861"/>
      <w:r>
        <w:rPr>
          <w:rFonts w:hint="eastAsia" w:ascii="宋体" w:hAnsi="宋体" w:eastAsia="宋体" w:cs="宋体"/>
          <w:color w:val="auto"/>
          <w:sz w:val="28"/>
          <w:szCs w:val="28"/>
          <w:lang w:val="en-US" w:eastAsia="zh-CN"/>
        </w:rPr>
        <w:t>1.3风险评估范围</w:t>
      </w:r>
      <w:bookmarkEnd w:id="25"/>
      <w:bookmarkEnd w:id="26"/>
      <w:bookmarkEnd w:id="27"/>
      <w:r>
        <w:rPr>
          <w:rFonts w:hint="eastAsia" w:ascii="宋体" w:hAnsi="宋体" w:eastAsia="宋体" w:cs="宋体"/>
          <w:color w:val="auto"/>
          <w:sz w:val="28"/>
          <w:szCs w:val="28"/>
          <w:lang w:val="en-US" w:eastAsia="zh-CN"/>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评估范围主要围绕生产经营活动开展，主要包括</w:t>
      </w:r>
      <w:r>
        <w:rPr>
          <w:rFonts w:hint="eastAsia" w:hAnsi="宋体"/>
          <w:sz w:val="28"/>
          <w:szCs w:val="28"/>
          <w:lang w:eastAsia="zh-CN"/>
        </w:rPr>
        <w:t>公司</w:t>
      </w:r>
      <w:r>
        <w:rPr>
          <w:rFonts w:hint="eastAsia" w:hAnsi="宋体"/>
          <w:sz w:val="28"/>
          <w:szCs w:val="28"/>
        </w:rPr>
        <w:t>在生产经营过程的生产工艺装置和储存设施以及配套的公用工程系统的风险性识别和分析。</w:t>
      </w:r>
    </w:p>
    <w:p>
      <w:pPr>
        <w:pStyle w:val="5"/>
        <w:spacing w:before="0" w:after="0" w:line="360" w:lineRule="auto"/>
        <w:rPr>
          <w:rFonts w:hint="eastAsia" w:ascii="宋体" w:hAnsi="宋体" w:eastAsia="宋体" w:cs="宋体"/>
          <w:sz w:val="28"/>
          <w:szCs w:val="28"/>
        </w:rPr>
      </w:pPr>
      <w:bookmarkStart w:id="28" w:name="_Toc25254"/>
      <w:bookmarkStart w:id="29" w:name="_Toc15923"/>
      <w:bookmarkStart w:id="30" w:name="_Toc23032"/>
      <w:r>
        <w:rPr>
          <w:rFonts w:hint="eastAsia" w:ascii="宋体" w:hAnsi="宋体" w:eastAsia="宋体" w:cs="宋体"/>
          <w:sz w:val="28"/>
          <w:szCs w:val="28"/>
        </w:rPr>
        <w:t>1.4评估程序</w:t>
      </w:r>
      <w:bookmarkEnd w:id="28"/>
      <w:bookmarkEnd w:id="29"/>
      <w:bookmarkEnd w:id="30"/>
      <w:r>
        <w:rPr>
          <w:rFonts w:hint="eastAsia" w:ascii="宋体" w:hAnsi="宋体" w:eastAsia="宋体" w:cs="宋体"/>
          <w:sz w:val="28"/>
          <w:szCs w:val="28"/>
        </w:rPr>
        <w:t xml:space="preserve">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1、成立风险评估小组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2、收集分析资料、现场勘察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 xml:space="preserve">3、组织进行风险识别和评估 </w:t>
      </w:r>
    </w:p>
    <w:p>
      <w:pPr>
        <w:autoSpaceDE w:val="0"/>
        <w:autoSpaceDN w:val="0"/>
        <w:adjustRightInd w:val="0"/>
        <w:spacing w:line="360" w:lineRule="auto"/>
        <w:ind w:firstLine="560" w:firstLineChars="200"/>
        <w:rPr>
          <w:rFonts w:hint="eastAsia" w:hAnsi="宋体"/>
          <w:sz w:val="28"/>
          <w:szCs w:val="28"/>
        </w:rPr>
      </w:pPr>
      <w:r>
        <w:rPr>
          <w:rFonts w:hint="eastAsia" w:hAnsi="宋体"/>
          <w:sz w:val="28"/>
          <w:szCs w:val="28"/>
        </w:rPr>
        <w:t>4、评估汇总交</w:t>
      </w:r>
      <w:r>
        <w:rPr>
          <w:rFonts w:hint="eastAsia" w:hAnsi="宋体"/>
          <w:sz w:val="28"/>
          <w:szCs w:val="28"/>
          <w:lang w:eastAsia="zh-CN"/>
        </w:rPr>
        <w:t>公司</w:t>
      </w:r>
      <w:r>
        <w:rPr>
          <w:rFonts w:hint="eastAsia" w:hAnsi="宋体"/>
          <w:sz w:val="28"/>
          <w:szCs w:val="28"/>
        </w:rPr>
        <w:t xml:space="preserve">主要负责人批准 </w:t>
      </w:r>
    </w:p>
    <w:p>
      <w:pPr>
        <w:rPr>
          <w:rFonts w:hint="eastAsia" w:ascii="黑体" w:hAnsi="宋体" w:eastAsia="黑体"/>
          <w:b/>
          <w:color w:val="auto"/>
          <w:sz w:val="32"/>
          <w:szCs w:val="32"/>
          <w:lang w:val="en-US" w:eastAsia="zh-CN"/>
        </w:rPr>
      </w:pPr>
      <w:r>
        <w:rPr>
          <w:rFonts w:hint="eastAsia" w:ascii="黑体" w:hAnsi="宋体" w:eastAsia="黑体"/>
          <w:b/>
          <w:color w:val="auto"/>
          <w:sz w:val="32"/>
          <w:szCs w:val="32"/>
          <w:lang w:val="en-US" w:eastAsia="zh-CN"/>
        </w:rPr>
        <w:br w:type="page"/>
      </w:r>
    </w:p>
    <w:p>
      <w:pPr>
        <w:numPr>
          <w:ilvl w:val="0"/>
          <w:numId w:val="0"/>
        </w:numPr>
        <w:spacing w:line="360" w:lineRule="auto"/>
        <w:jc w:val="center"/>
        <w:outlineLvl w:val="0"/>
        <w:rPr>
          <w:rFonts w:hint="eastAsia" w:ascii="黑体" w:hAnsi="宋体" w:eastAsia="黑体"/>
          <w:b/>
          <w:color w:val="auto"/>
          <w:sz w:val="32"/>
          <w:szCs w:val="32"/>
        </w:rPr>
      </w:pPr>
      <w:bookmarkStart w:id="31" w:name="_Toc9692"/>
      <w:r>
        <w:rPr>
          <w:rFonts w:hint="eastAsia" w:ascii="黑体" w:hAnsi="宋体" w:eastAsia="黑体"/>
          <w:b/>
          <w:color w:val="auto"/>
          <w:sz w:val="32"/>
          <w:szCs w:val="32"/>
          <w:lang w:val="en-US" w:eastAsia="zh-CN"/>
        </w:rPr>
        <w:t>2</w:t>
      </w:r>
      <w:r>
        <w:rPr>
          <w:rFonts w:hint="eastAsia" w:ascii="黑体" w:hAnsi="宋体" w:eastAsia="黑体"/>
          <w:b/>
          <w:color w:val="auto"/>
          <w:sz w:val="32"/>
          <w:szCs w:val="32"/>
        </w:rPr>
        <w:t>公司概况</w:t>
      </w:r>
      <w:bookmarkEnd w:id="0"/>
      <w:bookmarkEnd w:id="31"/>
    </w:p>
    <w:p>
      <w:pPr>
        <w:pStyle w:val="5"/>
        <w:spacing w:before="0" w:after="0" w:line="360" w:lineRule="auto"/>
        <w:rPr>
          <w:rFonts w:hint="eastAsia" w:ascii="宋体" w:hAnsi="宋体" w:eastAsia="宋体" w:cs="宋体"/>
          <w:color w:val="auto"/>
          <w:sz w:val="28"/>
          <w:szCs w:val="28"/>
        </w:rPr>
      </w:pPr>
      <w:bookmarkStart w:id="32" w:name="_Toc20282"/>
      <w:bookmarkStart w:id="33" w:name="_Toc176022617"/>
      <w:bookmarkStart w:id="34" w:name="_Toc13200"/>
      <w:bookmarkStart w:id="35" w:name="_Toc332285103"/>
      <w:bookmarkStart w:id="36" w:name="_Toc480804386"/>
      <w:bookmarkStart w:id="37" w:name="_Toc514342838"/>
      <w:bookmarkStart w:id="38" w:name="_Toc485656588"/>
      <w:r>
        <w:rPr>
          <w:rFonts w:hint="eastAsia" w:ascii="宋体" w:hAnsi="宋体" w:eastAsia="宋体" w:cs="宋体"/>
          <w:color w:val="auto"/>
          <w:sz w:val="28"/>
          <w:szCs w:val="28"/>
        </w:rPr>
        <w:t>2.1 公司概况</w:t>
      </w:r>
      <w:bookmarkEnd w:id="32"/>
    </w:p>
    <w:tbl>
      <w:tblPr>
        <w:tblStyle w:val="20"/>
        <w:tblW w:w="92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1907"/>
        <w:gridCol w:w="1643"/>
        <w:gridCol w:w="366"/>
        <w:gridCol w:w="1134"/>
        <w:gridCol w:w="1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单位</w:t>
            </w:r>
            <w:r>
              <w:rPr>
                <w:rFonts w:hint="eastAsia" w:hAnsi="宋体" w:eastAsia="Times New Roman" w:cs="宋体"/>
                <w:color w:val="auto"/>
                <w:kern w:val="2"/>
                <w:sz w:val="28"/>
                <w:szCs w:val="28"/>
                <w:lang w:val="zh-CN" w:eastAsia="zh-CN" w:bidi="ar-SA"/>
              </w:rPr>
              <w:t>名称</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仪陇县炬光乡页岩砖厂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法人代表</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李东北</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联系电话</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13990754279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联系人</w:t>
            </w:r>
          </w:p>
        </w:tc>
        <w:tc>
          <w:tcPr>
            <w:tcW w:w="1907"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李东北</w:t>
            </w:r>
          </w:p>
        </w:tc>
        <w:tc>
          <w:tcPr>
            <w:tcW w:w="2009"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成立时间</w:t>
            </w:r>
          </w:p>
        </w:tc>
        <w:tc>
          <w:tcPr>
            <w:tcW w:w="3096"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zh-CN" w:bidi="ar-SA"/>
              </w:rPr>
              <w:t>2012年04年25日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企业性质</w:t>
            </w:r>
          </w:p>
        </w:tc>
        <w:tc>
          <w:tcPr>
            <w:tcW w:w="1907"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color w:val="auto"/>
                <w:kern w:val="2"/>
                <w:sz w:val="28"/>
                <w:szCs w:val="28"/>
                <w:lang w:val="en-US" w:eastAsia="zh-CN" w:bidi="ar-SA"/>
              </w:rPr>
            </w:pPr>
            <w:r>
              <w:rPr>
                <w:rFonts w:hint="eastAsia" w:hAnsi="宋体" w:cs="宋体"/>
                <w:lang w:eastAsia="zh-CN"/>
              </w:rPr>
              <w:t>个体工商户</w:t>
            </w:r>
          </w:p>
        </w:tc>
        <w:tc>
          <w:tcPr>
            <w:tcW w:w="2009"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en-US" w:eastAsia="zh-CN" w:bidi="ar-SA"/>
              </w:rPr>
              <w:t>注册号</w:t>
            </w:r>
          </w:p>
        </w:tc>
        <w:tc>
          <w:tcPr>
            <w:tcW w:w="3096"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en-US" w:eastAsia="zh-CN" w:bidi="ar-SA"/>
              </w:rPr>
              <w:t>92511324MA67D7NJ6E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通讯地址</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zh-CN" w:eastAsia="zh-CN" w:bidi="ar-SA"/>
              </w:rPr>
            </w:pPr>
            <w:r>
              <w:rPr>
                <w:rFonts w:hint="eastAsia" w:hAnsi="宋体" w:eastAsia="Times New Roman" w:cs="宋体"/>
                <w:color w:val="auto"/>
                <w:kern w:val="2"/>
                <w:sz w:val="28"/>
                <w:szCs w:val="28"/>
                <w:lang w:val="zh-CN" w:eastAsia="zh-CN" w:bidi="ar-SA"/>
              </w:rPr>
              <w:t>南充市仪陇县炬光乡炬光村二社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行业类别及代码</w:t>
            </w:r>
          </w:p>
        </w:tc>
        <w:tc>
          <w:tcPr>
            <w:tcW w:w="7012" w:type="dxa"/>
            <w:gridSpan w:val="5"/>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hAnsi="宋体" w:eastAsia="Times New Roman" w:cs="宋体"/>
                <w:color w:val="auto"/>
                <w:kern w:val="2"/>
                <w:sz w:val="28"/>
                <w:szCs w:val="28"/>
                <w:lang w:val="en-US" w:eastAsia="zh-CN" w:bidi="ar-SA"/>
              </w:rPr>
            </w:pPr>
            <w:r>
              <w:rPr>
                <w:rFonts w:hint="eastAsia" w:hAnsi="宋体" w:eastAsia="Times New Roman" w:cs="宋体"/>
                <w:color w:val="auto"/>
                <w:kern w:val="2"/>
                <w:sz w:val="28"/>
                <w:szCs w:val="28"/>
                <w:lang w:val="en-US" w:eastAsia="en-US" w:bidi="ar-SA"/>
              </w:rPr>
              <w:t>C3031</w:t>
            </w:r>
            <w:r>
              <w:rPr>
                <w:rFonts w:hint="eastAsia" w:hAnsi="宋体" w:eastAsia="Times New Roman" w:cs="宋体"/>
                <w:color w:val="auto"/>
                <w:kern w:val="2"/>
                <w:sz w:val="28"/>
                <w:szCs w:val="28"/>
                <w:lang w:val="en-US" w:eastAsia="zh-CN" w:bidi="ar-SA"/>
              </w:rPr>
              <w:t>粘土砖瓦及建筑砌块制造3131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7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企业规模</w:t>
            </w:r>
          </w:p>
        </w:tc>
        <w:tc>
          <w:tcPr>
            <w:tcW w:w="3550" w:type="dxa"/>
            <w:gridSpan w:val="2"/>
            <w:noWrap w:val="0"/>
            <w:vAlign w:val="top"/>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eastAsia" w:ascii="宋体" w:hAnsi="宋体" w:eastAsia="宋体" w:cs="宋体"/>
                <w:color w:val="auto"/>
                <w:kern w:val="2"/>
                <w:sz w:val="28"/>
                <w:szCs w:val="28"/>
                <w:lang w:val="en-US" w:eastAsia="zh-CN" w:bidi="ar-SA"/>
              </w:rPr>
            </w:pPr>
            <w:r>
              <w:rPr>
                <w:rFonts w:hint="eastAsia" w:ascii="宋体" w:hAnsi="宋体" w:eastAsia="Times New Roman" w:cs="宋体"/>
                <w:color w:val="FF0000"/>
                <w:kern w:val="2"/>
                <w:sz w:val="28"/>
                <w:szCs w:val="28"/>
                <w:lang w:val="zh-CN" w:eastAsia="zh-CN" w:bidi="ar-SA"/>
              </w:rPr>
              <w:t>年</w:t>
            </w:r>
            <w:r>
              <w:rPr>
                <w:rFonts w:hint="eastAsia" w:hAnsi="Courier New"/>
                <w:snapToGrid w:val="0"/>
                <w:color w:val="FF0000"/>
                <w:kern w:val="0"/>
                <w:sz w:val="28"/>
                <w:szCs w:val="28"/>
                <w:lang w:val="zh-CN" w:eastAsia="zh-CN"/>
              </w:rPr>
              <w:t>产</w:t>
            </w:r>
            <w:r>
              <w:rPr>
                <w:rFonts w:hint="eastAsia" w:hAnsi="Courier New"/>
                <w:snapToGrid w:val="0"/>
                <w:color w:val="FF0000"/>
                <w:kern w:val="0"/>
                <w:sz w:val="28"/>
                <w:szCs w:val="28"/>
                <w:lang w:val="en-US" w:eastAsia="zh-CN"/>
              </w:rPr>
              <w:t>3200万匹</w:t>
            </w:r>
            <w:r>
              <w:rPr>
                <w:rFonts w:hint="eastAsia" w:hAnsi="Courier New"/>
                <w:snapToGrid w:val="0"/>
                <w:color w:val="FF0000"/>
                <w:kern w:val="0"/>
                <w:sz w:val="28"/>
                <w:szCs w:val="28"/>
                <w:lang w:val="zh-CN" w:eastAsia="zh-CN"/>
              </w:rPr>
              <w:t>空心页岩砖</w:t>
            </w:r>
            <w:r>
              <w:rPr>
                <w:rFonts w:hint="eastAsia" w:hAnsi="Courier New"/>
                <w:snapToGrid w:val="0"/>
                <w:color w:val="FF0000"/>
                <w:kern w:val="0"/>
                <w:sz w:val="28"/>
                <w:szCs w:val="28"/>
                <w:lang w:val="en-US" w:eastAsia="zh-CN"/>
              </w:rPr>
              <w:t>。</w:t>
            </w:r>
          </w:p>
        </w:tc>
        <w:tc>
          <w:tcPr>
            <w:tcW w:w="1500" w:type="dxa"/>
            <w:gridSpan w:val="2"/>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Times New Roman" w:cs="宋体"/>
                <w:color w:val="auto"/>
                <w:kern w:val="2"/>
                <w:sz w:val="28"/>
                <w:szCs w:val="28"/>
                <w:lang w:val="zh-CN" w:eastAsia="zh-CN" w:bidi="ar-SA"/>
              </w:rPr>
              <w:t>占地面积</w:t>
            </w:r>
          </w:p>
        </w:tc>
        <w:tc>
          <w:tcPr>
            <w:tcW w:w="1962"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Times New Roman" w:cs="宋体"/>
                <w:color w:val="auto"/>
                <w:kern w:val="2"/>
                <w:sz w:val="28"/>
                <w:szCs w:val="28"/>
                <w:lang w:val="zh-CN" w:eastAsia="zh-CN" w:bidi="ar-SA"/>
              </w:rPr>
            </w:pPr>
            <w:r>
              <w:rPr>
                <w:rFonts w:hint="eastAsia" w:ascii="宋体" w:hAnsi="宋体" w:eastAsia="宋体" w:cs="宋体"/>
                <w:lang w:val="en-US" w:eastAsia="en-US"/>
              </w:rPr>
              <w:t>12000m</w:t>
            </w:r>
            <w:r>
              <w:rPr>
                <w:rFonts w:hint="eastAsia" w:ascii="宋体" w:hAnsi="宋体" w:eastAsia="宋体" w:cs="宋体"/>
                <w:vertAlign w:val="superscript"/>
                <w:lang w:val="en-US" w:eastAsia="en-US"/>
              </w:rPr>
              <w:t>2</w:t>
            </w:r>
          </w:p>
        </w:tc>
      </w:tr>
    </w:tbl>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表2-1 单位基本情况一览表</w:t>
      </w:r>
    </w:p>
    <w:p>
      <w:pPr>
        <w:pStyle w:val="12"/>
        <w:spacing w:line="240" w:lineRule="auto"/>
        <w:ind w:firstLine="482" w:firstLineChars="200"/>
        <w:jc w:val="center"/>
        <w:rPr>
          <w:rFonts w:hint="eastAsia" w:ascii="黑体" w:hAnsi="Courier New" w:eastAsia="黑体"/>
          <w:b/>
          <w:color w:val="auto"/>
          <w:sz w:val="24"/>
        </w:rPr>
      </w:pP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我公司仪陇县炬光乡页岩砖厂于2012年成立，位于仪陇县炬光乡炬光村二社。现有10人，</w:t>
      </w:r>
      <w:r>
        <w:rPr>
          <w:rFonts w:hint="eastAsia" w:ascii="宋体" w:hAnsi="宋体" w:cs="宋体"/>
          <w:color w:val="auto"/>
          <w:sz w:val="28"/>
          <w:szCs w:val="28"/>
          <w:lang w:val="zh-CN" w:eastAsia="zh-CN"/>
        </w:rPr>
        <w:t>占地</w:t>
      </w:r>
      <w:r>
        <w:rPr>
          <w:rFonts w:hint="eastAsia" w:ascii="宋体" w:hAnsi="宋体" w:cs="宋体"/>
          <w:color w:val="auto"/>
          <w:sz w:val="28"/>
          <w:szCs w:val="28"/>
          <w:lang w:val="en-US" w:eastAsia="en-US"/>
        </w:rPr>
        <w:t>12000</w:t>
      </w:r>
      <w:r>
        <w:rPr>
          <w:rFonts w:hint="eastAsia" w:ascii="宋体" w:hAnsi="宋体" w:cs="宋体"/>
          <w:color w:val="auto"/>
          <w:sz w:val="28"/>
          <w:szCs w:val="28"/>
          <w:lang w:val="en-US" w:eastAsia="zh-CN"/>
        </w:rPr>
        <w:t>m</w:t>
      </w:r>
      <w:r>
        <w:rPr>
          <w:rFonts w:hint="eastAsia" w:ascii="宋体" w:hAnsi="宋体" w:cs="宋体"/>
          <w:color w:val="auto"/>
          <w:sz w:val="28"/>
          <w:szCs w:val="28"/>
          <w:vertAlign w:val="superscript"/>
          <w:lang w:val="en-US" w:eastAsia="en-US"/>
        </w:rPr>
        <w:t>2</w:t>
      </w:r>
      <w:r>
        <w:rPr>
          <w:rFonts w:hint="eastAsia" w:ascii="宋体" w:hAnsi="宋体" w:cs="宋体"/>
          <w:color w:val="auto"/>
          <w:sz w:val="28"/>
          <w:szCs w:val="28"/>
          <w:lang w:val="en-US" w:eastAsia="en-US"/>
        </w:rPr>
        <w:t>，</w:t>
      </w:r>
      <w:r>
        <w:rPr>
          <w:rFonts w:hint="eastAsia" w:ascii="宋体" w:hAnsi="宋体" w:cs="宋体"/>
          <w:color w:val="auto"/>
          <w:sz w:val="28"/>
          <w:szCs w:val="28"/>
          <w:lang w:val="zh-CN" w:eastAsia="zh-CN"/>
        </w:rPr>
        <w:t>厂房及办公楼2800平方米，26门轮窖生产线1条（1条干燥窑，1条焙烧窑），达到3000万标砖/年生产能力。年生产工作日为330天。焙烧窑24小时燃烧，员工采取白班工作制（每班工作8小 时）。</w:t>
      </w:r>
    </w:p>
    <w:p>
      <w:pPr>
        <w:pStyle w:val="5"/>
        <w:spacing w:before="0" w:after="0" w:line="360" w:lineRule="auto"/>
        <w:rPr>
          <w:rFonts w:hint="eastAsia" w:ascii="宋体" w:hAnsi="宋体" w:eastAsia="宋体" w:cs="宋体"/>
          <w:color w:val="auto"/>
          <w:sz w:val="28"/>
          <w:szCs w:val="28"/>
        </w:rPr>
      </w:pPr>
      <w:bookmarkStart w:id="39" w:name="_Toc30606"/>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1.1</w:t>
      </w:r>
      <w:r>
        <w:rPr>
          <w:rFonts w:hint="eastAsia" w:ascii="宋体" w:hAnsi="宋体" w:eastAsia="宋体" w:cs="宋体"/>
          <w:color w:val="auto"/>
          <w:sz w:val="28"/>
          <w:szCs w:val="28"/>
        </w:rPr>
        <w:t>公司地理位置及环境等情况</w:t>
      </w:r>
      <w:bookmarkEnd w:id="39"/>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仪陇县炬光乡页岩砖厂</w:t>
      </w:r>
      <w:r>
        <w:rPr>
          <w:rFonts w:hint="eastAsia" w:ascii="宋体" w:hAnsi="宋体" w:cs="宋体"/>
          <w:color w:val="auto"/>
          <w:sz w:val="28"/>
          <w:szCs w:val="28"/>
          <w:lang w:val="zh-CN" w:eastAsia="zh-CN"/>
        </w:rPr>
        <w:t>行政区划隶属南充市仪陇县炬光乡炬光村二社，</w:t>
      </w:r>
      <w:r>
        <w:rPr>
          <w:rFonts w:hint="eastAsia" w:ascii="宋体" w:hAnsi="宋体" w:cs="宋体"/>
          <w:color w:val="auto"/>
          <w:sz w:val="28"/>
          <w:szCs w:val="28"/>
          <w:lang w:val="en-US" w:eastAsia="zh-CN"/>
        </w:rPr>
        <w:t>炬光乡地处四川省</w:t>
      </w:r>
      <w:r>
        <w:rPr>
          <w:rFonts w:hint="default" w:ascii="宋体" w:hAnsi="宋体" w:cs="宋体"/>
          <w:color w:val="auto"/>
          <w:sz w:val="28"/>
          <w:szCs w:val="28"/>
          <w:lang w:val="en-US" w:eastAsia="zh-CN"/>
        </w:rPr>
        <w:fldChar w:fldCharType="begin"/>
      </w:r>
      <w:r>
        <w:rPr>
          <w:rFonts w:hint="default" w:ascii="宋体" w:hAnsi="宋体" w:cs="宋体"/>
          <w:color w:val="auto"/>
          <w:sz w:val="28"/>
          <w:szCs w:val="28"/>
          <w:lang w:val="en-US" w:eastAsia="zh-CN"/>
        </w:rPr>
        <w:instrText xml:space="preserve"> HYPERLINK "https://baike.baidu.com/item/%E4%BB%AA%E9%99%87%E5%8E%BF/4964629" \t "https://baike.baidu.com/item/%E7%82%AC%E5%85%89%E4%B9%A1/_blank" </w:instrText>
      </w:r>
      <w:r>
        <w:rPr>
          <w:rFonts w:hint="default" w:ascii="宋体" w:hAnsi="宋体" w:cs="宋体"/>
          <w:color w:val="auto"/>
          <w:sz w:val="28"/>
          <w:szCs w:val="28"/>
          <w:lang w:val="en-US" w:eastAsia="zh-CN"/>
        </w:rPr>
        <w:fldChar w:fldCharType="separate"/>
      </w:r>
      <w:r>
        <w:rPr>
          <w:rFonts w:hint="default" w:ascii="宋体" w:hAnsi="宋体" w:cs="宋体"/>
          <w:color w:val="auto"/>
          <w:sz w:val="28"/>
          <w:szCs w:val="28"/>
          <w:lang w:val="en-US" w:eastAsia="zh-CN"/>
        </w:rPr>
        <w:t>仪陇县</w:t>
      </w:r>
      <w:r>
        <w:rPr>
          <w:rFonts w:hint="default" w:ascii="宋体" w:hAnsi="宋体" w:cs="宋体"/>
          <w:color w:val="auto"/>
          <w:sz w:val="28"/>
          <w:szCs w:val="28"/>
          <w:lang w:val="en-US" w:eastAsia="zh-CN"/>
        </w:rPr>
        <w:fldChar w:fldCharType="end"/>
      </w:r>
      <w:r>
        <w:rPr>
          <w:rFonts w:hint="default" w:ascii="宋体" w:hAnsi="宋体" w:cs="宋体"/>
          <w:color w:val="auto"/>
          <w:sz w:val="28"/>
          <w:szCs w:val="28"/>
          <w:lang w:val="en-US" w:eastAsia="zh-CN"/>
        </w:rPr>
        <w:t>南端，距县城74公里。东与仪陇的九龙乡、西与仪陇的文星镇、南与营山的绿水镇、三兴镇、北与仪陇的永光乡接壤。全乡辖9个行政村，61个社，其中2171户，农业人口7578人，幅员面积20.14平方公里，有耕地面积6375亩。农业主产水稻、小麦、玉米，兼产油菜籽、烟叶。养殖猪、蚕、家禽等。</w:t>
      </w:r>
      <w:r>
        <w:rPr>
          <w:rFonts w:hint="eastAsia" w:ascii="宋体" w:hAnsi="宋体" w:cs="宋体"/>
          <w:color w:val="auto"/>
          <w:sz w:val="28"/>
          <w:szCs w:val="28"/>
          <w:lang w:val="en-US" w:eastAsia="zh-CN"/>
        </w:rPr>
        <w:t>全程为水泥路面，路况较好，交通方便。</w:t>
      </w:r>
      <w:r>
        <w:rPr>
          <w:rFonts w:hint="eastAsia" w:ascii="宋体" w:hAnsi="宋体" w:cs="宋体"/>
          <w:color w:val="auto"/>
          <w:sz w:val="28"/>
          <w:szCs w:val="28"/>
          <w:lang w:val="zh-CN" w:eastAsia="zh-CN"/>
        </w:rPr>
        <w:t>项目地理位置见附图，项目页岩</w:t>
      </w:r>
      <w:r>
        <w:rPr>
          <w:rFonts w:hint="eastAsia" w:ascii="宋体" w:hAnsi="宋体" w:cs="宋体"/>
          <w:color w:val="auto"/>
          <w:sz w:val="28"/>
          <w:szCs w:val="28"/>
          <w:lang w:val="en-US" w:eastAsia="zh-CN"/>
        </w:rPr>
        <w:t>矿</w:t>
      </w:r>
      <w:r>
        <w:rPr>
          <w:rFonts w:hint="eastAsia" w:ascii="宋体" w:hAnsi="宋体" w:cs="宋体"/>
          <w:color w:val="auto"/>
          <w:sz w:val="28"/>
          <w:szCs w:val="28"/>
          <w:lang w:val="zh-CN" w:eastAsia="zh-CN"/>
        </w:rPr>
        <w:t>山与厂区在同一区域内。</w:t>
      </w:r>
    </w:p>
    <w:p>
      <w:pPr>
        <w:pStyle w:val="2"/>
        <w:ind w:left="0" w:leftChars="0" w:firstLine="0" w:firstLineChars="0"/>
        <w:rPr>
          <w:rFonts w:hint="eastAsia"/>
          <w:lang w:val="zh-CN" w:eastAsia="zh-CN"/>
        </w:rPr>
      </w:pPr>
      <w:r>
        <w:rPr>
          <w:color w:val="auto"/>
          <w:sz w:val="72"/>
        </w:rPr>
        <mc:AlternateContent>
          <mc:Choice Requires="wps">
            <w:drawing>
              <wp:anchor distT="0" distB="0" distL="114300" distR="114300" simplePos="0" relativeHeight="251732992" behindDoc="0" locked="0" layoutInCell="1" allowOverlap="1">
                <wp:simplePos x="0" y="0"/>
                <wp:positionH relativeFrom="column">
                  <wp:posOffset>2425065</wp:posOffset>
                </wp:positionH>
                <wp:positionV relativeFrom="paragraph">
                  <wp:posOffset>732155</wp:posOffset>
                </wp:positionV>
                <wp:extent cx="1492885" cy="339090"/>
                <wp:effectExtent l="4445" t="221615" r="11430" b="18415"/>
                <wp:wrapNone/>
                <wp:docPr id="34" name="圆角矩形标注 34"/>
                <wp:cNvGraphicFramePr/>
                <a:graphic xmlns:a="http://schemas.openxmlformats.org/drawingml/2006/main">
                  <a:graphicData uri="http://schemas.microsoft.com/office/word/2010/wordprocessingShape">
                    <wps:wsp>
                      <wps:cNvSpPr/>
                      <wps:spPr>
                        <a:xfrm flipH="1" flipV="1">
                          <a:off x="0" y="0"/>
                          <a:ext cx="1492885" cy="339090"/>
                        </a:xfrm>
                        <a:prstGeom prst="wedgeRoundRectCallout">
                          <a:avLst>
                            <a:gd name="adj1" fmla="val -48208"/>
                            <a:gd name="adj2" fmla="val 111875"/>
                            <a:gd name="adj3" fmla="val 16667"/>
                          </a:avLst>
                        </a:prstGeom>
                        <a:noFill/>
                        <a:ln w="9525" cap="flat" cmpd="sng">
                          <a:solidFill>
                            <a:srgbClr val="000000"/>
                          </a:solidFill>
                          <a:prstDash val="solid"/>
                          <a:miter/>
                          <a:headEnd type="none" w="med" len="med"/>
                          <a:tailEnd type="none" w="med" len="med"/>
                        </a:ln>
                      </wps:spPr>
                      <wps:txbx>
                        <w:txbxContent>
                          <w:p>
                            <w:pPr>
                              <w:rPr>
                                <w:color w:val="FF0000"/>
                                <w:sz w:val="18"/>
                                <w:szCs w:val="18"/>
                              </w:rPr>
                            </w:pPr>
                            <w:r>
                              <w:rPr>
                                <w:rFonts w:hint="eastAsia" w:ascii="宋体" w:hAnsi="宋体" w:cs="宋体"/>
                                <w:color w:val="FF0000"/>
                                <w:sz w:val="18"/>
                                <w:szCs w:val="18"/>
                                <w:lang w:val="zh-CN" w:eastAsia="zh-CN"/>
                              </w:rPr>
                              <w:t>仪陇县炬光乡页岩砖厂</w:t>
                            </w:r>
                          </w:p>
                        </w:txbxContent>
                      </wps:txbx>
                      <wps:bodyPr upright="1"/>
                    </wps:wsp>
                  </a:graphicData>
                </a:graphic>
              </wp:anchor>
            </w:drawing>
          </mc:Choice>
          <mc:Fallback>
            <w:pict>
              <v:shape id="_x0000_s1026" o:spid="_x0000_s1026" o:spt="62" type="#_x0000_t62" style="position:absolute;left:0pt;flip:x y;margin-left:190.95pt;margin-top:57.65pt;height:26.7pt;width:117.55pt;z-index:251732992;mso-width-relative:page;mso-height-relative:page;" filled="f" stroked="t" coordsize="21600,21600" o:gfxdata="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vfTrWNkAAAALAQAADwAAAAAAAAABACAAAAAiAAAA&#10;ZHJzL2Rvd25yZXYueG1sUEsBAhQAFAAAAAgAh07iQFfoXeQ/AgAAXAQAAA4AAAAAAAAAAQAgAAAA&#10;KAEAAGRycy9lMm9Eb2MueG1sUEsFBgAAAAAGAAYAWQEAANkFAAAAAA==&#10;" adj="387,34965,14400">
                <v:fill on="f" focussize="0,0"/>
                <v:stroke color="#000000" joinstyle="miter"/>
                <v:imagedata o:title=""/>
                <o:lock v:ext="edit" aspectratio="f"/>
                <v:textbox>
                  <w:txbxContent>
                    <w:p>
                      <w:pPr>
                        <w:rPr>
                          <w:color w:val="FF0000"/>
                          <w:sz w:val="18"/>
                          <w:szCs w:val="18"/>
                        </w:rPr>
                      </w:pPr>
                      <w:r>
                        <w:rPr>
                          <w:rFonts w:hint="eastAsia" w:ascii="宋体" w:hAnsi="宋体" w:cs="宋体"/>
                          <w:color w:val="FF0000"/>
                          <w:sz w:val="18"/>
                          <w:szCs w:val="18"/>
                          <w:lang w:val="zh-CN" w:eastAsia="zh-CN"/>
                        </w:rPr>
                        <w:t>仪陇县炬光乡页岩砖厂</w:t>
                      </w:r>
                    </w:p>
                  </w:txbxContent>
                </v:textbox>
              </v:shape>
            </w:pict>
          </mc:Fallback>
        </mc:AlternateContent>
      </w:r>
      <w:r>
        <w:drawing>
          <wp:inline distT="0" distB="0" distL="114300" distR="114300">
            <wp:extent cx="6041390" cy="3151505"/>
            <wp:effectExtent l="0" t="0" r="8890" b="317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5"/>
                    <a:stretch>
                      <a:fillRect/>
                    </a:stretch>
                  </pic:blipFill>
                  <pic:spPr>
                    <a:xfrm>
                      <a:off x="0" y="0"/>
                      <a:ext cx="6041390" cy="3151505"/>
                    </a:xfrm>
                    <a:prstGeom prst="rect">
                      <a:avLst/>
                    </a:prstGeom>
                    <a:noFill/>
                    <a:ln>
                      <a:noFill/>
                    </a:ln>
                  </pic:spPr>
                </pic:pic>
              </a:graphicData>
            </a:graphic>
          </wp:inline>
        </w:drawing>
      </w:r>
    </w:p>
    <w:p>
      <w:pPr>
        <w:pStyle w:val="12"/>
        <w:spacing w:line="240" w:lineRule="auto"/>
        <w:ind w:firstLine="482" w:firstLineChars="200"/>
        <w:jc w:val="center"/>
        <w:rPr>
          <w:rFonts w:hint="eastAsia" w:ascii="黑体" w:hAnsi="Courier New" w:eastAsia="黑体"/>
          <w:b/>
          <w:color w:val="auto"/>
          <w:sz w:val="24"/>
        </w:rPr>
      </w:pPr>
      <w:r>
        <w:rPr>
          <w:rFonts w:hint="eastAsia" w:ascii="黑体" w:hAnsi="Courier New" w:eastAsia="黑体"/>
          <w:b/>
          <w:color w:val="auto"/>
          <w:sz w:val="24"/>
        </w:rPr>
        <w:t>图2-1 地理位置图</w:t>
      </w:r>
    </w:p>
    <w:p>
      <w:pPr>
        <w:pStyle w:val="5"/>
        <w:spacing w:before="0" w:after="0" w:line="360" w:lineRule="auto"/>
        <w:rPr>
          <w:rFonts w:hint="eastAsia" w:ascii="宋体" w:hAnsi="宋体" w:eastAsia="宋体" w:cs="宋体"/>
          <w:color w:val="FF0000"/>
          <w:sz w:val="28"/>
          <w:szCs w:val="28"/>
          <w:lang w:val="en-US" w:eastAsia="zh-CN"/>
        </w:rPr>
      </w:pPr>
      <w:bookmarkStart w:id="40" w:name="_Toc22776"/>
      <w:r>
        <w:rPr>
          <w:rFonts w:hint="eastAsia" w:ascii="宋体" w:hAnsi="宋体" w:eastAsia="宋体" w:cs="宋体"/>
          <w:color w:val="FF0000"/>
          <w:sz w:val="28"/>
          <w:szCs w:val="28"/>
          <w:lang w:val="zh-CN"/>
        </w:rPr>
        <w:t>2.1.</w:t>
      </w:r>
      <w:r>
        <w:rPr>
          <w:rFonts w:hint="eastAsia" w:ascii="宋体" w:hAnsi="宋体" w:eastAsia="宋体" w:cs="宋体"/>
          <w:color w:val="FF0000"/>
          <w:sz w:val="28"/>
          <w:szCs w:val="28"/>
          <w:lang w:val="en-US" w:eastAsia="zh-CN"/>
        </w:rPr>
        <w:t>2</w:t>
      </w:r>
      <w:r>
        <w:rPr>
          <w:rFonts w:hint="eastAsia" w:ascii="宋体" w:hAnsi="宋体" w:eastAsia="宋体" w:cs="宋体"/>
          <w:color w:val="FF0000"/>
          <w:sz w:val="28"/>
          <w:szCs w:val="28"/>
          <w:lang w:val="zh-CN"/>
        </w:rPr>
        <w:t>总体布置</w:t>
      </w:r>
      <w:bookmarkEnd w:id="40"/>
    </w:p>
    <w:p>
      <w:pPr>
        <w:spacing w:line="360" w:lineRule="auto"/>
        <w:ind w:firstLine="562" w:firstLineChars="200"/>
        <w:rPr>
          <w:rFonts w:hint="eastAsia" w:ascii="宋体"/>
          <w:b/>
          <w:bCs/>
          <w:snapToGrid w:val="0"/>
          <w:color w:val="FF0000"/>
          <w:kern w:val="0"/>
          <w:sz w:val="28"/>
          <w:szCs w:val="28"/>
          <w:lang w:val="en-US" w:eastAsia="en-US"/>
        </w:rPr>
      </w:pPr>
      <w:r>
        <w:rPr>
          <w:rFonts w:hint="eastAsia" w:ascii="宋体" w:eastAsia="宋体"/>
          <w:b/>
          <w:bCs/>
          <w:snapToGrid w:val="0"/>
          <w:color w:val="FF0000"/>
          <w:kern w:val="0"/>
          <w:sz w:val="28"/>
          <w:szCs w:val="28"/>
          <w:lang w:val="en-US" w:eastAsia="zh-CN"/>
        </w:rPr>
        <w:t>1、</w:t>
      </w:r>
      <w:r>
        <w:rPr>
          <w:rFonts w:hint="eastAsia" w:ascii="宋体"/>
          <w:b/>
          <w:bCs/>
          <w:snapToGrid w:val="0"/>
          <w:color w:val="FF0000"/>
          <w:kern w:val="0"/>
          <w:sz w:val="28"/>
          <w:szCs w:val="28"/>
          <w:lang w:val="zh-CN" w:eastAsia="zh-CN"/>
        </w:rPr>
        <w:t>总平面布置</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本砖厂由主体工程、辅助工程、公用工程、办公生活设施及环保工程等组成。本砖页岩矿山位于厂区西面，厂原料堆场位于厂区西侧，靠近制砖车间之间，方便原料的运输与制作。粉碎机、破碎车间设于制砖车间一侧，可节省运力，其余工序按破碎一筛选一搅拌一陈化一切坯一码坯</w:t>
      </w:r>
      <w:r>
        <w:rPr>
          <w:rFonts w:hint="eastAsia" w:ascii="宋体" w:hAnsi="宋体" w:cs="宋体"/>
          <w:color w:val="auto"/>
          <w:sz w:val="28"/>
          <w:szCs w:val="28"/>
          <w:lang w:val="en-US" w:eastAsia="en-US"/>
        </w:rPr>
        <w:t>一</w:t>
      </w:r>
      <w:r>
        <w:rPr>
          <w:rFonts w:hint="eastAsia" w:ascii="宋体" w:hAnsi="宋体" w:cs="宋体"/>
          <w:color w:val="auto"/>
          <w:sz w:val="28"/>
          <w:szCs w:val="28"/>
          <w:lang w:val="zh-CN" w:eastAsia="zh-CN"/>
        </w:rPr>
        <w:t>干燥一焙烧工序依次设置，布局紧凑，工作方便，厂区南侧紧邻进场道路，办公楼位于厂区南侧，办公生活区与生产区以厂区道路分开，功能分区明确。</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en-US" w:eastAsia="zh-CN"/>
        </w:rPr>
        <w:t>制料区占地面积约300m2，轻钢结构，内设鄂破机、粉碎机、供煤机、滚动筛等设备；制坯区占地面积300m2，轻钢结构，内设真空挤出机、全自动切条机和切坯机等设备；</w:t>
      </w:r>
      <w:r>
        <w:rPr>
          <w:rFonts w:hint="eastAsia" w:ascii="宋体" w:hAnsi="宋体" w:cs="宋体"/>
          <w:color w:val="auto"/>
          <w:sz w:val="28"/>
          <w:szCs w:val="28"/>
          <w:lang w:val="zh-CN" w:eastAsia="zh-CN"/>
        </w:rPr>
        <w:t>26门轮窖生产线1条（1条千 燥窑，1条焙烧窑占面积</w:t>
      </w:r>
      <w:r>
        <w:rPr>
          <w:rFonts w:hint="eastAsia" w:ascii="宋体" w:hAnsi="宋体" w:cs="宋体"/>
          <w:color w:val="auto"/>
          <w:sz w:val="28"/>
          <w:szCs w:val="28"/>
          <w:lang w:val="en-US" w:eastAsia="zh-CN"/>
        </w:rPr>
        <w:t>2300m2。</w:t>
      </w:r>
    </w:p>
    <w:p>
      <w:pPr>
        <w:spacing w:line="360" w:lineRule="auto"/>
        <w:ind w:firstLine="560" w:firstLineChars="200"/>
        <w:rPr>
          <w:rFonts w:hint="eastAsia" w:ascii="宋体" w:hAnsi="宋体" w:cs="宋体"/>
          <w:color w:val="auto"/>
          <w:sz w:val="28"/>
          <w:szCs w:val="28"/>
          <w:lang w:val="zh-CN" w:eastAsia="zh-CN"/>
        </w:rPr>
      </w:pPr>
      <w:r>
        <w:rPr>
          <w:rFonts w:hint="eastAsia" w:ascii="宋体" w:hAnsi="宋体" w:cs="宋体"/>
          <w:color w:val="auto"/>
          <w:sz w:val="28"/>
          <w:szCs w:val="28"/>
          <w:lang w:val="zh-CN" w:eastAsia="zh-CN"/>
        </w:rPr>
        <w:t>综上，厂内各生产工序有机结合，有利于生产活动的开展，各地块利用功能集中且合理清楚，总平面布置较合理。</w:t>
      </w:r>
    </w:p>
    <w:p>
      <w:pPr>
        <w:pStyle w:val="2"/>
        <w:ind w:left="0" w:leftChars="0" w:firstLine="0" w:firstLineChars="0"/>
        <w:rPr>
          <w:rFonts w:hint="eastAsia" w:ascii="宋体" w:hAnsi="宋体" w:cs="宋体"/>
          <w:color w:val="auto"/>
          <w:sz w:val="28"/>
          <w:szCs w:val="28"/>
          <w:lang w:val="zh-CN" w:eastAsia="zh-CN"/>
        </w:rPr>
      </w:pPr>
      <w:r>
        <w:drawing>
          <wp:inline distT="0" distB="0" distL="114300" distR="114300">
            <wp:extent cx="5678170" cy="4546600"/>
            <wp:effectExtent l="0" t="0" r="6350" b="1016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6"/>
                    <a:stretch>
                      <a:fillRect/>
                    </a:stretch>
                  </pic:blipFill>
                  <pic:spPr>
                    <a:xfrm>
                      <a:off x="0" y="0"/>
                      <a:ext cx="5678170" cy="4546600"/>
                    </a:xfrm>
                    <a:prstGeom prst="rect">
                      <a:avLst/>
                    </a:prstGeom>
                    <a:noFill/>
                    <a:ln>
                      <a:noFill/>
                    </a:ln>
                  </pic:spPr>
                </pic:pic>
              </a:graphicData>
            </a:graphic>
          </wp:inline>
        </w:drawing>
      </w:r>
    </w:p>
    <w:p>
      <w:pPr>
        <w:pStyle w:val="12"/>
        <w:wordWrap/>
        <w:spacing w:line="240" w:lineRule="auto"/>
        <w:ind w:firstLine="482" w:firstLineChars="200"/>
        <w:jc w:val="center"/>
        <w:rPr>
          <w:rFonts w:hint="default" w:ascii="黑体" w:hAnsi="Courier New" w:eastAsia="黑体"/>
          <w:b/>
          <w:color w:val="auto"/>
          <w:sz w:val="24"/>
          <w:lang w:val="en-US"/>
        </w:rPr>
      </w:pPr>
      <w:r>
        <w:rPr>
          <w:rFonts w:hint="eastAsia" w:ascii="黑体" w:hAnsi="Courier New" w:eastAsia="黑体"/>
          <w:b/>
          <w:color w:val="auto"/>
          <w:sz w:val="24"/>
          <w:lang w:eastAsia="zh-CN"/>
        </w:rPr>
        <w:t>图</w:t>
      </w:r>
      <w:r>
        <w:rPr>
          <w:rFonts w:hint="eastAsia" w:ascii="黑体" w:hAnsi="Courier New" w:eastAsia="黑体"/>
          <w:b/>
          <w:color w:val="auto"/>
          <w:sz w:val="24"/>
          <w:lang w:val="en-US" w:eastAsia="zh-CN"/>
        </w:rPr>
        <w:t>2-2  总平面布局示意图</w:t>
      </w:r>
    </w:p>
    <w:p>
      <w:pPr>
        <w:pStyle w:val="5"/>
        <w:spacing w:before="0" w:after="0" w:line="360" w:lineRule="auto"/>
        <w:rPr>
          <w:rFonts w:hint="eastAsia" w:ascii="宋体" w:hAnsi="宋体" w:eastAsia="宋体" w:cs="宋体"/>
          <w:color w:val="auto"/>
          <w:sz w:val="28"/>
          <w:szCs w:val="28"/>
          <w:lang w:val="zh-CN"/>
        </w:rPr>
      </w:pPr>
      <w:bookmarkStart w:id="41" w:name="_Toc3707"/>
      <w:r>
        <w:rPr>
          <w:rFonts w:hint="eastAsia" w:ascii="宋体" w:hAnsi="宋体" w:eastAsia="宋体" w:cs="宋体"/>
          <w:color w:val="auto"/>
          <w:sz w:val="28"/>
          <w:szCs w:val="28"/>
          <w:lang w:val="zh-CN"/>
        </w:rPr>
        <w:t>2.</w:t>
      </w:r>
      <w:r>
        <w:rPr>
          <w:rFonts w:hint="eastAsia" w:ascii="宋体" w:hAnsi="宋体" w:eastAsia="宋体" w:cs="宋体"/>
          <w:color w:val="auto"/>
          <w:sz w:val="28"/>
          <w:szCs w:val="28"/>
        </w:rPr>
        <w:t>1.</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周边环境</w:t>
      </w:r>
      <w:bookmarkEnd w:id="41"/>
    </w:p>
    <w:p>
      <w:pPr>
        <w:spacing w:line="360" w:lineRule="auto"/>
        <w:ind w:firstLine="560" w:firstLineChars="200"/>
        <w:rPr>
          <w:rFonts w:hint="eastAsia" w:ascii="宋体"/>
          <w:snapToGrid w:val="0"/>
          <w:color w:val="auto"/>
          <w:kern w:val="0"/>
          <w:sz w:val="28"/>
          <w:szCs w:val="28"/>
          <w:lang w:val="zh-CN" w:eastAsia="zh-CN"/>
        </w:rPr>
      </w:pPr>
      <w:r>
        <w:rPr>
          <w:rFonts w:hint="eastAsia" w:ascii="宋体"/>
          <w:snapToGrid w:val="0"/>
          <w:color w:val="auto"/>
          <w:kern w:val="0"/>
          <w:sz w:val="28"/>
          <w:szCs w:val="28"/>
          <w:lang w:val="zh-CN" w:eastAsia="zh-CN"/>
        </w:rPr>
        <w:t>仪陇县炬光乡页岩砖厂位于南充市仪陇县炬光乡炬光村二社，所在地景观格局属于典型的农村自然景观生态体系。厂区西面与西北面为山地，当地农户与本厂最近距离约</w:t>
      </w:r>
      <w:r>
        <w:rPr>
          <w:rFonts w:hint="eastAsia" w:ascii="宋体"/>
          <w:snapToGrid w:val="0"/>
          <w:color w:val="auto"/>
          <w:kern w:val="0"/>
          <w:sz w:val="28"/>
          <w:szCs w:val="28"/>
          <w:lang w:val="en-US" w:eastAsia="zh-CN"/>
        </w:rPr>
        <w:t>3</w:t>
      </w:r>
      <w:r>
        <w:rPr>
          <w:rFonts w:hint="eastAsia" w:ascii="宋体"/>
          <w:snapToGrid w:val="0"/>
          <w:color w:val="auto"/>
          <w:kern w:val="0"/>
          <w:sz w:val="28"/>
          <w:szCs w:val="28"/>
          <w:lang w:val="zh-CN" w:eastAsia="zh-CN"/>
        </w:rPr>
        <w:t>00m, 厂区东面与东北面主要为山地，当地农户与本厂最近距离约</w:t>
      </w:r>
      <w:r>
        <w:rPr>
          <w:rFonts w:hint="eastAsia" w:ascii="宋体"/>
          <w:snapToGrid w:val="0"/>
          <w:color w:val="auto"/>
          <w:kern w:val="0"/>
          <w:sz w:val="28"/>
          <w:szCs w:val="28"/>
          <w:lang w:val="en-US" w:eastAsia="zh-CN"/>
        </w:rPr>
        <w:t>40</w:t>
      </w:r>
      <w:r>
        <w:rPr>
          <w:rFonts w:hint="eastAsia" w:ascii="宋体"/>
          <w:snapToGrid w:val="0"/>
          <w:color w:val="auto"/>
          <w:kern w:val="0"/>
          <w:sz w:val="28"/>
          <w:szCs w:val="28"/>
          <w:lang w:val="zh-CN" w:eastAsia="zh-CN"/>
        </w:rPr>
        <w:t>0m，厂区南面主要山地，当地农户与本厂最近距离约为</w:t>
      </w:r>
      <w:r>
        <w:rPr>
          <w:rFonts w:hint="eastAsia" w:ascii="宋体"/>
          <w:snapToGrid w:val="0"/>
          <w:color w:val="auto"/>
          <w:kern w:val="0"/>
          <w:sz w:val="28"/>
          <w:szCs w:val="28"/>
          <w:lang w:val="en-US" w:eastAsia="zh-CN"/>
        </w:rPr>
        <w:t>300</w:t>
      </w:r>
      <w:r>
        <w:rPr>
          <w:rFonts w:hint="eastAsia" w:ascii="宋体"/>
          <w:snapToGrid w:val="0"/>
          <w:color w:val="auto"/>
          <w:kern w:val="0"/>
          <w:sz w:val="28"/>
          <w:szCs w:val="28"/>
          <w:lang w:val="zh-CN" w:eastAsia="zh-CN"/>
        </w:rPr>
        <w:t>m；厂区东面约</w:t>
      </w:r>
      <w:r>
        <w:rPr>
          <w:rFonts w:hint="eastAsia" w:ascii="宋体"/>
          <w:snapToGrid w:val="0"/>
          <w:color w:val="auto"/>
          <w:kern w:val="0"/>
          <w:sz w:val="28"/>
          <w:szCs w:val="28"/>
          <w:lang w:val="en-US" w:eastAsia="zh-CN"/>
        </w:rPr>
        <w:t>50</w:t>
      </w:r>
      <w:r>
        <w:rPr>
          <w:rFonts w:hint="eastAsia" w:ascii="宋体"/>
          <w:snapToGrid w:val="0"/>
          <w:color w:val="auto"/>
          <w:kern w:val="0"/>
          <w:sz w:val="28"/>
          <w:szCs w:val="28"/>
          <w:lang w:val="zh-CN" w:eastAsia="zh-CN"/>
        </w:rPr>
        <w:t>0m处为炬光乡集镇。</w:t>
      </w: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drawing>
          <wp:inline distT="0" distB="0" distL="114300" distR="114300">
            <wp:extent cx="5828665" cy="3892550"/>
            <wp:effectExtent l="0" t="0" r="8255" b="889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7"/>
                    <a:stretch>
                      <a:fillRect/>
                    </a:stretch>
                  </pic:blipFill>
                  <pic:spPr>
                    <a:xfrm>
                      <a:off x="0" y="0"/>
                      <a:ext cx="5828665" cy="3892550"/>
                    </a:xfrm>
                    <a:prstGeom prst="rect">
                      <a:avLst/>
                    </a:prstGeom>
                    <a:noFill/>
                    <a:ln>
                      <a:noFill/>
                    </a:ln>
                  </pic:spPr>
                </pic:pic>
              </a:graphicData>
            </a:graphic>
          </wp:inline>
        </w:drawing>
      </w: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图2-</w:t>
      </w:r>
      <w:r>
        <w:rPr>
          <w:rFonts w:hint="eastAsia" w:ascii="黑体" w:hAnsi="黑体" w:eastAsia="黑体"/>
          <w:b/>
          <w:snapToGrid w:val="0"/>
          <w:color w:val="auto"/>
          <w:kern w:val="0"/>
          <w:sz w:val="24"/>
          <w:lang w:val="en-US" w:eastAsia="zh-CN"/>
        </w:rPr>
        <w:t>3</w:t>
      </w:r>
      <w:r>
        <w:rPr>
          <w:rFonts w:hint="eastAsia" w:ascii="黑体" w:hAnsi="黑体" w:eastAsia="黑体"/>
          <w:b/>
          <w:snapToGrid w:val="0"/>
          <w:color w:val="auto"/>
          <w:kern w:val="0"/>
          <w:sz w:val="24"/>
          <w:lang w:eastAsia="zh-CN"/>
        </w:rPr>
        <w:t xml:space="preserve">  周边环境示意图</w:t>
      </w:r>
    </w:p>
    <w:p>
      <w:pPr>
        <w:pStyle w:val="5"/>
        <w:spacing w:before="0" w:after="0" w:line="360" w:lineRule="auto"/>
        <w:rPr>
          <w:rFonts w:hint="eastAsia" w:ascii="宋体" w:hAnsi="宋体" w:eastAsia="宋体" w:cs="宋体"/>
          <w:color w:val="auto"/>
          <w:sz w:val="28"/>
          <w:szCs w:val="28"/>
          <w:lang w:val="zh-CN"/>
        </w:rPr>
      </w:pPr>
      <w:bookmarkStart w:id="42" w:name="_Toc26083"/>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lang w:val="zh-CN"/>
        </w:rPr>
        <w:t>工艺流程</w:t>
      </w:r>
      <w:bookmarkEnd w:id="42"/>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1、生产工艺流程图</w:t>
      </w:r>
    </w:p>
    <w:p>
      <w:pPr>
        <w:spacing w:line="360" w:lineRule="auto"/>
        <w:ind w:firstLine="560" w:firstLineChars="200"/>
        <w:rPr>
          <w:rFonts w:hint="eastAsia" w:ascii="宋体"/>
          <w:snapToGrid w:val="0"/>
          <w:kern w:val="0"/>
          <w:sz w:val="28"/>
          <w:szCs w:val="28"/>
          <w:lang w:val="zh-CN" w:eastAsia="zh-CN"/>
        </w:rPr>
      </w:pPr>
      <w:r>
        <w:rPr>
          <w:rFonts w:hint="eastAsia" w:ascii="宋体"/>
          <w:snapToGrid w:val="0"/>
          <w:kern w:val="0"/>
          <w:sz w:val="28"/>
          <w:szCs w:val="28"/>
          <w:lang w:val="zh-CN" w:eastAsia="zh-CN"/>
        </w:rPr>
        <w:t>标砖生产主要包括采矿、破碎、筛分、搅拌、制胚、进胚、烧窑、装车8大工序，各工序按照工艺流程布置在各自区域内。公司隧道窑采用环保节能式的隧道窑，首次烧结采用精煤助燃，顺利开窑后可利用标砖中含有的煤自燃热量进行烧结，待自然冷却后装车装车外售。</w:t>
      </w:r>
    </w:p>
    <w:p>
      <w:pPr>
        <w:spacing w:line="360" w:lineRule="auto"/>
        <w:ind w:firstLine="560" w:firstLineChars="200"/>
        <w:rPr>
          <w:rFonts w:hint="eastAsia" w:ascii="宋体"/>
          <w:snapToGrid w:val="0"/>
          <w:color w:val="auto"/>
          <w:kern w:val="0"/>
          <w:sz w:val="28"/>
          <w:szCs w:val="28"/>
        </w:rPr>
      </w:pPr>
      <w:r>
        <w:rPr>
          <w:rFonts w:hint="eastAsia" w:ascii="宋体"/>
          <w:color w:val="auto"/>
          <w:kern w:val="0"/>
          <w:sz w:val="28"/>
          <w:szCs w:val="28"/>
        </w:rPr>
        <mc:AlternateContent>
          <mc:Choice Requires="wpg">
            <w:drawing>
              <wp:anchor distT="0" distB="0" distL="114300" distR="114300" simplePos="0" relativeHeight="251739136" behindDoc="0" locked="0" layoutInCell="1" allowOverlap="1">
                <wp:simplePos x="0" y="0"/>
                <wp:positionH relativeFrom="column">
                  <wp:posOffset>74295</wp:posOffset>
                </wp:positionH>
                <wp:positionV relativeFrom="paragraph">
                  <wp:posOffset>18415</wp:posOffset>
                </wp:positionV>
                <wp:extent cx="5344795" cy="2286635"/>
                <wp:effectExtent l="5080" t="4445" r="14605" b="10160"/>
                <wp:wrapNone/>
                <wp:docPr id="74" name="组合 74"/>
                <wp:cNvGraphicFramePr/>
                <a:graphic xmlns:a="http://schemas.openxmlformats.org/drawingml/2006/main">
                  <a:graphicData uri="http://schemas.microsoft.com/office/word/2010/wordprocessingGroup">
                    <wpg:wgp>
                      <wpg:cNvGrpSpPr/>
                      <wpg:grpSpPr>
                        <a:xfrm>
                          <a:off x="0" y="0"/>
                          <a:ext cx="5344795" cy="2286635"/>
                          <a:chOff x="2310" y="7530"/>
                          <a:chExt cx="7665" cy="4815"/>
                        </a:xfrm>
                      </wpg:grpSpPr>
                      <wps:wsp>
                        <wps:cNvPr id="43" name="矩形 43"/>
                        <wps:cNvSpPr/>
                        <wps:spPr>
                          <a:xfrm>
                            <a:off x="231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煤矸石、页岩</w:t>
                              </w:r>
                            </w:p>
                          </w:txbxContent>
                        </wps:txbx>
                        <wps:bodyPr upright="1"/>
                      </wps:wsp>
                      <wps:wsp>
                        <wps:cNvPr id="44" name="直接箭头连接符 44"/>
                        <wps:cNvCnPr/>
                        <wps:spPr>
                          <a:xfrm>
                            <a:off x="3930" y="7860"/>
                            <a:ext cx="390" cy="0"/>
                          </a:xfrm>
                          <a:prstGeom prst="straightConnector1">
                            <a:avLst/>
                          </a:prstGeom>
                          <a:ln w="9525" cap="flat" cmpd="sng">
                            <a:solidFill>
                              <a:srgbClr val="000000"/>
                            </a:solidFill>
                            <a:prstDash val="solid"/>
                            <a:headEnd type="none" w="med" len="med"/>
                            <a:tailEnd type="triangle" w="med" len="med"/>
                          </a:ln>
                        </wps:spPr>
                        <wps:bodyPr/>
                      </wps:wsp>
                      <wps:wsp>
                        <wps:cNvPr id="45" name="矩形 45"/>
                        <wps:cNvSpPr/>
                        <wps:spPr>
                          <a:xfrm>
                            <a:off x="432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板式给料机</w:t>
                              </w:r>
                            </w:p>
                          </w:txbxContent>
                        </wps:txbx>
                        <wps:bodyPr upright="1"/>
                      </wps:wsp>
                      <wps:wsp>
                        <wps:cNvPr id="46" name="直接箭头连接符 46"/>
                        <wps:cNvCnPr/>
                        <wps:spPr>
                          <a:xfrm>
                            <a:off x="3060" y="9525"/>
                            <a:ext cx="0" cy="825"/>
                          </a:xfrm>
                          <a:prstGeom prst="straightConnector1">
                            <a:avLst/>
                          </a:prstGeom>
                          <a:ln w="9525" cap="flat" cmpd="sng">
                            <a:solidFill>
                              <a:srgbClr val="000000"/>
                            </a:solidFill>
                            <a:prstDash val="solid"/>
                            <a:headEnd type="none" w="med" len="med"/>
                            <a:tailEnd type="triangle" w="med" len="med"/>
                          </a:ln>
                        </wps:spPr>
                        <wps:bodyPr/>
                      </wps:wsp>
                      <wps:wsp>
                        <wps:cNvPr id="47" name="直接箭头连接符 47"/>
                        <wps:cNvCnPr/>
                        <wps:spPr>
                          <a:xfrm>
                            <a:off x="5940" y="7845"/>
                            <a:ext cx="390" cy="0"/>
                          </a:xfrm>
                          <a:prstGeom prst="straightConnector1">
                            <a:avLst/>
                          </a:prstGeom>
                          <a:ln w="9525" cap="flat" cmpd="sng">
                            <a:solidFill>
                              <a:srgbClr val="000000"/>
                            </a:solidFill>
                            <a:prstDash val="solid"/>
                            <a:headEnd type="none" w="med" len="med"/>
                            <a:tailEnd type="triangle" w="med" len="med"/>
                          </a:ln>
                        </wps:spPr>
                        <wps:bodyPr/>
                      </wps:wsp>
                      <wps:wsp>
                        <wps:cNvPr id="48" name="矩形 48"/>
                        <wps:cNvSpPr/>
                        <wps:spPr>
                          <a:xfrm>
                            <a:off x="633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鄂破机</w:t>
                              </w:r>
                            </w:p>
                          </w:txbxContent>
                        </wps:txbx>
                        <wps:bodyPr upright="1"/>
                      </wps:wsp>
                      <wps:wsp>
                        <wps:cNvPr id="49" name="直接箭头连接符 49"/>
                        <wps:cNvCnPr/>
                        <wps:spPr>
                          <a:xfrm>
                            <a:off x="7950" y="7845"/>
                            <a:ext cx="390" cy="0"/>
                          </a:xfrm>
                          <a:prstGeom prst="straightConnector1">
                            <a:avLst/>
                          </a:prstGeom>
                          <a:ln w="9525" cap="flat" cmpd="sng">
                            <a:solidFill>
                              <a:srgbClr val="000000"/>
                            </a:solidFill>
                            <a:prstDash val="solid"/>
                            <a:headEnd type="none" w="med" len="med"/>
                            <a:tailEnd type="triangle" w="med" len="med"/>
                          </a:ln>
                        </wps:spPr>
                        <wps:bodyPr/>
                      </wps:wsp>
                      <wps:wsp>
                        <wps:cNvPr id="50" name="矩形 50"/>
                        <wps:cNvSpPr/>
                        <wps:spPr>
                          <a:xfrm>
                            <a:off x="8340" y="753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细破机</w:t>
                              </w:r>
                            </w:p>
                          </w:txbxContent>
                        </wps:txbx>
                        <wps:bodyPr upright="1"/>
                      </wps:wsp>
                      <wps:wsp>
                        <wps:cNvPr id="51" name="矩形 51"/>
                        <wps:cNvSpPr/>
                        <wps:spPr>
                          <a:xfrm>
                            <a:off x="834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双轴搅拌机</w:t>
                              </w:r>
                            </w:p>
                          </w:txbxContent>
                        </wps:txbx>
                        <wps:bodyPr upright="1"/>
                      </wps:wsp>
                      <wps:wsp>
                        <wps:cNvPr id="52" name="矩形 52"/>
                        <wps:cNvSpPr/>
                        <wps:spPr>
                          <a:xfrm>
                            <a:off x="633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液压多斗挖掘</w:t>
                              </w:r>
                            </w:p>
                          </w:txbxContent>
                        </wps:txbx>
                        <wps:bodyPr upright="1"/>
                      </wps:wsp>
                      <wps:wsp>
                        <wps:cNvPr id="53" name="矩形 53"/>
                        <wps:cNvSpPr/>
                        <wps:spPr>
                          <a:xfrm>
                            <a:off x="432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箱式给料机</w:t>
                              </w:r>
                            </w:p>
                          </w:txbxContent>
                        </wps:txbx>
                        <wps:bodyPr upright="1"/>
                      </wps:wsp>
                      <wps:wsp>
                        <wps:cNvPr id="54" name="矩形 54"/>
                        <wps:cNvSpPr/>
                        <wps:spPr>
                          <a:xfrm>
                            <a:off x="2310" y="894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挤泥机</w:t>
                              </w:r>
                            </w:p>
                          </w:txbxContent>
                        </wps:txbx>
                        <wps:bodyPr upright="1"/>
                      </wps:wsp>
                      <wps:wsp>
                        <wps:cNvPr id="55" name="直接箭头连接符 55"/>
                        <wps:cNvCnPr/>
                        <wps:spPr>
                          <a:xfrm flipH="1">
                            <a:off x="7935" y="9240"/>
                            <a:ext cx="405" cy="0"/>
                          </a:xfrm>
                          <a:prstGeom prst="straightConnector1">
                            <a:avLst/>
                          </a:prstGeom>
                          <a:ln w="9525" cap="flat" cmpd="sng">
                            <a:solidFill>
                              <a:srgbClr val="000000"/>
                            </a:solidFill>
                            <a:prstDash val="solid"/>
                            <a:headEnd type="none" w="med" len="med"/>
                            <a:tailEnd type="triangle" w="med" len="med"/>
                          </a:ln>
                        </wps:spPr>
                        <wps:bodyPr/>
                      </wps:wsp>
                      <wps:wsp>
                        <wps:cNvPr id="56" name="直接箭头连接符 56"/>
                        <wps:cNvCnPr/>
                        <wps:spPr>
                          <a:xfrm flipH="1">
                            <a:off x="5940" y="9240"/>
                            <a:ext cx="405" cy="0"/>
                          </a:xfrm>
                          <a:prstGeom prst="straightConnector1">
                            <a:avLst/>
                          </a:prstGeom>
                          <a:ln w="9525" cap="flat" cmpd="sng">
                            <a:solidFill>
                              <a:srgbClr val="000000"/>
                            </a:solidFill>
                            <a:prstDash val="solid"/>
                            <a:headEnd type="none" w="med" len="med"/>
                            <a:tailEnd type="triangle" w="med" len="med"/>
                          </a:ln>
                        </wps:spPr>
                        <wps:bodyPr/>
                      </wps:wsp>
                      <wps:wsp>
                        <wps:cNvPr id="57" name="直接箭头连接符 57"/>
                        <wps:cNvCnPr/>
                        <wps:spPr>
                          <a:xfrm flipH="1">
                            <a:off x="3915" y="9240"/>
                            <a:ext cx="405" cy="0"/>
                          </a:xfrm>
                          <a:prstGeom prst="straightConnector1">
                            <a:avLst/>
                          </a:prstGeom>
                          <a:ln w="9525" cap="flat" cmpd="sng">
                            <a:solidFill>
                              <a:srgbClr val="000000"/>
                            </a:solidFill>
                            <a:prstDash val="solid"/>
                            <a:headEnd type="none" w="med" len="med"/>
                            <a:tailEnd type="triangle" w="med" len="med"/>
                          </a:ln>
                        </wps:spPr>
                        <wps:bodyPr/>
                      </wps:wsp>
                      <wps:wsp>
                        <wps:cNvPr id="58" name="矩形 58"/>
                        <wps:cNvSpPr/>
                        <wps:spPr>
                          <a:xfrm>
                            <a:off x="231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切条、切坏机</w:t>
                              </w:r>
                            </w:p>
                          </w:txbxContent>
                        </wps:txbx>
                        <wps:bodyPr upright="1"/>
                      </wps:wsp>
                      <wps:wsp>
                        <wps:cNvPr id="59" name="直接箭头连接符 59"/>
                        <wps:cNvCnPr/>
                        <wps:spPr>
                          <a:xfrm>
                            <a:off x="3930" y="10680"/>
                            <a:ext cx="390" cy="0"/>
                          </a:xfrm>
                          <a:prstGeom prst="straightConnector1">
                            <a:avLst/>
                          </a:prstGeom>
                          <a:ln w="9525" cap="flat" cmpd="sng">
                            <a:solidFill>
                              <a:srgbClr val="000000"/>
                            </a:solidFill>
                            <a:prstDash val="solid"/>
                            <a:headEnd type="none" w="med" len="med"/>
                            <a:tailEnd type="triangle" w="med" len="med"/>
                          </a:ln>
                        </wps:spPr>
                        <wps:bodyPr/>
                      </wps:wsp>
                      <wps:wsp>
                        <wps:cNvPr id="60" name="矩形 60"/>
                        <wps:cNvSpPr/>
                        <wps:spPr>
                          <a:xfrm>
                            <a:off x="432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自动编码</w:t>
                              </w:r>
                            </w:p>
                          </w:txbxContent>
                        </wps:txbx>
                        <wps:bodyPr upright="1"/>
                      </wps:wsp>
                      <wps:wsp>
                        <wps:cNvPr id="61" name="直接箭头连接符 61"/>
                        <wps:cNvCnPr/>
                        <wps:spPr>
                          <a:xfrm>
                            <a:off x="9180" y="10935"/>
                            <a:ext cx="0" cy="825"/>
                          </a:xfrm>
                          <a:prstGeom prst="straightConnector1">
                            <a:avLst/>
                          </a:prstGeom>
                          <a:ln w="9525" cap="flat" cmpd="sng">
                            <a:solidFill>
                              <a:srgbClr val="000000"/>
                            </a:solidFill>
                            <a:prstDash val="solid"/>
                            <a:headEnd type="none" w="med" len="med"/>
                            <a:tailEnd type="triangle" w="med" len="med"/>
                          </a:ln>
                        </wps:spPr>
                        <wps:bodyPr/>
                      </wps:wsp>
                      <wps:wsp>
                        <wps:cNvPr id="62" name="直接箭头连接符 62"/>
                        <wps:cNvCnPr/>
                        <wps:spPr>
                          <a:xfrm>
                            <a:off x="5940" y="10665"/>
                            <a:ext cx="390" cy="0"/>
                          </a:xfrm>
                          <a:prstGeom prst="straightConnector1">
                            <a:avLst/>
                          </a:prstGeom>
                          <a:ln w="9525" cap="flat" cmpd="sng">
                            <a:solidFill>
                              <a:srgbClr val="000000"/>
                            </a:solidFill>
                            <a:prstDash val="solid"/>
                            <a:headEnd type="none" w="med" len="med"/>
                            <a:tailEnd type="triangle" w="med" len="med"/>
                          </a:ln>
                        </wps:spPr>
                        <wps:bodyPr/>
                      </wps:wsp>
                      <wps:wsp>
                        <wps:cNvPr id="63" name="矩形 63"/>
                        <wps:cNvSpPr/>
                        <wps:spPr>
                          <a:xfrm>
                            <a:off x="633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自动码坯机</w:t>
                              </w:r>
                            </w:p>
                          </w:txbxContent>
                        </wps:txbx>
                        <wps:bodyPr upright="1"/>
                      </wps:wsp>
                      <wps:wsp>
                        <wps:cNvPr id="64" name="直接箭头连接符 64"/>
                        <wps:cNvCnPr/>
                        <wps:spPr>
                          <a:xfrm>
                            <a:off x="7950" y="10665"/>
                            <a:ext cx="390" cy="0"/>
                          </a:xfrm>
                          <a:prstGeom prst="straightConnector1">
                            <a:avLst/>
                          </a:prstGeom>
                          <a:ln w="9525" cap="flat" cmpd="sng">
                            <a:solidFill>
                              <a:srgbClr val="000000"/>
                            </a:solidFill>
                            <a:prstDash val="solid"/>
                            <a:headEnd type="none" w="med" len="med"/>
                            <a:tailEnd type="triangle" w="med" len="med"/>
                          </a:ln>
                        </wps:spPr>
                        <wps:bodyPr/>
                      </wps:wsp>
                      <wps:wsp>
                        <wps:cNvPr id="65" name="矩形 65"/>
                        <wps:cNvSpPr/>
                        <wps:spPr>
                          <a:xfrm>
                            <a:off x="8340" y="1035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窑车</w:t>
                              </w:r>
                            </w:p>
                          </w:txbxContent>
                        </wps:txbx>
                        <wps:bodyPr upright="1"/>
                      </wps:wsp>
                      <wps:wsp>
                        <wps:cNvPr id="66" name="直接箭头连接符 66"/>
                        <wps:cNvCnPr/>
                        <wps:spPr>
                          <a:xfrm>
                            <a:off x="9180" y="8115"/>
                            <a:ext cx="0" cy="825"/>
                          </a:xfrm>
                          <a:prstGeom prst="straightConnector1">
                            <a:avLst/>
                          </a:prstGeom>
                          <a:ln w="9525" cap="flat" cmpd="sng">
                            <a:solidFill>
                              <a:srgbClr val="000000"/>
                            </a:solidFill>
                            <a:prstDash val="solid"/>
                            <a:headEnd type="none" w="med" len="med"/>
                            <a:tailEnd type="triangle" w="med" len="med"/>
                          </a:ln>
                        </wps:spPr>
                        <wps:bodyPr/>
                      </wps:wsp>
                      <wps:wsp>
                        <wps:cNvPr id="67" name="矩形 67"/>
                        <wps:cNvSpPr/>
                        <wps:spPr>
                          <a:xfrm>
                            <a:off x="835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存坯线</w:t>
                              </w:r>
                            </w:p>
                          </w:txbxContent>
                        </wps:txbx>
                        <wps:bodyPr upright="1"/>
                      </wps:wsp>
                      <wps:wsp>
                        <wps:cNvPr id="68" name="矩形 68"/>
                        <wps:cNvSpPr/>
                        <wps:spPr>
                          <a:xfrm>
                            <a:off x="634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干燥窑</w:t>
                              </w:r>
                            </w:p>
                          </w:txbxContent>
                        </wps:txbx>
                        <wps:bodyPr upright="1"/>
                      </wps:wsp>
                      <wps:wsp>
                        <wps:cNvPr id="69" name="矩形 69"/>
                        <wps:cNvSpPr/>
                        <wps:spPr>
                          <a:xfrm>
                            <a:off x="433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焙烧窑</w:t>
                              </w:r>
                            </w:p>
                          </w:txbxContent>
                        </wps:txbx>
                        <wps:bodyPr upright="1"/>
                      </wps:wsp>
                      <wps:wsp>
                        <wps:cNvPr id="70" name="矩形 70"/>
                        <wps:cNvSpPr/>
                        <wps:spPr>
                          <a:xfrm>
                            <a:off x="2325" y="11760"/>
                            <a:ext cx="1620" cy="5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成品装车</w:t>
                              </w:r>
                            </w:p>
                          </w:txbxContent>
                        </wps:txbx>
                        <wps:bodyPr upright="1"/>
                      </wps:wsp>
                      <wps:wsp>
                        <wps:cNvPr id="71" name="直接箭头连接符 71"/>
                        <wps:cNvCnPr/>
                        <wps:spPr>
                          <a:xfrm flipH="1">
                            <a:off x="7950" y="12060"/>
                            <a:ext cx="405" cy="0"/>
                          </a:xfrm>
                          <a:prstGeom prst="straightConnector1">
                            <a:avLst/>
                          </a:prstGeom>
                          <a:ln w="9525" cap="flat" cmpd="sng">
                            <a:solidFill>
                              <a:srgbClr val="000000"/>
                            </a:solidFill>
                            <a:prstDash val="solid"/>
                            <a:headEnd type="none" w="med" len="med"/>
                            <a:tailEnd type="triangle" w="med" len="med"/>
                          </a:ln>
                        </wps:spPr>
                        <wps:bodyPr/>
                      </wps:wsp>
                      <wps:wsp>
                        <wps:cNvPr id="72" name="直接箭头连接符 72"/>
                        <wps:cNvCnPr/>
                        <wps:spPr>
                          <a:xfrm flipH="1">
                            <a:off x="5955" y="12060"/>
                            <a:ext cx="405" cy="0"/>
                          </a:xfrm>
                          <a:prstGeom prst="straightConnector1">
                            <a:avLst/>
                          </a:prstGeom>
                          <a:ln w="9525" cap="flat" cmpd="sng">
                            <a:solidFill>
                              <a:srgbClr val="000000"/>
                            </a:solidFill>
                            <a:prstDash val="solid"/>
                            <a:headEnd type="none" w="med" len="med"/>
                            <a:tailEnd type="triangle" w="med" len="med"/>
                          </a:ln>
                        </wps:spPr>
                        <wps:bodyPr/>
                      </wps:wsp>
                      <wps:wsp>
                        <wps:cNvPr id="73" name="直接箭头连接符 73"/>
                        <wps:cNvCnPr/>
                        <wps:spPr>
                          <a:xfrm flipH="1">
                            <a:off x="3930" y="12060"/>
                            <a:ext cx="405" cy="0"/>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5.85pt;margin-top:1.45pt;height:180.05pt;width:420.85pt;z-index:251739136;mso-width-relative:page;mso-height-relative:page;" coordorigin="2310,7530" coordsize="7665,4815" o:gfxdata="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SLcrSNkAAAAIAQAADwAA&#10;AAAAAAABACAAAAAiAAAAZHJzL2Rvd25yZXYueG1sUEsBAhQAFAAAAAgAh07iQEjLZRulBQAAKEcA&#10;AA4AAAAAAAAAAQAgAAAAKAEAAGRycy9lMm9Eb2MueG1sUEsFBgAAAAAGAAYAWQEAAD8JAAAAAA==&#10;">
                <o:lock v:ext="edit" aspectratio="f"/>
                <v:rect id="_x0000_s1026" o:spid="_x0000_s1026" o:spt="1" style="position:absolute;left:2310;top:7530;height:585;width:1620;"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煤矸石、页岩</w:t>
                        </w:r>
                      </w:p>
                    </w:txbxContent>
                  </v:textbox>
                </v:rect>
                <v:shape id="_x0000_s1026" o:spid="_x0000_s1026" o:spt="32" type="#_x0000_t32" style="position:absolute;left:3930;top:7860;height:0;width:390;" filled="f" stroked="t" coordsize="21600,21600" o:gfxdata="UEsDBAoAAAAAAIdO4kAAAAAAAAAAAAAAAAAEAAAAZHJzL1BLAwQUAAAACACHTuJAcwTA5L4AAADb&#10;AAAADwAAAGRycy9kb3ducmV2LnhtbEWPT2sCMRTE7wW/Q3iCt5pVZK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A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7530;height:585;width:1620;"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板式给料机</w:t>
                        </w:r>
                      </w:p>
                    </w:txbxContent>
                  </v:textbox>
                </v:rect>
                <v:shape id="_x0000_s1026" o:spid="_x0000_s1026" o:spt="32" type="#_x0000_t32" style="position:absolute;left:3060;top:9525;height:825;width:0;"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32" type="#_x0000_t32" style="position:absolute;left:5940;top:7845;height:0;width:390;" filled="f" stroked="t" coordsize="21600,21600" o:gfxdata="UEsDBAoAAAAAAIdO4kAAAAAAAAAAAAAAAAAEAAAAZHJzL1BLAwQUAAAACACHTuJAg9Zek74AAADb&#10;AAAADwAAAGRycy9kb3ducmV2LnhtbEWPW2sCMRSE3wv9D+EU+qZZpax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Zek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6330;top:7530;height:585;width:1620;" fillcolor="#FFFFFF" filled="t" stroked="t" coordsize="21600,21600"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鄂破机</w:t>
                        </w:r>
                      </w:p>
                    </w:txbxContent>
                  </v:textbox>
                </v:rect>
                <v:shape id="_x0000_s1026" o:spid="_x0000_s1026" o:spt="32" type="#_x0000_t32" style="position:absolute;left:7950;top:7845;height:0;width:390;" filled="f" stroked="t" coordsize="21600,21600" o:gfxdata="UEsDBAoAAAAAAIdO4kAAAAAAAAAAAAAAAAAEAAAAZHJzL1BLAwQUAAAACACHTuJAnQVver4AAADb&#10;AAAADwAAAGRycy9kb3ducmV2LnhtbEWPT2sCMRTE74V+h/CE3mpWK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QVve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40;top:7530;height:585;width:1620;" fillcolor="#FFFFFF" filled="t" stroked="t" coordsize="21600,21600" o:gfxdata="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9qdR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细破机</w:t>
                        </w:r>
                      </w:p>
                    </w:txbxContent>
                  </v:textbox>
                </v:rect>
                <v:rect id="_x0000_s1026" o:spid="_x0000_s1026" o:spt="1" style="position:absolute;left:8340;top:8940;height:585;width:1620;" fillcolor="#FFFFFF" filled="t" stroked="t" coordsize="21600,21600" o:gfxdata="UEsDBAoAAAAAAIdO4kAAAAAAAAAAAAAAAAAEAAAAZHJzL1BLAwQUAAAACACHTuJAfLoCyr0AAADb&#10;AAAADwAAAGRycy9kb3ducmV2LnhtbEWPwW7CMBBE70j8g7VIvYEdK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ugL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双轴搅拌机</w:t>
                        </w:r>
                      </w:p>
                    </w:txbxContent>
                  </v:textbox>
                </v:rect>
                <v:rect id="_x0000_s1026" o:spid="_x0000_s1026" o:spt="1" style="position:absolute;left:6330;top:8940;height:585;width:1620;" fillcolor="#FFFFFF" filled="t" stroked="t" coordsize="21600,21600" o:gfxdata="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Jy9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液压多斗挖掘</w:t>
                        </w:r>
                      </w:p>
                    </w:txbxContent>
                  </v:textbox>
                </v:rect>
                <v:rect id="_x0000_s1026" o:spid="_x0000_s1026" o:spt="1" style="position:absolute;left:4320;top:8940;height:585;width:1620;" fillcolor="#FFFFFF" filled="t" stroked="t" coordsize="21600,21600" o:gfxdata="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kOSa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箱式给料机</w:t>
                        </w:r>
                      </w:p>
                    </w:txbxContent>
                  </v:textbox>
                </v:rect>
                <v:rect id="_x0000_s1026" o:spid="_x0000_s1026" o:spt="1" style="position:absolute;left:2310;top:8940;height:585;width:1620;" fillcolor="#FFFFFF" filled="t" stroked="t" coordsize="21600,21600" o:gfxdata="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zaFS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挤泥机</w:t>
                        </w:r>
                      </w:p>
                    </w:txbxContent>
                  </v:textbox>
                </v:rect>
                <v:shape id="_x0000_s1026" o:spid="_x0000_s1026" o:spt="32" type="#_x0000_t32" style="position:absolute;left:7935;top:9240;flip:x;height:0;width:405;" filled="f" stroked="t" coordsize="21600,21600" o:gfxdata="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KYM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40;top:9240;flip:x;height:0;width:405;" filled="f" stroked="t" coordsize="21600,21600" o:gfxdata="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4e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3915;top:9240;flip:x;height:0;width:405;" filled="f" stroked="t" coordsize="21600,21600" o:gfxdata="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fp3g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2310;top:10350;height:585;width:1620;" fillcolor="#FFFFFF" filled="t" stroked="t" coordsize="21600,21600" o:gfxdata="UEsDBAoAAAAAAIdO4kAAAAAAAAAAAAAAAAAEAAAAZHJzL1BLAwQUAAAACACHTuJA7YCrV7oAAADb&#10;AAAADwAAAGRycy9kb3ducmV2LnhtbEVPu27CMBTdkfoP1q3UDWyoim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gKt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r>
                          <w:rPr>
                            <w:rFonts w:hint="eastAsia"/>
                          </w:rPr>
                          <w:t>切条、切坏机</w:t>
                        </w:r>
                      </w:p>
                    </w:txbxContent>
                  </v:textbox>
                </v:rect>
                <v:shape id="_x0000_s1026" o:spid="_x0000_s1026" o:spt="32" type="#_x0000_t32" style="position:absolute;left:3930;top:10680;height:0;width:390;" filled="f" stroked="t" coordsize="21600,21600" o:gfxdata="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5p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4320;top:10350;height:585;width:1620;"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自动编码</w:t>
                        </w:r>
                      </w:p>
                    </w:txbxContent>
                  </v:textbox>
                </v:rect>
                <v:shape id="_x0000_s1026" o:spid="_x0000_s1026" o:spt="32" type="#_x0000_t32" style="position:absolute;left:9180;top:10935;height:825;width:0;" filled="f" stroked="t" coordsize="21600,21600" o:gfxdata="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j8c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40;top:10665;height:0;width:390;" filled="f" stroked="t" coordsize="21600,21600" o:gfxdata="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FKF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_x0000_s1026" o:spid="_x0000_s1026" o:spt="1" style="position:absolute;left:6330;top:10350;height:585;width:1620;"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pPr>
                        <w:r>
                          <w:rPr>
                            <w:rFonts w:hint="eastAsia"/>
                          </w:rPr>
                          <w:t>自动码坯机</w:t>
                        </w:r>
                      </w:p>
                    </w:txbxContent>
                  </v:textbox>
                </v:rect>
                <v:shape id="_x0000_s1026" o:spid="_x0000_s1026" o:spt="32" type="#_x0000_t32" style="position:absolute;left:7950;top:10665;height:0;width:390;"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8340;top:10350;height:585;width:1620;" fillcolor="#FFFFFF" filled="t" stroked="t" coordsize="21600,21600" o:gfxdata="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tzn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窑车</w:t>
                        </w:r>
                      </w:p>
                    </w:txbxContent>
                  </v:textbox>
                </v:rect>
                <v:shape id="_x0000_s1026" o:spid="_x0000_s1026" o:spt="32" type="#_x0000_t32" style="position:absolute;left:9180;top:8115;height:825;width:0;"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8355;top:11760;height:585;width:1620;" fillcolor="#FFFFFF" filled="t" stroked="t" coordsize="21600,21600" o:gfxdata="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P1m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pPr>
                        <w:r>
                          <w:rPr>
                            <w:rFonts w:hint="eastAsia"/>
                          </w:rPr>
                          <w:t>存坯线</w:t>
                        </w:r>
                      </w:p>
                    </w:txbxContent>
                  </v:textbox>
                </v:rect>
                <v:rect id="_x0000_s1026" o:spid="_x0000_s1026" o:spt="1" style="position:absolute;left:6345;top:11760;height:585;width:1620;" fillcolor="#FFFFFF" filled="t" stroked="t" coordsize="21600,21600" o:gfxdata="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xh6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jc w:val="center"/>
                        </w:pPr>
                        <w:r>
                          <w:rPr>
                            <w:rFonts w:hint="eastAsia"/>
                          </w:rPr>
                          <w:t>干燥窑</w:t>
                        </w:r>
                      </w:p>
                    </w:txbxContent>
                  </v:textbox>
                </v:rect>
                <v:rect id="_x0000_s1026" o:spid="_x0000_s1026" o:spt="1" style="position:absolute;left:4335;top:11760;height:585;width:1620;" fillcolor="#FFFFFF" filled="t" stroked="t" coordsize="21600,21600" o:gfxdata="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DEc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pPr>
                        <w:r>
                          <w:rPr>
                            <w:rFonts w:hint="eastAsia"/>
                          </w:rPr>
                          <w:t>焙烧窑</w:t>
                        </w:r>
                      </w:p>
                    </w:txbxContent>
                  </v:textbox>
                </v:rect>
                <v:rect id="_x0000_s1026" o:spid="_x0000_s1026" o:spt="1" style="position:absolute;left:2325;top:11760;height:585;width:1620;" fillcolor="#FFFFFF" filled="t" stroked="t" coordsize="21600,21600" o:gfxdata="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Q/sx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rPr>
                          <w:t>成品装车</w:t>
                        </w:r>
                      </w:p>
                    </w:txbxContent>
                  </v:textbox>
                </v:rect>
                <v:shape id="_x0000_s1026" o:spid="_x0000_s1026" o:spt="32" type="#_x0000_t32" style="position:absolute;left:7950;top:12060;flip:x;height:0;width:405;" filled="f" stroked="t" coordsize="21600,21600" o:gfxdata="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bvxv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5955;top:12060;flip:x;height:0;width:405;" filled="f" stroked="t" coordsize="21600,21600" o:gfxdata="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vGI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_x0000_s1026" o:spid="_x0000_s1026" o:spt="32" type="#_x0000_t32" style="position:absolute;left:3930;top:12060;flip:x;height:0;width:405;" filled="f" stroked="t" coordsize="21600,21600" o:gfxdata="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DHg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w:pict>
          </mc:Fallback>
        </mc:AlternateContent>
      </w: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spacing w:line="360" w:lineRule="auto"/>
        <w:ind w:firstLine="560" w:firstLineChars="200"/>
        <w:rPr>
          <w:rFonts w:hint="eastAsia" w:ascii="宋体"/>
          <w:snapToGrid w:val="0"/>
          <w:color w:val="auto"/>
          <w:kern w:val="0"/>
          <w:sz w:val="28"/>
          <w:szCs w:val="28"/>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p>
    <w:p>
      <w:pPr>
        <w:tabs>
          <w:tab w:val="left" w:pos="180"/>
          <w:tab w:val="left" w:pos="1800"/>
          <w:tab w:val="left" w:pos="1980"/>
          <w:tab w:val="left" w:pos="2520"/>
          <w:tab w:val="left" w:pos="2700"/>
          <w:tab w:val="left" w:pos="2880"/>
          <w:tab w:val="left" w:pos="4140"/>
          <w:tab w:val="left" w:pos="4680"/>
        </w:tabs>
        <w:spacing w:line="360" w:lineRule="auto"/>
        <w:jc w:val="center"/>
        <w:rPr>
          <w:rFonts w:hint="eastAsia" w:ascii="黑体" w:hAnsi="黑体" w:eastAsia="黑体"/>
          <w:b/>
          <w:snapToGrid w:val="0"/>
          <w:color w:val="auto"/>
          <w:kern w:val="0"/>
          <w:sz w:val="24"/>
          <w:lang w:eastAsia="zh-CN"/>
        </w:rPr>
      </w:pPr>
      <w:r>
        <w:rPr>
          <w:rFonts w:hint="eastAsia" w:ascii="黑体" w:hAnsi="黑体" w:eastAsia="黑体"/>
          <w:b/>
          <w:snapToGrid w:val="0"/>
          <w:color w:val="auto"/>
          <w:kern w:val="0"/>
          <w:sz w:val="24"/>
          <w:lang w:eastAsia="zh-CN"/>
        </w:rPr>
        <w:t>图</w:t>
      </w:r>
      <w:r>
        <w:rPr>
          <w:rFonts w:hint="eastAsia" w:ascii="黑体" w:hAnsi="黑体" w:eastAsia="黑体"/>
          <w:b/>
          <w:snapToGrid w:val="0"/>
          <w:color w:val="auto"/>
          <w:kern w:val="0"/>
          <w:sz w:val="24"/>
          <w:lang w:val="en-US" w:eastAsia="zh-CN"/>
        </w:rPr>
        <w:t>2</w:t>
      </w:r>
      <w:r>
        <w:rPr>
          <w:rFonts w:hint="eastAsia" w:ascii="黑体" w:hAnsi="黑体" w:eastAsia="黑体"/>
          <w:b/>
          <w:snapToGrid w:val="0"/>
          <w:color w:val="auto"/>
          <w:kern w:val="0"/>
          <w:sz w:val="24"/>
          <w:lang w:eastAsia="zh-CN"/>
        </w:rPr>
        <w:t>-</w:t>
      </w:r>
      <w:r>
        <w:rPr>
          <w:rFonts w:hint="eastAsia" w:ascii="黑体" w:hAnsi="黑体" w:eastAsia="黑体"/>
          <w:b/>
          <w:snapToGrid w:val="0"/>
          <w:color w:val="auto"/>
          <w:kern w:val="0"/>
          <w:sz w:val="24"/>
          <w:lang w:val="en-US" w:eastAsia="zh-CN"/>
        </w:rPr>
        <w:t>4</w:t>
      </w:r>
      <w:r>
        <w:rPr>
          <w:rFonts w:hint="eastAsia" w:ascii="黑体" w:hAnsi="黑体" w:eastAsia="黑体"/>
          <w:b/>
          <w:snapToGrid w:val="0"/>
          <w:color w:val="auto"/>
          <w:kern w:val="0"/>
          <w:sz w:val="24"/>
          <w:lang w:eastAsia="zh-CN"/>
        </w:rPr>
        <w:t xml:space="preserve"> 页岩砖生产工艺流程示意图</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2、原料制备</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制砖主要原料煤外购运到厂内，自卸到板式给料机中。经板式给料机定量装到胶带输送机上，运到颚式破碎机处进行粗破，通过刮板给料机、圆盘给料机均匀喂料，至锤式破碎机进行粉碎，粉碎后物料颗粒组成情况为：</w:t>
      </w:r>
    </w:p>
    <w:tbl>
      <w:tblPr>
        <w:tblStyle w:val="1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9"/>
        <w:gridCol w:w="2539"/>
        <w:gridCol w:w="3074"/>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1～3mm</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0.5～1mm</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0.2～0.5mm</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&lt;0.2mm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0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&lt;3%</w:t>
            </w:r>
          </w:p>
        </w:tc>
        <w:tc>
          <w:tcPr>
            <w:tcW w:w="2539"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30%</w:t>
            </w:r>
          </w:p>
        </w:tc>
        <w:tc>
          <w:tcPr>
            <w:tcW w:w="3074"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33%</w:t>
            </w:r>
          </w:p>
        </w:tc>
        <w:tc>
          <w:tcPr>
            <w:tcW w:w="2006" w:type="dxa"/>
            <w:noWrap w:val="0"/>
            <w:vAlign w:val="top"/>
          </w:tcPr>
          <w:p>
            <w:pPr>
              <w:spacing w:line="360" w:lineRule="auto"/>
              <w:rPr>
                <w:rFonts w:hint="eastAsia" w:ascii="宋体"/>
                <w:snapToGrid w:val="0"/>
                <w:color w:val="auto"/>
                <w:kern w:val="0"/>
                <w:szCs w:val="21"/>
              </w:rPr>
            </w:pPr>
            <w:r>
              <w:rPr>
                <w:rFonts w:hint="eastAsia" w:ascii="宋体"/>
                <w:snapToGrid w:val="0"/>
                <w:color w:val="auto"/>
                <w:kern w:val="0"/>
                <w:szCs w:val="21"/>
              </w:rPr>
              <w:t>&gt;34%</w:t>
            </w:r>
          </w:p>
        </w:tc>
      </w:tr>
    </w:tbl>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煤按配合比(</w:t>
      </w:r>
      <w:r>
        <w:rPr>
          <w:rFonts w:hint="eastAsia" w:ascii="宋体" w:hAnsi="宋体"/>
          <w:color w:val="auto"/>
          <w:sz w:val="28"/>
          <w:szCs w:val="28"/>
        </w:rPr>
        <w:t>页岩、煤矸石=7:3)</w:t>
      </w:r>
      <w:r>
        <w:rPr>
          <w:rFonts w:hint="eastAsia" w:ascii="宋体"/>
          <w:snapToGrid w:val="0"/>
          <w:color w:val="auto"/>
          <w:kern w:val="0"/>
          <w:sz w:val="28"/>
          <w:szCs w:val="28"/>
        </w:rPr>
        <w:t>要求经箱式给料机定量给料到胶带输送机上，</w:t>
      </w:r>
      <w:r>
        <w:rPr>
          <w:rFonts w:hint="eastAsia" w:ascii="宋体" w:hAnsi="宋体"/>
          <w:color w:val="auto"/>
          <w:sz w:val="28"/>
          <w:szCs w:val="28"/>
        </w:rPr>
        <w:t>页岩</w:t>
      </w:r>
      <w:r>
        <w:rPr>
          <w:rFonts w:hint="eastAsia" w:ascii="宋体"/>
          <w:snapToGrid w:val="0"/>
          <w:color w:val="auto"/>
          <w:kern w:val="0"/>
          <w:sz w:val="28"/>
          <w:szCs w:val="28"/>
        </w:rPr>
        <w:t>共同进行粗碎、细碎处理。粉碎后的</w:t>
      </w:r>
      <w:r>
        <w:rPr>
          <w:rFonts w:hint="eastAsia" w:ascii="宋体" w:hAnsi="宋体"/>
          <w:color w:val="auto"/>
          <w:sz w:val="28"/>
          <w:szCs w:val="28"/>
        </w:rPr>
        <w:t>页岩</w:t>
      </w:r>
      <w:r>
        <w:rPr>
          <w:rFonts w:hint="eastAsia" w:ascii="宋体"/>
          <w:snapToGrid w:val="0"/>
          <w:color w:val="auto"/>
          <w:kern w:val="0"/>
          <w:sz w:val="28"/>
          <w:szCs w:val="28"/>
        </w:rPr>
        <w:t>、煤粉经强力搅拌机加水搅拌混合。</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3、原料陈化处理</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强力搅拌机处理后的混合料再通过胶带输送机运到陈化库顶部的可逆移动配仓布料机上，将混合料按一定规律均匀的堆存到陈化库中，混合料陈化时间不得小于3小时。陈化的作用是使原料中水分均匀化程度提高，使原料颗粒表面和内部性能更加的均匀，更趋一致，使颗粒变得容易疏解，使混合料的成型性能得到提高。</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4、挤出成型</w:t>
      </w:r>
    </w:p>
    <w:p>
      <w:pPr>
        <w:spacing w:line="360" w:lineRule="auto"/>
        <w:ind w:firstLine="560" w:firstLineChars="200"/>
        <w:rPr>
          <w:rFonts w:hint="eastAsia" w:ascii="宋体"/>
          <w:snapToGrid w:val="0"/>
          <w:color w:val="auto"/>
          <w:kern w:val="0"/>
          <w:sz w:val="28"/>
          <w:szCs w:val="28"/>
        </w:rPr>
      </w:pPr>
      <w:r>
        <w:rPr>
          <w:rFonts w:hint="eastAsia" w:ascii="宋体"/>
          <w:snapToGrid w:val="0"/>
          <w:color w:val="auto"/>
          <w:kern w:val="0"/>
          <w:sz w:val="28"/>
          <w:szCs w:val="28"/>
        </w:rPr>
        <w:t>经过陈化的混合料有装运到胶带输送机上运到成型车间的箱式给料机处定量向强力搅拌机给料。原料通过这次加水搅拌，使其成型水分达到16～17%。搅拌后的物料再经过湿式轮碾机进一步碾练均化处理，使混合料性能满足成型需要。挤出成型采用高挤出压力、高真空度的双极真空挤出机，许用挤出压力达到3.8mpa，真空度达到≤-0.092mpa。挤出的泥条经自动切条机、切坯机割成需要规格的砖坯，再经码坯将砖坯放到窑车上。</w:t>
      </w:r>
    </w:p>
    <w:p>
      <w:pPr>
        <w:spacing w:line="360" w:lineRule="auto"/>
        <w:ind w:firstLine="562" w:firstLineChars="200"/>
        <w:rPr>
          <w:rFonts w:hint="eastAsia" w:ascii="宋体"/>
          <w:b/>
          <w:bCs/>
          <w:snapToGrid w:val="0"/>
          <w:color w:val="auto"/>
          <w:kern w:val="0"/>
          <w:sz w:val="28"/>
          <w:szCs w:val="28"/>
          <w:lang w:val="en-US" w:eastAsia="zh-CN"/>
        </w:rPr>
      </w:pPr>
      <w:r>
        <w:rPr>
          <w:rFonts w:hint="eastAsia" w:ascii="宋体"/>
          <w:b/>
          <w:bCs/>
          <w:snapToGrid w:val="0"/>
          <w:color w:val="auto"/>
          <w:kern w:val="0"/>
          <w:sz w:val="28"/>
          <w:szCs w:val="28"/>
          <w:lang w:val="en-US" w:eastAsia="zh-CN"/>
        </w:rPr>
        <w:t>5、干燥、焙烧</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码有砖坯的窑车通过窑车运转系统完成窑车在贮存段、干燥室、焙烧窑的运行。由于成型工段在市场淡季有可能是二班生产，干燥室、焙烧窑是三班生产，因此必须设置码有砖坯的窑车贮存段，用于贮存夜班进窑的窑车，本项目共设250辆窑车。</w:t>
      </w:r>
    </w:p>
    <w:p>
      <w:pPr>
        <w:spacing w:line="360" w:lineRule="auto"/>
        <w:ind w:firstLine="560" w:firstLineChars="200"/>
        <w:rPr>
          <w:rFonts w:hint="eastAsia" w:ascii="宋体"/>
          <w:snapToGrid w:val="0"/>
          <w:color w:val="auto"/>
          <w:kern w:val="0"/>
          <w:sz w:val="28"/>
          <w:szCs w:val="28"/>
          <w:lang w:val="en-US" w:eastAsia="zh-CN"/>
        </w:rPr>
      </w:pPr>
      <w:r>
        <w:rPr>
          <w:rFonts w:hint="eastAsia" w:ascii="宋体"/>
          <w:snapToGrid w:val="0"/>
          <w:color w:val="auto"/>
          <w:kern w:val="0"/>
          <w:sz w:val="28"/>
          <w:szCs w:val="28"/>
          <w:lang w:val="en-US" w:eastAsia="zh-CN"/>
        </w:rPr>
        <w:t>装有砖坯的窑车经过贮存后运送到进车端摆渡车上，通过液压顶车机将窑车送入干燥室内，本项目采用一次码烧工艺，遂道焙烧窑两条，长约132米，干燥窑两条，长约105米。干燥热源来自焙烧窑余热。干燥好的砖坯通过干燥室出口拉引机、焙烧窑液压顶车机将窑车送入焙烧窑。</w:t>
      </w:r>
    </w:p>
    <w:p>
      <w:pPr>
        <w:pStyle w:val="5"/>
        <w:spacing w:before="0" w:after="0" w:line="360" w:lineRule="auto"/>
        <w:rPr>
          <w:rFonts w:hint="eastAsia" w:ascii="宋体" w:hAnsi="宋体" w:eastAsia="宋体" w:cs="宋体"/>
          <w:color w:val="auto"/>
          <w:sz w:val="28"/>
          <w:szCs w:val="28"/>
          <w:lang w:val="zh-CN"/>
        </w:rPr>
      </w:pPr>
      <w:bookmarkStart w:id="43" w:name="_Toc10311"/>
      <w:r>
        <w:rPr>
          <w:rFonts w:hint="eastAsia" w:ascii="宋体" w:hAnsi="宋体" w:eastAsia="宋体" w:cs="宋体"/>
          <w:color w:val="auto"/>
          <w:sz w:val="28"/>
          <w:szCs w:val="28"/>
          <w:lang w:val="zh-CN"/>
        </w:rPr>
        <w:t>2.1.</w:t>
      </w:r>
      <w:r>
        <w:rPr>
          <w:rFonts w:hint="eastAsia" w:ascii="宋体" w:hAnsi="宋体" w:eastAsia="宋体" w:cs="宋体"/>
          <w:color w:val="auto"/>
          <w:sz w:val="28"/>
          <w:szCs w:val="28"/>
          <w:lang w:val="en-US" w:eastAsia="zh-CN"/>
        </w:rPr>
        <w:t>5</w:t>
      </w:r>
      <w:r>
        <w:rPr>
          <w:rFonts w:hint="eastAsia" w:ascii="宋体" w:hAnsi="宋体" w:eastAsia="宋体" w:cs="宋体"/>
          <w:b/>
          <w:bCs/>
          <w:i w:val="0"/>
          <w:iCs w:val="0"/>
          <w:color w:val="auto"/>
          <w:sz w:val="28"/>
          <w:szCs w:val="28"/>
        </w:rPr>
        <w:t>主要生产设备情况</w:t>
      </w:r>
      <w:bookmarkEnd w:id="43"/>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lang w:eastAsia="zh-CN"/>
        </w:rPr>
        <w:t>仪陇县炬光乡页岩砖厂</w:t>
      </w:r>
      <w:r>
        <w:rPr>
          <w:rFonts w:hint="eastAsia" w:ascii="宋体" w:hAnsi="宋体" w:cs="宋体"/>
          <w:i w:val="0"/>
          <w:iCs w:val="0"/>
          <w:color w:val="auto"/>
          <w:sz w:val="28"/>
          <w:szCs w:val="28"/>
        </w:rPr>
        <w:t>主要设备清单见表</w:t>
      </w:r>
      <w:r>
        <w:rPr>
          <w:rFonts w:hint="eastAsia" w:ascii="宋体" w:hAnsi="宋体" w:eastAsia="宋体" w:cs="宋体"/>
          <w:i w:val="0"/>
          <w:iCs w:val="0"/>
          <w:color w:val="auto"/>
          <w:sz w:val="28"/>
          <w:szCs w:val="28"/>
          <w:lang w:val="en-US" w:eastAsia="zh-CN"/>
        </w:rPr>
        <w:t>2</w:t>
      </w:r>
      <w:r>
        <w:rPr>
          <w:rFonts w:hint="eastAsia" w:ascii="宋体" w:hAnsi="宋体" w:cs="宋体"/>
          <w:i w:val="0"/>
          <w:iCs w:val="0"/>
          <w:color w:val="auto"/>
          <w:sz w:val="28"/>
          <w:szCs w:val="28"/>
        </w:rPr>
        <w:t>-</w:t>
      </w:r>
      <w:r>
        <w:rPr>
          <w:rFonts w:hint="eastAsia" w:ascii="宋体" w:hAnsi="宋体" w:cs="宋体"/>
          <w:i w:val="0"/>
          <w:iCs w:val="0"/>
          <w:color w:val="auto"/>
          <w:sz w:val="28"/>
          <w:szCs w:val="28"/>
          <w:lang w:val="en-US" w:eastAsia="zh-CN"/>
        </w:rPr>
        <w:t>2</w:t>
      </w:r>
      <w:r>
        <w:rPr>
          <w:rFonts w:hint="eastAsia" w:ascii="宋体" w:hAnsi="宋体" w:cs="宋体"/>
          <w:i w:val="0"/>
          <w:iCs w:val="0"/>
          <w:color w:val="auto"/>
          <w:sz w:val="28"/>
          <w:szCs w:val="28"/>
        </w:rPr>
        <w:t>所示。</w:t>
      </w:r>
    </w:p>
    <w:tbl>
      <w:tblPr>
        <w:tblStyle w:val="19"/>
        <w:tblW w:w="94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703"/>
        <w:gridCol w:w="3849"/>
        <w:gridCol w:w="1543"/>
        <w:gridCol w:w="2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29" w:hRule="exact"/>
        </w:trPr>
        <w:tc>
          <w:tcPr>
            <w:tcW w:w="1703"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b/>
                <w:bCs/>
                <w:spacing w:val="0"/>
                <w:w w:val="100"/>
                <w:kern w:val="2"/>
                <w:position w:val="0"/>
                <w:sz w:val="21"/>
                <w:lang w:val="zh-CN" w:eastAsia="zh-CN" w:bidi="ar-SA"/>
              </w:rPr>
            </w:pPr>
            <w:r>
              <w:rPr>
                <w:rFonts w:hint="eastAsia" w:ascii="宋体" w:hAnsi="宋体" w:eastAsia="宋体" w:cs="宋体"/>
                <w:b/>
                <w:bCs/>
                <w:spacing w:val="0"/>
                <w:w w:val="100"/>
                <w:kern w:val="2"/>
                <w:position w:val="0"/>
                <w:sz w:val="21"/>
                <w:lang w:val="zh-CN" w:eastAsia="zh-CN" w:bidi="ar-SA"/>
              </w:rPr>
              <w:t>序号</w:t>
            </w:r>
          </w:p>
        </w:tc>
        <w:tc>
          <w:tcPr>
            <w:tcW w:w="3849"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b/>
                <w:bCs/>
                <w:spacing w:val="0"/>
                <w:w w:val="100"/>
                <w:kern w:val="2"/>
                <w:position w:val="0"/>
                <w:sz w:val="21"/>
                <w:lang w:val="zh-CN" w:eastAsia="zh-CN" w:bidi="ar-SA"/>
              </w:rPr>
            </w:pPr>
            <w:r>
              <w:rPr>
                <w:rFonts w:hint="eastAsia" w:ascii="宋体" w:hAnsi="宋体" w:eastAsia="宋体" w:cs="宋体"/>
                <w:b/>
                <w:bCs/>
                <w:spacing w:val="0"/>
                <w:w w:val="100"/>
                <w:kern w:val="2"/>
                <w:position w:val="0"/>
                <w:sz w:val="21"/>
                <w:lang w:val="zh-CN" w:eastAsia="zh-CN" w:bidi="ar-SA"/>
              </w:rPr>
              <w:t>名称</w:t>
            </w:r>
          </w:p>
        </w:tc>
        <w:tc>
          <w:tcPr>
            <w:tcW w:w="1543"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b/>
                <w:bCs/>
                <w:spacing w:val="0"/>
                <w:w w:val="100"/>
                <w:kern w:val="2"/>
                <w:position w:val="0"/>
                <w:sz w:val="21"/>
                <w:lang w:val="zh-CN" w:eastAsia="zh-CN" w:bidi="ar-SA"/>
              </w:rPr>
            </w:pPr>
            <w:r>
              <w:rPr>
                <w:rFonts w:hint="eastAsia" w:ascii="宋体" w:hAnsi="宋体" w:eastAsia="宋体" w:cs="宋体"/>
                <w:b/>
                <w:bCs/>
                <w:spacing w:val="0"/>
                <w:w w:val="100"/>
                <w:kern w:val="2"/>
                <w:position w:val="0"/>
                <w:sz w:val="21"/>
                <w:lang w:val="zh-CN" w:eastAsia="zh-CN" w:bidi="ar-SA"/>
              </w:rPr>
              <w:t>型号</w:t>
            </w:r>
          </w:p>
        </w:tc>
        <w:tc>
          <w:tcPr>
            <w:tcW w:w="2337"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b/>
                <w:bCs/>
                <w:spacing w:val="0"/>
                <w:w w:val="100"/>
                <w:kern w:val="2"/>
                <w:position w:val="0"/>
                <w:sz w:val="21"/>
                <w:lang w:val="zh-CN" w:eastAsia="zh-CN" w:bidi="ar-SA"/>
              </w:rPr>
            </w:pPr>
            <w:r>
              <w:rPr>
                <w:rFonts w:hint="eastAsia" w:ascii="宋体" w:hAnsi="宋体" w:eastAsia="宋体" w:cs="宋体"/>
                <w:b/>
                <w:bCs/>
                <w:spacing w:val="0"/>
                <w:w w:val="100"/>
                <w:kern w:val="2"/>
                <w:position w:val="0"/>
                <w:sz w:val="21"/>
                <w:lang w:val="zh-CN" w:eastAsia="zh-CN" w:bidi="ar-SA"/>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3" w:hRule="exact"/>
        </w:trPr>
        <w:tc>
          <w:tcPr>
            <w:tcW w:w="1703"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w:t>
            </w:r>
          </w:p>
        </w:tc>
        <w:tc>
          <w:tcPr>
            <w:tcW w:w="3849"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真空挤出机</w:t>
            </w:r>
          </w:p>
        </w:tc>
        <w:tc>
          <w:tcPr>
            <w:tcW w:w="154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60-60</w:t>
            </w:r>
          </w:p>
        </w:tc>
        <w:tc>
          <w:tcPr>
            <w:tcW w:w="2337"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zh-CN" w:bidi="ar-SA"/>
              </w:rPr>
              <w:t>1</w:t>
            </w:r>
            <w:r>
              <w:rPr>
                <w:rFonts w:hint="eastAsia" w:ascii="宋体" w:hAnsi="宋体" w:eastAsia="宋体" w:cs="宋体"/>
                <w:spacing w:val="0"/>
                <w:w w:val="100"/>
                <w:kern w:val="2"/>
                <w:position w:val="0"/>
                <w:sz w:val="21"/>
                <w:lang w:val="zh-CN" w:eastAsia="zh-CN" w:bidi="ar-S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24" w:hRule="exact"/>
        </w:trPr>
        <w:tc>
          <w:tcPr>
            <w:tcW w:w="1703"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2</w:t>
            </w:r>
          </w:p>
        </w:tc>
        <w:tc>
          <w:tcPr>
            <w:tcW w:w="3849"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自动码坯机</w:t>
            </w:r>
          </w:p>
        </w:tc>
        <w:tc>
          <w:tcPr>
            <w:tcW w:w="154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337"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43" w:hRule="exact"/>
        </w:trPr>
        <w:tc>
          <w:tcPr>
            <w:tcW w:w="1703"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3</w:t>
            </w:r>
          </w:p>
        </w:tc>
        <w:tc>
          <w:tcPr>
            <w:tcW w:w="3849"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颚式破碎机</w:t>
            </w:r>
          </w:p>
        </w:tc>
        <w:tc>
          <w:tcPr>
            <w:tcW w:w="1543"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50-70</w:t>
            </w:r>
          </w:p>
        </w:tc>
        <w:tc>
          <w:tcPr>
            <w:tcW w:w="2337"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19" w:hRule="exact"/>
        </w:trPr>
        <w:tc>
          <w:tcPr>
            <w:tcW w:w="1703"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4</w:t>
            </w:r>
          </w:p>
        </w:tc>
        <w:tc>
          <w:tcPr>
            <w:tcW w:w="3849"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挽拌机</w:t>
            </w:r>
          </w:p>
        </w:tc>
        <w:tc>
          <w:tcPr>
            <w:tcW w:w="1543"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4.5</w:t>
            </w:r>
            <w:r>
              <w:rPr>
                <w:rFonts w:hint="eastAsia" w:ascii="宋体" w:hAnsi="宋体" w:eastAsia="宋体" w:cs="宋体"/>
                <w:spacing w:val="0"/>
                <w:w w:val="100"/>
                <w:kern w:val="2"/>
                <w:position w:val="0"/>
                <w:sz w:val="21"/>
                <w:lang w:val="zh-CN" w:eastAsia="zh-CN" w:bidi="ar-SA"/>
              </w:rPr>
              <w:t>m</w:t>
            </w:r>
          </w:p>
        </w:tc>
        <w:tc>
          <w:tcPr>
            <w:tcW w:w="2337"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3" w:hRule="exact"/>
        </w:trPr>
        <w:tc>
          <w:tcPr>
            <w:tcW w:w="1703"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5</w:t>
            </w:r>
          </w:p>
        </w:tc>
        <w:tc>
          <w:tcPr>
            <w:tcW w:w="3849"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滚动筛</w:t>
            </w:r>
          </w:p>
        </w:tc>
        <w:tc>
          <w:tcPr>
            <w:tcW w:w="1543"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2.2*</w:t>
            </w:r>
            <w:r>
              <w:rPr>
                <w:rFonts w:hint="eastAsia" w:ascii="宋体" w:hAnsi="宋体" w:eastAsia="宋体" w:cs="宋体"/>
                <w:spacing w:val="0"/>
                <w:w w:val="100"/>
                <w:kern w:val="2"/>
                <w:position w:val="0"/>
                <w:sz w:val="21"/>
                <w:lang w:val="en-US" w:eastAsia="en-US" w:bidi="ar-SA"/>
              </w:rPr>
              <w:t xml:space="preserve"> </w:t>
            </w:r>
            <w:r>
              <w:rPr>
                <w:rFonts w:hint="eastAsia" w:ascii="宋体" w:hAnsi="宋体" w:eastAsia="宋体" w:cs="宋体"/>
                <w:spacing w:val="0"/>
                <w:w w:val="100"/>
                <w:kern w:val="2"/>
                <w:position w:val="0"/>
                <w:sz w:val="21"/>
                <w:lang w:val="zh-CN" w:eastAsia="zh-CN" w:bidi="ar-SA"/>
              </w:rPr>
              <w:t>m</w:t>
            </w:r>
          </w:p>
        </w:tc>
        <w:tc>
          <w:tcPr>
            <w:tcW w:w="2337"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8" w:hRule="exact"/>
        </w:trPr>
        <w:tc>
          <w:tcPr>
            <w:tcW w:w="1703"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6</w:t>
            </w:r>
          </w:p>
        </w:tc>
        <w:tc>
          <w:tcPr>
            <w:tcW w:w="3849"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双轴粉碎机</w:t>
            </w:r>
          </w:p>
        </w:tc>
        <w:tc>
          <w:tcPr>
            <w:tcW w:w="1543"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110-110</w:t>
            </w:r>
            <w:r>
              <w:rPr>
                <w:rFonts w:hint="eastAsia" w:ascii="宋体" w:hAnsi="宋体" w:eastAsia="宋体" w:cs="宋体"/>
                <w:spacing w:val="0"/>
                <w:w w:val="100"/>
                <w:kern w:val="2"/>
                <w:position w:val="0"/>
                <w:sz w:val="21"/>
                <w:lang w:val="zh-CN" w:eastAsia="zh-CN" w:bidi="ar-SA"/>
              </w:rPr>
              <w:t>型</w:t>
            </w:r>
          </w:p>
        </w:tc>
        <w:tc>
          <w:tcPr>
            <w:tcW w:w="2337"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zh-CN" w:bidi="ar-SA"/>
              </w:rPr>
              <w:t>1</w:t>
            </w:r>
            <w:r>
              <w:rPr>
                <w:rFonts w:hint="eastAsia" w:ascii="宋体" w:hAnsi="宋体" w:eastAsia="宋体" w:cs="宋体"/>
                <w:spacing w:val="0"/>
                <w:w w:val="100"/>
                <w:kern w:val="2"/>
                <w:position w:val="0"/>
                <w:sz w:val="21"/>
                <w:lang w:val="zh-CN" w:eastAsia="zh-CN" w:bidi="ar-SA"/>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29" w:hRule="exact"/>
        </w:trPr>
        <w:tc>
          <w:tcPr>
            <w:tcW w:w="170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7</w:t>
            </w:r>
          </w:p>
        </w:tc>
        <w:tc>
          <w:tcPr>
            <w:tcW w:w="3849"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供煤机</w:t>
            </w:r>
          </w:p>
        </w:tc>
        <w:tc>
          <w:tcPr>
            <w:tcW w:w="154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337"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29" w:hRule="exact"/>
        </w:trPr>
        <w:tc>
          <w:tcPr>
            <w:tcW w:w="1703"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8</w:t>
            </w:r>
          </w:p>
        </w:tc>
        <w:tc>
          <w:tcPr>
            <w:tcW w:w="3849"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自动切条机</w:t>
            </w:r>
          </w:p>
        </w:tc>
        <w:tc>
          <w:tcPr>
            <w:tcW w:w="1543"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en-US" w:eastAsia="en-US" w:bidi="ar-SA"/>
              </w:rPr>
              <w:t>36*9</w:t>
            </w:r>
          </w:p>
        </w:tc>
        <w:tc>
          <w:tcPr>
            <w:tcW w:w="2337"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3" w:hRule="exact"/>
        </w:trPr>
        <w:tc>
          <w:tcPr>
            <w:tcW w:w="170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9</w:t>
            </w:r>
          </w:p>
        </w:tc>
        <w:tc>
          <w:tcPr>
            <w:tcW w:w="3849"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切坯机</w:t>
            </w:r>
          </w:p>
        </w:tc>
        <w:tc>
          <w:tcPr>
            <w:tcW w:w="154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337"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43" w:hRule="exact"/>
        </w:trPr>
        <w:tc>
          <w:tcPr>
            <w:tcW w:w="1703"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10</w:t>
            </w:r>
          </w:p>
        </w:tc>
        <w:tc>
          <w:tcPr>
            <w:tcW w:w="3849"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小平车</w:t>
            </w:r>
          </w:p>
        </w:tc>
        <w:tc>
          <w:tcPr>
            <w:tcW w:w="154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337"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800台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3" w:hRule="exact"/>
        </w:trPr>
        <w:tc>
          <w:tcPr>
            <w:tcW w:w="1703" w:type="dxa"/>
            <w:shd w:val="clear" w:color="auto" w:fill="FFFFFF"/>
            <w:vAlign w:val="bottom"/>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11</w:t>
            </w:r>
          </w:p>
        </w:tc>
        <w:tc>
          <w:tcPr>
            <w:tcW w:w="3849"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电动车</w:t>
            </w:r>
          </w:p>
        </w:tc>
        <w:tc>
          <w:tcPr>
            <w:tcW w:w="154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337"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30台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33" w:hRule="exact"/>
        </w:trPr>
        <w:tc>
          <w:tcPr>
            <w:tcW w:w="170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12</w:t>
            </w:r>
          </w:p>
        </w:tc>
        <w:tc>
          <w:tcPr>
            <w:tcW w:w="3849"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风机</w:t>
            </w:r>
          </w:p>
        </w:tc>
        <w:tc>
          <w:tcPr>
            <w:tcW w:w="1543"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直径</w:t>
            </w:r>
            <w:r>
              <w:rPr>
                <w:rFonts w:hint="eastAsia" w:ascii="宋体" w:hAnsi="宋体" w:eastAsia="宋体" w:cs="宋体"/>
                <w:spacing w:val="0"/>
                <w:w w:val="100"/>
                <w:kern w:val="2"/>
                <w:position w:val="0"/>
                <w:sz w:val="21"/>
                <w:lang w:val="en-US" w:eastAsia="en-US" w:bidi="ar-SA"/>
              </w:rPr>
              <w:t>1.4</w:t>
            </w:r>
            <w:r>
              <w:rPr>
                <w:rFonts w:hint="eastAsia" w:ascii="宋体" w:hAnsi="宋体" w:eastAsia="宋体" w:cs="宋体"/>
                <w:spacing w:val="0"/>
                <w:w w:val="100"/>
                <w:kern w:val="2"/>
                <w:position w:val="0"/>
                <w:sz w:val="21"/>
                <w:lang w:val="zh-CN" w:eastAsia="zh-CN" w:bidi="ar-SA"/>
              </w:rPr>
              <w:t>m</w:t>
            </w:r>
          </w:p>
        </w:tc>
        <w:tc>
          <w:tcPr>
            <w:tcW w:w="2337" w:type="dxa"/>
            <w:shd w:val="clear" w:color="auto" w:fill="FFFFFF"/>
            <w:vAlign w:val="top"/>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4台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24" w:hRule="exact"/>
        </w:trPr>
        <w:tc>
          <w:tcPr>
            <w:tcW w:w="170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13</w:t>
            </w:r>
          </w:p>
        </w:tc>
        <w:tc>
          <w:tcPr>
            <w:tcW w:w="3849"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除尘器</w:t>
            </w:r>
          </w:p>
        </w:tc>
        <w:tc>
          <w:tcPr>
            <w:tcW w:w="154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337"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Ex>
        <w:trPr>
          <w:trHeight w:val="380" w:hRule="exact"/>
        </w:trPr>
        <w:tc>
          <w:tcPr>
            <w:tcW w:w="170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14</w:t>
            </w:r>
          </w:p>
        </w:tc>
        <w:tc>
          <w:tcPr>
            <w:tcW w:w="3849"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脱硫塔</w:t>
            </w:r>
          </w:p>
        </w:tc>
        <w:tc>
          <w:tcPr>
            <w:tcW w:w="1543"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w:t>
            </w:r>
          </w:p>
        </w:tc>
        <w:tc>
          <w:tcPr>
            <w:tcW w:w="2337" w:type="dxa"/>
            <w:shd w:val="clear" w:color="auto" w:fill="FFFFFF"/>
            <w:vAlign w:val="center"/>
          </w:tcPr>
          <w:p>
            <w:pPr>
              <w:keepNext w:val="0"/>
              <w:keepLines w:val="0"/>
              <w:shd w:val="clear" w:color="auto" w:fill="auto"/>
              <w:bidi w:val="0"/>
              <w:spacing w:before="0" w:after="0" w:line="240" w:lineRule="auto"/>
              <w:ind w:left="0" w:leftChars="0" w:right="0" w:rightChars="0" w:firstLine="0" w:firstLineChars="0"/>
              <w:jc w:val="center"/>
              <w:rPr>
                <w:rFonts w:hint="eastAsia" w:ascii="宋体" w:hAnsi="宋体" w:eastAsia="宋体" w:cs="宋体"/>
                <w:spacing w:val="0"/>
                <w:w w:val="100"/>
                <w:kern w:val="2"/>
                <w:position w:val="0"/>
                <w:sz w:val="21"/>
                <w:lang w:val="zh-CN" w:eastAsia="zh-CN" w:bidi="ar-SA"/>
              </w:rPr>
            </w:pPr>
            <w:r>
              <w:rPr>
                <w:rFonts w:hint="eastAsia" w:ascii="宋体" w:hAnsi="宋体" w:eastAsia="宋体" w:cs="宋体"/>
                <w:spacing w:val="0"/>
                <w:w w:val="100"/>
                <w:kern w:val="2"/>
                <w:position w:val="0"/>
                <w:sz w:val="21"/>
                <w:lang w:val="zh-CN" w:eastAsia="zh-CN" w:bidi="ar-SA"/>
              </w:rPr>
              <w:t>1套</w:t>
            </w:r>
          </w:p>
        </w:tc>
      </w:tr>
    </w:tbl>
    <w:p>
      <w:pPr>
        <w:pStyle w:val="30"/>
        <w:keepNext w:val="0"/>
        <w:keepLines w:val="0"/>
        <w:widowControl w:val="0"/>
        <w:shd w:val="clear" w:color="auto" w:fill="auto"/>
        <w:bidi w:val="0"/>
        <w:spacing w:before="0" w:after="0"/>
        <w:ind w:right="3740"/>
        <w:jc w:val="left"/>
        <w:rPr>
          <w:rFonts w:hint="eastAsia" w:ascii="宋体" w:hAnsi="宋体" w:eastAsia="宋体" w:cs="宋体"/>
          <w:color w:val="000000"/>
          <w:spacing w:val="0"/>
          <w:w w:val="100"/>
          <w:position w:val="0"/>
          <w:sz w:val="21"/>
          <w:szCs w:val="21"/>
          <w:lang w:val="zh-CN" w:eastAsia="zh-CN" w:bidi="zh-CN"/>
        </w:rPr>
      </w:pPr>
    </w:p>
    <w:p>
      <w:pPr>
        <w:pStyle w:val="12"/>
        <w:spacing w:line="240" w:lineRule="auto"/>
        <w:ind w:firstLine="482" w:firstLineChars="200"/>
        <w:jc w:val="center"/>
        <w:rPr>
          <w:rFonts w:hint="eastAsia" w:ascii="黑体" w:hAnsi="Courier New" w:eastAsia="黑体"/>
          <w:b/>
          <w:color w:val="auto"/>
          <w:sz w:val="24"/>
          <w:lang w:eastAsia="zh-CN"/>
        </w:rPr>
      </w:pPr>
      <w:r>
        <w:rPr>
          <w:rFonts w:hint="eastAsia" w:ascii="黑体" w:hAnsi="Courier New" w:eastAsia="黑体"/>
          <w:b/>
          <w:color w:val="auto"/>
          <w:sz w:val="24"/>
          <w:lang w:eastAsia="zh-CN"/>
        </w:rPr>
        <w:t>表</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w:t>
      </w:r>
      <w:r>
        <w:rPr>
          <w:rFonts w:hint="eastAsia" w:ascii="黑体" w:hAnsi="Courier New" w:eastAsia="黑体"/>
          <w:b/>
          <w:color w:val="auto"/>
          <w:sz w:val="24"/>
          <w:lang w:val="en-US" w:eastAsia="zh-CN"/>
        </w:rPr>
        <w:t>2</w:t>
      </w:r>
      <w:r>
        <w:rPr>
          <w:rFonts w:hint="eastAsia" w:ascii="黑体" w:hAnsi="Courier New" w:eastAsia="黑体"/>
          <w:b/>
          <w:color w:val="auto"/>
          <w:sz w:val="24"/>
          <w:lang w:eastAsia="zh-CN"/>
        </w:rPr>
        <w:t xml:space="preserve"> 主要设备清单</w:t>
      </w:r>
    </w:p>
    <w:p>
      <w:pPr>
        <w:pStyle w:val="5"/>
        <w:spacing w:before="0" w:after="0" w:line="360" w:lineRule="auto"/>
        <w:rPr>
          <w:rFonts w:hint="eastAsia" w:ascii="宋体" w:hAnsi="宋体" w:eastAsia="宋体" w:cs="宋体"/>
          <w:color w:val="auto"/>
          <w:sz w:val="28"/>
          <w:szCs w:val="28"/>
        </w:rPr>
      </w:pPr>
      <w:bookmarkStart w:id="44" w:name="_Toc13813"/>
      <w:r>
        <w:rPr>
          <w:rFonts w:hint="eastAsia" w:ascii="宋体" w:hAnsi="宋体" w:eastAsia="宋体" w:cs="宋体"/>
          <w:color w:val="auto"/>
          <w:sz w:val="28"/>
          <w:szCs w:val="28"/>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rPr>
        <w:t>各方应急力量有关基本情况</w:t>
      </w:r>
      <w:bookmarkEnd w:id="44"/>
    </w:p>
    <w:p>
      <w:pPr>
        <w:pStyle w:val="5"/>
        <w:spacing w:before="0" w:after="0" w:line="360" w:lineRule="auto"/>
        <w:rPr>
          <w:rFonts w:hint="eastAsia" w:ascii="宋体" w:hAnsi="宋体" w:eastAsia="宋体" w:cs="宋体"/>
          <w:color w:val="auto"/>
          <w:sz w:val="28"/>
          <w:szCs w:val="28"/>
          <w:lang w:val="zh-CN"/>
        </w:rPr>
      </w:pPr>
      <w:bookmarkStart w:id="45" w:name="_Toc16966"/>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.1内部应急力量</w:t>
      </w:r>
      <w:bookmarkEnd w:id="45"/>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rPr>
        <w:t>公司成立有以</w:t>
      </w:r>
      <w:r>
        <w:rPr>
          <w:rFonts w:hint="eastAsia" w:ascii="宋体" w:hAnsi="宋体" w:eastAsia="宋体" w:cs="宋体"/>
          <w:i w:val="0"/>
          <w:iCs w:val="0"/>
          <w:color w:val="FF0000"/>
          <w:sz w:val="28"/>
          <w:szCs w:val="28"/>
          <w:lang w:eastAsia="zh-CN"/>
        </w:rPr>
        <w:t>厂长</w:t>
      </w:r>
      <w:r>
        <w:rPr>
          <w:rFonts w:hint="eastAsia" w:ascii="宋体" w:hAnsi="宋体" w:cs="宋体"/>
          <w:i w:val="0"/>
          <w:iCs w:val="0"/>
          <w:color w:val="FF0000"/>
          <w:sz w:val="28"/>
          <w:szCs w:val="28"/>
          <w:lang w:eastAsia="zh-CN"/>
        </w:rPr>
        <w:t>李东北</w:t>
      </w:r>
      <w:r>
        <w:rPr>
          <w:rFonts w:hint="eastAsia" w:ascii="宋体" w:hAnsi="宋体" w:cs="宋体"/>
          <w:i w:val="0"/>
          <w:iCs w:val="0"/>
          <w:color w:val="FF0000"/>
          <w:sz w:val="28"/>
          <w:szCs w:val="28"/>
        </w:rPr>
        <w:t>为组长的应急抢险救援领导小组，副组长由公司</w:t>
      </w:r>
      <w:r>
        <w:rPr>
          <w:rFonts w:hint="eastAsia" w:ascii="宋体" w:hAnsi="宋体" w:eastAsia="宋体" w:cs="宋体"/>
          <w:i w:val="0"/>
          <w:iCs w:val="0"/>
          <w:color w:val="FF0000"/>
          <w:sz w:val="28"/>
          <w:szCs w:val="28"/>
          <w:lang w:eastAsia="zh-CN"/>
        </w:rPr>
        <w:t>安全员</w:t>
      </w:r>
      <w:r>
        <w:rPr>
          <w:rFonts w:hint="eastAsia" w:ascii="宋体" w:hAnsi="宋体" w:cs="宋体"/>
          <w:i w:val="0"/>
          <w:iCs w:val="0"/>
          <w:color w:val="FF0000"/>
          <w:sz w:val="28"/>
          <w:szCs w:val="28"/>
          <w:lang w:eastAsia="zh-CN"/>
        </w:rPr>
        <w:t>刘小菊</w:t>
      </w:r>
      <w:r>
        <w:rPr>
          <w:rFonts w:hint="eastAsia" w:ascii="宋体" w:hAnsi="宋体" w:cs="宋体"/>
          <w:i w:val="0"/>
          <w:iCs w:val="0"/>
          <w:color w:val="FF0000"/>
          <w:sz w:val="28"/>
          <w:szCs w:val="28"/>
        </w:rPr>
        <w:t>担任。成员由其他</w:t>
      </w:r>
      <w:r>
        <w:rPr>
          <w:rFonts w:hint="eastAsia" w:ascii="宋体" w:hAnsi="宋体" w:cs="宋体"/>
          <w:i w:val="0"/>
          <w:iCs w:val="0"/>
          <w:color w:val="FF0000"/>
          <w:sz w:val="28"/>
          <w:szCs w:val="28"/>
          <w:lang w:eastAsia="zh-CN"/>
        </w:rPr>
        <w:t>现场负责人</w:t>
      </w:r>
      <w:r>
        <w:rPr>
          <w:rFonts w:hint="eastAsia" w:ascii="宋体" w:hAnsi="宋体" w:cs="宋体"/>
          <w:i w:val="0"/>
          <w:iCs w:val="0"/>
          <w:color w:val="FF0000"/>
          <w:sz w:val="28"/>
          <w:szCs w:val="28"/>
        </w:rPr>
        <w:t>、车间主管及</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成员组成。并设</w:t>
      </w:r>
      <w:r>
        <w:rPr>
          <w:rFonts w:hint="eastAsia" w:ascii="宋体" w:hAnsi="宋体" w:cs="宋体"/>
          <w:i w:val="0"/>
          <w:iCs w:val="0"/>
          <w:color w:val="FF0000"/>
          <w:sz w:val="28"/>
          <w:szCs w:val="28"/>
          <w:lang w:eastAsia="zh-CN"/>
        </w:rPr>
        <w:t>安全管理员</w:t>
      </w:r>
      <w:r>
        <w:rPr>
          <w:rFonts w:hint="eastAsia" w:ascii="宋体" w:hAnsi="宋体" w:cs="宋体"/>
          <w:i w:val="0"/>
          <w:iCs w:val="0"/>
          <w:color w:val="FF0000"/>
          <w:sz w:val="28"/>
          <w:szCs w:val="28"/>
        </w:rPr>
        <w:t>作为独立的日常安全、环保管理专职人员，应急抢险救援领导小组下设有下设抢险救援组、</w:t>
      </w:r>
      <w:r>
        <w:rPr>
          <w:rFonts w:hint="eastAsia" w:ascii="宋体" w:hAnsi="宋体" w:cs="宋体"/>
          <w:i w:val="0"/>
          <w:iCs w:val="0"/>
          <w:color w:val="FF0000"/>
          <w:sz w:val="28"/>
          <w:szCs w:val="28"/>
          <w:lang w:eastAsia="zh-CN"/>
        </w:rPr>
        <w:t>疏散联络组</w:t>
      </w:r>
      <w:r>
        <w:rPr>
          <w:rFonts w:hint="eastAsia" w:ascii="宋体" w:hAnsi="宋体" w:cs="宋体"/>
          <w:i w:val="0"/>
          <w:iCs w:val="0"/>
          <w:color w:val="FF0000"/>
          <w:sz w:val="28"/>
          <w:szCs w:val="28"/>
        </w:rPr>
        <w:t>、后勤保障组、医疗救护组</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事故调查善后组、</w:t>
      </w:r>
      <w:r>
        <w:rPr>
          <w:rFonts w:hint="eastAsia" w:ascii="宋体" w:hAnsi="宋体" w:cs="宋体"/>
          <w:i w:val="0"/>
          <w:iCs w:val="0"/>
          <w:color w:val="FF0000"/>
          <w:sz w:val="28"/>
          <w:szCs w:val="28"/>
        </w:rPr>
        <w:t>负责处理应急救援事宜。领导小组办公室常设在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，日常工作由</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主管</w:t>
      </w:r>
      <w:r>
        <w:rPr>
          <w:rFonts w:hint="eastAsia" w:ascii="宋体" w:hAnsi="宋体" w:cs="宋体"/>
          <w:i w:val="0"/>
          <w:iCs w:val="0"/>
          <w:color w:val="FF0000"/>
          <w:sz w:val="28"/>
          <w:szCs w:val="28"/>
          <w:lang w:eastAsia="zh-CN"/>
        </w:rPr>
        <w:t>负责</w:t>
      </w:r>
      <w:r>
        <w:rPr>
          <w:rFonts w:hint="eastAsia" w:ascii="宋体" w:hAnsi="宋体" w:cs="宋体"/>
          <w:i w:val="0"/>
          <w:iCs w:val="0"/>
          <w:color w:val="FF0000"/>
          <w:sz w:val="28"/>
          <w:szCs w:val="28"/>
        </w:rPr>
        <w:t>。其它下设的各小组组长由公司指派部门负责人担任。重大事故发生时，由总经理任应急领导组长，领导小组副组长任副应急领导组长，负责组织和指挥应急抢险救护工作。应急领导小组一般设在</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。如果应急领导组长或副组长均不在公司时，则由在公司</w:t>
      </w:r>
      <w:r>
        <w:rPr>
          <w:rFonts w:hint="eastAsia" w:ascii="宋体" w:hAnsi="宋体" w:cs="宋体"/>
          <w:i w:val="0"/>
          <w:iCs w:val="0"/>
          <w:color w:val="FF0000"/>
          <w:sz w:val="28"/>
          <w:szCs w:val="28"/>
          <w:lang w:eastAsia="zh-CN"/>
        </w:rPr>
        <w:t>厂长</w:t>
      </w:r>
      <w:r>
        <w:rPr>
          <w:rFonts w:hint="eastAsia" w:ascii="宋体" w:hAnsi="宋体" w:cs="宋体"/>
          <w:i w:val="0"/>
          <w:iCs w:val="0"/>
          <w:color w:val="FF0000"/>
          <w:sz w:val="28"/>
          <w:szCs w:val="28"/>
        </w:rPr>
        <w:t>与</w:t>
      </w:r>
      <w:r>
        <w:rPr>
          <w:rFonts w:hint="eastAsia" w:ascii="宋体" w:hAnsi="宋体" w:cs="宋体"/>
          <w:i w:val="0"/>
          <w:iCs w:val="0"/>
          <w:color w:val="FF0000"/>
          <w:sz w:val="28"/>
          <w:szCs w:val="28"/>
          <w:lang w:eastAsia="zh-CN"/>
        </w:rPr>
        <w:t>行政部</w:t>
      </w:r>
      <w:r>
        <w:rPr>
          <w:rFonts w:hint="eastAsia" w:ascii="宋体" w:hAnsi="宋体" w:cs="宋体"/>
          <w:i w:val="0"/>
          <w:iCs w:val="0"/>
          <w:color w:val="FF0000"/>
          <w:sz w:val="28"/>
          <w:szCs w:val="28"/>
        </w:rPr>
        <w:t>负责人为临时应急领导组长，全权负责应急抢险及救护工作。</w:t>
      </w:r>
    </w:p>
    <w:p>
      <w:pPr>
        <w:pStyle w:val="5"/>
        <w:spacing w:before="0" w:after="0" w:line="360" w:lineRule="auto"/>
        <w:rPr>
          <w:rFonts w:hint="eastAsia" w:ascii="宋体" w:hAnsi="宋体" w:eastAsia="宋体" w:cs="宋体"/>
          <w:color w:val="auto"/>
          <w:sz w:val="28"/>
          <w:szCs w:val="28"/>
          <w:lang w:val="zh-CN"/>
        </w:rPr>
      </w:pPr>
      <w:bookmarkStart w:id="46" w:name="_Toc8562"/>
      <w:r>
        <w:rPr>
          <w:rFonts w:hint="eastAsia" w:ascii="宋体" w:hAnsi="宋体" w:eastAsia="宋体" w:cs="宋体"/>
          <w:color w:val="auto"/>
          <w:sz w:val="28"/>
          <w:szCs w:val="28"/>
          <w:lang w:val="zh-CN"/>
        </w:rPr>
        <w:t>2.</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外部应急力量</w:t>
      </w:r>
      <w:bookmarkEnd w:id="46"/>
    </w:p>
    <w:p>
      <w:pPr>
        <w:spacing w:line="360" w:lineRule="auto"/>
        <w:ind w:firstLine="560" w:firstLineChars="200"/>
        <w:rPr>
          <w:rFonts w:hint="eastAsia" w:ascii="宋体" w:hAnsi="宋体" w:cs="宋体"/>
          <w:i w:val="0"/>
          <w:iCs w:val="0"/>
          <w:color w:val="auto"/>
          <w:sz w:val="28"/>
          <w:szCs w:val="28"/>
        </w:rPr>
      </w:pPr>
      <w:r>
        <w:rPr>
          <w:rFonts w:hint="eastAsia" w:ascii="宋体" w:hAnsi="宋体" w:cs="宋体"/>
          <w:i w:val="0"/>
          <w:iCs w:val="0"/>
          <w:color w:val="auto"/>
          <w:sz w:val="28"/>
          <w:szCs w:val="28"/>
        </w:rPr>
        <w:t>公司能借用的外部力量包括</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人民政府、</w:t>
      </w:r>
      <w:r>
        <w:rPr>
          <w:rFonts w:hint="eastAsia" w:ascii="宋体" w:hAnsi="宋体" w:cs="宋体"/>
          <w:i w:val="0"/>
          <w:iCs w:val="0"/>
          <w:color w:val="auto"/>
          <w:sz w:val="28"/>
          <w:szCs w:val="28"/>
          <w:lang w:eastAsia="zh-CN"/>
        </w:rPr>
        <w:t>仪陇县</w:t>
      </w:r>
      <w:r>
        <w:rPr>
          <w:rFonts w:hint="eastAsia" w:ascii="宋体" w:hAnsi="宋体" w:cs="宋体"/>
          <w:i w:val="0"/>
          <w:iCs w:val="0"/>
          <w:color w:val="auto"/>
          <w:sz w:val="28"/>
          <w:szCs w:val="28"/>
        </w:rPr>
        <w:t>应急管理局、</w:t>
      </w:r>
      <w:r>
        <w:rPr>
          <w:rFonts w:hint="eastAsia" w:ascii="宋体" w:hAnsi="宋体" w:cs="宋体"/>
          <w:i w:val="0"/>
          <w:iCs w:val="0"/>
          <w:color w:val="auto"/>
          <w:sz w:val="28"/>
          <w:szCs w:val="28"/>
          <w:lang w:eastAsia="zh-CN"/>
        </w:rPr>
        <w:t>仪陇县消防救援局</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仪陇县炬光乡</w:t>
      </w:r>
      <w:r>
        <w:rPr>
          <w:rFonts w:hint="eastAsia" w:ascii="宋体" w:hAnsi="宋体" w:cs="宋体"/>
          <w:i w:val="0"/>
          <w:iCs w:val="0"/>
          <w:color w:val="auto"/>
          <w:sz w:val="28"/>
          <w:szCs w:val="28"/>
          <w:lang w:val="zh-CN" w:eastAsia="zh-CN"/>
        </w:rPr>
        <w:t>政府</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仪陇县炬光卫生院</w:t>
      </w:r>
      <w:r>
        <w:rPr>
          <w:rFonts w:hint="eastAsia" w:ascii="宋体" w:hAnsi="宋体" w:cs="宋体"/>
          <w:i w:val="0"/>
          <w:iCs w:val="0"/>
          <w:color w:val="auto"/>
          <w:sz w:val="28"/>
          <w:szCs w:val="28"/>
        </w:rPr>
        <w:t>、</w:t>
      </w:r>
      <w:r>
        <w:rPr>
          <w:rFonts w:hint="eastAsia" w:ascii="宋体" w:hAnsi="宋体" w:cs="宋体"/>
          <w:i w:val="0"/>
          <w:iCs w:val="0"/>
          <w:color w:val="auto"/>
          <w:sz w:val="28"/>
          <w:szCs w:val="28"/>
          <w:lang w:eastAsia="zh-CN"/>
        </w:rPr>
        <w:t>仪陇县人民医院</w:t>
      </w:r>
      <w:r>
        <w:rPr>
          <w:rFonts w:hint="eastAsia" w:ascii="宋体" w:hAnsi="宋体" w:cs="宋体"/>
          <w:i w:val="0"/>
          <w:iCs w:val="0"/>
          <w:color w:val="auto"/>
          <w:sz w:val="28"/>
          <w:szCs w:val="28"/>
        </w:rPr>
        <w:t>以及周边企业应急救援物质。</w:t>
      </w:r>
    </w:p>
    <w:p>
      <w:pPr>
        <w:spacing w:line="360" w:lineRule="auto"/>
        <w:ind w:firstLine="560" w:firstLineChars="200"/>
        <w:rPr>
          <w:rFonts w:hint="eastAsia" w:ascii="宋体" w:hAnsi="宋体" w:cs="宋体"/>
          <w:i w:val="0"/>
          <w:iCs w:val="0"/>
          <w:color w:val="FF0000"/>
          <w:sz w:val="28"/>
          <w:szCs w:val="28"/>
        </w:rPr>
      </w:pPr>
      <w:r>
        <w:rPr>
          <w:rFonts w:hint="eastAsia" w:ascii="宋体" w:hAnsi="宋体" w:cs="宋体"/>
          <w:i w:val="0"/>
          <w:iCs w:val="0"/>
          <w:color w:val="FF0000"/>
          <w:sz w:val="28"/>
          <w:szCs w:val="28"/>
          <w:lang w:eastAsia="zh-CN"/>
        </w:rPr>
        <w:t>仪陇县炬光卫生院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600</w:t>
      </w:r>
      <w:r>
        <w:rPr>
          <w:rFonts w:hint="eastAsia" w:ascii="宋体" w:hAnsi="宋体" w:cs="宋体"/>
          <w:i w:val="0"/>
          <w:iCs w:val="0"/>
          <w:color w:val="FF0000"/>
          <w:sz w:val="28"/>
          <w:szCs w:val="28"/>
        </w:rPr>
        <w:t>m，发生事故时</w:t>
      </w:r>
      <w:r>
        <w:rPr>
          <w:rFonts w:hint="eastAsia" w:ascii="宋体" w:hAnsi="宋体" w:eastAsia="宋体" w:cs="宋体"/>
          <w:i w:val="0"/>
          <w:iCs w:val="0"/>
          <w:color w:val="FF0000"/>
          <w:sz w:val="28"/>
          <w:szCs w:val="28"/>
          <w:lang w:val="en-US" w:eastAsia="zh-CN"/>
        </w:rPr>
        <w:t>5</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仪陇县人民医院</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43</w:t>
      </w:r>
      <w:r>
        <w:rPr>
          <w:rFonts w:hint="eastAsia" w:ascii="宋体" w:hAnsi="宋体" w:cs="宋体"/>
          <w:i w:val="0"/>
          <w:iCs w:val="0"/>
          <w:color w:val="FF0000"/>
          <w:sz w:val="28"/>
          <w:szCs w:val="28"/>
        </w:rPr>
        <w:t>km，发生事故时</w:t>
      </w:r>
      <w:r>
        <w:rPr>
          <w:rFonts w:hint="eastAsia" w:ascii="宋体" w:hAnsi="宋体" w:eastAsia="宋体" w:cs="宋体"/>
          <w:i w:val="0"/>
          <w:iCs w:val="0"/>
          <w:color w:val="FF0000"/>
          <w:sz w:val="28"/>
          <w:szCs w:val="28"/>
          <w:lang w:val="en-US" w:eastAsia="zh-CN"/>
        </w:rPr>
        <w:t>1小时</w:t>
      </w:r>
      <w:r>
        <w:rPr>
          <w:rFonts w:hint="eastAsia" w:ascii="宋体" w:hAnsi="宋体" w:cs="宋体"/>
          <w:i w:val="0"/>
          <w:iCs w:val="0"/>
          <w:color w:val="FF0000"/>
          <w:sz w:val="28"/>
          <w:szCs w:val="28"/>
        </w:rPr>
        <w:t>内能到达现场。</w:t>
      </w:r>
    </w:p>
    <w:p>
      <w:pPr>
        <w:spacing w:line="360" w:lineRule="auto"/>
        <w:ind w:firstLine="560" w:firstLineChars="200"/>
        <w:rPr>
          <w:rFonts w:hint="eastAsia" w:ascii="宋体" w:hAnsi="宋体" w:cs="宋体"/>
          <w:i w:val="0"/>
          <w:iCs w:val="0"/>
          <w:color w:val="FF0000"/>
          <w:sz w:val="28"/>
          <w:szCs w:val="28"/>
          <w:lang w:eastAsia="zh-CN"/>
        </w:rPr>
      </w:pPr>
      <w:r>
        <w:rPr>
          <w:rFonts w:hint="eastAsia" w:ascii="宋体" w:hAnsi="宋体" w:cs="宋体"/>
          <w:i w:val="0"/>
          <w:iCs w:val="0"/>
          <w:color w:val="FF0000"/>
          <w:sz w:val="28"/>
          <w:szCs w:val="28"/>
          <w:lang w:eastAsia="zh-CN"/>
        </w:rPr>
        <w:t>仪陇县炬光乡</w:t>
      </w:r>
      <w:r>
        <w:rPr>
          <w:rFonts w:hint="eastAsia" w:ascii="宋体" w:hAnsi="宋体" w:cs="宋体"/>
          <w:i w:val="0"/>
          <w:iCs w:val="0"/>
          <w:color w:val="FF0000"/>
          <w:sz w:val="28"/>
          <w:szCs w:val="28"/>
          <w:lang w:val="zh-CN" w:eastAsia="zh-CN"/>
        </w:rPr>
        <w:t>政府</w:t>
      </w:r>
      <w:r>
        <w:rPr>
          <w:rFonts w:hint="eastAsia" w:ascii="宋体" w:hAnsi="宋体" w:cs="宋体"/>
          <w:i w:val="0"/>
          <w:iCs w:val="0"/>
          <w:color w:val="FF0000"/>
          <w:sz w:val="28"/>
          <w:szCs w:val="28"/>
        </w:rPr>
        <w:t>距企业距离约</w:t>
      </w:r>
      <w:r>
        <w:rPr>
          <w:rFonts w:hint="eastAsia" w:ascii="宋体" w:hAnsi="宋体" w:eastAsia="宋体" w:cs="宋体"/>
          <w:i w:val="0"/>
          <w:iCs w:val="0"/>
          <w:color w:val="FF0000"/>
          <w:sz w:val="28"/>
          <w:szCs w:val="28"/>
          <w:lang w:val="en-US" w:eastAsia="zh-CN"/>
        </w:rPr>
        <w:t>600</w:t>
      </w:r>
      <w:r>
        <w:rPr>
          <w:rFonts w:hint="eastAsia" w:ascii="宋体" w:hAnsi="宋体" w:cs="宋体"/>
          <w:i w:val="0"/>
          <w:iCs w:val="0"/>
          <w:color w:val="FF0000"/>
          <w:sz w:val="28"/>
          <w:szCs w:val="28"/>
          <w:lang w:eastAsia="zh-CN"/>
        </w:rPr>
        <w:t>k</w:t>
      </w:r>
      <w:r>
        <w:rPr>
          <w:rFonts w:hint="eastAsia" w:ascii="宋体" w:hAnsi="宋体" w:cs="宋体"/>
          <w:i w:val="0"/>
          <w:iCs w:val="0"/>
          <w:color w:val="FF0000"/>
          <w:sz w:val="28"/>
          <w:szCs w:val="28"/>
        </w:rPr>
        <w:t>m，发生事故时</w:t>
      </w:r>
      <w:r>
        <w:rPr>
          <w:rFonts w:hint="eastAsia" w:ascii="宋体" w:hAnsi="宋体" w:eastAsia="宋体" w:cs="宋体"/>
          <w:i w:val="0"/>
          <w:iCs w:val="0"/>
          <w:color w:val="FF0000"/>
          <w:sz w:val="28"/>
          <w:szCs w:val="28"/>
          <w:lang w:val="en-US" w:eastAsia="zh-CN"/>
        </w:rPr>
        <w:t>5</w:t>
      </w:r>
      <w:r>
        <w:rPr>
          <w:rFonts w:hint="eastAsia" w:ascii="宋体" w:hAnsi="宋体" w:cs="宋体"/>
          <w:i w:val="0"/>
          <w:iCs w:val="0"/>
          <w:color w:val="FF0000"/>
          <w:sz w:val="28"/>
          <w:szCs w:val="28"/>
        </w:rPr>
        <w:t>分钟内能到达现场</w:t>
      </w:r>
      <w:r>
        <w:rPr>
          <w:rFonts w:hint="eastAsia" w:ascii="宋体" w:hAnsi="宋体" w:eastAsia="宋体" w:cs="宋体"/>
          <w:i w:val="0"/>
          <w:iCs w:val="0"/>
          <w:color w:val="FF0000"/>
          <w:sz w:val="28"/>
          <w:szCs w:val="28"/>
          <w:lang w:eastAsia="zh-CN"/>
        </w:rPr>
        <w:t>；</w:t>
      </w:r>
      <w:r>
        <w:rPr>
          <w:rFonts w:hint="eastAsia" w:ascii="宋体" w:hAnsi="宋体" w:cs="宋体"/>
          <w:i w:val="0"/>
          <w:iCs w:val="0"/>
          <w:color w:val="FF0000"/>
          <w:sz w:val="28"/>
          <w:szCs w:val="28"/>
          <w:lang w:eastAsia="zh-CN"/>
        </w:rPr>
        <w:t>仪陇县消防救援局距企业距离约</w:t>
      </w:r>
      <w:r>
        <w:rPr>
          <w:rFonts w:hint="eastAsia" w:ascii="宋体" w:hAnsi="宋体" w:cs="宋体"/>
          <w:i w:val="0"/>
          <w:iCs w:val="0"/>
          <w:color w:val="FF0000"/>
          <w:sz w:val="28"/>
          <w:szCs w:val="28"/>
          <w:lang w:val="en-US" w:eastAsia="zh-CN"/>
        </w:rPr>
        <w:t>43</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1小时</w:t>
      </w:r>
      <w:r>
        <w:rPr>
          <w:rFonts w:hint="eastAsia" w:ascii="宋体" w:hAnsi="宋体" w:cs="宋体"/>
          <w:i w:val="0"/>
          <w:iCs w:val="0"/>
          <w:color w:val="FF0000"/>
          <w:sz w:val="28"/>
          <w:szCs w:val="28"/>
          <w:lang w:eastAsia="zh-CN"/>
        </w:rPr>
        <w:t>内能到达现场。仪陇县金城消防中队距企业距离约</w:t>
      </w:r>
      <w:r>
        <w:rPr>
          <w:rFonts w:hint="eastAsia" w:ascii="宋体" w:hAnsi="宋体" w:cs="宋体"/>
          <w:i w:val="0"/>
          <w:iCs w:val="0"/>
          <w:color w:val="FF0000"/>
          <w:sz w:val="28"/>
          <w:szCs w:val="28"/>
          <w:lang w:val="en-US" w:eastAsia="zh-CN"/>
        </w:rPr>
        <w:t>46</w:t>
      </w:r>
      <w:r>
        <w:rPr>
          <w:rFonts w:hint="eastAsia" w:ascii="宋体" w:hAnsi="宋体" w:cs="宋体"/>
          <w:i w:val="0"/>
          <w:iCs w:val="0"/>
          <w:color w:val="FF0000"/>
          <w:sz w:val="28"/>
          <w:szCs w:val="28"/>
          <w:lang w:eastAsia="zh-CN"/>
        </w:rPr>
        <w:t>km，发生事故时</w:t>
      </w:r>
      <w:r>
        <w:rPr>
          <w:rFonts w:hint="eastAsia" w:ascii="宋体" w:hAnsi="宋体" w:eastAsia="宋体" w:cs="宋体"/>
          <w:i w:val="0"/>
          <w:iCs w:val="0"/>
          <w:color w:val="FF0000"/>
          <w:sz w:val="28"/>
          <w:szCs w:val="28"/>
          <w:lang w:val="en-US" w:eastAsia="zh-CN"/>
        </w:rPr>
        <w:t>1.5小时</w:t>
      </w:r>
      <w:r>
        <w:rPr>
          <w:rFonts w:hint="eastAsia" w:ascii="宋体" w:hAnsi="宋体" w:cs="宋体"/>
          <w:i w:val="0"/>
          <w:iCs w:val="0"/>
          <w:color w:val="FF0000"/>
          <w:sz w:val="28"/>
          <w:szCs w:val="28"/>
          <w:lang w:eastAsia="zh-CN"/>
        </w:rPr>
        <w:t>内能到达现场。</w:t>
      </w:r>
    </w:p>
    <w:p>
      <w:pPr>
        <w:spacing w:line="360" w:lineRule="auto"/>
        <w:ind w:firstLine="560" w:firstLineChars="200"/>
        <w:rPr>
          <w:rFonts w:ascii="宋体" w:hAnsi="宋体"/>
          <w:i w:val="0"/>
          <w:iCs w:val="0"/>
          <w:color w:val="auto"/>
          <w:sz w:val="28"/>
          <w:szCs w:val="28"/>
        </w:rPr>
      </w:pPr>
      <w:r>
        <w:rPr>
          <w:rFonts w:hint="eastAsia" w:ascii="宋体" w:hAnsi="宋体"/>
          <w:i w:val="0"/>
          <w:iCs w:val="0"/>
          <w:color w:val="auto"/>
          <w:sz w:val="28"/>
          <w:szCs w:val="28"/>
        </w:rPr>
        <w:t>外部救援工作具体由指挥部负责，指挥部门负责与外部救援单位及时取得联系，并将具体地点、路线、发生事故的情况，救援所需器材的种类与外部救援单位讲清楚，同时应安排专人去接应并引路。</w:t>
      </w:r>
    </w:p>
    <w:p>
      <w:pPr>
        <w:spacing w:line="360" w:lineRule="auto"/>
        <w:jc w:val="center"/>
        <w:rPr>
          <w:rFonts w:hint="eastAsia" w:ascii="黑体" w:hAnsi="宋体" w:eastAsia="黑体"/>
          <w:b/>
          <w:bCs/>
          <w:i w:val="0"/>
          <w:iCs w:val="0"/>
          <w:color w:val="auto"/>
          <w:sz w:val="24"/>
        </w:rPr>
      </w:pPr>
      <w:r>
        <w:rPr>
          <w:rFonts w:hint="eastAsia" w:ascii="黑体" w:hAnsi="宋体" w:eastAsia="黑体"/>
          <w:b/>
          <w:bCs/>
          <w:i w:val="0"/>
          <w:iCs w:val="0"/>
          <w:color w:val="auto"/>
          <w:sz w:val="24"/>
        </w:rPr>
        <w:t>表2-</w:t>
      </w:r>
      <w:r>
        <w:rPr>
          <w:rFonts w:hint="eastAsia" w:ascii="黑体" w:hAnsi="宋体" w:eastAsia="黑体"/>
          <w:b/>
          <w:bCs/>
          <w:i w:val="0"/>
          <w:iCs w:val="0"/>
          <w:color w:val="auto"/>
          <w:sz w:val="24"/>
          <w:lang w:val="en-US" w:eastAsia="zh-CN"/>
        </w:rPr>
        <w:t>3</w:t>
      </w:r>
      <w:r>
        <w:rPr>
          <w:rFonts w:hint="eastAsia" w:ascii="黑体" w:hAnsi="宋体" w:eastAsia="黑体"/>
          <w:b/>
          <w:bCs/>
          <w:i w:val="0"/>
          <w:iCs w:val="0"/>
          <w:color w:val="auto"/>
          <w:sz w:val="24"/>
        </w:rPr>
        <w:t xml:space="preserve"> 外部应急支援一览表</w:t>
      </w:r>
    </w:p>
    <w:tbl>
      <w:tblPr>
        <w:tblStyle w:val="19"/>
        <w:tblW w:w="93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742"/>
        <w:gridCol w:w="765"/>
        <w:gridCol w:w="780"/>
        <w:gridCol w:w="4216"/>
        <w:gridCol w:w="1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序号</w:t>
            </w:r>
          </w:p>
        </w:tc>
        <w:tc>
          <w:tcPr>
            <w:tcW w:w="1742"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物资和装备名称</w:t>
            </w:r>
          </w:p>
        </w:tc>
        <w:tc>
          <w:tcPr>
            <w:tcW w:w="765"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数量</w:t>
            </w:r>
          </w:p>
        </w:tc>
        <w:tc>
          <w:tcPr>
            <w:tcW w:w="780"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w:t>
            </w:r>
          </w:p>
        </w:tc>
        <w:tc>
          <w:tcPr>
            <w:tcW w:w="4216" w:type="dxa"/>
            <w:noWrap w:val="0"/>
            <w:vAlign w:val="center"/>
          </w:tcPr>
          <w:p>
            <w:pPr>
              <w:spacing w:line="460" w:lineRule="exact"/>
              <w:jc w:val="center"/>
              <w:rPr>
                <w:rFonts w:ascii="宋体" w:hAnsi="宋体"/>
                <w:b/>
                <w:bCs/>
                <w:i w:val="0"/>
                <w:iCs w:val="0"/>
                <w:color w:val="auto"/>
                <w:szCs w:val="21"/>
              </w:rPr>
            </w:pPr>
            <w:r>
              <w:rPr>
                <w:rFonts w:hint="eastAsia" w:ascii="宋体" w:hAnsi="宋体"/>
                <w:b/>
                <w:bCs/>
                <w:i w:val="0"/>
                <w:iCs w:val="0"/>
                <w:color w:val="auto"/>
                <w:szCs w:val="21"/>
              </w:rPr>
              <w:t>单位名称</w:t>
            </w:r>
          </w:p>
        </w:tc>
        <w:tc>
          <w:tcPr>
            <w:tcW w:w="1084" w:type="dxa"/>
            <w:noWrap w:val="0"/>
            <w:vAlign w:val="center"/>
          </w:tcPr>
          <w:p>
            <w:pPr>
              <w:spacing w:line="460" w:lineRule="exact"/>
              <w:jc w:val="center"/>
              <w:rPr>
                <w:rFonts w:hint="eastAsia" w:ascii="宋体" w:hAnsi="宋体"/>
                <w:b/>
                <w:bCs/>
                <w:i w:val="0"/>
                <w:iCs w:val="0"/>
                <w:color w:val="auto"/>
                <w:szCs w:val="21"/>
              </w:rPr>
            </w:pPr>
            <w:r>
              <w:rPr>
                <w:rFonts w:hint="eastAsia" w:ascii="宋体" w:hAnsi="宋体"/>
                <w:b/>
                <w:bCs/>
                <w:i w:val="0"/>
                <w:iCs w:val="0"/>
                <w:color w:val="auto"/>
                <w:szCs w:val="21"/>
              </w:rPr>
              <w:t>联络人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1）</w:t>
            </w:r>
          </w:p>
        </w:tc>
        <w:tc>
          <w:tcPr>
            <w:tcW w:w="1742"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消防</w:t>
            </w:r>
            <w:r>
              <w:rPr>
                <w:rFonts w:hint="eastAsia" w:ascii="宋体" w:hAnsi="宋体" w:eastAsia="宋体"/>
                <w:i w:val="0"/>
                <w:iCs w:val="0"/>
                <w:color w:val="auto"/>
                <w:szCs w:val="21"/>
                <w:lang w:eastAsia="zh-CN"/>
              </w:rPr>
              <w:t>用水</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eastAsia="宋体"/>
                <w:i w:val="0"/>
                <w:iCs w:val="0"/>
                <w:color w:val="auto"/>
                <w:szCs w:val="21"/>
                <w:lang w:val="en-US" w:eastAsia="zh-CN"/>
              </w:rPr>
              <w:t>1</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spacing w:line="440" w:lineRule="exact"/>
              <w:ind w:firstLine="105" w:firstLineChars="50"/>
              <w:rPr>
                <w:rFonts w:hint="eastAsia" w:ascii="宋体" w:hAnsi="宋体" w:eastAsia="宋体"/>
                <w:i w:val="0"/>
                <w:iCs w:val="0"/>
                <w:color w:val="auto"/>
                <w:szCs w:val="21"/>
                <w:lang w:eastAsia="zh-CN"/>
              </w:rPr>
            </w:pPr>
            <w:r>
              <w:rPr>
                <w:rFonts w:hint="eastAsia" w:ascii="宋体" w:hAnsi="宋体"/>
                <w:i w:val="0"/>
                <w:iCs w:val="0"/>
                <w:color w:val="auto"/>
                <w:szCs w:val="21"/>
              </w:rPr>
              <w:t>企业</w:t>
            </w:r>
            <w:r>
              <w:rPr>
                <w:rFonts w:hint="eastAsia" w:ascii="宋体" w:hAnsi="宋体" w:eastAsia="宋体"/>
                <w:i w:val="0"/>
                <w:iCs w:val="0"/>
                <w:color w:val="auto"/>
                <w:szCs w:val="21"/>
                <w:lang w:eastAsia="zh-CN"/>
              </w:rPr>
              <w:t>内水池（</w:t>
            </w:r>
            <w:r>
              <w:rPr>
                <w:rFonts w:hint="eastAsia" w:ascii="宋体" w:hAnsi="宋体" w:eastAsia="宋体"/>
                <w:i w:val="0"/>
                <w:iCs w:val="0"/>
                <w:color w:val="auto"/>
                <w:szCs w:val="21"/>
                <w:lang w:val="en-US" w:eastAsia="zh-CN"/>
              </w:rPr>
              <w:t>20m</w:t>
            </w:r>
            <w:r>
              <w:rPr>
                <w:rFonts w:hint="eastAsia" w:ascii="宋体" w:hAnsi="宋体" w:eastAsia="宋体"/>
                <w:i w:val="0"/>
                <w:iCs w:val="0"/>
                <w:color w:val="auto"/>
                <w:szCs w:val="21"/>
                <w:vertAlign w:val="superscript"/>
                <w:lang w:val="en-US" w:eastAsia="zh-CN"/>
              </w:rPr>
              <w:t>3</w:t>
            </w:r>
            <w:r>
              <w:rPr>
                <w:rFonts w:hint="eastAsia" w:ascii="宋体" w:hAnsi="宋体" w:eastAsia="宋体"/>
                <w:i w:val="0"/>
                <w:iCs w:val="0"/>
                <w:color w:val="auto"/>
                <w:szCs w:val="21"/>
                <w:lang w:eastAsia="zh-CN"/>
              </w:rPr>
              <w:t>）</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0" w:hRule="atLeast"/>
          <w:jc w:val="center"/>
        </w:trPr>
        <w:tc>
          <w:tcPr>
            <w:tcW w:w="717"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 xml:space="preserve"> 2）</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消防车</w:t>
            </w:r>
          </w:p>
        </w:tc>
        <w:tc>
          <w:tcPr>
            <w:tcW w:w="765" w:type="dxa"/>
            <w:noWrap w:val="0"/>
            <w:vAlign w:val="top"/>
          </w:tcPr>
          <w:p>
            <w:pPr>
              <w:spacing w:line="440" w:lineRule="exact"/>
              <w:ind w:firstLine="105" w:firstLineChars="50"/>
              <w:jc w:val="center"/>
              <w:rPr>
                <w:rFonts w:hint="eastAsia" w:ascii="宋体" w:hAnsi="宋体"/>
                <w:i w:val="0"/>
                <w:iCs w:val="0"/>
                <w:color w:val="auto"/>
                <w:szCs w:val="21"/>
                <w:lang w:eastAsia="zh-CN"/>
              </w:rPr>
            </w:pPr>
            <w:r>
              <w:rPr>
                <w:rFonts w:hint="eastAsia" w:ascii="宋体" w:hAnsi="宋体"/>
                <w:i w:val="0"/>
                <w:iCs w:val="0"/>
                <w:color w:val="auto"/>
                <w:szCs w:val="21"/>
                <w:lang w:val="en-US" w:eastAsia="zh-CN"/>
              </w:rPr>
              <w:t>7</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rPr>
              <w:t>辆</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4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3）</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消防人员</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i w:val="0"/>
                <w:iCs w:val="0"/>
                <w:color w:val="auto"/>
                <w:szCs w:val="21"/>
                <w:lang w:val="en-US" w:eastAsia="zh-CN"/>
              </w:rPr>
              <w:t>4</w:t>
            </w:r>
            <w:r>
              <w:rPr>
                <w:rFonts w:hint="eastAsia" w:ascii="宋体" w:hAnsi="宋体"/>
                <w:i w:val="0"/>
                <w:iCs w:val="0"/>
                <w:color w:val="auto"/>
                <w:szCs w:val="21"/>
              </w:rPr>
              <w:t>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4）</w:t>
            </w:r>
          </w:p>
        </w:tc>
        <w:tc>
          <w:tcPr>
            <w:tcW w:w="1742" w:type="dxa"/>
            <w:noWrap w:val="0"/>
            <w:vAlign w:val="top"/>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防护装备</w:t>
            </w:r>
          </w:p>
        </w:tc>
        <w:tc>
          <w:tcPr>
            <w:tcW w:w="765" w:type="dxa"/>
            <w:noWrap w:val="0"/>
            <w:vAlign w:val="top"/>
          </w:tcPr>
          <w:p>
            <w:pPr>
              <w:spacing w:line="440" w:lineRule="exact"/>
              <w:ind w:firstLine="105" w:firstLineChars="50"/>
              <w:rPr>
                <w:rFonts w:hint="default" w:ascii="宋体" w:hAnsi="宋体"/>
                <w:i w:val="0"/>
                <w:iCs w:val="0"/>
                <w:color w:val="auto"/>
                <w:szCs w:val="21"/>
                <w:lang w:val="en-US" w:eastAsia="zh-CN"/>
              </w:rPr>
            </w:pPr>
            <w:r>
              <w:rPr>
                <w:rFonts w:hint="eastAsia" w:ascii="宋体" w:hAnsi="宋体"/>
                <w:i w:val="0"/>
                <w:iCs w:val="0"/>
                <w:color w:val="auto"/>
                <w:szCs w:val="21"/>
                <w:lang w:val="en-US" w:eastAsia="zh-CN"/>
              </w:rPr>
              <w:t>500</w:t>
            </w:r>
          </w:p>
        </w:tc>
        <w:tc>
          <w:tcPr>
            <w:tcW w:w="780" w:type="dxa"/>
            <w:noWrap w:val="0"/>
            <w:vAlign w:val="center"/>
          </w:tcPr>
          <w:p>
            <w:pPr>
              <w:spacing w:line="440" w:lineRule="exact"/>
              <w:ind w:firstLine="105" w:firstLineChars="50"/>
              <w:rPr>
                <w:rFonts w:hint="eastAsia" w:ascii="宋体" w:hAnsi="宋体"/>
                <w:i w:val="0"/>
                <w:iCs w:val="0"/>
                <w:color w:val="auto"/>
                <w:szCs w:val="21"/>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5）</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射水器材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35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6）</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输水器材</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175</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7）</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抢险救援装备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171</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hint="eastAsia"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8</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其它器材装备</w:t>
            </w:r>
          </w:p>
        </w:tc>
        <w:tc>
          <w:tcPr>
            <w:tcW w:w="765"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116</w:t>
            </w:r>
          </w:p>
        </w:tc>
        <w:tc>
          <w:tcPr>
            <w:tcW w:w="780" w:type="dxa"/>
            <w:noWrap w:val="0"/>
            <w:vAlign w:val="center"/>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件</w:t>
            </w:r>
          </w:p>
        </w:tc>
        <w:tc>
          <w:tcPr>
            <w:tcW w:w="4216" w:type="dxa"/>
            <w:noWrap w:val="0"/>
            <w:vAlign w:val="top"/>
          </w:tcPr>
          <w:p>
            <w:pPr>
              <w:spacing w:line="440" w:lineRule="exact"/>
              <w:ind w:firstLine="105" w:firstLineChars="50"/>
              <w:rPr>
                <w:rFonts w:hint="eastAsia" w:ascii="宋体" w:hAnsi="宋体"/>
                <w:i w:val="0"/>
                <w:iCs w:val="0"/>
                <w:color w:val="auto"/>
                <w:szCs w:val="21"/>
                <w:lang w:val="en-US" w:eastAsia="zh-CN"/>
              </w:rPr>
            </w:pPr>
            <w:r>
              <w:rPr>
                <w:rFonts w:hint="eastAsia" w:ascii="宋体" w:hAnsi="宋体"/>
                <w:i w:val="0"/>
                <w:iCs w:val="0"/>
                <w:color w:val="auto"/>
                <w:szCs w:val="21"/>
                <w:lang w:val="en-US" w:eastAsia="zh-CN"/>
              </w:rPr>
              <w:t>仪陇县消防救援局、仪陇县金城消防中队</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rPr>
              <w:t xml:space="preserve"> </w:t>
            </w:r>
            <w:r>
              <w:rPr>
                <w:rFonts w:hint="eastAsia" w:ascii="宋体" w:hAnsi="宋体"/>
                <w:i w:val="0"/>
                <w:iCs w:val="0"/>
                <w:color w:val="auto"/>
                <w:szCs w:val="21"/>
                <w:lang w:val="en-US" w:eastAsia="zh-CN"/>
              </w:rPr>
              <w:t>9</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急救车</w:t>
            </w:r>
          </w:p>
        </w:tc>
        <w:tc>
          <w:tcPr>
            <w:tcW w:w="765" w:type="dxa"/>
            <w:noWrap w:val="0"/>
            <w:vAlign w:val="top"/>
          </w:tcPr>
          <w:p>
            <w:pPr>
              <w:spacing w:line="440" w:lineRule="exact"/>
              <w:ind w:firstLine="105" w:firstLineChars="50"/>
              <w:jc w:val="center"/>
              <w:rPr>
                <w:rFonts w:hint="eastAsia" w:ascii="宋体" w:hAnsi="宋体" w:eastAsia="宋体"/>
                <w:i w:val="0"/>
                <w:iCs w:val="0"/>
                <w:color w:val="auto"/>
                <w:szCs w:val="21"/>
                <w:lang w:eastAsia="zh-CN"/>
              </w:rPr>
            </w:pPr>
            <w:r>
              <w:rPr>
                <w:rFonts w:hint="eastAsia" w:ascii="宋体" w:hAnsi="宋体"/>
                <w:i w:val="0"/>
                <w:iCs w:val="0"/>
                <w:color w:val="auto"/>
                <w:szCs w:val="21"/>
                <w:lang w:val="en-US" w:eastAsia="zh-CN"/>
              </w:rPr>
              <w:t>3</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辆</w:t>
            </w:r>
          </w:p>
        </w:tc>
        <w:tc>
          <w:tcPr>
            <w:tcW w:w="4216" w:type="dxa"/>
            <w:noWrap w:val="0"/>
            <w:vAlign w:val="center"/>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仪陇县人民医院、仪陇县炬光卫生院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10</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担架</w:t>
            </w:r>
          </w:p>
        </w:tc>
        <w:tc>
          <w:tcPr>
            <w:tcW w:w="765" w:type="dxa"/>
            <w:noWrap w:val="0"/>
            <w:vAlign w:val="top"/>
          </w:tcPr>
          <w:p>
            <w:pPr>
              <w:spacing w:line="440" w:lineRule="exact"/>
              <w:ind w:firstLine="105" w:firstLineChars="50"/>
              <w:jc w:val="center"/>
              <w:rPr>
                <w:rFonts w:hint="eastAsia" w:ascii="宋体" w:hAnsi="宋体"/>
                <w:i w:val="0"/>
                <w:iCs w:val="0"/>
                <w:color w:val="auto"/>
                <w:szCs w:val="21"/>
              </w:rPr>
            </w:pPr>
            <w:r>
              <w:rPr>
                <w:rFonts w:hint="eastAsia" w:ascii="宋体" w:hAnsi="宋体"/>
                <w:i w:val="0"/>
                <w:iCs w:val="0"/>
                <w:color w:val="auto"/>
                <w:szCs w:val="21"/>
              </w:rPr>
              <w:t>5</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仪陇县人民医院、仪陇县炬光卫生院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11</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应急床位</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i w:val="0"/>
                <w:iCs w:val="0"/>
                <w:color w:val="auto"/>
                <w:szCs w:val="21"/>
                <w:lang w:val="en-US" w:eastAsia="zh-CN"/>
              </w:rPr>
              <w:t>30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个</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仪陇县人民医院、仪陇县炬光卫生院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jc w:val="center"/>
        </w:trPr>
        <w:tc>
          <w:tcPr>
            <w:tcW w:w="717" w:type="dxa"/>
            <w:noWrap w:val="0"/>
            <w:vAlign w:val="center"/>
          </w:tcPr>
          <w:p>
            <w:pPr>
              <w:spacing w:line="460" w:lineRule="exact"/>
              <w:rPr>
                <w:rFonts w:ascii="宋体" w:hAnsi="宋体"/>
                <w:i w:val="0"/>
                <w:iCs w:val="0"/>
                <w:color w:val="auto"/>
                <w:szCs w:val="21"/>
              </w:rPr>
            </w:pPr>
            <w:r>
              <w:rPr>
                <w:rFonts w:hint="eastAsia" w:ascii="宋体" w:hAnsi="宋体"/>
                <w:i w:val="0"/>
                <w:iCs w:val="0"/>
                <w:color w:val="auto"/>
                <w:szCs w:val="21"/>
                <w:lang w:val="en-US" w:eastAsia="zh-CN"/>
              </w:rPr>
              <w:t>12</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急救医生</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10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center"/>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仪陇县人民医院、仪陇县炬光卫生院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717" w:type="dxa"/>
            <w:noWrap w:val="0"/>
            <w:vAlign w:val="center"/>
          </w:tcPr>
          <w:p>
            <w:pPr>
              <w:numPr>
                <w:ilvl w:val="0"/>
                <w:numId w:val="0"/>
              </w:numPr>
              <w:tabs>
                <w:tab w:val="left" w:pos="360"/>
              </w:tabs>
              <w:spacing w:line="460" w:lineRule="exact"/>
              <w:ind w:leftChars="0"/>
              <w:jc w:val="both"/>
              <w:rPr>
                <w:rFonts w:ascii="宋体" w:hAnsi="宋体"/>
                <w:i w:val="0"/>
                <w:iCs w:val="0"/>
                <w:color w:val="auto"/>
                <w:szCs w:val="21"/>
              </w:rPr>
            </w:pPr>
            <w:r>
              <w:rPr>
                <w:rFonts w:hint="eastAsia" w:ascii="宋体" w:hAnsi="宋体"/>
                <w:i w:val="0"/>
                <w:iCs w:val="0"/>
                <w:color w:val="auto"/>
                <w:szCs w:val="21"/>
                <w:lang w:val="en-US" w:eastAsia="zh-CN"/>
              </w:rPr>
              <w:t>13</w:t>
            </w:r>
            <w:r>
              <w:rPr>
                <w:rFonts w:hint="eastAsia" w:ascii="宋体" w:hAnsi="宋体"/>
                <w:i w:val="0"/>
                <w:iCs w:val="0"/>
                <w:color w:val="auto"/>
                <w:szCs w:val="21"/>
              </w:rPr>
              <w:t>）</w:t>
            </w:r>
          </w:p>
        </w:tc>
        <w:tc>
          <w:tcPr>
            <w:tcW w:w="1742" w:type="dxa"/>
            <w:noWrap w:val="0"/>
            <w:vAlign w:val="top"/>
          </w:tcPr>
          <w:p>
            <w:pPr>
              <w:spacing w:line="440" w:lineRule="exact"/>
              <w:ind w:firstLine="105" w:firstLineChars="50"/>
              <w:rPr>
                <w:rFonts w:ascii="宋体" w:hAnsi="宋体"/>
                <w:i w:val="0"/>
                <w:iCs w:val="0"/>
                <w:color w:val="auto"/>
                <w:szCs w:val="21"/>
              </w:rPr>
            </w:pPr>
            <w:r>
              <w:rPr>
                <w:rFonts w:hint="eastAsia" w:ascii="宋体" w:hAnsi="宋体"/>
                <w:i w:val="0"/>
                <w:iCs w:val="0"/>
                <w:color w:val="auto"/>
                <w:szCs w:val="21"/>
              </w:rPr>
              <w:t>急救护士</w:t>
            </w:r>
          </w:p>
        </w:tc>
        <w:tc>
          <w:tcPr>
            <w:tcW w:w="765" w:type="dxa"/>
            <w:noWrap w:val="0"/>
            <w:vAlign w:val="top"/>
          </w:tcPr>
          <w:p>
            <w:pPr>
              <w:spacing w:line="440" w:lineRule="exact"/>
              <w:ind w:firstLine="105" w:firstLineChars="50"/>
              <w:jc w:val="center"/>
              <w:rPr>
                <w:rFonts w:hint="default" w:ascii="宋体" w:hAnsi="宋体" w:eastAsia="宋体"/>
                <w:i w:val="0"/>
                <w:iCs w:val="0"/>
                <w:color w:val="auto"/>
                <w:szCs w:val="21"/>
                <w:lang w:val="en-US" w:eastAsia="zh-CN"/>
              </w:rPr>
            </w:pPr>
            <w:r>
              <w:rPr>
                <w:rFonts w:hint="eastAsia" w:ascii="宋体" w:hAnsi="宋体" w:eastAsia="宋体"/>
                <w:i w:val="0"/>
                <w:iCs w:val="0"/>
                <w:color w:val="auto"/>
                <w:szCs w:val="21"/>
                <w:lang w:val="en-US" w:eastAsia="zh-CN"/>
              </w:rPr>
              <w:t>20</w:t>
            </w:r>
          </w:p>
        </w:tc>
        <w:tc>
          <w:tcPr>
            <w:tcW w:w="780" w:type="dxa"/>
            <w:noWrap w:val="0"/>
            <w:vAlign w:val="center"/>
          </w:tcPr>
          <w:p>
            <w:pPr>
              <w:spacing w:line="460" w:lineRule="exact"/>
              <w:jc w:val="center"/>
              <w:rPr>
                <w:rFonts w:ascii="宋体" w:hAnsi="宋体"/>
                <w:i w:val="0"/>
                <w:iCs w:val="0"/>
                <w:color w:val="auto"/>
                <w:szCs w:val="21"/>
              </w:rPr>
            </w:pPr>
            <w:r>
              <w:rPr>
                <w:rFonts w:hint="eastAsia" w:ascii="宋体" w:hAnsi="宋体"/>
                <w:i w:val="0"/>
                <w:iCs w:val="0"/>
                <w:color w:val="auto"/>
                <w:szCs w:val="21"/>
              </w:rPr>
              <w:t>人</w:t>
            </w:r>
          </w:p>
        </w:tc>
        <w:tc>
          <w:tcPr>
            <w:tcW w:w="4216" w:type="dxa"/>
            <w:noWrap w:val="0"/>
            <w:vAlign w:val="top"/>
          </w:tcPr>
          <w:p>
            <w:pPr>
              <w:rPr>
                <w:rFonts w:hint="eastAsia" w:ascii="宋体" w:hAnsi="宋体"/>
                <w:i w:val="0"/>
                <w:iCs w:val="0"/>
                <w:color w:val="auto"/>
                <w:szCs w:val="21"/>
              </w:rPr>
            </w:pPr>
            <w:r>
              <w:rPr>
                <w:rFonts w:hint="eastAsia" w:ascii="宋体" w:hAnsi="宋体"/>
                <w:i w:val="0"/>
                <w:iCs w:val="0"/>
                <w:color w:val="auto"/>
                <w:szCs w:val="21"/>
                <w:lang w:val="en-US" w:eastAsia="zh-CN"/>
              </w:rPr>
              <w:t>仪陇县人民医院、仪陇县炬光卫生院</w:t>
            </w:r>
          </w:p>
        </w:tc>
        <w:tc>
          <w:tcPr>
            <w:tcW w:w="1084" w:type="dxa"/>
            <w:noWrap w:val="0"/>
            <w:vAlign w:val="center"/>
          </w:tcPr>
          <w:p>
            <w:pPr>
              <w:spacing w:line="460" w:lineRule="exact"/>
              <w:jc w:val="center"/>
              <w:rPr>
                <w:rFonts w:hint="eastAsia" w:ascii="宋体" w:hAnsi="宋体"/>
                <w:i w:val="0"/>
                <w:iCs w:val="0"/>
                <w:color w:val="auto"/>
                <w:szCs w:val="21"/>
              </w:rPr>
            </w:pPr>
            <w:r>
              <w:rPr>
                <w:rFonts w:hint="eastAsia" w:ascii="宋体" w:hAnsi="宋体"/>
                <w:i w:val="0"/>
                <w:iCs w:val="0"/>
                <w:color w:val="auto"/>
                <w:szCs w:val="21"/>
                <w:lang w:eastAsia="zh-CN"/>
              </w:rPr>
              <w:t>刘小菊</w:t>
            </w:r>
          </w:p>
        </w:tc>
      </w:tr>
      <w:bookmarkEnd w:id="33"/>
      <w:bookmarkEnd w:id="34"/>
      <w:bookmarkEnd w:id="35"/>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spacing w:line="360" w:lineRule="auto"/>
        <w:jc w:val="center"/>
        <w:outlineLvl w:val="0"/>
        <w:rPr>
          <w:rFonts w:hint="eastAsia" w:ascii="黑体" w:hAnsi="宋体" w:eastAsia="黑体"/>
          <w:b/>
          <w:sz w:val="32"/>
          <w:szCs w:val="32"/>
          <w:lang w:val="en-US" w:eastAsia="zh-CN"/>
        </w:rPr>
      </w:pPr>
      <w:bookmarkStart w:id="47" w:name="_Toc19205"/>
      <w:r>
        <w:rPr>
          <w:rFonts w:hint="eastAsia" w:ascii="黑体" w:hAnsi="宋体" w:eastAsia="黑体"/>
          <w:b/>
          <w:sz w:val="32"/>
          <w:szCs w:val="32"/>
          <w:lang w:val="en-US" w:eastAsia="zh-CN"/>
        </w:rPr>
        <w:t>3危险、有害因素辨识</w:t>
      </w:r>
      <w:bookmarkEnd w:id="47"/>
    </w:p>
    <w:p>
      <w:pPr>
        <w:pStyle w:val="8"/>
        <w:spacing w:line="360" w:lineRule="auto"/>
        <w:ind w:firstLine="0" w:firstLineChars="0"/>
        <w:outlineLvl w:val="1"/>
        <w:rPr>
          <w:rFonts w:hint="eastAsia" w:ascii="黑体" w:eastAsia="黑体"/>
          <w:b/>
          <w:snapToGrid w:val="0"/>
          <w:kern w:val="0"/>
          <w:sz w:val="32"/>
          <w:szCs w:val="32"/>
        </w:rPr>
      </w:pPr>
      <w:bookmarkStart w:id="48" w:name="_Toc16059"/>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1 危险、有害因素辨识的目的</w:t>
      </w:r>
      <w:bookmarkEnd w:id="36"/>
      <w:bookmarkEnd w:id="37"/>
      <w:bookmarkEnd w:id="48"/>
    </w:p>
    <w:p>
      <w:pPr>
        <w:autoSpaceDE w:val="0"/>
        <w:autoSpaceDN w:val="0"/>
        <w:adjustRightInd w:val="0"/>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危险、有害因素是指能造成人员伤亡或影响人体健康、导致疾病和对物造成突发性或慢性损坏的因素。充分识别并掌握</w:t>
      </w:r>
      <w:r>
        <w:rPr>
          <w:rFonts w:hint="eastAsia" w:ascii="宋体" w:hAnsi="宋体"/>
          <w:snapToGrid w:val="0"/>
          <w:kern w:val="0"/>
          <w:sz w:val="28"/>
          <w:szCs w:val="28"/>
          <w:lang w:eastAsia="zh-CN"/>
        </w:rPr>
        <w:t>公司</w:t>
      </w:r>
      <w:r>
        <w:rPr>
          <w:rFonts w:hint="eastAsia" w:ascii="宋体" w:hAnsi="宋体"/>
          <w:snapToGrid w:val="0"/>
          <w:kern w:val="0"/>
          <w:sz w:val="28"/>
          <w:szCs w:val="28"/>
        </w:rPr>
        <w:t>生产系统中的危险有害因素，为企业有效减少人员伤亡和财产损失，确保生产安全具有重要意义；为企业</w:t>
      </w:r>
      <w:r>
        <w:rPr>
          <w:rFonts w:ascii="宋体" w:hAnsi="宋体"/>
          <w:snapToGrid w:val="0"/>
          <w:kern w:val="0"/>
          <w:sz w:val="28"/>
          <w:szCs w:val="28"/>
        </w:rPr>
        <w:t>在</w:t>
      </w:r>
      <w:r>
        <w:rPr>
          <w:rFonts w:hint="eastAsia" w:ascii="宋体" w:hAnsi="宋体"/>
          <w:snapToGrid w:val="0"/>
          <w:kern w:val="0"/>
          <w:sz w:val="28"/>
          <w:szCs w:val="28"/>
        </w:rPr>
        <w:t>实际生产中查找事故隐患并制定整改措施、制定事故应急救援预案</w:t>
      </w:r>
      <w:r>
        <w:rPr>
          <w:rFonts w:ascii="宋体" w:hAnsi="宋体"/>
          <w:snapToGrid w:val="0"/>
          <w:kern w:val="0"/>
          <w:sz w:val="28"/>
          <w:szCs w:val="28"/>
        </w:rPr>
        <w:t>指明方向。</w:t>
      </w:r>
    </w:p>
    <w:p>
      <w:pPr>
        <w:pStyle w:val="8"/>
        <w:spacing w:line="360" w:lineRule="auto"/>
        <w:ind w:firstLine="0" w:firstLineChars="0"/>
        <w:outlineLvl w:val="1"/>
        <w:rPr>
          <w:rFonts w:ascii="黑体" w:eastAsia="黑体"/>
          <w:b/>
          <w:snapToGrid w:val="0"/>
          <w:kern w:val="0"/>
          <w:sz w:val="32"/>
          <w:szCs w:val="32"/>
        </w:rPr>
      </w:pPr>
      <w:bookmarkStart w:id="49" w:name="_Toc356401484"/>
      <w:bookmarkStart w:id="50" w:name="_Toc514342839"/>
      <w:bookmarkStart w:id="51" w:name="_Toc480804387"/>
      <w:bookmarkStart w:id="52" w:name="_Toc316"/>
      <w:bookmarkStart w:id="53" w:name="_Toc350781091"/>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2 危险、有害因素辨识的依据</w:t>
      </w:r>
      <w:bookmarkEnd w:id="49"/>
      <w:bookmarkEnd w:id="50"/>
      <w:bookmarkEnd w:id="51"/>
      <w:bookmarkEnd w:id="52"/>
      <w:bookmarkEnd w:id="53"/>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（1）按照《危险化学品名录（20</w:t>
      </w:r>
      <w:r>
        <w:rPr>
          <w:rFonts w:hint="eastAsia" w:ascii="宋体" w:hAnsi="宋体"/>
          <w:snapToGrid w:val="0"/>
          <w:kern w:val="0"/>
          <w:sz w:val="28"/>
          <w:szCs w:val="28"/>
        </w:rPr>
        <w:t>15</w:t>
      </w:r>
      <w:r>
        <w:rPr>
          <w:rFonts w:ascii="宋体" w:hAnsi="宋体"/>
          <w:snapToGrid w:val="0"/>
          <w:kern w:val="0"/>
          <w:sz w:val="28"/>
          <w:szCs w:val="28"/>
        </w:rPr>
        <w:t>版）》将有害物质分为爆炸品、压缩气体和液化气体、易燃液体、易燃固体、自燃物品和遇湿易燃物品、氧化剂和有机过氧化物、毒害品和感染性物品、腐蚀品8大类，对系统中使用的物质及产品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（2）根据《危险化学品重大危险源辨识》（</w:t>
      </w:r>
      <w:r>
        <w:rPr>
          <w:rFonts w:hint="eastAsia" w:ascii="宋体" w:hAnsi="宋体"/>
          <w:snapToGrid w:val="0"/>
          <w:kern w:val="0"/>
          <w:sz w:val="28"/>
          <w:szCs w:val="28"/>
          <w:lang w:eastAsia="zh-CN"/>
        </w:rPr>
        <w:t>GB18218-2018</w:t>
      </w:r>
      <w:r>
        <w:rPr>
          <w:rFonts w:ascii="宋体" w:hAnsi="宋体"/>
          <w:snapToGrid w:val="0"/>
          <w:kern w:val="0"/>
          <w:sz w:val="28"/>
          <w:szCs w:val="28"/>
        </w:rPr>
        <w:t>），对</w:t>
      </w:r>
      <w:r>
        <w:rPr>
          <w:rFonts w:hint="eastAsia" w:ascii="宋体" w:hAnsi="宋体"/>
          <w:snapToGrid w:val="0"/>
          <w:kern w:val="0"/>
          <w:sz w:val="28"/>
          <w:szCs w:val="28"/>
          <w:lang w:eastAsia="zh-CN"/>
        </w:rPr>
        <w:t>厂区</w:t>
      </w:r>
      <w:r>
        <w:rPr>
          <w:rFonts w:ascii="宋体" w:hAnsi="宋体"/>
          <w:snapToGrid w:val="0"/>
          <w:kern w:val="0"/>
          <w:sz w:val="28"/>
          <w:szCs w:val="28"/>
        </w:rPr>
        <w:t>中使用到的各种物质进行重大危险源的计算与辨识。</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3）参照《企业职工伤亡事故分类》（GB6441-1986），综合考虑起因物、引发事故的诱导性原因、致害物、伤害方式等，将事故分为物体打击、车辆伤害、机械伤害、起重伤害、触电等20类，对系统中作业场所按照事故类型进行辨识与分析。</w:t>
      </w:r>
    </w:p>
    <w:p>
      <w:pPr>
        <w:adjustRightInd w:val="0"/>
        <w:snapToGrid w:val="0"/>
        <w:spacing w:line="360" w:lineRule="auto"/>
        <w:ind w:firstLine="560" w:firstLineChars="200"/>
        <w:rPr>
          <w:rFonts w:ascii="宋体" w:hAnsi="宋体"/>
          <w:snapToGrid w:val="0"/>
          <w:kern w:val="0"/>
          <w:sz w:val="28"/>
          <w:szCs w:val="28"/>
        </w:rPr>
      </w:pPr>
      <w:r>
        <w:rPr>
          <w:rFonts w:ascii="宋体" w:hAnsi="宋体"/>
          <w:snapToGrid w:val="0"/>
          <w:kern w:val="0"/>
          <w:sz w:val="28"/>
          <w:szCs w:val="28"/>
        </w:rPr>
        <w:t>（4）根据《生产过程危险和危害因素分类与代码》（GB/T13861-2009）对</w:t>
      </w:r>
      <w:r>
        <w:rPr>
          <w:rFonts w:hint="eastAsia" w:ascii="宋体" w:hAnsi="宋体"/>
          <w:snapToGrid w:val="0"/>
          <w:kern w:val="0"/>
          <w:sz w:val="28"/>
          <w:szCs w:val="28"/>
          <w:lang w:eastAsia="zh-CN"/>
        </w:rPr>
        <w:t>厂区</w:t>
      </w:r>
      <w:r>
        <w:rPr>
          <w:rFonts w:ascii="宋体" w:hAnsi="宋体"/>
          <w:snapToGrid w:val="0"/>
          <w:kern w:val="0"/>
          <w:sz w:val="28"/>
          <w:szCs w:val="28"/>
        </w:rPr>
        <w:t>生产过程中的危险、有害因素进行辨识与分析。</w:t>
      </w:r>
    </w:p>
    <w:p>
      <w:pPr>
        <w:spacing w:line="360" w:lineRule="auto"/>
        <w:ind w:firstLine="560" w:firstLineChars="200"/>
        <w:textAlignment w:val="baseline"/>
        <w:rPr>
          <w:rFonts w:hint="eastAsia" w:ascii="宋体" w:hAnsi="宋体"/>
          <w:sz w:val="28"/>
          <w:szCs w:val="28"/>
        </w:rPr>
      </w:pPr>
      <w:bookmarkStart w:id="54" w:name="_Toc356401485"/>
      <w:bookmarkStart w:id="55" w:name="_Toc350781092"/>
      <w:bookmarkStart w:id="56" w:name="_Toc480804388"/>
      <w:r>
        <w:rPr>
          <w:rFonts w:hint="eastAsia" w:ascii="宋体" w:hAnsi="宋体"/>
          <w:sz w:val="28"/>
          <w:szCs w:val="28"/>
        </w:rPr>
        <w:t>（5）参照</w:t>
      </w:r>
      <w:r>
        <w:rPr>
          <w:rFonts w:hint="eastAsia" w:ascii="宋体" w:hAnsi="宋体"/>
          <w:bCs/>
          <w:sz w:val="28"/>
          <w:szCs w:val="28"/>
        </w:rPr>
        <w:t>《职业病危害因素分类》（</w:t>
      </w:r>
      <w:r>
        <w:rPr>
          <w:rFonts w:ascii="宋体" w:hAnsi="宋体"/>
          <w:bCs/>
          <w:sz w:val="28"/>
          <w:szCs w:val="28"/>
        </w:rPr>
        <w:t>国卫疾控发〔201</w:t>
      </w:r>
      <w:r>
        <w:rPr>
          <w:rFonts w:hint="eastAsia" w:ascii="宋体" w:hAnsi="宋体"/>
          <w:bCs/>
          <w:sz w:val="28"/>
          <w:szCs w:val="28"/>
        </w:rPr>
        <w:t>5</w:t>
      </w:r>
      <w:r>
        <w:rPr>
          <w:rFonts w:ascii="宋体" w:hAnsi="宋体"/>
          <w:bCs/>
          <w:sz w:val="28"/>
          <w:szCs w:val="28"/>
        </w:rPr>
        <w:t>〕</w:t>
      </w:r>
      <w:r>
        <w:rPr>
          <w:rFonts w:hint="eastAsia" w:ascii="宋体" w:hAnsi="宋体"/>
          <w:bCs/>
          <w:sz w:val="28"/>
          <w:szCs w:val="28"/>
        </w:rPr>
        <w:t>92</w:t>
      </w:r>
      <w:r>
        <w:rPr>
          <w:rFonts w:ascii="宋体" w:hAnsi="宋体"/>
          <w:bCs/>
          <w:sz w:val="28"/>
          <w:szCs w:val="28"/>
        </w:rPr>
        <w:t>号</w:t>
      </w:r>
      <w:r>
        <w:rPr>
          <w:rFonts w:hint="eastAsia" w:ascii="宋体" w:hAnsi="宋体"/>
          <w:bCs/>
          <w:sz w:val="28"/>
          <w:szCs w:val="28"/>
        </w:rPr>
        <w:t>）</w:t>
      </w:r>
      <w:r>
        <w:rPr>
          <w:rFonts w:hint="eastAsia" w:ascii="宋体" w:hAnsi="宋体"/>
          <w:sz w:val="28"/>
          <w:szCs w:val="28"/>
        </w:rPr>
        <w:t>对作业环境进行职业危害辨识与分析。</w:t>
      </w:r>
    </w:p>
    <w:p>
      <w:pPr>
        <w:pStyle w:val="8"/>
        <w:spacing w:line="360" w:lineRule="auto"/>
        <w:ind w:firstLine="0" w:firstLineChars="0"/>
        <w:outlineLvl w:val="1"/>
        <w:rPr>
          <w:rFonts w:hint="eastAsia" w:ascii="黑体" w:eastAsia="黑体"/>
          <w:b/>
          <w:snapToGrid w:val="0"/>
          <w:kern w:val="0"/>
          <w:sz w:val="32"/>
          <w:szCs w:val="32"/>
        </w:rPr>
      </w:pPr>
      <w:bookmarkStart w:id="57" w:name="_Toc21504"/>
      <w:bookmarkStart w:id="58" w:name="_Toc514342840"/>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3 危险、有害因素辨识的方法</w:t>
      </w:r>
      <w:bookmarkEnd w:id="54"/>
      <w:bookmarkEnd w:id="55"/>
      <w:bookmarkEnd w:id="56"/>
      <w:bookmarkEnd w:id="57"/>
      <w:bookmarkEnd w:id="58"/>
    </w:p>
    <w:p>
      <w:pPr>
        <w:spacing w:line="360" w:lineRule="auto"/>
        <w:ind w:firstLine="560" w:firstLineChars="200"/>
        <w:textAlignment w:val="baseline"/>
        <w:rPr>
          <w:rFonts w:ascii="宋体" w:hAnsi="宋体"/>
          <w:sz w:val="28"/>
          <w:szCs w:val="28"/>
        </w:rPr>
      </w:pPr>
      <w:r>
        <w:rPr>
          <w:rFonts w:hint="eastAsia" w:ascii="宋体" w:hAnsi="宋体"/>
          <w:sz w:val="28"/>
          <w:szCs w:val="28"/>
          <w:lang w:eastAsia="zh-CN"/>
        </w:rPr>
        <w:t>公司</w:t>
      </w:r>
      <w:r>
        <w:rPr>
          <w:rFonts w:ascii="宋体" w:hAnsi="宋体"/>
          <w:sz w:val="28"/>
          <w:szCs w:val="28"/>
        </w:rPr>
        <w:t>生产过程复杂，生产条件多变，涉及的危险、有害因素较多。必须选择适当的方法识别分析危险和有害因素，为制定相关的防范措施奠定基础。本次安全评价选用对照分析法和专家评议法对生产过程中主要危险、有害因素进行辨识。</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⑴ 对照分析法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对照分析法是对照有关标准、规范、规程、法规或依靠分析人员的观察能力，借助其经验和判断能力，直观地对评价对象的危险因素进行分析的方法。</w:t>
      </w:r>
    </w:p>
    <w:p>
      <w:pPr>
        <w:spacing w:line="360" w:lineRule="auto"/>
        <w:ind w:firstLine="560" w:firstLineChars="200"/>
        <w:rPr>
          <w:rFonts w:ascii="宋体" w:hAnsi="宋体"/>
          <w:snapToGrid w:val="0"/>
          <w:kern w:val="0"/>
          <w:sz w:val="28"/>
          <w:szCs w:val="28"/>
        </w:rPr>
      </w:pPr>
      <w:r>
        <w:rPr>
          <w:rFonts w:ascii="宋体" w:hAnsi="宋体"/>
          <w:snapToGrid w:val="0"/>
          <w:kern w:val="0"/>
          <w:sz w:val="28"/>
          <w:szCs w:val="28"/>
        </w:rPr>
        <w:t>⑵ 专家评议法</w:t>
      </w:r>
    </w:p>
    <w:p>
      <w:pPr>
        <w:pStyle w:val="8"/>
        <w:spacing w:line="360" w:lineRule="auto"/>
        <w:ind w:firstLine="560"/>
        <w:rPr>
          <w:rFonts w:hint="eastAsia" w:ascii="宋体" w:hAnsi="宋体"/>
          <w:snapToGrid w:val="0"/>
          <w:kern w:val="0"/>
          <w:sz w:val="28"/>
          <w:szCs w:val="28"/>
        </w:rPr>
      </w:pPr>
      <w:r>
        <w:rPr>
          <w:rFonts w:ascii="宋体" w:hAnsi="宋体"/>
          <w:snapToGrid w:val="0"/>
          <w:kern w:val="0"/>
          <w:sz w:val="28"/>
          <w:szCs w:val="28"/>
        </w:rPr>
        <w:t>专家评议法是一种吸收专家参加，根据事物过去、现在及发展趋势，进行积极思维活动，对事物的未来进行分析、预测的方法。其实质是集</w:t>
      </w:r>
      <w:r>
        <w:rPr>
          <w:rFonts w:hint="eastAsia" w:ascii="宋体" w:hAnsi="宋体"/>
          <w:snapToGrid w:val="0"/>
          <w:kern w:val="0"/>
          <w:sz w:val="28"/>
          <w:szCs w:val="28"/>
        </w:rPr>
        <w:t>中技术</w:t>
      </w:r>
      <w:r>
        <w:rPr>
          <w:rFonts w:ascii="宋体" w:hAnsi="宋体"/>
          <w:snapToGrid w:val="0"/>
          <w:kern w:val="0"/>
          <w:sz w:val="28"/>
          <w:szCs w:val="28"/>
        </w:rPr>
        <w:t>专家的经验、知识和分析、推断能力来分析、识别危险、有害因素。</w:t>
      </w:r>
    </w:p>
    <w:p>
      <w:pPr>
        <w:pStyle w:val="8"/>
        <w:spacing w:line="360" w:lineRule="auto"/>
        <w:ind w:firstLine="0" w:firstLineChars="0"/>
        <w:outlineLvl w:val="1"/>
        <w:rPr>
          <w:rFonts w:hint="eastAsia" w:ascii="黑体" w:eastAsia="黑体"/>
          <w:b/>
          <w:snapToGrid w:val="0"/>
          <w:kern w:val="0"/>
          <w:sz w:val="32"/>
          <w:szCs w:val="32"/>
        </w:rPr>
      </w:pPr>
      <w:bookmarkStart w:id="59" w:name="_Toc356380973"/>
      <w:bookmarkStart w:id="60" w:name="_Toc480804389"/>
      <w:bookmarkStart w:id="61" w:name="_Toc332350845"/>
      <w:bookmarkStart w:id="62" w:name="_Toc345593159"/>
      <w:bookmarkStart w:id="63" w:name="_Toc514342841"/>
      <w:bookmarkStart w:id="64" w:name="_Toc356401486"/>
      <w:bookmarkStart w:id="65" w:name="_Toc29518"/>
      <w:bookmarkStart w:id="66" w:name="_Toc350781094"/>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4 主要危险、有害物质特性分析</w:t>
      </w:r>
      <w:bookmarkEnd w:id="59"/>
      <w:bookmarkEnd w:id="60"/>
      <w:bookmarkEnd w:id="61"/>
      <w:bookmarkEnd w:id="62"/>
      <w:bookmarkEnd w:id="63"/>
      <w:bookmarkEnd w:id="64"/>
      <w:bookmarkEnd w:id="65"/>
    </w:p>
    <w:p>
      <w:pPr>
        <w:pStyle w:val="8"/>
        <w:spacing w:line="360" w:lineRule="auto"/>
        <w:ind w:firstLine="560"/>
        <w:rPr>
          <w:rFonts w:hint="eastAsia" w:ascii="宋体" w:hAnsi="宋体"/>
          <w:snapToGrid w:val="0"/>
          <w:kern w:val="0"/>
          <w:sz w:val="28"/>
          <w:szCs w:val="28"/>
        </w:rPr>
      </w:pPr>
      <w:r>
        <w:rPr>
          <w:rFonts w:hint="eastAsia" w:ascii="宋体" w:hAnsi="宋体"/>
          <w:snapToGrid w:val="0"/>
          <w:kern w:val="0"/>
          <w:sz w:val="28"/>
          <w:szCs w:val="28"/>
        </w:rPr>
        <w:t>本系统主要使用煤炭作为燃料，点火时使用柴油。煤炭、柴油等物质在燃烧过程中，产生一氧化碳、二氧化碳及硫（磷）氧化物等危险、有害物质，对人体及周边环境造成影响。</w:t>
      </w:r>
    </w:p>
    <w:p>
      <w:pPr>
        <w:pStyle w:val="8"/>
        <w:spacing w:line="360" w:lineRule="auto"/>
        <w:ind w:firstLine="0" w:firstLineChars="0"/>
        <w:outlineLvl w:val="2"/>
        <w:rPr>
          <w:rFonts w:ascii="宋体" w:hAnsi="宋体"/>
          <w:b/>
          <w:snapToGrid w:val="0"/>
          <w:kern w:val="0"/>
          <w:sz w:val="28"/>
          <w:szCs w:val="28"/>
        </w:rPr>
      </w:pPr>
      <w:bookmarkStart w:id="67" w:name="_Toc23362"/>
      <w:bookmarkStart w:id="68" w:name="_Toc356380974"/>
      <w:bookmarkStart w:id="69" w:name="_Toc356401487"/>
      <w:bookmarkStart w:id="70" w:name="_Toc514342842"/>
      <w:bookmarkStart w:id="71" w:name="_Toc332350846"/>
      <w:bookmarkStart w:id="72" w:name="_Toc48080439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4.1 煤</w:t>
      </w:r>
      <w:bookmarkEnd w:id="67"/>
      <w:bookmarkEnd w:id="68"/>
      <w:bookmarkEnd w:id="69"/>
      <w:bookmarkEnd w:id="70"/>
      <w:bookmarkEnd w:id="71"/>
      <w:bookmarkEnd w:id="72"/>
    </w:p>
    <w:p>
      <w:pPr>
        <w:spacing w:line="360" w:lineRule="auto"/>
        <w:ind w:firstLine="560" w:firstLineChars="200"/>
        <w:rPr>
          <w:rFonts w:hint="eastAsia" w:ascii="宋体" w:hAnsi="宋体"/>
          <w:sz w:val="28"/>
          <w:szCs w:val="28"/>
        </w:rPr>
      </w:pPr>
      <w:r>
        <w:rPr>
          <w:rFonts w:hint="eastAsia" w:ascii="宋体" w:hAnsi="宋体"/>
          <w:sz w:val="28"/>
          <w:szCs w:val="28"/>
        </w:rPr>
        <w:t>煤的主要元素是碳，其次是氢，并含有少量的氧、氮、硫。碳和氢是煤的主要可燃元素；氧是煤中的一种有害物质，因为它和碳、氢等可燃元素构成氧化物而使它们推动了进行燃烧的可能性；氮在一般情况下不参加燃烧反应，是燃料中的惰性元素，但在高温条件下，氮和氧形成NOX，这是一种对大气有严重污染作用的有害气体；硫是一种极有害的物质，因为燃烧后生产二氧化硫和三氧化硫，能危害人体健康和造成大气污染。煤炭的储存也很重要，主要是防火灾危险，因为各种煤有不同程度的自燃能力，再加上煤内水分的影响、空气湿度的影响、氧化影响、粒度大小的影响等等，也影响了自燃能力的大小。</w:t>
      </w:r>
    </w:p>
    <w:p>
      <w:pPr>
        <w:pStyle w:val="8"/>
        <w:spacing w:line="360" w:lineRule="auto"/>
        <w:ind w:firstLine="0" w:firstLineChars="0"/>
        <w:outlineLvl w:val="2"/>
        <w:rPr>
          <w:rFonts w:ascii="宋体" w:hAnsi="宋体"/>
          <w:b/>
          <w:snapToGrid w:val="0"/>
          <w:kern w:val="0"/>
          <w:sz w:val="28"/>
          <w:szCs w:val="28"/>
        </w:rPr>
      </w:pPr>
      <w:bookmarkStart w:id="73" w:name="_Toc332350847"/>
      <w:bookmarkStart w:id="74" w:name="_Toc27582"/>
      <w:bookmarkStart w:id="75" w:name="_Toc356401488"/>
      <w:bookmarkStart w:id="76" w:name="_Toc480804391"/>
      <w:bookmarkStart w:id="77" w:name="_Toc514342843"/>
      <w:bookmarkStart w:id="78" w:name="_Toc35638097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4.2 柴油</w:t>
      </w:r>
      <w:bookmarkEnd w:id="73"/>
      <w:bookmarkEnd w:id="74"/>
      <w:bookmarkEnd w:id="75"/>
      <w:bookmarkEnd w:id="76"/>
      <w:bookmarkEnd w:id="77"/>
      <w:bookmarkEnd w:id="78"/>
    </w:p>
    <w:p>
      <w:pPr>
        <w:adjustRightInd w:val="0"/>
        <w:snapToGrid w:val="0"/>
        <w:spacing w:line="360" w:lineRule="auto"/>
        <w:ind w:firstLine="560" w:firstLineChars="200"/>
        <w:rPr>
          <w:rFonts w:hint="eastAsia"/>
          <w:sz w:val="28"/>
          <w:szCs w:val="28"/>
        </w:rPr>
      </w:pPr>
      <w:r>
        <w:rPr>
          <w:rFonts w:hint="eastAsia"/>
          <w:sz w:val="28"/>
          <w:szCs w:val="28"/>
        </w:rPr>
        <w:t>柴油主要是由烷烃、烯烃、芳香烃、多环芳烃与少量硫（2~60</w:t>
      </w:r>
      <w:r>
        <w:rPr>
          <w:sz w:val="28"/>
          <w:szCs w:val="28"/>
        </w:rPr>
        <w:t>g/Kg</w:t>
      </w:r>
      <w:r>
        <w:rPr>
          <w:rFonts w:hint="eastAsia"/>
          <w:sz w:val="28"/>
          <w:szCs w:val="28"/>
        </w:rPr>
        <w:t>）、氮（＜1</w:t>
      </w:r>
      <w:r>
        <w:rPr>
          <w:sz w:val="28"/>
          <w:szCs w:val="28"/>
        </w:rPr>
        <w:t xml:space="preserve"> g/Kg</w:t>
      </w:r>
      <w:r>
        <w:rPr>
          <w:rFonts w:hint="eastAsia"/>
          <w:sz w:val="28"/>
          <w:szCs w:val="28"/>
        </w:rPr>
        <w:t>）及添加剂组成的混合物。以燃料油为例：白色或淡黄色液体，相对密度0.85；熔点</w:t>
      </w:r>
      <w:r>
        <w:rPr>
          <w:sz w:val="28"/>
          <w:szCs w:val="28"/>
        </w:rPr>
        <w:t>--</w:t>
      </w:r>
      <w:r>
        <w:rPr>
          <w:rFonts w:hint="eastAsia"/>
          <w:sz w:val="28"/>
          <w:szCs w:val="28"/>
        </w:rPr>
        <w:t>29.56℃，沸点180~370℃，闪点40℃，蒸气密度4，蒸气压4.0</w:t>
      </w:r>
      <w:r>
        <w:rPr>
          <w:sz w:val="28"/>
          <w:szCs w:val="28"/>
        </w:rPr>
        <w:t>Kpa</w:t>
      </w:r>
      <w:r>
        <w:rPr>
          <w:rFonts w:hint="eastAsia"/>
          <w:sz w:val="28"/>
          <w:szCs w:val="28"/>
        </w:rPr>
        <w:t>。</w:t>
      </w:r>
    </w:p>
    <w:p>
      <w:pPr>
        <w:adjustRightInd w:val="0"/>
        <w:snapToGrid w:val="0"/>
        <w:spacing w:line="360" w:lineRule="auto"/>
        <w:ind w:firstLine="560" w:firstLineChars="200"/>
        <w:rPr>
          <w:rFonts w:hint="eastAsia"/>
          <w:sz w:val="28"/>
          <w:szCs w:val="28"/>
        </w:rPr>
      </w:pPr>
      <w:r>
        <w:rPr>
          <w:rFonts w:hint="eastAsia"/>
          <w:sz w:val="28"/>
          <w:szCs w:val="28"/>
        </w:rPr>
        <w:t>危险性：蒸气与空气混合物可燃限0.7~5.0%；不溶于水；遇热、火花、明火易燃，可蓄积静电，引起电火花；分解和燃烧产物为一氧化化碳、二氧化碳和硫氧化物；避免接触氧化剂。</w:t>
      </w:r>
    </w:p>
    <w:p>
      <w:pPr>
        <w:adjustRightInd w:val="0"/>
        <w:snapToGrid w:val="0"/>
        <w:spacing w:line="360" w:lineRule="auto"/>
        <w:ind w:firstLine="560" w:firstLineChars="200"/>
        <w:rPr>
          <w:rFonts w:hint="eastAsia"/>
          <w:sz w:val="28"/>
          <w:szCs w:val="28"/>
        </w:rPr>
      </w:pPr>
      <w:r>
        <w:rPr>
          <w:rFonts w:hint="eastAsia"/>
          <w:sz w:val="28"/>
          <w:szCs w:val="28"/>
        </w:rPr>
        <w:t>危害性：皮肤大量接触后，个别人可能发生肾脏损害；皮肤接触后，可发生接触性皮炎，表现为红斑、水疱、丘疹。</w:t>
      </w:r>
    </w:p>
    <w:p>
      <w:pPr>
        <w:adjustRightInd w:val="0"/>
        <w:snapToGrid w:val="0"/>
        <w:spacing w:line="360" w:lineRule="auto"/>
        <w:ind w:firstLine="560" w:firstLineChars="200"/>
        <w:rPr>
          <w:rFonts w:hint="eastAsia"/>
          <w:sz w:val="28"/>
          <w:szCs w:val="28"/>
        </w:rPr>
      </w:pPr>
      <w:r>
        <w:rPr>
          <w:rFonts w:hint="eastAsia"/>
          <w:sz w:val="28"/>
          <w:szCs w:val="28"/>
        </w:rPr>
        <w:t>灭火剂：泡沫、干粉、二氧化碳、砂土。</w:t>
      </w:r>
    </w:p>
    <w:p>
      <w:pPr>
        <w:adjustRightInd w:val="0"/>
        <w:snapToGrid w:val="0"/>
        <w:spacing w:line="360" w:lineRule="auto"/>
        <w:ind w:firstLine="560" w:firstLineChars="200"/>
        <w:rPr>
          <w:rFonts w:hint="eastAsia"/>
          <w:sz w:val="28"/>
          <w:szCs w:val="28"/>
        </w:rPr>
      </w:pPr>
      <w:r>
        <w:rPr>
          <w:rFonts w:hint="eastAsia"/>
          <w:sz w:val="28"/>
          <w:szCs w:val="28"/>
        </w:rPr>
        <w:t>着火性、流动性和凝点是柴油性能的重要指标。</w:t>
      </w:r>
    </w:p>
    <w:p>
      <w:pPr>
        <w:pStyle w:val="8"/>
        <w:spacing w:line="360" w:lineRule="auto"/>
        <w:ind w:firstLine="0" w:firstLineChars="0"/>
        <w:outlineLvl w:val="2"/>
        <w:rPr>
          <w:rFonts w:hint="eastAsia" w:ascii="宋体" w:hAnsi="宋体"/>
          <w:b/>
          <w:snapToGrid w:val="0"/>
          <w:kern w:val="0"/>
          <w:sz w:val="28"/>
          <w:szCs w:val="28"/>
        </w:rPr>
      </w:pPr>
      <w:bookmarkStart w:id="79" w:name="_Toc480804392"/>
      <w:bookmarkStart w:id="80" w:name="_Toc356380976"/>
      <w:bookmarkStart w:id="81" w:name="_Toc356401489"/>
      <w:bookmarkStart w:id="82" w:name="_Toc332350848"/>
      <w:bookmarkStart w:id="83" w:name="_Toc514342844"/>
      <w:bookmarkStart w:id="84" w:name="_Toc21366"/>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4.3 一氧化碳</w:t>
      </w:r>
      <w:bookmarkEnd w:id="79"/>
      <w:bookmarkEnd w:id="80"/>
      <w:bookmarkEnd w:id="81"/>
      <w:bookmarkEnd w:id="82"/>
      <w:bookmarkEnd w:id="83"/>
      <w:bookmarkEnd w:id="84"/>
    </w:p>
    <w:p>
      <w:pPr>
        <w:adjustRightInd w:val="0"/>
        <w:snapToGrid w:val="0"/>
        <w:spacing w:line="360" w:lineRule="auto"/>
        <w:ind w:firstLine="560" w:firstLineChars="200"/>
        <w:rPr>
          <w:rFonts w:hint="eastAsia"/>
          <w:sz w:val="28"/>
          <w:szCs w:val="28"/>
        </w:rPr>
      </w:pPr>
      <w:r>
        <w:rPr>
          <w:rFonts w:hint="eastAsia"/>
          <w:sz w:val="28"/>
          <w:szCs w:val="28"/>
        </w:rPr>
        <w:t xml:space="preserve">英文名：Carbon  Monoxide               分子式：CO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性状：无色、无味气体；                 熔点：-199．1℃   </w:t>
      </w:r>
    </w:p>
    <w:p>
      <w:pPr>
        <w:adjustRightInd w:val="0"/>
        <w:snapToGrid w:val="0"/>
        <w:spacing w:line="360" w:lineRule="auto"/>
        <w:ind w:firstLine="560" w:firstLineChars="200"/>
        <w:rPr>
          <w:rFonts w:hint="eastAsia"/>
          <w:sz w:val="28"/>
          <w:szCs w:val="28"/>
        </w:rPr>
      </w:pPr>
      <w:r>
        <w:rPr>
          <w:rFonts w:hint="eastAsia"/>
          <w:sz w:val="28"/>
          <w:szCs w:val="28"/>
        </w:rPr>
        <w:t xml:space="preserve">沸点：-192℃                           相对密度：0．97   </w:t>
      </w:r>
    </w:p>
    <w:p>
      <w:pPr>
        <w:adjustRightInd w:val="0"/>
        <w:snapToGrid w:val="0"/>
        <w:spacing w:line="360" w:lineRule="auto"/>
        <w:ind w:firstLine="560" w:firstLineChars="200"/>
        <w:rPr>
          <w:rFonts w:hint="eastAsia"/>
          <w:sz w:val="28"/>
          <w:szCs w:val="28"/>
        </w:rPr>
      </w:pPr>
      <w:r>
        <w:rPr>
          <w:rFonts w:hint="eastAsia"/>
          <w:sz w:val="28"/>
          <w:szCs w:val="28"/>
        </w:rPr>
        <w:t>危险性类别：第2.易燃气体               危编号：21005</w:t>
      </w:r>
    </w:p>
    <w:p>
      <w:pPr>
        <w:adjustRightInd w:val="0"/>
        <w:snapToGrid w:val="0"/>
        <w:spacing w:line="360" w:lineRule="auto"/>
        <w:ind w:firstLine="560" w:firstLineChars="200"/>
        <w:rPr>
          <w:rFonts w:hint="eastAsia"/>
          <w:sz w:val="28"/>
          <w:szCs w:val="28"/>
        </w:rPr>
      </w:pPr>
      <w:r>
        <w:rPr>
          <w:rFonts w:hint="eastAsia"/>
          <w:sz w:val="28"/>
          <w:szCs w:val="28"/>
        </w:rPr>
        <w:t>un：1016(气体)                     爆炸极限：12</w:t>
      </w:r>
      <w:r>
        <w:rPr>
          <w:sz w:val="28"/>
          <w:szCs w:val="28"/>
        </w:rPr>
        <w:t>.</w:t>
      </w:r>
      <w:r>
        <w:rPr>
          <w:rFonts w:hint="eastAsia"/>
          <w:sz w:val="28"/>
          <w:szCs w:val="28"/>
        </w:rPr>
        <w:t>5~74％（V）</w:t>
      </w:r>
    </w:p>
    <w:p>
      <w:pPr>
        <w:adjustRightInd w:val="0"/>
        <w:snapToGrid w:val="0"/>
        <w:spacing w:line="360" w:lineRule="auto"/>
        <w:ind w:firstLine="560" w:firstLineChars="200"/>
        <w:rPr>
          <w:rFonts w:hint="eastAsia"/>
          <w:sz w:val="28"/>
          <w:szCs w:val="28"/>
        </w:rPr>
      </w:pPr>
      <w:r>
        <w:rPr>
          <w:rFonts w:hint="eastAsia"/>
          <w:sz w:val="28"/>
          <w:szCs w:val="28"/>
        </w:rPr>
        <w:t>最高容许浓度：30mg／m³(按职业性接触毒物危害程度分级为Ⅱ级，高度危害物质)。</w:t>
      </w:r>
    </w:p>
    <w:p>
      <w:pPr>
        <w:adjustRightInd w:val="0"/>
        <w:snapToGrid w:val="0"/>
        <w:spacing w:line="360" w:lineRule="auto"/>
        <w:ind w:firstLine="560" w:firstLineChars="200"/>
        <w:rPr>
          <w:rFonts w:hint="eastAsia"/>
          <w:sz w:val="28"/>
          <w:szCs w:val="28"/>
        </w:rPr>
      </w:pPr>
      <w:r>
        <w:rPr>
          <w:rFonts w:hint="eastAsia"/>
          <w:sz w:val="28"/>
          <w:szCs w:val="28"/>
        </w:rPr>
        <w:t>健康危害：一氧化碳在血液中与血红蛋白结合而造成组织缺氧。</w:t>
      </w:r>
    </w:p>
    <w:p>
      <w:pPr>
        <w:adjustRightInd w:val="0"/>
        <w:snapToGrid w:val="0"/>
        <w:spacing w:line="360" w:lineRule="auto"/>
        <w:ind w:firstLine="560" w:firstLineChars="200"/>
        <w:rPr>
          <w:rFonts w:hint="eastAsia"/>
          <w:sz w:val="28"/>
          <w:szCs w:val="28"/>
        </w:rPr>
      </w:pPr>
      <w:r>
        <w:rPr>
          <w:rFonts w:hint="eastAsia"/>
          <w:sz w:val="28"/>
          <w:szCs w:val="28"/>
        </w:rPr>
        <w:t>急性中毒：轻度中毒出现头痛、头晕、耳鸣、心悸、恶心、呕吐、无力；中度中毒除出现上述症状外还有皮肤粘膜呈樱红色、脉快、烦躁、步态不稳；重度患者深度昏迷、瞳孔扩大、肌张力增强，频繁抽搐、大小便失禁、休克、肺水肿、严重心肌损害等。</w:t>
      </w:r>
    </w:p>
    <w:p>
      <w:pPr>
        <w:pStyle w:val="8"/>
        <w:spacing w:line="360" w:lineRule="auto"/>
        <w:ind w:firstLine="0" w:firstLineChars="0"/>
        <w:outlineLvl w:val="2"/>
        <w:rPr>
          <w:rFonts w:hint="eastAsia" w:ascii="宋体" w:hAnsi="宋体"/>
          <w:b/>
          <w:snapToGrid w:val="0"/>
          <w:kern w:val="0"/>
          <w:sz w:val="28"/>
          <w:szCs w:val="28"/>
        </w:rPr>
      </w:pPr>
      <w:bookmarkStart w:id="85" w:name="_Toc514342845"/>
      <w:bookmarkStart w:id="86" w:name="_Toc356380977"/>
      <w:bookmarkStart w:id="87" w:name="_Toc14906"/>
      <w:bookmarkStart w:id="88" w:name="_Toc356401490"/>
      <w:bookmarkStart w:id="89" w:name="_Toc480804393"/>
      <w:bookmarkStart w:id="90" w:name="_Toc33235084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4.4 二氧化碳</w:t>
      </w:r>
      <w:bookmarkEnd w:id="85"/>
      <w:bookmarkEnd w:id="86"/>
      <w:bookmarkEnd w:id="87"/>
      <w:bookmarkEnd w:id="88"/>
      <w:bookmarkEnd w:id="89"/>
      <w:bookmarkEnd w:id="90"/>
      <w:r>
        <w:rPr>
          <w:rFonts w:hint="eastAsia" w:ascii="宋体" w:hAnsi="宋体"/>
          <w:b/>
          <w:snapToGrid w:val="0"/>
          <w:kern w:val="0"/>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英文名：Carbon  Dioxide             分子式：C02   </w:t>
      </w:r>
    </w:p>
    <w:p>
      <w:pPr>
        <w:adjustRightInd w:val="0"/>
        <w:snapToGrid w:val="0"/>
        <w:spacing w:line="360" w:lineRule="auto"/>
        <w:ind w:firstLine="560" w:firstLineChars="200"/>
        <w:rPr>
          <w:rFonts w:hint="eastAsia"/>
          <w:sz w:val="28"/>
          <w:szCs w:val="28"/>
        </w:rPr>
      </w:pPr>
      <w:r>
        <w:rPr>
          <w:rFonts w:hint="eastAsia"/>
          <w:sz w:val="28"/>
          <w:szCs w:val="28"/>
        </w:rPr>
        <w:t xml:space="preserve">性状：无色、无味、不燃的气体        熔点：-56．6℃   </w:t>
      </w:r>
    </w:p>
    <w:p>
      <w:pPr>
        <w:adjustRightInd w:val="0"/>
        <w:snapToGrid w:val="0"/>
        <w:spacing w:line="360" w:lineRule="auto"/>
        <w:ind w:firstLine="560" w:firstLineChars="200"/>
        <w:rPr>
          <w:rFonts w:hint="eastAsia"/>
          <w:sz w:val="28"/>
          <w:szCs w:val="28"/>
        </w:rPr>
      </w:pPr>
      <w:r>
        <w:rPr>
          <w:rFonts w:hint="eastAsia"/>
          <w:sz w:val="28"/>
          <w:szCs w:val="28"/>
        </w:rPr>
        <w:t>沸点：-78．5℃(升华)           危险性类别：第2.2不燃气体</w:t>
      </w:r>
    </w:p>
    <w:p>
      <w:pPr>
        <w:adjustRightInd w:val="0"/>
        <w:snapToGrid w:val="0"/>
        <w:spacing w:line="360" w:lineRule="auto"/>
        <w:ind w:firstLine="560" w:firstLineChars="200"/>
        <w:rPr>
          <w:rFonts w:hint="eastAsia"/>
          <w:sz w:val="28"/>
          <w:szCs w:val="28"/>
        </w:rPr>
      </w:pPr>
      <w:r>
        <w:rPr>
          <w:rFonts w:hint="eastAsia"/>
          <w:sz w:val="28"/>
          <w:szCs w:val="28"/>
        </w:rPr>
        <w:t>危编号：22019                        un：1013（气体）</w:t>
      </w:r>
    </w:p>
    <w:p>
      <w:pPr>
        <w:adjustRightInd w:val="0"/>
        <w:snapToGrid w:val="0"/>
        <w:spacing w:line="360" w:lineRule="auto"/>
        <w:ind w:firstLine="560" w:firstLineChars="200"/>
        <w:rPr>
          <w:rFonts w:hint="eastAsia"/>
          <w:sz w:val="28"/>
          <w:szCs w:val="28"/>
        </w:rPr>
      </w:pPr>
      <w:r>
        <w:rPr>
          <w:rFonts w:hint="eastAsia"/>
          <w:sz w:val="28"/>
          <w:szCs w:val="28"/>
        </w:rPr>
        <w:t>健康危害：在低浓度时，对呼吸中枢呈兴奋作用，高浓度时则产生抑制甚至麻痹作用。中毒机制中还兼有缺氧的因素。</w:t>
      </w:r>
    </w:p>
    <w:p>
      <w:pPr>
        <w:adjustRightInd w:val="0"/>
        <w:snapToGrid w:val="0"/>
        <w:spacing w:line="360" w:lineRule="auto"/>
        <w:ind w:firstLine="560" w:firstLineChars="200"/>
        <w:rPr>
          <w:rFonts w:hint="eastAsia"/>
          <w:sz w:val="28"/>
          <w:szCs w:val="28"/>
        </w:rPr>
      </w:pPr>
      <w:r>
        <w:rPr>
          <w:rFonts w:hint="eastAsia"/>
          <w:sz w:val="28"/>
          <w:szCs w:val="28"/>
        </w:rPr>
        <w:t>急性中毒：人进入高浓度二氧化碳环境，在几秒钟迅速昏迷倒下，反射消失、瞳孔扩大或缩小、大小便失禁、呕吐等，更严重者出现呼吸停止及休克，甚至死亡。</w:t>
      </w:r>
    </w:p>
    <w:p>
      <w:pPr>
        <w:adjustRightInd w:val="0"/>
        <w:snapToGrid w:val="0"/>
        <w:spacing w:line="360" w:lineRule="auto"/>
        <w:ind w:firstLine="560" w:firstLineChars="200"/>
        <w:rPr>
          <w:rFonts w:hint="eastAsia"/>
          <w:sz w:val="28"/>
          <w:szCs w:val="28"/>
        </w:rPr>
      </w:pPr>
      <w:r>
        <w:rPr>
          <w:rFonts w:hint="eastAsia"/>
          <w:sz w:val="28"/>
          <w:szCs w:val="28"/>
        </w:rPr>
        <w:t>慢性影响：经常接触较高的二氧化碳者，会有头晕、头痛、失眠、易兴奋、无力等神经功能紊乱等主诉。</w:t>
      </w:r>
    </w:p>
    <w:p>
      <w:pPr>
        <w:adjustRightInd w:val="0"/>
        <w:snapToGrid w:val="0"/>
        <w:spacing w:line="360" w:lineRule="auto"/>
        <w:ind w:firstLine="560" w:firstLineChars="200"/>
        <w:rPr>
          <w:rFonts w:hint="eastAsia"/>
          <w:sz w:val="28"/>
          <w:szCs w:val="28"/>
        </w:rPr>
      </w:pPr>
      <w:r>
        <w:rPr>
          <w:rFonts w:hint="eastAsia"/>
          <w:sz w:val="28"/>
          <w:szCs w:val="28"/>
        </w:rPr>
        <w:t>防护措施：呼吸系统防护：一般不需特殊防护，高浓度接触时可佩戴空气呼吸器；眼睛防护：一般不需特殊防护；身体防护：穿一般作业工作服；手防护：戴一般作业防护手套；其它：避免高浓度吸入。</w:t>
      </w:r>
    </w:p>
    <w:p>
      <w:pPr>
        <w:pStyle w:val="8"/>
        <w:spacing w:line="360" w:lineRule="auto"/>
        <w:ind w:firstLine="0" w:firstLineChars="0"/>
        <w:outlineLvl w:val="2"/>
        <w:rPr>
          <w:rFonts w:hint="eastAsia" w:ascii="宋体" w:hAnsi="宋体"/>
          <w:b/>
          <w:snapToGrid w:val="0"/>
          <w:kern w:val="0"/>
          <w:sz w:val="28"/>
          <w:szCs w:val="28"/>
        </w:rPr>
      </w:pPr>
      <w:bookmarkStart w:id="91" w:name="_Toc12246"/>
      <w:bookmarkStart w:id="92" w:name="_Toc356380978"/>
      <w:bookmarkStart w:id="93" w:name="_Toc514342846"/>
      <w:bookmarkStart w:id="94" w:name="_Toc356401491"/>
      <w:bookmarkStart w:id="95" w:name="_Toc480804394"/>
      <w:bookmarkStart w:id="96" w:name="_Toc33235085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4.5 二氧化硫（三氧化硫参考）</w:t>
      </w:r>
      <w:bookmarkEnd w:id="91"/>
      <w:bookmarkEnd w:id="92"/>
      <w:bookmarkEnd w:id="93"/>
      <w:bookmarkEnd w:id="94"/>
      <w:bookmarkEnd w:id="95"/>
      <w:bookmarkEnd w:id="96"/>
    </w:p>
    <w:p>
      <w:pPr>
        <w:adjustRightInd w:val="0"/>
        <w:snapToGrid w:val="0"/>
        <w:spacing w:line="360" w:lineRule="auto"/>
        <w:ind w:firstLine="560" w:firstLineChars="200"/>
        <w:rPr>
          <w:rFonts w:hint="eastAsia"/>
          <w:sz w:val="28"/>
          <w:szCs w:val="28"/>
        </w:rPr>
      </w:pPr>
      <w:r>
        <w:rPr>
          <w:rFonts w:hint="eastAsia"/>
          <w:sz w:val="28"/>
          <w:szCs w:val="28"/>
        </w:rPr>
        <w:t>英文名：（S</w:t>
      </w:r>
      <w:r>
        <w:rPr>
          <w:sz w:val="28"/>
          <w:szCs w:val="28"/>
        </w:rPr>
        <w:t xml:space="preserve">ulfur  </w:t>
      </w:r>
      <w:r>
        <w:rPr>
          <w:rFonts w:hint="eastAsia"/>
          <w:sz w:val="28"/>
          <w:szCs w:val="28"/>
        </w:rPr>
        <w:t>D</w:t>
      </w:r>
      <w:r>
        <w:rPr>
          <w:sz w:val="28"/>
          <w:szCs w:val="28"/>
        </w:rPr>
        <w:t>ioxide</w:t>
      </w:r>
      <w:r>
        <w:rPr>
          <w:rFonts w:hint="eastAsia"/>
          <w:sz w:val="28"/>
          <w:szCs w:val="28"/>
        </w:rPr>
        <w:t>）           分子式：</w:t>
      </w:r>
      <w:r>
        <w:rPr>
          <w:sz w:val="28"/>
          <w:szCs w:val="28"/>
        </w:rPr>
        <w:t>SO2</w:t>
      </w:r>
      <w:r>
        <w:rPr>
          <w:rFonts w:hint="eastAsia"/>
          <w:sz w:val="28"/>
          <w:szCs w:val="28"/>
        </w:rPr>
        <w:t xml:space="preserve">     </w:t>
      </w:r>
    </w:p>
    <w:p>
      <w:pPr>
        <w:adjustRightInd w:val="0"/>
        <w:snapToGrid w:val="0"/>
        <w:spacing w:line="360" w:lineRule="auto"/>
        <w:ind w:firstLine="560" w:firstLineChars="200"/>
        <w:rPr>
          <w:rFonts w:hint="eastAsia"/>
          <w:sz w:val="28"/>
          <w:szCs w:val="28"/>
        </w:rPr>
      </w:pPr>
      <w:r>
        <w:rPr>
          <w:rFonts w:hint="eastAsia"/>
          <w:sz w:val="28"/>
          <w:szCs w:val="28"/>
        </w:rPr>
        <w:t xml:space="preserve">外观及性状：无色气体，室温下具有强烈刺激气味，可溶于水及有机溶剂 </w:t>
      </w:r>
    </w:p>
    <w:p>
      <w:pPr>
        <w:adjustRightInd w:val="0"/>
        <w:snapToGrid w:val="0"/>
        <w:spacing w:line="360" w:lineRule="auto"/>
        <w:ind w:firstLine="560" w:firstLineChars="200"/>
        <w:rPr>
          <w:rFonts w:hint="eastAsia"/>
          <w:sz w:val="28"/>
          <w:szCs w:val="28"/>
        </w:rPr>
      </w:pPr>
      <w:r>
        <w:rPr>
          <w:rFonts w:hint="eastAsia"/>
          <w:sz w:val="28"/>
          <w:szCs w:val="28"/>
        </w:rPr>
        <w:t>熔点：</w:t>
      </w:r>
      <w:r>
        <w:rPr>
          <w:sz w:val="28"/>
          <w:szCs w:val="28"/>
        </w:rPr>
        <w:t>-75.5</w:t>
      </w:r>
      <w:r>
        <w:rPr>
          <w:rFonts w:hint="eastAsia"/>
          <w:sz w:val="28"/>
          <w:szCs w:val="28"/>
        </w:rPr>
        <w:t xml:space="preserve"> ℃                       沸点：</w:t>
      </w:r>
      <w:r>
        <w:rPr>
          <w:sz w:val="28"/>
          <w:szCs w:val="28"/>
        </w:rPr>
        <w:t>-10</w:t>
      </w:r>
      <w:r>
        <w:rPr>
          <w:rFonts w:hint="eastAsia"/>
          <w:sz w:val="28"/>
          <w:szCs w:val="28"/>
        </w:rPr>
        <w:t xml:space="preserve"> ℃  </w:t>
      </w:r>
    </w:p>
    <w:p>
      <w:pPr>
        <w:adjustRightInd w:val="0"/>
        <w:snapToGrid w:val="0"/>
        <w:spacing w:line="360" w:lineRule="auto"/>
        <w:ind w:firstLine="560" w:firstLineChars="200"/>
        <w:rPr>
          <w:rFonts w:hint="eastAsia"/>
          <w:sz w:val="28"/>
          <w:szCs w:val="28"/>
        </w:rPr>
      </w:pPr>
      <w:r>
        <w:rPr>
          <w:rFonts w:hint="eastAsia"/>
          <w:sz w:val="28"/>
          <w:szCs w:val="28"/>
        </w:rPr>
        <w:t xml:space="preserve">危险性类别：第2.3有毒气体           危编号： </w:t>
      </w:r>
      <w:r>
        <w:rPr>
          <w:sz w:val="28"/>
          <w:szCs w:val="28"/>
        </w:rPr>
        <w:t>23013</w:t>
      </w:r>
    </w:p>
    <w:p>
      <w:pPr>
        <w:adjustRightInd w:val="0"/>
        <w:snapToGrid w:val="0"/>
        <w:spacing w:line="360" w:lineRule="auto"/>
        <w:ind w:firstLine="560" w:firstLineChars="200"/>
        <w:rPr>
          <w:rFonts w:hint="eastAsia"/>
          <w:sz w:val="28"/>
          <w:szCs w:val="28"/>
        </w:rPr>
      </w:pPr>
      <w:r>
        <w:rPr>
          <w:sz w:val="28"/>
          <w:szCs w:val="28"/>
        </w:rPr>
        <w:t>UN</w:t>
      </w:r>
      <w:r>
        <w:rPr>
          <w:rFonts w:hint="eastAsia"/>
          <w:sz w:val="28"/>
          <w:szCs w:val="28"/>
        </w:rPr>
        <w:t>：1079                    相对密度：</w:t>
      </w:r>
      <w:r>
        <w:rPr>
          <w:sz w:val="28"/>
          <w:szCs w:val="28"/>
        </w:rPr>
        <w:t>1.43</w:t>
      </w:r>
      <w:r>
        <w:rPr>
          <w:rFonts w:hint="eastAsia"/>
          <w:sz w:val="28"/>
          <w:szCs w:val="28"/>
        </w:rPr>
        <w:t>（液化）；</w:t>
      </w:r>
      <w:r>
        <w:rPr>
          <w:sz w:val="28"/>
          <w:szCs w:val="28"/>
        </w:rPr>
        <w:t>2.26</w:t>
      </w:r>
      <w:r>
        <w:rPr>
          <w:rFonts w:hint="eastAsia"/>
          <w:sz w:val="28"/>
          <w:szCs w:val="28"/>
        </w:rPr>
        <w:t>（气）</w:t>
      </w:r>
    </w:p>
    <w:p>
      <w:pPr>
        <w:adjustRightInd w:val="0"/>
        <w:snapToGrid w:val="0"/>
        <w:spacing w:line="360" w:lineRule="auto"/>
        <w:ind w:firstLine="560" w:firstLineChars="200"/>
        <w:rPr>
          <w:sz w:val="28"/>
          <w:szCs w:val="28"/>
        </w:rPr>
      </w:pPr>
      <w:r>
        <w:rPr>
          <w:rFonts w:hint="eastAsia"/>
          <w:sz w:val="28"/>
          <w:szCs w:val="28"/>
        </w:rPr>
        <w:t>空气中允许极限：中国</w:t>
      </w:r>
      <w:r>
        <w:rPr>
          <w:sz w:val="28"/>
          <w:szCs w:val="28"/>
        </w:rPr>
        <w:t>MAC</w:t>
      </w:r>
      <w:r>
        <w:rPr>
          <w:rFonts w:hint="eastAsia"/>
          <w:sz w:val="28"/>
          <w:szCs w:val="28"/>
        </w:rPr>
        <w:t>：</w:t>
      </w:r>
      <w:r>
        <w:rPr>
          <w:sz w:val="28"/>
          <w:szCs w:val="28"/>
        </w:rPr>
        <w:t>15mg/m3</w:t>
      </w:r>
    </w:p>
    <w:p>
      <w:pPr>
        <w:adjustRightInd w:val="0"/>
        <w:snapToGrid w:val="0"/>
        <w:spacing w:line="360" w:lineRule="auto"/>
        <w:ind w:firstLine="560" w:firstLineChars="200"/>
        <w:rPr>
          <w:sz w:val="28"/>
          <w:szCs w:val="28"/>
        </w:rPr>
      </w:pPr>
      <w:r>
        <w:rPr>
          <w:rFonts w:hint="eastAsia"/>
          <w:sz w:val="28"/>
          <w:szCs w:val="28"/>
        </w:rPr>
        <w:t>健康危害：短期暴露：吸入刺激鼻、咽喉，出现流涕、呼吸困难、气阻、咳嗽、肺水肿、喘鸣、胸闷、肺炎，直至死亡；刺激皮肤，尤其湿润皮肤；接触液体可致冻伤和化学烧伤、紫绀；还可刺激眼，造成冻伤、失明；食入会引起口腔冻伤、化学烧伤、恶心、呕吐、腹疼；长期暴露，刺激咽喉和肺，出现鼻出血，对哮喘、肺功能不正常、心血管病人更危险。</w:t>
      </w:r>
    </w:p>
    <w:p>
      <w:pPr>
        <w:adjustRightInd w:val="0"/>
        <w:snapToGrid w:val="0"/>
        <w:spacing w:line="360" w:lineRule="auto"/>
        <w:ind w:firstLine="560" w:firstLineChars="200"/>
        <w:rPr>
          <w:sz w:val="28"/>
          <w:szCs w:val="28"/>
        </w:rPr>
      </w:pPr>
      <w:r>
        <w:rPr>
          <w:rFonts w:hint="eastAsia"/>
          <w:sz w:val="28"/>
          <w:szCs w:val="28"/>
        </w:rPr>
        <w:t>急救措施：眼接触：立即清洗。皮肤接触：立即用大量水清洗。吸入：将患者移至新鲜空气处，施行人工呼吸。</w:t>
      </w:r>
    </w:p>
    <w:p>
      <w:pPr>
        <w:adjustRightInd w:val="0"/>
        <w:snapToGrid w:val="0"/>
        <w:spacing w:line="360" w:lineRule="auto"/>
        <w:ind w:firstLine="560" w:firstLineChars="200"/>
        <w:rPr>
          <w:rFonts w:hint="eastAsia"/>
          <w:sz w:val="28"/>
          <w:szCs w:val="28"/>
        </w:rPr>
      </w:pPr>
      <w:r>
        <w:rPr>
          <w:rFonts w:hint="eastAsia"/>
          <w:sz w:val="28"/>
          <w:szCs w:val="28"/>
        </w:rPr>
        <w:t xml:space="preserve">防护措施：戴护目镜，穿防护服；选用适当呼吸器；提供应急眼药水；定期检查皮肤、眼睛及呼吸系统 </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97" w:name="_Toc1592"/>
      <w:bookmarkStart w:id="98" w:name="_Toc515659433"/>
      <w:r>
        <w:rPr>
          <w:rFonts w:hint="eastAsia" w:ascii="宋体" w:hAnsi="宋体"/>
          <w:b/>
          <w:snapToGrid w:val="0"/>
          <w:kern w:val="0"/>
          <w:sz w:val="28"/>
          <w:szCs w:val="28"/>
          <w:lang w:val="en-US" w:eastAsia="zh-CN"/>
        </w:rPr>
        <w:t>3.4.6 柴油安全数据表</w:t>
      </w:r>
      <w:bookmarkEnd w:id="97"/>
      <w:bookmarkEnd w:id="98"/>
    </w:p>
    <w:p>
      <w:pPr>
        <w:jc w:val="center"/>
        <w:rPr>
          <w:rFonts w:ascii="黑体" w:hAnsi="黑体" w:eastAsia="黑体"/>
          <w:b/>
          <w:sz w:val="24"/>
        </w:rPr>
      </w:pPr>
      <w:r>
        <w:rPr>
          <w:rFonts w:ascii="黑体" w:hAnsi="黑体" w:eastAsia="黑体"/>
          <w:b/>
          <w:sz w:val="24"/>
        </w:rPr>
        <w:t>表3-</w:t>
      </w:r>
      <w:r>
        <w:rPr>
          <w:rFonts w:hint="eastAsia" w:ascii="黑体" w:hAnsi="黑体" w:eastAsia="黑体"/>
          <w:b/>
          <w:sz w:val="24"/>
        </w:rPr>
        <w:t>1 柴油物料安全数据表</w:t>
      </w:r>
    </w:p>
    <w:tbl>
      <w:tblPr>
        <w:tblStyle w:val="19"/>
        <w:tblW w:w="8522" w:type="dxa"/>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568"/>
        <w:gridCol w:w="7954"/>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标</w:t>
            </w:r>
          </w:p>
          <w:p>
            <w:pPr>
              <w:adjustRightInd w:val="0"/>
              <w:snapToGrid w:val="0"/>
              <w:jc w:val="left"/>
              <w:rPr>
                <w:rFonts w:ascii="宋体" w:hAnsi="宋体"/>
                <w:szCs w:val="21"/>
              </w:rPr>
            </w:pPr>
            <w:r>
              <w:rPr>
                <w:rFonts w:ascii="宋体" w:hAnsi="宋体"/>
                <w:b/>
                <w:bCs/>
                <w:szCs w:val="21"/>
              </w:rPr>
              <w:t>识</w:t>
            </w:r>
          </w:p>
        </w:tc>
        <w:tc>
          <w:tcPr>
            <w:tcW w:w="7954" w:type="dxa"/>
            <w:noWrap w:val="0"/>
            <w:vAlign w:val="center"/>
          </w:tcPr>
          <w:p>
            <w:pPr>
              <w:adjustRightInd w:val="0"/>
              <w:snapToGrid w:val="0"/>
              <w:jc w:val="left"/>
              <w:rPr>
                <w:rFonts w:ascii="宋体" w:hAnsi="宋体"/>
                <w:szCs w:val="21"/>
              </w:rPr>
            </w:pPr>
            <w:r>
              <w:rPr>
                <w:rFonts w:ascii="宋体" w:hAnsi="宋体"/>
                <w:b/>
                <w:bCs/>
                <w:szCs w:val="21"/>
              </w:rPr>
              <w:t>中文名：</w:t>
            </w:r>
            <w:r>
              <w:rPr>
                <w:rFonts w:ascii="宋体" w:hAnsi="宋体"/>
                <w:szCs w:val="21"/>
              </w:rPr>
              <w:t xml:space="preserve">柴油              </w:t>
            </w:r>
            <w:r>
              <w:rPr>
                <w:rFonts w:ascii="宋体" w:hAnsi="宋体"/>
                <w:b/>
                <w:bCs/>
                <w:szCs w:val="21"/>
              </w:rPr>
              <w:t>英文名：</w:t>
            </w:r>
            <w:r>
              <w:rPr>
                <w:rFonts w:ascii="宋体" w:hAnsi="宋体"/>
                <w:szCs w:val="21"/>
              </w:rPr>
              <w:t>Diesel oil</w:t>
            </w:r>
          </w:p>
          <w:p>
            <w:pPr>
              <w:adjustRightInd w:val="0"/>
              <w:snapToGrid w:val="0"/>
              <w:jc w:val="left"/>
              <w:rPr>
                <w:rFonts w:hint="eastAsia" w:ascii="宋体" w:hAnsi="宋体"/>
                <w:szCs w:val="21"/>
              </w:rPr>
            </w:pPr>
            <w:r>
              <w:rPr>
                <w:rFonts w:ascii="宋体" w:hAnsi="宋体"/>
                <w:b/>
                <w:bCs/>
                <w:szCs w:val="21"/>
              </w:rPr>
              <w:t>CAS号：</w:t>
            </w:r>
            <w:r>
              <w:rPr>
                <w:rFonts w:hint="eastAsia" w:ascii="宋体" w:hAnsi="宋体"/>
                <w:szCs w:val="21"/>
              </w:rPr>
              <w:t>68334-30-5</w:t>
            </w:r>
            <w:r>
              <w:rPr>
                <w:rFonts w:ascii="宋体" w:hAnsi="宋体"/>
                <w:szCs w:val="21"/>
              </w:rPr>
              <w:t xml:space="preserve">            </w:t>
            </w:r>
            <w:r>
              <w:rPr>
                <w:rFonts w:ascii="宋体" w:hAnsi="宋体"/>
                <w:b/>
                <w:bCs/>
                <w:szCs w:val="21"/>
              </w:rPr>
              <w:t>UN号：</w:t>
            </w:r>
            <w:r>
              <w:rPr>
                <w:rFonts w:hint="eastAsia" w:ascii="宋体" w:hAnsi="宋体"/>
                <w:szCs w:val="21"/>
              </w:rPr>
              <w:t>1202        危规编号：1674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理</w:t>
            </w:r>
          </w:p>
          <w:p>
            <w:pPr>
              <w:adjustRightInd w:val="0"/>
              <w:snapToGrid w:val="0"/>
              <w:jc w:val="left"/>
              <w:rPr>
                <w:rFonts w:ascii="宋体" w:hAnsi="宋体"/>
                <w:b/>
                <w:bCs/>
                <w:szCs w:val="21"/>
              </w:rPr>
            </w:pPr>
            <w:r>
              <w:rPr>
                <w:rFonts w:ascii="宋体" w:hAnsi="宋体"/>
                <w:b/>
                <w:bCs/>
                <w:szCs w:val="21"/>
              </w:rPr>
              <w:t>化</w:t>
            </w:r>
          </w:p>
          <w:p>
            <w:pPr>
              <w:adjustRightInd w:val="0"/>
              <w:snapToGrid w:val="0"/>
              <w:jc w:val="left"/>
              <w:rPr>
                <w:rFonts w:ascii="宋体" w:hAnsi="宋体"/>
                <w:b/>
                <w:bCs/>
                <w:szCs w:val="21"/>
              </w:rPr>
            </w:pPr>
            <w:r>
              <w:rPr>
                <w:rFonts w:ascii="宋体" w:hAnsi="宋体"/>
                <w:b/>
                <w:bCs/>
                <w:szCs w:val="21"/>
              </w:rPr>
              <w:t>性</w:t>
            </w:r>
          </w:p>
          <w:p>
            <w:pPr>
              <w:adjustRightInd w:val="0"/>
              <w:snapToGrid w:val="0"/>
              <w:jc w:val="left"/>
              <w:rPr>
                <w:rFonts w:ascii="宋体" w:hAnsi="宋体"/>
                <w:szCs w:val="21"/>
              </w:rPr>
            </w:pPr>
            <w:r>
              <w:rPr>
                <w:rFonts w:ascii="宋体" w:hAnsi="宋体"/>
                <w:b/>
                <w:bCs/>
                <w:szCs w:val="21"/>
              </w:rPr>
              <w:t>质</w:t>
            </w:r>
          </w:p>
        </w:tc>
        <w:tc>
          <w:tcPr>
            <w:tcW w:w="7954" w:type="dxa"/>
            <w:noWrap w:val="0"/>
            <w:vAlign w:val="center"/>
          </w:tcPr>
          <w:p>
            <w:pPr>
              <w:adjustRightInd w:val="0"/>
              <w:snapToGrid w:val="0"/>
              <w:jc w:val="left"/>
              <w:rPr>
                <w:rFonts w:ascii="宋体" w:hAnsi="宋体"/>
                <w:szCs w:val="21"/>
              </w:rPr>
            </w:pPr>
            <w:r>
              <w:rPr>
                <w:rFonts w:ascii="宋体" w:hAnsi="宋体"/>
                <w:b/>
                <w:bCs/>
                <w:szCs w:val="21"/>
              </w:rPr>
              <w:t>外观与性状：</w:t>
            </w:r>
            <w:r>
              <w:rPr>
                <w:rFonts w:ascii="宋体" w:hAnsi="宋体"/>
                <w:szCs w:val="21"/>
              </w:rPr>
              <w:t>稍有粘性的浅黄至棕色液体。</w:t>
            </w:r>
          </w:p>
          <w:p>
            <w:pPr>
              <w:adjustRightInd w:val="0"/>
              <w:snapToGrid w:val="0"/>
              <w:jc w:val="left"/>
              <w:rPr>
                <w:rFonts w:ascii="宋体" w:hAnsi="宋体"/>
                <w:szCs w:val="21"/>
              </w:rPr>
            </w:pPr>
            <w:r>
              <w:rPr>
                <w:rFonts w:ascii="宋体" w:hAnsi="宋体"/>
                <w:b/>
                <w:bCs/>
                <w:szCs w:val="21"/>
              </w:rPr>
              <w:t>熔点(℃)：</w:t>
            </w:r>
            <w:r>
              <w:rPr>
                <w:rFonts w:ascii="宋体" w:hAnsi="宋体"/>
                <w:szCs w:val="21"/>
              </w:rPr>
              <w:t xml:space="preserve">-35～20          </w:t>
            </w:r>
            <w:r>
              <w:rPr>
                <w:rFonts w:ascii="宋体" w:hAnsi="宋体"/>
                <w:b/>
                <w:bCs/>
                <w:szCs w:val="21"/>
              </w:rPr>
              <w:t>相对密度（水=1.0）：</w:t>
            </w:r>
            <w:r>
              <w:rPr>
                <w:rFonts w:ascii="宋体" w:hAnsi="宋体"/>
                <w:szCs w:val="21"/>
              </w:rPr>
              <w:t>0.87～0.9</w:t>
            </w:r>
          </w:p>
          <w:p>
            <w:pPr>
              <w:adjustRightInd w:val="0"/>
              <w:snapToGrid w:val="0"/>
              <w:jc w:val="left"/>
              <w:rPr>
                <w:rFonts w:ascii="宋体" w:hAnsi="宋体"/>
                <w:szCs w:val="21"/>
              </w:rPr>
            </w:pPr>
            <w:r>
              <w:rPr>
                <w:rFonts w:ascii="宋体" w:hAnsi="宋体"/>
                <w:b/>
                <w:bCs/>
                <w:szCs w:val="21"/>
              </w:rPr>
              <w:t>沸程(℃)：</w:t>
            </w:r>
            <w:r>
              <w:rPr>
                <w:rFonts w:ascii="宋体" w:hAnsi="宋体"/>
                <w:szCs w:val="21"/>
              </w:rPr>
              <w:t xml:space="preserve">282～338         </w:t>
            </w:r>
            <w:r>
              <w:rPr>
                <w:rFonts w:ascii="宋体" w:hAnsi="宋体"/>
                <w:b/>
                <w:bCs/>
                <w:szCs w:val="21"/>
              </w:rPr>
              <w:t>相对密度(空气=1):</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 xml:space="preserve">闪点(℃): </w:t>
            </w:r>
            <w:r>
              <w:rPr>
                <w:rFonts w:ascii="宋体" w:hAnsi="宋体"/>
                <w:bCs/>
                <w:szCs w:val="21"/>
              </w:rPr>
              <w:t>&gt;55</w:t>
            </w:r>
            <w:r>
              <w:rPr>
                <w:rFonts w:ascii="宋体" w:hAnsi="宋体"/>
                <w:szCs w:val="21"/>
              </w:rPr>
              <w:t xml:space="preserve">              </w:t>
            </w:r>
            <w:r>
              <w:rPr>
                <w:rFonts w:ascii="宋体" w:hAnsi="宋体"/>
                <w:b/>
                <w:bCs/>
                <w:szCs w:val="21"/>
              </w:rPr>
              <w:t>引燃温度(℃)：</w:t>
            </w:r>
            <w:r>
              <w:rPr>
                <w:rFonts w:ascii="宋体" w:hAnsi="宋体"/>
                <w:szCs w:val="21"/>
              </w:rPr>
              <w:t>257</w:t>
            </w:r>
          </w:p>
          <w:p>
            <w:pPr>
              <w:adjustRightInd w:val="0"/>
              <w:snapToGrid w:val="0"/>
              <w:jc w:val="left"/>
              <w:rPr>
                <w:rFonts w:ascii="宋体" w:hAnsi="宋体"/>
                <w:szCs w:val="21"/>
              </w:rPr>
            </w:pPr>
            <w:r>
              <w:rPr>
                <w:rFonts w:ascii="宋体" w:hAnsi="宋体"/>
                <w:b/>
                <w:bCs/>
                <w:szCs w:val="21"/>
              </w:rPr>
              <w:t>爆炸下限[%(V/V)]:</w:t>
            </w:r>
            <w:r>
              <w:rPr>
                <w:rFonts w:ascii="宋体" w:hAnsi="宋体"/>
                <w:szCs w:val="21"/>
              </w:rPr>
              <w:t xml:space="preserve"> </w:t>
            </w:r>
            <w:r>
              <w:rPr>
                <w:rFonts w:hint="eastAsia" w:ascii="宋体" w:hAnsi="宋体"/>
                <w:szCs w:val="21"/>
              </w:rPr>
              <w:t>0.5</w:t>
            </w:r>
            <w:r>
              <w:rPr>
                <w:rFonts w:ascii="宋体" w:hAnsi="宋体"/>
                <w:szCs w:val="21"/>
              </w:rPr>
              <w:t xml:space="preserve">   </w:t>
            </w:r>
            <w:r>
              <w:rPr>
                <w:rFonts w:ascii="宋体" w:hAnsi="宋体"/>
                <w:b/>
                <w:bCs/>
                <w:szCs w:val="21"/>
              </w:rPr>
              <w:t>最小点火能(mJ):</w:t>
            </w:r>
            <w:r>
              <w:rPr>
                <w:rFonts w:ascii="宋体" w:hAnsi="宋体"/>
                <w:szCs w:val="21"/>
              </w:rPr>
              <w:t>无资料</w:t>
            </w:r>
          </w:p>
          <w:p>
            <w:pPr>
              <w:adjustRightInd w:val="0"/>
              <w:snapToGrid w:val="0"/>
              <w:jc w:val="left"/>
              <w:rPr>
                <w:rFonts w:ascii="宋体" w:hAnsi="宋体"/>
                <w:szCs w:val="21"/>
              </w:rPr>
            </w:pPr>
            <w:r>
              <w:rPr>
                <w:rFonts w:ascii="宋体" w:hAnsi="宋体"/>
                <w:b/>
                <w:bCs/>
                <w:szCs w:val="21"/>
              </w:rPr>
              <w:t>爆炸上限[%(V/V)]:</w:t>
            </w:r>
            <w:r>
              <w:rPr>
                <w:rFonts w:ascii="宋体" w:hAnsi="宋体"/>
                <w:szCs w:val="21"/>
              </w:rPr>
              <w:t xml:space="preserve"> </w:t>
            </w:r>
            <w:r>
              <w:rPr>
                <w:rFonts w:hint="eastAsia" w:ascii="宋体" w:hAnsi="宋体"/>
                <w:szCs w:val="21"/>
              </w:rPr>
              <w:t>4.5</w:t>
            </w:r>
            <w:r>
              <w:rPr>
                <w:rFonts w:ascii="宋体" w:hAnsi="宋体"/>
                <w:szCs w:val="21"/>
              </w:rPr>
              <w:t xml:space="preserve">   </w:t>
            </w:r>
            <w:r>
              <w:rPr>
                <w:rFonts w:ascii="宋体" w:hAnsi="宋体"/>
                <w:b/>
                <w:bCs/>
                <w:szCs w:val="21"/>
              </w:rPr>
              <w:t>最大爆炸压力(MPa):</w:t>
            </w:r>
            <w:r>
              <w:rPr>
                <w:rFonts w:ascii="宋体" w:hAnsi="宋体"/>
                <w:szCs w:val="21"/>
              </w:rPr>
              <w:t xml:space="preserve"> 无资料</w:t>
            </w:r>
          </w:p>
          <w:p>
            <w:pPr>
              <w:adjustRightInd w:val="0"/>
              <w:snapToGrid w:val="0"/>
              <w:jc w:val="left"/>
              <w:rPr>
                <w:rFonts w:ascii="宋体" w:hAnsi="宋体"/>
                <w:szCs w:val="21"/>
              </w:rPr>
            </w:pPr>
            <w:r>
              <w:rPr>
                <w:rFonts w:ascii="宋体" w:hAnsi="宋体"/>
                <w:b/>
                <w:bCs/>
                <w:szCs w:val="21"/>
              </w:rPr>
              <w:t>溶 解 性：</w:t>
            </w:r>
            <w:r>
              <w:rPr>
                <w:rFonts w:ascii="宋体" w:hAnsi="宋体"/>
                <w:szCs w:val="21"/>
              </w:rPr>
              <w:t>不溶于水,易溶于苯、二硫化碳、醇、脂肪。</w:t>
            </w:r>
          </w:p>
          <w:p>
            <w:pPr>
              <w:adjustRightInd w:val="0"/>
              <w:snapToGrid w:val="0"/>
              <w:jc w:val="left"/>
              <w:rPr>
                <w:rFonts w:ascii="宋体" w:hAnsi="宋体"/>
                <w:szCs w:val="21"/>
              </w:rPr>
            </w:pPr>
            <w:r>
              <w:rPr>
                <w:rFonts w:ascii="宋体" w:hAnsi="宋体"/>
                <w:b/>
                <w:bCs/>
                <w:szCs w:val="21"/>
              </w:rPr>
              <w:t>主要用途：</w:t>
            </w:r>
            <w:r>
              <w:rPr>
                <w:rFonts w:ascii="宋体" w:hAnsi="宋体"/>
                <w:szCs w:val="21"/>
              </w:rPr>
              <w:t xml:space="preserve">主要用作柴油机的燃料。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left"/>
              <w:rPr>
                <w:rFonts w:ascii="宋体" w:hAnsi="宋体"/>
                <w:b/>
                <w:bCs/>
                <w:szCs w:val="21"/>
              </w:rPr>
            </w:pPr>
            <w:r>
              <w:rPr>
                <w:rFonts w:ascii="宋体" w:hAnsi="宋体"/>
                <w:b/>
                <w:bCs/>
                <w:szCs w:val="21"/>
              </w:rPr>
              <w:t>燃</w:t>
            </w:r>
          </w:p>
          <w:p>
            <w:pPr>
              <w:adjustRightInd w:val="0"/>
              <w:snapToGrid w:val="0"/>
              <w:jc w:val="left"/>
              <w:rPr>
                <w:rFonts w:ascii="宋体" w:hAnsi="宋体"/>
                <w:szCs w:val="21"/>
              </w:rPr>
            </w:pPr>
            <w:r>
              <w:rPr>
                <w:rFonts w:ascii="宋体" w:hAnsi="宋体"/>
                <w:b/>
                <w:bCs/>
                <w:szCs w:val="21"/>
              </w:rPr>
              <w:t>烧</w:t>
            </w:r>
          </w:p>
          <w:p>
            <w:pPr>
              <w:adjustRightInd w:val="0"/>
              <w:snapToGrid w:val="0"/>
              <w:jc w:val="left"/>
              <w:rPr>
                <w:rFonts w:ascii="宋体" w:hAnsi="宋体"/>
                <w:b/>
                <w:bCs/>
                <w:szCs w:val="21"/>
              </w:rPr>
            </w:pPr>
            <w:r>
              <w:rPr>
                <w:rFonts w:ascii="宋体" w:hAnsi="宋体"/>
                <w:b/>
                <w:bCs/>
                <w:szCs w:val="21"/>
              </w:rPr>
              <w:t>爆</w:t>
            </w:r>
          </w:p>
          <w:p>
            <w:pPr>
              <w:adjustRightInd w:val="0"/>
              <w:snapToGrid w:val="0"/>
              <w:jc w:val="left"/>
              <w:rPr>
                <w:rFonts w:ascii="宋体" w:hAnsi="宋体"/>
                <w:b/>
                <w:bCs/>
                <w:szCs w:val="21"/>
              </w:rPr>
            </w:pPr>
            <w:r>
              <w:rPr>
                <w:rFonts w:ascii="宋体" w:hAnsi="宋体"/>
                <w:b/>
                <w:bCs/>
                <w:szCs w:val="21"/>
              </w:rPr>
              <w:t>炸</w:t>
            </w:r>
          </w:p>
          <w:p>
            <w:pPr>
              <w:adjustRightInd w:val="0"/>
              <w:snapToGrid w:val="0"/>
              <w:jc w:val="left"/>
              <w:rPr>
                <w:rFonts w:ascii="宋体" w:hAnsi="宋体"/>
                <w:b/>
                <w:bCs/>
                <w:szCs w:val="21"/>
              </w:rPr>
            </w:pPr>
            <w:r>
              <w:rPr>
                <w:rFonts w:ascii="宋体" w:hAnsi="宋体"/>
                <w:b/>
                <w:bCs/>
                <w:szCs w:val="21"/>
              </w:rPr>
              <w:t>危</w:t>
            </w:r>
          </w:p>
          <w:p>
            <w:pPr>
              <w:adjustRightInd w:val="0"/>
              <w:snapToGrid w:val="0"/>
              <w:jc w:val="left"/>
              <w:rPr>
                <w:rFonts w:ascii="宋体" w:hAnsi="宋体"/>
                <w:b/>
                <w:bCs/>
                <w:szCs w:val="21"/>
              </w:rPr>
            </w:pPr>
            <w:r>
              <w:rPr>
                <w:rFonts w:ascii="宋体" w:hAnsi="宋体"/>
                <w:b/>
                <w:bCs/>
                <w:szCs w:val="21"/>
              </w:rPr>
              <w:t>险</w:t>
            </w:r>
          </w:p>
          <w:p>
            <w:pPr>
              <w:adjustRightInd w:val="0"/>
              <w:snapToGrid w:val="0"/>
              <w:jc w:val="left"/>
              <w:rPr>
                <w:rFonts w:ascii="宋体" w:hAnsi="宋体"/>
                <w:szCs w:val="21"/>
              </w:rPr>
            </w:pPr>
            <w:r>
              <w:rPr>
                <w:rFonts w:ascii="宋体" w:hAnsi="宋体"/>
                <w:b/>
                <w:bCs/>
                <w:szCs w:val="21"/>
              </w:rPr>
              <w:t>性</w:t>
            </w:r>
          </w:p>
        </w:tc>
        <w:tc>
          <w:tcPr>
            <w:tcW w:w="7954" w:type="dxa"/>
            <w:noWrap w:val="0"/>
            <w:vAlign w:val="center"/>
          </w:tcPr>
          <w:p>
            <w:pPr>
              <w:adjustRightInd w:val="0"/>
              <w:snapToGrid w:val="0"/>
              <w:jc w:val="left"/>
              <w:rPr>
                <w:rFonts w:ascii="宋体" w:hAnsi="宋体"/>
                <w:szCs w:val="21"/>
              </w:rPr>
            </w:pPr>
            <w:r>
              <w:rPr>
                <w:rFonts w:ascii="宋体" w:hAnsi="宋体"/>
                <w:b/>
                <w:bCs/>
                <w:szCs w:val="21"/>
              </w:rPr>
              <w:t>燃 烧 性：</w:t>
            </w:r>
            <w:r>
              <w:rPr>
                <w:rFonts w:ascii="宋体" w:hAnsi="宋体"/>
                <w:szCs w:val="21"/>
              </w:rPr>
              <w:t>易燃。</w:t>
            </w:r>
          </w:p>
          <w:p>
            <w:pPr>
              <w:pStyle w:val="10"/>
              <w:ind w:left="420"/>
              <w:jc w:val="left"/>
              <w:rPr>
                <w:rFonts w:ascii="宋体" w:hAnsi="宋体"/>
                <w:szCs w:val="21"/>
              </w:rPr>
            </w:pPr>
            <w:r>
              <w:rPr>
                <w:rFonts w:ascii="宋体" w:hAnsi="宋体"/>
                <w:b/>
                <w:bCs/>
                <w:szCs w:val="21"/>
              </w:rPr>
              <w:t>危险特性：</w:t>
            </w:r>
            <w:r>
              <w:rPr>
                <w:rFonts w:ascii="宋体" w:hAnsi="宋体"/>
                <w:szCs w:val="21"/>
              </w:rPr>
              <w:t>遇明火、高热或与氧化剂接触,有引起燃烧爆炸的危险。若遇高热，容器内压力增大，有开裂和爆炸的危险。</w:t>
            </w:r>
          </w:p>
          <w:p>
            <w:pPr>
              <w:pStyle w:val="10"/>
              <w:ind w:left="420"/>
              <w:jc w:val="left"/>
              <w:rPr>
                <w:rFonts w:ascii="宋体" w:hAnsi="宋体"/>
                <w:szCs w:val="21"/>
              </w:rPr>
            </w:pPr>
            <w:r>
              <w:rPr>
                <w:rFonts w:ascii="宋体" w:hAnsi="宋体"/>
                <w:b/>
                <w:bCs/>
                <w:szCs w:val="21"/>
              </w:rPr>
              <w:t>有害燃烧产物：</w:t>
            </w:r>
            <w:r>
              <w:rPr>
                <w:rFonts w:ascii="宋体" w:hAnsi="宋体"/>
                <w:szCs w:val="21"/>
              </w:rPr>
              <w:t>一氧化碳、二氧化碳。</w:t>
            </w:r>
          </w:p>
          <w:p>
            <w:pPr>
              <w:adjustRightInd w:val="0"/>
              <w:snapToGrid w:val="0"/>
              <w:jc w:val="left"/>
              <w:rPr>
                <w:rFonts w:ascii="宋体" w:hAnsi="宋体"/>
                <w:szCs w:val="21"/>
              </w:rPr>
            </w:pPr>
            <w:r>
              <w:rPr>
                <w:rFonts w:ascii="宋体" w:hAnsi="宋体"/>
                <w:b/>
                <w:bCs/>
                <w:szCs w:val="21"/>
              </w:rPr>
              <w:t>稳 定 性：</w:t>
            </w:r>
            <w:r>
              <w:rPr>
                <w:rFonts w:ascii="宋体" w:hAnsi="宋体"/>
                <w:szCs w:val="21"/>
              </w:rPr>
              <w:t xml:space="preserve">稳定。           </w:t>
            </w:r>
            <w:r>
              <w:rPr>
                <w:rFonts w:ascii="宋体" w:hAnsi="宋体"/>
                <w:b/>
                <w:bCs/>
                <w:szCs w:val="21"/>
              </w:rPr>
              <w:t>聚合危害：</w:t>
            </w:r>
            <w:r>
              <w:rPr>
                <w:rFonts w:ascii="宋体" w:hAnsi="宋体"/>
                <w:szCs w:val="21"/>
              </w:rPr>
              <w:t>不聚合。</w:t>
            </w:r>
          </w:p>
          <w:p>
            <w:pPr>
              <w:adjustRightInd w:val="0"/>
              <w:snapToGrid w:val="0"/>
              <w:jc w:val="left"/>
              <w:rPr>
                <w:rFonts w:ascii="宋体" w:hAnsi="宋体"/>
                <w:szCs w:val="21"/>
              </w:rPr>
            </w:pPr>
            <w:r>
              <w:rPr>
                <w:rFonts w:ascii="宋体" w:hAnsi="宋体"/>
                <w:b/>
                <w:bCs/>
                <w:szCs w:val="21"/>
              </w:rPr>
              <w:t>禁 配 物：</w:t>
            </w:r>
            <w:r>
              <w:rPr>
                <w:rFonts w:ascii="宋体" w:hAnsi="宋体"/>
                <w:szCs w:val="21"/>
              </w:rPr>
              <w:t>强氧化剂、卤素。</w:t>
            </w:r>
          </w:p>
          <w:p>
            <w:pPr>
              <w:adjustRightInd w:val="0"/>
              <w:snapToGrid w:val="0"/>
              <w:jc w:val="left"/>
              <w:rPr>
                <w:rFonts w:ascii="宋体" w:hAnsi="宋体"/>
                <w:szCs w:val="21"/>
              </w:rPr>
            </w:pPr>
            <w:r>
              <w:rPr>
                <w:rFonts w:ascii="宋体" w:hAnsi="宋体"/>
                <w:b/>
                <w:bCs/>
                <w:szCs w:val="21"/>
              </w:rPr>
              <w:t>灭火方法：</w:t>
            </w:r>
            <w:r>
              <w:rPr>
                <w:rFonts w:ascii="宋体" w:hAnsi="宋体"/>
                <w:szCs w:val="21"/>
              </w:rPr>
              <w:t>消防人员须配戴防毒面具、穿全身消防服,在上风向灭火。尽可能将容器从火场移至空旷处，喷水保持容器冷却，直至灭火结束。处在火场中的容器若已变色或从安全泄压装置中产生声音，必须马上撤离。</w:t>
            </w:r>
          </w:p>
          <w:p>
            <w:pPr>
              <w:adjustRightInd w:val="0"/>
              <w:snapToGrid w:val="0"/>
              <w:jc w:val="left"/>
              <w:rPr>
                <w:rFonts w:ascii="宋体" w:hAnsi="宋体"/>
                <w:szCs w:val="21"/>
              </w:rPr>
            </w:pPr>
            <w:r>
              <w:rPr>
                <w:rFonts w:ascii="宋体" w:hAnsi="宋体"/>
                <w:b/>
                <w:bCs/>
                <w:szCs w:val="21"/>
              </w:rPr>
              <w:t>灭 火 剂：</w:t>
            </w:r>
            <w:r>
              <w:rPr>
                <w:rFonts w:ascii="宋体" w:hAnsi="宋体"/>
                <w:szCs w:val="21"/>
              </w:rPr>
              <w:t>泡沫、干粉、二氧化碳、砂土。用水灭火无效。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trPr>
        <w:tc>
          <w:tcPr>
            <w:tcW w:w="568" w:type="dxa"/>
            <w:noWrap w:val="0"/>
            <w:vAlign w:val="center"/>
          </w:tcPr>
          <w:p>
            <w:pPr>
              <w:adjustRightInd w:val="0"/>
              <w:snapToGrid w:val="0"/>
              <w:rPr>
                <w:rFonts w:ascii="宋体" w:hAnsi="宋体"/>
                <w:b/>
                <w:bCs/>
                <w:szCs w:val="21"/>
              </w:rPr>
            </w:pPr>
            <w:r>
              <w:rPr>
                <w:rFonts w:ascii="宋体" w:hAnsi="宋体"/>
                <w:b/>
                <w:bCs/>
                <w:szCs w:val="21"/>
              </w:rPr>
              <w:t>包</w:t>
            </w:r>
          </w:p>
          <w:p>
            <w:pPr>
              <w:adjustRightInd w:val="0"/>
              <w:snapToGrid w:val="0"/>
              <w:rPr>
                <w:rFonts w:ascii="宋体" w:hAnsi="宋体"/>
                <w:b/>
                <w:bCs/>
                <w:szCs w:val="21"/>
              </w:rPr>
            </w:pPr>
            <w:r>
              <w:rPr>
                <w:rFonts w:ascii="宋体" w:hAnsi="宋体"/>
                <w:b/>
                <w:bCs/>
                <w:szCs w:val="21"/>
              </w:rPr>
              <w:t>装</w:t>
            </w:r>
          </w:p>
          <w:p>
            <w:pPr>
              <w:adjustRightInd w:val="0"/>
              <w:snapToGrid w:val="0"/>
              <w:rPr>
                <w:rFonts w:ascii="宋体" w:hAnsi="宋体"/>
                <w:b/>
                <w:bCs/>
                <w:szCs w:val="21"/>
              </w:rPr>
            </w:pPr>
            <w:r>
              <w:rPr>
                <w:rFonts w:ascii="宋体" w:hAnsi="宋体"/>
                <w:b/>
                <w:bCs/>
                <w:szCs w:val="21"/>
              </w:rPr>
              <w:t>与</w:t>
            </w:r>
          </w:p>
          <w:p>
            <w:pPr>
              <w:adjustRightInd w:val="0"/>
              <w:snapToGrid w:val="0"/>
              <w:rPr>
                <w:rFonts w:ascii="宋体" w:hAnsi="宋体"/>
                <w:b/>
                <w:bCs/>
                <w:szCs w:val="21"/>
              </w:rPr>
            </w:pPr>
            <w:r>
              <w:rPr>
                <w:rFonts w:ascii="宋体" w:hAnsi="宋体"/>
                <w:b/>
                <w:bCs/>
                <w:szCs w:val="21"/>
              </w:rPr>
              <w:t>储</w:t>
            </w:r>
          </w:p>
          <w:p>
            <w:pPr>
              <w:adjustRightInd w:val="0"/>
              <w:snapToGrid w:val="0"/>
              <w:jc w:val="left"/>
              <w:rPr>
                <w:rFonts w:ascii="宋体" w:hAnsi="宋体"/>
                <w:b/>
                <w:bCs/>
                <w:szCs w:val="21"/>
              </w:rPr>
            </w:pPr>
            <w:r>
              <w:rPr>
                <w:rFonts w:ascii="宋体" w:hAnsi="宋体"/>
                <w:b/>
                <w:bCs/>
                <w:szCs w:val="21"/>
              </w:rPr>
              <w:t>运</w:t>
            </w:r>
          </w:p>
        </w:tc>
        <w:tc>
          <w:tcPr>
            <w:tcW w:w="7954" w:type="dxa"/>
            <w:noWrap w:val="0"/>
            <w:vAlign w:val="center"/>
          </w:tcPr>
          <w:p>
            <w:pPr>
              <w:adjustRightInd w:val="0"/>
              <w:snapToGrid w:val="0"/>
              <w:rPr>
                <w:rFonts w:ascii="宋体" w:hAnsi="宋体"/>
                <w:szCs w:val="21"/>
              </w:rPr>
            </w:pPr>
            <w:r>
              <w:rPr>
                <w:rFonts w:ascii="宋体" w:hAnsi="宋体"/>
                <w:b/>
                <w:bCs/>
                <w:szCs w:val="21"/>
              </w:rPr>
              <w:t>安全标志：</w:t>
            </w:r>
            <w:r>
              <w:rPr>
                <w:rFonts w:ascii="宋体" w:hAnsi="宋体"/>
                <w:szCs w:val="21"/>
              </w:rPr>
              <w:t xml:space="preserve">易燃液体        </w:t>
            </w:r>
            <w:r>
              <w:rPr>
                <w:rFonts w:ascii="宋体" w:hAnsi="宋体"/>
                <w:b/>
                <w:bCs/>
                <w:szCs w:val="21"/>
              </w:rPr>
              <w:t>包装类别：Ⅲ</w:t>
            </w:r>
            <w:r>
              <w:rPr>
                <w:rFonts w:ascii="宋体" w:hAnsi="宋体"/>
                <w:szCs w:val="21"/>
              </w:rPr>
              <w:t>类包装</w:t>
            </w:r>
          </w:p>
          <w:p>
            <w:pPr>
              <w:adjustRightInd w:val="0"/>
              <w:snapToGrid w:val="0"/>
              <w:rPr>
                <w:rFonts w:ascii="宋体" w:hAnsi="宋体"/>
                <w:szCs w:val="21"/>
              </w:rPr>
            </w:pPr>
            <w:r>
              <w:rPr>
                <w:rFonts w:ascii="宋体" w:hAnsi="宋体"/>
                <w:b/>
                <w:bCs/>
                <w:szCs w:val="21"/>
              </w:rPr>
              <w:t>储存注意事项：</w:t>
            </w:r>
            <w:r>
              <w:rPr>
                <w:rFonts w:ascii="宋体" w:hAnsi="宋体"/>
                <w:szCs w:val="21"/>
              </w:rPr>
              <w:t>储存于阴凉、通风的库房 。远离火种、热源。应与氧化剂、卤素分开存放,切忌混储。储存间内的照明、通风等设施应采用防爆型，开关设在库房外。禁止使用易产生火花的机械设备和工具。储备区应有泄漏应急处理设备和合适的收容材料</w:t>
            </w:r>
          </w:p>
          <w:p>
            <w:pPr>
              <w:adjustRightInd w:val="0"/>
              <w:snapToGrid w:val="0"/>
              <w:jc w:val="left"/>
              <w:rPr>
                <w:rFonts w:ascii="宋体" w:hAnsi="宋体"/>
                <w:b/>
                <w:bCs/>
                <w:szCs w:val="21"/>
              </w:rPr>
            </w:pPr>
            <w:r>
              <w:rPr>
                <w:rFonts w:ascii="宋体" w:hAnsi="宋体"/>
                <w:b/>
                <w:bCs/>
                <w:szCs w:val="21"/>
              </w:rPr>
              <w:t>运输注意事项：</w:t>
            </w:r>
            <w:r>
              <w:rPr>
                <w:rFonts w:ascii="宋体" w:hAnsi="宋体"/>
                <w:szCs w:val="21"/>
              </w:rPr>
              <w:t>运输前应先检查包装容器是否完整、密封，运输过程中要确保容器不泄漏、不倒塌、不坠落、不损坏。运输时车辆应配备相应品种和数量的消防器材及泄漏应急处理设备。夏季最好早晚运输。运输时所用的槽（罐）车应有接地链，槽内可设孔隔板以减少震荡产生静电。严禁与氧化剂、卤素、食用化学品等混装混运。运输途中应防曝晒、雨淋，防高温。中途停留时应远离火种、热源、高温区。装运该物品的车辆排气管必须配备阻火装置，禁止使用易产生火花的机械设备和工具装卸。运输车船必须彻底清洗、消毒，否则不得装运其它物品。船运时，配装位置应远离卧室、厨房，并与机舱、电源、火源等部位隔离。公路运输时要按规定路线行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毒</w:t>
            </w:r>
          </w:p>
          <w:p>
            <w:pPr>
              <w:adjustRightInd w:val="0"/>
              <w:snapToGrid w:val="0"/>
              <w:jc w:val="center"/>
              <w:rPr>
                <w:rFonts w:ascii="宋体" w:hAnsi="宋体"/>
                <w:b/>
                <w:bCs/>
                <w:szCs w:val="21"/>
              </w:rPr>
            </w:pPr>
            <w:r>
              <w:rPr>
                <w:rFonts w:ascii="宋体" w:hAnsi="宋体"/>
                <w:b/>
                <w:bCs/>
                <w:szCs w:val="21"/>
              </w:rPr>
              <w:t>性</w:t>
            </w:r>
          </w:p>
          <w:p>
            <w:pPr>
              <w:adjustRightInd w:val="0"/>
              <w:snapToGrid w:val="0"/>
              <w:jc w:val="center"/>
              <w:rPr>
                <w:rFonts w:ascii="宋体" w:hAnsi="宋体"/>
                <w:b/>
                <w:bCs/>
                <w:szCs w:val="21"/>
              </w:rPr>
            </w:pPr>
            <w:r>
              <w:rPr>
                <w:rFonts w:ascii="宋体" w:hAnsi="宋体"/>
                <w:b/>
                <w:bCs/>
                <w:szCs w:val="21"/>
              </w:rPr>
              <w:t>及</w:t>
            </w:r>
          </w:p>
          <w:p>
            <w:pPr>
              <w:adjustRightInd w:val="0"/>
              <w:snapToGrid w:val="0"/>
              <w:jc w:val="center"/>
              <w:rPr>
                <w:rFonts w:ascii="宋体" w:hAnsi="宋体"/>
                <w:b/>
                <w:bCs/>
                <w:szCs w:val="21"/>
              </w:rPr>
            </w:pPr>
            <w:r>
              <w:rPr>
                <w:rFonts w:ascii="宋体" w:hAnsi="宋体"/>
                <w:b/>
                <w:bCs/>
                <w:szCs w:val="21"/>
              </w:rPr>
              <w:t>健</w:t>
            </w:r>
          </w:p>
          <w:p>
            <w:pPr>
              <w:adjustRightInd w:val="0"/>
              <w:snapToGrid w:val="0"/>
              <w:jc w:val="center"/>
              <w:rPr>
                <w:rFonts w:ascii="宋体" w:hAnsi="宋体"/>
                <w:b/>
                <w:bCs/>
                <w:szCs w:val="21"/>
              </w:rPr>
            </w:pPr>
            <w:r>
              <w:rPr>
                <w:rFonts w:ascii="宋体" w:hAnsi="宋体"/>
                <w:b/>
                <w:bCs/>
                <w:szCs w:val="21"/>
              </w:rPr>
              <w:t>康</w:t>
            </w:r>
          </w:p>
          <w:p>
            <w:pPr>
              <w:adjustRightInd w:val="0"/>
              <w:snapToGrid w:val="0"/>
              <w:jc w:val="center"/>
              <w:rPr>
                <w:rFonts w:ascii="宋体" w:hAnsi="宋体"/>
                <w:b/>
                <w:bCs/>
                <w:szCs w:val="21"/>
              </w:rPr>
            </w:pPr>
            <w:r>
              <w:rPr>
                <w:rFonts w:ascii="宋体" w:hAnsi="宋体"/>
                <w:b/>
                <w:bCs/>
                <w:szCs w:val="21"/>
              </w:rPr>
              <w:t>危</w:t>
            </w:r>
          </w:p>
          <w:p>
            <w:pPr>
              <w:adjustRightInd w:val="0"/>
              <w:snapToGrid w:val="0"/>
              <w:jc w:val="center"/>
              <w:rPr>
                <w:rFonts w:ascii="宋体" w:hAnsi="宋体"/>
                <w:b/>
                <w:bCs/>
                <w:szCs w:val="21"/>
              </w:rPr>
            </w:pPr>
            <w:r>
              <w:rPr>
                <w:rFonts w:ascii="宋体" w:hAnsi="宋体"/>
                <w:b/>
                <w:bCs/>
                <w:szCs w:val="21"/>
              </w:rPr>
              <w:t>害</w:t>
            </w:r>
          </w:p>
          <w:p>
            <w:pPr>
              <w:adjustRightInd w:val="0"/>
              <w:snapToGrid w:val="0"/>
              <w:jc w:val="center"/>
              <w:rPr>
                <w:rFonts w:ascii="宋体" w:hAnsi="宋体"/>
                <w:szCs w:val="21"/>
              </w:rPr>
            </w:pPr>
            <w:r>
              <w:rPr>
                <w:rFonts w:ascii="宋体" w:hAnsi="宋体"/>
                <w:b/>
                <w:bCs/>
                <w:szCs w:val="21"/>
              </w:rPr>
              <w:t>性</w:t>
            </w:r>
          </w:p>
        </w:tc>
        <w:tc>
          <w:tcPr>
            <w:tcW w:w="7954" w:type="dxa"/>
            <w:noWrap w:val="0"/>
            <w:vAlign w:val="center"/>
          </w:tcPr>
          <w:p>
            <w:pPr>
              <w:adjustRightInd w:val="0"/>
              <w:snapToGrid w:val="0"/>
              <w:rPr>
                <w:rFonts w:ascii="宋体" w:hAnsi="宋体"/>
                <w:szCs w:val="21"/>
              </w:rPr>
            </w:pPr>
            <w:r>
              <w:rPr>
                <w:rFonts w:ascii="宋体" w:hAnsi="宋体"/>
                <w:b/>
                <w:bCs/>
                <w:szCs w:val="21"/>
              </w:rPr>
              <w:t>接触限值：</w:t>
            </w:r>
            <w:r>
              <w:rPr>
                <w:rFonts w:ascii="宋体" w:hAnsi="宋体"/>
                <w:szCs w:val="21"/>
              </w:rPr>
              <w:t>中国MAC（mg/m</w:t>
            </w:r>
            <w:r>
              <w:rPr>
                <w:rFonts w:ascii="宋体" w:hAnsi="宋体"/>
                <w:szCs w:val="21"/>
                <w:vertAlign w:val="superscript"/>
              </w:rPr>
              <w:t>3</w:t>
            </w:r>
            <w:r>
              <w:rPr>
                <w:rFonts w:ascii="宋体" w:hAnsi="宋体"/>
                <w:szCs w:val="21"/>
              </w:rPr>
              <w:t>）：无资料。</w:t>
            </w:r>
          </w:p>
          <w:p>
            <w:pPr>
              <w:adjustRightInd w:val="0"/>
              <w:snapToGrid w:val="0"/>
              <w:rPr>
                <w:rFonts w:ascii="宋体" w:hAnsi="宋体"/>
                <w:szCs w:val="21"/>
              </w:rPr>
            </w:pPr>
            <w:r>
              <w:rPr>
                <w:rFonts w:ascii="宋体" w:hAnsi="宋体"/>
                <w:b/>
                <w:bCs/>
                <w:szCs w:val="21"/>
              </w:rPr>
              <w:t>侵入途径：</w:t>
            </w:r>
            <w:r>
              <w:rPr>
                <w:rFonts w:ascii="宋体" w:hAnsi="宋体"/>
                <w:szCs w:val="21"/>
              </w:rPr>
              <w:t>吸入、食入、经皮肤吸收。</w:t>
            </w:r>
          </w:p>
          <w:p>
            <w:pPr>
              <w:adjustRightInd w:val="0"/>
              <w:snapToGrid w:val="0"/>
              <w:rPr>
                <w:rFonts w:ascii="宋体" w:hAnsi="宋体"/>
                <w:szCs w:val="21"/>
              </w:rPr>
            </w:pPr>
            <w:r>
              <w:rPr>
                <w:rFonts w:ascii="宋体" w:hAnsi="宋体"/>
                <w:b/>
                <w:bCs/>
                <w:szCs w:val="21"/>
              </w:rPr>
              <w:t>急性毒性：</w:t>
            </w:r>
            <w:r>
              <w:rPr>
                <w:rFonts w:ascii="宋体" w:hAnsi="宋体"/>
                <w:szCs w:val="21"/>
              </w:rPr>
              <w:t>LD</w:t>
            </w:r>
            <w:r>
              <w:rPr>
                <w:rFonts w:ascii="宋体" w:hAnsi="宋体"/>
                <w:szCs w:val="21"/>
                <w:vertAlign w:val="subscript"/>
              </w:rPr>
              <w:t>50</w:t>
            </w:r>
            <w:r>
              <w:rPr>
                <w:rFonts w:ascii="宋体" w:hAnsi="宋体"/>
                <w:szCs w:val="21"/>
              </w:rPr>
              <w:t xml:space="preserve">：无资料 </w:t>
            </w:r>
          </w:p>
          <w:p>
            <w:pPr>
              <w:adjustRightInd w:val="0"/>
              <w:snapToGrid w:val="0"/>
              <w:rPr>
                <w:rFonts w:ascii="宋体" w:hAnsi="宋体"/>
                <w:szCs w:val="21"/>
              </w:rPr>
            </w:pPr>
            <w:r>
              <w:rPr>
                <w:rFonts w:ascii="宋体" w:hAnsi="宋体"/>
                <w:b/>
                <w:bCs/>
                <w:szCs w:val="21"/>
              </w:rPr>
              <w:t>健康危害：</w:t>
            </w:r>
            <w:r>
              <w:rPr>
                <w:rFonts w:ascii="宋体" w:hAnsi="宋体"/>
                <w:szCs w:val="21"/>
              </w:rPr>
              <w:t>皮肤接触可为主要吸收途径，可致急性肾脏损害。柴油可引起接触性皮炎、油性痤疮。吸入其雾滴或液体呛入可引起吸入性肺炎。能经胎盘进入胎儿血液中。柴油废气可引起眼、鼻刺激症状,头晕及头痛。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急</w:t>
            </w:r>
          </w:p>
          <w:p>
            <w:pPr>
              <w:adjustRightInd w:val="0"/>
              <w:snapToGrid w:val="0"/>
              <w:jc w:val="center"/>
              <w:rPr>
                <w:rFonts w:ascii="宋体" w:hAnsi="宋体"/>
                <w:b/>
                <w:bCs/>
                <w:szCs w:val="21"/>
              </w:rPr>
            </w:pPr>
            <w:r>
              <w:rPr>
                <w:rFonts w:ascii="宋体" w:hAnsi="宋体"/>
                <w:b/>
                <w:bCs/>
                <w:szCs w:val="21"/>
              </w:rPr>
              <w:t>救</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皮肤接触：</w:t>
            </w:r>
            <w:r>
              <w:rPr>
                <w:rFonts w:ascii="宋体" w:hAnsi="宋体"/>
                <w:szCs w:val="21"/>
              </w:rPr>
              <w:t>立即脱去被污染的衣着，用肥皂水和清水彻底冲洗皮肤。就医。</w:t>
            </w:r>
          </w:p>
          <w:p>
            <w:pPr>
              <w:adjustRightInd w:val="0"/>
              <w:snapToGrid w:val="0"/>
              <w:rPr>
                <w:rFonts w:ascii="宋体" w:hAnsi="宋体"/>
                <w:szCs w:val="21"/>
              </w:rPr>
            </w:pPr>
            <w:r>
              <w:rPr>
                <w:rFonts w:ascii="宋体" w:hAnsi="宋体"/>
                <w:b/>
                <w:bCs/>
                <w:szCs w:val="21"/>
              </w:rPr>
              <w:t>眼睛接触：</w:t>
            </w:r>
            <w:r>
              <w:rPr>
                <w:rFonts w:ascii="宋体" w:hAnsi="宋体"/>
                <w:szCs w:val="21"/>
              </w:rPr>
              <w:t>立即提起眼睑，用大量流动清水或生理盐水彻底冲洗至少15分钟。就医。</w:t>
            </w:r>
          </w:p>
          <w:p>
            <w:pPr>
              <w:adjustRightInd w:val="0"/>
              <w:snapToGrid w:val="0"/>
              <w:rPr>
                <w:rFonts w:ascii="宋体" w:hAnsi="宋体"/>
                <w:szCs w:val="21"/>
              </w:rPr>
            </w:pPr>
            <w:r>
              <w:rPr>
                <w:rFonts w:ascii="宋体" w:hAnsi="宋体"/>
                <w:b/>
                <w:bCs/>
                <w:szCs w:val="21"/>
              </w:rPr>
              <w:t>吸入：</w:t>
            </w:r>
            <w:r>
              <w:rPr>
                <w:rFonts w:ascii="宋体" w:hAnsi="宋体"/>
                <w:szCs w:val="21"/>
              </w:rPr>
              <w:t>迅速脱离现场至空气新鲜处。保持呼吸道通畅。如呼吸困难，给输氧。如呼吸停止，立即进行人工呼吸。就医。</w:t>
            </w:r>
          </w:p>
          <w:p>
            <w:pPr>
              <w:adjustRightInd w:val="0"/>
              <w:snapToGrid w:val="0"/>
              <w:rPr>
                <w:rFonts w:ascii="宋体" w:hAnsi="宋体"/>
                <w:szCs w:val="21"/>
              </w:rPr>
            </w:pPr>
            <w:r>
              <w:rPr>
                <w:rFonts w:ascii="宋体" w:hAnsi="宋体"/>
                <w:b/>
                <w:bCs/>
                <w:szCs w:val="21"/>
              </w:rPr>
              <w:t>食入：</w:t>
            </w:r>
            <w:r>
              <w:rPr>
                <w:rFonts w:ascii="宋体" w:hAnsi="宋体"/>
                <w:szCs w:val="21"/>
              </w:rPr>
              <w:t>给饮牛奶或用植物油洗胃和灌肠。就医。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防</w:t>
            </w:r>
          </w:p>
          <w:p>
            <w:pPr>
              <w:adjustRightInd w:val="0"/>
              <w:snapToGrid w:val="0"/>
              <w:jc w:val="center"/>
              <w:rPr>
                <w:rFonts w:ascii="宋体" w:hAnsi="宋体"/>
                <w:b/>
                <w:bCs/>
                <w:szCs w:val="21"/>
              </w:rPr>
            </w:pPr>
            <w:r>
              <w:rPr>
                <w:rFonts w:ascii="宋体" w:hAnsi="宋体"/>
                <w:b/>
                <w:bCs/>
                <w:szCs w:val="21"/>
              </w:rPr>
              <w:t>护</w:t>
            </w:r>
          </w:p>
          <w:p>
            <w:pPr>
              <w:adjustRightInd w:val="0"/>
              <w:snapToGrid w:val="0"/>
              <w:jc w:val="center"/>
              <w:rPr>
                <w:rFonts w:ascii="宋体" w:hAnsi="宋体"/>
                <w:b/>
                <w:bCs/>
                <w:szCs w:val="21"/>
              </w:rPr>
            </w:pPr>
            <w:r>
              <w:rPr>
                <w:rFonts w:ascii="宋体" w:hAnsi="宋体"/>
                <w:b/>
                <w:bCs/>
                <w:szCs w:val="21"/>
              </w:rPr>
              <w:t>措</w:t>
            </w:r>
          </w:p>
          <w:p>
            <w:pPr>
              <w:adjustRightInd w:val="0"/>
              <w:snapToGrid w:val="0"/>
              <w:jc w:val="center"/>
              <w:rPr>
                <w:rFonts w:ascii="宋体" w:hAnsi="宋体"/>
                <w:szCs w:val="21"/>
              </w:rPr>
            </w:pPr>
            <w:r>
              <w:rPr>
                <w:rFonts w:ascii="宋体" w:hAnsi="宋体"/>
                <w:b/>
                <w:bCs/>
                <w:szCs w:val="21"/>
              </w:rPr>
              <w:t>施</w:t>
            </w:r>
          </w:p>
        </w:tc>
        <w:tc>
          <w:tcPr>
            <w:tcW w:w="7954" w:type="dxa"/>
            <w:noWrap w:val="0"/>
            <w:vAlign w:val="center"/>
          </w:tcPr>
          <w:p>
            <w:pPr>
              <w:adjustRightInd w:val="0"/>
              <w:snapToGrid w:val="0"/>
              <w:rPr>
                <w:rFonts w:ascii="宋体" w:hAnsi="宋体"/>
                <w:szCs w:val="21"/>
              </w:rPr>
            </w:pPr>
            <w:r>
              <w:rPr>
                <w:rFonts w:ascii="宋体" w:hAnsi="宋体"/>
                <w:b/>
                <w:bCs/>
                <w:szCs w:val="21"/>
              </w:rPr>
              <w:t>工程控制：</w:t>
            </w:r>
            <w:r>
              <w:rPr>
                <w:rFonts w:ascii="宋体" w:hAnsi="宋体"/>
                <w:szCs w:val="21"/>
              </w:rPr>
              <w:t>生产过程密闭操作，注意通风。</w:t>
            </w:r>
          </w:p>
          <w:p>
            <w:pPr>
              <w:adjustRightInd w:val="0"/>
              <w:snapToGrid w:val="0"/>
              <w:rPr>
                <w:rFonts w:ascii="宋体" w:hAnsi="宋体"/>
                <w:szCs w:val="21"/>
              </w:rPr>
            </w:pPr>
            <w:r>
              <w:rPr>
                <w:rFonts w:ascii="宋体" w:hAnsi="宋体"/>
                <w:b/>
                <w:bCs/>
                <w:szCs w:val="21"/>
              </w:rPr>
              <w:t>呼吸系统防护：</w:t>
            </w:r>
            <w:r>
              <w:rPr>
                <w:rFonts w:ascii="宋体" w:hAnsi="宋体"/>
                <w:szCs w:val="21"/>
              </w:rPr>
              <w:t>空气中浓度超标时，建议佩戴自吸过滤式防毒面具(半面罩)。紧急事态抢救或撤离时,应佩戴空气呼吸器。</w:t>
            </w:r>
          </w:p>
          <w:p>
            <w:pPr>
              <w:adjustRightInd w:val="0"/>
              <w:snapToGrid w:val="0"/>
              <w:rPr>
                <w:rFonts w:ascii="宋体" w:hAnsi="宋体"/>
                <w:szCs w:val="21"/>
              </w:rPr>
            </w:pPr>
            <w:r>
              <w:rPr>
                <w:rFonts w:ascii="宋体" w:hAnsi="宋体"/>
                <w:b/>
                <w:bCs/>
                <w:szCs w:val="21"/>
              </w:rPr>
              <w:t>眼睛防护：</w:t>
            </w:r>
            <w:r>
              <w:rPr>
                <w:rFonts w:ascii="宋体" w:hAnsi="宋体"/>
                <w:szCs w:val="21"/>
              </w:rPr>
              <w:t>必要时戴化学安全防护眼镜。</w:t>
            </w:r>
          </w:p>
          <w:p>
            <w:pPr>
              <w:adjustRightInd w:val="0"/>
              <w:snapToGrid w:val="0"/>
              <w:rPr>
                <w:rFonts w:ascii="宋体" w:hAnsi="宋体"/>
                <w:szCs w:val="21"/>
              </w:rPr>
            </w:pPr>
            <w:r>
              <w:rPr>
                <w:rFonts w:ascii="宋体" w:hAnsi="宋体"/>
                <w:b/>
                <w:bCs/>
                <w:szCs w:val="21"/>
              </w:rPr>
              <w:t>身体防护：</w:t>
            </w:r>
            <w:r>
              <w:rPr>
                <w:rFonts w:ascii="宋体" w:hAnsi="宋体"/>
                <w:szCs w:val="21"/>
              </w:rPr>
              <w:t>穿一般作业工作服。</w:t>
            </w:r>
          </w:p>
          <w:p>
            <w:pPr>
              <w:adjustRightInd w:val="0"/>
              <w:snapToGrid w:val="0"/>
              <w:rPr>
                <w:rFonts w:ascii="宋体" w:hAnsi="宋体"/>
                <w:szCs w:val="21"/>
              </w:rPr>
            </w:pPr>
            <w:r>
              <w:rPr>
                <w:rFonts w:ascii="宋体" w:hAnsi="宋体"/>
                <w:b/>
                <w:bCs/>
                <w:szCs w:val="21"/>
              </w:rPr>
              <w:t>手 防 护：</w:t>
            </w:r>
            <w:r>
              <w:rPr>
                <w:rFonts w:ascii="宋体" w:hAnsi="宋体"/>
                <w:szCs w:val="21"/>
              </w:rPr>
              <w:t>戴橡胶耐油手套。</w:t>
            </w:r>
          </w:p>
          <w:p>
            <w:pPr>
              <w:adjustRightInd w:val="0"/>
              <w:snapToGrid w:val="0"/>
              <w:rPr>
                <w:rFonts w:ascii="宋体" w:hAnsi="宋体"/>
                <w:szCs w:val="21"/>
              </w:rPr>
            </w:pPr>
            <w:r>
              <w:rPr>
                <w:rFonts w:ascii="宋体" w:hAnsi="宋体"/>
                <w:b/>
                <w:bCs/>
                <w:szCs w:val="21"/>
              </w:rPr>
              <w:t>其它防护：</w:t>
            </w:r>
            <w:r>
              <w:rPr>
                <w:rFonts w:ascii="宋体" w:hAnsi="宋体"/>
                <w:szCs w:val="21"/>
              </w:rPr>
              <w:t>工作现场禁止吸烟。避免长期反复接触。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568" w:type="dxa"/>
            <w:noWrap w:val="0"/>
            <w:vAlign w:val="center"/>
          </w:tcPr>
          <w:p>
            <w:pPr>
              <w:adjustRightInd w:val="0"/>
              <w:snapToGrid w:val="0"/>
              <w:jc w:val="center"/>
              <w:rPr>
                <w:rFonts w:ascii="宋体" w:hAnsi="宋体"/>
                <w:b/>
                <w:bCs/>
                <w:szCs w:val="21"/>
              </w:rPr>
            </w:pPr>
            <w:r>
              <w:rPr>
                <w:rFonts w:ascii="宋体" w:hAnsi="宋体"/>
                <w:b/>
                <w:bCs/>
                <w:szCs w:val="21"/>
              </w:rPr>
              <w:t>泄</w:t>
            </w:r>
          </w:p>
          <w:p>
            <w:pPr>
              <w:adjustRightInd w:val="0"/>
              <w:snapToGrid w:val="0"/>
              <w:jc w:val="center"/>
              <w:rPr>
                <w:rFonts w:ascii="宋体" w:hAnsi="宋体"/>
                <w:b/>
                <w:bCs/>
                <w:szCs w:val="21"/>
              </w:rPr>
            </w:pPr>
            <w:r>
              <w:rPr>
                <w:rFonts w:ascii="宋体" w:hAnsi="宋体"/>
                <w:b/>
                <w:bCs/>
                <w:szCs w:val="21"/>
              </w:rPr>
              <w:t>漏</w:t>
            </w:r>
          </w:p>
          <w:p>
            <w:pPr>
              <w:adjustRightInd w:val="0"/>
              <w:snapToGrid w:val="0"/>
              <w:jc w:val="center"/>
              <w:rPr>
                <w:rFonts w:ascii="宋体" w:hAnsi="宋体"/>
                <w:b/>
                <w:bCs/>
                <w:szCs w:val="21"/>
              </w:rPr>
            </w:pPr>
            <w:r>
              <w:rPr>
                <w:rFonts w:ascii="宋体" w:hAnsi="宋体"/>
                <w:b/>
                <w:bCs/>
                <w:szCs w:val="21"/>
              </w:rPr>
              <w:t>处</w:t>
            </w:r>
          </w:p>
          <w:p>
            <w:pPr>
              <w:adjustRightInd w:val="0"/>
              <w:snapToGrid w:val="0"/>
              <w:jc w:val="center"/>
              <w:rPr>
                <w:rFonts w:ascii="宋体" w:hAnsi="宋体"/>
                <w:szCs w:val="21"/>
              </w:rPr>
            </w:pPr>
            <w:r>
              <w:rPr>
                <w:rFonts w:ascii="宋体" w:hAnsi="宋体"/>
                <w:b/>
                <w:bCs/>
                <w:szCs w:val="21"/>
              </w:rPr>
              <w:t>理</w:t>
            </w:r>
          </w:p>
        </w:tc>
        <w:tc>
          <w:tcPr>
            <w:tcW w:w="7954" w:type="dxa"/>
            <w:noWrap w:val="0"/>
            <w:vAlign w:val="center"/>
          </w:tcPr>
          <w:p>
            <w:pPr>
              <w:adjustRightInd w:val="0"/>
              <w:snapToGrid w:val="0"/>
              <w:rPr>
                <w:rFonts w:ascii="宋体" w:hAnsi="宋体"/>
                <w:szCs w:val="21"/>
              </w:rPr>
            </w:pPr>
            <w:r>
              <w:rPr>
                <w:rFonts w:ascii="宋体" w:hAnsi="宋体"/>
                <w:b/>
                <w:bCs/>
                <w:szCs w:val="21"/>
              </w:rPr>
              <w:t>应急行动：</w:t>
            </w:r>
            <w:r>
              <w:rPr>
                <w:rFonts w:ascii="宋体" w:hAnsi="宋体"/>
                <w:szCs w:val="21"/>
              </w:rPr>
              <w:t>迅速撤离泄漏污染区人员至安全区，并进行隔离，严格限制出入。切断火源。建议应急处理人员戴自给正压式呼吸器，穿一般作业工作服。尽可能切断泄漏源。防止流入下水道、排洪沟等限制性空间。小量泄漏：用活性炭或其它惰性材料吸收。大量泄漏：构筑围堤或挖坑收容。用防爆泵转移至槽车或专用收集容器内，回收或运至废物处理场所处置。</w:t>
            </w:r>
          </w:p>
        </w:tc>
      </w:tr>
    </w:tbl>
    <w:p>
      <w:pPr>
        <w:pStyle w:val="8"/>
        <w:spacing w:line="360" w:lineRule="auto"/>
        <w:ind w:firstLine="0" w:firstLineChars="0"/>
        <w:outlineLvl w:val="2"/>
        <w:rPr>
          <w:rFonts w:hint="eastAsia" w:ascii="宋体" w:hAnsi="宋体"/>
          <w:b/>
          <w:snapToGrid w:val="0"/>
          <w:kern w:val="0"/>
          <w:sz w:val="28"/>
          <w:szCs w:val="28"/>
          <w:lang w:val="en-US" w:eastAsia="zh-CN"/>
        </w:rPr>
      </w:pPr>
      <w:bookmarkStart w:id="99" w:name="_Toc515659434"/>
      <w:bookmarkStart w:id="100" w:name="_Toc475363997"/>
      <w:bookmarkStart w:id="101" w:name="_Toc32416"/>
      <w:bookmarkStart w:id="102" w:name="_Toc513735551"/>
      <w:bookmarkStart w:id="103" w:name="_Toc511994825"/>
      <w:r>
        <w:rPr>
          <w:rFonts w:hint="eastAsia" w:ascii="宋体" w:hAnsi="宋体"/>
          <w:b/>
          <w:snapToGrid w:val="0"/>
          <w:kern w:val="0"/>
          <w:sz w:val="28"/>
          <w:szCs w:val="28"/>
          <w:lang w:val="en-US" w:eastAsia="zh-CN"/>
        </w:rPr>
        <w:t>3.4.7 氧气安全数据表</w:t>
      </w:r>
      <w:bookmarkEnd w:id="99"/>
      <w:bookmarkEnd w:id="100"/>
      <w:bookmarkEnd w:id="101"/>
      <w:bookmarkEnd w:id="102"/>
    </w:p>
    <w:p>
      <w:pPr>
        <w:pStyle w:val="32"/>
        <w:rPr>
          <w:rFonts w:eastAsia="黑体"/>
          <w:sz w:val="24"/>
          <w:szCs w:val="24"/>
        </w:rPr>
      </w:pPr>
      <w:r>
        <w:rPr>
          <w:rFonts w:eastAsia="黑体"/>
          <w:sz w:val="24"/>
          <w:szCs w:val="24"/>
        </w:rPr>
        <w:t>表3-</w:t>
      </w:r>
      <w:r>
        <w:rPr>
          <w:rFonts w:hint="eastAsia" w:eastAsia="黑体"/>
          <w:sz w:val="24"/>
          <w:szCs w:val="24"/>
        </w:rPr>
        <w:t>2</w:t>
      </w:r>
      <w:r>
        <w:rPr>
          <w:rFonts w:eastAsia="黑体"/>
          <w:sz w:val="24"/>
          <w:szCs w:val="24"/>
        </w:rPr>
        <w:t xml:space="preserve"> 氧气安全数据表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中文名：氧气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英文名：oxygen</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CAS号：7782-44-7</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2528</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危险货物编号：22001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主要用途：用于切割、焊接金属，制造医药、染料、炸药等。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w:t>
            </w:r>
          </w:p>
          <w:p>
            <w:pPr>
              <w:spacing w:line="260" w:lineRule="exact"/>
              <w:rPr>
                <w:rFonts w:ascii="宋体" w:hAnsi="宋体"/>
                <w:szCs w:val="21"/>
              </w:rPr>
            </w:pPr>
            <w:r>
              <w:rPr>
                <w:rFonts w:ascii="宋体" w:hAnsi="宋体"/>
                <w:szCs w:val="21"/>
              </w:rPr>
              <w:t>1.14（-183℃）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饱和蒸汽压(kPa)：506.62（-164℃）</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临界温度(℃)：-118.4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1.43</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临界压力(MPa)：5.08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熔点：-218.8</w:t>
            </w:r>
          </w:p>
        </w:tc>
        <w:tc>
          <w:tcPr>
            <w:tcW w:w="4076" w:type="dxa"/>
            <w:gridSpan w:val="5"/>
            <w:noWrap w:val="0"/>
            <w:vAlign w:val="center"/>
          </w:tcPr>
          <w:p>
            <w:pPr>
              <w:spacing w:line="260" w:lineRule="exact"/>
              <w:rPr>
                <w:rFonts w:ascii="宋体" w:hAnsi="宋体"/>
                <w:szCs w:val="21"/>
              </w:rPr>
            </w:pPr>
            <w:r>
              <w:rPr>
                <w:rFonts w:ascii="宋体" w:hAnsi="宋体"/>
                <w:szCs w:val="21"/>
              </w:rPr>
              <w:t>沸点：-183.1</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溶解性：溶于水、乙醇。</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危险特性：是易燃物、可燃物燃烧爆炸的基本要素之一, 能氧化大多数活性物质。与易燃物（如乙炔、甲烷等）形成有爆炸性的混合物。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燃烧分解产物：无数据</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稳定性：无数据</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聚合危害：无数据</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禁忌物：易燃或可燃物、活性金属粉末、乙炔。</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灭火方法：用水保持容器冷却，以防受热爆炸，急剧助长火势。迅速切断气源，用水喷淋保护切断气源的人员，然后根据着火原因选择适当灭火剂灭火。</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危险性类别：第2.2类 不燃气体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常压下，当氧的浓度超过40％时，有可能发生氧中毒。吸入40％～60％的氧时，出现胸骨后不适感、轻咳，进而胸闷、胸骨后烧灼感和呼吸困难，咳嗽加剧；严重时可发生肺水肿，甚至出现呼吸窘迫综合征。吸入氧浓度在80％以上时，出现面部肌肉抽动、面色苍白、眩晕、心动过速、虚脱，继而全身强直性抽搐、昏迷、呼吸衰竭而死亡。长期处于氧分压为60～100kPa（相当于吸入氧浓度40％左右）的条件下可发生眼损害，严重者可失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燃爆危险：本品助燃。</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69"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危险货物包装标志：无数据</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包装类别：O53</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钢质气瓶包装。氧气钢瓶不得沾污油脂。采用刚瓶运输时必须戴好钢瓶上的安全帽。钢瓶一般平放，并应将瓶口朝同一方向，不可交叉；高度不得超过车辆的防护栏板，并用三角木垫卡牢，防止滚动。严禁与易燃物或可燃物、活性金属粉末等混装混运。夏季应早晚运输，防止日光曝晒。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工程控制：密闭操作。提供良好的自然通风条件。</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身体防护：穿一般作业工作服。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其它防护：避免高浓度吸入。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一般作业工作服。避免与可燃物或易燃物接触。尽可能切断泄漏源。合理通风，加速扩散。漏气容器要妥善处理，修复、检验后再用。</w:t>
            </w:r>
          </w:p>
        </w:tc>
      </w:tr>
    </w:tbl>
    <w:p>
      <w:pPr>
        <w:pStyle w:val="8"/>
        <w:spacing w:line="360" w:lineRule="auto"/>
        <w:ind w:firstLine="0" w:firstLineChars="0"/>
        <w:outlineLvl w:val="2"/>
        <w:rPr>
          <w:rFonts w:hint="eastAsia" w:ascii="宋体" w:hAnsi="宋体"/>
          <w:b/>
          <w:snapToGrid w:val="0"/>
          <w:kern w:val="0"/>
          <w:sz w:val="28"/>
          <w:szCs w:val="28"/>
          <w:lang w:val="en-US" w:eastAsia="zh-CN"/>
        </w:rPr>
      </w:pPr>
      <w:bookmarkStart w:id="104" w:name="_Toc321298550"/>
      <w:bookmarkStart w:id="105" w:name="_Toc475363998"/>
      <w:bookmarkStart w:id="106" w:name="_Toc32562"/>
      <w:bookmarkStart w:id="107" w:name="_Toc513735552"/>
      <w:bookmarkStart w:id="108" w:name="_Toc515659435"/>
      <w:r>
        <w:rPr>
          <w:rFonts w:hint="eastAsia" w:ascii="宋体" w:hAnsi="宋体"/>
          <w:b/>
          <w:snapToGrid w:val="0"/>
          <w:kern w:val="0"/>
          <w:sz w:val="28"/>
          <w:szCs w:val="28"/>
          <w:lang w:val="en-US" w:eastAsia="zh-CN"/>
        </w:rPr>
        <w:t>3.4.8 乙炔安全数据表</w:t>
      </w:r>
      <w:bookmarkEnd w:id="104"/>
      <w:bookmarkEnd w:id="105"/>
      <w:bookmarkEnd w:id="106"/>
      <w:bookmarkEnd w:id="107"/>
      <w:bookmarkEnd w:id="108"/>
    </w:p>
    <w:p>
      <w:pPr>
        <w:pStyle w:val="32"/>
        <w:rPr>
          <w:rFonts w:eastAsia="黑体"/>
          <w:sz w:val="24"/>
          <w:szCs w:val="24"/>
        </w:rPr>
      </w:pPr>
      <w:r>
        <w:rPr>
          <w:rFonts w:hint="eastAsia" w:eastAsia="黑体"/>
          <w:sz w:val="24"/>
          <w:szCs w:val="24"/>
        </w:rPr>
        <w:t>表</w:t>
      </w:r>
      <w:r>
        <w:rPr>
          <w:rFonts w:eastAsia="黑体"/>
          <w:sz w:val="24"/>
          <w:szCs w:val="24"/>
        </w:rPr>
        <w:t>3-</w:t>
      </w:r>
      <w:r>
        <w:rPr>
          <w:rFonts w:hint="eastAsia" w:eastAsia="黑体"/>
          <w:sz w:val="24"/>
          <w:szCs w:val="24"/>
        </w:rPr>
        <w:t>3</w:t>
      </w:r>
      <w:r>
        <w:rPr>
          <w:rFonts w:eastAsia="黑体"/>
          <w:sz w:val="24"/>
          <w:szCs w:val="24"/>
        </w:rPr>
        <w:t xml:space="preserve"> 乙炔安全数据表</w:t>
      </w:r>
    </w:p>
    <w:tbl>
      <w:tblPr>
        <w:tblStyle w:val="19"/>
        <w:tblW w:w="8336" w:type="dxa"/>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476"/>
        <w:gridCol w:w="1947"/>
        <w:gridCol w:w="531"/>
        <w:gridCol w:w="788"/>
        <w:gridCol w:w="255"/>
        <w:gridCol w:w="43"/>
        <w:gridCol w:w="220"/>
        <w:gridCol w:w="436"/>
        <w:gridCol w:w="967"/>
        <w:gridCol w:w="229"/>
        <w:gridCol w:w="408"/>
        <w:gridCol w:w="2036"/>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标 识</w:t>
            </w: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中文名：乙炔</w:t>
            </w:r>
          </w:p>
        </w:tc>
        <w:tc>
          <w:tcPr>
            <w:tcW w:w="5382" w:type="dxa"/>
            <w:gridSpan w:val="9"/>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英文名：acetylene</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CAS号：74-86-2</w:t>
            </w:r>
          </w:p>
        </w:tc>
        <w:tc>
          <w:tcPr>
            <w:tcW w:w="3346" w:type="dxa"/>
            <w:gridSpan w:val="8"/>
            <w:noWrap w:val="0"/>
            <w:tcMar>
              <w:top w:w="15" w:type="dxa"/>
              <w:left w:w="15" w:type="dxa"/>
              <w:bottom w:w="15" w:type="dxa"/>
              <w:right w:w="15" w:type="dxa"/>
            </w:tcMar>
            <w:vAlign w:val="center"/>
          </w:tcPr>
          <w:p>
            <w:pPr>
              <w:spacing w:line="260" w:lineRule="exact"/>
              <w:rPr>
                <w:rFonts w:ascii="宋体" w:hAnsi="宋体"/>
                <w:szCs w:val="21"/>
              </w:rPr>
            </w:pPr>
            <w:r>
              <w:rPr>
                <w:rFonts w:hint="eastAsia" w:ascii="宋体" w:hAnsi="宋体"/>
                <w:szCs w:val="21"/>
              </w:rPr>
              <w:t>危规</w:t>
            </w:r>
            <w:r>
              <w:rPr>
                <w:rFonts w:ascii="宋体" w:hAnsi="宋体"/>
                <w:szCs w:val="21"/>
              </w:rPr>
              <w:t>编号：</w:t>
            </w:r>
            <w:r>
              <w:rPr>
                <w:rFonts w:hint="eastAsia" w:ascii="宋体" w:hAnsi="宋体"/>
                <w:szCs w:val="21"/>
              </w:rPr>
              <w:t>2629</w:t>
            </w:r>
          </w:p>
        </w:tc>
        <w:tc>
          <w:tcPr>
            <w:tcW w:w="203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危险货物编号：21024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理化性质</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性状：无色无臭气体，工业品有使人不愉快的大蒜气味。</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1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主要用途：是有机合成的重要原料之一。亦是合成橡胶、合成纤维和塑料的单体，也用于氧炔焊割。</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相对密度(水=1)：0.62</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饱和蒸汽压(kPa)：4053（16.8℃）</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临界温度(℃)：35.2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continue"/>
            <w:noWrap w:val="0"/>
            <w:vAlign w:val="center"/>
          </w:tcPr>
          <w:p>
            <w:pPr>
              <w:spacing w:line="260" w:lineRule="exact"/>
              <w:rPr>
                <w:rFonts w:ascii="宋体" w:hAnsi="宋体"/>
                <w:szCs w:val="21"/>
              </w:rPr>
            </w:pPr>
          </w:p>
        </w:tc>
        <w:tc>
          <w:tcPr>
            <w:tcW w:w="2478"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相对密度(空气=1): 0.91</w:t>
            </w:r>
          </w:p>
        </w:tc>
        <w:tc>
          <w:tcPr>
            <w:tcW w:w="2938"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闪点(℃)：不适用</w:t>
            </w:r>
          </w:p>
        </w:tc>
        <w:tc>
          <w:tcPr>
            <w:tcW w:w="2444"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临界压力(MPa)：6.14</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34" w:hRule="atLeast"/>
        </w:trPr>
        <w:tc>
          <w:tcPr>
            <w:tcW w:w="476" w:type="dxa"/>
            <w:vMerge w:val="continue"/>
            <w:noWrap w:val="0"/>
            <w:vAlign w:val="center"/>
          </w:tcPr>
          <w:p>
            <w:pPr>
              <w:spacing w:line="260" w:lineRule="exact"/>
              <w:rPr>
                <w:rFonts w:ascii="宋体" w:hAnsi="宋体"/>
                <w:szCs w:val="21"/>
              </w:rPr>
            </w:pPr>
          </w:p>
        </w:tc>
        <w:tc>
          <w:tcPr>
            <w:tcW w:w="3784"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熔点：-81.8（119kPa）</w:t>
            </w:r>
          </w:p>
        </w:tc>
        <w:tc>
          <w:tcPr>
            <w:tcW w:w="4076" w:type="dxa"/>
            <w:gridSpan w:val="5"/>
            <w:noWrap w:val="0"/>
            <w:vAlign w:val="center"/>
          </w:tcPr>
          <w:p>
            <w:pPr>
              <w:spacing w:line="260" w:lineRule="exact"/>
              <w:rPr>
                <w:rFonts w:ascii="宋体" w:hAnsi="宋体"/>
                <w:szCs w:val="21"/>
              </w:rPr>
            </w:pPr>
            <w:r>
              <w:rPr>
                <w:rFonts w:ascii="宋体" w:hAnsi="宋体"/>
                <w:szCs w:val="21"/>
              </w:rPr>
              <w:t>沸点：-83.8</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9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溶解性：微溶于水、乙醇，溶于丙酮、氯仿、苯。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危险特性：极易燃烧爆炸。与空气混合能形成爆炸性混合物，遇明火、高热能引起燃烧爆炸。与氧化剂接触猛烈反应。与氟、氯等接触会发生剧烈的化学反应。能与铜、银、汞等的化合物生成爆炸性物质。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1947"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燃烧分解产物：一氧化碳、二氧化碳。</w:t>
            </w:r>
          </w:p>
        </w:tc>
        <w:tc>
          <w:tcPr>
            <w:tcW w:w="1319" w:type="dxa"/>
            <w:gridSpan w:val="2"/>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稳定性：稳定</w:t>
            </w:r>
          </w:p>
        </w:tc>
        <w:tc>
          <w:tcPr>
            <w:tcW w:w="1921"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聚合危害：</w:t>
            </w:r>
          </w:p>
        </w:tc>
        <w:tc>
          <w:tcPr>
            <w:tcW w:w="2673" w:type="dxa"/>
            <w:gridSpan w:val="3"/>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禁忌物：强氧化剂、强酸、卤素。</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6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灭火方法：切断气源。若不能切断气源，则不允许熄灭泄漏处的火焰。喷水冷却容器，可能的话将容器从火场移至空旷处。灭火剂：雾状水、泡沫、二氧化碳、干粉。</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6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危害</w:t>
            </w:r>
          </w:p>
        </w:tc>
        <w:tc>
          <w:tcPr>
            <w:tcW w:w="3521"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危险性类别：第2.1类 易燃气体</w:t>
            </w:r>
          </w:p>
        </w:tc>
        <w:tc>
          <w:tcPr>
            <w:tcW w:w="4339" w:type="dxa"/>
            <w:gridSpan w:val="7"/>
            <w:noWrap w:val="0"/>
            <w:vAlign w:val="center"/>
          </w:tcPr>
          <w:p>
            <w:pPr>
              <w:spacing w:line="260" w:lineRule="exact"/>
              <w:rPr>
                <w:rFonts w:ascii="宋体" w:hAnsi="宋体"/>
                <w:szCs w:val="21"/>
              </w:rPr>
            </w:pPr>
            <w:r>
              <w:rPr>
                <w:rFonts w:ascii="宋体" w:hAnsi="宋体"/>
                <w:szCs w:val="21"/>
              </w:rPr>
              <w:t>侵入途径：吸入</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39"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健康危害：具有弱麻醉作用。高浓度吸入可引起单纯窒息。 急性中毒：暴露于20％浓度时，出现明显缺氧症状；吸入高浓度，初期兴奋、多语、哭笑不安，后出现眩晕、头痛、恶心、呕吐、共济失调、嗜睡；严重者昏迷、紫绀、瞳孔对光反应消失、脉弱而不齐。当混有磷化氢、硫化氢时，毒性增大，应予以注意。</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75"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燃爆危险：本品易燃，具窒息性。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5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包装与储运</w:t>
            </w:r>
          </w:p>
        </w:tc>
        <w:tc>
          <w:tcPr>
            <w:tcW w:w="3564" w:type="dxa"/>
            <w:gridSpan w:val="5"/>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危险货物包装标志：易燃气体</w:t>
            </w:r>
          </w:p>
        </w:tc>
        <w:tc>
          <w:tcPr>
            <w:tcW w:w="4296" w:type="dxa"/>
            <w:gridSpan w:val="6"/>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包装类别：O52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7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乙炔的包装法通常是溶解在溶剂及多孔物中, 装入钢瓶内。储存于阴凉、通风的库房。远离火种、热源。库温不宜超过30℃。应与氧化剂、酸类、卤素分开存放，切忌混储。采用防爆型照明、通风设施。禁止使用易产生火花的机械设备和工具。储区应备有泄漏应急处理设备。</w:t>
            </w:r>
          </w:p>
          <w:p>
            <w:pPr>
              <w:spacing w:line="260" w:lineRule="exact"/>
              <w:rPr>
                <w:rFonts w:ascii="宋体" w:hAnsi="宋体"/>
                <w:szCs w:val="21"/>
              </w:rPr>
            </w:pPr>
            <w:r>
              <w:rPr>
                <w:rFonts w:ascii="宋体" w:hAnsi="宋体"/>
                <w:szCs w:val="21"/>
              </w:rPr>
              <w:t>采用刚瓶运输时必须戴好钢瓶上的安全帽。钢瓶一般平放，并应将瓶口朝同一方向，不可交叉；高度不得超过车辆的防护栏板，并用三角木垫卡牢，防止滚动。运输时运输车辆应配备相应品种和数量的消防器材。装运该物品的车辆排气管必须配备阻火装置，禁止使用易产生火花的机械设备和工具装卸。严禁与氧化剂、酸类、卤素等混装混运。夏季应早晚运输，防止日光曝晒。中途停留时应远离火种、热源。公路运输时要按规定路线行驶，勿在居民区和人口稠密区停留。铁路运输时要禁止溜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急救措施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皮肤接触：无数据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食入：无数据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吸入：迅速脱离现场至空气新鲜处。保持呼吸道通畅。如呼吸困难，给输氧。如呼吸停止，立即进行人工呼吸。就医。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restart"/>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防护措施</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工程控制：生产过程密闭，全面通风。</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眼睛防护：一般不需特殊防护。</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呼吸系统防护：一般不需要特殊防护，但建议特殊情况下，佩戴自吸过滤式防毒面具（半面罩）。</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4220" w:type="dxa"/>
            <w:gridSpan w:val="7"/>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身体防护：穿防静电工作服。</w:t>
            </w:r>
          </w:p>
        </w:tc>
        <w:tc>
          <w:tcPr>
            <w:tcW w:w="3640" w:type="dxa"/>
            <w:gridSpan w:val="4"/>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手防护：戴一般作业防护手套。 </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20" w:hRule="atLeast"/>
        </w:trPr>
        <w:tc>
          <w:tcPr>
            <w:tcW w:w="476" w:type="dxa"/>
            <w:vMerge w:val="continue"/>
            <w:noWrap w:val="0"/>
            <w:vAlign w:val="center"/>
          </w:tcPr>
          <w:p>
            <w:pPr>
              <w:spacing w:line="260" w:lineRule="exact"/>
              <w:rPr>
                <w:rFonts w:ascii="宋体" w:hAnsi="宋体"/>
                <w:szCs w:val="21"/>
              </w:rPr>
            </w:pP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其它防护：无数据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859" w:hRule="atLeast"/>
        </w:trPr>
        <w:tc>
          <w:tcPr>
            <w:tcW w:w="476" w:type="dxa"/>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泄漏处理</w:t>
            </w:r>
          </w:p>
        </w:tc>
        <w:tc>
          <w:tcPr>
            <w:tcW w:w="7860" w:type="dxa"/>
            <w:gridSpan w:val="11"/>
            <w:noWrap w:val="0"/>
            <w:tcMar>
              <w:top w:w="15" w:type="dxa"/>
              <w:left w:w="15" w:type="dxa"/>
              <w:bottom w:w="15" w:type="dxa"/>
              <w:right w:w="15" w:type="dxa"/>
            </w:tcMar>
            <w:vAlign w:val="center"/>
          </w:tcPr>
          <w:p>
            <w:pPr>
              <w:spacing w:line="260" w:lineRule="exact"/>
              <w:rPr>
                <w:rFonts w:ascii="宋体" w:hAnsi="宋体"/>
                <w:szCs w:val="21"/>
              </w:rPr>
            </w:pPr>
            <w:r>
              <w:rPr>
                <w:rFonts w:ascii="宋体" w:hAnsi="宋体"/>
                <w:szCs w:val="21"/>
              </w:rPr>
              <w:t>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漏气容器要妥善处理，修复、检验后再用。</w:t>
            </w:r>
          </w:p>
        </w:tc>
      </w:tr>
    </w:tbl>
    <w:p/>
    <w:p>
      <w:pPr>
        <w:pStyle w:val="8"/>
        <w:spacing w:line="360" w:lineRule="auto"/>
        <w:ind w:firstLine="0" w:firstLineChars="0"/>
        <w:outlineLvl w:val="1"/>
        <w:rPr>
          <w:rFonts w:hint="eastAsia" w:ascii="黑体" w:eastAsia="黑体"/>
          <w:b/>
          <w:snapToGrid w:val="0"/>
          <w:kern w:val="0"/>
          <w:sz w:val="32"/>
          <w:szCs w:val="32"/>
        </w:rPr>
      </w:pPr>
      <w:bookmarkStart w:id="109" w:name="_Toc27339"/>
      <w:bookmarkStart w:id="110" w:name="_Toc515659436"/>
      <w:r>
        <w:rPr>
          <w:rFonts w:hint="eastAsia" w:ascii="黑体" w:eastAsia="黑体"/>
          <w:b/>
          <w:snapToGrid w:val="0"/>
          <w:kern w:val="0"/>
          <w:sz w:val="32"/>
          <w:szCs w:val="32"/>
        </w:rPr>
        <w:t>3.5 生产过程危险有害因素分析和辨识</w:t>
      </w:r>
      <w:bookmarkEnd w:id="103"/>
      <w:bookmarkEnd w:id="109"/>
      <w:bookmarkEnd w:id="110"/>
    </w:p>
    <w:p>
      <w:pPr>
        <w:pStyle w:val="2"/>
      </w:pPr>
    </w:p>
    <w:p>
      <w:pPr>
        <w:pStyle w:val="8"/>
        <w:spacing w:line="360" w:lineRule="auto"/>
        <w:ind w:firstLine="0" w:firstLineChars="0"/>
        <w:outlineLvl w:val="1"/>
        <w:rPr>
          <w:rFonts w:hint="eastAsia" w:ascii="黑体" w:eastAsia="黑体"/>
          <w:b/>
          <w:snapToGrid w:val="0"/>
          <w:kern w:val="0"/>
          <w:sz w:val="32"/>
          <w:szCs w:val="32"/>
        </w:rPr>
      </w:pPr>
      <w:bookmarkStart w:id="111" w:name="_Toc332350851"/>
      <w:bookmarkStart w:id="112" w:name="_Toc480804395"/>
      <w:bookmarkStart w:id="113" w:name="_Toc356380979"/>
      <w:bookmarkStart w:id="114" w:name="_Toc8195"/>
      <w:bookmarkStart w:id="115" w:name="_Toc345593160"/>
      <w:bookmarkStart w:id="116" w:name="_Toc356401492"/>
      <w:bookmarkStart w:id="117" w:name="_Toc514342847"/>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rPr>
        <w:t>5 生产过程危险有害因素分析和辨识</w:t>
      </w:r>
      <w:bookmarkEnd w:id="111"/>
      <w:bookmarkEnd w:id="112"/>
      <w:bookmarkEnd w:id="113"/>
      <w:bookmarkEnd w:id="114"/>
      <w:bookmarkEnd w:id="115"/>
      <w:bookmarkEnd w:id="116"/>
      <w:bookmarkEnd w:id="117"/>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根据现场检查及工艺过程分析，生产过程中危险有害因素分为：</w:t>
      </w:r>
    </w:p>
    <w:p>
      <w:pPr>
        <w:pStyle w:val="8"/>
        <w:spacing w:line="360" w:lineRule="auto"/>
        <w:ind w:firstLine="0" w:firstLineChars="0"/>
        <w:outlineLvl w:val="2"/>
        <w:rPr>
          <w:rFonts w:hint="eastAsia" w:ascii="宋体" w:hAnsi="宋体"/>
          <w:b/>
          <w:snapToGrid w:val="0"/>
          <w:kern w:val="0"/>
          <w:sz w:val="28"/>
          <w:szCs w:val="28"/>
        </w:rPr>
      </w:pPr>
      <w:bookmarkStart w:id="118" w:name="_Toc356380982"/>
      <w:bookmarkStart w:id="119" w:name="_Toc332350854"/>
      <w:bookmarkStart w:id="120" w:name="_Toc514342848"/>
      <w:bookmarkStart w:id="121" w:name="_Toc356401493"/>
      <w:bookmarkStart w:id="122" w:name="_Toc480804396"/>
      <w:bookmarkStart w:id="123" w:name="_Toc6275"/>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5.1 车辆事故</w:t>
      </w:r>
      <w:bookmarkEnd w:id="118"/>
      <w:bookmarkEnd w:id="119"/>
      <w:bookmarkEnd w:id="120"/>
      <w:bookmarkEnd w:id="121"/>
      <w:bookmarkEnd w:id="122"/>
      <w:bookmarkEnd w:id="123"/>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车辆伤害事故指企业机动车辆在行驶中引起的人体坠落和物体倒塌、坠落、挤压伤亡事故。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车辆伤害事故的主要原因有</w:t>
      </w:r>
      <w:r>
        <w:rPr>
          <w:rFonts w:ascii="宋体" w:hAnsi="宋体"/>
          <w:snapToGrid w:val="0"/>
          <w:kern w:val="0"/>
          <w:sz w:val="28"/>
          <w:szCs w:val="28"/>
        </w:rPr>
        <w:t>:</w:t>
      </w:r>
      <w:r>
        <w:rPr>
          <w:rFonts w:hint="eastAsia" w:ascii="宋体" w:hAnsi="宋体"/>
          <w:snapToGrid w:val="0"/>
          <w:kern w:val="0"/>
          <w:sz w:val="28"/>
          <w:szCs w:val="28"/>
        </w:rPr>
        <w:t>①违章驾车：如酒后驾车、疲劳驾车、非驾驶员驾车、超速行驶、争道抢行、违章超车和超载等；②疏忽大意：如情绪急躁、精神分散、心理烦乱、身体不适等；③车况不好：如安全装置不齐全、工作装置工作不可靠、安全防护装置工作不可靠、车辆维护修理不及时、带“病”行驶等；④道路环境：如道路条件差、视线不良、在恶劣的气候条件下行驶等；⑤管理因素：如车辆安全行驶制度不落实、管理规章制度或操作规程不健全、车辆维修不及时、交通信号、标志、设施缺陷等。</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企业可能发生的车辆伤害事故：矿车行驶中撞击或挤压到人员；人员从行驶中的车辆上坠落；挖掘设备给矿车装过大的大块或矿车装料时由于停放处坑洼不平等造成矿车翻倒事故；交叉路口或超车或会车时发生车辆相撞事故；矿车倒车排废时由于车上的大块卡住车斗或操作不当或发生滑坡、塌方造成矿车翻下山；矿车行驶中轮胎</w:t>
      </w:r>
      <w:r>
        <w:rPr>
          <w:rFonts w:ascii="宋体" w:hAnsi="宋体"/>
          <w:snapToGrid w:val="0"/>
          <w:kern w:val="0"/>
          <w:sz w:val="28"/>
          <w:szCs w:val="28"/>
        </w:rPr>
        <w:t>"</w:t>
      </w:r>
      <w:r>
        <w:rPr>
          <w:rFonts w:hint="eastAsia" w:ascii="宋体" w:hAnsi="宋体"/>
          <w:snapToGrid w:val="0"/>
          <w:kern w:val="0"/>
          <w:sz w:val="28"/>
          <w:szCs w:val="28"/>
        </w:rPr>
        <w:t>突爆</w:t>
      </w:r>
      <w:r>
        <w:rPr>
          <w:rFonts w:ascii="宋体" w:hAnsi="宋体"/>
          <w:snapToGrid w:val="0"/>
          <w:kern w:val="0"/>
          <w:sz w:val="28"/>
          <w:szCs w:val="28"/>
        </w:rPr>
        <w:t>"</w:t>
      </w:r>
      <w:r>
        <w:rPr>
          <w:rFonts w:hint="eastAsia" w:ascii="宋体" w:hAnsi="宋体"/>
          <w:snapToGrid w:val="0"/>
          <w:kern w:val="0"/>
          <w:sz w:val="28"/>
          <w:szCs w:val="28"/>
        </w:rPr>
        <w:t>造成翻车等事故的发生；挖掘设备上下坡或在坡上作业时发生倾倒事故；挖掘设备回转过程中或卸料时铲斗碰到矿车驾驶室或其它部位造成事故。</w:t>
      </w:r>
    </w:p>
    <w:p>
      <w:pPr>
        <w:spacing w:line="360" w:lineRule="auto"/>
        <w:ind w:firstLine="560" w:firstLineChars="200"/>
        <w:rPr>
          <w:rFonts w:hint="eastAsia"/>
          <w:sz w:val="28"/>
          <w:szCs w:val="28"/>
        </w:rPr>
      </w:pPr>
      <w:r>
        <w:rPr>
          <w:rFonts w:hint="eastAsia"/>
          <w:sz w:val="28"/>
          <w:szCs w:val="28"/>
        </w:rPr>
        <w:t>砖瓦厂在原料（泥土、煤渣）运输堆积、半成品及成品砖运输等过程中，各种车辆来往频繁。车辆的装载和驾驶、车辆及驾驶员的管理等方面的缺陷均可能引发车辆伤害事故。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车辆伤害后果是人员的伤亡和设备物品的损毁。</w:t>
      </w:r>
    </w:p>
    <w:p>
      <w:pPr>
        <w:pStyle w:val="8"/>
        <w:spacing w:line="360" w:lineRule="auto"/>
        <w:ind w:firstLine="0" w:firstLineChars="0"/>
        <w:outlineLvl w:val="2"/>
        <w:rPr>
          <w:rFonts w:hint="eastAsia" w:ascii="宋体" w:hAnsi="宋体"/>
          <w:b/>
          <w:snapToGrid w:val="0"/>
          <w:kern w:val="0"/>
          <w:sz w:val="28"/>
          <w:szCs w:val="28"/>
        </w:rPr>
      </w:pPr>
      <w:bookmarkStart w:id="124" w:name="_Toc332350855"/>
      <w:bookmarkStart w:id="125" w:name="_Toc356380983"/>
      <w:bookmarkStart w:id="126" w:name="_Toc480804397"/>
      <w:bookmarkStart w:id="127" w:name="_Toc356401494"/>
      <w:bookmarkStart w:id="128" w:name="_Toc514342849"/>
      <w:bookmarkStart w:id="129" w:name="_Toc972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5.2 机械</w:t>
      </w:r>
      <w:bookmarkEnd w:id="124"/>
      <w:bookmarkEnd w:id="125"/>
      <w:r>
        <w:rPr>
          <w:rFonts w:hint="eastAsia" w:ascii="宋体" w:hAnsi="宋体"/>
          <w:b/>
          <w:snapToGrid w:val="0"/>
          <w:kern w:val="0"/>
          <w:sz w:val="28"/>
          <w:szCs w:val="28"/>
        </w:rPr>
        <w:t>伤害</w:t>
      </w:r>
      <w:bookmarkEnd w:id="126"/>
      <w:bookmarkEnd w:id="127"/>
      <w:bookmarkEnd w:id="128"/>
      <w:bookmarkEnd w:id="129"/>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机械伤害事故是指机械设备运动</w:t>
      </w:r>
      <w:r>
        <w:rPr>
          <w:rFonts w:ascii="宋体" w:hAnsi="宋体"/>
          <w:snapToGrid w:val="0"/>
          <w:kern w:val="0"/>
          <w:sz w:val="28"/>
          <w:szCs w:val="28"/>
        </w:rPr>
        <w:t>(</w:t>
      </w:r>
      <w:r>
        <w:rPr>
          <w:rFonts w:hint="eastAsia" w:ascii="宋体" w:hAnsi="宋体"/>
          <w:snapToGrid w:val="0"/>
          <w:kern w:val="0"/>
          <w:sz w:val="28"/>
          <w:szCs w:val="28"/>
        </w:rPr>
        <w:t>静止</w:t>
      </w:r>
      <w:r>
        <w:rPr>
          <w:rFonts w:ascii="宋体" w:hAnsi="宋体"/>
          <w:snapToGrid w:val="0"/>
          <w:kern w:val="0"/>
          <w:sz w:val="28"/>
          <w:szCs w:val="28"/>
        </w:rPr>
        <w:t>)</w:t>
      </w:r>
      <w:r>
        <w:rPr>
          <w:rFonts w:hint="eastAsia" w:ascii="宋体" w:hAnsi="宋体"/>
          <w:snapToGrid w:val="0"/>
          <w:kern w:val="0"/>
          <w:sz w:val="28"/>
          <w:szCs w:val="28"/>
        </w:rPr>
        <w:t>部件、工具、加工件直接与人体接触引起的夹击、碰撞、剪切、卷人、绞、碾、割、刺等伤害，不包括车辆、起重机械引起的机械伤害。</w:t>
      </w:r>
    </w:p>
    <w:p>
      <w:pPr>
        <w:spacing w:line="360" w:lineRule="auto"/>
        <w:ind w:firstLine="515" w:firstLineChars="184"/>
        <w:rPr>
          <w:rFonts w:ascii="宋体" w:hAnsi="宋体"/>
          <w:snapToGrid w:val="0"/>
          <w:kern w:val="0"/>
          <w:sz w:val="28"/>
          <w:szCs w:val="28"/>
        </w:rPr>
      </w:pPr>
      <w:r>
        <w:rPr>
          <w:rFonts w:hint="eastAsia" w:ascii="宋体" w:hAnsi="宋体"/>
          <w:snapToGrid w:val="0"/>
          <w:kern w:val="0"/>
          <w:sz w:val="28"/>
          <w:szCs w:val="28"/>
        </w:rPr>
        <w:t>机械伤害事故产生的主要原因</w:t>
      </w:r>
      <w:r>
        <w:rPr>
          <w:rFonts w:ascii="宋体" w:hAnsi="宋体"/>
          <w:snapToGrid w:val="0"/>
          <w:kern w:val="0"/>
          <w:sz w:val="28"/>
          <w:szCs w:val="28"/>
        </w:rPr>
        <w:t>:</w:t>
      </w:r>
      <w:r>
        <w:rPr>
          <w:rFonts w:hint="eastAsia" w:ascii="宋体" w:hAnsi="宋体"/>
          <w:snapToGrid w:val="0"/>
          <w:kern w:val="0"/>
          <w:sz w:val="28"/>
          <w:szCs w:val="28"/>
        </w:rPr>
        <w:t>①指挥人员违章指挥，操作人员违章操作；②机械设备安全防护装置缺乏或防护装置失效等，导致事故发生；③安全管理上存在不足；④场地及运输道路缺陷；⑤意外因素影响</w:t>
      </w:r>
      <w:r>
        <w:rPr>
          <w:rFonts w:ascii="宋体" w:hAnsi="宋体"/>
          <w:snapToGrid w:val="0"/>
          <w:kern w:val="0"/>
          <w:sz w:val="28"/>
          <w:szCs w:val="28"/>
        </w:rPr>
        <w:t>:</w:t>
      </w:r>
      <w:r>
        <w:rPr>
          <w:rFonts w:hint="eastAsia" w:ascii="宋体" w:hAnsi="宋体"/>
          <w:snapToGrid w:val="0"/>
          <w:kern w:val="0"/>
          <w:sz w:val="28"/>
          <w:szCs w:val="28"/>
        </w:rPr>
        <w:t>如在检修和正常工作时，机器突然被别人随意启动，导致事故发生；⑥在不安全的机械上停留、休息，导致事故发生等。</w:t>
      </w:r>
    </w:p>
    <w:p>
      <w:pPr>
        <w:spacing w:line="360" w:lineRule="auto"/>
        <w:ind w:firstLine="515" w:firstLineChars="184"/>
        <w:rPr>
          <w:rFonts w:hint="eastAsia" w:ascii="宋体" w:hAnsi="宋体"/>
          <w:bCs/>
          <w:snapToGrid w:val="0"/>
          <w:kern w:val="0"/>
          <w:sz w:val="28"/>
          <w:szCs w:val="28"/>
        </w:rPr>
      </w:pPr>
      <w:r>
        <w:rPr>
          <w:rFonts w:hint="eastAsia" w:ascii="宋体" w:hAnsi="宋体"/>
          <w:snapToGrid w:val="0"/>
          <w:kern w:val="0"/>
          <w:sz w:val="28"/>
          <w:szCs w:val="28"/>
        </w:rPr>
        <w:t>机械伤害的主要后果是造成人员伤亡，其次是对物件的损坏。</w:t>
      </w:r>
      <w:r>
        <w:rPr>
          <w:rFonts w:ascii="宋体" w:hAnsi="宋体"/>
          <w:bCs/>
          <w:snapToGrid w:val="0"/>
          <w:kern w:val="0"/>
          <w:sz w:val="28"/>
          <w:szCs w:val="28"/>
        </w:rPr>
        <w:t>因此，加强生产作业中的安全防护是防止机械伤害事故的关键，即保持安全防护设施的完好，按规定使用安全防护用品等。同时加强安全管理力度，禁止违章作业和冒险接触机械危险部位，操作时集中精力，防止非操作人员随意开机，做好正常检修设备时的安全防护措施等对于预防机械事故的发生也很重要。</w:t>
      </w:r>
    </w:p>
    <w:p>
      <w:pPr>
        <w:spacing w:line="360" w:lineRule="auto"/>
        <w:ind w:firstLine="515" w:firstLineChars="184"/>
        <w:rPr>
          <w:rFonts w:hint="eastAsia" w:ascii="宋体" w:hAnsi="宋体"/>
          <w:snapToGrid w:val="0"/>
          <w:kern w:val="0"/>
          <w:sz w:val="28"/>
          <w:szCs w:val="28"/>
        </w:rPr>
      </w:pPr>
      <w:r>
        <w:rPr>
          <w:rFonts w:hint="eastAsia" w:ascii="宋体" w:hAnsi="宋体"/>
          <w:snapToGrid w:val="0"/>
          <w:kern w:val="0"/>
          <w:sz w:val="28"/>
          <w:szCs w:val="28"/>
        </w:rPr>
        <w:t>砖瓦厂在泥土破碎、运输、搅拌、挤压成型、截条、切条等过程中涉及到机械设备，某些设备的转动部件、移动部件等若缺乏良好的防护设施或防护设施有缺陷、操作错误等，均可能造成人身伤害。若没有配备或正确穿戴必需的劳动防护用品时，也可能造成机械伤害。</w:t>
      </w:r>
    </w:p>
    <w:p>
      <w:pPr>
        <w:pStyle w:val="8"/>
        <w:spacing w:line="360" w:lineRule="auto"/>
        <w:ind w:firstLine="0" w:firstLineChars="0"/>
        <w:outlineLvl w:val="2"/>
        <w:rPr>
          <w:rFonts w:hint="eastAsia" w:ascii="宋体" w:hAnsi="宋体"/>
          <w:b/>
          <w:snapToGrid w:val="0"/>
          <w:kern w:val="0"/>
          <w:sz w:val="28"/>
          <w:szCs w:val="28"/>
        </w:rPr>
      </w:pPr>
      <w:bookmarkStart w:id="130" w:name="_Toc356401495"/>
      <w:bookmarkStart w:id="131" w:name="_Toc480804398"/>
      <w:bookmarkStart w:id="132" w:name="_Toc6764"/>
      <w:bookmarkStart w:id="133" w:name="_Toc514342850"/>
      <w:bookmarkStart w:id="134" w:name="_Toc35078109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5.3</w:t>
      </w:r>
      <w:r>
        <w:rPr>
          <w:rFonts w:ascii="宋体" w:hAnsi="宋体"/>
          <w:b/>
          <w:snapToGrid w:val="0"/>
          <w:kern w:val="0"/>
          <w:sz w:val="28"/>
          <w:szCs w:val="28"/>
        </w:rPr>
        <w:t xml:space="preserve"> 触电</w:t>
      </w:r>
      <w:r>
        <w:rPr>
          <w:rFonts w:hint="eastAsia" w:ascii="宋体" w:hAnsi="宋体"/>
          <w:b/>
          <w:snapToGrid w:val="0"/>
          <w:kern w:val="0"/>
          <w:sz w:val="28"/>
          <w:szCs w:val="28"/>
        </w:rPr>
        <w:t>事故</w:t>
      </w:r>
      <w:bookmarkEnd w:id="130"/>
      <w:bookmarkEnd w:id="131"/>
      <w:bookmarkEnd w:id="132"/>
      <w:bookmarkEnd w:id="133"/>
      <w:bookmarkEnd w:id="134"/>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触电事故是指由于电流流经人体导致的生理伤害，包括雷击伤亡事故。</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触电伤害产生的主要原因：①电气线路或电气设备在设计、安装上存在缺陷，或在运行中缺乏必要的检修维护；②没有设置必要的安全技术措施</w:t>
      </w:r>
      <w:r>
        <w:rPr>
          <w:rFonts w:ascii="宋体" w:hAnsi="宋体"/>
          <w:bCs/>
          <w:snapToGrid w:val="0"/>
          <w:kern w:val="0"/>
          <w:sz w:val="28"/>
          <w:szCs w:val="28"/>
        </w:rPr>
        <w:t>(</w:t>
      </w:r>
      <w:r>
        <w:rPr>
          <w:rFonts w:hint="eastAsia" w:ascii="宋体" w:hAnsi="宋体"/>
          <w:bCs/>
          <w:snapToGrid w:val="0"/>
          <w:kern w:val="0"/>
          <w:sz w:val="28"/>
          <w:szCs w:val="28"/>
        </w:rPr>
        <w:t>如保护接零、漏电保护、安全电压等</w:t>
      </w:r>
      <w:r>
        <w:rPr>
          <w:rFonts w:ascii="宋体" w:hAnsi="宋体"/>
          <w:bCs/>
          <w:snapToGrid w:val="0"/>
          <w:kern w:val="0"/>
          <w:sz w:val="28"/>
          <w:szCs w:val="28"/>
        </w:rPr>
        <w:t>)</w:t>
      </w:r>
      <w:r>
        <w:rPr>
          <w:rFonts w:hint="eastAsia" w:ascii="宋体" w:hAnsi="宋体"/>
          <w:bCs/>
          <w:snapToGrid w:val="0"/>
          <w:kern w:val="0"/>
          <w:sz w:val="28"/>
          <w:szCs w:val="28"/>
        </w:rPr>
        <w:t>，或安全措施失效；③电气设备运行管理不当，安全管理制度不完善；④专业电工或机电设备操作人员操作失误，或违章作业等；⑤非专业电工人员私自进行检修、接线等专业工作；⑥电气安全管理工作存在漏洞；⑦在规定地点没有使用安全电压；⑧违章指挥等。</w:t>
      </w:r>
    </w:p>
    <w:p>
      <w:pPr>
        <w:spacing w:line="360" w:lineRule="auto"/>
        <w:ind w:firstLine="560" w:firstLineChars="200"/>
        <w:rPr>
          <w:rFonts w:ascii="宋体" w:hAnsi="宋体"/>
          <w:bCs/>
          <w:snapToGrid w:val="0"/>
          <w:kern w:val="0"/>
          <w:sz w:val="28"/>
          <w:szCs w:val="28"/>
        </w:rPr>
      </w:pPr>
      <w:r>
        <w:rPr>
          <w:rFonts w:hint="eastAsia" w:ascii="宋体" w:hAnsi="宋体"/>
          <w:bCs/>
          <w:snapToGrid w:val="0"/>
          <w:kern w:val="0"/>
          <w:sz w:val="28"/>
          <w:szCs w:val="28"/>
        </w:rPr>
        <w:t>可能存在的触电场所有</w:t>
      </w:r>
      <w:r>
        <w:rPr>
          <w:rFonts w:ascii="宋体" w:hAnsi="宋体"/>
          <w:bCs/>
          <w:snapToGrid w:val="0"/>
          <w:kern w:val="0"/>
          <w:sz w:val="28"/>
          <w:szCs w:val="28"/>
        </w:rPr>
        <w:t>:</w:t>
      </w:r>
      <w:r>
        <w:rPr>
          <w:rFonts w:hint="eastAsia" w:ascii="宋体" w:hAnsi="宋体"/>
          <w:bCs/>
          <w:snapToGrid w:val="0"/>
          <w:kern w:val="0"/>
          <w:sz w:val="28"/>
          <w:szCs w:val="28"/>
        </w:rPr>
        <w:t>地面变压器、配电线路以及在生产过程中使用的各种电气设备、动力设备采用闸刀直接起动的设备、手持电动设备、照明线路及照明器具等。</w:t>
      </w:r>
    </w:p>
    <w:p>
      <w:pPr>
        <w:spacing w:line="360" w:lineRule="auto"/>
        <w:ind w:firstLine="560" w:firstLineChars="200"/>
        <w:rPr>
          <w:rFonts w:hint="eastAsia" w:ascii="宋体" w:hAnsi="宋体"/>
          <w:bCs/>
          <w:snapToGrid w:val="0"/>
          <w:kern w:val="0"/>
          <w:sz w:val="28"/>
          <w:szCs w:val="28"/>
        </w:rPr>
      </w:pPr>
      <w:r>
        <w:rPr>
          <w:rFonts w:hint="eastAsia" w:ascii="宋体" w:hAnsi="宋体"/>
          <w:bCs/>
          <w:snapToGrid w:val="0"/>
          <w:kern w:val="0"/>
          <w:sz w:val="28"/>
          <w:szCs w:val="28"/>
        </w:rPr>
        <w:t>触电伤害的后果是直接造成人员伤亡事故。</w:t>
      </w:r>
    </w:p>
    <w:p>
      <w:pPr>
        <w:pStyle w:val="8"/>
        <w:spacing w:line="360" w:lineRule="auto"/>
        <w:ind w:firstLine="0" w:firstLineChars="0"/>
        <w:outlineLvl w:val="2"/>
        <w:rPr>
          <w:rFonts w:hint="eastAsia" w:ascii="宋体" w:hAnsi="宋体"/>
          <w:b/>
          <w:snapToGrid w:val="0"/>
          <w:kern w:val="0"/>
          <w:sz w:val="28"/>
          <w:szCs w:val="28"/>
        </w:rPr>
      </w:pPr>
      <w:bookmarkStart w:id="135" w:name="_Toc8586"/>
      <w:bookmarkStart w:id="136" w:name="_Toc514342851"/>
      <w:bookmarkStart w:id="137" w:name="_Toc356380985"/>
      <w:bookmarkStart w:id="138" w:name="_Toc332350857"/>
      <w:bookmarkStart w:id="139" w:name="_Toc356401496"/>
      <w:bookmarkStart w:id="140" w:name="_Toc48080439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5.4 高处坠落</w:t>
      </w:r>
      <w:bookmarkEnd w:id="135"/>
      <w:bookmarkEnd w:id="136"/>
      <w:bookmarkEnd w:id="137"/>
      <w:bookmarkEnd w:id="138"/>
      <w:bookmarkEnd w:id="139"/>
      <w:bookmarkEnd w:id="140"/>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高处坠落指在高处作业中发生坠落造成的伤亡事故，不包括触电坠落事故。</w:t>
      </w:r>
      <w:r>
        <w:rPr>
          <w:rFonts w:ascii="宋体" w:hAnsi="宋体"/>
          <w:bCs/>
          <w:snapToGrid w:val="0"/>
          <w:kern w:val="0"/>
          <w:sz w:val="28"/>
          <w:szCs w:val="28"/>
        </w:rPr>
        <w:t>高处坠落主要包括：采场顶部的高处坠落，检修安装设备时的高处坠落，人员行进中的意外滑倒等，增加防护装置是预防事故发生的重要措施。</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造成高处坠落的主要原因有：①没有按要求使用安全带、安全索；②没有按要求穿防滑性能良好的软底鞋；③高处作业时安全防护设施不完善或损坏；④工作责任心不强，主观判断失误；⑤使用安全保护装置不完善或缺乏的设备、设施进行作业；⑥作业人员疏忽大意，疲劳作业；⑦高处作业无专人负责指挥，安全管理不到位；⑧作业场所狭小，不符合安全要求。</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阴雨、积雪可引起料堆、砖坯堆垛坍方；料场土堆高3米，在堆料、喂料过程中土堆可能发生坍塌；料场打堆车道宽6米、坡度25°，在往高处打堆时，由于料堆松软，有可能造成运输机械侧翻、被掩埋的潜在危险，同时现场作业人员或外来人员有被压埋的潜在危险。同时，窑炉和烟囱在进行相关作业时，也存在坍塌和高处坠落的危险。</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高处坠落造成的事故的后果是人员伤亡和设备损坏。</w:t>
      </w:r>
    </w:p>
    <w:bookmarkEnd w:id="66"/>
    <w:p>
      <w:pPr>
        <w:pStyle w:val="8"/>
        <w:spacing w:line="360" w:lineRule="auto"/>
        <w:ind w:firstLine="0" w:firstLineChars="0"/>
        <w:outlineLvl w:val="2"/>
        <w:rPr>
          <w:rFonts w:ascii="宋体" w:hAnsi="宋体"/>
          <w:b/>
          <w:snapToGrid w:val="0"/>
          <w:kern w:val="0"/>
          <w:sz w:val="28"/>
          <w:szCs w:val="28"/>
        </w:rPr>
      </w:pPr>
      <w:bookmarkStart w:id="141" w:name="_Toc28145"/>
      <w:bookmarkStart w:id="142" w:name="_Toc480804400"/>
      <w:bookmarkStart w:id="143" w:name="_Toc514342852"/>
      <w:bookmarkStart w:id="144" w:name="_Toc350781096"/>
      <w:bookmarkStart w:id="145" w:name="_Toc35640149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rPr>
        <w:t>5</w:t>
      </w:r>
      <w:r>
        <w:rPr>
          <w:rFonts w:ascii="宋体" w:hAnsi="宋体"/>
          <w:b/>
          <w:snapToGrid w:val="0"/>
          <w:kern w:val="0"/>
          <w:sz w:val="28"/>
          <w:szCs w:val="28"/>
        </w:rPr>
        <w:t xml:space="preserve"> 物体打击</w:t>
      </w:r>
      <w:bookmarkEnd w:id="141"/>
      <w:bookmarkEnd w:id="142"/>
      <w:bookmarkEnd w:id="143"/>
      <w:bookmarkEnd w:id="144"/>
      <w:bookmarkEnd w:id="145"/>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物体打击事故是指物体在重力或其它外力的作用下产生运动，打击人体造成人身伤亡事故，不包括因机械设备、车辆、起重机械、坍塌等引发的物体打击。</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造成物体打击的主要原因有</w:t>
      </w:r>
      <w:r>
        <w:rPr>
          <w:rFonts w:ascii="宋体" w:hAnsi="宋体"/>
          <w:snapToGrid w:val="0"/>
          <w:kern w:val="0"/>
          <w:sz w:val="28"/>
          <w:szCs w:val="28"/>
        </w:rPr>
        <w:t>:</w:t>
      </w:r>
      <w:r>
        <w:rPr>
          <w:rFonts w:hint="eastAsia" w:ascii="宋体" w:hAnsi="宋体"/>
          <w:snapToGrid w:val="0"/>
          <w:kern w:val="0"/>
          <w:sz w:val="28"/>
          <w:szCs w:val="28"/>
        </w:rPr>
        <w:t>①工作场所狭小，缺乏躲避空间，上下同时作业；②没有排险工具或排险工具有缺陷等；③工作时精力不集中，对出现的险情不能及时做出反应；④安全帽等劳保用品穿戴不规范、不齐全；⑤传递工具物件方法不当等</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可能发生的物体打击事故：拆卸设备部件时敲打工具造成工具强出伤人；高空作业时，由于工具、托辊、零件、砖瓦、木块等物不慎从高处掉落伤人或乱扔废物、杂物击中他人；</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一旦遭受物体打击其后果是人员的伤亡和物品的损毁。</w:t>
      </w:r>
    </w:p>
    <w:p>
      <w:pPr>
        <w:pStyle w:val="8"/>
        <w:spacing w:line="360" w:lineRule="auto"/>
        <w:ind w:firstLine="0" w:firstLineChars="0"/>
        <w:outlineLvl w:val="2"/>
        <w:rPr>
          <w:rFonts w:hint="eastAsia" w:ascii="宋体" w:hAnsi="宋体"/>
          <w:b/>
          <w:snapToGrid w:val="0"/>
          <w:kern w:val="0"/>
          <w:sz w:val="28"/>
          <w:szCs w:val="28"/>
        </w:rPr>
      </w:pPr>
      <w:bookmarkStart w:id="146" w:name="_Toc350781100"/>
      <w:bookmarkStart w:id="147" w:name="_Toc356401498"/>
      <w:bookmarkStart w:id="148" w:name="_Toc480804401"/>
      <w:bookmarkStart w:id="149" w:name="_Toc514342853"/>
      <w:bookmarkStart w:id="150" w:name="_Toc30183"/>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5.6 火灾</w:t>
      </w:r>
      <w:bookmarkEnd w:id="146"/>
      <w:r>
        <w:rPr>
          <w:rFonts w:hint="eastAsia" w:ascii="宋体" w:hAnsi="宋体"/>
          <w:b/>
          <w:snapToGrid w:val="0"/>
          <w:kern w:val="0"/>
          <w:sz w:val="28"/>
          <w:szCs w:val="28"/>
        </w:rPr>
        <w:t>事故</w:t>
      </w:r>
      <w:bookmarkEnd w:id="147"/>
      <w:bookmarkEnd w:id="148"/>
      <w:bookmarkEnd w:id="149"/>
      <w:bookmarkEnd w:id="150"/>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火灾是指企业内所发生的火灾。</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火灾事故产生的主要原因</w:t>
      </w:r>
      <w:r>
        <w:rPr>
          <w:rFonts w:ascii="宋体" w:hAnsi="宋体"/>
          <w:snapToGrid w:val="0"/>
          <w:kern w:val="0"/>
          <w:sz w:val="28"/>
          <w:szCs w:val="28"/>
        </w:rPr>
        <w:t>:</w:t>
      </w:r>
      <w:r>
        <w:rPr>
          <w:rFonts w:hint="eastAsia" w:ascii="宋体" w:hAnsi="宋体"/>
          <w:snapToGrid w:val="0"/>
          <w:kern w:val="0"/>
          <w:sz w:val="28"/>
          <w:szCs w:val="28"/>
        </w:rPr>
        <w:t>①明火</w:t>
      </w:r>
      <w:r>
        <w:rPr>
          <w:rFonts w:ascii="宋体" w:hAnsi="宋体"/>
          <w:snapToGrid w:val="0"/>
          <w:kern w:val="0"/>
          <w:sz w:val="28"/>
          <w:szCs w:val="28"/>
        </w:rPr>
        <w:t>(</w:t>
      </w:r>
      <w:r>
        <w:rPr>
          <w:rFonts w:hint="eastAsia" w:ascii="宋体" w:hAnsi="宋体"/>
          <w:snapToGrid w:val="0"/>
          <w:kern w:val="0"/>
          <w:sz w:val="28"/>
          <w:szCs w:val="28"/>
        </w:rPr>
        <w:t>包括火柴点火、吸烟、电焊、气焊、明火灯等</w:t>
      </w:r>
      <w:r>
        <w:rPr>
          <w:rFonts w:ascii="宋体" w:hAnsi="宋体"/>
          <w:snapToGrid w:val="0"/>
          <w:kern w:val="0"/>
          <w:sz w:val="28"/>
          <w:szCs w:val="28"/>
        </w:rPr>
        <w:t>)</w:t>
      </w:r>
      <w:r>
        <w:rPr>
          <w:rFonts w:hint="eastAsia" w:ascii="宋体" w:hAnsi="宋体"/>
          <w:snapToGrid w:val="0"/>
          <w:kern w:val="0"/>
          <w:sz w:val="28"/>
          <w:szCs w:val="28"/>
        </w:rPr>
        <w:t>所引燃；②油料</w:t>
      </w:r>
      <w:r>
        <w:rPr>
          <w:rFonts w:ascii="宋体" w:hAnsi="宋体"/>
          <w:snapToGrid w:val="0"/>
          <w:kern w:val="0"/>
          <w:sz w:val="28"/>
          <w:szCs w:val="28"/>
        </w:rPr>
        <w:t>(</w:t>
      </w:r>
      <w:r>
        <w:rPr>
          <w:rFonts w:hint="eastAsia" w:ascii="宋体" w:hAnsi="宋体"/>
          <w:snapToGrid w:val="0"/>
          <w:kern w:val="0"/>
          <w:sz w:val="28"/>
          <w:szCs w:val="28"/>
        </w:rPr>
        <w:t>润滑油、变压器油、液压设备用油、柴油设备用油、维修设备用油等</w:t>
      </w:r>
      <w:r>
        <w:rPr>
          <w:rFonts w:ascii="宋体" w:hAnsi="宋体"/>
          <w:snapToGrid w:val="0"/>
          <w:kern w:val="0"/>
          <w:sz w:val="28"/>
          <w:szCs w:val="28"/>
        </w:rPr>
        <w:t>)</w:t>
      </w:r>
      <w:r>
        <w:rPr>
          <w:rFonts w:hint="eastAsia" w:ascii="宋体" w:hAnsi="宋体"/>
          <w:snapToGrid w:val="0"/>
          <w:kern w:val="0"/>
          <w:sz w:val="28"/>
          <w:szCs w:val="28"/>
        </w:rPr>
        <w:t>保管、运输和使用不当；③电缆、电线、电动机、电钻等电器设备绝缘损坏及性能不良产生的电弧、电火花、漏电、失爆、短路或超负荷运行引起火灾；④保险丝</w:t>
      </w:r>
      <w:r>
        <w:rPr>
          <w:rFonts w:ascii="宋体" w:hAnsi="宋体"/>
          <w:snapToGrid w:val="0"/>
          <w:kern w:val="0"/>
          <w:sz w:val="28"/>
          <w:szCs w:val="28"/>
        </w:rPr>
        <w:t>(</w:t>
      </w:r>
      <w:r>
        <w:rPr>
          <w:rFonts w:hint="eastAsia" w:ascii="宋体" w:hAnsi="宋体"/>
          <w:snapToGrid w:val="0"/>
          <w:kern w:val="0"/>
          <w:sz w:val="28"/>
          <w:szCs w:val="28"/>
        </w:rPr>
        <w:t>片</w:t>
      </w:r>
      <w:r>
        <w:rPr>
          <w:rFonts w:ascii="宋体" w:hAnsi="宋体"/>
          <w:snapToGrid w:val="0"/>
          <w:kern w:val="0"/>
          <w:sz w:val="28"/>
          <w:szCs w:val="28"/>
        </w:rPr>
        <w:t>)</w:t>
      </w:r>
      <w:r>
        <w:rPr>
          <w:rFonts w:hint="eastAsia" w:ascii="宋体" w:hAnsi="宋体"/>
          <w:snapToGrid w:val="0"/>
          <w:kern w:val="0"/>
          <w:sz w:val="28"/>
          <w:szCs w:val="28"/>
        </w:rPr>
        <w:t>选用不当，使用铜丝、铝线代替保险丝；⑤油开关及配电箱内油料着火</w:t>
      </w:r>
      <w:r>
        <w:rPr>
          <w:rFonts w:ascii="宋体" w:hAnsi="宋体"/>
          <w:snapToGrid w:val="0"/>
          <w:kern w:val="0"/>
          <w:sz w:val="28"/>
          <w:szCs w:val="28"/>
        </w:rPr>
        <w:t>;</w:t>
      </w:r>
      <w:r>
        <w:rPr>
          <w:rFonts w:hint="eastAsia" w:ascii="宋体" w:hAnsi="宋体"/>
          <w:snapToGrid w:val="0"/>
          <w:kern w:val="0"/>
          <w:sz w:val="28"/>
          <w:szCs w:val="28"/>
        </w:rPr>
        <w:t>⑥机械作用</w:t>
      </w:r>
      <w:r>
        <w:rPr>
          <w:rFonts w:ascii="宋体" w:hAnsi="宋体"/>
          <w:snapToGrid w:val="0"/>
          <w:kern w:val="0"/>
          <w:sz w:val="28"/>
          <w:szCs w:val="28"/>
        </w:rPr>
        <w:t>(</w:t>
      </w:r>
      <w:r>
        <w:rPr>
          <w:rFonts w:hint="eastAsia" w:ascii="宋体" w:hAnsi="宋体"/>
          <w:snapToGrid w:val="0"/>
          <w:kern w:val="0"/>
          <w:sz w:val="28"/>
          <w:szCs w:val="28"/>
        </w:rPr>
        <w:t>包括摩擦、震动冲击等</w:t>
      </w:r>
      <w:r>
        <w:rPr>
          <w:rFonts w:ascii="宋体" w:hAnsi="宋体"/>
          <w:snapToGrid w:val="0"/>
          <w:kern w:val="0"/>
          <w:sz w:val="28"/>
          <w:szCs w:val="28"/>
        </w:rPr>
        <w:t>)</w:t>
      </w:r>
      <w:r>
        <w:rPr>
          <w:rFonts w:hint="eastAsia" w:ascii="宋体" w:hAnsi="宋体"/>
          <w:snapToGrid w:val="0"/>
          <w:kern w:val="0"/>
          <w:sz w:val="28"/>
          <w:szCs w:val="28"/>
        </w:rPr>
        <w:t>所引起。</w:t>
      </w:r>
    </w:p>
    <w:p>
      <w:pPr>
        <w:spacing w:line="360" w:lineRule="auto"/>
        <w:ind w:firstLine="560" w:firstLineChars="200"/>
        <w:rPr>
          <w:rFonts w:ascii="宋体" w:hAnsi="宋体"/>
          <w:snapToGrid w:val="0"/>
          <w:kern w:val="0"/>
          <w:sz w:val="28"/>
          <w:szCs w:val="28"/>
        </w:rPr>
      </w:pPr>
      <w:r>
        <w:rPr>
          <w:rFonts w:hint="eastAsia" w:ascii="宋体" w:hAnsi="宋体"/>
          <w:snapToGrid w:val="0"/>
          <w:kern w:val="0"/>
          <w:sz w:val="28"/>
          <w:szCs w:val="28"/>
        </w:rPr>
        <w:t>火灾可能发生在空压机房、机修车间、综合材料库、变压器等用电部位。</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火灾事故的主要后果是造成人员伤亡和财产损失。</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51" w:name="_Toc413834088"/>
      <w:bookmarkStart w:id="152" w:name="_Toc7988"/>
      <w:bookmarkStart w:id="153" w:name="_Toc359225364"/>
      <w:bookmarkStart w:id="154" w:name="_Toc496016651"/>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hint="eastAsia" w:ascii="宋体" w:hAnsi="宋体"/>
          <w:b/>
          <w:snapToGrid w:val="0"/>
          <w:kern w:val="0"/>
          <w:sz w:val="28"/>
          <w:szCs w:val="28"/>
          <w:lang w:val="en-US" w:eastAsia="zh-CN"/>
        </w:rPr>
        <w:t>7 坍塌</w:t>
      </w:r>
      <w:bookmarkEnd w:id="151"/>
      <w:bookmarkEnd w:id="152"/>
      <w:bookmarkEnd w:id="153"/>
      <w:bookmarkEnd w:id="154"/>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坍塌事故产生的主要原因有：①确定的边坡角不合理；②地质因素对边坡的影响；③岩体中的地下水；④人为因素；⑤风化作用；⑥地震等。坍塌是</w:t>
      </w:r>
      <w:r>
        <w:rPr>
          <w:rFonts w:hint="eastAsia" w:ascii="宋体" w:hAnsi="宋体" w:cs="宋体"/>
          <w:color w:val="auto"/>
          <w:sz w:val="28"/>
          <w:szCs w:val="28"/>
          <w:lang w:eastAsia="zh-CN"/>
        </w:rPr>
        <w:t>砖厂页岩开采</w:t>
      </w:r>
      <w:r>
        <w:rPr>
          <w:rFonts w:hint="eastAsia" w:ascii="宋体" w:hAnsi="宋体" w:cs="宋体"/>
          <w:color w:val="auto"/>
          <w:sz w:val="28"/>
          <w:szCs w:val="28"/>
        </w:rPr>
        <w:t>的主要危险因素之一，发生事故的后果是造成重大人员伤亡和设备、设施损坏，对生产企业造成重大经济损失。</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存在原料堆放、砖坯堆码、成品堆垛等工序。如原料打堆过高，由于料堆松软，有可能造成运输机械侧翻、被掩埋的潜在危险，同时现场作业人员或外来人员有被压埋的潜在危险。工作人员在窑内码坯和成品堆垛过程中，由于砖坯堆放不稳，堆放过高或地基不稳，堆垛码放不符合要求，都可能会引起坯（砖）垛倒塌，发生倒塌伤人、损物等事故。</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55" w:name="_Toc1452"/>
      <w:r>
        <w:rPr>
          <w:rFonts w:hint="eastAsia" w:ascii="宋体" w:hAnsi="宋体"/>
          <w:b/>
          <w:snapToGrid w:val="0"/>
          <w:kern w:val="0"/>
          <w:sz w:val="28"/>
          <w:szCs w:val="28"/>
          <w:lang w:val="en-US" w:eastAsia="zh-CN"/>
        </w:rPr>
        <w:t>3.5.8中毒窒息</w:t>
      </w:r>
      <w:bookmarkEnd w:id="155"/>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产生的主要原因：①出窑作业未按规定通风；②烧窑过程燃烧不充分产生有毒气体; ③人员违反规定进入受限空间作业;④窑台边缘安全防护措施未落实,未设警示标识,人员误操作或能见度低引发高空坠落事故。</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可能存在的</w:t>
      </w: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场所有:砖窑</w:t>
      </w:r>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lang w:val="en-US" w:eastAsia="zh-CN"/>
        </w:rPr>
        <w:t>中毒窒息</w:t>
      </w:r>
      <w:r>
        <w:rPr>
          <w:rFonts w:hint="eastAsia" w:ascii="宋体" w:hAnsi="宋体"/>
          <w:snapToGrid w:val="0"/>
          <w:kern w:val="0"/>
          <w:sz w:val="28"/>
          <w:szCs w:val="28"/>
        </w:rPr>
        <w:t>的主要后果是中毒窒息、高处坠落造成人员死亡、人身伤害、经济损失等。事故多发生生产旺季。</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56" w:name="_Toc332350852"/>
      <w:bookmarkStart w:id="157" w:name="_Toc481870967"/>
      <w:bookmarkStart w:id="158" w:name="_Toc511994834"/>
      <w:bookmarkStart w:id="159" w:name="_Toc31066"/>
      <w:bookmarkStart w:id="160" w:name="_Toc499478606"/>
      <w:bookmarkStart w:id="161" w:name="_Toc515659445"/>
      <w:r>
        <w:rPr>
          <w:rFonts w:hint="eastAsia" w:ascii="宋体" w:hAnsi="宋体"/>
          <w:b/>
          <w:snapToGrid w:val="0"/>
          <w:color w:val="FF0000"/>
          <w:kern w:val="0"/>
          <w:sz w:val="28"/>
          <w:szCs w:val="28"/>
          <w:lang w:val="en-US" w:eastAsia="zh-CN"/>
        </w:rPr>
        <w:t>3.5.9高温</w:t>
      </w:r>
      <w:bookmarkEnd w:id="156"/>
      <w:bookmarkEnd w:id="157"/>
      <w:r>
        <w:rPr>
          <w:rFonts w:hint="eastAsia" w:ascii="宋体" w:hAnsi="宋体"/>
          <w:b/>
          <w:snapToGrid w:val="0"/>
          <w:color w:val="FF0000"/>
          <w:kern w:val="0"/>
          <w:sz w:val="28"/>
          <w:szCs w:val="28"/>
          <w:lang w:val="en-US" w:eastAsia="zh-CN"/>
        </w:rPr>
        <w:t>灼烫</w:t>
      </w:r>
      <w:bookmarkEnd w:id="158"/>
      <w:bookmarkEnd w:id="159"/>
      <w:bookmarkEnd w:id="160"/>
      <w:bookmarkEnd w:id="161"/>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在生产工艺中存在烘干窑、隧道窑及高温产品等高温作业环境，作业人员在工作过程中由于劳保用品穿戴不好，违章操作、设备设施故障泄漏或保温失效、检修过程中防护不当以及其它突发事故等原因，均可导致作业人员发生高温烫伤伤害。在烧结时，窑体加煤烧制、成品砖出窑过程中，温度较高，如窑体保温密封不良会产生较强的热辐射，作业人员长期在此环境中易受到高温中暑危害。</w:t>
      </w:r>
    </w:p>
    <w:p>
      <w:pPr>
        <w:pStyle w:val="8"/>
        <w:spacing w:line="360" w:lineRule="auto"/>
        <w:ind w:firstLine="0" w:firstLineChars="0"/>
        <w:outlineLvl w:val="2"/>
        <w:rPr>
          <w:rFonts w:hint="eastAsia" w:ascii="宋体" w:hAnsi="宋体"/>
          <w:b/>
          <w:snapToGrid w:val="0"/>
          <w:color w:val="FF0000"/>
          <w:kern w:val="0"/>
          <w:sz w:val="28"/>
          <w:szCs w:val="28"/>
          <w:lang w:val="en-US" w:eastAsia="zh-CN"/>
        </w:rPr>
      </w:pPr>
      <w:bookmarkStart w:id="162" w:name="_Toc511994833"/>
      <w:bookmarkStart w:id="163" w:name="_Toc32381"/>
      <w:bookmarkStart w:id="164" w:name="_Toc468870614"/>
      <w:bookmarkStart w:id="165" w:name="_Toc515659444"/>
      <w:r>
        <w:rPr>
          <w:rFonts w:hint="eastAsia" w:ascii="宋体" w:hAnsi="宋体"/>
          <w:b/>
          <w:snapToGrid w:val="0"/>
          <w:color w:val="FF0000"/>
          <w:kern w:val="0"/>
          <w:sz w:val="28"/>
          <w:szCs w:val="28"/>
          <w:lang w:val="en-US" w:eastAsia="zh-CN"/>
        </w:rPr>
        <w:t>3.5.10容器爆炸</w:t>
      </w:r>
      <w:bookmarkEnd w:id="162"/>
      <w:bookmarkEnd w:id="163"/>
      <w:bookmarkEnd w:id="164"/>
      <w:bookmarkEnd w:id="165"/>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公司使用的空压设备配套有压缩空气罐，压缩空气罐属于普通的一类压力容器，压力容器在使用过程中存在压力容器爆炸危险，发生容器爆炸事故的主要原因有：</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(1) 由于设计制造不当造成设备的质量不符合有关规范要求，在运行时发生爆裂，其爆裂的形式有：</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1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①</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韧性爆裂：是压力容器在内部压力下，器壁上产生的应力达到材料强度的极限而断裂的一种破坏形式。引起韧性爆裂的原因大多是：磨损、腐蚀、壁厚减薄、强度不足仍继续运行所致。</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2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②</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脆性爆裂：是容器承受的压力并不高，负荷产生的应力远小于材料屈服极限及明显的变形而突然发生爆裂，其原因是由于温度、应力集中、冲击荷载作用等因素使材料的塑性和韧性下降、材料变脆不能抑制裂纹的结果。</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3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③</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疲劳爆裂：是容器在反复的加压、卸压后，壳体材料长期受到交变载荷的作用，如反复的加压和卸压，开停车或负荷波动幅度大如吸附和再生作业时，导致操作压力波动幅度较大及工作温度周期性的变化的作用而出现的金属疲劳，从而产生的一种爆裂形式。</w:t>
      </w:r>
      <w:r>
        <w:rPr>
          <w:rFonts w:hint="eastAsia" w:ascii="宋体" w:hAnsi="宋体"/>
          <w:snapToGrid w:val="0"/>
          <w:kern w:val="0"/>
          <w:sz w:val="28"/>
          <w:szCs w:val="28"/>
          <w:lang w:eastAsia="zh-CN"/>
        </w:rPr>
        <w:fldChar w:fldCharType="begin"/>
      </w:r>
      <w:r>
        <w:rPr>
          <w:rFonts w:hint="eastAsia" w:ascii="宋体" w:hAnsi="宋体"/>
          <w:snapToGrid w:val="0"/>
          <w:kern w:val="0"/>
          <w:sz w:val="28"/>
          <w:szCs w:val="28"/>
          <w:lang w:eastAsia="zh-CN"/>
        </w:rPr>
        <w:instrText xml:space="preserve"> = 4 \* GB3 </w:instrText>
      </w:r>
      <w:r>
        <w:rPr>
          <w:rFonts w:hint="eastAsia" w:ascii="宋体" w:hAnsi="宋体"/>
          <w:snapToGrid w:val="0"/>
          <w:kern w:val="0"/>
          <w:sz w:val="28"/>
          <w:szCs w:val="28"/>
          <w:lang w:eastAsia="zh-CN"/>
        </w:rPr>
        <w:fldChar w:fldCharType="separate"/>
      </w:r>
      <w:r>
        <w:rPr>
          <w:rFonts w:hint="eastAsia" w:ascii="宋体" w:hAnsi="宋体"/>
          <w:snapToGrid w:val="0"/>
          <w:kern w:val="0"/>
          <w:sz w:val="28"/>
          <w:szCs w:val="28"/>
          <w:lang w:eastAsia="zh-CN"/>
        </w:rPr>
        <w:t>④</w:t>
      </w:r>
      <w:r>
        <w:rPr>
          <w:rFonts w:hint="eastAsia" w:ascii="宋体" w:hAnsi="宋体"/>
          <w:snapToGrid w:val="0"/>
          <w:kern w:val="0"/>
          <w:sz w:val="28"/>
          <w:szCs w:val="28"/>
          <w:lang w:eastAsia="zh-CN"/>
        </w:rPr>
        <w:fldChar w:fldCharType="end"/>
      </w:r>
      <w:r>
        <w:rPr>
          <w:rFonts w:hint="eastAsia" w:ascii="宋体" w:hAnsi="宋体"/>
          <w:snapToGrid w:val="0"/>
          <w:kern w:val="0"/>
          <w:sz w:val="28"/>
          <w:szCs w:val="28"/>
          <w:lang w:eastAsia="zh-CN"/>
        </w:rPr>
        <w:t>腐蚀爆裂：是容器壳体由于受到腐蚀介质作用而产生的均匀腐蚀、点腐蚀、晶间腐蚀、应力腐蚀、疲劳腐蚀而引起的爆裂。</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 xml:space="preserve">(2) 在使用过程中，若违反操作规程或因年久腐蚀严重又未按国家规定进行检测，在超压运行状态下，而安全阀又未动作时，罐体承受不住内部气压或液压时，将发生爆裂或爆炸。 </w:t>
      </w:r>
    </w:p>
    <w:p>
      <w:pPr>
        <w:spacing w:line="360" w:lineRule="auto"/>
        <w:ind w:firstLine="560" w:firstLineChars="200"/>
        <w:rPr>
          <w:rFonts w:hint="eastAsia" w:ascii="宋体" w:hAnsi="宋体"/>
          <w:snapToGrid w:val="0"/>
          <w:kern w:val="0"/>
          <w:sz w:val="28"/>
          <w:szCs w:val="28"/>
          <w:lang w:eastAsia="zh-CN"/>
        </w:rPr>
      </w:pPr>
      <w:r>
        <w:rPr>
          <w:rFonts w:hint="eastAsia" w:ascii="宋体" w:hAnsi="宋体"/>
          <w:snapToGrid w:val="0"/>
          <w:kern w:val="0"/>
          <w:sz w:val="28"/>
          <w:szCs w:val="28"/>
          <w:lang w:eastAsia="zh-CN"/>
        </w:rPr>
        <w:t>(3) 由于压力容器的安全阀、压力表等未定期检验或损坏失灵，致不能正确显示和及时泄放，容器超压也可能引起爆炸。</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66" w:name="_Toc515659448"/>
      <w:bookmarkStart w:id="167" w:name="_Toc511994836"/>
      <w:bookmarkStart w:id="168" w:name="_Toc3649"/>
      <w:bookmarkStart w:id="169" w:name="_Toc515657141"/>
      <w:r>
        <w:rPr>
          <w:rFonts w:hint="eastAsia" w:ascii="宋体" w:hAnsi="宋体"/>
          <w:b/>
          <w:snapToGrid w:val="0"/>
          <w:kern w:val="0"/>
          <w:sz w:val="28"/>
          <w:szCs w:val="28"/>
          <w:lang w:val="en-US" w:eastAsia="zh-CN"/>
        </w:rPr>
        <w:t>3.5.11有限空间作业</w:t>
      </w:r>
      <w:bookmarkEnd w:id="166"/>
      <w:bookmarkEnd w:id="167"/>
      <w:bookmarkEnd w:id="168"/>
      <w:bookmarkEnd w:id="169"/>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本项目的各类储罐容器、脱硫塔、窑炉炉膛、砖坯烘干室、设备地下坑道、烟道等设施、设备和场所，在日常维护和检测时会进行有限空间作业。</w:t>
      </w:r>
    </w:p>
    <w:p>
      <w:pPr>
        <w:spacing w:line="360" w:lineRule="auto"/>
        <w:ind w:firstLine="560" w:firstLineChars="200"/>
        <w:rPr>
          <w:rFonts w:hint="eastAsia" w:ascii="宋体" w:hAnsi="宋体"/>
          <w:snapToGrid w:val="0"/>
          <w:color w:val="FF0000"/>
          <w:kern w:val="0"/>
          <w:sz w:val="28"/>
          <w:szCs w:val="28"/>
          <w:lang w:eastAsia="zh-CN"/>
        </w:rPr>
      </w:pPr>
      <w:r>
        <w:rPr>
          <w:rFonts w:hint="eastAsia" w:ascii="宋体" w:hAnsi="宋体"/>
          <w:snapToGrid w:val="0"/>
          <w:color w:val="FF0000"/>
          <w:kern w:val="0"/>
          <w:sz w:val="28"/>
          <w:szCs w:val="28"/>
          <w:lang w:eastAsia="zh-CN"/>
        </w:rPr>
        <w:t>有限空间内作业，如管理稍有不慎，极易导致火灾、爆炸、中毒、窒息等人身伤害事故，给作业人员的安全带来严重安全隐患。研究表明很多致命的有限空间事故的发生都与所在空间内存在的种危险因素未得到重视有关，而这些危险因素既可能在员工进入有限空间之前就已存在，也可能是由于他们在其间的活动形成。因此，有限空间是一种作业风险比较高，应当引起人们高度重视的作业环境。</w:t>
      </w:r>
    </w:p>
    <w:p>
      <w:pPr>
        <w:pStyle w:val="8"/>
        <w:spacing w:line="360" w:lineRule="auto"/>
        <w:ind w:firstLine="0" w:firstLineChars="0"/>
        <w:outlineLvl w:val="2"/>
        <w:rPr>
          <w:rFonts w:hint="eastAsia" w:ascii="宋体" w:hAnsi="宋体"/>
          <w:b/>
          <w:snapToGrid w:val="0"/>
          <w:kern w:val="0"/>
          <w:sz w:val="28"/>
          <w:szCs w:val="28"/>
        </w:rPr>
      </w:pPr>
      <w:bookmarkStart w:id="170" w:name="_Toc350781101"/>
      <w:bookmarkStart w:id="171" w:name="_Toc480804402"/>
      <w:bookmarkStart w:id="172" w:name="_Toc514342854"/>
      <w:bookmarkStart w:id="173" w:name="_Toc356401499"/>
      <w:bookmarkStart w:id="174" w:name="_Toc61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5</w:t>
      </w:r>
      <w:r>
        <w:rPr>
          <w:rFonts w:ascii="宋体" w:hAnsi="宋体"/>
          <w:b/>
          <w:snapToGrid w:val="0"/>
          <w:kern w:val="0"/>
          <w:sz w:val="28"/>
          <w:szCs w:val="28"/>
        </w:rPr>
        <w:t>.</w:t>
      </w:r>
      <w:r>
        <w:rPr>
          <w:rFonts w:hint="eastAsia" w:ascii="宋体" w:hAnsi="宋体"/>
          <w:b/>
          <w:snapToGrid w:val="0"/>
          <w:kern w:val="0"/>
          <w:sz w:val="28"/>
          <w:szCs w:val="28"/>
          <w:lang w:val="en-US" w:eastAsia="zh-CN"/>
        </w:rPr>
        <w:t>12</w:t>
      </w:r>
      <w:r>
        <w:rPr>
          <w:rFonts w:ascii="宋体" w:hAnsi="宋体"/>
          <w:b/>
          <w:snapToGrid w:val="0"/>
          <w:kern w:val="0"/>
          <w:sz w:val="28"/>
          <w:szCs w:val="28"/>
        </w:rPr>
        <w:t xml:space="preserve"> </w:t>
      </w:r>
      <w:r>
        <w:rPr>
          <w:rFonts w:hint="eastAsia" w:ascii="宋体" w:hAnsi="宋体"/>
          <w:b/>
          <w:snapToGrid w:val="0"/>
          <w:kern w:val="0"/>
          <w:sz w:val="28"/>
          <w:szCs w:val="28"/>
        </w:rPr>
        <w:t>职业</w:t>
      </w:r>
      <w:r>
        <w:rPr>
          <w:rFonts w:ascii="宋体" w:hAnsi="宋体"/>
          <w:b/>
          <w:snapToGrid w:val="0"/>
          <w:kern w:val="0"/>
          <w:sz w:val="28"/>
          <w:szCs w:val="28"/>
        </w:rPr>
        <w:t>危害</w:t>
      </w:r>
      <w:r>
        <w:rPr>
          <w:rFonts w:hint="eastAsia" w:ascii="宋体" w:hAnsi="宋体"/>
          <w:b/>
          <w:snapToGrid w:val="0"/>
          <w:kern w:val="0"/>
          <w:sz w:val="28"/>
          <w:szCs w:val="28"/>
        </w:rPr>
        <w:t>因素</w:t>
      </w:r>
      <w:bookmarkEnd w:id="170"/>
      <w:bookmarkEnd w:id="171"/>
      <w:bookmarkEnd w:id="172"/>
      <w:bookmarkEnd w:id="173"/>
      <w:bookmarkEnd w:id="174"/>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.1 粉尘</w:t>
      </w:r>
    </w:p>
    <w:p>
      <w:pPr>
        <w:spacing w:line="360" w:lineRule="auto"/>
        <w:ind w:firstLine="560" w:firstLineChars="200"/>
        <w:rPr>
          <w:rFonts w:hint="eastAsia" w:ascii="宋体" w:hAnsi="宋体"/>
          <w:snapToGrid w:val="0"/>
          <w:color w:val="auto"/>
          <w:kern w:val="0"/>
          <w:sz w:val="28"/>
          <w:szCs w:val="28"/>
          <w:lang w:eastAsia="zh-CN"/>
        </w:rPr>
      </w:pPr>
      <w:r>
        <w:rPr>
          <w:rFonts w:hint="eastAsia" w:ascii="宋体" w:hAnsi="宋体" w:eastAsia="宋体" w:cstheme="minorBidi"/>
          <w:snapToGrid w:val="0"/>
          <w:color w:val="auto"/>
          <w:kern w:val="0"/>
          <w:sz w:val="28"/>
          <w:szCs w:val="28"/>
          <w:lang w:val="en-US" w:eastAsia="zh-CN" w:bidi="ar-SA"/>
        </w:rPr>
        <w:t>窑体在加煤烧制过程中窑顶部、出窑时窑洞中粉尘浓度较大，作</w:t>
      </w:r>
      <w:r>
        <w:rPr>
          <w:rFonts w:hint="eastAsia" w:ascii="宋体" w:hAnsi="宋体"/>
          <w:snapToGrid w:val="0"/>
          <w:color w:val="auto"/>
          <w:kern w:val="0"/>
          <w:sz w:val="28"/>
          <w:szCs w:val="28"/>
          <w:lang w:eastAsia="zh-CN"/>
        </w:rPr>
        <w:t>业人员在此环境中易受到粉尘危害。粉尘危害是砖厂生产作业中最大危害之一。粉尘是在生产过程中产生的细粒状矿物或岩石粉尘。</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粉尘的环节主要有原料装卸、破碎等生产过程。在上述生产作业中产生的细粒状矿物或岩石粉尘，直径大于50μm的尘粒，在重力作用下会很快从气流中分离出来，沉落于地面，此类矿尘称为落尘；直径在0.01～50μm范围内的尘粒，能长时间悬浮于空气中，此类矿尘叫做浮尘。浮尘对空气的污染和对人体健康具有重大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.2 烟气</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烧结自保温砌块的制造生产主要采用内燃烧成工艺，但有时也需要补充少量的外燃，其内燃热值一般为300～500cal/g，因此烟气成分复杂，废气中以无机污染物为主。燃烧过程中可逸出有害气体S02、HF、NOx、CO、HC1等，其主要污染物是S02气体，如不加以治理，将会对工作场所人员健康和环境造成影响。</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.3 噪声、振动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噪声指声强和频率的变化都无规律、杂乱无章的声音。砖厂噪声具有强度大、声级高、噪声源多、干扰时间长以及连续噪声多等特点。</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噪声与振动主要来源于各种设备在运转过程中由于震动、摩擦、碰撞而产生的机械动力噪声和由风管排气、漏气而产生的气体动力噪声。</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产生噪声与振动的设备和场所：空压机和空压机泵房；制砖工作面；装载、挖掘设备驾驶室。</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噪声可以使人耳聋，还可能引起高血压、心脏病、神经官能症等疾病。噪声还污染环境，影响人们的正常生活和生产活动。</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3.5.</w:t>
      </w:r>
      <w:r>
        <w:rPr>
          <w:rFonts w:hint="eastAsia" w:ascii="宋体" w:hAnsi="宋体" w:cstheme="minorBidi"/>
          <w:snapToGrid w:val="0"/>
          <w:color w:val="auto"/>
          <w:kern w:val="0"/>
          <w:sz w:val="28"/>
          <w:szCs w:val="28"/>
          <w:lang w:val="en-US" w:eastAsia="zh-CN" w:bidi="ar-SA"/>
        </w:rPr>
        <w:t>12</w:t>
      </w:r>
      <w:r>
        <w:rPr>
          <w:rFonts w:hint="eastAsia" w:ascii="宋体" w:hAnsi="宋体" w:eastAsia="宋体" w:cstheme="minorBidi"/>
          <w:snapToGrid w:val="0"/>
          <w:color w:val="auto"/>
          <w:kern w:val="0"/>
          <w:sz w:val="28"/>
          <w:szCs w:val="28"/>
          <w:lang w:val="en-US" w:eastAsia="zh-CN" w:bidi="ar-SA"/>
        </w:rPr>
        <w:t>.4 高温、低温</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高温、高湿环境会增加人员中暑机率，并会加速有毒物质吸收，会导致操作失误率升高，易发生事故，长期在高温、高湿环境下工作，可引发关节炎等疾病；高温、高湿环境会加速材料的腐蚀；过大的湿度会引起电气设备受潮、绝缘下降，引起触电事故；</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在烧结时，窑体加煤烧制、成品砖出窑过程中，温度较高，如窑体保温密封不良会产生较强的热辐射，作业人员在此环境中易受到高温危害。</w:t>
      </w:r>
    </w:p>
    <w:p>
      <w:pPr>
        <w:spacing w:line="360" w:lineRule="auto"/>
        <w:ind w:firstLine="560" w:firstLineChars="200"/>
        <w:rPr>
          <w:rFonts w:hint="eastAsia" w:ascii="宋体" w:hAnsi="宋体" w:eastAsia="宋体" w:cstheme="minorBidi"/>
          <w:snapToGrid w:val="0"/>
          <w:color w:val="auto"/>
          <w:kern w:val="0"/>
          <w:sz w:val="28"/>
          <w:szCs w:val="28"/>
          <w:lang w:val="en-US" w:eastAsia="zh-CN" w:bidi="ar-SA"/>
        </w:rPr>
      </w:pPr>
      <w:r>
        <w:rPr>
          <w:rFonts w:hint="eastAsia" w:ascii="宋体" w:hAnsi="宋体" w:eastAsia="宋体" w:cstheme="minorBidi"/>
          <w:snapToGrid w:val="0"/>
          <w:color w:val="auto"/>
          <w:kern w:val="0"/>
          <w:sz w:val="28"/>
          <w:szCs w:val="28"/>
          <w:lang w:val="en-US" w:eastAsia="zh-CN" w:bidi="ar-SA"/>
        </w:rPr>
        <w:t>在低温环境下，人员操作功能随温度的下降而明显下降，注意力不集中，反应时间延长，作业失误率上升，且可能发生冻伤。</w:t>
      </w:r>
    </w:p>
    <w:p>
      <w:pPr>
        <w:pStyle w:val="8"/>
        <w:spacing w:line="360" w:lineRule="auto"/>
        <w:ind w:firstLine="0" w:firstLineChars="0"/>
        <w:outlineLvl w:val="2"/>
        <w:rPr>
          <w:rFonts w:hint="eastAsia" w:ascii="宋体" w:hAnsi="宋体"/>
          <w:b/>
          <w:snapToGrid w:val="0"/>
          <w:kern w:val="0"/>
          <w:sz w:val="28"/>
          <w:szCs w:val="28"/>
          <w:lang w:val="en-US" w:eastAsia="zh-CN"/>
        </w:rPr>
      </w:pPr>
      <w:bookmarkStart w:id="175" w:name="_Toc496016659"/>
      <w:bookmarkStart w:id="176" w:name="_Toc30949"/>
      <w:bookmarkStart w:id="177" w:name="_Toc359225372"/>
      <w:bookmarkStart w:id="178" w:name="_Toc413834096"/>
      <w:r>
        <w:rPr>
          <w:rFonts w:hint="eastAsia" w:ascii="宋体" w:hAnsi="宋体"/>
          <w:b/>
          <w:snapToGrid w:val="0"/>
          <w:kern w:val="0"/>
          <w:sz w:val="28"/>
          <w:szCs w:val="28"/>
          <w:lang w:val="en-US" w:eastAsia="zh-CN"/>
        </w:rPr>
        <w:t>3.5.13 自然灾害</w:t>
      </w:r>
      <w:bookmarkEnd w:id="175"/>
      <w:bookmarkEnd w:id="176"/>
      <w:bookmarkEnd w:id="177"/>
      <w:bookmarkEnd w:id="178"/>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.1 地震灾害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地震发生时，可能使建筑物倒塌，建筑设施结构破坏造成人员伤亡，也可能使电气系统短路导致火灾事故发生等。</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lang w:val="en-US" w:eastAsia="zh-CN"/>
        </w:rPr>
        <w:t>3.5.13</w:t>
      </w:r>
      <w:r>
        <w:rPr>
          <w:rFonts w:hint="eastAsia" w:ascii="宋体" w:hAnsi="宋体" w:cs="宋体"/>
          <w:color w:val="auto"/>
          <w:sz w:val="28"/>
          <w:szCs w:val="28"/>
        </w:rPr>
        <w:t>.2 雷击危害</w:t>
      </w:r>
    </w:p>
    <w:p>
      <w:pPr>
        <w:spacing w:line="360" w:lineRule="auto"/>
        <w:ind w:firstLine="560" w:firstLineChars="200"/>
        <w:rPr>
          <w:rFonts w:hint="eastAsia" w:ascii="宋体" w:hAnsi="宋体" w:cs="宋体"/>
          <w:color w:val="auto"/>
          <w:sz w:val="28"/>
          <w:szCs w:val="28"/>
        </w:rPr>
      </w:pPr>
      <w:r>
        <w:rPr>
          <w:rFonts w:hint="eastAsia" w:ascii="宋体" w:hAnsi="宋体" w:cs="宋体"/>
          <w:color w:val="auto"/>
          <w:sz w:val="28"/>
          <w:szCs w:val="28"/>
        </w:rPr>
        <w:t>雷雨云对地放电形成直击雷。雷击发生时，强大的冲击电压和雷电流会毁坏各种电气设备，强烈的空气扰动会使建筑物和设备损坏，其热效应会引起火灾，还可能击中人员事故伤亡事故。除直击雷外，还有雷电感应、球型雷和雷电侵入波等都可造成危害，其中直击雷的危害最大，此外雷电还可通过静电感应或电磁感应产生破坏作用。</w:t>
      </w:r>
    </w:p>
    <w:p>
      <w:pPr>
        <w:pStyle w:val="8"/>
        <w:spacing w:line="360" w:lineRule="auto"/>
        <w:ind w:firstLine="0" w:firstLineChars="0"/>
        <w:outlineLvl w:val="1"/>
        <w:rPr>
          <w:rFonts w:hint="eastAsia" w:ascii="黑体" w:hAnsi="宋体" w:eastAsia="黑体"/>
          <w:b/>
          <w:snapToGrid w:val="0"/>
          <w:kern w:val="0"/>
          <w:sz w:val="32"/>
          <w:szCs w:val="32"/>
        </w:rPr>
      </w:pPr>
      <w:bookmarkStart w:id="179" w:name="_Toc325528024"/>
      <w:bookmarkStart w:id="180" w:name="_Toc484594602"/>
      <w:bookmarkStart w:id="181" w:name="_Toc304291284"/>
      <w:bookmarkStart w:id="182" w:name="_Toc9494"/>
      <w:bookmarkStart w:id="183" w:name="_Toc514342856"/>
      <w:bookmarkStart w:id="184" w:name="_Toc303340324"/>
      <w:r>
        <w:rPr>
          <w:rFonts w:hint="eastAsia" w:ascii="黑体" w:hAnsi="宋体" w:eastAsia="黑体"/>
          <w:b/>
          <w:snapToGrid w:val="0"/>
          <w:kern w:val="0"/>
          <w:sz w:val="32"/>
          <w:szCs w:val="32"/>
          <w:lang w:val="en-US" w:eastAsia="zh-CN"/>
        </w:rPr>
        <w:t>3</w:t>
      </w:r>
      <w:r>
        <w:rPr>
          <w:rFonts w:hint="eastAsia" w:ascii="黑体" w:hAnsi="宋体" w:eastAsia="黑体"/>
          <w:b/>
          <w:snapToGrid w:val="0"/>
          <w:kern w:val="0"/>
          <w:sz w:val="32"/>
          <w:szCs w:val="32"/>
          <w:lang w:eastAsia="zh-CN"/>
        </w:rPr>
        <w:t>.</w:t>
      </w:r>
      <w:r>
        <w:rPr>
          <w:rFonts w:hint="eastAsia" w:ascii="黑体" w:hAnsi="宋体" w:eastAsia="黑体"/>
          <w:b/>
          <w:snapToGrid w:val="0"/>
          <w:kern w:val="0"/>
          <w:sz w:val="32"/>
          <w:szCs w:val="32"/>
        </w:rPr>
        <w:t>6 厂址安全条件的危险、有害因素辨识与分析</w:t>
      </w:r>
      <w:bookmarkEnd w:id="179"/>
      <w:bookmarkEnd w:id="180"/>
      <w:bookmarkEnd w:id="181"/>
      <w:bookmarkEnd w:id="182"/>
      <w:bookmarkEnd w:id="183"/>
      <w:bookmarkEnd w:id="184"/>
    </w:p>
    <w:p>
      <w:pPr>
        <w:spacing w:line="360" w:lineRule="auto"/>
        <w:ind w:firstLine="560" w:firstLineChars="200"/>
        <w:rPr>
          <w:rFonts w:hint="eastAsia" w:ascii="宋体" w:hAnsi="宋体"/>
          <w:snapToGrid w:val="0"/>
          <w:kern w:val="0"/>
          <w:sz w:val="28"/>
          <w:szCs w:val="28"/>
        </w:rPr>
      </w:pPr>
      <w:r>
        <w:rPr>
          <w:rFonts w:hint="eastAsia" w:ascii="宋体" w:hAnsi="宋体"/>
          <w:snapToGrid w:val="0"/>
          <w:kern w:val="0"/>
          <w:sz w:val="28"/>
          <w:szCs w:val="28"/>
        </w:rPr>
        <w:t>工业企业若选址不当，厂址条件差，可能存在以下危险、有害因素：①厂址工程地质不良，厂址周围为陡坎或有河流、沟渠通过，容易造成厂内塌陷和周边垮塌，设备、设施损坏，造成有害物质泄漏，引发火灾爆炸和窒息事故。②厂址所在地地形地貌差，处于窝风地带，厂内有害气体得不到及时散放，其生产作业危险性就大。③厂址与周边居民区或企业，安全距离不够，相互间会产生不利影响。④厂址所在地水文、气象条件恶劣，易发生水灾、雷击灾害，影响企业的正常生产。⑤厂址周边交通运输条件不畅、消防配备设施不完善，会造成运输不便，增加运输风险。</w:t>
      </w:r>
    </w:p>
    <w:p>
      <w:pPr>
        <w:spacing w:line="360" w:lineRule="auto"/>
        <w:ind w:firstLine="560" w:firstLineChars="200"/>
        <w:rPr>
          <w:rFonts w:hint="eastAsia" w:ascii="宋体" w:hAnsi="宋体"/>
          <w:snapToGrid w:val="0"/>
          <w:kern w:val="0"/>
          <w:sz w:val="28"/>
          <w:szCs w:val="28"/>
        </w:rPr>
      </w:pPr>
      <w:r>
        <w:rPr>
          <w:rFonts w:ascii="宋体" w:hAnsi="宋体"/>
          <w:snapToGrid w:val="0"/>
          <w:kern w:val="0"/>
          <w:sz w:val="28"/>
          <w:szCs w:val="28"/>
        </w:rPr>
        <w:t>本工程厂址周围无大型重要公共建筑设施</w:t>
      </w:r>
      <w:r>
        <w:rPr>
          <w:rFonts w:hint="eastAsia" w:ascii="宋体" w:hAnsi="宋体"/>
          <w:snapToGrid w:val="0"/>
          <w:kern w:val="0"/>
          <w:sz w:val="28"/>
          <w:szCs w:val="28"/>
        </w:rPr>
        <w:t>，</w:t>
      </w:r>
      <w:r>
        <w:rPr>
          <w:rFonts w:ascii="宋体" w:hAnsi="宋体"/>
          <w:snapToGrid w:val="0"/>
          <w:kern w:val="0"/>
          <w:sz w:val="28"/>
          <w:szCs w:val="28"/>
        </w:rPr>
        <w:t>位于相对稳定地块，场地无不良地质现象，地基承载力较高，不受洪水威胁；地下水对混凝土结构和钢筋混凝土结构中的钢筋不具腐蚀性。厂址交通运输方便</w:t>
      </w:r>
      <w:r>
        <w:rPr>
          <w:rFonts w:hint="eastAsia" w:ascii="宋体" w:hAnsi="宋体"/>
          <w:snapToGrid w:val="0"/>
          <w:kern w:val="0"/>
          <w:sz w:val="28"/>
          <w:szCs w:val="28"/>
        </w:rPr>
        <w:t>，</w:t>
      </w:r>
      <w:r>
        <w:rPr>
          <w:rFonts w:ascii="宋体" w:hAnsi="宋体"/>
          <w:snapToGrid w:val="0"/>
          <w:kern w:val="0"/>
          <w:sz w:val="28"/>
          <w:szCs w:val="28"/>
        </w:rPr>
        <w:t>已取得政府相关部门的</w:t>
      </w:r>
      <w:r>
        <w:rPr>
          <w:rFonts w:hint="eastAsia" w:ascii="宋体" w:hAnsi="宋体"/>
          <w:snapToGrid w:val="0"/>
          <w:kern w:val="0"/>
          <w:sz w:val="28"/>
          <w:szCs w:val="28"/>
        </w:rPr>
        <w:t>技改</w:t>
      </w:r>
      <w:r>
        <w:rPr>
          <w:rFonts w:ascii="宋体" w:hAnsi="宋体"/>
          <w:snapToGrid w:val="0"/>
          <w:kern w:val="0"/>
          <w:sz w:val="28"/>
          <w:szCs w:val="28"/>
        </w:rPr>
        <w:t>批复。因此，该工程选址符合当地政府部门规划，选址符合厂址选择的技术要求。</w:t>
      </w:r>
    </w:p>
    <w:p>
      <w:pPr>
        <w:pStyle w:val="8"/>
        <w:spacing w:line="360" w:lineRule="auto"/>
        <w:ind w:firstLine="0" w:firstLineChars="0"/>
        <w:outlineLvl w:val="2"/>
        <w:rPr>
          <w:rFonts w:hint="eastAsia" w:ascii="宋体" w:hAnsi="宋体"/>
          <w:b/>
          <w:snapToGrid w:val="0"/>
          <w:kern w:val="0"/>
          <w:sz w:val="28"/>
          <w:szCs w:val="28"/>
        </w:rPr>
      </w:pPr>
      <w:bookmarkStart w:id="185" w:name="_Toc458523590"/>
      <w:bookmarkStart w:id="186" w:name="_Toc484594603"/>
      <w:bookmarkStart w:id="187" w:name="_Toc6149"/>
      <w:bookmarkStart w:id="188" w:name="_Toc514342857"/>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 xml:space="preserve">6.1 </w:t>
      </w:r>
      <w:r>
        <w:rPr>
          <w:rFonts w:hint="eastAsia" w:ascii="宋体" w:hAnsi="宋体"/>
          <w:b/>
          <w:snapToGrid w:val="0"/>
          <w:kern w:val="0"/>
          <w:sz w:val="28"/>
          <w:szCs w:val="28"/>
          <w:lang w:eastAsia="zh-CN"/>
        </w:rPr>
        <w:t>公司</w:t>
      </w:r>
      <w:r>
        <w:rPr>
          <w:rFonts w:hint="eastAsia" w:ascii="宋体" w:hAnsi="宋体"/>
          <w:b/>
          <w:snapToGrid w:val="0"/>
          <w:kern w:val="0"/>
          <w:sz w:val="28"/>
          <w:szCs w:val="28"/>
        </w:rPr>
        <w:t>对周边环境的影响分析</w:t>
      </w:r>
      <w:bookmarkEnd w:id="185"/>
      <w:bookmarkEnd w:id="186"/>
      <w:bookmarkEnd w:id="187"/>
      <w:bookmarkEnd w:id="188"/>
    </w:p>
    <w:p>
      <w:pPr>
        <w:tabs>
          <w:tab w:val="left" w:pos="8808"/>
        </w:tabs>
        <w:snapToGrid w:val="0"/>
        <w:spacing w:line="360" w:lineRule="auto"/>
        <w:ind w:firstLine="560" w:firstLineChars="200"/>
        <w:rPr>
          <w:rFonts w:hint="eastAsia" w:ascii="宋体" w:hAnsi="宋体" w:cs="宋体"/>
          <w:sz w:val="28"/>
          <w:szCs w:val="28"/>
        </w:rPr>
      </w:pPr>
      <w:bookmarkStart w:id="189" w:name="_Toc172964408"/>
      <w:bookmarkStart w:id="190" w:name="_Toc374385892"/>
      <w:bookmarkStart w:id="191" w:name="_Toc172963399"/>
      <w:bookmarkStart w:id="192" w:name="_Toc155775354"/>
      <w:bookmarkStart w:id="193" w:name="_Toc172964203"/>
      <w:r>
        <w:rPr>
          <w:rFonts w:hint="eastAsia" w:ascii="宋体" w:hAnsi="宋体" w:cs="宋体"/>
          <w:sz w:val="28"/>
          <w:szCs w:val="28"/>
          <w:lang w:eastAsia="zh-CN"/>
        </w:rPr>
        <w:t>厂</w:t>
      </w:r>
      <w:r>
        <w:rPr>
          <w:rFonts w:ascii="宋体" w:hAnsi="宋体" w:cs="宋体"/>
          <w:sz w:val="28"/>
          <w:szCs w:val="28"/>
        </w:rPr>
        <w:t>区内</w:t>
      </w:r>
      <w:r>
        <w:rPr>
          <w:rFonts w:hint="eastAsia" w:ascii="宋体" w:hAnsi="宋体" w:cs="宋体"/>
          <w:sz w:val="28"/>
          <w:szCs w:val="28"/>
        </w:rPr>
        <w:t>无高压电线敷设、无</w:t>
      </w:r>
      <w:r>
        <w:rPr>
          <w:rFonts w:ascii="宋体" w:hAnsi="宋体" w:cs="宋体"/>
          <w:sz w:val="28"/>
          <w:szCs w:val="28"/>
        </w:rPr>
        <w:t>国家规定的风景名胜区、革命历史古迹等文物保护对象，无集中式水源地等特殊保护对象</w:t>
      </w:r>
      <w:r>
        <w:rPr>
          <w:rFonts w:hint="eastAsia" w:ascii="宋体" w:hAnsi="宋体" w:cs="宋体"/>
          <w:sz w:val="28"/>
          <w:szCs w:val="28"/>
        </w:rPr>
        <w:t>；</w:t>
      </w:r>
      <w:r>
        <w:rPr>
          <w:rFonts w:ascii="宋体" w:hAnsi="宋体" w:cs="宋体"/>
          <w:sz w:val="28"/>
          <w:szCs w:val="28"/>
        </w:rPr>
        <w:t>区域内及附近无</w:t>
      </w:r>
      <w:r>
        <w:rPr>
          <w:rFonts w:hint="eastAsia" w:ascii="宋体" w:hAnsi="宋体" w:cs="宋体"/>
          <w:sz w:val="28"/>
          <w:szCs w:val="28"/>
        </w:rPr>
        <w:t>重大危险源监管单位、无</w:t>
      </w:r>
      <w:r>
        <w:rPr>
          <w:rFonts w:ascii="宋体" w:hAnsi="宋体" w:cs="宋体"/>
          <w:sz w:val="28"/>
          <w:szCs w:val="28"/>
        </w:rPr>
        <w:t>军事设施等保密单位，无军事国防通讯设施及其他通讯设施等敏感目标，地下未发现矿产资源</w:t>
      </w:r>
      <w:r>
        <w:rPr>
          <w:rFonts w:hint="eastAsia" w:ascii="宋体" w:hAnsi="宋体" w:cs="宋体"/>
          <w:sz w:val="28"/>
          <w:szCs w:val="28"/>
        </w:rPr>
        <w:t>，无长输天然气管道、输油管道敷设</w:t>
      </w:r>
      <w:r>
        <w:rPr>
          <w:rFonts w:ascii="宋体" w:hAnsi="宋体" w:cs="宋体"/>
          <w:sz w:val="28"/>
          <w:szCs w:val="28"/>
        </w:rPr>
        <w:t>。</w:t>
      </w:r>
      <w:r>
        <w:rPr>
          <w:rFonts w:hint="eastAsia" w:ascii="宋体" w:hAnsi="宋体" w:cs="宋体"/>
          <w:sz w:val="28"/>
          <w:szCs w:val="28"/>
          <w:lang w:eastAsia="zh-CN"/>
        </w:rPr>
        <w:t>公司</w:t>
      </w:r>
      <w:r>
        <w:rPr>
          <w:rFonts w:hint="eastAsia" w:ascii="宋体" w:hAnsi="宋体" w:cs="宋体"/>
          <w:sz w:val="28"/>
          <w:szCs w:val="28"/>
        </w:rPr>
        <w:t>在正常工况下废水、废气、废渣等经达标后排放，并与周边建构筑留有足够的防火间距，即</w:t>
      </w:r>
      <w:r>
        <w:rPr>
          <w:rFonts w:hint="eastAsia" w:ascii="宋体" w:hAnsi="宋体" w:cs="宋体"/>
          <w:sz w:val="28"/>
          <w:szCs w:val="28"/>
          <w:lang w:eastAsia="zh-CN"/>
        </w:rPr>
        <w:t>公司</w:t>
      </w:r>
      <w:r>
        <w:rPr>
          <w:rFonts w:hint="eastAsia" w:ascii="宋体" w:hAnsi="宋体" w:cs="宋体"/>
          <w:sz w:val="28"/>
          <w:szCs w:val="28"/>
        </w:rPr>
        <w:t>正常工况下不会对周边单位生产、经营活动或者居民生活造成影响。</w:t>
      </w:r>
    </w:p>
    <w:p>
      <w:pPr>
        <w:spacing w:line="360" w:lineRule="auto"/>
        <w:ind w:firstLine="560" w:firstLineChars="200"/>
        <w:rPr>
          <w:rFonts w:hint="eastAsia" w:ascii="宋体" w:hAnsi="宋体"/>
          <w:sz w:val="28"/>
          <w:szCs w:val="28"/>
        </w:rPr>
      </w:pPr>
      <w:r>
        <w:rPr>
          <w:rFonts w:ascii="宋体" w:hAnsi="宋体"/>
          <w:sz w:val="28"/>
          <w:szCs w:val="28"/>
        </w:rPr>
        <w:t>若三废处理不当可能会对周边环境、企业造成不良影响，因此本工程应切实做好三废的处理工作。</w:t>
      </w:r>
      <w:r>
        <w:rPr>
          <w:rFonts w:hint="eastAsia" w:ascii="宋体" w:hAnsi="宋体"/>
          <w:sz w:val="28"/>
          <w:szCs w:val="28"/>
          <w:lang w:eastAsia="zh-CN"/>
        </w:rPr>
        <w:t>公司</w:t>
      </w:r>
      <w:r>
        <w:rPr>
          <w:rFonts w:ascii="宋体" w:hAnsi="宋体"/>
          <w:sz w:val="28"/>
          <w:szCs w:val="28"/>
        </w:rPr>
        <w:t>在采取了可靠的安全、环保的防护措施之后，</w:t>
      </w:r>
      <w:r>
        <w:rPr>
          <w:rFonts w:hint="eastAsia" w:ascii="宋体" w:hAnsi="宋体" w:cs="宋体"/>
          <w:sz w:val="28"/>
          <w:szCs w:val="28"/>
        </w:rPr>
        <w:t>对周边环境的影响在可接受和可控制范围。</w:t>
      </w:r>
    </w:p>
    <w:bookmarkEnd w:id="189"/>
    <w:bookmarkEnd w:id="190"/>
    <w:bookmarkEnd w:id="191"/>
    <w:bookmarkEnd w:id="192"/>
    <w:bookmarkEnd w:id="193"/>
    <w:p>
      <w:pPr>
        <w:pStyle w:val="8"/>
        <w:spacing w:line="360" w:lineRule="auto"/>
        <w:ind w:firstLine="0" w:firstLineChars="0"/>
        <w:outlineLvl w:val="2"/>
        <w:rPr>
          <w:rFonts w:hint="eastAsia" w:ascii="宋体" w:hAnsi="宋体"/>
          <w:b/>
          <w:snapToGrid w:val="0"/>
          <w:kern w:val="0"/>
          <w:sz w:val="28"/>
          <w:szCs w:val="28"/>
        </w:rPr>
      </w:pPr>
      <w:bookmarkStart w:id="194" w:name="_Toc514342858"/>
      <w:bookmarkStart w:id="195" w:name="_Toc484594604"/>
      <w:bookmarkStart w:id="196" w:name="_Toc172964213"/>
      <w:bookmarkStart w:id="197" w:name="_Toc458523594"/>
      <w:bookmarkStart w:id="198" w:name="_Toc172964418"/>
      <w:bookmarkStart w:id="199" w:name="_Toc9378"/>
      <w:bookmarkStart w:id="200" w:name="_Toc155775365"/>
      <w:bookmarkStart w:id="201" w:name="_Toc172963410"/>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rPr>
        <w:t>6.2 周边环境对</w:t>
      </w:r>
      <w:r>
        <w:rPr>
          <w:rFonts w:hint="eastAsia" w:ascii="宋体" w:hAnsi="宋体"/>
          <w:b/>
          <w:snapToGrid w:val="0"/>
          <w:kern w:val="0"/>
          <w:sz w:val="28"/>
          <w:szCs w:val="28"/>
          <w:lang w:eastAsia="zh-CN"/>
        </w:rPr>
        <w:t>公司</w:t>
      </w:r>
      <w:r>
        <w:rPr>
          <w:rFonts w:hint="eastAsia" w:ascii="宋体" w:hAnsi="宋体"/>
          <w:b/>
          <w:snapToGrid w:val="0"/>
          <w:kern w:val="0"/>
          <w:sz w:val="28"/>
          <w:szCs w:val="28"/>
        </w:rPr>
        <w:t>的影响分析</w:t>
      </w:r>
      <w:bookmarkEnd w:id="194"/>
      <w:bookmarkEnd w:id="195"/>
      <w:bookmarkEnd w:id="196"/>
      <w:bookmarkEnd w:id="197"/>
      <w:bookmarkEnd w:id="198"/>
      <w:bookmarkEnd w:id="199"/>
      <w:bookmarkEnd w:id="200"/>
      <w:bookmarkEnd w:id="201"/>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zh-CN" w:eastAsia="zh-CN"/>
        </w:rPr>
        <w:t>公司</w:t>
      </w:r>
      <w:r>
        <w:rPr>
          <w:rFonts w:hint="eastAsia" w:ascii="宋体" w:hAnsi="宋体" w:cs="宋体"/>
          <w:color w:val="auto"/>
          <w:sz w:val="28"/>
          <w:szCs w:val="28"/>
          <w:lang w:val="en-US" w:eastAsia="zh-CN"/>
        </w:rPr>
        <w:t>矿山开采登记范围不存在矿权重叠与边界纠纷问题，矿区附近谷地及缓坡平地为农业耕作区，斜坡以上大部分为荒坡，少量林木分布。矿区周围大多为农田，矿山范围内人类工程主要以农耕地为主。</w:t>
      </w:r>
    </w:p>
    <w:p>
      <w:pPr>
        <w:spacing w:line="360" w:lineRule="auto"/>
        <w:ind w:firstLine="560" w:firstLineChars="200"/>
        <w:rPr>
          <w:rFonts w:hint="eastAsia" w:ascii="宋体" w:hAnsi="宋体" w:cs="宋体"/>
          <w:color w:val="auto"/>
          <w:sz w:val="28"/>
          <w:szCs w:val="28"/>
          <w:lang w:val="en-US" w:eastAsia="en-US"/>
        </w:rPr>
      </w:pPr>
      <w:r>
        <w:rPr>
          <w:rFonts w:hint="eastAsia" w:ascii="宋体" w:hAnsi="宋体" w:cs="宋体"/>
          <w:color w:val="auto"/>
          <w:sz w:val="28"/>
          <w:szCs w:val="28"/>
          <w:lang w:val="en-US" w:eastAsia="zh-CN"/>
        </w:rPr>
        <w:t>砖厂朝向近似座北朝东，</w:t>
      </w:r>
      <w:r>
        <w:rPr>
          <w:rFonts w:hint="eastAsia" w:ascii="宋体" w:hAnsi="宋体" w:cs="宋体"/>
          <w:color w:val="auto"/>
          <w:sz w:val="28"/>
          <w:szCs w:val="28"/>
          <w:lang w:val="zh-CN" w:eastAsia="zh-CN"/>
        </w:rPr>
        <w:t>地处农村环境，外环境简单，具体情况如下：厂区周边主要为山坡地，植被为杂草、灌木丛及农作物，不存在珍稀植物。根据现场勘查，公司生产区周边主要为耕地、农户。公司大门位于东面，东面紧邻进厂道路，道路 两侧为农田；公司北面和西面为农田；东南面为本公司矿山页岩开采区；开采区以东为丘陵。</w:t>
      </w:r>
    </w:p>
    <w:p>
      <w:pPr>
        <w:spacing w:line="360" w:lineRule="auto"/>
        <w:ind w:firstLine="560" w:firstLineChars="200"/>
        <w:rPr>
          <w:rFonts w:hint="eastAsia" w:ascii="宋体" w:hAnsi="宋体" w:cs="宋体"/>
          <w:color w:val="auto"/>
          <w:sz w:val="28"/>
          <w:szCs w:val="28"/>
          <w:lang w:val="en-US" w:eastAsia="zh-CN"/>
        </w:rPr>
      </w:pPr>
      <w:r>
        <w:rPr>
          <w:rFonts w:hint="eastAsia" w:ascii="宋体" w:hAnsi="宋体" w:cs="宋体"/>
          <w:color w:val="auto"/>
          <w:sz w:val="28"/>
          <w:szCs w:val="28"/>
          <w:lang w:val="en-US" w:eastAsia="zh-CN"/>
        </w:rPr>
        <w:t>周边200米范围内的零散居民住户与公司的防火间距均大于50米。公司周边环境条件良好，周边环境不会对公司形成制约影响因素。</w:t>
      </w:r>
    </w:p>
    <w:p>
      <w:pPr>
        <w:pStyle w:val="8"/>
        <w:spacing w:line="360" w:lineRule="auto"/>
        <w:ind w:firstLine="0" w:firstLineChars="0"/>
        <w:outlineLvl w:val="1"/>
        <w:rPr>
          <w:rFonts w:hint="eastAsia" w:ascii="黑体" w:eastAsia="黑体"/>
          <w:b/>
          <w:snapToGrid w:val="0"/>
          <w:kern w:val="0"/>
          <w:sz w:val="32"/>
          <w:szCs w:val="32"/>
        </w:rPr>
      </w:pPr>
      <w:bookmarkStart w:id="202" w:name="_Toc514342863"/>
      <w:bookmarkStart w:id="203" w:name="_Toc480804413"/>
      <w:bookmarkStart w:id="204" w:name="_Toc10943"/>
      <w:bookmarkStart w:id="205" w:name="_Toc356401505"/>
      <w:bookmarkStart w:id="206" w:name="_Toc350781107"/>
      <w:r>
        <w:rPr>
          <w:rFonts w:hint="eastAsia" w:ascii="黑体" w:eastAsia="黑体"/>
          <w:b/>
          <w:snapToGrid w:val="0"/>
          <w:kern w:val="0"/>
          <w:sz w:val="32"/>
          <w:szCs w:val="32"/>
          <w:lang w:val="en-US" w:eastAsia="zh-CN"/>
        </w:rPr>
        <w:t>3</w:t>
      </w:r>
      <w:r>
        <w:rPr>
          <w:rFonts w:hint="eastAsia" w:ascii="黑体" w:eastAsia="黑体"/>
          <w:b/>
          <w:snapToGrid w:val="0"/>
          <w:kern w:val="0"/>
          <w:sz w:val="32"/>
          <w:szCs w:val="32"/>
          <w:lang w:eastAsia="zh-CN"/>
        </w:rPr>
        <w:t>.</w:t>
      </w:r>
      <w:r>
        <w:rPr>
          <w:rFonts w:hint="eastAsia" w:ascii="黑体" w:eastAsia="黑体"/>
          <w:b/>
          <w:snapToGrid w:val="0"/>
          <w:kern w:val="0"/>
          <w:sz w:val="32"/>
          <w:szCs w:val="32"/>
          <w:lang w:val="en-US" w:eastAsia="zh-CN"/>
        </w:rPr>
        <w:t>7</w:t>
      </w:r>
      <w:r>
        <w:rPr>
          <w:rFonts w:hint="eastAsia" w:ascii="黑体" w:eastAsia="黑体"/>
          <w:b/>
          <w:snapToGrid w:val="0"/>
          <w:kern w:val="0"/>
          <w:sz w:val="32"/>
          <w:szCs w:val="32"/>
        </w:rPr>
        <w:t xml:space="preserve"> 重大危险源辨识</w:t>
      </w:r>
      <w:bookmarkEnd w:id="202"/>
      <w:bookmarkEnd w:id="203"/>
      <w:bookmarkEnd w:id="204"/>
      <w:bookmarkEnd w:id="205"/>
      <w:bookmarkEnd w:id="206"/>
    </w:p>
    <w:p>
      <w:pPr>
        <w:pStyle w:val="8"/>
        <w:spacing w:line="360" w:lineRule="auto"/>
        <w:ind w:firstLine="0" w:firstLineChars="0"/>
        <w:outlineLvl w:val="2"/>
        <w:rPr>
          <w:rFonts w:hint="eastAsia" w:ascii="宋体" w:hAnsi="宋体"/>
          <w:b/>
          <w:snapToGrid w:val="0"/>
          <w:kern w:val="0"/>
          <w:sz w:val="28"/>
          <w:szCs w:val="28"/>
        </w:rPr>
      </w:pPr>
      <w:bookmarkStart w:id="207" w:name="_Toc514342864"/>
      <w:bookmarkStart w:id="208" w:name="_Toc351125383"/>
      <w:bookmarkStart w:id="209" w:name="_Toc356401506"/>
      <w:bookmarkStart w:id="210" w:name="_Toc480804414"/>
      <w:bookmarkStart w:id="211" w:name="_Toc16378"/>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.1 辨识依据</w:t>
      </w:r>
      <w:bookmarkEnd w:id="207"/>
      <w:bookmarkEnd w:id="208"/>
      <w:bookmarkEnd w:id="209"/>
      <w:bookmarkEnd w:id="210"/>
      <w:bookmarkEnd w:id="211"/>
    </w:p>
    <w:p>
      <w:pPr>
        <w:tabs>
          <w:tab w:val="right" w:leader="hyphen" w:pos="8343"/>
        </w:tabs>
        <w:spacing w:line="360" w:lineRule="auto"/>
        <w:ind w:firstLine="560" w:firstLineChars="200"/>
        <w:rPr>
          <w:rFonts w:hint="eastAsia" w:ascii="宋体" w:hAnsi="宋体"/>
          <w:sz w:val="28"/>
          <w:szCs w:val="28"/>
        </w:rPr>
      </w:pPr>
      <w:r>
        <w:rPr>
          <w:rFonts w:hint="eastAsia" w:ascii="宋体" w:hAnsi="宋体"/>
          <w:sz w:val="28"/>
          <w:szCs w:val="28"/>
        </w:rPr>
        <w:t>根据《中华人民共和国安全生产法》、《危险化学品重大危险源辨识》（</w:t>
      </w:r>
      <w:r>
        <w:rPr>
          <w:rFonts w:hint="eastAsia" w:ascii="宋体" w:hAnsi="宋体"/>
          <w:sz w:val="28"/>
          <w:szCs w:val="28"/>
          <w:lang w:eastAsia="zh-CN"/>
        </w:rPr>
        <w:t>GB18218-2018</w:t>
      </w:r>
      <w:r>
        <w:rPr>
          <w:rFonts w:hint="eastAsia" w:ascii="宋体" w:hAnsi="宋体"/>
          <w:sz w:val="28"/>
          <w:szCs w:val="28"/>
        </w:rPr>
        <w:t>）的有关规定，重大危险源是指长期地或者临时地生产、加工、搬运、使用或储存危险物品，且危险物品的数量等于或超过临界量的场所和设施，以及其他存在危险能量等于或超过临界量的场所和设施。</w:t>
      </w:r>
    </w:p>
    <w:p>
      <w:pPr>
        <w:pStyle w:val="8"/>
        <w:spacing w:line="360" w:lineRule="auto"/>
        <w:ind w:firstLine="0" w:firstLineChars="0"/>
        <w:outlineLvl w:val="2"/>
        <w:rPr>
          <w:rFonts w:hint="eastAsia" w:ascii="宋体" w:hAnsi="宋体"/>
          <w:b/>
          <w:snapToGrid w:val="0"/>
          <w:kern w:val="0"/>
          <w:sz w:val="28"/>
          <w:szCs w:val="28"/>
        </w:rPr>
      </w:pPr>
      <w:bookmarkStart w:id="212" w:name="_Toc356401507"/>
      <w:bookmarkStart w:id="213" w:name="_Toc480804415"/>
      <w:bookmarkStart w:id="214" w:name="_Toc351125385"/>
      <w:bookmarkStart w:id="215" w:name="_Toc514342865"/>
      <w:bookmarkStart w:id="216" w:name="_Toc18239"/>
      <w:r>
        <w:rPr>
          <w:rFonts w:hint="eastAsia" w:ascii="宋体" w:hAnsi="宋体"/>
          <w:b/>
          <w:snapToGrid w:val="0"/>
          <w:kern w:val="0"/>
          <w:sz w:val="28"/>
          <w:szCs w:val="28"/>
          <w:lang w:val="en-US" w:eastAsia="zh-CN"/>
        </w:rPr>
        <w:t>3</w:t>
      </w:r>
      <w:r>
        <w:rPr>
          <w:rFonts w:hint="eastAsia" w:ascii="宋体" w:hAnsi="宋体"/>
          <w:b/>
          <w:snapToGrid w:val="0"/>
          <w:kern w:val="0"/>
          <w:sz w:val="28"/>
          <w:szCs w:val="28"/>
          <w:lang w:eastAsia="zh-CN"/>
        </w:rPr>
        <w:t>.</w:t>
      </w:r>
      <w:r>
        <w:rPr>
          <w:rFonts w:hint="eastAsia" w:ascii="宋体" w:hAnsi="宋体"/>
          <w:b/>
          <w:snapToGrid w:val="0"/>
          <w:kern w:val="0"/>
          <w:sz w:val="28"/>
          <w:szCs w:val="28"/>
          <w:lang w:val="en-US" w:eastAsia="zh-CN"/>
        </w:rPr>
        <w:t>7</w:t>
      </w:r>
      <w:r>
        <w:rPr>
          <w:rFonts w:hint="eastAsia" w:ascii="宋体" w:hAnsi="宋体"/>
          <w:b/>
          <w:snapToGrid w:val="0"/>
          <w:kern w:val="0"/>
          <w:sz w:val="28"/>
          <w:szCs w:val="28"/>
        </w:rPr>
        <w:t>.2 辨识结果</w:t>
      </w:r>
      <w:bookmarkEnd w:id="212"/>
      <w:bookmarkEnd w:id="213"/>
      <w:bookmarkEnd w:id="214"/>
      <w:bookmarkEnd w:id="215"/>
      <w:bookmarkEnd w:id="216"/>
    </w:p>
    <w:p>
      <w:pPr>
        <w:spacing w:line="360" w:lineRule="auto"/>
        <w:ind w:firstLine="560" w:firstLineChars="200"/>
        <w:rPr>
          <w:rFonts w:hint="eastAsia" w:ascii="宋体" w:hAnsi="宋体"/>
          <w:sz w:val="28"/>
          <w:szCs w:val="28"/>
        </w:rPr>
      </w:pPr>
      <w:r>
        <w:rPr>
          <w:rFonts w:hint="eastAsia"/>
          <w:sz w:val="28"/>
          <w:szCs w:val="28"/>
          <w:lang w:eastAsia="zh-CN"/>
        </w:rPr>
        <w:t>公司</w:t>
      </w:r>
      <w:r>
        <w:rPr>
          <w:rFonts w:hint="eastAsia"/>
          <w:sz w:val="28"/>
          <w:szCs w:val="28"/>
        </w:rPr>
        <w:t>生产过程中的原料、辅料、中间品、产品除柴油外其余均未列入《重大危险源辨识》中，</w:t>
      </w:r>
      <w:r>
        <w:rPr>
          <w:rFonts w:hint="eastAsia"/>
          <w:sz w:val="28"/>
          <w:szCs w:val="28"/>
          <w:lang w:eastAsia="zh-CN"/>
        </w:rPr>
        <w:t>厂区</w:t>
      </w:r>
      <w:r>
        <w:rPr>
          <w:rFonts w:hint="eastAsia"/>
          <w:sz w:val="28"/>
          <w:szCs w:val="28"/>
        </w:rPr>
        <w:t>使用柴油仅做为点火燃料使用，用量少（仅备用1桶，约200L），使用频率低，</w:t>
      </w:r>
      <w:r>
        <w:rPr>
          <w:rFonts w:hint="eastAsia" w:ascii="宋体" w:hAnsi="宋体"/>
          <w:sz w:val="28"/>
          <w:szCs w:val="28"/>
        </w:rPr>
        <w:t>其临界量和拟存放量见下表：</w:t>
      </w:r>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hint="eastAsia" w:ascii="黑体" w:eastAsia="黑体"/>
          <w:b/>
          <w:sz w:val="24"/>
          <w:lang w:eastAsia="zh-CN"/>
        </w:rPr>
        <w:t>-</w:t>
      </w:r>
      <w:r>
        <w:rPr>
          <w:rFonts w:hint="eastAsia" w:ascii="黑体" w:eastAsia="黑体"/>
          <w:b/>
          <w:sz w:val="24"/>
          <w:lang w:val="en-US" w:eastAsia="zh-CN"/>
        </w:rPr>
        <w:t>4</w:t>
      </w:r>
      <w:r>
        <w:rPr>
          <w:rFonts w:hint="eastAsia" w:ascii="黑体" w:eastAsia="黑体"/>
          <w:b/>
          <w:sz w:val="24"/>
        </w:rPr>
        <w:t>危险化学品名称及其临界量</w:t>
      </w:r>
    </w:p>
    <w:tbl>
      <w:tblPr>
        <w:tblStyle w:val="19"/>
        <w:tblW w:w="8711" w:type="dxa"/>
        <w:jc w:val="center"/>
        <w:tblInd w:w="1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3526"/>
        <w:gridCol w:w="1855"/>
        <w:gridCol w:w="1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8" w:hRule="atLeast"/>
          <w:jc w:val="center"/>
        </w:trPr>
        <w:tc>
          <w:tcPr>
            <w:tcW w:w="1503" w:type="dxa"/>
            <w:noWrap w:val="0"/>
            <w:vAlign w:val="center"/>
          </w:tcPr>
          <w:p>
            <w:pPr>
              <w:pStyle w:val="25"/>
              <w:tabs>
                <w:tab w:val="left" w:pos="0"/>
              </w:tabs>
              <w:spacing w:before="0" w:after="0"/>
              <w:rPr>
                <w:rFonts w:hint="eastAsia" w:hAnsi="宋体"/>
                <w:b/>
                <w:spacing w:val="10"/>
                <w:sz w:val="24"/>
                <w:szCs w:val="24"/>
              </w:rPr>
            </w:pPr>
            <w:r>
              <w:rPr>
                <w:rFonts w:hint="eastAsia" w:hAnsi="宋体"/>
                <w:b/>
                <w:spacing w:val="10"/>
                <w:sz w:val="24"/>
                <w:szCs w:val="24"/>
              </w:rPr>
              <w:t>物质名称</w:t>
            </w:r>
          </w:p>
        </w:tc>
        <w:tc>
          <w:tcPr>
            <w:tcW w:w="3526"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类别</w:t>
            </w:r>
          </w:p>
        </w:tc>
        <w:tc>
          <w:tcPr>
            <w:tcW w:w="1855"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临界量/t</w:t>
            </w:r>
          </w:p>
        </w:tc>
        <w:tc>
          <w:tcPr>
            <w:tcW w:w="1827" w:type="dxa"/>
            <w:noWrap w:val="0"/>
            <w:vAlign w:val="center"/>
          </w:tcPr>
          <w:p>
            <w:pPr>
              <w:tabs>
                <w:tab w:val="left" w:pos="0"/>
              </w:tabs>
              <w:jc w:val="center"/>
              <w:rPr>
                <w:rFonts w:hint="eastAsia" w:ascii="宋体" w:hAnsi="宋体"/>
                <w:b/>
                <w:spacing w:val="10"/>
                <w:sz w:val="24"/>
              </w:rPr>
            </w:pPr>
            <w:r>
              <w:rPr>
                <w:rFonts w:hint="eastAsia" w:ascii="宋体" w:hAnsi="宋体"/>
                <w:b/>
                <w:spacing w:val="10"/>
                <w:sz w:val="24"/>
              </w:rPr>
              <w:t>实际量/t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1503"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柴油</w:t>
            </w:r>
          </w:p>
        </w:tc>
        <w:tc>
          <w:tcPr>
            <w:tcW w:w="3526"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易燃液体（23℃&lt;闪点&lt;61℃）</w:t>
            </w:r>
          </w:p>
        </w:tc>
        <w:tc>
          <w:tcPr>
            <w:tcW w:w="1855"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5000</w:t>
            </w:r>
          </w:p>
        </w:tc>
        <w:tc>
          <w:tcPr>
            <w:tcW w:w="1827" w:type="dxa"/>
            <w:noWrap w:val="0"/>
            <w:vAlign w:val="center"/>
          </w:tcPr>
          <w:p>
            <w:pPr>
              <w:tabs>
                <w:tab w:val="left" w:pos="0"/>
              </w:tabs>
              <w:spacing w:before="100" w:beforeAutospacing="1" w:after="100" w:afterAutospacing="1"/>
              <w:jc w:val="center"/>
              <w:rPr>
                <w:rFonts w:hint="eastAsia" w:ascii="宋体" w:hAnsi="宋体"/>
                <w:spacing w:val="10"/>
                <w:sz w:val="24"/>
              </w:rPr>
            </w:pPr>
            <w:r>
              <w:rPr>
                <w:rFonts w:hint="eastAsia" w:ascii="宋体" w:hAnsi="宋体"/>
                <w:spacing w:val="10"/>
                <w:sz w:val="24"/>
              </w:rPr>
              <w:t>0.17</w:t>
            </w:r>
          </w:p>
        </w:tc>
      </w:tr>
    </w:tbl>
    <w:p>
      <w:pPr>
        <w:ind w:firstLine="420" w:firstLineChars="200"/>
        <w:rPr>
          <w:rFonts w:hint="eastAsia"/>
          <w:szCs w:val="28"/>
        </w:rPr>
      </w:pPr>
    </w:p>
    <w:p>
      <w:pPr>
        <w:spacing w:line="360" w:lineRule="auto"/>
        <w:ind w:firstLine="560" w:firstLineChars="200"/>
        <w:rPr>
          <w:rFonts w:hint="eastAsia" w:ascii="宋体" w:hAnsi="宋体"/>
          <w:kern w:val="0"/>
          <w:sz w:val="28"/>
          <w:szCs w:val="28"/>
        </w:rPr>
      </w:pPr>
      <w:r>
        <w:rPr>
          <w:rFonts w:hint="eastAsia" w:ascii="宋体" w:hAnsi="宋体"/>
          <w:sz w:val="28"/>
          <w:szCs w:val="28"/>
          <w:lang w:eastAsia="zh-CN"/>
        </w:rPr>
        <w:t>公司</w:t>
      </w:r>
      <w:r>
        <w:rPr>
          <w:rFonts w:hint="eastAsia" w:ascii="宋体" w:hAnsi="宋体"/>
          <w:sz w:val="28"/>
          <w:szCs w:val="28"/>
        </w:rPr>
        <w:t>有柴油储量1桶（200升），柴油密度0.85t/m</w:t>
      </w:r>
      <w:r>
        <w:rPr>
          <w:rFonts w:hint="eastAsia" w:ascii="宋体" w:hAnsi="宋体"/>
          <w:sz w:val="28"/>
          <w:szCs w:val="28"/>
          <w:vertAlign w:val="superscript"/>
        </w:rPr>
        <w:t>3</w:t>
      </w:r>
      <w:r>
        <w:rPr>
          <w:rFonts w:hint="eastAsia" w:ascii="宋体" w:hAnsi="宋体"/>
          <w:sz w:val="28"/>
          <w:szCs w:val="28"/>
        </w:rPr>
        <w:t>，合计0.17t。</w:t>
      </w:r>
    </w:p>
    <w:p>
      <w:pPr>
        <w:spacing w:line="360" w:lineRule="auto"/>
        <w:ind w:firstLine="560" w:firstLineChars="200"/>
        <w:rPr>
          <w:rFonts w:hint="eastAsia" w:ascii="宋体" w:hAnsi="宋体"/>
          <w:sz w:val="28"/>
          <w:szCs w:val="28"/>
          <w:lang w:eastAsia="zh-CN"/>
        </w:rPr>
      </w:pPr>
      <w:r>
        <w:rPr>
          <w:rFonts w:hint="eastAsia" w:ascii="宋体" w:hAnsi="宋体"/>
          <w:sz w:val="28"/>
          <w:szCs w:val="28"/>
          <w:lang w:eastAsia="zh-CN"/>
        </w:rPr>
        <w:t>则：0.17/5000=0.000034＜1</w:t>
      </w:r>
    </w:p>
    <w:bookmarkEnd w:id="38"/>
    <w:p>
      <w:pPr>
        <w:spacing w:line="360" w:lineRule="auto"/>
        <w:ind w:firstLine="560" w:firstLineChars="200"/>
        <w:rPr>
          <w:rFonts w:hint="eastAsia" w:ascii="宋体" w:hAnsi="宋体"/>
          <w:sz w:val="28"/>
          <w:szCs w:val="28"/>
          <w:lang w:eastAsia="zh-CN"/>
        </w:rPr>
      </w:pPr>
      <w:bookmarkStart w:id="217" w:name="_Toc10261"/>
      <w:bookmarkStart w:id="218" w:name="_Toc21054"/>
      <w:r>
        <w:rPr>
          <w:rFonts w:hint="eastAsia" w:ascii="宋体" w:hAnsi="宋体"/>
          <w:sz w:val="28"/>
          <w:szCs w:val="28"/>
          <w:lang w:eastAsia="zh-CN"/>
        </w:rPr>
        <w:t>综上所述，根据《危险化学品重大危险源辨识》(GB18218-20</w:t>
      </w:r>
      <w:r>
        <w:rPr>
          <w:rFonts w:hint="eastAsia" w:ascii="宋体" w:hAnsi="宋体"/>
          <w:sz w:val="28"/>
          <w:szCs w:val="28"/>
          <w:lang w:val="en-US" w:eastAsia="zh-CN"/>
        </w:rPr>
        <w:t>18</w:t>
      </w:r>
      <w:r>
        <w:rPr>
          <w:rFonts w:hint="eastAsia" w:ascii="宋体" w:hAnsi="宋体"/>
          <w:sz w:val="28"/>
          <w:szCs w:val="28"/>
          <w:lang w:eastAsia="zh-CN"/>
        </w:rPr>
        <w:t>)，本公司危险化学品的使用和储存均不构成危险化学品重大危险源。即，仪陇县炬光乡页岩砖厂不构成危险化学品重大危险源。</w:t>
      </w:r>
    </w:p>
    <w:p>
      <w:pPr>
        <w:pStyle w:val="8"/>
        <w:spacing w:line="360" w:lineRule="auto"/>
        <w:ind w:firstLine="0" w:firstLineChars="0"/>
        <w:outlineLvl w:val="1"/>
        <w:rPr>
          <w:rFonts w:hint="eastAsia" w:ascii="黑体" w:eastAsia="黑体"/>
          <w:b/>
          <w:snapToGrid w:val="0"/>
          <w:kern w:val="0"/>
          <w:sz w:val="32"/>
          <w:szCs w:val="32"/>
          <w:lang w:val="en-US" w:eastAsia="zh-CN"/>
        </w:rPr>
      </w:pPr>
      <w:bookmarkStart w:id="219" w:name="_Toc25475"/>
      <w:r>
        <w:rPr>
          <w:rFonts w:hint="eastAsia" w:ascii="黑体" w:eastAsia="黑体"/>
          <w:b/>
          <w:snapToGrid w:val="0"/>
          <w:kern w:val="0"/>
          <w:sz w:val="32"/>
          <w:szCs w:val="32"/>
          <w:lang w:val="en-US" w:eastAsia="zh-CN"/>
        </w:rPr>
        <w:t>3.8小结</w:t>
      </w:r>
      <w:bookmarkEnd w:id="217"/>
      <w:bookmarkEnd w:id="218"/>
      <w:bookmarkEnd w:id="219"/>
    </w:p>
    <w:p>
      <w:pPr>
        <w:spacing w:line="360" w:lineRule="auto"/>
        <w:jc w:val="center"/>
        <w:rPr>
          <w:rFonts w:hint="eastAsia" w:ascii="黑体" w:eastAsia="黑体"/>
          <w:b/>
          <w:sz w:val="24"/>
        </w:rPr>
      </w:pPr>
      <w:r>
        <w:rPr>
          <w:rFonts w:hint="eastAsia" w:ascii="黑体" w:eastAsia="黑体"/>
          <w:b/>
          <w:sz w:val="24"/>
        </w:rPr>
        <w:t>表</w:t>
      </w:r>
      <w:r>
        <w:rPr>
          <w:rFonts w:hint="eastAsia" w:ascii="黑体" w:eastAsia="黑体"/>
          <w:b/>
          <w:sz w:val="24"/>
          <w:lang w:val="en-US" w:eastAsia="zh-CN"/>
        </w:rPr>
        <w:t>3</w:t>
      </w:r>
      <w:r>
        <w:rPr>
          <w:rFonts w:ascii="黑体" w:eastAsia="黑体"/>
          <w:b/>
          <w:sz w:val="24"/>
        </w:rPr>
        <w:t>-</w:t>
      </w:r>
      <w:r>
        <w:rPr>
          <w:rFonts w:hint="eastAsia" w:ascii="黑体" w:eastAsia="黑体"/>
          <w:b/>
          <w:sz w:val="24"/>
          <w:lang w:val="en-US" w:eastAsia="zh-CN"/>
        </w:rPr>
        <w:t>5</w:t>
      </w:r>
      <w:r>
        <w:rPr>
          <w:rFonts w:ascii="黑体" w:eastAsia="黑体"/>
          <w:b/>
          <w:sz w:val="24"/>
        </w:rPr>
        <w:t xml:space="preserve">  </w:t>
      </w:r>
      <w:r>
        <w:rPr>
          <w:rFonts w:hint="eastAsia" w:ascii="黑体" w:eastAsia="黑体"/>
          <w:b/>
          <w:sz w:val="24"/>
        </w:rPr>
        <w:t>危险、有害因素汇总表</w:t>
      </w:r>
    </w:p>
    <w:tbl>
      <w:tblPr>
        <w:tblStyle w:val="19"/>
        <w:tblpPr w:leftFromText="180" w:rightFromText="180" w:vertAnchor="text" w:horzAnchor="page" w:tblpX="1249" w:tblpY="447"/>
        <w:tblOverlap w:val="never"/>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594"/>
        <w:gridCol w:w="2148"/>
        <w:gridCol w:w="5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bookmarkStart w:id="220" w:name="_Toc29398"/>
            <w:bookmarkStart w:id="221" w:name="_Toc10334"/>
            <w:r>
              <w:rPr>
                <w:rFonts w:hint="eastAsia" w:ascii="宋体" w:hAnsi="宋体" w:cs="宋体"/>
                <w:color w:val="auto"/>
                <w:sz w:val="24"/>
              </w:rPr>
              <w:t>序号</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活动/工序/地点</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项 目</w:t>
            </w:r>
          </w:p>
        </w:tc>
        <w:tc>
          <w:tcPr>
            <w:tcW w:w="5246"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主要危险、危害简要分析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进入工作场所人员</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进场安全教育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为严格按规定内容教育，造成多种伤害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2</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特殊工种及特种作业人员培训</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作业人员培训效果不好，造成多种伤害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现场作业人员教育</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安全意识不强，发生高处坠落和物体打击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4</w:t>
            </w:r>
          </w:p>
        </w:tc>
        <w:tc>
          <w:tcPr>
            <w:tcW w:w="1594"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 xml:space="preserve"> 原材料、辅料储存和运输</w:t>
            </w:r>
          </w:p>
        </w:tc>
        <w:tc>
          <w:tcPr>
            <w:tcW w:w="2148"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lang w:eastAsia="zh-CN"/>
              </w:rPr>
              <w:t>页岩矿、煤、砖</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在装卸、</w:t>
            </w:r>
            <w:r>
              <w:rPr>
                <w:rFonts w:hint="eastAsia" w:ascii="宋体" w:hAnsi="宋体" w:cs="宋体"/>
                <w:color w:val="auto"/>
                <w:sz w:val="24"/>
                <w:lang w:eastAsia="zh-CN"/>
              </w:rPr>
              <w:t>破碎</w:t>
            </w:r>
            <w:r>
              <w:rPr>
                <w:rFonts w:hint="eastAsia" w:ascii="宋体" w:hAnsi="宋体" w:cs="宋体"/>
                <w:color w:val="auto"/>
                <w:sz w:val="24"/>
              </w:rPr>
              <w:t>、</w:t>
            </w:r>
            <w:r>
              <w:rPr>
                <w:rFonts w:hint="eastAsia" w:ascii="宋体" w:hAnsi="宋体" w:cs="宋体"/>
                <w:color w:val="auto"/>
                <w:sz w:val="24"/>
                <w:lang w:eastAsia="zh-CN"/>
              </w:rPr>
              <w:t>制砖、上煤、</w:t>
            </w:r>
            <w:r>
              <w:rPr>
                <w:rFonts w:hint="eastAsia" w:ascii="宋体" w:hAnsi="宋体" w:cs="宋体"/>
                <w:color w:val="auto"/>
                <w:sz w:val="24"/>
              </w:rPr>
              <w:t>搅拌过程中主要存在粉尘危害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5</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w:t>
            </w:r>
          </w:p>
          <w:p>
            <w:pPr>
              <w:spacing w:line="240" w:lineRule="auto"/>
              <w:jc w:val="center"/>
              <w:rPr>
                <w:rFonts w:hint="eastAsia" w:ascii="宋体" w:hAnsi="宋体" w:cs="宋体"/>
                <w:color w:val="auto"/>
                <w:sz w:val="24"/>
              </w:rPr>
            </w:pPr>
            <w:r>
              <w:rPr>
                <w:rFonts w:hint="eastAsia" w:ascii="宋体" w:hAnsi="宋体" w:cs="宋体"/>
                <w:color w:val="auto"/>
                <w:sz w:val="24"/>
              </w:rPr>
              <w:t>过程</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凿岩作业</w:t>
            </w:r>
            <w:r>
              <w:rPr>
                <w:rFonts w:hint="eastAsia" w:ascii="宋体" w:hAnsi="宋体" w:cs="宋体"/>
                <w:color w:val="auto"/>
                <w:sz w:val="24"/>
                <w:lang w:eastAsia="zh-CN"/>
              </w:rPr>
              <w:t>和</w:t>
            </w:r>
            <w:r>
              <w:rPr>
                <w:rFonts w:hint="eastAsia" w:ascii="宋体" w:hAnsi="宋体" w:cs="宋体"/>
                <w:color w:val="auto"/>
                <w:sz w:val="24"/>
              </w:rPr>
              <w:t>砖窑</w:t>
            </w:r>
            <w:r>
              <w:rPr>
                <w:rFonts w:hint="eastAsia" w:ascii="宋体" w:hAnsi="宋体" w:cs="宋体"/>
                <w:color w:val="auto"/>
                <w:sz w:val="24"/>
                <w:lang w:eastAsia="zh-CN"/>
              </w:rPr>
              <w:t>等</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造成物体打击及高处坠落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破碎区上料口、上砖</w:t>
            </w:r>
            <w:r>
              <w:rPr>
                <w:rFonts w:hint="eastAsia" w:ascii="宋体" w:hAnsi="宋体" w:cs="宋体"/>
                <w:color w:val="auto"/>
                <w:sz w:val="24"/>
              </w:rPr>
              <w:t>作业场所</w:t>
            </w:r>
            <w:r>
              <w:rPr>
                <w:rFonts w:hint="eastAsia" w:ascii="宋体" w:hAnsi="宋体" w:cs="宋体"/>
                <w:color w:val="auto"/>
                <w:sz w:val="24"/>
                <w:lang w:eastAsia="zh-CN"/>
              </w:rPr>
              <w:t>和</w:t>
            </w:r>
            <w:r>
              <w:rPr>
                <w:rFonts w:hint="eastAsia" w:ascii="宋体" w:hAnsi="宋体" w:cs="宋体"/>
                <w:color w:val="auto"/>
                <w:sz w:val="24"/>
              </w:rPr>
              <w:t>运输途中</w:t>
            </w:r>
          </w:p>
        </w:tc>
        <w:tc>
          <w:tcPr>
            <w:tcW w:w="5246" w:type="dxa"/>
            <w:noWrap w:val="0"/>
            <w:vAlign w:val="center"/>
          </w:tcPr>
          <w:p>
            <w:pPr>
              <w:spacing w:line="240" w:lineRule="auto"/>
              <w:jc w:val="left"/>
              <w:rPr>
                <w:rFonts w:hint="eastAsia" w:ascii="宋体" w:hAnsi="宋体" w:eastAsia="宋体" w:cs="宋体"/>
                <w:color w:val="auto"/>
                <w:sz w:val="24"/>
                <w:lang w:val="en-US" w:eastAsia="zh-CN"/>
              </w:rPr>
            </w:pPr>
            <w:r>
              <w:rPr>
                <w:rFonts w:hint="eastAsia" w:ascii="宋体" w:hAnsi="宋体" w:cs="宋体"/>
                <w:color w:val="auto"/>
                <w:sz w:val="24"/>
              </w:rPr>
              <w:t>造成</w:t>
            </w:r>
            <w:r>
              <w:rPr>
                <w:rFonts w:hint="eastAsia" w:ascii="宋体" w:hAnsi="宋体" w:cs="宋体"/>
                <w:color w:val="auto"/>
                <w:sz w:val="24"/>
                <w:lang w:eastAsia="zh-CN"/>
              </w:rPr>
              <w:t>车辆伤害、机械伤害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6</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堆土场坍塌和成品区坍塌</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造成坍塌事故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640" w:type="dxa"/>
            <w:noWrap w:val="0"/>
            <w:vAlign w:val="center"/>
          </w:tcPr>
          <w:p>
            <w:pPr>
              <w:spacing w:line="240" w:lineRule="auto"/>
              <w:jc w:val="center"/>
              <w:rPr>
                <w:rFonts w:hint="eastAsia" w:ascii="宋体" w:hAnsi="宋体" w:cs="宋体"/>
                <w:color w:val="auto"/>
                <w:sz w:val="24"/>
              </w:rPr>
            </w:pP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lang w:eastAsia="zh-CN"/>
              </w:rPr>
            </w:pPr>
            <w:r>
              <w:rPr>
                <w:rFonts w:hint="eastAsia" w:ascii="宋体" w:hAnsi="宋体" w:cs="宋体"/>
                <w:color w:val="auto"/>
                <w:sz w:val="24"/>
                <w:lang w:eastAsia="zh-CN"/>
              </w:rPr>
              <w:t>烧窑过程中</w:t>
            </w:r>
          </w:p>
        </w:tc>
        <w:tc>
          <w:tcPr>
            <w:tcW w:w="5246" w:type="dxa"/>
            <w:noWrap w:val="0"/>
            <w:vAlign w:val="center"/>
          </w:tcPr>
          <w:p>
            <w:pPr>
              <w:spacing w:line="240" w:lineRule="auto"/>
              <w:jc w:val="left"/>
              <w:rPr>
                <w:rFonts w:hint="eastAsia" w:ascii="宋体" w:hAnsi="宋体" w:cs="宋体"/>
                <w:color w:val="auto"/>
                <w:sz w:val="24"/>
                <w:lang w:eastAsia="zh-CN"/>
              </w:rPr>
            </w:pPr>
            <w:r>
              <w:rPr>
                <w:rFonts w:hint="eastAsia" w:ascii="宋体" w:hAnsi="宋体" w:cs="宋体"/>
                <w:color w:val="auto"/>
                <w:sz w:val="24"/>
                <w:lang w:eastAsia="zh-CN"/>
              </w:rPr>
              <w:t>造成中毒窒息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4" w:hRule="atLeast"/>
        </w:trPr>
        <w:tc>
          <w:tcPr>
            <w:tcW w:w="640" w:type="dxa"/>
            <w:noWrap w:val="0"/>
            <w:vAlign w:val="center"/>
          </w:tcPr>
          <w:p>
            <w:pPr>
              <w:spacing w:line="240" w:lineRule="auto"/>
              <w:jc w:val="center"/>
              <w:rPr>
                <w:rFonts w:hint="eastAsia" w:ascii="宋体" w:hAnsi="宋体" w:eastAsia="宋体" w:cs="宋体"/>
                <w:color w:val="auto"/>
                <w:sz w:val="24"/>
                <w:lang w:eastAsia="zh-CN"/>
              </w:rPr>
            </w:pPr>
            <w:r>
              <w:rPr>
                <w:rFonts w:hint="eastAsia" w:ascii="宋体" w:hAnsi="宋体" w:cs="宋体"/>
                <w:color w:val="auto"/>
                <w:sz w:val="24"/>
              </w:rPr>
              <w:t>7</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生产管理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指挥错误造成多种伤害。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0"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8</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电工作业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违章操作用电造成触电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9</w:t>
            </w:r>
          </w:p>
        </w:tc>
        <w:tc>
          <w:tcPr>
            <w:tcW w:w="1594" w:type="dxa"/>
            <w:vMerge w:val="restart"/>
            <w:noWrap w:val="0"/>
            <w:vAlign w:val="center"/>
          </w:tcPr>
          <w:p>
            <w:pPr>
              <w:spacing w:line="240" w:lineRule="auto"/>
              <w:jc w:val="center"/>
              <w:rPr>
                <w:rFonts w:hint="eastAsia" w:ascii="宋体" w:hAnsi="宋体" w:cs="宋体"/>
                <w:color w:val="auto"/>
                <w:sz w:val="24"/>
              </w:rPr>
            </w:pPr>
          </w:p>
          <w:p>
            <w:pPr>
              <w:spacing w:line="240" w:lineRule="auto"/>
              <w:jc w:val="center"/>
              <w:rPr>
                <w:rFonts w:hint="eastAsia" w:ascii="宋体" w:hAnsi="宋体" w:cs="宋体"/>
                <w:color w:val="auto"/>
                <w:sz w:val="24"/>
              </w:rPr>
            </w:pPr>
            <w:r>
              <w:rPr>
                <w:rFonts w:hint="eastAsia" w:ascii="宋体" w:hAnsi="宋体" w:cs="宋体"/>
                <w:color w:val="auto"/>
                <w:sz w:val="24"/>
              </w:rPr>
              <w:t>设备运行、维护和保养</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机动车辆驾驶(包括装载机)</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作业环境不良，违章驾驶造成机械伤害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1"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val="en-US" w:eastAsia="zh-CN"/>
              </w:rPr>
              <w:t>10</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焊接(切割)作业</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紫外线、电危害粉尘等金属烟尘，造成中毒、尘肺、触电烧烫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2" w:hRule="atLeast"/>
        </w:trPr>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1</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lang w:eastAsia="zh-CN"/>
              </w:rPr>
              <w:t>制砖</w:t>
            </w:r>
            <w:r>
              <w:rPr>
                <w:rFonts w:hint="eastAsia" w:ascii="宋体" w:hAnsi="宋体" w:cs="宋体"/>
                <w:color w:val="auto"/>
                <w:sz w:val="24"/>
              </w:rPr>
              <w:t>设备</w:t>
            </w:r>
            <w:r>
              <w:rPr>
                <w:rFonts w:hint="eastAsia" w:ascii="宋体" w:hAnsi="宋体" w:cs="宋体"/>
                <w:color w:val="auto"/>
                <w:sz w:val="24"/>
                <w:lang w:eastAsia="zh-CN"/>
              </w:rPr>
              <w:t>、破碎设备</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结构庞大、设备复杂，结构暴露部位多，且作业时需多人配合，极易发生</w:t>
            </w:r>
            <w:r>
              <w:rPr>
                <w:rFonts w:hint="eastAsia" w:ascii="宋体" w:hAnsi="宋体" w:cs="宋体"/>
                <w:color w:val="auto"/>
                <w:sz w:val="24"/>
                <w:lang w:eastAsia="zh-CN"/>
              </w:rPr>
              <w:t>机械伤害</w:t>
            </w:r>
            <w:r>
              <w:rPr>
                <w:rFonts w:hint="eastAsia" w:ascii="宋体" w:hAnsi="宋体" w:cs="宋体"/>
                <w:color w:val="auto"/>
                <w:sz w:val="24"/>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p>
        </w:tc>
        <w:tc>
          <w:tcPr>
            <w:tcW w:w="1594" w:type="dxa"/>
            <w:vMerge w:val="restart"/>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其它辅助活动</w:t>
            </w: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档案、资料管理</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明火、照明线路不良等造成火灾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  公</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地面、楼梯存水及障碍物其他伤害摔伤、撞伤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40"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p>
        </w:tc>
        <w:tc>
          <w:tcPr>
            <w:tcW w:w="1594" w:type="dxa"/>
            <w:vMerge w:val="continue"/>
            <w:noWrap w:val="0"/>
            <w:vAlign w:val="center"/>
          </w:tcPr>
          <w:p>
            <w:pPr>
              <w:spacing w:line="240" w:lineRule="auto"/>
              <w:jc w:val="center"/>
              <w:rPr>
                <w:rFonts w:hint="eastAsia" w:ascii="宋体" w:hAnsi="宋体" w:cs="宋体"/>
                <w:color w:val="auto"/>
                <w:sz w:val="24"/>
              </w:rPr>
            </w:pPr>
          </w:p>
        </w:tc>
        <w:tc>
          <w:tcPr>
            <w:tcW w:w="2148" w:type="dxa"/>
            <w:noWrap w:val="0"/>
            <w:vAlign w:val="center"/>
          </w:tcPr>
          <w:p>
            <w:pPr>
              <w:spacing w:line="240" w:lineRule="auto"/>
              <w:jc w:val="center"/>
              <w:rPr>
                <w:rFonts w:hint="eastAsia" w:ascii="宋体" w:hAnsi="宋体" w:cs="宋体"/>
                <w:color w:val="auto"/>
                <w:sz w:val="24"/>
              </w:rPr>
            </w:pPr>
            <w:r>
              <w:rPr>
                <w:rFonts w:hint="eastAsia" w:ascii="宋体" w:hAnsi="宋体" w:cs="宋体"/>
                <w:color w:val="auto"/>
                <w:sz w:val="24"/>
              </w:rPr>
              <w:t>办公照明用电</w:t>
            </w:r>
          </w:p>
        </w:tc>
        <w:tc>
          <w:tcPr>
            <w:tcW w:w="5246" w:type="dxa"/>
            <w:noWrap w:val="0"/>
            <w:vAlign w:val="center"/>
          </w:tcPr>
          <w:p>
            <w:pPr>
              <w:spacing w:line="240" w:lineRule="auto"/>
              <w:jc w:val="left"/>
              <w:rPr>
                <w:rFonts w:hint="eastAsia" w:ascii="宋体" w:hAnsi="宋体" w:cs="宋体"/>
                <w:color w:val="auto"/>
                <w:sz w:val="24"/>
              </w:rPr>
            </w:pPr>
            <w:r>
              <w:rPr>
                <w:rFonts w:hint="eastAsia" w:ascii="宋体" w:hAnsi="宋体" w:cs="宋体"/>
                <w:color w:val="auto"/>
                <w:sz w:val="24"/>
              </w:rPr>
              <w:t>违章操作触电</w:t>
            </w:r>
          </w:p>
        </w:tc>
      </w:tr>
    </w:tbl>
    <w:p>
      <w:pPr>
        <w:rPr>
          <w:rFonts w:hint="eastAsia" w:ascii="黑体" w:hAnsi="宋体" w:eastAsia="黑体"/>
          <w:b/>
          <w:sz w:val="32"/>
          <w:szCs w:val="32"/>
          <w:lang w:val="en-US" w:eastAsia="zh-CN"/>
        </w:rPr>
      </w:pPr>
      <w:r>
        <w:rPr>
          <w:rFonts w:hint="eastAsia" w:ascii="黑体" w:hAnsi="宋体" w:eastAsia="黑体"/>
          <w:b/>
          <w:sz w:val="32"/>
          <w:szCs w:val="32"/>
          <w:lang w:val="en-US" w:eastAsia="zh-CN"/>
        </w:rPr>
        <w:br w:type="page"/>
      </w:r>
    </w:p>
    <w:p>
      <w:pPr>
        <w:numPr>
          <w:ilvl w:val="0"/>
          <w:numId w:val="0"/>
        </w:numPr>
        <w:spacing w:line="360" w:lineRule="auto"/>
        <w:jc w:val="center"/>
        <w:outlineLvl w:val="0"/>
        <w:rPr>
          <w:rFonts w:hint="eastAsia" w:ascii="黑体" w:hAnsi="宋体" w:eastAsia="黑体"/>
          <w:b/>
          <w:sz w:val="32"/>
          <w:szCs w:val="32"/>
        </w:rPr>
      </w:pPr>
      <w:bookmarkStart w:id="222" w:name="_Toc9139"/>
      <w:r>
        <w:rPr>
          <w:rFonts w:hint="eastAsia" w:ascii="黑体" w:hAnsi="宋体" w:eastAsia="黑体"/>
          <w:b/>
          <w:sz w:val="32"/>
          <w:szCs w:val="32"/>
          <w:lang w:val="en-US" w:eastAsia="zh-CN"/>
        </w:rPr>
        <w:t>4</w:t>
      </w:r>
      <w:r>
        <w:rPr>
          <w:rFonts w:hint="eastAsia" w:ascii="黑体" w:hAnsi="宋体" w:eastAsia="黑体"/>
          <w:b/>
          <w:sz w:val="32"/>
          <w:szCs w:val="32"/>
        </w:rPr>
        <w:t>评估结论与建议</w:t>
      </w:r>
      <w:bookmarkEnd w:id="220"/>
      <w:bookmarkEnd w:id="222"/>
    </w:p>
    <w:p>
      <w:pPr>
        <w:pStyle w:val="5"/>
        <w:autoSpaceDN w:val="0"/>
        <w:spacing w:before="0" w:after="0" w:line="360" w:lineRule="auto"/>
        <w:jc w:val="left"/>
        <w:rPr>
          <w:rFonts w:hint="eastAsia" w:ascii="黑体" w:hAnsi="黑体"/>
          <w:sz w:val="28"/>
          <w:szCs w:val="28"/>
          <w:lang w:val="en-US" w:eastAsia="zh-CN"/>
        </w:rPr>
      </w:pPr>
      <w:bookmarkStart w:id="223" w:name="_Toc25242"/>
      <w:r>
        <w:rPr>
          <w:rFonts w:hint="eastAsia" w:ascii="黑体" w:hAnsi="黑体"/>
          <w:sz w:val="28"/>
          <w:szCs w:val="28"/>
          <w:lang w:val="en-US" w:eastAsia="zh-CN"/>
        </w:rPr>
        <w:t>4.1总体评价结论</w:t>
      </w:r>
      <w:bookmarkEnd w:id="221"/>
      <w:bookmarkEnd w:id="223"/>
    </w:p>
    <w:p>
      <w:pPr>
        <w:spacing w:line="360" w:lineRule="auto"/>
        <w:ind w:firstLine="560" w:firstLineChars="200"/>
        <w:rPr>
          <w:rFonts w:hint="eastAsia" w:ascii="宋体" w:hAnsi="宋体" w:cs="宋体"/>
          <w:color w:val="auto"/>
          <w:sz w:val="28"/>
          <w:szCs w:val="28"/>
          <w:lang w:eastAsia="zh-CN"/>
        </w:rPr>
      </w:pPr>
      <w:r>
        <w:rPr>
          <w:rFonts w:hint="eastAsia" w:ascii="宋体" w:hAnsi="宋体" w:cs="宋体"/>
          <w:color w:val="auto"/>
          <w:sz w:val="28"/>
          <w:szCs w:val="28"/>
          <w:lang w:eastAsia="zh-CN"/>
        </w:rPr>
        <w:t>通过对仪陇县炬光乡页岩砖厂周边环境、总平面布置及建构筑物、生产设施与设备安全、生产工艺控制、危险化学品储存使用、公辅工程、安全管理等方面的综合评价，本公司各类危险源均处在动态监控中，在日常生产过程中发现隐患问题，能够及时得到整改，加强员工教育，杜绝“三违”现象，就能够做到事故可防可控。本公司《生产安全事故应急救援预案》内容具有可操作性，对事故应急总的处置方案和具体岗位的应急操作流程进行了详细规定，通过对应急救援机构、应急救援队伍、应急救援装备、应急救援物质储备、应急救援医疗保障的调查，与实际情况相符。</w:t>
      </w:r>
    </w:p>
    <w:p>
      <w:pPr>
        <w:pStyle w:val="5"/>
        <w:autoSpaceDN w:val="0"/>
        <w:spacing w:before="0" w:after="0" w:line="360" w:lineRule="auto"/>
        <w:jc w:val="left"/>
        <w:rPr>
          <w:rFonts w:hint="eastAsia" w:ascii="黑体" w:hAnsi="黑体"/>
          <w:sz w:val="28"/>
          <w:szCs w:val="28"/>
        </w:rPr>
      </w:pPr>
      <w:bookmarkStart w:id="224" w:name="_Toc11305"/>
      <w:bookmarkStart w:id="225" w:name="_Toc5799"/>
      <w:bookmarkStart w:id="226" w:name="_Toc22214"/>
      <w:r>
        <w:rPr>
          <w:rFonts w:hint="eastAsia" w:ascii="黑体" w:hAnsi="黑体"/>
          <w:sz w:val="28"/>
          <w:szCs w:val="28"/>
          <w:lang w:val="en-US" w:eastAsia="zh-CN"/>
        </w:rPr>
        <w:t>4</w:t>
      </w:r>
      <w:r>
        <w:rPr>
          <w:rFonts w:hint="eastAsia" w:ascii="黑体" w:hAnsi="黑体"/>
          <w:sz w:val="28"/>
          <w:szCs w:val="28"/>
        </w:rPr>
        <w:t>.</w:t>
      </w:r>
      <w:r>
        <w:rPr>
          <w:rFonts w:hint="eastAsia" w:ascii="黑体" w:hAnsi="黑体"/>
          <w:sz w:val="28"/>
          <w:szCs w:val="28"/>
          <w:lang w:val="en-US" w:eastAsia="zh-CN"/>
        </w:rPr>
        <w:t>2</w:t>
      </w:r>
      <w:r>
        <w:rPr>
          <w:rFonts w:hint="eastAsia" w:ascii="黑体" w:hAnsi="黑体"/>
          <w:sz w:val="28"/>
          <w:szCs w:val="28"/>
        </w:rPr>
        <w:t>建议</w:t>
      </w:r>
      <w:bookmarkEnd w:id="224"/>
      <w:bookmarkEnd w:id="225"/>
      <w:bookmarkEnd w:id="226"/>
    </w:p>
    <w:p>
      <w:pPr>
        <w:spacing w:line="360" w:lineRule="auto"/>
        <w:ind w:firstLine="560" w:firstLineChars="200"/>
        <w:rPr>
          <w:sz w:val="28"/>
          <w:szCs w:val="28"/>
        </w:rPr>
      </w:pPr>
      <w:r>
        <w:rPr>
          <w:sz w:val="28"/>
          <w:szCs w:val="28"/>
        </w:rPr>
        <w:t>（1）应加强对现有安全措施及消防装置的维护检查，确保安全设施及消防措施的可靠性，在发生险情时能有效地发挥其作用。对损坏、失效的消防设备设施要作到及时修复和更换。</w:t>
      </w:r>
    </w:p>
    <w:p>
      <w:pPr>
        <w:spacing w:line="360" w:lineRule="auto"/>
        <w:ind w:firstLine="560" w:firstLineChars="200"/>
        <w:rPr>
          <w:sz w:val="28"/>
          <w:szCs w:val="28"/>
        </w:rPr>
      </w:pPr>
      <w:r>
        <w:rPr>
          <w:sz w:val="28"/>
          <w:szCs w:val="28"/>
        </w:rPr>
        <w:t>（2）应增加应急救援器材，确保事故发生或作业人员发生人身伤害时，能够及时采取有效救援措施，减轻伤害程度，控制事故的发展。</w:t>
      </w:r>
    </w:p>
    <w:p>
      <w:pPr>
        <w:rPr>
          <w:rFonts w:hint="eastAsia"/>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仿宋简体">
    <w:altName w:val="宋体"/>
    <w:panose1 w:val="02010601030101010101"/>
    <w:charset w:val="86"/>
    <w:family w:val="auto"/>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PMingLiU">
    <w:altName w:val="PMingLiU-ExtB"/>
    <w:panose1 w:val="02020500000000000000"/>
    <w:charset w:val="78"/>
    <w:family w:val="auto"/>
    <w:pitch w:val="default"/>
    <w:sig w:usb0="00000000" w:usb1="0000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F723BC"/>
    <w:rsid w:val="00324365"/>
    <w:rsid w:val="005247D8"/>
    <w:rsid w:val="005D60C3"/>
    <w:rsid w:val="00B44381"/>
    <w:rsid w:val="018C04CF"/>
    <w:rsid w:val="01B34626"/>
    <w:rsid w:val="01D26CA9"/>
    <w:rsid w:val="02EB4D5F"/>
    <w:rsid w:val="03D37A5F"/>
    <w:rsid w:val="047007AE"/>
    <w:rsid w:val="059A7F41"/>
    <w:rsid w:val="06330342"/>
    <w:rsid w:val="06867417"/>
    <w:rsid w:val="069D7701"/>
    <w:rsid w:val="07024A58"/>
    <w:rsid w:val="0731706A"/>
    <w:rsid w:val="07835CC2"/>
    <w:rsid w:val="07A44FA0"/>
    <w:rsid w:val="07B56C35"/>
    <w:rsid w:val="07E323AA"/>
    <w:rsid w:val="07F26DF4"/>
    <w:rsid w:val="0808585B"/>
    <w:rsid w:val="0814262C"/>
    <w:rsid w:val="08FB3207"/>
    <w:rsid w:val="0A1B12D6"/>
    <w:rsid w:val="0A54055C"/>
    <w:rsid w:val="0A5621CC"/>
    <w:rsid w:val="0AE45EDA"/>
    <w:rsid w:val="0AF829E5"/>
    <w:rsid w:val="0BDD3C7F"/>
    <w:rsid w:val="0C18342B"/>
    <w:rsid w:val="0CA8623A"/>
    <w:rsid w:val="0D066290"/>
    <w:rsid w:val="0D3B3E73"/>
    <w:rsid w:val="0DE0620E"/>
    <w:rsid w:val="0E6D3139"/>
    <w:rsid w:val="0EB95D58"/>
    <w:rsid w:val="0ECB0C27"/>
    <w:rsid w:val="0F25281E"/>
    <w:rsid w:val="0F77136B"/>
    <w:rsid w:val="0F842DC8"/>
    <w:rsid w:val="0F9227C9"/>
    <w:rsid w:val="0FE50957"/>
    <w:rsid w:val="112E4204"/>
    <w:rsid w:val="11385FCD"/>
    <w:rsid w:val="11C747FB"/>
    <w:rsid w:val="11D61819"/>
    <w:rsid w:val="11F65369"/>
    <w:rsid w:val="12651DAC"/>
    <w:rsid w:val="12794825"/>
    <w:rsid w:val="128342A7"/>
    <w:rsid w:val="12CA5EC1"/>
    <w:rsid w:val="13174795"/>
    <w:rsid w:val="134B441C"/>
    <w:rsid w:val="136C6E71"/>
    <w:rsid w:val="13C77420"/>
    <w:rsid w:val="140B1FB2"/>
    <w:rsid w:val="143B6186"/>
    <w:rsid w:val="14694763"/>
    <w:rsid w:val="14742777"/>
    <w:rsid w:val="149039AD"/>
    <w:rsid w:val="14B414F7"/>
    <w:rsid w:val="15570D21"/>
    <w:rsid w:val="155E39C3"/>
    <w:rsid w:val="158733A6"/>
    <w:rsid w:val="15A14830"/>
    <w:rsid w:val="165B5ABE"/>
    <w:rsid w:val="16ED61B4"/>
    <w:rsid w:val="170B2C2B"/>
    <w:rsid w:val="173B5FB4"/>
    <w:rsid w:val="17D8718E"/>
    <w:rsid w:val="18A56828"/>
    <w:rsid w:val="18E72215"/>
    <w:rsid w:val="18E80829"/>
    <w:rsid w:val="19837993"/>
    <w:rsid w:val="19BF0322"/>
    <w:rsid w:val="19D37E9F"/>
    <w:rsid w:val="1A4F49A7"/>
    <w:rsid w:val="1AF723BC"/>
    <w:rsid w:val="1B1B4B65"/>
    <w:rsid w:val="1B584D22"/>
    <w:rsid w:val="1B7B5998"/>
    <w:rsid w:val="1BB675E2"/>
    <w:rsid w:val="1BCF066F"/>
    <w:rsid w:val="1BD90D39"/>
    <w:rsid w:val="1BEC385B"/>
    <w:rsid w:val="1C0A5497"/>
    <w:rsid w:val="1D752B45"/>
    <w:rsid w:val="1D85003A"/>
    <w:rsid w:val="1DC712A8"/>
    <w:rsid w:val="1DEB3E64"/>
    <w:rsid w:val="1E165C3D"/>
    <w:rsid w:val="1E220183"/>
    <w:rsid w:val="1E8E35FC"/>
    <w:rsid w:val="1F2F4931"/>
    <w:rsid w:val="1F3805F9"/>
    <w:rsid w:val="1F4340AC"/>
    <w:rsid w:val="1F48275D"/>
    <w:rsid w:val="1F647F1F"/>
    <w:rsid w:val="1F7A37C8"/>
    <w:rsid w:val="1F8D03F9"/>
    <w:rsid w:val="1F8E5F41"/>
    <w:rsid w:val="1FB86C9B"/>
    <w:rsid w:val="1FC13459"/>
    <w:rsid w:val="1FE208B9"/>
    <w:rsid w:val="208858FB"/>
    <w:rsid w:val="20A1413A"/>
    <w:rsid w:val="20BE35EE"/>
    <w:rsid w:val="22C3776E"/>
    <w:rsid w:val="22D832A8"/>
    <w:rsid w:val="22E40C74"/>
    <w:rsid w:val="22E759E4"/>
    <w:rsid w:val="23032879"/>
    <w:rsid w:val="23213375"/>
    <w:rsid w:val="23D97413"/>
    <w:rsid w:val="240D3547"/>
    <w:rsid w:val="2439225C"/>
    <w:rsid w:val="24450122"/>
    <w:rsid w:val="244C16C4"/>
    <w:rsid w:val="244F0B88"/>
    <w:rsid w:val="245A3C4E"/>
    <w:rsid w:val="24FB56BC"/>
    <w:rsid w:val="25AF1A07"/>
    <w:rsid w:val="25F57BEE"/>
    <w:rsid w:val="26524A71"/>
    <w:rsid w:val="26A96685"/>
    <w:rsid w:val="26E103D1"/>
    <w:rsid w:val="27614997"/>
    <w:rsid w:val="277D73A1"/>
    <w:rsid w:val="2793442C"/>
    <w:rsid w:val="27C206E8"/>
    <w:rsid w:val="28982FE2"/>
    <w:rsid w:val="28B83BFF"/>
    <w:rsid w:val="290F2046"/>
    <w:rsid w:val="2923409D"/>
    <w:rsid w:val="294C2435"/>
    <w:rsid w:val="298C52F0"/>
    <w:rsid w:val="29925E1A"/>
    <w:rsid w:val="2A1D0F47"/>
    <w:rsid w:val="2A5B6A09"/>
    <w:rsid w:val="2B040F9D"/>
    <w:rsid w:val="2B34415E"/>
    <w:rsid w:val="2B3C65FF"/>
    <w:rsid w:val="2BDD5569"/>
    <w:rsid w:val="2C0870D6"/>
    <w:rsid w:val="2C5A6C5D"/>
    <w:rsid w:val="2C955142"/>
    <w:rsid w:val="2C9C7C97"/>
    <w:rsid w:val="2CB53128"/>
    <w:rsid w:val="2CD176A6"/>
    <w:rsid w:val="2CE03705"/>
    <w:rsid w:val="2CE5756B"/>
    <w:rsid w:val="2D17630C"/>
    <w:rsid w:val="2D2D3B92"/>
    <w:rsid w:val="2D980C0B"/>
    <w:rsid w:val="2DA36ECA"/>
    <w:rsid w:val="2DFE08A6"/>
    <w:rsid w:val="2E313DDB"/>
    <w:rsid w:val="2EB87CC0"/>
    <w:rsid w:val="2EC16023"/>
    <w:rsid w:val="2ED80F4B"/>
    <w:rsid w:val="2F1B7849"/>
    <w:rsid w:val="300251B5"/>
    <w:rsid w:val="305C4346"/>
    <w:rsid w:val="310028DA"/>
    <w:rsid w:val="313177DD"/>
    <w:rsid w:val="32240BF8"/>
    <w:rsid w:val="322A0AE4"/>
    <w:rsid w:val="3235563A"/>
    <w:rsid w:val="32683B2D"/>
    <w:rsid w:val="327E3643"/>
    <w:rsid w:val="32AF5AD2"/>
    <w:rsid w:val="32C563AD"/>
    <w:rsid w:val="32FE496E"/>
    <w:rsid w:val="330C362C"/>
    <w:rsid w:val="335A7005"/>
    <w:rsid w:val="33956D13"/>
    <w:rsid w:val="339D79F1"/>
    <w:rsid w:val="33A20370"/>
    <w:rsid w:val="33B37D8A"/>
    <w:rsid w:val="33BB103D"/>
    <w:rsid w:val="34383A5B"/>
    <w:rsid w:val="343E683F"/>
    <w:rsid w:val="34554F53"/>
    <w:rsid w:val="34662EA6"/>
    <w:rsid w:val="346B4776"/>
    <w:rsid w:val="347F25F8"/>
    <w:rsid w:val="37095278"/>
    <w:rsid w:val="37260A87"/>
    <w:rsid w:val="376A4991"/>
    <w:rsid w:val="37F5632A"/>
    <w:rsid w:val="388958CC"/>
    <w:rsid w:val="39102AC2"/>
    <w:rsid w:val="393A7B4C"/>
    <w:rsid w:val="39A80794"/>
    <w:rsid w:val="39CB2810"/>
    <w:rsid w:val="39EF57AC"/>
    <w:rsid w:val="3A5F15D0"/>
    <w:rsid w:val="3A7A59C2"/>
    <w:rsid w:val="3A8A5198"/>
    <w:rsid w:val="3AB647BD"/>
    <w:rsid w:val="3B3E3E45"/>
    <w:rsid w:val="3CE4144F"/>
    <w:rsid w:val="3D294EE0"/>
    <w:rsid w:val="3DAE5076"/>
    <w:rsid w:val="3DE73B46"/>
    <w:rsid w:val="3DE83AD0"/>
    <w:rsid w:val="3E9F6159"/>
    <w:rsid w:val="3FBC7E4E"/>
    <w:rsid w:val="3FDC1A36"/>
    <w:rsid w:val="3FDD2101"/>
    <w:rsid w:val="3FEA6A42"/>
    <w:rsid w:val="409F3EEA"/>
    <w:rsid w:val="40A21DB4"/>
    <w:rsid w:val="40B7729C"/>
    <w:rsid w:val="411F7579"/>
    <w:rsid w:val="41355E93"/>
    <w:rsid w:val="41730BF7"/>
    <w:rsid w:val="417E7A0A"/>
    <w:rsid w:val="433507F9"/>
    <w:rsid w:val="441915F5"/>
    <w:rsid w:val="45770186"/>
    <w:rsid w:val="459F7826"/>
    <w:rsid w:val="464A1410"/>
    <w:rsid w:val="46F66BD7"/>
    <w:rsid w:val="47341022"/>
    <w:rsid w:val="477E3CE3"/>
    <w:rsid w:val="483B34B0"/>
    <w:rsid w:val="48FD757B"/>
    <w:rsid w:val="491C391B"/>
    <w:rsid w:val="492B09D8"/>
    <w:rsid w:val="498E082D"/>
    <w:rsid w:val="4A720B65"/>
    <w:rsid w:val="4AAF0090"/>
    <w:rsid w:val="4B064935"/>
    <w:rsid w:val="4B220275"/>
    <w:rsid w:val="4B483AD9"/>
    <w:rsid w:val="4B6768D2"/>
    <w:rsid w:val="4BFC05F5"/>
    <w:rsid w:val="4C0F77AD"/>
    <w:rsid w:val="4C6D0410"/>
    <w:rsid w:val="4C8611D9"/>
    <w:rsid w:val="4D02687F"/>
    <w:rsid w:val="4D453DC9"/>
    <w:rsid w:val="4D8D0BEB"/>
    <w:rsid w:val="4DB8268A"/>
    <w:rsid w:val="4DF07C13"/>
    <w:rsid w:val="4E426085"/>
    <w:rsid w:val="4ED74A31"/>
    <w:rsid w:val="4EFD13C2"/>
    <w:rsid w:val="50993D59"/>
    <w:rsid w:val="515512D0"/>
    <w:rsid w:val="516E3E1E"/>
    <w:rsid w:val="51770C66"/>
    <w:rsid w:val="51C92B72"/>
    <w:rsid w:val="51F47B43"/>
    <w:rsid w:val="525C2381"/>
    <w:rsid w:val="52622A40"/>
    <w:rsid w:val="52755F2A"/>
    <w:rsid w:val="532B27D1"/>
    <w:rsid w:val="53A07D90"/>
    <w:rsid w:val="53C43072"/>
    <w:rsid w:val="53EA2B27"/>
    <w:rsid w:val="540B4142"/>
    <w:rsid w:val="5455526C"/>
    <w:rsid w:val="54D21C50"/>
    <w:rsid w:val="55FD3636"/>
    <w:rsid w:val="564C147E"/>
    <w:rsid w:val="5650214D"/>
    <w:rsid w:val="56775B43"/>
    <w:rsid w:val="5681710C"/>
    <w:rsid w:val="571950BC"/>
    <w:rsid w:val="57D309C6"/>
    <w:rsid w:val="58B72C33"/>
    <w:rsid w:val="590B70B3"/>
    <w:rsid w:val="592F0C5C"/>
    <w:rsid w:val="59336AE3"/>
    <w:rsid w:val="59A421BC"/>
    <w:rsid w:val="59E15F92"/>
    <w:rsid w:val="59ED3977"/>
    <w:rsid w:val="5A0C0B47"/>
    <w:rsid w:val="5AE86358"/>
    <w:rsid w:val="5B8C578C"/>
    <w:rsid w:val="5B942AB1"/>
    <w:rsid w:val="5BA27CFF"/>
    <w:rsid w:val="5BE34BD9"/>
    <w:rsid w:val="5BEC5827"/>
    <w:rsid w:val="5C2E219B"/>
    <w:rsid w:val="5C6F0596"/>
    <w:rsid w:val="5CB37775"/>
    <w:rsid w:val="5DDA2367"/>
    <w:rsid w:val="5E373F89"/>
    <w:rsid w:val="5E5068C1"/>
    <w:rsid w:val="5E9B5A1F"/>
    <w:rsid w:val="5EFD55DF"/>
    <w:rsid w:val="5F053AC2"/>
    <w:rsid w:val="5F0B5C76"/>
    <w:rsid w:val="5F16731B"/>
    <w:rsid w:val="5F1C71B2"/>
    <w:rsid w:val="5F1D225B"/>
    <w:rsid w:val="5F21657F"/>
    <w:rsid w:val="5F4A1C91"/>
    <w:rsid w:val="5FCA3D8D"/>
    <w:rsid w:val="60377224"/>
    <w:rsid w:val="607D49FD"/>
    <w:rsid w:val="60E67C6D"/>
    <w:rsid w:val="61043818"/>
    <w:rsid w:val="612E1200"/>
    <w:rsid w:val="613618D5"/>
    <w:rsid w:val="61E37CF9"/>
    <w:rsid w:val="61EF4BAD"/>
    <w:rsid w:val="622E630D"/>
    <w:rsid w:val="62742DCD"/>
    <w:rsid w:val="62B91BA7"/>
    <w:rsid w:val="62D7527A"/>
    <w:rsid w:val="63156E86"/>
    <w:rsid w:val="6395494B"/>
    <w:rsid w:val="639A41C4"/>
    <w:rsid w:val="63AD0D00"/>
    <w:rsid w:val="63CF1848"/>
    <w:rsid w:val="63E37986"/>
    <w:rsid w:val="64360ADF"/>
    <w:rsid w:val="645E2F84"/>
    <w:rsid w:val="64F03451"/>
    <w:rsid w:val="64FB6E9F"/>
    <w:rsid w:val="654C0C6E"/>
    <w:rsid w:val="65B43BEA"/>
    <w:rsid w:val="65C409EA"/>
    <w:rsid w:val="663A3EB4"/>
    <w:rsid w:val="66E17464"/>
    <w:rsid w:val="67D414E5"/>
    <w:rsid w:val="69A5229A"/>
    <w:rsid w:val="69A97278"/>
    <w:rsid w:val="69F554D1"/>
    <w:rsid w:val="6BBC26DD"/>
    <w:rsid w:val="6BF603B0"/>
    <w:rsid w:val="6C290D26"/>
    <w:rsid w:val="6C2D1542"/>
    <w:rsid w:val="6C4912EE"/>
    <w:rsid w:val="6C800B14"/>
    <w:rsid w:val="6CDC19EB"/>
    <w:rsid w:val="6D11498F"/>
    <w:rsid w:val="6D476F7F"/>
    <w:rsid w:val="6D684322"/>
    <w:rsid w:val="6DBA0093"/>
    <w:rsid w:val="6E7B4731"/>
    <w:rsid w:val="6E927F94"/>
    <w:rsid w:val="6EEF6407"/>
    <w:rsid w:val="6FAA56EB"/>
    <w:rsid w:val="6FED25A3"/>
    <w:rsid w:val="704A3031"/>
    <w:rsid w:val="70554E01"/>
    <w:rsid w:val="70601362"/>
    <w:rsid w:val="70AD3F02"/>
    <w:rsid w:val="70EA511B"/>
    <w:rsid w:val="716D7957"/>
    <w:rsid w:val="71E473EF"/>
    <w:rsid w:val="72251606"/>
    <w:rsid w:val="723C4E0C"/>
    <w:rsid w:val="72421DD8"/>
    <w:rsid w:val="727017CD"/>
    <w:rsid w:val="730D354D"/>
    <w:rsid w:val="734E2F8F"/>
    <w:rsid w:val="7386403F"/>
    <w:rsid w:val="73A236AA"/>
    <w:rsid w:val="73AA2E25"/>
    <w:rsid w:val="73B257D5"/>
    <w:rsid w:val="73C66834"/>
    <w:rsid w:val="74034CD0"/>
    <w:rsid w:val="75494092"/>
    <w:rsid w:val="759E0303"/>
    <w:rsid w:val="75AD4B40"/>
    <w:rsid w:val="75FE1A6B"/>
    <w:rsid w:val="767D74C7"/>
    <w:rsid w:val="76820B04"/>
    <w:rsid w:val="76DA4889"/>
    <w:rsid w:val="76E47588"/>
    <w:rsid w:val="77354976"/>
    <w:rsid w:val="776A67F8"/>
    <w:rsid w:val="77DF6978"/>
    <w:rsid w:val="78046151"/>
    <w:rsid w:val="783311DF"/>
    <w:rsid w:val="784F6630"/>
    <w:rsid w:val="78507FEF"/>
    <w:rsid w:val="78B03D86"/>
    <w:rsid w:val="78EA49E2"/>
    <w:rsid w:val="79260D6C"/>
    <w:rsid w:val="79F66BAF"/>
    <w:rsid w:val="7A2F46E7"/>
    <w:rsid w:val="7A4F1784"/>
    <w:rsid w:val="7A5245F9"/>
    <w:rsid w:val="7AF95BE7"/>
    <w:rsid w:val="7B70248C"/>
    <w:rsid w:val="7B932C66"/>
    <w:rsid w:val="7BF0782B"/>
    <w:rsid w:val="7C05359C"/>
    <w:rsid w:val="7CF11279"/>
    <w:rsid w:val="7D0275D8"/>
    <w:rsid w:val="7DB96803"/>
    <w:rsid w:val="7E2852A2"/>
    <w:rsid w:val="7E605563"/>
    <w:rsid w:val="7EAA408B"/>
    <w:rsid w:val="7EC478BA"/>
    <w:rsid w:val="7EDF4571"/>
    <w:rsid w:val="7F114FA7"/>
    <w:rsid w:val="7F1F28DF"/>
    <w:rsid w:val="7F280353"/>
    <w:rsid w:val="7F350E03"/>
    <w:rsid w:val="7F6668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宋体" w:asciiTheme="minorHAnsi" w:hAnsiTheme="minorHAnsi" w:cstheme="minorBidi"/>
      <w:kern w:val="2"/>
      <w:sz w:val="21"/>
      <w:szCs w:val="24"/>
      <w:lang w:val="en-US" w:eastAsia="zh-CN" w:bidi="ar-SA"/>
    </w:rPr>
  </w:style>
  <w:style w:type="paragraph" w:styleId="4">
    <w:name w:val="heading 1"/>
    <w:basedOn w:val="1"/>
    <w:next w:val="1"/>
    <w:qFormat/>
    <w:uiPriority w:val="0"/>
    <w:pPr>
      <w:widowControl/>
      <w:adjustRightInd w:val="0"/>
      <w:snapToGrid w:val="0"/>
      <w:spacing w:line="640" w:lineRule="exact"/>
      <w:jc w:val="center"/>
      <w:outlineLvl w:val="0"/>
    </w:pPr>
    <w:rPr>
      <w:rFonts w:ascii="黑体" w:eastAsia="黑体"/>
      <w:b/>
      <w:kern w:val="0"/>
      <w:sz w:val="28"/>
      <w:szCs w:val="28"/>
    </w:rPr>
  </w:style>
  <w:style w:type="paragraph" w:styleId="5">
    <w:name w:val="heading 2"/>
    <w:basedOn w:val="1"/>
    <w:next w:val="1"/>
    <w:unhideWhenUsed/>
    <w:qFormat/>
    <w:uiPriority w:val="0"/>
    <w:pPr>
      <w:keepNext/>
      <w:keepLines/>
      <w:spacing w:before="260" w:beforeLines="0" w:after="260" w:afterLines="0" w:line="413" w:lineRule="auto"/>
      <w:outlineLvl w:val="1"/>
    </w:pPr>
    <w:rPr>
      <w:rFonts w:ascii="Arial" w:hAnsi="Arial" w:eastAsia="黑体"/>
      <w:b/>
      <w:bCs/>
      <w:sz w:val="32"/>
      <w:szCs w:val="32"/>
    </w:rPr>
  </w:style>
  <w:style w:type="paragraph" w:styleId="6">
    <w:name w:val="heading 3"/>
    <w:basedOn w:val="1"/>
    <w:next w:val="1"/>
    <w:unhideWhenUsed/>
    <w:qFormat/>
    <w:uiPriority w:val="0"/>
    <w:pPr>
      <w:keepNext/>
      <w:keepLines/>
      <w:spacing w:before="260" w:after="260" w:line="413" w:lineRule="auto"/>
      <w:outlineLvl w:val="2"/>
    </w:pPr>
    <w:rPr>
      <w:b/>
      <w:bCs/>
      <w:sz w:val="32"/>
      <w:szCs w:val="32"/>
    </w:rPr>
  </w:style>
  <w:style w:type="paragraph" w:styleId="7">
    <w:name w:val="heading 4"/>
    <w:basedOn w:val="1"/>
    <w:next w:val="1"/>
    <w:qFormat/>
    <w:uiPriority w:val="0"/>
    <w:pPr>
      <w:keepNext/>
      <w:widowControl w:val="0"/>
      <w:ind w:firstLine="600" w:firstLineChars="600"/>
      <w:outlineLvl w:val="3"/>
    </w:pPr>
    <w:rPr>
      <w:rFonts w:ascii="宋体"/>
      <w:sz w:val="28"/>
    </w:rPr>
  </w:style>
  <w:style w:type="character" w:default="1" w:styleId="21">
    <w:name w:val="Default Paragraph Font"/>
    <w:link w:val="22"/>
    <w:semiHidden/>
    <w:qFormat/>
    <w:uiPriority w:val="0"/>
    <w:rPr>
      <w:rFonts w:eastAsia="方正仿宋简体"/>
      <w:sz w:val="32"/>
      <w:szCs w:val="21"/>
    </w:rPr>
  </w:style>
  <w:style w:type="table" w:default="1" w:styleId="19">
    <w:name w:val="Normal Table"/>
    <w:semiHidden/>
    <w:qFormat/>
    <w:uiPriority w:val="0"/>
    <w:tblPr>
      <w:tblLayout w:type="fixed"/>
      <w:tblCellMar>
        <w:top w:w="0" w:type="dxa"/>
        <w:left w:w="108" w:type="dxa"/>
        <w:bottom w:w="0" w:type="dxa"/>
        <w:right w:w="108" w:type="dxa"/>
      </w:tblCellMar>
    </w:tblPr>
  </w:style>
  <w:style w:type="paragraph" w:styleId="2">
    <w:name w:val="Body Text First Indent"/>
    <w:basedOn w:val="3"/>
    <w:qFormat/>
    <w:uiPriority w:val="0"/>
    <w:pPr>
      <w:autoSpaceDE/>
      <w:autoSpaceDN/>
      <w:adjustRightInd/>
      <w:spacing w:after="120" w:line="240" w:lineRule="auto"/>
      <w:ind w:firstLine="420" w:firstLineChars="100"/>
      <w:jc w:val="both"/>
      <w:textAlignment w:val="auto"/>
    </w:pPr>
    <w:rPr>
      <w:rFonts w:ascii="Times New Roman"/>
      <w:color w:val="auto"/>
      <w:kern w:val="2"/>
      <w:sz w:val="21"/>
      <w:szCs w:val="24"/>
    </w:rPr>
  </w:style>
  <w:style w:type="paragraph" w:styleId="3">
    <w:name w:val="Body Text"/>
    <w:basedOn w:val="1"/>
    <w:qFormat/>
    <w:uiPriority w:val="0"/>
    <w:pPr>
      <w:spacing w:line="400" w:lineRule="exact"/>
    </w:pPr>
    <w:rPr>
      <w:sz w:val="28"/>
    </w:rPr>
  </w:style>
  <w:style w:type="paragraph" w:styleId="8">
    <w:name w:val="Normal Indent"/>
    <w:basedOn w:val="1"/>
    <w:qFormat/>
    <w:uiPriority w:val="0"/>
    <w:pPr>
      <w:ind w:firstLine="420"/>
    </w:pPr>
  </w:style>
  <w:style w:type="paragraph" w:styleId="9">
    <w:name w:val="caption"/>
    <w:basedOn w:val="1"/>
    <w:next w:val="1"/>
    <w:semiHidden/>
    <w:qFormat/>
    <w:uiPriority w:val="0"/>
    <w:pPr>
      <w:spacing w:before="152" w:after="160"/>
    </w:pPr>
    <w:rPr>
      <w:rFonts w:ascii="Arial" w:hAnsi="Arial" w:eastAsia="黑体" w:cs="Arial"/>
      <w:sz w:val="20"/>
    </w:rPr>
  </w:style>
  <w:style w:type="paragraph" w:styleId="10">
    <w:name w:val="Body Text Indent"/>
    <w:basedOn w:val="1"/>
    <w:qFormat/>
    <w:uiPriority w:val="0"/>
    <w:pPr>
      <w:ind w:firstLine="480"/>
    </w:pPr>
    <w:rPr>
      <w:rFonts w:ascii="宋体"/>
      <w:sz w:val="24"/>
    </w:rPr>
  </w:style>
  <w:style w:type="paragraph" w:styleId="11">
    <w:name w:val="toc 3"/>
    <w:basedOn w:val="1"/>
    <w:next w:val="1"/>
    <w:qFormat/>
    <w:uiPriority w:val="0"/>
    <w:pPr>
      <w:ind w:left="840" w:leftChars="400"/>
    </w:pPr>
  </w:style>
  <w:style w:type="paragraph" w:styleId="12">
    <w:name w:val="Plain Text"/>
    <w:basedOn w:val="1"/>
    <w:qFormat/>
    <w:uiPriority w:val="0"/>
    <w:pPr>
      <w:spacing w:line="360" w:lineRule="auto"/>
      <w:ind w:firstLine="200" w:firstLineChars="200"/>
    </w:pPr>
    <w:rPr>
      <w:rFonts w:ascii="宋体" w:hAnsi="Courier New" w:cs="Courier New"/>
      <w:sz w:val="28"/>
      <w:szCs w:val="21"/>
    </w:rPr>
  </w:style>
  <w:style w:type="paragraph" w:styleId="13">
    <w:name w:val="footer"/>
    <w:basedOn w:val="1"/>
    <w:link w:val="31"/>
    <w:qFormat/>
    <w:uiPriority w:val="0"/>
    <w:pPr>
      <w:tabs>
        <w:tab w:val="center" w:pos="4153"/>
        <w:tab w:val="right" w:pos="8306"/>
      </w:tabs>
      <w:snapToGrid w:val="0"/>
      <w:jc w:val="left"/>
    </w:pPr>
    <w:rPr>
      <w:sz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0"/>
  </w:style>
  <w:style w:type="paragraph" w:styleId="16">
    <w:name w:val="Body Text Indent 3"/>
    <w:basedOn w:val="1"/>
    <w:qFormat/>
    <w:uiPriority w:val="0"/>
    <w:pPr>
      <w:tabs>
        <w:tab w:val="left" w:pos="1050"/>
      </w:tabs>
      <w:spacing w:before="120" w:line="360" w:lineRule="auto"/>
      <w:ind w:firstLine="420" w:firstLineChars="150"/>
    </w:pPr>
    <w:rPr>
      <w:rFonts w:ascii="宋体"/>
      <w:spacing w:val="20"/>
      <w:sz w:val="24"/>
    </w:rPr>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Lines="0" w:beforeAutospacing="1" w:after="100" w:afterLines="0" w:afterAutospacing="1" w:line="360" w:lineRule="auto"/>
      <w:jc w:val="left"/>
    </w:pPr>
    <w:rPr>
      <w:rFonts w:ascii="宋体" w:hAnsi="宋体"/>
      <w:kern w:val="0"/>
      <w:sz w:val="24"/>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Char"/>
    <w:basedOn w:val="1"/>
    <w:link w:val="21"/>
    <w:qFormat/>
    <w:uiPriority w:val="0"/>
    <w:rPr>
      <w:rFonts w:eastAsia="方正仿宋简体"/>
      <w:sz w:val="32"/>
      <w:szCs w:val="21"/>
    </w:rPr>
  </w:style>
  <w:style w:type="character" w:styleId="23">
    <w:name w:val="annotation reference"/>
    <w:basedOn w:val="21"/>
    <w:semiHidden/>
    <w:qFormat/>
    <w:uiPriority w:val="0"/>
    <w:rPr>
      <w:sz w:val="21"/>
      <w:szCs w:val="21"/>
    </w:rPr>
  </w:style>
  <w:style w:type="paragraph" w:customStyle="1" w:styleId="24">
    <w:name w:val="xl53"/>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kern w:val="0"/>
      <w:sz w:val="28"/>
      <w:szCs w:val="28"/>
    </w:rPr>
  </w:style>
  <w:style w:type="paragraph" w:customStyle="1" w:styleId="25">
    <w:name w:val="表格"/>
    <w:basedOn w:val="1"/>
    <w:qFormat/>
    <w:uiPriority w:val="0"/>
    <w:pPr>
      <w:widowControl/>
      <w:snapToGrid w:val="0"/>
      <w:jc w:val="center"/>
    </w:pPr>
    <w:rPr>
      <w:kern w:val="0"/>
    </w:rPr>
  </w:style>
  <w:style w:type="paragraph" w:customStyle="1" w:styleId="26">
    <w:name w:val="简单回函地址"/>
    <w:basedOn w:val="1"/>
    <w:qFormat/>
    <w:uiPriority w:val="0"/>
  </w:style>
  <w:style w:type="paragraph" w:customStyle="1" w:styleId="27">
    <w:name w:val="居中"/>
    <w:basedOn w:val="1"/>
    <w:qFormat/>
    <w:uiPriority w:val="0"/>
    <w:pPr>
      <w:jc w:val="center"/>
    </w:pPr>
    <w:rPr>
      <w:rFonts w:ascii="宋体" w:hAnsi="宋体"/>
      <w:color w:val="000000"/>
      <w:sz w:val="21"/>
    </w:rPr>
  </w:style>
  <w:style w:type="character" w:customStyle="1" w:styleId="28">
    <w:name w:val="zw1"/>
    <w:basedOn w:val="21"/>
    <w:qFormat/>
    <w:uiPriority w:val="0"/>
    <w:rPr>
      <w:rFonts w:hint="eastAsia" w:ascii="宋体" w:hAnsi="宋体" w:eastAsia="宋体"/>
      <w:sz w:val="22"/>
      <w:szCs w:val="22"/>
    </w:rPr>
  </w:style>
  <w:style w:type="character" w:customStyle="1" w:styleId="29">
    <w:name w:val="正文1"/>
    <w:basedOn w:val="21"/>
    <w:qFormat/>
    <w:uiPriority w:val="0"/>
    <w:rPr>
      <w:rFonts w:hint="eastAsia" w:ascii="宋体" w:hAnsi="宋体" w:eastAsia="宋体"/>
      <w:sz w:val="22"/>
      <w:szCs w:val="22"/>
    </w:rPr>
  </w:style>
  <w:style w:type="paragraph" w:customStyle="1" w:styleId="30">
    <w:name w:val="Body text|2"/>
    <w:basedOn w:val="1"/>
    <w:qFormat/>
    <w:uiPriority w:val="0"/>
    <w:pPr>
      <w:widowControl w:val="0"/>
      <w:shd w:val="clear" w:color="auto" w:fill="FFFFFF"/>
      <w:spacing w:line="242" w:lineRule="exact"/>
    </w:pPr>
    <w:rPr>
      <w:rFonts w:ascii="PMingLiU" w:hAnsi="PMingLiU" w:eastAsia="PMingLiU" w:cs="PMingLiU"/>
      <w:sz w:val="13"/>
      <w:szCs w:val="13"/>
      <w:u w:val="none"/>
    </w:rPr>
  </w:style>
  <w:style w:type="character" w:customStyle="1" w:styleId="31">
    <w:name w:val="页脚 Char"/>
    <w:link w:val="13"/>
    <w:qFormat/>
    <w:uiPriority w:val="99"/>
    <w:rPr>
      <w:sz w:val="18"/>
    </w:rPr>
  </w:style>
  <w:style w:type="paragraph" w:customStyle="1" w:styleId="32">
    <w:name w:val="【表头】"/>
    <w:basedOn w:val="1"/>
    <w:qFormat/>
    <w:uiPriority w:val="0"/>
    <w:pPr>
      <w:spacing w:line="360" w:lineRule="auto"/>
      <w:jc w:val="center"/>
    </w:pPr>
    <w:rPr>
      <w:b/>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2018-03-12T10:48:00Z</dcterms:created>
  <dc:creator>1111</dc:creator>
  <cp:lastModifiedBy>1111</cp:lastModifiedBy>
  <cp:lastPrinted>2019-05-14T01:57:00Z</cp:lastPrinted>
  <dcterms:modified xsi:type="dcterms:W3CDTF">2019-05-24T04:27:12Z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