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1044"/>
        <w:jc w:val="right"/>
        <w:rPr>
          <w:rFonts w:hint="eastAsia"/>
          <w:b/>
          <w:color w:val="auto"/>
          <w:sz w:val="28"/>
          <w:szCs w:val="28"/>
        </w:rPr>
      </w:pPr>
      <w:bookmarkStart w:id="0" w:name="_Toc19720"/>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spacing w:line="360" w:lineRule="auto"/>
        <w:jc w:val="center"/>
        <w:rPr>
          <w:rFonts w:hint="eastAsia" w:ascii="宋体" w:hAnsi="宋体" w:eastAsia="宋体"/>
          <w:b/>
          <w:bCs/>
          <w:caps/>
          <w:color w:val="auto"/>
          <w:sz w:val="48"/>
          <w:szCs w:val="48"/>
          <w:lang w:eastAsia="zh-CN"/>
        </w:rPr>
      </w:pPr>
      <w:r>
        <w:rPr>
          <w:rFonts w:hint="eastAsia" w:ascii="宋体" w:hAnsi="宋体"/>
          <w:b/>
          <w:bCs/>
          <w:caps/>
          <w:color w:val="auto"/>
          <w:sz w:val="48"/>
          <w:szCs w:val="48"/>
          <w:lang w:eastAsia="zh-CN"/>
        </w:rPr>
        <w:t>仪陇县三河镇宏发页岩砖厂</w:t>
      </w:r>
    </w:p>
    <w:p>
      <w:pPr>
        <w:spacing w:line="360" w:lineRule="auto"/>
        <w:jc w:val="center"/>
        <w:rPr>
          <w:rFonts w:hint="eastAsia" w:ascii="宋体" w:hAnsi="宋体"/>
          <w:b/>
          <w:bCs/>
          <w:caps/>
          <w:color w:val="auto"/>
          <w:sz w:val="48"/>
          <w:szCs w:val="48"/>
        </w:rPr>
      </w:pPr>
    </w:p>
    <w:p>
      <w:pPr>
        <w:spacing w:line="360" w:lineRule="auto"/>
        <w:jc w:val="center"/>
        <w:rPr>
          <w:rFonts w:hint="eastAsia" w:ascii="宋体" w:hAnsi="宋体"/>
          <w:b/>
          <w:bCs/>
          <w:caps/>
          <w:color w:val="auto"/>
          <w:sz w:val="48"/>
          <w:szCs w:val="48"/>
          <w:lang w:eastAsia="zh-CN"/>
        </w:rPr>
      </w:pPr>
      <w:r>
        <w:rPr>
          <w:rFonts w:hint="eastAsia" w:ascii="宋体" w:hAnsi="宋体"/>
          <w:b/>
          <w:bCs/>
          <w:caps/>
          <w:color w:val="auto"/>
          <w:sz w:val="48"/>
          <w:szCs w:val="48"/>
          <w:lang w:eastAsia="zh-CN"/>
        </w:rPr>
        <w:tab/>
      </w:r>
      <w:r>
        <w:rPr>
          <w:rFonts w:hint="eastAsia" w:ascii="宋体" w:hAnsi="宋体"/>
          <w:b/>
          <w:bCs/>
          <w:caps/>
          <w:color w:val="auto"/>
          <w:sz w:val="48"/>
          <w:szCs w:val="48"/>
          <w:lang w:eastAsia="zh-CN"/>
        </w:rPr>
        <w:t>事故风险评估报告</w:t>
      </w:r>
      <w:r>
        <w:rPr>
          <w:rFonts w:hint="eastAsia" w:ascii="宋体" w:hAnsi="宋体"/>
          <w:b/>
          <w:bCs/>
          <w:caps/>
          <w:color w:val="auto"/>
          <w:sz w:val="48"/>
          <w:szCs w:val="48"/>
          <w:lang w:eastAsia="zh-CN"/>
        </w:rPr>
        <w:tab/>
      </w:r>
    </w:p>
    <w:p>
      <w:pPr>
        <w:jc w:val="center"/>
        <w:rPr>
          <w:rFonts w:hint="eastAsia"/>
          <w:color w:val="auto"/>
          <w:sz w:val="32"/>
          <w:szCs w:val="32"/>
        </w:rPr>
      </w:pPr>
    </w:p>
    <w:p>
      <w:pPr>
        <w:jc w:val="center"/>
        <w:rPr>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tbl>
      <w:tblPr>
        <w:tblStyle w:val="19"/>
        <w:tblW w:w="8137" w:type="dxa"/>
        <w:jc w:val="center"/>
        <w:tblInd w:w="0" w:type="dxa"/>
        <w:tblLayout w:type="fixed"/>
        <w:tblCellMar>
          <w:top w:w="0" w:type="dxa"/>
          <w:left w:w="108" w:type="dxa"/>
          <w:bottom w:w="0" w:type="dxa"/>
          <w:right w:w="108" w:type="dxa"/>
        </w:tblCellMar>
      </w:tblPr>
      <w:tblGrid>
        <w:gridCol w:w="8137"/>
      </w:tblGrid>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编制单位：</w:t>
            </w:r>
            <w:r>
              <w:rPr>
                <w:rFonts w:hint="eastAsia" w:eastAsia="黑体"/>
                <w:b/>
                <w:bCs/>
                <w:color w:val="auto"/>
                <w:sz w:val="36"/>
                <w:szCs w:val="36"/>
                <w:lang w:eastAsia="zh-CN"/>
              </w:rPr>
              <w:t>仪陇县三河镇宏发页岩砖厂</w:t>
            </w:r>
          </w:p>
        </w:tc>
      </w:tr>
      <w:tr>
        <w:tblPrEx>
          <w:tblLayout w:type="fixed"/>
          <w:tblCellMar>
            <w:top w:w="0" w:type="dxa"/>
            <w:left w:w="108" w:type="dxa"/>
            <w:bottom w:w="0" w:type="dxa"/>
            <w:right w:w="108" w:type="dxa"/>
          </w:tblCellMar>
        </w:tblPrEx>
        <w:trPr>
          <w:jc w:val="center"/>
        </w:trPr>
        <w:tc>
          <w:tcPr>
            <w:tcW w:w="8137" w:type="dxa"/>
            <w:vAlign w:val="center"/>
          </w:tcPr>
          <w:p>
            <w:pPr>
              <w:ind w:firstLine="720"/>
              <w:rPr>
                <w:rFonts w:hint="eastAsia" w:eastAsia="黑体"/>
                <w:bCs/>
                <w:color w:val="auto"/>
                <w:sz w:val="36"/>
                <w:szCs w:val="36"/>
              </w:rPr>
            </w:pPr>
          </w:p>
        </w:tc>
      </w:tr>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编制时间：201</w:t>
            </w:r>
            <w:r>
              <w:rPr>
                <w:rFonts w:hint="eastAsia" w:eastAsia="黑体"/>
                <w:bCs/>
                <w:color w:val="auto"/>
                <w:sz w:val="36"/>
                <w:szCs w:val="36"/>
                <w:lang w:val="en-US" w:eastAsia="zh-CN"/>
              </w:rPr>
              <w:t>9</w:t>
            </w:r>
            <w:r>
              <w:rPr>
                <w:rFonts w:hint="eastAsia" w:eastAsia="黑体"/>
                <w:bCs/>
                <w:color w:val="auto"/>
                <w:sz w:val="36"/>
                <w:szCs w:val="36"/>
              </w:rPr>
              <w:t>年</w:t>
            </w:r>
            <w:r>
              <w:rPr>
                <w:rFonts w:hint="eastAsia" w:eastAsia="黑体"/>
                <w:bCs/>
                <w:color w:val="auto"/>
                <w:sz w:val="36"/>
                <w:szCs w:val="36"/>
                <w:lang w:val="en-US" w:eastAsia="zh-CN"/>
              </w:rPr>
              <w:t>04</w:t>
            </w:r>
            <w:r>
              <w:rPr>
                <w:rFonts w:hint="eastAsia" w:eastAsia="黑体"/>
                <w:bCs/>
                <w:color w:val="auto"/>
                <w:sz w:val="36"/>
                <w:szCs w:val="36"/>
              </w:rPr>
              <w:t>月</w:t>
            </w:r>
            <w:r>
              <w:rPr>
                <w:rFonts w:hint="eastAsia" w:eastAsia="黑体"/>
                <w:bCs/>
                <w:color w:val="auto"/>
                <w:sz w:val="36"/>
                <w:szCs w:val="36"/>
                <w:lang w:val="en-US" w:eastAsia="zh-CN"/>
              </w:rPr>
              <w:t>25</w:t>
            </w:r>
            <w:r>
              <w:rPr>
                <w:rFonts w:hint="eastAsia" w:eastAsia="黑体"/>
                <w:bCs/>
                <w:color w:val="auto"/>
                <w:sz w:val="36"/>
                <w:szCs w:val="36"/>
              </w:rPr>
              <w:t>日</w:t>
            </w:r>
          </w:p>
        </w:tc>
      </w:tr>
    </w:tbl>
    <w:p>
      <w:pPr>
        <w:jc w:val="center"/>
        <w:rPr>
          <w:rFonts w:hint="eastAsia"/>
          <w:color w:val="auto"/>
          <w:sz w:val="32"/>
          <w:szCs w:val="32"/>
        </w:rPr>
      </w:pPr>
    </w:p>
    <w:p>
      <w:pPr>
        <w:widowControl/>
        <w:spacing w:line="560" w:lineRule="exact"/>
        <w:jc w:val="left"/>
        <w:outlineLvl w:val="2"/>
        <w:rPr>
          <w:rFonts w:hint="eastAsia" w:ascii="宋体" w:hAnsi="宋体" w:cs="宋体"/>
          <w:b/>
          <w:bCs/>
          <w:color w:val="auto"/>
          <w:kern w:val="0"/>
          <w:sz w:val="28"/>
          <w:szCs w:val="28"/>
        </w:rPr>
      </w:pPr>
    </w:p>
    <w:p>
      <w:pPr>
        <w:rPr>
          <w:rFonts w:hint="eastAsia"/>
          <w:color w:val="auto"/>
        </w:rPr>
      </w:pPr>
      <w:bookmarkStart w:id="1" w:name="_Toc481937753"/>
      <w:bookmarkStart w:id="2" w:name="_Toc486865993"/>
      <w:bookmarkStart w:id="3" w:name="_Toc490472469"/>
      <w:bookmarkStart w:id="4" w:name="_Toc1966"/>
      <w:bookmarkStart w:id="5" w:name="_Toc489891867"/>
      <w:r>
        <w:rPr>
          <w:rFonts w:hint="eastAsia"/>
          <w:color w:val="auto"/>
        </w:rPr>
        <w:br w:type="page"/>
      </w:r>
    </w:p>
    <w:p>
      <w:pPr>
        <w:pStyle w:val="4"/>
        <w:spacing w:line="360" w:lineRule="auto"/>
        <w:rPr>
          <w:rFonts w:hint="eastAsia"/>
          <w:color w:val="auto"/>
        </w:rPr>
      </w:pPr>
      <w:bookmarkStart w:id="6" w:name="_Toc10859"/>
      <w:bookmarkStart w:id="7" w:name="_Toc2372"/>
      <w:bookmarkStart w:id="8" w:name="_Toc17105"/>
      <w:bookmarkStart w:id="9" w:name="_Toc28211"/>
      <w:bookmarkStart w:id="10" w:name="_Toc7658"/>
      <w:bookmarkStart w:id="11" w:name="_Toc5540"/>
      <w:bookmarkStart w:id="12" w:name="_Toc27599"/>
      <w:bookmarkStart w:id="13" w:name="_Toc6757"/>
      <w:bookmarkStart w:id="14" w:name="_Toc27937"/>
      <w:bookmarkStart w:id="15" w:name="_Toc27726"/>
      <w:bookmarkStart w:id="16" w:name="_Toc29638"/>
      <w:bookmarkStart w:id="17" w:name="_Toc21634"/>
      <w:bookmarkStart w:id="18" w:name="_Toc30139"/>
      <w:bookmarkStart w:id="19" w:name="_Toc32726"/>
      <w:r>
        <w:rPr>
          <w:rFonts w:hint="eastAsia"/>
          <w:color w:val="auto"/>
        </w:rPr>
        <w:t>目</w:t>
      </w:r>
      <w:r>
        <w:rPr>
          <w:rFonts w:hint="eastAsia"/>
          <w:color w:val="auto"/>
          <w:lang w:val="en-US" w:eastAsia="zh-CN"/>
        </w:rPr>
        <w:t xml:space="preserve">  </w:t>
      </w:r>
      <w:r>
        <w:rPr>
          <w:rFonts w:hint="eastAsia"/>
          <w:color w:val="auto"/>
        </w:rPr>
        <w:t>录</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pPr>
        <w:pStyle w:val="15"/>
        <w:tabs>
          <w:tab w:val="right" w:leader="dot" w:pos="9638"/>
        </w:tabs>
        <w:spacing w:line="360" w:lineRule="auto"/>
        <w:rPr>
          <w:rFonts w:ascii="宋体" w:hAnsi="宋体"/>
          <w:color w:val="auto"/>
          <w:sz w:val="24"/>
        </w:rPr>
      </w:pPr>
    </w:p>
    <w:p>
      <w:pPr>
        <w:pStyle w:val="15"/>
        <w:tabs>
          <w:tab w:val="right" w:leader="dot" w:pos="8306"/>
        </w:tabs>
      </w:pPr>
      <w:r>
        <w:rPr>
          <w:rFonts w:hint="eastAsia" w:asciiTheme="minorEastAsia" w:hAnsiTheme="minorEastAsia" w:eastAsiaTheme="minorEastAsia" w:cstheme="minorEastAsia"/>
          <w:color w:val="auto"/>
          <w:sz w:val="21"/>
          <w:szCs w:val="21"/>
        </w:rPr>
        <w:fldChar w:fldCharType="begin"/>
      </w:r>
      <w:r>
        <w:rPr>
          <w:rFonts w:hint="eastAsia" w:asciiTheme="minorEastAsia" w:hAnsiTheme="minorEastAsia" w:eastAsiaTheme="minorEastAsia" w:cstheme="minorEastAsia"/>
          <w:color w:val="auto"/>
          <w:sz w:val="21"/>
          <w:szCs w:val="21"/>
        </w:rPr>
        <w:instrText xml:space="preserve"> TOC \o "1-3" \h \z \u </w:instrText>
      </w:r>
      <w:r>
        <w:rPr>
          <w:rFonts w:hint="eastAsia" w:asciiTheme="minorEastAsia" w:hAnsiTheme="minorEastAsia" w:eastAsiaTheme="minorEastAsia" w:cstheme="minorEastAsia"/>
          <w:color w:val="auto"/>
          <w:sz w:val="21"/>
          <w:szCs w:val="21"/>
        </w:rPr>
        <w:fldChar w:fldCharType="separate"/>
      </w: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_Toc5845 </w:instrText>
      </w:r>
      <w:r>
        <w:rPr>
          <w:rFonts w:hint="eastAsia" w:asciiTheme="minorEastAsia" w:hAnsiTheme="minorEastAsia" w:eastAsiaTheme="minorEastAsia" w:cstheme="minorEastAsia"/>
          <w:szCs w:val="21"/>
        </w:rPr>
        <w:fldChar w:fldCharType="separate"/>
      </w:r>
      <w:r>
        <w:rPr>
          <w:rFonts w:hint="eastAsia" w:ascii="黑体" w:hAnsi="宋体" w:eastAsia="黑体"/>
          <w:szCs w:val="32"/>
        </w:rPr>
        <w:t>1概述</w:t>
      </w:r>
      <w:r>
        <w:tab/>
      </w:r>
      <w:r>
        <w:fldChar w:fldCharType="begin"/>
      </w:r>
      <w:r>
        <w:instrText xml:space="preserve"> PAGEREF _Toc5845 </w:instrText>
      </w:r>
      <w:r>
        <w:fldChar w:fldCharType="separate"/>
      </w:r>
      <w:r>
        <w:t>1</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_Toc733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rPr>
        <w:t>1.1评估的主要依据</w:t>
      </w:r>
      <w:r>
        <w:tab/>
      </w:r>
      <w:r>
        <w:fldChar w:fldCharType="begin"/>
      </w:r>
      <w:r>
        <w:instrText xml:space="preserve"> PAGEREF _Toc733 </w:instrText>
      </w:r>
      <w:r>
        <w:fldChar w:fldCharType="separate"/>
      </w:r>
      <w:r>
        <w:t>1</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_Toc14299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en-US" w:eastAsia="zh-CN"/>
        </w:rPr>
        <w:t>1.2评估目的</w:t>
      </w:r>
      <w:r>
        <w:tab/>
      </w:r>
      <w:r>
        <w:fldChar w:fldCharType="begin"/>
      </w:r>
      <w:r>
        <w:instrText xml:space="preserve"> PAGEREF _Toc14299 </w:instrText>
      </w:r>
      <w:r>
        <w:fldChar w:fldCharType="separate"/>
      </w:r>
      <w:r>
        <w:t>3</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_Toc14801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en-US" w:eastAsia="zh-CN"/>
        </w:rPr>
        <w:t>1.3风险评估范围</w:t>
      </w:r>
      <w:r>
        <w:tab/>
      </w:r>
      <w:r>
        <w:fldChar w:fldCharType="begin"/>
      </w:r>
      <w:r>
        <w:instrText xml:space="preserve"> PAGEREF _Toc14801 </w:instrText>
      </w:r>
      <w:r>
        <w:fldChar w:fldCharType="separate"/>
      </w:r>
      <w:r>
        <w:t>3</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_Toc27790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rPr>
        <w:t>1.4评估程序</w:t>
      </w:r>
      <w:r>
        <w:tab/>
      </w:r>
      <w:r>
        <w:fldChar w:fldCharType="begin"/>
      </w:r>
      <w:r>
        <w:instrText xml:space="preserve"> PAGEREF _Toc27790 </w:instrText>
      </w:r>
      <w:r>
        <w:fldChar w:fldCharType="separate"/>
      </w:r>
      <w:r>
        <w:t>3</w:t>
      </w:r>
      <w: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_Toc6185 </w:instrText>
      </w:r>
      <w:r>
        <w:rPr>
          <w:rFonts w:hint="eastAsia" w:asciiTheme="minorEastAsia" w:hAnsiTheme="minorEastAsia" w:eastAsiaTheme="minorEastAsia" w:cstheme="minorEastAsia"/>
          <w:szCs w:val="21"/>
        </w:rPr>
        <w:fldChar w:fldCharType="separate"/>
      </w:r>
      <w:r>
        <w:rPr>
          <w:rFonts w:hint="eastAsia" w:ascii="黑体" w:hAnsi="宋体" w:eastAsia="黑体"/>
          <w:szCs w:val="32"/>
          <w:lang w:val="en-US" w:eastAsia="zh-CN"/>
        </w:rPr>
        <w:t>2</w:t>
      </w:r>
      <w:r>
        <w:rPr>
          <w:rFonts w:hint="eastAsia" w:ascii="黑体" w:hAnsi="宋体" w:eastAsia="黑体"/>
          <w:szCs w:val="32"/>
        </w:rPr>
        <w:t>公司概况</w:t>
      </w:r>
      <w:r>
        <w:tab/>
      </w:r>
      <w:r>
        <w:fldChar w:fldCharType="begin"/>
      </w:r>
      <w:r>
        <w:instrText xml:space="preserve"> PAGEREF _Toc6185 </w:instrText>
      </w:r>
      <w:r>
        <w:fldChar w:fldCharType="separate"/>
      </w:r>
      <w:r>
        <w:t>4</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_Toc16595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rPr>
        <w:t>2.1 公司概况</w:t>
      </w:r>
      <w:r>
        <w:tab/>
      </w:r>
      <w:r>
        <w:fldChar w:fldCharType="begin"/>
      </w:r>
      <w:r>
        <w:instrText xml:space="preserve"> PAGEREF _Toc16595 </w:instrText>
      </w:r>
      <w:r>
        <w:fldChar w:fldCharType="separate"/>
      </w:r>
      <w:r>
        <w:t>4</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_Toc8079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rPr>
        <w:t>2.</w:t>
      </w:r>
      <w:r>
        <w:rPr>
          <w:rFonts w:hint="eastAsia" w:ascii="宋体" w:hAnsi="宋体" w:eastAsia="宋体" w:cs="宋体"/>
          <w:szCs w:val="28"/>
          <w:lang w:val="en-US" w:eastAsia="zh-CN"/>
        </w:rPr>
        <w:t>1.1</w:t>
      </w:r>
      <w:r>
        <w:rPr>
          <w:rFonts w:hint="eastAsia" w:ascii="宋体" w:hAnsi="宋体" w:eastAsia="宋体" w:cs="宋体"/>
          <w:szCs w:val="28"/>
        </w:rPr>
        <w:t>公司地理位置及环境等情况</w:t>
      </w:r>
      <w:r>
        <w:tab/>
      </w:r>
      <w:r>
        <w:fldChar w:fldCharType="begin"/>
      </w:r>
      <w:r>
        <w:instrText xml:space="preserve"> PAGEREF _Toc8079 </w:instrText>
      </w:r>
      <w:r>
        <w:fldChar w:fldCharType="separate"/>
      </w:r>
      <w:r>
        <w:t>4</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_Toc10145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2.1.</w:t>
      </w:r>
      <w:r>
        <w:rPr>
          <w:rFonts w:hint="eastAsia" w:ascii="宋体" w:hAnsi="宋体" w:eastAsia="宋体" w:cs="宋体"/>
          <w:szCs w:val="28"/>
          <w:lang w:val="en-US" w:eastAsia="zh-CN"/>
        </w:rPr>
        <w:t>2</w:t>
      </w:r>
      <w:r>
        <w:rPr>
          <w:rFonts w:hint="eastAsia" w:ascii="宋体" w:hAnsi="宋体" w:eastAsia="宋体" w:cs="宋体"/>
          <w:szCs w:val="28"/>
          <w:lang w:val="zh-CN"/>
        </w:rPr>
        <w:t>总体布置</w:t>
      </w:r>
      <w:r>
        <w:tab/>
      </w:r>
      <w:r>
        <w:fldChar w:fldCharType="begin"/>
      </w:r>
      <w:r>
        <w:instrText xml:space="preserve"> PAGEREF _Toc10145 </w:instrText>
      </w:r>
      <w:r>
        <w:fldChar w:fldCharType="separate"/>
      </w:r>
      <w:r>
        <w:t>5</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_Toc22345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w:t>
      </w:r>
      <w:r>
        <w:rPr>
          <w:rFonts w:hint="eastAsia" w:ascii="宋体" w:hAnsi="宋体" w:eastAsia="宋体" w:cs="宋体"/>
          <w:szCs w:val="28"/>
        </w:rPr>
        <w:t>1.</w:t>
      </w:r>
      <w:r>
        <w:rPr>
          <w:rFonts w:hint="eastAsia" w:ascii="宋体" w:hAnsi="宋体" w:eastAsia="宋体" w:cs="宋体"/>
          <w:szCs w:val="28"/>
          <w:lang w:val="en-US" w:eastAsia="zh-CN"/>
        </w:rPr>
        <w:t>3</w:t>
      </w:r>
      <w:r>
        <w:rPr>
          <w:rFonts w:hint="eastAsia" w:ascii="宋体" w:hAnsi="宋体" w:eastAsia="宋体" w:cs="宋体"/>
          <w:szCs w:val="28"/>
          <w:lang w:val="zh-CN"/>
        </w:rPr>
        <w:t>周边环境</w:t>
      </w:r>
      <w:r>
        <w:tab/>
      </w:r>
      <w:r>
        <w:fldChar w:fldCharType="begin"/>
      </w:r>
      <w:r>
        <w:instrText xml:space="preserve"> PAGEREF _Toc22345 </w:instrText>
      </w:r>
      <w:r>
        <w:fldChar w:fldCharType="separate"/>
      </w:r>
      <w:r>
        <w:t>7</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_Toc4770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2.1.</w:t>
      </w:r>
      <w:r>
        <w:rPr>
          <w:rFonts w:hint="eastAsia" w:ascii="宋体" w:hAnsi="宋体" w:eastAsia="宋体" w:cs="宋体"/>
          <w:szCs w:val="28"/>
          <w:lang w:val="en-US" w:eastAsia="zh-CN"/>
        </w:rPr>
        <w:t>4</w:t>
      </w:r>
      <w:r>
        <w:rPr>
          <w:rFonts w:hint="eastAsia" w:ascii="宋体" w:hAnsi="宋体" w:eastAsia="宋体" w:cs="宋体"/>
          <w:szCs w:val="28"/>
          <w:lang w:val="zh-CN"/>
        </w:rPr>
        <w:t>工艺流程</w:t>
      </w:r>
      <w:r>
        <w:tab/>
      </w:r>
      <w:r>
        <w:fldChar w:fldCharType="begin"/>
      </w:r>
      <w:r>
        <w:instrText xml:space="preserve"> PAGEREF _Toc4770 </w:instrText>
      </w:r>
      <w:r>
        <w:fldChar w:fldCharType="separate"/>
      </w:r>
      <w:r>
        <w:t>7</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_Toc23509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2.1.</w:t>
      </w:r>
      <w:r>
        <w:rPr>
          <w:rFonts w:hint="eastAsia" w:ascii="宋体" w:hAnsi="宋体" w:eastAsia="宋体" w:cs="宋体"/>
          <w:szCs w:val="28"/>
          <w:lang w:val="en-US" w:eastAsia="zh-CN"/>
        </w:rPr>
        <w:t>5</w:t>
      </w:r>
      <w:r>
        <w:rPr>
          <w:rFonts w:hint="eastAsia" w:ascii="宋体" w:hAnsi="宋体" w:eastAsia="宋体" w:cs="宋体"/>
          <w:bCs/>
          <w:i w:val="0"/>
          <w:iCs w:val="0"/>
          <w:szCs w:val="28"/>
        </w:rPr>
        <w:t>主要生产设备情况</w:t>
      </w:r>
      <w:r>
        <w:tab/>
      </w:r>
      <w:r>
        <w:fldChar w:fldCharType="begin"/>
      </w:r>
      <w:r>
        <w:instrText xml:space="preserve"> PAGEREF _Toc23509 </w:instrText>
      </w:r>
      <w:r>
        <w:fldChar w:fldCharType="separate"/>
      </w:r>
      <w:r>
        <w:t>10</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_Toc16373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rPr>
        <w:t>2.</w:t>
      </w:r>
      <w:r>
        <w:rPr>
          <w:rFonts w:hint="eastAsia" w:ascii="宋体" w:hAnsi="宋体" w:eastAsia="宋体" w:cs="宋体"/>
          <w:szCs w:val="28"/>
          <w:lang w:val="en-US" w:eastAsia="zh-CN"/>
        </w:rPr>
        <w:t>2</w:t>
      </w:r>
      <w:r>
        <w:rPr>
          <w:rFonts w:hint="eastAsia" w:ascii="宋体" w:hAnsi="宋体" w:eastAsia="宋体" w:cs="宋体"/>
          <w:szCs w:val="28"/>
        </w:rPr>
        <w:t>各方应急力量有关基本情况</w:t>
      </w:r>
      <w:r>
        <w:tab/>
      </w:r>
      <w:r>
        <w:fldChar w:fldCharType="begin"/>
      </w:r>
      <w:r>
        <w:instrText xml:space="preserve"> PAGEREF _Toc16373 </w:instrText>
      </w:r>
      <w:r>
        <w:fldChar w:fldCharType="separate"/>
      </w:r>
      <w:r>
        <w:t>10</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_Toc31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w:t>
      </w:r>
      <w:r>
        <w:rPr>
          <w:rFonts w:hint="eastAsia" w:ascii="宋体" w:hAnsi="宋体" w:eastAsia="宋体" w:cs="宋体"/>
          <w:szCs w:val="28"/>
          <w:lang w:val="en-US" w:eastAsia="zh-CN"/>
        </w:rPr>
        <w:t>2</w:t>
      </w:r>
      <w:r>
        <w:rPr>
          <w:rFonts w:hint="eastAsia" w:ascii="宋体" w:hAnsi="宋体" w:eastAsia="宋体" w:cs="宋体"/>
          <w:szCs w:val="28"/>
          <w:lang w:val="zh-CN"/>
        </w:rPr>
        <w:t>.1内部应急力量</w:t>
      </w:r>
      <w:r>
        <w:tab/>
      </w:r>
      <w:r>
        <w:fldChar w:fldCharType="begin"/>
      </w:r>
      <w:r>
        <w:instrText xml:space="preserve"> PAGEREF _Toc31 </w:instrText>
      </w:r>
      <w:r>
        <w:fldChar w:fldCharType="separate"/>
      </w:r>
      <w:r>
        <w:t>10</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_Toc14066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w:t>
      </w:r>
      <w:r>
        <w:rPr>
          <w:rFonts w:hint="eastAsia" w:ascii="宋体" w:hAnsi="宋体" w:eastAsia="宋体" w:cs="宋体"/>
          <w:szCs w:val="28"/>
          <w:lang w:val="en-US" w:eastAsia="zh-CN"/>
        </w:rPr>
        <w:t>2</w:t>
      </w:r>
      <w:r>
        <w:rPr>
          <w:rFonts w:hint="eastAsia" w:ascii="宋体" w:hAnsi="宋体" w:eastAsia="宋体" w:cs="宋体"/>
          <w:szCs w:val="28"/>
          <w:lang w:val="zh-CN"/>
        </w:rPr>
        <w:t>.</w:t>
      </w:r>
      <w:r>
        <w:rPr>
          <w:rFonts w:hint="eastAsia" w:ascii="宋体" w:hAnsi="宋体" w:eastAsia="宋体" w:cs="宋体"/>
          <w:szCs w:val="28"/>
          <w:lang w:val="en-US" w:eastAsia="zh-CN"/>
        </w:rPr>
        <w:t>2</w:t>
      </w:r>
      <w:r>
        <w:rPr>
          <w:rFonts w:hint="eastAsia" w:ascii="宋体" w:hAnsi="宋体" w:eastAsia="宋体" w:cs="宋体"/>
          <w:szCs w:val="28"/>
          <w:lang w:val="zh-CN"/>
        </w:rPr>
        <w:t>外部应急力量</w:t>
      </w:r>
      <w:r>
        <w:tab/>
      </w:r>
      <w:r>
        <w:fldChar w:fldCharType="begin"/>
      </w:r>
      <w:r>
        <w:instrText xml:space="preserve"> PAGEREF _Toc14066 </w:instrText>
      </w:r>
      <w:r>
        <w:fldChar w:fldCharType="separate"/>
      </w:r>
      <w:r>
        <w:t>11</w:t>
      </w:r>
      <w: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_Toc13750 </w:instrText>
      </w:r>
      <w:r>
        <w:rPr>
          <w:rFonts w:hint="eastAsia" w:asciiTheme="minorEastAsia" w:hAnsiTheme="minorEastAsia" w:eastAsiaTheme="minorEastAsia" w:cstheme="minorEastAsia"/>
          <w:szCs w:val="21"/>
        </w:rPr>
        <w:fldChar w:fldCharType="separate"/>
      </w:r>
      <w:r>
        <w:rPr>
          <w:rFonts w:hint="eastAsia" w:ascii="黑体" w:hAnsi="宋体" w:eastAsia="黑体"/>
          <w:szCs w:val="32"/>
          <w:lang w:val="en-US" w:eastAsia="zh-CN"/>
        </w:rPr>
        <w:t>3危险、有害因素辨识</w:t>
      </w:r>
      <w:r>
        <w:tab/>
      </w:r>
      <w:r>
        <w:fldChar w:fldCharType="begin"/>
      </w:r>
      <w:r>
        <w:instrText xml:space="preserve"> PAGEREF _Toc13750 </w:instrText>
      </w:r>
      <w:r>
        <w:fldChar w:fldCharType="separate"/>
      </w:r>
      <w:r>
        <w:t>13</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_Toc29728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1 危险、有害因素辨识的目的</w:t>
      </w:r>
      <w:r>
        <w:tab/>
      </w:r>
      <w:r>
        <w:fldChar w:fldCharType="begin"/>
      </w:r>
      <w:r>
        <w:instrText xml:space="preserve"> PAGEREF _Toc29728 </w:instrText>
      </w:r>
      <w:r>
        <w:fldChar w:fldCharType="separate"/>
      </w:r>
      <w:r>
        <w:t>13</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_Toc23410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2 危险、有害因素辨识的依据</w:t>
      </w:r>
      <w:r>
        <w:tab/>
      </w:r>
      <w:r>
        <w:fldChar w:fldCharType="begin"/>
      </w:r>
      <w:r>
        <w:instrText xml:space="preserve"> PAGEREF _Toc23410 </w:instrText>
      </w:r>
      <w:r>
        <w:fldChar w:fldCharType="separate"/>
      </w:r>
      <w:r>
        <w:t>13</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_Toc1466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3 危险、有害因素辨识的方法</w:t>
      </w:r>
      <w:r>
        <w:tab/>
      </w:r>
      <w:r>
        <w:fldChar w:fldCharType="begin"/>
      </w:r>
      <w:r>
        <w:instrText xml:space="preserve"> PAGEREF _Toc1466 </w:instrText>
      </w:r>
      <w:r>
        <w:fldChar w:fldCharType="separate"/>
      </w:r>
      <w:r>
        <w:t>13</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_Toc20061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4 主要危险、有害物质特性分析</w:t>
      </w:r>
      <w:r>
        <w:tab/>
      </w:r>
      <w:r>
        <w:fldChar w:fldCharType="begin"/>
      </w:r>
      <w:r>
        <w:instrText xml:space="preserve"> PAGEREF _Toc20061 </w:instrText>
      </w:r>
      <w:r>
        <w:fldChar w:fldCharType="separate"/>
      </w:r>
      <w:r>
        <w:t>14</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_Toc9587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4.1 煤</w:t>
      </w:r>
      <w:r>
        <w:tab/>
      </w:r>
      <w:r>
        <w:fldChar w:fldCharType="begin"/>
      </w:r>
      <w:r>
        <w:instrText xml:space="preserve"> PAGEREF _Toc9587 </w:instrText>
      </w:r>
      <w:r>
        <w:fldChar w:fldCharType="separate"/>
      </w:r>
      <w:r>
        <w:t>14</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_Toc14053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4.2 柴油</w:t>
      </w:r>
      <w:r>
        <w:tab/>
      </w:r>
      <w:r>
        <w:fldChar w:fldCharType="begin"/>
      </w:r>
      <w:r>
        <w:instrText xml:space="preserve"> PAGEREF _Toc14053 </w:instrText>
      </w:r>
      <w:r>
        <w:fldChar w:fldCharType="separate"/>
      </w:r>
      <w:r>
        <w:t>15</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_Toc353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4.3 一氧化碳</w:t>
      </w:r>
      <w:r>
        <w:tab/>
      </w:r>
      <w:r>
        <w:fldChar w:fldCharType="begin"/>
      </w:r>
      <w:r>
        <w:instrText xml:space="preserve"> PAGEREF _Toc353 </w:instrText>
      </w:r>
      <w:r>
        <w:fldChar w:fldCharType="separate"/>
      </w:r>
      <w:r>
        <w:t>15</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_Toc7329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4.4 二氧化碳</w:t>
      </w:r>
      <w:r>
        <w:tab/>
      </w:r>
      <w:r>
        <w:fldChar w:fldCharType="begin"/>
      </w:r>
      <w:r>
        <w:instrText xml:space="preserve"> PAGEREF _Toc7329 </w:instrText>
      </w:r>
      <w:r>
        <w:fldChar w:fldCharType="separate"/>
      </w:r>
      <w:r>
        <w:t>16</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_Toc13622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4.5 二氧化硫（三氧化硫参考）</w:t>
      </w:r>
      <w:r>
        <w:tab/>
      </w:r>
      <w:r>
        <w:fldChar w:fldCharType="begin"/>
      </w:r>
      <w:r>
        <w:instrText xml:space="preserve"> PAGEREF _Toc13622 </w:instrText>
      </w:r>
      <w:r>
        <w:fldChar w:fldCharType="separate"/>
      </w:r>
      <w:r>
        <w:t>16</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_Toc23850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3.4.6 柴油安全数据表</w:t>
      </w:r>
      <w:r>
        <w:tab/>
      </w:r>
      <w:r>
        <w:fldChar w:fldCharType="begin"/>
      </w:r>
      <w:r>
        <w:instrText xml:space="preserve"> PAGEREF _Toc23850 </w:instrText>
      </w:r>
      <w:r>
        <w:fldChar w:fldCharType="separate"/>
      </w:r>
      <w:r>
        <w:t>17</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_Toc15910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3.4.7 氧气安全数据表</w:t>
      </w:r>
      <w:r>
        <w:tab/>
      </w:r>
      <w:r>
        <w:fldChar w:fldCharType="begin"/>
      </w:r>
      <w:r>
        <w:instrText xml:space="preserve"> PAGEREF _Toc15910 </w:instrText>
      </w:r>
      <w:r>
        <w:fldChar w:fldCharType="separate"/>
      </w:r>
      <w:r>
        <w:t>18</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_Toc18138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3.4.8 乙炔安全数据表</w:t>
      </w:r>
      <w:r>
        <w:tab/>
      </w:r>
      <w:r>
        <w:fldChar w:fldCharType="begin"/>
      </w:r>
      <w:r>
        <w:instrText xml:space="preserve"> PAGEREF _Toc18138 </w:instrText>
      </w:r>
      <w:r>
        <w:fldChar w:fldCharType="separate"/>
      </w:r>
      <w:r>
        <w:t>19</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_Toc18228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rPr>
        <w:t>3.5 生产过程危险有害因素分析和辨识</w:t>
      </w:r>
      <w:r>
        <w:tab/>
      </w:r>
      <w:r>
        <w:fldChar w:fldCharType="begin"/>
      </w:r>
      <w:r>
        <w:instrText xml:space="preserve"> PAGEREF _Toc18228 </w:instrText>
      </w:r>
      <w:r>
        <w:fldChar w:fldCharType="separate"/>
      </w:r>
      <w:r>
        <w:t>21</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_Toc24179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5 生产过程危险有害因素分析和辨识</w:t>
      </w:r>
      <w:r>
        <w:tab/>
      </w:r>
      <w:r>
        <w:fldChar w:fldCharType="begin"/>
      </w:r>
      <w:r>
        <w:instrText xml:space="preserve"> PAGEREF _Toc24179 </w:instrText>
      </w:r>
      <w:r>
        <w:fldChar w:fldCharType="separate"/>
      </w:r>
      <w:r>
        <w:t>21</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_Toc22719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5.1 车辆事故</w:t>
      </w:r>
      <w:r>
        <w:tab/>
      </w:r>
      <w:r>
        <w:fldChar w:fldCharType="begin"/>
      </w:r>
      <w:r>
        <w:instrText xml:space="preserve"> PAGEREF _Toc22719 </w:instrText>
      </w:r>
      <w:r>
        <w:fldChar w:fldCharType="separate"/>
      </w:r>
      <w:r>
        <w:t>21</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_Toc20211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5.2 机械伤害</w:t>
      </w:r>
      <w:r>
        <w:tab/>
      </w:r>
      <w:r>
        <w:fldChar w:fldCharType="begin"/>
      </w:r>
      <w:r>
        <w:instrText xml:space="preserve"> PAGEREF _Toc20211 </w:instrText>
      </w:r>
      <w:r>
        <w:fldChar w:fldCharType="separate"/>
      </w:r>
      <w:r>
        <w:t>22</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_Toc3451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5.3</w:t>
      </w:r>
      <w:r>
        <w:rPr>
          <w:rFonts w:ascii="宋体" w:hAnsi="宋体"/>
          <w:snapToGrid w:val="0"/>
          <w:kern w:val="0"/>
          <w:szCs w:val="28"/>
        </w:rPr>
        <w:t xml:space="preserve"> 触电</w:t>
      </w:r>
      <w:r>
        <w:rPr>
          <w:rFonts w:hint="eastAsia" w:ascii="宋体" w:hAnsi="宋体"/>
          <w:snapToGrid w:val="0"/>
          <w:kern w:val="0"/>
          <w:szCs w:val="28"/>
        </w:rPr>
        <w:t>事故</w:t>
      </w:r>
      <w:r>
        <w:tab/>
      </w:r>
      <w:r>
        <w:fldChar w:fldCharType="begin"/>
      </w:r>
      <w:r>
        <w:instrText xml:space="preserve"> PAGEREF _Toc3451 </w:instrText>
      </w:r>
      <w:r>
        <w:fldChar w:fldCharType="separate"/>
      </w:r>
      <w:r>
        <w:t>23</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_Toc15657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5.4 高处坠落</w:t>
      </w:r>
      <w:r>
        <w:tab/>
      </w:r>
      <w:r>
        <w:fldChar w:fldCharType="begin"/>
      </w:r>
      <w:r>
        <w:instrText xml:space="preserve"> PAGEREF _Toc15657 </w:instrText>
      </w:r>
      <w:r>
        <w:fldChar w:fldCharType="separate"/>
      </w:r>
      <w:r>
        <w:t>23</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_Toc16448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w:t>
      </w:r>
      <w:r>
        <w:rPr>
          <w:rFonts w:ascii="宋体" w:hAnsi="宋体"/>
          <w:snapToGrid w:val="0"/>
          <w:kern w:val="0"/>
          <w:szCs w:val="28"/>
        </w:rPr>
        <w:t>.</w:t>
      </w:r>
      <w:r>
        <w:rPr>
          <w:rFonts w:hint="eastAsia" w:ascii="宋体" w:hAnsi="宋体"/>
          <w:snapToGrid w:val="0"/>
          <w:kern w:val="0"/>
          <w:szCs w:val="28"/>
        </w:rPr>
        <w:t>5</w:t>
      </w:r>
      <w:r>
        <w:rPr>
          <w:rFonts w:ascii="宋体" w:hAnsi="宋体"/>
          <w:snapToGrid w:val="0"/>
          <w:kern w:val="0"/>
          <w:szCs w:val="28"/>
        </w:rPr>
        <w:t xml:space="preserve"> 物体打击</w:t>
      </w:r>
      <w:r>
        <w:tab/>
      </w:r>
      <w:r>
        <w:fldChar w:fldCharType="begin"/>
      </w:r>
      <w:r>
        <w:instrText xml:space="preserve"> PAGEREF _Toc16448 </w:instrText>
      </w:r>
      <w:r>
        <w:fldChar w:fldCharType="separate"/>
      </w:r>
      <w:r>
        <w:t>24</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_Toc17601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5.6 火灾事故</w:t>
      </w:r>
      <w:r>
        <w:tab/>
      </w:r>
      <w:r>
        <w:fldChar w:fldCharType="begin"/>
      </w:r>
      <w:r>
        <w:instrText xml:space="preserve"> PAGEREF _Toc17601 </w:instrText>
      </w:r>
      <w:r>
        <w:fldChar w:fldCharType="separate"/>
      </w:r>
      <w:r>
        <w:t>25</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_Toc349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w:t>
      </w:r>
      <w:r>
        <w:rPr>
          <w:rFonts w:hint="eastAsia" w:ascii="宋体" w:hAnsi="宋体"/>
          <w:snapToGrid w:val="0"/>
          <w:kern w:val="0"/>
          <w:szCs w:val="28"/>
          <w:lang w:val="en-US" w:eastAsia="zh-CN"/>
        </w:rPr>
        <w:t>7 坍塌</w:t>
      </w:r>
      <w:r>
        <w:tab/>
      </w:r>
      <w:r>
        <w:fldChar w:fldCharType="begin"/>
      </w:r>
      <w:r>
        <w:instrText xml:space="preserve"> PAGEREF _Toc349 </w:instrText>
      </w:r>
      <w:r>
        <w:fldChar w:fldCharType="separate"/>
      </w:r>
      <w:r>
        <w:t>25</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_Toc21217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3.5.8中毒窒息</w:t>
      </w:r>
      <w:r>
        <w:tab/>
      </w:r>
      <w:r>
        <w:fldChar w:fldCharType="begin"/>
      </w:r>
      <w:r>
        <w:instrText xml:space="preserve"> PAGEREF _Toc21217 </w:instrText>
      </w:r>
      <w:r>
        <w:fldChar w:fldCharType="separate"/>
      </w:r>
      <w:r>
        <w:t>26</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_Toc22335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3.5.9高温灼烫</w:t>
      </w:r>
      <w:r>
        <w:tab/>
      </w:r>
      <w:r>
        <w:fldChar w:fldCharType="begin"/>
      </w:r>
      <w:r>
        <w:instrText xml:space="preserve"> PAGEREF _Toc22335 </w:instrText>
      </w:r>
      <w:r>
        <w:fldChar w:fldCharType="separate"/>
      </w:r>
      <w:r>
        <w:t>26</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_Toc29331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3.5.10容器爆炸</w:t>
      </w:r>
      <w:r>
        <w:tab/>
      </w:r>
      <w:r>
        <w:fldChar w:fldCharType="begin"/>
      </w:r>
      <w:r>
        <w:instrText xml:space="preserve"> PAGEREF _Toc29331 </w:instrText>
      </w:r>
      <w:r>
        <w:fldChar w:fldCharType="separate"/>
      </w:r>
      <w:r>
        <w:t>26</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_Toc11706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3.5.11有限空间作业</w:t>
      </w:r>
      <w:r>
        <w:tab/>
      </w:r>
      <w:r>
        <w:fldChar w:fldCharType="begin"/>
      </w:r>
      <w:r>
        <w:instrText xml:space="preserve"> PAGEREF _Toc11706 </w:instrText>
      </w:r>
      <w:r>
        <w:fldChar w:fldCharType="separate"/>
      </w:r>
      <w:r>
        <w:t>27</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_Toc396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w:t>
      </w:r>
      <w:r>
        <w:rPr>
          <w:rFonts w:ascii="宋体" w:hAnsi="宋体"/>
          <w:snapToGrid w:val="0"/>
          <w:kern w:val="0"/>
          <w:szCs w:val="28"/>
        </w:rPr>
        <w:t>.</w:t>
      </w:r>
      <w:r>
        <w:rPr>
          <w:rFonts w:hint="eastAsia" w:ascii="宋体" w:hAnsi="宋体"/>
          <w:snapToGrid w:val="0"/>
          <w:kern w:val="0"/>
          <w:szCs w:val="28"/>
          <w:lang w:val="en-US" w:eastAsia="zh-CN"/>
        </w:rPr>
        <w:t>12</w:t>
      </w:r>
      <w:r>
        <w:rPr>
          <w:rFonts w:ascii="宋体" w:hAnsi="宋体"/>
          <w:snapToGrid w:val="0"/>
          <w:kern w:val="0"/>
          <w:szCs w:val="28"/>
        </w:rPr>
        <w:t xml:space="preserve"> </w:t>
      </w:r>
      <w:r>
        <w:rPr>
          <w:rFonts w:hint="eastAsia" w:ascii="宋体" w:hAnsi="宋体"/>
          <w:snapToGrid w:val="0"/>
          <w:kern w:val="0"/>
          <w:szCs w:val="28"/>
        </w:rPr>
        <w:t>职业</w:t>
      </w:r>
      <w:r>
        <w:rPr>
          <w:rFonts w:ascii="宋体" w:hAnsi="宋体"/>
          <w:snapToGrid w:val="0"/>
          <w:kern w:val="0"/>
          <w:szCs w:val="28"/>
        </w:rPr>
        <w:t>危害</w:t>
      </w:r>
      <w:r>
        <w:rPr>
          <w:rFonts w:hint="eastAsia" w:ascii="宋体" w:hAnsi="宋体"/>
          <w:snapToGrid w:val="0"/>
          <w:kern w:val="0"/>
          <w:szCs w:val="28"/>
        </w:rPr>
        <w:t>因素</w:t>
      </w:r>
      <w:r>
        <w:tab/>
      </w:r>
      <w:r>
        <w:fldChar w:fldCharType="begin"/>
      </w:r>
      <w:r>
        <w:instrText xml:space="preserve"> PAGEREF _Toc396 </w:instrText>
      </w:r>
      <w:r>
        <w:fldChar w:fldCharType="separate"/>
      </w:r>
      <w:r>
        <w:t>28</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_Toc12342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3.5.13 自然灾害</w:t>
      </w:r>
      <w:r>
        <w:tab/>
      </w:r>
      <w:r>
        <w:fldChar w:fldCharType="begin"/>
      </w:r>
      <w:r>
        <w:instrText xml:space="preserve"> PAGEREF _Toc12342 </w:instrText>
      </w:r>
      <w:r>
        <w:fldChar w:fldCharType="separate"/>
      </w:r>
      <w:r>
        <w:t>29</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_Toc14347 </w:instrText>
      </w:r>
      <w:r>
        <w:rPr>
          <w:rFonts w:hint="eastAsia" w:asciiTheme="minorEastAsia" w:hAnsiTheme="minorEastAsia" w:eastAsiaTheme="minorEastAsia" w:cstheme="minorEastAsia"/>
          <w:szCs w:val="21"/>
        </w:rPr>
        <w:fldChar w:fldCharType="separate"/>
      </w:r>
      <w:r>
        <w:rPr>
          <w:rFonts w:hint="eastAsia" w:ascii="黑体" w:hAnsi="宋体" w:eastAsia="黑体"/>
          <w:snapToGrid w:val="0"/>
          <w:kern w:val="0"/>
          <w:szCs w:val="32"/>
          <w:lang w:val="en-US" w:eastAsia="zh-CN"/>
        </w:rPr>
        <w:t>3</w:t>
      </w:r>
      <w:r>
        <w:rPr>
          <w:rFonts w:hint="eastAsia" w:ascii="黑体" w:hAnsi="宋体" w:eastAsia="黑体"/>
          <w:snapToGrid w:val="0"/>
          <w:kern w:val="0"/>
          <w:szCs w:val="32"/>
          <w:lang w:eastAsia="zh-CN"/>
        </w:rPr>
        <w:t>.</w:t>
      </w:r>
      <w:r>
        <w:rPr>
          <w:rFonts w:hint="eastAsia" w:ascii="黑体" w:hAnsi="宋体" w:eastAsia="黑体"/>
          <w:snapToGrid w:val="0"/>
          <w:kern w:val="0"/>
          <w:szCs w:val="32"/>
        </w:rPr>
        <w:t>6 厂址安全条件的危险、有害因素辨识与分析</w:t>
      </w:r>
      <w:r>
        <w:tab/>
      </w:r>
      <w:r>
        <w:fldChar w:fldCharType="begin"/>
      </w:r>
      <w:r>
        <w:instrText xml:space="preserve"> PAGEREF _Toc14347 </w:instrText>
      </w:r>
      <w:r>
        <w:fldChar w:fldCharType="separate"/>
      </w:r>
      <w:r>
        <w:t>30</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_Toc28290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 xml:space="preserve">6.1 </w:t>
      </w:r>
      <w:r>
        <w:rPr>
          <w:rFonts w:hint="eastAsia" w:ascii="宋体" w:hAnsi="宋体"/>
          <w:snapToGrid w:val="0"/>
          <w:kern w:val="0"/>
          <w:szCs w:val="28"/>
          <w:lang w:eastAsia="zh-CN"/>
        </w:rPr>
        <w:t>公司</w:t>
      </w:r>
      <w:r>
        <w:rPr>
          <w:rFonts w:hint="eastAsia" w:ascii="宋体" w:hAnsi="宋体"/>
          <w:snapToGrid w:val="0"/>
          <w:kern w:val="0"/>
          <w:szCs w:val="28"/>
        </w:rPr>
        <w:t>对周边环境的影响分析</w:t>
      </w:r>
      <w:r>
        <w:tab/>
      </w:r>
      <w:r>
        <w:fldChar w:fldCharType="begin"/>
      </w:r>
      <w:r>
        <w:instrText xml:space="preserve"> PAGEREF _Toc28290 </w:instrText>
      </w:r>
      <w:r>
        <w:fldChar w:fldCharType="separate"/>
      </w:r>
      <w:r>
        <w:t>31</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_Toc1261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6.2 周边环境对</w:t>
      </w:r>
      <w:r>
        <w:rPr>
          <w:rFonts w:hint="eastAsia" w:ascii="宋体" w:hAnsi="宋体"/>
          <w:snapToGrid w:val="0"/>
          <w:kern w:val="0"/>
          <w:szCs w:val="28"/>
          <w:lang w:eastAsia="zh-CN"/>
        </w:rPr>
        <w:t>公司</w:t>
      </w:r>
      <w:r>
        <w:rPr>
          <w:rFonts w:hint="eastAsia" w:ascii="宋体" w:hAnsi="宋体"/>
          <w:snapToGrid w:val="0"/>
          <w:kern w:val="0"/>
          <w:szCs w:val="28"/>
        </w:rPr>
        <w:t>的影响分析</w:t>
      </w:r>
      <w:r>
        <w:tab/>
      </w:r>
      <w:r>
        <w:fldChar w:fldCharType="begin"/>
      </w:r>
      <w:r>
        <w:instrText xml:space="preserve"> PAGEREF _Toc1261 </w:instrText>
      </w:r>
      <w:r>
        <w:fldChar w:fldCharType="separate"/>
      </w:r>
      <w:r>
        <w:t>31</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_Toc26920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lang w:val="en-US" w:eastAsia="zh-CN"/>
        </w:rPr>
        <w:t>7</w:t>
      </w:r>
      <w:r>
        <w:rPr>
          <w:rFonts w:hint="eastAsia" w:ascii="黑体" w:eastAsia="黑体"/>
          <w:snapToGrid w:val="0"/>
          <w:kern w:val="0"/>
          <w:szCs w:val="32"/>
        </w:rPr>
        <w:t xml:space="preserve"> 重大危险源辨识</w:t>
      </w:r>
      <w:r>
        <w:tab/>
      </w:r>
      <w:r>
        <w:fldChar w:fldCharType="begin"/>
      </w:r>
      <w:r>
        <w:instrText xml:space="preserve"> PAGEREF _Toc26920 </w:instrText>
      </w:r>
      <w:r>
        <w:fldChar w:fldCharType="separate"/>
      </w:r>
      <w:r>
        <w:t>32</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_Toc1836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lang w:val="en-US" w:eastAsia="zh-CN"/>
        </w:rPr>
        <w:t>7</w:t>
      </w:r>
      <w:r>
        <w:rPr>
          <w:rFonts w:hint="eastAsia" w:ascii="宋体" w:hAnsi="宋体"/>
          <w:snapToGrid w:val="0"/>
          <w:kern w:val="0"/>
          <w:szCs w:val="28"/>
        </w:rPr>
        <w:t>.1 辨识依据</w:t>
      </w:r>
      <w:r>
        <w:tab/>
      </w:r>
      <w:r>
        <w:fldChar w:fldCharType="begin"/>
      </w:r>
      <w:r>
        <w:instrText xml:space="preserve"> PAGEREF _Toc1836 </w:instrText>
      </w:r>
      <w:r>
        <w:fldChar w:fldCharType="separate"/>
      </w:r>
      <w:r>
        <w:t>32</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_Toc18805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lang w:val="en-US" w:eastAsia="zh-CN"/>
        </w:rPr>
        <w:t>7</w:t>
      </w:r>
      <w:r>
        <w:rPr>
          <w:rFonts w:hint="eastAsia" w:ascii="宋体" w:hAnsi="宋体"/>
          <w:snapToGrid w:val="0"/>
          <w:kern w:val="0"/>
          <w:szCs w:val="28"/>
        </w:rPr>
        <w:t>.2 辨识结果</w:t>
      </w:r>
      <w:r>
        <w:tab/>
      </w:r>
      <w:r>
        <w:fldChar w:fldCharType="begin"/>
      </w:r>
      <w:r>
        <w:instrText xml:space="preserve"> PAGEREF _Toc18805 </w:instrText>
      </w:r>
      <w:r>
        <w:fldChar w:fldCharType="separate"/>
      </w:r>
      <w:r>
        <w:t>32</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_Toc30801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3.8小结</w:t>
      </w:r>
      <w:r>
        <w:tab/>
      </w:r>
      <w:r>
        <w:fldChar w:fldCharType="begin"/>
      </w:r>
      <w:r>
        <w:instrText xml:space="preserve"> PAGEREF _Toc30801 </w:instrText>
      </w:r>
      <w:r>
        <w:fldChar w:fldCharType="separate"/>
      </w:r>
      <w:r>
        <w:t>32</w:t>
      </w:r>
      <w: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_Toc27272 </w:instrText>
      </w:r>
      <w:r>
        <w:rPr>
          <w:rFonts w:hint="eastAsia" w:asciiTheme="minorEastAsia" w:hAnsiTheme="minorEastAsia" w:eastAsiaTheme="minorEastAsia" w:cstheme="minorEastAsia"/>
          <w:szCs w:val="21"/>
        </w:rPr>
        <w:fldChar w:fldCharType="separate"/>
      </w:r>
      <w:r>
        <w:rPr>
          <w:rFonts w:hint="eastAsia" w:ascii="黑体" w:hAnsi="宋体" w:eastAsia="黑体"/>
          <w:szCs w:val="32"/>
          <w:lang w:val="en-US" w:eastAsia="zh-CN"/>
        </w:rPr>
        <w:t>4</w:t>
      </w:r>
      <w:r>
        <w:rPr>
          <w:rFonts w:hint="eastAsia" w:ascii="黑体" w:hAnsi="宋体" w:eastAsia="黑体"/>
          <w:szCs w:val="32"/>
        </w:rPr>
        <w:t>评估结论与建议</w:t>
      </w:r>
      <w:r>
        <w:tab/>
      </w:r>
      <w:r>
        <w:fldChar w:fldCharType="begin"/>
      </w:r>
      <w:r>
        <w:instrText xml:space="preserve"> PAGEREF _Toc27272 </w:instrText>
      </w:r>
      <w:r>
        <w:fldChar w:fldCharType="separate"/>
      </w:r>
      <w:r>
        <w:t>34</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_Toc14259 </w:instrText>
      </w:r>
      <w:r>
        <w:rPr>
          <w:rFonts w:hint="eastAsia" w:asciiTheme="minorEastAsia" w:hAnsiTheme="minorEastAsia" w:eastAsiaTheme="minorEastAsia" w:cstheme="minorEastAsia"/>
          <w:szCs w:val="21"/>
        </w:rPr>
        <w:fldChar w:fldCharType="separate"/>
      </w:r>
      <w:r>
        <w:rPr>
          <w:rFonts w:hint="eastAsia" w:ascii="黑体" w:hAnsi="黑体"/>
          <w:szCs w:val="28"/>
          <w:lang w:val="en-US" w:eastAsia="zh-CN"/>
        </w:rPr>
        <w:t>4.1总体评价结论</w:t>
      </w:r>
      <w:r>
        <w:tab/>
      </w:r>
      <w:r>
        <w:fldChar w:fldCharType="begin"/>
      </w:r>
      <w:r>
        <w:instrText xml:space="preserve"> PAGEREF _Toc14259 </w:instrText>
      </w:r>
      <w:r>
        <w:fldChar w:fldCharType="separate"/>
      </w:r>
      <w:r>
        <w:t>34</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_Toc17453 </w:instrText>
      </w:r>
      <w:r>
        <w:rPr>
          <w:rFonts w:hint="eastAsia" w:asciiTheme="minorEastAsia" w:hAnsiTheme="minorEastAsia" w:eastAsiaTheme="minorEastAsia" w:cstheme="minorEastAsia"/>
          <w:szCs w:val="21"/>
        </w:rPr>
        <w:fldChar w:fldCharType="separate"/>
      </w:r>
      <w:r>
        <w:rPr>
          <w:rFonts w:hint="eastAsia" w:ascii="黑体" w:hAnsi="黑体"/>
          <w:szCs w:val="28"/>
          <w:lang w:val="en-US" w:eastAsia="zh-CN"/>
        </w:rPr>
        <w:t>4</w:t>
      </w:r>
      <w:r>
        <w:rPr>
          <w:rFonts w:hint="eastAsia" w:ascii="黑体" w:hAnsi="黑体"/>
          <w:szCs w:val="28"/>
        </w:rPr>
        <w:t>.</w:t>
      </w:r>
      <w:r>
        <w:rPr>
          <w:rFonts w:hint="eastAsia" w:ascii="黑体" w:hAnsi="黑体"/>
          <w:szCs w:val="28"/>
          <w:lang w:val="en-US" w:eastAsia="zh-CN"/>
        </w:rPr>
        <w:t>2</w:t>
      </w:r>
      <w:r>
        <w:rPr>
          <w:rFonts w:hint="eastAsia" w:ascii="黑体" w:hAnsi="黑体"/>
          <w:szCs w:val="28"/>
        </w:rPr>
        <w:t>建议</w:t>
      </w:r>
      <w:r>
        <w:tab/>
      </w:r>
      <w:r>
        <w:fldChar w:fldCharType="begin"/>
      </w:r>
      <w:r>
        <w:instrText xml:space="preserve"> PAGEREF _Toc17453 </w:instrText>
      </w:r>
      <w:r>
        <w:fldChar w:fldCharType="separate"/>
      </w:r>
      <w:r>
        <w:t>34</w:t>
      </w:r>
      <w:r>
        <w:fldChar w:fldCharType="end"/>
      </w:r>
      <w:r>
        <w:rPr>
          <w:rFonts w:hint="eastAsia" w:asciiTheme="minorEastAsia" w:hAnsiTheme="minorEastAsia" w:eastAsiaTheme="minorEastAsia" w:cstheme="minorEastAsia"/>
          <w:color w:val="auto"/>
          <w:szCs w:val="21"/>
        </w:rPr>
        <w:fldChar w:fldCharType="end"/>
      </w:r>
    </w:p>
    <w:p>
      <w:pPr>
        <w:widowControl/>
        <w:spacing w:line="360" w:lineRule="auto"/>
        <w:jc w:val="left"/>
        <w:outlineLvl w:val="2"/>
        <w:rPr>
          <w:rFonts w:hint="eastAsia" w:ascii="宋体" w:hAnsi="宋体" w:cs="宋体"/>
          <w:b/>
          <w:bCs/>
          <w:color w:val="auto"/>
          <w:kern w:val="0"/>
          <w:sz w:val="28"/>
          <w:szCs w:val="28"/>
        </w:rPr>
      </w:pPr>
      <w:r>
        <w:rPr>
          <w:rFonts w:hint="eastAsia" w:asciiTheme="minorEastAsia" w:hAnsiTheme="minorEastAsia" w:eastAsiaTheme="minorEastAsia" w:cstheme="minorEastAsia"/>
          <w:color w:val="auto"/>
          <w:szCs w:val="21"/>
        </w:rPr>
        <w:fldChar w:fldCharType="end"/>
      </w:r>
    </w:p>
    <w:p>
      <w:pPr>
        <w:numPr>
          <w:ilvl w:val="0"/>
          <w:numId w:val="0"/>
        </w:numPr>
        <w:spacing w:line="360" w:lineRule="auto"/>
        <w:jc w:val="center"/>
        <w:outlineLvl w:val="0"/>
        <w:rPr>
          <w:rFonts w:hint="eastAsia" w:ascii="黑体" w:hAnsi="宋体" w:eastAsia="黑体"/>
          <w:b/>
          <w:color w:val="auto"/>
          <w:sz w:val="32"/>
          <w:szCs w:val="32"/>
          <w:lang w:val="en-US" w:eastAsia="zh-CN"/>
        </w:rPr>
        <w:sectPr>
          <w:pgSz w:w="11906" w:h="16838"/>
          <w:pgMar w:top="1440" w:right="1800" w:bottom="1440" w:left="1800" w:header="851" w:footer="992" w:gutter="0"/>
          <w:pgNumType w:fmt="decimal" w:start="1"/>
          <w:cols w:space="425" w:num="1"/>
          <w:docGrid w:type="lines" w:linePitch="312" w:charSpace="0"/>
        </w:sectPr>
      </w:pPr>
      <w:bookmarkStart w:id="270" w:name="_GoBack"/>
      <w:bookmarkEnd w:id="270"/>
    </w:p>
    <w:p>
      <w:pPr>
        <w:spacing w:line="360" w:lineRule="auto"/>
        <w:jc w:val="center"/>
        <w:outlineLvl w:val="0"/>
        <w:rPr>
          <w:rFonts w:hint="eastAsia" w:ascii="黑体" w:hAnsi="宋体" w:eastAsia="黑体"/>
          <w:b/>
          <w:sz w:val="32"/>
          <w:szCs w:val="32"/>
        </w:rPr>
      </w:pPr>
      <w:bookmarkStart w:id="20" w:name="_Toc1621"/>
      <w:bookmarkStart w:id="21" w:name="_Toc97"/>
      <w:bookmarkStart w:id="22" w:name="_Toc5845"/>
      <w:r>
        <w:rPr>
          <w:rFonts w:hint="eastAsia" w:ascii="黑体" w:hAnsi="宋体" w:eastAsia="黑体"/>
          <w:b/>
          <w:sz w:val="32"/>
          <w:szCs w:val="32"/>
        </w:rPr>
        <w:t>1概述</w:t>
      </w:r>
      <w:bookmarkEnd w:id="20"/>
      <w:bookmarkEnd w:id="21"/>
      <w:bookmarkEnd w:id="22"/>
    </w:p>
    <w:p>
      <w:pPr>
        <w:pStyle w:val="5"/>
        <w:spacing w:line="360" w:lineRule="auto"/>
        <w:rPr>
          <w:rFonts w:hint="eastAsia" w:ascii="宋体" w:hAnsi="宋体" w:eastAsia="宋体" w:cs="宋体"/>
          <w:sz w:val="28"/>
          <w:szCs w:val="28"/>
        </w:rPr>
      </w:pPr>
      <w:bookmarkStart w:id="23" w:name="_Toc13902"/>
      <w:bookmarkStart w:id="24" w:name="_Toc10102"/>
      <w:bookmarkStart w:id="25" w:name="_Toc733"/>
      <w:r>
        <w:rPr>
          <w:rFonts w:hint="eastAsia" w:ascii="宋体" w:hAnsi="宋体" w:eastAsia="宋体" w:cs="宋体"/>
          <w:sz w:val="28"/>
          <w:szCs w:val="28"/>
        </w:rPr>
        <w:t>1.1评估的主要依据</w:t>
      </w:r>
      <w:bookmarkEnd w:id="23"/>
      <w:bookmarkEnd w:id="24"/>
      <w:bookmarkEnd w:id="25"/>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（1）《中华人民共和国安全生产法》（中华人民共和国主席令第13号，自2014年12月1日起施行）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（2）《中华人民共和国劳动法》（中华人民共和国主席令第28号，自1995年1月1日起施行，2009年8月27日修订）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（3）《中华人民共和国职业病防治法》(中华人民共和国主席令第24号，2018年12月29日修订)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（4）《中华人民共和国消防法》（中华人民共和国主席令第6号，自20</w:t>
      </w:r>
      <w:r>
        <w:rPr>
          <w:rFonts w:hint="eastAsia" w:ascii="宋体" w:hAnsi="宋体" w:cs="宋体"/>
          <w:color w:val="auto"/>
          <w:sz w:val="28"/>
          <w:szCs w:val="28"/>
          <w:lang w:val="en-US" w:eastAsia="zh-CN"/>
        </w:rPr>
        <w:t>1</w:t>
      </w:r>
      <w:r>
        <w:rPr>
          <w:rFonts w:hint="eastAsia" w:ascii="宋体" w:hAnsi="宋体" w:cs="宋体"/>
          <w:color w:val="auto"/>
          <w:sz w:val="28"/>
          <w:szCs w:val="28"/>
          <w:lang w:val="zh-CN" w:eastAsia="zh-CN"/>
        </w:rPr>
        <w:t>9年</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月</w:t>
      </w:r>
      <w:r>
        <w:rPr>
          <w:rFonts w:hint="eastAsia" w:ascii="宋体" w:hAnsi="宋体" w:cs="宋体"/>
          <w:color w:val="auto"/>
          <w:sz w:val="28"/>
          <w:szCs w:val="28"/>
          <w:lang w:val="en-US" w:eastAsia="zh-CN"/>
        </w:rPr>
        <w:t>23</w:t>
      </w:r>
      <w:r>
        <w:rPr>
          <w:rFonts w:hint="eastAsia" w:ascii="宋体" w:hAnsi="宋体" w:cs="宋体"/>
          <w:color w:val="auto"/>
          <w:sz w:val="28"/>
          <w:szCs w:val="28"/>
          <w:lang w:val="zh-CN" w:eastAsia="zh-CN"/>
        </w:rPr>
        <w:t>日起修订）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（5）《中华人民共和国突发事件应对法》（中华人民共和国主席令第69号，自2007年11月1日起施行）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（6）《中华人民共和国劳动合同法》（主席令第73号，自2013年7月1日起施行）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（7）《中华人民共和国环境保护法》（主席令第9号，自2015年1月1日起施行）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（8）《中华人民共和国特种设备安全法》（主席令第4号，2014年1月1日起实施）；</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（9）《中华人民共和国防震减灾法》（国家主席令第7号，自2009年5月1日起施行）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（10）《工伤保险条例》（国务院第586号令）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（11）《机关、团体、企业事业单位消防安全管理规定》（公安部第61号令）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（12）《有限空间安全作业五条规定》（国家安监总局令[2014]第69号）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（13）《企业安全生产风险公告六条规定》（国家安监总局令[2014]第70号）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（14）《企业安全生产应急管理九条规定》（国家安监总局令[2015]第74号）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（15）《国家安全监管总局办公厅关于印发用人单位劳动防护用品管理规范的通知》（安监总厅安健〔2015〕124号）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（16）《工作场所职业卫生监督管理规定》（国家安监总局令第47号）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（17）《生产安全事故应急预案管理办法》（国家安全生产监督管理总局令第88号）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（18）《生产经营单位生产安全事故应急预案编制导则》（GB/T29639-2013）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（19）《生产安全事故应急条例》（国令第708号，2019年4月1日起施行）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（20）《生产安全事故应急演练评估规范》（AQ/T9009-2015）</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（21）《生产安全事故应急演练指南》（AQ/T 9007-2011）</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w:t>
      </w:r>
      <w:r>
        <w:rPr>
          <w:rFonts w:hint="eastAsia" w:ascii="宋体" w:hAnsi="宋体" w:cs="宋体"/>
          <w:color w:val="auto"/>
          <w:sz w:val="28"/>
          <w:szCs w:val="28"/>
          <w:lang w:val="en-US" w:eastAsia="zh-CN"/>
        </w:rPr>
        <w:t>22</w:t>
      </w:r>
      <w:r>
        <w:rPr>
          <w:rFonts w:hint="eastAsia" w:ascii="宋体" w:hAnsi="宋体" w:cs="宋体"/>
          <w:color w:val="auto"/>
          <w:sz w:val="28"/>
          <w:szCs w:val="28"/>
          <w:lang w:val="zh-CN" w:eastAsia="zh-CN"/>
        </w:rPr>
        <w:t>）《危险化学品重大危险源辨识》（GB18218-20</w:t>
      </w:r>
      <w:r>
        <w:rPr>
          <w:rFonts w:hint="eastAsia" w:ascii="宋体" w:hAnsi="宋体" w:cs="宋体"/>
          <w:color w:val="auto"/>
          <w:sz w:val="28"/>
          <w:szCs w:val="28"/>
          <w:lang w:val="en-US" w:eastAsia="zh-CN"/>
        </w:rPr>
        <w:t>18</w:t>
      </w:r>
      <w:r>
        <w:rPr>
          <w:rFonts w:hint="eastAsia" w:ascii="宋体" w:hAnsi="宋体" w:cs="宋体"/>
          <w:color w:val="auto"/>
          <w:sz w:val="28"/>
          <w:szCs w:val="28"/>
          <w:lang w:val="zh-CN" w:eastAsia="zh-CN"/>
        </w:rPr>
        <w:t>）</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3</w:t>
      </w:r>
      <w:r>
        <w:rPr>
          <w:rFonts w:hint="eastAsia" w:ascii="宋体" w:hAnsi="宋体" w:cs="宋体"/>
          <w:color w:val="auto"/>
          <w:sz w:val="28"/>
          <w:szCs w:val="28"/>
          <w:lang w:val="zh-CN" w:eastAsia="zh-CN"/>
        </w:rPr>
        <w:t>）《四川省安全生产条例》（2006年11月30日四川省第十届人大常委会第二十四次会议通过）</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）《危险化学品目录》（2015年版）</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5</w:t>
      </w:r>
      <w:r>
        <w:rPr>
          <w:rFonts w:hint="eastAsia" w:ascii="宋体" w:hAnsi="宋体" w:cs="宋体"/>
          <w:color w:val="auto"/>
          <w:sz w:val="28"/>
          <w:szCs w:val="28"/>
          <w:lang w:val="zh-CN" w:eastAsia="zh-CN"/>
        </w:rPr>
        <w:t>）《易燃易爆性商品储存养护技术条件》（GB17914-2013）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6</w:t>
      </w:r>
      <w:r>
        <w:rPr>
          <w:rFonts w:hint="eastAsia" w:ascii="宋体" w:hAnsi="宋体" w:cs="宋体"/>
          <w:color w:val="auto"/>
          <w:sz w:val="28"/>
          <w:szCs w:val="28"/>
          <w:lang w:val="zh-CN" w:eastAsia="zh-CN"/>
        </w:rPr>
        <w:t>）《四川省生产安全事故应急预案管理实施细则》（川安监〔2018〕43号）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7</w:t>
      </w:r>
      <w:r>
        <w:rPr>
          <w:rFonts w:hint="eastAsia" w:ascii="宋体" w:hAnsi="宋体" w:cs="宋体"/>
          <w:color w:val="auto"/>
          <w:sz w:val="28"/>
          <w:szCs w:val="28"/>
          <w:lang w:val="zh-CN" w:eastAsia="zh-CN"/>
        </w:rPr>
        <w:t>）《成都市安全生产监督管理局关于规范生产安全事故应急预案评审备案工作的通知》成安监函〔2018〕9号</w:t>
      </w:r>
    </w:p>
    <w:p>
      <w:pPr>
        <w:pStyle w:val="5"/>
        <w:spacing w:before="0" w:after="0" w:line="360" w:lineRule="auto"/>
        <w:rPr>
          <w:rFonts w:hint="eastAsia" w:ascii="宋体" w:hAnsi="宋体" w:eastAsia="宋体" w:cs="宋体"/>
          <w:color w:val="auto"/>
          <w:sz w:val="28"/>
          <w:szCs w:val="28"/>
          <w:lang w:val="en-US" w:eastAsia="zh-CN"/>
        </w:rPr>
      </w:pPr>
      <w:bookmarkStart w:id="26" w:name="_Toc16426"/>
      <w:bookmarkStart w:id="27" w:name="_Toc25561"/>
      <w:bookmarkStart w:id="28" w:name="_Toc14299"/>
      <w:r>
        <w:rPr>
          <w:rFonts w:hint="eastAsia" w:ascii="宋体" w:hAnsi="宋体" w:eastAsia="宋体" w:cs="宋体"/>
          <w:color w:val="auto"/>
          <w:sz w:val="28"/>
          <w:szCs w:val="28"/>
          <w:lang w:val="en-US" w:eastAsia="zh-CN"/>
        </w:rPr>
        <w:t>1.2评估目的</w:t>
      </w:r>
      <w:bookmarkEnd w:id="26"/>
      <w:bookmarkEnd w:id="27"/>
      <w:bookmarkEnd w:id="28"/>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为规范</w:t>
      </w:r>
      <w:r>
        <w:rPr>
          <w:rFonts w:hint="eastAsia" w:hAnsi="宋体"/>
          <w:sz w:val="28"/>
          <w:szCs w:val="28"/>
          <w:lang w:eastAsia="zh-CN"/>
        </w:rPr>
        <w:t>公司</w:t>
      </w:r>
      <w:r>
        <w:rPr>
          <w:rFonts w:hint="eastAsia" w:hAnsi="宋体"/>
          <w:sz w:val="28"/>
          <w:szCs w:val="28"/>
        </w:rPr>
        <w:t>风险管理工作，识别和分析生产安全作业中的危险有害因素，消除或减少事故危害，确保安全作业，由</w:t>
      </w:r>
      <w:r>
        <w:rPr>
          <w:rFonts w:hint="eastAsia" w:hAnsi="宋体"/>
          <w:sz w:val="28"/>
          <w:szCs w:val="28"/>
          <w:lang w:eastAsia="zh-CN"/>
        </w:rPr>
        <w:t>公司</w:t>
      </w:r>
      <w:r>
        <w:rPr>
          <w:rFonts w:hint="eastAsia" w:hAnsi="宋体"/>
          <w:sz w:val="28"/>
          <w:szCs w:val="28"/>
        </w:rPr>
        <w:t>风险评价小组进行风险评估。</w:t>
      </w:r>
    </w:p>
    <w:p>
      <w:pPr>
        <w:pStyle w:val="5"/>
        <w:spacing w:before="0" w:after="0" w:line="360" w:lineRule="auto"/>
        <w:rPr>
          <w:rFonts w:hint="eastAsia" w:ascii="宋体" w:hAnsi="宋体" w:eastAsia="宋体" w:cs="宋体"/>
          <w:color w:val="auto"/>
          <w:sz w:val="28"/>
          <w:szCs w:val="28"/>
          <w:lang w:val="en-US" w:eastAsia="zh-CN"/>
        </w:rPr>
      </w:pPr>
      <w:bookmarkStart w:id="29" w:name="_Toc12578"/>
      <w:bookmarkStart w:id="30" w:name="_Toc19499"/>
      <w:bookmarkStart w:id="31" w:name="_Toc14801"/>
      <w:r>
        <w:rPr>
          <w:rFonts w:hint="eastAsia" w:ascii="宋体" w:hAnsi="宋体" w:eastAsia="宋体" w:cs="宋体"/>
          <w:color w:val="auto"/>
          <w:sz w:val="28"/>
          <w:szCs w:val="28"/>
          <w:lang w:val="en-US" w:eastAsia="zh-CN"/>
        </w:rPr>
        <w:t>1.3风险评估范围</w:t>
      </w:r>
      <w:bookmarkEnd w:id="29"/>
      <w:bookmarkEnd w:id="30"/>
      <w:bookmarkEnd w:id="31"/>
      <w:r>
        <w:rPr>
          <w:rFonts w:hint="eastAsia" w:ascii="宋体" w:hAnsi="宋体" w:eastAsia="宋体" w:cs="宋体"/>
          <w:color w:val="auto"/>
          <w:sz w:val="28"/>
          <w:szCs w:val="28"/>
          <w:lang w:val="en-US" w:eastAsia="zh-CN"/>
        </w:rPr>
        <w:t xml:space="preserve">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评估范围主要围绕生产经营活动开展，主要包括</w:t>
      </w:r>
      <w:r>
        <w:rPr>
          <w:rFonts w:hint="eastAsia" w:hAnsi="宋体"/>
          <w:sz w:val="28"/>
          <w:szCs w:val="28"/>
          <w:lang w:eastAsia="zh-CN"/>
        </w:rPr>
        <w:t>公司</w:t>
      </w:r>
      <w:r>
        <w:rPr>
          <w:rFonts w:hint="eastAsia" w:hAnsi="宋体"/>
          <w:sz w:val="28"/>
          <w:szCs w:val="28"/>
        </w:rPr>
        <w:t>在生产经营过程的生产工艺装置和储存设施以及配套的公用工程系统的风险性识别和分析。</w:t>
      </w:r>
    </w:p>
    <w:p>
      <w:pPr>
        <w:pStyle w:val="5"/>
        <w:spacing w:before="0" w:after="0" w:line="360" w:lineRule="auto"/>
        <w:rPr>
          <w:rFonts w:hint="eastAsia" w:ascii="宋体" w:hAnsi="宋体" w:eastAsia="宋体" w:cs="宋体"/>
          <w:sz w:val="28"/>
          <w:szCs w:val="28"/>
        </w:rPr>
      </w:pPr>
      <w:bookmarkStart w:id="32" w:name="_Toc23032"/>
      <w:bookmarkStart w:id="33" w:name="_Toc27790"/>
      <w:bookmarkStart w:id="34" w:name="_Toc15923"/>
      <w:r>
        <w:rPr>
          <w:rFonts w:hint="eastAsia" w:ascii="宋体" w:hAnsi="宋体" w:eastAsia="宋体" w:cs="宋体"/>
          <w:sz w:val="28"/>
          <w:szCs w:val="28"/>
        </w:rPr>
        <w:t>1.4评估程序</w:t>
      </w:r>
      <w:bookmarkEnd w:id="32"/>
      <w:bookmarkEnd w:id="33"/>
      <w:bookmarkEnd w:id="34"/>
      <w:r>
        <w:rPr>
          <w:rFonts w:hint="eastAsia" w:ascii="宋体" w:hAnsi="宋体" w:eastAsia="宋体" w:cs="宋体"/>
          <w:sz w:val="28"/>
          <w:szCs w:val="28"/>
        </w:rPr>
        <w:t xml:space="preserve">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1、成立风险评估小组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2、收集分析资料、现场勘察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3、组织进行风险识别和评估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4、评估汇总交</w:t>
      </w:r>
      <w:r>
        <w:rPr>
          <w:rFonts w:hint="eastAsia" w:hAnsi="宋体"/>
          <w:sz w:val="28"/>
          <w:szCs w:val="28"/>
          <w:lang w:eastAsia="zh-CN"/>
        </w:rPr>
        <w:t>公司</w:t>
      </w:r>
      <w:r>
        <w:rPr>
          <w:rFonts w:hint="eastAsia" w:hAnsi="宋体"/>
          <w:sz w:val="28"/>
          <w:szCs w:val="28"/>
        </w:rPr>
        <w:t xml:space="preserve">主要负责人批准 </w:t>
      </w:r>
    </w:p>
    <w:p>
      <w:pPr>
        <w:rPr>
          <w:rFonts w:hint="eastAsia" w:ascii="黑体" w:hAnsi="宋体" w:eastAsia="黑体"/>
          <w:b/>
          <w:color w:val="auto"/>
          <w:sz w:val="32"/>
          <w:szCs w:val="32"/>
          <w:lang w:val="en-US" w:eastAsia="zh-CN"/>
        </w:rPr>
      </w:pPr>
      <w:r>
        <w:rPr>
          <w:rFonts w:hint="eastAsia" w:ascii="黑体" w:hAnsi="宋体" w:eastAsia="黑体"/>
          <w:b/>
          <w:color w:val="auto"/>
          <w:sz w:val="32"/>
          <w:szCs w:val="32"/>
          <w:lang w:val="en-US" w:eastAsia="zh-CN"/>
        </w:rPr>
        <w:br w:type="page"/>
      </w:r>
    </w:p>
    <w:p>
      <w:pPr>
        <w:numPr>
          <w:ilvl w:val="0"/>
          <w:numId w:val="0"/>
        </w:numPr>
        <w:spacing w:line="360" w:lineRule="auto"/>
        <w:jc w:val="center"/>
        <w:outlineLvl w:val="0"/>
        <w:rPr>
          <w:rFonts w:hint="eastAsia" w:ascii="黑体" w:hAnsi="宋体" w:eastAsia="黑体"/>
          <w:b/>
          <w:color w:val="auto"/>
          <w:sz w:val="32"/>
          <w:szCs w:val="32"/>
        </w:rPr>
      </w:pPr>
      <w:bookmarkStart w:id="35" w:name="_Toc6185"/>
      <w:r>
        <w:rPr>
          <w:rFonts w:hint="eastAsia" w:ascii="黑体" w:hAnsi="宋体" w:eastAsia="黑体"/>
          <w:b/>
          <w:color w:val="auto"/>
          <w:sz w:val="32"/>
          <w:szCs w:val="32"/>
          <w:lang w:val="en-US" w:eastAsia="zh-CN"/>
        </w:rPr>
        <w:t>2</w:t>
      </w:r>
      <w:r>
        <w:rPr>
          <w:rFonts w:hint="eastAsia" w:ascii="黑体" w:hAnsi="宋体" w:eastAsia="黑体"/>
          <w:b/>
          <w:color w:val="auto"/>
          <w:sz w:val="32"/>
          <w:szCs w:val="32"/>
        </w:rPr>
        <w:t>公司概况</w:t>
      </w:r>
      <w:bookmarkEnd w:id="0"/>
      <w:bookmarkEnd w:id="35"/>
    </w:p>
    <w:p>
      <w:pPr>
        <w:pStyle w:val="5"/>
        <w:spacing w:before="0" w:after="0" w:line="360" w:lineRule="auto"/>
        <w:rPr>
          <w:rFonts w:hint="eastAsia" w:ascii="宋体" w:hAnsi="宋体" w:eastAsia="宋体" w:cs="宋体"/>
          <w:color w:val="auto"/>
          <w:sz w:val="28"/>
          <w:szCs w:val="28"/>
        </w:rPr>
      </w:pPr>
      <w:bookmarkStart w:id="36" w:name="_Toc16595"/>
      <w:bookmarkStart w:id="37" w:name="_Toc176022617"/>
      <w:bookmarkStart w:id="38" w:name="_Toc4724"/>
      <w:bookmarkStart w:id="39" w:name="_Toc332285103"/>
      <w:bookmarkStart w:id="40" w:name="_Toc480804386"/>
      <w:bookmarkStart w:id="41" w:name="_Toc514342838"/>
      <w:bookmarkStart w:id="42" w:name="_Toc485656588"/>
      <w:r>
        <w:rPr>
          <w:rFonts w:hint="eastAsia" w:ascii="宋体" w:hAnsi="宋体" w:eastAsia="宋体" w:cs="宋体"/>
          <w:color w:val="auto"/>
          <w:sz w:val="28"/>
          <w:szCs w:val="28"/>
        </w:rPr>
        <w:t>2.1 公司概况</w:t>
      </w:r>
      <w:bookmarkEnd w:id="36"/>
      <w:bookmarkEnd w:id="37"/>
      <w:bookmarkEnd w:id="38"/>
      <w:bookmarkEnd w:id="39"/>
    </w:p>
    <w:tbl>
      <w:tblPr>
        <w:tblStyle w:val="20"/>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1907"/>
        <w:gridCol w:w="1643"/>
        <w:gridCol w:w="366"/>
        <w:gridCol w:w="113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FF0000"/>
                <w:kern w:val="2"/>
                <w:sz w:val="28"/>
                <w:szCs w:val="28"/>
                <w:lang w:val="zh-CN" w:eastAsia="zh-CN" w:bidi="ar-SA"/>
              </w:rPr>
            </w:pPr>
            <w:r>
              <w:rPr>
                <w:rFonts w:hint="eastAsia" w:ascii="宋体" w:hAnsi="宋体" w:eastAsia="Times New Roman" w:cs="宋体"/>
                <w:color w:val="FF0000"/>
                <w:kern w:val="2"/>
                <w:sz w:val="28"/>
                <w:szCs w:val="28"/>
                <w:lang w:val="zh-CN" w:eastAsia="zh-CN" w:bidi="ar-SA"/>
              </w:rPr>
              <w:t>单位</w:t>
            </w:r>
            <w:r>
              <w:rPr>
                <w:rFonts w:hint="eastAsia" w:hAnsi="宋体" w:eastAsia="Times New Roman" w:cs="宋体"/>
                <w:color w:val="FF0000"/>
                <w:kern w:val="2"/>
                <w:sz w:val="28"/>
                <w:szCs w:val="28"/>
                <w:lang w:val="zh-CN" w:eastAsia="zh-CN" w:bidi="ar-SA"/>
              </w:rPr>
              <w:t>名称</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FF0000"/>
                <w:kern w:val="2"/>
                <w:sz w:val="28"/>
                <w:szCs w:val="28"/>
                <w:lang w:val="zh-CN" w:eastAsia="zh-CN" w:bidi="ar-SA"/>
              </w:rPr>
            </w:pPr>
            <w:r>
              <w:rPr>
                <w:rFonts w:hint="eastAsia" w:hAnsi="宋体" w:eastAsia="Times New Roman" w:cs="宋体"/>
                <w:color w:val="FF0000"/>
                <w:kern w:val="2"/>
                <w:sz w:val="28"/>
                <w:szCs w:val="28"/>
                <w:lang w:val="zh-CN" w:eastAsia="zh-CN" w:bidi="ar-SA"/>
              </w:rPr>
              <w:t>仪陇县三河镇宏发页岩砖厂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FF0000"/>
                <w:kern w:val="2"/>
                <w:sz w:val="28"/>
                <w:szCs w:val="28"/>
                <w:lang w:val="zh-CN" w:eastAsia="zh-CN" w:bidi="ar-SA"/>
              </w:rPr>
            </w:pPr>
            <w:r>
              <w:rPr>
                <w:rFonts w:hint="eastAsia" w:ascii="宋体" w:hAnsi="宋体" w:eastAsia="Times New Roman" w:cs="宋体"/>
                <w:color w:val="FF0000"/>
                <w:kern w:val="2"/>
                <w:sz w:val="28"/>
                <w:szCs w:val="28"/>
                <w:lang w:val="zh-CN" w:eastAsia="zh-CN" w:bidi="ar-SA"/>
              </w:rPr>
              <w:t>法人代表</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FF0000"/>
                <w:kern w:val="2"/>
                <w:sz w:val="28"/>
                <w:szCs w:val="28"/>
                <w:lang w:val="zh-CN" w:eastAsia="zh-CN" w:bidi="ar-SA"/>
              </w:rPr>
            </w:pPr>
            <w:r>
              <w:rPr>
                <w:rFonts w:hint="eastAsia" w:ascii="仿宋_GB2312"/>
                <w:snapToGrid w:val="0"/>
                <w:color w:val="FF0000"/>
                <w:kern w:val="0"/>
                <w:sz w:val="28"/>
                <w:szCs w:val="28"/>
                <w:lang w:val="en-US" w:eastAsia="zh-CN"/>
              </w:rPr>
              <w:t>阳林</w:t>
            </w:r>
          </w:p>
        </w:tc>
        <w:tc>
          <w:tcPr>
            <w:tcW w:w="2009"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FF0000"/>
                <w:kern w:val="2"/>
                <w:sz w:val="28"/>
                <w:szCs w:val="28"/>
                <w:lang w:val="zh-CN" w:eastAsia="zh-CN" w:bidi="ar-SA"/>
              </w:rPr>
            </w:pPr>
            <w:r>
              <w:rPr>
                <w:rFonts w:hint="eastAsia" w:ascii="宋体" w:hAnsi="宋体" w:eastAsia="Times New Roman" w:cs="宋体"/>
                <w:color w:val="FF0000"/>
                <w:kern w:val="2"/>
                <w:sz w:val="28"/>
                <w:szCs w:val="28"/>
                <w:lang w:val="zh-CN" w:eastAsia="zh-CN" w:bidi="ar-SA"/>
              </w:rPr>
              <w:t>联系电话</w:t>
            </w:r>
          </w:p>
        </w:tc>
        <w:tc>
          <w:tcPr>
            <w:tcW w:w="3096"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hAnsi="宋体" w:eastAsia="Times New Roman" w:cs="宋体"/>
                <w:color w:val="FF0000"/>
                <w:kern w:val="2"/>
                <w:sz w:val="28"/>
                <w:szCs w:val="28"/>
                <w:lang w:val="en-US" w:eastAsia="zh-CN" w:bidi="ar-SA"/>
              </w:rPr>
            </w:pPr>
            <w:r>
              <w:rPr>
                <w:rFonts w:hint="eastAsia" w:hAnsi="宋体" w:eastAsia="Times New Roman" w:cs="宋体"/>
                <w:color w:val="FF0000"/>
                <w:kern w:val="2"/>
                <w:sz w:val="28"/>
                <w:szCs w:val="28"/>
                <w:lang w:val="en-US" w:eastAsia="zh-CN" w:bidi="ar-SA"/>
              </w:rPr>
              <w:t>15681052298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FF0000"/>
                <w:kern w:val="2"/>
                <w:sz w:val="28"/>
                <w:szCs w:val="28"/>
                <w:lang w:val="zh-CN" w:eastAsia="zh-CN" w:bidi="ar-SA"/>
              </w:rPr>
            </w:pPr>
            <w:r>
              <w:rPr>
                <w:rFonts w:hint="eastAsia" w:hAnsi="宋体" w:eastAsia="Times New Roman" w:cs="宋体"/>
                <w:color w:val="FF0000"/>
                <w:kern w:val="2"/>
                <w:sz w:val="28"/>
                <w:szCs w:val="28"/>
                <w:lang w:val="zh-CN" w:eastAsia="zh-CN" w:bidi="ar-SA"/>
              </w:rPr>
              <w:t>联系人</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FF0000"/>
                <w:kern w:val="2"/>
                <w:sz w:val="28"/>
                <w:szCs w:val="28"/>
                <w:lang w:val="zh-CN" w:eastAsia="zh-CN" w:bidi="ar-SA"/>
              </w:rPr>
            </w:pPr>
            <w:r>
              <w:rPr>
                <w:rFonts w:hint="eastAsia" w:hAnsi="宋体" w:eastAsia="Times New Roman" w:cs="宋体"/>
                <w:color w:val="FF0000"/>
                <w:kern w:val="2"/>
                <w:sz w:val="28"/>
                <w:szCs w:val="28"/>
                <w:lang w:val="zh-CN" w:eastAsia="zh-CN" w:bidi="ar-SA"/>
              </w:rPr>
              <w:t>阳林</w:t>
            </w:r>
          </w:p>
        </w:tc>
        <w:tc>
          <w:tcPr>
            <w:tcW w:w="2009"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FF0000"/>
                <w:kern w:val="2"/>
                <w:sz w:val="28"/>
                <w:szCs w:val="28"/>
                <w:lang w:val="zh-CN" w:eastAsia="zh-CN" w:bidi="ar-SA"/>
              </w:rPr>
            </w:pPr>
            <w:r>
              <w:rPr>
                <w:rFonts w:hint="eastAsia" w:ascii="宋体" w:hAnsi="宋体" w:eastAsia="Times New Roman" w:cs="宋体"/>
                <w:color w:val="FF0000"/>
                <w:kern w:val="2"/>
                <w:sz w:val="28"/>
                <w:szCs w:val="28"/>
                <w:lang w:val="zh-CN" w:eastAsia="zh-CN" w:bidi="ar-SA"/>
              </w:rPr>
              <w:t>成立时间</w:t>
            </w:r>
          </w:p>
        </w:tc>
        <w:tc>
          <w:tcPr>
            <w:tcW w:w="3096"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hAnsi="宋体" w:eastAsia="Times New Roman" w:cs="宋体"/>
                <w:color w:val="FF0000"/>
                <w:kern w:val="2"/>
                <w:sz w:val="28"/>
                <w:szCs w:val="28"/>
                <w:lang w:val="en-US" w:eastAsia="zh-CN" w:bidi="ar-SA"/>
              </w:rPr>
            </w:pPr>
            <w:r>
              <w:rPr>
                <w:rFonts w:hint="eastAsia" w:hAnsi="宋体" w:eastAsia="Times New Roman" w:cs="宋体"/>
                <w:color w:val="FF0000"/>
                <w:kern w:val="2"/>
                <w:sz w:val="28"/>
                <w:szCs w:val="28"/>
                <w:lang w:val="en-US" w:eastAsia="zh-CN" w:bidi="ar-SA"/>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FF0000"/>
                <w:kern w:val="2"/>
                <w:sz w:val="28"/>
                <w:szCs w:val="28"/>
                <w:lang w:val="zh-CN" w:eastAsia="zh-CN" w:bidi="ar-SA"/>
              </w:rPr>
            </w:pPr>
            <w:r>
              <w:rPr>
                <w:rFonts w:hint="eastAsia" w:ascii="宋体" w:hAnsi="宋体" w:eastAsia="Times New Roman" w:cs="宋体"/>
                <w:color w:val="FF0000"/>
                <w:kern w:val="2"/>
                <w:sz w:val="28"/>
                <w:szCs w:val="28"/>
                <w:lang w:val="zh-CN" w:eastAsia="zh-CN" w:bidi="ar-SA"/>
              </w:rPr>
              <w:t>企业性质</w:t>
            </w:r>
          </w:p>
        </w:tc>
        <w:tc>
          <w:tcPr>
            <w:tcW w:w="1907"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hAnsi="宋体" w:eastAsia="宋体" w:cs="宋体"/>
                <w:color w:val="FF0000"/>
                <w:kern w:val="2"/>
                <w:sz w:val="28"/>
                <w:szCs w:val="28"/>
                <w:lang w:val="en-US" w:eastAsia="zh-CN" w:bidi="ar-SA"/>
              </w:rPr>
            </w:pPr>
            <w:r>
              <w:rPr>
                <w:rFonts w:hint="eastAsia" w:hAnsi="宋体" w:eastAsia="Times New Roman" w:cs="宋体"/>
                <w:color w:val="FF0000"/>
                <w:kern w:val="2"/>
                <w:sz w:val="28"/>
                <w:szCs w:val="28"/>
                <w:lang w:val="en-US" w:eastAsia="zh-CN" w:bidi="ar-SA"/>
              </w:rPr>
              <w:t>个人</w:t>
            </w:r>
            <w:r>
              <w:rPr>
                <w:rFonts w:hint="eastAsia" w:hAnsi="宋体" w:cs="宋体"/>
                <w:color w:val="FF0000"/>
                <w:kern w:val="2"/>
                <w:sz w:val="28"/>
                <w:szCs w:val="28"/>
                <w:lang w:val="en-US" w:eastAsia="zh-CN" w:bidi="ar-SA"/>
              </w:rPr>
              <w:t>独资企业</w:t>
            </w:r>
          </w:p>
        </w:tc>
        <w:tc>
          <w:tcPr>
            <w:tcW w:w="2009"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FF0000"/>
                <w:kern w:val="2"/>
                <w:sz w:val="28"/>
                <w:szCs w:val="28"/>
                <w:lang w:val="zh-CN" w:eastAsia="zh-CN" w:bidi="ar-SA"/>
              </w:rPr>
            </w:pPr>
            <w:r>
              <w:rPr>
                <w:rFonts w:hint="eastAsia" w:hAnsi="宋体" w:eastAsia="Times New Roman" w:cs="宋体"/>
                <w:color w:val="FF0000"/>
                <w:kern w:val="2"/>
                <w:sz w:val="28"/>
                <w:szCs w:val="28"/>
                <w:lang w:val="en-US" w:eastAsia="zh-CN" w:bidi="ar-SA"/>
              </w:rPr>
              <w:t>注册号</w:t>
            </w:r>
          </w:p>
        </w:tc>
        <w:tc>
          <w:tcPr>
            <w:tcW w:w="3096"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Courier New"/>
                <w:snapToGrid w:val="0"/>
                <w:color w:val="FF0000"/>
                <w:kern w:val="0"/>
                <w:sz w:val="28"/>
                <w:szCs w:val="28"/>
                <w:lang w:val="zh-CN" w:eastAsia="zh-CN"/>
              </w:rPr>
            </w:pPr>
            <w:r>
              <w:rPr>
                <w:rFonts w:hint="eastAsia" w:ascii="仿宋_GB2312" w:hAnsi="Times New Roman" w:eastAsia="仿宋_GB2312"/>
                <w:snapToGrid w:val="0"/>
                <w:color w:val="FF0000"/>
                <w:kern w:val="0"/>
                <w:sz w:val="28"/>
                <w:szCs w:val="28"/>
                <w:lang w:val="en-US" w:eastAsia="zh-CN" w:bidi="ar-SA"/>
              </w:rPr>
              <w:t>92511324</w:t>
            </w:r>
            <w:r>
              <w:rPr>
                <w:rFonts w:hint="eastAsia" w:ascii="仿宋_GB2312" w:hAnsi="Times New Roman"/>
                <w:snapToGrid w:val="0"/>
                <w:color w:val="FF0000"/>
                <w:kern w:val="0"/>
                <w:sz w:val="28"/>
                <w:szCs w:val="28"/>
                <w:lang w:val="en-US" w:eastAsia="zh-CN" w:bidi="ar-SA"/>
              </w:rPr>
              <w:t>555779011D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FF0000"/>
                <w:kern w:val="2"/>
                <w:sz w:val="28"/>
                <w:szCs w:val="28"/>
                <w:lang w:val="zh-CN" w:eastAsia="zh-CN" w:bidi="ar-SA"/>
              </w:rPr>
            </w:pPr>
            <w:r>
              <w:rPr>
                <w:rFonts w:hint="eastAsia" w:ascii="宋体" w:hAnsi="宋体" w:eastAsia="Times New Roman" w:cs="宋体"/>
                <w:color w:val="FF0000"/>
                <w:kern w:val="2"/>
                <w:sz w:val="28"/>
                <w:szCs w:val="28"/>
                <w:lang w:val="zh-CN" w:eastAsia="zh-CN" w:bidi="ar-SA"/>
              </w:rPr>
              <w:t>通讯地址</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FF0000"/>
                <w:kern w:val="2"/>
                <w:sz w:val="28"/>
                <w:szCs w:val="28"/>
                <w:lang w:val="zh-CN" w:eastAsia="zh-CN" w:bidi="ar-SA"/>
              </w:rPr>
            </w:pPr>
            <w:r>
              <w:rPr>
                <w:rFonts w:hint="eastAsia" w:ascii="仿宋_GB2312"/>
                <w:snapToGrid w:val="0"/>
                <w:kern w:val="0"/>
                <w:sz w:val="28"/>
                <w:szCs w:val="28"/>
                <w:lang w:val="en-US" w:eastAsia="zh-CN"/>
              </w:rPr>
              <w:t>仪陇县三河镇河街村4社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FF0000"/>
                <w:kern w:val="2"/>
                <w:sz w:val="28"/>
                <w:szCs w:val="28"/>
                <w:lang w:val="zh-CN" w:eastAsia="zh-CN" w:bidi="ar-SA"/>
              </w:rPr>
            </w:pPr>
            <w:r>
              <w:rPr>
                <w:rFonts w:hint="eastAsia" w:ascii="宋体" w:hAnsi="宋体" w:eastAsia="Times New Roman" w:cs="宋体"/>
                <w:color w:val="FF0000"/>
                <w:kern w:val="2"/>
                <w:sz w:val="28"/>
                <w:szCs w:val="28"/>
                <w:lang w:val="zh-CN" w:eastAsia="zh-CN" w:bidi="ar-SA"/>
              </w:rPr>
              <w:t>行业类别及代码</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FF0000"/>
                <w:kern w:val="2"/>
                <w:sz w:val="28"/>
                <w:szCs w:val="28"/>
                <w:lang w:val="en-US" w:eastAsia="zh-CN" w:bidi="ar-SA"/>
              </w:rPr>
            </w:pPr>
            <w:r>
              <w:rPr>
                <w:rFonts w:hint="eastAsia" w:hAnsi="宋体" w:eastAsia="Times New Roman" w:cs="宋体"/>
                <w:color w:val="FF0000"/>
                <w:kern w:val="2"/>
                <w:sz w:val="28"/>
                <w:szCs w:val="28"/>
                <w:lang w:val="zh-CN" w:eastAsia="zh-CN" w:bidi="ar-SA"/>
              </w:rPr>
              <w:t>C</w:t>
            </w:r>
            <w:r>
              <w:rPr>
                <w:rFonts w:hint="eastAsia" w:hAnsi="宋体" w:eastAsia="Times New Roman" w:cs="宋体"/>
                <w:color w:val="FF0000"/>
                <w:kern w:val="2"/>
                <w:sz w:val="28"/>
                <w:szCs w:val="28"/>
                <w:lang w:val="en-US" w:eastAsia="en-US" w:bidi="ar-SA"/>
              </w:rPr>
              <w:t>3031</w:t>
            </w:r>
            <w:r>
              <w:rPr>
                <w:rFonts w:hint="eastAsia" w:hAnsi="宋体" w:eastAsia="Times New Roman" w:cs="宋体"/>
                <w:color w:val="FF0000"/>
                <w:kern w:val="2"/>
                <w:sz w:val="28"/>
                <w:szCs w:val="28"/>
                <w:lang w:val="zh-CN" w:eastAsia="zh-CN" w:bidi="ar-SA"/>
              </w:rPr>
              <w:t>粘土砖瓦及建筑砌块制造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FF0000"/>
                <w:kern w:val="2"/>
                <w:sz w:val="28"/>
                <w:szCs w:val="28"/>
                <w:lang w:val="zh-CN" w:eastAsia="zh-CN" w:bidi="ar-SA"/>
              </w:rPr>
            </w:pPr>
            <w:r>
              <w:rPr>
                <w:rFonts w:hint="eastAsia" w:ascii="宋体" w:hAnsi="宋体" w:eastAsia="Times New Roman" w:cs="宋体"/>
                <w:color w:val="FF0000"/>
                <w:kern w:val="2"/>
                <w:sz w:val="28"/>
                <w:szCs w:val="28"/>
                <w:lang w:val="zh-CN" w:eastAsia="zh-CN" w:bidi="ar-SA"/>
              </w:rPr>
              <w:t>企业规模</w:t>
            </w:r>
          </w:p>
        </w:tc>
        <w:tc>
          <w:tcPr>
            <w:tcW w:w="3550"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FF0000"/>
                <w:kern w:val="2"/>
                <w:sz w:val="28"/>
                <w:szCs w:val="28"/>
                <w:lang w:val="en-US" w:eastAsia="zh-CN" w:bidi="ar-SA"/>
              </w:rPr>
            </w:pPr>
            <w:r>
              <w:rPr>
                <w:rFonts w:hint="eastAsia" w:hAnsi="宋体" w:cs="宋体"/>
                <w:color w:val="FF0000"/>
                <w:lang w:val="en-US" w:eastAsia="zh-CN"/>
              </w:rPr>
              <w:t>30</w:t>
            </w:r>
            <w:r>
              <w:rPr>
                <w:rFonts w:hint="eastAsia" w:ascii="宋体" w:hAnsi="宋体" w:eastAsia="宋体" w:cs="宋体"/>
                <w:color w:val="FF0000"/>
              </w:rPr>
              <w:t>00万标砖/年</w:t>
            </w:r>
          </w:p>
        </w:tc>
        <w:tc>
          <w:tcPr>
            <w:tcW w:w="1500"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FF0000"/>
                <w:kern w:val="2"/>
                <w:sz w:val="28"/>
                <w:szCs w:val="28"/>
                <w:lang w:val="zh-CN" w:eastAsia="zh-CN" w:bidi="ar-SA"/>
              </w:rPr>
            </w:pPr>
            <w:r>
              <w:rPr>
                <w:rFonts w:hint="eastAsia" w:ascii="宋体" w:hAnsi="宋体" w:eastAsia="Times New Roman" w:cs="宋体"/>
                <w:color w:val="FF0000"/>
                <w:kern w:val="2"/>
                <w:sz w:val="28"/>
                <w:szCs w:val="28"/>
                <w:lang w:val="zh-CN" w:eastAsia="zh-CN" w:bidi="ar-SA"/>
              </w:rPr>
              <w:t>占地面积</w:t>
            </w:r>
          </w:p>
        </w:tc>
        <w:tc>
          <w:tcPr>
            <w:tcW w:w="1962"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FF0000"/>
                <w:kern w:val="2"/>
                <w:sz w:val="28"/>
                <w:szCs w:val="28"/>
                <w:lang w:val="zh-CN" w:eastAsia="zh-CN" w:bidi="ar-SA"/>
              </w:rPr>
            </w:pPr>
            <w:r>
              <w:rPr>
                <w:rFonts w:hint="eastAsia" w:hAnsi="宋体" w:cs="宋体"/>
                <w:color w:val="FF0000"/>
                <w:lang w:val="en-US" w:eastAsia="zh-CN"/>
              </w:rPr>
              <w:t>16100</w:t>
            </w:r>
            <w:r>
              <w:rPr>
                <w:rFonts w:hint="eastAsia" w:ascii="宋体" w:hAnsi="宋体" w:eastAsia="宋体" w:cs="宋体"/>
                <w:color w:val="FF0000"/>
              </w:rPr>
              <w:t>m</w:t>
            </w:r>
            <w:r>
              <w:rPr>
                <w:rFonts w:hint="eastAsia" w:ascii="宋体" w:hAnsi="宋体" w:eastAsia="宋体" w:cs="宋体"/>
                <w:color w:val="FF0000"/>
                <w:vertAlign w:val="superscript"/>
              </w:rPr>
              <w:t>2</w:t>
            </w:r>
          </w:p>
        </w:tc>
      </w:tr>
    </w:tbl>
    <w:p>
      <w:pPr>
        <w:pStyle w:val="12"/>
        <w:spacing w:line="240" w:lineRule="auto"/>
        <w:ind w:firstLine="482" w:firstLineChars="200"/>
        <w:jc w:val="center"/>
        <w:rPr>
          <w:rFonts w:hint="eastAsia" w:ascii="黑体" w:hAnsi="Courier New" w:eastAsia="黑体"/>
          <w:b/>
          <w:color w:val="auto"/>
          <w:sz w:val="24"/>
        </w:rPr>
      </w:pPr>
      <w:bookmarkStart w:id="43" w:name="_Toc332285104"/>
      <w:r>
        <w:rPr>
          <w:rFonts w:hint="eastAsia" w:ascii="黑体" w:hAnsi="Courier New" w:eastAsia="黑体"/>
          <w:b/>
          <w:color w:val="auto"/>
          <w:sz w:val="24"/>
        </w:rPr>
        <w:t>表2-1 单位基本情况一览表</w:t>
      </w:r>
    </w:p>
    <w:p>
      <w:pPr>
        <w:spacing w:line="360" w:lineRule="auto"/>
        <w:ind w:firstLine="560" w:firstLineChars="200"/>
        <w:rPr>
          <w:rFonts w:hint="eastAsia" w:ascii="仿宋_GB2312"/>
          <w:snapToGrid w:val="0"/>
          <w:kern w:val="0"/>
          <w:sz w:val="28"/>
          <w:szCs w:val="28"/>
          <w:lang w:val="en-US" w:eastAsia="zh-CN"/>
        </w:rPr>
      </w:pPr>
      <w:r>
        <w:rPr>
          <w:rFonts w:hint="eastAsia" w:ascii="仿宋_GB2312"/>
          <w:snapToGrid w:val="0"/>
          <w:kern w:val="0"/>
          <w:sz w:val="28"/>
          <w:szCs w:val="28"/>
          <w:lang w:val="en-US" w:eastAsia="zh-CN"/>
        </w:rPr>
        <w:t>仪陇县三河镇宏发页岩砖厂于2017年成立，位于仪陇县三河镇河街村4社。现有12人，安全生产管理人员由于总经理阳林、厂长阳伟、陈海明、包记成、张中福组成。公司生产规模：年产3000万匹页岩砖。</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年生产工作日为3</w:t>
      </w:r>
      <w:r>
        <w:rPr>
          <w:rFonts w:hint="eastAsia" w:ascii="宋体" w:hAnsi="宋体" w:cs="宋体"/>
          <w:color w:val="auto"/>
          <w:sz w:val="28"/>
          <w:szCs w:val="28"/>
          <w:lang w:val="en-US" w:eastAsia="zh-CN"/>
        </w:rPr>
        <w:t>30</w:t>
      </w:r>
      <w:r>
        <w:rPr>
          <w:rFonts w:hint="eastAsia" w:ascii="宋体" w:hAnsi="宋体" w:cs="宋体"/>
          <w:color w:val="auto"/>
          <w:sz w:val="28"/>
          <w:szCs w:val="28"/>
          <w:lang w:val="zh-CN" w:eastAsia="zh-CN"/>
        </w:rPr>
        <w:t>天。焙烧窑24小时燃烧，员工采取白班工作制（每班工作8小时）。</w:t>
      </w:r>
    </w:p>
    <w:p>
      <w:pPr>
        <w:pStyle w:val="5"/>
        <w:spacing w:before="0" w:after="0" w:line="360" w:lineRule="auto"/>
        <w:rPr>
          <w:rFonts w:hint="eastAsia" w:ascii="宋体" w:hAnsi="宋体" w:eastAsia="宋体" w:cs="宋体"/>
          <w:color w:val="000000"/>
          <w:sz w:val="28"/>
          <w:szCs w:val="28"/>
        </w:rPr>
      </w:pPr>
      <w:bookmarkStart w:id="44" w:name="_Toc23447"/>
      <w:bookmarkStart w:id="45" w:name="_Toc8079"/>
      <w:r>
        <w:rPr>
          <w:rFonts w:hint="eastAsia" w:ascii="宋体" w:hAnsi="宋体" w:eastAsia="宋体" w:cs="宋体"/>
          <w:color w:val="000000"/>
          <w:sz w:val="28"/>
          <w:szCs w:val="28"/>
        </w:rPr>
        <w:t>2.</w:t>
      </w:r>
      <w:r>
        <w:rPr>
          <w:rFonts w:hint="eastAsia" w:ascii="宋体" w:hAnsi="宋体" w:eastAsia="宋体" w:cs="宋体"/>
          <w:color w:val="000000"/>
          <w:sz w:val="28"/>
          <w:szCs w:val="28"/>
          <w:lang w:val="en-US" w:eastAsia="zh-CN"/>
        </w:rPr>
        <w:t>1.1</w:t>
      </w:r>
      <w:r>
        <w:rPr>
          <w:rFonts w:hint="eastAsia" w:ascii="宋体" w:hAnsi="宋体" w:eastAsia="宋体" w:cs="宋体"/>
          <w:color w:val="000000"/>
          <w:sz w:val="28"/>
          <w:szCs w:val="28"/>
        </w:rPr>
        <w:t>公司地理位置及环境等情况</w:t>
      </w:r>
      <w:bookmarkEnd w:id="43"/>
      <w:bookmarkEnd w:id="44"/>
      <w:bookmarkEnd w:id="45"/>
    </w:p>
    <w:p>
      <w:pPr>
        <w:spacing w:line="360" w:lineRule="auto"/>
        <w:ind w:firstLine="560" w:firstLineChars="200"/>
        <w:rPr>
          <w:rFonts w:hint="eastAsia" w:ascii="仿宋_GB2312" w:hAnsi="Times New Roman"/>
          <w:snapToGrid w:val="0"/>
          <w:color w:val="000000"/>
          <w:kern w:val="0"/>
          <w:sz w:val="28"/>
          <w:szCs w:val="28"/>
          <w:lang w:val="zh-CN" w:eastAsia="zh-CN" w:bidi="ar-SA"/>
        </w:rPr>
      </w:pPr>
      <w:r>
        <w:rPr>
          <w:rFonts w:hint="eastAsia" w:ascii="仿宋_GB2312" w:hAnsi="Times New Roman"/>
          <w:snapToGrid w:val="0"/>
          <w:color w:val="000000"/>
          <w:kern w:val="0"/>
          <w:sz w:val="28"/>
          <w:szCs w:val="28"/>
          <w:lang w:val="en-US" w:eastAsia="zh-CN" w:bidi="ar-SA"/>
        </w:rPr>
        <w:t>仪陇县三河镇宏发页岩砖厂</w:t>
      </w:r>
      <w:r>
        <w:rPr>
          <w:rFonts w:hint="eastAsia" w:ascii="仿宋_GB2312" w:hAnsi="Times New Roman"/>
          <w:snapToGrid w:val="0"/>
          <w:color w:val="000000"/>
          <w:kern w:val="0"/>
          <w:sz w:val="28"/>
          <w:szCs w:val="28"/>
          <w:lang w:val="zh-CN" w:eastAsia="zh-CN" w:bidi="ar-SA"/>
        </w:rPr>
        <w:t>行政区划隶属仪陇县三河镇，三河镇隶属于四川省南充市仪陇县，位于仪陇县东南部，总人口22466人，5129户，距县城69公里。东与立山镇相望、南依板桥乡；西与灯塔乡、杨桥乡接界；北与龙桥乡、柳垭镇接壤。属亚热带季风气候，四季分明。地貌以丘陵为主，多页岩丘陵。土壤尤以水稻土、红石谷子分布最广，面积最大。全镇幅员面积46平方公里，耕地面积11585.1亩，辖19个村，132个社，一个街道社区居委会和一个农村社区居委会，4个居民小组，场镇人口达5828余人，人均耕地近0.7亩。</w:t>
      </w:r>
      <w:r>
        <w:rPr>
          <w:rFonts w:hint="eastAsia" w:ascii="仿宋_GB2312"/>
          <w:snapToGrid w:val="0"/>
          <w:kern w:val="0"/>
          <w:sz w:val="28"/>
          <w:szCs w:val="28"/>
          <w:lang w:val="en-US" w:eastAsia="zh-CN"/>
        </w:rPr>
        <w:t>砖厂位于仪陇县县城（新政镇）35</w:t>
      </w:r>
      <w:r>
        <w:rPr>
          <w:rFonts w:hint="eastAsia" w:ascii="仿宋_GB2312"/>
          <w:snapToGrid w:val="0"/>
          <w:kern w:val="0"/>
          <w:sz w:val="28"/>
          <w:szCs w:val="28"/>
          <w:vertAlign w:val="superscript"/>
          <w:lang w:val="en-US" w:eastAsia="zh-CN"/>
        </w:rPr>
        <w:t>0</w:t>
      </w:r>
      <w:r>
        <w:rPr>
          <w:rFonts w:hint="eastAsia" w:ascii="仿宋_GB2312"/>
          <w:snapToGrid w:val="0"/>
          <w:kern w:val="0"/>
          <w:sz w:val="28"/>
          <w:szCs w:val="28"/>
          <w:lang w:val="en-US" w:eastAsia="zh-CN"/>
        </w:rPr>
        <w:t>方向，行政区划隶属仪陇县三河镇河街村4社，矿山毗邻砖厂，建有约110m的碎石路与仪平路相接，沿仪平路向西北约17km可达铁山乡，沿仪平路向东南约2km可达三河镇，由三河镇途经潆马路67km可达仪陇县城，全程水泥路面，交通方便。</w:t>
      </w:r>
    </w:p>
    <w:p>
      <w:pPr>
        <w:pStyle w:val="2"/>
        <w:ind w:left="0" w:leftChars="0" w:firstLine="0" w:firstLineChars="0"/>
        <w:rPr>
          <w:color w:val="000000"/>
        </w:rPr>
      </w:pPr>
      <w:r>
        <w:rPr>
          <w:color w:val="000000"/>
          <w:sz w:val="72"/>
        </w:rPr>
        <mc:AlternateContent>
          <mc:Choice Requires="wps">
            <w:drawing>
              <wp:anchor distT="0" distB="0" distL="114300" distR="114300" simplePos="0" relativeHeight="251663360" behindDoc="0" locked="0" layoutInCell="1" allowOverlap="1">
                <wp:simplePos x="0" y="0"/>
                <wp:positionH relativeFrom="column">
                  <wp:posOffset>2814955</wp:posOffset>
                </wp:positionH>
                <wp:positionV relativeFrom="paragraph">
                  <wp:posOffset>1073150</wp:posOffset>
                </wp:positionV>
                <wp:extent cx="1704975" cy="278130"/>
                <wp:effectExtent l="4445" t="5080" r="12700" b="143510"/>
                <wp:wrapNone/>
                <wp:docPr id="1" name="圆角矩形标注 1"/>
                <wp:cNvGraphicFramePr/>
                <a:graphic xmlns:a="http://schemas.openxmlformats.org/drawingml/2006/main">
                  <a:graphicData uri="http://schemas.microsoft.com/office/word/2010/wordprocessingShape">
                    <wps:wsp>
                      <wps:cNvSpPr/>
                      <wps:spPr>
                        <a:xfrm>
                          <a:off x="0" y="0"/>
                          <a:ext cx="1704975" cy="278130"/>
                        </a:xfrm>
                        <a:prstGeom prst="wedgeRoundRectCallout">
                          <a:avLst>
                            <a:gd name="adj1" fmla="val -48347"/>
                            <a:gd name="adj2" fmla="val 97718"/>
                            <a:gd name="adj3" fmla="val 16667"/>
                          </a:avLst>
                        </a:prstGeom>
                        <a:noFill/>
                        <a:ln w="9525" cap="flat" cmpd="sng">
                          <a:solidFill>
                            <a:srgbClr val="000000"/>
                          </a:solidFill>
                          <a:prstDash val="solid"/>
                          <a:miter/>
                          <a:headEnd type="none" w="med" len="med"/>
                          <a:tailEnd type="none" w="med" len="med"/>
                        </a:ln>
                      </wps:spPr>
                      <wps:txbx>
                        <w:txbxContent>
                          <w:p>
                            <w:pPr>
                              <w:rPr>
                                <w:color w:val="FF0000"/>
                                <w:sz w:val="18"/>
                                <w:szCs w:val="18"/>
                              </w:rPr>
                            </w:pPr>
                            <w:r>
                              <w:rPr>
                                <w:rFonts w:hint="eastAsia" w:ascii="宋体" w:hAnsi="宋体" w:cs="宋体"/>
                                <w:color w:val="FF0000"/>
                                <w:sz w:val="18"/>
                                <w:szCs w:val="18"/>
                                <w:lang w:val="zh-CN" w:eastAsia="zh-CN"/>
                              </w:rPr>
                              <w:t>仪陇县三河镇宏发页岩砖厂</w:t>
                            </w:r>
                          </w:p>
                        </w:txbxContent>
                      </wps:txbx>
                      <wps:bodyPr upright="1"/>
                    </wps:wsp>
                  </a:graphicData>
                </a:graphic>
              </wp:anchor>
            </w:drawing>
          </mc:Choice>
          <mc:Fallback>
            <w:pict>
              <v:shape id="_x0000_s1026" o:spid="_x0000_s1026" o:spt="62" type="#_x0000_t62" style="position:absolute;left:0pt;margin-left:221.65pt;margin-top:84.5pt;height:21.9pt;width:134.25pt;z-index:251663360;mso-width-relative:page;mso-height-relative:page;" filled="f" stroked="t" coordsize="21600,21600" o:gfxdata="UEsDBAoAAAAAAIdO4kAAAAAAAAAAAAAAAAAEAAAAZHJzL1BLAwQUAAAACACHTuJA+h3zI9kAAAAL&#10;AQAADwAAAGRycy9kb3ducmV2LnhtbE2PUUvDMBSF3wX/Q7iCby5JV+ZWm+5hMFAoqFPYa9bEptjc&#10;lCZdt3/v9UkfL+dw7veV24vv2dmOsQuoQC4EMItNMB22Cj4/9g9rYDFpNLoPaBVcbYRtdXtT6sKE&#10;Gd/t+ZBaRiMYC63ApTQUnMfGWa/jIgwWKfsKo9eJzrHlZtQzjfueZ0KsuNcd0genB7tztvk+TF4B&#10;v+7yV9z751rI6e3I58bVL7VS93dSPAFL9pL+yvCLT+hQEdMpTGgi6xXk+XJJVQpWG5KixqOUJHNS&#10;kMlsDbwq+X+H6gdQSwMEFAAAAAgAh07iQA8xe+oxAgAARQQAAA4AAABkcnMvZTJvRG9jLnhtbK1T&#10;zY7TMBC+I/EOlu/bNG23aaOme9iyXBCsduEB3NhJjPwn223SF4A7ZyRWXIAzZx5nFx6DsRu6hb0g&#10;RA7O2P488803M4uzTgq0ZdZxrQqcDoYYMVVqylVd4FcvL05mGDlPFCVCK1bgHXP4bPn40aI1ORvp&#10;RgvKLAInyuWtKXDjvcmTxJUNk8QNtGEKLittJfGwtXVCLWnBuxTJaDicJq221FhdMufgdLW/xMvo&#10;v6pY6V9UlWMeiQIDNx9XG9d1WJPlguS1JabhZU+D/AMLSbiCoAdXK+IJ2lj+wJXkpdVOV35Qapno&#10;quIlizlANunwj2yuG2JYzAXEceYgk/t/bsvn20uLOIXaYaSIhBLdvn/z49O77x++3H77eHfz9u7r&#10;Z5QGnVrjcoBfm0vb7xyYIemusjL8IR3URW13B21Z51EJh2k2nMyzU4xKuBtls3QcxU/uXxvr/FOm&#10;JQpGgVtGa3alN4peQRXPiRB646PGZPvM+Sg27SkT+hroV1JA7bZEoJPJbDzJ+uIegUbHoHmWpbOH&#10;mPExJp1Op9EP8OzDgvWLaeCg9AUXIraRUKgt8Px0FLIk0MyVIB5MaUBep+pI3mnBaXgSHjtbr8+F&#10;RcAZBItfIAQhfoOFeCvimj0uXu15S+6ZjbEbRugTRZHfGSihglnDgYxkFCPBYDSDFZGecPE3SCAh&#10;FHAJZd8XOli+W3fgJphrTXfQOxtjed1AwWKTRDj0akyin6swDMf76PR++p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od8yPZAAAACwEAAA8AAAAAAAAAAQAgAAAAIgAAAGRycy9kb3ducmV2Lnht&#10;bFBLAQIUABQAAAAIAIdO4kAPMXvqMQIAAEUEAAAOAAAAAAAAAAEAIAAAACgBAABkcnMvZTJvRG9j&#10;LnhtbFBLBQYAAAAABgAGAFkBAADLBQAAAAA=&#10;" adj="357,31907,14400">
                <v:fill on="f" focussize="0,0"/>
                <v:stroke color="#000000" joinstyle="miter"/>
                <v:imagedata o:title=""/>
                <o:lock v:ext="edit" aspectratio="f"/>
                <v:textbox>
                  <w:txbxContent>
                    <w:p>
                      <w:pPr>
                        <w:rPr>
                          <w:color w:val="FF0000"/>
                          <w:sz w:val="18"/>
                          <w:szCs w:val="18"/>
                        </w:rPr>
                      </w:pPr>
                      <w:r>
                        <w:rPr>
                          <w:rFonts w:hint="eastAsia" w:ascii="宋体" w:hAnsi="宋体" w:cs="宋体"/>
                          <w:color w:val="FF0000"/>
                          <w:sz w:val="18"/>
                          <w:szCs w:val="18"/>
                          <w:lang w:val="zh-CN" w:eastAsia="zh-CN"/>
                        </w:rPr>
                        <w:t>仪陇县三河镇宏发页岩砖厂</w:t>
                      </w:r>
                    </w:p>
                  </w:txbxContent>
                </v:textbox>
              </v:shape>
            </w:pict>
          </mc:Fallback>
        </mc:AlternateContent>
      </w:r>
      <w:r>
        <w:drawing>
          <wp:inline distT="0" distB="0" distL="114300" distR="114300">
            <wp:extent cx="5967095" cy="3160395"/>
            <wp:effectExtent l="0" t="0" r="698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967095" cy="3160395"/>
                    </a:xfrm>
                    <a:prstGeom prst="rect">
                      <a:avLst/>
                    </a:prstGeom>
                    <a:noFill/>
                    <a:ln>
                      <a:noFill/>
                    </a:ln>
                  </pic:spPr>
                </pic:pic>
              </a:graphicData>
            </a:graphic>
          </wp:inline>
        </w:drawing>
      </w:r>
    </w:p>
    <w:p>
      <w:pPr>
        <w:pStyle w:val="12"/>
        <w:spacing w:line="240" w:lineRule="auto"/>
        <w:ind w:firstLine="482" w:firstLineChars="200"/>
        <w:jc w:val="center"/>
        <w:rPr>
          <w:rFonts w:hint="eastAsia" w:ascii="黑体" w:hAnsi="Courier New" w:eastAsia="黑体"/>
          <w:b/>
          <w:color w:val="000000"/>
          <w:sz w:val="24"/>
          <w:lang w:eastAsia="zh-CN"/>
        </w:rPr>
      </w:pPr>
      <w:bookmarkStart w:id="46" w:name="_Toc26359"/>
      <w:bookmarkStart w:id="47" w:name="_Toc332285105"/>
      <w:r>
        <w:rPr>
          <w:rFonts w:hint="eastAsia" w:ascii="黑体" w:hAnsi="Courier New" w:eastAsia="黑体"/>
          <w:b/>
          <w:color w:val="000000"/>
          <w:sz w:val="24"/>
          <w:lang w:eastAsia="zh-CN"/>
        </w:rPr>
        <w:t>图2-1 地理位置图</w:t>
      </w:r>
      <w:bookmarkEnd w:id="46"/>
    </w:p>
    <w:p>
      <w:pPr>
        <w:pStyle w:val="5"/>
        <w:spacing w:before="0" w:after="0" w:line="360" w:lineRule="auto"/>
        <w:rPr>
          <w:rFonts w:hint="eastAsia" w:ascii="宋体" w:hAnsi="宋体" w:eastAsia="宋体" w:cs="宋体"/>
          <w:color w:val="000000"/>
          <w:sz w:val="28"/>
          <w:szCs w:val="28"/>
          <w:lang w:val="en-US" w:eastAsia="zh-CN"/>
        </w:rPr>
      </w:pPr>
      <w:bookmarkStart w:id="48" w:name="_Toc29661"/>
      <w:bookmarkStart w:id="49" w:name="_Toc10145"/>
      <w:r>
        <w:rPr>
          <w:rFonts w:hint="eastAsia" w:ascii="宋体" w:hAnsi="宋体" w:eastAsia="宋体" w:cs="宋体"/>
          <w:color w:val="000000"/>
          <w:sz w:val="28"/>
          <w:szCs w:val="28"/>
          <w:lang w:val="zh-CN"/>
        </w:rPr>
        <w:t>2.1.</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lang w:val="zh-CN"/>
        </w:rPr>
        <w:t>总体布置</w:t>
      </w:r>
      <w:bookmarkEnd w:id="48"/>
      <w:bookmarkEnd w:id="49"/>
    </w:p>
    <w:p>
      <w:pPr>
        <w:spacing w:line="360" w:lineRule="auto"/>
        <w:ind w:firstLine="562" w:firstLineChars="200"/>
        <w:rPr>
          <w:rFonts w:hint="eastAsia" w:ascii="宋体"/>
          <w:b/>
          <w:bCs/>
          <w:snapToGrid w:val="0"/>
          <w:color w:val="000000"/>
          <w:kern w:val="0"/>
          <w:sz w:val="28"/>
          <w:szCs w:val="28"/>
          <w:lang w:val="en-US" w:eastAsia="en-US"/>
        </w:rPr>
      </w:pPr>
      <w:r>
        <w:rPr>
          <w:rFonts w:hint="eastAsia" w:ascii="宋体" w:eastAsia="宋体"/>
          <w:b/>
          <w:bCs/>
          <w:snapToGrid w:val="0"/>
          <w:color w:val="000000"/>
          <w:kern w:val="0"/>
          <w:sz w:val="28"/>
          <w:szCs w:val="28"/>
          <w:lang w:val="en-US" w:eastAsia="zh-CN"/>
        </w:rPr>
        <w:t>1、</w:t>
      </w:r>
      <w:r>
        <w:rPr>
          <w:rFonts w:hint="eastAsia" w:ascii="宋体"/>
          <w:b/>
          <w:bCs/>
          <w:snapToGrid w:val="0"/>
          <w:color w:val="000000"/>
          <w:kern w:val="0"/>
          <w:sz w:val="28"/>
          <w:szCs w:val="28"/>
          <w:lang w:val="zh-CN" w:eastAsia="zh-CN"/>
        </w:rPr>
        <w:t>总平面布置</w:t>
      </w:r>
    </w:p>
    <w:p>
      <w:pPr>
        <w:spacing w:line="360" w:lineRule="auto"/>
        <w:ind w:firstLine="560" w:firstLineChars="200"/>
        <w:rPr>
          <w:rFonts w:hint="eastAsia" w:ascii="宋体" w:hAnsi="宋体" w:cs="宋体"/>
          <w:color w:val="FF0000"/>
          <w:sz w:val="28"/>
          <w:szCs w:val="28"/>
          <w:lang w:val="zh-CN" w:eastAsia="zh-CN"/>
        </w:rPr>
      </w:pPr>
      <w:r>
        <w:rPr>
          <w:rFonts w:hint="eastAsia" w:ascii="宋体" w:hAnsi="宋体" w:cs="宋体"/>
          <w:color w:val="FF0000"/>
          <w:sz w:val="28"/>
          <w:szCs w:val="28"/>
          <w:lang w:val="en-US" w:eastAsia="zh-CN"/>
        </w:rPr>
        <w:t>本砖厂</w:t>
      </w:r>
      <w:r>
        <w:rPr>
          <w:rFonts w:hint="eastAsia" w:ascii="宋体" w:hAnsi="宋体" w:cs="宋体"/>
          <w:color w:val="FF0000"/>
          <w:sz w:val="28"/>
          <w:szCs w:val="28"/>
          <w:lang w:val="zh-CN" w:eastAsia="zh-CN"/>
        </w:rPr>
        <w:t>占地面积为</w:t>
      </w:r>
      <w:r>
        <w:rPr>
          <w:rFonts w:hint="eastAsia" w:ascii="宋体" w:hAnsi="宋体" w:cs="宋体"/>
          <w:color w:val="FF0000"/>
          <w:sz w:val="28"/>
          <w:szCs w:val="28"/>
          <w:lang w:val="en-US" w:eastAsia="zh-CN"/>
        </w:rPr>
        <w:t>161</w:t>
      </w:r>
      <w:r>
        <w:rPr>
          <w:rFonts w:hint="eastAsia" w:ascii="宋体" w:hAnsi="宋体" w:cs="宋体"/>
          <w:color w:val="FF0000"/>
          <w:sz w:val="28"/>
          <w:szCs w:val="28"/>
          <w:lang w:val="en-US" w:eastAsia="en-US"/>
        </w:rPr>
        <w:t>00m</w:t>
      </w:r>
      <w:r>
        <w:rPr>
          <w:rFonts w:hint="eastAsia" w:ascii="宋体" w:hAnsi="宋体" w:cs="宋体"/>
          <w:color w:val="FF0000"/>
          <w:sz w:val="28"/>
          <w:szCs w:val="28"/>
          <w:vertAlign w:val="superscript"/>
          <w:lang w:val="en-US" w:eastAsia="en-US"/>
        </w:rPr>
        <w:t>2</w:t>
      </w:r>
      <w:r>
        <w:rPr>
          <w:rFonts w:hint="eastAsia" w:ascii="宋体" w:hAnsi="宋体" w:cs="宋体"/>
          <w:color w:val="FF0000"/>
          <w:sz w:val="28"/>
          <w:szCs w:val="28"/>
          <w:lang w:val="en-US" w:eastAsia="en-US"/>
        </w:rPr>
        <w:t>,</w:t>
      </w:r>
      <w:r>
        <w:rPr>
          <w:rFonts w:hint="eastAsia" w:ascii="宋体" w:hAnsi="宋体" w:cs="宋体"/>
          <w:color w:val="FF0000"/>
          <w:sz w:val="28"/>
          <w:szCs w:val="28"/>
          <w:lang w:val="en-US" w:eastAsia="zh-CN"/>
        </w:rPr>
        <w:t>厂房及办公楼3800</w:t>
      </w:r>
      <w:r>
        <w:rPr>
          <w:rFonts w:hint="eastAsia" w:ascii="宋体" w:hAnsi="宋体" w:cs="宋体"/>
          <w:color w:val="FF0000"/>
          <w:sz w:val="28"/>
          <w:szCs w:val="28"/>
          <w:lang w:val="en-US" w:eastAsia="en-US"/>
        </w:rPr>
        <w:t>m</w:t>
      </w:r>
      <w:r>
        <w:rPr>
          <w:rFonts w:hint="eastAsia" w:ascii="宋体" w:hAnsi="宋体" w:cs="宋体"/>
          <w:color w:val="FF0000"/>
          <w:sz w:val="28"/>
          <w:szCs w:val="28"/>
          <w:vertAlign w:val="superscript"/>
          <w:lang w:val="en-US" w:eastAsia="en-US"/>
        </w:rPr>
        <w:t>2</w:t>
      </w:r>
      <w:r>
        <w:rPr>
          <w:rFonts w:hint="eastAsia" w:ascii="宋体" w:hAnsi="宋体" w:cs="宋体"/>
          <w:color w:val="FF0000"/>
          <w:sz w:val="28"/>
          <w:szCs w:val="28"/>
          <w:lang w:val="en-US" w:eastAsia="en-US"/>
        </w:rPr>
        <w:t>,</w:t>
      </w:r>
      <w:r>
        <w:rPr>
          <w:rFonts w:hint="eastAsia" w:ascii="宋体" w:hAnsi="宋体" w:cs="宋体"/>
          <w:color w:val="FF0000"/>
          <w:sz w:val="28"/>
          <w:szCs w:val="28"/>
          <w:lang w:val="en-US" w:eastAsia="zh-CN"/>
        </w:rPr>
        <w:t>轮窑生产线一条（1条干燥窑，1条焙烧窑），厂区用地按功能用途分为办公生活区、生产区，并将生产区与办公生活区分开布置。</w:t>
      </w:r>
      <w:r>
        <w:rPr>
          <w:rFonts w:hint="eastAsia" w:ascii="宋体" w:hAnsi="宋体" w:cs="宋体"/>
          <w:color w:val="FF0000"/>
          <w:sz w:val="28"/>
          <w:szCs w:val="28"/>
          <w:lang w:val="zh-CN" w:eastAsia="zh-CN"/>
        </w:rPr>
        <w:t>页岩开采区设在公司西北面，占地面积</w:t>
      </w:r>
      <w:r>
        <w:rPr>
          <w:rFonts w:hint="eastAsia" w:ascii="宋体" w:hAnsi="宋体" w:cs="宋体"/>
          <w:color w:val="FF0000"/>
          <w:sz w:val="28"/>
          <w:szCs w:val="28"/>
          <w:lang w:val="en-US" w:eastAsia="zh-CN"/>
        </w:rPr>
        <w:t>7000</w:t>
      </w:r>
      <w:r>
        <w:rPr>
          <w:rFonts w:hint="eastAsia" w:ascii="宋体" w:hAnsi="宋体" w:cs="宋体"/>
          <w:color w:val="FF0000"/>
          <w:sz w:val="28"/>
          <w:szCs w:val="28"/>
          <w:lang w:val="en-US" w:eastAsia="en-US"/>
        </w:rPr>
        <w:t>m</w:t>
      </w:r>
      <w:r>
        <w:rPr>
          <w:rFonts w:hint="eastAsia" w:ascii="宋体" w:hAnsi="宋体" w:cs="宋体"/>
          <w:color w:val="FF0000"/>
          <w:sz w:val="28"/>
          <w:szCs w:val="28"/>
          <w:vertAlign w:val="superscript"/>
          <w:lang w:val="en-US" w:eastAsia="en-US"/>
        </w:rPr>
        <w:t>2</w:t>
      </w:r>
      <w:r>
        <w:rPr>
          <w:rFonts w:hint="eastAsia" w:ascii="宋体" w:hAnsi="宋体" w:cs="宋体"/>
          <w:color w:val="FF0000"/>
          <w:sz w:val="28"/>
          <w:szCs w:val="28"/>
          <w:lang w:val="en-US" w:eastAsia="zh-CN"/>
        </w:rPr>
        <w:t>；</w:t>
      </w:r>
      <w:r>
        <w:rPr>
          <w:rFonts w:hint="eastAsia" w:ascii="宋体" w:hAnsi="宋体" w:cs="宋体"/>
          <w:color w:val="FF0000"/>
          <w:sz w:val="28"/>
          <w:szCs w:val="28"/>
          <w:lang w:val="zh-CN" w:eastAsia="zh-CN"/>
        </w:rPr>
        <w:t>页岩粉碎车间布置于厂界中央西侧的位置，页岩通过就地开采直接存放于原料堆场进行粉碎，</w:t>
      </w:r>
      <w:r>
        <w:rPr>
          <w:rFonts w:hint="eastAsia" w:ascii="宋体" w:hAnsi="宋体" w:cs="宋体"/>
          <w:color w:val="FF0000"/>
          <w:sz w:val="28"/>
          <w:szCs w:val="28"/>
          <w:lang w:val="en-US" w:eastAsia="zh-CN"/>
        </w:rPr>
        <w:t>点地面积约700</w:t>
      </w:r>
      <w:r>
        <w:rPr>
          <w:rFonts w:hint="eastAsia" w:ascii="宋体" w:hAnsi="宋体" w:cs="宋体"/>
          <w:color w:val="FF0000"/>
          <w:sz w:val="28"/>
          <w:szCs w:val="28"/>
          <w:lang w:val="en-US" w:eastAsia="en-US"/>
        </w:rPr>
        <w:t>m</w:t>
      </w:r>
      <w:r>
        <w:rPr>
          <w:rFonts w:hint="eastAsia" w:ascii="宋体" w:hAnsi="宋体" w:cs="宋体"/>
          <w:color w:val="FF0000"/>
          <w:sz w:val="28"/>
          <w:szCs w:val="28"/>
          <w:vertAlign w:val="superscript"/>
          <w:lang w:val="en-US" w:eastAsia="en-US"/>
        </w:rPr>
        <w:t>2</w:t>
      </w:r>
      <w:r>
        <w:rPr>
          <w:rFonts w:hint="eastAsia" w:ascii="宋体" w:hAnsi="宋体" w:cs="宋体"/>
          <w:color w:val="FF0000"/>
          <w:sz w:val="28"/>
          <w:szCs w:val="28"/>
          <w:lang w:val="en-US" w:eastAsia="zh-CN"/>
        </w:rPr>
        <w:t>；制料区紧挨着</w:t>
      </w:r>
      <w:r>
        <w:rPr>
          <w:rFonts w:hint="eastAsia" w:ascii="宋体" w:hAnsi="宋体" w:cs="宋体"/>
          <w:color w:val="FF0000"/>
          <w:sz w:val="28"/>
          <w:szCs w:val="28"/>
          <w:lang w:val="zh-CN" w:eastAsia="zh-CN"/>
        </w:rPr>
        <w:t>粉碎车间，隧道窑生产线</w:t>
      </w:r>
      <w:r>
        <w:rPr>
          <w:rFonts w:hint="eastAsia" w:ascii="宋体" w:hAnsi="宋体" w:cs="宋体"/>
          <w:color w:val="FF0000"/>
          <w:sz w:val="28"/>
          <w:szCs w:val="28"/>
          <w:lang w:val="en-US" w:eastAsia="zh-CN"/>
        </w:rPr>
        <w:t>1</w:t>
      </w:r>
      <w:r>
        <w:rPr>
          <w:rFonts w:hint="eastAsia" w:ascii="宋体" w:hAnsi="宋体" w:cs="宋体"/>
          <w:color w:val="FF0000"/>
          <w:sz w:val="28"/>
          <w:szCs w:val="28"/>
          <w:lang w:val="zh-CN" w:eastAsia="zh-CN"/>
        </w:rPr>
        <w:t>条（1条干燥窑，1条焙烧窑）布置于厂界东侧，便于砖坯就近进入窖内进行干燥、焙烧，减少运输环节。公用工程：原料棚、成品堆场、绿化、道路及硬化工程等，以及相应环保工程等，</w:t>
      </w:r>
      <w:r>
        <w:rPr>
          <w:rFonts w:hint="eastAsia" w:ascii="宋体" w:hAnsi="宋体" w:cs="宋体"/>
          <w:color w:val="FF0000"/>
          <w:sz w:val="28"/>
          <w:szCs w:val="28"/>
          <w:lang w:val="en-US" w:eastAsia="zh-CN"/>
        </w:rPr>
        <w:t>其余工序按破碎—筛选―搅拌—陈化—切坯―码坯—干燥—焙烧工序依次设置，布局紧凑，工作方便。办公区位于厂区南面和东南面。详情如图2-2所示</w:t>
      </w:r>
    </w:p>
    <w:p>
      <w:pPr>
        <w:pStyle w:val="2"/>
        <w:ind w:left="0" w:leftChars="0" w:firstLine="0" w:firstLineChars="0"/>
        <w:jc w:val="both"/>
        <w:rPr>
          <w:rFonts w:hint="eastAsia"/>
          <w:lang w:val="zh-CN"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4840605</wp:posOffset>
                </wp:positionH>
                <wp:positionV relativeFrom="paragraph">
                  <wp:posOffset>307975</wp:posOffset>
                </wp:positionV>
                <wp:extent cx="549910" cy="487045"/>
                <wp:effectExtent l="22225" t="5080" r="37465" b="10795"/>
                <wp:wrapNone/>
                <wp:docPr id="3" name="上箭头 3"/>
                <wp:cNvGraphicFramePr/>
                <a:graphic xmlns:a="http://schemas.openxmlformats.org/drawingml/2006/main">
                  <a:graphicData uri="http://schemas.microsoft.com/office/word/2010/wordprocessingShape">
                    <wps:wsp>
                      <wps:cNvSpPr/>
                      <wps:spPr>
                        <a:xfrm>
                          <a:off x="0" y="0"/>
                          <a:ext cx="549910" cy="487045"/>
                        </a:xfrm>
                        <a:prstGeom prst="up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北</w:t>
                            </w:r>
                          </w:p>
                        </w:txbxContent>
                      </wps:txbx>
                      <wps:bodyPr upright="1"/>
                    </wps:wsp>
                  </a:graphicData>
                </a:graphic>
              </wp:anchor>
            </w:drawing>
          </mc:Choice>
          <mc:Fallback>
            <w:pict>
              <v:shape id="_x0000_s1026" o:spid="_x0000_s1026" o:spt="68" type="#_x0000_t68" style="position:absolute;left:0pt;margin-left:381.15pt;margin-top:24.25pt;height:38.35pt;width:43.3pt;z-index:251672576;mso-width-relative:page;mso-height-relative:page;" fillcolor="#FFFFFF" filled="t" stroked="t" coordsize="21600,21600" o:gfxdata="UEsDBAoAAAAAAIdO4kAAAAAAAAAAAAAAAAAEAAAAZHJzL1BLAwQUAAAACACHTuJAKar+YdkAAAAK&#10;AQAADwAAAGRycy9kb3ducmV2LnhtbE2Py07DMBBF90j8gzVI7KjT0IcJcbpA6qJILCgRazeeJmn9&#10;iGw3DX/PsKLL0T2690y5maxhI4bYeydhPsuAoWu87l0rof7aPglgMSmnlfEOJfxghE11f1eqQvur&#10;+8Rxn1pGJS4WSkKX0lBwHpsOrYozP6Cj7OiDVYnO0HId1JXKreF5lq24Vb2jhU4N+NZhc95frITG&#10;jN9hvfvQx+m05fV7qHdK1FI+PsyzV2AJp/QPw58+qUNFTgd/cToyI2G9yp8JlbAQS2AEiIV4AXYg&#10;Ml/mwKuS375Q/QJQSwMEFAAAAAgAh07iQDGezbEOAgAAMQQAAA4AAABkcnMvZTJvRG9jLnhtbK1T&#10;y47TMBTdI/EPlvc0SaeBadV0hChlg2CkgQ9w/UiM/JLtNukv8B1sYcViPgjEb3Dthk4LG4TIwrm2&#10;r4/vOed6eTNohfbcB2lNg6tJiRE31DJp2ga/f7d5co1RiMQwoqzhDT7wgG9Wjx8te7fgU9tZxbhH&#10;AGLConcN7mJ0i6IItOOahIl13MCmsF6TCFPfFsyTHtC1KqZl+bTorWfOW8pDgNX1cROvMr4QnMa3&#10;QgQekWow1Bbz6PO4TWOxWpJF64nrJB3LIP9QhSbSwKUnqDWJBO28/ANKS+ptsCJOqNWFFUJSnjkA&#10;m6r8jc1dRxzPXECc4E4yhf8HS9/sbz2SrMFXGBmiwaJv9x9/fPn8/dNXdJXk6V1YQNadu/XjLECY&#10;uA7C6/QHFmjIkh5OkvIhIgqL9Ww+r0B4Cluz62flrE6YxcNh50N8xa1GKWjwzj333vZZS7J/HWIW&#10;lY2lEfahwkhoBR7tiUJ1Cd/o4VnO9DxnmpLGS0dEuP7XtQk+WCXZRiqVJ77dvlAeAXyDN/kbD1+k&#10;KYP6Bs/raQ3cCDSuUCRCqB1IGUybCVycCOfAqe5TVRdpqbA1Cd2xgLx1JKhl5D63a8cJe2kYigcH&#10;dhl4VzgVoznDSHF4hinKmZFI9TeZIIgyYEvy+uhuiuKwHUbLt5YdoE92zsu2A5uqrElKgr7Mfo5v&#10;KDX++TyDPrz0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pqv5h2QAAAAoBAAAPAAAAAAAAAAEA&#10;IAAAACIAAABkcnMvZG93bnJldi54bWxQSwECFAAUAAAACACHTuJAMZ7NsQ4CAAAxBAAADgAAAAAA&#10;AAABACAAAAAoAQAAZHJzL2Uyb0RvYy54bWxQSwUGAAAAAAYABgBZAQAAqAUAAAAA&#10;" adj="5400,5400">
                <v:fill on="t" focussize="0,0"/>
                <v:stroke color="#000000" joinstyle="miter"/>
                <v:imagedata o:title=""/>
                <o:lock v:ext="edit" aspectratio="f"/>
                <v:textbox>
                  <w:txbxContent>
                    <w:p>
                      <w:pPr>
                        <w:rPr>
                          <w:rFonts w:hint="eastAsia" w:eastAsia="宋体"/>
                          <w:lang w:eastAsia="zh-CN"/>
                        </w:rPr>
                      </w:pPr>
                      <w:r>
                        <w:rPr>
                          <w:rFonts w:hint="eastAsia"/>
                          <w:lang w:eastAsia="zh-CN"/>
                        </w:rPr>
                        <w:t>北</w:t>
                      </w:r>
                    </w:p>
                  </w:txbxContent>
                </v:textbox>
              </v:shape>
            </w:pict>
          </mc:Fallback>
        </mc:AlternateContent>
      </w:r>
      <w:r>
        <w:drawing>
          <wp:inline distT="0" distB="0" distL="114300" distR="114300">
            <wp:extent cx="5249545" cy="4709795"/>
            <wp:effectExtent l="0" t="0" r="825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249545" cy="4709795"/>
                    </a:xfrm>
                    <a:prstGeom prst="rect">
                      <a:avLst/>
                    </a:prstGeom>
                    <a:noFill/>
                    <a:ln>
                      <a:noFill/>
                    </a:ln>
                  </pic:spPr>
                </pic:pic>
              </a:graphicData>
            </a:graphic>
          </wp:inline>
        </w:drawing>
      </w:r>
    </w:p>
    <w:p>
      <w:pPr>
        <w:pStyle w:val="12"/>
        <w:spacing w:line="240" w:lineRule="auto"/>
        <w:ind w:firstLine="482" w:firstLineChars="200"/>
        <w:jc w:val="center"/>
        <w:rPr>
          <w:rFonts w:hint="default" w:ascii="黑体" w:hAnsi="Courier New" w:eastAsia="黑体"/>
          <w:b/>
          <w:color w:val="auto"/>
          <w:sz w:val="24"/>
          <w:lang w:val="en-US"/>
        </w:rPr>
      </w:pPr>
      <w:r>
        <w:rPr>
          <w:rFonts w:hint="eastAsia" w:ascii="黑体" w:hAnsi="Courier New" w:eastAsia="黑体"/>
          <w:b/>
          <w:color w:val="auto"/>
          <w:sz w:val="24"/>
          <w:lang w:eastAsia="zh-CN"/>
        </w:rPr>
        <w:t>图</w:t>
      </w:r>
      <w:r>
        <w:rPr>
          <w:rFonts w:hint="eastAsia" w:ascii="黑体" w:hAnsi="Courier New" w:eastAsia="黑体"/>
          <w:b/>
          <w:color w:val="auto"/>
          <w:sz w:val="24"/>
          <w:lang w:val="en-US" w:eastAsia="zh-CN"/>
        </w:rPr>
        <w:t>2-2  总平面布局示意图</w:t>
      </w:r>
    </w:p>
    <w:p>
      <w:pPr>
        <w:pStyle w:val="5"/>
        <w:spacing w:before="0" w:after="0" w:line="360" w:lineRule="auto"/>
        <w:rPr>
          <w:rFonts w:hint="eastAsia" w:ascii="宋体" w:hAnsi="宋体" w:eastAsia="宋体" w:cs="宋体"/>
          <w:color w:val="auto"/>
          <w:sz w:val="28"/>
          <w:szCs w:val="28"/>
          <w:lang w:val="zh-CN"/>
        </w:rPr>
      </w:pPr>
      <w:bookmarkStart w:id="50" w:name="_Toc30828"/>
      <w:bookmarkStart w:id="51" w:name="_Toc440539582"/>
      <w:bookmarkStart w:id="52" w:name="_Toc18802"/>
      <w:bookmarkStart w:id="53" w:name="_Toc22345"/>
      <w:r>
        <w:rPr>
          <w:rFonts w:hint="eastAsia" w:ascii="宋体" w:hAnsi="宋体" w:eastAsia="宋体" w:cs="宋体"/>
          <w:color w:val="auto"/>
          <w:sz w:val="28"/>
          <w:szCs w:val="28"/>
          <w:lang w:val="zh-CN"/>
        </w:rPr>
        <w:t>2.</w:t>
      </w: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CN"/>
        </w:rPr>
        <w:t>周边环境</w:t>
      </w:r>
      <w:bookmarkEnd w:id="50"/>
      <w:bookmarkEnd w:id="51"/>
      <w:bookmarkEnd w:id="52"/>
      <w:bookmarkEnd w:id="53"/>
    </w:p>
    <w:p>
      <w:pPr>
        <w:spacing w:line="360" w:lineRule="auto"/>
        <w:ind w:firstLine="560" w:firstLineChars="200"/>
        <w:rPr>
          <w:rFonts w:hint="eastAsia" w:ascii="宋体" w:hAnsi="宋体"/>
          <w:sz w:val="28"/>
          <w:szCs w:val="28"/>
          <w:lang w:val="en-US" w:eastAsia="zh-CN"/>
        </w:rPr>
      </w:pPr>
      <w:r>
        <w:rPr>
          <w:rFonts w:hint="eastAsia" w:ascii="宋体" w:hAnsi="宋体"/>
          <w:sz w:val="28"/>
          <w:szCs w:val="28"/>
          <w:lang w:val="en-US" w:eastAsia="zh-CN"/>
        </w:rPr>
        <w:t>砖厂厂界南侧50m有一农户，厂界南侧30m的住房为员工宿舍。厂区北边为河沟，厂区东北侧为废品收购站；东边为耕地。西面为耕地。加油站离厂界有约500m。矿区坐南朝北，南面靠山（坡地），北面为矿山作业广场，西、东两面基本属荒坡，夹杂部分耕地。砖厂窑体位于矿山东北侧，距采场底盘约66m。矿区四周300m安全警戒范围内，无重要公共建筑物或生产厂房，无高压输电线及通信线跨越矿区上空，远离人口密集区和商业区。</w:t>
      </w:r>
    </w:p>
    <w:p>
      <w:pPr>
        <w:pStyle w:val="2"/>
        <w:ind w:left="0" w:leftChars="0" w:firstLine="0" w:firstLineChars="0"/>
      </w:pPr>
      <w:r>
        <w:rPr>
          <w:sz w:val="21"/>
        </w:rPr>
        <mc:AlternateContent>
          <mc:Choice Requires="wps">
            <w:drawing>
              <wp:anchor distT="0" distB="0" distL="114300" distR="114300" simplePos="0" relativeHeight="251670528" behindDoc="0" locked="0" layoutInCell="1" allowOverlap="1">
                <wp:simplePos x="0" y="0"/>
                <wp:positionH relativeFrom="column">
                  <wp:posOffset>1776095</wp:posOffset>
                </wp:positionH>
                <wp:positionV relativeFrom="paragraph">
                  <wp:posOffset>1936750</wp:posOffset>
                </wp:positionV>
                <wp:extent cx="1240790" cy="523240"/>
                <wp:effectExtent l="0" t="0" r="0" b="0"/>
                <wp:wrapNone/>
                <wp:docPr id="5" name="矩形 5"/>
                <wp:cNvGraphicFramePr/>
                <a:graphic xmlns:a="http://schemas.openxmlformats.org/drawingml/2006/main">
                  <a:graphicData uri="http://schemas.microsoft.com/office/word/2010/wordprocessingShape">
                    <wps:wsp>
                      <wps:cNvSpPr/>
                      <wps:spPr>
                        <a:xfrm>
                          <a:off x="0" y="0"/>
                          <a:ext cx="1240790" cy="523240"/>
                        </a:xfrm>
                        <a:prstGeom prst="rect">
                          <a:avLst/>
                        </a:prstGeom>
                        <a:noFill/>
                        <a:ln>
                          <a:noFill/>
                        </a:ln>
                      </wps:spPr>
                      <wps:txbx>
                        <w:txbxContent>
                          <w:p>
                            <w:pPr>
                              <w:rPr>
                                <w:b/>
                                <w:bCs/>
                                <w:color w:val="FF0000"/>
                                <w:sz w:val="21"/>
                                <w:szCs w:val="21"/>
                              </w:rPr>
                            </w:pPr>
                            <w:r>
                              <w:rPr>
                                <w:rFonts w:hint="eastAsia" w:ascii="宋体" w:hAnsi="宋体" w:cs="宋体"/>
                                <w:b/>
                                <w:bCs/>
                                <w:color w:val="FF0000"/>
                                <w:sz w:val="21"/>
                                <w:szCs w:val="21"/>
                                <w:lang w:val="zh-CN" w:eastAsia="zh-CN"/>
                              </w:rPr>
                              <w:t>仪陇县三河镇宏发页岩砖厂</w:t>
                            </w:r>
                          </w:p>
                          <w:p>
                            <w:pPr>
                              <w:rPr>
                                <w:b/>
                                <w:bCs/>
                              </w:rPr>
                            </w:pPr>
                          </w:p>
                        </w:txbxContent>
                      </wps:txbx>
                      <wps:bodyPr upright="1"/>
                    </wps:wsp>
                  </a:graphicData>
                </a:graphic>
              </wp:anchor>
            </w:drawing>
          </mc:Choice>
          <mc:Fallback>
            <w:pict>
              <v:rect id="_x0000_s1026" o:spid="_x0000_s1026" o:spt="1" style="position:absolute;left:0pt;margin-left:139.85pt;margin-top:152.5pt;height:41.2pt;width:97.7pt;z-index:251670528;mso-width-relative:page;mso-height-relative:page;" filled="f" stroked="f" coordsize="21600,21600" o:gfxdata="UEsDBAoAAAAAAIdO4kAAAAAAAAAAAAAAAAAEAAAAZHJzL1BLAwQUAAAACACHTuJAyfdRz9wAAAAL&#10;AQAADwAAAGRycy9kb3ducmV2LnhtbE2PwU7DMAyG70i8Q2QkLmhLOrZ1lKY7TEJMCGmig52z1rQV&#10;jdM1WTveHnOCo+1Pv78/XV9sKwbsfeNIQzRVIJAKVzZUaXjfP01WIHwwVJrWEWr4Rg/r7PoqNUnp&#10;RnrDIQ+V4BDyidFQh9AlUvqiRmv81HVIfPt0vTWBx76SZW9GDretnCm1lNY0xB9q0+GmxuIrP1sN&#10;Y7EbDvvXZ7m7O2wdnbanTf7xovXtTaQeQQS8hD8YfvVZHTJ2OrozlV60GmbxQ8yohnu14FJMzONF&#10;BOLIm1U8B5ml8n+H7AdQSwMEFAAAAAgAh07iQMM3KdODAQAA8wIAAA4AAABkcnMvZTJvRG9jLnht&#10;bK1SS07DMBDdI3EHy3vqtFA+UVM2VdkgQAIO4Dp2Yyn+aGya9DRI7DgEx0Fcg7Fbym+H2Ew8n7x5&#10;79mT8960ZCUhaGcrOhwUlEgrXK3tsqL3d/ODU0pC5LbmrbOyomsZ6Pl0f2/S+VKOXOPaWgJBEBvK&#10;zle0idGXjAXRSMPDwHlpsakcGB4xhSWrgXeIblo2Kopj1jmoPTghQ8DqbNOk04yvlBTxWqkgI2kr&#10;itxijpDjIkU2nfByCdw3Wmxp8D+wMFxbXLqDmvHIyQPoX1BGC3DBqTgQzjCnlBYya0A1w+KHmtuG&#10;e5m1oDnB72wK/wcrrlY3QHRd0TEllhu8orfH59eXJzJO3nQ+lDhy629gmwU8JqG9ApO+KIH02c/1&#10;zk/ZRyKwOBwdFSdnaLvA3nh0iGkCZZ9/ewjxQjpD0qGigPeVbeSryxA3ox8jaZl1c922WOdla78V&#10;EDNVWCK8oZhOsV/0W94LV69R6YMHvWxw1TAzSUPobOa0fQXp6r7mGfTzrU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Mn3Uc/cAAAACwEAAA8AAAAAAAAAAQAgAAAAIgAAAGRycy9kb3ducmV2Lnht&#10;bFBLAQIUABQAAAAIAIdO4kDDNynTgwEAAPMCAAAOAAAAAAAAAAEAIAAAACsBAABkcnMvZTJvRG9j&#10;LnhtbFBLBQYAAAAABgAGAFkBAAAgBQAAAAA=&#10;">
                <v:fill on="f" focussize="0,0"/>
                <v:stroke on="f"/>
                <v:imagedata o:title=""/>
                <o:lock v:ext="edit" aspectratio="f"/>
                <v:textbox>
                  <w:txbxContent>
                    <w:p>
                      <w:pPr>
                        <w:rPr>
                          <w:b/>
                          <w:bCs/>
                          <w:color w:val="FF0000"/>
                          <w:sz w:val="21"/>
                          <w:szCs w:val="21"/>
                        </w:rPr>
                      </w:pPr>
                      <w:r>
                        <w:rPr>
                          <w:rFonts w:hint="eastAsia" w:ascii="宋体" w:hAnsi="宋体" w:cs="宋体"/>
                          <w:b/>
                          <w:bCs/>
                          <w:color w:val="FF0000"/>
                          <w:sz w:val="21"/>
                          <w:szCs w:val="21"/>
                          <w:lang w:val="zh-CN" w:eastAsia="zh-CN"/>
                        </w:rPr>
                        <w:t>仪陇县三河镇宏发页岩砖厂</w:t>
                      </w:r>
                    </w:p>
                    <w:p>
                      <w:pPr>
                        <w:rPr>
                          <w:b/>
                          <w:bCs/>
                        </w:rPr>
                      </w:pPr>
                    </w:p>
                  </w:txbxContent>
                </v:textbox>
              </v:rect>
            </w:pict>
          </mc:Fallback>
        </mc:AlternateContent>
      </w:r>
      <w:r>
        <w:drawing>
          <wp:inline distT="0" distB="0" distL="114300" distR="114300">
            <wp:extent cx="5775960" cy="370332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775960" cy="3703320"/>
                    </a:xfrm>
                    <a:prstGeom prst="rect">
                      <a:avLst/>
                    </a:prstGeom>
                    <a:noFill/>
                    <a:ln>
                      <a:noFill/>
                    </a:ln>
                  </pic:spPr>
                </pic:pic>
              </a:graphicData>
            </a:graphic>
          </wp:inline>
        </w:drawing>
      </w:r>
    </w:p>
    <w:p>
      <w:pPr>
        <w:pStyle w:val="2"/>
        <w:jc w:val="center"/>
        <w:rPr>
          <w:rFonts w:hint="eastAsia"/>
          <w:b/>
          <w:bCs/>
          <w:lang w:val="en-US" w:eastAsia="zh-CN"/>
        </w:rPr>
      </w:pPr>
      <w:r>
        <w:rPr>
          <w:rFonts w:hint="eastAsia"/>
          <w:b/>
          <w:bCs/>
          <w:lang w:val="en-US" w:eastAsia="zh-CN"/>
        </w:rPr>
        <w:t>图2-3  周边环境示意图</w:t>
      </w:r>
    </w:p>
    <w:p>
      <w:pPr>
        <w:pStyle w:val="5"/>
        <w:spacing w:before="0" w:after="0" w:line="360" w:lineRule="auto"/>
        <w:rPr>
          <w:rFonts w:hint="eastAsia" w:ascii="宋体" w:hAnsi="宋体" w:eastAsia="宋体" w:cs="宋体"/>
          <w:color w:val="FF0000"/>
          <w:sz w:val="28"/>
          <w:szCs w:val="28"/>
          <w:lang w:val="zh-CN"/>
        </w:rPr>
      </w:pPr>
      <w:bookmarkStart w:id="54" w:name="_Toc440539584"/>
      <w:bookmarkStart w:id="55" w:name="_Toc18761"/>
      <w:bookmarkStart w:id="56" w:name="_Toc25723"/>
      <w:bookmarkStart w:id="57" w:name="_Toc4770"/>
      <w:r>
        <w:rPr>
          <w:rFonts w:hint="eastAsia" w:ascii="宋体" w:hAnsi="宋体" w:eastAsia="宋体" w:cs="宋体"/>
          <w:color w:val="FF0000"/>
          <w:sz w:val="28"/>
          <w:szCs w:val="28"/>
          <w:lang w:val="zh-CN"/>
        </w:rPr>
        <w:t>2.1.</w:t>
      </w:r>
      <w:r>
        <w:rPr>
          <w:rFonts w:hint="eastAsia" w:ascii="宋体" w:hAnsi="宋体" w:eastAsia="宋体" w:cs="宋体"/>
          <w:color w:val="FF0000"/>
          <w:sz w:val="28"/>
          <w:szCs w:val="28"/>
          <w:lang w:val="en-US" w:eastAsia="zh-CN"/>
        </w:rPr>
        <w:t>4</w:t>
      </w:r>
      <w:r>
        <w:rPr>
          <w:rFonts w:hint="eastAsia" w:ascii="宋体" w:hAnsi="宋体" w:eastAsia="宋体" w:cs="宋体"/>
          <w:color w:val="FF0000"/>
          <w:sz w:val="28"/>
          <w:szCs w:val="28"/>
          <w:lang w:val="zh-CN"/>
        </w:rPr>
        <w:t>工艺流程</w:t>
      </w:r>
      <w:bookmarkEnd w:id="54"/>
      <w:bookmarkEnd w:id="55"/>
      <w:bookmarkEnd w:id="56"/>
      <w:bookmarkEnd w:id="57"/>
    </w:p>
    <w:p>
      <w:pPr>
        <w:spacing w:line="360" w:lineRule="auto"/>
        <w:ind w:firstLine="562" w:firstLineChars="200"/>
        <w:rPr>
          <w:rFonts w:hint="eastAsia" w:ascii="宋体"/>
          <w:b/>
          <w:bCs/>
          <w:snapToGrid w:val="0"/>
          <w:color w:val="FF0000"/>
          <w:kern w:val="0"/>
          <w:sz w:val="28"/>
          <w:szCs w:val="28"/>
          <w:lang w:val="en-US" w:eastAsia="zh-CN"/>
        </w:rPr>
      </w:pPr>
      <w:bookmarkStart w:id="58" w:name="_Toc515872918"/>
      <w:bookmarkStart w:id="59" w:name="_Toc480804369"/>
      <w:bookmarkStart w:id="60" w:name="_Toc356380956"/>
      <w:bookmarkStart w:id="61" w:name="_Toc356401465"/>
      <w:bookmarkStart w:id="62" w:name="_Toc480804370"/>
      <w:bookmarkStart w:id="63" w:name="_Toc356401466"/>
      <w:bookmarkStart w:id="64" w:name="_Toc356380957"/>
      <w:bookmarkStart w:id="65" w:name="_Toc515872919"/>
      <w:r>
        <w:rPr>
          <w:rFonts w:hint="eastAsia" w:ascii="宋体"/>
          <w:b/>
          <w:bCs/>
          <w:snapToGrid w:val="0"/>
          <w:color w:val="FF0000"/>
          <w:kern w:val="0"/>
          <w:sz w:val="28"/>
          <w:szCs w:val="28"/>
          <w:lang w:val="en-US" w:eastAsia="zh-CN"/>
        </w:rPr>
        <w:t>1、生产工艺流程图</w:t>
      </w:r>
      <w:bookmarkEnd w:id="58"/>
      <w:bookmarkEnd w:id="59"/>
      <w:bookmarkEnd w:id="60"/>
      <w:bookmarkEnd w:id="61"/>
    </w:p>
    <w:p>
      <w:pPr>
        <w:spacing w:line="360" w:lineRule="auto"/>
        <w:ind w:firstLine="560" w:firstLineChars="200"/>
        <w:rPr>
          <w:rFonts w:hint="eastAsia" w:ascii="宋体"/>
          <w:snapToGrid w:val="0"/>
          <w:color w:val="FF0000"/>
          <w:kern w:val="0"/>
          <w:sz w:val="28"/>
          <w:szCs w:val="28"/>
          <w:lang w:val="zh-CN" w:eastAsia="zh-CN"/>
        </w:rPr>
      </w:pPr>
      <w:r>
        <w:rPr>
          <w:rFonts w:hint="eastAsia" w:ascii="宋体"/>
          <w:snapToGrid w:val="0"/>
          <w:color w:val="FF0000"/>
          <w:kern w:val="0"/>
          <w:sz w:val="28"/>
          <w:szCs w:val="28"/>
          <w:lang w:val="zh-CN" w:eastAsia="zh-CN"/>
        </w:rPr>
        <w:t>标砖生产主要包括采矿、破碎、筛分、搅拌、制胚、进胚、烧窑、装车8大工序，各工序按照工艺流程布置在各自区域内。公司隧道窑采用环保节能式的隧道窑，首次烧结采用精煤助燃，顺利开窑后可利用标砖中含有的煤自燃热量进行烧结，待自然冷却后装车装车外售。生产工艺流程如图：</w:t>
      </w:r>
    </w:p>
    <w:p>
      <w:pPr>
        <w:spacing w:line="360" w:lineRule="auto"/>
        <w:ind w:firstLine="560" w:firstLineChars="200"/>
        <w:rPr>
          <w:rFonts w:hint="eastAsia" w:ascii="宋体"/>
          <w:snapToGrid w:val="0"/>
          <w:color w:val="auto"/>
          <w:kern w:val="0"/>
          <w:sz w:val="28"/>
          <w:szCs w:val="28"/>
        </w:rPr>
      </w:pPr>
      <w:r>
        <w:rPr>
          <w:rFonts w:hint="eastAsia" w:ascii="宋体"/>
          <w:color w:val="FF0000"/>
          <w:kern w:val="0"/>
          <w:sz w:val="28"/>
          <w:szCs w:val="28"/>
        </w:rPr>
        <mc:AlternateContent>
          <mc:Choice Requires="wpg">
            <w:drawing>
              <wp:anchor distT="0" distB="0" distL="114300" distR="114300" simplePos="0" relativeHeight="251669504" behindDoc="0" locked="0" layoutInCell="1" allowOverlap="1">
                <wp:simplePos x="0" y="0"/>
                <wp:positionH relativeFrom="column">
                  <wp:posOffset>18415</wp:posOffset>
                </wp:positionH>
                <wp:positionV relativeFrom="paragraph">
                  <wp:posOffset>635</wp:posOffset>
                </wp:positionV>
                <wp:extent cx="5632450" cy="2139950"/>
                <wp:effectExtent l="4445" t="4445" r="17145" b="19685"/>
                <wp:wrapNone/>
                <wp:docPr id="40" name="组合 40"/>
                <wp:cNvGraphicFramePr/>
                <a:graphic xmlns:a="http://schemas.openxmlformats.org/drawingml/2006/main">
                  <a:graphicData uri="http://schemas.microsoft.com/office/word/2010/wordprocessingGroup">
                    <wpg:wgp>
                      <wpg:cNvGrpSpPr/>
                      <wpg:grpSpPr>
                        <a:xfrm>
                          <a:off x="0" y="0"/>
                          <a:ext cx="5632450" cy="2139950"/>
                          <a:chOff x="2310" y="7530"/>
                          <a:chExt cx="7665" cy="4815"/>
                        </a:xfrm>
                      </wpg:grpSpPr>
                      <wps:wsp>
                        <wps:cNvPr id="8" name="矩形 8"/>
                        <wps:cNvSpPr/>
                        <wps:spPr>
                          <a:xfrm>
                            <a:off x="231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煤矸石、页岩</w:t>
                              </w:r>
                            </w:p>
                          </w:txbxContent>
                        </wps:txbx>
                        <wps:bodyPr upright="1"/>
                      </wps:wsp>
                      <wps:wsp>
                        <wps:cNvPr id="9" name="直接箭头连接符 9"/>
                        <wps:cNvCnPr/>
                        <wps:spPr>
                          <a:xfrm>
                            <a:off x="3930" y="7860"/>
                            <a:ext cx="390" cy="0"/>
                          </a:xfrm>
                          <a:prstGeom prst="straightConnector1">
                            <a:avLst/>
                          </a:prstGeom>
                          <a:ln w="9525" cap="flat" cmpd="sng">
                            <a:solidFill>
                              <a:srgbClr val="000000"/>
                            </a:solidFill>
                            <a:prstDash val="solid"/>
                            <a:headEnd type="none" w="med" len="med"/>
                            <a:tailEnd type="triangle" w="med" len="med"/>
                          </a:ln>
                        </wps:spPr>
                        <wps:bodyPr/>
                      </wps:wsp>
                      <wps:wsp>
                        <wps:cNvPr id="10" name="矩形 10"/>
                        <wps:cNvSpPr/>
                        <wps:spPr>
                          <a:xfrm>
                            <a:off x="432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板式给料机</w:t>
                              </w:r>
                            </w:p>
                          </w:txbxContent>
                        </wps:txbx>
                        <wps:bodyPr upright="1"/>
                      </wps:wsp>
                      <wps:wsp>
                        <wps:cNvPr id="11" name="直接箭头连接符 11"/>
                        <wps:cNvCnPr/>
                        <wps:spPr>
                          <a:xfrm>
                            <a:off x="3060" y="9525"/>
                            <a:ext cx="0" cy="825"/>
                          </a:xfrm>
                          <a:prstGeom prst="straightConnector1">
                            <a:avLst/>
                          </a:prstGeom>
                          <a:ln w="9525" cap="flat" cmpd="sng">
                            <a:solidFill>
                              <a:srgbClr val="000000"/>
                            </a:solidFill>
                            <a:prstDash val="solid"/>
                            <a:headEnd type="none" w="med" len="med"/>
                            <a:tailEnd type="triangle" w="med" len="med"/>
                          </a:ln>
                        </wps:spPr>
                        <wps:bodyPr/>
                      </wps:wsp>
                      <wps:wsp>
                        <wps:cNvPr id="12" name="直接箭头连接符 12"/>
                        <wps:cNvCnPr/>
                        <wps:spPr>
                          <a:xfrm>
                            <a:off x="5940" y="7845"/>
                            <a:ext cx="390" cy="0"/>
                          </a:xfrm>
                          <a:prstGeom prst="straightConnector1">
                            <a:avLst/>
                          </a:prstGeom>
                          <a:ln w="9525" cap="flat" cmpd="sng">
                            <a:solidFill>
                              <a:srgbClr val="000000"/>
                            </a:solidFill>
                            <a:prstDash val="solid"/>
                            <a:headEnd type="none" w="med" len="med"/>
                            <a:tailEnd type="triangle" w="med" len="med"/>
                          </a:ln>
                        </wps:spPr>
                        <wps:bodyPr/>
                      </wps:wsp>
                      <wps:wsp>
                        <wps:cNvPr id="13" name="矩形 13"/>
                        <wps:cNvSpPr/>
                        <wps:spPr>
                          <a:xfrm>
                            <a:off x="633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鄂破机</w:t>
                              </w:r>
                            </w:p>
                          </w:txbxContent>
                        </wps:txbx>
                        <wps:bodyPr upright="1"/>
                      </wps:wsp>
                      <wps:wsp>
                        <wps:cNvPr id="14" name="直接箭头连接符 14"/>
                        <wps:cNvCnPr/>
                        <wps:spPr>
                          <a:xfrm>
                            <a:off x="7950" y="7845"/>
                            <a:ext cx="390" cy="0"/>
                          </a:xfrm>
                          <a:prstGeom prst="straightConnector1">
                            <a:avLst/>
                          </a:prstGeom>
                          <a:ln w="9525" cap="flat" cmpd="sng">
                            <a:solidFill>
                              <a:srgbClr val="000000"/>
                            </a:solidFill>
                            <a:prstDash val="solid"/>
                            <a:headEnd type="none" w="med" len="med"/>
                            <a:tailEnd type="triangle" w="med" len="med"/>
                          </a:ln>
                        </wps:spPr>
                        <wps:bodyPr/>
                      </wps:wsp>
                      <wps:wsp>
                        <wps:cNvPr id="15" name="矩形 15"/>
                        <wps:cNvSpPr/>
                        <wps:spPr>
                          <a:xfrm>
                            <a:off x="834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细破机</w:t>
                              </w:r>
                            </w:p>
                          </w:txbxContent>
                        </wps:txbx>
                        <wps:bodyPr upright="1"/>
                      </wps:wsp>
                      <wps:wsp>
                        <wps:cNvPr id="16" name="矩形 16"/>
                        <wps:cNvSpPr/>
                        <wps:spPr>
                          <a:xfrm>
                            <a:off x="834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双轴搅拌机</w:t>
                              </w:r>
                            </w:p>
                          </w:txbxContent>
                        </wps:txbx>
                        <wps:bodyPr upright="1"/>
                      </wps:wsp>
                      <wps:wsp>
                        <wps:cNvPr id="17" name="矩形 17"/>
                        <wps:cNvSpPr/>
                        <wps:spPr>
                          <a:xfrm>
                            <a:off x="633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液压多斗挖掘</w:t>
                              </w:r>
                            </w:p>
                          </w:txbxContent>
                        </wps:txbx>
                        <wps:bodyPr upright="1"/>
                      </wps:wsp>
                      <wps:wsp>
                        <wps:cNvPr id="19" name="矩形 19"/>
                        <wps:cNvSpPr/>
                        <wps:spPr>
                          <a:xfrm>
                            <a:off x="432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箱式给料机</w:t>
                              </w:r>
                            </w:p>
                          </w:txbxContent>
                        </wps:txbx>
                        <wps:bodyPr upright="1"/>
                      </wps:wsp>
                      <wps:wsp>
                        <wps:cNvPr id="20" name="矩形 20"/>
                        <wps:cNvSpPr/>
                        <wps:spPr>
                          <a:xfrm>
                            <a:off x="231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挤泥机</w:t>
                              </w:r>
                            </w:p>
                          </w:txbxContent>
                        </wps:txbx>
                        <wps:bodyPr upright="1"/>
                      </wps:wsp>
                      <wps:wsp>
                        <wps:cNvPr id="21" name="直接箭头连接符 21"/>
                        <wps:cNvCnPr/>
                        <wps:spPr>
                          <a:xfrm flipH="1">
                            <a:off x="7935" y="9240"/>
                            <a:ext cx="405" cy="0"/>
                          </a:xfrm>
                          <a:prstGeom prst="straightConnector1">
                            <a:avLst/>
                          </a:prstGeom>
                          <a:ln w="9525" cap="flat" cmpd="sng">
                            <a:solidFill>
                              <a:srgbClr val="000000"/>
                            </a:solidFill>
                            <a:prstDash val="solid"/>
                            <a:headEnd type="none" w="med" len="med"/>
                            <a:tailEnd type="triangle" w="med" len="med"/>
                          </a:ln>
                        </wps:spPr>
                        <wps:bodyPr/>
                      </wps:wsp>
                      <wps:wsp>
                        <wps:cNvPr id="22" name="直接箭头连接符 22"/>
                        <wps:cNvCnPr/>
                        <wps:spPr>
                          <a:xfrm flipH="1">
                            <a:off x="5940" y="9240"/>
                            <a:ext cx="405" cy="0"/>
                          </a:xfrm>
                          <a:prstGeom prst="straightConnector1">
                            <a:avLst/>
                          </a:prstGeom>
                          <a:ln w="9525" cap="flat" cmpd="sng">
                            <a:solidFill>
                              <a:srgbClr val="000000"/>
                            </a:solidFill>
                            <a:prstDash val="solid"/>
                            <a:headEnd type="none" w="med" len="med"/>
                            <a:tailEnd type="triangle" w="med" len="med"/>
                          </a:ln>
                        </wps:spPr>
                        <wps:bodyPr/>
                      </wps:wsp>
                      <wps:wsp>
                        <wps:cNvPr id="23" name="直接箭头连接符 23"/>
                        <wps:cNvCnPr/>
                        <wps:spPr>
                          <a:xfrm flipH="1">
                            <a:off x="3915" y="9240"/>
                            <a:ext cx="405" cy="0"/>
                          </a:xfrm>
                          <a:prstGeom prst="straightConnector1">
                            <a:avLst/>
                          </a:prstGeom>
                          <a:ln w="9525" cap="flat" cmpd="sng">
                            <a:solidFill>
                              <a:srgbClr val="000000"/>
                            </a:solidFill>
                            <a:prstDash val="solid"/>
                            <a:headEnd type="none" w="med" len="med"/>
                            <a:tailEnd type="triangle" w="med" len="med"/>
                          </a:ln>
                        </wps:spPr>
                        <wps:bodyPr/>
                      </wps:wsp>
                      <wps:wsp>
                        <wps:cNvPr id="24" name="矩形 24"/>
                        <wps:cNvSpPr/>
                        <wps:spPr>
                          <a:xfrm>
                            <a:off x="231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切条、切坏机</w:t>
                              </w:r>
                            </w:p>
                          </w:txbxContent>
                        </wps:txbx>
                        <wps:bodyPr upright="1"/>
                      </wps:wsp>
                      <wps:wsp>
                        <wps:cNvPr id="25" name="直接箭头连接符 25"/>
                        <wps:cNvCnPr/>
                        <wps:spPr>
                          <a:xfrm>
                            <a:off x="3930" y="10680"/>
                            <a:ext cx="390" cy="0"/>
                          </a:xfrm>
                          <a:prstGeom prst="straightConnector1">
                            <a:avLst/>
                          </a:prstGeom>
                          <a:ln w="9525" cap="flat" cmpd="sng">
                            <a:solidFill>
                              <a:srgbClr val="000000"/>
                            </a:solidFill>
                            <a:prstDash val="solid"/>
                            <a:headEnd type="none" w="med" len="med"/>
                            <a:tailEnd type="triangle" w="med" len="med"/>
                          </a:ln>
                        </wps:spPr>
                        <wps:bodyPr/>
                      </wps:wsp>
                      <wps:wsp>
                        <wps:cNvPr id="26" name="矩形 26"/>
                        <wps:cNvSpPr/>
                        <wps:spPr>
                          <a:xfrm>
                            <a:off x="432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自动编码</w:t>
                              </w:r>
                            </w:p>
                          </w:txbxContent>
                        </wps:txbx>
                        <wps:bodyPr upright="1"/>
                      </wps:wsp>
                      <wps:wsp>
                        <wps:cNvPr id="27" name="直接箭头连接符 27"/>
                        <wps:cNvCnPr/>
                        <wps:spPr>
                          <a:xfrm>
                            <a:off x="9180" y="10935"/>
                            <a:ext cx="0" cy="825"/>
                          </a:xfrm>
                          <a:prstGeom prst="straightConnector1">
                            <a:avLst/>
                          </a:prstGeom>
                          <a:ln w="9525" cap="flat" cmpd="sng">
                            <a:solidFill>
                              <a:srgbClr val="000000"/>
                            </a:solidFill>
                            <a:prstDash val="solid"/>
                            <a:headEnd type="none" w="med" len="med"/>
                            <a:tailEnd type="triangle" w="med" len="med"/>
                          </a:ln>
                        </wps:spPr>
                        <wps:bodyPr/>
                      </wps:wsp>
                      <wps:wsp>
                        <wps:cNvPr id="28" name="直接箭头连接符 28"/>
                        <wps:cNvCnPr/>
                        <wps:spPr>
                          <a:xfrm>
                            <a:off x="5940" y="10665"/>
                            <a:ext cx="390" cy="0"/>
                          </a:xfrm>
                          <a:prstGeom prst="straightConnector1">
                            <a:avLst/>
                          </a:prstGeom>
                          <a:ln w="9525" cap="flat" cmpd="sng">
                            <a:solidFill>
                              <a:srgbClr val="000000"/>
                            </a:solidFill>
                            <a:prstDash val="solid"/>
                            <a:headEnd type="none" w="med" len="med"/>
                            <a:tailEnd type="triangle" w="med" len="med"/>
                          </a:ln>
                        </wps:spPr>
                        <wps:bodyPr/>
                      </wps:wsp>
                      <wps:wsp>
                        <wps:cNvPr id="29" name="矩形 29"/>
                        <wps:cNvSpPr/>
                        <wps:spPr>
                          <a:xfrm>
                            <a:off x="633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自动码坯机</w:t>
                              </w:r>
                            </w:p>
                          </w:txbxContent>
                        </wps:txbx>
                        <wps:bodyPr upright="1"/>
                      </wps:wsp>
                      <wps:wsp>
                        <wps:cNvPr id="30" name="直接箭头连接符 30"/>
                        <wps:cNvCnPr/>
                        <wps:spPr>
                          <a:xfrm>
                            <a:off x="7950" y="10665"/>
                            <a:ext cx="390" cy="0"/>
                          </a:xfrm>
                          <a:prstGeom prst="straightConnector1">
                            <a:avLst/>
                          </a:prstGeom>
                          <a:ln w="9525" cap="flat" cmpd="sng">
                            <a:solidFill>
                              <a:srgbClr val="000000"/>
                            </a:solidFill>
                            <a:prstDash val="solid"/>
                            <a:headEnd type="none" w="med" len="med"/>
                            <a:tailEnd type="triangle" w="med" len="med"/>
                          </a:ln>
                        </wps:spPr>
                        <wps:bodyPr/>
                      </wps:wsp>
                      <wps:wsp>
                        <wps:cNvPr id="31" name="矩形 31"/>
                        <wps:cNvSpPr/>
                        <wps:spPr>
                          <a:xfrm>
                            <a:off x="834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窑车</w:t>
                              </w:r>
                            </w:p>
                          </w:txbxContent>
                        </wps:txbx>
                        <wps:bodyPr upright="1"/>
                      </wps:wsp>
                      <wps:wsp>
                        <wps:cNvPr id="32" name="直接箭头连接符 32"/>
                        <wps:cNvCnPr/>
                        <wps:spPr>
                          <a:xfrm>
                            <a:off x="9180" y="8115"/>
                            <a:ext cx="0" cy="825"/>
                          </a:xfrm>
                          <a:prstGeom prst="straightConnector1">
                            <a:avLst/>
                          </a:prstGeom>
                          <a:ln w="9525" cap="flat" cmpd="sng">
                            <a:solidFill>
                              <a:srgbClr val="000000"/>
                            </a:solidFill>
                            <a:prstDash val="solid"/>
                            <a:headEnd type="none" w="med" len="med"/>
                            <a:tailEnd type="triangle" w="med" len="med"/>
                          </a:ln>
                        </wps:spPr>
                        <wps:bodyPr/>
                      </wps:wsp>
                      <wps:wsp>
                        <wps:cNvPr id="33" name="矩形 33"/>
                        <wps:cNvSpPr/>
                        <wps:spPr>
                          <a:xfrm>
                            <a:off x="835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存坯线</w:t>
                              </w:r>
                            </w:p>
                          </w:txbxContent>
                        </wps:txbx>
                        <wps:bodyPr upright="1"/>
                      </wps:wsp>
                      <wps:wsp>
                        <wps:cNvPr id="34" name="矩形 34"/>
                        <wps:cNvSpPr/>
                        <wps:spPr>
                          <a:xfrm>
                            <a:off x="634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干燥窑</w:t>
                              </w:r>
                            </w:p>
                          </w:txbxContent>
                        </wps:txbx>
                        <wps:bodyPr upright="1"/>
                      </wps:wsp>
                      <wps:wsp>
                        <wps:cNvPr id="35" name="矩形 35"/>
                        <wps:cNvSpPr/>
                        <wps:spPr>
                          <a:xfrm>
                            <a:off x="433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焙烧窑</w:t>
                              </w:r>
                            </w:p>
                          </w:txbxContent>
                        </wps:txbx>
                        <wps:bodyPr upright="1"/>
                      </wps:wsp>
                      <wps:wsp>
                        <wps:cNvPr id="36" name="矩形 36"/>
                        <wps:cNvSpPr/>
                        <wps:spPr>
                          <a:xfrm>
                            <a:off x="232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成品装车</w:t>
                              </w:r>
                            </w:p>
                          </w:txbxContent>
                        </wps:txbx>
                        <wps:bodyPr upright="1"/>
                      </wps:wsp>
                      <wps:wsp>
                        <wps:cNvPr id="37" name="直接箭头连接符 37"/>
                        <wps:cNvCnPr/>
                        <wps:spPr>
                          <a:xfrm flipH="1">
                            <a:off x="7950" y="12060"/>
                            <a:ext cx="405" cy="0"/>
                          </a:xfrm>
                          <a:prstGeom prst="straightConnector1">
                            <a:avLst/>
                          </a:prstGeom>
                          <a:ln w="9525" cap="flat" cmpd="sng">
                            <a:solidFill>
                              <a:srgbClr val="000000"/>
                            </a:solidFill>
                            <a:prstDash val="solid"/>
                            <a:headEnd type="none" w="med" len="med"/>
                            <a:tailEnd type="triangle" w="med" len="med"/>
                          </a:ln>
                        </wps:spPr>
                        <wps:bodyPr/>
                      </wps:wsp>
                      <wps:wsp>
                        <wps:cNvPr id="38" name="直接箭头连接符 38"/>
                        <wps:cNvCnPr/>
                        <wps:spPr>
                          <a:xfrm flipH="1">
                            <a:off x="5955" y="12060"/>
                            <a:ext cx="405" cy="0"/>
                          </a:xfrm>
                          <a:prstGeom prst="straightConnector1">
                            <a:avLst/>
                          </a:prstGeom>
                          <a:ln w="9525" cap="flat" cmpd="sng">
                            <a:solidFill>
                              <a:srgbClr val="000000"/>
                            </a:solidFill>
                            <a:prstDash val="solid"/>
                            <a:headEnd type="none" w="med" len="med"/>
                            <a:tailEnd type="triangle" w="med" len="med"/>
                          </a:ln>
                        </wps:spPr>
                        <wps:bodyPr/>
                      </wps:wsp>
                      <wps:wsp>
                        <wps:cNvPr id="39" name="直接箭头连接符 39"/>
                        <wps:cNvCnPr/>
                        <wps:spPr>
                          <a:xfrm flipH="1">
                            <a:off x="3930" y="12060"/>
                            <a:ext cx="405"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45pt;margin-top:0.05pt;height:168.5pt;width:443.5pt;z-index:251669504;mso-width-relative:page;mso-height-relative:page;" coordorigin="2310,7530" coordsize="7665,4815" o:gfxdata="UEsDBAoAAAAAAIdO4kAAAAAAAAAAAAAAAAAEAAAAZHJzL1BLAwQUAAAACACHTuJALQjtHdUAAAAG&#10;AQAADwAAAGRycy9kb3ducmV2LnhtbE2OzUrDQBSF94LvMFzBnZ1Mg5rGTIoUdVWEtoK4u83cJqGZ&#10;mZCZJu3be7vS5fnhnK9Ynm0nRhpC650GNUtAkKu8aV2t4Wv3/pCBCBGdwc470nChAMvy9qbA3PjJ&#10;bWjcxlrwiAs5amhi7HMpQ9WQxTDzPTnODn6wGFkOtTQDTjxuOzlPkidpsXX80GBPq4aq4/ZkNXxM&#10;OL2m6m1cHw+ry8/u8fN7rUjr+zuVvICIdI5/ZbjiMzqUzLT3J2eC6DTMF1y82oLDLFuw3GtI02cF&#10;sizkf/zyF1BLAwQUAAAACACHTuJAMokS5b4FAAAkRwAADgAAAGRycy9lMm9Eb2MueG1s7VzNbuM2&#10;EL4X6DsIuje2RP9IQpw9JJv0ULQLbPsAjCzJAvQHUomdew89Fb0X6AJFW6BA29PeiqJPk24fozOU&#10;RMpeeWW72B/DzMGRSIoiRx+/Gc6MdP5klSbGfcB4nGcz0zobmkaQ+fk8zqKZ+dWX1584psFLms1p&#10;kmfBzHwIuPnk4uOPzpeFF9j5Ik/mATOgk4x7y2JmLsqy8AYD7i+ClPKzvAgyqAxzltISTlk0mDO6&#10;hN7TZGAPh5PBMmfzguV+wDmUXlWV5oXoPwwDv/wiDHlQGsnMhLGV4peJ31v8HVycUy9itFjEfj0M&#10;esAoUhpncFPZ1RUtqXHH4te6SmOf5TwPyzM/Twd5GMZ+IOYAs7GGG7O5YfldIeYSecuokGIC0W7I&#10;6eBu/c/vnzEjns/MEYgnoyk8o1d/fv343TcGFIB0lkXkQaMbVjwvnrG6IKrOcMKrkKX4H6ZirIRc&#10;H6Rcg1Vp+FA4nhB7NIb+faizLeK6cCIk7y/g8eB1NrGgHqqnYyLrntbXTyeTcXXxyLHGeOWgufEA&#10;xyeHsywARVwJiv8/QT1f0CIQ8ucog1pQgOhaTi9+ffzrR8OpxCSaSBlxj4O4OgTUMdFGTNbErmU0&#10;dtZnSb2C8fImyFMDD2YmA2ALvNH7z3hZCaRpgjfleRLPr+MkEScsur1MmHFPYRFci79ahmvNksxY&#10;zkx3bKOsKazFMKElHKYFoINnkbjf2hW83fFQ/HV1jAO7onxRDUD0gM2ol8ZlwMTRIqDzp9ncKB8K&#10;AGAGVGHiYNJgbhpJAMyCR6JlSeNkl5aAkCQDoCAkqkeBR+XqdgXd4OFtPn+AJ3pXsDhagEgtMfQa&#10;QVWTtw4lV0Lp+5f/fPvzqz9+f/zp5b9//4DHv/1iuDgkHBGA7zKrV18znWYFyKVHXFg5Ygk5k3oJ&#10;Ncgibg0sUS4Xz2uw4iWjKI3LPMsAYTmz3gSydw+YQ2FSsphmUbIFVN1QqfABD0BACKDwjjCBPLjG&#10;L1CgYNBPMCOCLLLGpA0MNMGcGsFYlgRTJ8NAvcLWDhQzBGZBbAktAVdSr8FWTTAOaA9cM4qdGrVU&#10;ay5NMUobvTeKsXtQYe+FirGLtiMyjjMST1+hQiueI1I8RKKiMmwt0oJBv+KZkMb+kCZ8Qw5a8Zyc&#10;4hlJMHUrnlELW/2KZ4o7Rk0xKDPqrW+Bjsq2ha3lum0r9EW9xemnGIc0mkZTzMlvnq3JJpgmLU7Z&#10;A0wO2i9rxqzWVyenr6abYJruBSZp/Ggwabeepfx6tSXd9uT1M5N04WgwaTChN2/NZoICUFY720wy&#10;4KDBpMFk9/gDoV5ha8u2zAiTuPgUAya4GanjflOXgG2PnkF705gaDaEGI386+NAR0fqwgg92j2cQ&#10;6g/Dh/QRanwc8wbeVj7CTrcO1B+GD+JCYF/zB0rvqPGh3H6V5Wu3/Xz9lq80VqwhaXJEtBPZOzTu&#10;vT2RolvtfGDpEZiJUpu+3WzT9h5usVZaNopMkLCGE2fD46MDVccTqLI3HX9QoLROP8nI7bUmGZ2D&#10;ZdrK89dNMm1HYD/JuBZQCxoy1hC3REKfNxoMKnAfpHMkOnP7ulXS+8qRsFWaZzcs2mmf/bCQ+x/Q&#10;PZDMugYLrXuOSPdsunbt/Vy7Mk6gdY/WPSYmzLzJwK1S4XfOAJZZEppkjnoXTZSXttpFQ8E+Bq5M&#10;k9Ako0nGJD0+XahX4Oq3ZKSB61jVuzgq21Pbt8djyBDlya05pu267d9EO2RcOWwta7r5uolOnzm1&#10;9Bmy6feFAkUq/WiaEMgcF7tmjSYdpcZQ8lrKQ+VI2TnlYUTqYLTmJm3/mGTTXQwF+3CTTTAOgR49&#10;zU2am0iPuxjqFbi2WNNbMmjqVxwsG9+yg06UYa1TaI7IsO5xHJMdHMedABm7jcWtAXLMORJEuZA7&#10;IwtQfxiDqPi2BshbAoj43Ah8ikW84Vx/Nga/9dI+F18MUB+3ufg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AgAAFtDb250ZW50X1R5cGVzXS54&#10;bWxQSwECFAAKAAAAAACHTuJAAAAAAAAAAAAAAAAABgAAAAAAAAAAABAAAAAOBwAAX3JlbHMvUEsB&#10;AhQAFAAAAAgAh07iQIoUZjzRAAAAlAEAAAsAAAAAAAAAAQAgAAAAMgcAAF9yZWxzLy5yZWxzUEsB&#10;AhQACgAAAAAAh07iQAAAAAAAAAAAAAAAAAQAAAAAAAAAAAAQAAAAAAAAAGRycy9QSwECFAAUAAAA&#10;CACHTuJALQjtHdUAAAAGAQAADwAAAAAAAAABACAAAAAiAAAAZHJzL2Rvd25yZXYueG1sUEsBAhQA&#10;FAAAAAgAh07iQDKJEuW+BQAAJEcAAA4AAAAAAAAAAQAgAAAAJAEAAGRycy9lMm9Eb2MueG1sUEsF&#10;BgAAAAAGAAYAWQEAAFQJAAAAAA==&#10;">
                <o:lock v:ext="edit" aspectratio="f"/>
                <v:rect id="_x0000_s1026" o:spid="_x0000_s1026" o:spt="1" style="position:absolute;left:2310;top:7530;height:585;width:1620;" fillcolor="#FFFFFF" filled="t" stroked="t" coordsize="21600,21600" o:gfxdata="UEsDBAoAAAAAAIdO4kAAAAAAAAAAAAAAAAAEAAAAZHJzL1BLAwQUAAAACACHTuJAiVo11LkAAADa&#10;AAAADwAAAGRycy9kb3ducmV2LnhtbEVPPW/CMBDdK/EfrENiKzYgoZLGYQBRlTGEhe2Ir0na+BzF&#10;hoT++npA6vj0vtPtaFtxp943jjUs5goEcelMw5WGc3F4fQPhA7LB1jFpeJCHbTZ5STExbuCc7qdQ&#10;iRjCPkENdQhdIqUva7Lo564jjtyX6y2GCPtKmh6HGG5buVRqLS02HBtq7GhXU/lzulkN12Z5xt+8&#10;+FB2c1iF41h83y57rWfThXoHEWgM/+Kn+9NoiFvjlXgDZ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aNdS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r>
                          <w:rPr>
                            <w:rFonts w:hint="eastAsia"/>
                          </w:rPr>
                          <w:t>煤矸石、页岩</w:t>
                        </w:r>
                      </w:p>
                    </w:txbxContent>
                  </v:textbox>
                </v:rect>
                <v:shape id="_x0000_s1026" o:spid="_x0000_s1026" o:spt="32" type="#_x0000_t32" style="position:absolute;left:3930;top:7860;height:0;width:390;" filled="f" stroked="t" coordsize="21600,21600" o:gfxdata="UEsDBAoAAAAAAIdO4kAAAAAAAAAAAAAAAAAEAAAAZHJzL1BLAwQUAAAACACHTuJAtnjR070AAADa&#10;AAAADwAAAGRycy9kb3ducmV2LnhtbEWPT2sCMRTE70K/Q3iF3jRrD4tujUIrxb1U0BXp8bF53YRu&#10;XpZN/PvpjSB4HGbmN8xscXatOFIfrGcF41EGgrj22nKjYFd9DycgQkTW2HomBRcKsJi/DGZYaH/i&#10;DR23sREJwqFABSbGrpAy1IYchpHviJP353uHMcm+kbrHU4K7Vr5nWS4dWk4LBjv6MlT/bw9OQVz+&#10;Xky+rz+ndl2tfnJ7LctyqdTb6zj7ABHpHJ/hR7vUCq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eNHT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4320;top:7530;height:585;width:1620;"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板式给料机</w:t>
                        </w:r>
                      </w:p>
                    </w:txbxContent>
                  </v:textbox>
                </v:rect>
                <v:shape id="_x0000_s1026" o:spid="_x0000_s1026" o:spt="32" type="#_x0000_t32" style="position:absolute;left:3060;top:9525;height:825;width:0;" filled="f" stroked="t" coordsize="21600,21600"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5940;top:7845;height:0;width:390;" filled="f" stroked="t" coordsize="21600,21600" o:gfxdata="UEsDBAoAAAAAAIdO4kAAAAAAAAAAAAAAAAAEAAAAZHJzL1BLAwQUAAAACACHTuJAgBLSFrsAAADb&#10;AAAADwAAAGRycy9kb3ducmV2LnhtbEVPS2sCMRC+F/wPYQRvNauHxW6Ngoq4Fws+kB6HzXQTupks&#10;m/j89Y0g9DYf33Om85trxIW6YD0rGA0zEMSV15ZrBcfD+n0CIkRkjY1nUnCnAPNZ722KhfZX3tFl&#10;H2uRQjgUqMDE2BZShsqQwzD0LXHifnznMCbY1VJ3eE3hrpHjLMulQ8upwWBLS0PV7/7sFMTV993k&#10;p2rxYb8Om21uH2VZrpQa9EfZJ4hIt/gvfrlLneaP4flLOk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LSF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6330;top:7530;height:585;width:1620;"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鄂破机</w:t>
                        </w:r>
                      </w:p>
                    </w:txbxContent>
                  </v:textbox>
                </v:rect>
                <v:shape id="_x0000_s1026" o:spid="_x0000_s1026" o:spt="32" type="#_x0000_t32" style="position:absolute;left:7950;top:7845;height:0;width:390;" filled="f" stroked="t" coordsize="21600,21600" o:gfxdata="UEsDBAoAAAAAAIdO4kAAAAAAAAAAAAAAAAAEAAAAZHJzL1BLAwQUAAAACACHTuJAYLfv+bsAAADb&#10;AAAADwAAAGRycy9kb3ducmV2LnhtbEVPS2sCMRC+F/ofwhS81axF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fv+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8340;top:7530;height:585;width:1620;" fillcolor="#FFFFFF" filled="t" stroked="t" coordsize="21600,21600" o:gfxdata="UEsDBAoAAAAAAIdO4kAAAAAAAAAAAAAAAAAEAAAAZHJzL1BLAwQUAAAACACHTuJAleu9CboAAADb&#10;AAAADwAAAGRycy9kb3ducmV2LnhtbEVPPW/CMBDdK/EfrENiKzZURR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670J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细破机</w:t>
                        </w:r>
                      </w:p>
                    </w:txbxContent>
                  </v:textbox>
                </v:rect>
                <v:rect id="_x0000_s1026" o:spid="_x0000_s1026" o:spt="1" style="position:absolute;left:8340;top:8940;height:585;width:1620;" fillcolor="#FFFFFF" filled="t" stroked="t" coordsize="21600,21600" o:gfxdata="UEsDBAoAAAAAAIdO4kAAAAAAAAAAAAAAAAAEAAAAZHJzL1BLAwQUAAAACACHTuJAZTkjfroAAADb&#10;AAAADwAAAGRycy9kb3ducmV2LnhtbEVPTYvCMBC9C/sfwix400QF0a7Rwy6KHrW9eBub2ba7zaQ0&#10;Uau/3giCt3m8z1msOluLC7W+cqxhNFQgiHNnKi40ZOl6MAPhA7LB2jFpuJGH1fKjt8DEuCvv6XII&#10;hYgh7BPUUIbQJFL6vCSLfuga4sj9utZiiLAtpGnxGsNtLcdKTaXFimNDiQ19l5T/H85Ww6kaZ3jf&#10;pxtl5+tJ2HXp3/n4o3X/c6S+QATqwlv8cm9NnD+F5y/xAL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OSN+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双轴搅拌机</w:t>
                        </w:r>
                      </w:p>
                    </w:txbxContent>
                  </v:textbox>
                </v:rect>
                <v:rect id="_x0000_s1026" o:spid="_x0000_s1026" o:spt="1" style="position:absolute;left:6330;top:8940;height:585;width:1620;" fillcolor="#FFFFFF" filled="t" stroked="t" coordsize="21600,21600" o:gfxdata="UEsDBAoAAAAAAIdO4kAAAAAAAAAAAAAAAAAEAAAAZHJzL1BLAwQUAAAACACHTuJACnWG5boAAADb&#10;AAAADwAAAGRycy9kb3ducmV2LnhtbEVPPW/CMBDdK/EfrENiKzZUKhAwDCAqOkJY2I74SALxOYoN&#10;BH59XQmJ7Z7e580Wra3EjRpfOtYw6CsQxJkzJeca9un6cwzCB2SDlWPS8CAPi3nnY4aJcXfe0m0X&#10;chFD2CeooQihTqT0WUEWfd/VxJE7ucZiiLDJpWnwHsNtJYdKfUuLJceGAmtaFpRddler4VgO9/jc&#10;pj/KTtZf4bdNz9fDSuted6CmIAK14S1+uTcmzh/B/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dYbl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液压多斗挖掘</w:t>
                        </w:r>
                      </w:p>
                    </w:txbxContent>
                  </v:textbox>
                </v:rect>
                <v:rect id="_x0000_s1026" o:spid="_x0000_s1026" o:spt="1" style="position:absolute;left:4320;top:8940;height:585;width:1620;" fillcolor="#FFFFFF" filled="t" stroked="t" coordsize="21600,21600" o:gfxdata="UEsDBAoAAAAAAIdO4kAAAAAAAAAAAAAAAAAEAAAAZHJzL1BLAwQUAAAACACHTuJAFKa3DLsAAADb&#10;AAAADwAAAGRycy9kb3ducmV2LnhtbEVPPW/CMBDdK/EfrEPqVmxSqYIUwwAKascQFrZrfCSB+BzF&#10;hqT99XWlSmz39D5vtRltK+7U+8axhvlMgSAunWm40nAsspcFCB+QDbaOScM3edisJ08rTI0bOKf7&#10;IVQihrBPUUMdQpdK6cuaLPqZ64gjd3a9xRBhX0nT4xDDbSsTpd6kxYZjQ40dbWsqr4eb1fDVJEf8&#10;yYu9ssvsNXyOxeV22mn9PJ2rdxCBxvAQ/7s/TJy/hL9f4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a3D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箱式给料机</w:t>
                        </w:r>
                      </w:p>
                    </w:txbxContent>
                  </v:textbox>
                </v:rect>
                <v:rect id="_x0000_s1026" o:spid="_x0000_s1026" o:spt="1" style="position:absolute;left:2310;top:8940;height:585;width:1620;" fillcolor="#FFFFFF" filled="t" stroked="t" coordsize="21600,21600" o:gfxdata="UEsDBAoAAAAAAIdO4kAAAAAAAAAAAAAAAAAEAAAAZHJzL1BLAwQUAAAACACHTuJAS/DULLoAAADb&#10;AAAADwAAAGRycy9kb3ducmV2LnhtbEVPPW/CMBDdK/EfrEPqVuykUtUGDAMoVRlDWNiu8ZEE4nMU&#10;GxL66+uhUsen973aTLYTdxp861hDslAgiCtnWq41HMv85R2ED8gGO8ek4UEeNuvZ0woz40Yu6H4I&#10;tYgh7DPU0ITQZ1L6qiGLfuF64sid3WAxRDjU0gw4xnDbyVSpN2mx5djQYE/bhqrr4WY1fLfpEX+K&#10;8lPZj/w17KfycjvttH6eJ2oJItAU/sV/7i+jIY3r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8NQ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挤泥机</w:t>
                        </w:r>
                      </w:p>
                    </w:txbxContent>
                  </v:textbox>
                </v:rect>
                <v:shape id="_x0000_s1026" o:spid="_x0000_s1026" o:spt="32" type="#_x0000_t32" style="position:absolute;left:7935;top:9240;flip:x;height:0;width:405;" filled="f" stroked="t" coordsize="21600,21600" o:gfxdata="UEsDBAoAAAAAAIdO4kAAAAAAAAAAAAAAAAAEAAAAZHJzL1BLAwQUAAAACACHTuJAKt3Tcr0AAADb&#10;AAAADwAAAGRycy9kb3ducmV2LnhtbEWPT4vCMBTE7wt+h/AEL4umLbhI1+hh/XsRsbr3R/O2LTYv&#10;pYnafnsjCHscZuY3zHzZmVrcqXWVZQXxJAJBnFtdcaHgct6MZyCcR9ZYWyYFPTlYLgYfc0y1ffCJ&#10;7pkvRICwS1FB6X2TSunykgy6iW2Ig/dnW4M+yLaQusVHgJtaJlH0JQ1WHBZKbOinpPya3YyCVXac&#10;bn4/L13S57tDtp1dj9yvlRoN4+gbhKfO/4ff7b1WkMT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3dNy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5940;top:9240;flip:x;height:0;width:405;" filled="f" stroked="t" coordsize="21600,21600" o:gfxdata="UEsDBAoAAAAAAIdO4kAAAAAAAAAAAAAAAAAEAAAAZHJzL1BLAwQUAAAACACHTuJA2g9NBb4AAADb&#10;AAAADwAAAGRycy9kb3ducmV2LnhtbEWPzWrDMBCE74G+g9hCL6GRbWgwbpQc0rrtJYS46X2xNraJ&#10;tTKW6p+3rwqBHIeZ+YbZ7CbTioF611hWEK8iEMSl1Q1XCs7f+XMKwnlkja1lUjCTg932YbHBTNuR&#10;TzQUvhIBwi5DBbX3XSalK2sy6Fa2Iw7exfYGfZB9JXWPY4CbViZRtJYGGw4LNXa0r6m8Fr9GwVtx&#10;fMl/lucpmcvPQ/GRXo88vyv19BhHryA8Tf4evrW/tIIkgf8v4Qf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9NB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3915;top:9240;flip:x;height:0;width:405;" filled="f" stroked="t" coordsize="21600,21600" o:gfxdata="UEsDBAoAAAAAAIdO4kAAAAAAAAAAAAAAAAAEAAAAZHJzL1BLAwQUAAAACACHTuJAtUPonr0AAADb&#10;AAAADwAAAGRycy9kb3ducmV2LnhtbEWPQYvCMBSE7wv+h/AEL4umVlakGj3oqntZxKr3R/Nsi81L&#10;abLa/vuNIHgcZuYbZrFqTSXu1LjSsoLxKAJBnFldcq7gfNoOZyCcR9ZYWSYFHTlYLXsfC0y0ffCR&#10;7qnPRYCwS1BB4X2dSOmyggy6ka2Jg3e1jUEfZJNL3eAjwE0l4yiaSoMlh4UCa1oXlN3SP6Ngkx6+&#10;tpfPcxt32f433c1uB+6+lRr0x9EchKfWv8Ov9o9WEE/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Q+ie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2310;top:10350;height:585;width:1620;" fillcolor="#FFFFFF" filled="t" stroked="t" coordsize="21600,21600" o:gfxdata="UEsDBAoAAAAAAIdO4kAAAAAAAAAAAAAAAAAEAAAAZHJzL1BLAwQUAAAACACHTuJANMvSL70AAADb&#10;AAAADwAAAGRycy9kb3ducmV2LnhtbEWPwW7CMBBE75X4B2uReit20gq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9I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切条、切坏机</w:t>
                        </w:r>
                      </w:p>
                    </w:txbxContent>
                  </v:textbox>
                </v:rect>
                <v:shape id="_x0000_s1026" o:spid="_x0000_s1026" o:spt="32" type="#_x0000_t32" style="position:absolute;left:3930;top:10680;height:0;width:390;" filled="f" stroked="t" coordsize="21600,21600" o:gfxdata="UEsDBAoAAAAAAIdO4kAAAAAAAAAAAAAAAAAEAAAAZHJzL1BLAwQUAAAACACHTuJAwZeA374AAADb&#10;AAAADwAAAGRycy9kb3ducmV2LnhtbEWPW2sCMRSE3wv+h3CEvtWsQhd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eA3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4320;top:10350;height:585;width:1620;" fillcolor="#FFFFFF" filled="t" stroked="t" coordsize="21600,21600" o:gfxdata="UEsDBAoAAAAAAIdO4kAAAAAAAAAAAAAAAAAEAAAAZHJzL1BLAwQUAAAACACHTuJAq1Xpw7wAAADb&#10;AAAADwAAAGRycy9kb3ducmV2LnhtbEWPQYvCMBSE7wv+h/AEb2tiBdFq9KAo7lHrxduzebbdbV5K&#10;E7W7v34jCB6HmfmGWaw6W4s7tb5yrGE0VCCIc2cqLjScsu3nFIQPyAZrx6Thlzyslr2PBabGPfhA&#10;92MoRISwT1FDGUKTSunzkiz6oWuIo3d1rcUQZVtI0+Ijwm0tE6Um0mLFcaHEhtYl5T/Hm9VwqZIT&#10;/h2ynbKz7Th8ddn37bzRetAfqTmIQF14h1/tvdGQTO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6c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自动编码</w:t>
                        </w:r>
                      </w:p>
                    </w:txbxContent>
                  </v:textbox>
                </v:rect>
                <v:shape id="_x0000_s1026" o:spid="_x0000_s1026" o:spt="32" type="#_x0000_t32" style="position:absolute;left:9180;top:10935;height:825;width:0;" filled="f" stroked="t" coordsize="21600,21600" o:gfxdata="UEsDBAoAAAAAAIdO4kAAAAAAAAAAAAAAAAAEAAAAZHJzL1BLAwQUAAAACACHTuJAXgm7M74AAADb&#10;AAAADwAAAGRycy9kb3ducmV2LnhtbEWPT2sCMRTE7wW/Q3hCbzWrh7WuRqGKuBeFqpQeH5vnJnTz&#10;smziv356Uyh4HGbmN8xscXONuFAXrGcFw0EGgrjy2nKt4HhYv72DCBFZY+OZFNwpwGLee5lhof2V&#10;P+myj7VIEA4FKjAxtoWUoTLkMAx8S5y8k+8cxiS7WuoOrwnuGjnKslw6tJwWDLa0NFT97M9OQVx9&#10;303+VX1M7O6w2eb2tyzLlVKv/WE2BRHpFp/h/3apFYzG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m7M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940;top:10665;height:0;width:390;" filled="f" stroked="t" coordsize="21600,21600" o:gfxdata="UEsDBAoAAAAAAIdO4kAAAAAAAAAAAAAAAAAEAAAAZHJzL1BLAwQUAAAACACHTuJAL5YvQbsAAADb&#10;AAAADwAAAGRycy9kb3ducmV2LnhtbEVPz2vCMBS+C/sfwhvsZlM9lK0aBSdjvWyglbHjo3k2weal&#10;NFmr++uXg7Djx/d7vb26Tow0BOtZwSLLQRA3XltuFZzqt/kziBCRNXaeScGNAmw3D7M1ltpPfKDx&#10;GFuRQjiUqMDE2JdShsaQw5D5njhxZz84jAkOrdQDTincdXKZ54V0aDk1GOzp1VBzOf44BXH/fTPF&#10;V7N7sZ/1+0dhf6uq2iv19LjIVyAiXeO/+O6utIJlGpu+p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5YvQ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6330;top:10350;height:585;width:1620;" fillcolor="#FFFFFF" filled="t" stroked="t" coordsize="21600,21600" o:gfxdata="UEsDBAoAAAAAAIdO4kAAAAAAAAAAAAAAAAAEAAAAZHJzL1BLAwQUAAAACACHTuJA2sp9sbwAAADb&#10;AAAADwAAAGRycy9kb3ducmV2LnhtbEWPQYvCMBSE7wv+h/AEb2tihWWtRg+KoketF2/P5m3btXkp&#10;TdTqr98Iwh6HmfmGmS06W4sbtb5yrGE0VCCIc2cqLjQcs/XnNwgfkA3WjknDgzws5r2PGabG3XlP&#10;t0MoRISwT1FDGUKTSunzkiz6oWuIo/fjWoshyraQpsV7hNtaJkp9SYsVx4USG1qWlF8OV6vhXCVH&#10;fO6zjbKT9Tjsuuz3elppPeiP1BREoC78h9/trdGQTO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Kfb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自动码坯机</w:t>
                        </w:r>
                      </w:p>
                    </w:txbxContent>
                  </v:textbox>
                </v:rect>
                <v:shape id="_x0000_s1026" o:spid="_x0000_s1026" o:spt="32" type="#_x0000_t32" style="position:absolute;left:7950;top:10665;height:0;width:390;" filled="f" stroked="t" coordsize="21600,21600" o:gfxdata="UEsDBAoAAAAAAIdO4kAAAAAAAAAAAAAAAAAEAAAAZHJzL1BLAwQUAAAACACHTuJAVDm1mrsAAADb&#10;AAAADwAAAGRycy9kb3ducmV2LnhtbEVPW2vCMBR+H+w/hDPY20zro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m1m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8340;top:10350;height:585;width:1620;" fillcolor="#FFFFFF" filled="t" stroked="t" coordsize="21600,21600" o:gfxdata="UEsDBAoAAAAAAIdO4kAAAAAAAAAAAAAAAAAEAAAAZHJzL1BLAwQUAAAACACHTuJAoWXnarwAAADb&#10;AAAADwAAAGRycy9kb3ducmV2LnhtbEWPQYvCMBSE78L+h/AEb5pUQXa7Rg8uih61Xry9bd621eal&#10;NFGrv94Iwh6HmfmGmS06W4srtb5yrCEZKRDEuTMVFxoO2Wr4CcIHZIO1Y9JwJw+L+UdvhqlxN97R&#10;dR8KESHsU9RQhtCkUvq8JIt+5Bri6P251mKIsi2kafEW4baWY6Wm0mLFcaHEhpYl5ef9xWr4rcYH&#10;fOyytbJfq0nYdtnpcvzRetBP1DeIQF34D7/bG6Nhk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l52q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窑车</w:t>
                        </w:r>
                      </w:p>
                    </w:txbxContent>
                  </v:textbox>
                </v:rect>
                <v:shape id="_x0000_s1026" o:spid="_x0000_s1026" o:spt="32" type="#_x0000_t32" style="position:absolute;left:9180;top:8115;height:825;width:0;" filled="f" stroked="t" coordsize="21600,21600" o:gfxdata="UEsDBAoAAAAAAIdO4kAAAAAAAAAAAAAAAAAEAAAAZHJzL1BLAwQUAAAACACHTuJAy6eOdr4AAADb&#10;AAAADwAAAGRycy9kb3ducmV2LnhtbEWPW2sCMRSE3wv+h3CEvtWsF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eOd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8355;top:11760;height:585;width:1620;" fillcolor="#FFFFFF" filled="t" stroked="t" coordsize="21600,21600" o:gfxdata="UEsDBAoAAAAAAIdO4kAAAAAAAAAAAAAAAAAEAAAAZHJzL1BLAwQUAAAACACHTuJAPvvchrwAAADb&#10;AAAADwAAAGRycy9kb3ducmV2LnhtbEWPQYvCMBSE7wv+h/AEb2uiBdFq9KC47B61Xrw9m2fb3eal&#10;NFHr/nojCB6HmfmGWaw6W4srtb5yrGE0VCCIc2cqLjQcsu3nFIQPyAZrx6ThTh5Wy97HAlPjbryj&#10;6z4UIkLYp6ihDKFJpfR5SRb90DXE0Tu71mKIsi2kafEW4baWY6Um0mLFcaHEhtYl5X/7i9VwqsYH&#10;/N9lX8rOtkn46bLfy3Gj9aA/UnMQgbrwDr/a30ZDksD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73I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存坯线</w:t>
                        </w:r>
                      </w:p>
                    </w:txbxContent>
                  </v:textbox>
                </v:rect>
                <v:rect id="_x0000_s1026" o:spid="_x0000_s1026" o:spt="1" style="position:absolute;left:6345;top:11760;height:585;width:1620;" fillcolor="#FFFFFF" filled="t" stroked="t" coordsize="21600,21600" o:gfxdata="UEsDBAoAAAAAAIdO4kAAAAAAAAAAAAAAAAAEAAAAZHJzL1BLAwQUAAAACACHTuJAsRJE8r0AAADb&#10;AAAADwAAAGRycy9kb3ducmV2LnhtbEWPzW7CMBCE70h9B2srcQObH1UQMByKQHCEcOG2xEsSGq+j&#10;2EDap8dIlTiOZuYbzXzZ2krcqfGlYw2DvgJBnDlTcq7hmK57ExA+IBusHJOGX/KwXHx05pgY9+A9&#10;3Q8hFxHCPkENRQh1IqXPCrLo+64mjt7FNRZDlE0uTYOPCLeVHCr1JS2WHBcKrOm7oOzncLMazuXw&#10;iH/7dKPsdD0Kuza93k4rrbufAzUDEagN7/B/e2s0jMb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kT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干燥窑</w:t>
                        </w:r>
                      </w:p>
                    </w:txbxContent>
                  </v:textbox>
                </v:rect>
                <v:rect id="_x0000_s1026" o:spid="_x0000_s1026" o:spt="1" style="position:absolute;left:4335;top:11760;height:585;width:1620;" fillcolor="#FFFFFF" filled="t" stroked="t" coordsize="21600,21600" o:gfxdata="UEsDBAoAAAAAAIdO4kAAAAAAAAAAAAAAAAAEAAAAZHJzL1BLAwQUAAAACACHTuJA3l7habwAAADb&#10;AAAADwAAAGRycy9kb3ducmV2LnhtbEWPQYvCMBSE78L+h/AWvGmi4qLV6GFF0aPWi7dn82zrNi+l&#10;idrdX2+EBY/DzHzDzJetrcSdGl861jDoKxDEmTMl5xqO6bo3AeEDssHKMWn4JQ/LxUdnjolxD97T&#10;/RByESHsE9RQhFAnUvqsIIu+72ri6F1cYzFE2eTSNPiIcFvJoVJf0mLJcaHAmr4Lyn4ON6vhXA6P&#10;+LdPN8pO16Owa9Pr7bTSuvs5UDMQgdrwDv+3t0bDa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4W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焙烧窑</w:t>
                        </w:r>
                      </w:p>
                    </w:txbxContent>
                  </v:textbox>
                </v:rect>
                <v:rect id="_x0000_s1026" o:spid="_x0000_s1026" o:spt="1" style="position:absolute;left:2325;top:11760;height:585;width:1620;" fillcolor="#FFFFFF" filled="t" stroked="t" coordsize="21600,21600" o:gfxdata="UEsDBAoAAAAAAIdO4kAAAAAAAAAAAAAAAAAEAAAAZHJzL1BLAwQUAAAACACHTuJALox/Hr0AAADb&#10;AAAADwAAAGRycy9kb3ducmV2LnhtbEWPwW7CMBBE75X4B2uRemtsQEJtiOEAArVHCJfelnhJAvE6&#10;ik2S9uvrSpV6HM3MG022GW0jeup87VjDLFEgiAtnai41nPP9yysIH5ANNo5Jwxd52KwnTxmmxg18&#10;pP4UShEh7FPUUIXQplL6oiKLPnEtcfSurrMYouxKaTocItw2cq7UUlqsOS5U2NK2ouJ+elgNl3p+&#10;xu9jflD2bb8IH2N+e3zutH6eztQKRKAx/If/2u9Gw2IJ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H8e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成品装车</w:t>
                        </w:r>
                      </w:p>
                    </w:txbxContent>
                  </v:textbox>
                </v:rect>
                <v:shape id="_x0000_s1026" o:spid="_x0000_s1026" o:spt="32" type="#_x0000_t32" style="position:absolute;left:7950;top:12060;flip:x;height:0;width:405;" filled="f" stroked="t" coordsize="21600,21600" o:gfxdata="UEsDBAoAAAAAAIdO4kAAAAAAAAAAAAAAAAAEAAAAZHJzL1BLAwQUAAAACACHTuJAT6F4QL4AAADb&#10;AAAADwAAAGRycy9kb3ducmV2LnhtbEWPT4vCMBTE7wt+h/AEL6KpLqtSjR52/bMXEaveH82zLTYv&#10;pYnafvuNIOxxmJnfMItVY0rxoNoVlhWMhhEI4tTqgjMF59NmMAPhPLLG0jIpaMnBatn5WGCs7ZOP&#10;9Eh8JgKEXYwKcu+rWEqX5mTQDW1FHLyrrQ36IOtM6hqfAW5KOY6iiTRYcFjIsaLvnNJbcjcKfpLD&#10;1+bSPzfjNt3tk+3sduB2rVSvO4rmIDw1/j/8bv9qBZ9T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F4Q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955;top:12060;flip:x;height:0;width:405;" filled="f" stroked="t" coordsize="21600,21600" o:gfxdata="UEsDBAoAAAAAAIdO4kAAAAAAAAAAAAAAAAAEAAAAZHJzL1BLAwQUAAAACACHTuJAPj7sMrsAAADb&#10;AAAADwAAAGRycy9kb3ducmV2LnhtbEVPy2rCQBTdF/oPwy24KWZipCLR0UXro5sixri/ZK5JMHMn&#10;ZMaY/H1nUejycN7r7WAa0VPnassKZlEMgriwuuZSQX7ZT5cgnEfW2FgmBSM52G5eX9aYavvkM/WZ&#10;L0UIYZeigsr7NpXSFRUZdJFtiQN3s51BH2BXSt3hM4SbRiZxvJAGaw4NFbb0WVFxzx5GwVd2+thf&#10;3/MhGYvjT3ZY3k887pSavM3iFQhPg/8X/7m/tYJ5GBu+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7sM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3930;top:12060;flip:x;height:0;width:405;" filled="f" stroked="t" coordsize="21600,21600" o:gfxdata="UEsDBAoAAAAAAIdO4kAAAAAAAAAAAAAAAAAEAAAAZHJzL1BLAwQUAAAACACHTuJAUXJJqb4AAADb&#10;AAAADwAAAGRycy9kb3ducmV2LnhtbEWPT4vCMBTE7wt+h/AEL6Kpyop2jR52/bMXEaveH83btti8&#10;lCZq++2NIOxxmJnfMItVY0pxp9oVlhWMhhEI4tTqgjMF59NmMAPhPLLG0jIpaMnBatn5WGCs7YOP&#10;dE98JgKEXYwKcu+rWEqX5mTQDW1FHLw/Wxv0QdaZ1DU+AtyUchxFU2mw4LCQY0XfOaXX5GYU/CSH&#10;z82lf27GbbrbJ9vZ9cDtWqledxR9gfDU+P/wu/2rFUzm8PoSf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JJq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spacing w:line="360" w:lineRule="auto"/>
        <w:ind w:firstLine="560" w:firstLineChars="200"/>
        <w:rPr>
          <w:rFonts w:hint="eastAsia" w:ascii="宋体"/>
          <w:snapToGrid w:val="0"/>
          <w:color w:val="auto"/>
          <w:kern w:val="0"/>
          <w:sz w:val="28"/>
          <w:szCs w:val="28"/>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pStyle w:val="2"/>
        <w:rPr>
          <w:rFonts w:hint="eastAsia"/>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r>
        <w:rPr>
          <w:rFonts w:hint="eastAsia" w:ascii="黑体" w:hAnsi="黑体" w:eastAsia="黑体"/>
          <w:b/>
          <w:snapToGrid w:val="0"/>
          <w:color w:val="auto"/>
          <w:kern w:val="0"/>
          <w:sz w:val="24"/>
          <w:lang w:eastAsia="zh-CN"/>
        </w:rPr>
        <w:t>图</w:t>
      </w:r>
      <w:r>
        <w:rPr>
          <w:rFonts w:hint="eastAsia" w:ascii="黑体" w:hAnsi="黑体" w:eastAsia="黑体"/>
          <w:b/>
          <w:snapToGrid w:val="0"/>
          <w:color w:val="auto"/>
          <w:kern w:val="0"/>
          <w:sz w:val="24"/>
          <w:lang w:val="en-US" w:eastAsia="zh-CN"/>
        </w:rPr>
        <w:t>2</w:t>
      </w:r>
      <w:r>
        <w:rPr>
          <w:rFonts w:hint="eastAsia" w:ascii="黑体" w:hAnsi="黑体" w:eastAsia="黑体"/>
          <w:b/>
          <w:snapToGrid w:val="0"/>
          <w:color w:val="auto"/>
          <w:kern w:val="0"/>
          <w:sz w:val="24"/>
          <w:lang w:eastAsia="zh-CN"/>
        </w:rPr>
        <w:t>-</w:t>
      </w:r>
      <w:r>
        <w:rPr>
          <w:rFonts w:hint="eastAsia" w:ascii="黑体" w:hAnsi="黑体" w:eastAsia="黑体"/>
          <w:b/>
          <w:snapToGrid w:val="0"/>
          <w:color w:val="auto"/>
          <w:kern w:val="0"/>
          <w:sz w:val="24"/>
          <w:lang w:val="en-US" w:eastAsia="zh-CN"/>
        </w:rPr>
        <w:t>4</w:t>
      </w:r>
      <w:r>
        <w:rPr>
          <w:rFonts w:hint="eastAsia" w:ascii="黑体" w:hAnsi="黑体" w:eastAsia="黑体"/>
          <w:b/>
          <w:snapToGrid w:val="0"/>
          <w:color w:val="auto"/>
          <w:kern w:val="0"/>
          <w:sz w:val="24"/>
          <w:lang w:eastAsia="zh-CN"/>
        </w:rPr>
        <w:t xml:space="preserve"> 页岩砖生产工艺流程示意图</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2、原料制备</w:t>
      </w:r>
      <w:bookmarkEnd w:id="62"/>
      <w:bookmarkEnd w:id="63"/>
      <w:bookmarkEnd w:id="64"/>
      <w:bookmarkEnd w:id="65"/>
    </w:p>
    <w:p>
      <w:pPr>
        <w:spacing w:line="360" w:lineRule="auto"/>
        <w:ind w:firstLine="560" w:firstLineChars="200"/>
        <w:rPr>
          <w:rFonts w:hint="eastAsia" w:ascii="宋体"/>
          <w:snapToGrid w:val="0"/>
          <w:color w:val="auto"/>
          <w:kern w:val="0"/>
          <w:sz w:val="28"/>
          <w:szCs w:val="28"/>
        </w:rPr>
      </w:pPr>
      <w:bookmarkStart w:id="66" w:name="_Toc515872920"/>
      <w:bookmarkStart w:id="67" w:name="_Toc356401467"/>
      <w:bookmarkStart w:id="68" w:name="_Toc480804371"/>
      <w:bookmarkStart w:id="69" w:name="_Toc356380958"/>
      <w:r>
        <w:rPr>
          <w:rFonts w:hint="eastAsia" w:ascii="宋体"/>
          <w:snapToGrid w:val="0"/>
          <w:color w:val="auto"/>
          <w:kern w:val="0"/>
          <w:sz w:val="28"/>
          <w:szCs w:val="28"/>
        </w:rPr>
        <w:t>制砖主要原料煤外购运到厂内，自卸到板式给料机中。经板式给料机定量装到胶带输送机上，运到颚式破碎机处进行粗破，通过刮板给料机、圆盘给料机均匀喂料，至锤式破碎机进行粉碎，粉碎后物料颗粒组成情况为：</w:t>
      </w:r>
    </w:p>
    <w:tbl>
      <w:tblPr>
        <w:tblStyle w:val="1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539"/>
        <w:gridCol w:w="3074"/>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1～3mm</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0.5～1mm</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0.2～0.5mm</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&lt;3%</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30%</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33%</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&gt;34%</w:t>
            </w:r>
          </w:p>
        </w:tc>
      </w:tr>
    </w:tbl>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煤按配合比(</w:t>
      </w:r>
      <w:r>
        <w:rPr>
          <w:rFonts w:hint="eastAsia" w:ascii="宋体" w:hAnsi="宋体"/>
          <w:color w:val="auto"/>
          <w:sz w:val="28"/>
          <w:szCs w:val="28"/>
        </w:rPr>
        <w:t>页岩、煤矸石=7:3)</w:t>
      </w:r>
      <w:r>
        <w:rPr>
          <w:rFonts w:hint="eastAsia" w:ascii="宋体"/>
          <w:snapToGrid w:val="0"/>
          <w:color w:val="auto"/>
          <w:kern w:val="0"/>
          <w:sz w:val="28"/>
          <w:szCs w:val="28"/>
        </w:rPr>
        <w:t>要求经箱式给料机定量给料到胶带输送机上，</w:t>
      </w:r>
      <w:r>
        <w:rPr>
          <w:rFonts w:hint="eastAsia" w:ascii="宋体" w:hAnsi="宋体"/>
          <w:color w:val="auto"/>
          <w:sz w:val="28"/>
          <w:szCs w:val="28"/>
        </w:rPr>
        <w:t>页岩</w:t>
      </w:r>
      <w:r>
        <w:rPr>
          <w:rFonts w:hint="eastAsia" w:ascii="宋体"/>
          <w:snapToGrid w:val="0"/>
          <w:color w:val="auto"/>
          <w:kern w:val="0"/>
          <w:sz w:val="28"/>
          <w:szCs w:val="28"/>
        </w:rPr>
        <w:t>共同进行粗碎、细碎处理。粉碎后的</w:t>
      </w:r>
      <w:r>
        <w:rPr>
          <w:rFonts w:hint="eastAsia" w:ascii="宋体" w:hAnsi="宋体"/>
          <w:color w:val="auto"/>
          <w:sz w:val="28"/>
          <w:szCs w:val="28"/>
        </w:rPr>
        <w:t>页岩</w:t>
      </w:r>
      <w:r>
        <w:rPr>
          <w:rFonts w:hint="eastAsia" w:ascii="宋体"/>
          <w:snapToGrid w:val="0"/>
          <w:color w:val="auto"/>
          <w:kern w:val="0"/>
          <w:sz w:val="28"/>
          <w:szCs w:val="28"/>
        </w:rPr>
        <w:t>、煤粉经强力搅拌机加水搅拌混合。</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3、原料陈化处理</w:t>
      </w:r>
      <w:bookmarkEnd w:id="66"/>
      <w:bookmarkEnd w:id="67"/>
      <w:bookmarkEnd w:id="68"/>
      <w:bookmarkEnd w:id="69"/>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强力搅拌机处理后的混合料再通过胶带输送机运到陈化库顶部的可逆移动配仓布料机上，将混合料按一定规律均匀的堆存到陈化库中，混合料陈化时间不得小于3小时。陈化的作用是使原料中水分均匀化程度提高，使原料颗粒表面和内部性能更加的均匀，更趋一致，使颗粒变得容易疏解，使混合料的成型性能得到提高。</w:t>
      </w:r>
    </w:p>
    <w:p>
      <w:pPr>
        <w:spacing w:line="360" w:lineRule="auto"/>
        <w:ind w:firstLine="562" w:firstLineChars="200"/>
        <w:rPr>
          <w:rFonts w:hint="eastAsia" w:ascii="宋体"/>
          <w:b/>
          <w:bCs/>
          <w:snapToGrid w:val="0"/>
          <w:color w:val="auto"/>
          <w:kern w:val="0"/>
          <w:sz w:val="28"/>
          <w:szCs w:val="28"/>
          <w:lang w:val="en-US" w:eastAsia="zh-CN"/>
        </w:rPr>
      </w:pPr>
      <w:bookmarkStart w:id="70" w:name="_Toc356380959"/>
      <w:bookmarkStart w:id="71" w:name="_Toc480804372"/>
      <w:bookmarkStart w:id="72" w:name="_Toc356401468"/>
      <w:bookmarkStart w:id="73" w:name="_Toc515872921"/>
      <w:r>
        <w:rPr>
          <w:rFonts w:hint="eastAsia" w:ascii="宋体"/>
          <w:b/>
          <w:bCs/>
          <w:snapToGrid w:val="0"/>
          <w:color w:val="auto"/>
          <w:kern w:val="0"/>
          <w:sz w:val="28"/>
          <w:szCs w:val="28"/>
          <w:lang w:val="en-US" w:eastAsia="zh-CN"/>
        </w:rPr>
        <w:t>4、挤出成型</w:t>
      </w:r>
      <w:bookmarkEnd w:id="70"/>
      <w:bookmarkEnd w:id="71"/>
      <w:bookmarkEnd w:id="72"/>
      <w:bookmarkEnd w:id="73"/>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过陈化的混合料有装运到胶带输送机上运到成型车间的箱式给料机处定量向强力搅拌机给料。原料通过这次加水搅拌，使其成型水分达到16～17%。搅拌后的物料再经过湿式轮碾机进一步碾练均化处理，使混合料性能满足成型需要。挤出成型采用高挤出压力、高真空度的双极真空挤出机，许用挤出压力达到3.8mpa，真空度达到≤-0.092mpa。挤出的泥条经自动切条机、切坯机割成需要规格的砖坯，再经码坯将砖坯放到窑车上。</w:t>
      </w:r>
    </w:p>
    <w:p>
      <w:pPr>
        <w:spacing w:line="360" w:lineRule="auto"/>
        <w:ind w:firstLine="562" w:firstLineChars="200"/>
        <w:rPr>
          <w:rFonts w:hint="eastAsia" w:ascii="宋体"/>
          <w:b/>
          <w:bCs/>
          <w:snapToGrid w:val="0"/>
          <w:color w:val="auto"/>
          <w:kern w:val="0"/>
          <w:sz w:val="28"/>
          <w:szCs w:val="28"/>
          <w:lang w:val="en-US" w:eastAsia="zh-CN"/>
        </w:rPr>
      </w:pPr>
      <w:bookmarkStart w:id="74" w:name="_Toc515872922"/>
      <w:bookmarkStart w:id="75" w:name="_Toc480804373"/>
      <w:bookmarkStart w:id="76" w:name="_Toc356401469"/>
      <w:bookmarkStart w:id="77" w:name="_Toc356380960"/>
      <w:r>
        <w:rPr>
          <w:rFonts w:hint="eastAsia" w:ascii="宋体"/>
          <w:b/>
          <w:bCs/>
          <w:snapToGrid w:val="0"/>
          <w:color w:val="auto"/>
          <w:kern w:val="0"/>
          <w:sz w:val="28"/>
          <w:szCs w:val="28"/>
          <w:lang w:val="en-US" w:eastAsia="zh-CN"/>
        </w:rPr>
        <w:t>5、干燥、焙烧</w:t>
      </w:r>
      <w:bookmarkEnd w:id="74"/>
      <w:bookmarkEnd w:id="75"/>
      <w:bookmarkEnd w:id="76"/>
      <w:bookmarkEnd w:id="77"/>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码有砖坯的窑车通过窑车运转系统完成窑车在贮存段、干燥室、焙烧窑的运行。由于成型工段在市场淡季有可能是二班生产，干燥室、焙烧窑是三班生产，因此必须设置码有砖坯的窑车贮存段，用于贮存夜班进窑的窑车，本项目共设250辆窑车。</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装有砖坯的窑车经过贮存后运送到进车端摆渡车上，通过液压顶车机将窑车送入干燥室内，本项目采用一次码烧工艺，隧道窑生产线1条（1条干燥窑，1条焙烧窑）。干燥热源来自焙烧窑余热。干燥好的砖坯通过干燥室出口拉引机、焙烧窑液压顶车机将窑车送入焙烧窑。</w:t>
      </w:r>
    </w:p>
    <w:p>
      <w:pPr>
        <w:pStyle w:val="5"/>
        <w:spacing w:before="0" w:after="0" w:line="360" w:lineRule="auto"/>
        <w:rPr>
          <w:rFonts w:hint="eastAsia" w:ascii="宋体" w:hAnsi="宋体" w:eastAsia="宋体" w:cs="宋体"/>
          <w:color w:val="auto"/>
          <w:sz w:val="28"/>
          <w:szCs w:val="28"/>
          <w:lang w:val="zh-CN"/>
        </w:rPr>
      </w:pPr>
      <w:bookmarkStart w:id="78" w:name="_Toc23509"/>
      <w:bookmarkStart w:id="79" w:name="_Toc9989"/>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5</w:t>
      </w:r>
      <w:r>
        <w:rPr>
          <w:rFonts w:hint="eastAsia" w:ascii="宋体" w:hAnsi="宋体" w:eastAsia="宋体" w:cs="宋体"/>
          <w:b/>
          <w:bCs/>
          <w:i w:val="0"/>
          <w:iCs w:val="0"/>
          <w:color w:val="auto"/>
          <w:sz w:val="28"/>
          <w:szCs w:val="28"/>
        </w:rPr>
        <w:t>主要生产设备情况</w:t>
      </w:r>
      <w:bookmarkEnd w:id="78"/>
      <w:bookmarkEnd w:id="79"/>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lang w:eastAsia="zh-CN"/>
        </w:rPr>
        <w:t>仪陇县三河镇宏发页岩砖厂</w:t>
      </w:r>
      <w:r>
        <w:rPr>
          <w:rFonts w:hint="eastAsia" w:ascii="宋体" w:hAnsi="宋体" w:cs="宋体"/>
          <w:i w:val="0"/>
          <w:iCs w:val="0"/>
          <w:color w:val="auto"/>
          <w:sz w:val="28"/>
          <w:szCs w:val="28"/>
        </w:rPr>
        <w:t>主要设备清单见表</w:t>
      </w:r>
      <w:r>
        <w:rPr>
          <w:rFonts w:hint="eastAsia" w:ascii="宋体" w:hAnsi="宋体" w:eastAsia="宋体" w:cs="宋体"/>
          <w:i w:val="0"/>
          <w:iCs w:val="0"/>
          <w:color w:val="auto"/>
          <w:sz w:val="28"/>
          <w:szCs w:val="28"/>
          <w:lang w:val="en-US" w:eastAsia="zh-CN"/>
        </w:rPr>
        <w:t>2</w:t>
      </w:r>
      <w:r>
        <w:rPr>
          <w:rFonts w:hint="eastAsia" w:ascii="宋体" w:hAnsi="宋体" w:cs="宋体"/>
          <w:i w:val="0"/>
          <w:iCs w:val="0"/>
          <w:color w:val="auto"/>
          <w:sz w:val="28"/>
          <w:szCs w:val="28"/>
        </w:rPr>
        <w:t>-</w:t>
      </w:r>
      <w:r>
        <w:rPr>
          <w:rFonts w:hint="eastAsia" w:ascii="宋体" w:hAnsi="宋体" w:cs="宋体"/>
          <w:i w:val="0"/>
          <w:iCs w:val="0"/>
          <w:color w:val="auto"/>
          <w:sz w:val="28"/>
          <w:szCs w:val="28"/>
          <w:lang w:val="en-US" w:eastAsia="zh-CN"/>
        </w:rPr>
        <w:t>2</w:t>
      </w:r>
      <w:r>
        <w:rPr>
          <w:rFonts w:hint="eastAsia" w:ascii="宋体" w:hAnsi="宋体" w:cs="宋体"/>
          <w:i w:val="0"/>
          <w:iCs w:val="0"/>
          <w:color w:val="auto"/>
          <w:sz w:val="28"/>
          <w:szCs w:val="28"/>
        </w:rPr>
        <w:t>所示。</w:t>
      </w:r>
    </w:p>
    <w:tbl>
      <w:tblPr>
        <w:tblStyle w:val="20"/>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2578"/>
        <w:gridCol w:w="2682"/>
        <w:gridCol w:w="2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noWrap w:val="0"/>
            <w:vAlign w:val="top"/>
          </w:tcPr>
          <w:p>
            <w:pPr>
              <w:jc w:val="center"/>
              <w:rPr>
                <w:rFonts w:hint="eastAsia"/>
                <w:vertAlign w:val="baseline"/>
                <w:lang w:eastAsia="zh-CN"/>
              </w:rPr>
            </w:pPr>
            <w:r>
              <w:rPr>
                <w:rFonts w:hint="eastAsia"/>
                <w:vertAlign w:val="baseline"/>
                <w:lang w:eastAsia="zh-CN"/>
              </w:rPr>
              <w:t>序号</w:t>
            </w:r>
          </w:p>
        </w:tc>
        <w:tc>
          <w:tcPr>
            <w:tcW w:w="2578" w:type="dxa"/>
            <w:noWrap w:val="0"/>
            <w:vAlign w:val="top"/>
          </w:tcPr>
          <w:p>
            <w:pPr>
              <w:jc w:val="center"/>
              <w:rPr>
                <w:rFonts w:hint="eastAsia"/>
                <w:vertAlign w:val="baseline"/>
                <w:lang w:eastAsia="zh-CN"/>
              </w:rPr>
            </w:pPr>
            <w:r>
              <w:rPr>
                <w:rFonts w:hint="eastAsia"/>
                <w:vertAlign w:val="baseline"/>
                <w:lang w:eastAsia="zh-CN"/>
              </w:rPr>
              <w:t>名称</w:t>
            </w:r>
          </w:p>
        </w:tc>
        <w:tc>
          <w:tcPr>
            <w:tcW w:w="2682" w:type="dxa"/>
            <w:noWrap w:val="0"/>
            <w:vAlign w:val="top"/>
          </w:tcPr>
          <w:p>
            <w:pPr>
              <w:jc w:val="center"/>
              <w:rPr>
                <w:rFonts w:hint="eastAsia"/>
                <w:vertAlign w:val="baseline"/>
                <w:lang w:eastAsia="zh-CN"/>
              </w:rPr>
            </w:pPr>
            <w:r>
              <w:rPr>
                <w:rFonts w:hint="eastAsia"/>
                <w:vertAlign w:val="baseline"/>
                <w:lang w:eastAsia="zh-CN"/>
              </w:rPr>
              <w:t>型号</w:t>
            </w:r>
          </w:p>
        </w:tc>
        <w:tc>
          <w:tcPr>
            <w:tcW w:w="2916" w:type="dxa"/>
            <w:noWrap w:val="0"/>
            <w:vAlign w:val="top"/>
          </w:tcPr>
          <w:p>
            <w:pPr>
              <w:jc w:val="center"/>
              <w:rPr>
                <w:rFonts w:hint="eastAsia"/>
                <w:vertAlign w:val="baseline"/>
                <w:lang w:eastAsia="zh-CN"/>
              </w:rPr>
            </w:pPr>
            <w:r>
              <w:rPr>
                <w:rFonts w:hint="eastAsia"/>
                <w:vertAlign w:val="baseline"/>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noWrap w:val="0"/>
            <w:vAlign w:val="top"/>
          </w:tcPr>
          <w:p>
            <w:pPr>
              <w:jc w:val="center"/>
              <w:rPr>
                <w:rFonts w:hint="eastAsia"/>
                <w:vertAlign w:val="baseline"/>
                <w:lang w:val="en-US" w:eastAsia="zh-CN"/>
              </w:rPr>
            </w:pPr>
            <w:r>
              <w:rPr>
                <w:rFonts w:hint="eastAsia"/>
                <w:vertAlign w:val="baseline"/>
                <w:lang w:val="en-US" w:eastAsia="zh-CN"/>
              </w:rPr>
              <w:t>1</w:t>
            </w:r>
          </w:p>
        </w:tc>
        <w:tc>
          <w:tcPr>
            <w:tcW w:w="2578" w:type="dxa"/>
            <w:noWrap w:val="0"/>
            <w:vAlign w:val="top"/>
          </w:tcPr>
          <w:p>
            <w:pPr>
              <w:jc w:val="center"/>
              <w:rPr>
                <w:rFonts w:hint="eastAsia" w:eastAsia="宋体"/>
                <w:vertAlign w:val="baseline"/>
                <w:lang w:val="en-US" w:eastAsia="zh-CN"/>
              </w:rPr>
            </w:pPr>
            <w:r>
              <w:rPr>
                <w:rFonts w:hint="eastAsia"/>
                <w:vertAlign w:val="baseline"/>
                <w:lang w:val="en-US" w:eastAsia="zh-CN"/>
              </w:rPr>
              <w:t>真空挤出机</w:t>
            </w:r>
          </w:p>
        </w:tc>
        <w:tc>
          <w:tcPr>
            <w:tcW w:w="2682" w:type="dxa"/>
            <w:noWrap w:val="0"/>
            <w:vAlign w:val="top"/>
          </w:tcPr>
          <w:p>
            <w:pPr>
              <w:jc w:val="center"/>
              <w:rPr>
                <w:rFonts w:hint="default"/>
                <w:vertAlign w:val="baseline"/>
                <w:lang w:val="en-US" w:eastAsia="zh-CN"/>
              </w:rPr>
            </w:pPr>
            <w:r>
              <w:rPr>
                <w:rFonts w:hint="eastAsia"/>
                <w:vertAlign w:val="baseline"/>
                <w:lang w:val="en-US" w:eastAsia="zh-CN"/>
              </w:rPr>
              <w:t>60-60</w:t>
            </w:r>
          </w:p>
        </w:tc>
        <w:tc>
          <w:tcPr>
            <w:tcW w:w="2916" w:type="dxa"/>
            <w:noWrap w:val="0"/>
            <w:vAlign w:val="top"/>
          </w:tcPr>
          <w:p>
            <w:pPr>
              <w:jc w:val="center"/>
              <w:rPr>
                <w:rFonts w:hint="eastAsia"/>
                <w:vertAlign w:val="baseline"/>
                <w:lang w:val="en-US"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noWrap w:val="0"/>
            <w:vAlign w:val="top"/>
          </w:tcPr>
          <w:p>
            <w:pPr>
              <w:jc w:val="center"/>
              <w:rPr>
                <w:rFonts w:hint="eastAsia"/>
                <w:vertAlign w:val="baseline"/>
                <w:lang w:val="en-US" w:eastAsia="zh-CN"/>
              </w:rPr>
            </w:pPr>
            <w:r>
              <w:rPr>
                <w:rFonts w:hint="eastAsia"/>
                <w:vertAlign w:val="baseline"/>
                <w:lang w:val="en-US" w:eastAsia="zh-CN"/>
              </w:rPr>
              <w:t>2</w:t>
            </w:r>
          </w:p>
        </w:tc>
        <w:tc>
          <w:tcPr>
            <w:tcW w:w="2578" w:type="dxa"/>
            <w:noWrap w:val="0"/>
            <w:vAlign w:val="top"/>
          </w:tcPr>
          <w:p>
            <w:pPr>
              <w:jc w:val="center"/>
              <w:rPr>
                <w:rFonts w:hint="eastAsia"/>
                <w:vertAlign w:val="baseline"/>
                <w:lang w:eastAsia="zh-CN"/>
              </w:rPr>
            </w:pPr>
            <w:r>
              <w:rPr>
                <w:rFonts w:hint="eastAsia"/>
                <w:vertAlign w:val="baseline"/>
                <w:lang w:eastAsia="zh-CN"/>
              </w:rPr>
              <w:t>自动码坯机</w:t>
            </w:r>
          </w:p>
        </w:tc>
        <w:tc>
          <w:tcPr>
            <w:tcW w:w="2682" w:type="dxa"/>
            <w:noWrap w:val="0"/>
            <w:vAlign w:val="top"/>
          </w:tcPr>
          <w:p>
            <w:pPr>
              <w:jc w:val="center"/>
              <w:rPr>
                <w:rFonts w:hint="eastAsia"/>
                <w:vertAlign w:val="baseline"/>
                <w:lang w:val="en-US" w:eastAsia="zh-CN"/>
              </w:rPr>
            </w:pPr>
            <w:r>
              <w:rPr>
                <w:rFonts w:hint="eastAsia"/>
                <w:vertAlign w:val="baseline"/>
                <w:lang w:val="en-US" w:eastAsia="zh-CN"/>
              </w:rPr>
              <w:t>/</w:t>
            </w:r>
          </w:p>
        </w:tc>
        <w:tc>
          <w:tcPr>
            <w:tcW w:w="2916" w:type="dxa"/>
            <w:noWrap w:val="0"/>
            <w:vAlign w:val="top"/>
          </w:tcPr>
          <w:p>
            <w:pPr>
              <w:jc w:val="center"/>
              <w:rPr>
                <w:rFonts w:hint="eastAsia"/>
                <w:vertAlign w:val="baseline"/>
                <w:lang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noWrap w:val="0"/>
            <w:vAlign w:val="top"/>
          </w:tcPr>
          <w:p>
            <w:pPr>
              <w:jc w:val="center"/>
              <w:rPr>
                <w:rFonts w:hint="eastAsia"/>
                <w:vertAlign w:val="baseline"/>
                <w:lang w:val="en-US" w:eastAsia="zh-CN"/>
              </w:rPr>
            </w:pPr>
            <w:r>
              <w:rPr>
                <w:rFonts w:hint="eastAsia"/>
                <w:vertAlign w:val="baseline"/>
                <w:lang w:val="en-US" w:eastAsia="zh-CN"/>
              </w:rPr>
              <w:t>3</w:t>
            </w:r>
          </w:p>
        </w:tc>
        <w:tc>
          <w:tcPr>
            <w:tcW w:w="2578" w:type="dxa"/>
            <w:noWrap w:val="0"/>
            <w:vAlign w:val="top"/>
          </w:tcPr>
          <w:p>
            <w:pPr>
              <w:jc w:val="center"/>
              <w:rPr>
                <w:rFonts w:hint="eastAsia"/>
                <w:vertAlign w:val="baseline"/>
                <w:lang w:eastAsia="zh-CN"/>
              </w:rPr>
            </w:pPr>
            <w:r>
              <w:rPr>
                <w:rFonts w:hint="eastAsia"/>
                <w:vertAlign w:val="baseline"/>
                <w:lang w:eastAsia="zh-CN"/>
              </w:rPr>
              <w:t>颚式破碎机</w:t>
            </w:r>
          </w:p>
        </w:tc>
        <w:tc>
          <w:tcPr>
            <w:tcW w:w="2682" w:type="dxa"/>
            <w:noWrap w:val="0"/>
            <w:vAlign w:val="top"/>
          </w:tcPr>
          <w:p>
            <w:pPr>
              <w:jc w:val="center"/>
              <w:rPr>
                <w:rFonts w:hint="eastAsia"/>
                <w:vertAlign w:val="baseline"/>
                <w:lang w:val="en-US" w:eastAsia="zh-CN"/>
              </w:rPr>
            </w:pPr>
            <w:r>
              <w:rPr>
                <w:rFonts w:hint="eastAsia"/>
                <w:vertAlign w:val="baseline"/>
                <w:lang w:val="en-US" w:eastAsia="zh-CN"/>
              </w:rPr>
              <w:t>50-70</w:t>
            </w:r>
          </w:p>
        </w:tc>
        <w:tc>
          <w:tcPr>
            <w:tcW w:w="2916" w:type="dxa"/>
            <w:noWrap w:val="0"/>
            <w:vAlign w:val="top"/>
          </w:tcPr>
          <w:p>
            <w:pPr>
              <w:jc w:val="center"/>
              <w:rPr>
                <w:rFonts w:hint="eastAsia"/>
                <w:vertAlign w:val="baseline"/>
                <w:lang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noWrap w:val="0"/>
            <w:vAlign w:val="top"/>
          </w:tcPr>
          <w:p>
            <w:pPr>
              <w:jc w:val="center"/>
              <w:rPr>
                <w:rFonts w:hint="eastAsia"/>
                <w:vertAlign w:val="baseline"/>
                <w:lang w:val="en-US" w:eastAsia="zh-CN"/>
              </w:rPr>
            </w:pPr>
            <w:r>
              <w:rPr>
                <w:rFonts w:hint="eastAsia"/>
                <w:vertAlign w:val="baseline"/>
                <w:lang w:val="en-US" w:eastAsia="zh-CN"/>
              </w:rPr>
              <w:t>4</w:t>
            </w:r>
          </w:p>
        </w:tc>
        <w:tc>
          <w:tcPr>
            <w:tcW w:w="2578" w:type="dxa"/>
            <w:noWrap w:val="0"/>
            <w:vAlign w:val="top"/>
          </w:tcPr>
          <w:p>
            <w:pPr>
              <w:jc w:val="center"/>
              <w:rPr>
                <w:rFonts w:hint="eastAsia"/>
                <w:vertAlign w:val="baseline"/>
                <w:lang w:eastAsia="zh-CN"/>
              </w:rPr>
            </w:pPr>
            <w:r>
              <w:rPr>
                <w:rFonts w:hint="eastAsia"/>
                <w:vertAlign w:val="baseline"/>
                <w:lang w:eastAsia="zh-CN"/>
              </w:rPr>
              <w:t>搅拌机</w:t>
            </w:r>
          </w:p>
        </w:tc>
        <w:tc>
          <w:tcPr>
            <w:tcW w:w="2682" w:type="dxa"/>
            <w:noWrap w:val="0"/>
            <w:vAlign w:val="top"/>
          </w:tcPr>
          <w:p>
            <w:pPr>
              <w:jc w:val="center"/>
              <w:rPr>
                <w:rFonts w:hint="eastAsia"/>
                <w:vertAlign w:val="baseline"/>
                <w:lang w:val="en-US" w:eastAsia="zh-CN"/>
              </w:rPr>
            </w:pPr>
            <w:r>
              <w:rPr>
                <w:rFonts w:hint="eastAsia"/>
                <w:vertAlign w:val="baseline"/>
                <w:lang w:val="en-US" w:eastAsia="zh-CN"/>
              </w:rPr>
              <w:t>4.5m</w:t>
            </w:r>
          </w:p>
        </w:tc>
        <w:tc>
          <w:tcPr>
            <w:tcW w:w="2916" w:type="dxa"/>
            <w:noWrap w:val="0"/>
            <w:vAlign w:val="top"/>
          </w:tcPr>
          <w:p>
            <w:pPr>
              <w:jc w:val="center"/>
              <w:rPr>
                <w:rFonts w:hint="eastAsia"/>
                <w:vertAlign w:val="baseline"/>
                <w:lang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noWrap w:val="0"/>
            <w:vAlign w:val="top"/>
          </w:tcPr>
          <w:p>
            <w:pPr>
              <w:jc w:val="center"/>
              <w:rPr>
                <w:rFonts w:hint="eastAsia"/>
                <w:vertAlign w:val="baseline"/>
                <w:lang w:val="en-US" w:eastAsia="zh-CN"/>
              </w:rPr>
            </w:pPr>
            <w:r>
              <w:rPr>
                <w:rFonts w:hint="eastAsia"/>
                <w:vertAlign w:val="baseline"/>
                <w:lang w:val="en-US" w:eastAsia="zh-CN"/>
              </w:rPr>
              <w:t>5</w:t>
            </w:r>
          </w:p>
        </w:tc>
        <w:tc>
          <w:tcPr>
            <w:tcW w:w="2578" w:type="dxa"/>
            <w:noWrap w:val="0"/>
            <w:vAlign w:val="top"/>
          </w:tcPr>
          <w:p>
            <w:pPr>
              <w:jc w:val="center"/>
              <w:rPr>
                <w:rFonts w:hint="eastAsia"/>
                <w:vertAlign w:val="baseline"/>
                <w:lang w:eastAsia="zh-CN"/>
              </w:rPr>
            </w:pPr>
            <w:r>
              <w:rPr>
                <w:rFonts w:hint="eastAsia"/>
                <w:vertAlign w:val="baseline"/>
                <w:lang w:eastAsia="zh-CN"/>
              </w:rPr>
              <w:t>滚动筛</w:t>
            </w:r>
          </w:p>
        </w:tc>
        <w:tc>
          <w:tcPr>
            <w:tcW w:w="2682" w:type="dxa"/>
            <w:noWrap w:val="0"/>
            <w:vAlign w:val="top"/>
          </w:tcPr>
          <w:p>
            <w:pPr>
              <w:jc w:val="center"/>
              <w:rPr>
                <w:rFonts w:hint="eastAsia"/>
                <w:vertAlign w:val="baseline"/>
                <w:lang w:val="en-US" w:eastAsia="zh-CN"/>
              </w:rPr>
            </w:pPr>
            <w:r>
              <w:rPr>
                <w:rFonts w:hint="eastAsia"/>
                <w:vertAlign w:val="baseline"/>
                <w:lang w:val="en-US" w:eastAsia="zh-CN"/>
              </w:rPr>
              <w:t>2.2*1m</w:t>
            </w:r>
          </w:p>
        </w:tc>
        <w:tc>
          <w:tcPr>
            <w:tcW w:w="2916" w:type="dxa"/>
            <w:noWrap w:val="0"/>
            <w:vAlign w:val="top"/>
          </w:tcPr>
          <w:p>
            <w:pPr>
              <w:jc w:val="center"/>
              <w:rPr>
                <w:rFonts w:hint="eastAsia"/>
                <w:vertAlign w:val="baseline"/>
                <w:lang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noWrap w:val="0"/>
            <w:vAlign w:val="top"/>
          </w:tcPr>
          <w:p>
            <w:pPr>
              <w:jc w:val="center"/>
              <w:rPr>
                <w:rFonts w:hint="eastAsia"/>
                <w:vertAlign w:val="baseline"/>
                <w:lang w:val="en-US" w:eastAsia="zh-CN"/>
              </w:rPr>
            </w:pPr>
            <w:r>
              <w:rPr>
                <w:rFonts w:hint="eastAsia"/>
                <w:vertAlign w:val="baseline"/>
                <w:lang w:val="en-US" w:eastAsia="zh-CN"/>
              </w:rPr>
              <w:t>6</w:t>
            </w:r>
          </w:p>
        </w:tc>
        <w:tc>
          <w:tcPr>
            <w:tcW w:w="2578" w:type="dxa"/>
            <w:noWrap w:val="0"/>
            <w:vAlign w:val="top"/>
          </w:tcPr>
          <w:p>
            <w:pPr>
              <w:jc w:val="center"/>
              <w:rPr>
                <w:rFonts w:hint="eastAsia"/>
                <w:vertAlign w:val="baseline"/>
                <w:lang w:eastAsia="zh-CN"/>
              </w:rPr>
            </w:pPr>
            <w:r>
              <w:rPr>
                <w:rFonts w:hint="eastAsia"/>
                <w:vertAlign w:val="baseline"/>
                <w:lang w:eastAsia="zh-CN"/>
              </w:rPr>
              <w:t>双轴粉碎机</w:t>
            </w:r>
          </w:p>
        </w:tc>
        <w:tc>
          <w:tcPr>
            <w:tcW w:w="2682" w:type="dxa"/>
            <w:noWrap w:val="0"/>
            <w:vAlign w:val="top"/>
          </w:tcPr>
          <w:p>
            <w:pPr>
              <w:jc w:val="center"/>
              <w:rPr>
                <w:rFonts w:hint="default"/>
                <w:vertAlign w:val="baseline"/>
                <w:lang w:val="en-US" w:eastAsia="zh-CN"/>
              </w:rPr>
            </w:pPr>
            <w:r>
              <w:rPr>
                <w:rFonts w:hint="eastAsia"/>
                <w:vertAlign w:val="baseline"/>
                <w:lang w:val="en-US" w:eastAsia="zh-CN"/>
              </w:rPr>
              <w:t>110-110型</w:t>
            </w:r>
          </w:p>
        </w:tc>
        <w:tc>
          <w:tcPr>
            <w:tcW w:w="2916" w:type="dxa"/>
            <w:noWrap w:val="0"/>
            <w:vAlign w:val="top"/>
          </w:tcPr>
          <w:p>
            <w:pPr>
              <w:jc w:val="center"/>
              <w:rPr>
                <w:rFonts w:hint="eastAsia"/>
                <w:vertAlign w:val="baseline"/>
                <w:lang w:val="en-US"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noWrap w:val="0"/>
            <w:vAlign w:val="top"/>
          </w:tcPr>
          <w:p>
            <w:pPr>
              <w:jc w:val="center"/>
              <w:rPr>
                <w:rFonts w:hint="eastAsia"/>
                <w:vertAlign w:val="baseline"/>
                <w:lang w:val="en-US" w:eastAsia="zh-CN"/>
              </w:rPr>
            </w:pPr>
            <w:r>
              <w:rPr>
                <w:rFonts w:hint="eastAsia"/>
                <w:vertAlign w:val="baseline"/>
                <w:lang w:val="en-US" w:eastAsia="zh-CN"/>
              </w:rPr>
              <w:t>7</w:t>
            </w:r>
          </w:p>
        </w:tc>
        <w:tc>
          <w:tcPr>
            <w:tcW w:w="2578" w:type="dxa"/>
            <w:noWrap w:val="0"/>
            <w:vAlign w:val="top"/>
          </w:tcPr>
          <w:p>
            <w:pPr>
              <w:jc w:val="center"/>
              <w:rPr>
                <w:rFonts w:hint="eastAsia"/>
                <w:vertAlign w:val="baseline"/>
                <w:lang w:eastAsia="zh-CN"/>
              </w:rPr>
            </w:pPr>
            <w:r>
              <w:rPr>
                <w:rFonts w:hint="eastAsia"/>
                <w:vertAlign w:val="baseline"/>
                <w:lang w:eastAsia="zh-CN"/>
              </w:rPr>
              <w:t>供煤机</w:t>
            </w:r>
          </w:p>
        </w:tc>
        <w:tc>
          <w:tcPr>
            <w:tcW w:w="2682" w:type="dxa"/>
            <w:noWrap w:val="0"/>
            <w:vAlign w:val="top"/>
          </w:tcPr>
          <w:p>
            <w:pPr>
              <w:jc w:val="center"/>
              <w:rPr>
                <w:rFonts w:hint="eastAsia"/>
                <w:vertAlign w:val="baseline"/>
                <w:lang w:val="en-US" w:eastAsia="zh-CN"/>
              </w:rPr>
            </w:pPr>
            <w:r>
              <w:rPr>
                <w:rFonts w:hint="eastAsia"/>
                <w:vertAlign w:val="baseline"/>
                <w:lang w:val="en-US" w:eastAsia="zh-CN"/>
              </w:rPr>
              <w:t>/</w:t>
            </w:r>
          </w:p>
        </w:tc>
        <w:tc>
          <w:tcPr>
            <w:tcW w:w="2916" w:type="dxa"/>
            <w:noWrap w:val="0"/>
            <w:vAlign w:val="top"/>
          </w:tcPr>
          <w:p>
            <w:pPr>
              <w:jc w:val="center"/>
              <w:rPr>
                <w:rFonts w:hint="eastAsia"/>
                <w:vertAlign w:val="baseline"/>
                <w:lang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noWrap w:val="0"/>
            <w:vAlign w:val="top"/>
          </w:tcPr>
          <w:p>
            <w:pPr>
              <w:jc w:val="center"/>
              <w:rPr>
                <w:rFonts w:hint="eastAsia"/>
                <w:vertAlign w:val="baseline"/>
                <w:lang w:val="en-US" w:eastAsia="zh-CN"/>
              </w:rPr>
            </w:pPr>
            <w:r>
              <w:rPr>
                <w:rFonts w:hint="eastAsia"/>
                <w:vertAlign w:val="baseline"/>
                <w:lang w:val="en-US" w:eastAsia="zh-CN"/>
              </w:rPr>
              <w:t>8</w:t>
            </w:r>
          </w:p>
        </w:tc>
        <w:tc>
          <w:tcPr>
            <w:tcW w:w="2578" w:type="dxa"/>
            <w:noWrap w:val="0"/>
            <w:vAlign w:val="top"/>
          </w:tcPr>
          <w:p>
            <w:pPr>
              <w:jc w:val="center"/>
              <w:rPr>
                <w:rFonts w:hint="eastAsia"/>
                <w:vertAlign w:val="baseline"/>
                <w:lang w:eastAsia="zh-CN"/>
              </w:rPr>
            </w:pPr>
            <w:r>
              <w:rPr>
                <w:rFonts w:hint="eastAsia"/>
                <w:vertAlign w:val="baseline"/>
                <w:lang w:eastAsia="zh-CN"/>
              </w:rPr>
              <w:t>自动切条机</w:t>
            </w:r>
          </w:p>
        </w:tc>
        <w:tc>
          <w:tcPr>
            <w:tcW w:w="2682" w:type="dxa"/>
            <w:noWrap w:val="0"/>
            <w:vAlign w:val="top"/>
          </w:tcPr>
          <w:p>
            <w:pPr>
              <w:jc w:val="center"/>
              <w:rPr>
                <w:rFonts w:hint="eastAsia"/>
                <w:vertAlign w:val="baseline"/>
                <w:lang w:val="en-US" w:eastAsia="zh-CN"/>
              </w:rPr>
            </w:pPr>
            <w:r>
              <w:rPr>
                <w:rFonts w:hint="eastAsia"/>
                <w:vertAlign w:val="baseline"/>
                <w:lang w:val="en-US" w:eastAsia="zh-CN"/>
              </w:rPr>
              <w:t>36*9</w:t>
            </w:r>
          </w:p>
        </w:tc>
        <w:tc>
          <w:tcPr>
            <w:tcW w:w="2916" w:type="dxa"/>
            <w:noWrap w:val="0"/>
            <w:vAlign w:val="top"/>
          </w:tcPr>
          <w:p>
            <w:pPr>
              <w:jc w:val="center"/>
              <w:rPr>
                <w:rFonts w:hint="eastAsia"/>
                <w:vertAlign w:val="baseline"/>
                <w:lang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noWrap w:val="0"/>
            <w:vAlign w:val="top"/>
          </w:tcPr>
          <w:p>
            <w:pPr>
              <w:jc w:val="center"/>
              <w:rPr>
                <w:rFonts w:hint="eastAsia"/>
                <w:vertAlign w:val="baseline"/>
                <w:lang w:val="en-US" w:eastAsia="zh-CN"/>
              </w:rPr>
            </w:pPr>
            <w:r>
              <w:rPr>
                <w:rFonts w:hint="eastAsia"/>
                <w:vertAlign w:val="baseline"/>
                <w:lang w:val="en-US" w:eastAsia="zh-CN"/>
              </w:rPr>
              <w:t>9</w:t>
            </w:r>
          </w:p>
        </w:tc>
        <w:tc>
          <w:tcPr>
            <w:tcW w:w="2578" w:type="dxa"/>
            <w:noWrap w:val="0"/>
            <w:vAlign w:val="top"/>
          </w:tcPr>
          <w:p>
            <w:pPr>
              <w:jc w:val="center"/>
              <w:rPr>
                <w:rFonts w:hint="eastAsia"/>
                <w:vertAlign w:val="baseline"/>
                <w:lang w:eastAsia="zh-CN"/>
              </w:rPr>
            </w:pPr>
            <w:r>
              <w:rPr>
                <w:rFonts w:hint="eastAsia"/>
                <w:vertAlign w:val="baseline"/>
                <w:lang w:eastAsia="zh-CN"/>
              </w:rPr>
              <w:t>切坯机</w:t>
            </w:r>
          </w:p>
        </w:tc>
        <w:tc>
          <w:tcPr>
            <w:tcW w:w="2682" w:type="dxa"/>
            <w:noWrap w:val="0"/>
            <w:vAlign w:val="top"/>
          </w:tcPr>
          <w:p>
            <w:pPr>
              <w:jc w:val="center"/>
              <w:rPr>
                <w:rFonts w:hint="eastAsia"/>
                <w:vertAlign w:val="baseline"/>
                <w:lang w:val="en-US" w:eastAsia="zh-CN"/>
              </w:rPr>
            </w:pPr>
            <w:r>
              <w:rPr>
                <w:rFonts w:hint="eastAsia"/>
                <w:vertAlign w:val="baseline"/>
                <w:lang w:val="en-US" w:eastAsia="zh-CN"/>
              </w:rPr>
              <w:t>/</w:t>
            </w:r>
          </w:p>
        </w:tc>
        <w:tc>
          <w:tcPr>
            <w:tcW w:w="2916" w:type="dxa"/>
            <w:noWrap w:val="0"/>
            <w:vAlign w:val="top"/>
          </w:tcPr>
          <w:p>
            <w:pPr>
              <w:jc w:val="center"/>
              <w:rPr>
                <w:rFonts w:hint="eastAsia"/>
                <w:vertAlign w:val="baseline"/>
                <w:lang w:eastAsia="zh-CN"/>
              </w:rPr>
            </w:pPr>
            <w:r>
              <w:rPr>
                <w:rFonts w:hint="eastAsia"/>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noWrap w:val="0"/>
            <w:vAlign w:val="top"/>
          </w:tcPr>
          <w:p>
            <w:pPr>
              <w:jc w:val="center"/>
              <w:rPr>
                <w:rFonts w:hint="eastAsia"/>
                <w:vertAlign w:val="baseline"/>
                <w:lang w:val="en-US" w:eastAsia="zh-CN"/>
              </w:rPr>
            </w:pPr>
            <w:r>
              <w:rPr>
                <w:rFonts w:hint="eastAsia"/>
                <w:vertAlign w:val="baseline"/>
                <w:lang w:val="en-US" w:eastAsia="zh-CN"/>
              </w:rPr>
              <w:t>10</w:t>
            </w:r>
          </w:p>
        </w:tc>
        <w:tc>
          <w:tcPr>
            <w:tcW w:w="2578" w:type="dxa"/>
            <w:noWrap w:val="0"/>
            <w:vAlign w:val="top"/>
          </w:tcPr>
          <w:p>
            <w:pPr>
              <w:jc w:val="center"/>
              <w:rPr>
                <w:rFonts w:hint="eastAsia"/>
                <w:vertAlign w:val="baseline"/>
                <w:lang w:eastAsia="zh-CN"/>
              </w:rPr>
            </w:pPr>
            <w:r>
              <w:rPr>
                <w:rFonts w:hint="eastAsia"/>
                <w:vertAlign w:val="baseline"/>
                <w:lang w:eastAsia="zh-CN"/>
              </w:rPr>
              <w:t>小平车</w:t>
            </w:r>
          </w:p>
        </w:tc>
        <w:tc>
          <w:tcPr>
            <w:tcW w:w="2682" w:type="dxa"/>
            <w:noWrap w:val="0"/>
            <w:vAlign w:val="top"/>
          </w:tcPr>
          <w:p>
            <w:pPr>
              <w:jc w:val="center"/>
              <w:rPr>
                <w:rFonts w:hint="eastAsia"/>
                <w:vertAlign w:val="baseline"/>
                <w:lang w:val="en-US" w:eastAsia="zh-CN"/>
              </w:rPr>
            </w:pPr>
            <w:r>
              <w:rPr>
                <w:rFonts w:hint="eastAsia"/>
                <w:vertAlign w:val="baseline"/>
                <w:lang w:val="en-US" w:eastAsia="zh-CN"/>
              </w:rPr>
              <w:t>/</w:t>
            </w:r>
          </w:p>
        </w:tc>
        <w:tc>
          <w:tcPr>
            <w:tcW w:w="2916" w:type="dxa"/>
            <w:noWrap w:val="0"/>
            <w:vAlign w:val="top"/>
          </w:tcPr>
          <w:p>
            <w:pPr>
              <w:jc w:val="center"/>
              <w:rPr>
                <w:rFonts w:hint="eastAsia"/>
                <w:vertAlign w:val="baseline"/>
                <w:lang w:eastAsia="zh-CN"/>
              </w:rPr>
            </w:pPr>
            <w:r>
              <w:rPr>
                <w:rFonts w:hint="eastAsia"/>
                <w:vertAlign w:val="baseline"/>
                <w:lang w:val="en-US" w:eastAsia="zh-CN"/>
              </w:rPr>
              <w:t>800台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452" w:type="dxa"/>
            <w:noWrap w:val="0"/>
            <w:vAlign w:val="top"/>
          </w:tcPr>
          <w:p>
            <w:pPr>
              <w:jc w:val="center"/>
              <w:rPr>
                <w:rFonts w:hint="eastAsia"/>
                <w:vertAlign w:val="baseline"/>
                <w:lang w:val="en-US" w:eastAsia="zh-CN"/>
              </w:rPr>
            </w:pPr>
            <w:r>
              <w:rPr>
                <w:rFonts w:hint="eastAsia"/>
                <w:vertAlign w:val="baseline"/>
                <w:lang w:val="en-US" w:eastAsia="zh-CN"/>
              </w:rPr>
              <w:t>11</w:t>
            </w:r>
          </w:p>
        </w:tc>
        <w:tc>
          <w:tcPr>
            <w:tcW w:w="2578" w:type="dxa"/>
            <w:noWrap w:val="0"/>
            <w:vAlign w:val="top"/>
          </w:tcPr>
          <w:p>
            <w:pPr>
              <w:jc w:val="center"/>
              <w:rPr>
                <w:rFonts w:hint="eastAsia"/>
                <w:vertAlign w:val="baseline"/>
                <w:lang w:eastAsia="zh-CN"/>
              </w:rPr>
            </w:pPr>
            <w:r>
              <w:rPr>
                <w:rFonts w:hint="eastAsia"/>
                <w:vertAlign w:val="baseline"/>
                <w:lang w:eastAsia="zh-CN"/>
              </w:rPr>
              <w:t>电动车</w:t>
            </w:r>
          </w:p>
        </w:tc>
        <w:tc>
          <w:tcPr>
            <w:tcW w:w="2682" w:type="dxa"/>
            <w:noWrap w:val="0"/>
            <w:vAlign w:val="top"/>
          </w:tcPr>
          <w:p>
            <w:pPr>
              <w:jc w:val="center"/>
              <w:rPr>
                <w:rFonts w:hint="eastAsia"/>
                <w:vertAlign w:val="baseline"/>
                <w:lang w:val="en-US" w:eastAsia="zh-CN"/>
              </w:rPr>
            </w:pPr>
            <w:r>
              <w:rPr>
                <w:rFonts w:hint="eastAsia"/>
                <w:vertAlign w:val="baseline"/>
                <w:lang w:val="en-US" w:eastAsia="zh-CN"/>
              </w:rPr>
              <w:t>/</w:t>
            </w:r>
          </w:p>
        </w:tc>
        <w:tc>
          <w:tcPr>
            <w:tcW w:w="2916" w:type="dxa"/>
            <w:noWrap w:val="0"/>
            <w:vAlign w:val="top"/>
          </w:tcPr>
          <w:p>
            <w:pPr>
              <w:jc w:val="center"/>
              <w:rPr>
                <w:rFonts w:hint="eastAsia"/>
                <w:vertAlign w:val="baseline"/>
                <w:lang w:val="en-US" w:eastAsia="zh-CN"/>
              </w:rPr>
            </w:pPr>
            <w:r>
              <w:rPr>
                <w:rFonts w:hint="eastAsia"/>
                <w:vertAlign w:val="baseline"/>
                <w:lang w:val="en-US" w:eastAsia="zh-CN"/>
              </w:rPr>
              <w:t>30台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noWrap w:val="0"/>
            <w:vAlign w:val="top"/>
          </w:tcPr>
          <w:p>
            <w:pPr>
              <w:jc w:val="center"/>
              <w:rPr>
                <w:rFonts w:hint="eastAsia"/>
                <w:vertAlign w:val="baseline"/>
                <w:lang w:val="en-US" w:eastAsia="zh-CN"/>
              </w:rPr>
            </w:pPr>
            <w:r>
              <w:rPr>
                <w:rFonts w:hint="eastAsia"/>
                <w:vertAlign w:val="baseline"/>
                <w:lang w:val="en-US" w:eastAsia="zh-CN"/>
              </w:rPr>
              <w:t>12</w:t>
            </w:r>
          </w:p>
        </w:tc>
        <w:tc>
          <w:tcPr>
            <w:tcW w:w="2578" w:type="dxa"/>
            <w:noWrap w:val="0"/>
            <w:vAlign w:val="top"/>
          </w:tcPr>
          <w:p>
            <w:pPr>
              <w:jc w:val="center"/>
              <w:rPr>
                <w:rFonts w:hint="eastAsia"/>
                <w:vertAlign w:val="baseline"/>
                <w:lang w:eastAsia="zh-CN"/>
              </w:rPr>
            </w:pPr>
            <w:r>
              <w:rPr>
                <w:rFonts w:hint="eastAsia"/>
                <w:vertAlign w:val="baseline"/>
                <w:lang w:eastAsia="zh-CN"/>
              </w:rPr>
              <w:t>风机</w:t>
            </w:r>
          </w:p>
        </w:tc>
        <w:tc>
          <w:tcPr>
            <w:tcW w:w="2682" w:type="dxa"/>
            <w:noWrap w:val="0"/>
            <w:vAlign w:val="top"/>
          </w:tcPr>
          <w:p>
            <w:pPr>
              <w:jc w:val="center"/>
              <w:rPr>
                <w:rFonts w:hint="eastAsia"/>
                <w:vertAlign w:val="baseline"/>
                <w:lang w:val="en-US" w:eastAsia="zh-CN"/>
              </w:rPr>
            </w:pPr>
            <w:r>
              <w:rPr>
                <w:rFonts w:hint="eastAsia"/>
                <w:vertAlign w:val="baseline"/>
                <w:lang w:eastAsia="zh-CN"/>
              </w:rPr>
              <w:t>直径</w:t>
            </w:r>
            <w:r>
              <w:rPr>
                <w:rFonts w:hint="eastAsia"/>
                <w:vertAlign w:val="baseline"/>
                <w:lang w:val="en-US" w:eastAsia="zh-CN"/>
              </w:rPr>
              <w:t>1.0m</w:t>
            </w:r>
          </w:p>
        </w:tc>
        <w:tc>
          <w:tcPr>
            <w:tcW w:w="2916" w:type="dxa"/>
            <w:noWrap w:val="0"/>
            <w:vAlign w:val="top"/>
          </w:tcPr>
          <w:p>
            <w:pPr>
              <w:jc w:val="center"/>
              <w:rPr>
                <w:rFonts w:hint="eastAsia"/>
                <w:vertAlign w:val="baseline"/>
                <w:lang w:val="en-US" w:eastAsia="zh-CN"/>
              </w:rPr>
            </w:pPr>
            <w:r>
              <w:rPr>
                <w:rFonts w:hint="eastAsia"/>
                <w:vertAlign w:val="baseline"/>
                <w:lang w:val="en-US"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noWrap w:val="0"/>
            <w:vAlign w:val="top"/>
          </w:tcPr>
          <w:p>
            <w:pPr>
              <w:jc w:val="center"/>
              <w:rPr>
                <w:rFonts w:hint="eastAsia"/>
                <w:vertAlign w:val="baseline"/>
                <w:lang w:val="en-US" w:eastAsia="zh-CN"/>
              </w:rPr>
            </w:pPr>
            <w:r>
              <w:rPr>
                <w:rFonts w:hint="eastAsia"/>
                <w:vertAlign w:val="baseline"/>
                <w:lang w:val="en-US" w:eastAsia="zh-CN"/>
              </w:rPr>
              <w:t>13</w:t>
            </w:r>
          </w:p>
        </w:tc>
        <w:tc>
          <w:tcPr>
            <w:tcW w:w="2578" w:type="dxa"/>
            <w:noWrap w:val="0"/>
            <w:vAlign w:val="top"/>
          </w:tcPr>
          <w:p>
            <w:pPr>
              <w:jc w:val="center"/>
              <w:rPr>
                <w:rFonts w:hint="eastAsia"/>
                <w:vertAlign w:val="baseline"/>
                <w:lang w:eastAsia="zh-CN"/>
              </w:rPr>
            </w:pPr>
            <w:r>
              <w:rPr>
                <w:rFonts w:hint="eastAsia"/>
                <w:vertAlign w:val="baseline"/>
                <w:lang w:eastAsia="zh-CN"/>
              </w:rPr>
              <w:t>除尘器</w:t>
            </w:r>
          </w:p>
        </w:tc>
        <w:tc>
          <w:tcPr>
            <w:tcW w:w="2682" w:type="dxa"/>
            <w:noWrap w:val="0"/>
            <w:vAlign w:val="top"/>
          </w:tcPr>
          <w:p>
            <w:pPr>
              <w:jc w:val="center"/>
              <w:rPr>
                <w:rFonts w:hint="eastAsia"/>
                <w:vertAlign w:val="baseline"/>
                <w:lang w:val="en-US" w:eastAsia="zh-CN"/>
              </w:rPr>
            </w:pPr>
            <w:r>
              <w:rPr>
                <w:rFonts w:hint="eastAsia"/>
                <w:vertAlign w:val="baseline"/>
                <w:lang w:val="en-US" w:eastAsia="zh-CN"/>
              </w:rPr>
              <w:t>/</w:t>
            </w:r>
          </w:p>
        </w:tc>
        <w:tc>
          <w:tcPr>
            <w:tcW w:w="2916" w:type="dxa"/>
            <w:noWrap w:val="0"/>
            <w:vAlign w:val="top"/>
          </w:tcPr>
          <w:p>
            <w:pPr>
              <w:jc w:val="center"/>
              <w:rPr>
                <w:rFonts w:hint="eastAsia"/>
                <w:vertAlign w:val="baseline"/>
                <w:lang w:val="en-US" w:eastAsia="zh-CN"/>
              </w:rPr>
            </w:pPr>
            <w:r>
              <w:rPr>
                <w:rFonts w:hint="eastAsia"/>
                <w:vertAlign w:val="baseline"/>
                <w:lang w:val="en-US" w:eastAsia="zh-CN"/>
              </w:rPr>
              <w:t>1</w:t>
            </w:r>
            <w:r>
              <w:rPr>
                <w:rFonts w:hint="eastAsia"/>
                <w:vertAlign w:val="baseline"/>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2" w:type="dxa"/>
            <w:noWrap w:val="0"/>
            <w:vAlign w:val="top"/>
          </w:tcPr>
          <w:p>
            <w:pPr>
              <w:jc w:val="center"/>
              <w:rPr>
                <w:rFonts w:hint="eastAsia"/>
                <w:vertAlign w:val="baseline"/>
                <w:lang w:val="en-US" w:eastAsia="zh-CN"/>
              </w:rPr>
            </w:pPr>
            <w:r>
              <w:rPr>
                <w:rFonts w:hint="eastAsia"/>
                <w:vertAlign w:val="baseline"/>
                <w:lang w:val="en-US" w:eastAsia="zh-CN"/>
              </w:rPr>
              <w:t>14</w:t>
            </w:r>
          </w:p>
        </w:tc>
        <w:tc>
          <w:tcPr>
            <w:tcW w:w="2578" w:type="dxa"/>
            <w:noWrap w:val="0"/>
            <w:vAlign w:val="top"/>
          </w:tcPr>
          <w:p>
            <w:pPr>
              <w:jc w:val="center"/>
              <w:rPr>
                <w:rFonts w:hint="eastAsia"/>
                <w:vertAlign w:val="baseline"/>
                <w:lang w:eastAsia="zh-CN"/>
              </w:rPr>
            </w:pPr>
            <w:r>
              <w:rPr>
                <w:rFonts w:hint="eastAsia"/>
                <w:vertAlign w:val="baseline"/>
                <w:lang w:eastAsia="zh-CN"/>
              </w:rPr>
              <w:t>脱硫塔</w:t>
            </w:r>
          </w:p>
        </w:tc>
        <w:tc>
          <w:tcPr>
            <w:tcW w:w="2682" w:type="dxa"/>
            <w:noWrap w:val="0"/>
            <w:vAlign w:val="top"/>
          </w:tcPr>
          <w:p>
            <w:pPr>
              <w:jc w:val="center"/>
              <w:rPr>
                <w:rFonts w:hint="eastAsia"/>
                <w:vertAlign w:val="baseline"/>
                <w:lang w:val="en-US" w:eastAsia="zh-CN"/>
              </w:rPr>
            </w:pPr>
            <w:r>
              <w:rPr>
                <w:rFonts w:hint="eastAsia"/>
                <w:vertAlign w:val="baseline"/>
                <w:lang w:val="en-US" w:eastAsia="zh-CN"/>
              </w:rPr>
              <w:t>/</w:t>
            </w:r>
          </w:p>
        </w:tc>
        <w:tc>
          <w:tcPr>
            <w:tcW w:w="2916" w:type="dxa"/>
            <w:noWrap w:val="0"/>
            <w:vAlign w:val="top"/>
          </w:tcPr>
          <w:p>
            <w:pPr>
              <w:jc w:val="center"/>
              <w:rPr>
                <w:rFonts w:hint="eastAsia"/>
                <w:vertAlign w:val="baseline"/>
                <w:lang w:eastAsia="zh-CN"/>
              </w:rPr>
            </w:pPr>
            <w:r>
              <w:rPr>
                <w:rFonts w:hint="eastAsia"/>
                <w:vertAlign w:val="baseline"/>
                <w:lang w:val="en-US" w:eastAsia="zh-CN"/>
              </w:rPr>
              <w:t>1</w:t>
            </w:r>
            <w:r>
              <w:rPr>
                <w:rFonts w:hint="eastAsia"/>
                <w:vertAlign w:val="baseline"/>
                <w:lang w:eastAsia="zh-CN"/>
              </w:rPr>
              <w:t>套</w:t>
            </w:r>
          </w:p>
        </w:tc>
      </w:tr>
    </w:tbl>
    <w:p>
      <w:pPr>
        <w:pStyle w:val="12"/>
        <w:spacing w:line="240" w:lineRule="auto"/>
        <w:ind w:firstLine="482" w:firstLineChars="200"/>
        <w:jc w:val="center"/>
        <w:rPr>
          <w:rFonts w:hint="eastAsia" w:ascii="黑体" w:hAnsi="Courier New" w:eastAsia="黑体"/>
          <w:b/>
          <w:color w:val="auto"/>
          <w:sz w:val="24"/>
          <w:lang w:eastAsia="zh-CN"/>
        </w:rPr>
      </w:pPr>
      <w:bookmarkStart w:id="80" w:name="_Toc16275"/>
      <w:bookmarkStart w:id="81" w:name="_Toc18643"/>
      <w:r>
        <w:rPr>
          <w:rFonts w:hint="eastAsia" w:ascii="黑体" w:hAnsi="Courier New" w:eastAsia="黑体"/>
          <w:b/>
          <w:color w:val="auto"/>
          <w:sz w:val="24"/>
          <w:lang w:eastAsia="zh-CN"/>
        </w:rPr>
        <w:t>表</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 xml:space="preserve"> 主要设备清单</w:t>
      </w:r>
    </w:p>
    <w:p>
      <w:pPr>
        <w:pStyle w:val="5"/>
        <w:spacing w:before="0" w:after="0" w:line="360" w:lineRule="auto"/>
        <w:rPr>
          <w:rFonts w:hint="eastAsia" w:ascii="宋体" w:hAnsi="宋体" w:eastAsia="宋体" w:cs="宋体"/>
          <w:color w:val="auto"/>
          <w:sz w:val="28"/>
          <w:szCs w:val="28"/>
        </w:rPr>
      </w:pPr>
      <w:bookmarkStart w:id="82" w:name="_Toc6413"/>
      <w:bookmarkStart w:id="83" w:name="_Toc16373"/>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各方应急力量有关基本情况</w:t>
      </w:r>
      <w:bookmarkEnd w:id="80"/>
      <w:bookmarkEnd w:id="81"/>
      <w:bookmarkEnd w:id="82"/>
      <w:bookmarkEnd w:id="83"/>
    </w:p>
    <w:p>
      <w:pPr>
        <w:pStyle w:val="5"/>
        <w:spacing w:before="0" w:after="0" w:line="360" w:lineRule="auto"/>
        <w:rPr>
          <w:rFonts w:hint="eastAsia" w:ascii="宋体" w:hAnsi="宋体" w:eastAsia="宋体" w:cs="宋体"/>
          <w:color w:val="auto"/>
          <w:sz w:val="28"/>
          <w:szCs w:val="28"/>
          <w:lang w:val="zh-CN"/>
        </w:rPr>
      </w:pPr>
      <w:bookmarkStart w:id="84" w:name="_Toc27824"/>
      <w:bookmarkStart w:id="85" w:name="_Toc18478"/>
      <w:bookmarkStart w:id="86" w:name="_Toc31"/>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.1内部应急力量</w:t>
      </w:r>
      <w:bookmarkEnd w:id="84"/>
      <w:bookmarkEnd w:id="85"/>
      <w:bookmarkEnd w:id="86"/>
    </w:p>
    <w:p>
      <w:pPr>
        <w:spacing w:line="360" w:lineRule="auto"/>
        <w:ind w:firstLine="560" w:firstLineChars="200"/>
        <w:rPr>
          <w:rFonts w:hint="eastAsia" w:ascii="宋体" w:hAnsi="宋体" w:cs="宋体"/>
          <w:i w:val="0"/>
          <w:iCs w:val="0"/>
          <w:color w:val="FF0000"/>
          <w:sz w:val="28"/>
          <w:szCs w:val="28"/>
        </w:rPr>
      </w:pPr>
      <w:r>
        <w:rPr>
          <w:rFonts w:hint="eastAsia" w:ascii="宋体" w:hAnsi="宋体" w:cs="宋体"/>
          <w:i w:val="0"/>
          <w:iCs w:val="0"/>
          <w:color w:val="FF0000"/>
          <w:sz w:val="28"/>
          <w:szCs w:val="28"/>
        </w:rPr>
        <w:t>公司成立有以总经理</w:t>
      </w:r>
      <w:r>
        <w:rPr>
          <w:rFonts w:hint="eastAsia" w:ascii="宋体" w:hAnsi="宋体" w:cs="宋体"/>
          <w:i w:val="0"/>
          <w:iCs w:val="0"/>
          <w:color w:val="FF0000"/>
          <w:sz w:val="28"/>
          <w:szCs w:val="28"/>
          <w:lang w:val="en-US" w:eastAsia="zh-CN"/>
        </w:rPr>
        <w:t>阳林</w:t>
      </w:r>
      <w:r>
        <w:rPr>
          <w:rFonts w:hint="eastAsia" w:ascii="宋体" w:hAnsi="宋体" w:cs="宋体"/>
          <w:i w:val="0"/>
          <w:iCs w:val="0"/>
          <w:color w:val="FF0000"/>
          <w:sz w:val="28"/>
          <w:szCs w:val="28"/>
        </w:rPr>
        <w:t>为组长的应急抢险救援领导小组，副组长由公司</w:t>
      </w:r>
      <w:r>
        <w:rPr>
          <w:rFonts w:hint="eastAsia" w:ascii="宋体" w:hAnsi="宋体" w:eastAsia="宋体" w:cs="宋体"/>
          <w:i w:val="0"/>
          <w:iCs w:val="0"/>
          <w:color w:val="FF0000"/>
          <w:sz w:val="28"/>
          <w:szCs w:val="28"/>
          <w:lang w:eastAsia="zh-CN"/>
        </w:rPr>
        <w:t>厂长</w:t>
      </w:r>
      <w:r>
        <w:rPr>
          <w:rFonts w:hint="eastAsia" w:ascii="宋体" w:hAnsi="宋体" w:eastAsia="宋体" w:cs="宋体"/>
          <w:i w:val="0"/>
          <w:iCs w:val="0"/>
          <w:color w:val="FF0000"/>
          <w:sz w:val="28"/>
          <w:szCs w:val="28"/>
          <w:lang w:val="en-US" w:eastAsia="zh-CN"/>
        </w:rPr>
        <w:t>阳伟</w:t>
      </w:r>
      <w:r>
        <w:rPr>
          <w:rFonts w:hint="eastAsia" w:ascii="宋体" w:hAnsi="宋体" w:cs="宋体"/>
          <w:i w:val="0"/>
          <w:iCs w:val="0"/>
          <w:color w:val="FF0000"/>
          <w:sz w:val="28"/>
          <w:szCs w:val="28"/>
        </w:rPr>
        <w:t>担任。成员由其他</w:t>
      </w:r>
      <w:r>
        <w:rPr>
          <w:rFonts w:hint="eastAsia" w:ascii="宋体" w:hAnsi="宋体" w:cs="宋体"/>
          <w:i w:val="0"/>
          <w:iCs w:val="0"/>
          <w:color w:val="FF0000"/>
          <w:sz w:val="28"/>
          <w:szCs w:val="28"/>
          <w:lang w:eastAsia="zh-CN"/>
        </w:rPr>
        <w:t>现场负责人</w:t>
      </w:r>
      <w:r>
        <w:rPr>
          <w:rFonts w:hint="eastAsia" w:ascii="宋体" w:hAnsi="宋体" w:cs="宋体"/>
          <w:i w:val="0"/>
          <w:iCs w:val="0"/>
          <w:color w:val="FF0000"/>
          <w:sz w:val="28"/>
          <w:szCs w:val="28"/>
        </w:rPr>
        <w:t>、车间主管及</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成员组成。并设</w:t>
      </w:r>
      <w:r>
        <w:rPr>
          <w:rFonts w:hint="eastAsia" w:ascii="宋体" w:hAnsi="宋体" w:cs="宋体"/>
          <w:i w:val="0"/>
          <w:iCs w:val="0"/>
          <w:color w:val="FF0000"/>
          <w:sz w:val="28"/>
          <w:szCs w:val="28"/>
          <w:lang w:eastAsia="zh-CN"/>
        </w:rPr>
        <w:t>安全管理员</w:t>
      </w:r>
      <w:r>
        <w:rPr>
          <w:rFonts w:hint="eastAsia" w:ascii="宋体" w:hAnsi="宋体" w:cs="宋体"/>
          <w:i w:val="0"/>
          <w:iCs w:val="0"/>
          <w:color w:val="FF0000"/>
          <w:sz w:val="28"/>
          <w:szCs w:val="28"/>
        </w:rPr>
        <w:t>作为独立的日常安全、环保管理专职人员，应急抢险救援领导小组下设有下设抢险救援组、</w:t>
      </w:r>
      <w:r>
        <w:rPr>
          <w:rFonts w:hint="eastAsia" w:ascii="宋体" w:hAnsi="宋体" w:cs="宋体"/>
          <w:i w:val="0"/>
          <w:iCs w:val="0"/>
          <w:color w:val="FF0000"/>
          <w:sz w:val="28"/>
          <w:szCs w:val="28"/>
          <w:lang w:eastAsia="zh-CN"/>
        </w:rPr>
        <w:t>疏散联络组</w:t>
      </w:r>
      <w:r>
        <w:rPr>
          <w:rFonts w:hint="eastAsia" w:ascii="宋体" w:hAnsi="宋体" w:cs="宋体"/>
          <w:i w:val="0"/>
          <w:iCs w:val="0"/>
          <w:color w:val="FF0000"/>
          <w:sz w:val="28"/>
          <w:szCs w:val="28"/>
        </w:rPr>
        <w:t>、后勤保障组、医疗救护组</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事故调查善后组、</w:t>
      </w:r>
      <w:r>
        <w:rPr>
          <w:rFonts w:hint="eastAsia" w:ascii="宋体" w:hAnsi="宋体" w:cs="宋体"/>
          <w:i w:val="0"/>
          <w:iCs w:val="0"/>
          <w:color w:val="FF0000"/>
          <w:sz w:val="28"/>
          <w:szCs w:val="28"/>
        </w:rPr>
        <w:t>负责处理应急救援事宜。领导小组办公室常设在</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，日常工作由</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主管</w:t>
      </w:r>
      <w:r>
        <w:rPr>
          <w:rFonts w:hint="eastAsia" w:ascii="宋体" w:hAnsi="宋体" w:cs="宋体"/>
          <w:i w:val="0"/>
          <w:iCs w:val="0"/>
          <w:color w:val="FF0000"/>
          <w:sz w:val="28"/>
          <w:szCs w:val="28"/>
          <w:lang w:eastAsia="zh-CN"/>
        </w:rPr>
        <w:t>负责</w:t>
      </w:r>
      <w:r>
        <w:rPr>
          <w:rFonts w:hint="eastAsia" w:ascii="宋体" w:hAnsi="宋体" w:cs="宋体"/>
          <w:i w:val="0"/>
          <w:iCs w:val="0"/>
          <w:color w:val="FF0000"/>
          <w:sz w:val="28"/>
          <w:szCs w:val="28"/>
        </w:rPr>
        <w:t>。其它下设的各小组组长由公司指派部门负责人担任。重大事故发生时，由总经理任应急领导组长，领导小组副组长任副应急领导组长，负责组织和指挥应急抢险救护工作。应急领导小组一般设在</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。如果应急领导组长或副组长均不在公司时，则由在公司</w:t>
      </w:r>
      <w:r>
        <w:rPr>
          <w:rFonts w:hint="eastAsia" w:ascii="宋体" w:hAnsi="宋体" w:cs="宋体"/>
          <w:i w:val="0"/>
          <w:iCs w:val="0"/>
          <w:color w:val="FF0000"/>
          <w:sz w:val="28"/>
          <w:szCs w:val="28"/>
          <w:lang w:eastAsia="zh-CN"/>
        </w:rPr>
        <w:t>厂长</w:t>
      </w:r>
      <w:r>
        <w:rPr>
          <w:rFonts w:hint="eastAsia" w:ascii="宋体" w:hAnsi="宋体" w:cs="宋体"/>
          <w:i w:val="0"/>
          <w:iCs w:val="0"/>
          <w:color w:val="FF0000"/>
          <w:sz w:val="28"/>
          <w:szCs w:val="28"/>
        </w:rPr>
        <w:t>与</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负责人为临时应急领导组长，全权负责应急抢险及救护工作。</w:t>
      </w:r>
    </w:p>
    <w:p>
      <w:pPr>
        <w:pStyle w:val="5"/>
        <w:spacing w:before="0" w:after="0" w:line="360" w:lineRule="auto"/>
        <w:rPr>
          <w:rFonts w:hint="eastAsia" w:ascii="宋体" w:hAnsi="宋体" w:eastAsia="宋体" w:cs="宋体"/>
          <w:color w:val="auto"/>
          <w:sz w:val="28"/>
          <w:szCs w:val="28"/>
          <w:lang w:val="zh-CN"/>
        </w:rPr>
      </w:pPr>
      <w:bookmarkStart w:id="87" w:name="_Toc19588"/>
      <w:bookmarkStart w:id="88" w:name="_Toc21058"/>
      <w:bookmarkStart w:id="89" w:name="_Toc14066"/>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外部应急力量</w:t>
      </w:r>
      <w:bookmarkEnd w:id="87"/>
      <w:bookmarkEnd w:id="88"/>
      <w:bookmarkEnd w:id="89"/>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rPr>
        <w:t>公司能借用的外部力量包括</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人民政府、</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应急管理局、</w:t>
      </w:r>
      <w:r>
        <w:rPr>
          <w:rFonts w:hint="eastAsia" w:ascii="宋体" w:hAnsi="宋体" w:cs="宋体"/>
          <w:i w:val="0"/>
          <w:iCs w:val="0"/>
          <w:color w:val="auto"/>
          <w:sz w:val="28"/>
          <w:szCs w:val="28"/>
          <w:lang w:eastAsia="zh-CN"/>
        </w:rPr>
        <w:t>仪陇县消防救援局</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仪陇县三河镇</w:t>
      </w:r>
      <w:r>
        <w:rPr>
          <w:rFonts w:hint="eastAsia" w:ascii="宋体" w:hAnsi="宋体" w:cs="宋体"/>
          <w:i w:val="0"/>
          <w:iCs w:val="0"/>
          <w:color w:val="auto"/>
          <w:sz w:val="28"/>
          <w:szCs w:val="28"/>
          <w:lang w:val="zh-CN" w:eastAsia="zh-CN"/>
        </w:rPr>
        <w:t>政府</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仪陇县三河镇卫生院</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仪陇县人民医院</w:t>
      </w:r>
      <w:r>
        <w:rPr>
          <w:rFonts w:hint="eastAsia" w:ascii="宋体" w:hAnsi="宋体" w:cs="宋体"/>
          <w:i w:val="0"/>
          <w:iCs w:val="0"/>
          <w:color w:val="auto"/>
          <w:sz w:val="28"/>
          <w:szCs w:val="28"/>
        </w:rPr>
        <w:t>以及周边企业应急救援物质。</w:t>
      </w:r>
    </w:p>
    <w:p>
      <w:pPr>
        <w:spacing w:line="360" w:lineRule="auto"/>
        <w:ind w:firstLine="560" w:firstLineChars="200"/>
        <w:rPr>
          <w:rFonts w:hint="eastAsia" w:ascii="宋体" w:hAnsi="宋体" w:cs="宋体"/>
          <w:i w:val="0"/>
          <w:iCs w:val="0"/>
          <w:color w:val="FF0000"/>
          <w:sz w:val="28"/>
          <w:szCs w:val="28"/>
        </w:rPr>
      </w:pPr>
      <w:r>
        <w:rPr>
          <w:rFonts w:hint="eastAsia" w:ascii="宋体" w:hAnsi="宋体" w:cs="宋体"/>
          <w:i w:val="0"/>
          <w:iCs w:val="0"/>
          <w:color w:val="FF0000"/>
          <w:sz w:val="28"/>
          <w:szCs w:val="28"/>
          <w:lang w:eastAsia="zh-CN"/>
        </w:rPr>
        <w:t>仪陇县三河镇卫生院</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1.2</w:t>
      </w:r>
      <w:r>
        <w:rPr>
          <w:rFonts w:hint="eastAsia" w:ascii="宋体" w:hAnsi="宋体" w:cs="宋体"/>
          <w:i w:val="0"/>
          <w:iCs w:val="0"/>
          <w:color w:val="FF0000"/>
          <w:sz w:val="28"/>
          <w:szCs w:val="28"/>
        </w:rPr>
        <w:t>km，发生事故时</w:t>
      </w:r>
      <w:r>
        <w:rPr>
          <w:rFonts w:hint="eastAsia" w:ascii="宋体" w:hAnsi="宋体" w:eastAsia="宋体" w:cs="宋体"/>
          <w:i w:val="0"/>
          <w:iCs w:val="0"/>
          <w:color w:val="FF0000"/>
          <w:sz w:val="28"/>
          <w:szCs w:val="28"/>
          <w:lang w:val="en-US" w:eastAsia="zh-CN"/>
        </w:rPr>
        <w:t>5</w:t>
      </w:r>
      <w:r>
        <w:rPr>
          <w:rFonts w:hint="eastAsia" w:ascii="宋体" w:hAnsi="宋体" w:cs="宋体"/>
          <w:i w:val="0"/>
          <w:iCs w:val="0"/>
          <w:color w:val="FF0000"/>
          <w:sz w:val="28"/>
          <w:szCs w:val="28"/>
        </w:rPr>
        <w:t>分钟内能到达现场</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仪陇县人民医院（金城）</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53</w:t>
      </w:r>
      <w:r>
        <w:rPr>
          <w:rFonts w:hint="eastAsia" w:ascii="宋体" w:hAnsi="宋体" w:cs="宋体"/>
          <w:i w:val="0"/>
          <w:iCs w:val="0"/>
          <w:color w:val="FF0000"/>
          <w:sz w:val="28"/>
          <w:szCs w:val="28"/>
        </w:rPr>
        <w:t>km，发生事故时</w:t>
      </w:r>
      <w:r>
        <w:rPr>
          <w:rFonts w:hint="eastAsia" w:ascii="宋体" w:hAnsi="宋体" w:eastAsia="宋体" w:cs="宋体"/>
          <w:i w:val="0"/>
          <w:iCs w:val="0"/>
          <w:color w:val="FF0000"/>
          <w:sz w:val="28"/>
          <w:szCs w:val="28"/>
          <w:lang w:val="en-US" w:eastAsia="zh-CN"/>
        </w:rPr>
        <w:t>1小时20分钟</w:t>
      </w:r>
      <w:r>
        <w:rPr>
          <w:rFonts w:hint="eastAsia" w:ascii="宋体" w:hAnsi="宋体" w:cs="宋体"/>
          <w:i w:val="0"/>
          <w:iCs w:val="0"/>
          <w:color w:val="FF0000"/>
          <w:sz w:val="28"/>
          <w:szCs w:val="28"/>
        </w:rPr>
        <w:t>内能到达现场。</w:t>
      </w:r>
      <w:r>
        <w:rPr>
          <w:rFonts w:hint="eastAsia" w:ascii="宋体" w:hAnsi="宋体" w:cs="宋体"/>
          <w:i w:val="0"/>
          <w:iCs w:val="0"/>
          <w:color w:val="FF0000"/>
          <w:sz w:val="28"/>
          <w:szCs w:val="28"/>
          <w:lang w:eastAsia="zh-CN"/>
        </w:rPr>
        <w:t>仪陇县人民医院</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67</w:t>
      </w:r>
      <w:r>
        <w:rPr>
          <w:rFonts w:hint="eastAsia" w:ascii="宋体" w:hAnsi="宋体" w:cs="宋体"/>
          <w:i w:val="0"/>
          <w:iCs w:val="0"/>
          <w:color w:val="FF0000"/>
          <w:sz w:val="28"/>
          <w:szCs w:val="28"/>
        </w:rPr>
        <w:t>km，发生事故时</w:t>
      </w:r>
      <w:r>
        <w:rPr>
          <w:rFonts w:hint="eastAsia" w:ascii="宋体" w:hAnsi="宋体" w:eastAsia="宋体" w:cs="宋体"/>
          <w:i w:val="0"/>
          <w:iCs w:val="0"/>
          <w:color w:val="FF0000"/>
          <w:sz w:val="28"/>
          <w:szCs w:val="28"/>
          <w:lang w:val="en-US" w:eastAsia="zh-CN"/>
        </w:rPr>
        <w:t>1小时30分钟</w:t>
      </w:r>
      <w:r>
        <w:rPr>
          <w:rFonts w:hint="eastAsia" w:ascii="宋体" w:hAnsi="宋体" w:cs="宋体"/>
          <w:i w:val="0"/>
          <w:iCs w:val="0"/>
          <w:color w:val="FF0000"/>
          <w:sz w:val="28"/>
          <w:szCs w:val="28"/>
        </w:rPr>
        <w:t>内能到达现场。</w:t>
      </w:r>
    </w:p>
    <w:p>
      <w:pPr>
        <w:spacing w:line="360" w:lineRule="auto"/>
        <w:ind w:firstLine="560" w:firstLineChars="200"/>
        <w:rPr>
          <w:rFonts w:hint="eastAsia" w:ascii="宋体" w:hAnsi="宋体" w:cs="宋体"/>
          <w:i w:val="0"/>
          <w:iCs w:val="0"/>
          <w:color w:val="FF0000"/>
          <w:sz w:val="28"/>
          <w:szCs w:val="28"/>
          <w:lang w:eastAsia="zh-CN"/>
        </w:rPr>
      </w:pPr>
      <w:r>
        <w:rPr>
          <w:rFonts w:hint="eastAsia" w:ascii="宋体" w:hAnsi="宋体" w:cs="宋体"/>
          <w:i w:val="0"/>
          <w:iCs w:val="0"/>
          <w:color w:val="FF0000"/>
          <w:sz w:val="28"/>
          <w:szCs w:val="28"/>
          <w:lang w:eastAsia="zh-CN"/>
        </w:rPr>
        <w:t>仪陇县三河镇</w:t>
      </w:r>
      <w:r>
        <w:rPr>
          <w:rFonts w:hint="eastAsia" w:ascii="宋体" w:hAnsi="宋体" w:cs="宋体"/>
          <w:i w:val="0"/>
          <w:iCs w:val="0"/>
          <w:color w:val="FF0000"/>
          <w:sz w:val="28"/>
          <w:szCs w:val="28"/>
          <w:lang w:val="zh-CN" w:eastAsia="zh-CN"/>
        </w:rPr>
        <w:t>政府</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1</w:t>
      </w:r>
      <w:r>
        <w:rPr>
          <w:rFonts w:hint="eastAsia" w:ascii="宋体" w:hAnsi="宋体" w:cs="宋体"/>
          <w:i w:val="0"/>
          <w:iCs w:val="0"/>
          <w:color w:val="FF0000"/>
          <w:sz w:val="28"/>
          <w:szCs w:val="28"/>
        </w:rPr>
        <w:t>km，发生事故时</w:t>
      </w:r>
      <w:r>
        <w:rPr>
          <w:rFonts w:hint="eastAsia" w:ascii="宋体" w:hAnsi="宋体" w:eastAsia="宋体" w:cs="宋体"/>
          <w:i w:val="0"/>
          <w:iCs w:val="0"/>
          <w:color w:val="FF0000"/>
          <w:sz w:val="28"/>
          <w:szCs w:val="28"/>
          <w:lang w:val="en-US" w:eastAsia="zh-CN"/>
        </w:rPr>
        <w:t>5</w:t>
      </w:r>
      <w:r>
        <w:rPr>
          <w:rFonts w:hint="eastAsia" w:ascii="宋体" w:hAnsi="宋体" w:cs="宋体"/>
          <w:i w:val="0"/>
          <w:iCs w:val="0"/>
          <w:color w:val="FF0000"/>
          <w:sz w:val="28"/>
          <w:szCs w:val="28"/>
        </w:rPr>
        <w:t>分钟内能到达现场</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仪陇县金城消防中队距企业距离约</w:t>
      </w:r>
      <w:r>
        <w:rPr>
          <w:rFonts w:hint="eastAsia" w:ascii="宋体" w:hAnsi="宋体" w:cs="宋体"/>
          <w:i w:val="0"/>
          <w:iCs w:val="0"/>
          <w:color w:val="FF0000"/>
          <w:sz w:val="28"/>
          <w:szCs w:val="28"/>
          <w:lang w:val="en-US" w:eastAsia="zh-CN"/>
        </w:rPr>
        <w:t>55</w:t>
      </w:r>
      <w:r>
        <w:rPr>
          <w:rFonts w:hint="eastAsia" w:ascii="宋体" w:hAnsi="宋体" w:cs="宋体"/>
          <w:i w:val="0"/>
          <w:iCs w:val="0"/>
          <w:color w:val="FF0000"/>
          <w:sz w:val="28"/>
          <w:szCs w:val="28"/>
          <w:lang w:eastAsia="zh-CN"/>
        </w:rPr>
        <w:t>km，发生事故时</w:t>
      </w:r>
      <w:r>
        <w:rPr>
          <w:rFonts w:hint="eastAsia" w:ascii="宋体" w:hAnsi="宋体" w:eastAsia="宋体" w:cs="宋体"/>
          <w:i w:val="0"/>
          <w:iCs w:val="0"/>
          <w:color w:val="FF0000"/>
          <w:sz w:val="28"/>
          <w:szCs w:val="28"/>
          <w:lang w:val="en-US" w:eastAsia="zh-CN"/>
        </w:rPr>
        <w:t>1小时20分钟</w:t>
      </w:r>
      <w:r>
        <w:rPr>
          <w:rFonts w:hint="eastAsia" w:ascii="宋体" w:hAnsi="宋体" w:cs="宋体"/>
          <w:i w:val="0"/>
          <w:iCs w:val="0"/>
          <w:color w:val="FF0000"/>
          <w:sz w:val="28"/>
          <w:szCs w:val="28"/>
          <w:lang w:eastAsia="zh-CN"/>
        </w:rPr>
        <w:t>内能到达现场；仪陇县消防救援局距企业距离约</w:t>
      </w:r>
      <w:r>
        <w:rPr>
          <w:rFonts w:hint="eastAsia" w:ascii="宋体" w:hAnsi="宋体" w:cs="宋体"/>
          <w:i w:val="0"/>
          <w:iCs w:val="0"/>
          <w:color w:val="FF0000"/>
          <w:sz w:val="28"/>
          <w:szCs w:val="28"/>
          <w:lang w:val="en-US" w:eastAsia="zh-CN"/>
        </w:rPr>
        <w:t>66</w:t>
      </w:r>
      <w:r>
        <w:rPr>
          <w:rFonts w:hint="eastAsia" w:ascii="宋体" w:hAnsi="宋体" w:cs="宋体"/>
          <w:i w:val="0"/>
          <w:iCs w:val="0"/>
          <w:color w:val="FF0000"/>
          <w:sz w:val="28"/>
          <w:szCs w:val="28"/>
          <w:lang w:eastAsia="zh-CN"/>
        </w:rPr>
        <w:t>km，发生事故时</w:t>
      </w:r>
      <w:r>
        <w:rPr>
          <w:rFonts w:hint="eastAsia" w:ascii="宋体" w:hAnsi="宋体" w:eastAsia="宋体" w:cs="宋体"/>
          <w:i w:val="0"/>
          <w:iCs w:val="0"/>
          <w:color w:val="FF0000"/>
          <w:sz w:val="28"/>
          <w:szCs w:val="28"/>
          <w:lang w:val="en-US" w:eastAsia="zh-CN"/>
        </w:rPr>
        <w:t>1.5小时</w:t>
      </w:r>
      <w:r>
        <w:rPr>
          <w:rFonts w:hint="eastAsia" w:ascii="宋体" w:hAnsi="宋体" w:cs="宋体"/>
          <w:i w:val="0"/>
          <w:iCs w:val="0"/>
          <w:color w:val="FF0000"/>
          <w:sz w:val="28"/>
          <w:szCs w:val="28"/>
          <w:lang w:eastAsia="zh-CN"/>
        </w:rPr>
        <w:t>内能到达现场。</w:t>
      </w:r>
    </w:p>
    <w:p>
      <w:pPr>
        <w:spacing w:line="360" w:lineRule="auto"/>
        <w:ind w:firstLine="560" w:firstLineChars="200"/>
        <w:rPr>
          <w:rFonts w:ascii="宋体" w:hAnsi="宋体"/>
          <w:i w:val="0"/>
          <w:iCs w:val="0"/>
          <w:color w:val="auto"/>
          <w:sz w:val="28"/>
          <w:szCs w:val="28"/>
        </w:rPr>
      </w:pPr>
      <w:r>
        <w:rPr>
          <w:rFonts w:hint="eastAsia" w:ascii="宋体" w:hAnsi="宋体"/>
          <w:i w:val="0"/>
          <w:iCs w:val="0"/>
          <w:color w:val="auto"/>
          <w:sz w:val="28"/>
          <w:szCs w:val="28"/>
        </w:rPr>
        <w:t>外部救援工作具体由指挥部负责，指挥部门负责与外部救援单位及时取得联系，并将具体地点、路线、发生事故的情况，救援所需器材的种类与外部救援单位讲清楚，同时应安排专人去接应并引路。</w:t>
      </w:r>
    </w:p>
    <w:p>
      <w:pPr>
        <w:spacing w:line="360" w:lineRule="auto"/>
        <w:jc w:val="center"/>
        <w:rPr>
          <w:rFonts w:hint="eastAsia" w:ascii="黑体" w:hAnsi="宋体" w:eastAsia="黑体"/>
          <w:b/>
          <w:bCs/>
          <w:i w:val="0"/>
          <w:iCs w:val="0"/>
          <w:color w:val="auto"/>
          <w:sz w:val="24"/>
        </w:rPr>
      </w:pPr>
      <w:r>
        <w:rPr>
          <w:rFonts w:hint="eastAsia" w:ascii="黑体" w:hAnsi="宋体" w:eastAsia="黑体"/>
          <w:b/>
          <w:bCs/>
          <w:i w:val="0"/>
          <w:iCs w:val="0"/>
          <w:color w:val="auto"/>
          <w:sz w:val="24"/>
        </w:rPr>
        <w:t>表2-</w:t>
      </w:r>
      <w:r>
        <w:rPr>
          <w:rFonts w:hint="eastAsia" w:ascii="黑体" w:hAnsi="宋体" w:eastAsia="黑体"/>
          <w:b/>
          <w:bCs/>
          <w:i w:val="0"/>
          <w:iCs w:val="0"/>
          <w:color w:val="auto"/>
          <w:sz w:val="24"/>
          <w:lang w:val="en-US" w:eastAsia="zh-CN"/>
        </w:rPr>
        <w:t>3</w:t>
      </w:r>
      <w:r>
        <w:rPr>
          <w:rFonts w:hint="eastAsia" w:ascii="黑体" w:hAnsi="宋体" w:eastAsia="黑体"/>
          <w:b/>
          <w:bCs/>
          <w:i w:val="0"/>
          <w:iCs w:val="0"/>
          <w:color w:val="auto"/>
          <w:sz w:val="24"/>
        </w:rPr>
        <w:t xml:space="preserve"> 外部应急支援一览表</w:t>
      </w:r>
    </w:p>
    <w:tbl>
      <w:tblPr>
        <w:tblStyle w:val="19"/>
        <w:tblW w:w="9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42"/>
        <w:gridCol w:w="765"/>
        <w:gridCol w:w="780"/>
        <w:gridCol w:w="4216"/>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序号</w:t>
            </w:r>
          </w:p>
        </w:tc>
        <w:tc>
          <w:tcPr>
            <w:tcW w:w="1742"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物资和装备名称</w:t>
            </w:r>
          </w:p>
        </w:tc>
        <w:tc>
          <w:tcPr>
            <w:tcW w:w="765"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数量</w:t>
            </w:r>
          </w:p>
        </w:tc>
        <w:tc>
          <w:tcPr>
            <w:tcW w:w="780"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w:t>
            </w:r>
          </w:p>
        </w:tc>
        <w:tc>
          <w:tcPr>
            <w:tcW w:w="4216"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单位名称</w:t>
            </w:r>
          </w:p>
        </w:tc>
        <w:tc>
          <w:tcPr>
            <w:tcW w:w="1084" w:type="dxa"/>
            <w:noWrap w:val="0"/>
            <w:vAlign w:val="center"/>
          </w:tcPr>
          <w:p>
            <w:pPr>
              <w:spacing w:line="460" w:lineRule="exact"/>
              <w:jc w:val="center"/>
              <w:rPr>
                <w:rFonts w:hint="eastAsia" w:ascii="宋体" w:hAnsi="宋体"/>
                <w:b/>
                <w:bCs/>
                <w:i w:val="0"/>
                <w:iCs w:val="0"/>
                <w:color w:val="auto"/>
                <w:szCs w:val="21"/>
              </w:rPr>
            </w:pPr>
            <w:r>
              <w:rPr>
                <w:rFonts w:hint="eastAsia" w:ascii="宋体" w:hAnsi="宋体"/>
                <w:b/>
                <w:bCs/>
                <w:i w:val="0"/>
                <w:iCs w:val="0"/>
                <w:color w:val="auto"/>
                <w:szCs w:val="21"/>
              </w:rPr>
              <w:t>联络人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1）</w:t>
            </w:r>
          </w:p>
        </w:tc>
        <w:tc>
          <w:tcPr>
            <w:tcW w:w="1742"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消防</w:t>
            </w:r>
            <w:r>
              <w:rPr>
                <w:rFonts w:hint="eastAsia" w:ascii="宋体" w:hAnsi="宋体" w:eastAsia="宋体"/>
                <w:i w:val="0"/>
                <w:iCs w:val="0"/>
                <w:color w:val="auto"/>
                <w:szCs w:val="21"/>
                <w:lang w:eastAsia="zh-CN"/>
              </w:rPr>
              <w:t>用水</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eastAsia="宋体"/>
                <w:i w:val="0"/>
                <w:iCs w:val="0"/>
                <w:color w:val="auto"/>
                <w:szCs w:val="21"/>
                <w:lang w:val="en-US" w:eastAsia="zh-CN"/>
              </w:rPr>
              <w:t>1</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企业</w:t>
            </w:r>
            <w:r>
              <w:rPr>
                <w:rFonts w:hint="eastAsia" w:ascii="宋体" w:hAnsi="宋体" w:eastAsia="宋体"/>
                <w:i w:val="0"/>
                <w:iCs w:val="0"/>
                <w:color w:val="auto"/>
                <w:szCs w:val="21"/>
                <w:lang w:eastAsia="zh-CN"/>
              </w:rPr>
              <w:t>内水池（</w:t>
            </w:r>
            <w:r>
              <w:rPr>
                <w:rFonts w:hint="eastAsia" w:ascii="宋体" w:hAnsi="宋体" w:eastAsia="宋体"/>
                <w:i w:val="0"/>
                <w:iCs w:val="0"/>
                <w:color w:val="auto"/>
                <w:szCs w:val="21"/>
                <w:lang w:val="en-US" w:eastAsia="zh-CN"/>
              </w:rPr>
              <w:t>20m</w:t>
            </w:r>
            <w:r>
              <w:rPr>
                <w:rFonts w:hint="eastAsia" w:ascii="宋体" w:hAnsi="宋体" w:eastAsia="宋体"/>
                <w:i w:val="0"/>
                <w:iCs w:val="0"/>
                <w:color w:val="auto"/>
                <w:szCs w:val="21"/>
                <w:vertAlign w:val="superscript"/>
                <w:lang w:val="en-US" w:eastAsia="zh-CN"/>
              </w:rPr>
              <w:t>3</w:t>
            </w:r>
            <w:r>
              <w:rPr>
                <w:rFonts w:hint="eastAsia" w:ascii="宋体" w:hAnsi="宋体" w:eastAsia="宋体"/>
                <w:i w:val="0"/>
                <w:iCs w:val="0"/>
                <w:color w:val="auto"/>
                <w:szCs w:val="21"/>
                <w:lang w:eastAsia="zh-CN"/>
              </w:rPr>
              <w:t>）</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阳伟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7"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 xml:space="preserve"> 2）</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color w:val="auto"/>
                <w:szCs w:val="21"/>
              </w:rPr>
              <w:t>消防栓</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eastAsia="zh-CN"/>
              </w:rPr>
            </w:pPr>
            <w:r>
              <w:rPr>
                <w:rFonts w:hint="eastAsia" w:ascii="宋体" w:hAnsi="宋体"/>
                <w:color w:val="auto"/>
                <w:szCs w:val="21"/>
                <w:lang w:val="en-US" w:eastAsia="zh-CN"/>
              </w:rPr>
              <w:t>10</w:t>
            </w:r>
          </w:p>
        </w:tc>
        <w:tc>
          <w:tcPr>
            <w:tcW w:w="780" w:type="dxa"/>
            <w:noWrap w:val="0"/>
            <w:vAlign w:val="center"/>
          </w:tcPr>
          <w:p>
            <w:pPr>
              <w:spacing w:line="460" w:lineRule="exact"/>
              <w:jc w:val="center"/>
              <w:rPr>
                <w:rFonts w:hint="eastAsia" w:ascii="宋体" w:hAnsi="宋体"/>
                <w:i w:val="0"/>
                <w:iCs w:val="0"/>
                <w:color w:val="auto"/>
                <w:szCs w:val="21"/>
              </w:rPr>
            </w:pPr>
            <w:r>
              <w:rPr>
                <w:rFonts w:hint="eastAsia" w:ascii="宋体" w:hAnsi="宋体"/>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40" w:lineRule="exact"/>
              <w:jc w:val="center"/>
              <w:rPr>
                <w:rFonts w:hint="eastAsia" w:ascii="宋体" w:hAnsi="宋体"/>
                <w:i w:val="0"/>
                <w:iCs w:val="0"/>
                <w:color w:val="auto"/>
                <w:szCs w:val="21"/>
              </w:rPr>
            </w:pPr>
            <w:r>
              <w:rPr>
                <w:rFonts w:hint="eastAsia" w:ascii="宋体" w:hAnsi="宋体"/>
                <w:i w:val="0"/>
                <w:iCs w:val="0"/>
                <w:color w:val="auto"/>
                <w:szCs w:val="21"/>
                <w:lang w:eastAsia="zh-CN"/>
              </w:rPr>
              <w:t>阳伟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3）</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color w:val="auto"/>
                <w:szCs w:val="21"/>
              </w:rPr>
              <w:t>干粉灭火器</w:t>
            </w:r>
          </w:p>
        </w:tc>
        <w:tc>
          <w:tcPr>
            <w:tcW w:w="765" w:type="dxa"/>
            <w:noWrap w:val="0"/>
            <w:vAlign w:val="top"/>
          </w:tcPr>
          <w:p>
            <w:pPr>
              <w:spacing w:line="440" w:lineRule="exact"/>
              <w:ind w:firstLine="105" w:firstLineChars="50"/>
              <w:jc w:val="center"/>
              <w:rPr>
                <w:rFonts w:hint="eastAsia" w:ascii="宋体" w:hAnsi="宋体"/>
                <w:i w:val="0"/>
                <w:iCs w:val="0"/>
                <w:color w:val="auto"/>
                <w:szCs w:val="21"/>
              </w:rPr>
            </w:pPr>
            <w:r>
              <w:rPr>
                <w:rFonts w:hint="eastAsia" w:ascii="宋体" w:hAnsi="宋体"/>
                <w:color w:val="auto"/>
                <w:szCs w:val="21"/>
              </w:rPr>
              <w:t>若干</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阳伟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4）</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color w:val="auto"/>
                <w:szCs w:val="21"/>
              </w:rPr>
              <w:t>急救箱</w:t>
            </w:r>
          </w:p>
        </w:tc>
        <w:tc>
          <w:tcPr>
            <w:tcW w:w="765" w:type="dxa"/>
            <w:noWrap w:val="0"/>
            <w:vAlign w:val="top"/>
          </w:tcPr>
          <w:p>
            <w:pPr>
              <w:spacing w:line="440" w:lineRule="exact"/>
              <w:ind w:firstLine="105" w:firstLineChars="50"/>
              <w:jc w:val="center"/>
              <w:rPr>
                <w:rFonts w:hint="default" w:ascii="宋体" w:hAnsi="宋体"/>
                <w:i w:val="0"/>
                <w:iCs w:val="0"/>
                <w:color w:val="auto"/>
                <w:szCs w:val="21"/>
                <w:lang w:val="en-US" w:eastAsia="zh-CN"/>
              </w:rPr>
            </w:pPr>
            <w:r>
              <w:rPr>
                <w:rFonts w:hint="eastAsia" w:ascii="宋体" w:hAnsi="宋体"/>
                <w:color w:val="auto"/>
                <w:szCs w:val="21"/>
              </w:rPr>
              <w:t>5</w:t>
            </w:r>
          </w:p>
        </w:tc>
        <w:tc>
          <w:tcPr>
            <w:tcW w:w="780" w:type="dxa"/>
            <w:noWrap w:val="0"/>
            <w:vAlign w:val="center"/>
          </w:tcPr>
          <w:p>
            <w:pPr>
              <w:spacing w:line="460" w:lineRule="exact"/>
              <w:jc w:val="center"/>
              <w:rPr>
                <w:rFonts w:hint="eastAsia" w:ascii="宋体" w:hAnsi="宋体"/>
                <w:i w:val="0"/>
                <w:iCs w:val="0"/>
                <w:color w:val="auto"/>
                <w:szCs w:val="21"/>
              </w:rPr>
            </w:pPr>
            <w:r>
              <w:rPr>
                <w:rFonts w:hint="eastAsia" w:ascii="宋体" w:hAnsi="宋体"/>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阳伟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5）</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color w:val="auto"/>
                <w:szCs w:val="21"/>
              </w:rPr>
              <w:t>消防车</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val="en-US" w:eastAsia="zh-CN"/>
              </w:rPr>
            </w:pPr>
            <w:r>
              <w:rPr>
                <w:rFonts w:hint="eastAsia" w:ascii="宋体" w:hAnsi="宋体"/>
                <w:color w:val="auto"/>
                <w:szCs w:val="21"/>
              </w:rPr>
              <w:t>10</w:t>
            </w:r>
          </w:p>
        </w:tc>
        <w:tc>
          <w:tcPr>
            <w:tcW w:w="780" w:type="dxa"/>
            <w:noWrap w:val="0"/>
            <w:vAlign w:val="center"/>
          </w:tcPr>
          <w:p>
            <w:pPr>
              <w:spacing w:line="460" w:lineRule="exact"/>
              <w:jc w:val="center"/>
              <w:rPr>
                <w:rFonts w:hint="eastAsia" w:ascii="宋体" w:hAnsi="宋体"/>
                <w:i w:val="0"/>
                <w:iCs w:val="0"/>
                <w:color w:val="auto"/>
                <w:szCs w:val="21"/>
                <w:lang w:val="en-US" w:eastAsia="zh-CN"/>
              </w:rPr>
            </w:pPr>
            <w:r>
              <w:rPr>
                <w:rFonts w:hint="eastAsia" w:ascii="宋体" w:hAnsi="宋体"/>
                <w:color w:val="auto"/>
                <w:szCs w:val="21"/>
              </w:rPr>
              <w:t>辆</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阳伟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6）</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color w:val="auto"/>
                <w:szCs w:val="21"/>
              </w:rPr>
              <w:t>消防人员</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val="en-US" w:eastAsia="zh-CN"/>
              </w:rPr>
            </w:pPr>
            <w:r>
              <w:rPr>
                <w:rFonts w:hint="eastAsia" w:ascii="宋体" w:hAnsi="宋体"/>
                <w:color w:val="auto"/>
                <w:szCs w:val="21"/>
                <w:lang w:val="en-US" w:eastAsia="zh-CN"/>
              </w:rPr>
              <w:t>10</w:t>
            </w:r>
          </w:p>
        </w:tc>
        <w:tc>
          <w:tcPr>
            <w:tcW w:w="780" w:type="dxa"/>
            <w:noWrap w:val="0"/>
            <w:vAlign w:val="center"/>
          </w:tcPr>
          <w:p>
            <w:pPr>
              <w:spacing w:line="460" w:lineRule="exact"/>
              <w:jc w:val="center"/>
              <w:rPr>
                <w:rFonts w:hint="eastAsia" w:ascii="宋体" w:hAnsi="宋体"/>
                <w:i w:val="0"/>
                <w:iCs w:val="0"/>
                <w:color w:val="auto"/>
                <w:szCs w:val="21"/>
                <w:lang w:val="en-US" w:eastAsia="zh-CN"/>
              </w:rPr>
            </w:pPr>
            <w:r>
              <w:rPr>
                <w:rFonts w:hint="eastAsia" w:ascii="宋体" w:hAnsi="宋体"/>
                <w:color w:val="auto"/>
                <w:szCs w:val="21"/>
              </w:rPr>
              <w:t>人</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阳伟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7）</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rPr>
              <w:t>急救车</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w:t>
            </w:r>
          </w:p>
        </w:tc>
        <w:tc>
          <w:tcPr>
            <w:tcW w:w="780" w:type="dxa"/>
            <w:noWrap w:val="0"/>
            <w:vAlign w:val="center"/>
          </w:tcPr>
          <w:p>
            <w:pPr>
              <w:spacing w:line="460" w:lineRule="exact"/>
              <w:jc w:val="center"/>
              <w:rPr>
                <w:rFonts w:hint="eastAsia" w:ascii="宋体" w:hAnsi="宋体"/>
                <w:i w:val="0"/>
                <w:iCs w:val="0"/>
                <w:color w:val="auto"/>
                <w:szCs w:val="21"/>
                <w:lang w:val="en-US" w:eastAsia="zh-CN"/>
              </w:rPr>
            </w:pPr>
            <w:r>
              <w:rPr>
                <w:rFonts w:hint="eastAsia" w:ascii="宋体" w:hAnsi="宋体"/>
                <w:i w:val="0"/>
                <w:iCs w:val="0"/>
                <w:color w:val="auto"/>
                <w:szCs w:val="21"/>
              </w:rPr>
              <w:t>辆</w:t>
            </w:r>
          </w:p>
        </w:tc>
        <w:tc>
          <w:tcPr>
            <w:tcW w:w="4216"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仪陇县人民医院、仪陇县三河镇卫生院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阳伟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8</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rPr>
              <w:t>担架</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val="en-US" w:eastAsia="zh-CN"/>
              </w:rPr>
            </w:pPr>
            <w:r>
              <w:rPr>
                <w:rFonts w:hint="eastAsia" w:ascii="宋体" w:hAnsi="宋体" w:eastAsia="宋体"/>
                <w:i w:val="0"/>
                <w:iCs w:val="0"/>
                <w:color w:val="auto"/>
                <w:szCs w:val="21"/>
                <w:lang w:val="en-US" w:eastAsia="zh-CN"/>
              </w:rPr>
              <w:t>2</w:t>
            </w:r>
          </w:p>
        </w:tc>
        <w:tc>
          <w:tcPr>
            <w:tcW w:w="780" w:type="dxa"/>
            <w:noWrap w:val="0"/>
            <w:vAlign w:val="center"/>
          </w:tcPr>
          <w:p>
            <w:pPr>
              <w:spacing w:line="460" w:lineRule="exact"/>
              <w:jc w:val="center"/>
              <w:rPr>
                <w:rFonts w:hint="eastAsia" w:ascii="宋体" w:hAnsi="宋体"/>
                <w:i w:val="0"/>
                <w:iCs w:val="0"/>
                <w:color w:val="auto"/>
                <w:szCs w:val="21"/>
                <w:lang w:val="en-US" w:eastAsia="zh-CN"/>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仪陇县人民医院、仪陇县三河镇卫生院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阳伟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9</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应急床位</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i w:val="0"/>
                <w:iCs w:val="0"/>
                <w:color w:val="auto"/>
                <w:szCs w:val="21"/>
                <w:lang w:val="en-US" w:eastAsia="zh-CN"/>
              </w:rPr>
              <w:t>20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仪陇县人民医院、仪陇县三河镇卫生院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阳伟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10</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急救医生</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eastAsia="宋体"/>
                <w:i w:val="0"/>
                <w:iCs w:val="0"/>
                <w:color w:val="auto"/>
                <w:szCs w:val="21"/>
                <w:lang w:val="en-US" w:eastAsia="zh-CN"/>
              </w:rPr>
              <w:t>8</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仪陇县人民医院、仪陇县三河镇卫生院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阳伟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11</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急救护士</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eastAsia="宋体"/>
                <w:i w:val="0"/>
                <w:iCs w:val="0"/>
                <w:color w:val="auto"/>
                <w:szCs w:val="21"/>
                <w:lang w:val="en-US" w:eastAsia="zh-CN"/>
              </w:rPr>
              <w:t>6</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仪陇县人民医院、仪陇县三河镇卫生院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阳伟</w:t>
            </w:r>
          </w:p>
        </w:tc>
      </w:tr>
      <w:bookmarkEnd w:id="47"/>
    </w:tbl>
    <w:p>
      <w:pPr>
        <w:rPr>
          <w:rFonts w:hint="eastAsia" w:ascii="黑体" w:hAnsi="宋体" w:eastAsia="黑体"/>
          <w:b/>
          <w:sz w:val="32"/>
          <w:szCs w:val="32"/>
          <w:lang w:val="en-US" w:eastAsia="zh-CN"/>
        </w:rPr>
      </w:pPr>
      <w:r>
        <w:rPr>
          <w:rFonts w:hint="eastAsia" w:ascii="黑体" w:hAnsi="宋体" w:eastAsia="黑体"/>
          <w:b/>
          <w:sz w:val="32"/>
          <w:szCs w:val="32"/>
          <w:lang w:val="en-US" w:eastAsia="zh-CN"/>
        </w:rPr>
        <w:br w:type="page"/>
      </w:r>
    </w:p>
    <w:p>
      <w:pPr>
        <w:spacing w:line="360" w:lineRule="auto"/>
        <w:jc w:val="center"/>
        <w:outlineLvl w:val="0"/>
        <w:rPr>
          <w:rFonts w:hint="eastAsia" w:ascii="黑体" w:hAnsi="宋体" w:eastAsia="黑体"/>
          <w:b/>
          <w:sz w:val="32"/>
          <w:szCs w:val="32"/>
          <w:lang w:val="en-US" w:eastAsia="zh-CN"/>
        </w:rPr>
      </w:pPr>
      <w:bookmarkStart w:id="90" w:name="_Toc13750"/>
      <w:r>
        <w:rPr>
          <w:rFonts w:hint="eastAsia" w:ascii="黑体" w:hAnsi="宋体" w:eastAsia="黑体"/>
          <w:b/>
          <w:sz w:val="32"/>
          <w:szCs w:val="32"/>
          <w:lang w:val="en-US" w:eastAsia="zh-CN"/>
        </w:rPr>
        <w:t>3危险、有害因素辨识</w:t>
      </w:r>
      <w:bookmarkEnd w:id="90"/>
    </w:p>
    <w:p>
      <w:pPr>
        <w:pStyle w:val="8"/>
        <w:spacing w:line="360" w:lineRule="auto"/>
        <w:ind w:firstLine="0" w:firstLineChars="0"/>
        <w:outlineLvl w:val="1"/>
        <w:rPr>
          <w:rFonts w:hint="eastAsia" w:ascii="黑体" w:eastAsia="黑体"/>
          <w:b/>
          <w:snapToGrid w:val="0"/>
          <w:kern w:val="0"/>
          <w:sz w:val="32"/>
          <w:szCs w:val="32"/>
        </w:rPr>
      </w:pPr>
      <w:bookmarkStart w:id="91" w:name="_Toc29728"/>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1 危险、有害因素辨识的目的</w:t>
      </w:r>
      <w:bookmarkEnd w:id="40"/>
      <w:bookmarkEnd w:id="41"/>
      <w:bookmarkEnd w:id="91"/>
    </w:p>
    <w:p>
      <w:pPr>
        <w:autoSpaceDE w:val="0"/>
        <w:autoSpaceDN w:val="0"/>
        <w:adjustRightInd w:val="0"/>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危险、有害因素是指能造成人员伤亡或影响人体健康、导致疾病和对物造成突发性或慢性损坏的因素。充分识别并掌握</w:t>
      </w:r>
      <w:r>
        <w:rPr>
          <w:rFonts w:hint="eastAsia" w:ascii="宋体" w:hAnsi="宋体"/>
          <w:snapToGrid w:val="0"/>
          <w:kern w:val="0"/>
          <w:sz w:val="28"/>
          <w:szCs w:val="28"/>
          <w:lang w:eastAsia="zh-CN"/>
        </w:rPr>
        <w:t>公司</w:t>
      </w:r>
      <w:r>
        <w:rPr>
          <w:rFonts w:hint="eastAsia" w:ascii="宋体" w:hAnsi="宋体"/>
          <w:snapToGrid w:val="0"/>
          <w:kern w:val="0"/>
          <w:sz w:val="28"/>
          <w:szCs w:val="28"/>
        </w:rPr>
        <w:t>生产系统中的危险有害因素，为企业有效减少人员伤亡和财产损失，确保生产安全具有重要意义；为企业</w:t>
      </w:r>
      <w:r>
        <w:rPr>
          <w:rFonts w:ascii="宋体" w:hAnsi="宋体"/>
          <w:snapToGrid w:val="0"/>
          <w:kern w:val="0"/>
          <w:sz w:val="28"/>
          <w:szCs w:val="28"/>
        </w:rPr>
        <w:t>在</w:t>
      </w:r>
      <w:r>
        <w:rPr>
          <w:rFonts w:hint="eastAsia" w:ascii="宋体" w:hAnsi="宋体"/>
          <w:snapToGrid w:val="0"/>
          <w:kern w:val="0"/>
          <w:sz w:val="28"/>
          <w:szCs w:val="28"/>
        </w:rPr>
        <w:t>实际生产中查找事故隐患并制定整改措施、制定事故应急救援预案</w:t>
      </w:r>
      <w:r>
        <w:rPr>
          <w:rFonts w:ascii="宋体" w:hAnsi="宋体"/>
          <w:snapToGrid w:val="0"/>
          <w:kern w:val="0"/>
          <w:sz w:val="28"/>
          <w:szCs w:val="28"/>
        </w:rPr>
        <w:t>指明方向。</w:t>
      </w:r>
    </w:p>
    <w:p>
      <w:pPr>
        <w:pStyle w:val="8"/>
        <w:spacing w:line="360" w:lineRule="auto"/>
        <w:ind w:firstLine="0" w:firstLineChars="0"/>
        <w:outlineLvl w:val="1"/>
        <w:rPr>
          <w:rFonts w:ascii="黑体" w:eastAsia="黑体"/>
          <w:b/>
          <w:snapToGrid w:val="0"/>
          <w:kern w:val="0"/>
          <w:sz w:val="32"/>
          <w:szCs w:val="32"/>
        </w:rPr>
      </w:pPr>
      <w:bookmarkStart w:id="92" w:name="_Toc350781091"/>
      <w:bookmarkStart w:id="93" w:name="_Toc23410"/>
      <w:bookmarkStart w:id="94" w:name="_Toc514342839"/>
      <w:bookmarkStart w:id="95" w:name="_Toc356401484"/>
      <w:bookmarkStart w:id="96" w:name="_Toc480804387"/>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2 危险、有害因素辨识的依据</w:t>
      </w:r>
      <w:bookmarkEnd w:id="92"/>
      <w:bookmarkEnd w:id="93"/>
      <w:bookmarkEnd w:id="94"/>
      <w:bookmarkEnd w:id="95"/>
      <w:bookmarkEnd w:id="96"/>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（1）按照《危险化学品名录（20</w:t>
      </w:r>
      <w:r>
        <w:rPr>
          <w:rFonts w:hint="eastAsia" w:ascii="宋体" w:hAnsi="宋体"/>
          <w:snapToGrid w:val="0"/>
          <w:kern w:val="0"/>
          <w:sz w:val="28"/>
          <w:szCs w:val="28"/>
        </w:rPr>
        <w:t>1</w:t>
      </w:r>
      <w:r>
        <w:rPr>
          <w:rFonts w:hint="eastAsia" w:ascii="宋体" w:hAnsi="宋体"/>
          <w:snapToGrid w:val="0"/>
          <w:kern w:val="0"/>
          <w:sz w:val="28"/>
          <w:szCs w:val="28"/>
          <w:lang w:val="en-US" w:eastAsia="zh-CN"/>
        </w:rPr>
        <w:t>8</w:t>
      </w:r>
      <w:r>
        <w:rPr>
          <w:rFonts w:ascii="宋体" w:hAnsi="宋体"/>
          <w:snapToGrid w:val="0"/>
          <w:kern w:val="0"/>
          <w:sz w:val="28"/>
          <w:szCs w:val="28"/>
        </w:rPr>
        <w:t>版）》将有害物质分为爆炸品、压缩气体和液化气体、易燃液体、易燃固体、自燃物品和遇湿易燃物品、氧化剂和有机过氧化物、毒害品和感染性物品、腐蚀品8大类，对系统中使用的物质及产品进行辨识与分析。</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（2）根据《危险化学品重大危险源辨识》（</w:t>
      </w:r>
      <w:r>
        <w:rPr>
          <w:rFonts w:hint="eastAsia" w:ascii="宋体" w:hAnsi="宋体"/>
          <w:snapToGrid w:val="0"/>
          <w:kern w:val="0"/>
          <w:sz w:val="28"/>
          <w:szCs w:val="28"/>
          <w:lang w:eastAsia="zh-CN"/>
        </w:rPr>
        <w:t>GB18218-2018</w:t>
      </w:r>
      <w:r>
        <w:rPr>
          <w:rFonts w:ascii="宋体" w:hAnsi="宋体"/>
          <w:snapToGrid w:val="0"/>
          <w:kern w:val="0"/>
          <w:sz w:val="28"/>
          <w:szCs w:val="28"/>
        </w:rPr>
        <w:t>），对</w:t>
      </w:r>
      <w:r>
        <w:rPr>
          <w:rFonts w:hint="eastAsia" w:ascii="宋体" w:hAnsi="宋体"/>
          <w:snapToGrid w:val="0"/>
          <w:kern w:val="0"/>
          <w:sz w:val="28"/>
          <w:szCs w:val="28"/>
          <w:lang w:eastAsia="zh-CN"/>
        </w:rPr>
        <w:t>厂区</w:t>
      </w:r>
      <w:r>
        <w:rPr>
          <w:rFonts w:ascii="宋体" w:hAnsi="宋体"/>
          <w:snapToGrid w:val="0"/>
          <w:kern w:val="0"/>
          <w:sz w:val="28"/>
          <w:szCs w:val="28"/>
        </w:rPr>
        <w:t>中使用到的各种物质进行重大危险源的计算与辨识。</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3）参照《企业职工伤亡事故分类》（GB6441-1986），综合考虑起因物、引发事故的诱导性原因、致害物、伤害方式等，将事故分为物体打击、车辆伤害、机械伤害、起重伤害、触电等20类，对系统中作业场所按照事故类型进行辨识与分析。</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（4）根据《生产过程危险和危害因素分类与代码》（GB/T13861-2009）对</w:t>
      </w:r>
      <w:r>
        <w:rPr>
          <w:rFonts w:hint="eastAsia" w:ascii="宋体" w:hAnsi="宋体"/>
          <w:snapToGrid w:val="0"/>
          <w:kern w:val="0"/>
          <w:sz w:val="28"/>
          <w:szCs w:val="28"/>
          <w:lang w:eastAsia="zh-CN"/>
        </w:rPr>
        <w:t>厂区</w:t>
      </w:r>
      <w:r>
        <w:rPr>
          <w:rFonts w:ascii="宋体" w:hAnsi="宋体"/>
          <w:snapToGrid w:val="0"/>
          <w:kern w:val="0"/>
          <w:sz w:val="28"/>
          <w:szCs w:val="28"/>
        </w:rPr>
        <w:t>生产过程中的危险、有害因素进行辨识与分析。</w:t>
      </w:r>
    </w:p>
    <w:p>
      <w:pPr>
        <w:spacing w:line="360" w:lineRule="auto"/>
        <w:ind w:firstLine="560" w:firstLineChars="200"/>
        <w:textAlignment w:val="baseline"/>
        <w:rPr>
          <w:rFonts w:hint="eastAsia" w:ascii="宋体" w:hAnsi="宋体"/>
          <w:sz w:val="28"/>
          <w:szCs w:val="28"/>
        </w:rPr>
      </w:pPr>
      <w:bookmarkStart w:id="97" w:name="_Toc356401485"/>
      <w:bookmarkStart w:id="98" w:name="_Toc480804388"/>
      <w:bookmarkStart w:id="99" w:name="_Toc350781092"/>
      <w:r>
        <w:rPr>
          <w:rFonts w:hint="eastAsia" w:ascii="宋体" w:hAnsi="宋体"/>
          <w:sz w:val="28"/>
          <w:szCs w:val="28"/>
        </w:rPr>
        <w:t>（5）参照</w:t>
      </w:r>
      <w:r>
        <w:rPr>
          <w:rFonts w:hint="eastAsia" w:ascii="宋体" w:hAnsi="宋体"/>
          <w:bCs/>
          <w:sz w:val="28"/>
          <w:szCs w:val="28"/>
        </w:rPr>
        <w:t>《职业病危害因素分类》（</w:t>
      </w:r>
      <w:r>
        <w:rPr>
          <w:rFonts w:ascii="宋体" w:hAnsi="宋体"/>
          <w:bCs/>
          <w:sz w:val="28"/>
          <w:szCs w:val="28"/>
        </w:rPr>
        <w:t>国卫疾控发〔201</w:t>
      </w:r>
      <w:r>
        <w:rPr>
          <w:rFonts w:hint="eastAsia" w:ascii="宋体" w:hAnsi="宋体"/>
          <w:bCs/>
          <w:sz w:val="28"/>
          <w:szCs w:val="28"/>
        </w:rPr>
        <w:t>5</w:t>
      </w:r>
      <w:r>
        <w:rPr>
          <w:rFonts w:ascii="宋体" w:hAnsi="宋体"/>
          <w:bCs/>
          <w:sz w:val="28"/>
          <w:szCs w:val="28"/>
        </w:rPr>
        <w:t>〕</w:t>
      </w:r>
      <w:r>
        <w:rPr>
          <w:rFonts w:hint="eastAsia" w:ascii="宋体" w:hAnsi="宋体"/>
          <w:bCs/>
          <w:sz w:val="28"/>
          <w:szCs w:val="28"/>
        </w:rPr>
        <w:t>92</w:t>
      </w:r>
      <w:r>
        <w:rPr>
          <w:rFonts w:ascii="宋体" w:hAnsi="宋体"/>
          <w:bCs/>
          <w:sz w:val="28"/>
          <w:szCs w:val="28"/>
        </w:rPr>
        <w:t>号</w:t>
      </w:r>
      <w:r>
        <w:rPr>
          <w:rFonts w:hint="eastAsia" w:ascii="宋体" w:hAnsi="宋体"/>
          <w:bCs/>
          <w:sz w:val="28"/>
          <w:szCs w:val="28"/>
        </w:rPr>
        <w:t>）</w:t>
      </w:r>
      <w:r>
        <w:rPr>
          <w:rFonts w:hint="eastAsia" w:ascii="宋体" w:hAnsi="宋体"/>
          <w:sz w:val="28"/>
          <w:szCs w:val="28"/>
        </w:rPr>
        <w:t>对作业环境进行职业危害辨识与分析。</w:t>
      </w:r>
    </w:p>
    <w:p>
      <w:pPr>
        <w:pStyle w:val="8"/>
        <w:spacing w:line="360" w:lineRule="auto"/>
        <w:ind w:firstLine="0" w:firstLineChars="0"/>
        <w:outlineLvl w:val="1"/>
        <w:rPr>
          <w:rFonts w:hint="eastAsia" w:ascii="黑体" w:eastAsia="黑体"/>
          <w:b/>
          <w:snapToGrid w:val="0"/>
          <w:kern w:val="0"/>
          <w:sz w:val="32"/>
          <w:szCs w:val="32"/>
        </w:rPr>
      </w:pPr>
      <w:bookmarkStart w:id="100" w:name="_Toc514342840"/>
      <w:bookmarkStart w:id="101" w:name="_Toc1466"/>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3 危险、有害因素辨识的方法</w:t>
      </w:r>
      <w:bookmarkEnd w:id="97"/>
      <w:bookmarkEnd w:id="98"/>
      <w:bookmarkEnd w:id="99"/>
      <w:bookmarkEnd w:id="100"/>
      <w:bookmarkEnd w:id="101"/>
    </w:p>
    <w:p>
      <w:pPr>
        <w:spacing w:line="360" w:lineRule="auto"/>
        <w:ind w:firstLine="560" w:firstLineChars="200"/>
        <w:textAlignment w:val="baseline"/>
        <w:rPr>
          <w:rFonts w:ascii="宋体" w:hAnsi="宋体"/>
          <w:sz w:val="28"/>
          <w:szCs w:val="28"/>
        </w:rPr>
      </w:pPr>
      <w:r>
        <w:rPr>
          <w:rFonts w:hint="eastAsia" w:ascii="宋体" w:hAnsi="宋体"/>
          <w:sz w:val="28"/>
          <w:szCs w:val="28"/>
          <w:lang w:eastAsia="zh-CN"/>
        </w:rPr>
        <w:t>公司</w:t>
      </w:r>
      <w:r>
        <w:rPr>
          <w:rFonts w:ascii="宋体" w:hAnsi="宋体"/>
          <w:sz w:val="28"/>
          <w:szCs w:val="28"/>
        </w:rPr>
        <w:t>生产过程复杂，生产条件多变，涉及的危险、有害因素较多。必须选择适当的方法识别分析危险和有害因素，为制定相关的防范措施奠定基础。本次安全评价选用对照分析法和专家评议法对生产过程中主要危险、有害因素进行辨识。</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⑴ 对照分析法</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对照分析法是对照有关标准、规范、规程、法规或依靠分析人员的观察能力，借助其经验和判断能力，直观地对评价对象的危险因素进行分析的方法。</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⑵ 专家评议法</w:t>
      </w:r>
    </w:p>
    <w:p>
      <w:pPr>
        <w:pStyle w:val="8"/>
        <w:spacing w:line="360" w:lineRule="auto"/>
        <w:ind w:firstLine="560"/>
        <w:rPr>
          <w:rFonts w:hint="eastAsia" w:ascii="宋体" w:hAnsi="宋体"/>
          <w:snapToGrid w:val="0"/>
          <w:kern w:val="0"/>
          <w:sz w:val="28"/>
          <w:szCs w:val="28"/>
        </w:rPr>
      </w:pPr>
      <w:r>
        <w:rPr>
          <w:rFonts w:ascii="宋体" w:hAnsi="宋体"/>
          <w:snapToGrid w:val="0"/>
          <w:kern w:val="0"/>
          <w:sz w:val="28"/>
          <w:szCs w:val="28"/>
        </w:rPr>
        <w:t>专家评议法是一种吸收专家参加，根据事物过去、现在及发展趋势，进行积极思维活动，对事物的未来进行分析、预测的方法。其实质是集</w:t>
      </w:r>
      <w:r>
        <w:rPr>
          <w:rFonts w:hint="eastAsia" w:ascii="宋体" w:hAnsi="宋体"/>
          <w:snapToGrid w:val="0"/>
          <w:kern w:val="0"/>
          <w:sz w:val="28"/>
          <w:szCs w:val="28"/>
        </w:rPr>
        <w:t>中技术</w:t>
      </w:r>
      <w:r>
        <w:rPr>
          <w:rFonts w:ascii="宋体" w:hAnsi="宋体"/>
          <w:snapToGrid w:val="0"/>
          <w:kern w:val="0"/>
          <w:sz w:val="28"/>
          <w:szCs w:val="28"/>
        </w:rPr>
        <w:t>专家的经验、知识和分析、推断能力来分析、识别危险、有害因素。</w:t>
      </w:r>
    </w:p>
    <w:p>
      <w:pPr>
        <w:pStyle w:val="8"/>
        <w:spacing w:line="360" w:lineRule="auto"/>
        <w:ind w:firstLine="0" w:firstLineChars="0"/>
        <w:outlineLvl w:val="1"/>
        <w:rPr>
          <w:rFonts w:hint="eastAsia" w:ascii="黑体" w:eastAsia="黑体"/>
          <w:b/>
          <w:snapToGrid w:val="0"/>
          <w:kern w:val="0"/>
          <w:sz w:val="32"/>
          <w:szCs w:val="32"/>
        </w:rPr>
      </w:pPr>
      <w:bookmarkStart w:id="102" w:name="_Toc480804389"/>
      <w:bookmarkStart w:id="103" w:name="_Toc332350845"/>
      <w:bookmarkStart w:id="104" w:name="_Toc514342841"/>
      <w:bookmarkStart w:id="105" w:name="_Toc356380973"/>
      <w:bookmarkStart w:id="106" w:name="_Toc20061"/>
      <w:bookmarkStart w:id="107" w:name="_Toc345593159"/>
      <w:bookmarkStart w:id="108" w:name="_Toc356401486"/>
      <w:bookmarkStart w:id="109" w:name="_Toc350781094"/>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4 主要危险、有害物质特性分析</w:t>
      </w:r>
      <w:bookmarkEnd w:id="102"/>
      <w:bookmarkEnd w:id="103"/>
      <w:bookmarkEnd w:id="104"/>
      <w:bookmarkEnd w:id="105"/>
      <w:bookmarkEnd w:id="106"/>
      <w:bookmarkEnd w:id="107"/>
      <w:bookmarkEnd w:id="108"/>
    </w:p>
    <w:p>
      <w:pPr>
        <w:pStyle w:val="8"/>
        <w:spacing w:line="360" w:lineRule="auto"/>
        <w:ind w:firstLine="560"/>
        <w:rPr>
          <w:rFonts w:hint="eastAsia" w:ascii="宋体" w:hAnsi="宋体"/>
          <w:snapToGrid w:val="0"/>
          <w:kern w:val="0"/>
          <w:sz w:val="28"/>
          <w:szCs w:val="28"/>
        </w:rPr>
      </w:pPr>
      <w:r>
        <w:rPr>
          <w:rFonts w:hint="eastAsia" w:ascii="宋体" w:hAnsi="宋体"/>
          <w:snapToGrid w:val="0"/>
          <w:kern w:val="0"/>
          <w:sz w:val="28"/>
          <w:szCs w:val="28"/>
        </w:rPr>
        <w:t>本系统主要使用煤炭作为燃料，点火时使用柴油。煤炭、柴油等物质在燃烧过程中，产生一氧化碳、二氧化碳及硫（磷）氧化物等危险、有害物质，对人体及周边环境造成影响。</w:t>
      </w:r>
    </w:p>
    <w:p>
      <w:pPr>
        <w:pStyle w:val="8"/>
        <w:spacing w:line="360" w:lineRule="auto"/>
        <w:ind w:firstLine="0" w:firstLineChars="0"/>
        <w:outlineLvl w:val="2"/>
        <w:rPr>
          <w:rFonts w:ascii="宋体" w:hAnsi="宋体"/>
          <w:b/>
          <w:snapToGrid w:val="0"/>
          <w:kern w:val="0"/>
          <w:sz w:val="28"/>
          <w:szCs w:val="28"/>
        </w:rPr>
      </w:pPr>
      <w:bookmarkStart w:id="110" w:name="_Toc356380974"/>
      <w:bookmarkStart w:id="111" w:name="_Toc514342842"/>
      <w:bookmarkStart w:id="112" w:name="_Toc356401487"/>
      <w:bookmarkStart w:id="113" w:name="_Toc480804390"/>
      <w:bookmarkStart w:id="114" w:name="_Toc332350846"/>
      <w:bookmarkStart w:id="115" w:name="_Toc9587"/>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4.1 煤</w:t>
      </w:r>
      <w:bookmarkEnd w:id="110"/>
      <w:bookmarkEnd w:id="111"/>
      <w:bookmarkEnd w:id="112"/>
      <w:bookmarkEnd w:id="113"/>
      <w:bookmarkEnd w:id="114"/>
      <w:bookmarkEnd w:id="115"/>
    </w:p>
    <w:p>
      <w:pPr>
        <w:spacing w:line="360" w:lineRule="auto"/>
        <w:ind w:firstLine="560" w:firstLineChars="200"/>
        <w:rPr>
          <w:rFonts w:hint="eastAsia" w:ascii="宋体" w:hAnsi="宋体"/>
          <w:sz w:val="28"/>
          <w:szCs w:val="28"/>
        </w:rPr>
      </w:pPr>
      <w:r>
        <w:rPr>
          <w:rFonts w:hint="eastAsia" w:ascii="宋体" w:hAnsi="宋体"/>
          <w:sz w:val="28"/>
          <w:szCs w:val="28"/>
        </w:rPr>
        <w:t>煤的主要元素是碳，其次是氢，并含有少量的氧、氮、硫。碳和氢是煤的主要可燃元素；氧是煤中的一种有害物质，因为它和碳、氢等可燃元素构成氧化物而使它们推动了进行燃烧的可能性；氮在一般情况下不参加燃烧反应，是燃料中的惰性元素，但在高温条件下，氮和氧形成NOX，这是一种对大气有严重污染作用的有害气体；硫是一种极有害的物质，因为燃烧后生产二氧化硫和三氧化硫，能危害人体健康和造成大气污染。煤炭的储存也很重要，主要是防火灾危险，因为各种煤有不同程度的自燃能力，再加上煤内水分的影响、空气湿度的影响、氧化影响、粒度大小的影响等等，也影响了自燃能力的大小。</w:t>
      </w:r>
    </w:p>
    <w:p>
      <w:pPr>
        <w:pStyle w:val="8"/>
        <w:spacing w:line="360" w:lineRule="auto"/>
        <w:ind w:firstLine="0" w:firstLineChars="0"/>
        <w:outlineLvl w:val="2"/>
        <w:rPr>
          <w:rFonts w:ascii="宋体" w:hAnsi="宋体"/>
          <w:b/>
          <w:snapToGrid w:val="0"/>
          <w:kern w:val="0"/>
          <w:sz w:val="28"/>
          <w:szCs w:val="28"/>
        </w:rPr>
      </w:pPr>
      <w:bookmarkStart w:id="116" w:name="_Toc356401488"/>
      <w:bookmarkStart w:id="117" w:name="_Toc332350847"/>
      <w:bookmarkStart w:id="118" w:name="_Toc356380975"/>
      <w:bookmarkStart w:id="119" w:name="_Toc514342843"/>
      <w:bookmarkStart w:id="120" w:name="_Toc14053"/>
      <w:bookmarkStart w:id="121" w:name="_Toc480804391"/>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4.2 柴油</w:t>
      </w:r>
      <w:bookmarkEnd w:id="116"/>
      <w:bookmarkEnd w:id="117"/>
      <w:bookmarkEnd w:id="118"/>
      <w:bookmarkEnd w:id="119"/>
      <w:bookmarkEnd w:id="120"/>
      <w:bookmarkEnd w:id="121"/>
    </w:p>
    <w:p>
      <w:pPr>
        <w:adjustRightInd w:val="0"/>
        <w:snapToGrid w:val="0"/>
        <w:spacing w:line="360" w:lineRule="auto"/>
        <w:ind w:firstLine="560" w:firstLineChars="200"/>
        <w:rPr>
          <w:rFonts w:hint="eastAsia"/>
          <w:sz w:val="28"/>
          <w:szCs w:val="28"/>
        </w:rPr>
      </w:pPr>
      <w:r>
        <w:rPr>
          <w:rFonts w:hint="eastAsia"/>
          <w:sz w:val="28"/>
          <w:szCs w:val="28"/>
        </w:rPr>
        <w:t>柴油主要是由烷烃、烯烃、芳香烃、多环芳烃与少量硫（2~60</w:t>
      </w:r>
      <w:r>
        <w:rPr>
          <w:sz w:val="28"/>
          <w:szCs w:val="28"/>
        </w:rPr>
        <w:t>g/Kg</w:t>
      </w:r>
      <w:r>
        <w:rPr>
          <w:rFonts w:hint="eastAsia"/>
          <w:sz w:val="28"/>
          <w:szCs w:val="28"/>
        </w:rPr>
        <w:t>）、氮（＜1</w:t>
      </w:r>
      <w:r>
        <w:rPr>
          <w:sz w:val="28"/>
          <w:szCs w:val="28"/>
        </w:rPr>
        <w:t xml:space="preserve"> g/Kg</w:t>
      </w:r>
      <w:r>
        <w:rPr>
          <w:rFonts w:hint="eastAsia"/>
          <w:sz w:val="28"/>
          <w:szCs w:val="28"/>
        </w:rPr>
        <w:t>）及添加剂组成的混合物。以燃料油为例：白色或淡黄色液体，相对密度0.85；熔点</w:t>
      </w:r>
      <w:r>
        <w:rPr>
          <w:sz w:val="28"/>
          <w:szCs w:val="28"/>
        </w:rPr>
        <w:t>--</w:t>
      </w:r>
      <w:r>
        <w:rPr>
          <w:rFonts w:hint="eastAsia"/>
          <w:sz w:val="28"/>
          <w:szCs w:val="28"/>
        </w:rPr>
        <w:t>29.56℃，沸点180~370℃，闪点40℃，蒸气密度4，蒸气压4.0</w:t>
      </w:r>
      <w:r>
        <w:rPr>
          <w:sz w:val="28"/>
          <w:szCs w:val="28"/>
        </w:rPr>
        <w:t>Kpa</w:t>
      </w:r>
      <w:r>
        <w:rPr>
          <w:rFonts w:hint="eastAsia"/>
          <w:sz w:val="28"/>
          <w:szCs w:val="28"/>
        </w:rPr>
        <w:t>。</w:t>
      </w:r>
    </w:p>
    <w:p>
      <w:pPr>
        <w:adjustRightInd w:val="0"/>
        <w:snapToGrid w:val="0"/>
        <w:spacing w:line="360" w:lineRule="auto"/>
        <w:ind w:firstLine="560" w:firstLineChars="200"/>
        <w:rPr>
          <w:rFonts w:hint="eastAsia"/>
          <w:sz w:val="28"/>
          <w:szCs w:val="28"/>
        </w:rPr>
      </w:pPr>
      <w:r>
        <w:rPr>
          <w:rFonts w:hint="eastAsia"/>
          <w:sz w:val="28"/>
          <w:szCs w:val="28"/>
        </w:rPr>
        <w:t>危险性：蒸气与空气混合物可燃限0.7~5.0%；不溶于水；遇热、火花、明火易燃，可蓄积静电，引起电火花；分解和燃烧产物为一氧化化碳、二氧化碳和硫氧化物；避免接触氧化剂。</w:t>
      </w:r>
    </w:p>
    <w:p>
      <w:pPr>
        <w:adjustRightInd w:val="0"/>
        <w:snapToGrid w:val="0"/>
        <w:spacing w:line="360" w:lineRule="auto"/>
        <w:ind w:firstLine="560" w:firstLineChars="200"/>
        <w:rPr>
          <w:rFonts w:hint="eastAsia"/>
          <w:sz w:val="28"/>
          <w:szCs w:val="28"/>
        </w:rPr>
      </w:pPr>
      <w:r>
        <w:rPr>
          <w:rFonts w:hint="eastAsia"/>
          <w:sz w:val="28"/>
          <w:szCs w:val="28"/>
        </w:rPr>
        <w:t>危害性：皮肤大量接触后，个别人可能发生肾脏损害；皮肤接触后，可发生接触性皮炎，表现为红斑、水疱、丘疹。</w:t>
      </w:r>
    </w:p>
    <w:p>
      <w:pPr>
        <w:adjustRightInd w:val="0"/>
        <w:snapToGrid w:val="0"/>
        <w:spacing w:line="360" w:lineRule="auto"/>
        <w:ind w:firstLine="560" w:firstLineChars="200"/>
        <w:rPr>
          <w:rFonts w:hint="eastAsia"/>
          <w:sz w:val="28"/>
          <w:szCs w:val="28"/>
        </w:rPr>
      </w:pPr>
      <w:r>
        <w:rPr>
          <w:rFonts w:hint="eastAsia"/>
          <w:sz w:val="28"/>
          <w:szCs w:val="28"/>
        </w:rPr>
        <w:t>灭火剂：泡沫、干粉、二氧化碳、砂土。</w:t>
      </w:r>
    </w:p>
    <w:p>
      <w:pPr>
        <w:adjustRightInd w:val="0"/>
        <w:snapToGrid w:val="0"/>
        <w:spacing w:line="360" w:lineRule="auto"/>
        <w:ind w:firstLine="560" w:firstLineChars="200"/>
        <w:rPr>
          <w:rFonts w:hint="eastAsia"/>
          <w:sz w:val="28"/>
          <w:szCs w:val="28"/>
        </w:rPr>
      </w:pPr>
      <w:r>
        <w:rPr>
          <w:rFonts w:hint="eastAsia"/>
          <w:sz w:val="28"/>
          <w:szCs w:val="28"/>
        </w:rPr>
        <w:t>着火性、流动性和凝点是柴油性能的重要指标。</w:t>
      </w:r>
    </w:p>
    <w:p>
      <w:pPr>
        <w:pStyle w:val="8"/>
        <w:spacing w:line="360" w:lineRule="auto"/>
        <w:ind w:firstLine="0" w:firstLineChars="0"/>
        <w:outlineLvl w:val="2"/>
        <w:rPr>
          <w:rFonts w:hint="eastAsia" w:ascii="宋体" w:hAnsi="宋体"/>
          <w:b/>
          <w:snapToGrid w:val="0"/>
          <w:kern w:val="0"/>
          <w:sz w:val="28"/>
          <w:szCs w:val="28"/>
        </w:rPr>
      </w:pPr>
      <w:bookmarkStart w:id="122" w:name="_Toc332350848"/>
      <w:bookmarkStart w:id="123" w:name="_Toc514342844"/>
      <w:bookmarkStart w:id="124" w:name="_Toc480804392"/>
      <w:bookmarkStart w:id="125" w:name="_Toc356401489"/>
      <w:bookmarkStart w:id="126" w:name="_Toc356380976"/>
      <w:bookmarkStart w:id="127" w:name="_Toc353"/>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4.3 一氧化碳</w:t>
      </w:r>
      <w:bookmarkEnd w:id="122"/>
      <w:bookmarkEnd w:id="123"/>
      <w:bookmarkEnd w:id="124"/>
      <w:bookmarkEnd w:id="125"/>
      <w:bookmarkEnd w:id="126"/>
      <w:bookmarkEnd w:id="127"/>
    </w:p>
    <w:p>
      <w:pPr>
        <w:adjustRightInd w:val="0"/>
        <w:snapToGrid w:val="0"/>
        <w:spacing w:line="360" w:lineRule="auto"/>
        <w:ind w:firstLine="560" w:firstLineChars="200"/>
        <w:rPr>
          <w:rFonts w:hint="eastAsia"/>
          <w:sz w:val="28"/>
          <w:szCs w:val="28"/>
        </w:rPr>
      </w:pPr>
      <w:r>
        <w:rPr>
          <w:rFonts w:hint="eastAsia"/>
          <w:sz w:val="28"/>
          <w:szCs w:val="28"/>
        </w:rPr>
        <w:t xml:space="preserve">英文名：Carbon  Monoxide               分子式：CO   </w:t>
      </w:r>
    </w:p>
    <w:p>
      <w:pPr>
        <w:adjustRightInd w:val="0"/>
        <w:snapToGrid w:val="0"/>
        <w:spacing w:line="360" w:lineRule="auto"/>
        <w:ind w:firstLine="560" w:firstLineChars="200"/>
        <w:rPr>
          <w:rFonts w:hint="eastAsia"/>
          <w:sz w:val="28"/>
          <w:szCs w:val="28"/>
        </w:rPr>
      </w:pPr>
      <w:r>
        <w:rPr>
          <w:rFonts w:hint="eastAsia"/>
          <w:sz w:val="28"/>
          <w:szCs w:val="28"/>
        </w:rPr>
        <w:t xml:space="preserve">性状：无色、无味气体；                 熔点：-199．1℃   </w:t>
      </w:r>
    </w:p>
    <w:p>
      <w:pPr>
        <w:adjustRightInd w:val="0"/>
        <w:snapToGrid w:val="0"/>
        <w:spacing w:line="360" w:lineRule="auto"/>
        <w:ind w:firstLine="560" w:firstLineChars="200"/>
        <w:rPr>
          <w:rFonts w:hint="eastAsia"/>
          <w:sz w:val="28"/>
          <w:szCs w:val="28"/>
        </w:rPr>
      </w:pPr>
      <w:r>
        <w:rPr>
          <w:rFonts w:hint="eastAsia"/>
          <w:sz w:val="28"/>
          <w:szCs w:val="28"/>
        </w:rPr>
        <w:t xml:space="preserve">沸点：-192℃                           相对密度：0．97   </w:t>
      </w:r>
    </w:p>
    <w:p>
      <w:pPr>
        <w:adjustRightInd w:val="0"/>
        <w:snapToGrid w:val="0"/>
        <w:spacing w:line="360" w:lineRule="auto"/>
        <w:ind w:firstLine="560" w:firstLineChars="200"/>
        <w:rPr>
          <w:rFonts w:hint="eastAsia"/>
          <w:sz w:val="28"/>
          <w:szCs w:val="28"/>
        </w:rPr>
      </w:pPr>
      <w:r>
        <w:rPr>
          <w:rFonts w:hint="eastAsia"/>
          <w:sz w:val="28"/>
          <w:szCs w:val="28"/>
        </w:rPr>
        <w:t>危险性类别：第2.易燃气体               危编号：21005</w:t>
      </w:r>
    </w:p>
    <w:p>
      <w:pPr>
        <w:adjustRightInd w:val="0"/>
        <w:snapToGrid w:val="0"/>
        <w:spacing w:line="360" w:lineRule="auto"/>
        <w:ind w:firstLine="560" w:firstLineChars="200"/>
        <w:rPr>
          <w:rFonts w:hint="eastAsia"/>
          <w:sz w:val="28"/>
          <w:szCs w:val="28"/>
        </w:rPr>
      </w:pPr>
      <w:r>
        <w:rPr>
          <w:rFonts w:hint="eastAsia"/>
          <w:sz w:val="28"/>
          <w:szCs w:val="28"/>
        </w:rPr>
        <w:t>un：1016(气体)                     爆炸极限：12</w:t>
      </w:r>
      <w:r>
        <w:rPr>
          <w:sz w:val="28"/>
          <w:szCs w:val="28"/>
        </w:rPr>
        <w:t>.</w:t>
      </w:r>
      <w:r>
        <w:rPr>
          <w:rFonts w:hint="eastAsia"/>
          <w:sz w:val="28"/>
          <w:szCs w:val="28"/>
        </w:rPr>
        <w:t>5~74％（V）</w:t>
      </w:r>
    </w:p>
    <w:p>
      <w:pPr>
        <w:adjustRightInd w:val="0"/>
        <w:snapToGrid w:val="0"/>
        <w:spacing w:line="360" w:lineRule="auto"/>
        <w:ind w:firstLine="560" w:firstLineChars="200"/>
        <w:rPr>
          <w:rFonts w:hint="eastAsia"/>
          <w:sz w:val="28"/>
          <w:szCs w:val="28"/>
        </w:rPr>
      </w:pPr>
      <w:r>
        <w:rPr>
          <w:rFonts w:hint="eastAsia"/>
          <w:sz w:val="28"/>
          <w:szCs w:val="28"/>
        </w:rPr>
        <w:t>最高容许浓度：30mg／m³(按职业性接触毒物危害程度分级为Ⅱ级，高度危害物质)。</w:t>
      </w:r>
    </w:p>
    <w:p>
      <w:pPr>
        <w:adjustRightInd w:val="0"/>
        <w:snapToGrid w:val="0"/>
        <w:spacing w:line="360" w:lineRule="auto"/>
        <w:ind w:firstLine="560" w:firstLineChars="200"/>
        <w:rPr>
          <w:rFonts w:hint="eastAsia"/>
          <w:sz w:val="28"/>
          <w:szCs w:val="28"/>
        </w:rPr>
      </w:pPr>
      <w:r>
        <w:rPr>
          <w:rFonts w:hint="eastAsia"/>
          <w:sz w:val="28"/>
          <w:szCs w:val="28"/>
        </w:rPr>
        <w:t>健康危害：一氧化碳在血液中与血红蛋白结合而造成组织缺氧。</w:t>
      </w:r>
    </w:p>
    <w:p>
      <w:pPr>
        <w:adjustRightInd w:val="0"/>
        <w:snapToGrid w:val="0"/>
        <w:spacing w:line="360" w:lineRule="auto"/>
        <w:ind w:firstLine="560" w:firstLineChars="200"/>
        <w:rPr>
          <w:rFonts w:hint="eastAsia"/>
          <w:sz w:val="28"/>
          <w:szCs w:val="28"/>
        </w:rPr>
      </w:pPr>
      <w:r>
        <w:rPr>
          <w:rFonts w:hint="eastAsia"/>
          <w:sz w:val="28"/>
          <w:szCs w:val="28"/>
        </w:rPr>
        <w:t>急性中毒：轻度中毒出现头痛、头晕、耳鸣、心悸、恶心、呕吐、无力；中度中毒除出现上述症状外还有皮肤粘膜呈樱红色、脉快、烦躁、步态不稳；重度患者深度昏迷、瞳孔扩大、肌张力增强，频繁抽搐、大小便失禁、休克、肺水肿、严重心肌损害等。</w:t>
      </w:r>
    </w:p>
    <w:p>
      <w:pPr>
        <w:pStyle w:val="8"/>
        <w:spacing w:line="360" w:lineRule="auto"/>
        <w:ind w:firstLine="0" w:firstLineChars="0"/>
        <w:outlineLvl w:val="2"/>
        <w:rPr>
          <w:rFonts w:hint="eastAsia" w:ascii="宋体" w:hAnsi="宋体"/>
          <w:b/>
          <w:snapToGrid w:val="0"/>
          <w:kern w:val="0"/>
          <w:sz w:val="28"/>
          <w:szCs w:val="28"/>
        </w:rPr>
      </w:pPr>
      <w:bookmarkStart w:id="128" w:name="_Toc7329"/>
      <w:bookmarkStart w:id="129" w:name="_Toc480804393"/>
      <w:bookmarkStart w:id="130" w:name="_Toc356401490"/>
      <w:bookmarkStart w:id="131" w:name="_Toc356380977"/>
      <w:bookmarkStart w:id="132" w:name="_Toc514342845"/>
      <w:bookmarkStart w:id="133" w:name="_Toc33235084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4.4 二氧化碳</w:t>
      </w:r>
      <w:bookmarkEnd w:id="128"/>
      <w:bookmarkEnd w:id="129"/>
      <w:bookmarkEnd w:id="130"/>
      <w:bookmarkEnd w:id="131"/>
      <w:bookmarkEnd w:id="132"/>
      <w:bookmarkEnd w:id="133"/>
      <w:r>
        <w:rPr>
          <w:rFonts w:hint="eastAsia" w:ascii="宋体" w:hAnsi="宋体"/>
          <w:b/>
          <w:snapToGrid w:val="0"/>
          <w:kern w:val="0"/>
          <w:sz w:val="28"/>
          <w:szCs w:val="28"/>
        </w:rPr>
        <w:t xml:space="preserve"> </w:t>
      </w:r>
    </w:p>
    <w:p>
      <w:pPr>
        <w:adjustRightInd w:val="0"/>
        <w:snapToGrid w:val="0"/>
        <w:spacing w:line="360" w:lineRule="auto"/>
        <w:ind w:firstLine="560" w:firstLineChars="200"/>
        <w:rPr>
          <w:rFonts w:hint="eastAsia"/>
          <w:sz w:val="28"/>
          <w:szCs w:val="28"/>
        </w:rPr>
      </w:pPr>
      <w:r>
        <w:rPr>
          <w:rFonts w:hint="eastAsia"/>
          <w:sz w:val="28"/>
          <w:szCs w:val="28"/>
        </w:rPr>
        <w:t xml:space="preserve">英文名：Carbon  Dioxide             分子式：C02   </w:t>
      </w:r>
    </w:p>
    <w:p>
      <w:pPr>
        <w:adjustRightInd w:val="0"/>
        <w:snapToGrid w:val="0"/>
        <w:spacing w:line="360" w:lineRule="auto"/>
        <w:ind w:firstLine="560" w:firstLineChars="200"/>
        <w:rPr>
          <w:rFonts w:hint="eastAsia"/>
          <w:sz w:val="28"/>
          <w:szCs w:val="28"/>
        </w:rPr>
      </w:pPr>
      <w:r>
        <w:rPr>
          <w:rFonts w:hint="eastAsia"/>
          <w:sz w:val="28"/>
          <w:szCs w:val="28"/>
        </w:rPr>
        <w:t xml:space="preserve">性状：无色、无味、不燃的气体        熔点：-56．6℃   </w:t>
      </w:r>
    </w:p>
    <w:p>
      <w:pPr>
        <w:adjustRightInd w:val="0"/>
        <w:snapToGrid w:val="0"/>
        <w:spacing w:line="360" w:lineRule="auto"/>
        <w:ind w:firstLine="560" w:firstLineChars="200"/>
        <w:rPr>
          <w:rFonts w:hint="eastAsia"/>
          <w:sz w:val="28"/>
          <w:szCs w:val="28"/>
        </w:rPr>
      </w:pPr>
      <w:r>
        <w:rPr>
          <w:rFonts w:hint="eastAsia"/>
          <w:sz w:val="28"/>
          <w:szCs w:val="28"/>
        </w:rPr>
        <w:t>沸点：-78．5℃(升华)           危险性类别：第2.2不燃气体</w:t>
      </w:r>
    </w:p>
    <w:p>
      <w:pPr>
        <w:adjustRightInd w:val="0"/>
        <w:snapToGrid w:val="0"/>
        <w:spacing w:line="360" w:lineRule="auto"/>
        <w:ind w:firstLine="560" w:firstLineChars="200"/>
        <w:rPr>
          <w:rFonts w:hint="eastAsia"/>
          <w:sz w:val="28"/>
          <w:szCs w:val="28"/>
        </w:rPr>
      </w:pPr>
      <w:r>
        <w:rPr>
          <w:rFonts w:hint="eastAsia"/>
          <w:sz w:val="28"/>
          <w:szCs w:val="28"/>
        </w:rPr>
        <w:t>危编号：22019                        un：1013（气体）</w:t>
      </w:r>
    </w:p>
    <w:p>
      <w:pPr>
        <w:adjustRightInd w:val="0"/>
        <w:snapToGrid w:val="0"/>
        <w:spacing w:line="360" w:lineRule="auto"/>
        <w:ind w:firstLine="560" w:firstLineChars="200"/>
        <w:rPr>
          <w:rFonts w:hint="eastAsia"/>
          <w:sz w:val="28"/>
          <w:szCs w:val="28"/>
        </w:rPr>
      </w:pPr>
      <w:r>
        <w:rPr>
          <w:rFonts w:hint="eastAsia"/>
          <w:sz w:val="28"/>
          <w:szCs w:val="28"/>
        </w:rPr>
        <w:t>健康危害：在低浓度时，对呼吸中枢呈兴奋作用，高浓度时则产生抑制甚至麻痹作用。中毒机制中还兼有缺氧的因素。</w:t>
      </w:r>
    </w:p>
    <w:p>
      <w:pPr>
        <w:adjustRightInd w:val="0"/>
        <w:snapToGrid w:val="0"/>
        <w:spacing w:line="360" w:lineRule="auto"/>
        <w:ind w:firstLine="560" w:firstLineChars="200"/>
        <w:rPr>
          <w:rFonts w:hint="eastAsia"/>
          <w:sz w:val="28"/>
          <w:szCs w:val="28"/>
        </w:rPr>
      </w:pPr>
      <w:r>
        <w:rPr>
          <w:rFonts w:hint="eastAsia"/>
          <w:sz w:val="28"/>
          <w:szCs w:val="28"/>
        </w:rPr>
        <w:t>急性中毒：人进入高浓度二氧化碳环境，在几秒钟迅速昏迷倒下，反射消失、瞳孔扩大或缩小、大小便失禁、呕吐等，更严重者出现呼吸停止及休克，甚至死亡。</w:t>
      </w:r>
    </w:p>
    <w:p>
      <w:pPr>
        <w:adjustRightInd w:val="0"/>
        <w:snapToGrid w:val="0"/>
        <w:spacing w:line="360" w:lineRule="auto"/>
        <w:ind w:firstLine="560" w:firstLineChars="200"/>
        <w:rPr>
          <w:rFonts w:hint="eastAsia"/>
          <w:sz w:val="28"/>
          <w:szCs w:val="28"/>
        </w:rPr>
      </w:pPr>
      <w:r>
        <w:rPr>
          <w:rFonts w:hint="eastAsia"/>
          <w:sz w:val="28"/>
          <w:szCs w:val="28"/>
        </w:rPr>
        <w:t>慢性影响：经常接触较高的二氧化碳者，会有头晕、头痛、失眠、易兴奋、无力等神经功能紊乱等主诉。</w:t>
      </w:r>
    </w:p>
    <w:p>
      <w:pPr>
        <w:adjustRightInd w:val="0"/>
        <w:snapToGrid w:val="0"/>
        <w:spacing w:line="360" w:lineRule="auto"/>
        <w:ind w:firstLine="560" w:firstLineChars="200"/>
        <w:rPr>
          <w:rFonts w:hint="eastAsia"/>
          <w:sz w:val="28"/>
          <w:szCs w:val="28"/>
        </w:rPr>
      </w:pPr>
      <w:r>
        <w:rPr>
          <w:rFonts w:hint="eastAsia"/>
          <w:sz w:val="28"/>
          <w:szCs w:val="28"/>
        </w:rPr>
        <w:t>防护措施：呼吸系统防护：一般不需特殊防护，高浓度接触时可佩戴空气呼吸器；眼睛防护：一般不需特殊防护；身体防护：穿一般作业工作服；手防护：戴一般作业防护手套；其它：避免高浓度吸入。</w:t>
      </w:r>
    </w:p>
    <w:p>
      <w:pPr>
        <w:pStyle w:val="8"/>
        <w:spacing w:line="360" w:lineRule="auto"/>
        <w:ind w:firstLine="0" w:firstLineChars="0"/>
        <w:outlineLvl w:val="2"/>
        <w:rPr>
          <w:rFonts w:hint="eastAsia" w:ascii="宋体" w:hAnsi="宋体"/>
          <w:b/>
          <w:snapToGrid w:val="0"/>
          <w:kern w:val="0"/>
          <w:sz w:val="28"/>
          <w:szCs w:val="28"/>
        </w:rPr>
      </w:pPr>
      <w:bookmarkStart w:id="134" w:name="_Toc332350850"/>
      <w:bookmarkStart w:id="135" w:name="_Toc514342846"/>
      <w:bookmarkStart w:id="136" w:name="_Toc480804394"/>
      <w:bookmarkStart w:id="137" w:name="_Toc13622"/>
      <w:bookmarkStart w:id="138" w:name="_Toc356401491"/>
      <w:bookmarkStart w:id="139" w:name="_Toc356380978"/>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4.5 二氧化硫（三氧化硫参考）</w:t>
      </w:r>
      <w:bookmarkEnd w:id="134"/>
      <w:bookmarkEnd w:id="135"/>
      <w:bookmarkEnd w:id="136"/>
      <w:bookmarkEnd w:id="137"/>
      <w:bookmarkEnd w:id="138"/>
      <w:bookmarkEnd w:id="139"/>
    </w:p>
    <w:p>
      <w:pPr>
        <w:adjustRightInd w:val="0"/>
        <w:snapToGrid w:val="0"/>
        <w:spacing w:line="360" w:lineRule="auto"/>
        <w:ind w:firstLine="560" w:firstLineChars="200"/>
        <w:rPr>
          <w:rFonts w:hint="eastAsia"/>
          <w:sz w:val="28"/>
          <w:szCs w:val="28"/>
        </w:rPr>
      </w:pPr>
      <w:r>
        <w:rPr>
          <w:rFonts w:hint="eastAsia"/>
          <w:sz w:val="28"/>
          <w:szCs w:val="28"/>
        </w:rPr>
        <w:t>英文名：（S</w:t>
      </w:r>
      <w:r>
        <w:rPr>
          <w:sz w:val="28"/>
          <w:szCs w:val="28"/>
        </w:rPr>
        <w:t xml:space="preserve">ulfur  </w:t>
      </w:r>
      <w:r>
        <w:rPr>
          <w:rFonts w:hint="eastAsia"/>
          <w:sz w:val="28"/>
          <w:szCs w:val="28"/>
        </w:rPr>
        <w:t>D</w:t>
      </w:r>
      <w:r>
        <w:rPr>
          <w:sz w:val="28"/>
          <w:szCs w:val="28"/>
        </w:rPr>
        <w:t>ioxide</w:t>
      </w:r>
      <w:r>
        <w:rPr>
          <w:rFonts w:hint="eastAsia"/>
          <w:sz w:val="28"/>
          <w:szCs w:val="28"/>
        </w:rPr>
        <w:t>）           分子式：</w:t>
      </w:r>
      <w:r>
        <w:rPr>
          <w:sz w:val="28"/>
          <w:szCs w:val="28"/>
        </w:rPr>
        <w:t>SO2</w:t>
      </w:r>
      <w:r>
        <w:rPr>
          <w:rFonts w:hint="eastAsia"/>
          <w:sz w:val="28"/>
          <w:szCs w:val="28"/>
        </w:rPr>
        <w:t xml:space="preserve">     </w:t>
      </w:r>
    </w:p>
    <w:p>
      <w:pPr>
        <w:adjustRightInd w:val="0"/>
        <w:snapToGrid w:val="0"/>
        <w:spacing w:line="360" w:lineRule="auto"/>
        <w:ind w:firstLine="560" w:firstLineChars="200"/>
        <w:rPr>
          <w:rFonts w:hint="eastAsia"/>
          <w:sz w:val="28"/>
          <w:szCs w:val="28"/>
        </w:rPr>
      </w:pPr>
      <w:r>
        <w:rPr>
          <w:rFonts w:hint="eastAsia"/>
          <w:sz w:val="28"/>
          <w:szCs w:val="28"/>
        </w:rPr>
        <w:t xml:space="preserve">外观及性状：无色气体，室温下具有强烈刺激气味，可溶于水及有机溶剂 </w:t>
      </w:r>
    </w:p>
    <w:p>
      <w:pPr>
        <w:adjustRightInd w:val="0"/>
        <w:snapToGrid w:val="0"/>
        <w:spacing w:line="360" w:lineRule="auto"/>
        <w:ind w:firstLine="560" w:firstLineChars="200"/>
        <w:rPr>
          <w:rFonts w:hint="eastAsia"/>
          <w:sz w:val="28"/>
          <w:szCs w:val="28"/>
        </w:rPr>
      </w:pPr>
      <w:r>
        <w:rPr>
          <w:rFonts w:hint="eastAsia"/>
          <w:sz w:val="28"/>
          <w:szCs w:val="28"/>
        </w:rPr>
        <w:t>熔点：</w:t>
      </w:r>
      <w:r>
        <w:rPr>
          <w:sz w:val="28"/>
          <w:szCs w:val="28"/>
        </w:rPr>
        <w:t>-75.5</w:t>
      </w:r>
      <w:r>
        <w:rPr>
          <w:rFonts w:hint="eastAsia"/>
          <w:sz w:val="28"/>
          <w:szCs w:val="28"/>
        </w:rPr>
        <w:t xml:space="preserve"> ℃                       沸点：</w:t>
      </w:r>
      <w:r>
        <w:rPr>
          <w:sz w:val="28"/>
          <w:szCs w:val="28"/>
        </w:rPr>
        <w:t>-10</w:t>
      </w:r>
      <w:r>
        <w:rPr>
          <w:rFonts w:hint="eastAsia"/>
          <w:sz w:val="28"/>
          <w:szCs w:val="28"/>
        </w:rPr>
        <w:t xml:space="preserve"> ℃  </w:t>
      </w:r>
    </w:p>
    <w:p>
      <w:pPr>
        <w:adjustRightInd w:val="0"/>
        <w:snapToGrid w:val="0"/>
        <w:spacing w:line="360" w:lineRule="auto"/>
        <w:ind w:firstLine="560" w:firstLineChars="200"/>
        <w:rPr>
          <w:rFonts w:hint="eastAsia"/>
          <w:sz w:val="28"/>
          <w:szCs w:val="28"/>
        </w:rPr>
      </w:pPr>
      <w:r>
        <w:rPr>
          <w:rFonts w:hint="eastAsia"/>
          <w:sz w:val="28"/>
          <w:szCs w:val="28"/>
        </w:rPr>
        <w:t xml:space="preserve">危险性类别：第2.3有毒气体           危编号： </w:t>
      </w:r>
      <w:r>
        <w:rPr>
          <w:sz w:val="28"/>
          <w:szCs w:val="28"/>
        </w:rPr>
        <w:t>23013</w:t>
      </w:r>
    </w:p>
    <w:p>
      <w:pPr>
        <w:adjustRightInd w:val="0"/>
        <w:snapToGrid w:val="0"/>
        <w:spacing w:line="360" w:lineRule="auto"/>
        <w:ind w:firstLine="560" w:firstLineChars="200"/>
        <w:rPr>
          <w:rFonts w:hint="eastAsia"/>
          <w:sz w:val="28"/>
          <w:szCs w:val="28"/>
        </w:rPr>
      </w:pPr>
      <w:r>
        <w:rPr>
          <w:sz w:val="28"/>
          <w:szCs w:val="28"/>
        </w:rPr>
        <w:t>UN</w:t>
      </w:r>
      <w:r>
        <w:rPr>
          <w:rFonts w:hint="eastAsia"/>
          <w:sz w:val="28"/>
          <w:szCs w:val="28"/>
        </w:rPr>
        <w:t>：1079                    相对密度：</w:t>
      </w:r>
      <w:r>
        <w:rPr>
          <w:sz w:val="28"/>
          <w:szCs w:val="28"/>
        </w:rPr>
        <w:t>1.43</w:t>
      </w:r>
      <w:r>
        <w:rPr>
          <w:rFonts w:hint="eastAsia"/>
          <w:sz w:val="28"/>
          <w:szCs w:val="28"/>
        </w:rPr>
        <w:t>（液化）；</w:t>
      </w:r>
      <w:r>
        <w:rPr>
          <w:sz w:val="28"/>
          <w:szCs w:val="28"/>
        </w:rPr>
        <w:t>2.26</w:t>
      </w:r>
      <w:r>
        <w:rPr>
          <w:rFonts w:hint="eastAsia"/>
          <w:sz w:val="28"/>
          <w:szCs w:val="28"/>
        </w:rPr>
        <w:t>（气）</w:t>
      </w:r>
    </w:p>
    <w:p>
      <w:pPr>
        <w:adjustRightInd w:val="0"/>
        <w:snapToGrid w:val="0"/>
        <w:spacing w:line="360" w:lineRule="auto"/>
        <w:ind w:firstLine="560" w:firstLineChars="200"/>
        <w:rPr>
          <w:sz w:val="28"/>
          <w:szCs w:val="28"/>
        </w:rPr>
      </w:pPr>
      <w:r>
        <w:rPr>
          <w:rFonts w:hint="eastAsia"/>
          <w:sz w:val="28"/>
          <w:szCs w:val="28"/>
        </w:rPr>
        <w:t>空气中允许极限：中国</w:t>
      </w:r>
      <w:r>
        <w:rPr>
          <w:sz w:val="28"/>
          <w:szCs w:val="28"/>
        </w:rPr>
        <w:t>MAC</w:t>
      </w:r>
      <w:r>
        <w:rPr>
          <w:rFonts w:hint="eastAsia"/>
          <w:sz w:val="28"/>
          <w:szCs w:val="28"/>
        </w:rPr>
        <w:t>：</w:t>
      </w:r>
      <w:r>
        <w:rPr>
          <w:sz w:val="28"/>
          <w:szCs w:val="28"/>
        </w:rPr>
        <w:t>15mg/m3</w:t>
      </w:r>
    </w:p>
    <w:p>
      <w:pPr>
        <w:adjustRightInd w:val="0"/>
        <w:snapToGrid w:val="0"/>
        <w:spacing w:line="360" w:lineRule="auto"/>
        <w:ind w:firstLine="560" w:firstLineChars="200"/>
        <w:rPr>
          <w:sz w:val="28"/>
          <w:szCs w:val="28"/>
        </w:rPr>
      </w:pPr>
      <w:r>
        <w:rPr>
          <w:rFonts w:hint="eastAsia"/>
          <w:sz w:val="28"/>
          <w:szCs w:val="28"/>
        </w:rPr>
        <w:t>健康危害：短期暴露：吸入刺激鼻、咽喉，出现流涕、呼吸困难、气阻、咳嗽、肺水肿、喘鸣、胸闷、肺炎，直至死亡；刺激皮肤，尤其湿润皮肤；接触液体可致冻伤和化学烧伤、紫绀；还可刺激眼，造成冻伤、失明；食入会引起口腔冻伤、化学烧伤、恶心、呕吐、腹疼；长期暴露，刺激咽喉和肺，出现鼻出血，对哮喘、肺功能不正常、心血管病人更危险。</w:t>
      </w:r>
    </w:p>
    <w:p>
      <w:pPr>
        <w:adjustRightInd w:val="0"/>
        <w:snapToGrid w:val="0"/>
        <w:spacing w:line="360" w:lineRule="auto"/>
        <w:ind w:firstLine="560" w:firstLineChars="200"/>
        <w:rPr>
          <w:sz w:val="28"/>
          <w:szCs w:val="28"/>
        </w:rPr>
      </w:pPr>
      <w:r>
        <w:rPr>
          <w:rFonts w:hint="eastAsia"/>
          <w:sz w:val="28"/>
          <w:szCs w:val="28"/>
        </w:rPr>
        <w:t>急救措施：眼接触：立即清洗。皮肤接触：立即用大量水清洗。吸入：将患者移至新鲜空气处，施行人工呼吸。</w:t>
      </w:r>
    </w:p>
    <w:p>
      <w:pPr>
        <w:adjustRightInd w:val="0"/>
        <w:snapToGrid w:val="0"/>
        <w:spacing w:line="360" w:lineRule="auto"/>
        <w:ind w:firstLine="560" w:firstLineChars="200"/>
        <w:rPr>
          <w:rFonts w:hint="eastAsia"/>
          <w:sz w:val="28"/>
          <w:szCs w:val="28"/>
        </w:rPr>
      </w:pPr>
      <w:r>
        <w:rPr>
          <w:rFonts w:hint="eastAsia"/>
          <w:sz w:val="28"/>
          <w:szCs w:val="28"/>
        </w:rPr>
        <w:t xml:space="preserve">防护措施：戴护目镜，穿防护服；选用适当呼吸器；提供应急眼药水；定期检查皮肤、眼睛及呼吸系统 </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40" w:name="_Toc515659433"/>
      <w:bookmarkStart w:id="141" w:name="_Toc23850"/>
      <w:r>
        <w:rPr>
          <w:rFonts w:hint="eastAsia" w:ascii="宋体" w:hAnsi="宋体"/>
          <w:b/>
          <w:snapToGrid w:val="0"/>
          <w:kern w:val="0"/>
          <w:sz w:val="28"/>
          <w:szCs w:val="28"/>
          <w:lang w:val="en-US" w:eastAsia="zh-CN"/>
        </w:rPr>
        <w:t>3.4.6 柴油安全数据表</w:t>
      </w:r>
      <w:bookmarkEnd w:id="140"/>
      <w:bookmarkEnd w:id="141"/>
    </w:p>
    <w:p>
      <w:pPr>
        <w:jc w:val="center"/>
        <w:rPr>
          <w:rFonts w:ascii="黑体" w:hAnsi="黑体" w:eastAsia="黑体"/>
          <w:b/>
          <w:sz w:val="24"/>
        </w:rPr>
      </w:pPr>
      <w:r>
        <w:rPr>
          <w:rFonts w:ascii="黑体" w:hAnsi="黑体" w:eastAsia="黑体"/>
          <w:b/>
          <w:sz w:val="24"/>
        </w:rPr>
        <w:t>表3-</w:t>
      </w:r>
      <w:r>
        <w:rPr>
          <w:rFonts w:hint="eastAsia" w:ascii="黑体" w:hAnsi="黑体" w:eastAsia="黑体"/>
          <w:b/>
          <w:sz w:val="24"/>
        </w:rPr>
        <w:t>1 柴油物料安全数据表</w:t>
      </w:r>
    </w:p>
    <w:tbl>
      <w:tblPr>
        <w:tblStyle w:val="19"/>
        <w:tblW w:w="8522"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95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标</w:t>
            </w:r>
          </w:p>
          <w:p>
            <w:pPr>
              <w:adjustRightInd w:val="0"/>
              <w:snapToGrid w:val="0"/>
              <w:jc w:val="left"/>
              <w:rPr>
                <w:rFonts w:ascii="宋体" w:hAnsi="宋体"/>
                <w:szCs w:val="21"/>
              </w:rPr>
            </w:pPr>
            <w:r>
              <w:rPr>
                <w:rFonts w:ascii="宋体" w:hAnsi="宋体"/>
                <w:b/>
                <w:bCs/>
                <w:szCs w:val="21"/>
              </w:rPr>
              <w:t>识</w:t>
            </w:r>
          </w:p>
        </w:tc>
        <w:tc>
          <w:tcPr>
            <w:tcW w:w="7954" w:type="dxa"/>
            <w:noWrap w:val="0"/>
            <w:vAlign w:val="center"/>
          </w:tcPr>
          <w:p>
            <w:pPr>
              <w:adjustRightInd w:val="0"/>
              <w:snapToGrid w:val="0"/>
              <w:jc w:val="left"/>
              <w:rPr>
                <w:rFonts w:ascii="宋体" w:hAnsi="宋体"/>
                <w:szCs w:val="21"/>
              </w:rPr>
            </w:pPr>
            <w:r>
              <w:rPr>
                <w:rFonts w:ascii="宋体" w:hAnsi="宋体"/>
                <w:b/>
                <w:bCs/>
                <w:szCs w:val="21"/>
              </w:rPr>
              <w:t>中文名：</w:t>
            </w:r>
            <w:r>
              <w:rPr>
                <w:rFonts w:ascii="宋体" w:hAnsi="宋体"/>
                <w:szCs w:val="21"/>
              </w:rPr>
              <w:t xml:space="preserve">柴油              </w:t>
            </w:r>
            <w:r>
              <w:rPr>
                <w:rFonts w:ascii="宋体" w:hAnsi="宋体"/>
                <w:b/>
                <w:bCs/>
                <w:szCs w:val="21"/>
              </w:rPr>
              <w:t>英文名：</w:t>
            </w:r>
            <w:r>
              <w:rPr>
                <w:rFonts w:ascii="宋体" w:hAnsi="宋体"/>
                <w:szCs w:val="21"/>
              </w:rPr>
              <w:t>Diesel oil</w:t>
            </w:r>
          </w:p>
          <w:p>
            <w:pPr>
              <w:adjustRightInd w:val="0"/>
              <w:snapToGrid w:val="0"/>
              <w:jc w:val="left"/>
              <w:rPr>
                <w:rFonts w:hint="eastAsia" w:ascii="宋体" w:hAnsi="宋体"/>
                <w:szCs w:val="21"/>
              </w:rPr>
            </w:pPr>
            <w:r>
              <w:rPr>
                <w:rFonts w:ascii="宋体" w:hAnsi="宋体"/>
                <w:b/>
                <w:bCs/>
                <w:szCs w:val="21"/>
              </w:rPr>
              <w:t>CAS号：</w:t>
            </w:r>
            <w:r>
              <w:rPr>
                <w:rFonts w:hint="eastAsia" w:ascii="宋体" w:hAnsi="宋体"/>
                <w:szCs w:val="21"/>
              </w:rPr>
              <w:t>68334-30-5</w:t>
            </w:r>
            <w:r>
              <w:rPr>
                <w:rFonts w:ascii="宋体" w:hAnsi="宋体"/>
                <w:szCs w:val="21"/>
              </w:rPr>
              <w:t xml:space="preserve">            </w:t>
            </w:r>
            <w:r>
              <w:rPr>
                <w:rFonts w:ascii="宋体" w:hAnsi="宋体"/>
                <w:b/>
                <w:bCs/>
                <w:szCs w:val="21"/>
              </w:rPr>
              <w:t>UN号：</w:t>
            </w:r>
            <w:r>
              <w:rPr>
                <w:rFonts w:hint="eastAsia" w:ascii="宋体" w:hAnsi="宋体"/>
                <w:szCs w:val="21"/>
              </w:rPr>
              <w:t>1202        危规编号：1674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理</w:t>
            </w:r>
          </w:p>
          <w:p>
            <w:pPr>
              <w:adjustRightInd w:val="0"/>
              <w:snapToGrid w:val="0"/>
              <w:jc w:val="left"/>
              <w:rPr>
                <w:rFonts w:ascii="宋体" w:hAnsi="宋体"/>
                <w:b/>
                <w:bCs/>
                <w:szCs w:val="21"/>
              </w:rPr>
            </w:pPr>
            <w:r>
              <w:rPr>
                <w:rFonts w:ascii="宋体" w:hAnsi="宋体"/>
                <w:b/>
                <w:bCs/>
                <w:szCs w:val="21"/>
              </w:rPr>
              <w:t>化</w:t>
            </w:r>
          </w:p>
          <w:p>
            <w:pPr>
              <w:adjustRightInd w:val="0"/>
              <w:snapToGrid w:val="0"/>
              <w:jc w:val="left"/>
              <w:rPr>
                <w:rFonts w:ascii="宋体" w:hAnsi="宋体"/>
                <w:b/>
                <w:bCs/>
                <w:szCs w:val="21"/>
              </w:rPr>
            </w:pPr>
            <w:r>
              <w:rPr>
                <w:rFonts w:ascii="宋体" w:hAnsi="宋体"/>
                <w:b/>
                <w:bCs/>
                <w:szCs w:val="21"/>
              </w:rPr>
              <w:t>性</w:t>
            </w:r>
          </w:p>
          <w:p>
            <w:pPr>
              <w:adjustRightInd w:val="0"/>
              <w:snapToGrid w:val="0"/>
              <w:jc w:val="left"/>
              <w:rPr>
                <w:rFonts w:ascii="宋体" w:hAnsi="宋体"/>
                <w:szCs w:val="21"/>
              </w:rPr>
            </w:pPr>
            <w:r>
              <w:rPr>
                <w:rFonts w:ascii="宋体" w:hAnsi="宋体"/>
                <w:b/>
                <w:bCs/>
                <w:szCs w:val="21"/>
              </w:rPr>
              <w:t>质</w:t>
            </w:r>
          </w:p>
        </w:tc>
        <w:tc>
          <w:tcPr>
            <w:tcW w:w="7954" w:type="dxa"/>
            <w:noWrap w:val="0"/>
            <w:vAlign w:val="center"/>
          </w:tcPr>
          <w:p>
            <w:pPr>
              <w:adjustRightInd w:val="0"/>
              <w:snapToGrid w:val="0"/>
              <w:jc w:val="left"/>
              <w:rPr>
                <w:rFonts w:ascii="宋体" w:hAnsi="宋体"/>
                <w:szCs w:val="21"/>
              </w:rPr>
            </w:pPr>
            <w:r>
              <w:rPr>
                <w:rFonts w:ascii="宋体" w:hAnsi="宋体"/>
                <w:b/>
                <w:bCs/>
                <w:szCs w:val="21"/>
              </w:rPr>
              <w:t>外观与性状：</w:t>
            </w:r>
            <w:r>
              <w:rPr>
                <w:rFonts w:ascii="宋体" w:hAnsi="宋体"/>
                <w:szCs w:val="21"/>
              </w:rPr>
              <w:t>稍有粘性的浅黄至棕色液体。</w:t>
            </w:r>
          </w:p>
          <w:p>
            <w:pPr>
              <w:adjustRightInd w:val="0"/>
              <w:snapToGrid w:val="0"/>
              <w:jc w:val="left"/>
              <w:rPr>
                <w:rFonts w:ascii="宋体" w:hAnsi="宋体"/>
                <w:szCs w:val="21"/>
              </w:rPr>
            </w:pPr>
            <w:r>
              <w:rPr>
                <w:rFonts w:ascii="宋体" w:hAnsi="宋体"/>
                <w:b/>
                <w:bCs/>
                <w:szCs w:val="21"/>
              </w:rPr>
              <w:t>熔点(℃)：</w:t>
            </w:r>
            <w:r>
              <w:rPr>
                <w:rFonts w:ascii="宋体" w:hAnsi="宋体"/>
                <w:szCs w:val="21"/>
              </w:rPr>
              <w:t xml:space="preserve">-35～20          </w:t>
            </w:r>
            <w:r>
              <w:rPr>
                <w:rFonts w:ascii="宋体" w:hAnsi="宋体"/>
                <w:b/>
                <w:bCs/>
                <w:szCs w:val="21"/>
              </w:rPr>
              <w:t>相对密度（水=1.0）：</w:t>
            </w:r>
            <w:r>
              <w:rPr>
                <w:rFonts w:ascii="宋体" w:hAnsi="宋体"/>
                <w:szCs w:val="21"/>
              </w:rPr>
              <w:t>0.87～0.9</w:t>
            </w:r>
          </w:p>
          <w:p>
            <w:pPr>
              <w:adjustRightInd w:val="0"/>
              <w:snapToGrid w:val="0"/>
              <w:jc w:val="left"/>
              <w:rPr>
                <w:rFonts w:ascii="宋体" w:hAnsi="宋体"/>
                <w:szCs w:val="21"/>
              </w:rPr>
            </w:pPr>
            <w:r>
              <w:rPr>
                <w:rFonts w:ascii="宋体" w:hAnsi="宋体"/>
                <w:b/>
                <w:bCs/>
                <w:szCs w:val="21"/>
              </w:rPr>
              <w:t>沸程(℃)：</w:t>
            </w:r>
            <w:r>
              <w:rPr>
                <w:rFonts w:ascii="宋体" w:hAnsi="宋体"/>
                <w:szCs w:val="21"/>
              </w:rPr>
              <w:t xml:space="preserve">282～338         </w:t>
            </w:r>
            <w:r>
              <w:rPr>
                <w:rFonts w:ascii="宋体" w:hAnsi="宋体"/>
                <w:b/>
                <w:bCs/>
                <w:szCs w:val="21"/>
              </w:rPr>
              <w:t>相对密度(空气=1):</w:t>
            </w:r>
            <w:r>
              <w:rPr>
                <w:rFonts w:ascii="宋体" w:hAnsi="宋体"/>
                <w:szCs w:val="21"/>
              </w:rPr>
              <w:t xml:space="preserve"> 无资料</w:t>
            </w:r>
          </w:p>
          <w:p>
            <w:pPr>
              <w:adjustRightInd w:val="0"/>
              <w:snapToGrid w:val="0"/>
              <w:jc w:val="left"/>
              <w:rPr>
                <w:rFonts w:ascii="宋体" w:hAnsi="宋体"/>
                <w:szCs w:val="21"/>
              </w:rPr>
            </w:pPr>
            <w:r>
              <w:rPr>
                <w:rFonts w:ascii="宋体" w:hAnsi="宋体"/>
                <w:b/>
                <w:bCs/>
                <w:szCs w:val="21"/>
              </w:rPr>
              <w:t xml:space="preserve">闪点(℃): </w:t>
            </w:r>
            <w:r>
              <w:rPr>
                <w:rFonts w:ascii="宋体" w:hAnsi="宋体"/>
                <w:bCs/>
                <w:szCs w:val="21"/>
              </w:rPr>
              <w:t>&gt;55</w:t>
            </w:r>
            <w:r>
              <w:rPr>
                <w:rFonts w:ascii="宋体" w:hAnsi="宋体"/>
                <w:szCs w:val="21"/>
              </w:rPr>
              <w:t xml:space="preserve">              </w:t>
            </w:r>
            <w:r>
              <w:rPr>
                <w:rFonts w:ascii="宋体" w:hAnsi="宋体"/>
                <w:b/>
                <w:bCs/>
                <w:szCs w:val="21"/>
              </w:rPr>
              <w:t>引燃温度(℃)：</w:t>
            </w:r>
            <w:r>
              <w:rPr>
                <w:rFonts w:ascii="宋体" w:hAnsi="宋体"/>
                <w:szCs w:val="21"/>
              </w:rPr>
              <w:t>257</w:t>
            </w:r>
          </w:p>
          <w:p>
            <w:pPr>
              <w:adjustRightInd w:val="0"/>
              <w:snapToGrid w:val="0"/>
              <w:jc w:val="left"/>
              <w:rPr>
                <w:rFonts w:ascii="宋体" w:hAnsi="宋体"/>
                <w:szCs w:val="21"/>
              </w:rPr>
            </w:pPr>
            <w:r>
              <w:rPr>
                <w:rFonts w:ascii="宋体" w:hAnsi="宋体"/>
                <w:b/>
                <w:bCs/>
                <w:szCs w:val="21"/>
              </w:rPr>
              <w:t>爆炸下限[%(V/V)]:</w:t>
            </w:r>
            <w:r>
              <w:rPr>
                <w:rFonts w:ascii="宋体" w:hAnsi="宋体"/>
                <w:szCs w:val="21"/>
              </w:rPr>
              <w:t xml:space="preserve"> </w:t>
            </w:r>
            <w:r>
              <w:rPr>
                <w:rFonts w:hint="eastAsia" w:ascii="宋体" w:hAnsi="宋体"/>
                <w:szCs w:val="21"/>
              </w:rPr>
              <w:t>0.5</w:t>
            </w:r>
            <w:r>
              <w:rPr>
                <w:rFonts w:ascii="宋体" w:hAnsi="宋体"/>
                <w:szCs w:val="21"/>
              </w:rPr>
              <w:t xml:space="preserve">   </w:t>
            </w:r>
            <w:r>
              <w:rPr>
                <w:rFonts w:ascii="宋体" w:hAnsi="宋体"/>
                <w:b/>
                <w:bCs/>
                <w:szCs w:val="21"/>
              </w:rPr>
              <w:t>最小点火能(mJ):</w:t>
            </w:r>
            <w:r>
              <w:rPr>
                <w:rFonts w:ascii="宋体" w:hAnsi="宋体"/>
                <w:szCs w:val="21"/>
              </w:rPr>
              <w:t>无资料</w:t>
            </w:r>
          </w:p>
          <w:p>
            <w:pPr>
              <w:adjustRightInd w:val="0"/>
              <w:snapToGrid w:val="0"/>
              <w:jc w:val="left"/>
              <w:rPr>
                <w:rFonts w:ascii="宋体" w:hAnsi="宋体"/>
                <w:szCs w:val="21"/>
              </w:rPr>
            </w:pPr>
            <w:r>
              <w:rPr>
                <w:rFonts w:ascii="宋体" w:hAnsi="宋体"/>
                <w:b/>
                <w:bCs/>
                <w:szCs w:val="21"/>
              </w:rPr>
              <w:t>爆炸上限[%(V/V)]:</w:t>
            </w:r>
            <w:r>
              <w:rPr>
                <w:rFonts w:ascii="宋体" w:hAnsi="宋体"/>
                <w:szCs w:val="21"/>
              </w:rPr>
              <w:t xml:space="preserve"> </w:t>
            </w:r>
            <w:r>
              <w:rPr>
                <w:rFonts w:hint="eastAsia" w:ascii="宋体" w:hAnsi="宋体"/>
                <w:szCs w:val="21"/>
              </w:rPr>
              <w:t>4.5</w:t>
            </w:r>
            <w:r>
              <w:rPr>
                <w:rFonts w:ascii="宋体" w:hAnsi="宋体"/>
                <w:szCs w:val="21"/>
              </w:rPr>
              <w:t xml:space="preserve">   </w:t>
            </w:r>
            <w:r>
              <w:rPr>
                <w:rFonts w:ascii="宋体" w:hAnsi="宋体"/>
                <w:b/>
                <w:bCs/>
                <w:szCs w:val="21"/>
              </w:rPr>
              <w:t>最大爆炸压力(MPa):</w:t>
            </w:r>
            <w:r>
              <w:rPr>
                <w:rFonts w:ascii="宋体" w:hAnsi="宋体"/>
                <w:szCs w:val="21"/>
              </w:rPr>
              <w:t xml:space="preserve"> 无资料</w:t>
            </w:r>
          </w:p>
          <w:p>
            <w:pPr>
              <w:adjustRightInd w:val="0"/>
              <w:snapToGrid w:val="0"/>
              <w:jc w:val="left"/>
              <w:rPr>
                <w:rFonts w:ascii="宋体" w:hAnsi="宋体"/>
                <w:szCs w:val="21"/>
              </w:rPr>
            </w:pPr>
            <w:r>
              <w:rPr>
                <w:rFonts w:ascii="宋体" w:hAnsi="宋体"/>
                <w:b/>
                <w:bCs/>
                <w:szCs w:val="21"/>
              </w:rPr>
              <w:t>溶 解 性：</w:t>
            </w:r>
            <w:r>
              <w:rPr>
                <w:rFonts w:ascii="宋体" w:hAnsi="宋体"/>
                <w:szCs w:val="21"/>
              </w:rPr>
              <w:t>不溶于水,易溶于苯、二硫化碳、醇、脂肪。</w:t>
            </w:r>
          </w:p>
          <w:p>
            <w:pPr>
              <w:adjustRightInd w:val="0"/>
              <w:snapToGrid w:val="0"/>
              <w:jc w:val="left"/>
              <w:rPr>
                <w:rFonts w:ascii="宋体" w:hAnsi="宋体"/>
                <w:szCs w:val="21"/>
              </w:rPr>
            </w:pPr>
            <w:r>
              <w:rPr>
                <w:rFonts w:ascii="宋体" w:hAnsi="宋体"/>
                <w:b/>
                <w:bCs/>
                <w:szCs w:val="21"/>
              </w:rPr>
              <w:t>主要用途：</w:t>
            </w:r>
            <w:r>
              <w:rPr>
                <w:rFonts w:ascii="宋体" w:hAnsi="宋体"/>
                <w:szCs w:val="21"/>
              </w:rPr>
              <w:t xml:space="preserve">主要用作柴油机的燃料。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燃</w:t>
            </w:r>
          </w:p>
          <w:p>
            <w:pPr>
              <w:adjustRightInd w:val="0"/>
              <w:snapToGrid w:val="0"/>
              <w:jc w:val="left"/>
              <w:rPr>
                <w:rFonts w:ascii="宋体" w:hAnsi="宋体"/>
                <w:szCs w:val="21"/>
              </w:rPr>
            </w:pPr>
            <w:r>
              <w:rPr>
                <w:rFonts w:ascii="宋体" w:hAnsi="宋体"/>
                <w:b/>
                <w:bCs/>
                <w:szCs w:val="21"/>
              </w:rPr>
              <w:t>烧</w:t>
            </w:r>
          </w:p>
          <w:p>
            <w:pPr>
              <w:adjustRightInd w:val="0"/>
              <w:snapToGrid w:val="0"/>
              <w:jc w:val="left"/>
              <w:rPr>
                <w:rFonts w:ascii="宋体" w:hAnsi="宋体"/>
                <w:b/>
                <w:bCs/>
                <w:szCs w:val="21"/>
              </w:rPr>
            </w:pPr>
            <w:r>
              <w:rPr>
                <w:rFonts w:ascii="宋体" w:hAnsi="宋体"/>
                <w:b/>
                <w:bCs/>
                <w:szCs w:val="21"/>
              </w:rPr>
              <w:t>爆</w:t>
            </w:r>
          </w:p>
          <w:p>
            <w:pPr>
              <w:adjustRightInd w:val="0"/>
              <w:snapToGrid w:val="0"/>
              <w:jc w:val="left"/>
              <w:rPr>
                <w:rFonts w:ascii="宋体" w:hAnsi="宋体"/>
                <w:b/>
                <w:bCs/>
                <w:szCs w:val="21"/>
              </w:rPr>
            </w:pPr>
            <w:r>
              <w:rPr>
                <w:rFonts w:ascii="宋体" w:hAnsi="宋体"/>
                <w:b/>
                <w:bCs/>
                <w:szCs w:val="21"/>
              </w:rPr>
              <w:t>炸</w:t>
            </w:r>
          </w:p>
          <w:p>
            <w:pPr>
              <w:adjustRightInd w:val="0"/>
              <w:snapToGrid w:val="0"/>
              <w:jc w:val="left"/>
              <w:rPr>
                <w:rFonts w:ascii="宋体" w:hAnsi="宋体"/>
                <w:b/>
                <w:bCs/>
                <w:szCs w:val="21"/>
              </w:rPr>
            </w:pPr>
            <w:r>
              <w:rPr>
                <w:rFonts w:ascii="宋体" w:hAnsi="宋体"/>
                <w:b/>
                <w:bCs/>
                <w:szCs w:val="21"/>
              </w:rPr>
              <w:t>危</w:t>
            </w:r>
          </w:p>
          <w:p>
            <w:pPr>
              <w:adjustRightInd w:val="0"/>
              <w:snapToGrid w:val="0"/>
              <w:jc w:val="left"/>
              <w:rPr>
                <w:rFonts w:ascii="宋体" w:hAnsi="宋体"/>
                <w:b/>
                <w:bCs/>
                <w:szCs w:val="21"/>
              </w:rPr>
            </w:pPr>
            <w:r>
              <w:rPr>
                <w:rFonts w:ascii="宋体" w:hAnsi="宋体"/>
                <w:b/>
                <w:bCs/>
                <w:szCs w:val="21"/>
              </w:rPr>
              <w:t>险</w:t>
            </w:r>
          </w:p>
          <w:p>
            <w:pPr>
              <w:adjustRightInd w:val="0"/>
              <w:snapToGrid w:val="0"/>
              <w:jc w:val="left"/>
              <w:rPr>
                <w:rFonts w:ascii="宋体" w:hAnsi="宋体"/>
                <w:szCs w:val="21"/>
              </w:rPr>
            </w:pPr>
            <w:r>
              <w:rPr>
                <w:rFonts w:ascii="宋体" w:hAnsi="宋体"/>
                <w:b/>
                <w:bCs/>
                <w:szCs w:val="21"/>
              </w:rPr>
              <w:t>性</w:t>
            </w:r>
          </w:p>
        </w:tc>
        <w:tc>
          <w:tcPr>
            <w:tcW w:w="7954" w:type="dxa"/>
            <w:noWrap w:val="0"/>
            <w:vAlign w:val="center"/>
          </w:tcPr>
          <w:p>
            <w:pPr>
              <w:adjustRightInd w:val="0"/>
              <w:snapToGrid w:val="0"/>
              <w:jc w:val="left"/>
              <w:rPr>
                <w:rFonts w:ascii="宋体" w:hAnsi="宋体"/>
                <w:szCs w:val="21"/>
              </w:rPr>
            </w:pPr>
            <w:r>
              <w:rPr>
                <w:rFonts w:ascii="宋体" w:hAnsi="宋体"/>
                <w:b/>
                <w:bCs/>
                <w:szCs w:val="21"/>
              </w:rPr>
              <w:t>燃 烧 性：</w:t>
            </w:r>
            <w:r>
              <w:rPr>
                <w:rFonts w:ascii="宋体" w:hAnsi="宋体"/>
                <w:szCs w:val="21"/>
              </w:rPr>
              <w:t>易燃。</w:t>
            </w:r>
          </w:p>
          <w:p>
            <w:pPr>
              <w:pStyle w:val="10"/>
              <w:ind w:left="420"/>
              <w:jc w:val="left"/>
              <w:rPr>
                <w:rFonts w:ascii="宋体" w:hAnsi="宋体"/>
                <w:szCs w:val="21"/>
              </w:rPr>
            </w:pPr>
            <w:r>
              <w:rPr>
                <w:rFonts w:ascii="宋体" w:hAnsi="宋体"/>
                <w:b/>
                <w:bCs/>
                <w:szCs w:val="21"/>
              </w:rPr>
              <w:t>危险特性：</w:t>
            </w:r>
            <w:r>
              <w:rPr>
                <w:rFonts w:ascii="宋体" w:hAnsi="宋体"/>
                <w:szCs w:val="21"/>
              </w:rPr>
              <w:t>遇明火、高热或与氧化剂接触,有引起燃烧爆炸的危险。若遇高热，容器内压力增大，有开裂和爆炸的危险。</w:t>
            </w:r>
          </w:p>
          <w:p>
            <w:pPr>
              <w:pStyle w:val="10"/>
              <w:ind w:left="420"/>
              <w:jc w:val="left"/>
              <w:rPr>
                <w:rFonts w:ascii="宋体" w:hAnsi="宋体"/>
                <w:szCs w:val="21"/>
              </w:rPr>
            </w:pPr>
            <w:r>
              <w:rPr>
                <w:rFonts w:ascii="宋体" w:hAnsi="宋体"/>
                <w:b/>
                <w:bCs/>
                <w:szCs w:val="21"/>
              </w:rPr>
              <w:t>有害燃烧产物：</w:t>
            </w:r>
            <w:r>
              <w:rPr>
                <w:rFonts w:ascii="宋体" w:hAnsi="宋体"/>
                <w:szCs w:val="21"/>
              </w:rPr>
              <w:t>一氧化碳、二氧化碳。</w:t>
            </w:r>
          </w:p>
          <w:p>
            <w:pPr>
              <w:adjustRightInd w:val="0"/>
              <w:snapToGrid w:val="0"/>
              <w:jc w:val="left"/>
              <w:rPr>
                <w:rFonts w:ascii="宋体" w:hAnsi="宋体"/>
                <w:szCs w:val="21"/>
              </w:rPr>
            </w:pPr>
            <w:r>
              <w:rPr>
                <w:rFonts w:ascii="宋体" w:hAnsi="宋体"/>
                <w:b/>
                <w:bCs/>
                <w:szCs w:val="21"/>
              </w:rPr>
              <w:t>稳 定 性：</w:t>
            </w:r>
            <w:r>
              <w:rPr>
                <w:rFonts w:ascii="宋体" w:hAnsi="宋体"/>
                <w:szCs w:val="21"/>
              </w:rPr>
              <w:t xml:space="preserve">稳定。           </w:t>
            </w:r>
            <w:r>
              <w:rPr>
                <w:rFonts w:ascii="宋体" w:hAnsi="宋体"/>
                <w:b/>
                <w:bCs/>
                <w:szCs w:val="21"/>
              </w:rPr>
              <w:t>聚合危害：</w:t>
            </w:r>
            <w:r>
              <w:rPr>
                <w:rFonts w:ascii="宋体" w:hAnsi="宋体"/>
                <w:szCs w:val="21"/>
              </w:rPr>
              <w:t>不聚合。</w:t>
            </w:r>
          </w:p>
          <w:p>
            <w:pPr>
              <w:adjustRightInd w:val="0"/>
              <w:snapToGrid w:val="0"/>
              <w:jc w:val="left"/>
              <w:rPr>
                <w:rFonts w:ascii="宋体" w:hAnsi="宋体"/>
                <w:szCs w:val="21"/>
              </w:rPr>
            </w:pPr>
            <w:r>
              <w:rPr>
                <w:rFonts w:ascii="宋体" w:hAnsi="宋体"/>
                <w:b/>
                <w:bCs/>
                <w:szCs w:val="21"/>
              </w:rPr>
              <w:t>禁 配 物：</w:t>
            </w:r>
            <w:r>
              <w:rPr>
                <w:rFonts w:ascii="宋体" w:hAnsi="宋体"/>
                <w:szCs w:val="21"/>
              </w:rPr>
              <w:t>强氧化剂、卤素。</w:t>
            </w:r>
          </w:p>
          <w:p>
            <w:pPr>
              <w:adjustRightInd w:val="0"/>
              <w:snapToGrid w:val="0"/>
              <w:jc w:val="left"/>
              <w:rPr>
                <w:rFonts w:ascii="宋体" w:hAnsi="宋体"/>
                <w:szCs w:val="21"/>
              </w:rPr>
            </w:pPr>
            <w:r>
              <w:rPr>
                <w:rFonts w:ascii="宋体" w:hAnsi="宋体"/>
                <w:b/>
                <w:bCs/>
                <w:szCs w:val="21"/>
              </w:rPr>
              <w:t>灭火方法：</w:t>
            </w:r>
            <w:r>
              <w:rPr>
                <w:rFonts w:ascii="宋体" w:hAnsi="宋体"/>
                <w:szCs w:val="21"/>
              </w:rPr>
              <w:t>消防人员须配戴防毒面具、穿全身消防服,在上风向灭火。尽可能将容器从火场移至空旷处，喷水保持容器冷却，直至灭火结束。处在火场中的容器若已变色或从安全泄压装置中产生声音，必须马上撤离。</w:t>
            </w:r>
          </w:p>
          <w:p>
            <w:pPr>
              <w:adjustRightInd w:val="0"/>
              <w:snapToGrid w:val="0"/>
              <w:jc w:val="left"/>
              <w:rPr>
                <w:rFonts w:ascii="宋体" w:hAnsi="宋体"/>
                <w:szCs w:val="21"/>
              </w:rPr>
            </w:pPr>
            <w:r>
              <w:rPr>
                <w:rFonts w:ascii="宋体" w:hAnsi="宋体"/>
                <w:b/>
                <w:bCs/>
                <w:szCs w:val="21"/>
              </w:rPr>
              <w:t>灭 火 剂：</w:t>
            </w:r>
            <w:r>
              <w:rPr>
                <w:rFonts w:ascii="宋体" w:hAnsi="宋体"/>
                <w:szCs w:val="21"/>
              </w:rPr>
              <w:t>泡沫、干粉、二氧化碳、砂土。用水灭火无效。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568" w:type="dxa"/>
            <w:noWrap w:val="0"/>
            <w:vAlign w:val="center"/>
          </w:tcPr>
          <w:p>
            <w:pPr>
              <w:adjustRightInd w:val="0"/>
              <w:snapToGrid w:val="0"/>
              <w:rPr>
                <w:rFonts w:ascii="宋体" w:hAnsi="宋体"/>
                <w:b/>
                <w:bCs/>
                <w:szCs w:val="21"/>
              </w:rPr>
            </w:pPr>
            <w:r>
              <w:rPr>
                <w:rFonts w:ascii="宋体" w:hAnsi="宋体"/>
                <w:b/>
                <w:bCs/>
                <w:szCs w:val="21"/>
              </w:rPr>
              <w:t>包</w:t>
            </w:r>
          </w:p>
          <w:p>
            <w:pPr>
              <w:adjustRightInd w:val="0"/>
              <w:snapToGrid w:val="0"/>
              <w:rPr>
                <w:rFonts w:ascii="宋体" w:hAnsi="宋体"/>
                <w:b/>
                <w:bCs/>
                <w:szCs w:val="21"/>
              </w:rPr>
            </w:pPr>
            <w:r>
              <w:rPr>
                <w:rFonts w:ascii="宋体" w:hAnsi="宋体"/>
                <w:b/>
                <w:bCs/>
                <w:szCs w:val="21"/>
              </w:rPr>
              <w:t>装</w:t>
            </w:r>
          </w:p>
          <w:p>
            <w:pPr>
              <w:adjustRightInd w:val="0"/>
              <w:snapToGrid w:val="0"/>
              <w:rPr>
                <w:rFonts w:ascii="宋体" w:hAnsi="宋体"/>
                <w:b/>
                <w:bCs/>
                <w:szCs w:val="21"/>
              </w:rPr>
            </w:pPr>
            <w:r>
              <w:rPr>
                <w:rFonts w:ascii="宋体" w:hAnsi="宋体"/>
                <w:b/>
                <w:bCs/>
                <w:szCs w:val="21"/>
              </w:rPr>
              <w:t>与</w:t>
            </w:r>
          </w:p>
          <w:p>
            <w:pPr>
              <w:adjustRightInd w:val="0"/>
              <w:snapToGrid w:val="0"/>
              <w:rPr>
                <w:rFonts w:ascii="宋体" w:hAnsi="宋体"/>
                <w:b/>
                <w:bCs/>
                <w:szCs w:val="21"/>
              </w:rPr>
            </w:pPr>
            <w:r>
              <w:rPr>
                <w:rFonts w:ascii="宋体" w:hAnsi="宋体"/>
                <w:b/>
                <w:bCs/>
                <w:szCs w:val="21"/>
              </w:rPr>
              <w:t>储</w:t>
            </w:r>
          </w:p>
          <w:p>
            <w:pPr>
              <w:adjustRightInd w:val="0"/>
              <w:snapToGrid w:val="0"/>
              <w:jc w:val="left"/>
              <w:rPr>
                <w:rFonts w:ascii="宋体" w:hAnsi="宋体"/>
                <w:b/>
                <w:bCs/>
                <w:szCs w:val="21"/>
              </w:rPr>
            </w:pPr>
            <w:r>
              <w:rPr>
                <w:rFonts w:ascii="宋体" w:hAnsi="宋体"/>
                <w:b/>
                <w:bCs/>
                <w:szCs w:val="21"/>
              </w:rPr>
              <w:t>运</w:t>
            </w:r>
          </w:p>
        </w:tc>
        <w:tc>
          <w:tcPr>
            <w:tcW w:w="7954" w:type="dxa"/>
            <w:noWrap w:val="0"/>
            <w:vAlign w:val="center"/>
          </w:tcPr>
          <w:p>
            <w:pPr>
              <w:adjustRightInd w:val="0"/>
              <w:snapToGrid w:val="0"/>
              <w:rPr>
                <w:rFonts w:ascii="宋体" w:hAnsi="宋体"/>
                <w:szCs w:val="21"/>
              </w:rPr>
            </w:pPr>
            <w:r>
              <w:rPr>
                <w:rFonts w:ascii="宋体" w:hAnsi="宋体"/>
                <w:b/>
                <w:bCs/>
                <w:szCs w:val="21"/>
              </w:rPr>
              <w:t>安全标志：</w:t>
            </w:r>
            <w:r>
              <w:rPr>
                <w:rFonts w:ascii="宋体" w:hAnsi="宋体"/>
                <w:szCs w:val="21"/>
              </w:rPr>
              <w:t xml:space="preserve">易燃液体        </w:t>
            </w:r>
            <w:r>
              <w:rPr>
                <w:rFonts w:ascii="宋体" w:hAnsi="宋体"/>
                <w:b/>
                <w:bCs/>
                <w:szCs w:val="21"/>
              </w:rPr>
              <w:t>包装类别：Ⅲ</w:t>
            </w:r>
            <w:r>
              <w:rPr>
                <w:rFonts w:ascii="宋体" w:hAnsi="宋体"/>
                <w:szCs w:val="21"/>
              </w:rPr>
              <w:t>类包装</w:t>
            </w:r>
          </w:p>
          <w:p>
            <w:pPr>
              <w:adjustRightInd w:val="0"/>
              <w:snapToGrid w:val="0"/>
              <w:rPr>
                <w:rFonts w:ascii="宋体" w:hAnsi="宋体"/>
                <w:szCs w:val="21"/>
              </w:rPr>
            </w:pPr>
            <w:r>
              <w:rPr>
                <w:rFonts w:ascii="宋体" w:hAnsi="宋体"/>
                <w:b/>
                <w:bCs/>
                <w:szCs w:val="21"/>
              </w:rPr>
              <w:t>储存注意事项：</w:t>
            </w:r>
            <w:r>
              <w:rPr>
                <w:rFonts w:ascii="宋体" w:hAnsi="宋体"/>
                <w:szCs w:val="21"/>
              </w:rPr>
              <w:t>储存于阴凉、通风的库房 。远离火种、热源。应与氧化剂、卤素分开存放,切忌混储。储存间内的照明、通风等设施应采用防爆型，开关设在库房外。禁止使用易产生火花的机械设备和工具。储备区应有泄漏应急处理设备和合适的收容材料</w:t>
            </w:r>
          </w:p>
          <w:p>
            <w:pPr>
              <w:adjustRightInd w:val="0"/>
              <w:snapToGrid w:val="0"/>
              <w:jc w:val="left"/>
              <w:rPr>
                <w:rFonts w:ascii="宋体" w:hAnsi="宋体"/>
                <w:b/>
                <w:bCs/>
                <w:szCs w:val="21"/>
              </w:rPr>
            </w:pPr>
            <w:r>
              <w:rPr>
                <w:rFonts w:ascii="宋体" w:hAnsi="宋体"/>
                <w:b/>
                <w:bCs/>
                <w:szCs w:val="21"/>
              </w:rPr>
              <w:t>运输注意事项：</w:t>
            </w:r>
            <w:r>
              <w:rPr>
                <w:rFonts w:ascii="宋体" w:hAnsi="宋体"/>
                <w:szCs w:val="21"/>
              </w:rPr>
              <w:t>运输前应先检查包装容器是否完整、密封，运输过程中要确保容器不泄漏、不倒塌、不坠落、不损坏。运输时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毒</w:t>
            </w:r>
          </w:p>
          <w:p>
            <w:pPr>
              <w:adjustRightInd w:val="0"/>
              <w:snapToGrid w:val="0"/>
              <w:jc w:val="center"/>
              <w:rPr>
                <w:rFonts w:ascii="宋体" w:hAnsi="宋体"/>
                <w:b/>
                <w:bCs/>
                <w:szCs w:val="21"/>
              </w:rPr>
            </w:pPr>
            <w:r>
              <w:rPr>
                <w:rFonts w:ascii="宋体" w:hAnsi="宋体"/>
                <w:b/>
                <w:bCs/>
                <w:szCs w:val="21"/>
              </w:rPr>
              <w:t>性</w:t>
            </w:r>
          </w:p>
          <w:p>
            <w:pPr>
              <w:adjustRightInd w:val="0"/>
              <w:snapToGrid w:val="0"/>
              <w:jc w:val="center"/>
              <w:rPr>
                <w:rFonts w:ascii="宋体" w:hAnsi="宋体"/>
                <w:b/>
                <w:bCs/>
                <w:szCs w:val="21"/>
              </w:rPr>
            </w:pPr>
            <w:r>
              <w:rPr>
                <w:rFonts w:ascii="宋体" w:hAnsi="宋体"/>
                <w:b/>
                <w:bCs/>
                <w:szCs w:val="21"/>
              </w:rPr>
              <w:t>及</w:t>
            </w:r>
          </w:p>
          <w:p>
            <w:pPr>
              <w:adjustRightInd w:val="0"/>
              <w:snapToGrid w:val="0"/>
              <w:jc w:val="center"/>
              <w:rPr>
                <w:rFonts w:ascii="宋体" w:hAnsi="宋体"/>
                <w:b/>
                <w:bCs/>
                <w:szCs w:val="21"/>
              </w:rPr>
            </w:pPr>
            <w:r>
              <w:rPr>
                <w:rFonts w:ascii="宋体" w:hAnsi="宋体"/>
                <w:b/>
                <w:bCs/>
                <w:szCs w:val="21"/>
              </w:rPr>
              <w:t>健</w:t>
            </w:r>
          </w:p>
          <w:p>
            <w:pPr>
              <w:adjustRightInd w:val="0"/>
              <w:snapToGrid w:val="0"/>
              <w:jc w:val="center"/>
              <w:rPr>
                <w:rFonts w:ascii="宋体" w:hAnsi="宋体"/>
                <w:b/>
                <w:bCs/>
                <w:szCs w:val="21"/>
              </w:rPr>
            </w:pPr>
            <w:r>
              <w:rPr>
                <w:rFonts w:ascii="宋体" w:hAnsi="宋体"/>
                <w:b/>
                <w:bCs/>
                <w:szCs w:val="21"/>
              </w:rPr>
              <w:t>康</w:t>
            </w:r>
          </w:p>
          <w:p>
            <w:pPr>
              <w:adjustRightInd w:val="0"/>
              <w:snapToGrid w:val="0"/>
              <w:jc w:val="center"/>
              <w:rPr>
                <w:rFonts w:ascii="宋体" w:hAnsi="宋体"/>
                <w:b/>
                <w:bCs/>
                <w:szCs w:val="21"/>
              </w:rPr>
            </w:pPr>
            <w:r>
              <w:rPr>
                <w:rFonts w:ascii="宋体" w:hAnsi="宋体"/>
                <w:b/>
                <w:bCs/>
                <w:szCs w:val="21"/>
              </w:rPr>
              <w:t>危</w:t>
            </w:r>
          </w:p>
          <w:p>
            <w:pPr>
              <w:adjustRightInd w:val="0"/>
              <w:snapToGrid w:val="0"/>
              <w:jc w:val="center"/>
              <w:rPr>
                <w:rFonts w:ascii="宋体" w:hAnsi="宋体"/>
                <w:b/>
                <w:bCs/>
                <w:szCs w:val="21"/>
              </w:rPr>
            </w:pPr>
            <w:r>
              <w:rPr>
                <w:rFonts w:ascii="宋体" w:hAnsi="宋体"/>
                <w:b/>
                <w:bCs/>
                <w:szCs w:val="21"/>
              </w:rPr>
              <w:t>害</w:t>
            </w:r>
          </w:p>
          <w:p>
            <w:pPr>
              <w:adjustRightInd w:val="0"/>
              <w:snapToGrid w:val="0"/>
              <w:jc w:val="center"/>
              <w:rPr>
                <w:rFonts w:ascii="宋体" w:hAnsi="宋体"/>
                <w:szCs w:val="21"/>
              </w:rPr>
            </w:pPr>
            <w:r>
              <w:rPr>
                <w:rFonts w:ascii="宋体" w:hAnsi="宋体"/>
                <w:b/>
                <w:bCs/>
                <w:szCs w:val="21"/>
              </w:rPr>
              <w:t>性</w:t>
            </w:r>
          </w:p>
        </w:tc>
        <w:tc>
          <w:tcPr>
            <w:tcW w:w="7954" w:type="dxa"/>
            <w:noWrap w:val="0"/>
            <w:vAlign w:val="center"/>
          </w:tcPr>
          <w:p>
            <w:pPr>
              <w:adjustRightInd w:val="0"/>
              <w:snapToGrid w:val="0"/>
              <w:rPr>
                <w:rFonts w:ascii="宋体" w:hAnsi="宋体"/>
                <w:szCs w:val="21"/>
              </w:rPr>
            </w:pPr>
            <w:r>
              <w:rPr>
                <w:rFonts w:ascii="宋体" w:hAnsi="宋体"/>
                <w:b/>
                <w:bCs/>
                <w:szCs w:val="21"/>
              </w:rPr>
              <w:t>接触限值：</w:t>
            </w:r>
            <w:r>
              <w:rPr>
                <w:rFonts w:ascii="宋体" w:hAnsi="宋体"/>
                <w:szCs w:val="21"/>
              </w:rPr>
              <w:t>中国MAC（mg/m</w:t>
            </w:r>
            <w:r>
              <w:rPr>
                <w:rFonts w:ascii="宋体" w:hAnsi="宋体"/>
                <w:szCs w:val="21"/>
                <w:vertAlign w:val="superscript"/>
              </w:rPr>
              <w:t>3</w:t>
            </w:r>
            <w:r>
              <w:rPr>
                <w:rFonts w:ascii="宋体" w:hAnsi="宋体"/>
                <w:szCs w:val="21"/>
              </w:rPr>
              <w:t>）：无资料。</w:t>
            </w:r>
          </w:p>
          <w:p>
            <w:pPr>
              <w:adjustRightInd w:val="0"/>
              <w:snapToGrid w:val="0"/>
              <w:rPr>
                <w:rFonts w:ascii="宋体" w:hAnsi="宋体"/>
                <w:szCs w:val="21"/>
              </w:rPr>
            </w:pPr>
            <w:r>
              <w:rPr>
                <w:rFonts w:ascii="宋体" w:hAnsi="宋体"/>
                <w:b/>
                <w:bCs/>
                <w:szCs w:val="21"/>
              </w:rPr>
              <w:t>侵入途径：</w:t>
            </w:r>
            <w:r>
              <w:rPr>
                <w:rFonts w:ascii="宋体" w:hAnsi="宋体"/>
                <w:szCs w:val="21"/>
              </w:rPr>
              <w:t>吸入、食入、经皮肤吸收。</w:t>
            </w:r>
          </w:p>
          <w:p>
            <w:pPr>
              <w:adjustRightInd w:val="0"/>
              <w:snapToGrid w:val="0"/>
              <w:rPr>
                <w:rFonts w:ascii="宋体" w:hAnsi="宋体"/>
                <w:szCs w:val="21"/>
              </w:rPr>
            </w:pPr>
            <w:r>
              <w:rPr>
                <w:rFonts w:ascii="宋体" w:hAnsi="宋体"/>
                <w:b/>
                <w:bCs/>
                <w:szCs w:val="21"/>
              </w:rPr>
              <w:t>急性毒性：</w:t>
            </w:r>
            <w:r>
              <w:rPr>
                <w:rFonts w:ascii="宋体" w:hAnsi="宋体"/>
                <w:szCs w:val="21"/>
              </w:rPr>
              <w:t>LD</w:t>
            </w:r>
            <w:r>
              <w:rPr>
                <w:rFonts w:ascii="宋体" w:hAnsi="宋体"/>
                <w:szCs w:val="21"/>
                <w:vertAlign w:val="subscript"/>
              </w:rPr>
              <w:t>50</w:t>
            </w:r>
            <w:r>
              <w:rPr>
                <w:rFonts w:ascii="宋体" w:hAnsi="宋体"/>
                <w:szCs w:val="21"/>
              </w:rPr>
              <w:t xml:space="preserve">：无资料 </w:t>
            </w:r>
          </w:p>
          <w:p>
            <w:pPr>
              <w:adjustRightInd w:val="0"/>
              <w:snapToGrid w:val="0"/>
              <w:rPr>
                <w:rFonts w:ascii="宋体" w:hAnsi="宋体"/>
                <w:szCs w:val="21"/>
              </w:rPr>
            </w:pPr>
            <w:r>
              <w:rPr>
                <w:rFonts w:ascii="宋体" w:hAnsi="宋体"/>
                <w:b/>
                <w:bCs/>
                <w:szCs w:val="21"/>
              </w:rPr>
              <w:t>健康危害：</w:t>
            </w:r>
            <w:r>
              <w:rPr>
                <w:rFonts w:ascii="宋体" w:hAnsi="宋体"/>
                <w:szCs w:val="21"/>
              </w:rPr>
              <w:t>皮肤接触可为主要吸收途径，可致急性肾脏损害。柴油可引起接触性皮炎、油性痤疮。吸入其雾滴或液体呛入可引起吸入性肺炎。能经胎盘进入胎儿血液中。柴油废气可引起眼、鼻刺激症状,头晕及头痛。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急</w:t>
            </w:r>
          </w:p>
          <w:p>
            <w:pPr>
              <w:adjustRightInd w:val="0"/>
              <w:snapToGrid w:val="0"/>
              <w:jc w:val="center"/>
              <w:rPr>
                <w:rFonts w:ascii="宋体" w:hAnsi="宋体"/>
                <w:b/>
                <w:bCs/>
                <w:szCs w:val="21"/>
              </w:rPr>
            </w:pPr>
            <w:r>
              <w:rPr>
                <w:rFonts w:ascii="宋体" w:hAnsi="宋体"/>
                <w:b/>
                <w:bCs/>
                <w:szCs w:val="21"/>
              </w:rPr>
              <w:t>救</w:t>
            </w:r>
          </w:p>
          <w:p>
            <w:pPr>
              <w:adjustRightInd w:val="0"/>
              <w:snapToGrid w:val="0"/>
              <w:jc w:val="center"/>
              <w:rPr>
                <w:rFonts w:ascii="宋体" w:hAnsi="宋体"/>
                <w:b/>
                <w:bCs/>
                <w:szCs w:val="21"/>
              </w:rPr>
            </w:pPr>
            <w:r>
              <w:rPr>
                <w:rFonts w:ascii="宋体" w:hAnsi="宋体"/>
                <w:b/>
                <w:bCs/>
                <w:szCs w:val="21"/>
              </w:rPr>
              <w:t>措</w:t>
            </w:r>
          </w:p>
          <w:p>
            <w:pPr>
              <w:adjustRightInd w:val="0"/>
              <w:snapToGrid w:val="0"/>
              <w:jc w:val="center"/>
              <w:rPr>
                <w:rFonts w:ascii="宋体" w:hAnsi="宋体"/>
                <w:szCs w:val="21"/>
              </w:rPr>
            </w:pPr>
            <w:r>
              <w:rPr>
                <w:rFonts w:ascii="宋体" w:hAnsi="宋体"/>
                <w:b/>
                <w:bCs/>
                <w:szCs w:val="21"/>
              </w:rPr>
              <w:t>施</w:t>
            </w:r>
          </w:p>
        </w:tc>
        <w:tc>
          <w:tcPr>
            <w:tcW w:w="7954" w:type="dxa"/>
            <w:noWrap w:val="0"/>
            <w:vAlign w:val="center"/>
          </w:tcPr>
          <w:p>
            <w:pPr>
              <w:adjustRightInd w:val="0"/>
              <w:snapToGrid w:val="0"/>
              <w:rPr>
                <w:rFonts w:ascii="宋体" w:hAnsi="宋体"/>
                <w:szCs w:val="21"/>
              </w:rPr>
            </w:pPr>
            <w:r>
              <w:rPr>
                <w:rFonts w:ascii="宋体" w:hAnsi="宋体"/>
                <w:b/>
                <w:bCs/>
                <w:szCs w:val="21"/>
              </w:rPr>
              <w:t>皮肤接触：</w:t>
            </w:r>
            <w:r>
              <w:rPr>
                <w:rFonts w:ascii="宋体" w:hAnsi="宋体"/>
                <w:szCs w:val="21"/>
              </w:rPr>
              <w:t>立即脱去被污染的衣着，用肥皂水和清水彻底冲洗皮肤。就医。</w:t>
            </w:r>
          </w:p>
          <w:p>
            <w:pPr>
              <w:adjustRightInd w:val="0"/>
              <w:snapToGrid w:val="0"/>
              <w:rPr>
                <w:rFonts w:ascii="宋体" w:hAnsi="宋体"/>
                <w:szCs w:val="21"/>
              </w:rPr>
            </w:pPr>
            <w:r>
              <w:rPr>
                <w:rFonts w:ascii="宋体" w:hAnsi="宋体"/>
                <w:b/>
                <w:bCs/>
                <w:szCs w:val="21"/>
              </w:rPr>
              <w:t>眼睛接触：</w:t>
            </w:r>
            <w:r>
              <w:rPr>
                <w:rFonts w:ascii="宋体" w:hAnsi="宋体"/>
                <w:szCs w:val="21"/>
              </w:rPr>
              <w:t>立即提起眼睑，用大量流动清水或生理盐水彻底冲洗至少15分钟。就医。</w:t>
            </w:r>
          </w:p>
          <w:p>
            <w:pPr>
              <w:adjustRightInd w:val="0"/>
              <w:snapToGrid w:val="0"/>
              <w:rPr>
                <w:rFonts w:ascii="宋体" w:hAnsi="宋体"/>
                <w:szCs w:val="21"/>
              </w:rPr>
            </w:pPr>
            <w:r>
              <w:rPr>
                <w:rFonts w:ascii="宋体" w:hAnsi="宋体"/>
                <w:b/>
                <w:bCs/>
                <w:szCs w:val="21"/>
              </w:rPr>
              <w:t>吸入：</w:t>
            </w:r>
            <w:r>
              <w:rPr>
                <w:rFonts w:ascii="宋体" w:hAnsi="宋体"/>
                <w:szCs w:val="21"/>
              </w:rPr>
              <w:t>迅速脱离现场至空气新鲜处。保持呼吸道通畅。如呼吸困难，给输氧。如呼吸停止，立即进行人工呼吸。就医。</w:t>
            </w:r>
          </w:p>
          <w:p>
            <w:pPr>
              <w:adjustRightInd w:val="0"/>
              <w:snapToGrid w:val="0"/>
              <w:rPr>
                <w:rFonts w:ascii="宋体" w:hAnsi="宋体"/>
                <w:szCs w:val="21"/>
              </w:rPr>
            </w:pPr>
            <w:r>
              <w:rPr>
                <w:rFonts w:ascii="宋体" w:hAnsi="宋体"/>
                <w:b/>
                <w:bCs/>
                <w:szCs w:val="21"/>
              </w:rPr>
              <w:t>食入：</w:t>
            </w:r>
            <w:r>
              <w:rPr>
                <w:rFonts w:ascii="宋体" w:hAnsi="宋体"/>
                <w:szCs w:val="21"/>
              </w:rPr>
              <w:t>给饮牛奶或用植物油洗胃和灌肠。就医。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防</w:t>
            </w:r>
          </w:p>
          <w:p>
            <w:pPr>
              <w:adjustRightInd w:val="0"/>
              <w:snapToGrid w:val="0"/>
              <w:jc w:val="center"/>
              <w:rPr>
                <w:rFonts w:ascii="宋体" w:hAnsi="宋体"/>
                <w:b/>
                <w:bCs/>
                <w:szCs w:val="21"/>
              </w:rPr>
            </w:pPr>
            <w:r>
              <w:rPr>
                <w:rFonts w:ascii="宋体" w:hAnsi="宋体"/>
                <w:b/>
                <w:bCs/>
                <w:szCs w:val="21"/>
              </w:rPr>
              <w:t>护</w:t>
            </w:r>
          </w:p>
          <w:p>
            <w:pPr>
              <w:adjustRightInd w:val="0"/>
              <w:snapToGrid w:val="0"/>
              <w:jc w:val="center"/>
              <w:rPr>
                <w:rFonts w:ascii="宋体" w:hAnsi="宋体"/>
                <w:b/>
                <w:bCs/>
                <w:szCs w:val="21"/>
              </w:rPr>
            </w:pPr>
            <w:r>
              <w:rPr>
                <w:rFonts w:ascii="宋体" w:hAnsi="宋体"/>
                <w:b/>
                <w:bCs/>
                <w:szCs w:val="21"/>
              </w:rPr>
              <w:t>措</w:t>
            </w:r>
          </w:p>
          <w:p>
            <w:pPr>
              <w:adjustRightInd w:val="0"/>
              <w:snapToGrid w:val="0"/>
              <w:jc w:val="center"/>
              <w:rPr>
                <w:rFonts w:ascii="宋体" w:hAnsi="宋体"/>
                <w:szCs w:val="21"/>
              </w:rPr>
            </w:pPr>
            <w:r>
              <w:rPr>
                <w:rFonts w:ascii="宋体" w:hAnsi="宋体"/>
                <w:b/>
                <w:bCs/>
                <w:szCs w:val="21"/>
              </w:rPr>
              <w:t>施</w:t>
            </w:r>
          </w:p>
        </w:tc>
        <w:tc>
          <w:tcPr>
            <w:tcW w:w="7954" w:type="dxa"/>
            <w:noWrap w:val="0"/>
            <w:vAlign w:val="center"/>
          </w:tcPr>
          <w:p>
            <w:pPr>
              <w:adjustRightInd w:val="0"/>
              <w:snapToGrid w:val="0"/>
              <w:rPr>
                <w:rFonts w:ascii="宋体" w:hAnsi="宋体"/>
                <w:szCs w:val="21"/>
              </w:rPr>
            </w:pPr>
            <w:r>
              <w:rPr>
                <w:rFonts w:ascii="宋体" w:hAnsi="宋体"/>
                <w:b/>
                <w:bCs/>
                <w:szCs w:val="21"/>
              </w:rPr>
              <w:t>工程控制：</w:t>
            </w:r>
            <w:r>
              <w:rPr>
                <w:rFonts w:ascii="宋体" w:hAnsi="宋体"/>
                <w:szCs w:val="21"/>
              </w:rPr>
              <w:t>生产过程密闭操作，注意通风。</w:t>
            </w:r>
          </w:p>
          <w:p>
            <w:pPr>
              <w:adjustRightInd w:val="0"/>
              <w:snapToGrid w:val="0"/>
              <w:rPr>
                <w:rFonts w:ascii="宋体" w:hAnsi="宋体"/>
                <w:szCs w:val="21"/>
              </w:rPr>
            </w:pPr>
            <w:r>
              <w:rPr>
                <w:rFonts w:ascii="宋体" w:hAnsi="宋体"/>
                <w:b/>
                <w:bCs/>
                <w:szCs w:val="21"/>
              </w:rPr>
              <w:t>呼吸系统防护：</w:t>
            </w:r>
            <w:r>
              <w:rPr>
                <w:rFonts w:ascii="宋体" w:hAnsi="宋体"/>
                <w:szCs w:val="21"/>
              </w:rPr>
              <w:t>空气中浓度超标时，建议佩戴自吸过滤式防毒面具(半面罩)。紧急事态抢救或撤离时,应佩戴空气呼吸器。</w:t>
            </w:r>
          </w:p>
          <w:p>
            <w:pPr>
              <w:adjustRightInd w:val="0"/>
              <w:snapToGrid w:val="0"/>
              <w:rPr>
                <w:rFonts w:ascii="宋体" w:hAnsi="宋体"/>
                <w:szCs w:val="21"/>
              </w:rPr>
            </w:pPr>
            <w:r>
              <w:rPr>
                <w:rFonts w:ascii="宋体" w:hAnsi="宋体"/>
                <w:b/>
                <w:bCs/>
                <w:szCs w:val="21"/>
              </w:rPr>
              <w:t>眼睛防护：</w:t>
            </w:r>
            <w:r>
              <w:rPr>
                <w:rFonts w:ascii="宋体" w:hAnsi="宋体"/>
                <w:szCs w:val="21"/>
              </w:rPr>
              <w:t>必要时戴化学安全防护眼镜。</w:t>
            </w:r>
          </w:p>
          <w:p>
            <w:pPr>
              <w:adjustRightInd w:val="0"/>
              <w:snapToGrid w:val="0"/>
              <w:rPr>
                <w:rFonts w:ascii="宋体" w:hAnsi="宋体"/>
                <w:szCs w:val="21"/>
              </w:rPr>
            </w:pPr>
            <w:r>
              <w:rPr>
                <w:rFonts w:ascii="宋体" w:hAnsi="宋体"/>
                <w:b/>
                <w:bCs/>
                <w:szCs w:val="21"/>
              </w:rPr>
              <w:t>身体防护：</w:t>
            </w:r>
            <w:r>
              <w:rPr>
                <w:rFonts w:ascii="宋体" w:hAnsi="宋体"/>
                <w:szCs w:val="21"/>
              </w:rPr>
              <w:t>穿一般作业工作服。</w:t>
            </w:r>
          </w:p>
          <w:p>
            <w:pPr>
              <w:adjustRightInd w:val="0"/>
              <w:snapToGrid w:val="0"/>
              <w:rPr>
                <w:rFonts w:ascii="宋体" w:hAnsi="宋体"/>
                <w:szCs w:val="21"/>
              </w:rPr>
            </w:pPr>
            <w:r>
              <w:rPr>
                <w:rFonts w:ascii="宋体" w:hAnsi="宋体"/>
                <w:b/>
                <w:bCs/>
                <w:szCs w:val="21"/>
              </w:rPr>
              <w:t>手 防 护：</w:t>
            </w:r>
            <w:r>
              <w:rPr>
                <w:rFonts w:ascii="宋体" w:hAnsi="宋体"/>
                <w:szCs w:val="21"/>
              </w:rPr>
              <w:t>戴橡胶耐油手套。</w:t>
            </w:r>
          </w:p>
          <w:p>
            <w:pPr>
              <w:adjustRightInd w:val="0"/>
              <w:snapToGrid w:val="0"/>
              <w:rPr>
                <w:rFonts w:ascii="宋体" w:hAnsi="宋体"/>
                <w:szCs w:val="21"/>
              </w:rPr>
            </w:pPr>
            <w:r>
              <w:rPr>
                <w:rFonts w:ascii="宋体" w:hAnsi="宋体"/>
                <w:b/>
                <w:bCs/>
                <w:szCs w:val="21"/>
              </w:rPr>
              <w:t>其它防护：</w:t>
            </w:r>
            <w:r>
              <w:rPr>
                <w:rFonts w:ascii="宋体" w:hAnsi="宋体"/>
                <w:szCs w:val="21"/>
              </w:rPr>
              <w:t>工作现场禁止吸烟。避免长期反复接触。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泄</w:t>
            </w:r>
          </w:p>
          <w:p>
            <w:pPr>
              <w:adjustRightInd w:val="0"/>
              <w:snapToGrid w:val="0"/>
              <w:jc w:val="center"/>
              <w:rPr>
                <w:rFonts w:ascii="宋体" w:hAnsi="宋体"/>
                <w:b/>
                <w:bCs/>
                <w:szCs w:val="21"/>
              </w:rPr>
            </w:pPr>
            <w:r>
              <w:rPr>
                <w:rFonts w:ascii="宋体" w:hAnsi="宋体"/>
                <w:b/>
                <w:bCs/>
                <w:szCs w:val="21"/>
              </w:rPr>
              <w:t>漏</w:t>
            </w:r>
          </w:p>
          <w:p>
            <w:pPr>
              <w:adjustRightInd w:val="0"/>
              <w:snapToGrid w:val="0"/>
              <w:jc w:val="center"/>
              <w:rPr>
                <w:rFonts w:ascii="宋体" w:hAnsi="宋体"/>
                <w:b/>
                <w:bCs/>
                <w:szCs w:val="21"/>
              </w:rPr>
            </w:pPr>
            <w:r>
              <w:rPr>
                <w:rFonts w:ascii="宋体" w:hAnsi="宋体"/>
                <w:b/>
                <w:bCs/>
                <w:szCs w:val="21"/>
              </w:rPr>
              <w:t>处</w:t>
            </w:r>
          </w:p>
          <w:p>
            <w:pPr>
              <w:adjustRightInd w:val="0"/>
              <w:snapToGrid w:val="0"/>
              <w:jc w:val="center"/>
              <w:rPr>
                <w:rFonts w:ascii="宋体" w:hAnsi="宋体"/>
                <w:szCs w:val="21"/>
              </w:rPr>
            </w:pPr>
            <w:r>
              <w:rPr>
                <w:rFonts w:ascii="宋体" w:hAnsi="宋体"/>
                <w:b/>
                <w:bCs/>
                <w:szCs w:val="21"/>
              </w:rPr>
              <w:t>理</w:t>
            </w:r>
          </w:p>
        </w:tc>
        <w:tc>
          <w:tcPr>
            <w:tcW w:w="7954" w:type="dxa"/>
            <w:noWrap w:val="0"/>
            <w:vAlign w:val="center"/>
          </w:tcPr>
          <w:p>
            <w:pPr>
              <w:adjustRightInd w:val="0"/>
              <w:snapToGrid w:val="0"/>
              <w:rPr>
                <w:rFonts w:ascii="宋体" w:hAnsi="宋体"/>
                <w:szCs w:val="21"/>
              </w:rPr>
            </w:pPr>
            <w:r>
              <w:rPr>
                <w:rFonts w:ascii="宋体" w:hAnsi="宋体"/>
                <w:b/>
                <w:bCs/>
                <w:szCs w:val="21"/>
              </w:rPr>
              <w:t>应急行动：</w:t>
            </w:r>
            <w:r>
              <w:rPr>
                <w:rFonts w:ascii="宋体" w:hAnsi="宋体"/>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防爆泵转移至槽车或专用收集容器内，回收或运至废物处理场所处置。</w:t>
            </w:r>
          </w:p>
        </w:tc>
      </w:tr>
    </w:tbl>
    <w:p>
      <w:pPr>
        <w:adjustRightInd w:val="0"/>
        <w:snapToGrid w:val="0"/>
        <w:spacing w:line="360" w:lineRule="auto"/>
        <w:ind w:firstLine="560" w:firstLineChars="200"/>
        <w:rPr>
          <w:rFonts w:hint="eastAsia"/>
          <w:sz w:val="28"/>
          <w:szCs w:val="28"/>
        </w:rPr>
      </w:pPr>
    </w:p>
    <w:p>
      <w:pPr>
        <w:pStyle w:val="8"/>
        <w:spacing w:line="360" w:lineRule="auto"/>
        <w:ind w:firstLine="0" w:firstLineChars="0"/>
        <w:outlineLvl w:val="2"/>
        <w:rPr>
          <w:rFonts w:hint="eastAsia" w:ascii="宋体" w:hAnsi="宋体"/>
          <w:b/>
          <w:snapToGrid w:val="0"/>
          <w:kern w:val="0"/>
          <w:sz w:val="28"/>
          <w:szCs w:val="28"/>
          <w:lang w:val="en-US" w:eastAsia="zh-CN"/>
        </w:rPr>
      </w:pPr>
      <w:bookmarkStart w:id="142" w:name="_Toc513735551"/>
      <w:bookmarkStart w:id="143" w:name="_Toc515659434"/>
      <w:bookmarkStart w:id="144" w:name="_Toc475363997"/>
      <w:bookmarkStart w:id="145" w:name="_Toc15910"/>
      <w:bookmarkStart w:id="146" w:name="_Toc511994825"/>
      <w:r>
        <w:rPr>
          <w:rFonts w:hint="eastAsia" w:ascii="宋体" w:hAnsi="宋体"/>
          <w:b/>
          <w:snapToGrid w:val="0"/>
          <w:kern w:val="0"/>
          <w:sz w:val="28"/>
          <w:szCs w:val="28"/>
          <w:lang w:val="en-US" w:eastAsia="zh-CN"/>
        </w:rPr>
        <w:t>3.4.7 氧气安全数据表</w:t>
      </w:r>
      <w:bookmarkEnd w:id="142"/>
      <w:bookmarkEnd w:id="143"/>
      <w:bookmarkEnd w:id="144"/>
      <w:bookmarkEnd w:id="145"/>
    </w:p>
    <w:p>
      <w:pPr>
        <w:pStyle w:val="32"/>
        <w:rPr>
          <w:rFonts w:eastAsia="黑体"/>
          <w:sz w:val="24"/>
          <w:szCs w:val="24"/>
        </w:rPr>
      </w:pPr>
      <w:r>
        <w:rPr>
          <w:rFonts w:eastAsia="黑体"/>
          <w:sz w:val="24"/>
          <w:szCs w:val="24"/>
        </w:rPr>
        <w:t>表3-</w:t>
      </w:r>
      <w:r>
        <w:rPr>
          <w:rFonts w:hint="eastAsia" w:eastAsia="黑体"/>
          <w:sz w:val="24"/>
          <w:szCs w:val="24"/>
        </w:rPr>
        <w:t>2</w:t>
      </w:r>
      <w:r>
        <w:rPr>
          <w:rFonts w:eastAsia="黑体"/>
          <w:sz w:val="24"/>
          <w:szCs w:val="24"/>
        </w:rPr>
        <w:t xml:space="preserve"> 氧气安全数据表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标识</w:t>
            </w: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中文名：氧气</w:t>
            </w:r>
          </w:p>
        </w:tc>
        <w:tc>
          <w:tcPr>
            <w:tcW w:w="5382" w:type="dxa"/>
            <w:gridSpan w:val="9"/>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英文名：oxygen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CAS号：7782-44-7</w:t>
            </w:r>
          </w:p>
        </w:tc>
        <w:tc>
          <w:tcPr>
            <w:tcW w:w="3346" w:type="dxa"/>
            <w:gridSpan w:val="8"/>
            <w:noWrap w:val="0"/>
            <w:tcMar>
              <w:top w:w="15" w:type="dxa"/>
              <w:left w:w="15" w:type="dxa"/>
              <w:bottom w:w="15" w:type="dxa"/>
              <w:right w:w="15" w:type="dxa"/>
            </w:tcMar>
            <w:vAlign w:val="center"/>
          </w:tcPr>
          <w:p>
            <w:pPr>
              <w:spacing w:line="260" w:lineRule="exact"/>
              <w:rPr>
                <w:rFonts w:ascii="宋体" w:hAnsi="宋体"/>
                <w:szCs w:val="21"/>
              </w:rPr>
            </w:pPr>
            <w:r>
              <w:rPr>
                <w:rFonts w:hint="eastAsia" w:ascii="宋体" w:hAnsi="宋体"/>
                <w:szCs w:val="21"/>
              </w:rPr>
              <w:t>危规</w:t>
            </w:r>
            <w:r>
              <w:rPr>
                <w:rFonts w:ascii="宋体" w:hAnsi="宋体"/>
                <w:szCs w:val="21"/>
              </w:rPr>
              <w:t>编号：</w:t>
            </w:r>
            <w:r>
              <w:rPr>
                <w:rFonts w:hint="eastAsia" w:ascii="宋体" w:hAnsi="宋体"/>
                <w:szCs w:val="21"/>
              </w:rPr>
              <w:t>2528</w:t>
            </w:r>
          </w:p>
        </w:tc>
        <w:tc>
          <w:tcPr>
            <w:tcW w:w="203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危险货物编号：22001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性状：无色无臭气体。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主要用途：用于切割、焊接金属，制造医药、染料、炸药等。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相对密度(水=1)：</w:t>
            </w:r>
          </w:p>
          <w:p>
            <w:pPr>
              <w:spacing w:line="260" w:lineRule="exact"/>
              <w:rPr>
                <w:rFonts w:ascii="宋体" w:hAnsi="宋体"/>
                <w:szCs w:val="21"/>
              </w:rPr>
            </w:pPr>
            <w:r>
              <w:rPr>
                <w:rFonts w:ascii="宋体" w:hAnsi="宋体"/>
                <w:szCs w:val="21"/>
              </w:rPr>
              <w:t>1.14（-183℃）</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饱和蒸汽压(kPa)：506.62（-164℃）</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临界温度(℃)：-118.4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相对密度(空气=1): 1.43</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临界压力(MPa)：5.08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熔点：-218.8</w:t>
            </w:r>
          </w:p>
        </w:tc>
        <w:tc>
          <w:tcPr>
            <w:tcW w:w="4076" w:type="dxa"/>
            <w:gridSpan w:val="5"/>
            <w:noWrap w:val="0"/>
            <w:vAlign w:val="center"/>
          </w:tcPr>
          <w:p>
            <w:pPr>
              <w:spacing w:line="260" w:lineRule="exact"/>
              <w:rPr>
                <w:rFonts w:ascii="宋体" w:hAnsi="宋体"/>
                <w:szCs w:val="21"/>
              </w:rPr>
            </w:pPr>
            <w:r>
              <w:rPr>
                <w:rFonts w:ascii="宋体" w:hAnsi="宋体"/>
                <w:szCs w:val="21"/>
              </w:rPr>
              <w:t>沸点：-183.1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溶解性：溶于水、乙醇。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危险特性：是易燃物、可燃物燃烧爆炸的基本要素之一, 能氧化大多数活性物质。与易燃物（如乙炔、甲烷等）形成有爆炸性的混合物。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1947"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燃烧分解产物：无数据</w:t>
            </w:r>
          </w:p>
        </w:tc>
        <w:tc>
          <w:tcPr>
            <w:tcW w:w="1319"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稳定性：无数据</w:t>
            </w:r>
          </w:p>
        </w:tc>
        <w:tc>
          <w:tcPr>
            <w:tcW w:w="1921"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聚合危害：无数据</w:t>
            </w:r>
          </w:p>
        </w:tc>
        <w:tc>
          <w:tcPr>
            <w:tcW w:w="2673" w:type="dxa"/>
            <w:gridSpan w:val="3"/>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禁忌物：易燃或可燃物、活性金属粉末、乙炔。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灭火方法：用水保持容器冷却，以防受热爆炸，急剧助长火势。迅速切断气源，用水喷淋保护切断气源的人员，然后根据着火原因选择适当灭火剂灭火。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危险性类别：第2.2类 不燃气体</w:t>
            </w:r>
          </w:p>
        </w:tc>
        <w:tc>
          <w:tcPr>
            <w:tcW w:w="4339" w:type="dxa"/>
            <w:gridSpan w:val="7"/>
            <w:noWrap w:val="0"/>
            <w:vAlign w:val="center"/>
          </w:tcPr>
          <w:p>
            <w:pPr>
              <w:spacing w:line="260" w:lineRule="exact"/>
              <w:rPr>
                <w:rFonts w:ascii="宋体" w:hAnsi="宋体"/>
                <w:szCs w:val="21"/>
              </w:rPr>
            </w:pPr>
            <w:r>
              <w:rPr>
                <w:rFonts w:ascii="宋体" w:hAnsi="宋体"/>
                <w:szCs w:val="21"/>
              </w:rPr>
              <w:t>侵入途径：无数据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健康危害：常压下，当氧的浓度超过40％时，有可能发生氧中毒。吸入40％～60％的氧时，出现胸骨后不适感、轻咳，进而胸闷、胸骨后烧灼感和呼吸困难，咳嗽加剧；严重时可发生肺水肿，甚至出现呼吸窘迫综合征。吸入氧浓度在80％以上时，出现面部肌肉抽动、面色苍白、眩晕、心动过速、虚脱，继而全身强直性抽搐、昏迷、呼吸衰竭而死亡。长期处于氧分压为60～100kPa（相当于吸入氧浓度40％左右）的条件下可发生眼损害，严重者可失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燃爆危险：本品助燃。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69"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危险货物包装标志：无数据</w:t>
            </w:r>
          </w:p>
        </w:tc>
        <w:tc>
          <w:tcPr>
            <w:tcW w:w="4296"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包装类别：O53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钢质气瓶包装。氧气钢瓶不得沾污油脂。采用刚瓶运输时必须戴好钢瓶上的安全帽。钢瓶一般平放，并应将瓶口朝同一方向，不可交叉；高度不得超过车辆的防护栏板，并用三角木垫卡牢，防止滚动。严禁与易燃物或可燃物、活性金属粉末等混装混运。夏季应早晚运输，防止日光曝晒。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吸入：迅速脱离现场至空气新鲜处。保持呼吸道通畅。如呼吸停止，立即进行人工呼吸。就医。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工程控制：密闭操作。提供良好的自然通风条件。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呼吸系统防护：一般不需特殊防护。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身体防护：穿一般作业工作服。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手防护：戴一般作业防护手套。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其它防护：避免高浓度吸入。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bl>
    <w:p>
      <w:bookmarkStart w:id="147" w:name="_Toc321298550"/>
    </w:p>
    <w:p>
      <w:pPr>
        <w:pStyle w:val="8"/>
        <w:spacing w:line="360" w:lineRule="auto"/>
        <w:ind w:firstLine="0" w:firstLineChars="0"/>
        <w:outlineLvl w:val="2"/>
        <w:rPr>
          <w:rFonts w:hint="eastAsia" w:ascii="宋体" w:hAnsi="宋体"/>
          <w:b/>
          <w:snapToGrid w:val="0"/>
          <w:kern w:val="0"/>
          <w:sz w:val="28"/>
          <w:szCs w:val="28"/>
          <w:lang w:val="en-US" w:eastAsia="zh-CN"/>
        </w:rPr>
      </w:pPr>
      <w:bookmarkStart w:id="148" w:name="_Toc18138"/>
      <w:bookmarkStart w:id="149" w:name="_Toc475363998"/>
      <w:bookmarkStart w:id="150" w:name="_Toc513735552"/>
      <w:bookmarkStart w:id="151" w:name="_Toc515659435"/>
      <w:r>
        <w:rPr>
          <w:rFonts w:hint="eastAsia" w:ascii="宋体" w:hAnsi="宋体"/>
          <w:b/>
          <w:snapToGrid w:val="0"/>
          <w:kern w:val="0"/>
          <w:sz w:val="28"/>
          <w:szCs w:val="28"/>
          <w:lang w:val="en-US" w:eastAsia="zh-CN"/>
        </w:rPr>
        <w:t>3.4.8 乙炔安全数据表</w:t>
      </w:r>
      <w:bookmarkEnd w:id="147"/>
      <w:bookmarkEnd w:id="148"/>
      <w:bookmarkEnd w:id="149"/>
      <w:bookmarkEnd w:id="150"/>
      <w:bookmarkEnd w:id="151"/>
    </w:p>
    <w:p>
      <w:pPr>
        <w:pStyle w:val="32"/>
        <w:rPr>
          <w:rFonts w:eastAsia="黑体"/>
          <w:sz w:val="24"/>
          <w:szCs w:val="24"/>
        </w:rPr>
      </w:pPr>
      <w:r>
        <w:rPr>
          <w:rFonts w:hint="eastAsia" w:eastAsia="黑体"/>
          <w:sz w:val="24"/>
          <w:szCs w:val="24"/>
        </w:rPr>
        <w:t>表</w:t>
      </w:r>
      <w:r>
        <w:rPr>
          <w:rFonts w:eastAsia="黑体"/>
          <w:sz w:val="24"/>
          <w:szCs w:val="24"/>
        </w:rPr>
        <w:t>3-</w:t>
      </w:r>
      <w:r>
        <w:rPr>
          <w:rFonts w:hint="eastAsia" w:eastAsia="黑体"/>
          <w:sz w:val="24"/>
          <w:szCs w:val="24"/>
        </w:rPr>
        <w:t>3</w:t>
      </w:r>
      <w:r>
        <w:rPr>
          <w:rFonts w:eastAsia="黑体"/>
          <w:sz w:val="24"/>
          <w:szCs w:val="24"/>
        </w:rPr>
        <w:t xml:space="preserve"> 乙炔安全数据表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标 识</w:t>
            </w: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中文名：乙炔</w:t>
            </w:r>
          </w:p>
        </w:tc>
        <w:tc>
          <w:tcPr>
            <w:tcW w:w="5382" w:type="dxa"/>
            <w:gridSpan w:val="9"/>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英文名：acetylene</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CAS号：74-86-2</w:t>
            </w:r>
          </w:p>
        </w:tc>
        <w:tc>
          <w:tcPr>
            <w:tcW w:w="3346" w:type="dxa"/>
            <w:gridSpan w:val="8"/>
            <w:noWrap w:val="0"/>
            <w:tcMar>
              <w:top w:w="15" w:type="dxa"/>
              <w:left w:w="15" w:type="dxa"/>
              <w:bottom w:w="15" w:type="dxa"/>
              <w:right w:w="15" w:type="dxa"/>
            </w:tcMar>
            <w:vAlign w:val="center"/>
          </w:tcPr>
          <w:p>
            <w:pPr>
              <w:spacing w:line="260" w:lineRule="exact"/>
              <w:rPr>
                <w:rFonts w:ascii="宋体" w:hAnsi="宋体"/>
                <w:szCs w:val="21"/>
              </w:rPr>
            </w:pPr>
            <w:r>
              <w:rPr>
                <w:rFonts w:hint="eastAsia" w:ascii="宋体" w:hAnsi="宋体"/>
                <w:szCs w:val="21"/>
              </w:rPr>
              <w:t>危规</w:t>
            </w:r>
            <w:r>
              <w:rPr>
                <w:rFonts w:ascii="宋体" w:hAnsi="宋体"/>
                <w:szCs w:val="21"/>
              </w:rPr>
              <w:t>编号：</w:t>
            </w:r>
            <w:r>
              <w:rPr>
                <w:rFonts w:hint="eastAsia" w:ascii="宋体" w:hAnsi="宋体"/>
                <w:szCs w:val="21"/>
              </w:rPr>
              <w:t>2629</w:t>
            </w:r>
          </w:p>
        </w:tc>
        <w:tc>
          <w:tcPr>
            <w:tcW w:w="203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危险货物编号：21024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性状：无色无臭气体，工业品有使人不愉快的大蒜气味。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主要用途：是有机合成的重要原料之一。亦是合成橡胶、合成纤维和塑料的单体，也用于氧炔焊割。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相对密度(水=1)：0.62</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饱和蒸汽压(kPa)：4053（16.8℃）</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临界温度(℃)：35.2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相对密度(空气=1): 0.91</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临界压力(MPa)：6.14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熔点：-81.8（119kPa）</w:t>
            </w:r>
          </w:p>
        </w:tc>
        <w:tc>
          <w:tcPr>
            <w:tcW w:w="4076" w:type="dxa"/>
            <w:gridSpan w:val="5"/>
            <w:noWrap w:val="0"/>
            <w:vAlign w:val="center"/>
          </w:tcPr>
          <w:p>
            <w:pPr>
              <w:spacing w:line="260" w:lineRule="exact"/>
              <w:rPr>
                <w:rFonts w:ascii="宋体" w:hAnsi="宋体"/>
                <w:szCs w:val="21"/>
              </w:rPr>
            </w:pPr>
            <w:r>
              <w:rPr>
                <w:rFonts w:ascii="宋体" w:hAnsi="宋体"/>
                <w:szCs w:val="21"/>
              </w:rPr>
              <w:t>沸点：-83.8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溶解性：微溶于水、乙醇，溶于丙酮、氯仿、苯。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危险特性：极易燃烧爆炸。与空气混合能形成爆炸性混合物，遇明火、高热能引起燃烧爆炸。与氧化剂接触猛烈反应。与氟、氯等接触会发生剧烈的化学反应。能与铜、银、汞等的化合物生成爆炸性物质。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1947"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燃烧分解产物：一氧化碳、二氧化碳。</w:t>
            </w:r>
          </w:p>
        </w:tc>
        <w:tc>
          <w:tcPr>
            <w:tcW w:w="1319"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稳定性：稳定</w:t>
            </w:r>
          </w:p>
        </w:tc>
        <w:tc>
          <w:tcPr>
            <w:tcW w:w="1921"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聚合危害：</w:t>
            </w:r>
          </w:p>
        </w:tc>
        <w:tc>
          <w:tcPr>
            <w:tcW w:w="2673" w:type="dxa"/>
            <w:gridSpan w:val="3"/>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禁忌物：强氧化剂、强酸、卤素。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灭火方法：切断气源。若不能切断气源，则不允许熄灭泄漏处的火焰。喷水冷却容器，可能的话将容器从火场移至空旷处。灭火剂：雾状水、泡沫、二氧化碳、干粉。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危险性类别：第2.1类 易燃气体</w:t>
            </w:r>
          </w:p>
        </w:tc>
        <w:tc>
          <w:tcPr>
            <w:tcW w:w="4339" w:type="dxa"/>
            <w:gridSpan w:val="7"/>
            <w:noWrap w:val="0"/>
            <w:vAlign w:val="center"/>
          </w:tcPr>
          <w:p>
            <w:pPr>
              <w:spacing w:line="260" w:lineRule="exact"/>
              <w:rPr>
                <w:rFonts w:ascii="宋体" w:hAnsi="宋体"/>
                <w:szCs w:val="21"/>
              </w:rPr>
            </w:pPr>
            <w:r>
              <w:rPr>
                <w:rFonts w:ascii="宋体" w:hAnsi="宋体"/>
                <w:szCs w:val="21"/>
              </w:rPr>
              <w:t>侵入途径：吸入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39"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健康危害：具有弱麻醉作用。高浓度吸入可引起单纯窒息。 急性中毒：暴露于20％浓度时，出现明显缺氧症状；吸入高浓度，初期兴奋、多语、哭笑不安，后出现眩晕、头痛、恶心、呕吐、共济失调、嗜睡；严重者昏迷、紫绀、瞳孔对光反应消失、脉弱而不齐。当混有磷化氢、硫化氢时，毒性增大，应予以注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燃爆危险：本品易燃，具窒息性。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危险货物包装标志：易燃气体</w:t>
            </w:r>
          </w:p>
        </w:tc>
        <w:tc>
          <w:tcPr>
            <w:tcW w:w="4296"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包装类别：O52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乙炔的包装法通常是溶解在溶剂及多孔物中, 装入钢瓶内。储存于阴凉、通风的库房。远离火种、热源。库温不宜超过30℃。应与氧化剂、酸类、卤素分开存放，切忌混储。采用防爆型照明、通风设施。禁止使用易产生火花的机械设备和工具。储区应备有泄漏应急处理设备。</w:t>
            </w:r>
          </w:p>
          <w:p>
            <w:pPr>
              <w:spacing w:line="260" w:lineRule="exact"/>
              <w:rPr>
                <w:rFonts w:ascii="宋体" w:hAnsi="宋体"/>
                <w:szCs w:val="21"/>
              </w:rPr>
            </w:pPr>
            <w:r>
              <w:rPr>
                <w:rFonts w:ascii="宋体" w:hAnsi="宋体"/>
                <w:szCs w:val="21"/>
              </w:rPr>
              <w:t>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酸类、卤素等混装混运。夏季应早晚运输，防止日光曝晒。中途停留时应远离火种、热源。公路运输时要按规定路线行驶，勿在居民区和人口稠密区停留。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吸入：迅速脱离现场至空气新鲜处。保持呼吸道通畅。如呼吸困难，给输氧。如呼吸停止，立即进行人工呼吸。就医。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工程控制：生产过程密闭，全面通风。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呼吸系统防护：一般不需要特殊防护，但建议特殊情况下，佩戴自吸过滤式防毒面具（半面罩）。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身体防护：穿防静电工作服。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手防护：戴一般作业防护手套。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其它防护：无数据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漏气容器要妥善处理，修复、检验后再用。</w:t>
            </w:r>
          </w:p>
        </w:tc>
      </w:tr>
    </w:tbl>
    <w:p/>
    <w:p>
      <w:pPr>
        <w:pStyle w:val="8"/>
        <w:spacing w:line="360" w:lineRule="auto"/>
        <w:ind w:firstLine="0" w:firstLineChars="0"/>
        <w:outlineLvl w:val="1"/>
        <w:rPr>
          <w:rFonts w:hint="eastAsia" w:ascii="黑体" w:eastAsia="黑体"/>
          <w:b/>
          <w:snapToGrid w:val="0"/>
          <w:kern w:val="0"/>
          <w:sz w:val="32"/>
          <w:szCs w:val="32"/>
        </w:rPr>
      </w:pPr>
      <w:bookmarkStart w:id="152" w:name="_Toc18228"/>
      <w:bookmarkStart w:id="153" w:name="_Toc515659436"/>
      <w:r>
        <w:rPr>
          <w:rFonts w:hint="eastAsia" w:ascii="黑体" w:eastAsia="黑体"/>
          <w:b/>
          <w:snapToGrid w:val="0"/>
          <w:kern w:val="0"/>
          <w:sz w:val="32"/>
          <w:szCs w:val="32"/>
        </w:rPr>
        <w:t>3.5 生产过程危险有害因素分析和辨识</w:t>
      </w:r>
      <w:bookmarkEnd w:id="146"/>
      <w:bookmarkEnd w:id="152"/>
      <w:bookmarkEnd w:id="153"/>
    </w:p>
    <w:p>
      <w:pPr>
        <w:pStyle w:val="2"/>
      </w:pPr>
    </w:p>
    <w:p>
      <w:pPr>
        <w:pStyle w:val="8"/>
        <w:spacing w:line="360" w:lineRule="auto"/>
        <w:ind w:firstLine="0" w:firstLineChars="0"/>
        <w:outlineLvl w:val="1"/>
        <w:rPr>
          <w:rFonts w:hint="eastAsia" w:ascii="黑体" w:eastAsia="黑体"/>
          <w:b/>
          <w:snapToGrid w:val="0"/>
          <w:kern w:val="0"/>
          <w:sz w:val="32"/>
          <w:szCs w:val="32"/>
        </w:rPr>
      </w:pPr>
      <w:bookmarkStart w:id="154" w:name="_Toc356380979"/>
      <w:bookmarkStart w:id="155" w:name="_Toc480804395"/>
      <w:bookmarkStart w:id="156" w:name="_Toc356401492"/>
      <w:bookmarkStart w:id="157" w:name="_Toc332350851"/>
      <w:bookmarkStart w:id="158" w:name="_Toc345593160"/>
      <w:bookmarkStart w:id="159" w:name="_Toc24179"/>
      <w:bookmarkStart w:id="160" w:name="_Toc514342847"/>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5 生产过程危险有害因素分析和辨识</w:t>
      </w:r>
      <w:bookmarkEnd w:id="154"/>
      <w:bookmarkEnd w:id="155"/>
      <w:bookmarkEnd w:id="156"/>
      <w:bookmarkEnd w:id="157"/>
      <w:bookmarkEnd w:id="158"/>
      <w:bookmarkEnd w:id="159"/>
      <w:bookmarkEnd w:id="160"/>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根据现场检查及工艺过程分析，生产过程中危险有害因素分为：</w:t>
      </w:r>
    </w:p>
    <w:p>
      <w:pPr>
        <w:pStyle w:val="8"/>
        <w:spacing w:line="360" w:lineRule="auto"/>
        <w:ind w:firstLine="0" w:firstLineChars="0"/>
        <w:outlineLvl w:val="2"/>
        <w:rPr>
          <w:rFonts w:hint="eastAsia" w:ascii="宋体" w:hAnsi="宋体"/>
          <w:b/>
          <w:snapToGrid w:val="0"/>
          <w:kern w:val="0"/>
          <w:sz w:val="28"/>
          <w:szCs w:val="28"/>
        </w:rPr>
      </w:pPr>
      <w:bookmarkStart w:id="161" w:name="_Toc356401493"/>
      <w:bookmarkStart w:id="162" w:name="_Toc356380982"/>
      <w:bookmarkStart w:id="163" w:name="_Toc514342848"/>
      <w:bookmarkStart w:id="164" w:name="_Toc332350854"/>
      <w:bookmarkStart w:id="165" w:name="_Toc22719"/>
      <w:bookmarkStart w:id="166" w:name="_Toc48080439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5.1 车辆事故</w:t>
      </w:r>
      <w:bookmarkEnd w:id="161"/>
      <w:bookmarkEnd w:id="162"/>
      <w:bookmarkEnd w:id="163"/>
      <w:bookmarkEnd w:id="164"/>
      <w:bookmarkEnd w:id="165"/>
      <w:bookmarkEnd w:id="166"/>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车辆伤害事故指企业机动车辆在行驶中引起的人体坠落和物体倒塌、坠落、挤压伤亡事故。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车辆伤害事故的主要原因有</w:t>
      </w:r>
      <w:r>
        <w:rPr>
          <w:rFonts w:ascii="宋体" w:hAnsi="宋体"/>
          <w:snapToGrid w:val="0"/>
          <w:kern w:val="0"/>
          <w:sz w:val="28"/>
          <w:szCs w:val="28"/>
        </w:rPr>
        <w:t>:</w:t>
      </w:r>
      <w:r>
        <w:rPr>
          <w:rFonts w:hint="eastAsia" w:ascii="宋体" w:hAnsi="宋体"/>
          <w:snapToGrid w:val="0"/>
          <w:kern w:val="0"/>
          <w:sz w:val="28"/>
          <w:szCs w:val="28"/>
        </w:rPr>
        <w:t>①违章驾车：如酒后驾车、疲劳驾车、非驾驶员驾车、超速行驶、争道抢行、违章超车和超载等；②疏忽大意：如情绪急躁、精神分散、心理烦乱、身体不适等；③车况不好：如安全装置不齐全、工作装置工作不可靠、安全防护装置工作不可靠、车辆维护修理不及时、带“病”行驶等；④道路环境：如道路条件差、视线不良、在恶劣的气候条件下行驶等；⑤管理因素：如车辆安全行驶制度不落实、管理规章制度或操作规程不健全、车辆维修不及时、交通信号、标志、设施缺陷等。</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企业可能发生的车辆伤害事故：矿车行驶中撞击或挤压到人员；人员从行驶中的车辆上坠落；挖掘设备给矿车装过大的大块或矿车装料时由于停放处坑洼不平等造成矿车翻倒事故；交叉路口或超车或会车时发生车辆相撞事故；矿车倒车排废时由于车上的大块卡住车斗或操作不当或发生滑坡、塌方造成矿车翻下山；矿车行驶中轮胎</w:t>
      </w:r>
      <w:r>
        <w:rPr>
          <w:rFonts w:ascii="宋体" w:hAnsi="宋体"/>
          <w:snapToGrid w:val="0"/>
          <w:kern w:val="0"/>
          <w:sz w:val="28"/>
          <w:szCs w:val="28"/>
        </w:rPr>
        <w:t>"</w:t>
      </w:r>
      <w:r>
        <w:rPr>
          <w:rFonts w:hint="eastAsia" w:ascii="宋体" w:hAnsi="宋体"/>
          <w:snapToGrid w:val="0"/>
          <w:kern w:val="0"/>
          <w:sz w:val="28"/>
          <w:szCs w:val="28"/>
        </w:rPr>
        <w:t>突爆</w:t>
      </w:r>
      <w:r>
        <w:rPr>
          <w:rFonts w:ascii="宋体" w:hAnsi="宋体"/>
          <w:snapToGrid w:val="0"/>
          <w:kern w:val="0"/>
          <w:sz w:val="28"/>
          <w:szCs w:val="28"/>
        </w:rPr>
        <w:t>"</w:t>
      </w:r>
      <w:r>
        <w:rPr>
          <w:rFonts w:hint="eastAsia" w:ascii="宋体" w:hAnsi="宋体"/>
          <w:snapToGrid w:val="0"/>
          <w:kern w:val="0"/>
          <w:sz w:val="28"/>
          <w:szCs w:val="28"/>
        </w:rPr>
        <w:t>造成翻车等事故的发生；挖掘设备上下坡或在坡上作业时发生倾倒事故；挖掘设备回转过程中或卸料时铲斗碰到矿车驾驶室或其它部位造成事故。</w:t>
      </w:r>
    </w:p>
    <w:p>
      <w:pPr>
        <w:spacing w:line="360" w:lineRule="auto"/>
        <w:ind w:firstLine="560" w:firstLineChars="200"/>
        <w:rPr>
          <w:rFonts w:hint="eastAsia"/>
          <w:sz w:val="28"/>
          <w:szCs w:val="28"/>
        </w:rPr>
      </w:pPr>
      <w:r>
        <w:rPr>
          <w:rFonts w:hint="eastAsia"/>
          <w:sz w:val="28"/>
          <w:szCs w:val="28"/>
        </w:rPr>
        <w:t>砖瓦厂在原料（泥土、煤渣）运输堆积、半成品及成品砖运输等过程中，各种车辆来往频繁。车辆的装载和驾驶、车辆及驾驶员的管理等方面的缺陷均可能引发车辆伤害事故。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车辆伤害后果是人员的伤亡和设备物品的损毁。</w:t>
      </w:r>
    </w:p>
    <w:p>
      <w:pPr>
        <w:pStyle w:val="8"/>
        <w:spacing w:line="360" w:lineRule="auto"/>
        <w:ind w:firstLine="0" w:firstLineChars="0"/>
        <w:outlineLvl w:val="2"/>
        <w:rPr>
          <w:rFonts w:hint="eastAsia" w:ascii="宋体" w:hAnsi="宋体"/>
          <w:b/>
          <w:snapToGrid w:val="0"/>
          <w:kern w:val="0"/>
          <w:sz w:val="28"/>
          <w:szCs w:val="28"/>
        </w:rPr>
      </w:pPr>
      <w:bookmarkStart w:id="167" w:name="_Toc356380983"/>
      <w:bookmarkStart w:id="168" w:name="_Toc332350855"/>
      <w:bookmarkStart w:id="169" w:name="_Toc480804397"/>
      <w:bookmarkStart w:id="170" w:name="_Toc514342849"/>
      <w:bookmarkStart w:id="171" w:name="_Toc20211"/>
      <w:bookmarkStart w:id="172" w:name="_Toc356401494"/>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5.2 机械</w:t>
      </w:r>
      <w:bookmarkEnd w:id="167"/>
      <w:bookmarkEnd w:id="168"/>
      <w:r>
        <w:rPr>
          <w:rFonts w:hint="eastAsia" w:ascii="宋体" w:hAnsi="宋体"/>
          <w:b/>
          <w:snapToGrid w:val="0"/>
          <w:kern w:val="0"/>
          <w:sz w:val="28"/>
          <w:szCs w:val="28"/>
        </w:rPr>
        <w:t>伤害</w:t>
      </w:r>
      <w:bookmarkEnd w:id="169"/>
      <w:bookmarkEnd w:id="170"/>
      <w:bookmarkEnd w:id="171"/>
      <w:bookmarkEnd w:id="172"/>
    </w:p>
    <w:p>
      <w:pPr>
        <w:spacing w:line="360" w:lineRule="auto"/>
        <w:ind w:firstLine="515" w:firstLineChars="184"/>
        <w:rPr>
          <w:rFonts w:ascii="宋体" w:hAnsi="宋体"/>
          <w:snapToGrid w:val="0"/>
          <w:kern w:val="0"/>
          <w:sz w:val="28"/>
          <w:szCs w:val="28"/>
        </w:rPr>
      </w:pPr>
      <w:r>
        <w:rPr>
          <w:rFonts w:hint="eastAsia" w:ascii="宋体" w:hAnsi="宋体"/>
          <w:snapToGrid w:val="0"/>
          <w:kern w:val="0"/>
          <w:sz w:val="28"/>
          <w:szCs w:val="28"/>
        </w:rPr>
        <w:t>机械伤害事故是指机械设备运动</w:t>
      </w:r>
      <w:r>
        <w:rPr>
          <w:rFonts w:ascii="宋体" w:hAnsi="宋体"/>
          <w:snapToGrid w:val="0"/>
          <w:kern w:val="0"/>
          <w:sz w:val="28"/>
          <w:szCs w:val="28"/>
        </w:rPr>
        <w:t>(</w:t>
      </w:r>
      <w:r>
        <w:rPr>
          <w:rFonts w:hint="eastAsia" w:ascii="宋体" w:hAnsi="宋体"/>
          <w:snapToGrid w:val="0"/>
          <w:kern w:val="0"/>
          <w:sz w:val="28"/>
          <w:szCs w:val="28"/>
        </w:rPr>
        <w:t>静止</w:t>
      </w:r>
      <w:r>
        <w:rPr>
          <w:rFonts w:ascii="宋体" w:hAnsi="宋体"/>
          <w:snapToGrid w:val="0"/>
          <w:kern w:val="0"/>
          <w:sz w:val="28"/>
          <w:szCs w:val="28"/>
        </w:rPr>
        <w:t>)</w:t>
      </w:r>
      <w:r>
        <w:rPr>
          <w:rFonts w:hint="eastAsia" w:ascii="宋体" w:hAnsi="宋体"/>
          <w:snapToGrid w:val="0"/>
          <w:kern w:val="0"/>
          <w:sz w:val="28"/>
          <w:szCs w:val="28"/>
        </w:rPr>
        <w:t>部件、工具、加工件直接与人体接触引起的夹击、碰撞、剪切、卷人、绞、碾、割、刺等伤害，不包括车辆、起重机械引起的机械伤害。</w:t>
      </w:r>
    </w:p>
    <w:p>
      <w:pPr>
        <w:spacing w:line="360" w:lineRule="auto"/>
        <w:ind w:firstLine="515" w:firstLineChars="184"/>
        <w:rPr>
          <w:rFonts w:ascii="宋体" w:hAnsi="宋体"/>
          <w:snapToGrid w:val="0"/>
          <w:kern w:val="0"/>
          <w:sz w:val="28"/>
          <w:szCs w:val="28"/>
        </w:rPr>
      </w:pPr>
      <w:r>
        <w:rPr>
          <w:rFonts w:hint="eastAsia" w:ascii="宋体" w:hAnsi="宋体"/>
          <w:snapToGrid w:val="0"/>
          <w:kern w:val="0"/>
          <w:sz w:val="28"/>
          <w:szCs w:val="28"/>
        </w:rPr>
        <w:t>机械伤害事故产生的主要原因</w:t>
      </w:r>
      <w:r>
        <w:rPr>
          <w:rFonts w:ascii="宋体" w:hAnsi="宋体"/>
          <w:snapToGrid w:val="0"/>
          <w:kern w:val="0"/>
          <w:sz w:val="28"/>
          <w:szCs w:val="28"/>
        </w:rPr>
        <w:t>:</w:t>
      </w:r>
      <w:r>
        <w:rPr>
          <w:rFonts w:hint="eastAsia" w:ascii="宋体" w:hAnsi="宋体"/>
          <w:snapToGrid w:val="0"/>
          <w:kern w:val="0"/>
          <w:sz w:val="28"/>
          <w:szCs w:val="28"/>
        </w:rPr>
        <w:t>①指挥人员违章指挥，操作人员违章操作；②机械设备安全防护装置缺乏或防护装置失效等，导致事故发生；③安全管理上存在不足；④场地及运输道路缺陷；⑤意外因素影响</w:t>
      </w:r>
      <w:r>
        <w:rPr>
          <w:rFonts w:ascii="宋体" w:hAnsi="宋体"/>
          <w:snapToGrid w:val="0"/>
          <w:kern w:val="0"/>
          <w:sz w:val="28"/>
          <w:szCs w:val="28"/>
        </w:rPr>
        <w:t>:</w:t>
      </w:r>
      <w:r>
        <w:rPr>
          <w:rFonts w:hint="eastAsia" w:ascii="宋体" w:hAnsi="宋体"/>
          <w:snapToGrid w:val="0"/>
          <w:kern w:val="0"/>
          <w:sz w:val="28"/>
          <w:szCs w:val="28"/>
        </w:rPr>
        <w:t>如在检修和正常工作时，机器突然被别人随意启动，导致事故发生；⑥在不安全的机械上停留、休息，导致事故发生等。</w:t>
      </w:r>
    </w:p>
    <w:p>
      <w:pPr>
        <w:spacing w:line="360" w:lineRule="auto"/>
        <w:ind w:firstLine="515" w:firstLineChars="184"/>
        <w:rPr>
          <w:rFonts w:hint="eastAsia" w:ascii="宋体" w:hAnsi="宋体"/>
          <w:bCs/>
          <w:snapToGrid w:val="0"/>
          <w:kern w:val="0"/>
          <w:sz w:val="28"/>
          <w:szCs w:val="28"/>
        </w:rPr>
      </w:pPr>
      <w:r>
        <w:rPr>
          <w:rFonts w:hint="eastAsia" w:ascii="宋体" w:hAnsi="宋体"/>
          <w:snapToGrid w:val="0"/>
          <w:kern w:val="0"/>
          <w:sz w:val="28"/>
          <w:szCs w:val="28"/>
        </w:rPr>
        <w:t>机械伤害的主要后果是造成人员伤亡，其次是对物件的损坏。</w:t>
      </w:r>
      <w:r>
        <w:rPr>
          <w:rFonts w:ascii="宋体" w:hAnsi="宋体"/>
          <w:bCs/>
          <w:snapToGrid w:val="0"/>
          <w:kern w:val="0"/>
          <w:sz w:val="28"/>
          <w:szCs w:val="28"/>
        </w:rPr>
        <w:t>因此，加强生产作业中的安全防护是防止机械伤害事故的关键，即保持安全防护设施的完好，按规定使用安全防护用品等。同时加强安全管理力度，禁止违章作业和冒险接触机械危险部位，操作时集中精力，防止非操作人员随意开机，做好正常检修设备时的安全防护措施等对于预防机械事故的发生也很重要。</w:t>
      </w:r>
    </w:p>
    <w:p>
      <w:pPr>
        <w:spacing w:line="360" w:lineRule="auto"/>
        <w:ind w:firstLine="515" w:firstLineChars="184"/>
        <w:rPr>
          <w:rFonts w:hint="eastAsia" w:ascii="宋体" w:hAnsi="宋体"/>
          <w:snapToGrid w:val="0"/>
          <w:kern w:val="0"/>
          <w:sz w:val="28"/>
          <w:szCs w:val="28"/>
        </w:rPr>
      </w:pPr>
      <w:r>
        <w:rPr>
          <w:rFonts w:hint="eastAsia" w:ascii="宋体" w:hAnsi="宋体"/>
          <w:snapToGrid w:val="0"/>
          <w:kern w:val="0"/>
          <w:sz w:val="28"/>
          <w:szCs w:val="28"/>
        </w:rPr>
        <w:t>砖瓦厂在泥土破碎、运输、搅拌、挤压成型、截条、切条等过程中涉及到机械设备，某些设备的转动部件、移动部件等若缺乏良好的防护设施或防护设施有缺陷、操作错误等，均可能造成人身伤害。若没有配备或正确穿戴必需的劳动防护用品时，也可能造成机械伤害。</w:t>
      </w:r>
    </w:p>
    <w:p>
      <w:pPr>
        <w:pStyle w:val="8"/>
        <w:spacing w:line="360" w:lineRule="auto"/>
        <w:ind w:firstLine="0" w:firstLineChars="0"/>
        <w:outlineLvl w:val="2"/>
        <w:rPr>
          <w:rFonts w:hint="eastAsia" w:ascii="宋体" w:hAnsi="宋体"/>
          <w:b/>
          <w:snapToGrid w:val="0"/>
          <w:kern w:val="0"/>
          <w:sz w:val="28"/>
          <w:szCs w:val="28"/>
        </w:rPr>
      </w:pPr>
      <w:bookmarkStart w:id="173" w:name="_Toc514342850"/>
      <w:bookmarkStart w:id="174" w:name="_Toc356401495"/>
      <w:bookmarkStart w:id="175" w:name="_Toc3451"/>
      <w:bookmarkStart w:id="176" w:name="_Toc480804398"/>
      <w:bookmarkStart w:id="177" w:name="_Toc350781098"/>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5.3</w:t>
      </w:r>
      <w:r>
        <w:rPr>
          <w:rFonts w:ascii="宋体" w:hAnsi="宋体"/>
          <w:b/>
          <w:snapToGrid w:val="0"/>
          <w:kern w:val="0"/>
          <w:sz w:val="28"/>
          <w:szCs w:val="28"/>
        </w:rPr>
        <w:t xml:space="preserve"> 触电</w:t>
      </w:r>
      <w:r>
        <w:rPr>
          <w:rFonts w:hint="eastAsia" w:ascii="宋体" w:hAnsi="宋体"/>
          <w:b/>
          <w:snapToGrid w:val="0"/>
          <w:kern w:val="0"/>
          <w:sz w:val="28"/>
          <w:szCs w:val="28"/>
        </w:rPr>
        <w:t>事故</w:t>
      </w:r>
      <w:bookmarkEnd w:id="173"/>
      <w:bookmarkEnd w:id="174"/>
      <w:bookmarkEnd w:id="175"/>
      <w:bookmarkEnd w:id="176"/>
      <w:bookmarkEnd w:id="177"/>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触电事故是指由于电流流经人体导致的生理伤害，包括雷击伤亡事故。</w:t>
      </w:r>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触电伤害产生的主要原因：①电气线路或电气设备在设计、安装上存在缺陷，或在运行中缺乏必要的检修维护；②没有设置必要的安全技术措施</w:t>
      </w:r>
      <w:r>
        <w:rPr>
          <w:rFonts w:ascii="宋体" w:hAnsi="宋体"/>
          <w:bCs/>
          <w:snapToGrid w:val="0"/>
          <w:kern w:val="0"/>
          <w:sz w:val="28"/>
          <w:szCs w:val="28"/>
        </w:rPr>
        <w:t>(</w:t>
      </w:r>
      <w:r>
        <w:rPr>
          <w:rFonts w:hint="eastAsia" w:ascii="宋体" w:hAnsi="宋体"/>
          <w:bCs/>
          <w:snapToGrid w:val="0"/>
          <w:kern w:val="0"/>
          <w:sz w:val="28"/>
          <w:szCs w:val="28"/>
        </w:rPr>
        <w:t>如保护接零、漏电保护、安全电压等</w:t>
      </w:r>
      <w:r>
        <w:rPr>
          <w:rFonts w:ascii="宋体" w:hAnsi="宋体"/>
          <w:bCs/>
          <w:snapToGrid w:val="0"/>
          <w:kern w:val="0"/>
          <w:sz w:val="28"/>
          <w:szCs w:val="28"/>
        </w:rPr>
        <w:t>)</w:t>
      </w:r>
      <w:r>
        <w:rPr>
          <w:rFonts w:hint="eastAsia" w:ascii="宋体" w:hAnsi="宋体"/>
          <w:bCs/>
          <w:snapToGrid w:val="0"/>
          <w:kern w:val="0"/>
          <w:sz w:val="28"/>
          <w:szCs w:val="28"/>
        </w:rPr>
        <w:t>，或安全措施失效；③电气设备运行管理不当，安全管理制度不完善；④专业电工或机电设备操作人员操作失误，或违章作业等；⑤非专业电工人员私自进行检修、接线等专业工作；⑥电气安全管理工作存在漏洞；⑦在规定地点没有使用安全电压；⑧违章指挥等。</w:t>
      </w:r>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可能存在的触电场所有</w:t>
      </w:r>
      <w:r>
        <w:rPr>
          <w:rFonts w:ascii="宋体" w:hAnsi="宋体"/>
          <w:bCs/>
          <w:snapToGrid w:val="0"/>
          <w:kern w:val="0"/>
          <w:sz w:val="28"/>
          <w:szCs w:val="28"/>
        </w:rPr>
        <w:t>:</w:t>
      </w:r>
      <w:r>
        <w:rPr>
          <w:rFonts w:hint="eastAsia" w:ascii="宋体" w:hAnsi="宋体"/>
          <w:bCs/>
          <w:snapToGrid w:val="0"/>
          <w:kern w:val="0"/>
          <w:sz w:val="28"/>
          <w:szCs w:val="28"/>
        </w:rPr>
        <w:t>地面变压器、配电线路以及在生产过程中使用的各种电气设备、动力设备采用闸刀直接起动的设备、手持电动设备、照明线路及照明器具等。</w:t>
      </w:r>
    </w:p>
    <w:p>
      <w:pPr>
        <w:spacing w:line="360" w:lineRule="auto"/>
        <w:ind w:firstLine="560" w:firstLineChars="200"/>
        <w:rPr>
          <w:rFonts w:hint="eastAsia" w:ascii="宋体" w:hAnsi="宋体"/>
          <w:bCs/>
          <w:snapToGrid w:val="0"/>
          <w:kern w:val="0"/>
          <w:sz w:val="28"/>
          <w:szCs w:val="28"/>
        </w:rPr>
      </w:pPr>
      <w:r>
        <w:rPr>
          <w:rFonts w:hint="eastAsia" w:ascii="宋体" w:hAnsi="宋体"/>
          <w:bCs/>
          <w:snapToGrid w:val="0"/>
          <w:kern w:val="0"/>
          <w:sz w:val="28"/>
          <w:szCs w:val="28"/>
        </w:rPr>
        <w:t>触电伤害的后果是直接造成人员伤亡事故。</w:t>
      </w:r>
    </w:p>
    <w:p>
      <w:pPr>
        <w:pStyle w:val="8"/>
        <w:spacing w:line="360" w:lineRule="auto"/>
        <w:ind w:firstLine="0" w:firstLineChars="0"/>
        <w:outlineLvl w:val="2"/>
        <w:rPr>
          <w:rFonts w:hint="eastAsia" w:ascii="宋体" w:hAnsi="宋体"/>
          <w:b/>
          <w:snapToGrid w:val="0"/>
          <w:kern w:val="0"/>
          <w:sz w:val="28"/>
          <w:szCs w:val="28"/>
        </w:rPr>
      </w:pPr>
      <w:bookmarkStart w:id="178" w:name="_Toc514342851"/>
      <w:bookmarkStart w:id="179" w:name="_Toc15657"/>
      <w:bookmarkStart w:id="180" w:name="_Toc356380985"/>
      <w:bookmarkStart w:id="181" w:name="_Toc356401496"/>
      <w:bookmarkStart w:id="182" w:name="_Toc332350857"/>
      <w:bookmarkStart w:id="183" w:name="_Toc48080439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5.4 高处坠落</w:t>
      </w:r>
      <w:bookmarkEnd w:id="178"/>
      <w:bookmarkEnd w:id="179"/>
      <w:bookmarkEnd w:id="180"/>
      <w:bookmarkEnd w:id="181"/>
      <w:bookmarkEnd w:id="182"/>
      <w:bookmarkEnd w:id="183"/>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高处坠落指在高处作业中发生坠落造成的伤亡事故，不包括触电坠落事故。</w:t>
      </w:r>
      <w:r>
        <w:rPr>
          <w:rFonts w:ascii="宋体" w:hAnsi="宋体"/>
          <w:bCs/>
          <w:snapToGrid w:val="0"/>
          <w:kern w:val="0"/>
          <w:sz w:val="28"/>
          <w:szCs w:val="28"/>
        </w:rPr>
        <w:t>高处坠落主要包括：采场顶部的高处坠落，检修安装设备时的高处坠落，人员行进中的意外滑倒等，增加防护装置是预防事故发生的重要措施。</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造成高处坠落的主要原因有：①没有按要求使用安全带、安全索；②没有按要求穿防滑性能良好的软底鞋；③高处作业时安全防护设施不完善或损坏；④工作责任心不强，主观判断失误；⑤使用安全保护装置不完善或缺乏的设备、设施进行作业；⑥作业人员疏忽大意，疲劳作业；⑦高处作业无专人负责指挥，安全管理不到位；⑧作业场所狭小，不符合安全要求。</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阴雨、积雪可引起料堆、砖坯堆垛坍方；料场土堆高3米，在堆料、喂料过程中土堆可能发生坍塌；料场打堆车道宽6米、坡度25°，在往高处打堆时，由于料堆松软，有可能造成运输机械侧翻、被掩埋的潜在危险，同时现场作业人员或外来人员有被压埋的潜在危险。同时，窑炉和烟囱在进行相关作业时，也存在坍塌和高处坠落的危险。</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高处坠落造成的事故的后果是人员伤亡和设备损坏。</w:t>
      </w:r>
    </w:p>
    <w:bookmarkEnd w:id="109"/>
    <w:p>
      <w:pPr>
        <w:pStyle w:val="8"/>
        <w:spacing w:line="360" w:lineRule="auto"/>
        <w:ind w:firstLine="0" w:firstLineChars="0"/>
        <w:outlineLvl w:val="2"/>
        <w:rPr>
          <w:rFonts w:ascii="宋体" w:hAnsi="宋体"/>
          <w:b/>
          <w:snapToGrid w:val="0"/>
          <w:kern w:val="0"/>
          <w:sz w:val="28"/>
          <w:szCs w:val="28"/>
        </w:rPr>
      </w:pPr>
      <w:bookmarkStart w:id="184" w:name="_Toc480804400"/>
      <w:bookmarkStart w:id="185" w:name="_Toc356401497"/>
      <w:bookmarkStart w:id="186" w:name="_Toc16448"/>
      <w:bookmarkStart w:id="187" w:name="_Toc514342852"/>
      <w:bookmarkStart w:id="188" w:name="_Toc35078109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ascii="宋体" w:hAnsi="宋体"/>
          <w:b/>
          <w:snapToGrid w:val="0"/>
          <w:kern w:val="0"/>
          <w:sz w:val="28"/>
          <w:szCs w:val="28"/>
        </w:rPr>
        <w:t>.</w:t>
      </w:r>
      <w:r>
        <w:rPr>
          <w:rFonts w:hint="eastAsia" w:ascii="宋体" w:hAnsi="宋体"/>
          <w:b/>
          <w:snapToGrid w:val="0"/>
          <w:kern w:val="0"/>
          <w:sz w:val="28"/>
          <w:szCs w:val="28"/>
        </w:rPr>
        <w:t>5</w:t>
      </w:r>
      <w:r>
        <w:rPr>
          <w:rFonts w:ascii="宋体" w:hAnsi="宋体"/>
          <w:b/>
          <w:snapToGrid w:val="0"/>
          <w:kern w:val="0"/>
          <w:sz w:val="28"/>
          <w:szCs w:val="28"/>
        </w:rPr>
        <w:t xml:space="preserve"> 物体打击</w:t>
      </w:r>
      <w:bookmarkEnd w:id="184"/>
      <w:bookmarkEnd w:id="185"/>
      <w:bookmarkEnd w:id="186"/>
      <w:bookmarkEnd w:id="187"/>
      <w:bookmarkEnd w:id="188"/>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物体打击事故是指物体在重力或其它外力的作用下产生运动，打击人体造成人身伤亡事故，不包括因机械设备、车辆、起重机械、坍塌等引发的物体打击。</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造成物体打击的主要原因有</w:t>
      </w:r>
      <w:r>
        <w:rPr>
          <w:rFonts w:ascii="宋体" w:hAnsi="宋体"/>
          <w:snapToGrid w:val="0"/>
          <w:kern w:val="0"/>
          <w:sz w:val="28"/>
          <w:szCs w:val="28"/>
        </w:rPr>
        <w:t>:</w:t>
      </w:r>
      <w:r>
        <w:rPr>
          <w:rFonts w:hint="eastAsia" w:ascii="宋体" w:hAnsi="宋体"/>
          <w:snapToGrid w:val="0"/>
          <w:kern w:val="0"/>
          <w:sz w:val="28"/>
          <w:szCs w:val="28"/>
        </w:rPr>
        <w:t>①工作场所狭小，缺乏躲避空间，上下同时作业；②没有排险工具或排险工具有缺陷等；③工作时精力不集中，对出现的险情不能及时做出反应；④安全帽等劳保用品穿戴不规范、不齐全；⑤传递工具物件方法不当等</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可能发生的物体打击事故：拆卸设备部件时敲打工具造成工具强出伤人；高空作业时，由于工具、托辊、零件、砖瓦、木块等物不慎从高处掉落伤人或乱扔废物、杂物击中他人；</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一旦遭受物体打击其后果是人员的伤亡和物品的损毁。</w:t>
      </w:r>
    </w:p>
    <w:p>
      <w:pPr>
        <w:pStyle w:val="8"/>
        <w:spacing w:line="360" w:lineRule="auto"/>
        <w:ind w:firstLine="0" w:firstLineChars="0"/>
        <w:outlineLvl w:val="2"/>
        <w:rPr>
          <w:rFonts w:hint="eastAsia" w:ascii="宋体" w:hAnsi="宋体"/>
          <w:b/>
          <w:snapToGrid w:val="0"/>
          <w:kern w:val="0"/>
          <w:sz w:val="28"/>
          <w:szCs w:val="28"/>
        </w:rPr>
      </w:pPr>
      <w:bookmarkStart w:id="189" w:name="_Toc350781100"/>
      <w:bookmarkStart w:id="190" w:name="_Toc356401498"/>
      <w:bookmarkStart w:id="191" w:name="_Toc17601"/>
      <w:bookmarkStart w:id="192" w:name="_Toc480804401"/>
      <w:bookmarkStart w:id="193" w:name="_Toc514342853"/>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5.6 火灾</w:t>
      </w:r>
      <w:bookmarkEnd w:id="189"/>
      <w:r>
        <w:rPr>
          <w:rFonts w:hint="eastAsia" w:ascii="宋体" w:hAnsi="宋体"/>
          <w:b/>
          <w:snapToGrid w:val="0"/>
          <w:kern w:val="0"/>
          <w:sz w:val="28"/>
          <w:szCs w:val="28"/>
        </w:rPr>
        <w:t>事故</w:t>
      </w:r>
      <w:bookmarkEnd w:id="190"/>
      <w:bookmarkEnd w:id="191"/>
      <w:bookmarkEnd w:id="192"/>
      <w:bookmarkEnd w:id="193"/>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火灾是指企业内所发生的火灾。</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火灾事故产生的主要原因</w:t>
      </w:r>
      <w:r>
        <w:rPr>
          <w:rFonts w:ascii="宋体" w:hAnsi="宋体"/>
          <w:snapToGrid w:val="0"/>
          <w:kern w:val="0"/>
          <w:sz w:val="28"/>
          <w:szCs w:val="28"/>
        </w:rPr>
        <w:t>:</w:t>
      </w:r>
      <w:r>
        <w:rPr>
          <w:rFonts w:hint="eastAsia" w:ascii="宋体" w:hAnsi="宋体"/>
          <w:snapToGrid w:val="0"/>
          <w:kern w:val="0"/>
          <w:sz w:val="28"/>
          <w:szCs w:val="28"/>
        </w:rPr>
        <w:t>①明火</w:t>
      </w:r>
      <w:r>
        <w:rPr>
          <w:rFonts w:ascii="宋体" w:hAnsi="宋体"/>
          <w:snapToGrid w:val="0"/>
          <w:kern w:val="0"/>
          <w:sz w:val="28"/>
          <w:szCs w:val="28"/>
        </w:rPr>
        <w:t>(</w:t>
      </w:r>
      <w:r>
        <w:rPr>
          <w:rFonts w:hint="eastAsia" w:ascii="宋体" w:hAnsi="宋体"/>
          <w:snapToGrid w:val="0"/>
          <w:kern w:val="0"/>
          <w:sz w:val="28"/>
          <w:szCs w:val="28"/>
        </w:rPr>
        <w:t>包括火柴点火、吸烟、电焊、气焊、明火灯等</w:t>
      </w:r>
      <w:r>
        <w:rPr>
          <w:rFonts w:ascii="宋体" w:hAnsi="宋体"/>
          <w:snapToGrid w:val="0"/>
          <w:kern w:val="0"/>
          <w:sz w:val="28"/>
          <w:szCs w:val="28"/>
        </w:rPr>
        <w:t>)</w:t>
      </w:r>
      <w:r>
        <w:rPr>
          <w:rFonts w:hint="eastAsia" w:ascii="宋体" w:hAnsi="宋体"/>
          <w:snapToGrid w:val="0"/>
          <w:kern w:val="0"/>
          <w:sz w:val="28"/>
          <w:szCs w:val="28"/>
        </w:rPr>
        <w:t>所引燃；②油料</w:t>
      </w:r>
      <w:r>
        <w:rPr>
          <w:rFonts w:ascii="宋体" w:hAnsi="宋体"/>
          <w:snapToGrid w:val="0"/>
          <w:kern w:val="0"/>
          <w:sz w:val="28"/>
          <w:szCs w:val="28"/>
        </w:rPr>
        <w:t>(</w:t>
      </w:r>
      <w:r>
        <w:rPr>
          <w:rFonts w:hint="eastAsia" w:ascii="宋体" w:hAnsi="宋体"/>
          <w:snapToGrid w:val="0"/>
          <w:kern w:val="0"/>
          <w:sz w:val="28"/>
          <w:szCs w:val="28"/>
        </w:rPr>
        <w:t>润滑油、变压器油、液压设备用油、柴油设备用油、维修设备用油等</w:t>
      </w:r>
      <w:r>
        <w:rPr>
          <w:rFonts w:ascii="宋体" w:hAnsi="宋体"/>
          <w:snapToGrid w:val="0"/>
          <w:kern w:val="0"/>
          <w:sz w:val="28"/>
          <w:szCs w:val="28"/>
        </w:rPr>
        <w:t>)</w:t>
      </w:r>
      <w:r>
        <w:rPr>
          <w:rFonts w:hint="eastAsia" w:ascii="宋体" w:hAnsi="宋体"/>
          <w:snapToGrid w:val="0"/>
          <w:kern w:val="0"/>
          <w:sz w:val="28"/>
          <w:szCs w:val="28"/>
        </w:rPr>
        <w:t>保管、运输和使用不当；③电缆、电线、电动机、电钻等电器设备绝缘损坏及性能不良产生的电弧、电火花、漏电、失爆、短路或超负荷运行引起火灾；④保险丝</w:t>
      </w:r>
      <w:r>
        <w:rPr>
          <w:rFonts w:ascii="宋体" w:hAnsi="宋体"/>
          <w:snapToGrid w:val="0"/>
          <w:kern w:val="0"/>
          <w:sz w:val="28"/>
          <w:szCs w:val="28"/>
        </w:rPr>
        <w:t>(</w:t>
      </w:r>
      <w:r>
        <w:rPr>
          <w:rFonts w:hint="eastAsia" w:ascii="宋体" w:hAnsi="宋体"/>
          <w:snapToGrid w:val="0"/>
          <w:kern w:val="0"/>
          <w:sz w:val="28"/>
          <w:szCs w:val="28"/>
        </w:rPr>
        <w:t>片</w:t>
      </w:r>
      <w:r>
        <w:rPr>
          <w:rFonts w:ascii="宋体" w:hAnsi="宋体"/>
          <w:snapToGrid w:val="0"/>
          <w:kern w:val="0"/>
          <w:sz w:val="28"/>
          <w:szCs w:val="28"/>
        </w:rPr>
        <w:t>)</w:t>
      </w:r>
      <w:r>
        <w:rPr>
          <w:rFonts w:hint="eastAsia" w:ascii="宋体" w:hAnsi="宋体"/>
          <w:snapToGrid w:val="0"/>
          <w:kern w:val="0"/>
          <w:sz w:val="28"/>
          <w:szCs w:val="28"/>
        </w:rPr>
        <w:t>选用不当，使用铜丝、铝线代替保险丝；⑤油开关及配电箱内油料着火</w:t>
      </w:r>
      <w:r>
        <w:rPr>
          <w:rFonts w:ascii="宋体" w:hAnsi="宋体"/>
          <w:snapToGrid w:val="0"/>
          <w:kern w:val="0"/>
          <w:sz w:val="28"/>
          <w:szCs w:val="28"/>
        </w:rPr>
        <w:t>;</w:t>
      </w:r>
      <w:r>
        <w:rPr>
          <w:rFonts w:hint="eastAsia" w:ascii="宋体" w:hAnsi="宋体"/>
          <w:snapToGrid w:val="0"/>
          <w:kern w:val="0"/>
          <w:sz w:val="28"/>
          <w:szCs w:val="28"/>
        </w:rPr>
        <w:t>⑥机械作用</w:t>
      </w:r>
      <w:r>
        <w:rPr>
          <w:rFonts w:ascii="宋体" w:hAnsi="宋体"/>
          <w:snapToGrid w:val="0"/>
          <w:kern w:val="0"/>
          <w:sz w:val="28"/>
          <w:szCs w:val="28"/>
        </w:rPr>
        <w:t>(</w:t>
      </w:r>
      <w:r>
        <w:rPr>
          <w:rFonts w:hint="eastAsia" w:ascii="宋体" w:hAnsi="宋体"/>
          <w:snapToGrid w:val="0"/>
          <w:kern w:val="0"/>
          <w:sz w:val="28"/>
          <w:szCs w:val="28"/>
        </w:rPr>
        <w:t>包括摩擦、震动冲击等</w:t>
      </w:r>
      <w:r>
        <w:rPr>
          <w:rFonts w:ascii="宋体" w:hAnsi="宋体"/>
          <w:snapToGrid w:val="0"/>
          <w:kern w:val="0"/>
          <w:sz w:val="28"/>
          <w:szCs w:val="28"/>
        </w:rPr>
        <w:t>)</w:t>
      </w:r>
      <w:r>
        <w:rPr>
          <w:rFonts w:hint="eastAsia" w:ascii="宋体" w:hAnsi="宋体"/>
          <w:snapToGrid w:val="0"/>
          <w:kern w:val="0"/>
          <w:sz w:val="28"/>
          <w:szCs w:val="28"/>
        </w:rPr>
        <w:t>所引起。</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火灾可能发生在空压机房、机修车间、综合材料库、变压器等用电部位。</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火灾事故的主要后果是造成人员伤亡和财产损失。</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94" w:name="_Toc359225364"/>
      <w:bookmarkStart w:id="195" w:name="_Toc413834088"/>
      <w:bookmarkStart w:id="196" w:name="_Toc349"/>
      <w:bookmarkStart w:id="197" w:name="_Toc496016651"/>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hint="eastAsia" w:ascii="宋体" w:hAnsi="宋体"/>
          <w:b/>
          <w:snapToGrid w:val="0"/>
          <w:kern w:val="0"/>
          <w:sz w:val="28"/>
          <w:szCs w:val="28"/>
          <w:lang w:val="en-US" w:eastAsia="zh-CN"/>
        </w:rPr>
        <w:t>7 坍塌</w:t>
      </w:r>
      <w:bookmarkEnd w:id="194"/>
      <w:bookmarkEnd w:id="195"/>
      <w:bookmarkEnd w:id="196"/>
      <w:bookmarkEnd w:id="197"/>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坍塌事故产生的主要原因有：①确定的边坡角不合理；②地质因素对边坡的影响；③岩体中的地下水；④人为因素；⑤风化作用；⑥地震等。坍塌是</w:t>
      </w:r>
      <w:r>
        <w:rPr>
          <w:rFonts w:hint="eastAsia" w:ascii="宋体" w:hAnsi="宋体" w:cs="宋体"/>
          <w:color w:val="auto"/>
          <w:sz w:val="28"/>
          <w:szCs w:val="28"/>
          <w:lang w:eastAsia="zh-CN"/>
        </w:rPr>
        <w:t>砖厂页岩开采</w:t>
      </w:r>
      <w:r>
        <w:rPr>
          <w:rFonts w:hint="eastAsia" w:ascii="宋体" w:hAnsi="宋体" w:cs="宋体"/>
          <w:color w:val="auto"/>
          <w:sz w:val="28"/>
          <w:szCs w:val="28"/>
        </w:rPr>
        <w:t>的主要危险因素之一，发生事故的后果是造成重大人员伤亡和设备、设施损坏，对生产企业造成重大经济损失。</w:t>
      </w:r>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本项目存在原料堆放、砖坯堆码、成品堆垛等工序。如原料打堆过高，由于料堆松软，有可能造成运输机械侧翻、被掩埋的潜在危险，同时现场作业人员或外来人员有被压埋的潜在危险。工作人员在窑内码坯和成品堆垛过程中，由于砖坯堆放不稳，堆放过高或地基不稳，堆垛码放不符合要求，都可能会引起坯（砖）垛倒塌，发生倒塌伤人、损物等事故。</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98" w:name="_Toc21217"/>
      <w:r>
        <w:rPr>
          <w:rFonts w:hint="eastAsia" w:ascii="宋体" w:hAnsi="宋体"/>
          <w:b/>
          <w:snapToGrid w:val="0"/>
          <w:kern w:val="0"/>
          <w:sz w:val="28"/>
          <w:szCs w:val="28"/>
          <w:lang w:val="en-US" w:eastAsia="zh-CN"/>
        </w:rPr>
        <w:t>3.5.8中毒窒息</w:t>
      </w:r>
      <w:bookmarkEnd w:id="198"/>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产生的主要原因：①出窑作业未按规定通风；②烧窑过程燃烧不充分产生有毒气体; ③人员违反规定进入受限空间作业;④窑台边缘安全防护措施未落实,未设警示标识,人员误操作或能见度低引发高空坠落事故。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可能存在的</w:t>
      </w: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场所有:砖窑</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的主要后果是中毒窒息、高处坠落造成人员死亡、人身伤害、经济损失等。事故多发生生产旺季。</w:t>
      </w:r>
    </w:p>
    <w:p>
      <w:pPr>
        <w:pStyle w:val="8"/>
        <w:spacing w:line="360" w:lineRule="auto"/>
        <w:ind w:firstLine="0" w:firstLineChars="0"/>
        <w:outlineLvl w:val="2"/>
        <w:rPr>
          <w:rFonts w:hint="eastAsia" w:ascii="宋体" w:hAnsi="宋体"/>
          <w:b/>
          <w:snapToGrid w:val="0"/>
          <w:color w:val="FF0000"/>
          <w:kern w:val="0"/>
          <w:sz w:val="28"/>
          <w:szCs w:val="28"/>
          <w:lang w:val="en-US" w:eastAsia="zh-CN"/>
        </w:rPr>
      </w:pPr>
      <w:bookmarkStart w:id="199" w:name="_Toc481870967"/>
      <w:bookmarkStart w:id="200" w:name="_Toc332350852"/>
      <w:bookmarkStart w:id="201" w:name="_Toc499478606"/>
      <w:bookmarkStart w:id="202" w:name="_Toc515659445"/>
      <w:bookmarkStart w:id="203" w:name="_Toc22335"/>
      <w:bookmarkStart w:id="204" w:name="_Toc511994834"/>
      <w:r>
        <w:rPr>
          <w:rFonts w:hint="eastAsia" w:ascii="宋体" w:hAnsi="宋体"/>
          <w:b/>
          <w:snapToGrid w:val="0"/>
          <w:color w:val="FF0000"/>
          <w:kern w:val="0"/>
          <w:sz w:val="28"/>
          <w:szCs w:val="28"/>
          <w:lang w:val="en-US" w:eastAsia="zh-CN"/>
        </w:rPr>
        <w:t>3.5.9高温</w:t>
      </w:r>
      <w:bookmarkEnd w:id="199"/>
      <w:bookmarkEnd w:id="200"/>
      <w:r>
        <w:rPr>
          <w:rFonts w:hint="eastAsia" w:ascii="宋体" w:hAnsi="宋体"/>
          <w:b/>
          <w:snapToGrid w:val="0"/>
          <w:color w:val="FF0000"/>
          <w:kern w:val="0"/>
          <w:sz w:val="28"/>
          <w:szCs w:val="28"/>
          <w:lang w:val="en-US" w:eastAsia="zh-CN"/>
        </w:rPr>
        <w:t>灼烫</w:t>
      </w:r>
      <w:bookmarkEnd w:id="201"/>
      <w:bookmarkEnd w:id="202"/>
      <w:bookmarkEnd w:id="203"/>
      <w:bookmarkEnd w:id="204"/>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在生产工艺中存在烘干窑、隧道窑及高温产品等高温作业环境，作业人员在工作过程中由于劳保用品穿戴不好，违章操作、设备设施故障泄漏或保温失效、检修过程中防护不当以及其它突发事故等原因，均可导致作业人员发生高温烫伤伤害。在烧结时，窑体加煤烧制、成品砖出窑过程中，温度较高，如窑体保温密封不良会产生较强的热辐射，作业人员长期在此环境中易受到高温中暑危害。</w:t>
      </w:r>
    </w:p>
    <w:p>
      <w:pPr>
        <w:pStyle w:val="8"/>
        <w:spacing w:line="360" w:lineRule="auto"/>
        <w:ind w:firstLine="0" w:firstLineChars="0"/>
        <w:outlineLvl w:val="2"/>
        <w:rPr>
          <w:rFonts w:hint="eastAsia" w:ascii="宋体" w:hAnsi="宋体"/>
          <w:b/>
          <w:snapToGrid w:val="0"/>
          <w:color w:val="FF0000"/>
          <w:kern w:val="0"/>
          <w:sz w:val="28"/>
          <w:szCs w:val="28"/>
          <w:lang w:val="en-US" w:eastAsia="zh-CN"/>
        </w:rPr>
      </w:pPr>
      <w:bookmarkStart w:id="205" w:name="_Toc511994833"/>
      <w:bookmarkStart w:id="206" w:name="_Toc468870614"/>
      <w:bookmarkStart w:id="207" w:name="_Toc515659444"/>
      <w:bookmarkStart w:id="208" w:name="_Toc29331"/>
      <w:r>
        <w:rPr>
          <w:rFonts w:hint="eastAsia" w:ascii="宋体" w:hAnsi="宋体"/>
          <w:b/>
          <w:snapToGrid w:val="0"/>
          <w:color w:val="FF0000"/>
          <w:kern w:val="0"/>
          <w:sz w:val="28"/>
          <w:szCs w:val="28"/>
          <w:lang w:val="en-US" w:eastAsia="zh-CN"/>
        </w:rPr>
        <w:t>3.5.10容器爆炸</w:t>
      </w:r>
      <w:bookmarkEnd w:id="205"/>
      <w:bookmarkEnd w:id="206"/>
      <w:bookmarkEnd w:id="207"/>
      <w:bookmarkEnd w:id="208"/>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公司使用的空压设备配套有压缩空气罐，压缩空气罐属于普通的一类压力容器，压力容器在使用过程中存在压力容器爆炸危险，发生容器爆炸事故的主要原因有：</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(1) 由于设计制造不当造成设备的质量不符合有关规范要求，在运行时发生爆裂，其爆裂的形式有：</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1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①</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韧性爆裂：是压力容器在内部压力下，器壁上产生的应力达到材料强度的极限而断裂的一种破坏形式。引起韧性爆裂的原因大多是：磨损、腐蚀、壁厚减薄、强度不足仍继续运行所致。</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2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②</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脆性爆裂：是容器承受的压力并不高，负荷产生的应力远小于材料屈服极限及明显的变形而突然发生爆裂，其原因是由于温度、应力集中、冲击荷载作用等因素使材料的塑性和韧性下降、材料变脆不能抑制裂纹的结果。</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3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③</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疲劳爆裂：是容器在反复的加压、卸压后，壳体材料长期受到交变载荷的作用，如反复的加压和卸压，开停车或负荷波动幅度大如吸附和再生作业时，导致操作压力波动幅度较大及工作温度周期性的变化的作用而出现的金属疲劳，从而产生的一种爆裂形式。</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4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④</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腐蚀爆裂：是容器壳体由于受到腐蚀介质作用而产生的均匀腐蚀、点腐蚀、晶间腐蚀、应力腐蚀、疲劳腐蚀而引起的爆裂。</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 xml:space="preserve">(2) 在使用过程中，若违反操作规程或因年久腐蚀严重又未按国家规定进行检测，在超压运行状态下，而安全阀又未动作时，罐体承受不住内部气压或液压时，将发生爆裂或爆炸。 </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(3) 由于压力容器的安全阀、压力表等未定期检验或损坏失灵，致不能正确显示和及时泄放，容器超压也可能引起爆炸。</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209" w:name="_Toc515659448"/>
      <w:bookmarkStart w:id="210" w:name="_Toc511994836"/>
      <w:bookmarkStart w:id="211" w:name="_Toc515657141"/>
      <w:bookmarkStart w:id="212" w:name="_Toc11706"/>
      <w:r>
        <w:rPr>
          <w:rFonts w:hint="eastAsia" w:ascii="宋体" w:hAnsi="宋体"/>
          <w:b/>
          <w:snapToGrid w:val="0"/>
          <w:kern w:val="0"/>
          <w:sz w:val="28"/>
          <w:szCs w:val="28"/>
          <w:lang w:val="en-US" w:eastAsia="zh-CN"/>
        </w:rPr>
        <w:t>3.5.11有限空间作业</w:t>
      </w:r>
      <w:bookmarkEnd w:id="209"/>
      <w:bookmarkEnd w:id="210"/>
      <w:bookmarkEnd w:id="211"/>
      <w:bookmarkEnd w:id="212"/>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本项目的各类储罐容器、脱硫塔、窑炉炉膛、砖坯烘干室、设备地下坑道、烟道等设施、设备和场所，在日常维护和检测时会进行有限空间作业。</w:t>
      </w:r>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有限空间内作业，如管理稍有不慎，极易导致火灾、爆炸、中毒、窒息等人身伤害事故，给作业人员的安全带来严重安全隐患。研究表明很多致命的有限空间事故的发生都与所在空间内存在的种危险因素未得到重视有关，而这些危险因素既可能在员工进入有限空间之前就已存在，也可能是由于他们在其间的活动形成。因此，有限空间是一种作业风险比较高，应当引起人们高度重视的作业环境。</w:t>
      </w:r>
    </w:p>
    <w:p>
      <w:pPr>
        <w:pStyle w:val="8"/>
        <w:spacing w:line="360" w:lineRule="auto"/>
        <w:ind w:firstLine="0" w:firstLineChars="0"/>
        <w:outlineLvl w:val="2"/>
        <w:rPr>
          <w:rFonts w:hint="eastAsia" w:ascii="宋体" w:hAnsi="宋体"/>
          <w:b/>
          <w:snapToGrid w:val="0"/>
          <w:kern w:val="0"/>
          <w:sz w:val="28"/>
          <w:szCs w:val="28"/>
        </w:rPr>
      </w:pPr>
      <w:bookmarkStart w:id="213" w:name="_Toc350781101"/>
      <w:bookmarkStart w:id="214" w:name="_Toc514342854"/>
      <w:bookmarkStart w:id="215" w:name="_Toc480804402"/>
      <w:bookmarkStart w:id="216" w:name="_Toc356401499"/>
      <w:bookmarkStart w:id="217" w:name="_Toc39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ascii="宋体" w:hAnsi="宋体"/>
          <w:b/>
          <w:snapToGrid w:val="0"/>
          <w:kern w:val="0"/>
          <w:sz w:val="28"/>
          <w:szCs w:val="28"/>
        </w:rPr>
        <w:t>.</w:t>
      </w:r>
      <w:r>
        <w:rPr>
          <w:rFonts w:hint="eastAsia" w:ascii="宋体" w:hAnsi="宋体"/>
          <w:b/>
          <w:snapToGrid w:val="0"/>
          <w:kern w:val="0"/>
          <w:sz w:val="28"/>
          <w:szCs w:val="28"/>
          <w:lang w:val="en-US" w:eastAsia="zh-CN"/>
        </w:rPr>
        <w:t>12</w:t>
      </w:r>
      <w:r>
        <w:rPr>
          <w:rFonts w:ascii="宋体" w:hAnsi="宋体"/>
          <w:b/>
          <w:snapToGrid w:val="0"/>
          <w:kern w:val="0"/>
          <w:sz w:val="28"/>
          <w:szCs w:val="28"/>
        </w:rPr>
        <w:t xml:space="preserve"> </w:t>
      </w:r>
      <w:r>
        <w:rPr>
          <w:rFonts w:hint="eastAsia" w:ascii="宋体" w:hAnsi="宋体"/>
          <w:b/>
          <w:snapToGrid w:val="0"/>
          <w:kern w:val="0"/>
          <w:sz w:val="28"/>
          <w:szCs w:val="28"/>
        </w:rPr>
        <w:t>职业</w:t>
      </w:r>
      <w:r>
        <w:rPr>
          <w:rFonts w:ascii="宋体" w:hAnsi="宋体"/>
          <w:b/>
          <w:snapToGrid w:val="0"/>
          <w:kern w:val="0"/>
          <w:sz w:val="28"/>
          <w:szCs w:val="28"/>
        </w:rPr>
        <w:t>危害</w:t>
      </w:r>
      <w:r>
        <w:rPr>
          <w:rFonts w:hint="eastAsia" w:ascii="宋体" w:hAnsi="宋体"/>
          <w:b/>
          <w:snapToGrid w:val="0"/>
          <w:kern w:val="0"/>
          <w:sz w:val="28"/>
          <w:szCs w:val="28"/>
        </w:rPr>
        <w:t>因素</w:t>
      </w:r>
      <w:bookmarkEnd w:id="213"/>
      <w:bookmarkEnd w:id="214"/>
      <w:bookmarkEnd w:id="215"/>
      <w:bookmarkEnd w:id="216"/>
      <w:bookmarkEnd w:id="217"/>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.1 粉尘</w:t>
      </w:r>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eastAsia="宋体" w:cstheme="minorBidi"/>
          <w:snapToGrid w:val="0"/>
          <w:color w:val="auto"/>
          <w:kern w:val="0"/>
          <w:sz w:val="28"/>
          <w:szCs w:val="28"/>
          <w:lang w:val="en-US" w:eastAsia="zh-CN" w:bidi="ar-SA"/>
        </w:rPr>
        <w:t>窑体在加煤烧制过程中窑顶部、出窑时窑洞中粉尘浓度较大，作</w:t>
      </w:r>
      <w:r>
        <w:rPr>
          <w:rFonts w:hint="eastAsia" w:ascii="宋体" w:hAnsi="宋体"/>
          <w:snapToGrid w:val="0"/>
          <w:color w:val="auto"/>
          <w:kern w:val="0"/>
          <w:sz w:val="28"/>
          <w:szCs w:val="28"/>
          <w:lang w:eastAsia="zh-CN"/>
        </w:rPr>
        <w:t>业人员在此环境中易受到粉尘危害。粉尘危害是砖厂生产作业中最大危害之一。粉尘是在生产过程中产生的细粒状矿物或岩石粉尘。</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粉尘的环节主要有原料装卸、破碎等生产过程。在上述生产作业中产生的细粒状矿物或岩石粉尘，直径大于50μm的尘粒，在重力作用下会很快从气流中分离出来，沉落于地面，此类矿尘称为落尘；直径在0.01～50μm范围内的尘粒，能长时间悬浮于空气中，此类矿尘叫做浮尘。浮尘对空气的污染和对人体健康具有重大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.2 烟气</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烧结自保温砌块的制造生产主要采用内燃烧成工艺，但有时也需要补充少量的外燃，其内燃热值一般为300～500cal/g，因此烟气成分复杂，废气中以无机污染物为主。燃烧过程中可逸出有害气体S02、HF、NOx、CO、HC1等，其主要污染物是S02气体，如不加以治理，将会对工作场所人员健康和环境造成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.3 噪声、振动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噪声指声强和频率的变化都无规律、杂乱无章的声音。砖厂噪声具有强度大、声级高、噪声源多、干扰时间长以及连续噪声多等特点。</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噪声与振动主要来源于各种设备在运转过程中由于震动、摩擦、碰撞而产生的机械动力噪声和由风管排气、漏气而产生的气体动力噪声。</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产生噪声与振动的设备和场所：空压机和空压机泵房；制砖工作面；装载、挖掘设备驾驶室。</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噪声可以使人耳聋，还可能引起高血压、心脏病、神经官能症等疾病。噪声还污染环境，影响人们的正常生活和生产活动。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.4 高温、低温</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高温、高湿环境会增加人员中暑机率，并会加速有毒物质吸收，会导致操作失误率升高，易发生事故，长期在高温、高湿环境下工作，可引发关节炎等疾病；高温、高湿环境会加速材料的腐蚀；过大的湿度会引起电气设备受潮、绝缘下降，引起触电事故；</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在烧结时，窑体加煤烧制、成品砖出窑过程中，温度较高，如窑体保温密封不良会产生较强的热辐射，作业人员在此环境中易受到高温危害。</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在低温环境下，人员操作功能随温度的下降而明显下降，注意力不集中，反应时间延长，作业失误率上升，且可能发生冻伤。</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218" w:name="_Toc413834096"/>
      <w:bookmarkStart w:id="219" w:name="_Toc359225372"/>
      <w:bookmarkStart w:id="220" w:name="_Toc12342"/>
      <w:bookmarkStart w:id="221" w:name="_Toc496016659"/>
      <w:r>
        <w:rPr>
          <w:rFonts w:hint="eastAsia" w:ascii="宋体" w:hAnsi="宋体"/>
          <w:b/>
          <w:snapToGrid w:val="0"/>
          <w:kern w:val="0"/>
          <w:sz w:val="28"/>
          <w:szCs w:val="28"/>
          <w:lang w:val="en-US" w:eastAsia="zh-CN"/>
        </w:rPr>
        <w:t>3.5.13 自然灾害</w:t>
      </w:r>
      <w:bookmarkEnd w:id="218"/>
      <w:bookmarkEnd w:id="219"/>
      <w:bookmarkEnd w:id="220"/>
      <w:bookmarkEnd w:id="221"/>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.1 地震灾害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地震发生时，可能使建筑物倒塌，建筑设施结构破坏造成人员伤亡，也可能使电气系统短路导致火灾事故发生等。</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.2 雷击危害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雷雨云对地放电形成直击雷。雷击发生时，强大的冲击电压和雷电流会毁坏各种电气设备，强烈的空气扰动会使建筑物和设备损坏，其热效应会引起火灾，还可能击中人员事故伤亡事故。除直击雷外，还有雷电感应、球型雷和雷电侵入波等都可造成危害，其中直击雷的危害最大，此外雷电还可通过静电感应或电磁感应产生破坏作用。</w:t>
      </w:r>
    </w:p>
    <w:p>
      <w:pPr>
        <w:pStyle w:val="8"/>
        <w:spacing w:line="360" w:lineRule="auto"/>
        <w:ind w:firstLine="0" w:firstLineChars="0"/>
        <w:outlineLvl w:val="1"/>
        <w:rPr>
          <w:rFonts w:hint="eastAsia" w:ascii="黑体" w:hAnsi="宋体" w:eastAsia="黑体"/>
          <w:b/>
          <w:snapToGrid w:val="0"/>
          <w:kern w:val="0"/>
          <w:sz w:val="32"/>
          <w:szCs w:val="32"/>
        </w:rPr>
      </w:pPr>
      <w:bookmarkStart w:id="222" w:name="_Toc484594602"/>
      <w:bookmarkStart w:id="223" w:name="_Toc514342856"/>
      <w:bookmarkStart w:id="224" w:name="_Toc14347"/>
      <w:bookmarkStart w:id="225" w:name="_Toc303340324"/>
      <w:bookmarkStart w:id="226" w:name="_Toc325528024"/>
      <w:bookmarkStart w:id="227" w:name="_Toc304291284"/>
      <w:r>
        <w:rPr>
          <w:rFonts w:hint="eastAsia" w:ascii="黑体" w:hAnsi="宋体" w:eastAsia="黑体"/>
          <w:b/>
          <w:snapToGrid w:val="0"/>
          <w:kern w:val="0"/>
          <w:sz w:val="32"/>
          <w:szCs w:val="32"/>
          <w:lang w:val="en-US" w:eastAsia="zh-CN"/>
        </w:rPr>
        <w:t>3</w:t>
      </w:r>
      <w:r>
        <w:rPr>
          <w:rFonts w:hint="eastAsia" w:ascii="黑体" w:hAnsi="宋体" w:eastAsia="黑体"/>
          <w:b/>
          <w:snapToGrid w:val="0"/>
          <w:kern w:val="0"/>
          <w:sz w:val="32"/>
          <w:szCs w:val="32"/>
          <w:lang w:eastAsia="zh-CN"/>
        </w:rPr>
        <w:t>.</w:t>
      </w:r>
      <w:r>
        <w:rPr>
          <w:rFonts w:hint="eastAsia" w:ascii="黑体" w:hAnsi="宋体" w:eastAsia="黑体"/>
          <w:b/>
          <w:snapToGrid w:val="0"/>
          <w:kern w:val="0"/>
          <w:sz w:val="32"/>
          <w:szCs w:val="32"/>
        </w:rPr>
        <w:t>6 厂址安全条件的危险、有害因素辨识与分析</w:t>
      </w:r>
      <w:bookmarkEnd w:id="222"/>
      <w:bookmarkEnd w:id="223"/>
      <w:bookmarkEnd w:id="224"/>
      <w:bookmarkEnd w:id="225"/>
      <w:bookmarkEnd w:id="226"/>
      <w:bookmarkEnd w:id="227"/>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工业企业若选址不当，厂址条件差，可能存在以下危险、有害因素：①厂址工程地质不良，厂址周围为陡坎或有河流、沟渠通过，容易造成厂内塌陷和周边垮塌，设备、设施损坏，造成有害物质泄漏，引发火灾爆炸和窒息事故。②厂址所在地地形地貌差，处于窝风地带，厂内有害气体得不到及时散放，其生产作业危险性就大。③厂址与周边居民区或企业，安全距离不够，相互间会产生不利影响。④厂址所在地水文、气象条件恶劣，易发生水灾、雷击灾害，影响企业的正常生产。⑤厂址周边交通运输条件不畅、消防配备设施不完善，会造成运输不便，增加运输风险。</w:t>
      </w:r>
    </w:p>
    <w:p>
      <w:pPr>
        <w:spacing w:line="360" w:lineRule="auto"/>
        <w:ind w:firstLine="560" w:firstLineChars="200"/>
        <w:rPr>
          <w:rFonts w:hint="eastAsia" w:ascii="宋体" w:hAnsi="宋体"/>
          <w:snapToGrid w:val="0"/>
          <w:kern w:val="0"/>
          <w:sz w:val="28"/>
          <w:szCs w:val="28"/>
        </w:rPr>
      </w:pPr>
      <w:r>
        <w:rPr>
          <w:rFonts w:ascii="宋体" w:hAnsi="宋体"/>
          <w:snapToGrid w:val="0"/>
          <w:kern w:val="0"/>
          <w:sz w:val="28"/>
          <w:szCs w:val="28"/>
        </w:rPr>
        <w:t>本工程厂址周围无大型重要公共建筑设施</w:t>
      </w:r>
      <w:r>
        <w:rPr>
          <w:rFonts w:hint="eastAsia" w:ascii="宋体" w:hAnsi="宋体"/>
          <w:snapToGrid w:val="0"/>
          <w:kern w:val="0"/>
          <w:sz w:val="28"/>
          <w:szCs w:val="28"/>
        </w:rPr>
        <w:t>，</w:t>
      </w:r>
      <w:r>
        <w:rPr>
          <w:rFonts w:ascii="宋体" w:hAnsi="宋体"/>
          <w:snapToGrid w:val="0"/>
          <w:kern w:val="0"/>
          <w:sz w:val="28"/>
          <w:szCs w:val="28"/>
        </w:rPr>
        <w:t>位于相对稳定地块，场地无不良地质现象，地基承载力较高，不受洪水威胁；地下水对混凝土结构和钢筋混凝土结构中的钢筋不具腐蚀性。厂址交通运输方便</w:t>
      </w:r>
      <w:r>
        <w:rPr>
          <w:rFonts w:hint="eastAsia" w:ascii="宋体" w:hAnsi="宋体"/>
          <w:snapToGrid w:val="0"/>
          <w:kern w:val="0"/>
          <w:sz w:val="28"/>
          <w:szCs w:val="28"/>
        </w:rPr>
        <w:t>，</w:t>
      </w:r>
      <w:r>
        <w:rPr>
          <w:rFonts w:ascii="宋体" w:hAnsi="宋体"/>
          <w:snapToGrid w:val="0"/>
          <w:kern w:val="0"/>
          <w:sz w:val="28"/>
          <w:szCs w:val="28"/>
        </w:rPr>
        <w:t>已取得政府相关部门的</w:t>
      </w:r>
      <w:r>
        <w:rPr>
          <w:rFonts w:hint="eastAsia" w:ascii="宋体" w:hAnsi="宋体"/>
          <w:snapToGrid w:val="0"/>
          <w:kern w:val="0"/>
          <w:sz w:val="28"/>
          <w:szCs w:val="28"/>
        </w:rPr>
        <w:t>技改</w:t>
      </w:r>
      <w:r>
        <w:rPr>
          <w:rFonts w:ascii="宋体" w:hAnsi="宋体"/>
          <w:snapToGrid w:val="0"/>
          <w:kern w:val="0"/>
          <w:sz w:val="28"/>
          <w:szCs w:val="28"/>
        </w:rPr>
        <w:t>批复。因此，该工程选址符合当地政府部门规划，选址符合厂址选择的技术要求。</w:t>
      </w:r>
    </w:p>
    <w:p>
      <w:pPr>
        <w:pStyle w:val="8"/>
        <w:spacing w:line="360" w:lineRule="auto"/>
        <w:ind w:firstLine="0" w:firstLineChars="0"/>
        <w:outlineLvl w:val="2"/>
        <w:rPr>
          <w:rFonts w:hint="eastAsia" w:ascii="宋体" w:hAnsi="宋体"/>
          <w:b/>
          <w:snapToGrid w:val="0"/>
          <w:kern w:val="0"/>
          <w:sz w:val="28"/>
          <w:szCs w:val="28"/>
        </w:rPr>
      </w:pPr>
      <w:bookmarkStart w:id="228" w:name="_Toc484594603"/>
      <w:bookmarkStart w:id="229" w:name="_Toc28290"/>
      <w:bookmarkStart w:id="230" w:name="_Toc514342857"/>
      <w:bookmarkStart w:id="231" w:name="_Toc458523590"/>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 xml:space="preserve">6.1 </w:t>
      </w:r>
      <w:r>
        <w:rPr>
          <w:rFonts w:hint="eastAsia" w:ascii="宋体" w:hAnsi="宋体"/>
          <w:b/>
          <w:snapToGrid w:val="0"/>
          <w:kern w:val="0"/>
          <w:sz w:val="28"/>
          <w:szCs w:val="28"/>
          <w:lang w:eastAsia="zh-CN"/>
        </w:rPr>
        <w:t>公司</w:t>
      </w:r>
      <w:r>
        <w:rPr>
          <w:rFonts w:hint="eastAsia" w:ascii="宋体" w:hAnsi="宋体"/>
          <w:b/>
          <w:snapToGrid w:val="0"/>
          <w:kern w:val="0"/>
          <w:sz w:val="28"/>
          <w:szCs w:val="28"/>
        </w:rPr>
        <w:t>对周边环境的影响分析</w:t>
      </w:r>
      <w:bookmarkEnd w:id="228"/>
      <w:bookmarkEnd w:id="229"/>
      <w:bookmarkEnd w:id="230"/>
      <w:bookmarkEnd w:id="231"/>
    </w:p>
    <w:p>
      <w:pPr>
        <w:tabs>
          <w:tab w:val="left" w:pos="8808"/>
        </w:tabs>
        <w:snapToGrid w:val="0"/>
        <w:spacing w:line="360" w:lineRule="auto"/>
        <w:ind w:firstLine="560" w:firstLineChars="200"/>
        <w:rPr>
          <w:rFonts w:hint="eastAsia" w:ascii="宋体" w:hAnsi="宋体" w:cs="宋体"/>
          <w:sz w:val="28"/>
          <w:szCs w:val="28"/>
        </w:rPr>
      </w:pPr>
      <w:bookmarkStart w:id="232" w:name="_Toc374385892"/>
      <w:bookmarkStart w:id="233" w:name="_Toc155775354"/>
      <w:bookmarkStart w:id="234" w:name="_Toc172964408"/>
      <w:bookmarkStart w:id="235" w:name="_Toc172963399"/>
      <w:bookmarkStart w:id="236" w:name="_Toc172964203"/>
      <w:r>
        <w:rPr>
          <w:rFonts w:hint="eastAsia" w:ascii="宋体" w:hAnsi="宋体" w:cs="宋体"/>
          <w:sz w:val="28"/>
          <w:szCs w:val="28"/>
          <w:lang w:eastAsia="zh-CN"/>
        </w:rPr>
        <w:t>厂</w:t>
      </w:r>
      <w:r>
        <w:rPr>
          <w:rFonts w:ascii="宋体" w:hAnsi="宋体" w:cs="宋体"/>
          <w:sz w:val="28"/>
          <w:szCs w:val="28"/>
        </w:rPr>
        <w:t>区内</w:t>
      </w:r>
      <w:r>
        <w:rPr>
          <w:rFonts w:hint="eastAsia" w:ascii="宋体" w:hAnsi="宋体" w:cs="宋体"/>
          <w:sz w:val="28"/>
          <w:szCs w:val="28"/>
        </w:rPr>
        <w:t>无高压电线敷设、无</w:t>
      </w:r>
      <w:r>
        <w:rPr>
          <w:rFonts w:ascii="宋体" w:hAnsi="宋体" w:cs="宋体"/>
          <w:sz w:val="28"/>
          <w:szCs w:val="28"/>
        </w:rPr>
        <w:t>国家规定的风景名胜区、革命历史古迹等文物保护对象，无集中式水源地等特殊保护对象</w:t>
      </w:r>
      <w:r>
        <w:rPr>
          <w:rFonts w:hint="eastAsia" w:ascii="宋体" w:hAnsi="宋体" w:cs="宋体"/>
          <w:sz w:val="28"/>
          <w:szCs w:val="28"/>
        </w:rPr>
        <w:t>；</w:t>
      </w:r>
      <w:r>
        <w:rPr>
          <w:rFonts w:ascii="宋体" w:hAnsi="宋体" w:cs="宋体"/>
          <w:sz w:val="28"/>
          <w:szCs w:val="28"/>
        </w:rPr>
        <w:t>区域内及附近无</w:t>
      </w:r>
      <w:r>
        <w:rPr>
          <w:rFonts w:hint="eastAsia" w:ascii="宋体" w:hAnsi="宋体" w:cs="宋体"/>
          <w:sz w:val="28"/>
          <w:szCs w:val="28"/>
        </w:rPr>
        <w:t>重大危险源监管单位、无</w:t>
      </w:r>
      <w:r>
        <w:rPr>
          <w:rFonts w:ascii="宋体" w:hAnsi="宋体" w:cs="宋体"/>
          <w:sz w:val="28"/>
          <w:szCs w:val="28"/>
        </w:rPr>
        <w:t>军事设施等保密单位，无军事国防通讯设施及其他通讯设施等敏感目标，地下未发现矿产资源</w:t>
      </w:r>
      <w:r>
        <w:rPr>
          <w:rFonts w:hint="eastAsia" w:ascii="宋体" w:hAnsi="宋体" w:cs="宋体"/>
          <w:sz w:val="28"/>
          <w:szCs w:val="28"/>
        </w:rPr>
        <w:t>，无长输天然气管道、输油管道敷设</w:t>
      </w:r>
      <w:r>
        <w:rPr>
          <w:rFonts w:ascii="宋体" w:hAnsi="宋体" w:cs="宋体"/>
          <w:sz w:val="28"/>
          <w:szCs w:val="28"/>
        </w:rPr>
        <w:t>。</w:t>
      </w:r>
      <w:r>
        <w:rPr>
          <w:rFonts w:hint="eastAsia" w:ascii="宋体" w:hAnsi="宋体" w:cs="宋体"/>
          <w:sz w:val="28"/>
          <w:szCs w:val="28"/>
          <w:lang w:eastAsia="zh-CN"/>
        </w:rPr>
        <w:t>公司</w:t>
      </w:r>
      <w:r>
        <w:rPr>
          <w:rFonts w:hint="eastAsia" w:ascii="宋体" w:hAnsi="宋体" w:cs="宋体"/>
          <w:sz w:val="28"/>
          <w:szCs w:val="28"/>
        </w:rPr>
        <w:t>在正常工况下废水、废气、废渣等经达标后排放，并与周边建构筑留有足够的防火间距，即</w:t>
      </w:r>
      <w:r>
        <w:rPr>
          <w:rFonts w:hint="eastAsia" w:ascii="宋体" w:hAnsi="宋体" w:cs="宋体"/>
          <w:sz w:val="28"/>
          <w:szCs w:val="28"/>
          <w:lang w:eastAsia="zh-CN"/>
        </w:rPr>
        <w:t>公司</w:t>
      </w:r>
      <w:r>
        <w:rPr>
          <w:rFonts w:hint="eastAsia" w:ascii="宋体" w:hAnsi="宋体" w:cs="宋体"/>
          <w:sz w:val="28"/>
          <w:szCs w:val="28"/>
        </w:rPr>
        <w:t>正常工况下不会对周边单位生产、经营活动或者居民生活造成影响。</w:t>
      </w:r>
    </w:p>
    <w:p>
      <w:pPr>
        <w:spacing w:line="360" w:lineRule="auto"/>
        <w:ind w:firstLine="560" w:firstLineChars="200"/>
        <w:rPr>
          <w:rFonts w:hint="eastAsia" w:ascii="宋体" w:hAnsi="宋体"/>
          <w:sz w:val="28"/>
          <w:szCs w:val="28"/>
        </w:rPr>
      </w:pPr>
      <w:r>
        <w:rPr>
          <w:rFonts w:ascii="宋体" w:hAnsi="宋体"/>
          <w:sz w:val="28"/>
          <w:szCs w:val="28"/>
        </w:rPr>
        <w:t>若三废处理不当可能会对周边环境、企业造成不良影响，因此本工程应切实做好三废的处理工作。</w:t>
      </w:r>
      <w:r>
        <w:rPr>
          <w:rFonts w:hint="eastAsia" w:ascii="宋体" w:hAnsi="宋体"/>
          <w:sz w:val="28"/>
          <w:szCs w:val="28"/>
          <w:lang w:eastAsia="zh-CN"/>
        </w:rPr>
        <w:t>公司</w:t>
      </w:r>
      <w:r>
        <w:rPr>
          <w:rFonts w:ascii="宋体" w:hAnsi="宋体"/>
          <w:sz w:val="28"/>
          <w:szCs w:val="28"/>
        </w:rPr>
        <w:t>在采取了可靠的安全、环保的防护措施之后，</w:t>
      </w:r>
      <w:r>
        <w:rPr>
          <w:rFonts w:hint="eastAsia" w:ascii="宋体" w:hAnsi="宋体" w:cs="宋体"/>
          <w:sz w:val="28"/>
          <w:szCs w:val="28"/>
        </w:rPr>
        <w:t>对周边环境的影响在可接受和可控制范围。</w:t>
      </w:r>
    </w:p>
    <w:bookmarkEnd w:id="232"/>
    <w:bookmarkEnd w:id="233"/>
    <w:bookmarkEnd w:id="234"/>
    <w:bookmarkEnd w:id="235"/>
    <w:bookmarkEnd w:id="236"/>
    <w:p>
      <w:pPr>
        <w:pStyle w:val="8"/>
        <w:spacing w:line="360" w:lineRule="auto"/>
        <w:ind w:firstLine="0" w:firstLineChars="0"/>
        <w:outlineLvl w:val="2"/>
        <w:rPr>
          <w:rFonts w:hint="eastAsia" w:ascii="宋体" w:hAnsi="宋体"/>
          <w:b/>
          <w:snapToGrid w:val="0"/>
          <w:kern w:val="0"/>
          <w:sz w:val="28"/>
          <w:szCs w:val="28"/>
        </w:rPr>
      </w:pPr>
      <w:bookmarkStart w:id="237" w:name="_Toc172964213"/>
      <w:bookmarkStart w:id="238" w:name="_Toc172963410"/>
      <w:bookmarkStart w:id="239" w:name="_Toc172964418"/>
      <w:bookmarkStart w:id="240" w:name="_Toc514342858"/>
      <w:bookmarkStart w:id="241" w:name="_Toc155775365"/>
      <w:bookmarkStart w:id="242" w:name="_Toc1261"/>
      <w:bookmarkStart w:id="243" w:name="_Toc458523594"/>
      <w:bookmarkStart w:id="244" w:name="_Toc484594604"/>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6.2 周边环境对</w:t>
      </w:r>
      <w:r>
        <w:rPr>
          <w:rFonts w:hint="eastAsia" w:ascii="宋体" w:hAnsi="宋体"/>
          <w:b/>
          <w:snapToGrid w:val="0"/>
          <w:kern w:val="0"/>
          <w:sz w:val="28"/>
          <w:szCs w:val="28"/>
          <w:lang w:eastAsia="zh-CN"/>
        </w:rPr>
        <w:t>公司</w:t>
      </w:r>
      <w:r>
        <w:rPr>
          <w:rFonts w:hint="eastAsia" w:ascii="宋体" w:hAnsi="宋体"/>
          <w:b/>
          <w:snapToGrid w:val="0"/>
          <w:kern w:val="0"/>
          <w:sz w:val="28"/>
          <w:szCs w:val="28"/>
        </w:rPr>
        <w:t>的影响分析</w:t>
      </w:r>
      <w:bookmarkEnd w:id="237"/>
      <w:bookmarkEnd w:id="238"/>
      <w:bookmarkEnd w:id="239"/>
      <w:bookmarkEnd w:id="240"/>
      <w:bookmarkEnd w:id="241"/>
      <w:bookmarkEnd w:id="242"/>
      <w:bookmarkEnd w:id="243"/>
      <w:bookmarkEnd w:id="244"/>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zh-CN" w:eastAsia="zh-CN"/>
        </w:rPr>
        <w:t>公司</w:t>
      </w:r>
      <w:r>
        <w:rPr>
          <w:rFonts w:hint="eastAsia" w:ascii="宋体" w:hAnsi="宋体" w:cs="宋体"/>
          <w:color w:val="auto"/>
          <w:sz w:val="28"/>
          <w:szCs w:val="28"/>
          <w:lang w:val="en-US" w:eastAsia="zh-CN"/>
        </w:rPr>
        <w:t>矿山开采登记范围不存在矿权重叠与边界纠纷问题，矿区附近谷地及缓坡平地为农业耕作区，斜坡以上大部分为荒坡，少量林木分布。矿区周围大多为农田，矿山范围内人类工程主要以农耕地为主。</w:t>
      </w:r>
    </w:p>
    <w:p>
      <w:pPr>
        <w:spacing w:line="360" w:lineRule="auto"/>
        <w:ind w:firstLine="560" w:firstLineChars="200"/>
        <w:rPr>
          <w:rFonts w:hint="eastAsia" w:ascii="宋体" w:hAnsi="宋体" w:cs="宋体"/>
          <w:color w:val="auto"/>
          <w:sz w:val="28"/>
          <w:szCs w:val="28"/>
          <w:lang w:val="en-US" w:eastAsia="en-US"/>
        </w:rPr>
      </w:pPr>
      <w:r>
        <w:rPr>
          <w:rFonts w:hint="eastAsia" w:ascii="宋体" w:hAnsi="宋体" w:cs="宋体"/>
          <w:color w:val="auto"/>
          <w:sz w:val="28"/>
          <w:szCs w:val="28"/>
          <w:lang w:val="en-US" w:eastAsia="zh-CN"/>
        </w:rPr>
        <w:t>砖厂朝向近似座北朝东，</w:t>
      </w:r>
      <w:r>
        <w:rPr>
          <w:rFonts w:hint="eastAsia" w:ascii="宋体" w:hAnsi="宋体" w:cs="宋体"/>
          <w:color w:val="auto"/>
          <w:sz w:val="28"/>
          <w:szCs w:val="28"/>
          <w:lang w:val="zh-CN" w:eastAsia="zh-CN"/>
        </w:rPr>
        <w:t>地处农村环境，外环境简单，具体情况如下：厂区周边主要为山坡地，植被为杂草、灌木丛及农作物，不存在珍稀植物。根据现场勘查，公司生产区周边主要为耕地、农户。公司大门位于东面，东面紧邻进厂道路，道路 两侧为农田；公司北面和西面为农田；东南面为本公司矿山页岩开采区；开采区以东为丘陵。</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周边200米范围内的零散居民住户与公司的防火间距均大于50米。公司周边环境条件良好，周边环境不会对公司形成制约影响因素。</w:t>
      </w:r>
    </w:p>
    <w:p>
      <w:pPr>
        <w:pStyle w:val="8"/>
        <w:spacing w:line="360" w:lineRule="auto"/>
        <w:ind w:firstLine="0" w:firstLineChars="0"/>
        <w:outlineLvl w:val="1"/>
        <w:rPr>
          <w:rFonts w:hint="eastAsia" w:ascii="黑体" w:eastAsia="黑体"/>
          <w:b/>
          <w:snapToGrid w:val="0"/>
          <w:kern w:val="0"/>
          <w:sz w:val="32"/>
          <w:szCs w:val="32"/>
        </w:rPr>
      </w:pPr>
      <w:bookmarkStart w:id="245" w:name="_Toc356401505"/>
      <w:bookmarkStart w:id="246" w:name="_Toc480804413"/>
      <w:bookmarkStart w:id="247" w:name="_Toc514342863"/>
      <w:bookmarkStart w:id="248" w:name="_Toc26920"/>
      <w:bookmarkStart w:id="249" w:name="_Toc350781107"/>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lang w:val="en-US" w:eastAsia="zh-CN"/>
        </w:rPr>
        <w:t>7</w:t>
      </w:r>
      <w:r>
        <w:rPr>
          <w:rFonts w:hint="eastAsia" w:ascii="黑体" w:eastAsia="黑体"/>
          <w:b/>
          <w:snapToGrid w:val="0"/>
          <w:kern w:val="0"/>
          <w:sz w:val="32"/>
          <w:szCs w:val="32"/>
        </w:rPr>
        <w:t xml:space="preserve"> 重大危险源辨识</w:t>
      </w:r>
      <w:bookmarkEnd w:id="245"/>
      <w:bookmarkEnd w:id="246"/>
      <w:bookmarkEnd w:id="247"/>
      <w:bookmarkEnd w:id="248"/>
      <w:bookmarkEnd w:id="249"/>
    </w:p>
    <w:p>
      <w:pPr>
        <w:pStyle w:val="8"/>
        <w:spacing w:line="360" w:lineRule="auto"/>
        <w:ind w:firstLine="0" w:firstLineChars="0"/>
        <w:outlineLvl w:val="2"/>
        <w:rPr>
          <w:rFonts w:hint="eastAsia" w:ascii="宋体" w:hAnsi="宋体"/>
          <w:b/>
          <w:snapToGrid w:val="0"/>
          <w:kern w:val="0"/>
          <w:sz w:val="28"/>
          <w:szCs w:val="28"/>
        </w:rPr>
      </w:pPr>
      <w:bookmarkStart w:id="250" w:name="_Toc351125383"/>
      <w:bookmarkStart w:id="251" w:name="_Toc356401506"/>
      <w:bookmarkStart w:id="252" w:name="_Toc514342864"/>
      <w:bookmarkStart w:id="253" w:name="_Toc480804414"/>
      <w:bookmarkStart w:id="254" w:name="_Toc183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lang w:val="en-US" w:eastAsia="zh-CN"/>
        </w:rPr>
        <w:t>7</w:t>
      </w:r>
      <w:r>
        <w:rPr>
          <w:rFonts w:hint="eastAsia" w:ascii="宋体" w:hAnsi="宋体"/>
          <w:b/>
          <w:snapToGrid w:val="0"/>
          <w:kern w:val="0"/>
          <w:sz w:val="28"/>
          <w:szCs w:val="28"/>
        </w:rPr>
        <w:t>.1 辨识依据</w:t>
      </w:r>
      <w:bookmarkEnd w:id="250"/>
      <w:bookmarkEnd w:id="251"/>
      <w:bookmarkEnd w:id="252"/>
      <w:bookmarkEnd w:id="253"/>
      <w:bookmarkEnd w:id="254"/>
    </w:p>
    <w:p>
      <w:pPr>
        <w:tabs>
          <w:tab w:val="right" w:leader="hyphen" w:pos="8343"/>
        </w:tabs>
        <w:spacing w:line="360" w:lineRule="auto"/>
        <w:ind w:firstLine="560" w:firstLineChars="200"/>
        <w:rPr>
          <w:rFonts w:hint="eastAsia" w:ascii="宋体" w:hAnsi="宋体"/>
          <w:sz w:val="28"/>
          <w:szCs w:val="28"/>
        </w:rPr>
      </w:pPr>
      <w:r>
        <w:rPr>
          <w:rFonts w:hint="eastAsia" w:ascii="宋体" w:hAnsi="宋体"/>
          <w:sz w:val="28"/>
          <w:szCs w:val="28"/>
        </w:rPr>
        <w:t>根据《中华人民共和国安全生产法》、《危险化学品重大危险源辨识》（</w:t>
      </w:r>
      <w:r>
        <w:rPr>
          <w:rFonts w:hint="eastAsia" w:ascii="宋体" w:hAnsi="宋体"/>
          <w:sz w:val="28"/>
          <w:szCs w:val="28"/>
          <w:lang w:eastAsia="zh-CN"/>
        </w:rPr>
        <w:t>GB18218-2018</w:t>
      </w:r>
      <w:r>
        <w:rPr>
          <w:rFonts w:hint="eastAsia" w:ascii="宋体" w:hAnsi="宋体"/>
          <w:sz w:val="28"/>
          <w:szCs w:val="28"/>
        </w:rPr>
        <w:t>）的有关规定，重大危险源是指长期地或者临时地生产、加工、搬运、使用或储存危险物品，且危险物品的数量等于或超过临界量的场所和设施，以及其他存在危险能量等于或超过临界量的场所和设施。</w:t>
      </w:r>
    </w:p>
    <w:p>
      <w:pPr>
        <w:pStyle w:val="8"/>
        <w:spacing w:line="360" w:lineRule="auto"/>
        <w:ind w:firstLine="0" w:firstLineChars="0"/>
        <w:outlineLvl w:val="2"/>
        <w:rPr>
          <w:rFonts w:hint="eastAsia" w:ascii="宋体" w:hAnsi="宋体"/>
          <w:b/>
          <w:snapToGrid w:val="0"/>
          <w:kern w:val="0"/>
          <w:sz w:val="28"/>
          <w:szCs w:val="28"/>
        </w:rPr>
      </w:pPr>
      <w:bookmarkStart w:id="255" w:name="_Toc356401507"/>
      <w:bookmarkStart w:id="256" w:name="_Toc351125385"/>
      <w:bookmarkStart w:id="257" w:name="_Toc480804415"/>
      <w:bookmarkStart w:id="258" w:name="_Toc18805"/>
      <w:bookmarkStart w:id="259" w:name="_Toc514342865"/>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lang w:val="en-US" w:eastAsia="zh-CN"/>
        </w:rPr>
        <w:t>7</w:t>
      </w:r>
      <w:r>
        <w:rPr>
          <w:rFonts w:hint="eastAsia" w:ascii="宋体" w:hAnsi="宋体"/>
          <w:b/>
          <w:snapToGrid w:val="0"/>
          <w:kern w:val="0"/>
          <w:sz w:val="28"/>
          <w:szCs w:val="28"/>
        </w:rPr>
        <w:t>.2 辨识结果</w:t>
      </w:r>
      <w:bookmarkEnd w:id="255"/>
      <w:bookmarkEnd w:id="256"/>
      <w:bookmarkEnd w:id="257"/>
      <w:bookmarkEnd w:id="258"/>
      <w:bookmarkEnd w:id="259"/>
    </w:p>
    <w:p>
      <w:pPr>
        <w:spacing w:line="360" w:lineRule="auto"/>
        <w:ind w:firstLine="560" w:firstLineChars="200"/>
        <w:rPr>
          <w:rFonts w:hint="eastAsia" w:ascii="宋体" w:hAnsi="宋体"/>
          <w:sz w:val="28"/>
          <w:szCs w:val="28"/>
        </w:rPr>
      </w:pPr>
      <w:r>
        <w:rPr>
          <w:rFonts w:hint="eastAsia"/>
          <w:sz w:val="28"/>
          <w:szCs w:val="28"/>
          <w:lang w:eastAsia="zh-CN"/>
        </w:rPr>
        <w:t>公司</w:t>
      </w:r>
      <w:r>
        <w:rPr>
          <w:rFonts w:hint="eastAsia"/>
          <w:sz w:val="28"/>
          <w:szCs w:val="28"/>
        </w:rPr>
        <w:t>生产过程中的原料、辅料、中间品、产品除柴油外其余均未列入《重大危险源辨识》中，</w:t>
      </w:r>
      <w:r>
        <w:rPr>
          <w:rFonts w:hint="eastAsia"/>
          <w:sz w:val="28"/>
          <w:szCs w:val="28"/>
          <w:lang w:eastAsia="zh-CN"/>
        </w:rPr>
        <w:t>厂区</w:t>
      </w:r>
      <w:r>
        <w:rPr>
          <w:rFonts w:hint="eastAsia"/>
          <w:sz w:val="28"/>
          <w:szCs w:val="28"/>
        </w:rPr>
        <w:t>使用柴油仅做为点火燃料使用，用量少（仅备用1桶，约200L），使用频率低，</w:t>
      </w:r>
      <w:r>
        <w:rPr>
          <w:rFonts w:hint="eastAsia" w:ascii="宋体" w:hAnsi="宋体"/>
          <w:sz w:val="28"/>
          <w:szCs w:val="28"/>
        </w:rPr>
        <w:t>其临界量和拟存放量见下表：</w:t>
      </w:r>
    </w:p>
    <w:p>
      <w:pPr>
        <w:spacing w:line="360" w:lineRule="auto"/>
        <w:jc w:val="center"/>
        <w:rPr>
          <w:rFonts w:hint="eastAsia" w:ascii="黑体" w:eastAsia="黑体"/>
          <w:b/>
          <w:sz w:val="24"/>
        </w:rPr>
      </w:pPr>
      <w:r>
        <w:rPr>
          <w:rFonts w:hint="eastAsia" w:ascii="黑体" w:eastAsia="黑体"/>
          <w:b/>
          <w:sz w:val="24"/>
        </w:rPr>
        <w:t>表</w:t>
      </w:r>
      <w:r>
        <w:rPr>
          <w:rFonts w:hint="eastAsia" w:ascii="黑体" w:eastAsia="黑体"/>
          <w:b/>
          <w:sz w:val="24"/>
          <w:lang w:val="en-US" w:eastAsia="zh-CN"/>
        </w:rPr>
        <w:t>3</w:t>
      </w:r>
      <w:r>
        <w:rPr>
          <w:rFonts w:hint="eastAsia" w:ascii="黑体" w:eastAsia="黑体"/>
          <w:b/>
          <w:sz w:val="24"/>
          <w:lang w:eastAsia="zh-CN"/>
        </w:rPr>
        <w:t>-</w:t>
      </w:r>
      <w:r>
        <w:rPr>
          <w:rFonts w:hint="eastAsia" w:ascii="黑体" w:eastAsia="黑体"/>
          <w:b/>
          <w:sz w:val="24"/>
          <w:lang w:val="en-US" w:eastAsia="zh-CN"/>
        </w:rPr>
        <w:t>4</w:t>
      </w:r>
      <w:r>
        <w:rPr>
          <w:rFonts w:hint="eastAsia" w:ascii="黑体" w:eastAsia="黑体"/>
          <w:b/>
          <w:sz w:val="24"/>
        </w:rPr>
        <w:t>危险化学品名称及其临界量</w:t>
      </w:r>
    </w:p>
    <w:tbl>
      <w:tblPr>
        <w:tblStyle w:val="19"/>
        <w:tblW w:w="8711" w:type="dxa"/>
        <w:jc w:val="center"/>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3526"/>
        <w:gridCol w:w="1855"/>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03" w:type="dxa"/>
            <w:noWrap w:val="0"/>
            <w:vAlign w:val="center"/>
          </w:tcPr>
          <w:p>
            <w:pPr>
              <w:pStyle w:val="25"/>
              <w:tabs>
                <w:tab w:val="left" w:pos="0"/>
              </w:tabs>
              <w:spacing w:before="0" w:after="0"/>
              <w:rPr>
                <w:rFonts w:hint="eastAsia" w:hAnsi="宋体"/>
                <w:b/>
                <w:spacing w:val="10"/>
                <w:sz w:val="24"/>
                <w:szCs w:val="24"/>
              </w:rPr>
            </w:pPr>
            <w:r>
              <w:rPr>
                <w:rFonts w:hint="eastAsia" w:hAnsi="宋体"/>
                <w:b/>
                <w:spacing w:val="10"/>
                <w:sz w:val="24"/>
                <w:szCs w:val="24"/>
              </w:rPr>
              <w:t>物质名称</w:t>
            </w:r>
          </w:p>
        </w:tc>
        <w:tc>
          <w:tcPr>
            <w:tcW w:w="3526"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类别</w:t>
            </w:r>
          </w:p>
        </w:tc>
        <w:tc>
          <w:tcPr>
            <w:tcW w:w="1855"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临界量/t</w:t>
            </w:r>
          </w:p>
        </w:tc>
        <w:tc>
          <w:tcPr>
            <w:tcW w:w="1827"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实际量/t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503"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柴油</w:t>
            </w:r>
          </w:p>
        </w:tc>
        <w:tc>
          <w:tcPr>
            <w:tcW w:w="3526"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易燃液体（23℃&lt;闪点&lt;61℃）</w:t>
            </w:r>
          </w:p>
        </w:tc>
        <w:tc>
          <w:tcPr>
            <w:tcW w:w="1855"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5000</w:t>
            </w:r>
          </w:p>
        </w:tc>
        <w:tc>
          <w:tcPr>
            <w:tcW w:w="1827"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0.17</w:t>
            </w:r>
          </w:p>
        </w:tc>
      </w:tr>
    </w:tbl>
    <w:p>
      <w:pPr>
        <w:ind w:firstLine="420" w:firstLineChars="200"/>
        <w:rPr>
          <w:rFonts w:hint="eastAsia"/>
          <w:szCs w:val="28"/>
        </w:rPr>
      </w:pPr>
    </w:p>
    <w:p>
      <w:pPr>
        <w:spacing w:line="360" w:lineRule="auto"/>
        <w:ind w:firstLine="560" w:firstLineChars="200"/>
        <w:rPr>
          <w:rFonts w:hint="eastAsia" w:ascii="宋体" w:hAnsi="宋体"/>
          <w:kern w:val="0"/>
          <w:sz w:val="28"/>
          <w:szCs w:val="28"/>
        </w:rPr>
      </w:pPr>
      <w:r>
        <w:rPr>
          <w:rFonts w:hint="eastAsia" w:ascii="宋体" w:hAnsi="宋体"/>
          <w:sz w:val="28"/>
          <w:szCs w:val="28"/>
          <w:lang w:eastAsia="zh-CN"/>
        </w:rPr>
        <w:t>公司</w:t>
      </w:r>
      <w:r>
        <w:rPr>
          <w:rFonts w:hint="eastAsia" w:ascii="宋体" w:hAnsi="宋体"/>
          <w:sz w:val="28"/>
          <w:szCs w:val="28"/>
        </w:rPr>
        <w:t>有柴油储量1桶（200升），柴油密度0.85t/m</w:t>
      </w:r>
      <w:r>
        <w:rPr>
          <w:rFonts w:hint="eastAsia" w:ascii="宋体" w:hAnsi="宋体"/>
          <w:sz w:val="28"/>
          <w:szCs w:val="28"/>
          <w:vertAlign w:val="superscript"/>
        </w:rPr>
        <w:t>3</w:t>
      </w:r>
      <w:r>
        <w:rPr>
          <w:rFonts w:hint="eastAsia" w:ascii="宋体" w:hAnsi="宋体"/>
          <w:sz w:val="28"/>
          <w:szCs w:val="28"/>
        </w:rPr>
        <w:t>，合计0.17t。</w:t>
      </w:r>
    </w:p>
    <w:p>
      <w:pPr>
        <w:spacing w:line="360" w:lineRule="auto"/>
        <w:ind w:firstLine="560" w:firstLineChars="200"/>
        <w:rPr>
          <w:rFonts w:hint="eastAsia" w:ascii="宋体" w:hAnsi="宋体"/>
          <w:sz w:val="28"/>
          <w:szCs w:val="28"/>
          <w:lang w:eastAsia="zh-CN"/>
        </w:rPr>
      </w:pPr>
      <w:r>
        <w:rPr>
          <w:rFonts w:hint="eastAsia" w:ascii="宋体" w:hAnsi="宋体"/>
          <w:sz w:val="28"/>
          <w:szCs w:val="28"/>
          <w:lang w:eastAsia="zh-CN"/>
        </w:rPr>
        <w:t>则：0.17/5000=0.000034＜1</w:t>
      </w:r>
    </w:p>
    <w:bookmarkEnd w:id="42"/>
    <w:p>
      <w:pPr>
        <w:spacing w:line="360" w:lineRule="auto"/>
        <w:ind w:firstLine="560" w:firstLineChars="200"/>
        <w:rPr>
          <w:rFonts w:hint="eastAsia" w:ascii="宋体" w:hAnsi="宋体"/>
          <w:sz w:val="28"/>
          <w:szCs w:val="28"/>
          <w:lang w:eastAsia="zh-CN"/>
        </w:rPr>
      </w:pPr>
      <w:bookmarkStart w:id="260" w:name="_Toc10261"/>
      <w:bookmarkStart w:id="261" w:name="_Toc21054"/>
      <w:r>
        <w:rPr>
          <w:rFonts w:hint="eastAsia" w:ascii="宋体" w:hAnsi="宋体"/>
          <w:sz w:val="28"/>
          <w:szCs w:val="28"/>
          <w:lang w:eastAsia="zh-CN"/>
        </w:rPr>
        <w:t>综上所述，根据《危险化学品重大危险源辨识》(GB18218-20</w:t>
      </w:r>
      <w:r>
        <w:rPr>
          <w:rFonts w:hint="eastAsia" w:ascii="宋体" w:hAnsi="宋体"/>
          <w:sz w:val="28"/>
          <w:szCs w:val="28"/>
          <w:lang w:val="en-US" w:eastAsia="zh-CN"/>
        </w:rPr>
        <w:t>18</w:t>
      </w:r>
      <w:r>
        <w:rPr>
          <w:rFonts w:hint="eastAsia" w:ascii="宋体" w:hAnsi="宋体"/>
          <w:sz w:val="28"/>
          <w:szCs w:val="28"/>
          <w:lang w:eastAsia="zh-CN"/>
        </w:rPr>
        <w:t>)，本公司危险化学品的使用和储存均不构成危险化学品重大危险源。即，仪陇县三河镇宏发页岩砖厂不构成危险化学品重大危险源。</w:t>
      </w:r>
    </w:p>
    <w:p>
      <w:pPr>
        <w:pStyle w:val="8"/>
        <w:spacing w:line="360" w:lineRule="auto"/>
        <w:ind w:firstLine="0" w:firstLineChars="0"/>
        <w:outlineLvl w:val="1"/>
        <w:rPr>
          <w:rFonts w:hint="eastAsia" w:ascii="黑体" w:eastAsia="黑体"/>
          <w:b/>
          <w:snapToGrid w:val="0"/>
          <w:kern w:val="0"/>
          <w:sz w:val="32"/>
          <w:szCs w:val="32"/>
          <w:lang w:val="en-US" w:eastAsia="zh-CN"/>
        </w:rPr>
      </w:pPr>
      <w:bookmarkStart w:id="262" w:name="_Toc30801"/>
      <w:r>
        <w:rPr>
          <w:rFonts w:hint="eastAsia" w:ascii="黑体" w:eastAsia="黑体"/>
          <w:b/>
          <w:snapToGrid w:val="0"/>
          <w:kern w:val="0"/>
          <w:sz w:val="32"/>
          <w:szCs w:val="32"/>
          <w:lang w:val="en-US" w:eastAsia="zh-CN"/>
        </w:rPr>
        <w:t>3.8小结</w:t>
      </w:r>
      <w:bookmarkEnd w:id="260"/>
      <w:bookmarkEnd w:id="261"/>
      <w:bookmarkEnd w:id="262"/>
    </w:p>
    <w:p>
      <w:pPr>
        <w:spacing w:line="360" w:lineRule="auto"/>
        <w:jc w:val="center"/>
        <w:rPr>
          <w:rFonts w:hint="eastAsia" w:ascii="黑体" w:eastAsia="黑体"/>
          <w:b/>
          <w:sz w:val="24"/>
        </w:rPr>
      </w:pPr>
      <w:r>
        <w:rPr>
          <w:rFonts w:hint="eastAsia" w:ascii="黑体" w:eastAsia="黑体"/>
          <w:b/>
          <w:sz w:val="24"/>
        </w:rPr>
        <w:t>表</w:t>
      </w:r>
      <w:r>
        <w:rPr>
          <w:rFonts w:hint="eastAsia" w:ascii="黑体" w:eastAsia="黑体"/>
          <w:b/>
          <w:sz w:val="24"/>
          <w:lang w:val="en-US" w:eastAsia="zh-CN"/>
        </w:rPr>
        <w:t>3</w:t>
      </w:r>
      <w:r>
        <w:rPr>
          <w:rFonts w:ascii="黑体" w:eastAsia="黑体"/>
          <w:b/>
          <w:sz w:val="24"/>
        </w:rPr>
        <w:t>-</w:t>
      </w:r>
      <w:r>
        <w:rPr>
          <w:rFonts w:hint="eastAsia" w:ascii="黑体" w:eastAsia="黑体"/>
          <w:b/>
          <w:sz w:val="24"/>
          <w:lang w:val="en-US" w:eastAsia="zh-CN"/>
        </w:rPr>
        <w:t>5</w:t>
      </w:r>
      <w:r>
        <w:rPr>
          <w:rFonts w:ascii="黑体" w:eastAsia="黑体"/>
          <w:b/>
          <w:sz w:val="24"/>
        </w:rPr>
        <w:t xml:space="preserve">  </w:t>
      </w:r>
      <w:r>
        <w:rPr>
          <w:rFonts w:hint="eastAsia" w:ascii="黑体" w:eastAsia="黑体"/>
          <w:b/>
          <w:sz w:val="24"/>
        </w:rPr>
        <w:t>危险、有害因素汇总表</w:t>
      </w:r>
    </w:p>
    <w:tbl>
      <w:tblPr>
        <w:tblStyle w:val="19"/>
        <w:tblpPr w:leftFromText="180" w:rightFromText="180" w:vertAnchor="text" w:horzAnchor="page" w:tblpX="1249" w:tblpY="447"/>
        <w:tblOverlap w:val="never"/>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94"/>
        <w:gridCol w:w="2148"/>
        <w:gridCol w:w="5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bookmarkStart w:id="263" w:name="_Toc29398"/>
            <w:bookmarkStart w:id="264" w:name="_Toc10334"/>
            <w:r>
              <w:rPr>
                <w:rFonts w:hint="eastAsia" w:ascii="宋体" w:hAnsi="宋体" w:cs="宋体"/>
                <w:color w:val="auto"/>
                <w:sz w:val="24"/>
              </w:rPr>
              <w:t>序号</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活动/工序/地点</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项 目</w:t>
            </w:r>
          </w:p>
        </w:tc>
        <w:tc>
          <w:tcPr>
            <w:tcW w:w="524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主要危险、危害简要分析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进入工作场所人员</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进场安全教育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为严格按规定内容教育，造成多种伤害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2</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特殊工种及特种作业人员培训</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作业人员培训效果不好，造成多种伤害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现场作业人员教育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安全意识不强，发生高处坠落和物体打击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4</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 xml:space="preserve"> 原材料、辅料储存和运输</w:t>
            </w:r>
          </w:p>
        </w:tc>
        <w:tc>
          <w:tcPr>
            <w:tcW w:w="2148"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lang w:eastAsia="zh-CN"/>
              </w:rPr>
              <w:t>页岩矿、煤、砖</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在装卸、</w:t>
            </w:r>
            <w:r>
              <w:rPr>
                <w:rFonts w:hint="eastAsia" w:ascii="宋体" w:hAnsi="宋体" w:cs="宋体"/>
                <w:color w:val="auto"/>
                <w:sz w:val="24"/>
                <w:lang w:eastAsia="zh-CN"/>
              </w:rPr>
              <w:t>破碎</w:t>
            </w:r>
            <w:r>
              <w:rPr>
                <w:rFonts w:hint="eastAsia" w:ascii="宋体" w:hAnsi="宋体" w:cs="宋体"/>
                <w:color w:val="auto"/>
                <w:sz w:val="24"/>
              </w:rPr>
              <w:t>、</w:t>
            </w:r>
            <w:r>
              <w:rPr>
                <w:rFonts w:hint="eastAsia" w:ascii="宋体" w:hAnsi="宋体" w:cs="宋体"/>
                <w:color w:val="auto"/>
                <w:sz w:val="24"/>
                <w:lang w:eastAsia="zh-CN"/>
              </w:rPr>
              <w:t>制砖、上煤、</w:t>
            </w:r>
            <w:r>
              <w:rPr>
                <w:rFonts w:hint="eastAsia" w:ascii="宋体" w:hAnsi="宋体" w:cs="宋体"/>
                <w:color w:val="auto"/>
                <w:sz w:val="24"/>
              </w:rPr>
              <w:t>搅拌过程中主要存在粉尘危害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5</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w:t>
            </w:r>
          </w:p>
          <w:p>
            <w:pPr>
              <w:spacing w:line="240" w:lineRule="auto"/>
              <w:jc w:val="center"/>
              <w:rPr>
                <w:rFonts w:hint="eastAsia" w:ascii="宋体" w:hAnsi="宋体" w:cs="宋体"/>
                <w:color w:val="auto"/>
                <w:sz w:val="24"/>
              </w:rPr>
            </w:pPr>
            <w:r>
              <w:rPr>
                <w:rFonts w:hint="eastAsia" w:ascii="宋体" w:hAnsi="宋体" w:cs="宋体"/>
                <w:color w:val="auto"/>
                <w:sz w:val="24"/>
              </w:rPr>
              <w:t>过程</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凿岩作业</w:t>
            </w:r>
            <w:r>
              <w:rPr>
                <w:rFonts w:hint="eastAsia" w:ascii="宋体" w:hAnsi="宋体" w:cs="宋体"/>
                <w:color w:val="auto"/>
                <w:sz w:val="24"/>
                <w:lang w:eastAsia="zh-CN"/>
              </w:rPr>
              <w:t>和</w:t>
            </w:r>
            <w:r>
              <w:rPr>
                <w:rFonts w:hint="eastAsia" w:ascii="宋体" w:hAnsi="宋体" w:cs="宋体"/>
                <w:color w:val="auto"/>
                <w:sz w:val="24"/>
              </w:rPr>
              <w:t>砖窑</w:t>
            </w:r>
            <w:r>
              <w:rPr>
                <w:rFonts w:hint="eastAsia" w:ascii="宋体" w:hAnsi="宋体" w:cs="宋体"/>
                <w:color w:val="auto"/>
                <w:sz w:val="24"/>
                <w:lang w:eastAsia="zh-CN"/>
              </w:rPr>
              <w:t>等</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造成物体打击及高处坠落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破碎区上料口、上砖</w:t>
            </w:r>
            <w:r>
              <w:rPr>
                <w:rFonts w:hint="eastAsia" w:ascii="宋体" w:hAnsi="宋体" w:cs="宋体"/>
                <w:color w:val="auto"/>
                <w:sz w:val="24"/>
              </w:rPr>
              <w:t>作业场所</w:t>
            </w:r>
            <w:r>
              <w:rPr>
                <w:rFonts w:hint="eastAsia" w:ascii="宋体" w:hAnsi="宋体" w:cs="宋体"/>
                <w:color w:val="auto"/>
                <w:sz w:val="24"/>
                <w:lang w:eastAsia="zh-CN"/>
              </w:rPr>
              <w:t>和</w:t>
            </w:r>
            <w:r>
              <w:rPr>
                <w:rFonts w:hint="eastAsia" w:ascii="宋体" w:hAnsi="宋体" w:cs="宋体"/>
                <w:color w:val="auto"/>
                <w:sz w:val="24"/>
              </w:rPr>
              <w:t>运输途中</w:t>
            </w:r>
          </w:p>
        </w:tc>
        <w:tc>
          <w:tcPr>
            <w:tcW w:w="5246" w:type="dxa"/>
            <w:noWrap w:val="0"/>
            <w:vAlign w:val="center"/>
          </w:tcPr>
          <w:p>
            <w:pPr>
              <w:spacing w:line="240" w:lineRule="auto"/>
              <w:jc w:val="left"/>
              <w:rPr>
                <w:rFonts w:hint="eastAsia" w:ascii="宋体" w:hAnsi="宋体" w:eastAsia="宋体" w:cs="宋体"/>
                <w:color w:val="auto"/>
                <w:sz w:val="24"/>
                <w:lang w:val="en-US" w:eastAsia="zh-CN"/>
              </w:rPr>
            </w:pPr>
            <w:r>
              <w:rPr>
                <w:rFonts w:hint="eastAsia" w:ascii="宋体" w:hAnsi="宋体" w:cs="宋体"/>
                <w:color w:val="auto"/>
                <w:sz w:val="24"/>
              </w:rPr>
              <w:t>造成</w:t>
            </w:r>
            <w:r>
              <w:rPr>
                <w:rFonts w:hint="eastAsia" w:ascii="宋体" w:hAnsi="宋体" w:cs="宋体"/>
                <w:color w:val="auto"/>
                <w:sz w:val="24"/>
                <w:lang w:eastAsia="zh-CN"/>
              </w:rPr>
              <w:t>车辆伤害、机械伤害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6</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堆土场坍塌和成品区坍塌</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造成坍塌事故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烧窑过程中</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造成中毒窒息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7</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指挥错误造成多种伤害。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8</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电工作业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违章操作用电造成触电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9</w:t>
            </w:r>
          </w:p>
        </w:tc>
        <w:tc>
          <w:tcPr>
            <w:tcW w:w="1594" w:type="dxa"/>
            <w:vMerge w:val="restart"/>
            <w:noWrap w:val="0"/>
            <w:vAlign w:val="center"/>
          </w:tcPr>
          <w:p>
            <w:pPr>
              <w:spacing w:line="240" w:lineRule="auto"/>
              <w:jc w:val="center"/>
              <w:rPr>
                <w:rFonts w:hint="eastAsia" w:ascii="宋体" w:hAnsi="宋体" w:cs="宋体"/>
                <w:color w:val="auto"/>
                <w:sz w:val="24"/>
              </w:rPr>
            </w:pPr>
          </w:p>
          <w:p>
            <w:pPr>
              <w:spacing w:line="240" w:lineRule="auto"/>
              <w:jc w:val="center"/>
              <w:rPr>
                <w:rFonts w:hint="eastAsia" w:ascii="宋体" w:hAnsi="宋体" w:cs="宋体"/>
                <w:color w:val="auto"/>
                <w:sz w:val="24"/>
              </w:rPr>
            </w:pPr>
            <w:r>
              <w:rPr>
                <w:rFonts w:hint="eastAsia" w:ascii="宋体" w:hAnsi="宋体" w:cs="宋体"/>
                <w:color w:val="auto"/>
                <w:sz w:val="24"/>
              </w:rPr>
              <w:t>设备运行、维护和保养</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机动车辆驾驶(包括装载机)</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作业环境不良，违章驾驶造成机械伤害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10</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焊接(切割)作业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紫外线、电危害粉尘等金属烟尘，造成中毒、尘肺、触电烧烫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1</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制砖</w:t>
            </w:r>
            <w:r>
              <w:rPr>
                <w:rFonts w:hint="eastAsia" w:ascii="宋体" w:hAnsi="宋体" w:cs="宋体"/>
                <w:color w:val="auto"/>
                <w:sz w:val="24"/>
              </w:rPr>
              <w:t>设备</w:t>
            </w:r>
            <w:r>
              <w:rPr>
                <w:rFonts w:hint="eastAsia" w:ascii="宋体" w:hAnsi="宋体" w:cs="宋体"/>
                <w:color w:val="auto"/>
                <w:sz w:val="24"/>
                <w:lang w:eastAsia="zh-CN"/>
              </w:rPr>
              <w:t>、破碎设备</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结构庞大、设备复杂，结构暴露部位多，且作业时需多人配合，极易发生</w:t>
            </w:r>
            <w:r>
              <w:rPr>
                <w:rFonts w:hint="eastAsia" w:ascii="宋体" w:hAnsi="宋体" w:cs="宋体"/>
                <w:color w:val="auto"/>
                <w:sz w:val="24"/>
                <w:lang w:eastAsia="zh-CN"/>
              </w:rPr>
              <w:t>机械伤害</w:t>
            </w:r>
            <w:r>
              <w:rPr>
                <w:rFonts w:hint="eastAsia" w:ascii="宋体" w:hAnsi="宋体" w:cs="宋体"/>
                <w:color w:val="auto"/>
                <w:sz w:val="24"/>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2</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其它辅助活动</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档案、资料管理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明火、照明线路不良等造成火灾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  公</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地面、楼梯存水及障碍物其他伤害摔伤、撞伤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4</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办公照明用电</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违章操作触电</w:t>
            </w:r>
          </w:p>
        </w:tc>
      </w:tr>
    </w:tbl>
    <w:p>
      <w:pPr>
        <w:rPr>
          <w:rFonts w:hint="eastAsia" w:ascii="黑体" w:hAnsi="宋体" w:eastAsia="黑体"/>
          <w:b/>
          <w:sz w:val="32"/>
          <w:szCs w:val="32"/>
          <w:lang w:val="en-US" w:eastAsia="zh-CN"/>
        </w:rPr>
      </w:pPr>
      <w:r>
        <w:rPr>
          <w:rFonts w:hint="eastAsia" w:ascii="黑体" w:hAnsi="宋体" w:eastAsia="黑体"/>
          <w:b/>
          <w:sz w:val="32"/>
          <w:szCs w:val="32"/>
          <w:lang w:val="en-US" w:eastAsia="zh-CN"/>
        </w:rPr>
        <w:br w:type="page"/>
      </w:r>
    </w:p>
    <w:p>
      <w:pPr>
        <w:numPr>
          <w:ilvl w:val="0"/>
          <w:numId w:val="0"/>
        </w:numPr>
        <w:spacing w:line="360" w:lineRule="auto"/>
        <w:jc w:val="center"/>
        <w:outlineLvl w:val="0"/>
        <w:rPr>
          <w:rFonts w:hint="eastAsia" w:ascii="黑体" w:hAnsi="宋体" w:eastAsia="黑体"/>
          <w:b/>
          <w:sz w:val="32"/>
          <w:szCs w:val="32"/>
        </w:rPr>
      </w:pPr>
      <w:bookmarkStart w:id="265" w:name="_Toc27272"/>
      <w:r>
        <w:rPr>
          <w:rFonts w:hint="eastAsia" w:ascii="黑体" w:hAnsi="宋体" w:eastAsia="黑体"/>
          <w:b/>
          <w:sz w:val="32"/>
          <w:szCs w:val="32"/>
          <w:lang w:val="en-US" w:eastAsia="zh-CN"/>
        </w:rPr>
        <w:t>4</w:t>
      </w:r>
      <w:r>
        <w:rPr>
          <w:rFonts w:hint="eastAsia" w:ascii="黑体" w:hAnsi="宋体" w:eastAsia="黑体"/>
          <w:b/>
          <w:sz w:val="32"/>
          <w:szCs w:val="32"/>
        </w:rPr>
        <w:t>评估结论与建议</w:t>
      </w:r>
      <w:bookmarkEnd w:id="263"/>
      <w:bookmarkEnd w:id="265"/>
    </w:p>
    <w:p>
      <w:pPr>
        <w:pStyle w:val="5"/>
        <w:autoSpaceDN w:val="0"/>
        <w:spacing w:before="0" w:after="0" w:line="360" w:lineRule="auto"/>
        <w:jc w:val="left"/>
        <w:rPr>
          <w:rFonts w:hint="eastAsia" w:ascii="黑体" w:hAnsi="黑体"/>
          <w:sz w:val="28"/>
          <w:szCs w:val="28"/>
          <w:lang w:val="en-US" w:eastAsia="zh-CN"/>
        </w:rPr>
      </w:pPr>
      <w:bookmarkStart w:id="266" w:name="_Toc14259"/>
      <w:r>
        <w:rPr>
          <w:rFonts w:hint="eastAsia" w:ascii="黑体" w:hAnsi="黑体"/>
          <w:sz w:val="28"/>
          <w:szCs w:val="28"/>
          <w:lang w:val="en-US" w:eastAsia="zh-CN"/>
        </w:rPr>
        <w:t>4.1总体评价结论</w:t>
      </w:r>
      <w:bookmarkEnd w:id="264"/>
      <w:bookmarkEnd w:id="266"/>
    </w:p>
    <w:p>
      <w:pPr>
        <w:spacing w:line="360" w:lineRule="auto"/>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eastAsia="zh-CN"/>
        </w:rPr>
        <w:t>通过对仪陇县三河镇宏发页岩砖厂周边环境、总平面布置及建构筑物、生产设施与设备安全、生产工艺控制、危险化学品储存使用、公辅工程、安全管理等方面的综合评价，本公司各类危险源均处在动态监控中，在日常生产过程中发现隐患问题，能够及时得到整改，加强员工教育，杜绝“三违”现象，就能够做到事故可防可控。本公司《生产安全事故应急救援预案》内容具有可操作性，对事故应急总的处置方案和具体岗位的应急操作流程进行了详细规定，通过对应急救援机构、应急救援队伍、应急救援装备、应急救援物质储备、应急救援医疗保障的调查，与实际情况相符。</w:t>
      </w:r>
    </w:p>
    <w:p>
      <w:pPr>
        <w:pStyle w:val="5"/>
        <w:autoSpaceDN w:val="0"/>
        <w:spacing w:before="0" w:after="0" w:line="360" w:lineRule="auto"/>
        <w:jc w:val="left"/>
        <w:rPr>
          <w:rFonts w:hint="eastAsia" w:ascii="黑体" w:hAnsi="黑体"/>
          <w:sz w:val="28"/>
          <w:szCs w:val="28"/>
        </w:rPr>
      </w:pPr>
      <w:bookmarkStart w:id="267" w:name="_Toc22214"/>
      <w:bookmarkStart w:id="268" w:name="_Toc17453"/>
      <w:bookmarkStart w:id="269" w:name="_Toc5799"/>
      <w:r>
        <w:rPr>
          <w:rFonts w:hint="eastAsia" w:ascii="黑体" w:hAnsi="黑体"/>
          <w:sz w:val="28"/>
          <w:szCs w:val="28"/>
          <w:lang w:val="en-US" w:eastAsia="zh-CN"/>
        </w:rPr>
        <w:t>4</w:t>
      </w:r>
      <w:r>
        <w:rPr>
          <w:rFonts w:hint="eastAsia" w:ascii="黑体" w:hAnsi="黑体"/>
          <w:sz w:val="28"/>
          <w:szCs w:val="28"/>
        </w:rPr>
        <w:t>.</w:t>
      </w:r>
      <w:r>
        <w:rPr>
          <w:rFonts w:hint="eastAsia" w:ascii="黑体" w:hAnsi="黑体"/>
          <w:sz w:val="28"/>
          <w:szCs w:val="28"/>
          <w:lang w:val="en-US" w:eastAsia="zh-CN"/>
        </w:rPr>
        <w:t>2</w:t>
      </w:r>
      <w:r>
        <w:rPr>
          <w:rFonts w:hint="eastAsia" w:ascii="黑体" w:hAnsi="黑体"/>
          <w:sz w:val="28"/>
          <w:szCs w:val="28"/>
        </w:rPr>
        <w:t>建议</w:t>
      </w:r>
      <w:bookmarkEnd w:id="267"/>
      <w:bookmarkEnd w:id="268"/>
      <w:bookmarkEnd w:id="269"/>
    </w:p>
    <w:p>
      <w:pPr>
        <w:spacing w:line="360" w:lineRule="auto"/>
        <w:ind w:firstLine="560" w:firstLineChars="200"/>
        <w:rPr>
          <w:sz w:val="28"/>
          <w:szCs w:val="28"/>
        </w:rPr>
      </w:pPr>
      <w:r>
        <w:rPr>
          <w:sz w:val="28"/>
          <w:szCs w:val="28"/>
        </w:rPr>
        <w:t>（1）应加强对现有安全措施及消防装置的维护检查，确保安全设施及消防措施的可靠性，在发生险情时能有效地发挥其作用。对损坏、失效的消防设备设施要作到及时修复和更换。</w:t>
      </w:r>
    </w:p>
    <w:p>
      <w:pPr>
        <w:spacing w:line="360" w:lineRule="auto"/>
        <w:ind w:firstLine="560" w:firstLineChars="200"/>
        <w:rPr>
          <w:sz w:val="28"/>
          <w:szCs w:val="28"/>
        </w:rPr>
      </w:pPr>
      <w:r>
        <w:rPr>
          <w:sz w:val="28"/>
          <w:szCs w:val="28"/>
        </w:rPr>
        <w:t>（2）应增加应急救援器材，确保事故发生或作业人员发生人身伤害时，能够及时采取有效救援措施，减轻伤害程度，控制事故的发展。</w:t>
      </w:r>
    </w:p>
    <w:p>
      <w:pPr>
        <w:rPr>
          <w:rFonts w:hint="eastAsia"/>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仿宋简体">
    <w:altName w:val="宋体"/>
    <w:panose1 w:val="02010601030101010101"/>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PMingLiU">
    <w:altName w:val="PMingLiU-ExtB"/>
    <w:panose1 w:val="02020500000000000000"/>
    <w:charset w:val="78"/>
    <w:family w:val="auto"/>
    <w:pitch w:val="default"/>
    <w:sig w:usb0="00000000" w:usb1="00000000" w:usb2="00000016" w:usb3="00000000" w:csb0="0010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F723BC"/>
    <w:rsid w:val="00324365"/>
    <w:rsid w:val="005247D8"/>
    <w:rsid w:val="005D60C3"/>
    <w:rsid w:val="00B44381"/>
    <w:rsid w:val="01B34626"/>
    <w:rsid w:val="01D26CA9"/>
    <w:rsid w:val="02EB4D5F"/>
    <w:rsid w:val="03D37A5F"/>
    <w:rsid w:val="047007AE"/>
    <w:rsid w:val="059A7F41"/>
    <w:rsid w:val="06330342"/>
    <w:rsid w:val="06867417"/>
    <w:rsid w:val="069D7701"/>
    <w:rsid w:val="07024A58"/>
    <w:rsid w:val="0731706A"/>
    <w:rsid w:val="07835CC2"/>
    <w:rsid w:val="079A48DA"/>
    <w:rsid w:val="07A44FA0"/>
    <w:rsid w:val="07B56C35"/>
    <w:rsid w:val="07E323AA"/>
    <w:rsid w:val="07F26DF4"/>
    <w:rsid w:val="0808585B"/>
    <w:rsid w:val="0814262C"/>
    <w:rsid w:val="08FB3207"/>
    <w:rsid w:val="0A1B12D6"/>
    <w:rsid w:val="0A54055C"/>
    <w:rsid w:val="0A5621CC"/>
    <w:rsid w:val="0AB72082"/>
    <w:rsid w:val="0AE45EDA"/>
    <w:rsid w:val="0AF829E5"/>
    <w:rsid w:val="0C18342B"/>
    <w:rsid w:val="0CA8623A"/>
    <w:rsid w:val="0D066290"/>
    <w:rsid w:val="0D3B3E73"/>
    <w:rsid w:val="0DE0620E"/>
    <w:rsid w:val="0E061150"/>
    <w:rsid w:val="0E6D3139"/>
    <w:rsid w:val="0EB95D58"/>
    <w:rsid w:val="0ECB0C27"/>
    <w:rsid w:val="0F25281E"/>
    <w:rsid w:val="0F77136B"/>
    <w:rsid w:val="0F842DC8"/>
    <w:rsid w:val="0F9227C9"/>
    <w:rsid w:val="0FE50957"/>
    <w:rsid w:val="112E4204"/>
    <w:rsid w:val="11385FCD"/>
    <w:rsid w:val="11C747FB"/>
    <w:rsid w:val="11D61819"/>
    <w:rsid w:val="11F65369"/>
    <w:rsid w:val="12651DAC"/>
    <w:rsid w:val="128342A7"/>
    <w:rsid w:val="12CA5EC1"/>
    <w:rsid w:val="13174795"/>
    <w:rsid w:val="134B441C"/>
    <w:rsid w:val="136C6E71"/>
    <w:rsid w:val="13C77420"/>
    <w:rsid w:val="140B1FB2"/>
    <w:rsid w:val="143B6186"/>
    <w:rsid w:val="14694763"/>
    <w:rsid w:val="14742777"/>
    <w:rsid w:val="149039AD"/>
    <w:rsid w:val="14B414F7"/>
    <w:rsid w:val="15570D21"/>
    <w:rsid w:val="155E39C3"/>
    <w:rsid w:val="158733A6"/>
    <w:rsid w:val="15A14830"/>
    <w:rsid w:val="15E72303"/>
    <w:rsid w:val="165B5ABE"/>
    <w:rsid w:val="16ED61B4"/>
    <w:rsid w:val="170B2C2B"/>
    <w:rsid w:val="172C1FB3"/>
    <w:rsid w:val="173B5FB4"/>
    <w:rsid w:val="17D8718E"/>
    <w:rsid w:val="18A56828"/>
    <w:rsid w:val="18E72215"/>
    <w:rsid w:val="18E80829"/>
    <w:rsid w:val="19837993"/>
    <w:rsid w:val="19D37E9F"/>
    <w:rsid w:val="1A4F49A7"/>
    <w:rsid w:val="1AAC026F"/>
    <w:rsid w:val="1AF723BC"/>
    <w:rsid w:val="1B584D22"/>
    <w:rsid w:val="1B7B5998"/>
    <w:rsid w:val="1BB675E2"/>
    <w:rsid w:val="1BCF066F"/>
    <w:rsid w:val="1BD90D39"/>
    <w:rsid w:val="1BEC385B"/>
    <w:rsid w:val="1C0A5497"/>
    <w:rsid w:val="1D752B45"/>
    <w:rsid w:val="1D85003A"/>
    <w:rsid w:val="1DC712A8"/>
    <w:rsid w:val="1DD34EC9"/>
    <w:rsid w:val="1DEB3E64"/>
    <w:rsid w:val="1E165C3D"/>
    <w:rsid w:val="1E220183"/>
    <w:rsid w:val="1E8E35FC"/>
    <w:rsid w:val="1F2F4931"/>
    <w:rsid w:val="1F3805F9"/>
    <w:rsid w:val="1F4340AC"/>
    <w:rsid w:val="1F48275D"/>
    <w:rsid w:val="1F647F1F"/>
    <w:rsid w:val="1F7A37C8"/>
    <w:rsid w:val="1F8D03F9"/>
    <w:rsid w:val="1F8E5F41"/>
    <w:rsid w:val="1FB86C9B"/>
    <w:rsid w:val="1FC13459"/>
    <w:rsid w:val="1FE208B9"/>
    <w:rsid w:val="208858FB"/>
    <w:rsid w:val="20BE35EE"/>
    <w:rsid w:val="20FD468F"/>
    <w:rsid w:val="21A05E53"/>
    <w:rsid w:val="22627230"/>
    <w:rsid w:val="22C3776E"/>
    <w:rsid w:val="22D832A8"/>
    <w:rsid w:val="22E40C74"/>
    <w:rsid w:val="22E759E4"/>
    <w:rsid w:val="23032879"/>
    <w:rsid w:val="239931F2"/>
    <w:rsid w:val="23D97413"/>
    <w:rsid w:val="240D3547"/>
    <w:rsid w:val="24251961"/>
    <w:rsid w:val="2439225C"/>
    <w:rsid w:val="24450122"/>
    <w:rsid w:val="244C16C4"/>
    <w:rsid w:val="245A3C4E"/>
    <w:rsid w:val="24FB56BC"/>
    <w:rsid w:val="25AF1A07"/>
    <w:rsid w:val="25F57BEE"/>
    <w:rsid w:val="26524A71"/>
    <w:rsid w:val="26A96685"/>
    <w:rsid w:val="26E103D1"/>
    <w:rsid w:val="27614997"/>
    <w:rsid w:val="27641F1A"/>
    <w:rsid w:val="277D73A1"/>
    <w:rsid w:val="2793442C"/>
    <w:rsid w:val="27C206E8"/>
    <w:rsid w:val="28982FE2"/>
    <w:rsid w:val="28B83BFF"/>
    <w:rsid w:val="28F41F09"/>
    <w:rsid w:val="290F2046"/>
    <w:rsid w:val="2923409D"/>
    <w:rsid w:val="294C2435"/>
    <w:rsid w:val="298C52F0"/>
    <w:rsid w:val="29925E1A"/>
    <w:rsid w:val="2997713A"/>
    <w:rsid w:val="2A1D0F47"/>
    <w:rsid w:val="2A5B6A09"/>
    <w:rsid w:val="2B040F9D"/>
    <w:rsid w:val="2B34415E"/>
    <w:rsid w:val="2B3C65FF"/>
    <w:rsid w:val="2BDD5569"/>
    <w:rsid w:val="2C0870D6"/>
    <w:rsid w:val="2C5A6C5D"/>
    <w:rsid w:val="2C955142"/>
    <w:rsid w:val="2CB53128"/>
    <w:rsid w:val="2CD176A6"/>
    <w:rsid w:val="2CE03705"/>
    <w:rsid w:val="2CE5756B"/>
    <w:rsid w:val="2D17630C"/>
    <w:rsid w:val="2D2D3B92"/>
    <w:rsid w:val="2D980C0B"/>
    <w:rsid w:val="2DA36ECA"/>
    <w:rsid w:val="2DFE08A6"/>
    <w:rsid w:val="2E313DDB"/>
    <w:rsid w:val="2E4C479C"/>
    <w:rsid w:val="2EB87CC0"/>
    <w:rsid w:val="2EC16023"/>
    <w:rsid w:val="2ED80F4B"/>
    <w:rsid w:val="2F1B7849"/>
    <w:rsid w:val="2F8D64C0"/>
    <w:rsid w:val="300251B5"/>
    <w:rsid w:val="305C4346"/>
    <w:rsid w:val="310028DA"/>
    <w:rsid w:val="313177DD"/>
    <w:rsid w:val="31D2778A"/>
    <w:rsid w:val="31DB3B81"/>
    <w:rsid w:val="32240BF8"/>
    <w:rsid w:val="322A0AE4"/>
    <w:rsid w:val="3235563A"/>
    <w:rsid w:val="32683B2D"/>
    <w:rsid w:val="327E3643"/>
    <w:rsid w:val="32AF5AD2"/>
    <w:rsid w:val="32C563AD"/>
    <w:rsid w:val="32FE496E"/>
    <w:rsid w:val="330C362C"/>
    <w:rsid w:val="335A7005"/>
    <w:rsid w:val="33956D13"/>
    <w:rsid w:val="339D79F1"/>
    <w:rsid w:val="33A20370"/>
    <w:rsid w:val="33B37D8A"/>
    <w:rsid w:val="33BB103D"/>
    <w:rsid w:val="34383A5B"/>
    <w:rsid w:val="343E683F"/>
    <w:rsid w:val="34554F53"/>
    <w:rsid w:val="34662EA6"/>
    <w:rsid w:val="347F25F8"/>
    <w:rsid w:val="35532903"/>
    <w:rsid w:val="35B66F08"/>
    <w:rsid w:val="37095278"/>
    <w:rsid w:val="37260A87"/>
    <w:rsid w:val="376A4991"/>
    <w:rsid w:val="37F5632A"/>
    <w:rsid w:val="388958CC"/>
    <w:rsid w:val="39102AC2"/>
    <w:rsid w:val="393A7B4C"/>
    <w:rsid w:val="397E59D9"/>
    <w:rsid w:val="39A80794"/>
    <w:rsid w:val="39CB2810"/>
    <w:rsid w:val="39EF57AC"/>
    <w:rsid w:val="3A5F15D0"/>
    <w:rsid w:val="3A7A59C2"/>
    <w:rsid w:val="3A8A5198"/>
    <w:rsid w:val="3AB647BD"/>
    <w:rsid w:val="3B3E3E45"/>
    <w:rsid w:val="3CA77EE1"/>
    <w:rsid w:val="3CE4144F"/>
    <w:rsid w:val="3D294EE0"/>
    <w:rsid w:val="3DAE5076"/>
    <w:rsid w:val="3DE73B46"/>
    <w:rsid w:val="3DE83AD0"/>
    <w:rsid w:val="3E9F6159"/>
    <w:rsid w:val="3FBC7E4E"/>
    <w:rsid w:val="3FDC1A36"/>
    <w:rsid w:val="3FDD2101"/>
    <w:rsid w:val="3FEA6A42"/>
    <w:rsid w:val="409F3EEA"/>
    <w:rsid w:val="40A21DB4"/>
    <w:rsid w:val="40B7729C"/>
    <w:rsid w:val="411F7579"/>
    <w:rsid w:val="41355E93"/>
    <w:rsid w:val="41730BF7"/>
    <w:rsid w:val="428B2341"/>
    <w:rsid w:val="433507F9"/>
    <w:rsid w:val="441915F5"/>
    <w:rsid w:val="45622A19"/>
    <w:rsid w:val="45770186"/>
    <w:rsid w:val="459F7826"/>
    <w:rsid w:val="464A1410"/>
    <w:rsid w:val="46F66BD7"/>
    <w:rsid w:val="47341022"/>
    <w:rsid w:val="477E3CE3"/>
    <w:rsid w:val="48184499"/>
    <w:rsid w:val="483B34B0"/>
    <w:rsid w:val="48FD757B"/>
    <w:rsid w:val="491C391B"/>
    <w:rsid w:val="492B09D8"/>
    <w:rsid w:val="498E082D"/>
    <w:rsid w:val="4A3D268D"/>
    <w:rsid w:val="4A720B65"/>
    <w:rsid w:val="4AAF0090"/>
    <w:rsid w:val="4B064935"/>
    <w:rsid w:val="4B090AF7"/>
    <w:rsid w:val="4B220275"/>
    <w:rsid w:val="4B483AD9"/>
    <w:rsid w:val="4B6768D2"/>
    <w:rsid w:val="4BFC05F5"/>
    <w:rsid w:val="4C0F77AD"/>
    <w:rsid w:val="4C6D0410"/>
    <w:rsid w:val="4C8611D9"/>
    <w:rsid w:val="4D02687F"/>
    <w:rsid w:val="4D453DC9"/>
    <w:rsid w:val="4D8D0BEB"/>
    <w:rsid w:val="4DB8268A"/>
    <w:rsid w:val="4DF07C13"/>
    <w:rsid w:val="4E426085"/>
    <w:rsid w:val="4E8B327B"/>
    <w:rsid w:val="4ED74A31"/>
    <w:rsid w:val="4EFD13C2"/>
    <w:rsid w:val="4EFE4FA4"/>
    <w:rsid w:val="4F886CE6"/>
    <w:rsid w:val="50993D59"/>
    <w:rsid w:val="515512D0"/>
    <w:rsid w:val="516E3E1E"/>
    <w:rsid w:val="51770C66"/>
    <w:rsid w:val="51C92B72"/>
    <w:rsid w:val="51F47B43"/>
    <w:rsid w:val="525C2381"/>
    <w:rsid w:val="52622A40"/>
    <w:rsid w:val="52755F2A"/>
    <w:rsid w:val="527A20EE"/>
    <w:rsid w:val="532B27D1"/>
    <w:rsid w:val="53A07D90"/>
    <w:rsid w:val="53C43072"/>
    <w:rsid w:val="53EA2B27"/>
    <w:rsid w:val="540B4142"/>
    <w:rsid w:val="5455526C"/>
    <w:rsid w:val="54D21C50"/>
    <w:rsid w:val="55FD3636"/>
    <w:rsid w:val="564C147E"/>
    <w:rsid w:val="56775B43"/>
    <w:rsid w:val="5681710C"/>
    <w:rsid w:val="571950BC"/>
    <w:rsid w:val="57D309C6"/>
    <w:rsid w:val="58B72C33"/>
    <w:rsid w:val="590B70B3"/>
    <w:rsid w:val="592F0C5C"/>
    <w:rsid w:val="59336AE3"/>
    <w:rsid w:val="59A421BC"/>
    <w:rsid w:val="59E15F92"/>
    <w:rsid w:val="59ED3977"/>
    <w:rsid w:val="5A0C0B47"/>
    <w:rsid w:val="5AE86358"/>
    <w:rsid w:val="5B8C578C"/>
    <w:rsid w:val="5B942AB1"/>
    <w:rsid w:val="5BA27CFF"/>
    <w:rsid w:val="5BE34BD9"/>
    <w:rsid w:val="5BEC5827"/>
    <w:rsid w:val="5C2E219B"/>
    <w:rsid w:val="5C6F0596"/>
    <w:rsid w:val="5CB37775"/>
    <w:rsid w:val="5DDA2367"/>
    <w:rsid w:val="5E373F89"/>
    <w:rsid w:val="5E5068C1"/>
    <w:rsid w:val="5E9B5A1F"/>
    <w:rsid w:val="5EFD55DF"/>
    <w:rsid w:val="5F053AC2"/>
    <w:rsid w:val="5F0B5C76"/>
    <w:rsid w:val="5F16731B"/>
    <w:rsid w:val="5F1C71B2"/>
    <w:rsid w:val="5F1D225B"/>
    <w:rsid w:val="5F21657F"/>
    <w:rsid w:val="5F4A1C91"/>
    <w:rsid w:val="5FCA3D8D"/>
    <w:rsid w:val="600C3449"/>
    <w:rsid w:val="60377224"/>
    <w:rsid w:val="607D49FD"/>
    <w:rsid w:val="60E67C6D"/>
    <w:rsid w:val="61043818"/>
    <w:rsid w:val="612E1200"/>
    <w:rsid w:val="613618D5"/>
    <w:rsid w:val="61E37CF9"/>
    <w:rsid w:val="61EF4BAD"/>
    <w:rsid w:val="622E630D"/>
    <w:rsid w:val="62742DCD"/>
    <w:rsid w:val="62B91BA7"/>
    <w:rsid w:val="62D7527A"/>
    <w:rsid w:val="63156E86"/>
    <w:rsid w:val="6395494B"/>
    <w:rsid w:val="639A41C4"/>
    <w:rsid w:val="63AD0D00"/>
    <w:rsid w:val="63CF1848"/>
    <w:rsid w:val="63E37986"/>
    <w:rsid w:val="64360ADF"/>
    <w:rsid w:val="64F03451"/>
    <w:rsid w:val="64FB6E9F"/>
    <w:rsid w:val="654C0C6E"/>
    <w:rsid w:val="65B43BEA"/>
    <w:rsid w:val="65C409EA"/>
    <w:rsid w:val="663A3EB4"/>
    <w:rsid w:val="66E17464"/>
    <w:rsid w:val="67D414E5"/>
    <w:rsid w:val="69A5229A"/>
    <w:rsid w:val="69A97278"/>
    <w:rsid w:val="69F554D1"/>
    <w:rsid w:val="6BBC26DD"/>
    <w:rsid w:val="6BF603B0"/>
    <w:rsid w:val="6C290D26"/>
    <w:rsid w:val="6C2D1542"/>
    <w:rsid w:val="6C4912EE"/>
    <w:rsid w:val="6C800B14"/>
    <w:rsid w:val="6CDC19EB"/>
    <w:rsid w:val="6D11498F"/>
    <w:rsid w:val="6D2B0FBF"/>
    <w:rsid w:val="6D476F7F"/>
    <w:rsid w:val="6D684322"/>
    <w:rsid w:val="6DBA0093"/>
    <w:rsid w:val="6E7B4731"/>
    <w:rsid w:val="6E800EDE"/>
    <w:rsid w:val="6E927F94"/>
    <w:rsid w:val="6EEF6407"/>
    <w:rsid w:val="6F555EF3"/>
    <w:rsid w:val="6FAA56EB"/>
    <w:rsid w:val="6FED25A3"/>
    <w:rsid w:val="704A3031"/>
    <w:rsid w:val="70554E01"/>
    <w:rsid w:val="70601362"/>
    <w:rsid w:val="70AD3F02"/>
    <w:rsid w:val="70EA511B"/>
    <w:rsid w:val="716D7957"/>
    <w:rsid w:val="71E473EF"/>
    <w:rsid w:val="72251606"/>
    <w:rsid w:val="723C4E0C"/>
    <w:rsid w:val="72421DD8"/>
    <w:rsid w:val="727017CD"/>
    <w:rsid w:val="730D354D"/>
    <w:rsid w:val="734E2F8F"/>
    <w:rsid w:val="7386403F"/>
    <w:rsid w:val="73A236AA"/>
    <w:rsid w:val="73AA2E25"/>
    <w:rsid w:val="73B257D5"/>
    <w:rsid w:val="73C66834"/>
    <w:rsid w:val="74034CD0"/>
    <w:rsid w:val="74B623B5"/>
    <w:rsid w:val="74FC7F63"/>
    <w:rsid w:val="75494092"/>
    <w:rsid w:val="759E0303"/>
    <w:rsid w:val="75AD4B40"/>
    <w:rsid w:val="75FE1A6B"/>
    <w:rsid w:val="767D74C7"/>
    <w:rsid w:val="76820B04"/>
    <w:rsid w:val="76DA4889"/>
    <w:rsid w:val="76E47588"/>
    <w:rsid w:val="77354976"/>
    <w:rsid w:val="776A67F8"/>
    <w:rsid w:val="7780493D"/>
    <w:rsid w:val="77D136E2"/>
    <w:rsid w:val="77DF6978"/>
    <w:rsid w:val="78046151"/>
    <w:rsid w:val="783311DF"/>
    <w:rsid w:val="784F6630"/>
    <w:rsid w:val="78507FEF"/>
    <w:rsid w:val="78B03D86"/>
    <w:rsid w:val="78EA49E2"/>
    <w:rsid w:val="79260D6C"/>
    <w:rsid w:val="79F66BAF"/>
    <w:rsid w:val="7A2F46E7"/>
    <w:rsid w:val="7A4F1784"/>
    <w:rsid w:val="7A5245F9"/>
    <w:rsid w:val="7AF95BE7"/>
    <w:rsid w:val="7B70248C"/>
    <w:rsid w:val="7B932C66"/>
    <w:rsid w:val="7BB02559"/>
    <w:rsid w:val="7BF0782B"/>
    <w:rsid w:val="7C05359C"/>
    <w:rsid w:val="7CF11279"/>
    <w:rsid w:val="7D0275D8"/>
    <w:rsid w:val="7DB96803"/>
    <w:rsid w:val="7E2852A2"/>
    <w:rsid w:val="7E605563"/>
    <w:rsid w:val="7EAA408B"/>
    <w:rsid w:val="7EC478BA"/>
    <w:rsid w:val="7EDF4571"/>
    <w:rsid w:val="7F114FA7"/>
    <w:rsid w:val="7F1F28DF"/>
    <w:rsid w:val="7F280353"/>
    <w:rsid w:val="7F350E03"/>
    <w:rsid w:val="7F666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4"/>
      <w:lang w:val="en-US" w:eastAsia="zh-CN" w:bidi="ar-SA"/>
    </w:rPr>
  </w:style>
  <w:style w:type="paragraph" w:styleId="4">
    <w:name w:val="heading 1"/>
    <w:basedOn w:val="1"/>
    <w:next w:val="1"/>
    <w:qFormat/>
    <w:uiPriority w:val="0"/>
    <w:pPr>
      <w:widowControl/>
      <w:adjustRightInd w:val="0"/>
      <w:snapToGrid w:val="0"/>
      <w:spacing w:line="640" w:lineRule="exact"/>
      <w:jc w:val="center"/>
      <w:outlineLvl w:val="0"/>
    </w:pPr>
    <w:rPr>
      <w:rFonts w:ascii="黑体" w:eastAsia="黑体"/>
      <w:b/>
      <w:kern w:val="0"/>
      <w:sz w:val="28"/>
      <w:szCs w:val="28"/>
    </w:rPr>
  </w:style>
  <w:style w:type="paragraph" w:styleId="5">
    <w:name w:val="heading 2"/>
    <w:basedOn w:val="1"/>
    <w:next w:val="1"/>
    <w:unhideWhenUsed/>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6">
    <w:name w:val="heading 3"/>
    <w:basedOn w:val="1"/>
    <w:next w:val="1"/>
    <w:unhideWhenUsed/>
    <w:qFormat/>
    <w:uiPriority w:val="0"/>
    <w:pPr>
      <w:keepNext/>
      <w:keepLines/>
      <w:spacing w:before="260" w:after="260" w:line="413" w:lineRule="auto"/>
      <w:outlineLvl w:val="2"/>
    </w:pPr>
    <w:rPr>
      <w:b/>
      <w:bCs/>
      <w:sz w:val="32"/>
      <w:szCs w:val="32"/>
    </w:rPr>
  </w:style>
  <w:style w:type="paragraph" w:styleId="7">
    <w:name w:val="heading 4"/>
    <w:basedOn w:val="1"/>
    <w:next w:val="1"/>
    <w:qFormat/>
    <w:uiPriority w:val="0"/>
    <w:pPr>
      <w:keepNext/>
      <w:widowControl w:val="0"/>
      <w:ind w:firstLine="600" w:firstLineChars="600"/>
      <w:outlineLvl w:val="3"/>
    </w:pPr>
    <w:rPr>
      <w:rFonts w:ascii="宋体"/>
      <w:sz w:val="28"/>
    </w:rPr>
  </w:style>
  <w:style w:type="character" w:default="1" w:styleId="21">
    <w:name w:val="Default Paragraph Font"/>
    <w:link w:val="22"/>
    <w:semiHidden/>
    <w:qFormat/>
    <w:uiPriority w:val="0"/>
    <w:rPr>
      <w:rFonts w:eastAsia="方正仿宋简体"/>
      <w:sz w:val="32"/>
      <w:szCs w:val="21"/>
    </w:rPr>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autoSpaceDE/>
      <w:autoSpaceDN/>
      <w:adjustRightInd/>
      <w:spacing w:after="120" w:line="240" w:lineRule="auto"/>
      <w:ind w:firstLine="420" w:firstLineChars="100"/>
      <w:jc w:val="both"/>
      <w:textAlignment w:val="auto"/>
    </w:pPr>
    <w:rPr>
      <w:rFonts w:ascii="Times New Roman"/>
      <w:color w:val="auto"/>
      <w:kern w:val="2"/>
      <w:sz w:val="21"/>
      <w:szCs w:val="24"/>
    </w:rPr>
  </w:style>
  <w:style w:type="paragraph" w:styleId="3">
    <w:name w:val="Body Text"/>
    <w:basedOn w:val="1"/>
    <w:qFormat/>
    <w:uiPriority w:val="0"/>
    <w:pPr>
      <w:spacing w:line="400" w:lineRule="exact"/>
    </w:pPr>
    <w:rPr>
      <w:sz w:val="28"/>
    </w:rPr>
  </w:style>
  <w:style w:type="paragraph" w:styleId="8">
    <w:name w:val="Normal Indent"/>
    <w:basedOn w:val="1"/>
    <w:qFormat/>
    <w:uiPriority w:val="0"/>
    <w:pPr>
      <w:ind w:firstLine="420"/>
    </w:pPr>
  </w:style>
  <w:style w:type="paragraph" w:styleId="9">
    <w:name w:val="caption"/>
    <w:basedOn w:val="1"/>
    <w:next w:val="1"/>
    <w:semiHidden/>
    <w:qFormat/>
    <w:uiPriority w:val="0"/>
    <w:pPr>
      <w:spacing w:before="152" w:after="160"/>
    </w:pPr>
    <w:rPr>
      <w:rFonts w:ascii="Arial" w:hAnsi="Arial" w:eastAsia="黑体" w:cs="Arial"/>
      <w:sz w:val="20"/>
    </w:rPr>
  </w:style>
  <w:style w:type="paragraph" w:styleId="10">
    <w:name w:val="Body Text Indent"/>
    <w:basedOn w:val="1"/>
    <w:qFormat/>
    <w:uiPriority w:val="0"/>
    <w:pPr>
      <w:ind w:firstLine="480"/>
    </w:pPr>
    <w:rPr>
      <w:rFonts w:ascii="宋体"/>
      <w:sz w:val="24"/>
    </w:rPr>
  </w:style>
  <w:style w:type="paragraph" w:styleId="11">
    <w:name w:val="toc 3"/>
    <w:basedOn w:val="1"/>
    <w:next w:val="1"/>
    <w:qFormat/>
    <w:uiPriority w:val="0"/>
    <w:pPr>
      <w:ind w:left="840" w:leftChars="400"/>
    </w:pPr>
  </w:style>
  <w:style w:type="paragraph" w:styleId="12">
    <w:name w:val="Plain Text"/>
    <w:basedOn w:val="1"/>
    <w:qFormat/>
    <w:uiPriority w:val="0"/>
    <w:pPr>
      <w:spacing w:line="360" w:lineRule="auto"/>
      <w:ind w:firstLine="200" w:firstLineChars="200"/>
    </w:pPr>
    <w:rPr>
      <w:rFonts w:ascii="宋体" w:hAnsi="Courier New" w:cs="Courier New"/>
      <w:sz w:val="28"/>
      <w:szCs w:val="21"/>
    </w:rPr>
  </w:style>
  <w:style w:type="paragraph" w:styleId="13">
    <w:name w:val="footer"/>
    <w:basedOn w:val="1"/>
    <w:link w:val="3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Body Text Indent 3"/>
    <w:basedOn w:val="1"/>
    <w:qFormat/>
    <w:uiPriority w:val="0"/>
    <w:pPr>
      <w:tabs>
        <w:tab w:val="left" w:pos="1050"/>
      </w:tabs>
      <w:spacing w:before="120" w:line="360" w:lineRule="auto"/>
      <w:ind w:firstLine="420" w:firstLineChars="150"/>
    </w:pPr>
    <w:rPr>
      <w:rFonts w:ascii="宋体"/>
      <w:spacing w:val="20"/>
      <w:sz w:val="24"/>
    </w:rPr>
  </w:style>
  <w:style w:type="paragraph" w:styleId="17">
    <w:name w:val="toc 2"/>
    <w:basedOn w:val="1"/>
    <w:next w:val="1"/>
    <w:qFormat/>
    <w:uiPriority w:val="0"/>
    <w:pPr>
      <w:ind w:left="420" w:leftChars="200"/>
    </w:pPr>
  </w:style>
  <w:style w:type="paragraph" w:styleId="18">
    <w:name w:val="Normal (Web)"/>
    <w:basedOn w:val="1"/>
    <w:qFormat/>
    <w:uiPriority w:val="0"/>
    <w:pPr>
      <w:widowControl/>
      <w:spacing w:before="100" w:beforeLines="0" w:beforeAutospacing="1" w:after="100" w:afterLines="0" w:afterAutospacing="1" w:line="360" w:lineRule="auto"/>
      <w:jc w:val="left"/>
    </w:pPr>
    <w:rPr>
      <w:rFonts w:ascii="宋体" w:hAnsi="宋体"/>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Char"/>
    <w:basedOn w:val="1"/>
    <w:link w:val="21"/>
    <w:qFormat/>
    <w:uiPriority w:val="0"/>
    <w:rPr>
      <w:rFonts w:eastAsia="方正仿宋简体"/>
      <w:sz w:val="32"/>
      <w:szCs w:val="21"/>
    </w:rPr>
  </w:style>
  <w:style w:type="character" w:styleId="23">
    <w:name w:val="annotation reference"/>
    <w:basedOn w:val="21"/>
    <w:semiHidden/>
    <w:qFormat/>
    <w:uiPriority w:val="0"/>
    <w:rPr>
      <w:sz w:val="21"/>
      <w:szCs w:val="21"/>
    </w:rPr>
  </w:style>
  <w:style w:type="paragraph" w:customStyle="1" w:styleId="24">
    <w:name w:val="xl53"/>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kern w:val="0"/>
      <w:sz w:val="28"/>
      <w:szCs w:val="28"/>
    </w:rPr>
  </w:style>
  <w:style w:type="paragraph" w:customStyle="1" w:styleId="25">
    <w:name w:val="表格"/>
    <w:basedOn w:val="1"/>
    <w:qFormat/>
    <w:uiPriority w:val="0"/>
    <w:pPr>
      <w:widowControl/>
      <w:snapToGrid w:val="0"/>
      <w:jc w:val="center"/>
    </w:pPr>
    <w:rPr>
      <w:kern w:val="0"/>
    </w:rPr>
  </w:style>
  <w:style w:type="paragraph" w:customStyle="1" w:styleId="26">
    <w:name w:val="简单回函地址"/>
    <w:basedOn w:val="1"/>
    <w:qFormat/>
    <w:uiPriority w:val="0"/>
  </w:style>
  <w:style w:type="paragraph" w:customStyle="1" w:styleId="27">
    <w:name w:val="居中"/>
    <w:basedOn w:val="1"/>
    <w:qFormat/>
    <w:uiPriority w:val="0"/>
    <w:pPr>
      <w:jc w:val="center"/>
    </w:pPr>
    <w:rPr>
      <w:rFonts w:ascii="宋体" w:hAnsi="宋体"/>
      <w:color w:val="000000"/>
      <w:sz w:val="21"/>
    </w:rPr>
  </w:style>
  <w:style w:type="character" w:customStyle="1" w:styleId="28">
    <w:name w:val="zw1"/>
    <w:basedOn w:val="21"/>
    <w:qFormat/>
    <w:uiPriority w:val="0"/>
    <w:rPr>
      <w:rFonts w:hint="eastAsia" w:ascii="宋体" w:hAnsi="宋体" w:eastAsia="宋体"/>
      <w:sz w:val="22"/>
      <w:szCs w:val="22"/>
    </w:rPr>
  </w:style>
  <w:style w:type="character" w:customStyle="1" w:styleId="29">
    <w:name w:val="正文1"/>
    <w:basedOn w:val="21"/>
    <w:qFormat/>
    <w:uiPriority w:val="0"/>
    <w:rPr>
      <w:rFonts w:hint="eastAsia" w:ascii="宋体" w:hAnsi="宋体" w:eastAsia="宋体"/>
      <w:sz w:val="22"/>
      <w:szCs w:val="22"/>
    </w:rPr>
  </w:style>
  <w:style w:type="paragraph" w:customStyle="1" w:styleId="30">
    <w:name w:val="Body text|2"/>
    <w:basedOn w:val="1"/>
    <w:qFormat/>
    <w:uiPriority w:val="0"/>
    <w:pPr>
      <w:widowControl w:val="0"/>
      <w:shd w:val="clear" w:color="auto" w:fill="FFFFFF"/>
      <w:spacing w:line="242" w:lineRule="exact"/>
    </w:pPr>
    <w:rPr>
      <w:rFonts w:ascii="PMingLiU" w:hAnsi="PMingLiU" w:eastAsia="PMingLiU" w:cs="PMingLiU"/>
      <w:sz w:val="13"/>
      <w:szCs w:val="13"/>
      <w:u w:val="none"/>
    </w:rPr>
  </w:style>
  <w:style w:type="character" w:customStyle="1" w:styleId="31">
    <w:name w:val="页脚 Char"/>
    <w:link w:val="13"/>
    <w:qFormat/>
    <w:uiPriority w:val="99"/>
    <w:rPr>
      <w:sz w:val="18"/>
    </w:rPr>
  </w:style>
  <w:style w:type="paragraph" w:customStyle="1" w:styleId="32">
    <w:name w:val="【表头】"/>
    <w:basedOn w:val="1"/>
    <w:qFormat/>
    <w:uiPriority w:val="0"/>
    <w:pPr>
      <w:spacing w:line="360" w:lineRule="auto"/>
      <w:jc w:val="center"/>
    </w:pPr>
    <w:rPr>
      <w:b/>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2018-03-12T10:48:00Z</dcterms:created>
  <dc:creator>1111</dc:creator>
  <cp:lastModifiedBy>1111</cp:lastModifiedBy>
  <cp:lastPrinted>2019-05-14T01:57:00Z</cp:lastPrinted>
  <dcterms:modified xsi:type="dcterms:W3CDTF">2019-05-25T04:19:28Z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