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仪陇县日兴镇鸿山页岩砖厂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仪陇县日兴镇鸿山页岩砖厂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86865993"/>
      <w:bookmarkStart w:id="2" w:name="_Toc481937753"/>
      <w:bookmarkStart w:id="3" w:name="_Toc1966"/>
      <w:bookmarkStart w:id="4" w:name="_Toc489891867"/>
      <w:bookmarkStart w:id="5" w:name="_Toc490472469"/>
      <w:r>
        <w:rPr>
          <w:rFonts w:hint="eastAsia"/>
          <w:color w:val="auto"/>
        </w:rPr>
        <w:br w:type="page"/>
      </w:r>
    </w:p>
    <w:p>
      <w:pPr>
        <w:rPr>
          <w:rFonts w:hint="eastAsia"/>
          <w:color w:val="auto"/>
        </w:rPr>
        <w:sectPr>
          <w:pgSz w:w="11906" w:h="16838"/>
          <w:pgMar w:top="1440" w:right="1800" w:bottom="1440" w:left="1800" w:header="851" w:footer="992" w:gutter="0"/>
          <w:pgNumType w:fmt="decimal"/>
          <w:cols w:space="425" w:num="1"/>
          <w:docGrid w:type="lines" w:linePitch="312" w:charSpace="0"/>
        </w:sectPr>
      </w:pPr>
    </w:p>
    <w:p>
      <w:pPr>
        <w:pStyle w:val="4"/>
        <w:spacing w:line="360" w:lineRule="auto"/>
        <w:rPr>
          <w:rFonts w:hint="eastAsia"/>
          <w:color w:val="auto"/>
        </w:rPr>
      </w:pPr>
      <w:bookmarkStart w:id="6" w:name="_Toc27937"/>
      <w:bookmarkStart w:id="7" w:name="_Toc5540"/>
      <w:bookmarkStart w:id="8" w:name="_Toc7658"/>
      <w:bookmarkStart w:id="9" w:name="_Toc17105"/>
      <w:bookmarkStart w:id="10" w:name="_Toc30139"/>
      <w:bookmarkStart w:id="11" w:name="_Toc29638"/>
      <w:bookmarkStart w:id="12" w:name="_Toc10859"/>
      <w:bookmarkStart w:id="13" w:name="_Toc32726"/>
      <w:bookmarkStart w:id="14" w:name="_Toc2372"/>
      <w:bookmarkStart w:id="15" w:name="_Toc6757"/>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15"/>
        <w:tabs>
          <w:tab w:val="right" w:leader="dot" w:pos="9638"/>
        </w:tabs>
        <w:spacing w:line="360" w:lineRule="auto"/>
        <w:rPr>
          <w:rFonts w:ascii="宋体" w:hAnsi="宋体"/>
          <w:color w:val="auto"/>
          <w:sz w:val="24"/>
        </w:rPr>
      </w:pPr>
    </w:p>
    <w:p>
      <w:pPr>
        <w:pStyle w:val="15"/>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_Toc10023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32"/>
        </w:rPr>
        <w:t>1概述</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_Toc10023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_Toc14652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rPr>
        <w:t>1.1评估的主要依据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_Toc14652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_Toc18645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en-US" w:eastAsia="zh-CN"/>
        </w:rPr>
        <w:t>1.2评估目的</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_Toc18645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_Toc27759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en-US" w:eastAsia="zh-CN"/>
        </w:rPr>
        <w:t>1.3风险评估范围</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_Toc27759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_Toc24221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rPr>
        <w:t>1.4评估程序</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_Toc24221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_Toc13461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32"/>
          <w:lang w:val="en-US" w:eastAsia="zh-CN"/>
        </w:rPr>
        <w:t>2</w:t>
      </w:r>
      <w:r>
        <w:rPr>
          <w:rFonts w:hint="eastAsia" w:asciiTheme="minorEastAsia" w:hAnsiTheme="minorEastAsia" w:eastAsiaTheme="minorEastAsia" w:cstheme="minorEastAsia"/>
          <w:color w:val="auto"/>
          <w:szCs w:val="32"/>
        </w:rPr>
        <w:t>公司概况</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_Toc13461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_Toc8920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rPr>
        <w:t>2.1 公司概况</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_Toc8920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_Toc26236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rPr>
        <w:t>2.</w:t>
      </w:r>
      <w:r>
        <w:rPr>
          <w:rFonts w:hint="eastAsia" w:asciiTheme="minorEastAsia" w:hAnsiTheme="minorEastAsia" w:eastAsiaTheme="minorEastAsia" w:cstheme="minorEastAsia"/>
          <w:color w:val="auto"/>
          <w:szCs w:val="28"/>
          <w:lang w:val="en-US" w:eastAsia="zh-CN"/>
        </w:rPr>
        <w:t>1.1</w:t>
      </w:r>
      <w:r>
        <w:rPr>
          <w:rFonts w:hint="eastAsia" w:asciiTheme="minorEastAsia" w:hAnsiTheme="minorEastAsia" w:eastAsiaTheme="minorEastAsia" w:cstheme="minorEastAsia"/>
          <w:color w:val="auto"/>
          <w:szCs w:val="28"/>
        </w:rPr>
        <w:t>公司地理位置及环境等情况</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_Toc26236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_Toc4980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2.1.</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lang w:val="zh-CN"/>
        </w:rPr>
        <w:t>总体布置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_Toc4980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5</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_Toc31571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w:t>
      </w:r>
      <w:r>
        <w:rPr>
          <w:rFonts w:hint="eastAsia" w:asciiTheme="minorEastAsia" w:hAnsiTheme="minorEastAsia" w:eastAsiaTheme="minorEastAsia" w:cstheme="minorEastAsia"/>
          <w:color w:val="auto"/>
          <w:szCs w:val="28"/>
        </w:rPr>
        <w:t>1.</w:t>
      </w:r>
      <w:r>
        <w:rPr>
          <w:rFonts w:hint="eastAsia" w:asciiTheme="minorEastAsia" w:hAnsiTheme="minorEastAsia" w:eastAsiaTheme="minorEastAsia" w:cstheme="minorEastAsia"/>
          <w:color w:val="auto"/>
          <w:szCs w:val="28"/>
          <w:lang w:val="en-US" w:eastAsia="zh-CN"/>
        </w:rPr>
        <w:t>3</w:t>
      </w:r>
      <w:r>
        <w:rPr>
          <w:rFonts w:hint="eastAsia" w:asciiTheme="minorEastAsia" w:hAnsiTheme="minorEastAsia" w:eastAsiaTheme="minorEastAsia" w:cstheme="minorEastAsia"/>
          <w:color w:val="auto"/>
          <w:szCs w:val="28"/>
          <w:lang w:val="zh-CN"/>
        </w:rPr>
        <w:t>周边环境</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_Toc31571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_Toc13329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2.1.</w:t>
      </w:r>
      <w:r>
        <w:rPr>
          <w:rFonts w:hint="eastAsia" w:asciiTheme="minorEastAsia" w:hAnsiTheme="minorEastAsia" w:eastAsiaTheme="minorEastAsia" w:cstheme="minorEastAsia"/>
          <w:color w:val="auto"/>
          <w:szCs w:val="28"/>
          <w:lang w:val="en-US" w:eastAsia="zh-CN"/>
        </w:rPr>
        <w:t>4</w:t>
      </w:r>
      <w:r>
        <w:rPr>
          <w:rFonts w:hint="eastAsia" w:asciiTheme="minorEastAsia" w:hAnsiTheme="minorEastAsia" w:eastAsiaTheme="minorEastAsia" w:cstheme="minorEastAsia"/>
          <w:color w:val="auto"/>
          <w:szCs w:val="28"/>
          <w:lang w:val="zh-CN"/>
        </w:rPr>
        <w:t>工艺流程</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_Toc13329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7</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_Toc17081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2.1.</w:t>
      </w:r>
      <w:r>
        <w:rPr>
          <w:rFonts w:hint="eastAsia" w:asciiTheme="minorEastAsia" w:hAnsiTheme="minorEastAsia" w:eastAsiaTheme="minorEastAsia" w:cstheme="minorEastAsia"/>
          <w:color w:val="auto"/>
          <w:szCs w:val="28"/>
          <w:lang w:val="en-US" w:eastAsia="zh-CN"/>
        </w:rPr>
        <w:t>5</w:t>
      </w:r>
      <w:r>
        <w:rPr>
          <w:rFonts w:hint="eastAsia" w:asciiTheme="minorEastAsia" w:hAnsiTheme="minorEastAsia" w:eastAsiaTheme="minorEastAsia" w:cstheme="minorEastAsia"/>
          <w:bCs/>
          <w:i w:val="0"/>
          <w:iCs w:val="0"/>
          <w:color w:val="auto"/>
          <w:szCs w:val="28"/>
        </w:rPr>
        <w:t>主要生产设备情况</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_Toc17081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10</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_Toc3657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rPr>
        <w:t>2.</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rPr>
        <w:t>各方应急力量有关基本情况</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_Toc3657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10</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_Toc7793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lang w:val="zh-CN"/>
        </w:rPr>
        <w:t>.1内部应急力量</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_Toc7793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10</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_Toc18720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zh-CN"/>
        </w:rPr>
        <w:t>2.</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lang w:val="zh-CN"/>
        </w:rPr>
        <w:t>.</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lang w:val="zh-CN"/>
        </w:rPr>
        <w:t>外部应急力量</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_Toc18720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_Toc23701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32"/>
          <w:lang w:val="en-US" w:eastAsia="zh-CN"/>
        </w:rPr>
        <w:t>3危险、有害因素辨识</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_Toc23701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_Toc14557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1 危险、有害因素辨识的目的</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_Toc14557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_Toc11388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2 危险、有害因素辨识的依据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_Toc11388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_Toc4842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3 危险、</w:t>
      </w:r>
      <w:bookmarkStart w:id="227" w:name="_GoBack"/>
      <w:bookmarkEnd w:id="227"/>
      <w:r>
        <w:rPr>
          <w:rFonts w:hint="eastAsia" w:asciiTheme="minorEastAsia" w:hAnsiTheme="minorEastAsia" w:eastAsiaTheme="minorEastAsia" w:cstheme="minorEastAsia"/>
          <w:snapToGrid w:val="0"/>
          <w:color w:val="auto"/>
          <w:kern w:val="0"/>
          <w:szCs w:val="32"/>
        </w:rPr>
        <w:t>有害因素辨识的方法</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_Toc4842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_Toc19374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4 主要危险、有害物质特性分析</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_Toc19374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_Toc3432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4.1 煤</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_Toc3432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_Toc13210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4.2 柴油</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_Toc13210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15</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_Toc12434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4.3 一氧化碳</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_Toc12434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15</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_Toc5618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4.4 二氧化碳</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_Toc5618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_Toc4144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4.5 二氧化硫（三氧化硫参考）</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_Toc4144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_Toc9420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3.4.6 柴油安全数据表</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_Toc9420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17</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_Toc5541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3.4.7 氧气安全数据表</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_Toc5541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18</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_Toc19715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3.4.8 乙炔安全数据表</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_Toc19715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19</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_Toc1881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rPr>
        <w:t>3.5 生产过程危险有害因素分析和辨识</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_Toc1881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_Toc31856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5 生产过程危险有害因素分析和辨识</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_Toc31856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_Toc8340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5.1 车辆事故</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_Toc8340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_Toc6880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5.2 机械伤害</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_Toc6880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22</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_Toc25855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5.3 触电事故</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_Toc25855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_Toc21514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5.4 高处坠落</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_Toc21514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23</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_Toc30056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5.5 物体打击</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_Toc30056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_Toc451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5.6 火灾事故</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_Toc451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25</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_Toc6018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w:t>
      </w:r>
      <w:r>
        <w:rPr>
          <w:rFonts w:hint="eastAsia" w:asciiTheme="minorEastAsia" w:hAnsiTheme="minorEastAsia" w:eastAsiaTheme="minorEastAsia" w:cstheme="minorEastAsia"/>
          <w:snapToGrid w:val="0"/>
          <w:color w:val="auto"/>
          <w:kern w:val="0"/>
          <w:szCs w:val="28"/>
          <w:lang w:val="en-US" w:eastAsia="zh-CN"/>
        </w:rPr>
        <w:t>7 坍塌</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_Toc6018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25</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_Toc16707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3.5.8中毒窒息</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_Toc16707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_Toc28849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3.5.9高温灼烫</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_Toc28849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_Toc21317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3.5.10容器爆炸</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_Toc21317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26</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_Toc13345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3.5.11有限空间作业</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_Toc13345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27</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_Toc9778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5.</w:t>
      </w:r>
      <w:r>
        <w:rPr>
          <w:rFonts w:hint="eastAsia" w:asciiTheme="minorEastAsia" w:hAnsiTheme="minorEastAsia" w:eastAsiaTheme="minorEastAsia" w:cstheme="minorEastAsia"/>
          <w:snapToGrid w:val="0"/>
          <w:color w:val="auto"/>
          <w:kern w:val="0"/>
          <w:szCs w:val="28"/>
          <w:lang w:val="en-US" w:eastAsia="zh-CN"/>
        </w:rPr>
        <w:t>12</w:t>
      </w:r>
      <w:r>
        <w:rPr>
          <w:rFonts w:hint="eastAsia" w:asciiTheme="minorEastAsia" w:hAnsiTheme="minorEastAsia" w:eastAsiaTheme="minorEastAsia" w:cstheme="minorEastAsia"/>
          <w:snapToGrid w:val="0"/>
          <w:color w:val="auto"/>
          <w:kern w:val="0"/>
          <w:szCs w:val="28"/>
        </w:rPr>
        <w:t xml:space="preserve"> 职业危害因素</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_Toc9778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28</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_Toc18111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3.5.13 自然灾害</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_Toc18111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29</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_Toc8904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rPr>
        <w:t>6 厂址安全条件的危险、有害因素辨识与分析</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_Toc8904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30</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_Toc12235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 xml:space="preserve">6.1 </w:t>
      </w:r>
      <w:r>
        <w:rPr>
          <w:rFonts w:hint="eastAsia" w:asciiTheme="minorEastAsia" w:hAnsiTheme="minorEastAsia" w:eastAsiaTheme="minorEastAsia" w:cstheme="minorEastAsia"/>
          <w:snapToGrid w:val="0"/>
          <w:color w:val="auto"/>
          <w:kern w:val="0"/>
          <w:szCs w:val="28"/>
          <w:lang w:eastAsia="zh-CN"/>
        </w:rPr>
        <w:t>公司</w:t>
      </w:r>
      <w:r>
        <w:rPr>
          <w:rFonts w:hint="eastAsia" w:asciiTheme="minorEastAsia" w:hAnsiTheme="minorEastAsia" w:eastAsiaTheme="minorEastAsia" w:cstheme="minorEastAsia"/>
          <w:snapToGrid w:val="0"/>
          <w:color w:val="auto"/>
          <w:kern w:val="0"/>
          <w:szCs w:val="28"/>
        </w:rPr>
        <w:t>对周边环境的影响分析</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_Toc12235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_Toc22235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rPr>
        <w:t>6.2 周边环境对</w:t>
      </w:r>
      <w:r>
        <w:rPr>
          <w:rFonts w:hint="eastAsia" w:asciiTheme="minorEastAsia" w:hAnsiTheme="minorEastAsia" w:eastAsiaTheme="minorEastAsia" w:cstheme="minorEastAsia"/>
          <w:snapToGrid w:val="0"/>
          <w:color w:val="auto"/>
          <w:kern w:val="0"/>
          <w:szCs w:val="28"/>
          <w:lang w:eastAsia="zh-CN"/>
        </w:rPr>
        <w:t>公司</w:t>
      </w:r>
      <w:r>
        <w:rPr>
          <w:rFonts w:hint="eastAsia" w:asciiTheme="minorEastAsia" w:hAnsiTheme="minorEastAsia" w:eastAsiaTheme="minorEastAsia" w:cstheme="minorEastAsia"/>
          <w:snapToGrid w:val="0"/>
          <w:color w:val="auto"/>
          <w:kern w:val="0"/>
          <w:szCs w:val="28"/>
        </w:rPr>
        <w:t>的影响分析</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_Toc22235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31</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_Toc8981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w:t>
      </w:r>
      <w:r>
        <w:rPr>
          <w:rFonts w:hint="eastAsia" w:asciiTheme="minorEastAsia" w:hAnsiTheme="minorEastAsia" w:eastAsiaTheme="minorEastAsia" w:cstheme="minorEastAsia"/>
          <w:snapToGrid w:val="0"/>
          <w:color w:val="auto"/>
          <w:kern w:val="0"/>
          <w:szCs w:val="32"/>
          <w:lang w:eastAsia="zh-CN"/>
        </w:rPr>
        <w:t>.</w:t>
      </w:r>
      <w:r>
        <w:rPr>
          <w:rFonts w:hint="eastAsia" w:asciiTheme="minorEastAsia" w:hAnsiTheme="minorEastAsia" w:eastAsiaTheme="minorEastAsia" w:cstheme="minorEastAsia"/>
          <w:snapToGrid w:val="0"/>
          <w:color w:val="auto"/>
          <w:kern w:val="0"/>
          <w:szCs w:val="32"/>
          <w:lang w:val="en-US" w:eastAsia="zh-CN"/>
        </w:rPr>
        <w:t>7</w:t>
      </w:r>
      <w:r>
        <w:rPr>
          <w:rFonts w:hint="eastAsia" w:asciiTheme="minorEastAsia" w:hAnsiTheme="minorEastAsia" w:eastAsiaTheme="minorEastAsia" w:cstheme="minorEastAsia"/>
          <w:snapToGrid w:val="0"/>
          <w:color w:val="auto"/>
          <w:kern w:val="0"/>
          <w:szCs w:val="32"/>
        </w:rPr>
        <w:t xml:space="preserve"> 重大危险源辨识</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_Toc8981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32</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_Toc14102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lang w:val="en-US" w:eastAsia="zh-CN"/>
        </w:rPr>
        <w:t>7</w:t>
      </w:r>
      <w:r>
        <w:rPr>
          <w:rFonts w:hint="eastAsia" w:asciiTheme="minorEastAsia" w:hAnsiTheme="minorEastAsia" w:eastAsiaTheme="minorEastAsia" w:cstheme="minorEastAsia"/>
          <w:snapToGrid w:val="0"/>
          <w:color w:val="auto"/>
          <w:kern w:val="0"/>
          <w:szCs w:val="28"/>
        </w:rPr>
        <w:t>.1 辨识依据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_Toc14102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32</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_Toc6705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28"/>
          <w:lang w:val="en-US" w:eastAsia="zh-CN"/>
        </w:rPr>
        <w:t>3</w:t>
      </w:r>
      <w:r>
        <w:rPr>
          <w:rFonts w:hint="eastAsia" w:asciiTheme="minorEastAsia" w:hAnsiTheme="minorEastAsia" w:eastAsiaTheme="minorEastAsia" w:cstheme="minorEastAsia"/>
          <w:snapToGrid w:val="0"/>
          <w:color w:val="auto"/>
          <w:kern w:val="0"/>
          <w:szCs w:val="28"/>
          <w:lang w:eastAsia="zh-CN"/>
        </w:rPr>
        <w:t>.</w:t>
      </w:r>
      <w:r>
        <w:rPr>
          <w:rFonts w:hint="eastAsia" w:asciiTheme="minorEastAsia" w:hAnsiTheme="minorEastAsia" w:eastAsiaTheme="minorEastAsia" w:cstheme="minorEastAsia"/>
          <w:snapToGrid w:val="0"/>
          <w:color w:val="auto"/>
          <w:kern w:val="0"/>
          <w:szCs w:val="28"/>
          <w:lang w:val="en-US" w:eastAsia="zh-CN"/>
        </w:rPr>
        <w:t>7</w:t>
      </w:r>
      <w:r>
        <w:rPr>
          <w:rFonts w:hint="eastAsia" w:asciiTheme="minorEastAsia" w:hAnsiTheme="minorEastAsia" w:eastAsiaTheme="minorEastAsia" w:cstheme="minorEastAsia"/>
          <w:snapToGrid w:val="0"/>
          <w:color w:val="auto"/>
          <w:kern w:val="0"/>
          <w:szCs w:val="28"/>
        </w:rPr>
        <w:t>.2 辨识结果</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_Toc6705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32</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_Toc14325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snapToGrid w:val="0"/>
          <w:color w:val="auto"/>
          <w:kern w:val="0"/>
          <w:szCs w:val="32"/>
          <w:lang w:val="en-US" w:eastAsia="zh-CN"/>
        </w:rPr>
        <w:t>3.8小结</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_Toc14325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32</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_Toc23579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32"/>
          <w:lang w:val="en-US" w:eastAsia="zh-CN"/>
        </w:rPr>
        <w:t>4</w:t>
      </w:r>
      <w:r>
        <w:rPr>
          <w:rFonts w:hint="eastAsia" w:asciiTheme="minorEastAsia" w:hAnsiTheme="minorEastAsia" w:eastAsiaTheme="minorEastAsia" w:cstheme="minorEastAsia"/>
          <w:color w:val="auto"/>
          <w:szCs w:val="32"/>
        </w:rPr>
        <w:t>评估结论与建议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_Toc23579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_Toc16198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en-US" w:eastAsia="zh-CN"/>
        </w:rPr>
        <w:t>4.1总体评价结论</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_Toc16198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color w:val="auto"/>
          <w:szCs w:val="21"/>
        </w:rPr>
        <w:instrText xml:space="preserve"> HYPERLINK \l _Toc3872 </w:instrText>
      </w:r>
      <w:r>
        <w:rPr>
          <w:rFonts w:hint="eastAsia" w:asciiTheme="minorEastAsia" w:hAnsiTheme="minorEastAsia" w:eastAsiaTheme="minorEastAsia" w:cstheme="minorEastAsia"/>
          <w:color w:val="auto"/>
          <w:szCs w:val="21"/>
        </w:rPr>
        <w:fldChar w:fldCharType="separate"/>
      </w:r>
      <w:r>
        <w:rPr>
          <w:rFonts w:hint="eastAsia" w:asciiTheme="minorEastAsia" w:hAnsiTheme="minorEastAsia" w:eastAsiaTheme="minorEastAsia" w:cstheme="minorEastAsia"/>
          <w:color w:val="auto"/>
          <w:szCs w:val="28"/>
          <w:lang w:val="en-US" w:eastAsia="zh-CN"/>
        </w:rPr>
        <w:t>4</w:t>
      </w:r>
      <w:r>
        <w:rPr>
          <w:rFonts w:hint="eastAsia" w:asciiTheme="minorEastAsia" w:hAnsiTheme="minorEastAsia" w:eastAsiaTheme="minorEastAsia" w:cstheme="minorEastAsia"/>
          <w:color w:val="auto"/>
          <w:szCs w:val="28"/>
        </w:rPr>
        <w:t>.</w:t>
      </w:r>
      <w:r>
        <w:rPr>
          <w:rFonts w:hint="eastAsia" w:asciiTheme="minorEastAsia" w:hAnsiTheme="minorEastAsia" w:eastAsiaTheme="minorEastAsia" w:cstheme="minorEastAsia"/>
          <w:color w:val="auto"/>
          <w:szCs w:val="28"/>
          <w:lang w:val="en-US" w:eastAsia="zh-CN"/>
        </w:rPr>
        <w:t>2</w:t>
      </w:r>
      <w:r>
        <w:rPr>
          <w:rFonts w:hint="eastAsia" w:asciiTheme="minorEastAsia" w:hAnsiTheme="minorEastAsia" w:eastAsiaTheme="minorEastAsia" w:cstheme="minorEastAsia"/>
          <w:color w:val="auto"/>
          <w:szCs w:val="28"/>
        </w:rPr>
        <w:t>建议</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_Toc3872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34</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color w:val="auto"/>
          <w:sz w:val="32"/>
          <w:szCs w:val="32"/>
        </w:rPr>
      </w:pPr>
      <w:bookmarkStart w:id="16" w:name="_Toc10023"/>
      <w:bookmarkStart w:id="17" w:name="_Toc1621"/>
      <w:bookmarkStart w:id="18" w:name="_Toc97"/>
      <w:r>
        <w:rPr>
          <w:rFonts w:hint="eastAsia" w:ascii="黑体" w:hAnsi="宋体" w:eastAsia="黑体"/>
          <w:b/>
          <w:color w:val="auto"/>
          <w:sz w:val="32"/>
          <w:szCs w:val="32"/>
        </w:rPr>
        <w:t>1概述</w:t>
      </w:r>
      <w:bookmarkEnd w:id="16"/>
      <w:bookmarkEnd w:id="17"/>
      <w:bookmarkEnd w:id="18"/>
    </w:p>
    <w:p>
      <w:pPr>
        <w:pStyle w:val="5"/>
        <w:spacing w:line="360" w:lineRule="auto"/>
        <w:rPr>
          <w:rFonts w:hint="eastAsia" w:ascii="宋体" w:hAnsi="宋体" w:eastAsia="宋体" w:cs="宋体"/>
          <w:color w:val="auto"/>
          <w:sz w:val="28"/>
          <w:szCs w:val="28"/>
        </w:rPr>
      </w:pPr>
      <w:bookmarkStart w:id="19" w:name="_Toc13902"/>
      <w:bookmarkStart w:id="20" w:name="_Toc14652"/>
      <w:bookmarkStart w:id="21" w:name="_Toc10102"/>
      <w:r>
        <w:rPr>
          <w:rFonts w:hint="eastAsia" w:ascii="宋体" w:hAnsi="宋体" w:eastAsia="宋体" w:cs="宋体"/>
          <w:color w:val="auto"/>
          <w:sz w:val="28"/>
          <w:szCs w:val="28"/>
        </w:rPr>
        <w:t>1.1评估的主要依据</w:t>
      </w:r>
      <w:bookmarkEnd w:id="19"/>
      <w:bookmarkEnd w:id="20"/>
      <w:bookmarkEnd w:id="21"/>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2" w:name="_Toc18645"/>
      <w:bookmarkStart w:id="23" w:name="_Toc16426"/>
      <w:bookmarkStart w:id="24" w:name="_Toc25561"/>
      <w:r>
        <w:rPr>
          <w:rFonts w:hint="eastAsia" w:ascii="宋体" w:hAnsi="宋体" w:eastAsia="宋体" w:cs="宋体"/>
          <w:color w:val="auto"/>
          <w:sz w:val="28"/>
          <w:szCs w:val="28"/>
          <w:lang w:val="en-US" w:eastAsia="zh-CN"/>
        </w:rPr>
        <w:t>1.2评估目的</w:t>
      </w:r>
      <w:bookmarkEnd w:id="22"/>
      <w:bookmarkEnd w:id="23"/>
      <w:bookmarkEnd w:id="24"/>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为规范</w:t>
      </w:r>
      <w:r>
        <w:rPr>
          <w:rFonts w:hint="eastAsia" w:hAnsi="宋体"/>
          <w:color w:val="auto"/>
          <w:sz w:val="28"/>
          <w:szCs w:val="28"/>
          <w:lang w:eastAsia="zh-CN"/>
        </w:rPr>
        <w:t>公司</w:t>
      </w:r>
      <w:r>
        <w:rPr>
          <w:rFonts w:hint="eastAsia" w:hAnsi="宋体"/>
          <w:color w:val="auto"/>
          <w:sz w:val="28"/>
          <w:szCs w:val="28"/>
        </w:rPr>
        <w:t>风险管理工作，识别和分析生产安全作业中的危险有害因素，消除或减少事故危害，确保安全作业，由</w:t>
      </w:r>
      <w:r>
        <w:rPr>
          <w:rFonts w:hint="eastAsia" w:hAnsi="宋体"/>
          <w:color w:val="auto"/>
          <w:sz w:val="28"/>
          <w:szCs w:val="28"/>
          <w:lang w:eastAsia="zh-CN"/>
        </w:rPr>
        <w:t>公司</w:t>
      </w:r>
      <w:r>
        <w:rPr>
          <w:rFonts w:hint="eastAsia" w:hAnsi="宋体"/>
          <w:color w:val="auto"/>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5" w:name="_Toc12578"/>
      <w:bookmarkStart w:id="26" w:name="_Toc27759"/>
      <w:bookmarkStart w:id="27" w:name="_Toc19499"/>
      <w:r>
        <w:rPr>
          <w:rFonts w:hint="eastAsia" w:ascii="宋体" w:hAnsi="宋体" w:eastAsia="宋体" w:cs="宋体"/>
          <w:color w:val="auto"/>
          <w:sz w:val="28"/>
          <w:szCs w:val="28"/>
          <w:lang w:val="en-US" w:eastAsia="zh-CN"/>
        </w:rPr>
        <w:t>1.3风险评估范围</w:t>
      </w:r>
      <w:bookmarkEnd w:id="25"/>
      <w:bookmarkEnd w:id="26"/>
      <w:bookmarkEnd w:id="27"/>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评估范围主要围绕生产经营活动开展，主要包括</w:t>
      </w:r>
      <w:r>
        <w:rPr>
          <w:rFonts w:hint="eastAsia" w:hAnsi="宋体"/>
          <w:color w:val="auto"/>
          <w:sz w:val="28"/>
          <w:szCs w:val="28"/>
          <w:lang w:eastAsia="zh-CN"/>
        </w:rPr>
        <w:t>公司</w:t>
      </w:r>
      <w:r>
        <w:rPr>
          <w:rFonts w:hint="eastAsia" w:hAnsi="宋体"/>
          <w:color w:val="auto"/>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color w:val="auto"/>
          <w:sz w:val="28"/>
          <w:szCs w:val="28"/>
        </w:rPr>
      </w:pPr>
      <w:bookmarkStart w:id="28" w:name="_Toc15923"/>
      <w:bookmarkStart w:id="29" w:name="_Toc23032"/>
      <w:bookmarkStart w:id="30" w:name="_Toc24221"/>
      <w:r>
        <w:rPr>
          <w:rFonts w:hint="eastAsia" w:ascii="宋体" w:hAnsi="宋体" w:eastAsia="宋体" w:cs="宋体"/>
          <w:color w:val="auto"/>
          <w:sz w:val="28"/>
          <w:szCs w:val="28"/>
        </w:rPr>
        <w:t>1.4评估程序</w:t>
      </w:r>
      <w:bookmarkEnd w:id="28"/>
      <w:bookmarkEnd w:id="29"/>
      <w:bookmarkEnd w:id="30"/>
      <w:r>
        <w:rPr>
          <w:rFonts w:hint="eastAsia" w:ascii="宋体" w:hAnsi="宋体" w:eastAsia="宋体" w:cs="宋体"/>
          <w:color w:val="auto"/>
          <w:sz w:val="28"/>
          <w:szCs w:val="28"/>
        </w:rPr>
        <w:t xml:space="preserve"> </w:t>
      </w:r>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 xml:space="preserve">1、成立风险评估小组 </w:t>
      </w:r>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 xml:space="preserve">2、收集分析资料、现场勘察 </w:t>
      </w:r>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 xml:space="preserve">3、组织进行风险识别和评估 </w:t>
      </w:r>
    </w:p>
    <w:p>
      <w:pPr>
        <w:autoSpaceDE w:val="0"/>
        <w:autoSpaceDN w:val="0"/>
        <w:adjustRightInd w:val="0"/>
        <w:spacing w:line="360" w:lineRule="auto"/>
        <w:ind w:firstLine="560" w:firstLineChars="200"/>
        <w:rPr>
          <w:rFonts w:hint="eastAsia" w:hAnsi="宋体"/>
          <w:color w:val="auto"/>
          <w:sz w:val="28"/>
          <w:szCs w:val="28"/>
        </w:rPr>
      </w:pPr>
      <w:r>
        <w:rPr>
          <w:rFonts w:hint="eastAsia" w:hAnsi="宋体"/>
          <w:color w:val="auto"/>
          <w:sz w:val="28"/>
          <w:szCs w:val="28"/>
        </w:rPr>
        <w:t>4、评估汇总交</w:t>
      </w:r>
      <w:r>
        <w:rPr>
          <w:rFonts w:hint="eastAsia" w:hAnsi="宋体"/>
          <w:color w:val="auto"/>
          <w:sz w:val="28"/>
          <w:szCs w:val="28"/>
          <w:lang w:eastAsia="zh-CN"/>
        </w:rPr>
        <w:t>公司</w:t>
      </w:r>
      <w:r>
        <w:rPr>
          <w:rFonts w:hint="eastAsia" w:hAnsi="宋体"/>
          <w:color w:val="auto"/>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1" w:name="_Toc13461"/>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1"/>
    </w:p>
    <w:p>
      <w:pPr>
        <w:pStyle w:val="5"/>
        <w:spacing w:before="0" w:after="0" w:line="360" w:lineRule="auto"/>
        <w:rPr>
          <w:rFonts w:hint="eastAsia" w:ascii="宋体" w:hAnsi="宋体" w:eastAsia="宋体" w:cs="宋体"/>
          <w:color w:val="auto"/>
          <w:sz w:val="28"/>
          <w:szCs w:val="28"/>
        </w:rPr>
      </w:pPr>
      <w:bookmarkStart w:id="32" w:name="_Toc8920"/>
      <w:bookmarkStart w:id="33" w:name="_Toc332285103"/>
      <w:bookmarkStart w:id="34" w:name="_Toc13200"/>
      <w:bookmarkStart w:id="35" w:name="_Toc176022617"/>
      <w:bookmarkStart w:id="36" w:name="_Toc514342838"/>
      <w:bookmarkStart w:id="37" w:name="_Toc480804386"/>
      <w:bookmarkStart w:id="38" w:name="_Toc485656588"/>
      <w:r>
        <w:rPr>
          <w:rFonts w:hint="eastAsia" w:ascii="宋体" w:hAnsi="宋体" w:eastAsia="宋体" w:cs="宋体"/>
          <w:color w:val="auto"/>
          <w:sz w:val="28"/>
          <w:szCs w:val="28"/>
        </w:rPr>
        <w:t>2.1 公司概况</w:t>
      </w:r>
      <w:bookmarkEnd w:id="32"/>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仪陇县日兴镇鸿山页岩砖厂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马光伦</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13518280218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马光伦</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ascii="宋体" w:hAnsi="宋体"/>
                <w:color w:val="auto"/>
                <w:sz w:val="28"/>
                <w:szCs w:val="28"/>
                <w:lang w:val="en-US" w:eastAsia="zh-CN"/>
              </w:rPr>
              <w:t>2006</w:t>
            </w:r>
            <w:r>
              <w:rPr>
                <w:rFonts w:hint="eastAsia" w:ascii="仿宋_GB2312"/>
                <w:snapToGrid w:val="0"/>
                <w:color w:val="auto"/>
                <w:kern w:val="0"/>
                <w:sz w:val="28"/>
                <w:szCs w:val="28"/>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个体工商户</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92511324MA67DLHHX6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仪陇县日兴镇鸿山村3社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粘土砖瓦及建设砌块制造C3131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Times New Roman" w:cs="宋体"/>
                <w:color w:val="auto"/>
                <w:kern w:val="2"/>
                <w:sz w:val="28"/>
                <w:szCs w:val="28"/>
                <w:lang w:val="zh-CN" w:eastAsia="zh-CN" w:bidi="ar-SA"/>
              </w:rPr>
              <w:t>年</w:t>
            </w:r>
            <w:r>
              <w:rPr>
                <w:rFonts w:hint="eastAsia" w:hAnsi="Courier New"/>
                <w:snapToGrid w:val="0"/>
                <w:color w:val="auto"/>
                <w:kern w:val="0"/>
                <w:sz w:val="28"/>
                <w:szCs w:val="28"/>
                <w:lang w:val="zh-CN" w:eastAsia="zh-CN"/>
              </w:rPr>
              <w:t>产</w:t>
            </w:r>
            <w:r>
              <w:rPr>
                <w:rFonts w:hint="eastAsia" w:hAnsi="Courier New"/>
                <w:snapToGrid w:val="0"/>
                <w:color w:val="auto"/>
                <w:kern w:val="0"/>
                <w:sz w:val="28"/>
                <w:szCs w:val="28"/>
                <w:lang w:val="en-US" w:eastAsia="zh-CN"/>
              </w:rPr>
              <w:t>4000万匹</w:t>
            </w:r>
            <w:r>
              <w:rPr>
                <w:rFonts w:hint="eastAsia" w:hAnsi="Courier New"/>
                <w:snapToGrid w:val="0"/>
                <w:color w:val="auto"/>
                <w:kern w:val="0"/>
                <w:sz w:val="28"/>
                <w:szCs w:val="28"/>
                <w:lang w:val="zh-CN" w:eastAsia="zh-CN"/>
              </w:rPr>
              <w:t>空心页岩砖</w:t>
            </w:r>
            <w:r>
              <w:rPr>
                <w:rFonts w:hint="eastAsia" w:hAnsi="Courier New"/>
                <w:snapToGrid w:val="0"/>
                <w:color w:val="auto"/>
                <w:kern w:val="0"/>
                <w:sz w:val="28"/>
                <w:szCs w:val="28"/>
                <w:lang w:val="en-US" w:eastAsia="zh-CN"/>
              </w:rPr>
              <w:t>。</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cs="宋体"/>
                <w:color w:val="auto"/>
                <w:lang w:val="en-US" w:eastAsia="zh-CN"/>
              </w:rPr>
              <w:t>12620</w:t>
            </w:r>
            <w:r>
              <w:rPr>
                <w:rFonts w:hint="eastAsia" w:ascii="宋体" w:hAnsi="宋体" w:eastAsia="宋体" w:cs="宋体"/>
                <w:color w:val="auto"/>
                <w:lang w:val="en-US" w:eastAsia="en-US"/>
              </w:rPr>
              <w:t>m</w:t>
            </w:r>
            <w:r>
              <w:rPr>
                <w:rFonts w:hint="eastAsia" w:ascii="宋体" w:hAnsi="宋体" w:eastAsia="宋体" w:cs="宋体"/>
                <w:color w:val="auto"/>
                <w:vertAlign w:val="superscript"/>
                <w:lang w:val="en-US" w:eastAsia="en-US"/>
              </w:rPr>
              <w:t>2</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pStyle w:val="12"/>
        <w:spacing w:line="240" w:lineRule="auto"/>
        <w:ind w:firstLine="482" w:firstLineChars="200"/>
        <w:jc w:val="center"/>
        <w:rPr>
          <w:rFonts w:hint="eastAsia" w:ascii="黑体" w:hAnsi="Courier New" w:eastAsia="黑体"/>
          <w:b/>
          <w:color w:val="auto"/>
          <w:sz w:val="24"/>
        </w:rPr>
      </w:pP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我公司仪陇县日兴镇鸿山页岩砖厂于2006年成立，位于仪陇县日兴镇鸿山村三队。现有25人，安全生产管理人员由于总经理马光伦、厂长陈辉、安全员陈伦、陈国建、刘安伦组成。</w:t>
      </w:r>
      <w:r>
        <w:rPr>
          <w:rFonts w:hint="eastAsia" w:ascii="宋体" w:hAnsi="宋体" w:cs="宋体"/>
          <w:color w:val="auto"/>
          <w:sz w:val="28"/>
          <w:szCs w:val="28"/>
          <w:lang w:val="zh-CN" w:eastAsia="zh-CN"/>
        </w:rPr>
        <w:t>本砖厂页岩原料为现场开采，煤为外购，主要生产标砖、空心砖和矩空砖等类型的产品，根据单块砖重量折合年产标砖</w:t>
      </w:r>
      <w:r>
        <w:rPr>
          <w:rFonts w:hint="eastAsia" w:ascii="宋体" w:hAnsi="宋体" w:cs="宋体"/>
          <w:color w:val="auto"/>
          <w:sz w:val="28"/>
          <w:szCs w:val="28"/>
          <w:lang w:val="en-US" w:eastAsia="zh-CN"/>
        </w:rPr>
        <w:t>4000万</w:t>
      </w:r>
      <w:r>
        <w:rPr>
          <w:rFonts w:hint="eastAsia" w:ascii="宋体" w:hAnsi="宋体" w:cs="宋体"/>
          <w:color w:val="auto"/>
          <w:sz w:val="28"/>
          <w:szCs w:val="28"/>
          <w:lang w:val="zh-CN" w:eastAsia="zh-CN"/>
        </w:rPr>
        <w:t>块。</w:t>
      </w:r>
    </w:p>
    <w:p>
      <w:pPr>
        <w:pStyle w:val="5"/>
        <w:spacing w:before="0" w:after="0" w:line="360" w:lineRule="auto"/>
        <w:rPr>
          <w:rFonts w:hint="eastAsia" w:ascii="宋体" w:hAnsi="宋体" w:eastAsia="宋体" w:cs="宋体"/>
          <w:color w:val="auto"/>
          <w:sz w:val="28"/>
          <w:szCs w:val="28"/>
        </w:rPr>
      </w:pPr>
      <w:bookmarkStart w:id="39" w:name="_Toc26236"/>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公司地理位置及环境等情况</w:t>
      </w:r>
      <w:bookmarkEnd w:id="39"/>
    </w:p>
    <w:p>
      <w:pPr>
        <w:spacing w:line="360" w:lineRule="auto"/>
        <w:ind w:firstLine="560" w:firstLineChars="200"/>
        <w:rPr>
          <w:rFonts w:hint="eastAsia"/>
          <w:color w:val="auto"/>
          <w:sz w:val="28"/>
          <w:szCs w:val="28"/>
        </w:rPr>
      </w:pPr>
      <w:r>
        <w:rPr>
          <w:rFonts w:hint="eastAsia" w:ascii="宋体" w:hAnsi="宋体" w:cs="宋体"/>
          <w:color w:val="auto"/>
          <w:sz w:val="28"/>
          <w:szCs w:val="28"/>
          <w:lang w:val="en-US" w:eastAsia="zh-CN"/>
        </w:rPr>
        <w:t>仪陇县日兴镇鸿山页岩砖厂</w:t>
      </w:r>
      <w:r>
        <w:rPr>
          <w:rFonts w:hint="eastAsia" w:ascii="宋体" w:hAnsi="宋体" w:cs="宋体"/>
          <w:color w:val="auto"/>
          <w:sz w:val="28"/>
          <w:szCs w:val="28"/>
          <w:lang w:val="zh-CN" w:eastAsia="zh-CN"/>
        </w:rPr>
        <w:t>行政区划隶属仪陇县日兴镇鸿山村3社，</w:t>
      </w:r>
      <w:r>
        <w:rPr>
          <w:rFonts w:hint="eastAsia"/>
          <w:color w:val="auto"/>
          <w:sz w:val="28"/>
          <w:szCs w:val="28"/>
          <w:lang w:eastAsia="zh-CN"/>
        </w:rPr>
        <w:t>砖厂</w:t>
      </w:r>
      <w:r>
        <w:rPr>
          <w:rFonts w:hint="eastAsia"/>
          <w:color w:val="auto"/>
          <w:sz w:val="28"/>
          <w:szCs w:val="28"/>
        </w:rPr>
        <w:t>位于仪陇县县城（新政镇）北东方向，直距约50km处，</w:t>
      </w:r>
      <w:r>
        <w:rPr>
          <w:rFonts w:hint="eastAsia"/>
          <w:color w:val="auto"/>
          <w:sz w:val="28"/>
          <w:szCs w:val="28"/>
          <w:lang w:eastAsia="zh-CN"/>
        </w:rPr>
        <w:t>厂</w:t>
      </w:r>
      <w:r>
        <w:rPr>
          <w:rFonts w:hint="eastAsia"/>
          <w:color w:val="auto"/>
          <w:sz w:val="28"/>
          <w:szCs w:val="28"/>
        </w:rPr>
        <w:t>区有200m厂区公路与村道相接，经村道向西北可达日兴镇，运距约3km，全程水泥路面，交通方便。</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日兴镇为仪陇县辖镇。原名石垭场，1940年设日兴乡，1953年更名石垭镇，1955年复名日兴乡，1985年改建日兴镇。位于县境西北部，距老县城5公里，新县城45公里。仪（陇）马（鞍）公路、成巴高速过境。镇办企业有酿酒、建筑、机械等业。农业主产水稻、小麦、玉米，兼产棉花、油菜籽、烟叶。养殖猪、蚕、家禽等。辖区内最高山峰为犀角寨，其山岭犀角村和堰溪村的分界线。</w:t>
      </w:r>
    </w:p>
    <w:p>
      <w:pPr>
        <w:pStyle w:val="2"/>
        <w:ind w:left="0" w:leftChars="0" w:firstLine="0" w:firstLineChars="0"/>
        <w:rPr>
          <w:rFonts w:hint="eastAsia"/>
          <w:color w:val="auto"/>
          <w:lang w:val="zh-CN" w:eastAsia="zh-CN"/>
        </w:rPr>
      </w:pPr>
      <w:r>
        <w:rPr>
          <w:color w:val="auto"/>
          <w:sz w:val="72"/>
        </w:rPr>
        <mc:AlternateContent>
          <mc:Choice Requires="wps">
            <w:drawing>
              <wp:anchor distT="0" distB="0" distL="114300" distR="114300" simplePos="0" relativeHeight="251732992" behindDoc="0" locked="0" layoutInCell="1" allowOverlap="1">
                <wp:simplePos x="0" y="0"/>
                <wp:positionH relativeFrom="column">
                  <wp:posOffset>1848485</wp:posOffset>
                </wp:positionH>
                <wp:positionV relativeFrom="paragraph">
                  <wp:posOffset>1812290</wp:posOffset>
                </wp:positionV>
                <wp:extent cx="1728470" cy="304800"/>
                <wp:effectExtent l="4445" t="148590" r="172085" b="19050"/>
                <wp:wrapNone/>
                <wp:docPr id="41" name="圆角矩形标注 41"/>
                <wp:cNvGraphicFramePr/>
                <a:graphic xmlns:a="http://schemas.openxmlformats.org/drawingml/2006/main">
                  <a:graphicData uri="http://schemas.microsoft.com/office/word/2010/wordprocessingShape">
                    <wps:wsp>
                      <wps:cNvSpPr/>
                      <wps:spPr>
                        <a:xfrm flipH="1" flipV="1">
                          <a:off x="0" y="0"/>
                          <a:ext cx="1728470" cy="304800"/>
                        </a:xfrm>
                        <a:prstGeom prst="wedgeRoundRectCallout">
                          <a:avLst>
                            <a:gd name="adj1" fmla="val -57491"/>
                            <a:gd name="adj2" fmla="val 95208"/>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仪陇县日兴镇鸿山页岩砖厂</w:t>
                            </w:r>
                          </w:p>
                        </w:txbxContent>
                      </wps:txbx>
                      <wps:bodyPr upright="1"/>
                    </wps:wsp>
                  </a:graphicData>
                </a:graphic>
              </wp:anchor>
            </w:drawing>
          </mc:Choice>
          <mc:Fallback>
            <w:pict>
              <v:shape id="_x0000_s1026" o:spid="_x0000_s1026" o:spt="62" type="#_x0000_t62" style="position:absolute;left:0pt;flip:x y;margin-left:145.55pt;margin-top:142.7pt;height:24pt;width:136.1pt;z-index:251732992;mso-width-relative:page;mso-height-relative:page;" filled="f" stroked="t" coordsize="21600,21600" o:gfxdata="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MycYtsAAAALAQAADwAAAAAAAAABACAAAAAi&#10;AAAAZHJzL2Rvd25yZXYueG1sUEsBAhQAFAAAAAgAh07iQJ/tpRtAAgAAWwQAAA4AAAAAAAAAAQAg&#10;AAAAKgEAAGRycy9lMm9Eb2MueG1sUEsFBgAAAAAGAAYAWQEAANwFAAAAAA==&#10;" adj="-1618,313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仪陇县日兴镇鸿山页岩砖厂</w:t>
                      </w:r>
                    </w:p>
                  </w:txbxContent>
                </v:textbox>
              </v:shape>
            </w:pict>
          </mc:Fallback>
        </mc:AlternateContent>
      </w:r>
      <w:r>
        <w:rPr>
          <w:color w:val="auto"/>
        </w:rPr>
        <w:drawing>
          <wp:inline distT="0" distB="0" distL="114300" distR="114300">
            <wp:extent cx="5966460" cy="3521710"/>
            <wp:effectExtent l="0" t="0" r="7620" b="139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
                    <a:stretch>
                      <a:fillRect/>
                    </a:stretch>
                  </pic:blipFill>
                  <pic:spPr>
                    <a:xfrm>
                      <a:off x="0" y="0"/>
                      <a:ext cx="5966460" cy="3521710"/>
                    </a:xfrm>
                    <a:prstGeom prst="rect">
                      <a:avLst/>
                    </a:prstGeom>
                    <a:noFill/>
                    <a:ln>
                      <a:noFill/>
                    </a:ln>
                  </pic:spPr>
                </pic:pic>
              </a:graphicData>
            </a:graphic>
          </wp:inline>
        </w:drawing>
      </w:r>
    </w:p>
    <w:p>
      <w:pPr>
        <w:pStyle w:val="2"/>
        <w:ind w:left="0" w:leftChars="0" w:firstLine="0" w:firstLineChars="0"/>
        <w:rPr>
          <w:rFonts w:hint="eastAsia"/>
          <w:color w:val="auto"/>
          <w:lang w:val="zh-CN" w:eastAsia="zh-CN"/>
        </w:rPr>
      </w:pP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图2-1 地理位置图</w:t>
      </w:r>
    </w:p>
    <w:p>
      <w:pPr>
        <w:pStyle w:val="5"/>
        <w:spacing w:before="0" w:after="0" w:line="360" w:lineRule="auto"/>
        <w:rPr>
          <w:rFonts w:hint="eastAsia" w:ascii="宋体" w:hAnsi="宋体" w:eastAsia="宋体" w:cs="宋体"/>
          <w:color w:val="auto"/>
          <w:sz w:val="28"/>
          <w:szCs w:val="28"/>
          <w:lang w:val="en-US" w:eastAsia="zh-CN"/>
        </w:rPr>
      </w:pPr>
      <w:bookmarkStart w:id="40" w:name="_Toc4980"/>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总体布置</w:t>
      </w:r>
      <w:bookmarkEnd w:id="40"/>
    </w:p>
    <w:p>
      <w:pPr>
        <w:spacing w:line="360" w:lineRule="auto"/>
        <w:ind w:firstLine="562" w:firstLineChars="200"/>
        <w:rPr>
          <w:rFonts w:hint="eastAsia" w:ascii="宋体"/>
          <w:b/>
          <w:bCs/>
          <w:snapToGrid w:val="0"/>
          <w:color w:val="auto"/>
          <w:kern w:val="0"/>
          <w:sz w:val="28"/>
          <w:szCs w:val="28"/>
          <w:lang w:val="en-US" w:eastAsia="en-US"/>
        </w:rPr>
      </w:pPr>
      <w:r>
        <w:rPr>
          <w:rFonts w:hint="eastAsia" w:ascii="宋体" w:eastAsia="宋体"/>
          <w:b/>
          <w:bCs/>
          <w:snapToGrid w:val="0"/>
          <w:color w:val="auto"/>
          <w:kern w:val="0"/>
          <w:sz w:val="28"/>
          <w:szCs w:val="28"/>
          <w:lang w:val="en-US" w:eastAsia="zh-CN"/>
        </w:rPr>
        <w:t>1、</w:t>
      </w:r>
      <w:r>
        <w:rPr>
          <w:rFonts w:hint="eastAsia" w:ascii="宋体"/>
          <w:b/>
          <w:bCs/>
          <w:snapToGrid w:val="0"/>
          <w:color w:val="auto"/>
          <w:kern w:val="0"/>
          <w:sz w:val="28"/>
          <w:szCs w:val="28"/>
          <w:lang w:val="zh-CN" w:eastAsia="zh-CN"/>
        </w:rPr>
        <w:t>总平面布置</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厂区南侧紧邻乡镇道路,建有</w:t>
      </w:r>
      <w:r>
        <w:rPr>
          <w:rFonts w:hint="eastAsia" w:ascii="宋体" w:hAnsi="宋体" w:cs="宋体"/>
          <w:color w:val="auto"/>
          <w:sz w:val="28"/>
          <w:szCs w:val="28"/>
          <w:lang w:val="zh-CN" w:eastAsia="zh-CN"/>
        </w:rPr>
        <w:t>新型环保</w:t>
      </w:r>
      <w:r>
        <w:rPr>
          <w:rFonts w:hint="eastAsia" w:ascii="宋体" w:hAnsi="宋体" w:cs="宋体"/>
          <w:color w:val="auto"/>
          <w:sz w:val="28"/>
          <w:szCs w:val="28"/>
          <w:lang w:val="en-US" w:eastAsia="zh-CN"/>
        </w:rPr>
        <w:t>节</w:t>
      </w:r>
      <w:r>
        <w:rPr>
          <w:rFonts w:hint="eastAsia" w:ascii="宋体" w:hAnsi="宋体" w:cs="宋体"/>
          <w:color w:val="auto"/>
          <w:sz w:val="28"/>
          <w:szCs w:val="28"/>
          <w:lang w:val="zh-CN" w:eastAsia="zh-CN"/>
        </w:rPr>
        <w:t>能隧道炉窑,占地</w:t>
      </w:r>
      <w:r>
        <w:rPr>
          <w:rFonts w:hint="eastAsia" w:ascii="宋体" w:hAnsi="宋体" w:cs="宋体"/>
          <w:color w:val="auto"/>
          <w:sz w:val="28"/>
          <w:szCs w:val="28"/>
          <w:lang w:val="en-US" w:eastAsia="en-US"/>
        </w:rPr>
        <w:t>2700</w:t>
      </w:r>
      <w:r>
        <w:rPr>
          <w:rFonts w:hint="eastAsia" w:ascii="宋体" w:hAnsi="宋体" w:cs="宋体"/>
          <w:color w:val="auto"/>
          <w:sz w:val="28"/>
          <w:szCs w:val="28"/>
          <w:lang w:val="en-US" w:eastAsia="zh-CN"/>
        </w:rPr>
        <w:t>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zh-CN"/>
        </w:rPr>
        <w:t>；厂区入口依托乡镇道路设置进场路，进场路东南侧布置办公楼(含食堂)，</w:t>
      </w:r>
      <w:r>
        <w:rPr>
          <w:rFonts w:hint="eastAsia" w:ascii="宋体" w:hAnsi="宋体" w:cs="宋体"/>
          <w:color w:val="auto"/>
          <w:sz w:val="28"/>
          <w:szCs w:val="28"/>
          <w:lang w:val="zh-CN" w:eastAsia="zh-CN"/>
        </w:rPr>
        <w:t>办公、住宿等辅助设施</w:t>
      </w:r>
      <w:r>
        <w:rPr>
          <w:rFonts w:hint="eastAsia" w:ascii="宋体" w:hAnsi="宋体" w:cs="宋体"/>
          <w:color w:val="auto"/>
          <w:sz w:val="28"/>
          <w:szCs w:val="28"/>
          <w:lang w:val="en-US" w:eastAsia="en-US"/>
        </w:rPr>
        <w:t>800</w:t>
      </w:r>
      <w:r>
        <w:rPr>
          <w:rFonts w:hint="eastAsia" w:ascii="宋体" w:hAnsi="宋体" w:cs="宋体"/>
          <w:color w:val="auto"/>
          <w:sz w:val="28"/>
          <w:szCs w:val="28"/>
          <w:lang w:val="en-US" w:eastAsia="zh-CN"/>
        </w:rPr>
        <w:t>m</w:t>
      </w:r>
      <w:r>
        <w:rPr>
          <w:rFonts w:hint="eastAsia" w:ascii="宋体" w:hAnsi="宋体" w:cs="宋体"/>
          <w:color w:val="auto"/>
          <w:sz w:val="28"/>
          <w:szCs w:val="28"/>
          <w:vertAlign w:val="superscript"/>
          <w:lang w:val="en-US" w:eastAsia="en-US"/>
        </w:rPr>
        <w:t>2</w:t>
      </w:r>
      <w:r>
        <w:rPr>
          <w:rFonts w:hint="eastAsia" w:ascii="宋体" w:hAnsi="宋体" w:eastAsia="宋体" w:cs="宋体"/>
          <w:color w:val="auto"/>
          <w:sz w:val="28"/>
          <w:szCs w:val="28"/>
          <w:vertAlign w:val="baseline"/>
          <w:lang w:val="en-US" w:eastAsia="zh-CN"/>
        </w:rPr>
        <w:t>。生产区</w:t>
      </w:r>
      <w:r>
        <w:rPr>
          <w:rFonts w:hint="eastAsia" w:ascii="宋体" w:hAnsi="宋体" w:cs="宋体"/>
          <w:color w:val="auto"/>
          <w:sz w:val="28"/>
          <w:szCs w:val="28"/>
          <w:lang w:val="zh-CN" w:eastAsia="zh-CN"/>
        </w:rPr>
        <w:t>安装窑体及窑体转动机械、抽排风机械设备、物料搅拌机械、砖坯传送机械及除尘设备等,并配套建设供电、供水和原材料堆放场等。</w:t>
      </w:r>
      <w:r>
        <w:rPr>
          <w:rFonts w:hint="eastAsia" w:ascii="宋体" w:hAnsi="宋体" w:cs="宋体"/>
          <w:color w:val="auto"/>
          <w:sz w:val="28"/>
          <w:szCs w:val="28"/>
          <w:lang w:val="en-US" w:eastAsia="zh-CN"/>
        </w:rPr>
        <w:t>原料堆场位于制砖区北侧，处于矿山与制砖车间之间，方便原料的运输与制作。厂内的粉碎机、破碎车间设于紧靠原料堆场一侧，可节省运力，其余工序按破碎—筛选―搅拌—陈化—切坯―码坯—干燥—焙烧工序依次设置，布局紧凑，工作方便。</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综上，厂内各生产工序有机结合，有利于生产活动的开展，各地块利用功能集中且合理清楚，总平面布置较合理。</w:t>
      </w:r>
    </w:p>
    <w:p>
      <w:pPr>
        <w:pStyle w:val="2"/>
        <w:ind w:left="0" w:leftChars="0" w:firstLine="0" w:firstLineChars="0"/>
        <w:jc w:val="center"/>
        <w:rPr>
          <w:color w:val="auto"/>
        </w:rPr>
      </w:pPr>
      <w:r>
        <w:rPr>
          <w:color w:val="auto"/>
        </w:rPr>
        <w:drawing>
          <wp:inline distT="0" distB="0" distL="114300" distR="114300">
            <wp:extent cx="5516880" cy="4335780"/>
            <wp:effectExtent l="0" t="0" r="0" b="762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7"/>
                    <a:stretch>
                      <a:fillRect/>
                    </a:stretch>
                  </pic:blipFill>
                  <pic:spPr>
                    <a:xfrm>
                      <a:off x="0" y="0"/>
                      <a:ext cx="5516880" cy="4335780"/>
                    </a:xfrm>
                    <a:prstGeom prst="rect">
                      <a:avLst/>
                    </a:prstGeom>
                    <a:noFill/>
                    <a:ln>
                      <a:noFill/>
                    </a:ln>
                  </pic:spPr>
                </pic:pic>
              </a:graphicData>
            </a:graphic>
          </wp:inline>
        </w:drawing>
      </w:r>
    </w:p>
    <w:p>
      <w:pPr>
        <w:pStyle w:val="12"/>
        <w:wordWrap/>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1" w:name="_Toc31571"/>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1"/>
    </w:p>
    <w:p>
      <w:pPr>
        <w:spacing w:line="360" w:lineRule="auto"/>
        <w:ind w:firstLine="560" w:firstLineChars="200"/>
        <w:rPr>
          <w:rFonts w:hint="eastAsia" w:ascii="宋体" w:hAnsi="宋体" w:cs="宋体"/>
          <w:color w:val="auto"/>
          <w:sz w:val="28"/>
          <w:szCs w:val="28"/>
          <w:lang w:val="en-US" w:eastAsia="zh-CN"/>
        </w:rPr>
      </w:pPr>
      <w:r>
        <w:rPr>
          <w:rFonts w:hint="eastAsia" w:ascii="宋体"/>
          <w:snapToGrid w:val="0"/>
          <w:color w:val="auto"/>
          <w:kern w:val="0"/>
          <w:sz w:val="28"/>
          <w:szCs w:val="28"/>
          <w:lang w:val="zh-CN" w:eastAsia="zh-CN"/>
        </w:rPr>
        <w:t>仪陇县日兴镇鸿山页岩砖厂位于仪陇县日兴镇鸿山村3社，本厂位于村镇道路北侧，西距日兴镇</w:t>
      </w:r>
      <w:r>
        <w:rPr>
          <w:rFonts w:hint="eastAsia" w:ascii="宋体"/>
          <w:snapToGrid w:val="0"/>
          <w:color w:val="auto"/>
          <w:kern w:val="0"/>
          <w:sz w:val="28"/>
          <w:szCs w:val="28"/>
          <w:lang w:val="en-US" w:eastAsia="zh-CN"/>
        </w:rPr>
        <w:t>2.3km,东距大风乡3.2km,南距双庆乡2.9km,厂区远离城镇，未在南充市、仪陇县及日兴镇规划范围内。</w:t>
      </w:r>
      <w:r>
        <w:rPr>
          <w:rFonts w:hint="eastAsia" w:ascii="宋体"/>
          <w:snapToGrid w:val="0"/>
          <w:color w:val="auto"/>
          <w:kern w:val="0"/>
          <w:sz w:val="28"/>
          <w:szCs w:val="28"/>
          <w:lang w:val="zh-CN" w:eastAsia="zh-CN"/>
        </w:rPr>
        <w:t>所在地景观格局属于典型的农村自然景观生态体系。场地西北侧紧邻配套页岩矿山，</w:t>
      </w:r>
      <w:r>
        <w:rPr>
          <w:rFonts w:hint="eastAsia" w:ascii="宋体" w:hAnsi="宋体" w:cs="宋体"/>
          <w:color w:val="auto"/>
          <w:sz w:val="28"/>
          <w:szCs w:val="28"/>
          <w:lang w:val="en-US" w:eastAsia="zh-CN"/>
        </w:rPr>
        <w:t>矿区坐北朝南，北面靠山（坡地），东南面为矿山作业广场，北、东二面基本属荒坡，夹杂部分耕地。砖厂窑体与采场有约70m的转运距离。矿区四周300m安全警戒范围内，无重要公共建筑物或生产厂房，无高压输电线及通信线跨越矿区上空，远离人口密集区和商业区。</w:t>
      </w:r>
    </w:p>
    <w:p>
      <w:pPr>
        <w:pStyle w:val="2"/>
        <w:ind w:left="0" w:leftChars="0" w:firstLine="0" w:firstLineChars="0"/>
        <w:rPr>
          <w:rFonts w:hint="eastAsia" w:ascii="宋体" w:hAnsi="宋体" w:cs="宋体"/>
          <w:color w:val="auto"/>
          <w:sz w:val="28"/>
          <w:szCs w:val="28"/>
          <w:lang w:val="en-US" w:eastAsia="zh-CN"/>
        </w:rPr>
      </w:pPr>
      <w:r>
        <w:rPr>
          <w:color w:val="auto"/>
        </w:rPr>
        <w:drawing>
          <wp:inline distT="0" distB="0" distL="114300" distR="114300">
            <wp:extent cx="6072505" cy="4260215"/>
            <wp:effectExtent l="0" t="0" r="8255" b="698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8"/>
                    <a:stretch>
                      <a:fillRect/>
                    </a:stretch>
                  </pic:blipFill>
                  <pic:spPr>
                    <a:xfrm>
                      <a:off x="0" y="0"/>
                      <a:ext cx="6072505" cy="4260215"/>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图2-</w:t>
      </w:r>
      <w:r>
        <w:rPr>
          <w:rFonts w:hint="eastAsia" w:ascii="黑体" w:hAnsi="黑体" w:eastAsia="黑体"/>
          <w:b/>
          <w:snapToGrid w:val="0"/>
          <w:color w:val="auto"/>
          <w:kern w:val="0"/>
          <w:sz w:val="24"/>
          <w:lang w:val="en-US" w:eastAsia="zh-CN"/>
        </w:rPr>
        <w:t>3</w:t>
      </w:r>
      <w:r>
        <w:rPr>
          <w:rFonts w:hint="eastAsia" w:ascii="黑体" w:hAnsi="黑体" w:eastAsia="黑体"/>
          <w:b/>
          <w:snapToGrid w:val="0"/>
          <w:color w:val="auto"/>
          <w:kern w:val="0"/>
          <w:sz w:val="24"/>
          <w:lang w:eastAsia="zh-CN"/>
        </w:rPr>
        <w:t xml:space="preserve">  周边环境示意图</w:t>
      </w:r>
    </w:p>
    <w:p>
      <w:pPr>
        <w:pStyle w:val="5"/>
        <w:spacing w:before="0" w:after="0" w:line="360" w:lineRule="auto"/>
        <w:rPr>
          <w:rFonts w:hint="eastAsia" w:ascii="宋体" w:hAnsi="宋体" w:eastAsia="宋体" w:cs="宋体"/>
          <w:color w:val="auto"/>
          <w:sz w:val="28"/>
          <w:szCs w:val="28"/>
          <w:lang w:val="zh-CN"/>
        </w:rPr>
      </w:pPr>
      <w:bookmarkStart w:id="42" w:name="_Toc13329"/>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工艺流程</w:t>
      </w:r>
      <w:bookmarkEnd w:id="42"/>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1、生产工艺流程图</w:t>
      </w:r>
    </w:p>
    <w:p>
      <w:pPr>
        <w:spacing w:line="360" w:lineRule="auto"/>
        <w:ind w:firstLine="560" w:firstLineChars="200"/>
        <w:rPr>
          <w:rFonts w:hint="eastAsia" w:ascii="宋体"/>
          <w:snapToGrid w:val="0"/>
          <w:color w:val="auto"/>
          <w:kern w:val="0"/>
          <w:sz w:val="28"/>
          <w:szCs w:val="28"/>
          <w:lang w:val="zh-CN" w:eastAsia="zh-CN"/>
        </w:rPr>
      </w:pPr>
      <w:r>
        <w:rPr>
          <w:rFonts w:hint="eastAsia" w:ascii="宋体"/>
          <w:snapToGrid w:val="0"/>
          <w:color w:val="auto"/>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r>
        <w:rPr>
          <w:rFonts w:hint="eastAsia" w:ascii="宋体"/>
          <w:color w:val="auto"/>
          <w:kern w:val="0"/>
          <w:sz w:val="28"/>
          <w:szCs w:val="28"/>
        </w:rPr>
        <mc:AlternateContent>
          <mc:Choice Requires="wpg">
            <w:drawing>
              <wp:anchor distT="0" distB="0" distL="114300" distR="114300" simplePos="0" relativeHeight="251739136" behindDoc="0" locked="0" layoutInCell="1" allowOverlap="1">
                <wp:simplePos x="0" y="0"/>
                <wp:positionH relativeFrom="column">
                  <wp:posOffset>346075</wp:posOffset>
                </wp:positionH>
                <wp:positionV relativeFrom="paragraph">
                  <wp:posOffset>41910</wp:posOffset>
                </wp:positionV>
                <wp:extent cx="5193665" cy="2113280"/>
                <wp:effectExtent l="4445" t="4445" r="13970" b="15875"/>
                <wp:wrapNone/>
                <wp:docPr id="74" name="组合 74"/>
                <wp:cNvGraphicFramePr/>
                <a:graphic xmlns:a="http://schemas.openxmlformats.org/drawingml/2006/main">
                  <a:graphicData uri="http://schemas.microsoft.com/office/word/2010/wordprocessingGroup">
                    <wpg:wgp>
                      <wpg:cNvGrpSpPr/>
                      <wpg:grpSpPr>
                        <a:xfrm>
                          <a:off x="0" y="0"/>
                          <a:ext cx="5193665" cy="2113280"/>
                          <a:chOff x="2310" y="7530"/>
                          <a:chExt cx="7665" cy="4815"/>
                        </a:xfrm>
                      </wpg:grpSpPr>
                      <wps:wsp>
                        <wps:cNvPr id="43" name="矩形 43"/>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44" name="直接箭头连接符 44"/>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45" name="矩形 45"/>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46" name="直接箭头连接符 46"/>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47" name="直接箭头连接符 47"/>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48" name="矩形 48"/>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49" name="直接箭头连接符 49"/>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50" name="矩形 50"/>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51" name="矩形 51"/>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52" name="矩形 52"/>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53" name="矩形 53"/>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54" name="矩形 54"/>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55" name="直接箭头连接符 55"/>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56"/>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57"/>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58" name="矩形 58"/>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59" name="直接箭头连接符 59"/>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60" name="矩形 60"/>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61" name="直接箭头连接符 61"/>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62" name="直接箭头连接符 62"/>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63" name="矩形 63"/>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64" name="直接箭头连接符 64"/>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65" name="矩形 65"/>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66" name="直接箭头连接符 66"/>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67" name="矩形 67"/>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68" name="矩形 68"/>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69" name="矩形 69"/>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70" name="矩形 70"/>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71" name="直接箭头连接符 71"/>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72"/>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73"/>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7.25pt;margin-top:3.3pt;height:166.4pt;width:408.95pt;z-index:251739136;mso-width-relative:page;mso-height-relative:page;" coordorigin="2310,7530" coordsize="7665,4815" o:gfxdata="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AZIM3j2gAAAAgBAAAPAAAA&#10;AAAAAAEAIAAAACIAAABkcnMvZG93bnJldi54bWxQSwECFAAUAAAACACHTuJAYMvYnqMFAAAoRwAA&#10;DgAAAAAAAAABACAAAAApAQAAZHJzL2Uyb0RvYy54bWxQSwUGAAAAAAYABgBZAQAAPgkAAAAA&#10;">
                <o:lock v:ext="edit" aspectratio="f"/>
                <v:rect id="_x0000_s1026" o:spid="_x0000_s1026" o:spt="1" style="position:absolute;left:2310;top:7530;height:585;width:1620;"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TI4e74AAADb&#10;AAAADwAAAGRycy9kb3ducmV2LnhtbEWPzWrDMBCE74G+g9hCL6GWE0gIruUc2qbtJYS46X2xtrax&#10;tTKW6p+3rwKBHIeZ+YZJ95NpxUC9qy0rWEUxCOLC6ppLBZfvw/MOhPPIGlvLpGAmB/vsYZFiou3I&#10;ZxpyX4oAYZeggsr7LpHSFRUZdJHtiIP3a3uDPsi+lLrHMcBNK9dxvJUGaw4LFXb0WlHR5H9GwVt+&#10;2hx+lpdpPRefx/xj15x4flfq6XEVv4DwNPl7+Nb+0go2W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4e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kn6d4L0AAADb&#10;AAAADwAAAGRycy9kb3ducmV2LnhtbEWPT4vCMBTE78J+h/AEL6Kpgm6pRg+765+LyFa9P5pnW2xe&#10;ShO1/fZmYcHjMDO/YZbr1lTiQY0rLSuYjCMQxJnVJecKzqfNKAbhPLLGyjIp6MjBevXRW2Ki7ZN/&#10;6ZH6XAQIuwQVFN7XiZQuK8igG9uaOHhX2xj0QTa51A0+A9xUchpFc2mw5LBQYE1fBWW39G4UfKfH&#10;2eYyPLfTLtsd0m18O3L3o9SgP4kWIDy1/h3+b++1gtkn/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p3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w:t>
      </w:r>
      <w:r>
        <w:rPr>
          <w:rFonts w:hint="eastAsia" w:ascii="宋体"/>
          <w:snapToGrid w:val="0"/>
          <w:color w:val="auto"/>
          <w:kern w:val="0"/>
          <w:sz w:val="28"/>
          <w:szCs w:val="28"/>
          <w:lang w:val="en-US" w:eastAsia="zh-CN"/>
        </w:rPr>
        <w:t>遂道焙烧窑两条，长约132米，干燥窑两条，长约105米。</w:t>
      </w:r>
      <w:r>
        <w:rPr>
          <w:rFonts w:hint="eastAsia" w:ascii="宋体"/>
          <w:snapToGrid w:val="0"/>
          <w:color w:val="auto"/>
          <w:kern w:val="0"/>
          <w:sz w:val="28"/>
          <w:szCs w:val="28"/>
          <w:lang w:val="en-US" w:eastAsia="zh-CN"/>
        </w:rPr>
        <w:t>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3" w:name="_Toc17081"/>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3"/>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仪陇县日兴镇鸿山页岩砖厂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9093"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376"/>
        <w:gridCol w:w="1926"/>
        <w:gridCol w:w="1926"/>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序号</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设备名称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单位</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数量</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挖掘机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2</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铲车</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3</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颚式破碎机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4</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锤式粉碎机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5</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给料机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6</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新型环保隧道窖</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7</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滚筒筛</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8</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码坯机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9</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自动切条机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10</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自动切坯机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11</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搅拌机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12</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风机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2</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13</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码坯传送机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套</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2"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en-US" w:eastAsia="zh-CN" w:bidi="ar-SA"/>
              </w:rPr>
            </w:pPr>
            <w:r>
              <w:rPr>
                <w:rFonts w:hint="eastAsia" w:ascii="宋体" w:hAnsi="宋体" w:eastAsia="宋体" w:cs="宋体"/>
                <w:color w:val="auto"/>
                <w:spacing w:val="0"/>
                <w:w w:val="100"/>
                <w:kern w:val="2"/>
                <w:position w:val="0"/>
                <w:sz w:val="21"/>
                <w:lang w:val="en-US" w:eastAsia="zh-CN" w:bidi="ar-SA"/>
              </w:rPr>
              <w:t>14</w:t>
            </w:r>
          </w:p>
        </w:tc>
        <w:tc>
          <w:tcPr>
            <w:tcW w:w="237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制砖机</w:t>
            </w:r>
          </w:p>
        </w:tc>
        <w:tc>
          <w:tcPr>
            <w:tcW w:w="1926"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zh-CN" w:eastAsia="zh-CN" w:bidi="ar-SA"/>
              </w:rPr>
              <w:t>台</w:t>
            </w:r>
          </w:p>
        </w:tc>
        <w:tc>
          <w:tcPr>
            <w:tcW w:w="1926" w:type="dxa"/>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r>
              <w:rPr>
                <w:rFonts w:hint="eastAsia" w:ascii="宋体" w:hAnsi="宋体" w:eastAsia="宋体" w:cs="宋体"/>
                <w:color w:val="auto"/>
                <w:spacing w:val="0"/>
                <w:w w:val="100"/>
                <w:kern w:val="2"/>
                <w:position w:val="0"/>
                <w:sz w:val="21"/>
                <w:lang w:val="en-US" w:eastAsia="zh-CN" w:bidi="ar-SA"/>
              </w:rPr>
              <w:t>1</w:t>
            </w:r>
          </w:p>
        </w:tc>
        <w:tc>
          <w:tcPr>
            <w:tcW w:w="1613" w:type="dxa"/>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color w:val="auto"/>
                <w:spacing w:val="0"/>
                <w:w w:val="100"/>
                <w:kern w:val="2"/>
                <w:position w:val="0"/>
                <w:sz w:val="21"/>
                <w:lang w:val="zh-CN" w:eastAsia="zh-CN" w:bidi="ar-SA"/>
              </w:rPr>
            </w:pPr>
          </w:p>
        </w:tc>
      </w:tr>
    </w:tbl>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4" w:name="_Toc3657"/>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4"/>
    </w:p>
    <w:p>
      <w:pPr>
        <w:pStyle w:val="5"/>
        <w:spacing w:before="0" w:after="0" w:line="360" w:lineRule="auto"/>
        <w:rPr>
          <w:rFonts w:hint="eastAsia" w:ascii="宋体" w:hAnsi="宋体" w:eastAsia="宋体" w:cs="宋体"/>
          <w:color w:val="auto"/>
          <w:sz w:val="28"/>
          <w:szCs w:val="28"/>
          <w:lang w:val="zh-CN"/>
        </w:rPr>
      </w:pPr>
      <w:bookmarkStart w:id="45" w:name="_Toc7793"/>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45"/>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公司成立有以总经理</w:t>
      </w:r>
      <w:r>
        <w:rPr>
          <w:rFonts w:hint="eastAsia" w:ascii="宋体" w:hAnsi="宋体" w:cs="宋体"/>
          <w:i w:val="0"/>
          <w:iCs w:val="0"/>
          <w:color w:val="auto"/>
          <w:sz w:val="28"/>
          <w:szCs w:val="28"/>
          <w:lang w:eastAsia="zh-CN"/>
        </w:rPr>
        <w:t>马光伦</w:t>
      </w:r>
      <w:r>
        <w:rPr>
          <w:rFonts w:hint="eastAsia" w:ascii="宋体" w:hAnsi="宋体" w:cs="宋体"/>
          <w:i w:val="0"/>
          <w:iCs w:val="0"/>
          <w:color w:val="auto"/>
          <w:sz w:val="28"/>
          <w:szCs w:val="28"/>
        </w:rPr>
        <w:t>为组长的应急抢险救援领导小组，副组长由公司</w:t>
      </w:r>
      <w:r>
        <w:rPr>
          <w:rFonts w:hint="eastAsia" w:ascii="宋体" w:hAnsi="宋体" w:eastAsia="宋体" w:cs="宋体"/>
          <w:i w:val="0"/>
          <w:iCs w:val="0"/>
          <w:color w:val="auto"/>
          <w:sz w:val="28"/>
          <w:szCs w:val="28"/>
          <w:lang w:eastAsia="zh-CN"/>
        </w:rPr>
        <w:t>厂长</w:t>
      </w:r>
      <w:r>
        <w:rPr>
          <w:rFonts w:hint="eastAsia" w:ascii="宋体" w:hAnsi="宋体" w:cs="宋体"/>
          <w:i w:val="0"/>
          <w:iCs w:val="0"/>
          <w:color w:val="auto"/>
          <w:sz w:val="28"/>
          <w:szCs w:val="28"/>
          <w:lang w:eastAsia="zh-CN"/>
        </w:rPr>
        <w:t>陈辉</w:t>
      </w:r>
      <w:r>
        <w:rPr>
          <w:rFonts w:hint="eastAsia" w:ascii="宋体" w:hAnsi="宋体" w:cs="宋体"/>
          <w:i w:val="0"/>
          <w:iCs w:val="0"/>
          <w:color w:val="auto"/>
          <w:sz w:val="28"/>
          <w:szCs w:val="28"/>
        </w:rPr>
        <w:t>担任。成员由其他</w:t>
      </w:r>
      <w:r>
        <w:rPr>
          <w:rFonts w:hint="eastAsia" w:ascii="宋体" w:hAnsi="宋体" w:cs="宋体"/>
          <w:i w:val="0"/>
          <w:iCs w:val="0"/>
          <w:color w:val="auto"/>
          <w:sz w:val="28"/>
          <w:szCs w:val="28"/>
          <w:lang w:eastAsia="zh-CN"/>
        </w:rPr>
        <w:t>现场负责人</w:t>
      </w:r>
      <w:r>
        <w:rPr>
          <w:rFonts w:hint="eastAsia" w:ascii="宋体" w:hAnsi="宋体" w:cs="宋体"/>
          <w:i w:val="0"/>
          <w:iCs w:val="0"/>
          <w:color w:val="auto"/>
          <w:sz w:val="28"/>
          <w:szCs w:val="28"/>
        </w:rPr>
        <w:t>、车间主管及</w:t>
      </w:r>
      <w:r>
        <w:rPr>
          <w:rFonts w:hint="eastAsia" w:ascii="宋体" w:hAnsi="宋体" w:cs="宋体"/>
          <w:i w:val="0"/>
          <w:iCs w:val="0"/>
          <w:color w:val="auto"/>
          <w:sz w:val="28"/>
          <w:szCs w:val="28"/>
          <w:lang w:eastAsia="zh-CN"/>
        </w:rPr>
        <w:t>行政部</w:t>
      </w:r>
      <w:r>
        <w:rPr>
          <w:rFonts w:hint="eastAsia" w:ascii="宋体" w:hAnsi="宋体" w:cs="宋体"/>
          <w:i w:val="0"/>
          <w:iCs w:val="0"/>
          <w:color w:val="auto"/>
          <w:sz w:val="28"/>
          <w:szCs w:val="28"/>
        </w:rPr>
        <w:t>成员组成。并设</w:t>
      </w:r>
      <w:r>
        <w:rPr>
          <w:rFonts w:hint="eastAsia" w:ascii="宋体" w:hAnsi="宋体" w:cs="宋体"/>
          <w:i w:val="0"/>
          <w:iCs w:val="0"/>
          <w:color w:val="auto"/>
          <w:sz w:val="28"/>
          <w:szCs w:val="28"/>
          <w:lang w:eastAsia="zh-CN"/>
        </w:rPr>
        <w:t>安全管理员</w:t>
      </w:r>
      <w:r>
        <w:rPr>
          <w:rFonts w:hint="eastAsia" w:ascii="宋体" w:hAnsi="宋体" w:cs="宋体"/>
          <w:i w:val="0"/>
          <w:iCs w:val="0"/>
          <w:color w:val="auto"/>
          <w:sz w:val="28"/>
          <w:szCs w:val="28"/>
        </w:rPr>
        <w:t>作为独立的日常安全、环保管理专职人员，应急抢险救援领导小组下设有下设抢险救援组、</w:t>
      </w:r>
      <w:r>
        <w:rPr>
          <w:rFonts w:hint="eastAsia" w:ascii="宋体" w:hAnsi="宋体" w:cs="宋体"/>
          <w:i w:val="0"/>
          <w:iCs w:val="0"/>
          <w:color w:val="auto"/>
          <w:sz w:val="28"/>
          <w:szCs w:val="28"/>
          <w:lang w:eastAsia="zh-CN"/>
        </w:rPr>
        <w:t>疏散联络组</w:t>
      </w:r>
      <w:r>
        <w:rPr>
          <w:rFonts w:hint="eastAsia" w:ascii="宋体" w:hAnsi="宋体" w:cs="宋体"/>
          <w:i w:val="0"/>
          <w:iCs w:val="0"/>
          <w:color w:val="auto"/>
          <w:sz w:val="28"/>
          <w:szCs w:val="28"/>
        </w:rPr>
        <w:t>、后勤保障组、医疗救护组</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事故调查善后组、</w:t>
      </w:r>
      <w:r>
        <w:rPr>
          <w:rFonts w:hint="eastAsia" w:ascii="宋体" w:hAnsi="宋体" w:cs="宋体"/>
          <w:i w:val="0"/>
          <w:iCs w:val="0"/>
          <w:color w:val="auto"/>
          <w:sz w:val="28"/>
          <w:szCs w:val="28"/>
        </w:rPr>
        <w:t>负责处理应急救援事宜。领导小组办公室常设在</w:t>
      </w:r>
      <w:r>
        <w:rPr>
          <w:rFonts w:hint="eastAsia" w:ascii="宋体" w:hAnsi="宋体" w:cs="宋体"/>
          <w:i w:val="0"/>
          <w:iCs w:val="0"/>
          <w:color w:val="auto"/>
          <w:sz w:val="28"/>
          <w:szCs w:val="28"/>
          <w:lang w:eastAsia="zh-CN"/>
        </w:rPr>
        <w:t>行政部</w:t>
      </w:r>
      <w:r>
        <w:rPr>
          <w:rFonts w:hint="eastAsia" w:ascii="宋体" w:hAnsi="宋体" w:cs="宋体"/>
          <w:i w:val="0"/>
          <w:iCs w:val="0"/>
          <w:color w:val="auto"/>
          <w:sz w:val="28"/>
          <w:szCs w:val="28"/>
        </w:rPr>
        <w:t>，日常工作由</w:t>
      </w:r>
      <w:r>
        <w:rPr>
          <w:rFonts w:hint="eastAsia" w:ascii="宋体" w:hAnsi="宋体" w:cs="宋体"/>
          <w:i w:val="0"/>
          <w:iCs w:val="0"/>
          <w:color w:val="auto"/>
          <w:sz w:val="28"/>
          <w:szCs w:val="28"/>
          <w:lang w:eastAsia="zh-CN"/>
        </w:rPr>
        <w:t>行政部</w:t>
      </w:r>
      <w:r>
        <w:rPr>
          <w:rFonts w:hint="eastAsia" w:ascii="宋体" w:hAnsi="宋体" w:cs="宋体"/>
          <w:i w:val="0"/>
          <w:iCs w:val="0"/>
          <w:color w:val="auto"/>
          <w:sz w:val="28"/>
          <w:szCs w:val="28"/>
        </w:rPr>
        <w:t>主管</w:t>
      </w:r>
      <w:r>
        <w:rPr>
          <w:rFonts w:hint="eastAsia" w:ascii="宋体" w:hAnsi="宋体" w:cs="宋体"/>
          <w:i w:val="0"/>
          <w:iCs w:val="0"/>
          <w:color w:val="auto"/>
          <w:sz w:val="28"/>
          <w:szCs w:val="28"/>
          <w:lang w:eastAsia="zh-CN"/>
        </w:rPr>
        <w:t>负责</w:t>
      </w:r>
      <w:r>
        <w:rPr>
          <w:rFonts w:hint="eastAsia" w:ascii="宋体" w:hAnsi="宋体" w:cs="宋体"/>
          <w:i w:val="0"/>
          <w:iCs w:val="0"/>
          <w:color w:val="auto"/>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auto"/>
          <w:sz w:val="28"/>
          <w:szCs w:val="28"/>
          <w:lang w:eastAsia="zh-CN"/>
        </w:rPr>
        <w:t>行政部</w:t>
      </w:r>
      <w:r>
        <w:rPr>
          <w:rFonts w:hint="eastAsia" w:ascii="宋体" w:hAnsi="宋体" w:cs="宋体"/>
          <w:i w:val="0"/>
          <w:iCs w:val="0"/>
          <w:color w:val="auto"/>
          <w:sz w:val="28"/>
          <w:szCs w:val="28"/>
        </w:rPr>
        <w:t>。如果应急领导组长或副组长均不在公司时，则由在公司</w:t>
      </w:r>
      <w:r>
        <w:rPr>
          <w:rFonts w:hint="eastAsia" w:ascii="宋体" w:hAnsi="宋体" w:cs="宋体"/>
          <w:i w:val="0"/>
          <w:iCs w:val="0"/>
          <w:color w:val="auto"/>
          <w:sz w:val="28"/>
          <w:szCs w:val="28"/>
          <w:lang w:eastAsia="zh-CN"/>
        </w:rPr>
        <w:t>厂长</w:t>
      </w:r>
      <w:r>
        <w:rPr>
          <w:rFonts w:hint="eastAsia" w:ascii="宋体" w:hAnsi="宋体" w:cs="宋体"/>
          <w:i w:val="0"/>
          <w:iCs w:val="0"/>
          <w:color w:val="auto"/>
          <w:sz w:val="28"/>
          <w:szCs w:val="28"/>
        </w:rPr>
        <w:t>与</w:t>
      </w:r>
      <w:r>
        <w:rPr>
          <w:rFonts w:hint="eastAsia" w:ascii="宋体" w:hAnsi="宋体" w:cs="宋体"/>
          <w:i w:val="0"/>
          <w:iCs w:val="0"/>
          <w:color w:val="auto"/>
          <w:sz w:val="28"/>
          <w:szCs w:val="28"/>
          <w:lang w:eastAsia="zh-CN"/>
        </w:rPr>
        <w:t>行政部</w:t>
      </w:r>
      <w:r>
        <w:rPr>
          <w:rFonts w:hint="eastAsia" w:ascii="宋体" w:hAnsi="宋体" w:cs="宋体"/>
          <w:i w:val="0"/>
          <w:iCs w:val="0"/>
          <w:color w:val="auto"/>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46" w:name="_Toc18720"/>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46"/>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仪陇县日兴镇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仪陇县日兴中心卫生院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仪陇县日兴中心卫生院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3.4</w:t>
      </w:r>
      <w:r>
        <w:rPr>
          <w:rFonts w:hint="eastAsia" w:ascii="宋体" w:hAnsi="宋体" w:cs="宋体"/>
          <w:i w:val="0"/>
          <w:iCs w:val="0"/>
          <w:color w:val="auto"/>
          <w:sz w:val="28"/>
          <w:szCs w:val="28"/>
          <w:lang w:eastAsia="zh-CN"/>
        </w:rPr>
        <w:t>k</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6</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；仪陇县双庆乡卫生院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4.0</w:t>
      </w:r>
      <w:r>
        <w:rPr>
          <w:rFonts w:hint="eastAsia" w:ascii="宋体" w:hAnsi="宋体" w:cs="宋体"/>
          <w:i w:val="0"/>
          <w:iCs w:val="0"/>
          <w:color w:val="auto"/>
          <w:sz w:val="28"/>
          <w:szCs w:val="28"/>
          <w:lang w:eastAsia="zh-CN"/>
        </w:rPr>
        <w:t>k</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6</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49</w:t>
      </w:r>
      <w:r>
        <w:rPr>
          <w:rFonts w:hint="eastAsia" w:ascii="宋体" w:hAnsi="宋体" w:cs="宋体"/>
          <w:i w:val="0"/>
          <w:iCs w:val="0"/>
          <w:color w:val="auto"/>
          <w:sz w:val="28"/>
          <w:szCs w:val="28"/>
        </w:rPr>
        <w:t>km，发生事故时</w:t>
      </w:r>
      <w:r>
        <w:rPr>
          <w:rFonts w:hint="eastAsia" w:ascii="宋体" w:hAnsi="宋体" w:eastAsia="宋体" w:cs="宋体"/>
          <w:i w:val="0"/>
          <w:iCs w:val="0"/>
          <w:color w:val="auto"/>
          <w:sz w:val="28"/>
          <w:szCs w:val="28"/>
          <w:lang w:val="en-US" w:eastAsia="zh-CN"/>
        </w:rPr>
        <w:t>1小时</w:t>
      </w:r>
      <w:r>
        <w:rPr>
          <w:rFonts w:hint="eastAsia" w:ascii="宋体" w:hAnsi="宋体" w:cs="宋体"/>
          <w:i w:val="0"/>
          <w:iCs w:val="0"/>
          <w:color w:val="auto"/>
          <w:sz w:val="28"/>
          <w:szCs w:val="28"/>
        </w:rPr>
        <w:t>内能到达现场。</w:t>
      </w:r>
    </w:p>
    <w:p>
      <w:pPr>
        <w:spacing w:line="360" w:lineRule="auto"/>
        <w:ind w:firstLine="560" w:firstLineChars="200"/>
        <w:rPr>
          <w:rFonts w:hint="eastAsia" w:ascii="宋体" w:hAnsi="宋体" w:cs="宋体"/>
          <w:i w:val="0"/>
          <w:iCs w:val="0"/>
          <w:color w:val="auto"/>
          <w:sz w:val="28"/>
          <w:szCs w:val="28"/>
          <w:lang w:eastAsia="zh-CN"/>
        </w:rPr>
      </w:pPr>
      <w:r>
        <w:rPr>
          <w:rFonts w:hint="eastAsia" w:ascii="宋体" w:hAnsi="宋体" w:cs="宋体"/>
          <w:i w:val="0"/>
          <w:iCs w:val="0"/>
          <w:color w:val="auto"/>
          <w:sz w:val="28"/>
          <w:szCs w:val="28"/>
          <w:lang w:eastAsia="zh-CN"/>
        </w:rPr>
        <w:t>仪陇县日兴镇</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2.3</w:t>
      </w:r>
      <w:r>
        <w:rPr>
          <w:rFonts w:hint="eastAsia" w:ascii="宋体" w:hAnsi="宋体" w:cs="宋体"/>
          <w:i w:val="0"/>
          <w:iCs w:val="0"/>
          <w:color w:val="auto"/>
          <w:sz w:val="28"/>
          <w:szCs w:val="28"/>
          <w:lang w:eastAsia="zh-CN"/>
        </w:rPr>
        <w:t>k</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6</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仪陇县金城消防中队距企业距离约</w:t>
      </w:r>
      <w:r>
        <w:rPr>
          <w:rFonts w:hint="eastAsia" w:ascii="宋体" w:hAnsi="宋体" w:cs="宋体"/>
          <w:i w:val="0"/>
          <w:iCs w:val="0"/>
          <w:color w:val="auto"/>
          <w:sz w:val="28"/>
          <w:szCs w:val="28"/>
          <w:lang w:val="en-US" w:eastAsia="zh-CN"/>
        </w:rPr>
        <w:t>14</w:t>
      </w:r>
      <w:r>
        <w:rPr>
          <w:rFonts w:hint="eastAsia" w:ascii="宋体" w:hAnsi="宋体" w:cs="宋体"/>
          <w:i w:val="0"/>
          <w:iCs w:val="0"/>
          <w:color w:val="auto"/>
          <w:sz w:val="28"/>
          <w:szCs w:val="28"/>
          <w:lang w:eastAsia="zh-CN"/>
        </w:rPr>
        <w:t>km，发生事故时</w:t>
      </w:r>
      <w:r>
        <w:rPr>
          <w:rFonts w:hint="eastAsia" w:ascii="宋体" w:hAnsi="宋体" w:cs="宋体"/>
          <w:i w:val="0"/>
          <w:iCs w:val="0"/>
          <w:color w:val="auto"/>
          <w:sz w:val="28"/>
          <w:szCs w:val="28"/>
          <w:lang w:val="en-US" w:eastAsia="zh-CN"/>
        </w:rPr>
        <w:t>23</w:t>
      </w:r>
      <w:r>
        <w:rPr>
          <w:rFonts w:hint="eastAsia" w:ascii="宋体" w:hAnsi="宋体" w:cs="宋体"/>
          <w:i w:val="0"/>
          <w:iCs w:val="0"/>
          <w:color w:val="auto"/>
          <w:sz w:val="28"/>
          <w:szCs w:val="28"/>
          <w:lang w:eastAsia="zh-CN"/>
        </w:rPr>
        <w:t>分钟内能到达现场；仪陇县消防救援局距企业距离约</w:t>
      </w:r>
      <w:r>
        <w:rPr>
          <w:rFonts w:hint="eastAsia" w:ascii="宋体" w:hAnsi="宋体" w:cs="宋体"/>
          <w:i w:val="0"/>
          <w:iCs w:val="0"/>
          <w:color w:val="auto"/>
          <w:sz w:val="28"/>
          <w:szCs w:val="28"/>
          <w:lang w:val="en-US" w:eastAsia="zh-CN"/>
        </w:rPr>
        <w:t>49</w:t>
      </w:r>
      <w:r>
        <w:rPr>
          <w:rFonts w:hint="eastAsia" w:ascii="宋体" w:hAnsi="宋体" w:cs="宋体"/>
          <w:i w:val="0"/>
          <w:iCs w:val="0"/>
          <w:color w:val="auto"/>
          <w:sz w:val="28"/>
          <w:szCs w:val="28"/>
          <w:lang w:eastAsia="zh-CN"/>
        </w:rPr>
        <w:t>km，发生事故时</w:t>
      </w:r>
      <w:r>
        <w:rPr>
          <w:rFonts w:hint="eastAsia" w:ascii="宋体" w:hAnsi="宋体" w:eastAsia="宋体" w:cs="宋体"/>
          <w:i w:val="0"/>
          <w:iCs w:val="0"/>
          <w:color w:val="auto"/>
          <w:sz w:val="28"/>
          <w:szCs w:val="28"/>
          <w:lang w:val="en-US" w:eastAsia="zh-CN"/>
        </w:rPr>
        <w:t>1小时</w:t>
      </w:r>
      <w:r>
        <w:rPr>
          <w:rFonts w:hint="eastAsia" w:ascii="宋体" w:hAnsi="宋体" w:cs="宋体"/>
          <w:i w:val="0"/>
          <w:iCs w:val="0"/>
          <w:color w:val="auto"/>
          <w:sz w:val="28"/>
          <w:szCs w:val="28"/>
        </w:rPr>
        <w:t>内</w:t>
      </w:r>
      <w:r>
        <w:rPr>
          <w:rFonts w:hint="eastAsia" w:ascii="宋体" w:hAnsi="宋体" w:cs="宋体"/>
          <w:i w:val="0"/>
          <w:iCs w:val="0"/>
          <w:color w:val="auto"/>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i w:val="0"/>
                <w:iCs w:val="0"/>
                <w:color w:val="auto"/>
                <w:szCs w:val="21"/>
                <w:lang w:val="en-US" w:eastAsia="zh-CN"/>
              </w:rPr>
              <w:t>7</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lang w:val="en-US" w:eastAsia="zh-CN"/>
              </w:rPr>
              <w:t>4</w:t>
            </w:r>
            <w:r>
              <w:rPr>
                <w:rFonts w:hint="eastAsia" w:ascii="宋体" w:hAnsi="宋体"/>
                <w:i w:val="0"/>
                <w:iCs w:val="0"/>
                <w:color w:val="auto"/>
                <w:szCs w:val="21"/>
              </w:rPr>
              <w:t>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防护装备</w:t>
            </w:r>
          </w:p>
        </w:tc>
        <w:tc>
          <w:tcPr>
            <w:tcW w:w="765" w:type="dxa"/>
            <w:noWrap w:val="0"/>
            <w:vAlign w:val="top"/>
          </w:tcPr>
          <w:p>
            <w:pPr>
              <w:spacing w:line="440" w:lineRule="exact"/>
              <w:ind w:firstLine="105" w:firstLineChars="50"/>
              <w:rPr>
                <w:rFonts w:hint="default" w:ascii="宋体" w:hAnsi="宋体"/>
                <w:i w:val="0"/>
                <w:iCs w:val="0"/>
                <w:color w:val="auto"/>
                <w:szCs w:val="21"/>
                <w:lang w:val="en-US" w:eastAsia="zh-CN"/>
              </w:rPr>
            </w:pPr>
            <w:r>
              <w:rPr>
                <w:rFonts w:hint="eastAsia" w:ascii="宋体" w:hAnsi="宋体"/>
                <w:i w:val="0"/>
                <w:iCs w:val="0"/>
                <w:color w:val="auto"/>
                <w:szCs w:val="21"/>
                <w:lang w:val="en-US" w:eastAsia="zh-CN"/>
              </w:rPr>
              <w:t>500</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射水器材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35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输水器材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抢险救援装备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171</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其它器材装备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116</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辆</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仪陇县人民医院、仪陇县日兴中心卫生院、仪陇县双庆乡卫生院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3</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仪陇县人民医院、仪陇县日兴中心卫生院、仪陇县双庆乡卫生院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仪陇县人民医院、仪陇县日兴中心卫生院、仪陇县双庆乡卫生院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12</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10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仪陇县人民医院、仪陇县日兴中心卫生院、仪陇县双庆乡卫生院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numPr>
                <w:ilvl w:val="0"/>
                <w:numId w:val="0"/>
              </w:numPr>
              <w:tabs>
                <w:tab w:val="left" w:pos="360"/>
              </w:tabs>
              <w:spacing w:line="460" w:lineRule="exact"/>
              <w:ind w:leftChars="0"/>
              <w:jc w:val="both"/>
              <w:rPr>
                <w:rFonts w:ascii="宋体" w:hAnsi="宋体"/>
                <w:i w:val="0"/>
                <w:iCs w:val="0"/>
                <w:color w:val="auto"/>
                <w:szCs w:val="21"/>
              </w:rPr>
            </w:pPr>
            <w:r>
              <w:rPr>
                <w:rFonts w:hint="eastAsia" w:ascii="宋体" w:hAnsi="宋体"/>
                <w:i w:val="0"/>
                <w:iCs w:val="0"/>
                <w:color w:val="auto"/>
                <w:szCs w:val="21"/>
                <w:lang w:val="en-US" w:eastAsia="zh-CN"/>
              </w:rPr>
              <w:t>13</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19</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仪陇县人民医院、仪陇县日兴中心卫生院、仪陇县双庆乡卫生院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陈辉</w:t>
            </w:r>
          </w:p>
        </w:tc>
      </w:tr>
    </w:tbl>
    <w:p>
      <w:pPr>
        <w:pStyle w:val="5"/>
        <w:spacing w:before="0" w:after="0" w:line="360" w:lineRule="auto"/>
        <w:rPr>
          <w:rFonts w:hint="eastAsia" w:ascii="宋体" w:hAnsi="宋体" w:eastAsia="宋体" w:cs="宋体"/>
          <w:color w:val="auto"/>
          <w:sz w:val="28"/>
          <w:szCs w:val="28"/>
        </w:rPr>
      </w:pPr>
    </w:p>
    <w:bookmarkEnd w:id="33"/>
    <w:bookmarkEnd w:id="34"/>
    <w:bookmarkEnd w:id="35"/>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spacing w:line="360" w:lineRule="auto"/>
        <w:jc w:val="center"/>
        <w:outlineLvl w:val="0"/>
        <w:rPr>
          <w:rFonts w:hint="eastAsia" w:ascii="黑体" w:hAnsi="宋体" w:eastAsia="黑体"/>
          <w:b/>
          <w:color w:val="auto"/>
          <w:sz w:val="32"/>
          <w:szCs w:val="32"/>
          <w:lang w:val="en-US" w:eastAsia="zh-CN"/>
        </w:rPr>
      </w:pPr>
      <w:bookmarkStart w:id="47" w:name="_Toc23701"/>
      <w:r>
        <w:rPr>
          <w:rFonts w:hint="eastAsia" w:ascii="黑体" w:hAnsi="宋体" w:eastAsia="黑体"/>
          <w:b/>
          <w:color w:val="auto"/>
          <w:sz w:val="32"/>
          <w:szCs w:val="32"/>
          <w:lang w:val="en-US" w:eastAsia="zh-CN"/>
        </w:rPr>
        <w:t>3危险、有害因素辨识</w:t>
      </w:r>
      <w:bookmarkEnd w:id="47"/>
    </w:p>
    <w:p>
      <w:pPr>
        <w:pStyle w:val="8"/>
        <w:spacing w:line="360" w:lineRule="auto"/>
        <w:ind w:firstLine="0" w:firstLineChars="0"/>
        <w:outlineLvl w:val="1"/>
        <w:rPr>
          <w:rFonts w:hint="eastAsia" w:ascii="黑体" w:eastAsia="黑体"/>
          <w:b/>
          <w:snapToGrid w:val="0"/>
          <w:color w:val="auto"/>
          <w:kern w:val="0"/>
          <w:sz w:val="32"/>
          <w:szCs w:val="32"/>
        </w:rPr>
      </w:pPr>
      <w:bookmarkStart w:id="48" w:name="_Toc14557"/>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rPr>
        <w:t>1 危险、有害因素辨识的目的</w:t>
      </w:r>
      <w:bookmarkEnd w:id="36"/>
      <w:bookmarkEnd w:id="37"/>
      <w:bookmarkEnd w:id="48"/>
    </w:p>
    <w:p>
      <w:pPr>
        <w:autoSpaceDE w:val="0"/>
        <w:autoSpaceDN w:val="0"/>
        <w:adjustRightInd w:val="0"/>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危险、有害因素是指能造成人员伤亡或影响人体健康、导致疾病和对物造成突发性或慢性损坏的因素。充分识别并掌握</w:t>
      </w:r>
      <w:r>
        <w:rPr>
          <w:rFonts w:hint="eastAsia" w:ascii="宋体" w:hAnsi="宋体"/>
          <w:snapToGrid w:val="0"/>
          <w:color w:val="auto"/>
          <w:kern w:val="0"/>
          <w:sz w:val="28"/>
          <w:szCs w:val="28"/>
          <w:lang w:eastAsia="zh-CN"/>
        </w:rPr>
        <w:t>公司</w:t>
      </w:r>
      <w:r>
        <w:rPr>
          <w:rFonts w:hint="eastAsia" w:ascii="宋体" w:hAnsi="宋体"/>
          <w:snapToGrid w:val="0"/>
          <w:color w:val="auto"/>
          <w:kern w:val="0"/>
          <w:sz w:val="28"/>
          <w:szCs w:val="28"/>
        </w:rPr>
        <w:t>生产系统中的危险有害因素，为企业有效减少人员伤亡和财产损失，确保生产安全具有重要意义；为企业</w:t>
      </w:r>
      <w:r>
        <w:rPr>
          <w:rFonts w:ascii="宋体" w:hAnsi="宋体"/>
          <w:snapToGrid w:val="0"/>
          <w:color w:val="auto"/>
          <w:kern w:val="0"/>
          <w:sz w:val="28"/>
          <w:szCs w:val="28"/>
        </w:rPr>
        <w:t>在</w:t>
      </w:r>
      <w:r>
        <w:rPr>
          <w:rFonts w:hint="eastAsia" w:ascii="宋体" w:hAnsi="宋体"/>
          <w:snapToGrid w:val="0"/>
          <w:color w:val="auto"/>
          <w:kern w:val="0"/>
          <w:sz w:val="28"/>
          <w:szCs w:val="28"/>
        </w:rPr>
        <w:t>实际生产中查找事故隐患并制定整改措施、制定事故应急救援预案</w:t>
      </w:r>
      <w:r>
        <w:rPr>
          <w:rFonts w:ascii="宋体" w:hAnsi="宋体"/>
          <w:snapToGrid w:val="0"/>
          <w:color w:val="auto"/>
          <w:kern w:val="0"/>
          <w:sz w:val="28"/>
          <w:szCs w:val="28"/>
        </w:rPr>
        <w:t>指明方向。</w:t>
      </w:r>
    </w:p>
    <w:p>
      <w:pPr>
        <w:pStyle w:val="8"/>
        <w:spacing w:line="360" w:lineRule="auto"/>
        <w:ind w:firstLine="0" w:firstLineChars="0"/>
        <w:outlineLvl w:val="1"/>
        <w:rPr>
          <w:rFonts w:ascii="黑体" w:eastAsia="黑体"/>
          <w:b/>
          <w:snapToGrid w:val="0"/>
          <w:color w:val="auto"/>
          <w:kern w:val="0"/>
          <w:sz w:val="32"/>
          <w:szCs w:val="32"/>
        </w:rPr>
      </w:pPr>
      <w:bookmarkStart w:id="49" w:name="_Toc514342839"/>
      <w:bookmarkStart w:id="50" w:name="_Toc480804387"/>
      <w:bookmarkStart w:id="51" w:name="_Toc356401484"/>
      <w:bookmarkStart w:id="52" w:name="_Toc11388"/>
      <w:bookmarkStart w:id="53" w:name="_Toc350781091"/>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rPr>
        <w:t>2 危险、有害因素辨识的依据</w:t>
      </w:r>
      <w:bookmarkEnd w:id="49"/>
      <w:bookmarkEnd w:id="50"/>
      <w:bookmarkEnd w:id="51"/>
      <w:bookmarkEnd w:id="52"/>
      <w:bookmarkEnd w:id="53"/>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（1）按照《危险化学品名录（20</w:t>
      </w:r>
      <w:r>
        <w:rPr>
          <w:rFonts w:hint="eastAsia" w:ascii="宋体" w:hAnsi="宋体"/>
          <w:snapToGrid w:val="0"/>
          <w:color w:val="auto"/>
          <w:kern w:val="0"/>
          <w:sz w:val="28"/>
          <w:szCs w:val="28"/>
        </w:rPr>
        <w:t>1</w:t>
      </w:r>
      <w:r>
        <w:rPr>
          <w:rFonts w:hint="eastAsia" w:ascii="宋体" w:hAnsi="宋体"/>
          <w:snapToGrid w:val="0"/>
          <w:color w:val="auto"/>
          <w:kern w:val="0"/>
          <w:sz w:val="28"/>
          <w:szCs w:val="28"/>
          <w:lang w:val="en-US" w:eastAsia="zh-CN"/>
        </w:rPr>
        <w:t>8</w:t>
      </w:r>
      <w:r>
        <w:rPr>
          <w:rFonts w:ascii="宋体" w:hAnsi="宋体"/>
          <w:snapToGrid w:val="0"/>
          <w:color w:val="auto"/>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（2）根据《危险化学品重大危险源辨识》（</w:t>
      </w:r>
      <w:r>
        <w:rPr>
          <w:rFonts w:hint="eastAsia" w:ascii="宋体" w:hAnsi="宋体"/>
          <w:snapToGrid w:val="0"/>
          <w:color w:val="auto"/>
          <w:kern w:val="0"/>
          <w:sz w:val="28"/>
          <w:szCs w:val="28"/>
          <w:lang w:eastAsia="zh-CN"/>
        </w:rPr>
        <w:t>GB18218-2018</w:t>
      </w:r>
      <w:r>
        <w:rPr>
          <w:rFonts w:ascii="宋体" w:hAnsi="宋体"/>
          <w:snapToGrid w:val="0"/>
          <w:color w:val="auto"/>
          <w:kern w:val="0"/>
          <w:sz w:val="28"/>
          <w:szCs w:val="28"/>
        </w:rPr>
        <w:t>），对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（4）根据《生产过程危险和危害因素分类与代码》（GB/T13861-2009）对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生产过程中的危险、有害因素进行辨识与分析。</w:t>
      </w:r>
    </w:p>
    <w:p>
      <w:pPr>
        <w:spacing w:line="360" w:lineRule="auto"/>
        <w:ind w:firstLine="560" w:firstLineChars="200"/>
        <w:textAlignment w:val="baseline"/>
        <w:rPr>
          <w:rFonts w:hint="eastAsia" w:ascii="宋体" w:hAnsi="宋体"/>
          <w:color w:val="auto"/>
          <w:sz w:val="28"/>
          <w:szCs w:val="28"/>
        </w:rPr>
      </w:pPr>
      <w:bookmarkStart w:id="54" w:name="_Toc356401485"/>
      <w:bookmarkStart w:id="55" w:name="_Toc480804388"/>
      <w:bookmarkStart w:id="56" w:name="_Toc350781092"/>
      <w:r>
        <w:rPr>
          <w:rFonts w:hint="eastAsia" w:ascii="宋体" w:hAnsi="宋体"/>
          <w:color w:val="auto"/>
          <w:sz w:val="28"/>
          <w:szCs w:val="28"/>
        </w:rPr>
        <w:t>（5）参照</w:t>
      </w:r>
      <w:r>
        <w:rPr>
          <w:rFonts w:hint="eastAsia" w:ascii="宋体" w:hAnsi="宋体"/>
          <w:bCs/>
          <w:color w:val="auto"/>
          <w:sz w:val="28"/>
          <w:szCs w:val="28"/>
        </w:rPr>
        <w:t>《职业病危害因素分类》（</w:t>
      </w:r>
      <w:r>
        <w:rPr>
          <w:rFonts w:ascii="宋体" w:hAnsi="宋体"/>
          <w:bCs/>
          <w:color w:val="auto"/>
          <w:sz w:val="28"/>
          <w:szCs w:val="28"/>
        </w:rPr>
        <w:t>国卫疾控发〔201</w:t>
      </w:r>
      <w:r>
        <w:rPr>
          <w:rFonts w:hint="eastAsia" w:ascii="宋体" w:hAnsi="宋体"/>
          <w:bCs/>
          <w:color w:val="auto"/>
          <w:sz w:val="28"/>
          <w:szCs w:val="28"/>
        </w:rPr>
        <w:t>5</w:t>
      </w:r>
      <w:r>
        <w:rPr>
          <w:rFonts w:ascii="宋体" w:hAnsi="宋体"/>
          <w:bCs/>
          <w:color w:val="auto"/>
          <w:sz w:val="28"/>
          <w:szCs w:val="28"/>
        </w:rPr>
        <w:t>〕</w:t>
      </w:r>
      <w:r>
        <w:rPr>
          <w:rFonts w:hint="eastAsia" w:ascii="宋体" w:hAnsi="宋体"/>
          <w:bCs/>
          <w:color w:val="auto"/>
          <w:sz w:val="28"/>
          <w:szCs w:val="28"/>
        </w:rPr>
        <w:t>92</w:t>
      </w:r>
      <w:r>
        <w:rPr>
          <w:rFonts w:ascii="宋体" w:hAnsi="宋体"/>
          <w:bCs/>
          <w:color w:val="auto"/>
          <w:sz w:val="28"/>
          <w:szCs w:val="28"/>
        </w:rPr>
        <w:t>号</w:t>
      </w:r>
      <w:r>
        <w:rPr>
          <w:rFonts w:hint="eastAsia" w:ascii="宋体" w:hAnsi="宋体"/>
          <w:bCs/>
          <w:color w:val="auto"/>
          <w:sz w:val="28"/>
          <w:szCs w:val="28"/>
        </w:rPr>
        <w:t>）</w:t>
      </w:r>
      <w:r>
        <w:rPr>
          <w:rFonts w:hint="eastAsia" w:ascii="宋体" w:hAnsi="宋体"/>
          <w:color w:val="auto"/>
          <w:sz w:val="28"/>
          <w:szCs w:val="28"/>
        </w:rPr>
        <w:t>对作业环境进行职业危害辨识与分析。</w:t>
      </w:r>
    </w:p>
    <w:p>
      <w:pPr>
        <w:pStyle w:val="8"/>
        <w:spacing w:line="360" w:lineRule="auto"/>
        <w:ind w:firstLine="0" w:firstLineChars="0"/>
        <w:outlineLvl w:val="1"/>
        <w:rPr>
          <w:rFonts w:hint="eastAsia" w:ascii="黑体" w:eastAsia="黑体"/>
          <w:b/>
          <w:snapToGrid w:val="0"/>
          <w:color w:val="auto"/>
          <w:kern w:val="0"/>
          <w:sz w:val="32"/>
          <w:szCs w:val="32"/>
        </w:rPr>
      </w:pPr>
      <w:bookmarkStart w:id="57" w:name="_Toc4842"/>
      <w:bookmarkStart w:id="58" w:name="_Toc514342840"/>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rPr>
        <w:t>3 危险、有害因素辨识的方法</w:t>
      </w:r>
      <w:bookmarkEnd w:id="54"/>
      <w:bookmarkEnd w:id="55"/>
      <w:bookmarkEnd w:id="56"/>
      <w:bookmarkEnd w:id="57"/>
      <w:bookmarkEnd w:id="58"/>
    </w:p>
    <w:p>
      <w:pPr>
        <w:spacing w:line="360" w:lineRule="auto"/>
        <w:ind w:firstLine="560" w:firstLineChars="200"/>
        <w:textAlignment w:val="baseline"/>
        <w:rPr>
          <w:rFonts w:ascii="宋体" w:hAnsi="宋体"/>
          <w:color w:val="auto"/>
          <w:sz w:val="28"/>
          <w:szCs w:val="28"/>
        </w:rPr>
      </w:pPr>
      <w:r>
        <w:rPr>
          <w:rFonts w:hint="eastAsia" w:ascii="宋体" w:hAnsi="宋体"/>
          <w:color w:val="auto"/>
          <w:sz w:val="28"/>
          <w:szCs w:val="28"/>
          <w:lang w:eastAsia="zh-CN"/>
        </w:rPr>
        <w:t>公司</w:t>
      </w:r>
      <w:r>
        <w:rPr>
          <w:rFonts w:ascii="宋体" w:hAnsi="宋体"/>
          <w:color w:val="auto"/>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⑴ 对照分析法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⑵ 专家评议法</w:t>
      </w:r>
    </w:p>
    <w:p>
      <w:pPr>
        <w:pStyle w:val="8"/>
        <w:spacing w:line="360" w:lineRule="auto"/>
        <w:ind w:firstLine="560"/>
        <w:rPr>
          <w:rFonts w:hint="eastAsia" w:ascii="宋体" w:hAnsi="宋体"/>
          <w:snapToGrid w:val="0"/>
          <w:color w:val="auto"/>
          <w:kern w:val="0"/>
          <w:sz w:val="28"/>
          <w:szCs w:val="28"/>
        </w:rPr>
      </w:pPr>
      <w:r>
        <w:rPr>
          <w:rFonts w:ascii="宋体" w:hAnsi="宋体"/>
          <w:snapToGrid w:val="0"/>
          <w:color w:val="auto"/>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color w:val="auto"/>
          <w:kern w:val="0"/>
          <w:sz w:val="28"/>
          <w:szCs w:val="28"/>
        </w:rPr>
        <w:t>中技术</w:t>
      </w:r>
      <w:r>
        <w:rPr>
          <w:rFonts w:ascii="宋体" w:hAnsi="宋体"/>
          <w:snapToGrid w:val="0"/>
          <w:color w:val="auto"/>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color w:val="auto"/>
          <w:kern w:val="0"/>
          <w:sz w:val="32"/>
          <w:szCs w:val="32"/>
        </w:rPr>
      </w:pPr>
      <w:bookmarkStart w:id="59" w:name="_Toc356401486"/>
      <w:bookmarkStart w:id="60" w:name="_Toc345593159"/>
      <w:bookmarkStart w:id="61" w:name="_Toc356380973"/>
      <w:bookmarkStart w:id="62" w:name="_Toc514342841"/>
      <w:bookmarkStart w:id="63" w:name="_Toc19374"/>
      <w:bookmarkStart w:id="64" w:name="_Toc332350845"/>
      <w:bookmarkStart w:id="65" w:name="_Toc480804389"/>
      <w:bookmarkStart w:id="66" w:name="_Toc350781094"/>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rPr>
        <w:t>4 主要危险、有害物质特性分析</w:t>
      </w:r>
      <w:bookmarkEnd w:id="59"/>
      <w:bookmarkEnd w:id="60"/>
      <w:bookmarkEnd w:id="61"/>
      <w:bookmarkEnd w:id="62"/>
      <w:bookmarkEnd w:id="63"/>
      <w:bookmarkEnd w:id="64"/>
      <w:bookmarkEnd w:id="65"/>
    </w:p>
    <w:p>
      <w:pPr>
        <w:pStyle w:val="8"/>
        <w:spacing w:line="360" w:lineRule="auto"/>
        <w:ind w:firstLine="560"/>
        <w:rPr>
          <w:rFonts w:hint="eastAsia" w:ascii="宋体" w:hAnsi="宋体"/>
          <w:snapToGrid w:val="0"/>
          <w:color w:val="auto"/>
          <w:kern w:val="0"/>
          <w:sz w:val="28"/>
          <w:szCs w:val="28"/>
        </w:rPr>
      </w:pPr>
      <w:r>
        <w:rPr>
          <w:rFonts w:hint="eastAsia" w:ascii="宋体" w:hAnsi="宋体"/>
          <w:snapToGrid w:val="0"/>
          <w:color w:val="auto"/>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color w:val="auto"/>
          <w:kern w:val="0"/>
          <w:sz w:val="28"/>
          <w:szCs w:val="28"/>
        </w:rPr>
      </w:pPr>
      <w:bookmarkStart w:id="67" w:name="_Toc332350846"/>
      <w:bookmarkStart w:id="68" w:name="_Toc356380974"/>
      <w:bookmarkStart w:id="69" w:name="_Toc514342842"/>
      <w:bookmarkStart w:id="70" w:name="_Toc480804390"/>
      <w:bookmarkStart w:id="71" w:name="_Toc356401487"/>
      <w:bookmarkStart w:id="72" w:name="_Toc3432"/>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4.1 煤</w:t>
      </w:r>
      <w:bookmarkEnd w:id="67"/>
      <w:bookmarkEnd w:id="68"/>
      <w:bookmarkEnd w:id="69"/>
      <w:bookmarkEnd w:id="70"/>
      <w:bookmarkEnd w:id="71"/>
      <w:bookmarkEnd w:id="72"/>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color w:val="auto"/>
          <w:kern w:val="0"/>
          <w:sz w:val="28"/>
          <w:szCs w:val="28"/>
        </w:rPr>
      </w:pPr>
      <w:bookmarkStart w:id="73" w:name="_Toc332350847"/>
      <w:bookmarkStart w:id="74" w:name="_Toc514342843"/>
      <w:bookmarkStart w:id="75" w:name="_Toc356401488"/>
      <w:bookmarkStart w:id="76" w:name="_Toc13210"/>
      <w:bookmarkStart w:id="77" w:name="_Toc356380975"/>
      <w:bookmarkStart w:id="78" w:name="_Toc480804391"/>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4.2 柴油</w:t>
      </w:r>
      <w:bookmarkEnd w:id="73"/>
      <w:bookmarkEnd w:id="74"/>
      <w:bookmarkEnd w:id="75"/>
      <w:bookmarkEnd w:id="76"/>
      <w:bookmarkEnd w:id="77"/>
      <w:bookmarkEnd w:id="78"/>
    </w:p>
    <w:p>
      <w:pPr>
        <w:adjustRightInd w:val="0"/>
        <w:snapToGrid w:val="0"/>
        <w:spacing w:line="360" w:lineRule="auto"/>
        <w:ind w:firstLine="560" w:firstLineChars="200"/>
        <w:rPr>
          <w:rFonts w:hint="eastAsia"/>
          <w:color w:val="auto"/>
          <w:sz w:val="28"/>
          <w:szCs w:val="28"/>
        </w:rPr>
      </w:pPr>
      <w:r>
        <w:rPr>
          <w:rFonts w:hint="eastAsia"/>
          <w:color w:val="auto"/>
          <w:sz w:val="28"/>
          <w:szCs w:val="28"/>
        </w:rPr>
        <w:t>柴油主要是由烷烃、烯烃、芳香烃、多环芳烃与少量硫（2~60</w:t>
      </w:r>
      <w:r>
        <w:rPr>
          <w:color w:val="auto"/>
          <w:sz w:val="28"/>
          <w:szCs w:val="28"/>
        </w:rPr>
        <w:t>g/Kg</w:t>
      </w:r>
      <w:r>
        <w:rPr>
          <w:rFonts w:hint="eastAsia"/>
          <w:color w:val="auto"/>
          <w:sz w:val="28"/>
          <w:szCs w:val="28"/>
        </w:rPr>
        <w:t>）、氮（＜1</w:t>
      </w:r>
      <w:r>
        <w:rPr>
          <w:color w:val="auto"/>
          <w:sz w:val="28"/>
          <w:szCs w:val="28"/>
        </w:rPr>
        <w:t xml:space="preserve"> g/Kg</w:t>
      </w:r>
      <w:r>
        <w:rPr>
          <w:rFonts w:hint="eastAsia"/>
          <w:color w:val="auto"/>
          <w:sz w:val="28"/>
          <w:szCs w:val="28"/>
        </w:rPr>
        <w:t>）及添加剂组成的混合物。以燃料油为例：白色或淡黄色液体，相对密度0.85；熔点</w:t>
      </w:r>
      <w:r>
        <w:rPr>
          <w:color w:val="auto"/>
          <w:sz w:val="28"/>
          <w:szCs w:val="28"/>
        </w:rPr>
        <w:t>--</w:t>
      </w:r>
      <w:r>
        <w:rPr>
          <w:rFonts w:hint="eastAsia"/>
          <w:color w:val="auto"/>
          <w:sz w:val="28"/>
          <w:szCs w:val="28"/>
        </w:rPr>
        <w:t>29.56℃，沸点180~370℃，闪点40℃，蒸气密度4，蒸气压4.0</w:t>
      </w:r>
      <w:r>
        <w:rPr>
          <w:color w:val="auto"/>
          <w:sz w:val="28"/>
          <w:szCs w:val="28"/>
        </w:rPr>
        <w:t>Kpa</w:t>
      </w:r>
      <w:r>
        <w:rPr>
          <w:rFonts w:hint="eastAsia"/>
          <w:color w:val="auto"/>
          <w:sz w:val="28"/>
          <w:szCs w:val="28"/>
        </w:rPr>
        <w:t>。</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灭火剂：泡沫、干粉、二氧化碳、砂土。</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着火性、流动性和凝点是柴油性能的重要指标。</w:t>
      </w:r>
    </w:p>
    <w:p>
      <w:pPr>
        <w:pStyle w:val="8"/>
        <w:spacing w:line="360" w:lineRule="auto"/>
        <w:ind w:firstLine="0" w:firstLineChars="0"/>
        <w:outlineLvl w:val="2"/>
        <w:rPr>
          <w:rFonts w:hint="eastAsia" w:ascii="宋体" w:hAnsi="宋体"/>
          <w:b/>
          <w:snapToGrid w:val="0"/>
          <w:color w:val="auto"/>
          <w:kern w:val="0"/>
          <w:sz w:val="28"/>
          <w:szCs w:val="28"/>
        </w:rPr>
      </w:pPr>
      <w:bookmarkStart w:id="79" w:name="_Toc356380976"/>
      <w:bookmarkStart w:id="80" w:name="_Toc332350848"/>
      <w:bookmarkStart w:id="81" w:name="_Toc356401489"/>
      <w:bookmarkStart w:id="82" w:name="_Toc12434"/>
      <w:bookmarkStart w:id="83" w:name="_Toc514342844"/>
      <w:bookmarkStart w:id="84" w:name="_Toc480804392"/>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4.3 一氧化碳</w:t>
      </w:r>
      <w:bookmarkEnd w:id="79"/>
      <w:bookmarkEnd w:id="80"/>
      <w:bookmarkEnd w:id="81"/>
      <w:bookmarkEnd w:id="82"/>
      <w:bookmarkEnd w:id="83"/>
      <w:bookmarkEnd w:id="84"/>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Monoxide               分子式：CO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性状：无色、无味气体；                 熔点：-199．1℃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沸点：-192℃                           相对密度：0．97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危险性类别：第2.易燃气体               危编号：21005</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un：1016(气体)                     爆炸极限：12</w:t>
      </w:r>
      <w:r>
        <w:rPr>
          <w:color w:val="auto"/>
          <w:sz w:val="28"/>
          <w:szCs w:val="28"/>
        </w:rPr>
        <w:t>.</w:t>
      </w:r>
      <w:r>
        <w:rPr>
          <w:rFonts w:hint="eastAsia"/>
          <w:color w:val="auto"/>
          <w:sz w:val="28"/>
          <w:szCs w:val="28"/>
        </w:rPr>
        <w:t>5~74％（V）</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健康危害：一氧化碳在血液中与血红蛋白结合而造成组织缺氧。</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color w:val="auto"/>
          <w:kern w:val="0"/>
          <w:sz w:val="28"/>
          <w:szCs w:val="28"/>
        </w:rPr>
      </w:pPr>
      <w:bookmarkStart w:id="85" w:name="_Toc332350849"/>
      <w:bookmarkStart w:id="86" w:name="_Toc356401490"/>
      <w:bookmarkStart w:id="87" w:name="_Toc5618"/>
      <w:bookmarkStart w:id="88" w:name="_Toc480804393"/>
      <w:bookmarkStart w:id="89" w:name="_Toc356380977"/>
      <w:bookmarkStart w:id="90" w:name="_Toc514342845"/>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4.4 二氧化碳</w:t>
      </w:r>
      <w:bookmarkEnd w:id="85"/>
      <w:bookmarkEnd w:id="86"/>
      <w:bookmarkEnd w:id="87"/>
      <w:bookmarkEnd w:id="88"/>
      <w:bookmarkEnd w:id="89"/>
      <w:bookmarkEnd w:id="90"/>
      <w:r>
        <w:rPr>
          <w:rFonts w:hint="eastAsia" w:ascii="宋体" w:hAnsi="宋体"/>
          <w:b/>
          <w:snapToGrid w:val="0"/>
          <w:color w:val="auto"/>
          <w:kern w:val="0"/>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Dioxide             分子式：C02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性状：无色、无味、不燃的气体        熔点：-56．6℃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沸点：-78．5℃(升华)           危险性类别：第2.2不燃气体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危编号：22019                        un：1013（气体）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color w:val="auto"/>
          <w:kern w:val="0"/>
          <w:sz w:val="28"/>
          <w:szCs w:val="28"/>
        </w:rPr>
      </w:pPr>
      <w:bookmarkStart w:id="91" w:name="_Toc356401491"/>
      <w:bookmarkStart w:id="92" w:name="_Toc514342846"/>
      <w:bookmarkStart w:id="93" w:name="_Toc480804394"/>
      <w:bookmarkStart w:id="94" w:name="_Toc332350850"/>
      <w:bookmarkStart w:id="95" w:name="_Toc356380978"/>
      <w:bookmarkStart w:id="96" w:name="_Toc4144"/>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4.5 二氧化硫（三氧化硫参考）</w:t>
      </w:r>
      <w:bookmarkEnd w:id="91"/>
      <w:bookmarkEnd w:id="92"/>
      <w:bookmarkEnd w:id="93"/>
      <w:bookmarkEnd w:id="94"/>
      <w:bookmarkEnd w:id="95"/>
      <w:bookmarkEnd w:id="96"/>
    </w:p>
    <w:p>
      <w:pPr>
        <w:adjustRightInd w:val="0"/>
        <w:snapToGrid w:val="0"/>
        <w:spacing w:line="360" w:lineRule="auto"/>
        <w:ind w:firstLine="560" w:firstLineChars="200"/>
        <w:rPr>
          <w:rFonts w:hint="eastAsia"/>
          <w:color w:val="auto"/>
          <w:sz w:val="28"/>
          <w:szCs w:val="28"/>
        </w:rPr>
      </w:pPr>
      <w:r>
        <w:rPr>
          <w:rFonts w:hint="eastAsia"/>
          <w:color w:val="auto"/>
          <w:sz w:val="28"/>
          <w:szCs w:val="28"/>
        </w:rPr>
        <w:t>英文名：（S</w:t>
      </w:r>
      <w:r>
        <w:rPr>
          <w:color w:val="auto"/>
          <w:sz w:val="28"/>
          <w:szCs w:val="28"/>
        </w:rPr>
        <w:t xml:space="preserve">ulfur  </w:t>
      </w:r>
      <w:r>
        <w:rPr>
          <w:rFonts w:hint="eastAsia"/>
          <w:color w:val="auto"/>
          <w:sz w:val="28"/>
          <w:szCs w:val="28"/>
        </w:rPr>
        <w:t>D</w:t>
      </w:r>
      <w:r>
        <w:rPr>
          <w:color w:val="auto"/>
          <w:sz w:val="28"/>
          <w:szCs w:val="28"/>
        </w:rPr>
        <w:t>ioxide</w:t>
      </w:r>
      <w:r>
        <w:rPr>
          <w:rFonts w:hint="eastAsia"/>
          <w:color w:val="auto"/>
          <w:sz w:val="28"/>
          <w:szCs w:val="28"/>
        </w:rPr>
        <w:t>）           分子式：</w:t>
      </w:r>
      <w:r>
        <w:rPr>
          <w:color w:val="auto"/>
          <w:sz w:val="28"/>
          <w:szCs w:val="28"/>
        </w:rPr>
        <w:t>SO2</w:t>
      </w:r>
      <w:r>
        <w:rPr>
          <w:rFonts w:hint="eastAsia"/>
          <w:color w:val="auto"/>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熔点：</w:t>
      </w:r>
      <w:r>
        <w:rPr>
          <w:color w:val="auto"/>
          <w:sz w:val="28"/>
          <w:szCs w:val="28"/>
        </w:rPr>
        <w:t>-75.5</w:t>
      </w:r>
      <w:r>
        <w:rPr>
          <w:rFonts w:hint="eastAsia"/>
          <w:color w:val="auto"/>
          <w:sz w:val="28"/>
          <w:szCs w:val="28"/>
        </w:rPr>
        <w:t xml:space="preserve"> ℃                       沸点：</w:t>
      </w:r>
      <w:r>
        <w:rPr>
          <w:color w:val="auto"/>
          <w:sz w:val="28"/>
          <w:szCs w:val="28"/>
        </w:rPr>
        <w:t>-10</w:t>
      </w:r>
      <w:r>
        <w:rPr>
          <w:rFonts w:hint="eastAsia"/>
          <w:color w:val="auto"/>
          <w:sz w:val="28"/>
          <w:szCs w:val="28"/>
        </w:rPr>
        <w:t xml:space="preserve"> ℃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危险性类别：第2.3有毒气体           危编号： </w:t>
      </w:r>
      <w:r>
        <w:rPr>
          <w:color w:val="auto"/>
          <w:sz w:val="28"/>
          <w:szCs w:val="28"/>
        </w:rPr>
        <w:t>23013</w:t>
      </w:r>
    </w:p>
    <w:p>
      <w:pPr>
        <w:adjustRightInd w:val="0"/>
        <w:snapToGrid w:val="0"/>
        <w:spacing w:line="360" w:lineRule="auto"/>
        <w:ind w:firstLine="560" w:firstLineChars="200"/>
        <w:rPr>
          <w:rFonts w:hint="eastAsia"/>
          <w:color w:val="auto"/>
          <w:sz w:val="28"/>
          <w:szCs w:val="28"/>
        </w:rPr>
      </w:pPr>
      <w:r>
        <w:rPr>
          <w:color w:val="auto"/>
          <w:sz w:val="28"/>
          <w:szCs w:val="28"/>
        </w:rPr>
        <w:t>UN</w:t>
      </w:r>
      <w:r>
        <w:rPr>
          <w:rFonts w:hint="eastAsia"/>
          <w:color w:val="auto"/>
          <w:sz w:val="28"/>
          <w:szCs w:val="28"/>
        </w:rPr>
        <w:t>：1079                    相对密度：</w:t>
      </w:r>
      <w:r>
        <w:rPr>
          <w:color w:val="auto"/>
          <w:sz w:val="28"/>
          <w:szCs w:val="28"/>
        </w:rPr>
        <w:t>1.43</w:t>
      </w:r>
      <w:r>
        <w:rPr>
          <w:rFonts w:hint="eastAsia"/>
          <w:color w:val="auto"/>
          <w:sz w:val="28"/>
          <w:szCs w:val="28"/>
        </w:rPr>
        <w:t>（液化）；</w:t>
      </w:r>
      <w:r>
        <w:rPr>
          <w:color w:val="auto"/>
          <w:sz w:val="28"/>
          <w:szCs w:val="28"/>
        </w:rPr>
        <w:t>2.26</w:t>
      </w:r>
      <w:r>
        <w:rPr>
          <w:rFonts w:hint="eastAsia"/>
          <w:color w:val="auto"/>
          <w:sz w:val="28"/>
          <w:szCs w:val="28"/>
        </w:rPr>
        <w:t>（气）</w:t>
      </w:r>
    </w:p>
    <w:p>
      <w:pPr>
        <w:adjustRightInd w:val="0"/>
        <w:snapToGrid w:val="0"/>
        <w:spacing w:line="360" w:lineRule="auto"/>
        <w:ind w:firstLine="560" w:firstLineChars="200"/>
        <w:rPr>
          <w:color w:val="auto"/>
          <w:sz w:val="28"/>
          <w:szCs w:val="28"/>
        </w:rPr>
      </w:pPr>
      <w:r>
        <w:rPr>
          <w:rFonts w:hint="eastAsia"/>
          <w:color w:val="auto"/>
          <w:sz w:val="28"/>
          <w:szCs w:val="28"/>
        </w:rPr>
        <w:t>空气中允许极限：中国</w:t>
      </w:r>
      <w:r>
        <w:rPr>
          <w:color w:val="auto"/>
          <w:sz w:val="28"/>
          <w:szCs w:val="28"/>
        </w:rPr>
        <w:t>MAC</w:t>
      </w:r>
      <w:r>
        <w:rPr>
          <w:rFonts w:hint="eastAsia"/>
          <w:color w:val="auto"/>
          <w:sz w:val="28"/>
          <w:szCs w:val="28"/>
        </w:rPr>
        <w:t>：</w:t>
      </w:r>
      <w:r>
        <w:rPr>
          <w:color w:val="auto"/>
          <w:sz w:val="28"/>
          <w:szCs w:val="28"/>
        </w:rPr>
        <w:t>15mg/m3</w:t>
      </w:r>
    </w:p>
    <w:p>
      <w:pPr>
        <w:adjustRightInd w:val="0"/>
        <w:snapToGrid w:val="0"/>
        <w:spacing w:line="360" w:lineRule="auto"/>
        <w:ind w:firstLine="560" w:firstLineChars="200"/>
        <w:rPr>
          <w:color w:val="auto"/>
          <w:sz w:val="28"/>
          <w:szCs w:val="28"/>
        </w:rPr>
      </w:pPr>
      <w:r>
        <w:rPr>
          <w:rFonts w:hint="eastAsia"/>
          <w:color w:val="auto"/>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color w:val="auto"/>
          <w:sz w:val="28"/>
          <w:szCs w:val="28"/>
        </w:rPr>
      </w:pPr>
      <w:r>
        <w:rPr>
          <w:rFonts w:hint="eastAsia"/>
          <w:color w:val="auto"/>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97" w:name="_Toc515659433"/>
      <w:bookmarkStart w:id="98" w:name="_Toc9420"/>
      <w:r>
        <w:rPr>
          <w:rFonts w:hint="eastAsia" w:ascii="宋体" w:hAnsi="宋体"/>
          <w:b/>
          <w:snapToGrid w:val="0"/>
          <w:color w:val="auto"/>
          <w:kern w:val="0"/>
          <w:sz w:val="28"/>
          <w:szCs w:val="28"/>
          <w:lang w:val="en-US" w:eastAsia="zh-CN"/>
        </w:rPr>
        <w:t>3.4.6 柴油安全数据表</w:t>
      </w:r>
      <w:bookmarkEnd w:id="97"/>
      <w:bookmarkEnd w:id="98"/>
    </w:p>
    <w:p>
      <w:pPr>
        <w:jc w:val="center"/>
        <w:rPr>
          <w:rFonts w:ascii="黑体" w:hAnsi="黑体" w:eastAsia="黑体"/>
          <w:b/>
          <w:color w:val="auto"/>
          <w:sz w:val="24"/>
        </w:rPr>
      </w:pPr>
      <w:r>
        <w:rPr>
          <w:rFonts w:ascii="黑体" w:hAnsi="黑体" w:eastAsia="黑体"/>
          <w:b/>
          <w:color w:val="auto"/>
          <w:sz w:val="24"/>
        </w:rPr>
        <w:t>表3-</w:t>
      </w:r>
      <w:r>
        <w:rPr>
          <w:rFonts w:hint="eastAsia" w:ascii="黑体" w:hAnsi="黑体" w:eastAsia="黑体"/>
          <w:b/>
          <w:color w:val="auto"/>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标</w:t>
            </w:r>
          </w:p>
          <w:p>
            <w:pPr>
              <w:adjustRightInd w:val="0"/>
              <w:snapToGrid w:val="0"/>
              <w:jc w:val="left"/>
              <w:rPr>
                <w:rFonts w:ascii="宋体" w:hAnsi="宋体"/>
                <w:color w:val="auto"/>
                <w:szCs w:val="21"/>
              </w:rPr>
            </w:pPr>
            <w:r>
              <w:rPr>
                <w:rFonts w:ascii="宋体" w:hAnsi="宋体"/>
                <w:b/>
                <w:bCs/>
                <w:color w:val="auto"/>
                <w:szCs w:val="21"/>
              </w:rPr>
              <w:t>识</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中文名：</w:t>
            </w:r>
            <w:r>
              <w:rPr>
                <w:rFonts w:ascii="宋体" w:hAnsi="宋体"/>
                <w:color w:val="auto"/>
                <w:szCs w:val="21"/>
              </w:rPr>
              <w:t xml:space="preserve">柴油              </w:t>
            </w:r>
            <w:r>
              <w:rPr>
                <w:rFonts w:ascii="宋体" w:hAnsi="宋体"/>
                <w:b/>
                <w:bCs/>
                <w:color w:val="auto"/>
                <w:szCs w:val="21"/>
              </w:rPr>
              <w:t>英文名：</w:t>
            </w:r>
            <w:r>
              <w:rPr>
                <w:rFonts w:ascii="宋体" w:hAnsi="宋体"/>
                <w:color w:val="auto"/>
                <w:szCs w:val="21"/>
              </w:rPr>
              <w:t>Diesel oil</w:t>
            </w:r>
          </w:p>
          <w:p>
            <w:pPr>
              <w:adjustRightInd w:val="0"/>
              <w:snapToGrid w:val="0"/>
              <w:jc w:val="left"/>
              <w:rPr>
                <w:rFonts w:hint="eastAsia" w:ascii="宋体" w:hAnsi="宋体"/>
                <w:color w:val="auto"/>
                <w:szCs w:val="21"/>
              </w:rPr>
            </w:pPr>
            <w:r>
              <w:rPr>
                <w:rFonts w:ascii="宋体" w:hAnsi="宋体"/>
                <w:b/>
                <w:bCs/>
                <w:color w:val="auto"/>
                <w:szCs w:val="21"/>
              </w:rPr>
              <w:t>CAS号：</w:t>
            </w:r>
            <w:r>
              <w:rPr>
                <w:rFonts w:hint="eastAsia" w:ascii="宋体" w:hAnsi="宋体"/>
                <w:color w:val="auto"/>
                <w:szCs w:val="21"/>
              </w:rPr>
              <w:t>68334-30-5</w:t>
            </w:r>
            <w:r>
              <w:rPr>
                <w:rFonts w:ascii="宋体" w:hAnsi="宋体"/>
                <w:color w:val="auto"/>
                <w:szCs w:val="21"/>
              </w:rPr>
              <w:t xml:space="preserve">            </w:t>
            </w:r>
            <w:r>
              <w:rPr>
                <w:rFonts w:ascii="宋体" w:hAnsi="宋体"/>
                <w:b/>
                <w:bCs/>
                <w:color w:val="auto"/>
                <w:szCs w:val="21"/>
              </w:rPr>
              <w:t>UN号：</w:t>
            </w:r>
            <w:r>
              <w:rPr>
                <w:rFonts w:hint="eastAsia" w:ascii="宋体" w:hAnsi="宋体"/>
                <w:color w:val="auto"/>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理</w:t>
            </w:r>
          </w:p>
          <w:p>
            <w:pPr>
              <w:adjustRightInd w:val="0"/>
              <w:snapToGrid w:val="0"/>
              <w:jc w:val="left"/>
              <w:rPr>
                <w:rFonts w:ascii="宋体" w:hAnsi="宋体"/>
                <w:b/>
                <w:bCs/>
                <w:color w:val="auto"/>
                <w:szCs w:val="21"/>
              </w:rPr>
            </w:pPr>
            <w:r>
              <w:rPr>
                <w:rFonts w:ascii="宋体" w:hAnsi="宋体"/>
                <w:b/>
                <w:bCs/>
                <w:color w:val="auto"/>
                <w:szCs w:val="21"/>
              </w:rPr>
              <w:t>化</w:t>
            </w:r>
          </w:p>
          <w:p>
            <w:pPr>
              <w:adjustRightInd w:val="0"/>
              <w:snapToGrid w:val="0"/>
              <w:jc w:val="left"/>
              <w:rPr>
                <w:rFonts w:ascii="宋体" w:hAnsi="宋体"/>
                <w:b/>
                <w:bCs/>
                <w:color w:val="auto"/>
                <w:szCs w:val="21"/>
              </w:rPr>
            </w:pPr>
            <w:r>
              <w:rPr>
                <w:rFonts w:ascii="宋体" w:hAnsi="宋体"/>
                <w:b/>
                <w:bCs/>
                <w:color w:val="auto"/>
                <w:szCs w:val="21"/>
              </w:rPr>
              <w:t>性</w:t>
            </w:r>
          </w:p>
          <w:p>
            <w:pPr>
              <w:adjustRightInd w:val="0"/>
              <w:snapToGrid w:val="0"/>
              <w:jc w:val="left"/>
              <w:rPr>
                <w:rFonts w:ascii="宋体" w:hAnsi="宋体"/>
                <w:color w:val="auto"/>
                <w:szCs w:val="21"/>
              </w:rPr>
            </w:pPr>
            <w:r>
              <w:rPr>
                <w:rFonts w:ascii="宋体" w:hAnsi="宋体"/>
                <w:b/>
                <w:bCs/>
                <w:color w:val="auto"/>
                <w:szCs w:val="21"/>
              </w:rPr>
              <w:t>质</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外观与性状：</w:t>
            </w:r>
            <w:r>
              <w:rPr>
                <w:rFonts w:ascii="宋体" w:hAnsi="宋体"/>
                <w:color w:val="auto"/>
                <w:szCs w:val="21"/>
              </w:rPr>
              <w:t>稍有粘性的浅黄至棕色液体。</w:t>
            </w:r>
          </w:p>
          <w:p>
            <w:pPr>
              <w:adjustRightInd w:val="0"/>
              <w:snapToGrid w:val="0"/>
              <w:jc w:val="left"/>
              <w:rPr>
                <w:rFonts w:ascii="宋体" w:hAnsi="宋体"/>
                <w:color w:val="auto"/>
                <w:szCs w:val="21"/>
              </w:rPr>
            </w:pPr>
            <w:r>
              <w:rPr>
                <w:rFonts w:ascii="宋体" w:hAnsi="宋体"/>
                <w:b/>
                <w:bCs/>
                <w:color w:val="auto"/>
                <w:szCs w:val="21"/>
              </w:rPr>
              <w:t>熔点(℃)：</w:t>
            </w:r>
            <w:r>
              <w:rPr>
                <w:rFonts w:ascii="宋体" w:hAnsi="宋体"/>
                <w:color w:val="auto"/>
                <w:szCs w:val="21"/>
              </w:rPr>
              <w:t xml:space="preserve">-35～20          </w:t>
            </w:r>
            <w:r>
              <w:rPr>
                <w:rFonts w:ascii="宋体" w:hAnsi="宋体"/>
                <w:b/>
                <w:bCs/>
                <w:color w:val="auto"/>
                <w:szCs w:val="21"/>
              </w:rPr>
              <w:t>相对密度（水=1.0）：</w:t>
            </w:r>
            <w:r>
              <w:rPr>
                <w:rFonts w:ascii="宋体" w:hAnsi="宋体"/>
                <w:color w:val="auto"/>
                <w:szCs w:val="21"/>
              </w:rPr>
              <w:t>0.87～0.9</w:t>
            </w:r>
          </w:p>
          <w:p>
            <w:pPr>
              <w:adjustRightInd w:val="0"/>
              <w:snapToGrid w:val="0"/>
              <w:jc w:val="left"/>
              <w:rPr>
                <w:rFonts w:ascii="宋体" w:hAnsi="宋体"/>
                <w:color w:val="auto"/>
                <w:szCs w:val="21"/>
              </w:rPr>
            </w:pPr>
            <w:r>
              <w:rPr>
                <w:rFonts w:ascii="宋体" w:hAnsi="宋体"/>
                <w:b/>
                <w:bCs/>
                <w:color w:val="auto"/>
                <w:szCs w:val="21"/>
              </w:rPr>
              <w:t>沸程(℃)：</w:t>
            </w:r>
            <w:r>
              <w:rPr>
                <w:rFonts w:ascii="宋体" w:hAnsi="宋体"/>
                <w:color w:val="auto"/>
                <w:szCs w:val="21"/>
              </w:rPr>
              <w:t xml:space="preserve">282～338         </w:t>
            </w:r>
            <w:r>
              <w:rPr>
                <w:rFonts w:ascii="宋体" w:hAnsi="宋体"/>
                <w:b/>
                <w:bCs/>
                <w:color w:val="auto"/>
                <w:szCs w:val="21"/>
              </w:rPr>
              <w:t>相对密度(空气=1):</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 xml:space="preserve">闪点(℃): </w:t>
            </w:r>
            <w:r>
              <w:rPr>
                <w:rFonts w:ascii="宋体" w:hAnsi="宋体"/>
                <w:bCs/>
                <w:color w:val="auto"/>
                <w:szCs w:val="21"/>
              </w:rPr>
              <w:t>&gt;55</w:t>
            </w:r>
            <w:r>
              <w:rPr>
                <w:rFonts w:ascii="宋体" w:hAnsi="宋体"/>
                <w:color w:val="auto"/>
                <w:szCs w:val="21"/>
              </w:rPr>
              <w:t xml:space="preserve">              </w:t>
            </w:r>
            <w:r>
              <w:rPr>
                <w:rFonts w:ascii="宋体" w:hAnsi="宋体"/>
                <w:b/>
                <w:bCs/>
                <w:color w:val="auto"/>
                <w:szCs w:val="21"/>
              </w:rPr>
              <w:t>引燃温度(℃)：</w:t>
            </w:r>
            <w:r>
              <w:rPr>
                <w:rFonts w:ascii="宋体" w:hAnsi="宋体"/>
                <w:color w:val="auto"/>
                <w:szCs w:val="21"/>
              </w:rPr>
              <w:t>257</w:t>
            </w:r>
          </w:p>
          <w:p>
            <w:pPr>
              <w:adjustRightInd w:val="0"/>
              <w:snapToGrid w:val="0"/>
              <w:jc w:val="left"/>
              <w:rPr>
                <w:rFonts w:ascii="宋体" w:hAnsi="宋体"/>
                <w:color w:val="auto"/>
                <w:szCs w:val="21"/>
              </w:rPr>
            </w:pPr>
            <w:r>
              <w:rPr>
                <w:rFonts w:ascii="宋体" w:hAnsi="宋体"/>
                <w:b/>
                <w:bCs/>
                <w:color w:val="auto"/>
                <w:szCs w:val="21"/>
              </w:rPr>
              <w:t>爆炸下限[%(V/V)]:</w:t>
            </w:r>
            <w:r>
              <w:rPr>
                <w:rFonts w:ascii="宋体" w:hAnsi="宋体"/>
                <w:color w:val="auto"/>
                <w:szCs w:val="21"/>
              </w:rPr>
              <w:t xml:space="preserve"> </w:t>
            </w:r>
            <w:r>
              <w:rPr>
                <w:rFonts w:hint="eastAsia" w:ascii="宋体" w:hAnsi="宋体"/>
                <w:color w:val="auto"/>
                <w:szCs w:val="21"/>
              </w:rPr>
              <w:t>0.5</w:t>
            </w:r>
            <w:r>
              <w:rPr>
                <w:rFonts w:ascii="宋体" w:hAnsi="宋体"/>
                <w:color w:val="auto"/>
                <w:szCs w:val="21"/>
              </w:rPr>
              <w:t xml:space="preserve">   </w:t>
            </w:r>
            <w:r>
              <w:rPr>
                <w:rFonts w:ascii="宋体" w:hAnsi="宋体"/>
                <w:b/>
                <w:bCs/>
                <w:color w:val="auto"/>
                <w:szCs w:val="21"/>
              </w:rPr>
              <w:t>最小点火能(mJ):</w:t>
            </w:r>
            <w:r>
              <w:rPr>
                <w:rFonts w:ascii="宋体" w:hAnsi="宋体"/>
                <w:color w:val="auto"/>
                <w:szCs w:val="21"/>
              </w:rPr>
              <w:t>无资料</w:t>
            </w:r>
          </w:p>
          <w:p>
            <w:pPr>
              <w:adjustRightInd w:val="0"/>
              <w:snapToGrid w:val="0"/>
              <w:jc w:val="left"/>
              <w:rPr>
                <w:rFonts w:ascii="宋体" w:hAnsi="宋体"/>
                <w:color w:val="auto"/>
                <w:szCs w:val="21"/>
              </w:rPr>
            </w:pPr>
            <w:r>
              <w:rPr>
                <w:rFonts w:ascii="宋体" w:hAnsi="宋体"/>
                <w:b/>
                <w:bCs/>
                <w:color w:val="auto"/>
                <w:szCs w:val="21"/>
              </w:rPr>
              <w:t>爆炸上限[%(V/V)]:</w:t>
            </w:r>
            <w:r>
              <w:rPr>
                <w:rFonts w:ascii="宋体" w:hAnsi="宋体"/>
                <w:color w:val="auto"/>
                <w:szCs w:val="21"/>
              </w:rPr>
              <w:t xml:space="preserve"> </w:t>
            </w:r>
            <w:r>
              <w:rPr>
                <w:rFonts w:hint="eastAsia" w:ascii="宋体" w:hAnsi="宋体"/>
                <w:color w:val="auto"/>
                <w:szCs w:val="21"/>
              </w:rPr>
              <w:t>4.5</w:t>
            </w:r>
            <w:r>
              <w:rPr>
                <w:rFonts w:ascii="宋体" w:hAnsi="宋体"/>
                <w:color w:val="auto"/>
                <w:szCs w:val="21"/>
              </w:rPr>
              <w:t xml:space="preserve">   </w:t>
            </w:r>
            <w:r>
              <w:rPr>
                <w:rFonts w:ascii="宋体" w:hAnsi="宋体"/>
                <w:b/>
                <w:bCs/>
                <w:color w:val="auto"/>
                <w:szCs w:val="21"/>
              </w:rPr>
              <w:t>最大爆炸压力(MPa):</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溶 解 性：</w:t>
            </w:r>
            <w:r>
              <w:rPr>
                <w:rFonts w:ascii="宋体" w:hAnsi="宋体"/>
                <w:color w:val="auto"/>
                <w:szCs w:val="21"/>
              </w:rPr>
              <w:t>不溶于水,易溶于苯、二硫化碳、醇、脂肪。</w:t>
            </w:r>
          </w:p>
          <w:p>
            <w:pPr>
              <w:adjustRightInd w:val="0"/>
              <w:snapToGrid w:val="0"/>
              <w:jc w:val="left"/>
              <w:rPr>
                <w:rFonts w:ascii="宋体" w:hAnsi="宋体"/>
                <w:color w:val="auto"/>
                <w:szCs w:val="21"/>
              </w:rPr>
            </w:pPr>
            <w:r>
              <w:rPr>
                <w:rFonts w:ascii="宋体" w:hAnsi="宋体"/>
                <w:b/>
                <w:bCs/>
                <w:color w:val="auto"/>
                <w:szCs w:val="21"/>
              </w:rPr>
              <w:t>主要用途：</w:t>
            </w:r>
            <w:r>
              <w:rPr>
                <w:rFonts w:ascii="宋体" w:hAnsi="宋体"/>
                <w:color w:val="auto"/>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燃</w:t>
            </w:r>
          </w:p>
          <w:p>
            <w:pPr>
              <w:adjustRightInd w:val="0"/>
              <w:snapToGrid w:val="0"/>
              <w:jc w:val="left"/>
              <w:rPr>
                <w:rFonts w:ascii="宋体" w:hAnsi="宋体"/>
                <w:color w:val="auto"/>
                <w:szCs w:val="21"/>
              </w:rPr>
            </w:pPr>
            <w:r>
              <w:rPr>
                <w:rFonts w:ascii="宋体" w:hAnsi="宋体"/>
                <w:b/>
                <w:bCs/>
                <w:color w:val="auto"/>
                <w:szCs w:val="21"/>
              </w:rPr>
              <w:t>烧</w:t>
            </w:r>
          </w:p>
          <w:p>
            <w:pPr>
              <w:adjustRightInd w:val="0"/>
              <w:snapToGrid w:val="0"/>
              <w:jc w:val="left"/>
              <w:rPr>
                <w:rFonts w:ascii="宋体" w:hAnsi="宋体"/>
                <w:b/>
                <w:bCs/>
                <w:color w:val="auto"/>
                <w:szCs w:val="21"/>
              </w:rPr>
            </w:pPr>
            <w:r>
              <w:rPr>
                <w:rFonts w:ascii="宋体" w:hAnsi="宋体"/>
                <w:b/>
                <w:bCs/>
                <w:color w:val="auto"/>
                <w:szCs w:val="21"/>
              </w:rPr>
              <w:t>爆</w:t>
            </w:r>
          </w:p>
          <w:p>
            <w:pPr>
              <w:adjustRightInd w:val="0"/>
              <w:snapToGrid w:val="0"/>
              <w:jc w:val="left"/>
              <w:rPr>
                <w:rFonts w:ascii="宋体" w:hAnsi="宋体"/>
                <w:b/>
                <w:bCs/>
                <w:color w:val="auto"/>
                <w:szCs w:val="21"/>
              </w:rPr>
            </w:pPr>
            <w:r>
              <w:rPr>
                <w:rFonts w:ascii="宋体" w:hAnsi="宋体"/>
                <w:b/>
                <w:bCs/>
                <w:color w:val="auto"/>
                <w:szCs w:val="21"/>
              </w:rPr>
              <w:t>炸</w:t>
            </w:r>
          </w:p>
          <w:p>
            <w:pPr>
              <w:adjustRightInd w:val="0"/>
              <w:snapToGrid w:val="0"/>
              <w:jc w:val="left"/>
              <w:rPr>
                <w:rFonts w:ascii="宋体" w:hAnsi="宋体"/>
                <w:b/>
                <w:bCs/>
                <w:color w:val="auto"/>
                <w:szCs w:val="21"/>
              </w:rPr>
            </w:pPr>
            <w:r>
              <w:rPr>
                <w:rFonts w:ascii="宋体" w:hAnsi="宋体"/>
                <w:b/>
                <w:bCs/>
                <w:color w:val="auto"/>
                <w:szCs w:val="21"/>
              </w:rPr>
              <w:t>危</w:t>
            </w:r>
          </w:p>
          <w:p>
            <w:pPr>
              <w:adjustRightInd w:val="0"/>
              <w:snapToGrid w:val="0"/>
              <w:jc w:val="left"/>
              <w:rPr>
                <w:rFonts w:ascii="宋体" w:hAnsi="宋体"/>
                <w:b/>
                <w:bCs/>
                <w:color w:val="auto"/>
                <w:szCs w:val="21"/>
              </w:rPr>
            </w:pPr>
            <w:r>
              <w:rPr>
                <w:rFonts w:ascii="宋体" w:hAnsi="宋体"/>
                <w:b/>
                <w:bCs/>
                <w:color w:val="auto"/>
                <w:szCs w:val="21"/>
              </w:rPr>
              <w:t>险</w:t>
            </w:r>
          </w:p>
          <w:p>
            <w:pPr>
              <w:adjustRightInd w:val="0"/>
              <w:snapToGrid w:val="0"/>
              <w:jc w:val="left"/>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燃 烧 性：</w:t>
            </w:r>
            <w:r>
              <w:rPr>
                <w:rFonts w:ascii="宋体" w:hAnsi="宋体"/>
                <w:color w:val="auto"/>
                <w:szCs w:val="21"/>
              </w:rPr>
              <w:t>易燃。</w:t>
            </w:r>
          </w:p>
          <w:p>
            <w:pPr>
              <w:pStyle w:val="10"/>
              <w:ind w:left="420"/>
              <w:jc w:val="left"/>
              <w:rPr>
                <w:rFonts w:ascii="宋体" w:hAnsi="宋体"/>
                <w:color w:val="auto"/>
                <w:szCs w:val="21"/>
              </w:rPr>
            </w:pPr>
            <w:r>
              <w:rPr>
                <w:rFonts w:ascii="宋体" w:hAnsi="宋体"/>
                <w:b/>
                <w:bCs/>
                <w:color w:val="auto"/>
                <w:szCs w:val="21"/>
              </w:rPr>
              <w:t>危险特性：</w:t>
            </w:r>
            <w:r>
              <w:rPr>
                <w:rFonts w:ascii="宋体" w:hAnsi="宋体"/>
                <w:color w:val="auto"/>
                <w:szCs w:val="21"/>
              </w:rPr>
              <w:t>遇明火、高热或与氧化剂接触,有引起燃烧爆炸的危险。若遇高热，容器内压力增大，有开裂和爆炸的危险。</w:t>
            </w:r>
          </w:p>
          <w:p>
            <w:pPr>
              <w:pStyle w:val="10"/>
              <w:ind w:left="420"/>
              <w:jc w:val="left"/>
              <w:rPr>
                <w:rFonts w:ascii="宋体" w:hAnsi="宋体"/>
                <w:color w:val="auto"/>
                <w:szCs w:val="21"/>
              </w:rPr>
            </w:pPr>
            <w:r>
              <w:rPr>
                <w:rFonts w:ascii="宋体" w:hAnsi="宋体"/>
                <w:b/>
                <w:bCs/>
                <w:color w:val="auto"/>
                <w:szCs w:val="21"/>
              </w:rPr>
              <w:t>有害燃烧产物：</w:t>
            </w:r>
            <w:r>
              <w:rPr>
                <w:rFonts w:ascii="宋体" w:hAnsi="宋体"/>
                <w:color w:val="auto"/>
                <w:szCs w:val="21"/>
              </w:rPr>
              <w:t>一氧化碳、二氧化碳。</w:t>
            </w:r>
          </w:p>
          <w:p>
            <w:pPr>
              <w:adjustRightInd w:val="0"/>
              <w:snapToGrid w:val="0"/>
              <w:jc w:val="left"/>
              <w:rPr>
                <w:rFonts w:ascii="宋体" w:hAnsi="宋体"/>
                <w:color w:val="auto"/>
                <w:szCs w:val="21"/>
              </w:rPr>
            </w:pPr>
            <w:r>
              <w:rPr>
                <w:rFonts w:ascii="宋体" w:hAnsi="宋体"/>
                <w:b/>
                <w:bCs/>
                <w:color w:val="auto"/>
                <w:szCs w:val="21"/>
              </w:rPr>
              <w:t>稳 定 性：</w:t>
            </w:r>
            <w:r>
              <w:rPr>
                <w:rFonts w:ascii="宋体" w:hAnsi="宋体"/>
                <w:color w:val="auto"/>
                <w:szCs w:val="21"/>
              </w:rPr>
              <w:t xml:space="preserve">稳定。           </w:t>
            </w:r>
            <w:r>
              <w:rPr>
                <w:rFonts w:ascii="宋体" w:hAnsi="宋体"/>
                <w:b/>
                <w:bCs/>
                <w:color w:val="auto"/>
                <w:szCs w:val="21"/>
              </w:rPr>
              <w:t>聚合危害：</w:t>
            </w:r>
            <w:r>
              <w:rPr>
                <w:rFonts w:ascii="宋体" w:hAnsi="宋体"/>
                <w:color w:val="auto"/>
                <w:szCs w:val="21"/>
              </w:rPr>
              <w:t>不聚合。</w:t>
            </w:r>
          </w:p>
          <w:p>
            <w:pPr>
              <w:adjustRightInd w:val="0"/>
              <w:snapToGrid w:val="0"/>
              <w:jc w:val="left"/>
              <w:rPr>
                <w:rFonts w:ascii="宋体" w:hAnsi="宋体"/>
                <w:color w:val="auto"/>
                <w:szCs w:val="21"/>
              </w:rPr>
            </w:pPr>
            <w:r>
              <w:rPr>
                <w:rFonts w:ascii="宋体" w:hAnsi="宋体"/>
                <w:b/>
                <w:bCs/>
                <w:color w:val="auto"/>
                <w:szCs w:val="21"/>
              </w:rPr>
              <w:t>禁 配 物：</w:t>
            </w:r>
            <w:r>
              <w:rPr>
                <w:rFonts w:ascii="宋体" w:hAnsi="宋体"/>
                <w:color w:val="auto"/>
                <w:szCs w:val="21"/>
              </w:rPr>
              <w:t>强氧化剂、卤素。</w:t>
            </w:r>
          </w:p>
          <w:p>
            <w:pPr>
              <w:adjustRightInd w:val="0"/>
              <w:snapToGrid w:val="0"/>
              <w:jc w:val="left"/>
              <w:rPr>
                <w:rFonts w:ascii="宋体" w:hAnsi="宋体"/>
                <w:color w:val="auto"/>
                <w:szCs w:val="21"/>
              </w:rPr>
            </w:pPr>
            <w:r>
              <w:rPr>
                <w:rFonts w:ascii="宋体" w:hAnsi="宋体"/>
                <w:b/>
                <w:bCs/>
                <w:color w:val="auto"/>
                <w:szCs w:val="21"/>
              </w:rPr>
              <w:t>灭火方法：</w:t>
            </w:r>
            <w:r>
              <w:rPr>
                <w:rFonts w:ascii="宋体" w:hAnsi="宋体"/>
                <w:color w:val="auto"/>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color w:val="auto"/>
                <w:szCs w:val="21"/>
              </w:rPr>
            </w:pPr>
            <w:r>
              <w:rPr>
                <w:rFonts w:ascii="宋体" w:hAnsi="宋体"/>
                <w:b/>
                <w:bCs/>
                <w:color w:val="auto"/>
                <w:szCs w:val="21"/>
              </w:rPr>
              <w:t>灭 火 剂：</w:t>
            </w:r>
            <w:r>
              <w:rPr>
                <w:rFonts w:ascii="宋体" w:hAnsi="宋体"/>
                <w:color w:val="auto"/>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color w:val="auto"/>
                <w:szCs w:val="21"/>
              </w:rPr>
            </w:pPr>
            <w:r>
              <w:rPr>
                <w:rFonts w:ascii="宋体" w:hAnsi="宋体"/>
                <w:b/>
                <w:bCs/>
                <w:color w:val="auto"/>
                <w:szCs w:val="21"/>
              </w:rPr>
              <w:t>包</w:t>
            </w:r>
          </w:p>
          <w:p>
            <w:pPr>
              <w:adjustRightInd w:val="0"/>
              <w:snapToGrid w:val="0"/>
              <w:rPr>
                <w:rFonts w:ascii="宋体" w:hAnsi="宋体"/>
                <w:b/>
                <w:bCs/>
                <w:color w:val="auto"/>
                <w:szCs w:val="21"/>
              </w:rPr>
            </w:pPr>
            <w:r>
              <w:rPr>
                <w:rFonts w:ascii="宋体" w:hAnsi="宋体"/>
                <w:b/>
                <w:bCs/>
                <w:color w:val="auto"/>
                <w:szCs w:val="21"/>
              </w:rPr>
              <w:t>装</w:t>
            </w:r>
          </w:p>
          <w:p>
            <w:pPr>
              <w:adjustRightInd w:val="0"/>
              <w:snapToGrid w:val="0"/>
              <w:rPr>
                <w:rFonts w:ascii="宋体" w:hAnsi="宋体"/>
                <w:b/>
                <w:bCs/>
                <w:color w:val="auto"/>
                <w:szCs w:val="21"/>
              </w:rPr>
            </w:pPr>
            <w:r>
              <w:rPr>
                <w:rFonts w:ascii="宋体" w:hAnsi="宋体"/>
                <w:b/>
                <w:bCs/>
                <w:color w:val="auto"/>
                <w:szCs w:val="21"/>
              </w:rPr>
              <w:t>与</w:t>
            </w:r>
          </w:p>
          <w:p>
            <w:pPr>
              <w:adjustRightInd w:val="0"/>
              <w:snapToGrid w:val="0"/>
              <w:rPr>
                <w:rFonts w:ascii="宋体" w:hAnsi="宋体"/>
                <w:b/>
                <w:bCs/>
                <w:color w:val="auto"/>
                <w:szCs w:val="21"/>
              </w:rPr>
            </w:pPr>
            <w:r>
              <w:rPr>
                <w:rFonts w:ascii="宋体" w:hAnsi="宋体"/>
                <w:b/>
                <w:bCs/>
                <w:color w:val="auto"/>
                <w:szCs w:val="21"/>
              </w:rPr>
              <w:t>储</w:t>
            </w:r>
          </w:p>
          <w:p>
            <w:pPr>
              <w:adjustRightInd w:val="0"/>
              <w:snapToGrid w:val="0"/>
              <w:jc w:val="left"/>
              <w:rPr>
                <w:rFonts w:ascii="宋体" w:hAnsi="宋体"/>
                <w:b/>
                <w:bCs/>
                <w:color w:val="auto"/>
                <w:szCs w:val="21"/>
              </w:rPr>
            </w:pPr>
            <w:r>
              <w:rPr>
                <w:rFonts w:ascii="宋体" w:hAnsi="宋体"/>
                <w:b/>
                <w:bCs/>
                <w:color w:val="auto"/>
                <w:szCs w:val="21"/>
              </w:rPr>
              <w:t>运</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安全标志：</w:t>
            </w:r>
            <w:r>
              <w:rPr>
                <w:rFonts w:ascii="宋体" w:hAnsi="宋体"/>
                <w:color w:val="auto"/>
                <w:szCs w:val="21"/>
              </w:rPr>
              <w:t xml:space="preserve">易燃液体        </w:t>
            </w:r>
            <w:r>
              <w:rPr>
                <w:rFonts w:ascii="宋体" w:hAnsi="宋体"/>
                <w:b/>
                <w:bCs/>
                <w:color w:val="auto"/>
                <w:szCs w:val="21"/>
              </w:rPr>
              <w:t>包装类别：Ⅲ</w:t>
            </w:r>
            <w:r>
              <w:rPr>
                <w:rFonts w:ascii="宋体" w:hAnsi="宋体"/>
                <w:color w:val="auto"/>
                <w:szCs w:val="21"/>
              </w:rPr>
              <w:t>类包装</w:t>
            </w:r>
          </w:p>
          <w:p>
            <w:pPr>
              <w:adjustRightInd w:val="0"/>
              <w:snapToGrid w:val="0"/>
              <w:rPr>
                <w:rFonts w:ascii="宋体" w:hAnsi="宋体"/>
                <w:color w:val="auto"/>
                <w:szCs w:val="21"/>
              </w:rPr>
            </w:pPr>
            <w:r>
              <w:rPr>
                <w:rFonts w:ascii="宋体" w:hAnsi="宋体"/>
                <w:b/>
                <w:bCs/>
                <w:color w:val="auto"/>
                <w:szCs w:val="21"/>
              </w:rPr>
              <w:t>储存注意事项：</w:t>
            </w:r>
            <w:r>
              <w:rPr>
                <w:rFonts w:ascii="宋体" w:hAnsi="宋体"/>
                <w:color w:val="auto"/>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color w:val="auto"/>
                <w:szCs w:val="21"/>
              </w:rPr>
            </w:pPr>
            <w:r>
              <w:rPr>
                <w:rFonts w:ascii="宋体" w:hAnsi="宋体"/>
                <w:b/>
                <w:bCs/>
                <w:color w:val="auto"/>
                <w:szCs w:val="21"/>
              </w:rPr>
              <w:t>运输注意事项：</w:t>
            </w:r>
            <w:r>
              <w:rPr>
                <w:rFonts w:ascii="宋体" w:hAnsi="宋体"/>
                <w:color w:val="auto"/>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毒</w:t>
            </w:r>
          </w:p>
          <w:p>
            <w:pPr>
              <w:adjustRightInd w:val="0"/>
              <w:snapToGrid w:val="0"/>
              <w:jc w:val="center"/>
              <w:rPr>
                <w:rFonts w:ascii="宋体" w:hAnsi="宋体"/>
                <w:b/>
                <w:bCs/>
                <w:color w:val="auto"/>
                <w:szCs w:val="21"/>
              </w:rPr>
            </w:pPr>
            <w:r>
              <w:rPr>
                <w:rFonts w:ascii="宋体" w:hAnsi="宋体"/>
                <w:b/>
                <w:bCs/>
                <w:color w:val="auto"/>
                <w:szCs w:val="21"/>
              </w:rPr>
              <w:t>性</w:t>
            </w:r>
          </w:p>
          <w:p>
            <w:pPr>
              <w:adjustRightInd w:val="0"/>
              <w:snapToGrid w:val="0"/>
              <w:jc w:val="center"/>
              <w:rPr>
                <w:rFonts w:ascii="宋体" w:hAnsi="宋体"/>
                <w:b/>
                <w:bCs/>
                <w:color w:val="auto"/>
                <w:szCs w:val="21"/>
              </w:rPr>
            </w:pPr>
            <w:r>
              <w:rPr>
                <w:rFonts w:ascii="宋体" w:hAnsi="宋体"/>
                <w:b/>
                <w:bCs/>
                <w:color w:val="auto"/>
                <w:szCs w:val="21"/>
              </w:rPr>
              <w:t>及</w:t>
            </w:r>
          </w:p>
          <w:p>
            <w:pPr>
              <w:adjustRightInd w:val="0"/>
              <w:snapToGrid w:val="0"/>
              <w:jc w:val="center"/>
              <w:rPr>
                <w:rFonts w:ascii="宋体" w:hAnsi="宋体"/>
                <w:b/>
                <w:bCs/>
                <w:color w:val="auto"/>
                <w:szCs w:val="21"/>
              </w:rPr>
            </w:pPr>
            <w:r>
              <w:rPr>
                <w:rFonts w:ascii="宋体" w:hAnsi="宋体"/>
                <w:b/>
                <w:bCs/>
                <w:color w:val="auto"/>
                <w:szCs w:val="21"/>
              </w:rPr>
              <w:t>健</w:t>
            </w:r>
          </w:p>
          <w:p>
            <w:pPr>
              <w:adjustRightInd w:val="0"/>
              <w:snapToGrid w:val="0"/>
              <w:jc w:val="center"/>
              <w:rPr>
                <w:rFonts w:ascii="宋体" w:hAnsi="宋体"/>
                <w:b/>
                <w:bCs/>
                <w:color w:val="auto"/>
                <w:szCs w:val="21"/>
              </w:rPr>
            </w:pPr>
            <w:r>
              <w:rPr>
                <w:rFonts w:ascii="宋体" w:hAnsi="宋体"/>
                <w:b/>
                <w:bCs/>
                <w:color w:val="auto"/>
                <w:szCs w:val="21"/>
              </w:rPr>
              <w:t>康</w:t>
            </w:r>
          </w:p>
          <w:p>
            <w:pPr>
              <w:adjustRightInd w:val="0"/>
              <w:snapToGrid w:val="0"/>
              <w:jc w:val="center"/>
              <w:rPr>
                <w:rFonts w:ascii="宋体" w:hAnsi="宋体"/>
                <w:b/>
                <w:bCs/>
                <w:color w:val="auto"/>
                <w:szCs w:val="21"/>
              </w:rPr>
            </w:pPr>
            <w:r>
              <w:rPr>
                <w:rFonts w:ascii="宋体" w:hAnsi="宋体"/>
                <w:b/>
                <w:bCs/>
                <w:color w:val="auto"/>
                <w:szCs w:val="21"/>
              </w:rPr>
              <w:t>危</w:t>
            </w:r>
          </w:p>
          <w:p>
            <w:pPr>
              <w:adjustRightInd w:val="0"/>
              <w:snapToGrid w:val="0"/>
              <w:jc w:val="center"/>
              <w:rPr>
                <w:rFonts w:ascii="宋体" w:hAnsi="宋体"/>
                <w:b/>
                <w:bCs/>
                <w:color w:val="auto"/>
                <w:szCs w:val="21"/>
              </w:rPr>
            </w:pPr>
            <w:r>
              <w:rPr>
                <w:rFonts w:ascii="宋体" w:hAnsi="宋体"/>
                <w:b/>
                <w:bCs/>
                <w:color w:val="auto"/>
                <w:szCs w:val="21"/>
              </w:rPr>
              <w:t>害</w:t>
            </w:r>
          </w:p>
          <w:p>
            <w:pPr>
              <w:adjustRightInd w:val="0"/>
              <w:snapToGrid w:val="0"/>
              <w:jc w:val="center"/>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接触限值：</w:t>
            </w:r>
            <w:r>
              <w:rPr>
                <w:rFonts w:ascii="宋体" w:hAnsi="宋体"/>
                <w:color w:val="auto"/>
                <w:szCs w:val="21"/>
              </w:rPr>
              <w:t>中国MAC（mg/m</w:t>
            </w:r>
            <w:r>
              <w:rPr>
                <w:rFonts w:ascii="宋体" w:hAnsi="宋体"/>
                <w:color w:val="auto"/>
                <w:szCs w:val="21"/>
                <w:vertAlign w:val="superscript"/>
              </w:rPr>
              <w:t>3</w:t>
            </w:r>
            <w:r>
              <w:rPr>
                <w:rFonts w:ascii="宋体" w:hAnsi="宋体"/>
                <w:color w:val="auto"/>
                <w:szCs w:val="21"/>
              </w:rPr>
              <w:t>）：无资料。</w:t>
            </w:r>
          </w:p>
          <w:p>
            <w:pPr>
              <w:adjustRightInd w:val="0"/>
              <w:snapToGrid w:val="0"/>
              <w:rPr>
                <w:rFonts w:ascii="宋体" w:hAnsi="宋体"/>
                <w:color w:val="auto"/>
                <w:szCs w:val="21"/>
              </w:rPr>
            </w:pPr>
            <w:r>
              <w:rPr>
                <w:rFonts w:ascii="宋体" w:hAnsi="宋体"/>
                <w:b/>
                <w:bCs/>
                <w:color w:val="auto"/>
                <w:szCs w:val="21"/>
              </w:rPr>
              <w:t>侵入途径：</w:t>
            </w:r>
            <w:r>
              <w:rPr>
                <w:rFonts w:ascii="宋体" w:hAnsi="宋体"/>
                <w:color w:val="auto"/>
                <w:szCs w:val="21"/>
              </w:rPr>
              <w:t>吸入、食入、经皮肤吸收。</w:t>
            </w:r>
          </w:p>
          <w:p>
            <w:pPr>
              <w:adjustRightInd w:val="0"/>
              <w:snapToGrid w:val="0"/>
              <w:rPr>
                <w:rFonts w:ascii="宋体" w:hAnsi="宋体"/>
                <w:color w:val="auto"/>
                <w:szCs w:val="21"/>
              </w:rPr>
            </w:pPr>
            <w:r>
              <w:rPr>
                <w:rFonts w:ascii="宋体" w:hAnsi="宋体"/>
                <w:b/>
                <w:bCs/>
                <w:color w:val="auto"/>
                <w:szCs w:val="21"/>
              </w:rPr>
              <w:t>急性毒性：</w:t>
            </w:r>
            <w:r>
              <w:rPr>
                <w:rFonts w:ascii="宋体" w:hAnsi="宋体"/>
                <w:color w:val="auto"/>
                <w:szCs w:val="21"/>
              </w:rPr>
              <w:t>LD</w:t>
            </w:r>
            <w:r>
              <w:rPr>
                <w:rFonts w:ascii="宋体" w:hAnsi="宋体"/>
                <w:color w:val="auto"/>
                <w:szCs w:val="21"/>
                <w:vertAlign w:val="subscript"/>
              </w:rPr>
              <w:t>50</w:t>
            </w:r>
            <w:r>
              <w:rPr>
                <w:rFonts w:ascii="宋体" w:hAnsi="宋体"/>
                <w:color w:val="auto"/>
                <w:szCs w:val="21"/>
              </w:rPr>
              <w:t xml:space="preserve">：无资料 </w:t>
            </w:r>
          </w:p>
          <w:p>
            <w:pPr>
              <w:adjustRightInd w:val="0"/>
              <w:snapToGrid w:val="0"/>
              <w:rPr>
                <w:rFonts w:ascii="宋体" w:hAnsi="宋体"/>
                <w:color w:val="auto"/>
                <w:szCs w:val="21"/>
              </w:rPr>
            </w:pPr>
            <w:r>
              <w:rPr>
                <w:rFonts w:ascii="宋体" w:hAnsi="宋体"/>
                <w:b/>
                <w:bCs/>
                <w:color w:val="auto"/>
                <w:szCs w:val="21"/>
              </w:rPr>
              <w:t>健康危害：</w:t>
            </w:r>
            <w:r>
              <w:rPr>
                <w:rFonts w:ascii="宋体" w:hAnsi="宋体"/>
                <w:color w:val="auto"/>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急</w:t>
            </w:r>
          </w:p>
          <w:p>
            <w:pPr>
              <w:adjustRightInd w:val="0"/>
              <w:snapToGrid w:val="0"/>
              <w:jc w:val="center"/>
              <w:rPr>
                <w:rFonts w:ascii="宋体" w:hAnsi="宋体"/>
                <w:b/>
                <w:bCs/>
                <w:color w:val="auto"/>
                <w:szCs w:val="21"/>
              </w:rPr>
            </w:pPr>
            <w:r>
              <w:rPr>
                <w:rFonts w:ascii="宋体" w:hAnsi="宋体"/>
                <w:b/>
                <w:bCs/>
                <w:color w:val="auto"/>
                <w:szCs w:val="21"/>
              </w:rPr>
              <w:t>救</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皮肤接触：</w:t>
            </w:r>
            <w:r>
              <w:rPr>
                <w:rFonts w:ascii="宋体" w:hAnsi="宋体"/>
                <w:color w:val="auto"/>
                <w:szCs w:val="21"/>
              </w:rPr>
              <w:t>立即脱去被污染的衣着，用肥皂水和清水彻底冲洗皮肤。就医。</w:t>
            </w:r>
          </w:p>
          <w:p>
            <w:pPr>
              <w:adjustRightInd w:val="0"/>
              <w:snapToGrid w:val="0"/>
              <w:rPr>
                <w:rFonts w:ascii="宋体" w:hAnsi="宋体"/>
                <w:color w:val="auto"/>
                <w:szCs w:val="21"/>
              </w:rPr>
            </w:pPr>
            <w:r>
              <w:rPr>
                <w:rFonts w:ascii="宋体" w:hAnsi="宋体"/>
                <w:b/>
                <w:bCs/>
                <w:color w:val="auto"/>
                <w:szCs w:val="21"/>
              </w:rPr>
              <w:t>眼睛接触：</w:t>
            </w:r>
            <w:r>
              <w:rPr>
                <w:rFonts w:ascii="宋体" w:hAnsi="宋体"/>
                <w:color w:val="auto"/>
                <w:szCs w:val="21"/>
              </w:rPr>
              <w:t>立即提起眼睑，用大量流动清水或生理盐水彻底冲洗至少15分钟。就医。</w:t>
            </w:r>
          </w:p>
          <w:p>
            <w:pPr>
              <w:adjustRightInd w:val="0"/>
              <w:snapToGrid w:val="0"/>
              <w:rPr>
                <w:rFonts w:ascii="宋体" w:hAnsi="宋体"/>
                <w:color w:val="auto"/>
                <w:szCs w:val="21"/>
              </w:rPr>
            </w:pPr>
            <w:r>
              <w:rPr>
                <w:rFonts w:ascii="宋体" w:hAnsi="宋体"/>
                <w:b/>
                <w:bCs/>
                <w:color w:val="auto"/>
                <w:szCs w:val="21"/>
              </w:rPr>
              <w:t>吸入：</w:t>
            </w:r>
            <w:r>
              <w:rPr>
                <w:rFonts w:ascii="宋体" w:hAnsi="宋体"/>
                <w:color w:val="auto"/>
                <w:szCs w:val="21"/>
              </w:rPr>
              <w:t>迅速脱离现场至空气新鲜处。保持呼吸道通畅。如呼吸困难，给输氧。如呼吸停止，立即进行人工呼吸。就医。</w:t>
            </w:r>
          </w:p>
          <w:p>
            <w:pPr>
              <w:adjustRightInd w:val="0"/>
              <w:snapToGrid w:val="0"/>
              <w:rPr>
                <w:rFonts w:ascii="宋体" w:hAnsi="宋体"/>
                <w:color w:val="auto"/>
                <w:szCs w:val="21"/>
              </w:rPr>
            </w:pPr>
            <w:r>
              <w:rPr>
                <w:rFonts w:ascii="宋体" w:hAnsi="宋体"/>
                <w:b/>
                <w:bCs/>
                <w:color w:val="auto"/>
                <w:szCs w:val="21"/>
              </w:rPr>
              <w:t>食入：</w:t>
            </w:r>
            <w:r>
              <w:rPr>
                <w:rFonts w:ascii="宋体" w:hAnsi="宋体"/>
                <w:color w:val="auto"/>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防</w:t>
            </w:r>
          </w:p>
          <w:p>
            <w:pPr>
              <w:adjustRightInd w:val="0"/>
              <w:snapToGrid w:val="0"/>
              <w:jc w:val="center"/>
              <w:rPr>
                <w:rFonts w:ascii="宋体" w:hAnsi="宋体"/>
                <w:b/>
                <w:bCs/>
                <w:color w:val="auto"/>
                <w:szCs w:val="21"/>
              </w:rPr>
            </w:pPr>
            <w:r>
              <w:rPr>
                <w:rFonts w:ascii="宋体" w:hAnsi="宋体"/>
                <w:b/>
                <w:bCs/>
                <w:color w:val="auto"/>
                <w:szCs w:val="21"/>
              </w:rPr>
              <w:t>护</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工程控制：</w:t>
            </w:r>
            <w:r>
              <w:rPr>
                <w:rFonts w:ascii="宋体" w:hAnsi="宋体"/>
                <w:color w:val="auto"/>
                <w:szCs w:val="21"/>
              </w:rPr>
              <w:t>生产过程密闭操作，注意通风。</w:t>
            </w:r>
          </w:p>
          <w:p>
            <w:pPr>
              <w:adjustRightInd w:val="0"/>
              <w:snapToGrid w:val="0"/>
              <w:rPr>
                <w:rFonts w:ascii="宋体" w:hAnsi="宋体"/>
                <w:color w:val="auto"/>
                <w:szCs w:val="21"/>
              </w:rPr>
            </w:pPr>
            <w:r>
              <w:rPr>
                <w:rFonts w:ascii="宋体" w:hAnsi="宋体"/>
                <w:b/>
                <w:bCs/>
                <w:color w:val="auto"/>
                <w:szCs w:val="21"/>
              </w:rPr>
              <w:t>呼吸系统防护：</w:t>
            </w:r>
            <w:r>
              <w:rPr>
                <w:rFonts w:ascii="宋体" w:hAnsi="宋体"/>
                <w:color w:val="auto"/>
                <w:szCs w:val="21"/>
              </w:rPr>
              <w:t>空气中浓度超标时，建议佩戴自吸过滤式防毒面具(半面罩)。紧急事态抢救或撤离时,应佩戴空气呼吸器。</w:t>
            </w:r>
          </w:p>
          <w:p>
            <w:pPr>
              <w:adjustRightInd w:val="0"/>
              <w:snapToGrid w:val="0"/>
              <w:rPr>
                <w:rFonts w:ascii="宋体" w:hAnsi="宋体"/>
                <w:color w:val="auto"/>
                <w:szCs w:val="21"/>
              </w:rPr>
            </w:pPr>
            <w:r>
              <w:rPr>
                <w:rFonts w:ascii="宋体" w:hAnsi="宋体"/>
                <w:b/>
                <w:bCs/>
                <w:color w:val="auto"/>
                <w:szCs w:val="21"/>
              </w:rPr>
              <w:t>眼睛防护：</w:t>
            </w:r>
            <w:r>
              <w:rPr>
                <w:rFonts w:ascii="宋体" w:hAnsi="宋体"/>
                <w:color w:val="auto"/>
                <w:szCs w:val="21"/>
              </w:rPr>
              <w:t>必要时戴化学安全防护眼镜。</w:t>
            </w:r>
          </w:p>
          <w:p>
            <w:pPr>
              <w:adjustRightInd w:val="0"/>
              <w:snapToGrid w:val="0"/>
              <w:rPr>
                <w:rFonts w:ascii="宋体" w:hAnsi="宋体"/>
                <w:color w:val="auto"/>
                <w:szCs w:val="21"/>
              </w:rPr>
            </w:pPr>
            <w:r>
              <w:rPr>
                <w:rFonts w:ascii="宋体" w:hAnsi="宋体"/>
                <w:b/>
                <w:bCs/>
                <w:color w:val="auto"/>
                <w:szCs w:val="21"/>
              </w:rPr>
              <w:t>身体防护：</w:t>
            </w:r>
            <w:r>
              <w:rPr>
                <w:rFonts w:ascii="宋体" w:hAnsi="宋体"/>
                <w:color w:val="auto"/>
                <w:szCs w:val="21"/>
              </w:rPr>
              <w:t>穿一般作业工作服。</w:t>
            </w:r>
          </w:p>
          <w:p>
            <w:pPr>
              <w:adjustRightInd w:val="0"/>
              <w:snapToGrid w:val="0"/>
              <w:rPr>
                <w:rFonts w:ascii="宋体" w:hAnsi="宋体"/>
                <w:color w:val="auto"/>
                <w:szCs w:val="21"/>
              </w:rPr>
            </w:pPr>
            <w:r>
              <w:rPr>
                <w:rFonts w:ascii="宋体" w:hAnsi="宋体"/>
                <w:b/>
                <w:bCs/>
                <w:color w:val="auto"/>
                <w:szCs w:val="21"/>
              </w:rPr>
              <w:t>手 防 护：</w:t>
            </w:r>
            <w:r>
              <w:rPr>
                <w:rFonts w:ascii="宋体" w:hAnsi="宋体"/>
                <w:color w:val="auto"/>
                <w:szCs w:val="21"/>
              </w:rPr>
              <w:t>戴橡胶耐油手套。</w:t>
            </w:r>
          </w:p>
          <w:p>
            <w:pPr>
              <w:adjustRightInd w:val="0"/>
              <w:snapToGrid w:val="0"/>
              <w:rPr>
                <w:rFonts w:ascii="宋体" w:hAnsi="宋体"/>
                <w:color w:val="auto"/>
                <w:szCs w:val="21"/>
              </w:rPr>
            </w:pPr>
            <w:r>
              <w:rPr>
                <w:rFonts w:ascii="宋体" w:hAnsi="宋体"/>
                <w:b/>
                <w:bCs/>
                <w:color w:val="auto"/>
                <w:szCs w:val="21"/>
              </w:rPr>
              <w:t>其它防护：</w:t>
            </w:r>
            <w:r>
              <w:rPr>
                <w:rFonts w:ascii="宋体" w:hAnsi="宋体"/>
                <w:color w:val="auto"/>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泄</w:t>
            </w:r>
          </w:p>
          <w:p>
            <w:pPr>
              <w:adjustRightInd w:val="0"/>
              <w:snapToGrid w:val="0"/>
              <w:jc w:val="center"/>
              <w:rPr>
                <w:rFonts w:ascii="宋体" w:hAnsi="宋体"/>
                <w:b/>
                <w:bCs/>
                <w:color w:val="auto"/>
                <w:szCs w:val="21"/>
              </w:rPr>
            </w:pPr>
            <w:r>
              <w:rPr>
                <w:rFonts w:ascii="宋体" w:hAnsi="宋体"/>
                <w:b/>
                <w:bCs/>
                <w:color w:val="auto"/>
                <w:szCs w:val="21"/>
              </w:rPr>
              <w:t>漏</w:t>
            </w:r>
          </w:p>
          <w:p>
            <w:pPr>
              <w:adjustRightInd w:val="0"/>
              <w:snapToGrid w:val="0"/>
              <w:jc w:val="center"/>
              <w:rPr>
                <w:rFonts w:ascii="宋体" w:hAnsi="宋体"/>
                <w:b/>
                <w:bCs/>
                <w:color w:val="auto"/>
                <w:szCs w:val="21"/>
              </w:rPr>
            </w:pPr>
            <w:r>
              <w:rPr>
                <w:rFonts w:ascii="宋体" w:hAnsi="宋体"/>
                <w:b/>
                <w:bCs/>
                <w:color w:val="auto"/>
                <w:szCs w:val="21"/>
              </w:rPr>
              <w:t>处</w:t>
            </w:r>
          </w:p>
          <w:p>
            <w:pPr>
              <w:adjustRightInd w:val="0"/>
              <w:snapToGrid w:val="0"/>
              <w:jc w:val="center"/>
              <w:rPr>
                <w:rFonts w:ascii="宋体" w:hAnsi="宋体"/>
                <w:color w:val="auto"/>
                <w:szCs w:val="21"/>
              </w:rPr>
            </w:pPr>
            <w:r>
              <w:rPr>
                <w:rFonts w:ascii="宋体" w:hAnsi="宋体"/>
                <w:b/>
                <w:bCs/>
                <w:color w:val="auto"/>
                <w:szCs w:val="21"/>
              </w:rPr>
              <w:t>理</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应急行动：</w:t>
            </w:r>
            <w:r>
              <w:rPr>
                <w:rFonts w:ascii="宋体" w:hAnsi="宋体"/>
                <w:color w:val="auto"/>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color w:val="auto"/>
          <w:sz w:val="28"/>
          <w:szCs w:val="28"/>
        </w:rPr>
      </w:pP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99" w:name="_Toc475363997"/>
      <w:bookmarkStart w:id="100" w:name="_Toc513735551"/>
      <w:bookmarkStart w:id="101" w:name="_Toc5541"/>
      <w:bookmarkStart w:id="102" w:name="_Toc515659434"/>
      <w:bookmarkStart w:id="103" w:name="_Toc511994825"/>
      <w:r>
        <w:rPr>
          <w:rFonts w:hint="eastAsia" w:ascii="宋体" w:hAnsi="宋体"/>
          <w:b/>
          <w:snapToGrid w:val="0"/>
          <w:color w:val="auto"/>
          <w:kern w:val="0"/>
          <w:sz w:val="28"/>
          <w:szCs w:val="28"/>
          <w:lang w:val="en-US" w:eastAsia="zh-CN"/>
        </w:rPr>
        <w:t>3.4.7 氧气安全数据表</w:t>
      </w:r>
      <w:bookmarkEnd w:id="99"/>
      <w:bookmarkEnd w:id="100"/>
      <w:bookmarkEnd w:id="101"/>
      <w:bookmarkEnd w:id="102"/>
    </w:p>
    <w:p>
      <w:pPr>
        <w:pStyle w:val="32"/>
        <w:rPr>
          <w:rFonts w:eastAsia="黑体"/>
          <w:color w:val="auto"/>
          <w:sz w:val="24"/>
          <w:szCs w:val="24"/>
        </w:rPr>
      </w:pPr>
      <w:r>
        <w:rPr>
          <w:rFonts w:eastAsia="黑体"/>
          <w:color w:val="auto"/>
          <w:sz w:val="24"/>
          <w:szCs w:val="24"/>
        </w:rPr>
        <w:t>表3-</w:t>
      </w:r>
      <w:r>
        <w:rPr>
          <w:rFonts w:hint="eastAsia" w:eastAsia="黑体"/>
          <w:color w:val="auto"/>
          <w:sz w:val="24"/>
          <w:szCs w:val="24"/>
        </w:rPr>
        <w:t>2</w:t>
      </w:r>
      <w:r>
        <w:rPr>
          <w:rFonts w:eastAsia="黑体"/>
          <w:color w:val="auto"/>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w:t>
            </w:r>
          </w:p>
          <w:p>
            <w:pPr>
              <w:spacing w:line="260" w:lineRule="exact"/>
              <w:rPr>
                <w:rFonts w:ascii="宋体" w:hAnsi="宋体"/>
                <w:color w:val="auto"/>
                <w:szCs w:val="21"/>
              </w:rPr>
            </w:pPr>
            <w:r>
              <w:rPr>
                <w:rFonts w:ascii="宋体" w:hAnsi="宋体"/>
                <w:color w:val="auto"/>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熔点：-218.8</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危险性类别：第2.2类 不燃气体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pPr>
        <w:rPr>
          <w:color w:val="auto"/>
        </w:rPr>
      </w:pPr>
      <w:bookmarkStart w:id="104" w:name="_Toc321298550"/>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05" w:name="_Toc513735552"/>
      <w:bookmarkStart w:id="106" w:name="_Toc19715"/>
      <w:bookmarkStart w:id="107" w:name="_Toc475363998"/>
      <w:bookmarkStart w:id="108" w:name="_Toc515659435"/>
      <w:r>
        <w:rPr>
          <w:rFonts w:hint="eastAsia" w:ascii="宋体" w:hAnsi="宋体"/>
          <w:b/>
          <w:snapToGrid w:val="0"/>
          <w:color w:val="auto"/>
          <w:kern w:val="0"/>
          <w:sz w:val="28"/>
          <w:szCs w:val="28"/>
          <w:lang w:val="en-US" w:eastAsia="zh-CN"/>
        </w:rPr>
        <w:t>3.4.8 乙炔安全数据表</w:t>
      </w:r>
      <w:bookmarkEnd w:id="104"/>
      <w:bookmarkEnd w:id="105"/>
      <w:bookmarkEnd w:id="106"/>
      <w:bookmarkEnd w:id="107"/>
      <w:bookmarkEnd w:id="108"/>
    </w:p>
    <w:p>
      <w:pPr>
        <w:pStyle w:val="32"/>
        <w:rPr>
          <w:rFonts w:eastAsia="黑体"/>
          <w:color w:val="auto"/>
          <w:sz w:val="24"/>
          <w:szCs w:val="24"/>
        </w:rPr>
      </w:pPr>
      <w:r>
        <w:rPr>
          <w:rFonts w:hint="eastAsia" w:eastAsia="黑体"/>
          <w:color w:val="auto"/>
          <w:sz w:val="24"/>
          <w:szCs w:val="24"/>
        </w:rPr>
        <w:t>表</w:t>
      </w:r>
      <w:r>
        <w:rPr>
          <w:rFonts w:eastAsia="黑体"/>
          <w:color w:val="auto"/>
          <w:sz w:val="24"/>
          <w:szCs w:val="24"/>
        </w:rPr>
        <w:t>3-</w:t>
      </w:r>
      <w:r>
        <w:rPr>
          <w:rFonts w:hint="eastAsia" w:eastAsia="黑体"/>
          <w:color w:val="auto"/>
          <w:sz w:val="24"/>
          <w:szCs w:val="24"/>
        </w:rPr>
        <w:t>3</w:t>
      </w:r>
      <w:r>
        <w:rPr>
          <w:rFonts w:eastAsia="黑体"/>
          <w:color w:val="auto"/>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熔点：-81.8（119kPa）</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危险性类别：第2.1类 易燃气体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color w:val="auto"/>
                <w:szCs w:val="21"/>
              </w:rPr>
            </w:pPr>
            <w:r>
              <w:rPr>
                <w:rFonts w:ascii="宋体" w:hAnsi="宋体"/>
                <w:color w:val="auto"/>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Pr>
        <w:rPr>
          <w:color w:val="auto"/>
        </w:rPr>
      </w:pPr>
    </w:p>
    <w:p>
      <w:pPr>
        <w:pStyle w:val="8"/>
        <w:spacing w:line="360" w:lineRule="auto"/>
        <w:ind w:firstLine="0" w:firstLineChars="0"/>
        <w:outlineLvl w:val="1"/>
        <w:rPr>
          <w:rFonts w:hint="eastAsia" w:ascii="黑体" w:eastAsia="黑体"/>
          <w:b/>
          <w:snapToGrid w:val="0"/>
          <w:color w:val="auto"/>
          <w:kern w:val="0"/>
          <w:sz w:val="32"/>
          <w:szCs w:val="32"/>
        </w:rPr>
      </w:pPr>
      <w:bookmarkStart w:id="109" w:name="_Toc515659436"/>
      <w:bookmarkStart w:id="110" w:name="_Toc1881"/>
      <w:r>
        <w:rPr>
          <w:rFonts w:hint="eastAsia" w:ascii="黑体" w:eastAsia="黑体"/>
          <w:b/>
          <w:snapToGrid w:val="0"/>
          <w:color w:val="auto"/>
          <w:kern w:val="0"/>
          <w:sz w:val="32"/>
          <w:szCs w:val="32"/>
        </w:rPr>
        <w:t>3.5 生产过程危险有害因素分析和辨识</w:t>
      </w:r>
      <w:bookmarkEnd w:id="103"/>
      <w:bookmarkEnd w:id="109"/>
      <w:bookmarkEnd w:id="110"/>
    </w:p>
    <w:p>
      <w:pPr>
        <w:pStyle w:val="2"/>
        <w:rPr>
          <w:color w:val="auto"/>
        </w:rPr>
      </w:pPr>
    </w:p>
    <w:p>
      <w:pPr>
        <w:pStyle w:val="8"/>
        <w:spacing w:line="360" w:lineRule="auto"/>
        <w:ind w:firstLine="0" w:firstLineChars="0"/>
        <w:outlineLvl w:val="1"/>
        <w:rPr>
          <w:rFonts w:hint="eastAsia" w:ascii="黑体" w:eastAsia="黑体"/>
          <w:b/>
          <w:snapToGrid w:val="0"/>
          <w:color w:val="auto"/>
          <w:kern w:val="0"/>
          <w:sz w:val="32"/>
          <w:szCs w:val="32"/>
        </w:rPr>
      </w:pPr>
      <w:bookmarkStart w:id="111" w:name="_Toc514342847"/>
      <w:bookmarkStart w:id="112" w:name="_Toc356380979"/>
      <w:bookmarkStart w:id="113" w:name="_Toc332350851"/>
      <w:bookmarkStart w:id="114" w:name="_Toc480804395"/>
      <w:bookmarkStart w:id="115" w:name="_Toc356401492"/>
      <w:bookmarkStart w:id="116" w:name="_Toc31856"/>
      <w:bookmarkStart w:id="117" w:name="_Toc345593160"/>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rPr>
        <w:t>5 生产过程危险有害因素分析和辨识</w:t>
      </w:r>
      <w:bookmarkEnd w:id="111"/>
      <w:bookmarkEnd w:id="112"/>
      <w:bookmarkEnd w:id="113"/>
      <w:bookmarkEnd w:id="114"/>
      <w:bookmarkEnd w:id="115"/>
      <w:bookmarkEnd w:id="116"/>
      <w:bookmarkEnd w:id="117"/>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color w:val="auto"/>
          <w:kern w:val="0"/>
          <w:sz w:val="28"/>
          <w:szCs w:val="28"/>
        </w:rPr>
      </w:pPr>
      <w:bookmarkStart w:id="118" w:name="_Toc356401493"/>
      <w:bookmarkStart w:id="119" w:name="_Toc332350854"/>
      <w:bookmarkStart w:id="120" w:name="_Toc514342848"/>
      <w:bookmarkStart w:id="121" w:name="_Toc480804396"/>
      <w:bookmarkStart w:id="122" w:name="_Toc8340"/>
      <w:bookmarkStart w:id="123" w:name="_Toc356380982"/>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5.1 车辆事故</w:t>
      </w:r>
      <w:bookmarkEnd w:id="118"/>
      <w:bookmarkEnd w:id="119"/>
      <w:bookmarkEnd w:id="120"/>
      <w:bookmarkEnd w:id="121"/>
      <w:bookmarkEnd w:id="122"/>
      <w:bookmarkEnd w:id="123"/>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车辆伤害事故的主要原因有</w:t>
      </w:r>
      <w:r>
        <w:rPr>
          <w:rFonts w:ascii="宋体" w:hAnsi="宋体"/>
          <w:snapToGrid w:val="0"/>
          <w:color w:val="auto"/>
          <w:kern w:val="0"/>
          <w:sz w:val="28"/>
          <w:szCs w:val="28"/>
        </w:rPr>
        <w:t>:</w:t>
      </w:r>
      <w:r>
        <w:rPr>
          <w:rFonts w:hint="eastAsia" w:ascii="宋体" w:hAnsi="宋体"/>
          <w:snapToGrid w:val="0"/>
          <w:color w:val="auto"/>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color w:val="auto"/>
          <w:kern w:val="0"/>
          <w:sz w:val="28"/>
          <w:szCs w:val="28"/>
        </w:rPr>
        <w:t>"</w:t>
      </w:r>
      <w:r>
        <w:rPr>
          <w:rFonts w:hint="eastAsia" w:ascii="宋体" w:hAnsi="宋体"/>
          <w:snapToGrid w:val="0"/>
          <w:color w:val="auto"/>
          <w:kern w:val="0"/>
          <w:sz w:val="28"/>
          <w:szCs w:val="28"/>
        </w:rPr>
        <w:t>突爆</w:t>
      </w:r>
      <w:r>
        <w:rPr>
          <w:rFonts w:ascii="宋体" w:hAnsi="宋体"/>
          <w:snapToGrid w:val="0"/>
          <w:color w:val="auto"/>
          <w:kern w:val="0"/>
          <w:sz w:val="28"/>
          <w:szCs w:val="28"/>
        </w:rPr>
        <w:t>"</w:t>
      </w:r>
      <w:r>
        <w:rPr>
          <w:rFonts w:hint="eastAsia" w:ascii="宋体" w:hAnsi="宋体"/>
          <w:snapToGrid w:val="0"/>
          <w:color w:val="auto"/>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color w:val="auto"/>
          <w:sz w:val="28"/>
          <w:szCs w:val="28"/>
        </w:rPr>
      </w:pPr>
      <w:r>
        <w:rPr>
          <w:rFonts w:hint="eastAsia"/>
          <w:color w:val="auto"/>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24" w:name="_Toc356380983"/>
      <w:bookmarkStart w:id="125" w:name="_Toc332350855"/>
      <w:bookmarkStart w:id="126" w:name="_Toc480804397"/>
      <w:bookmarkStart w:id="127" w:name="_Toc6880"/>
      <w:bookmarkStart w:id="128" w:name="_Toc356401494"/>
      <w:bookmarkStart w:id="129" w:name="_Toc514342849"/>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5.2 机械</w:t>
      </w:r>
      <w:bookmarkEnd w:id="124"/>
      <w:bookmarkEnd w:id="125"/>
      <w:r>
        <w:rPr>
          <w:rFonts w:hint="eastAsia" w:ascii="宋体" w:hAnsi="宋体"/>
          <w:b/>
          <w:snapToGrid w:val="0"/>
          <w:color w:val="auto"/>
          <w:kern w:val="0"/>
          <w:sz w:val="28"/>
          <w:szCs w:val="28"/>
        </w:rPr>
        <w:t>伤害</w:t>
      </w:r>
      <w:bookmarkEnd w:id="126"/>
      <w:bookmarkEnd w:id="127"/>
      <w:bookmarkEnd w:id="128"/>
      <w:bookmarkEnd w:id="129"/>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机械伤害事故是指机械设备运动</w:t>
      </w:r>
      <w:r>
        <w:rPr>
          <w:rFonts w:ascii="宋体" w:hAnsi="宋体"/>
          <w:snapToGrid w:val="0"/>
          <w:color w:val="auto"/>
          <w:kern w:val="0"/>
          <w:sz w:val="28"/>
          <w:szCs w:val="28"/>
        </w:rPr>
        <w:t>(</w:t>
      </w:r>
      <w:r>
        <w:rPr>
          <w:rFonts w:hint="eastAsia" w:ascii="宋体" w:hAnsi="宋体"/>
          <w:snapToGrid w:val="0"/>
          <w:color w:val="auto"/>
          <w:kern w:val="0"/>
          <w:sz w:val="28"/>
          <w:szCs w:val="28"/>
        </w:rPr>
        <w:t>静止</w:t>
      </w:r>
      <w:r>
        <w:rPr>
          <w:rFonts w:ascii="宋体" w:hAnsi="宋体"/>
          <w:snapToGrid w:val="0"/>
          <w:color w:val="auto"/>
          <w:kern w:val="0"/>
          <w:sz w:val="28"/>
          <w:szCs w:val="28"/>
        </w:rPr>
        <w:t>)</w:t>
      </w:r>
      <w:r>
        <w:rPr>
          <w:rFonts w:hint="eastAsia" w:ascii="宋体" w:hAnsi="宋体"/>
          <w:snapToGrid w:val="0"/>
          <w:color w:val="auto"/>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color w:val="auto"/>
          <w:kern w:val="0"/>
          <w:sz w:val="28"/>
          <w:szCs w:val="28"/>
        </w:rPr>
        <w:t>:</w:t>
      </w:r>
      <w:r>
        <w:rPr>
          <w:rFonts w:hint="eastAsia" w:ascii="宋体" w:hAnsi="宋体"/>
          <w:snapToGrid w:val="0"/>
          <w:color w:val="auto"/>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color w:val="auto"/>
          <w:kern w:val="0"/>
          <w:sz w:val="28"/>
          <w:szCs w:val="28"/>
        </w:rPr>
      </w:pPr>
      <w:r>
        <w:rPr>
          <w:rFonts w:hint="eastAsia" w:ascii="宋体" w:hAnsi="宋体"/>
          <w:snapToGrid w:val="0"/>
          <w:color w:val="auto"/>
          <w:kern w:val="0"/>
          <w:sz w:val="28"/>
          <w:szCs w:val="28"/>
        </w:rPr>
        <w:t>机械伤害的主要后果是造成人员伤亡，其次是对物件的损坏。</w:t>
      </w:r>
      <w:r>
        <w:rPr>
          <w:rFonts w:ascii="宋体" w:hAnsi="宋体"/>
          <w:bCs/>
          <w:snapToGrid w:val="0"/>
          <w:color w:val="auto"/>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color w:val="auto"/>
          <w:kern w:val="0"/>
          <w:sz w:val="28"/>
          <w:szCs w:val="28"/>
        </w:rPr>
      </w:pPr>
      <w:r>
        <w:rPr>
          <w:rFonts w:hint="eastAsia" w:ascii="宋体" w:hAnsi="宋体"/>
          <w:snapToGrid w:val="0"/>
          <w:color w:val="auto"/>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color w:val="auto"/>
          <w:kern w:val="0"/>
          <w:sz w:val="28"/>
          <w:szCs w:val="28"/>
        </w:rPr>
      </w:pPr>
      <w:bookmarkStart w:id="130" w:name="_Toc356401495"/>
      <w:bookmarkStart w:id="131" w:name="_Toc350781098"/>
      <w:bookmarkStart w:id="132" w:name="_Toc480804398"/>
      <w:bookmarkStart w:id="133" w:name="_Toc514342850"/>
      <w:bookmarkStart w:id="134" w:name="_Toc25855"/>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5.3</w:t>
      </w:r>
      <w:r>
        <w:rPr>
          <w:rFonts w:ascii="宋体" w:hAnsi="宋体"/>
          <w:b/>
          <w:snapToGrid w:val="0"/>
          <w:color w:val="auto"/>
          <w:kern w:val="0"/>
          <w:sz w:val="28"/>
          <w:szCs w:val="28"/>
        </w:rPr>
        <w:t xml:space="preserve"> 触电</w:t>
      </w:r>
      <w:r>
        <w:rPr>
          <w:rFonts w:hint="eastAsia" w:ascii="宋体" w:hAnsi="宋体"/>
          <w:b/>
          <w:snapToGrid w:val="0"/>
          <w:color w:val="auto"/>
          <w:kern w:val="0"/>
          <w:sz w:val="28"/>
          <w:szCs w:val="28"/>
        </w:rPr>
        <w:t>事故</w:t>
      </w:r>
      <w:bookmarkEnd w:id="130"/>
      <w:bookmarkEnd w:id="131"/>
      <w:bookmarkEnd w:id="132"/>
      <w:bookmarkEnd w:id="133"/>
      <w:bookmarkEnd w:id="134"/>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color w:val="auto"/>
          <w:kern w:val="0"/>
          <w:sz w:val="28"/>
          <w:szCs w:val="28"/>
        </w:rPr>
        <w:t>(</w:t>
      </w:r>
      <w:r>
        <w:rPr>
          <w:rFonts w:hint="eastAsia" w:ascii="宋体" w:hAnsi="宋体"/>
          <w:bCs/>
          <w:snapToGrid w:val="0"/>
          <w:color w:val="auto"/>
          <w:kern w:val="0"/>
          <w:sz w:val="28"/>
          <w:szCs w:val="28"/>
        </w:rPr>
        <w:t>如保护接零、漏电保护、安全电压等</w:t>
      </w:r>
      <w:r>
        <w:rPr>
          <w:rFonts w:ascii="宋体" w:hAnsi="宋体"/>
          <w:bCs/>
          <w:snapToGrid w:val="0"/>
          <w:color w:val="auto"/>
          <w:kern w:val="0"/>
          <w:sz w:val="28"/>
          <w:szCs w:val="28"/>
        </w:rPr>
        <w:t>)</w:t>
      </w:r>
      <w:r>
        <w:rPr>
          <w:rFonts w:hint="eastAsia" w:ascii="宋体" w:hAnsi="宋体"/>
          <w:bCs/>
          <w:snapToGrid w:val="0"/>
          <w:color w:val="auto"/>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可能存在的触电场所有</w:t>
      </w:r>
      <w:r>
        <w:rPr>
          <w:rFonts w:ascii="宋体" w:hAnsi="宋体"/>
          <w:bCs/>
          <w:snapToGrid w:val="0"/>
          <w:color w:val="auto"/>
          <w:kern w:val="0"/>
          <w:sz w:val="28"/>
          <w:szCs w:val="28"/>
        </w:rPr>
        <w:t>:</w:t>
      </w:r>
      <w:r>
        <w:rPr>
          <w:rFonts w:hint="eastAsia" w:ascii="宋体" w:hAnsi="宋体"/>
          <w:bCs/>
          <w:snapToGrid w:val="0"/>
          <w:color w:val="auto"/>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color w:val="auto"/>
          <w:kern w:val="0"/>
          <w:sz w:val="28"/>
          <w:szCs w:val="28"/>
        </w:rPr>
      </w:pPr>
      <w:r>
        <w:rPr>
          <w:rFonts w:hint="eastAsia" w:ascii="宋体" w:hAnsi="宋体"/>
          <w:bCs/>
          <w:snapToGrid w:val="0"/>
          <w:color w:val="auto"/>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color w:val="auto"/>
          <w:kern w:val="0"/>
          <w:sz w:val="28"/>
          <w:szCs w:val="28"/>
        </w:rPr>
      </w:pPr>
      <w:bookmarkStart w:id="135" w:name="_Toc514342851"/>
      <w:bookmarkStart w:id="136" w:name="_Toc480804399"/>
      <w:bookmarkStart w:id="137" w:name="_Toc21514"/>
      <w:bookmarkStart w:id="138" w:name="_Toc332350857"/>
      <w:bookmarkStart w:id="139" w:name="_Toc356380985"/>
      <w:bookmarkStart w:id="140" w:name="_Toc356401496"/>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5.4 高处坠落</w:t>
      </w:r>
      <w:bookmarkEnd w:id="135"/>
      <w:bookmarkEnd w:id="136"/>
      <w:bookmarkEnd w:id="137"/>
      <w:bookmarkEnd w:id="138"/>
      <w:bookmarkEnd w:id="139"/>
      <w:bookmarkEnd w:id="140"/>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高处坠落指在高处作业中发生坠落造成的伤亡事故，不包括触电坠落事故。</w:t>
      </w:r>
      <w:r>
        <w:rPr>
          <w:rFonts w:ascii="宋体" w:hAnsi="宋体"/>
          <w:bCs/>
          <w:snapToGrid w:val="0"/>
          <w:color w:val="auto"/>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高处坠落造成的事故的后果是人员伤亡和设备损坏。</w:t>
      </w:r>
    </w:p>
    <w:bookmarkEnd w:id="66"/>
    <w:p>
      <w:pPr>
        <w:pStyle w:val="8"/>
        <w:spacing w:line="360" w:lineRule="auto"/>
        <w:ind w:firstLine="0" w:firstLineChars="0"/>
        <w:outlineLvl w:val="2"/>
        <w:rPr>
          <w:rFonts w:ascii="宋体" w:hAnsi="宋体"/>
          <w:b/>
          <w:snapToGrid w:val="0"/>
          <w:color w:val="auto"/>
          <w:kern w:val="0"/>
          <w:sz w:val="28"/>
          <w:szCs w:val="28"/>
        </w:rPr>
      </w:pPr>
      <w:bookmarkStart w:id="141" w:name="_Toc350781096"/>
      <w:bookmarkStart w:id="142" w:name="_Toc514342852"/>
      <w:bookmarkStart w:id="143" w:name="_Toc356401497"/>
      <w:bookmarkStart w:id="144" w:name="_Toc480804400"/>
      <w:bookmarkStart w:id="145" w:name="_Toc30056"/>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5</w:t>
      </w:r>
      <w:r>
        <w:rPr>
          <w:rFonts w:ascii="宋体" w:hAnsi="宋体"/>
          <w:b/>
          <w:snapToGrid w:val="0"/>
          <w:color w:val="auto"/>
          <w:kern w:val="0"/>
          <w:sz w:val="28"/>
          <w:szCs w:val="28"/>
        </w:rPr>
        <w:t xml:space="preserve"> 物体打击</w:t>
      </w:r>
      <w:bookmarkEnd w:id="141"/>
      <w:bookmarkEnd w:id="142"/>
      <w:bookmarkEnd w:id="143"/>
      <w:bookmarkEnd w:id="144"/>
      <w:bookmarkEnd w:id="145"/>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造成物体打击的主要原因有</w:t>
      </w:r>
      <w:r>
        <w:rPr>
          <w:rFonts w:ascii="宋体" w:hAnsi="宋体"/>
          <w:snapToGrid w:val="0"/>
          <w:color w:val="auto"/>
          <w:kern w:val="0"/>
          <w:sz w:val="28"/>
          <w:szCs w:val="28"/>
        </w:rPr>
        <w:t>:</w:t>
      </w:r>
      <w:r>
        <w:rPr>
          <w:rFonts w:hint="eastAsia" w:ascii="宋体" w:hAnsi="宋体"/>
          <w:snapToGrid w:val="0"/>
          <w:color w:val="auto"/>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46" w:name="_Toc350781100"/>
      <w:bookmarkStart w:id="147" w:name="_Toc480804401"/>
      <w:bookmarkStart w:id="148" w:name="_Toc514342853"/>
      <w:bookmarkStart w:id="149" w:name="_Toc451"/>
      <w:bookmarkStart w:id="150" w:name="_Toc356401498"/>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5.6 火灾</w:t>
      </w:r>
      <w:bookmarkEnd w:id="146"/>
      <w:r>
        <w:rPr>
          <w:rFonts w:hint="eastAsia" w:ascii="宋体" w:hAnsi="宋体"/>
          <w:b/>
          <w:snapToGrid w:val="0"/>
          <w:color w:val="auto"/>
          <w:kern w:val="0"/>
          <w:sz w:val="28"/>
          <w:szCs w:val="28"/>
        </w:rPr>
        <w:t>事故</w:t>
      </w:r>
      <w:bookmarkEnd w:id="147"/>
      <w:bookmarkEnd w:id="148"/>
      <w:bookmarkEnd w:id="149"/>
      <w:bookmarkEnd w:id="150"/>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火灾是指企业内所发生的火灾。</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①明火</w:t>
      </w:r>
      <w:r>
        <w:rPr>
          <w:rFonts w:ascii="宋体" w:hAnsi="宋体"/>
          <w:snapToGrid w:val="0"/>
          <w:color w:val="auto"/>
          <w:kern w:val="0"/>
          <w:sz w:val="28"/>
          <w:szCs w:val="28"/>
        </w:rPr>
        <w:t>(</w:t>
      </w:r>
      <w:r>
        <w:rPr>
          <w:rFonts w:hint="eastAsia" w:ascii="宋体" w:hAnsi="宋体"/>
          <w:snapToGrid w:val="0"/>
          <w:color w:val="auto"/>
          <w:kern w:val="0"/>
          <w:sz w:val="28"/>
          <w:szCs w:val="28"/>
        </w:rPr>
        <w:t>包括火柴点火、吸烟、电焊、气焊、明火灯等</w:t>
      </w:r>
      <w:r>
        <w:rPr>
          <w:rFonts w:ascii="宋体" w:hAnsi="宋体"/>
          <w:snapToGrid w:val="0"/>
          <w:color w:val="auto"/>
          <w:kern w:val="0"/>
          <w:sz w:val="28"/>
          <w:szCs w:val="28"/>
        </w:rPr>
        <w:t>)</w:t>
      </w:r>
      <w:r>
        <w:rPr>
          <w:rFonts w:hint="eastAsia" w:ascii="宋体" w:hAnsi="宋体"/>
          <w:snapToGrid w:val="0"/>
          <w:color w:val="auto"/>
          <w:kern w:val="0"/>
          <w:sz w:val="28"/>
          <w:szCs w:val="28"/>
        </w:rPr>
        <w:t>所引燃；②油料</w:t>
      </w:r>
      <w:r>
        <w:rPr>
          <w:rFonts w:ascii="宋体" w:hAnsi="宋体"/>
          <w:snapToGrid w:val="0"/>
          <w:color w:val="auto"/>
          <w:kern w:val="0"/>
          <w:sz w:val="28"/>
          <w:szCs w:val="28"/>
        </w:rPr>
        <w:t>(</w:t>
      </w:r>
      <w:r>
        <w:rPr>
          <w:rFonts w:hint="eastAsia" w:ascii="宋体" w:hAnsi="宋体"/>
          <w:snapToGrid w:val="0"/>
          <w:color w:val="auto"/>
          <w:kern w:val="0"/>
          <w:sz w:val="28"/>
          <w:szCs w:val="28"/>
        </w:rPr>
        <w:t>润滑油、变压器油、液压设备用油、柴油设备用油、维修设备用油等</w:t>
      </w:r>
      <w:r>
        <w:rPr>
          <w:rFonts w:ascii="宋体" w:hAnsi="宋体"/>
          <w:snapToGrid w:val="0"/>
          <w:color w:val="auto"/>
          <w:kern w:val="0"/>
          <w:sz w:val="28"/>
          <w:szCs w:val="28"/>
        </w:rPr>
        <w:t>)</w:t>
      </w:r>
      <w:r>
        <w:rPr>
          <w:rFonts w:hint="eastAsia" w:ascii="宋体" w:hAnsi="宋体"/>
          <w:snapToGrid w:val="0"/>
          <w:color w:val="auto"/>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color w:val="auto"/>
          <w:kern w:val="0"/>
          <w:sz w:val="28"/>
          <w:szCs w:val="28"/>
        </w:rPr>
        <w:t>(</w:t>
      </w:r>
      <w:r>
        <w:rPr>
          <w:rFonts w:hint="eastAsia" w:ascii="宋体" w:hAnsi="宋体"/>
          <w:snapToGrid w:val="0"/>
          <w:color w:val="auto"/>
          <w:kern w:val="0"/>
          <w:sz w:val="28"/>
          <w:szCs w:val="28"/>
        </w:rPr>
        <w:t>片</w:t>
      </w:r>
      <w:r>
        <w:rPr>
          <w:rFonts w:ascii="宋体" w:hAnsi="宋体"/>
          <w:snapToGrid w:val="0"/>
          <w:color w:val="auto"/>
          <w:kern w:val="0"/>
          <w:sz w:val="28"/>
          <w:szCs w:val="28"/>
        </w:rPr>
        <w:t>)</w:t>
      </w:r>
      <w:r>
        <w:rPr>
          <w:rFonts w:hint="eastAsia" w:ascii="宋体" w:hAnsi="宋体"/>
          <w:snapToGrid w:val="0"/>
          <w:color w:val="auto"/>
          <w:kern w:val="0"/>
          <w:sz w:val="28"/>
          <w:szCs w:val="28"/>
        </w:rPr>
        <w:t>选用不当，使用铜丝、铝线代替保险丝；⑤油开关及配电箱内油料着火</w:t>
      </w:r>
      <w:r>
        <w:rPr>
          <w:rFonts w:ascii="宋体" w:hAnsi="宋体"/>
          <w:snapToGrid w:val="0"/>
          <w:color w:val="auto"/>
          <w:kern w:val="0"/>
          <w:sz w:val="28"/>
          <w:szCs w:val="28"/>
        </w:rPr>
        <w:t>;</w:t>
      </w:r>
      <w:r>
        <w:rPr>
          <w:rFonts w:hint="eastAsia" w:ascii="宋体" w:hAnsi="宋体"/>
          <w:snapToGrid w:val="0"/>
          <w:color w:val="auto"/>
          <w:kern w:val="0"/>
          <w:sz w:val="28"/>
          <w:szCs w:val="28"/>
        </w:rPr>
        <w:t>⑥机械作用</w:t>
      </w:r>
      <w:r>
        <w:rPr>
          <w:rFonts w:ascii="宋体" w:hAnsi="宋体"/>
          <w:snapToGrid w:val="0"/>
          <w:color w:val="auto"/>
          <w:kern w:val="0"/>
          <w:sz w:val="28"/>
          <w:szCs w:val="28"/>
        </w:rPr>
        <w:t>(</w:t>
      </w:r>
      <w:r>
        <w:rPr>
          <w:rFonts w:hint="eastAsia" w:ascii="宋体" w:hAnsi="宋体"/>
          <w:snapToGrid w:val="0"/>
          <w:color w:val="auto"/>
          <w:kern w:val="0"/>
          <w:sz w:val="28"/>
          <w:szCs w:val="28"/>
        </w:rPr>
        <w:t>包括摩擦、震动冲击等</w:t>
      </w:r>
      <w:r>
        <w:rPr>
          <w:rFonts w:ascii="宋体" w:hAnsi="宋体"/>
          <w:snapToGrid w:val="0"/>
          <w:color w:val="auto"/>
          <w:kern w:val="0"/>
          <w:sz w:val="28"/>
          <w:szCs w:val="28"/>
        </w:rPr>
        <w:t>)</w:t>
      </w:r>
      <w:r>
        <w:rPr>
          <w:rFonts w:hint="eastAsia" w:ascii="宋体" w:hAnsi="宋体"/>
          <w:snapToGrid w:val="0"/>
          <w:color w:val="auto"/>
          <w:kern w:val="0"/>
          <w:sz w:val="28"/>
          <w:szCs w:val="28"/>
        </w:rPr>
        <w:t>所引起。</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51" w:name="_Toc413834088"/>
      <w:bookmarkStart w:id="152" w:name="_Toc496016651"/>
      <w:bookmarkStart w:id="153" w:name="_Toc359225364"/>
      <w:bookmarkStart w:id="154" w:name="_Toc6018"/>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w:t>
      </w:r>
      <w:r>
        <w:rPr>
          <w:rFonts w:hint="eastAsia" w:ascii="宋体" w:hAnsi="宋体"/>
          <w:b/>
          <w:snapToGrid w:val="0"/>
          <w:color w:val="auto"/>
          <w:kern w:val="0"/>
          <w:sz w:val="28"/>
          <w:szCs w:val="28"/>
          <w:lang w:val="en-US" w:eastAsia="zh-CN"/>
        </w:rPr>
        <w:t>7 坍塌</w:t>
      </w:r>
      <w:bookmarkEnd w:id="151"/>
      <w:bookmarkEnd w:id="152"/>
      <w:bookmarkEnd w:id="153"/>
      <w:bookmarkEnd w:id="154"/>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55" w:name="_Toc16707"/>
      <w:r>
        <w:rPr>
          <w:rFonts w:hint="eastAsia" w:ascii="宋体" w:hAnsi="宋体"/>
          <w:b/>
          <w:snapToGrid w:val="0"/>
          <w:color w:val="auto"/>
          <w:kern w:val="0"/>
          <w:sz w:val="28"/>
          <w:szCs w:val="28"/>
          <w:lang w:val="en-US" w:eastAsia="zh-CN"/>
        </w:rPr>
        <w:t>3.5.8中毒窒息</w:t>
      </w:r>
      <w:bookmarkEnd w:id="155"/>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可能存在的</w:t>
      </w: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场所有:砖窑</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56" w:name="_Toc332350852"/>
      <w:bookmarkStart w:id="157" w:name="_Toc481870967"/>
      <w:bookmarkStart w:id="158" w:name="_Toc28849"/>
      <w:bookmarkStart w:id="159" w:name="_Toc499478606"/>
      <w:bookmarkStart w:id="160" w:name="_Toc511994834"/>
      <w:bookmarkStart w:id="161" w:name="_Toc515659445"/>
      <w:r>
        <w:rPr>
          <w:rFonts w:hint="eastAsia" w:ascii="宋体" w:hAnsi="宋体"/>
          <w:b/>
          <w:snapToGrid w:val="0"/>
          <w:color w:val="auto"/>
          <w:kern w:val="0"/>
          <w:sz w:val="28"/>
          <w:szCs w:val="28"/>
          <w:lang w:val="en-US" w:eastAsia="zh-CN"/>
        </w:rPr>
        <w:t>3.5.9高温</w:t>
      </w:r>
      <w:bookmarkEnd w:id="156"/>
      <w:bookmarkEnd w:id="157"/>
      <w:r>
        <w:rPr>
          <w:rFonts w:hint="eastAsia" w:ascii="宋体" w:hAnsi="宋体"/>
          <w:b/>
          <w:snapToGrid w:val="0"/>
          <w:color w:val="auto"/>
          <w:kern w:val="0"/>
          <w:sz w:val="28"/>
          <w:szCs w:val="28"/>
          <w:lang w:val="en-US" w:eastAsia="zh-CN"/>
        </w:rPr>
        <w:t>灼烫</w:t>
      </w:r>
      <w:bookmarkEnd w:id="158"/>
      <w:bookmarkEnd w:id="159"/>
      <w:bookmarkEnd w:id="160"/>
      <w:bookmarkEnd w:id="161"/>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62" w:name="_Toc468870614"/>
      <w:bookmarkStart w:id="163" w:name="_Toc511994833"/>
      <w:bookmarkStart w:id="164" w:name="_Toc21317"/>
      <w:bookmarkStart w:id="165" w:name="_Toc515659444"/>
      <w:r>
        <w:rPr>
          <w:rFonts w:hint="eastAsia" w:ascii="宋体" w:hAnsi="宋体"/>
          <w:b/>
          <w:snapToGrid w:val="0"/>
          <w:color w:val="auto"/>
          <w:kern w:val="0"/>
          <w:sz w:val="28"/>
          <w:szCs w:val="28"/>
          <w:lang w:val="en-US" w:eastAsia="zh-CN"/>
        </w:rPr>
        <w:t>3.5.10容器爆炸</w:t>
      </w:r>
      <w:bookmarkEnd w:id="162"/>
      <w:bookmarkEnd w:id="163"/>
      <w:bookmarkEnd w:id="164"/>
      <w:bookmarkEnd w:id="165"/>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(1) 由于设计制造不当造成设备的质量不符合有关规范要求，在运行时发生爆裂，其爆裂的形式有：</w:t>
      </w:r>
      <w:r>
        <w:rPr>
          <w:rFonts w:hint="eastAsia" w:ascii="宋体" w:hAnsi="宋体"/>
          <w:snapToGrid w:val="0"/>
          <w:color w:val="auto"/>
          <w:kern w:val="0"/>
          <w:sz w:val="28"/>
          <w:szCs w:val="28"/>
          <w:lang w:eastAsia="zh-CN"/>
        </w:rPr>
        <w:fldChar w:fldCharType="begin"/>
      </w:r>
      <w:r>
        <w:rPr>
          <w:rFonts w:hint="eastAsia" w:ascii="宋体" w:hAnsi="宋体"/>
          <w:snapToGrid w:val="0"/>
          <w:color w:val="auto"/>
          <w:kern w:val="0"/>
          <w:sz w:val="28"/>
          <w:szCs w:val="28"/>
          <w:lang w:eastAsia="zh-CN"/>
        </w:rPr>
        <w:instrText xml:space="preserve"> = 1 \* GB3 </w:instrText>
      </w:r>
      <w:r>
        <w:rPr>
          <w:rFonts w:hint="eastAsia" w:ascii="宋体" w:hAnsi="宋体"/>
          <w:snapToGrid w:val="0"/>
          <w:color w:val="auto"/>
          <w:kern w:val="0"/>
          <w:sz w:val="28"/>
          <w:szCs w:val="28"/>
          <w:lang w:eastAsia="zh-CN"/>
        </w:rPr>
        <w:fldChar w:fldCharType="separate"/>
      </w:r>
      <w:r>
        <w:rPr>
          <w:rFonts w:hint="eastAsia" w:ascii="宋体" w:hAnsi="宋体"/>
          <w:snapToGrid w:val="0"/>
          <w:color w:val="auto"/>
          <w:kern w:val="0"/>
          <w:sz w:val="28"/>
          <w:szCs w:val="28"/>
          <w:lang w:eastAsia="zh-CN"/>
        </w:rPr>
        <w:t>①</w:t>
      </w:r>
      <w:r>
        <w:rPr>
          <w:rFonts w:hint="eastAsia" w:ascii="宋体" w:hAnsi="宋体"/>
          <w:snapToGrid w:val="0"/>
          <w:color w:val="auto"/>
          <w:kern w:val="0"/>
          <w:sz w:val="28"/>
          <w:szCs w:val="28"/>
          <w:lang w:eastAsia="zh-CN"/>
        </w:rPr>
        <w:fldChar w:fldCharType="end"/>
      </w:r>
      <w:r>
        <w:rPr>
          <w:rFonts w:hint="eastAsia" w:ascii="宋体" w:hAnsi="宋体"/>
          <w:snapToGrid w:val="0"/>
          <w:color w:val="auto"/>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color w:val="auto"/>
          <w:kern w:val="0"/>
          <w:sz w:val="28"/>
          <w:szCs w:val="28"/>
          <w:lang w:eastAsia="zh-CN"/>
        </w:rPr>
        <w:fldChar w:fldCharType="begin"/>
      </w:r>
      <w:r>
        <w:rPr>
          <w:rFonts w:hint="eastAsia" w:ascii="宋体" w:hAnsi="宋体"/>
          <w:snapToGrid w:val="0"/>
          <w:color w:val="auto"/>
          <w:kern w:val="0"/>
          <w:sz w:val="28"/>
          <w:szCs w:val="28"/>
          <w:lang w:eastAsia="zh-CN"/>
        </w:rPr>
        <w:instrText xml:space="preserve"> = 2 \* GB3 </w:instrText>
      </w:r>
      <w:r>
        <w:rPr>
          <w:rFonts w:hint="eastAsia" w:ascii="宋体" w:hAnsi="宋体"/>
          <w:snapToGrid w:val="0"/>
          <w:color w:val="auto"/>
          <w:kern w:val="0"/>
          <w:sz w:val="28"/>
          <w:szCs w:val="28"/>
          <w:lang w:eastAsia="zh-CN"/>
        </w:rPr>
        <w:fldChar w:fldCharType="separate"/>
      </w:r>
      <w:r>
        <w:rPr>
          <w:rFonts w:hint="eastAsia" w:ascii="宋体" w:hAnsi="宋体"/>
          <w:snapToGrid w:val="0"/>
          <w:color w:val="auto"/>
          <w:kern w:val="0"/>
          <w:sz w:val="28"/>
          <w:szCs w:val="28"/>
          <w:lang w:eastAsia="zh-CN"/>
        </w:rPr>
        <w:t>②</w:t>
      </w:r>
      <w:r>
        <w:rPr>
          <w:rFonts w:hint="eastAsia" w:ascii="宋体" w:hAnsi="宋体"/>
          <w:snapToGrid w:val="0"/>
          <w:color w:val="auto"/>
          <w:kern w:val="0"/>
          <w:sz w:val="28"/>
          <w:szCs w:val="28"/>
          <w:lang w:eastAsia="zh-CN"/>
        </w:rPr>
        <w:fldChar w:fldCharType="end"/>
      </w:r>
      <w:r>
        <w:rPr>
          <w:rFonts w:hint="eastAsia" w:ascii="宋体" w:hAnsi="宋体"/>
          <w:snapToGrid w:val="0"/>
          <w:color w:val="auto"/>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color w:val="auto"/>
          <w:kern w:val="0"/>
          <w:sz w:val="28"/>
          <w:szCs w:val="28"/>
          <w:lang w:eastAsia="zh-CN"/>
        </w:rPr>
        <w:fldChar w:fldCharType="begin"/>
      </w:r>
      <w:r>
        <w:rPr>
          <w:rFonts w:hint="eastAsia" w:ascii="宋体" w:hAnsi="宋体"/>
          <w:snapToGrid w:val="0"/>
          <w:color w:val="auto"/>
          <w:kern w:val="0"/>
          <w:sz w:val="28"/>
          <w:szCs w:val="28"/>
          <w:lang w:eastAsia="zh-CN"/>
        </w:rPr>
        <w:instrText xml:space="preserve"> = 3 \* GB3 </w:instrText>
      </w:r>
      <w:r>
        <w:rPr>
          <w:rFonts w:hint="eastAsia" w:ascii="宋体" w:hAnsi="宋体"/>
          <w:snapToGrid w:val="0"/>
          <w:color w:val="auto"/>
          <w:kern w:val="0"/>
          <w:sz w:val="28"/>
          <w:szCs w:val="28"/>
          <w:lang w:eastAsia="zh-CN"/>
        </w:rPr>
        <w:fldChar w:fldCharType="separate"/>
      </w:r>
      <w:r>
        <w:rPr>
          <w:rFonts w:hint="eastAsia" w:ascii="宋体" w:hAnsi="宋体"/>
          <w:snapToGrid w:val="0"/>
          <w:color w:val="auto"/>
          <w:kern w:val="0"/>
          <w:sz w:val="28"/>
          <w:szCs w:val="28"/>
          <w:lang w:eastAsia="zh-CN"/>
        </w:rPr>
        <w:t>③</w:t>
      </w:r>
      <w:r>
        <w:rPr>
          <w:rFonts w:hint="eastAsia" w:ascii="宋体" w:hAnsi="宋体"/>
          <w:snapToGrid w:val="0"/>
          <w:color w:val="auto"/>
          <w:kern w:val="0"/>
          <w:sz w:val="28"/>
          <w:szCs w:val="28"/>
          <w:lang w:eastAsia="zh-CN"/>
        </w:rPr>
        <w:fldChar w:fldCharType="end"/>
      </w:r>
      <w:r>
        <w:rPr>
          <w:rFonts w:hint="eastAsia" w:ascii="宋体" w:hAnsi="宋体"/>
          <w:snapToGrid w:val="0"/>
          <w:color w:val="auto"/>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color w:val="auto"/>
          <w:kern w:val="0"/>
          <w:sz w:val="28"/>
          <w:szCs w:val="28"/>
          <w:lang w:eastAsia="zh-CN"/>
        </w:rPr>
        <w:fldChar w:fldCharType="begin"/>
      </w:r>
      <w:r>
        <w:rPr>
          <w:rFonts w:hint="eastAsia" w:ascii="宋体" w:hAnsi="宋体"/>
          <w:snapToGrid w:val="0"/>
          <w:color w:val="auto"/>
          <w:kern w:val="0"/>
          <w:sz w:val="28"/>
          <w:szCs w:val="28"/>
          <w:lang w:eastAsia="zh-CN"/>
        </w:rPr>
        <w:instrText xml:space="preserve"> = 4 \* GB3 </w:instrText>
      </w:r>
      <w:r>
        <w:rPr>
          <w:rFonts w:hint="eastAsia" w:ascii="宋体" w:hAnsi="宋体"/>
          <w:snapToGrid w:val="0"/>
          <w:color w:val="auto"/>
          <w:kern w:val="0"/>
          <w:sz w:val="28"/>
          <w:szCs w:val="28"/>
          <w:lang w:eastAsia="zh-CN"/>
        </w:rPr>
        <w:fldChar w:fldCharType="separate"/>
      </w:r>
      <w:r>
        <w:rPr>
          <w:rFonts w:hint="eastAsia" w:ascii="宋体" w:hAnsi="宋体"/>
          <w:snapToGrid w:val="0"/>
          <w:color w:val="auto"/>
          <w:kern w:val="0"/>
          <w:sz w:val="28"/>
          <w:szCs w:val="28"/>
          <w:lang w:eastAsia="zh-CN"/>
        </w:rPr>
        <w:t>④</w:t>
      </w:r>
      <w:r>
        <w:rPr>
          <w:rFonts w:hint="eastAsia" w:ascii="宋体" w:hAnsi="宋体"/>
          <w:snapToGrid w:val="0"/>
          <w:color w:val="auto"/>
          <w:kern w:val="0"/>
          <w:sz w:val="28"/>
          <w:szCs w:val="28"/>
          <w:lang w:eastAsia="zh-CN"/>
        </w:rPr>
        <w:fldChar w:fldCharType="end"/>
      </w:r>
      <w:r>
        <w:rPr>
          <w:rFonts w:hint="eastAsia" w:ascii="宋体" w:hAnsi="宋体"/>
          <w:snapToGrid w:val="0"/>
          <w:color w:val="auto"/>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66" w:name="_Toc515657141"/>
      <w:bookmarkStart w:id="167" w:name="_Toc13345"/>
      <w:bookmarkStart w:id="168" w:name="_Toc515659448"/>
      <w:bookmarkStart w:id="169" w:name="_Toc511994836"/>
      <w:r>
        <w:rPr>
          <w:rFonts w:hint="eastAsia" w:ascii="宋体" w:hAnsi="宋体"/>
          <w:b/>
          <w:snapToGrid w:val="0"/>
          <w:color w:val="auto"/>
          <w:kern w:val="0"/>
          <w:sz w:val="28"/>
          <w:szCs w:val="28"/>
          <w:lang w:val="en-US" w:eastAsia="zh-CN"/>
        </w:rPr>
        <w:t>3.5.11有限空间作业</w:t>
      </w:r>
      <w:bookmarkEnd w:id="166"/>
      <w:bookmarkEnd w:id="167"/>
      <w:bookmarkEnd w:id="168"/>
      <w:bookmarkEnd w:id="169"/>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snapToGrid w:val="0"/>
          <w:color w:val="auto"/>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color w:val="auto"/>
          <w:kern w:val="0"/>
          <w:sz w:val="28"/>
          <w:szCs w:val="28"/>
        </w:rPr>
      </w:pPr>
      <w:bookmarkStart w:id="170" w:name="_Toc480804402"/>
      <w:bookmarkStart w:id="171" w:name="_Toc514342854"/>
      <w:bookmarkStart w:id="172" w:name="_Toc350781101"/>
      <w:bookmarkStart w:id="173" w:name="_Toc356401499"/>
      <w:bookmarkStart w:id="174" w:name="_Toc9778"/>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lang w:val="en-US" w:eastAsia="zh-CN"/>
        </w:rPr>
        <w:t>12</w:t>
      </w:r>
      <w:r>
        <w:rPr>
          <w:rFonts w:ascii="宋体" w:hAnsi="宋体"/>
          <w:b/>
          <w:snapToGrid w:val="0"/>
          <w:color w:val="auto"/>
          <w:kern w:val="0"/>
          <w:sz w:val="28"/>
          <w:szCs w:val="28"/>
        </w:rPr>
        <w:t xml:space="preserve"> </w:t>
      </w:r>
      <w:r>
        <w:rPr>
          <w:rFonts w:hint="eastAsia" w:ascii="宋体" w:hAnsi="宋体"/>
          <w:b/>
          <w:snapToGrid w:val="0"/>
          <w:color w:val="auto"/>
          <w:kern w:val="0"/>
          <w:sz w:val="28"/>
          <w:szCs w:val="28"/>
        </w:rPr>
        <w:t>职业</w:t>
      </w:r>
      <w:r>
        <w:rPr>
          <w:rFonts w:ascii="宋体" w:hAnsi="宋体"/>
          <w:b/>
          <w:snapToGrid w:val="0"/>
          <w:color w:val="auto"/>
          <w:kern w:val="0"/>
          <w:sz w:val="28"/>
          <w:szCs w:val="28"/>
        </w:rPr>
        <w:t>危害</w:t>
      </w:r>
      <w:r>
        <w:rPr>
          <w:rFonts w:hint="eastAsia" w:ascii="宋体" w:hAnsi="宋体"/>
          <w:b/>
          <w:snapToGrid w:val="0"/>
          <w:color w:val="auto"/>
          <w:kern w:val="0"/>
          <w:sz w:val="28"/>
          <w:szCs w:val="28"/>
        </w:rPr>
        <w:t>因素</w:t>
      </w:r>
      <w:bookmarkEnd w:id="170"/>
      <w:bookmarkEnd w:id="171"/>
      <w:bookmarkEnd w:id="172"/>
      <w:bookmarkEnd w:id="173"/>
      <w:bookmarkEnd w:id="174"/>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75" w:name="_Toc18111"/>
      <w:bookmarkStart w:id="176" w:name="_Toc496016659"/>
      <w:bookmarkStart w:id="177" w:name="_Toc359225372"/>
      <w:bookmarkStart w:id="178" w:name="_Toc413834096"/>
      <w:r>
        <w:rPr>
          <w:rFonts w:hint="eastAsia" w:ascii="宋体" w:hAnsi="宋体"/>
          <w:b/>
          <w:snapToGrid w:val="0"/>
          <w:color w:val="auto"/>
          <w:kern w:val="0"/>
          <w:sz w:val="28"/>
          <w:szCs w:val="28"/>
          <w:lang w:val="en-US" w:eastAsia="zh-CN"/>
        </w:rPr>
        <w:t>3.5.13 自然灾害</w:t>
      </w:r>
      <w:bookmarkEnd w:id="175"/>
      <w:bookmarkEnd w:id="176"/>
      <w:bookmarkEnd w:id="177"/>
      <w:bookmarkEnd w:id="178"/>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color w:val="auto"/>
          <w:kern w:val="0"/>
          <w:sz w:val="32"/>
          <w:szCs w:val="32"/>
        </w:rPr>
      </w:pPr>
      <w:bookmarkStart w:id="179" w:name="_Toc304291284"/>
      <w:bookmarkStart w:id="180" w:name="_Toc325528024"/>
      <w:bookmarkStart w:id="181" w:name="_Toc514342856"/>
      <w:bookmarkStart w:id="182" w:name="_Toc484594602"/>
      <w:bookmarkStart w:id="183" w:name="_Toc303340324"/>
      <w:bookmarkStart w:id="184" w:name="_Toc8904"/>
      <w:r>
        <w:rPr>
          <w:rFonts w:hint="eastAsia" w:ascii="黑体" w:hAnsi="宋体" w:eastAsia="黑体"/>
          <w:b/>
          <w:snapToGrid w:val="0"/>
          <w:color w:val="auto"/>
          <w:kern w:val="0"/>
          <w:sz w:val="32"/>
          <w:szCs w:val="32"/>
          <w:lang w:val="en-US" w:eastAsia="zh-CN"/>
        </w:rPr>
        <w:t>3</w:t>
      </w:r>
      <w:r>
        <w:rPr>
          <w:rFonts w:hint="eastAsia" w:ascii="黑体" w:hAnsi="宋体" w:eastAsia="黑体"/>
          <w:b/>
          <w:snapToGrid w:val="0"/>
          <w:color w:val="auto"/>
          <w:kern w:val="0"/>
          <w:sz w:val="32"/>
          <w:szCs w:val="32"/>
          <w:lang w:eastAsia="zh-CN"/>
        </w:rPr>
        <w:t>.</w:t>
      </w:r>
      <w:r>
        <w:rPr>
          <w:rFonts w:hint="eastAsia" w:ascii="黑体" w:hAnsi="宋体" w:eastAsia="黑体"/>
          <w:b/>
          <w:snapToGrid w:val="0"/>
          <w:color w:val="auto"/>
          <w:kern w:val="0"/>
          <w:sz w:val="32"/>
          <w:szCs w:val="32"/>
        </w:rPr>
        <w:t>6 厂址安全条件的危险、有害因素辨识与分析</w:t>
      </w:r>
      <w:bookmarkEnd w:id="179"/>
      <w:bookmarkEnd w:id="180"/>
      <w:bookmarkEnd w:id="181"/>
      <w:bookmarkEnd w:id="182"/>
      <w:bookmarkEnd w:id="183"/>
      <w:bookmarkEnd w:id="184"/>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color w:val="auto"/>
          <w:kern w:val="0"/>
          <w:sz w:val="28"/>
          <w:szCs w:val="28"/>
        </w:rPr>
      </w:pPr>
      <w:r>
        <w:rPr>
          <w:rFonts w:ascii="宋体" w:hAnsi="宋体"/>
          <w:snapToGrid w:val="0"/>
          <w:color w:val="auto"/>
          <w:kern w:val="0"/>
          <w:sz w:val="28"/>
          <w:szCs w:val="28"/>
        </w:rPr>
        <w:t>本工程厂址周围无大型重要公共建筑设施</w:t>
      </w:r>
      <w:r>
        <w:rPr>
          <w:rFonts w:hint="eastAsia" w:ascii="宋体" w:hAnsi="宋体"/>
          <w:snapToGrid w:val="0"/>
          <w:color w:val="auto"/>
          <w:kern w:val="0"/>
          <w:sz w:val="28"/>
          <w:szCs w:val="28"/>
        </w:rPr>
        <w:t>，</w:t>
      </w:r>
      <w:r>
        <w:rPr>
          <w:rFonts w:ascii="宋体" w:hAnsi="宋体"/>
          <w:snapToGrid w:val="0"/>
          <w:color w:val="auto"/>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color w:val="auto"/>
          <w:kern w:val="0"/>
          <w:sz w:val="28"/>
          <w:szCs w:val="28"/>
        </w:rPr>
        <w:t>，</w:t>
      </w:r>
      <w:r>
        <w:rPr>
          <w:rFonts w:ascii="宋体" w:hAnsi="宋体"/>
          <w:snapToGrid w:val="0"/>
          <w:color w:val="auto"/>
          <w:kern w:val="0"/>
          <w:sz w:val="28"/>
          <w:szCs w:val="28"/>
        </w:rPr>
        <w:t>已取得政府相关部门的</w:t>
      </w:r>
      <w:r>
        <w:rPr>
          <w:rFonts w:hint="eastAsia" w:ascii="宋体" w:hAnsi="宋体"/>
          <w:snapToGrid w:val="0"/>
          <w:color w:val="auto"/>
          <w:kern w:val="0"/>
          <w:sz w:val="28"/>
          <w:szCs w:val="28"/>
        </w:rPr>
        <w:t>技改</w:t>
      </w:r>
      <w:r>
        <w:rPr>
          <w:rFonts w:ascii="宋体" w:hAnsi="宋体"/>
          <w:snapToGrid w:val="0"/>
          <w:color w:val="auto"/>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color w:val="auto"/>
          <w:kern w:val="0"/>
          <w:sz w:val="28"/>
          <w:szCs w:val="28"/>
        </w:rPr>
      </w:pPr>
      <w:bookmarkStart w:id="185" w:name="_Toc484594603"/>
      <w:bookmarkStart w:id="186" w:name="_Toc458523590"/>
      <w:bookmarkStart w:id="187" w:name="_Toc514342857"/>
      <w:bookmarkStart w:id="188" w:name="_Toc12235"/>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 xml:space="preserve">6.1 </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对周边环境的影响分析</w:t>
      </w:r>
      <w:bookmarkEnd w:id="185"/>
      <w:bookmarkEnd w:id="186"/>
      <w:bookmarkEnd w:id="187"/>
      <w:bookmarkEnd w:id="188"/>
    </w:p>
    <w:p>
      <w:pPr>
        <w:tabs>
          <w:tab w:val="left" w:pos="8808"/>
        </w:tabs>
        <w:snapToGrid w:val="0"/>
        <w:spacing w:line="360" w:lineRule="auto"/>
        <w:ind w:firstLine="560" w:firstLineChars="200"/>
        <w:rPr>
          <w:rFonts w:hint="eastAsia" w:ascii="宋体" w:hAnsi="宋体" w:cs="宋体"/>
          <w:color w:val="auto"/>
          <w:sz w:val="28"/>
          <w:szCs w:val="28"/>
        </w:rPr>
      </w:pPr>
      <w:bookmarkStart w:id="189" w:name="_Toc172964203"/>
      <w:bookmarkStart w:id="190" w:name="_Toc172963399"/>
      <w:bookmarkStart w:id="191" w:name="_Toc374385892"/>
      <w:bookmarkStart w:id="192" w:name="_Toc172964408"/>
      <w:bookmarkStart w:id="193" w:name="_Toc155775354"/>
      <w:r>
        <w:rPr>
          <w:rFonts w:hint="eastAsia" w:ascii="宋体" w:hAnsi="宋体" w:cs="宋体"/>
          <w:color w:val="auto"/>
          <w:sz w:val="28"/>
          <w:szCs w:val="28"/>
          <w:lang w:eastAsia="zh-CN"/>
        </w:rPr>
        <w:t>厂</w:t>
      </w:r>
      <w:r>
        <w:rPr>
          <w:rFonts w:ascii="宋体" w:hAnsi="宋体" w:cs="宋体"/>
          <w:color w:val="auto"/>
          <w:sz w:val="28"/>
          <w:szCs w:val="28"/>
        </w:rPr>
        <w:t>区内</w:t>
      </w:r>
      <w:r>
        <w:rPr>
          <w:rFonts w:hint="eastAsia" w:ascii="宋体" w:hAnsi="宋体" w:cs="宋体"/>
          <w:color w:val="auto"/>
          <w:sz w:val="28"/>
          <w:szCs w:val="28"/>
        </w:rPr>
        <w:t>无高压电线敷设、无</w:t>
      </w:r>
      <w:r>
        <w:rPr>
          <w:rFonts w:ascii="宋体" w:hAnsi="宋体" w:cs="宋体"/>
          <w:color w:val="auto"/>
          <w:sz w:val="28"/>
          <w:szCs w:val="28"/>
        </w:rPr>
        <w:t>国家规定的风景名胜区、革命历史古迹等文物保护对象，无集中式水源地等特殊保护对象</w:t>
      </w:r>
      <w:r>
        <w:rPr>
          <w:rFonts w:hint="eastAsia" w:ascii="宋体" w:hAnsi="宋体" w:cs="宋体"/>
          <w:color w:val="auto"/>
          <w:sz w:val="28"/>
          <w:szCs w:val="28"/>
        </w:rPr>
        <w:t>；</w:t>
      </w:r>
      <w:r>
        <w:rPr>
          <w:rFonts w:ascii="宋体" w:hAnsi="宋体" w:cs="宋体"/>
          <w:color w:val="auto"/>
          <w:sz w:val="28"/>
          <w:szCs w:val="28"/>
        </w:rPr>
        <w:t>区域内及附近无</w:t>
      </w:r>
      <w:r>
        <w:rPr>
          <w:rFonts w:hint="eastAsia" w:ascii="宋体" w:hAnsi="宋体" w:cs="宋体"/>
          <w:color w:val="auto"/>
          <w:sz w:val="28"/>
          <w:szCs w:val="28"/>
        </w:rPr>
        <w:t>重大危险源监管单位、无</w:t>
      </w:r>
      <w:r>
        <w:rPr>
          <w:rFonts w:ascii="宋体" w:hAnsi="宋体" w:cs="宋体"/>
          <w:color w:val="auto"/>
          <w:sz w:val="28"/>
          <w:szCs w:val="28"/>
        </w:rPr>
        <w:t>军事设施等保密单位，无军事国防通讯设施及其他通讯设施等敏感目标，地下未发现矿产资源</w:t>
      </w:r>
      <w:r>
        <w:rPr>
          <w:rFonts w:hint="eastAsia" w:ascii="宋体" w:hAnsi="宋体" w:cs="宋体"/>
          <w:color w:val="auto"/>
          <w:sz w:val="28"/>
          <w:szCs w:val="28"/>
        </w:rPr>
        <w:t>，无长输天然气管道、输油管道敷设</w:t>
      </w:r>
      <w:r>
        <w:rPr>
          <w:rFonts w:ascii="宋体" w:hAnsi="宋体" w:cs="宋体"/>
          <w:color w:val="auto"/>
          <w:sz w:val="28"/>
          <w:szCs w:val="28"/>
        </w:rPr>
        <w:t>。</w:t>
      </w:r>
      <w:r>
        <w:rPr>
          <w:rFonts w:hint="eastAsia" w:ascii="宋体" w:hAnsi="宋体" w:cs="宋体"/>
          <w:color w:val="auto"/>
          <w:sz w:val="28"/>
          <w:szCs w:val="28"/>
          <w:lang w:eastAsia="zh-CN"/>
        </w:rPr>
        <w:t>公司</w:t>
      </w:r>
      <w:r>
        <w:rPr>
          <w:rFonts w:hint="eastAsia" w:ascii="宋体" w:hAnsi="宋体" w:cs="宋体"/>
          <w:color w:val="auto"/>
          <w:sz w:val="28"/>
          <w:szCs w:val="28"/>
        </w:rPr>
        <w:t>在正常工况下废水、废气、废渣等经达标后排放，并与周边建构筑留有足够的防火间距，即</w:t>
      </w:r>
      <w:r>
        <w:rPr>
          <w:rFonts w:hint="eastAsia" w:ascii="宋体" w:hAnsi="宋体" w:cs="宋体"/>
          <w:color w:val="auto"/>
          <w:sz w:val="28"/>
          <w:szCs w:val="28"/>
          <w:lang w:eastAsia="zh-CN"/>
        </w:rPr>
        <w:t>公司</w:t>
      </w:r>
      <w:r>
        <w:rPr>
          <w:rFonts w:hint="eastAsia" w:ascii="宋体" w:hAnsi="宋体" w:cs="宋体"/>
          <w:color w:val="auto"/>
          <w:sz w:val="28"/>
          <w:szCs w:val="28"/>
        </w:rPr>
        <w:t>正常工况下不会对周边单位生产、经营活动或者居民生活造成影响。</w:t>
      </w:r>
    </w:p>
    <w:p>
      <w:pPr>
        <w:spacing w:line="360" w:lineRule="auto"/>
        <w:ind w:firstLine="560" w:firstLineChars="200"/>
        <w:rPr>
          <w:rFonts w:hint="eastAsia" w:ascii="宋体" w:hAnsi="宋体"/>
          <w:color w:val="auto"/>
          <w:sz w:val="28"/>
          <w:szCs w:val="28"/>
        </w:rPr>
      </w:pPr>
      <w:r>
        <w:rPr>
          <w:rFonts w:ascii="宋体" w:hAnsi="宋体"/>
          <w:color w:val="auto"/>
          <w:sz w:val="28"/>
          <w:szCs w:val="28"/>
        </w:rPr>
        <w:t>若三废处理不当可能会对周边环境、企业造成不良影响，因此本工程应切实做好三废的处理工作。</w:t>
      </w:r>
      <w:r>
        <w:rPr>
          <w:rFonts w:hint="eastAsia" w:ascii="宋体" w:hAnsi="宋体"/>
          <w:color w:val="auto"/>
          <w:sz w:val="28"/>
          <w:szCs w:val="28"/>
          <w:lang w:eastAsia="zh-CN"/>
        </w:rPr>
        <w:t>公司</w:t>
      </w:r>
      <w:r>
        <w:rPr>
          <w:rFonts w:ascii="宋体" w:hAnsi="宋体"/>
          <w:color w:val="auto"/>
          <w:sz w:val="28"/>
          <w:szCs w:val="28"/>
        </w:rPr>
        <w:t>在采取了可靠的安全、环保的防护措施之后，</w:t>
      </w:r>
      <w:r>
        <w:rPr>
          <w:rFonts w:hint="eastAsia" w:ascii="宋体" w:hAnsi="宋体" w:cs="宋体"/>
          <w:color w:val="auto"/>
          <w:sz w:val="28"/>
          <w:szCs w:val="28"/>
        </w:rPr>
        <w:t>对周边环境的影响在可接受和可控制范围。</w:t>
      </w:r>
    </w:p>
    <w:bookmarkEnd w:id="189"/>
    <w:bookmarkEnd w:id="190"/>
    <w:bookmarkEnd w:id="191"/>
    <w:bookmarkEnd w:id="192"/>
    <w:bookmarkEnd w:id="193"/>
    <w:p>
      <w:pPr>
        <w:pStyle w:val="8"/>
        <w:spacing w:line="360" w:lineRule="auto"/>
        <w:ind w:firstLine="0" w:firstLineChars="0"/>
        <w:outlineLvl w:val="2"/>
        <w:rPr>
          <w:rFonts w:hint="eastAsia" w:ascii="宋体" w:hAnsi="宋体"/>
          <w:b/>
          <w:snapToGrid w:val="0"/>
          <w:color w:val="auto"/>
          <w:kern w:val="0"/>
          <w:sz w:val="28"/>
          <w:szCs w:val="28"/>
        </w:rPr>
      </w:pPr>
      <w:bookmarkStart w:id="194" w:name="_Toc172963410"/>
      <w:bookmarkStart w:id="195" w:name="_Toc514342858"/>
      <w:bookmarkStart w:id="196" w:name="_Toc484594604"/>
      <w:bookmarkStart w:id="197" w:name="_Toc458523594"/>
      <w:bookmarkStart w:id="198" w:name="_Toc172964418"/>
      <w:bookmarkStart w:id="199" w:name="_Toc155775365"/>
      <w:bookmarkStart w:id="200" w:name="_Toc172964213"/>
      <w:bookmarkStart w:id="201" w:name="_Toc22235"/>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rPr>
        <w:t>6.2 周边环境对</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的影响分析</w:t>
      </w:r>
      <w:bookmarkEnd w:id="194"/>
      <w:bookmarkEnd w:id="195"/>
      <w:bookmarkEnd w:id="196"/>
      <w:bookmarkEnd w:id="197"/>
      <w:bookmarkEnd w:id="198"/>
      <w:bookmarkEnd w:id="199"/>
      <w:bookmarkEnd w:id="200"/>
      <w:bookmarkEnd w:id="201"/>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color w:val="auto"/>
          <w:kern w:val="0"/>
          <w:sz w:val="32"/>
          <w:szCs w:val="32"/>
        </w:rPr>
      </w:pPr>
      <w:bookmarkStart w:id="202" w:name="_Toc8981"/>
      <w:bookmarkStart w:id="203" w:name="_Toc350781107"/>
      <w:bookmarkStart w:id="204" w:name="_Toc514342863"/>
      <w:bookmarkStart w:id="205" w:name="_Toc480804413"/>
      <w:bookmarkStart w:id="206" w:name="_Toc356401505"/>
      <w:r>
        <w:rPr>
          <w:rFonts w:hint="eastAsia" w:ascii="黑体" w:eastAsia="黑体"/>
          <w:b/>
          <w:snapToGrid w:val="0"/>
          <w:color w:val="auto"/>
          <w:kern w:val="0"/>
          <w:sz w:val="32"/>
          <w:szCs w:val="32"/>
          <w:lang w:val="en-US" w:eastAsia="zh-CN"/>
        </w:rPr>
        <w:t>3</w:t>
      </w:r>
      <w:r>
        <w:rPr>
          <w:rFonts w:hint="eastAsia" w:ascii="黑体" w:eastAsia="黑体"/>
          <w:b/>
          <w:snapToGrid w:val="0"/>
          <w:color w:val="auto"/>
          <w:kern w:val="0"/>
          <w:sz w:val="32"/>
          <w:szCs w:val="32"/>
          <w:lang w:eastAsia="zh-CN"/>
        </w:rPr>
        <w:t>.</w:t>
      </w:r>
      <w:r>
        <w:rPr>
          <w:rFonts w:hint="eastAsia" w:ascii="黑体" w:eastAsia="黑体"/>
          <w:b/>
          <w:snapToGrid w:val="0"/>
          <w:color w:val="auto"/>
          <w:kern w:val="0"/>
          <w:sz w:val="32"/>
          <w:szCs w:val="32"/>
          <w:lang w:val="en-US" w:eastAsia="zh-CN"/>
        </w:rPr>
        <w:t>7</w:t>
      </w:r>
      <w:r>
        <w:rPr>
          <w:rFonts w:hint="eastAsia" w:ascii="黑体" w:eastAsia="黑体"/>
          <w:b/>
          <w:snapToGrid w:val="0"/>
          <w:color w:val="auto"/>
          <w:kern w:val="0"/>
          <w:sz w:val="32"/>
          <w:szCs w:val="32"/>
        </w:rPr>
        <w:t xml:space="preserve"> 重大危险源辨识</w:t>
      </w:r>
      <w:bookmarkEnd w:id="202"/>
      <w:bookmarkEnd w:id="203"/>
      <w:bookmarkEnd w:id="204"/>
      <w:bookmarkEnd w:id="205"/>
      <w:bookmarkEnd w:id="206"/>
    </w:p>
    <w:p>
      <w:pPr>
        <w:pStyle w:val="8"/>
        <w:spacing w:line="360" w:lineRule="auto"/>
        <w:ind w:firstLine="0" w:firstLineChars="0"/>
        <w:outlineLvl w:val="2"/>
        <w:rPr>
          <w:rFonts w:hint="eastAsia" w:ascii="宋体" w:hAnsi="宋体"/>
          <w:b/>
          <w:snapToGrid w:val="0"/>
          <w:color w:val="auto"/>
          <w:kern w:val="0"/>
          <w:sz w:val="28"/>
          <w:szCs w:val="28"/>
        </w:rPr>
      </w:pPr>
      <w:bookmarkStart w:id="207" w:name="_Toc514342864"/>
      <w:bookmarkStart w:id="208" w:name="_Toc480804414"/>
      <w:bookmarkStart w:id="209" w:name="_Toc351125383"/>
      <w:bookmarkStart w:id="210" w:name="_Toc356401506"/>
      <w:bookmarkStart w:id="211" w:name="_Toc14102"/>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.1 辨识依据</w:t>
      </w:r>
      <w:bookmarkEnd w:id="207"/>
      <w:bookmarkEnd w:id="208"/>
      <w:bookmarkEnd w:id="209"/>
      <w:bookmarkEnd w:id="210"/>
      <w:bookmarkEnd w:id="211"/>
    </w:p>
    <w:p>
      <w:pPr>
        <w:tabs>
          <w:tab w:val="right" w:leader="hyphen" w:pos="8343"/>
        </w:tabs>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根据《中华人民共和国安全生产法》、《危险化学品重大危险源辨识》（</w:t>
      </w:r>
      <w:r>
        <w:rPr>
          <w:rFonts w:hint="eastAsia" w:ascii="宋体" w:hAnsi="宋体"/>
          <w:color w:val="auto"/>
          <w:sz w:val="28"/>
          <w:szCs w:val="28"/>
          <w:lang w:eastAsia="zh-CN"/>
        </w:rPr>
        <w:t>GB18218-2018</w:t>
      </w:r>
      <w:r>
        <w:rPr>
          <w:rFonts w:hint="eastAsia" w:ascii="宋体" w:hAnsi="宋体"/>
          <w:color w:val="auto"/>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color w:val="auto"/>
          <w:kern w:val="0"/>
          <w:sz w:val="28"/>
          <w:szCs w:val="28"/>
        </w:rPr>
      </w:pPr>
      <w:bookmarkStart w:id="212" w:name="_Toc6705"/>
      <w:bookmarkStart w:id="213" w:name="_Toc480804415"/>
      <w:bookmarkStart w:id="214" w:name="_Toc514342865"/>
      <w:bookmarkStart w:id="215" w:name="_Toc356401507"/>
      <w:bookmarkStart w:id="216" w:name="_Toc351125385"/>
      <w:r>
        <w:rPr>
          <w:rFonts w:hint="eastAsia" w:ascii="宋体" w:hAnsi="宋体"/>
          <w:b/>
          <w:snapToGrid w:val="0"/>
          <w:color w:val="auto"/>
          <w:kern w:val="0"/>
          <w:sz w:val="28"/>
          <w:szCs w:val="28"/>
          <w:lang w:val="en-US" w:eastAsia="zh-CN"/>
        </w:rPr>
        <w:t>3</w:t>
      </w:r>
      <w:r>
        <w:rPr>
          <w:rFonts w:hint="eastAsia" w:ascii="宋体" w:hAnsi="宋体"/>
          <w:b/>
          <w:snapToGrid w:val="0"/>
          <w:color w:val="auto"/>
          <w:kern w:val="0"/>
          <w:sz w:val="28"/>
          <w:szCs w:val="28"/>
          <w:lang w:eastAsia="zh-CN"/>
        </w:rPr>
        <w:t>.</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.2 辨识结果</w:t>
      </w:r>
      <w:bookmarkEnd w:id="212"/>
      <w:bookmarkEnd w:id="213"/>
      <w:bookmarkEnd w:id="214"/>
      <w:bookmarkEnd w:id="215"/>
      <w:bookmarkEnd w:id="216"/>
    </w:p>
    <w:p>
      <w:pPr>
        <w:spacing w:line="360" w:lineRule="auto"/>
        <w:ind w:firstLine="560" w:firstLineChars="200"/>
        <w:rPr>
          <w:rFonts w:hint="eastAsia" w:ascii="宋体" w:hAnsi="宋体"/>
          <w:color w:val="auto"/>
          <w:sz w:val="28"/>
          <w:szCs w:val="28"/>
        </w:rPr>
      </w:pPr>
      <w:r>
        <w:rPr>
          <w:rFonts w:hint="eastAsia"/>
          <w:color w:val="auto"/>
          <w:sz w:val="28"/>
          <w:szCs w:val="28"/>
          <w:lang w:eastAsia="zh-CN"/>
        </w:rPr>
        <w:t>公司</w:t>
      </w:r>
      <w:r>
        <w:rPr>
          <w:rFonts w:hint="eastAsia"/>
          <w:color w:val="auto"/>
          <w:sz w:val="28"/>
          <w:szCs w:val="28"/>
        </w:rPr>
        <w:t>生产过程中的原料、辅料、中间品、产品除柴油外其余均未列入《重大危险源辨识》中，</w:t>
      </w:r>
      <w:r>
        <w:rPr>
          <w:rFonts w:hint="eastAsia"/>
          <w:color w:val="auto"/>
          <w:sz w:val="28"/>
          <w:szCs w:val="28"/>
          <w:lang w:eastAsia="zh-CN"/>
        </w:rPr>
        <w:t>厂区</w:t>
      </w:r>
      <w:r>
        <w:rPr>
          <w:rFonts w:hint="eastAsia"/>
          <w:color w:val="auto"/>
          <w:sz w:val="28"/>
          <w:szCs w:val="28"/>
        </w:rPr>
        <w:t>使用柴油仅做为点火燃料使用，用量少（仅备用1桶，约200L），使用频率低，</w:t>
      </w:r>
      <w:r>
        <w:rPr>
          <w:rFonts w:hint="eastAsia" w:ascii="宋体" w:hAnsi="宋体"/>
          <w:color w:val="auto"/>
          <w:sz w:val="28"/>
          <w:szCs w:val="28"/>
        </w:rPr>
        <w:t>其临界量和拟存放量见下表：</w:t>
      </w:r>
    </w:p>
    <w:p>
      <w:pPr>
        <w:spacing w:line="360" w:lineRule="auto"/>
        <w:jc w:val="center"/>
        <w:rPr>
          <w:rFonts w:hint="eastAsia" w:ascii="黑体" w:eastAsia="黑体"/>
          <w:b/>
          <w:color w:val="auto"/>
          <w:sz w:val="24"/>
        </w:rPr>
      </w:pPr>
      <w:r>
        <w:rPr>
          <w:rFonts w:hint="eastAsia" w:ascii="黑体" w:eastAsia="黑体"/>
          <w:b/>
          <w:color w:val="auto"/>
          <w:sz w:val="24"/>
        </w:rPr>
        <w:t>表</w:t>
      </w:r>
      <w:r>
        <w:rPr>
          <w:rFonts w:hint="eastAsia" w:ascii="黑体" w:eastAsia="黑体"/>
          <w:b/>
          <w:color w:val="auto"/>
          <w:sz w:val="24"/>
          <w:lang w:val="en-US" w:eastAsia="zh-CN"/>
        </w:rPr>
        <w:t>3</w:t>
      </w:r>
      <w:r>
        <w:rPr>
          <w:rFonts w:hint="eastAsia" w:ascii="黑体" w:eastAsia="黑体"/>
          <w:b/>
          <w:color w:val="auto"/>
          <w:sz w:val="24"/>
          <w:lang w:eastAsia="zh-CN"/>
        </w:rPr>
        <w:t>-</w:t>
      </w:r>
      <w:r>
        <w:rPr>
          <w:rFonts w:hint="eastAsia" w:ascii="黑体" w:eastAsia="黑体"/>
          <w:b/>
          <w:color w:val="auto"/>
          <w:sz w:val="24"/>
          <w:lang w:val="en-US" w:eastAsia="zh-CN"/>
        </w:rPr>
        <w:t>4</w:t>
      </w:r>
      <w:r>
        <w:rPr>
          <w:rFonts w:hint="eastAsia" w:ascii="黑体" w:eastAsia="黑体"/>
          <w:b/>
          <w:color w:val="auto"/>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color w:val="auto"/>
                <w:spacing w:val="10"/>
                <w:sz w:val="24"/>
                <w:szCs w:val="24"/>
              </w:rPr>
            </w:pPr>
            <w:r>
              <w:rPr>
                <w:rFonts w:hint="eastAsia" w:hAnsi="宋体"/>
                <w:b/>
                <w:color w:val="auto"/>
                <w:spacing w:val="10"/>
                <w:sz w:val="24"/>
                <w:szCs w:val="24"/>
              </w:rPr>
              <w:t>物质名称</w:t>
            </w:r>
          </w:p>
        </w:tc>
        <w:tc>
          <w:tcPr>
            <w:tcW w:w="3526"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类别</w:t>
            </w:r>
          </w:p>
        </w:tc>
        <w:tc>
          <w:tcPr>
            <w:tcW w:w="1855"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临界量/t</w:t>
            </w:r>
          </w:p>
        </w:tc>
        <w:tc>
          <w:tcPr>
            <w:tcW w:w="1827"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0.17</w:t>
            </w:r>
          </w:p>
        </w:tc>
      </w:tr>
    </w:tbl>
    <w:p>
      <w:pPr>
        <w:ind w:firstLine="420" w:firstLineChars="200"/>
        <w:rPr>
          <w:rFonts w:hint="eastAsia"/>
          <w:color w:val="auto"/>
          <w:szCs w:val="28"/>
        </w:rPr>
      </w:pPr>
    </w:p>
    <w:p>
      <w:pPr>
        <w:spacing w:line="360" w:lineRule="auto"/>
        <w:ind w:firstLine="560" w:firstLineChars="200"/>
        <w:rPr>
          <w:rFonts w:hint="eastAsia" w:ascii="宋体" w:hAnsi="宋体"/>
          <w:color w:val="auto"/>
          <w:kern w:val="0"/>
          <w:sz w:val="28"/>
          <w:szCs w:val="28"/>
        </w:rPr>
      </w:pPr>
      <w:r>
        <w:rPr>
          <w:rFonts w:hint="eastAsia" w:ascii="宋体" w:hAnsi="宋体"/>
          <w:color w:val="auto"/>
          <w:sz w:val="28"/>
          <w:szCs w:val="28"/>
          <w:lang w:eastAsia="zh-CN"/>
        </w:rPr>
        <w:t>公司</w:t>
      </w:r>
      <w:r>
        <w:rPr>
          <w:rFonts w:hint="eastAsia" w:ascii="宋体" w:hAnsi="宋体"/>
          <w:color w:val="auto"/>
          <w:sz w:val="28"/>
          <w:szCs w:val="28"/>
        </w:rPr>
        <w:t>有柴油储量1桶（200升），柴油密度0.85t/m</w:t>
      </w:r>
      <w:r>
        <w:rPr>
          <w:rFonts w:hint="eastAsia" w:ascii="宋体" w:hAnsi="宋体"/>
          <w:color w:val="auto"/>
          <w:sz w:val="28"/>
          <w:szCs w:val="28"/>
          <w:vertAlign w:val="superscript"/>
        </w:rPr>
        <w:t>3</w:t>
      </w:r>
      <w:r>
        <w:rPr>
          <w:rFonts w:hint="eastAsia" w:ascii="宋体" w:hAnsi="宋体"/>
          <w:color w:val="auto"/>
          <w:sz w:val="28"/>
          <w:szCs w:val="28"/>
        </w:rPr>
        <w:t>，合计0.17t。</w:t>
      </w:r>
    </w:p>
    <w:p>
      <w:pPr>
        <w:spacing w:line="360" w:lineRule="auto"/>
        <w:ind w:firstLine="560" w:firstLineChars="200"/>
        <w:rPr>
          <w:rFonts w:hint="eastAsia" w:ascii="宋体" w:hAnsi="宋体"/>
          <w:color w:val="auto"/>
          <w:sz w:val="28"/>
          <w:szCs w:val="28"/>
          <w:lang w:eastAsia="zh-CN"/>
        </w:rPr>
      </w:pPr>
      <w:r>
        <w:rPr>
          <w:rFonts w:hint="eastAsia" w:ascii="宋体" w:hAnsi="宋体"/>
          <w:color w:val="auto"/>
          <w:sz w:val="28"/>
          <w:szCs w:val="28"/>
          <w:lang w:eastAsia="zh-CN"/>
        </w:rPr>
        <w:t>则：0.17/5000=0.000034＜1</w:t>
      </w:r>
    </w:p>
    <w:bookmarkEnd w:id="38"/>
    <w:p>
      <w:pPr>
        <w:spacing w:line="360" w:lineRule="auto"/>
        <w:ind w:firstLine="560" w:firstLineChars="200"/>
        <w:rPr>
          <w:rFonts w:hint="eastAsia" w:ascii="宋体" w:hAnsi="宋体"/>
          <w:color w:val="auto"/>
          <w:sz w:val="28"/>
          <w:szCs w:val="28"/>
          <w:lang w:eastAsia="zh-CN"/>
        </w:rPr>
      </w:pPr>
      <w:bookmarkStart w:id="217" w:name="_Toc10261"/>
      <w:bookmarkStart w:id="218" w:name="_Toc21054"/>
      <w:r>
        <w:rPr>
          <w:rFonts w:hint="eastAsia" w:ascii="宋体" w:hAnsi="宋体"/>
          <w:color w:val="auto"/>
          <w:sz w:val="28"/>
          <w:szCs w:val="28"/>
          <w:lang w:eastAsia="zh-CN"/>
        </w:rPr>
        <w:t>综上所述，根据《危险化学品重大危险源辨识》(GB18218-20</w:t>
      </w:r>
      <w:r>
        <w:rPr>
          <w:rFonts w:hint="eastAsia" w:ascii="宋体" w:hAnsi="宋体"/>
          <w:color w:val="auto"/>
          <w:sz w:val="28"/>
          <w:szCs w:val="28"/>
          <w:lang w:val="en-US" w:eastAsia="zh-CN"/>
        </w:rPr>
        <w:t>18</w:t>
      </w:r>
      <w:r>
        <w:rPr>
          <w:rFonts w:hint="eastAsia" w:ascii="宋体" w:hAnsi="宋体"/>
          <w:color w:val="auto"/>
          <w:sz w:val="28"/>
          <w:szCs w:val="28"/>
          <w:lang w:eastAsia="zh-CN"/>
        </w:rPr>
        <w:t>)，本公司危险化学品的使用和储存均不构成危险化学品重大危险源。即，仪陇县日兴镇鸿山页岩砖厂不构成危险化学品重大危险源。</w:t>
      </w:r>
    </w:p>
    <w:p>
      <w:pPr>
        <w:pStyle w:val="8"/>
        <w:spacing w:line="360" w:lineRule="auto"/>
        <w:ind w:firstLine="0" w:firstLineChars="0"/>
        <w:outlineLvl w:val="1"/>
        <w:rPr>
          <w:rFonts w:hint="eastAsia" w:ascii="黑体" w:eastAsia="黑体"/>
          <w:b/>
          <w:snapToGrid w:val="0"/>
          <w:color w:val="auto"/>
          <w:kern w:val="0"/>
          <w:sz w:val="32"/>
          <w:szCs w:val="32"/>
          <w:lang w:val="en-US" w:eastAsia="zh-CN"/>
        </w:rPr>
      </w:pPr>
      <w:bookmarkStart w:id="219" w:name="_Toc14325"/>
      <w:r>
        <w:rPr>
          <w:rFonts w:hint="eastAsia" w:ascii="黑体" w:eastAsia="黑体"/>
          <w:b/>
          <w:snapToGrid w:val="0"/>
          <w:color w:val="auto"/>
          <w:kern w:val="0"/>
          <w:sz w:val="32"/>
          <w:szCs w:val="32"/>
          <w:lang w:val="en-US" w:eastAsia="zh-CN"/>
        </w:rPr>
        <w:t>3.8小结</w:t>
      </w:r>
      <w:bookmarkEnd w:id="217"/>
      <w:bookmarkEnd w:id="218"/>
      <w:bookmarkEnd w:id="219"/>
    </w:p>
    <w:p>
      <w:pPr>
        <w:spacing w:line="360" w:lineRule="auto"/>
        <w:jc w:val="center"/>
        <w:rPr>
          <w:rFonts w:hint="eastAsia" w:ascii="黑体" w:eastAsia="黑体"/>
          <w:b/>
          <w:color w:val="auto"/>
          <w:sz w:val="24"/>
        </w:rPr>
      </w:pPr>
      <w:r>
        <w:rPr>
          <w:rFonts w:hint="eastAsia" w:ascii="黑体" w:eastAsia="黑体"/>
          <w:b/>
          <w:color w:val="auto"/>
          <w:sz w:val="24"/>
        </w:rPr>
        <w:t>表</w:t>
      </w:r>
      <w:r>
        <w:rPr>
          <w:rFonts w:hint="eastAsia" w:ascii="黑体" w:eastAsia="黑体"/>
          <w:b/>
          <w:color w:val="auto"/>
          <w:sz w:val="24"/>
          <w:lang w:val="en-US" w:eastAsia="zh-CN"/>
        </w:rPr>
        <w:t>3</w:t>
      </w:r>
      <w:r>
        <w:rPr>
          <w:rFonts w:ascii="黑体" w:eastAsia="黑体"/>
          <w:b/>
          <w:color w:val="auto"/>
          <w:sz w:val="24"/>
        </w:rPr>
        <w:t>-</w:t>
      </w:r>
      <w:r>
        <w:rPr>
          <w:rFonts w:hint="eastAsia" w:ascii="黑体" w:eastAsia="黑体"/>
          <w:b/>
          <w:color w:val="auto"/>
          <w:sz w:val="24"/>
          <w:lang w:val="en-US" w:eastAsia="zh-CN"/>
        </w:rPr>
        <w:t>5</w:t>
      </w:r>
      <w:r>
        <w:rPr>
          <w:rFonts w:ascii="黑体" w:eastAsia="黑体"/>
          <w:b/>
          <w:color w:val="auto"/>
          <w:sz w:val="24"/>
        </w:rPr>
        <w:t xml:space="preserve">  </w:t>
      </w:r>
      <w:r>
        <w:rPr>
          <w:rFonts w:hint="eastAsia" w:ascii="黑体" w:eastAsia="黑体"/>
          <w:b/>
          <w:color w:val="auto"/>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20" w:name="_Toc29398"/>
            <w:bookmarkStart w:id="221"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222" w:name="_Toc23579"/>
      <w:r>
        <w:rPr>
          <w:rFonts w:hint="eastAsia" w:ascii="黑体" w:hAnsi="宋体" w:eastAsia="黑体"/>
          <w:b/>
          <w:color w:val="auto"/>
          <w:sz w:val="32"/>
          <w:szCs w:val="32"/>
          <w:lang w:val="en-US" w:eastAsia="zh-CN"/>
        </w:rPr>
        <w:t>4</w:t>
      </w:r>
      <w:r>
        <w:rPr>
          <w:rFonts w:hint="eastAsia" w:ascii="黑体" w:hAnsi="宋体" w:eastAsia="黑体"/>
          <w:b/>
          <w:color w:val="auto"/>
          <w:sz w:val="32"/>
          <w:szCs w:val="32"/>
        </w:rPr>
        <w:t>评估结论与建议</w:t>
      </w:r>
      <w:bookmarkEnd w:id="220"/>
      <w:bookmarkEnd w:id="222"/>
    </w:p>
    <w:p>
      <w:pPr>
        <w:pStyle w:val="5"/>
        <w:autoSpaceDN w:val="0"/>
        <w:spacing w:before="0" w:after="0" w:line="360" w:lineRule="auto"/>
        <w:jc w:val="left"/>
        <w:rPr>
          <w:rFonts w:hint="eastAsia" w:ascii="黑体" w:hAnsi="黑体"/>
          <w:color w:val="auto"/>
          <w:sz w:val="28"/>
          <w:szCs w:val="28"/>
          <w:lang w:val="en-US" w:eastAsia="zh-CN"/>
        </w:rPr>
      </w:pPr>
      <w:bookmarkStart w:id="223" w:name="_Toc16198"/>
      <w:r>
        <w:rPr>
          <w:rFonts w:hint="eastAsia" w:ascii="黑体" w:hAnsi="黑体"/>
          <w:color w:val="auto"/>
          <w:sz w:val="28"/>
          <w:szCs w:val="28"/>
          <w:lang w:val="en-US" w:eastAsia="zh-CN"/>
        </w:rPr>
        <w:t>4.1总体评价结论</w:t>
      </w:r>
      <w:bookmarkEnd w:id="221"/>
      <w:bookmarkEnd w:id="223"/>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日兴镇鸿山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color w:val="auto"/>
          <w:sz w:val="28"/>
          <w:szCs w:val="28"/>
        </w:rPr>
      </w:pPr>
      <w:bookmarkStart w:id="224" w:name="_Toc5799"/>
      <w:bookmarkStart w:id="225" w:name="_Toc3872"/>
      <w:bookmarkStart w:id="226" w:name="_Toc22214"/>
      <w:r>
        <w:rPr>
          <w:rFonts w:hint="eastAsia" w:ascii="黑体" w:hAnsi="黑体"/>
          <w:color w:val="auto"/>
          <w:sz w:val="28"/>
          <w:szCs w:val="28"/>
          <w:lang w:val="en-US" w:eastAsia="zh-CN"/>
        </w:rPr>
        <w:t>4</w:t>
      </w:r>
      <w:r>
        <w:rPr>
          <w:rFonts w:hint="eastAsia" w:ascii="黑体" w:hAnsi="黑体"/>
          <w:color w:val="auto"/>
          <w:sz w:val="28"/>
          <w:szCs w:val="28"/>
        </w:rPr>
        <w:t>.</w:t>
      </w:r>
      <w:r>
        <w:rPr>
          <w:rFonts w:hint="eastAsia" w:ascii="黑体" w:hAnsi="黑体"/>
          <w:color w:val="auto"/>
          <w:sz w:val="28"/>
          <w:szCs w:val="28"/>
          <w:lang w:val="en-US" w:eastAsia="zh-CN"/>
        </w:rPr>
        <w:t>2</w:t>
      </w:r>
      <w:r>
        <w:rPr>
          <w:rFonts w:hint="eastAsia" w:ascii="黑体" w:hAnsi="黑体"/>
          <w:color w:val="auto"/>
          <w:sz w:val="28"/>
          <w:szCs w:val="28"/>
        </w:rPr>
        <w:t>建议</w:t>
      </w:r>
      <w:bookmarkEnd w:id="224"/>
      <w:bookmarkEnd w:id="225"/>
      <w:bookmarkEnd w:id="226"/>
    </w:p>
    <w:p>
      <w:pPr>
        <w:spacing w:line="360" w:lineRule="auto"/>
        <w:ind w:firstLine="560" w:firstLineChars="200"/>
        <w:rPr>
          <w:color w:val="auto"/>
          <w:sz w:val="28"/>
          <w:szCs w:val="28"/>
        </w:rPr>
      </w:pPr>
      <w:r>
        <w:rPr>
          <w:color w:val="auto"/>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color w:val="auto"/>
          <w:sz w:val="28"/>
          <w:szCs w:val="28"/>
        </w:rPr>
      </w:pPr>
      <w:r>
        <w:rPr>
          <w:color w:val="auto"/>
          <w:sz w:val="28"/>
          <w:szCs w:val="28"/>
        </w:rPr>
        <w:t>（2）应增加应急救援器材，确保事故发生或作业人员发生人身伤害时，能够及时采取有效救援措施，减轻伤害程度，控制事故的发展。</w:t>
      </w:r>
    </w:p>
    <w:p>
      <w:pPr>
        <w:rPr>
          <w:rFonts w:hint="eastAsia"/>
          <w:color w:val="auto"/>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B34626"/>
    <w:rsid w:val="01D26CA9"/>
    <w:rsid w:val="02EB4D5F"/>
    <w:rsid w:val="03D37A5F"/>
    <w:rsid w:val="047007AE"/>
    <w:rsid w:val="059A7F41"/>
    <w:rsid w:val="06330342"/>
    <w:rsid w:val="06867417"/>
    <w:rsid w:val="069D7701"/>
    <w:rsid w:val="07024A58"/>
    <w:rsid w:val="0731706A"/>
    <w:rsid w:val="07835CC2"/>
    <w:rsid w:val="07A44FA0"/>
    <w:rsid w:val="07B56C35"/>
    <w:rsid w:val="07E323AA"/>
    <w:rsid w:val="07F26DF4"/>
    <w:rsid w:val="0808585B"/>
    <w:rsid w:val="0814262C"/>
    <w:rsid w:val="08FB3207"/>
    <w:rsid w:val="0A1B12D6"/>
    <w:rsid w:val="0A54055C"/>
    <w:rsid w:val="0A5621CC"/>
    <w:rsid w:val="0AE45EDA"/>
    <w:rsid w:val="0AF829E5"/>
    <w:rsid w:val="0C18342B"/>
    <w:rsid w:val="0CA8623A"/>
    <w:rsid w:val="0CB54FCE"/>
    <w:rsid w:val="0D066290"/>
    <w:rsid w:val="0D3B3E73"/>
    <w:rsid w:val="0DE0620E"/>
    <w:rsid w:val="0E3C1EB1"/>
    <w:rsid w:val="0E6D3139"/>
    <w:rsid w:val="0EB95D58"/>
    <w:rsid w:val="0ECB0C27"/>
    <w:rsid w:val="0F25281E"/>
    <w:rsid w:val="0F77136B"/>
    <w:rsid w:val="0F842DC8"/>
    <w:rsid w:val="0F9227C9"/>
    <w:rsid w:val="0FE50957"/>
    <w:rsid w:val="112E4204"/>
    <w:rsid w:val="11385FCD"/>
    <w:rsid w:val="11C747FB"/>
    <w:rsid w:val="11D61819"/>
    <w:rsid w:val="11F65369"/>
    <w:rsid w:val="12651DAC"/>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65B5ABE"/>
    <w:rsid w:val="16ED61B4"/>
    <w:rsid w:val="170B2C2B"/>
    <w:rsid w:val="172C1FB3"/>
    <w:rsid w:val="173B5FB4"/>
    <w:rsid w:val="17D8718E"/>
    <w:rsid w:val="18A56828"/>
    <w:rsid w:val="18E72215"/>
    <w:rsid w:val="18E80829"/>
    <w:rsid w:val="19837993"/>
    <w:rsid w:val="19D37E9F"/>
    <w:rsid w:val="1A4F49A7"/>
    <w:rsid w:val="1AF723BC"/>
    <w:rsid w:val="1B584D22"/>
    <w:rsid w:val="1B7B5998"/>
    <w:rsid w:val="1BB675E2"/>
    <w:rsid w:val="1BCF066F"/>
    <w:rsid w:val="1BD90D39"/>
    <w:rsid w:val="1BEC385B"/>
    <w:rsid w:val="1C0A5497"/>
    <w:rsid w:val="1D752B45"/>
    <w:rsid w:val="1D85003A"/>
    <w:rsid w:val="1DC712A8"/>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BE35EE"/>
    <w:rsid w:val="22627230"/>
    <w:rsid w:val="22C3776E"/>
    <w:rsid w:val="22D832A8"/>
    <w:rsid w:val="22E40C74"/>
    <w:rsid w:val="22E759E4"/>
    <w:rsid w:val="23032879"/>
    <w:rsid w:val="23D97413"/>
    <w:rsid w:val="240D3547"/>
    <w:rsid w:val="2439225C"/>
    <w:rsid w:val="24450122"/>
    <w:rsid w:val="244C16C4"/>
    <w:rsid w:val="245A3C4E"/>
    <w:rsid w:val="24FB56BC"/>
    <w:rsid w:val="25AF1A07"/>
    <w:rsid w:val="25F57BEE"/>
    <w:rsid w:val="26524A71"/>
    <w:rsid w:val="26A96685"/>
    <w:rsid w:val="26E103D1"/>
    <w:rsid w:val="27614997"/>
    <w:rsid w:val="277D73A1"/>
    <w:rsid w:val="2793442C"/>
    <w:rsid w:val="27C206E8"/>
    <w:rsid w:val="28982FE2"/>
    <w:rsid w:val="28B83BFF"/>
    <w:rsid w:val="290F2046"/>
    <w:rsid w:val="2923409D"/>
    <w:rsid w:val="294C2435"/>
    <w:rsid w:val="298C52F0"/>
    <w:rsid w:val="29925E1A"/>
    <w:rsid w:val="2997713A"/>
    <w:rsid w:val="2A1D0F47"/>
    <w:rsid w:val="2A5B6A09"/>
    <w:rsid w:val="2B040F9D"/>
    <w:rsid w:val="2B34415E"/>
    <w:rsid w:val="2B3C65FF"/>
    <w:rsid w:val="2BDD5569"/>
    <w:rsid w:val="2C0870D6"/>
    <w:rsid w:val="2C5A6C5D"/>
    <w:rsid w:val="2C955142"/>
    <w:rsid w:val="2CB53128"/>
    <w:rsid w:val="2CD176A6"/>
    <w:rsid w:val="2CE03705"/>
    <w:rsid w:val="2CE5756B"/>
    <w:rsid w:val="2D17630C"/>
    <w:rsid w:val="2D2D3B92"/>
    <w:rsid w:val="2D980C0B"/>
    <w:rsid w:val="2DA36ECA"/>
    <w:rsid w:val="2DFE08A6"/>
    <w:rsid w:val="2E313DDB"/>
    <w:rsid w:val="2EB87CC0"/>
    <w:rsid w:val="2EC16023"/>
    <w:rsid w:val="2ED80F4B"/>
    <w:rsid w:val="2F1B7849"/>
    <w:rsid w:val="2F8D64C0"/>
    <w:rsid w:val="300251B5"/>
    <w:rsid w:val="305C4346"/>
    <w:rsid w:val="310028DA"/>
    <w:rsid w:val="313177DD"/>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7F25F8"/>
    <w:rsid w:val="37095278"/>
    <w:rsid w:val="37260A87"/>
    <w:rsid w:val="376A4991"/>
    <w:rsid w:val="37F5632A"/>
    <w:rsid w:val="388958CC"/>
    <w:rsid w:val="39102AC2"/>
    <w:rsid w:val="393A7B4C"/>
    <w:rsid w:val="39A80794"/>
    <w:rsid w:val="39CB2810"/>
    <w:rsid w:val="39EF57AC"/>
    <w:rsid w:val="3A5F15D0"/>
    <w:rsid w:val="3A7A59C2"/>
    <w:rsid w:val="3A8A5198"/>
    <w:rsid w:val="3AB647BD"/>
    <w:rsid w:val="3B3E3E45"/>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33507F9"/>
    <w:rsid w:val="441915F5"/>
    <w:rsid w:val="45770186"/>
    <w:rsid w:val="459F7826"/>
    <w:rsid w:val="464A1410"/>
    <w:rsid w:val="46F66BD7"/>
    <w:rsid w:val="47341022"/>
    <w:rsid w:val="477E3CE3"/>
    <w:rsid w:val="483B34B0"/>
    <w:rsid w:val="48FD757B"/>
    <w:rsid w:val="491C391B"/>
    <w:rsid w:val="492B09D8"/>
    <w:rsid w:val="498E082D"/>
    <w:rsid w:val="4A720B65"/>
    <w:rsid w:val="4AAF0090"/>
    <w:rsid w:val="4B064935"/>
    <w:rsid w:val="4B090AF7"/>
    <w:rsid w:val="4B220275"/>
    <w:rsid w:val="4B483AD9"/>
    <w:rsid w:val="4B6768D2"/>
    <w:rsid w:val="4BFC05F5"/>
    <w:rsid w:val="4C0F77AD"/>
    <w:rsid w:val="4C6D0410"/>
    <w:rsid w:val="4C8611D9"/>
    <w:rsid w:val="4D02687F"/>
    <w:rsid w:val="4D453DC9"/>
    <w:rsid w:val="4D8D0BEB"/>
    <w:rsid w:val="4DB8268A"/>
    <w:rsid w:val="4DF07C13"/>
    <w:rsid w:val="4E426085"/>
    <w:rsid w:val="4E8B327B"/>
    <w:rsid w:val="4ED74A31"/>
    <w:rsid w:val="4EFD13C2"/>
    <w:rsid w:val="50993D59"/>
    <w:rsid w:val="515512D0"/>
    <w:rsid w:val="516E3E1E"/>
    <w:rsid w:val="51770C66"/>
    <w:rsid w:val="51C92B72"/>
    <w:rsid w:val="51F47B43"/>
    <w:rsid w:val="525C2381"/>
    <w:rsid w:val="52622A40"/>
    <w:rsid w:val="52755F2A"/>
    <w:rsid w:val="532B27D1"/>
    <w:rsid w:val="53A07D90"/>
    <w:rsid w:val="53C43072"/>
    <w:rsid w:val="53EA2B27"/>
    <w:rsid w:val="540B4142"/>
    <w:rsid w:val="5455526C"/>
    <w:rsid w:val="54D21C50"/>
    <w:rsid w:val="55FD3636"/>
    <w:rsid w:val="564C147E"/>
    <w:rsid w:val="56775B43"/>
    <w:rsid w:val="5681710C"/>
    <w:rsid w:val="571950BC"/>
    <w:rsid w:val="57D309C6"/>
    <w:rsid w:val="58B72C33"/>
    <w:rsid w:val="590B70B3"/>
    <w:rsid w:val="592F0C5C"/>
    <w:rsid w:val="59336AE3"/>
    <w:rsid w:val="59A421BC"/>
    <w:rsid w:val="59E15F92"/>
    <w:rsid w:val="59ED3977"/>
    <w:rsid w:val="5A0C0B47"/>
    <w:rsid w:val="5AE86358"/>
    <w:rsid w:val="5B8C578C"/>
    <w:rsid w:val="5B942AB1"/>
    <w:rsid w:val="5BA27CFF"/>
    <w:rsid w:val="5BE34BD9"/>
    <w:rsid w:val="5BEC5827"/>
    <w:rsid w:val="5C2E219B"/>
    <w:rsid w:val="5C6F0596"/>
    <w:rsid w:val="5CB37775"/>
    <w:rsid w:val="5DDA2367"/>
    <w:rsid w:val="5E373F89"/>
    <w:rsid w:val="5E5068C1"/>
    <w:rsid w:val="5E9B5A1F"/>
    <w:rsid w:val="5EFD55DF"/>
    <w:rsid w:val="5F053AC2"/>
    <w:rsid w:val="5F0B5C76"/>
    <w:rsid w:val="5F16731B"/>
    <w:rsid w:val="5F1C71B2"/>
    <w:rsid w:val="5F1D225B"/>
    <w:rsid w:val="5F21657F"/>
    <w:rsid w:val="5F4A1C91"/>
    <w:rsid w:val="5FCA3D8D"/>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476F7F"/>
    <w:rsid w:val="6D684322"/>
    <w:rsid w:val="6DBA0093"/>
    <w:rsid w:val="6E7B4731"/>
    <w:rsid w:val="6E927F94"/>
    <w:rsid w:val="6EEF6407"/>
    <w:rsid w:val="6F555EF3"/>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4B623B5"/>
    <w:rsid w:val="74FC7F63"/>
    <w:rsid w:val="75494092"/>
    <w:rsid w:val="759E0303"/>
    <w:rsid w:val="75AD4B40"/>
    <w:rsid w:val="75FE1A6B"/>
    <w:rsid w:val="767D74C7"/>
    <w:rsid w:val="76820B04"/>
    <w:rsid w:val="76DA4889"/>
    <w:rsid w:val="76E47588"/>
    <w:rsid w:val="77354976"/>
    <w:rsid w:val="776A67F8"/>
    <w:rsid w:val="77DF6978"/>
    <w:rsid w:val="78046151"/>
    <w:rsid w:val="783311DF"/>
    <w:rsid w:val="784F6630"/>
    <w:rsid w:val="78507FEF"/>
    <w:rsid w:val="78B03D86"/>
    <w:rsid w:val="78EA49E2"/>
    <w:rsid w:val="79260D6C"/>
    <w:rsid w:val="79F66BAF"/>
    <w:rsid w:val="7A2F46E7"/>
    <w:rsid w:val="7A4F1784"/>
    <w:rsid w:val="7A5245F9"/>
    <w:rsid w:val="7AF95BE7"/>
    <w:rsid w:val="7B70248C"/>
    <w:rsid w:val="7B932C66"/>
    <w:rsid w:val="7BB02559"/>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2019-05-24T04:31:35Z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