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color w:val="auto"/>
          <w:sz w:val="28"/>
          <w:szCs w:val="28"/>
        </w:rPr>
      </w:pPr>
      <w:bookmarkStart w:id="0" w:name="_Toc19720"/>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spacing w:line="360" w:lineRule="auto"/>
        <w:jc w:val="center"/>
        <w:rPr>
          <w:rFonts w:hint="eastAsia" w:ascii="宋体" w:hAnsi="宋体" w:eastAsia="宋体"/>
          <w:b/>
          <w:bCs/>
          <w:caps/>
          <w:color w:val="auto"/>
          <w:sz w:val="48"/>
          <w:szCs w:val="48"/>
          <w:lang w:eastAsia="zh-CN"/>
        </w:rPr>
      </w:pPr>
      <w:r>
        <w:rPr>
          <w:rFonts w:hint="eastAsia" w:ascii="宋体" w:hAnsi="宋体"/>
          <w:b/>
          <w:bCs/>
          <w:caps/>
          <w:color w:val="auto"/>
          <w:sz w:val="48"/>
          <w:szCs w:val="48"/>
          <w:lang w:eastAsia="zh-CN"/>
        </w:rPr>
        <w:t>仪陇县瓦子镇三鑫页岩砖厂</w:t>
      </w:r>
    </w:p>
    <w:p>
      <w:pPr>
        <w:spacing w:line="360" w:lineRule="auto"/>
        <w:jc w:val="center"/>
        <w:rPr>
          <w:rFonts w:hint="eastAsia" w:ascii="宋体" w:hAnsi="宋体"/>
          <w:b/>
          <w:bCs/>
          <w:caps/>
          <w:color w:val="auto"/>
          <w:sz w:val="48"/>
          <w:szCs w:val="48"/>
        </w:rPr>
      </w:pPr>
    </w:p>
    <w:p>
      <w:pPr>
        <w:spacing w:line="360" w:lineRule="auto"/>
        <w:jc w:val="center"/>
        <w:rPr>
          <w:rFonts w:hint="eastAsia" w:ascii="宋体" w:hAnsi="宋体"/>
          <w:b/>
          <w:bCs/>
          <w:caps/>
          <w:color w:val="auto"/>
          <w:sz w:val="48"/>
          <w:szCs w:val="48"/>
          <w:lang w:eastAsia="zh-CN"/>
        </w:rPr>
      </w:pPr>
      <w:r>
        <w:rPr>
          <w:rFonts w:hint="eastAsia" w:ascii="宋体" w:hAnsi="宋体"/>
          <w:b/>
          <w:bCs/>
          <w:caps/>
          <w:color w:val="auto"/>
          <w:sz w:val="48"/>
          <w:szCs w:val="48"/>
          <w:lang w:eastAsia="zh-CN"/>
        </w:rPr>
        <w:tab/>
      </w:r>
      <w:r>
        <w:rPr>
          <w:rFonts w:hint="eastAsia" w:ascii="宋体" w:hAnsi="宋体"/>
          <w:b/>
          <w:bCs/>
          <w:caps/>
          <w:color w:val="auto"/>
          <w:sz w:val="48"/>
          <w:szCs w:val="48"/>
          <w:lang w:eastAsia="zh-CN"/>
        </w:rPr>
        <w:t>事故风险评估报告</w:t>
      </w:r>
      <w:r>
        <w:rPr>
          <w:rFonts w:hint="eastAsia" w:ascii="宋体" w:hAnsi="宋体"/>
          <w:b/>
          <w:bCs/>
          <w:caps/>
          <w:color w:val="auto"/>
          <w:sz w:val="48"/>
          <w:szCs w:val="48"/>
          <w:lang w:eastAsia="zh-CN"/>
        </w:rPr>
        <w:tab/>
      </w:r>
    </w:p>
    <w:p>
      <w:pPr>
        <w:jc w:val="center"/>
        <w:rPr>
          <w:rFonts w:hint="eastAsia"/>
          <w:color w:val="auto"/>
          <w:sz w:val="32"/>
          <w:szCs w:val="32"/>
        </w:rPr>
      </w:pPr>
    </w:p>
    <w:p>
      <w:pPr>
        <w:jc w:val="center"/>
        <w:rPr>
          <w:color w:val="auto"/>
          <w:sz w:val="32"/>
          <w:szCs w:val="32"/>
        </w:rPr>
      </w:pPr>
    </w:p>
    <w:p>
      <w:pPr>
        <w:jc w:val="center"/>
        <w:rPr>
          <w:rFonts w:hint="eastAsia"/>
          <w:color w:val="auto"/>
          <w:sz w:val="32"/>
          <w:szCs w:val="32"/>
        </w:rPr>
      </w:pPr>
      <w:bookmarkStart w:id="229" w:name="_GoBack"/>
      <w:bookmarkEnd w:id="229"/>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tbl>
      <w:tblPr>
        <w:tblStyle w:val="19"/>
        <w:tblW w:w="8137" w:type="dxa"/>
        <w:jc w:val="center"/>
        <w:tblInd w:w="0" w:type="dxa"/>
        <w:tblLayout w:type="fixed"/>
        <w:tblCellMar>
          <w:top w:w="0" w:type="dxa"/>
          <w:left w:w="108" w:type="dxa"/>
          <w:bottom w:w="0" w:type="dxa"/>
          <w:right w:w="108" w:type="dxa"/>
        </w:tblCellMar>
      </w:tblPr>
      <w:tblGrid>
        <w:gridCol w:w="8137"/>
      </w:tblGrid>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编制单位：</w:t>
            </w:r>
            <w:r>
              <w:rPr>
                <w:rFonts w:hint="eastAsia" w:eastAsia="黑体"/>
                <w:b/>
                <w:bCs/>
                <w:color w:val="auto"/>
                <w:sz w:val="36"/>
                <w:szCs w:val="36"/>
                <w:lang w:eastAsia="zh-CN"/>
              </w:rPr>
              <w:t>仪陇县瓦子镇三鑫页岩砖厂</w:t>
            </w:r>
          </w:p>
        </w:tc>
      </w:tr>
      <w:tr>
        <w:tblPrEx>
          <w:tblLayout w:type="fixed"/>
          <w:tblCellMar>
            <w:top w:w="0" w:type="dxa"/>
            <w:left w:w="108" w:type="dxa"/>
            <w:bottom w:w="0" w:type="dxa"/>
            <w:right w:w="108" w:type="dxa"/>
          </w:tblCellMar>
        </w:tblPrEx>
        <w:trPr>
          <w:jc w:val="center"/>
        </w:trPr>
        <w:tc>
          <w:tcPr>
            <w:tcW w:w="8137" w:type="dxa"/>
            <w:vAlign w:val="center"/>
          </w:tcPr>
          <w:p>
            <w:pPr>
              <w:ind w:firstLine="720"/>
              <w:rPr>
                <w:rFonts w:hint="eastAsia" w:eastAsia="黑体"/>
                <w:bCs/>
                <w:color w:val="auto"/>
                <w:sz w:val="36"/>
                <w:szCs w:val="36"/>
              </w:rPr>
            </w:pPr>
          </w:p>
        </w:tc>
      </w:tr>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编制时间：201</w:t>
            </w:r>
            <w:r>
              <w:rPr>
                <w:rFonts w:hint="eastAsia" w:eastAsia="黑体"/>
                <w:bCs/>
                <w:color w:val="auto"/>
                <w:sz w:val="36"/>
                <w:szCs w:val="36"/>
                <w:lang w:val="en-US" w:eastAsia="zh-CN"/>
              </w:rPr>
              <w:t>9</w:t>
            </w:r>
            <w:r>
              <w:rPr>
                <w:rFonts w:hint="eastAsia" w:eastAsia="黑体"/>
                <w:bCs/>
                <w:color w:val="auto"/>
                <w:sz w:val="36"/>
                <w:szCs w:val="36"/>
              </w:rPr>
              <w:t>年</w:t>
            </w:r>
            <w:r>
              <w:rPr>
                <w:rFonts w:hint="eastAsia" w:eastAsia="黑体"/>
                <w:bCs/>
                <w:color w:val="auto"/>
                <w:sz w:val="36"/>
                <w:szCs w:val="36"/>
                <w:lang w:val="en-US" w:eastAsia="zh-CN"/>
              </w:rPr>
              <w:t>04</w:t>
            </w:r>
            <w:r>
              <w:rPr>
                <w:rFonts w:hint="eastAsia" w:eastAsia="黑体"/>
                <w:bCs/>
                <w:color w:val="auto"/>
                <w:sz w:val="36"/>
                <w:szCs w:val="36"/>
              </w:rPr>
              <w:t>月</w:t>
            </w:r>
            <w:r>
              <w:rPr>
                <w:rFonts w:hint="eastAsia" w:eastAsia="黑体"/>
                <w:bCs/>
                <w:color w:val="auto"/>
                <w:sz w:val="36"/>
                <w:szCs w:val="36"/>
                <w:lang w:val="en-US" w:eastAsia="zh-CN"/>
              </w:rPr>
              <w:t>25</w:t>
            </w:r>
            <w:r>
              <w:rPr>
                <w:rFonts w:hint="eastAsia" w:eastAsia="黑体"/>
                <w:bCs/>
                <w:color w:val="auto"/>
                <w:sz w:val="36"/>
                <w:szCs w:val="36"/>
              </w:rPr>
              <w:t>日</w:t>
            </w:r>
          </w:p>
        </w:tc>
      </w:tr>
    </w:tbl>
    <w:p>
      <w:pPr>
        <w:jc w:val="center"/>
        <w:rPr>
          <w:rFonts w:hint="eastAsia"/>
          <w:color w:val="auto"/>
          <w:sz w:val="32"/>
          <w:szCs w:val="32"/>
        </w:rPr>
      </w:pPr>
    </w:p>
    <w:p>
      <w:pPr>
        <w:widowControl/>
        <w:spacing w:line="560" w:lineRule="exact"/>
        <w:jc w:val="left"/>
        <w:outlineLvl w:val="2"/>
        <w:rPr>
          <w:rFonts w:hint="eastAsia" w:ascii="宋体" w:hAnsi="宋体" w:cs="宋体"/>
          <w:b/>
          <w:bCs/>
          <w:color w:val="auto"/>
          <w:kern w:val="0"/>
          <w:sz w:val="28"/>
          <w:szCs w:val="28"/>
        </w:rPr>
      </w:pPr>
    </w:p>
    <w:p>
      <w:pPr>
        <w:rPr>
          <w:rFonts w:hint="eastAsia"/>
          <w:color w:val="auto"/>
        </w:rPr>
      </w:pPr>
      <w:bookmarkStart w:id="1" w:name="_Toc490472469"/>
      <w:bookmarkStart w:id="2" w:name="_Toc486865993"/>
      <w:bookmarkStart w:id="3" w:name="_Toc1966"/>
      <w:bookmarkStart w:id="4" w:name="_Toc489891867"/>
      <w:bookmarkStart w:id="5" w:name="_Toc481937753"/>
      <w:r>
        <w:rPr>
          <w:rFonts w:hint="eastAsia"/>
          <w:color w:val="auto"/>
        </w:rPr>
        <w:br w:type="page"/>
      </w:r>
    </w:p>
    <w:p>
      <w:pPr>
        <w:rPr>
          <w:rFonts w:hint="eastAsia"/>
        </w:rPr>
        <w:sectPr>
          <w:pgSz w:w="11906" w:h="16838"/>
          <w:pgMar w:top="1440" w:right="1800" w:bottom="1440" w:left="1800" w:header="851" w:footer="992" w:gutter="0"/>
          <w:pgNumType w:fmt="decimal"/>
          <w:cols w:space="425" w:num="1"/>
          <w:docGrid w:type="lines" w:linePitch="312" w:charSpace="0"/>
        </w:sectPr>
      </w:pPr>
    </w:p>
    <w:p>
      <w:pPr>
        <w:pStyle w:val="4"/>
        <w:spacing w:line="360" w:lineRule="auto"/>
        <w:rPr>
          <w:rFonts w:hint="eastAsia"/>
          <w:color w:val="auto"/>
        </w:rPr>
      </w:pPr>
      <w:bookmarkStart w:id="6" w:name="_Toc10859"/>
      <w:bookmarkStart w:id="7" w:name="_Toc7658"/>
      <w:bookmarkStart w:id="8" w:name="_Toc2372"/>
      <w:bookmarkStart w:id="9" w:name="_Toc30139"/>
      <w:bookmarkStart w:id="10" w:name="_Toc32726"/>
      <w:bookmarkStart w:id="11" w:name="_Toc27937"/>
      <w:bookmarkStart w:id="12" w:name="_Toc5540"/>
      <w:bookmarkStart w:id="13" w:name="_Toc21634"/>
      <w:bookmarkStart w:id="14" w:name="_Toc28211"/>
      <w:bookmarkStart w:id="15" w:name="_Toc17105"/>
      <w:bookmarkStart w:id="16" w:name="_Toc6757"/>
      <w:bookmarkStart w:id="17" w:name="_Toc29638"/>
      <w:r>
        <w:rPr>
          <w:rFonts w:hint="eastAsia"/>
          <w:color w:val="auto"/>
        </w:rPr>
        <w:t>目</w:t>
      </w:r>
      <w:r>
        <w:rPr>
          <w:rFonts w:hint="eastAsia"/>
          <w:color w:val="auto"/>
          <w:lang w:val="en-US" w:eastAsia="zh-CN"/>
        </w:rPr>
        <w:t xml:space="preserve">  </w:t>
      </w:r>
      <w:r>
        <w:rPr>
          <w:rFonts w:hint="eastAsia"/>
          <w:color w:val="auto"/>
        </w:rPr>
        <w:t>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15"/>
        <w:tabs>
          <w:tab w:val="right" w:leader="dot" w:pos="9638"/>
        </w:tabs>
        <w:spacing w:line="360" w:lineRule="auto"/>
        <w:rPr>
          <w:rFonts w:ascii="宋体" w:hAnsi="宋体"/>
          <w:color w:val="auto"/>
          <w:sz w:val="24"/>
        </w:rPr>
      </w:pP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TOC \o "1-3" \h \z \u </w:instrText>
      </w:r>
      <w:r>
        <w:rPr>
          <w:rFonts w:hint="eastAsia" w:asciiTheme="minorEastAsia" w:hAnsiTheme="minorEastAsia" w:eastAsiaTheme="minorEastAsia" w:cstheme="minorEastAsia"/>
          <w:color w:val="auto"/>
          <w:sz w:val="21"/>
          <w:szCs w:val="21"/>
        </w:rPr>
        <w:fldChar w:fldCharType="separate"/>
      </w: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_Toc13703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32"/>
        </w:rPr>
        <w:t>1概述</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_Toc13703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_Toc28108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1.1评估的主要依据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_Toc28108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_Toc31538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en-US" w:eastAsia="zh-CN"/>
        </w:rPr>
        <w:t>1.2评估目的</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_Toc31538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_Toc6102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en-US" w:eastAsia="zh-CN"/>
        </w:rPr>
        <w:t>1.3风险评估范围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_Toc6102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_Toc32021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1.4评估程序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_Toc32021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_Toc16069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32"/>
          <w:lang w:val="en-US" w:eastAsia="zh-CN"/>
        </w:rPr>
        <w:t>2</w:t>
      </w:r>
      <w:r>
        <w:rPr>
          <w:rFonts w:hint="eastAsia" w:asciiTheme="minorEastAsia" w:hAnsiTheme="minorEastAsia" w:eastAsiaTheme="minorEastAsia" w:cstheme="minorEastAsia"/>
          <w:szCs w:val="32"/>
        </w:rPr>
        <w:t>公司概况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_Toc16069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_Toc31903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2.1 公司概况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_Toc31903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_Toc29886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2.</w:t>
      </w:r>
      <w:r>
        <w:rPr>
          <w:rFonts w:hint="eastAsia" w:asciiTheme="minorEastAsia" w:hAnsiTheme="minorEastAsia" w:eastAsiaTheme="minorEastAsia" w:cstheme="minorEastAsia"/>
          <w:szCs w:val="28"/>
          <w:lang w:val="en-US" w:eastAsia="zh-CN"/>
        </w:rPr>
        <w:t>1.1</w:t>
      </w:r>
      <w:r>
        <w:rPr>
          <w:rFonts w:hint="eastAsia" w:asciiTheme="minorEastAsia" w:hAnsiTheme="minorEastAsia" w:eastAsiaTheme="minorEastAsia" w:cstheme="minorEastAsia"/>
          <w:szCs w:val="28"/>
        </w:rPr>
        <w:t>公司地理位置及环境等情况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_Toc29886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_Toc2060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2.1.</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总体布置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_Toc2060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_Toc26899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w:t>
      </w:r>
      <w:r>
        <w:rPr>
          <w:rFonts w:hint="eastAsia" w:asciiTheme="minorEastAsia" w:hAnsiTheme="minorEastAsia" w:eastAsiaTheme="minorEastAsia" w:cstheme="minorEastAsia"/>
          <w:szCs w:val="28"/>
        </w:rPr>
        <w:t>1.</w:t>
      </w:r>
      <w:r>
        <w:rPr>
          <w:rFonts w:hint="eastAsia" w:asciiTheme="minorEastAsia" w:hAnsiTheme="minorEastAsia" w:eastAsiaTheme="minorEastAsia" w:cstheme="minorEastAsia"/>
          <w:szCs w:val="28"/>
          <w:lang w:val="en-US" w:eastAsia="zh-CN"/>
        </w:rPr>
        <w:t>3</w:t>
      </w:r>
      <w:r>
        <w:rPr>
          <w:rFonts w:hint="eastAsia" w:asciiTheme="minorEastAsia" w:hAnsiTheme="minorEastAsia" w:eastAsiaTheme="minorEastAsia" w:cstheme="minorEastAsia"/>
          <w:szCs w:val="28"/>
          <w:lang w:val="zh-CN"/>
        </w:rPr>
        <w:t>周边环境</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_Toc26899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_Toc2910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2.1.</w:t>
      </w:r>
      <w:r>
        <w:rPr>
          <w:rFonts w:hint="eastAsia" w:asciiTheme="minorEastAsia" w:hAnsiTheme="minorEastAsia" w:eastAsiaTheme="minorEastAsia" w:cstheme="minorEastAsia"/>
          <w:szCs w:val="28"/>
          <w:lang w:val="en-US" w:eastAsia="zh-CN"/>
        </w:rPr>
        <w:t>4</w:t>
      </w:r>
      <w:r>
        <w:rPr>
          <w:rFonts w:hint="eastAsia" w:asciiTheme="minorEastAsia" w:hAnsiTheme="minorEastAsia" w:eastAsiaTheme="minorEastAsia" w:cstheme="minorEastAsia"/>
          <w:szCs w:val="28"/>
          <w:lang w:val="zh-CN"/>
        </w:rPr>
        <w:t>工艺流程</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_Toc2910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_Toc20940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2.1.</w:t>
      </w:r>
      <w:r>
        <w:rPr>
          <w:rFonts w:hint="eastAsia" w:asciiTheme="minorEastAsia" w:hAnsiTheme="minorEastAsia" w:eastAsiaTheme="minorEastAsia" w:cstheme="minorEastAsia"/>
          <w:szCs w:val="28"/>
          <w:lang w:val="en-US" w:eastAsia="zh-CN"/>
        </w:rPr>
        <w:t>5</w:t>
      </w:r>
      <w:r>
        <w:rPr>
          <w:rFonts w:hint="eastAsia" w:asciiTheme="minorEastAsia" w:hAnsiTheme="minorEastAsia" w:eastAsiaTheme="minorEastAsia" w:cstheme="minorEastAsia"/>
          <w:bCs/>
          <w:i w:val="0"/>
          <w:iCs w:val="0"/>
          <w:szCs w:val="28"/>
        </w:rPr>
        <w:t>主要生产设备情况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_Toc20940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_Toc15943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2.</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rPr>
        <w:t>各方应急力量有关基本情况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_Toc15943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_Toc8819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.1内部应急力量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_Toc8819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_Toc32321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外部应急力量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_Toc32321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_Toc595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32"/>
          <w:lang w:val="en-US" w:eastAsia="zh-CN"/>
        </w:rPr>
        <w:t>3危险、有害因素辨识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_Toc595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_Toc24153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1 危险、有害因素辨识的目的</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_Toc24153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_Toc17794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2 危险、有害因素辨识的依据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_Toc17794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_Toc17030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3 危险、有害因素辨识的方法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_Toc17030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_Toc1905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4 主要危险、有害物质特性分析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_Toc1905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_Toc19069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4.1 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_Toc19069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_Toc15069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4.2 柴油</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_Toc15069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_Toc12387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4.3 一氧化碳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_Toc12387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_Toc25165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4.4 二氧化碳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_Toc25165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_Toc8652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4.5 二氧化硫（三氧化硫参考）</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_Toc8652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_Toc32135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3.4.6 柴油安全数据表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_Toc32135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_Toc3554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3.4.7 氧气安全数据表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_Toc3554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_Toc23454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3.4.8 乙炔安全数据表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_Toc23454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_Toc31155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rPr>
        <w:t>3.5 生产过程危险有害因素分析和辨识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_Toc31155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_Toc16011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5 生产过程危险有害因素分析和辨识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_Toc16011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_Toc13295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5.1 车辆事故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_Toc13295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_Toc25709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5.2 机械伤害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_Toc25709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_Toc19363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5.3 触电事故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_Toc19363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_Toc27618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5.4 高处坠落</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_Toc27618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_Toc2479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5.5 物体打击</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_Toc2479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_Toc29723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5.6 火灾事故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_Toc29723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_Toc27402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w:t>
      </w:r>
      <w:r>
        <w:rPr>
          <w:rFonts w:hint="eastAsia" w:asciiTheme="minorEastAsia" w:hAnsiTheme="minorEastAsia" w:eastAsiaTheme="minorEastAsia" w:cstheme="minorEastAsia"/>
          <w:snapToGrid w:val="0"/>
          <w:kern w:val="0"/>
          <w:szCs w:val="28"/>
          <w:lang w:val="en-US" w:eastAsia="zh-CN"/>
        </w:rPr>
        <w:t>7 坍塌</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_Toc27402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_Toc7830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3.5.8中毒窒息</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_Toc7830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_Toc18964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3.5.9高温灼烫</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_Toc18964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_Toc1957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3.5.10容器爆炸</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_Toc1957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_Toc6019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3.5.11有限空间作业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_Toc6019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_Toc13352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w:t>
      </w:r>
      <w:r>
        <w:rPr>
          <w:rFonts w:hint="eastAsia" w:asciiTheme="minorEastAsia" w:hAnsiTheme="minorEastAsia" w:eastAsiaTheme="minorEastAsia" w:cstheme="minorEastAsia"/>
          <w:snapToGrid w:val="0"/>
          <w:kern w:val="0"/>
          <w:szCs w:val="28"/>
          <w:lang w:val="en-US" w:eastAsia="zh-CN"/>
        </w:rPr>
        <w:t>12</w:t>
      </w:r>
      <w:r>
        <w:rPr>
          <w:rFonts w:hint="eastAsia" w:asciiTheme="minorEastAsia" w:hAnsiTheme="minorEastAsia" w:eastAsiaTheme="minorEastAsia" w:cstheme="minorEastAsia"/>
          <w:snapToGrid w:val="0"/>
          <w:kern w:val="0"/>
          <w:szCs w:val="28"/>
        </w:rPr>
        <w:t xml:space="preserve"> 职业危害因素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_Toc13352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_Toc18351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3.5.13 自然灾害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_Toc18351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_Toc9767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6 厂址安全条件的危险、有害因素辨识与分析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_Toc9767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_Toc32585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 xml:space="preserve">6.1 </w:t>
      </w:r>
      <w:r>
        <w:rPr>
          <w:rFonts w:hint="eastAsia" w:asciiTheme="minorEastAsia" w:hAnsiTheme="minorEastAsia" w:eastAsiaTheme="minorEastAsia" w:cstheme="minorEastAsia"/>
          <w:snapToGrid w:val="0"/>
          <w:kern w:val="0"/>
          <w:szCs w:val="28"/>
          <w:lang w:eastAsia="zh-CN"/>
        </w:rPr>
        <w:t>公司</w:t>
      </w:r>
      <w:r>
        <w:rPr>
          <w:rFonts w:hint="eastAsia" w:asciiTheme="minorEastAsia" w:hAnsiTheme="minorEastAsia" w:eastAsiaTheme="minorEastAsia" w:cstheme="minorEastAsia"/>
          <w:snapToGrid w:val="0"/>
          <w:kern w:val="0"/>
          <w:szCs w:val="28"/>
        </w:rPr>
        <w:t>对周边环境的影响分析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_Toc32585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_Toc5936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6.2 周边环境对</w:t>
      </w:r>
      <w:r>
        <w:rPr>
          <w:rFonts w:hint="eastAsia" w:asciiTheme="minorEastAsia" w:hAnsiTheme="minorEastAsia" w:eastAsiaTheme="minorEastAsia" w:cstheme="minorEastAsia"/>
          <w:snapToGrid w:val="0"/>
          <w:kern w:val="0"/>
          <w:szCs w:val="28"/>
          <w:lang w:eastAsia="zh-CN"/>
        </w:rPr>
        <w:t>公司</w:t>
      </w:r>
      <w:r>
        <w:rPr>
          <w:rFonts w:hint="eastAsia" w:asciiTheme="minorEastAsia" w:hAnsiTheme="minorEastAsia" w:eastAsiaTheme="minorEastAsia" w:cstheme="minorEastAsia"/>
          <w:snapToGrid w:val="0"/>
          <w:kern w:val="0"/>
          <w:szCs w:val="28"/>
        </w:rPr>
        <w:t>的影响分析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_Toc5936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_Toc8901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lang w:val="en-US" w:eastAsia="zh-CN"/>
        </w:rPr>
        <w:t>7</w:t>
      </w:r>
      <w:r>
        <w:rPr>
          <w:rFonts w:hint="eastAsia" w:asciiTheme="minorEastAsia" w:hAnsiTheme="minorEastAsia" w:eastAsiaTheme="minorEastAsia" w:cstheme="minorEastAsia"/>
          <w:snapToGrid w:val="0"/>
          <w:kern w:val="0"/>
          <w:szCs w:val="32"/>
        </w:rPr>
        <w:t xml:space="preserve"> 重大危险源辨识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_Toc8901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_Toc3743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lang w:val="en-US" w:eastAsia="zh-CN"/>
        </w:rPr>
        <w:t>7</w:t>
      </w:r>
      <w:r>
        <w:rPr>
          <w:rFonts w:hint="eastAsia" w:asciiTheme="minorEastAsia" w:hAnsiTheme="minorEastAsia" w:eastAsiaTheme="minorEastAsia" w:cstheme="minorEastAsia"/>
          <w:snapToGrid w:val="0"/>
          <w:kern w:val="0"/>
          <w:szCs w:val="28"/>
        </w:rPr>
        <w:t>.1 辨识依据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_Toc3743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_Toc17906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lang w:val="en-US" w:eastAsia="zh-CN"/>
        </w:rPr>
        <w:t>7</w:t>
      </w:r>
      <w:r>
        <w:rPr>
          <w:rFonts w:hint="eastAsia" w:asciiTheme="minorEastAsia" w:hAnsiTheme="minorEastAsia" w:eastAsiaTheme="minorEastAsia" w:cstheme="minorEastAsia"/>
          <w:snapToGrid w:val="0"/>
          <w:kern w:val="0"/>
          <w:szCs w:val="28"/>
        </w:rPr>
        <w:t>.2 辨识结果</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_Toc17906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_Toc31555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3.8小结</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_Toc31555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_Toc9636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32"/>
          <w:lang w:val="en-US" w:eastAsia="zh-CN"/>
        </w:rPr>
        <w:t>4</w:t>
      </w:r>
      <w:r>
        <w:rPr>
          <w:rFonts w:hint="eastAsia" w:asciiTheme="minorEastAsia" w:hAnsiTheme="minorEastAsia" w:eastAsiaTheme="minorEastAsia" w:cstheme="minorEastAsia"/>
          <w:szCs w:val="32"/>
        </w:rPr>
        <w:t>评估结论与建议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_Toc9636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_Toc29428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en-US" w:eastAsia="zh-CN"/>
        </w:rPr>
        <w:t>4.1总体评价结论</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_Toc29428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_Toc25434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en-US" w:eastAsia="zh-CN"/>
        </w:rPr>
        <w:t>4</w:t>
      </w:r>
      <w:r>
        <w:rPr>
          <w:rFonts w:hint="eastAsia" w:asciiTheme="minorEastAsia" w:hAnsiTheme="minorEastAsia" w:eastAsiaTheme="minorEastAsia" w:cstheme="minorEastAsia"/>
          <w:szCs w:val="28"/>
        </w:rPr>
        <w:t>.</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rPr>
        <w:t>建议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_Toc25434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widowControl/>
        <w:spacing w:line="360" w:lineRule="auto"/>
        <w:jc w:val="left"/>
        <w:outlineLvl w:val="2"/>
        <w:rPr>
          <w:rFonts w:hint="eastAsia" w:ascii="宋体" w:hAnsi="宋体" w:cs="宋体"/>
          <w:b/>
          <w:bCs/>
          <w:color w:val="auto"/>
          <w:kern w:val="0"/>
          <w:sz w:val="28"/>
          <w:szCs w:val="28"/>
        </w:rPr>
      </w:pPr>
      <w:r>
        <w:rPr>
          <w:rFonts w:hint="eastAsia" w:asciiTheme="minorEastAsia" w:hAnsiTheme="minorEastAsia" w:eastAsiaTheme="minorEastAsia" w:cstheme="minorEastAsia"/>
          <w:color w:val="auto"/>
          <w:szCs w:val="21"/>
        </w:rPr>
        <w:fldChar w:fldCharType="end"/>
      </w:r>
    </w:p>
    <w:p>
      <w:pPr>
        <w:numPr>
          <w:ilvl w:val="0"/>
          <w:numId w:val="0"/>
        </w:numPr>
        <w:spacing w:line="360" w:lineRule="auto"/>
        <w:jc w:val="center"/>
        <w:outlineLvl w:val="0"/>
        <w:rPr>
          <w:rFonts w:hint="eastAsia" w:ascii="黑体" w:hAnsi="宋体" w:eastAsia="黑体"/>
          <w:b/>
          <w:color w:val="auto"/>
          <w:sz w:val="32"/>
          <w:szCs w:val="32"/>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spacing w:line="360" w:lineRule="auto"/>
        <w:jc w:val="center"/>
        <w:outlineLvl w:val="0"/>
        <w:rPr>
          <w:rFonts w:hint="eastAsia" w:ascii="黑体" w:hAnsi="宋体" w:eastAsia="黑体"/>
          <w:b/>
          <w:sz w:val="32"/>
          <w:szCs w:val="32"/>
        </w:rPr>
      </w:pPr>
      <w:bookmarkStart w:id="18" w:name="_Toc13703"/>
      <w:bookmarkStart w:id="19" w:name="_Toc1621"/>
      <w:bookmarkStart w:id="20" w:name="_Toc97"/>
      <w:r>
        <w:rPr>
          <w:rFonts w:hint="eastAsia" w:ascii="黑体" w:hAnsi="宋体" w:eastAsia="黑体"/>
          <w:b/>
          <w:sz w:val="32"/>
          <w:szCs w:val="32"/>
        </w:rPr>
        <w:t>1概述</w:t>
      </w:r>
      <w:bookmarkEnd w:id="18"/>
      <w:bookmarkEnd w:id="19"/>
      <w:bookmarkEnd w:id="20"/>
    </w:p>
    <w:p>
      <w:pPr>
        <w:pStyle w:val="5"/>
        <w:spacing w:line="360" w:lineRule="auto"/>
        <w:rPr>
          <w:rFonts w:hint="eastAsia" w:ascii="宋体" w:hAnsi="宋体" w:eastAsia="宋体" w:cs="宋体"/>
          <w:sz w:val="28"/>
          <w:szCs w:val="28"/>
        </w:rPr>
      </w:pPr>
      <w:bookmarkStart w:id="21" w:name="_Toc13902"/>
      <w:bookmarkStart w:id="22" w:name="_Toc28108"/>
      <w:bookmarkStart w:id="23" w:name="_Toc10102"/>
      <w:r>
        <w:rPr>
          <w:rFonts w:hint="eastAsia" w:ascii="宋体" w:hAnsi="宋体" w:eastAsia="宋体" w:cs="宋体"/>
          <w:sz w:val="28"/>
          <w:szCs w:val="28"/>
        </w:rPr>
        <w:t>1.1评估的主要依据</w:t>
      </w:r>
      <w:bookmarkEnd w:id="21"/>
      <w:bookmarkEnd w:id="22"/>
      <w:bookmarkEnd w:id="23"/>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（1）《中华人民共和国安全生产法》（中华人民共和国主席令第13号，自2014年12月1日起施行）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（2）《中华人民共和国劳动法》（中华人民共和国主席令第28号，自1995年1月1日起施行，2009年8月27日修订）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（3）《中华人民共和国职业病防治法》(中华人民共和国主席令第24号，2018年12月29日修订)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（4）《中华人民共和国消防法》（中华人民共和国主席令第6号，自20</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9年</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月</w:t>
      </w:r>
      <w:r>
        <w:rPr>
          <w:rFonts w:hint="eastAsia" w:ascii="宋体" w:hAnsi="宋体" w:cs="宋体"/>
          <w:color w:val="auto"/>
          <w:sz w:val="28"/>
          <w:szCs w:val="28"/>
          <w:lang w:val="en-US" w:eastAsia="zh-CN"/>
        </w:rPr>
        <w:t>23</w:t>
      </w:r>
      <w:r>
        <w:rPr>
          <w:rFonts w:hint="eastAsia" w:ascii="宋体" w:hAnsi="宋体" w:cs="宋体"/>
          <w:color w:val="auto"/>
          <w:sz w:val="28"/>
          <w:szCs w:val="28"/>
          <w:lang w:val="zh-CN" w:eastAsia="zh-CN"/>
        </w:rPr>
        <w:t>日起修订）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（5）《中华人民共和国突发事件应对法》（中华人民共和国主席令第69号，自2007年11月1日起施行）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（6）《中华人民共和国劳动合同法》（主席令第73号，自2013年7月1日起施行）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（7）《中华人民共和国环境保护法》（主席令第9号，自2015年1月1日起施行）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（8）《中华人民共和国特种设备安全法》（主席令第4号，2014年1月1日起实施）；</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（9）《中华人民共和国防震减灾法》（国家主席令第7号，自2009年5月1日起施行）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（10）《工伤保险条例》（国务院第586号令）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（11）《机关、团体、企业事业单位消防安全管理规定》（公安部第61号令）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（12）《有限空间安全作业五条规定》（国家安监总局令[2014]第69号）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（13）《企业安全生产风险公告六条规定》（国家安监总局令[2014]第70号）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（14）《企业安全生产应急管理九条规定》（国家安监总局令[2015]第74号）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（15）《国家安全监管总局办公厅关于印发用人单位劳动防护用品管理规范的通知》（安监总厅安健〔2015〕124号）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（16）《工作场所职业卫生监督管理规定》（国家安监总局令第47号）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（17）《生产安全事故应急预案管理办法》（国家安全生产监督管理总局令第88号）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（18）《生产经营单位生产安全事故应急预案编制导则》（GB/T29639-2013）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（19）《生产安全事故应急条例》（国令第708号，2019年4月1日起施行）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（20）《生产安全事故应急演练评估规范》（AQ/T9009-2015）</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（21）《生产安全事故应急演练指南》（AQ/T 9007-2011）</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22</w:t>
      </w:r>
      <w:r>
        <w:rPr>
          <w:rFonts w:hint="eastAsia" w:ascii="宋体" w:hAnsi="宋体" w:cs="宋体"/>
          <w:color w:val="auto"/>
          <w:sz w:val="28"/>
          <w:szCs w:val="28"/>
          <w:lang w:val="zh-CN" w:eastAsia="zh-CN"/>
        </w:rPr>
        <w:t>）《危险化学品重大危险源辨识》（GB18218-20</w:t>
      </w:r>
      <w:r>
        <w:rPr>
          <w:rFonts w:hint="eastAsia" w:ascii="宋体" w:hAnsi="宋体" w:cs="宋体"/>
          <w:color w:val="auto"/>
          <w:sz w:val="28"/>
          <w:szCs w:val="28"/>
          <w:lang w:val="en-US" w:eastAsia="zh-CN"/>
        </w:rPr>
        <w:t>18</w:t>
      </w:r>
      <w:r>
        <w:rPr>
          <w:rFonts w:hint="eastAsia" w:ascii="宋体" w:hAnsi="宋体" w:cs="宋体"/>
          <w:color w:val="auto"/>
          <w:sz w:val="28"/>
          <w:szCs w:val="28"/>
          <w:lang w:val="zh-CN" w:eastAsia="zh-CN"/>
        </w:rPr>
        <w:t>）</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3</w:t>
      </w:r>
      <w:r>
        <w:rPr>
          <w:rFonts w:hint="eastAsia" w:ascii="宋体" w:hAnsi="宋体" w:cs="宋体"/>
          <w:color w:val="auto"/>
          <w:sz w:val="28"/>
          <w:szCs w:val="28"/>
          <w:lang w:val="zh-CN" w:eastAsia="zh-CN"/>
        </w:rPr>
        <w:t>）《四川省安全生产条例》（2006年11月30日四川省第十届人大常委会第二十四次会议通过）</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）《危险化学品目录》（2015年版）</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5</w:t>
      </w:r>
      <w:r>
        <w:rPr>
          <w:rFonts w:hint="eastAsia" w:ascii="宋体" w:hAnsi="宋体" w:cs="宋体"/>
          <w:color w:val="auto"/>
          <w:sz w:val="28"/>
          <w:szCs w:val="28"/>
          <w:lang w:val="zh-CN" w:eastAsia="zh-CN"/>
        </w:rPr>
        <w:t>）《易燃易爆性商品储存养护技术条件》（GB17914-2013）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6</w:t>
      </w:r>
      <w:r>
        <w:rPr>
          <w:rFonts w:hint="eastAsia" w:ascii="宋体" w:hAnsi="宋体" w:cs="宋体"/>
          <w:color w:val="auto"/>
          <w:sz w:val="28"/>
          <w:szCs w:val="28"/>
          <w:lang w:val="zh-CN" w:eastAsia="zh-CN"/>
        </w:rPr>
        <w:t>）《四川省生产安全事故应急预案管理实施细则》（川安监〔2018〕43号）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7</w:t>
      </w:r>
      <w:r>
        <w:rPr>
          <w:rFonts w:hint="eastAsia" w:ascii="宋体" w:hAnsi="宋体" w:cs="宋体"/>
          <w:color w:val="auto"/>
          <w:sz w:val="28"/>
          <w:szCs w:val="28"/>
          <w:lang w:val="zh-CN" w:eastAsia="zh-CN"/>
        </w:rPr>
        <w:t>）《成都市安全生产监督管理局关于规范生产安全事故应急预案评审备案工作的通知》成安监函〔2018〕9号</w:t>
      </w:r>
    </w:p>
    <w:p>
      <w:pPr>
        <w:pStyle w:val="5"/>
        <w:spacing w:before="0" w:after="0" w:line="360" w:lineRule="auto"/>
        <w:rPr>
          <w:rFonts w:hint="eastAsia" w:ascii="宋体" w:hAnsi="宋体" w:eastAsia="宋体" w:cs="宋体"/>
          <w:color w:val="auto"/>
          <w:sz w:val="28"/>
          <w:szCs w:val="28"/>
          <w:lang w:val="en-US" w:eastAsia="zh-CN"/>
        </w:rPr>
      </w:pPr>
      <w:bookmarkStart w:id="24" w:name="_Toc25561"/>
      <w:bookmarkStart w:id="25" w:name="_Toc16426"/>
      <w:bookmarkStart w:id="26" w:name="_Toc31538"/>
      <w:r>
        <w:rPr>
          <w:rFonts w:hint="eastAsia" w:ascii="宋体" w:hAnsi="宋体" w:eastAsia="宋体" w:cs="宋体"/>
          <w:color w:val="auto"/>
          <w:sz w:val="28"/>
          <w:szCs w:val="28"/>
          <w:lang w:val="en-US" w:eastAsia="zh-CN"/>
        </w:rPr>
        <w:t>1.2评估目的</w:t>
      </w:r>
      <w:bookmarkEnd w:id="24"/>
      <w:bookmarkEnd w:id="25"/>
      <w:bookmarkEnd w:id="26"/>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为规范</w:t>
      </w:r>
      <w:r>
        <w:rPr>
          <w:rFonts w:hint="eastAsia" w:hAnsi="宋体"/>
          <w:sz w:val="28"/>
          <w:szCs w:val="28"/>
          <w:lang w:eastAsia="zh-CN"/>
        </w:rPr>
        <w:t>公司</w:t>
      </w:r>
      <w:r>
        <w:rPr>
          <w:rFonts w:hint="eastAsia" w:hAnsi="宋体"/>
          <w:sz w:val="28"/>
          <w:szCs w:val="28"/>
        </w:rPr>
        <w:t>风险管理工作，识别和分析生产安全作业中的危险有害因素，消除或减少事故危害，确保安全作业，由</w:t>
      </w:r>
      <w:r>
        <w:rPr>
          <w:rFonts w:hint="eastAsia" w:hAnsi="宋体"/>
          <w:sz w:val="28"/>
          <w:szCs w:val="28"/>
          <w:lang w:eastAsia="zh-CN"/>
        </w:rPr>
        <w:t>公司</w:t>
      </w:r>
      <w:r>
        <w:rPr>
          <w:rFonts w:hint="eastAsia" w:hAnsi="宋体"/>
          <w:sz w:val="28"/>
          <w:szCs w:val="28"/>
        </w:rPr>
        <w:t>风险评价小组进行风险评估。</w:t>
      </w:r>
    </w:p>
    <w:p>
      <w:pPr>
        <w:pStyle w:val="5"/>
        <w:spacing w:before="0" w:after="0" w:line="360" w:lineRule="auto"/>
        <w:rPr>
          <w:rFonts w:hint="eastAsia" w:ascii="宋体" w:hAnsi="宋体" w:eastAsia="宋体" w:cs="宋体"/>
          <w:color w:val="auto"/>
          <w:sz w:val="28"/>
          <w:szCs w:val="28"/>
          <w:lang w:val="en-US" w:eastAsia="zh-CN"/>
        </w:rPr>
      </w:pPr>
      <w:bookmarkStart w:id="27" w:name="_Toc19499"/>
      <w:bookmarkStart w:id="28" w:name="_Toc12578"/>
      <w:bookmarkStart w:id="29" w:name="_Toc6102"/>
      <w:r>
        <w:rPr>
          <w:rFonts w:hint="eastAsia" w:ascii="宋体" w:hAnsi="宋体" w:eastAsia="宋体" w:cs="宋体"/>
          <w:color w:val="auto"/>
          <w:sz w:val="28"/>
          <w:szCs w:val="28"/>
          <w:lang w:val="en-US" w:eastAsia="zh-CN"/>
        </w:rPr>
        <w:t>1.3风险评估范围</w:t>
      </w:r>
      <w:bookmarkEnd w:id="27"/>
      <w:bookmarkEnd w:id="28"/>
      <w:bookmarkEnd w:id="29"/>
      <w:r>
        <w:rPr>
          <w:rFonts w:hint="eastAsia" w:ascii="宋体" w:hAnsi="宋体" w:eastAsia="宋体" w:cs="宋体"/>
          <w:color w:val="auto"/>
          <w:sz w:val="28"/>
          <w:szCs w:val="28"/>
          <w:lang w:val="en-US" w:eastAsia="zh-CN"/>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评估范围主要围绕生产经营活动开展，主要包括</w:t>
      </w:r>
      <w:r>
        <w:rPr>
          <w:rFonts w:hint="eastAsia" w:hAnsi="宋体"/>
          <w:sz w:val="28"/>
          <w:szCs w:val="28"/>
          <w:lang w:eastAsia="zh-CN"/>
        </w:rPr>
        <w:t>公司</w:t>
      </w:r>
      <w:r>
        <w:rPr>
          <w:rFonts w:hint="eastAsia" w:hAnsi="宋体"/>
          <w:sz w:val="28"/>
          <w:szCs w:val="28"/>
        </w:rPr>
        <w:t>在生产经营过程的生产工艺装置和储存设施以及配套的公用工程系统的风险性识别和分析。</w:t>
      </w:r>
    </w:p>
    <w:p>
      <w:pPr>
        <w:pStyle w:val="5"/>
        <w:spacing w:before="0" w:after="0" w:line="360" w:lineRule="auto"/>
        <w:rPr>
          <w:rFonts w:hint="eastAsia" w:ascii="宋体" w:hAnsi="宋体" w:eastAsia="宋体" w:cs="宋体"/>
          <w:sz w:val="28"/>
          <w:szCs w:val="28"/>
        </w:rPr>
      </w:pPr>
      <w:bookmarkStart w:id="30" w:name="_Toc32021"/>
      <w:bookmarkStart w:id="31" w:name="_Toc23032"/>
      <w:bookmarkStart w:id="32" w:name="_Toc15923"/>
      <w:r>
        <w:rPr>
          <w:rFonts w:hint="eastAsia" w:ascii="宋体" w:hAnsi="宋体" w:eastAsia="宋体" w:cs="宋体"/>
          <w:sz w:val="28"/>
          <w:szCs w:val="28"/>
        </w:rPr>
        <w:t>1.4评估程序</w:t>
      </w:r>
      <w:bookmarkEnd w:id="30"/>
      <w:bookmarkEnd w:id="31"/>
      <w:bookmarkEnd w:id="32"/>
      <w:r>
        <w:rPr>
          <w:rFonts w:hint="eastAsia" w:ascii="宋体" w:hAnsi="宋体" w:eastAsia="宋体" w:cs="宋体"/>
          <w:sz w:val="28"/>
          <w:szCs w:val="28"/>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1、成立风险评估小组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2、收集分析资料、现场勘察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3、组织进行风险识别和评估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4、评估汇总交</w:t>
      </w:r>
      <w:r>
        <w:rPr>
          <w:rFonts w:hint="eastAsia" w:hAnsi="宋体"/>
          <w:sz w:val="28"/>
          <w:szCs w:val="28"/>
          <w:lang w:eastAsia="zh-CN"/>
        </w:rPr>
        <w:t>公司</w:t>
      </w:r>
      <w:r>
        <w:rPr>
          <w:rFonts w:hint="eastAsia" w:hAnsi="宋体"/>
          <w:sz w:val="28"/>
          <w:szCs w:val="28"/>
        </w:rPr>
        <w:t xml:space="preserve">主要负责人批准 </w:t>
      </w:r>
    </w:p>
    <w:p>
      <w:pPr>
        <w:rPr>
          <w:rFonts w:hint="eastAsia" w:ascii="黑体" w:hAnsi="宋体" w:eastAsia="黑体"/>
          <w:b/>
          <w:color w:val="auto"/>
          <w:sz w:val="32"/>
          <w:szCs w:val="32"/>
          <w:lang w:val="en-US" w:eastAsia="zh-CN"/>
        </w:rPr>
      </w:pPr>
      <w:r>
        <w:rPr>
          <w:rFonts w:hint="eastAsia" w:ascii="黑体" w:hAnsi="宋体" w:eastAsia="黑体"/>
          <w:b/>
          <w:color w:val="auto"/>
          <w:sz w:val="32"/>
          <w:szCs w:val="32"/>
          <w:lang w:val="en-US" w:eastAsia="zh-CN"/>
        </w:rPr>
        <w:br w:type="page"/>
      </w:r>
    </w:p>
    <w:p>
      <w:pPr>
        <w:numPr>
          <w:ilvl w:val="0"/>
          <w:numId w:val="0"/>
        </w:numPr>
        <w:spacing w:line="360" w:lineRule="auto"/>
        <w:jc w:val="center"/>
        <w:outlineLvl w:val="0"/>
        <w:rPr>
          <w:rFonts w:hint="eastAsia" w:ascii="黑体" w:hAnsi="宋体" w:eastAsia="黑体"/>
          <w:b/>
          <w:color w:val="auto"/>
          <w:sz w:val="32"/>
          <w:szCs w:val="32"/>
        </w:rPr>
      </w:pPr>
      <w:bookmarkStart w:id="33" w:name="_Toc16069"/>
      <w:r>
        <w:rPr>
          <w:rFonts w:hint="eastAsia" w:ascii="黑体" w:hAnsi="宋体" w:eastAsia="黑体"/>
          <w:b/>
          <w:color w:val="auto"/>
          <w:sz w:val="32"/>
          <w:szCs w:val="32"/>
          <w:lang w:val="en-US" w:eastAsia="zh-CN"/>
        </w:rPr>
        <w:t>2</w:t>
      </w:r>
      <w:r>
        <w:rPr>
          <w:rFonts w:hint="eastAsia" w:ascii="黑体" w:hAnsi="宋体" w:eastAsia="黑体"/>
          <w:b/>
          <w:color w:val="auto"/>
          <w:sz w:val="32"/>
          <w:szCs w:val="32"/>
        </w:rPr>
        <w:t>公司概况</w:t>
      </w:r>
      <w:bookmarkEnd w:id="0"/>
      <w:bookmarkEnd w:id="33"/>
    </w:p>
    <w:p>
      <w:pPr>
        <w:pStyle w:val="5"/>
        <w:spacing w:before="0" w:after="0" w:line="360" w:lineRule="auto"/>
        <w:rPr>
          <w:rFonts w:hint="eastAsia" w:ascii="宋体" w:hAnsi="宋体" w:eastAsia="宋体" w:cs="宋体"/>
          <w:color w:val="auto"/>
          <w:sz w:val="28"/>
          <w:szCs w:val="28"/>
        </w:rPr>
      </w:pPr>
      <w:bookmarkStart w:id="34" w:name="_Toc31903"/>
      <w:bookmarkStart w:id="35" w:name="_Toc176022617"/>
      <w:bookmarkStart w:id="36" w:name="_Toc332285103"/>
      <w:bookmarkStart w:id="37" w:name="_Toc13200"/>
      <w:bookmarkStart w:id="38" w:name="_Toc480804386"/>
      <w:bookmarkStart w:id="39" w:name="_Toc514342838"/>
      <w:bookmarkStart w:id="40" w:name="_Toc485656588"/>
      <w:r>
        <w:rPr>
          <w:rFonts w:hint="eastAsia" w:ascii="宋体" w:hAnsi="宋体" w:eastAsia="宋体" w:cs="宋体"/>
          <w:color w:val="auto"/>
          <w:sz w:val="28"/>
          <w:szCs w:val="28"/>
        </w:rPr>
        <w:t>2.1 公司概况</w:t>
      </w:r>
      <w:bookmarkEnd w:id="34"/>
    </w:p>
    <w:tbl>
      <w:tblPr>
        <w:tblStyle w:val="20"/>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907"/>
        <w:gridCol w:w="1643"/>
        <w:gridCol w:w="366"/>
        <w:gridCol w:w="113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单位</w:t>
            </w:r>
            <w:r>
              <w:rPr>
                <w:rFonts w:hint="eastAsia" w:hAnsi="宋体" w:eastAsia="Times New Roman" w:cs="宋体"/>
                <w:color w:val="auto"/>
                <w:kern w:val="2"/>
                <w:sz w:val="28"/>
                <w:szCs w:val="28"/>
                <w:lang w:val="zh-CN" w:eastAsia="zh-CN" w:bidi="ar-SA"/>
              </w:rPr>
              <w:t>名称</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仪陇县瓦子镇三鑫页岩砖厂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法人代表</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邱辉</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联系电话</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13990790861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联系人</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李小兵</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成立时间</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auto"/>
                <w:kern w:val="2"/>
                <w:sz w:val="28"/>
                <w:szCs w:val="28"/>
                <w:lang w:val="en-US" w:eastAsia="zh-CN" w:bidi="ar-SA"/>
              </w:rPr>
            </w:pPr>
            <w:r>
              <w:rPr>
                <w:rFonts w:hint="eastAsia" w:ascii="宋体" w:hAnsi="宋体"/>
                <w:color w:val="auto"/>
                <w:sz w:val="28"/>
                <w:szCs w:val="28"/>
                <w:lang w:val="en-US" w:eastAsia="zh-CN"/>
              </w:rPr>
              <w:t>20</w:t>
            </w:r>
            <w:r>
              <w:rPr>
                <w:rFonts w:hint="eastAsia" w:hAnsi="宋体"/>
                <w:color w:val="auto"/>
                <w:sz w:val="28"/>
                <w:szCs w:val="28"/>
                <w:lang w:val="en-US" w:eastAsia="zh-CN"/>
              </w:rPr>
              <w:t>10</w:t>
            </w:r>
            <w:r>
              <w:rPr>
                <w:rFonts w:hint="eastAsia" w:ascii="仿宋_GB2312"/>
                <w:snapToGrid w:val="0"/>
                <w:color w:val="auto"/>
                <w:kern w:val="0"/>
                <w:sz w:val="28"/>
                <w:szCs w:val="28"/>
                <w:lang w:val="en-US" w:eastAsia="zh-CN"/>
              </w:rPr>
              <w:t>年10月14日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企业性质</w:t>
            </w:r>
          </w:p>
        </w:tc>
        <w:tc>
          <w:tcPr>
            <w:tcW w:w="1907"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个人独资企业</w:t>
            </w:r>
          </w:p>
        </w:tc>
        <w:tc>
          <w:tcPr>
            <w:tcW w:w="2009"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en-US" w:eastAsia="zh-CN" w:bidi="ar-SA"/>
              </w:rPr>
              <w:t>注册号</w:t>
            </w:r>
          </w:p>
        </w:tc>
        <w:tc>
          <w:tcPr>
            <w:tcW w:w="3096"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宋体" w:cs="宋体"/>
                <w:color w:val="auto"/>
                <w:kern w:val="2"/>
                <w:sz w:val="28"/>
                <w:szCs w:val="28"/>
                <w:lang w:val="zh-CN" w:eastAsia="zh-CN" w:bidi="ar-SA"/>
              </w:rPr>
            </w:pPr>
            <w:r>
              <w:rPr>
                <w:rFonts w:hint="eastAsia" w:hAnsi="宋体"/>
                <w:szCs w:val="21"/>
                <w:lang w:eastAsia="zh-CN"/>
              </w:rPr>
              <w:t>915113246948034641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通讯地址</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仪陇县瓦子镇解放村二社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行业类别及代码</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zh-CN" w:eastAsia="zh-CN" w:bidi="ar-SA"/>
              </w:rPr>
              <w:t>C</w:t>
            </w:r>
            <w:r>
              <w:rPr>
                <w:rFonts w:hint="eastAsia" w:hAnsi="宋体" w:eastAsia="Times New Roman" w:cs="宋体"/>
                <w:color w:val="auto"/>
                <w:kern w:val="2"/>
                <w:sz w:val="28"/>
                <w:szCs w:val="28"/>
                <w:lang w:val="en-US" w:eastAsia="en-US" w:bidi="ar-SA"/>
              </w:rPr>
              <w:t>3031</w:t>
            </w:r>
            <w:r>
              <w:rPr>
                <w:rFonts w:hint="eastAsia" w:hAnsi="宋体" w:eastAsia="Times New Roman" w:cs="宋体"/>
                <w:color w:val="auto"/>
                <w:kern w:val="2"/>
                <w:sz w:val="28"/>
                <w:szCs w:val="28"/>
                <w:lang w:val="zh-CN" w:eastAsia="zh-CN" w:bidi="ar-SA"/>
              </w:rPr>
              <w:t>粘土砖瓦及建筑砌块制造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企业规模</w:t>
            </w:r>
          </w:p>
        </w:tc>
        <w:tc>
          <w:tcPr>
            <w:tcW w:w="3550"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en-US" w:eastAsia="zh-CN" w:bidi="ar-SA"/>
              </w:rPr>
            </w:pPr>
            <w:r>
              <w:rPr>
                <w:rFonts w:hint="eastAsia" w:hAnsi="宋体" w:cs="宋体"/>
                <w:lang w:val="en-US" w:eastAsia="zh-CN"/>
              </w:rPr>
              <w:t>3</w:t>
            </w:r>
            <w:r>
              <w:rPr>
                <w:rFonts w:hint="eastAsia" w:ascii="宋体" w:hAnsi="宋体" w:eastAsia="宋体" w:cs="宋体"/>
              </w:rPr>
              <w:t>000万标砖/年</w:t>
            </w:r>
          </w:p>
        </w:tc>
        <w:tc>
          <w:tcPr>
            <w:tcW w:w="1500"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占地面积</w:t>
            </w:r>
          </w:p>
        </w:tc>
        <w:tc>
          <w:tcPr>
            <w:tcW w:w="196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cs="宋体"/>
                <w:lang w:val="en-US" w:eastAsia="zh-CN"/>
              </w:rPr>
              <w:t>8387</w:t>
            </w:r>
            <w:r>
              <w:rPr>
                <w:rFonts w:hint="eastAsia" w:ascii="宋体" w:hAnsi="宋体" w:eastAsia="宋体" w:cs="宋体"/>
              </w:rPr>
              <w:t>m</w:t>
            </w:r>
            <w:r>
              <w:rPr>
                <w:rFonts w:hint="eastAsia" w:ascii="宋体" w:hAnsi="宋体" w:eastAsia="宋体" w:cs="宋体"/>
                <w:vertAlign w:val="superscript"/>
              </w:rPr>
              <w:t>2</w:t>
            </w:r>
          </w:p>
        </w:tc>
      </w:tr>
    </w:tbl>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表2-1 单位基本情况一览表</w:t>
      </w:r>
    </w:p>
    <w:p>
      <w:pPr>
        <w:pStyle w:val="12"/>
        <w:spacing w:line="240" w:lineRule="auto"/>
        <w:ind w:firstLine="482" w:firstLineChars="200"/>
        <w:jc w:val="center"/>
        <w:rPr>
          <w:rFonts w:hint="eastAsia" w:ascii="黑体" w:hAnsi="Courier New" w:eastAsia="黑体"/>
          <w:b/>
          <w:color w:val="auto"/>
          <w:sz w:val="24"/>
        </w:rPr>
      </w:pP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en-US" w:eastAsia="zh-CN"/>
        </w:rPr>
        <w:t>仪陇县瓦子镇三鑫页岩砖厂于2009年成立，位于仪陇县瓦子镇解放村二社。现有15人，安全生产管理人员由于总经理邱  辉、厂长李小兵、赵三林、李响军、刘述荣组成。公司生产规模：年产3000万匹页岩砖。</w:t>
      </w:r>
      <w:r>
        <w:rPr>
          <w:rFonts w:hint="eastAsia" w:ascii="宋体" w:hAnsi="宋体" w:cs="宋体"/>
          <w:color w:val="auto"/>
          <w:sz w:val="28"/>
          <w:szCs w:val="28"/>
          <w:lang w:val="zh-CN" w:eastAsia="zh-CN"/>
        </w:rPr>
        <w:t>年生产工作日为330天。焙烧窑24小时燃烧，员工采取白班工作制（每班工作8小时）。</w:t>
      </w:r>
    </w:p>
    <w:p>
      <w:pPr>
        <w:pStyle w:val="5"/>
        <w:spacing w:before="0" w:after="0" w:line="360" w:lineRule="auto"/>
        <w:rPr>
          <w:rFonts w:hint="eastAsia" w:ascii="宋体" w:hAnsi="宋体" w:eastAsia="宋体" w:cs="宋体"/>
          <w:color w:val="0000FF"/>
          <w:sz w:val="28"/>
          <w:szCs w:val="28"/>
        </w:rPr>
      </w:pPr>
      <w:bookmarkStart w:id="41" w:name="_Toc29886"/>
      <w:r>
        <w:rPr>
          <w:rFonts w:hint="eastAsia" w:ascii="宋体" w:hAnsi="宋体" w:eastAsia="宋体" w:cs="宋体"/>
          <w:color w:val="0000FF"/>
          <w:sz w:val="28"/>
          <w:szCs w:val="28"/>
        </w:rPr>
        <w:t>2.</w:t>
      </w:r>
      <w:r>
        <w:rPr>
          <w:rFonts w:hint="eastAsia" w:ascii="宋体" w:hAnsi="宋体" w:eastAsia="宋体" w:cs="宋体"/>
          <w:color w:val="0000FF"/>
          <w:sz w:val="28"/>
          <w:szCs w:val="28"/>
          <w:lang w:val="en-US" w:eastAsia="zh-CN"/>
        </w:rPr>
        <w:t>1.1</w:t>
      </w:r>
      <w:r>
        <w:rPr>
          <w:rFonts w:hint="eastAsia" w:ascii="宋体" w:hAnsi="宋体" w:eastAsia="宋体" w:cs="宋体"/>
          <w:color w:val="0000FF"/>
          <w:sz w:val="28"/>
          <w:szCs w:val="28"/>
        </w:rPr>
        <w:t>公司地理位置及环境等情况</w:t>
      </w:r>
      <w:bookmarkEnd w:id="41"/>
    </w:p>
    <w:p>
      <w:pPr>
        <w:spacing w:line="360" w:lineRule="auto"/>
        <w:ind w:firstLine="560" w:firstLineChars="200"/>
        <w:rPr>
          <w:rFonts w:hint="eastAsia"/>
          <w:color w:val="0000FF"/>
          <w:sz w:val="28"/>
          <w:szCs w:val="28"/>
          <w:lang w:val="en-US" w:eastAsia="zh-CN"/>
        </w:rPr>
      </w:pPr>
      <w:r>
        <w:rPr>
          <w:rFonts w:hint="eastAsia" w:ascii="宋体" w:hAnsi="宋体" w:cs="宋体"/>
          <w:color w:val="auto"/>
          <w:sz w:val="28"/>
          <w:szCs w:val="28"/>
          <w:lang w:val="en-US" w:eastAsia="zh-CN"/>
        </w:rPr>
        <w:t>仪陇县瓦子镇三鑫页岩砖厂</w:t>
      </w:r>
      <w:r>
        <w:rPr>
          <w:rFonts w:hint="eastAsia" w:ascii="宋体" w:hAnsi="宋体" w:cs="宋体"/>
          <w:color w:val="auto"/>
          <w:sz w:val="28"/>
          <w:szCs w:val="28"/>
          <w:lang w:val="zh-CN" w:eastAsia="zh-CN"/>
        </w:rPr>
        <w:t>行政区划隶属仪陇县瓦子镇解放村二社，</w:t>
      </w:r>
      <w:r>
        <w:rPr>
          <w:rFonts w:hint="eastAsia"/>
          <w:color w:val="0000FF"/>
          <w:sz w:val="28"/>
          <w:szCs w:val="28"/>
          <w:lang w:val="en-US" w:eastAsia="zh-CN"/>
        </w:rPr>
        <w:t>途经潆马路约60km可达仪陇县城。厂区有约200m厂区公路与公路（村道）相接，碎石路面，沿村道向东北约4公里可达瓦子镇，向西南行驶约8km可达思德乡，全程路况较好，交通方便。</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瓦子镇位于四川省仪陇县东北部。位于县境东北部，距县城39公里。地处仪（陇）、巴（中）、平（昌）三县市交界地区，东靠平昌县南丰乡，南接立山镇，西临思德、秋垭乡，北与巴中市凤溪乡接壤，距县城90公里，辖11个村72个村民小组，1个居委会、2个居民小组。总户数3214户，总人口12111人。面积36.9平方公里，人口1.6万。辖双龙庙、靛池沟、阎王坡、解放、凉泉、赵奎梁、梓潼山、天院寺、摇铃山、板凳垭、武魁岩、钟鼓楼、炮台、大田坝、金土地、沙坎子16个村委会和瓦子街1个居委会。境内交通发达，市场繁荣。</w:t>
      </w:r>
    </w:p>
    <w:p>
      <w:pPr>
        <w:pStyle w:val="2"/>
        <w:ind w:left="0" w:leftChars="0" w:firstLine="0" w:firstLineChars="0"/>
        <w:rPr>
          <w:rFonts w:hint="eastAsia"/>
          <w:lang w:val="zh-CN" w:eastAsia="zh-CN"/>
        </w:rPr>
      </w:pPr>
      <w:r>
        <w:rPr>
          <w:color w:val="0000FF"/>
          <w:sz w:val="72"/>
        </w:rPr>
        <mc:AlternateContent>
          <mc:Choice Requires="wps">
            <w:drawing>
              <wp:anchor distT="0" distB="0" distL="114300" distR="114300" simplePos="0" relativeHeight="251705344" behindDoc="0" locked="0" layoutInCell="1" allowOverlap="1">
                <wp:simplePos x="0" y="0"/>
                <wp:positionH relativeFrom="column">
                  <wp:posOffset>1678940</wp:posOffset>
                </wp:positionH>
                <wp:positionV relativeFrom="paragraph">
                  <wp:posOffset>1353185</wp:posOffset>
                </wp:positionV>
                <wp:extent cx="1728470" cy="276225"/>
                <wp:effectExtent l="5080" t="5080" r="171450" b="145415"/>
                <wp:wrapNone/>
                <wp:docPr id="53" name="圆角矩形标注 53"/>
                <wp:cNvGraphicFramePr/>
                <a:graphic xmlns:a="http://schemas.openxmlformats.org/drawingml/2006/main">
                  <a:graphicData uri="http://schemas.microsoft.com/office/word/2010/wordprocessingShape">
                    <wps:wsp>
                      <wps:cNvSpPr/>
                      <wps:spPr>
                        <a:xfrm flipH="1">
                          <a:off x="0" y="0"/>
                          <a:ext cx="1728470" cy="276225"/>
                        </a:xfrm>
                        <a:prstGeom prst="wedgeRoundRectCallout">
                          <a:avLst>
                            <a:gd name="adj1" fmla="val -57491"/>
                            <a:gd name="adj2" fmla="val 95208"/>
                            <a:gd name="adj3" fmla="val 16667"/>
                          </a:avLst>
                        </a:prstGeom>
                        <a:noFill/>
                        <a:ln w="9525" cap="flat" cmpd="sng">
                          <a:solidFill>
                            <a:srgbClr val="000000"/>
                          </a:solidFill>
                          <a:prstDash val="solid"/>
                          <a:miter/>
                          <a:headEnd type="none" w="med" len="med"/>
                          <a:tailEnd type="none" w="med" len="med"/>
                        </a:ln>
                      </wps:spPr>
                      <wps:txbx>
                        <w:txbxContent>
                          <w:p>
                            <w:pPr>
                              <w:rPr>
                                <w:color w:val="FF0000"/>
                                <w:sz w:val="18"/>
                                <w:szCs w:val="18"/>
                              </w:rPr>
                            </w:pPr>
                            <w:r>
                              <w:rPr>
                                <w:rFonts w:hint="eastAsia" w:ascii="宋体" w:hAnsi="宋体" w:cs="宋体"/>
                                <w:color w:val="FF0000"/>
                                <w:sz w:val="18"/>
                                <w:szCs w:val="18"/>
                                <w:lang w:val="zh-CN" w:eastAsia="zh-CN"/>
                              </w:rPr>
                              <w:t>仪陇县瓦子镇三鑫页岩砖厂</w:t>
                            </w:r>
                          </w:p>
                        </w:txbxContent>
                      </wps:txbx>
                      <wps:bodyPr upright="1"/>
                    </wps:wsp>
                  </a:graphicData>
                </a:graphic>
              </wp:anchor>
            </w:drawing>
          </mc:Choice>
          <mc:Fallback>
            <w:pict>
              <v:shape id="_x0000_s1026" o:spid="_x0000_s1026" o:spt="62" type="#_x0000_t62" style="position:absolute;left:0pt;flip:x;margin-left:132.2pt;margin-top:106.55pt;height:21.75pt;width:136.1pt;z-index:251705344;mso-width-relative:page;mso-height-relative:page;" filled="f" stroked="t" coordsize="21600,21600" o:gfxdata="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udw2QAAAAsBAAAPAAAAAAAAAAEAIAAAACIAAABkcnMv&#10;ZG93bnJldi54bWxQSwECFAAUAAAACACHTuJAkMhCUjsCAABRBAAADgAAAAAAAAABACAAAAAoAQAA&#10;ZHJzL2Uyb0RvYy54bWxQSwUGAAAAAAYABgBZAQAA1QUAAAAA&#10;" adj="-1618,31365,14400">
                <v:fill on="f" focussize="0,0"/>
                <v:stroke color="#000000" joinstyle="miter"/>
                <v:imagedata o:title=""/>
                <o:lock v:ext="edit" aspectratio="f"/>
                <v:textbox>
                  <w:txbxContent>
                    <w:p>
                      <w:pPr>
                        <w:rPr>
                          <w:color w:val="FF0000"/>
                          <w:sz w:val="18"/>
                          <w:szCs w:val="18"/>
                        </w:rPr>
                      </w:pPr>
                      <w:r>
                        <w:rPr>
                          <w:rFonts w:hint="eastAsia" w:ascii="宋体" w:hAnsi="宋体" w:cs="宋体"/>
                          <w:color w:val="FF0000"/>
                          <w:sz w:val="18"/>
                          <w:szCs w:val="18"/>
                          <w:lang w:val="zh-CN" w:eastAsia="zh-CN"/>
                        </w:rPr>
                        <w:t>仪陇县瓦子镇三鑫页岩砖厂</w:t>
                      </w:r>
                    </w:p>
                  </w:txbxContent>
                </v:textbox>
              </v:shape>
            </w:pict>
          </mc:Fallback>
        </mc:AlternateContent>
      </w:r>
      <w:r>
        <w:drawing>
          <wp:inline distT="0" distB="0" distL="114300" distR="114300">
            <wp:extent cx="6095365" cy="2933065"/>
            <wp:effectExtent l="0" t="0" r="635" b="825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6"/>
                    <a:stretch>
                      <a:fillRect/>
                    </a:stretch>
                  </pic:blipFill>
                  <pic:spPr>
                    <a:xfrm>
                      <a:off x="0" y="0"/>
                      <a:ext cx="6095365" cy="2933065"/>
                    </a:xfrm>
                    <a:prstGeom prst="rect">
                      <a:avLst/>
                    </a:prstGeom>
                    <a:noFill/>
                    <a:ln>
                      <a:noFill/>
                    </a:ln>
                  </pic:spPr>
                </pic:pic>
              </a:graphicData>
            </a:graphic>
          </wp:inline>
        </w:drawing>
      </w:r>
    </w:p>
    <w:p>
      <w:pPr>
        <w:pStyle w:val="12"/>
        <w:spacing w:line="240" w:lineRule="auto"/>
        <w:jc w:val="both"/>
        <w:rPr>
          <w:rFonts w:hint="eastAsia" w:ascii="黑体" w:hAnsi="Courier New" w:eastAsia="黑体"/>
          <w:b/>
          <w:color w:val="auto"/>
          <w:sz w:val="24"/>
          <w:lang w:eastAsia="zh-CN"/>
        </w:rPr>
      </w:pPr>
    </w:p>
    <w:p>
      <w:pPr>
        <w:pStyle w:val="12"/>
        <w:spacing w:line="240" w:lineRule="auto"/>
        <w:ind w:firstLine="482" w:firstLineChars="200"/>
        <w:jc w:val="center"/>
        <w:rPr>
          <w:rFonts w:hint="eastAsia" w:ascii="黑体" w:hAnsi="Courier New" w:eastAsia="黑体"/>
          <w:b/>
          <w:color w:val="auto"/>
          <w:sz w:val="24"/>
          <w:lang w:eastAsia="zh-CN"/>
        </w:rPr>
      </w:pPr>
      <w:r>
        <w:rPr>
          <w:rFonts w:hint="eastAsia" w:ascii="黑体" w:hAnsi="Courier New" w:eastAsia="黑体"/>
          <w:b/>
          <w:color w:val="auto"/>
          <w:sz w:val="24"/>
          <w:lang w:eastAsia="zh-CN"/>
        </w:rPr>
        <w:t>图2-1 地理位置图</w:t>
      </w:r>
    </w:p>
    <w:p>
      <w:pPr>
        <w:pStyle w:val="5"/>
        <w:spacing w:before="0" w:after="0" w:line="360" w:lineRule="auto"/>
        <w:rPr>
          <w:rFonts w:hint="eastAsia" w:ascii="宋体" w:hAnsi="宋体" w:eastAsia="宋体" w:cs="宋体"/>
          <w:color w:val="0000FF"/>
          <w:sz w:val="28"/>
          <w:szCs w:val="28"/>
          <w:lang w:val="en-US" w:eastAsia="zh-CN"/>
        </w:rPr>
      </w:pPr>
      <w:bookmarkStart w:id="42" w:name="_Toc2060"/>
      <w:r>
        <w:rPr>
          <w:rFonts w:hint="eastAsia" w:ascii="宋体" w:hAnsi="宋体" w:eastAsia="宋体" w:cs="宋体"/>
          <w:color w:val="0000FF"/>
          <w:sz w:val="28"/>
          <w:szCs w:val="28"/>
          <w:lang w:val="zh-CN"/>
        </w:rPr>
        <w:t>2.1.</w:t>
      </w:r>
      <w:r>
        <w:rPr>
          <w:rFonts w:hint="eastAsia" w:ascii="宋体" w:hAnsi="宋体" w:eastAsia="宋体" w:cs="宋体"/>
          <w:color w:val="0000FF"/>
          <w:sz w:val="28"/>
          <w:szCs w:val="28"/>
          <w:lang w:val="en-US" w:eastAsia="zh-CN"/>
        </w:rPr>
        <w:t>2</w:t>
      </w:r>
      <w:r>
        <w:rPr>
          <w:rFonts w:hint="eastAsia" w:ascii="宋体" w:hAnsi="宋体" w:eastAsia="宋体" w:cs="宋体"/>
          <w:color w:val="0000FF"/>
          <w:sz w:val="28"/>
          <w:szCs w:val="28"/>
          <w:lang w:val="zh-CN"/>
        </w:rPr>
        <w:t>总体布置</w:t>
      </w:r>
      <w:bookmarkEnd w:id="42"/>
    </w:p>
    <w:p>
      <w:pPr>
        <w:spacing w:line="360" w:lineRule="auto"/>
        <w:ind w:firstLine="562" w:firstLineChars="200"/>
        <w:rPr>
          <w:rFonts w:hint="eastAsia" w:ascii="宋体"/>
          <w:b/>
          <w:bCs/>
          <w:snapToGrid w:val="0"/>
          <w:color w:val="0000FF"/>
          <w:kern w:val="0"/>
          <w:sz w:val="28"/>
          <w:szCs w:val="28"/>
          <w:lang w:val="en-US" w:eastAsia="en-US"/>
        </w:rPr>
      </w:pPr>
      <w:r>
        <w:rPr>
          <w:rFonts w:hint="eastAsia" w:ascii="宋体" w:eastAsia="宋体"/>
          <w:b/>
          <w:bCs/>
          <w:snapToGrid w:val="0"/>
          <w:color w:val="0000FF"/>
          <w:kern w:val="0"/>
          <w:sz w:val="28"/>
          <w:szCs w:val="28"/>
          <w:lang w:val="en-US" w:eastAsia="zh-CN"/>
        </w:rPr>
        <w:t>1、</w:t>
      </w:r>
      <w:r>
        <w:rPr>
          <w:rFonts w:hint="eastAsia" w:ascii="宋体"/>
          <w:b/>
          <w:bCs/>
          <w:snapToGrid w:val="0"/>
          <w:color w:val="0000FF"/>
          <w:kern w:val="0"/>
          <w:sz w:val="28"/>
          <w:szCs w:val="28"/>
          <w:lang w:val="zh-CN" w:eastAsia="zh-CN"/>
        </w:rPr>
        <w:t>总平面布置</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砖厂</w:t>
      </w:r>
      <w:r>
        <w:rPr>
          <w:rFonts w:hint="eastAsia" w:ascii="宋体" w:hAnsi="宋体" w:cs="宋体"/>
          <w:color w:val="auto"/>
          <w:sz w:val="28"/>
          <w:szCs w:val="28"/>
          <w:lang w:val="zh-CN" w:eastAsia="zh-CN"/>
        </w:rPr>
        <w:t>占地</w:t>
      </w:r>
      <w:r>
        <w:rPr>
          <w:rFonts w:hint="eastAsia" w:ascii="宋体" w:hAnsi="宋体" w:cs="宋体"/>
          <w:color w:val="auto"/>
          <w:sz w:val="28"/>
          <w:szCs w:val="28"/>
          <w:lang w:val="en-US" w:eastAsia="en-US"/>
        </w:rPr>
        <w:t>8387</w:t>
      </w:r>
      <w:r>
        <w:rPr>
          <w:rFonts w:hint="eastAsia" w:ascii="宋体" w:hAnsi="宋体" w:cs="宋体"/>
          <w:color w:val="auto"/>
          <w:sz w:val="28"/>
          <w:szCs w:val="28"/>
          <w:lang w:val="zh-CN" w:eastAsia="zh-CN"/>
        </w:rPr>
        <w:t>m</w:t>
      </w:r>
      <w:r>
        <w:rPr>
          <w:rFonts w:hint="eastAsia" w:ascii="宋体" w:hAnsi="宋体" w:cs="宋体"/>
          <w:color w:val="auto"/>
          <w:sz w:val="28"/>
          <w:szCs w:val="28"/>
          <w:vertAlign w:val="superscript"/>
          <w:lang w:val="en-US" w:eastAsia="zh-CN"/>
        </w:rPr>
        <w:t>2</w:t>
      </w:r>
      <w:r>
        <w:rPr>
          <w:rFonts w:hint="eastAsia" w:ascii="宋体" w:hAnsi="宋体" w:cs="宋体"/>
          <w:color w:val="auto"/>
          <w:sz w:val="28"/>
          <w:szCs w:val="28"/>
          <w:lang w:val="en-US" w:eastAsia="zh-CN"/>
        </w:rPr>
        <w:t>，</w:t>
      </w:r>
      <w:r>
        <w:rPr>
          <w:rFonts w:hint="eastAsia" w:ascii="宋体" w:hAnsi="宋体" w:cs="宋体"/>
          <w:color w:val="auto"/>
          <w:sz w:val="28"/>
          <w:szCs w:val="28"/>
          <w:lang w:val="zh-CN" w:eastAsia="zh-CN"/>
        </w:rPr>
        <w:t>厂房及办公楼1700平方米，26门轮窑生产线1条（</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条燥窑，1条焙烧窑），</w:t>
      </w:r>
      <w:r>
        <w:rPr>
          <w:rFonts w:hint="eastAsia" w:ascii="宋体" w:hAnsi="宋体" w:cs="宋体"/>
          <w:color w:val="auto"/>
          <w:sz w:val="28"/>
          <w:szCs w:val="28"/>
          <w:lang w:val="en-US" w:eastAsia="zh-CN"/>
        </w:rPr>
        <w:t>总平面布置较为简单，厂区用地按功能用途分为办公生活区、生产区，并将生产区与办公生活区分开布置。</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矿区坐北朝南，北面靠山（坡地），南面为矿山作业广场，东、西面基本属荒坡，夹杂部分耕地。砖厂窑体位于矿山东南侧，距采场底盘约70m。生活区位于厂区南面，建筑结构拟为砖混结构。其余工序按破碎—筛选―搅拌—陈化—切坯―码坯—干燥—焙烧工序依次设置，布局紧凑，工作方便。详情如图2-2所示</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综上，厂内各生产工序有机结合，有利于生产活动的开展，各地块利用功能集中且合理清楚，总平面布置较合理。</w:t>
      </w:r>
    </w:p>
    <w:p>
      <w:pPr>
        <w:pStyle w:val="2"/>
        <w:ind w:left="0" w:leftChars="0" w:firstLine="0" w:firstLineChars="0"/>
        <w:rPr>
          <w:rFonts w:hint="eastAsia"/>
          <w:lang w:val="zh-CN" w:eastAsia="zh-CN"/>
        </w:rPr>
      </w:pPr>
      <w:r>
        <w:drawing>
          <wp:inline distT="0" distB="0" distL="114300" distR="114300">
            <wp:extent cx="5974715" cy="3270250"/>
            <wp:effectExtent l="0" t="0" r="14605" b="635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7"/>
                    <a:stretch>
                      <a:fillRect/>
                    </a:stretch>
                  </pic:blipFill>
                  <pic:spPr>
                    <a:xfrm>
                      <a:off x="0" y="0"/>
                      <a:ext cx="5974715" cy="3270250"/>
                    </a:xfrm>
                    <a:prstGeom prst="rect">
                      <a:avLst/>
                    </a:prstGeom>
                    <a:noFill/>
                    <a:ln>
                      <a:noFill/>
                    </a:ln>
                  </pic:spPr>
                </pic:pic>
              </a:graphicData>
            </a:graphic>
          </wp:inline>
        </w:drawing>
      </w:r>
    </w:p>
    <w:p>
      <w:pPr>
        <w:pStyle w:val="12"/>
        <w:spacing w:line="240" w:lineRule="auto"/>
        <w:ind w:firstLine="482" w:firstLineChars="200"/>
        <w:jc w:val="center"/>
        <w:rPr>
          <w:rFonts w:hint="default" w:ascii="黑体" w:hAnsi="Courier New" w:eastAsia="黑体"/>
          <w:b/>
          <w:color w:val="auto"/>
          <w:sz w:val="24"/>
          <w:lang w:val="en-US"/>
        </w:rPr>
      </w:pPr>
      <w:r>
        <w:rPr>
          <w:rFonts w:hint="eastAsia" w:ascii="黑体" w:hAnsi="Courier New" w:eastAsia="黑体"/>
          <w:b/>
          <w:color w:val="auto"/>
          <w:sz w:val="24"/>
          <w:lang w:eastAsia="zh-CN"/>
        </w:rPr>
        <w:t>图</w:t>
      </w:r>
      <w:r>
        <w:rPr>
          <w:rFonts w:hint="eastAsia" w:ascii="黑体" w:hAnsi="Courier New" w:eastAsia="黑体"/>
          <w:b/>
          <w:color w:val="auto"/>
          <w:sz w:val="24"/>
          <w:lang w:val="en-US" w:eastAsia="zh-CN"/>
        </w:rPr>
        <w:t>2-2  总平面布局示意图</w:t>
      </w:r>
    </w:p>
    <w:p>
      <w:pPr>
        <w:pStyle w:val="5"/>
        <w:spacing w:before="0" w:after="0" w:line="360" w:lineRule="auto"/>
        <w:rPr>
          <w:rFonts w:hint="eastAsia" w:ascii="宋体" w:hAnsi="宋体" w:eastAsia="宋体" w:cs="宋体"/>
          <w:color w:val="auto"/>
          <w:sz w:val="28"/>
          <w:szCs w:val="28"/>
          <w:lang w:val="zh-CN"/>
        </w:rPr>
      </w:pPr>
      <w:bookmarkStart w:id="43" w:name="_Toc26899"/>
      <w:r>
        <w:rPr>
          <w:rFonts w:hint="eastAsia" w:ascii="宋体" w:hAnsi="宋体" w:eastAsia="宋体" w:cs="宋体"/>
          <w:color w:val="auto"/>
          <w:sz w:val="28"/>
          <w:szCs w:val="28"/>
          <w:lang w:val="zh-CN"/>
        </w:rPr>
        <w:t>2.</w:t>
      </w: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rPr>
        <w:t>周边环境</w:t>
      </w:r>
      <w:bookmarkEnd w:id="43"/>
    </w:p>
    <w:p>
      <w:pPr>
        <w:spacing w:line="360" w:lineRule="auto"/>
        <w:ind w:firstLine="560" w:firstLineChars="200"/>
        <w:rPr>
          <w:rFonts w:hint="eastAsia" w:ascii="宋体" w:hAnsi="宋体"/>
          <w:sz w:val="28"/>
          <w:szCs w:val="28"/>
        </w:rPr>
      </w:pPr>
      <w:r>
        <w:rPr>
          <w:rFonts w:hint="eastAsia" w:ascii="宋体" w:hAnsi="宋体"/>
          <w:sz w:val="28"/>
          <w:szCs w:val="28"/>
          <w:lang w:val="zh-CN" w:eastAsia="zh-CN"/>
        </w:rPr>
        <w:t>仪陇县瓦子镇三鑫页岩砖厂位于仪陇县瓦子镇解放村二社，当地为农村环境，无其他工业生产项目，环境现状良好。厂区</w:t>
      </w:r>
      <w:r>
        <w:rPr>
          <w:rFonts w:hint="eastAsia" w:ascii="宋体" w:hAnsi="宋体"/>
          <w:sz w:val="28"/>
          <w:szCs w:val="28"/>
        </w:rPr>
        <w:t>朝向近似座北朝南，</w:t>
      </w:r>
      <w:r>
        <w:rPr>
          <w:rFonts w:hint="eastAsia" w:ascii="宋体" w:hAnsi="宋体"/>
          <w:sz w:val="28"/>
          <w:szCs w:val="28"/>
          <w:lang w:val="zh-CN" w:eastAsia="zh-CN"/>
        </w:rPr>
        <w:t>厂区西侧厂界外52米和72米处有两户农户</w:t>
      </w:r>
      <w:r>
        <w:rPr>
          <w:rFonts w:hint="eastAsia" w:ascii="宋体" w:hAnsi="宋体"/>
          <w:sz w:val="28"/>
          <w:szCs w:val="28"/>
          <w:lang w:val="en-US" w:eastAsia="en-US"/>
        </w:rPr>
        <w:t>（6</w:t>
      </w:r>
      <w:r>
        <w:rPr>
          <w:rFonts w:hint="eastAsia" w:ascii="宋体" w:hAnsi="宋体"/>
          <w:sz w:val="28"/>
          <w:szCs w:val="28"/>
          <w:lang w:val="zh-CN" w:eastAsia="zh-CN"/>
        </w:rPr>
        <w:t>人）；其余厂界外均为山地和林地。</w:t>
      </w:r>
      <w:r>
        <w:rPr>
          <w:rFonts w:hint="eastAsia" w:ascii="宋体" w:hAnsi="宋体"/>
          <w:sz w:val="28"/>
          <w:szCs w:val="28"/>
          <w:lang w:eastAsia="zh-CN"/>
        </w:rPr>
        <w:t>公司</w:t>
      </w:r>
      <w:r>
        <w:rPr>
          <w:rFonts w:hint="eastAsia" w:ascii="宋体" w:hAnsi="宋体"/>
          <w:sz w:val="28"/>
          <w:szCs w:val="28"/>
        </w:rPr>
        <w:t>厂界南侧和东侧为耕地和林地没</w:t>
      </w:r>
      <w:r>
        <w:rPr>
          <w:rFonts w:hint="eastAsia" w:ascii="宋体" w:hAnsi="宋体"/>
          <w:sz w:val="28"/>
          <w:szCs w:val="28"/>
          <w:lang w:eastAsia="zh-CN"/>
        </w:rPr>
        <w:t>有居</w:t>
      </w:r>
      <w:r>
        <w:rPr>
          <w:rFonts w:hint="eastAsia" w:ascii="宋体" w:hAnsi="宋体"/>
          <w:sz w:val="28"/>
          <w:szCs w:val="28"/>
        </w:rPr>
        <w:t>民</w:t>
      </w:r>
      <w:r>
        <w:rPr>
          <w:rFonts w:hint="eastAsia" w:ascii="宋体" w:hAnsi="宋体"/>
          <w:sz w:val="28"/>
          <w:szCs w:val="28"/>
          <w:lang w:eastAsia="zh-CN"/>
        </w:rPr>
        <w:t>居</w:t>
      </w:r>
      <w:r>
        <w:rPr>
          <w:rFonts w:hint="eastAsia" w:ascii="宋体" w:hAnsi="宋体"/>
          <w:sz w:val="28"/>
          <w:szCs w:val="28"/>
        </w:rPr>
        <w:t>住，</w:t>
      </w:r>
      <w:r>
        <w:rPr>
          <w:rFonts w:hint="eastAsia" w:ascii="宋体" w:hAnsi="宋体"/>
          <w:sz w:val="28"/>
          <w:szCs w:val="28"/>
          <w:lang w:eastAsia="zh-CN"/>
        </w:rPr>
        <w:t>公司</w:t>
      </w:r>
      <w:r>
        <w:rPr>
          <w:rFonts w:hint="eastAsia" w:ascii="宋体" w:hAnsi="宋体"/>
          <w:sz w:val="28"/>
          <w:szCs w:val="28"/>
        </w:rPr>
        <w:t>北</w:t>
      </w:r>
      <w:r>
        <w:rPr>
          <w:rFonts w:hint="eastAsia" w:ascii="宋体" w:hAnsi="宋体" w:eastAsia="宋体"/>
          <w:sz w:val="28"/>
          <w:szCs w:val="28"/>
          <w:lang w:eastAsia="zh-CN"/>
        </w:rPr>
        <w:t>面</w:t>
      </w:r>
      <w:r>
        <w:rPr>
          <w:rFonts w:hint="eastAsia" w:ascii="宋体" w:hAnsi="宋体"/>
          <w:sz w:val="28"/>
          <w:szCs w:val="28"/>
        </w:rPr>
        <w:t>为</w:t>
      </w:r>
      <w:r>
        <w:rPr>
          <w:rFonts w:hint="eastAsia" w:ascii="宋体" w:hAnsi="宋体" w:eastAsia="宋体"/>
          <w:sz w:val="28"/>
          <w:szCs w:val="28"/>
          <w:lang w:eastAsia="zh-CN"/>
        </w:rPr>
        <w:t>矿山和林地</w:t>
      </w:r>
      <w:r>
        <w:rPr>
          <w:rFonts w:hint="eastAsia" w:ascii="宋体" w:hAnsi="宋体"/>
          <w:sz w:val="28"/>
          <w:szCs w:val="28"/>
        </w:rPr>
        <w:t>，砖厂大门朝向</w:t>
      </w:r>
      <w:r>
        <w:rPr>
          <w:rFonts w:hint="eastAsia" w:ascii="宋体" w:hAnsi="宋体" w:eastAsia="宋体"/>
          <w:sz w:val="28"/>
          <w:szCs w:val="28"/>
          <w:lang w:eastAsia="zh-CN"/>
        </w:rPr>
        <w:t>南</w:t>
      </w:r>
      <w:r>
        <w:rPr>
          <w:rFonts w:hint="eastAsia" w:ascii="宋体" w:hAnsi="宋体"/>
          <w:sz w:val="28"/>
          <w:szCs w:val="28"/>
        </w:rPr>
        <w:t>面与村公路相连。</w:t>
      </w:r>
    </w:p>
    <w:p>
      <w:pPr>
        <w:spacing w:line="360" w:lineRule="auto"/>
        <w:ind w:firstLine="560" w:firstLineChars="200"/>
        <w:rPr>
          <w:rFonts w:hint="eastAsia" w:ascii="宋体" w:hAnsi="宋体"/>
          <w:sz w:val="28"/>
          <w:szCs w:val="28"/>
        </w:rPr>
      </w:pPr>
      <w:r>
        <w:rPr>
          <w:rFonts w:hint="eastAsia" w:ascii="宋体" w:hAnsi="宋体"/>
          <w:sz w:val="28"/>
          <w:szCs w:val="28"/>
        </w:rPr>
        <w:t>除此外厂区四周200m安全警戒范围内，无其它</w:t>
      </w:r>
      <w:r>
        <w:rPr>
          <w:rFonts w:ascii="宋体" w:hAnsi="宋体"/>
          <w:sz w:val="28"/>
          <w:szCs w:val="28"/>
        </w:rPr>
        <w:t>矿山（包括闭坑矿山）、尾矿库、铁路、</w:t>
      </w:r>
      <w:r>
        <w:rPr>
          <w:rFonts w:hint="eastAsia" w:ascii="宋体" w:hAnsi="宋体"/>
          <w:sz w:val="28"/>
          <w:szCs w:val="28"/>
        </w:rPr>
        <w:t>河流、</w:t>
      </w:r>
      <w:r>
        <w:rPr>
          <w:rFonts w:ascii="宋体" w:hAnsi="宋体"/>
          <w:sz w:val="28"/>
          <w:szCs w:val="28"/>
        </w:rPr>
        <w:t>风景区、重要工农业设施、名胜古迹以及其他需要保护的对象。</w:t>
      </w:r>
      <w:r>
        <w:rPr>
          <w:rFonts w:hint="eastAsia" w:ascii="宋体" w:hAnsi="宋体"/>
          <w:sz w:val="28"/>
          <w:szCs w:val="28"/>
        </w:rPr>
        <w:t>厂址周边环境良好，无相互制约因素。具体情况如图</w:t>
      </w:r>
      <w:r>
        <w:rPr>
          <w:rFonts w:hint="eastAsia" w:ascii="宋体" w:hAnsi="宋体" w:eastAsia="宋体"/>
          <w:sz w:val="28"/>
          <w:szCs w:val="28"/>
          <w:lang w:val="en-US" w:eastAsia="zh-CN"/>
        </w:rPr>
        <w:t>2-3</w:t>
      </w:r>
      <w:r>
        <w:rPr>
          <w:rFonts w:hint="eastAsia" w:ascii="宋体" w:hAnsi="宋体"/>
          <w:sz w:val="28"/>
          <w:szCs w:val="28"/>
        </w:rPr>
        <w:t>所示：</w:t>
      </w:r>
    </w:p>
    <w:p>
      <w:pPr>
        <w:pStyle w:val="2"/>
        <w:rPr>
          <w:rFonts w:hint="eastAsia"/>
          <w:lang w:val="en-US" w:eastAsia="zh-CN"/>
        </w:rPr>
      </w:pPr>
    </w:p>
    <w:p>
      <w:pPr>
        <w:spacing w:line="360" w:lineRule="auto"/>
        <w:rPr>
          <w:rFonts w:hint="eastAsia" w:ascii="宋体" w:hAnsi="宋体"/>
          <w:sz w:val="28"/>
          <w:szCs w:val="28"/>
        </w:rPr>
      </w:pPr>
      <w:r>
        <w:rPr>
          <w:sz w:val="21"/>
        </w:rPr>
        <mc:AlternateContent>
          <mc:Choice Requires="wps">
            <w:drawing>
              <wp:anchor distT="0" distB="0" distL="114300" distR="114300" simplePos="0" relativeHeight="251712512" behindDoc="0" locked="0" layoutInCell="1" allowOverlap="1">
                <wp:simplePos x="0" y="0"/>
                <wp:positionH relativeFrom="column">
                  <wp:posOffset>3428365</wp:posOffset>
                </wp:positionH>
                <wp:positionV relativeFrom="paragraph">
                  <wp:posOffset>1184275</wp:posOffset>
                </wp:positionV>
                <wp:extent cx="394970" cy="1572895"/>
                <wp:effectExtent l="0" t="0" r="0" b="0"/>
                <wp:wrapNone/>
                <wp:docPr id="57" name="矩形 57"/>
                <wp:cNvGraphicFramePr/>
                <a:graphic xmlns:a="http://schemas.openxmlformats.org/drawingml/2006/main">
                  <a:graphicData uri="http://schemas.microsoft.com/office/word/2010/wordprocessingShape">
                    <wps:wsp>
                      <wps:cNvSpPr/>
                      <wps:spPr>
                        <a:xfrm>
                          <a:off x="0" y="0"/>
                          <a:ext cx="394970" cy="1572895"/>
                        </a:xfrm>
                        <a:prstGeom prst="rect">
                          <a:avLst/>
                        </a:prstGeom>
                        <a:noFill/>
                        <a:ln>
                          <a:noFill/>
                        </a:ln>
                      </wps:spPr>
                      <wps:txbx>
                        <w:txbxContent>
                          <w:p>
                            <w:pPr>
                              <w:rPr>
                                <w:b/>
                                <w:bCs/>
                                <w:color w:val="FF0000"/>
                                <w:sz w:val="18"/>
                                <w:szCs w:val="18"/>
                              </w:rPr>
                            </w:pPr>
                            <w:r>
                              <w:rPr>
                                <w:rFonts w:hint="eastAsia" w:ascii="宋体" w:hAnsi="宋体" w:cs="宋体"/>
                                <w:b/>
                                <w:bCs/>
                                <w:color w:val="FF0000"/>
                                <w:sz w:val="18"/>
                                <w:szCs w:val="18"/>
                                <w:lang w:val="zh-CN" w:eastAsia="zh-CN"/>
                              </w:rPr>
                              <w:t>仪陇县瓦子镇三鑫页岩砖厂</w:t>
                            </w:r>
                          </w:p>
                          <w:p>
                            <w:pPr>
                              <w:rPr>
                                <w:b/>
                                <w:bCs/>
                              </w:rPr>
                            </w:pPr>
                          </w:p>
                        </w:txbxContent>
                      </wps:txbx>
                      <wps:bodyPr vert="eaVert" upright="1"/>
                    </wps:wsp>
                  </a:graphicData>
                </a:graphic>
              </wp:anchor>
            </w:drawing>
          </mc:Choice>
          <mc:Fallback>
            <w:pict>
              <v:rect id="_x0000_s1026" o:spid="_x0000_s1026" o:spt="1" style="position:absolute;left:0pt;margin-left:269.95pt;margin-top:93.25pt;height:123.85pt;width:31.1pt;z-index:251712512;mso-width-relative:page;mso-height-relative:page;" filled="f" stroked="f" coordsize="21600,21600" o:gfxdata="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xuG22wAAAAsBAAAPAAAAAAAAAAEAIAAAACIAAABkcnMv&#10;ZG93bnJldi54bWxQSwECFAAUAAAACACHTuJAXU5MxY4BAAADAwAADgAAAAAAAAABACAAAAAqAQAA&#10;ZHJzL2Uyb0RvYy54bWxQSwUGAAAAAAYABgBZAQAAKgUAAAAA&#10;">
                <v:fill on="f" focussize="0,0"/>
                <v:stroke on="f"/>
                <v:imagedata o:title=""/>
                <o:lock v:ext="edit" aspectratio="f"/>
                <v:textbox style="layout-flow:vertical-ideographic;">
                  <w:txbxContent>
                    <w:p>
                      <w:pPr>
                        <w:rPr>
                          <w:b/>
                          <w:bCs/>
                          <w:color w:val="FF0000"/>
                          <w:sz w:val="18"/>
                          <w:szCs w:val="18"/>
                        </w:rPr>
                      </w:pPr>
                      <w:r>
                        <w:rPr>
                          <w:rFonts w:hint="eastAsia" w:ascii="宋体" w:hAnsi="宋体" w:cs="宋体"/>
                          <w:b/>
                          <w:bCs/>
                          <w:color w:val="FF0000"/>
                          <w:sz w:val="18"/>
                          <w:szCs w:val="18"/>
                          <w:lang w:val="zh-CN" w:eastAsia="zh-CN"/>
                        </w:rPr>
                        <w:t>仪陇县瓦子镇三鑫页岩砖厂</w:t>
                      </w:r>
                    </w:p>
                    <w:p>
                      <w:pPr>
                        <w:rPr>
                          <w:b/>
                          <w:bCs/>
                        </w:rPr>
                      </w:pPr>
                    </w:p>
                  </w:txbxContent>
                </v:textbox>
              </v:rect>
            </w:pict>
          </mc:Fallback>
        </mc:AlternateContent>
      </w:r>
      <w:r>
        <w:drawing>
          <wp:inline distT="0" distB="0" distL="114300" distR="114300">
            <wp:extent cx="5971540" cy="4072255"/>
            <wp:effectExtent l="0" t="0" r="2540" b="1206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8"/>
                    <a:stretch>
                      <a:fillRect/>
                    </a:stretch>
                  </pic:blipFill>
                  <pic:spPr>
                    <a:xfrm>
                      <a:off x="0" y="0"/>
                      <a:ext cx="5971540" cy="4072255"/>
                    </a:xfrm>
                    <a:prstGeom prst="rect">
                      <a:avLst/>
                    </a:prstGeom>
                    <a:noFill/>
                    <a:ln>
                      <a:noFill/>
                    </a:ln>
                  </pic:spPr>
                </pic:pic>
              </a:graphicData>
            </a:graphic>
          </wp:inline>
        </w:drawing>
      </w: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FF0000"/>
          <w:kern w:val="0"/>
          <w:sz w:val="24"/>
          <w:lang w:eastAsia="zh-CN"/>
        </w:rPr>
      </w:pPr>
      <w:r>
        <w:rPr>
          <w:rFonts w:hint="eastAsia" w:ascii="黑体" w:hAnsi="黑体" w:eastAsia="黑体"/>
          <w:b/>
          <w:snapToGrid w:val="0"/>
          <w:color w:val="FF0000"/>
          <w:kern w:val="0"/>
          <w:sz w:val="24"/>
          <w:lang w:eastAsia="zh-CN"/>
        </w:rPr>
        <w:t>图2-</w:t>
      </w:r>
      <w:r>
        <w:rPr>
          <w:rFonts w:hint="eastAsia" w:ascii="黑体" w:hAnsi="黑体" w:eastAsia="黑体"/>
          <w:b/>
          <w:snapToGrid w:val="0"/>
          <w:color w:val="FF0000"/>
          <w:kern w:val="0"/>
          <w:sz w:val="24"/>
          <w:lang w:val="en-US" w:eastAsia="zh-CN"/>
        </w:rPr>
        <w:t>3</w:t>
      </w:r>
      <w:r>
        <w:rPr>
          <w:rFonts w:hint="eastAsia" w:ascii="黑体" w:hAnsi="黑体" w:eastAsia="黑体"/>
          <w:b/>
          <w:snapToGrid w:val="0"/>
          <w:color w:val="FF0000"/>
          <w:kern w:val="0"/>
          <w:sz w:val="24"/>
          <w:lang w:eastAsia="zh-CN"/>
        </w:rPr>
        <w:t xml:space="preserve">  周边环境示意图</w:t>
      </w:r>
    </w:p>
    <w:p>
      <w:pPr>
        <w:pStyle w:val="5"/>
        <w:spacing w:before="0" w:after="0" w:line="360" w:lineRule="auto"/>
        <w:rPr>
          <w:rFonts w:hint="eastAsia" w:ascii="宋体" w:hAnsi="宋体" w:eastAsia="宋体" w:cs="宋体"/>
          <w:color w:val="FF0000"/>
          <w:sz w:val="28"/>
          <w:szCs w:val="28"/>
          <w:lang w:val="zh-CN"/>
        </w:rPr>
      </w:pPr>
      <w:bookmarkStart w:id="44" w:name="_Toc2910"/>
      <w:r>
        <w:rPr>
          <w:rFonts w:hint="eastAsia" w:ascii="宋体" w:hAnsi="宋体" w:eastAsia="宋体" w:cs="宋体"/>
          <w:color w:val="FF0000"/>
          <w:sz w:val="28"/>
          <w:szCs w:val="28"/>
          <w:lang w:val="zh-CN"/>
        </w:rPr>
        <w:t>2.1.</w:t>
      </w:r>
      <w:r>
        <w:rPr>
          <w:rFonts w:hint="eastAsia" w:ascii="宋体" w:hAnsi="宋体" w:eastAsia="宋体" w:cs="宋体"/>
          <w:color w:val="FF0000"/>
          <w:sz w:val="28"/>
          <w:szCs w:val="28"/>
          <w:lang w:val="en-US" w:eastAsia="zh-CN"/>
        </w:rPr>
        <w:t>4</w:t>
      </w:r>
      <w:r>
        <w:rPr>
          <w:rFonts w:hint="eastAsia" w:ascii="宋体" w:hAnsi="宋体" w:eastAsia="宋体" w:cs="宋体"/>
          <w:color w:val="FF0000"/>
          <w:sz w:val="28"/>
          <w:szCs w:val="28"/>
          <w:lang w:val="zh-CN"/>
        </w:rPr>
        <w:t>工艺流程</w:t>
      </w:r>
      <w:bookmarkEnd w:id="44"/>
    </w:p>
    <w:p>
      <w:pPr>
        <w:spacing w:line="360" w:lineRule="auto"/>
        <w:ind w:firstLine="562" w:firstLineChars="200"/>
        <w:rPr>
          <w:rFonts w:hint="eastAsia" w:ascii="宋体"/>
          <w:b/>
          <w:bCs/>
          <w:snapToGrid w:val="0"/>
          <w:color w:val="FF0000"/>
          <w:kern w:val="0"/>
          <w:sz w:val="28"/>
          <w:szCs w:val="28"/>
          <w:lang w:val="en-US" w:eastAsia="zh-CN"/>
        </w:rPr>
      </w:pPr>
      <w:r>
        <w:rPr>
          <w:rFonts w:hint="eastAsia" w:ascii="宋体"/>
          <w:b/>
          <w:bCs/>
          <w:snapToGrid w:val="0"/>
          <w:color w:val="FF0000"/>
          <w:kern w:val="0"/>
          <w:sz w:val="28"/>
          <w:szCs w:val="28"/>
          <w:lang w:val="en-US" w:eastAsia="zh-CN"/>
        </w:rPr>
        <w:t>1、生产工艺流程图</w:t>
      </w:r>
    </w:p>
    <w:p>
      <w:pPr>
        <w:spacing w:line="360" w:lineRule="auto"/>
        <w:ind w:firstLine="560" w:firstLineChars="200"/>
        <w:rPr>
          <w:rFonts w:hint="eastAsia" w:ascii="宋体"/>
          <w:snapToGrid w:val="0"/>
          <w:color w:val="FF0000"/>
          <w:kern w:val="0"/>
          <w:sz w:val="28"/>
          <w:szCs w:val="28"/>
          <w:lang w:val="zh-CN" w:eastAsia="zh-CN"/>
        </w:rPr>
      </w:pPr>
      <w:r>
        <w:rPr>
          <w:rFonts w:hint="eastAsia" w:ascii="宋体"/>
          <w:snapToGrid w:val="0"/>
          <w:color w:val="FF0000"/>
          <w:kern w:val="0"/>
          <w:sz w:val="28"/>
          <w:szCs w:val="28"/>
          <w:lang w:val="zh-CN" w:eastAsia="zh-CN"/>
        </w:rPr>
        <w:t>标砖生产主要包括采矿、破碎、筛分、搅拌、制胚、进胚、烧窑、装车8大工序，各工序按照工艺流程布置在各自区域内。公司隧道窑采用环保节能式的隧道窑，首次烧结采用精煤助燃，顺利开窑后可利用标砖中含有的煤自燃热量进行烧结，待自然冷却后装车装车外售。生产工艺流程如图：</w:t>
      </w:r>
    </w:p>
    <w:p>
      <w:pPr>
        <w:spacing w:line="360" w:lineRule="auto"/>
        <w:ind w:firstLine="560" w:firstLineChars="200"/>
        <w:rPr>
          <w:rFonts w:hint="eastAsia" w:ascii="宋体"/>
          <w:snapToGrid w:val="0"/>
          <w:color w:val="auto"/>
          <w:kern w:val="0"/>
          <w:sz w:val="28"/>
          <w:szCs w:val="28"/>
        </w:rPr>
      </w:pPr>
      <w:r>
        <w:rPr>
          <w:rFonts w:hint="eastAsia" w:ascii="宋体"/>
          <w:color w:val="FF0000"/>
          <w:kern w:val="0"/>
          <w:sz w:val="28"/>
          <w:szCs w:val="28"/>
        </w:rPr>
        <mc:AlternateContent>
          <mc:Choice Requires="wpg">
            <w:drawing>
              <wp:anchor distT="0" distB="0" distL="114300" distR="114300" simplePos="0" relativeHeight="251711488" behindDoc="0" locked="0" layoutInCell="1" allowOverlap="1">
                <wp:simplePos x="0" y="0"/>
                <wp:positionH relativeFrom="column">
                  <wp:posOffset>18415</wp:posOffset>
                </wp:positionH>
                <wp:positionV relativeFrom="paragraph">
                  <wp:posOffset>635</wp:posOffset>
                </wp:positionV>
                <wp:extent cx="5632450" cy="2017395"/>
                <wp:effectExtent l="5080" t="4445" r="16510" b="5080"/>
                <wp:wrapNone/>
                <wp:docPr id="89" name="组合 89"/>
                <wp:cNvGraphicFramePr/>
                <a:graphic xmlns:a="http://schemas.openxmlformats.org/drawingml/2006/main">
                  <a:graphicData uri="http://schemas.microsoft.com/office/word/2010/wordprocessingGroup">
                    <wpg:wgp>
                      <wpg:cNvGrpSpPr/>
                      <wpg:grpSpPr>
                        <a:xfrm>
                          <a:off x="0" y="0"/>
                          <a:ext cx="5632450" cy="2017395"/>
                          <a:chOff x="2310" y="7530"/>
                          <a:chExt cx="7665" cy="4815"/>
                        </a:xfrm>
                      </wpg:grpSpPr>
                      <wps:wsp>
                        <wps:cNvPr id="58" name="矩形 58"/>
                        <wps:cNvSpPr/>
                        <wps:spPr>
                          <a:xfrm>
                            <a:off x="231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煤矸石、页岩</w:t>
                              </w:r>
                            </w:p>
                          </w:txbxContent>
                        </wps:txbx>
                        <wps:bodyPr upright="1"/>
                      </wps:wsp>
                      <wps:wsp>
                        <wps:cNvPr id="59" name="直接箭头连接符 59"/>
                        <wps:cNvCnPr/>
                        <wps:spPr>
                          <a:xfrm>
                            <a:off x="3930" y="7860"/>
                            <a:ext cx="390" cy="0"/>
                          </a:xfrm>
                          <a:prstGeom prst="straightConnector1">
                            <a:avLst/>
                          </a:prstGeom>
                          <a:ln w="9525" cap="flat" cmpd="sng">
                            <a:solidFill>
                              <a:srgbClr val="000000"/>
                            </a:solidFill>
                            <a:prstDash val="solid"/>
                            <a:headEnd type="none" w="med" len="med"/>
                            <a:tailEnd type="triangle" w="med" len="med"/>
                          </a:ln>
                        </wps:spPr>
                        <wps:bodyPr/>
                      </wps:wsp>
                      <wps:wsp>
                        <wps:cNvPr id="60" name="矩形 60"/>
                        <wps:cNvSpPr/>
                        <wps:spPr>
                          <a:xfrm>
                            <a:off x="432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板式给料机</w:t>
                              </w:r>
                            </w:p>
                          </w:txbxContent>
                        </wps:txbx>
                        <wps:bodyPr upright="1"/>
                      </wps:wsp>
                      <wps:wsp>
                        <wps:cNvPr id="61" name="直接箭头连接符 61"/>
                        <wps:cNvCnPr/>
                        <wps:spPr>
                          <a:xfrm>
                            <a:off x="3060" y="9525"/>
                            <a:ext cx="0" cy="825"/>
                          </a:xfrm>
                          <a:prstGeom prst="straightConnector1">
                            <a:avLst/>
                          </a:prstGeom>
                          <a:ln w="9525" cap="flat" cmpd="sng">
                            <a:solidFill>
                              <a:srgbClr val="000000"/>
                            </a:solidFill>
                            <a:prstDash val="solid"/>
                            <a:headEnd type="none" w="med" len="med"/>
                            <a:tailEnd type="triangle" w="med" len="med"/>
                          </a:ln>
                        </wps:spPr>
                        <wps:bodyPr/>
                      </wps:wsp>
                      <wps:wsp>
                        <wps:cNvPr id="62" name="直接箭头连接符 62"/>
                        <wps:cNvCnPr/>
                        <wps:spPr>
                          <a:xfrm>
                            <a:off x="5940" y="7845"/>
                            <a:ext cx="390" cy="0"/>
                          </a:xfrm>
                          <a:prstGeom prst="straightConnector1">
                            <a:avLst/>
                          </a:prstGeom>
                          <a:ln w="9525" cap="flat" cmpd="sng">
                            <a:solidFill>
                              <a:srgbClr val="000000"/>
                            </a:solidFill>
                            <a:prstDash val="solid"/>
                            <a:headEnd type="none" w="med" len="med"/>
                            <a:tailEnd type="triangle" w="med" len="med"/>
                          </a:ln>
                        </wps:spPr>
                        <wps:bodyPr/>
                      </wps:wsp>
                      <wps:wsp>
                        <wps:cNvPr id="63" name="矩形 63"/>
                        <wps:cNvSpPr/>
                        <wps:spPr>
                          <a:xfrm>
                            <a:off x="633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鄂破机</w:t>
                              </w:r>
                            </w:p>
                          </w:txbxContent>
                        </wps:txbx>
                        <wps:bodyPr upright="1"/>
                      </wps:wsp>
                      <wps:wsp>
                        <wps:cNvPr id="64" name="直接箭头连接符 64"/>
                        <wps:cNvCnPr/>
                        <wps:spPr>
                          <a:xfrm>
                            <a:off x="7950" y="7845"/>
                            <a:ext cx="390" cy="0"/>
                          </a:xfrm>
                          <a:prstGeom prst="straightConnector1">
                            <a:avLst/>
                          </a:prstGeom>
                          <a:ln w="9525" cap="flat" cmpd="sng">
                            <a:solidFill>
                              <a:srgbClr val="000000"/>
                            </a:solidFill>
                            <a:prstDash val="solid"/>
                            <a:headEnd type="none" w="med" len="med"/>
                            <a:tailEnd type="triangle" w="med" len="med"/>
                          </a:ln>
                        </wps:spPr>
                        <wps:bodyPr/>
                      </wps:wsp>
                      <wps:wsp>
                        <wps:cNvPr id="65" name="矩形 65"/>
                        <wps:cNvSpPr/>
                        <wps:spPr>
                          <a:xfrm>
                            <a:off x="834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细破机</w:t>
                              </w:r>
                            </w:p>
                          </w:txbxContent>
                        </wps:txbx>
                        <wps:bodyPr upright="1"/>
                      </wps:wsp>
                      <wps:wsp>
                        <wps:cNvPr id="66" name="矩形 66"/>
                        <wps:cNvSpPr/>
                        <wps:spPr>
                          <a:xfrm>
                            <a:off x="834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双轴搅拌机</w:t>
                              </w:r>
                            </w:p>
                          </w:txbxContent>
                        </wps:txbx>
                        <wps:bodyPr upright="1"/>
                      </wps:wsp>
                      <wps:wsp>
                        <wps:cNvPr id="67" name="矩形 67"/>
                        <wps:cNvSpPr/>
                        <wps:spPr>
                          <a:xfrm>
                            <a:off x="633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液压多斗挖掘</w:t>
                              </w:r>
                            </w:p>
                          </w:txbxContent>
                        </wps:txbx>
                        <wps:bodyPr upright="1"/>
                      </wps:wsp>
                      <wps:wsp>
                        <wps:cNvPr id="68" name="矩形 68"/>
                        <wps:cNvSpPr/>
                        <wps:spPr>
                          <a:xfrm>
                            <a:off x="432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箱式给料机</w:t>
                              </w:r>
                            </w:p>
                          </w:txbxContent>
                        </wps:txbx>
                        <wps:bodyPr upright="1"/>
                      </wps:wsp>
                      <wps:wsp>
                        <wps:cNvPr id="69" name="矩形 69"/>
                        <wps:cNvSpPr/>
                        <wps:spPr>
                          <a:xfrm>
                            <a:off x="231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挤泥机</w:t>
                              </w:r>
                            </w:p>
                          </w:txbxContent>
                        </wps:txbx>
                        <wps:bodyPr upright="1"/>
                      </wps:wsp>
                      <wps:wsp>
                        <wps:cNvPr id="70" name="直接箭头连接符 70"/>
                        <wps:cNvCnPr/>
                        <wps:spPr>
                          <a:xfrm flipH="1">
                            <a:off x="7935" y="9240"/>
                            <a:ext cx="405" cy="0"/>
                          </a:xfrm>
                          <a:prstGeom prst="straightConnector1">
                            <a:avLst/>
                          </a:prstGeom>
                          <a:ln w="9525" cap="flat" cmpd="sng">
                            <a:solidFill>
                              <a:srgbClr val="000000"/>
                            </a:solidFill>
                            <a:prstDash val="solid"/>
                            <a:headEnd type="none" w="med" len="med"/>
                            <a:tailEnd type="triangle" w="med" len="med"/>
                          </a:ln>
                        </wps:spPr>
                        <wps:bodyPr/>
                      </wps:wsp>
                      <wps:wsp>
                        <wps:cNvPr id="71" name="直接箭头连接符 71"/>
                        <wps:cNvCnPr/>
                        <wps:spPr>
                          <a:xfrm flipH="1">
                            <a:off x="5940" y="9240"/>
                            <a:ext cx="405" cy="0"/>
                          </a:xfrm>
                          <a:prstGeom prst="straightConnector1">
                            <a:avLst/>
                          </a:prstGeom>
                          <a:ln w="9525" cap="flat" cmpd="sng">
                            <a:solidFill>
                              <a:srgbClr val="000000"/>
                            </a:solidFill>
                            <a:prstDash val="solid"/>
                            <a:headEnd type="none" w="med" len="med"/>
                            <a:tailEnd type="triangle" w="med" len="med"/>
                          </a:ln>
                        </wps:spPr>
                        <wps:bodyPr/>
                      </wps:wsp>
                      <wps:wsp>
                        <wps:cNvPr id="72" name="直接箭头连接符 72"/>
                        <wps:cNvCnPr/>
                        <wps:spPr>
                          <a:xfrm flipH="1">
                            <a:off x="3915" y="9240"/>
                            <a:ext cx="405" cy="0"/>
                          </a:xfrm>
                          <a:prstGeom prst="straightConnector1">
                            <a:avLst/>
                          </a:prstGeom>
                          <a:ln w="9525" cap="flat" cmpd="sng">
                            <a:solidFill>
                              <a:srgbClr val="000000"/>
                            </a:solidFill>
                            <a:prstDash val="solid"/>
                            <a:headEnd type="none" w="med" len="med"/>
                            <a:tailEnd type="triangle" w="med" len="med"/>
                          </a:ln>
                        </wps:spPr>
                        <wps:bodyPr/>
                      </wps:wsp>
                      <wps:wsp>
                        <wps:cNvPr id="73" name="矩形 73"/>
                        <wps:cNvSpPr/>
                        <wps:spPr>
                          <a:xfrm>
                            <a:off x="231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切条、切坏机</w:t>
                              </w:r>
                            </w:p>
                          </w:txbxContent>
                        </wps:txbx>
                        <wps:bodyPr upright="1"/>
                      </wps:wsp>
                      <wps:wsp>
                        <wps:cNvPr id="74" name="直接箭头连接符 74"/>
                        <wps:cNvCnPr/>
                        <wps:spPr>
                          <a:xfrm>
                            <a:off x="3930" y="10680"/>
                            <a:ext cx="390" cy="0"/>
                          </a:xfrm>
                          <a:prstGeom prst="straightConnector1">
                            <a:avLst/>
                          </a:prstGeom>
                          <a:ln w="9525" cap="flat" cmpd="sng">
                            <a:solidFill>
                              <a:srgbClr val="000000"/>
                            </a:solidFill>
                            <a:prstDash val="solid"/>
                            <a:headEnd type="none" w="med" len="med"/>
                            <a:tailEnd type="triangle" w="med" len="med"/>
                          </a:ln>
                        </wps:spPr>
                        <wps:bodyPr/>
                      </wps:wsp>
                      <wps:wsp>
                        <wps:cNvPr id="75" name="矩形 75"/>
                        <wps:cNvSpPr/>
                        <wps:spPr>
                          <a:xfrm>
                            <a:off x="432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自动编码</w:t>
                              </w:r>
                            </w:p>
                          </w:txbxContent>
                        </wps:txbx>
                        <wps:bodyPr upright="1"/>
                      </wps:wsp>
                      <wps:wsp>
                        <wps:cNvPr id="76" name="直接箭头连接符 76"/>
                        <wps:cNvCnPr/>
                        <wps:spPr>
                          <a:xfrm>
                            <a:off x="9180" y="10935"/>
                            <a:ext cx="0" cy="825"/>
                          </a:xfrm>
                          <a:prstGeom prst="straightConnector1">
                            <a:avLst/>
                          </a:prstGeom>
                          <a:ln w="9525" cap="flat" cmpd="sng">
                            <a:solidFill>
                              <a:srgbClr val="000000"/>
                            </a:solidFill>
                            <a:prstDash val="solid"/>
                            <a:headEnd type="none" w="med" len="med"/>
                            <a:tailEnd type="triangle" w="med" len="med"/>
                          </a:ln>
                        </wps:spPr>
                        <wps:bodyPr/>
                      </wps:wsp>
                      <wps:wsp>
                        <wps:cNvPr id="77" name="直接箭头连接符 77"/>
                        <wps:cNvCnPr/>
                        <wps:spPr>
                          <a:xfrm>
                            <a:off x="5940" y="10665"/>
                            <a:ext cx="390" cy="0"/>
                          </a:xfrm>
                          <a:prstGeom prst="straightConnector1">
                            <a:avLst/>
                          </a:prstGeom>
                          <a:ln w="9525" cap="flat" cmpd="sng">
                            <a:solidFill>
                              <a:srgbClr val="000000"/>
                            </a:solidFill>
                            <a:prstDash val="solid"/>
                            <a:headEnd type="none" w="med" len="med"/>
                            <a:tailEnd type="triangle" w="med" len="med"/>
                          </a:ln>
                        </wps:spPr>
                        <wps:bodyPr/>
                      </wps:wsp>
                      <wps:wsp>
                        <wps:cNvPr id="78" name="矩形 78"/>
                        <wps:cNvSpPr/>
                        <wps:spPr>
                          <a:xfrm>
                            <a:off x="633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自动码坯机</w:t>
                              </w:r>
                            </w:p>
                          </w:txbxContent>
                        </wps:txbx>
                        <wps:bodyPr upright="1"/>
                      </wps:wsp>
                      <wps:wsp>
                        <wps:cNvPr id="79" name="直接箭头连接符 79"/>
                        <wps:cNvCnPr/>
                        <wps:spPr>
                          <a:xfrm>
                            <a:off x="7950" y="10665"/>
                            <a:ext cx="390" cy="0"/>
                          </a:xfrm>
                          <a:prstGeom prst="straightConnector1">
                            <a:avLst/>
                          </a:prstGeom>
                          <a:ln w="9525" cap="flat" cmpd="sng">
                            <a:solidFill>
                              <a:srgbClr val="000000"/>
                            </a:solidFill>
                            <a:prstDash val="solid"/>
                            <a:headEnd type="none" w="med" len="med"/>
                            <a:tailEnd type="triangle" w="med" len="med"/>
                          </a:ln>
                        </wps:spPr>
                        <wps:bodyPr/>
                      </wps:wsp>
                      <wps:wsp>
                        <wps:cNvPr id="80" name="矩形 80"/>
                        <wps:cNvSpPr/>
                        <wps:spPr>
                          <a:xfrm>
                            <a:off x="834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窑车</w:t>
                              </w:r>
                            </w:p>
                          </w:txbxContent>
                        </wps:txbx>
                        <wps:bodyPr upright="1"/>
                      </wps:wsp>
                      <wps:wsp>
                        <wps:cNvPr id="81" name="直接箭头连接符 81"/>
                        <wps:cNvCnPr/>
                        <wps:spPr>
                          <a:xfrm>
                            <a:off x="9180" y="8115"/>
                            <a:ext cx="0" cy="825"/>
                          </a:xfrm>
                          <a:prstGeom prst="straightConnector1">
                            <a:avLst/>
                          </a:prstGeom>
                          <a:ln w="9525" cap="flat" cmpd="sng">
                            <a:solidFill>
                              <a:srgbClr val="000000"/>
                            </a:solidFill>
                            <a:prstDash val="solid"/>
                            <a:headEnd type="none" w="med" len="med"/>
                            <a:tailEnd type="triangle" w="med" len="med"/>
                          </a:ln>
                        </wps:spPr>
                        <wps:bodyPr/>
                      </wps:wsp>
                      <wps:wsp>
                        <wps:cNvPr id="82" name="矩形 82"/>
                        <wps:cNvSpPr/>
                        <wps:spPr>
                          <a:xfrm>
                            <a:off x="835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存坯线</w:t>
                              </w:r>
                            </w:p>
                          </w:txbxContent>
                        </wps:txbx>
                        <wps:bodyPr upright="1"/>
                      </wps:wsp>
                      <wps:wsp>
                        <wps:cNvPr id="83" name="矩形 83"/>
                        <wps:cNvSpPr/>
                        <wps:spPr>
                          <a:xfrm>
                            <a:off x="634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干燥窑</w:t>
                              </w:r>
                            </w:p>
                          </w:txbxContent>
                        </wps:txbx>
                        <wps:bodyPr upright="1"/>
                      </wps:wsp>
                      <wps:wsp>
                        <wps:cNvPr id="84" name="矩形 84"/>
                        <wps:cNvSpPr/>
                        <wps:spPr>
                          <a:xfrm>
                            <a:off x="433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焙烧窑</w:t>
                              </w:r>
                            </w:p>
                          </w:txbxContent>
                        </wps:txbx>
                        <wps:bodyPr upright="1"/>
                      </wps:wsp>
                      <wps:wsp>
                        <wps:cNvPr id="85" name="矩形 85"/>
                        <wps:cNvSpPr/>
                        <wps:spPr>
                          <a:xfrm>
                            <a:off x="232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成品装车</w:t>
                              </w:r>
                            </w:p>
                          </w:txbxContent>
                        </wps:txbx>
                        <wps:bodyPr upright="1"/>
                      </wps:wsp>
                      <wps:wsp>
                        <wps:cNvPr id="86" name="直接箭头连接符 86"/>
                        <wps:cNvCnPr/>
                        <wps:spPr>
                          <a:xfrm flipH="1">
                            <a:off x="7950" y="12060"/>
                            <a:ext cx="405" cy="0"/>
                          </a:xfrm>
                          <a:prstGeom prst="straightConnector1">
                            <a:avLst/>
                          </a:prstGeom>
                          <a:ln w="9525" cap="flat" cmpd="sng">
                            <a:solidFill>
                              <a:srgbClr val="000000"/>
                            </a:solidFill>
                            <a:prstDash val="solid"/>
                            <a:headEnd type="none" w="med" len="med"/>
                            <a:tailEnd type="triangle" w="med" len="med"/>
                          </a:ln>
                        </wps:spPr>
                        <wps:bodyPr/>
                      </wps:wsp>
                      <wps:wsp>
                        <wps:cNvPr id="87" name="直接箭头连接符 87"/>
                        <wps:cNvCnPr/>
                        <wps:spPr>
                          <a:xfrm flipH="1">
                            <a:off x="5955" y="12060"/>
                            <a:ext cx="405" cy="0"/>
                          </a:xfrm>
                          <a:prstGeom prst="straightConnector1">
                            <a:avLst/>
                          </a:prstGeom>
                          <a:ln w="9525" cap="flat" cmpd="sng">
                            <a:solidFill>
                              <a:srgbClr val="000000"/>
                            </a:solidFill>
                            <a:prstDash val="solid"/>
                            <a:headEnd type="none" w="med" len="med"/>
                            <a:tailEnd type="triangle" w="med" len="med"/>
                          </a:ln>
                        </wps:spPr>
                        <wps:bodyPr/>
                      </wps:wsp>
                      <wps:wsp>
                        <wps:cNvPr id="88" name="直接箭头连接符 88"/>
                        <wps:cNvCnPr/>
                        <wps:spPr>
                          <a:xfrm flipH="1">
                            <a:off x="3930" y="12060"/>
                            <a:ext cx="40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45pt;margin-top:0.05pt;height:158.85pt;width:443.5pt;z-index:251711488;mso-width-relative:page;mso-height-relative:page;" coordorigin="2310,7530" coordsize="7665,4815" o:gfxdata="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">
                <o:lock v:ext="edit" aspectratio="f"/>
                <v:rect id="_x0000_s1026" o:spid="_x0000_s1026" o:spt="1" style="position:absolute;left:2310;top:7530;height:585;width:1620;"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煤矸石、页岩</w:t>
                        </w:r>
                      </w:p>
                    </w:txbxContent>
                  </v:textbox>
                </v:rect>
                <v:shape id="_x0000_s1026" o:spid="_x0000_s1026" o:spt="32" type="#_x0000_t32" style="position:absolute;left:3930;top:7860;height:0;width:390;" filled="f" stroked="t" coordsize="21600,21600" o:gfxdata="UEsDBAoAAAAAAIdO4kAAAAAAAAAAAAAAAAAEAAAAZHJzL1BLAwQUAAAACACHTuJAGNz5p74AAADb&#10;AAAADwAAAGRycy9kb3ducmV2LnhtbEWPT2sCMRTE74V+h/CE3mpWo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z5p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320;top:7530;height:585;width:1620;"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pPr>
                        <w:r>
                          <w:rPr>
                            <w:rFonts w:hint="eastAsia"/>
                          </w:rPr>
                          <w:t>板式给料机</w:t>
                        </w:r>
                      </w:p>
                    </w:txbxContent>
                  </v:textbox>
                </v:rect>
                <v:shape id="_x0000_s1026" o:spid="_x0000_s1026" o:spt="32" type="#_x0000_t32" style="position:absolute;left:3060;top:9525;height:825;width:0;" filled="f" stroked="t" coordsize="21600,21600" o:gfxdata="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j8c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940;top:7845;height:0;width:390;" filled="f" stroked="t" coordsize="21600,21600" o:gfxdata="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KF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6330;top:7530;height:585;width:1620;"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鄂破机</w:t>
                        </w:r>
                      </w:p>
                    </w:txbxContent>
                  </v:textbox>
                </v:rect>
                <v:shape id="_x0000_s1026" o:spid="_x0000_s1026" o:spt="32" type="#_x0000_t32" style="position:absolute;left:7950;top:7845;height:0;width:390;" filled="f" stroked="t" coordsize="21600,21600" o:gfxdata="UEsDBAoAAAAAAIdO4kAAAAAAAAAAAAAAAAAEAAAAZHJzL1BLAwQUAAAACACHTuJAOLGchL8AAADb&#10;AAAADwAAAGRycy9kb3ducmV2LnhtbEWPzWrDMBCE74G8g9hAb4nsU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n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8340;top:7530;height:585;width:1620;"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细破机</w:t>
                        </w:r>
                      </w:p>
                    </w:txbxContent>
                  </v:textbox>
                </v:rect>
                <v:rect id="_x0000_s1026" o:spid="_x0000_s1026" o:spt="1" style="position:absolute;left:8340;top:8940;height:585;width:1620;" fillcolor="#FFFFFF" filled="t" stroked="t" coordsize="21600,2160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双轴搅拌机</w:t>
                        </w:r>
                      </w:p>
                    </w:txbxContent>
                  </v:textbox>
                </v:rect>
                <v:rect id="_x0000_s1026" o:spid="_x0000_s1026" o:spt="1" style="position:absolute;left:6330;top:8940;height:585;width:1620;"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液压多斗挖掘</w:t>
                        </w:r>
                      </w:p>
                    </w:txbxContent>
                  </v:textbox>
                </v:rect>
                <v:rect id="_x0000_s1026" o:spid="_x0000_s1026" o:spt="1" style="position:absolute;left:4320;top:8940;height:585;width:1620;"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pPr>
                        <w:r>
                          <w:rPr>
                            <w:rFonts w:hint="eastAsia"/>
                          </w:rPr>
                          <w:t>箱式给料机</w:t>
                        </w:r>
                      </w:p>
                    </w:txbxContent>
                  </v:textbox>
                </v:rect>
                <v:rect id="_x0000_s1026" o:spid="_x0000_s1026" o:spt="1" style="position:absolute;left:2310;top:8940;height:585;width:1620;"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挤泥机</w:t>
                        </w:r>
                      </w:p>
                    </w:txbxContent>
                  </v:textbox>
                </v:rect>
                <v:shape id="_x0000_s1026" o:spid="_x0000_s1026" o:spt="32" type="#_x0000_t32" style="position:absolute;left:7935;top:9240;flip:x;height:0;width:405;" filled="f" stroked="t" coordsize="21600,21600" o:gfxdata="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JZ9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5940;top:9240;flip:x;height:0;width:405;" filled="f" stroked="t" coordsize="21600,21600" o:gfxdata="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bvxv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3915;top:9240;flip:x;height:0;width:405;" filled="f" stroked="t" coordsize="21600,21600" o:gfxdata="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GI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2310;top:10350;height:585;width:1620;" fillcolor="#FFFFFF" filled="t" stroked="t" coordsize="21600,21600"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切条、切坏机</w:t>
                        </w:r>
                      </w:p>
                    </w:txbxContent>
                  </v:textbox>
                </v:rect>
                <v:shape id="_x0000_s1026" o:spid="_x0000_s1026" o:spt="32" type="#_x0000_t32" style="position:absolute;left:3930;top:10680;height:0;width:390;" filled="f" stroked="t" coordsize="21600,21600" o:gfxdata="UEsDBAoAAAAAAIdO4kAAAAAAAAAAAAAAAAAEAAAAZHJzL1BLAwQUAAAACACHTuJAvWgKWb4AAADb&#10;AAAADwAAAGRycy9kb3ducmV2LnhtbEWPW2sCMRSE3wv9D+EU+qZZp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gK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320;top:10350;height:585;width:1620;" fillcolor="#FFFFFF" filled="t" stroked="t" coordsize="21600,21600" o:gfxdata="UEsDBAoAAAAAAIdO4kAAAAAAAAAAAAAAAAAEAAAAZHJzL1BLAwQUAAAACACHTuJASDRYqb0AAADb&#10;AAAADwAAAGRycy9kb3ducmV2LnhtbEWPwW7CMBBE70j9B2srcQMbUAs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Fi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自动编码</w:t>
                        </w:r>
                      </w:p>
                    </w:txbxContent>
                  </v:textbox>
                </v:rect>
                <v:shape id="_x0000_s1026" o:spid="_x0000_s1026" o:spt="32" type="#_x0000_t32" style="position:absolute;left:9180;top:10935;height:825;width:0;" filled="f" stroked="t" coordsize="21600,21600" o:gfxdata="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2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5940;top:10665;height:0;width:390;" filled="f" stroked="t" coordsize="21600,21600" o:gfxdata="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qUL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6330;top:10350;height:585;width:1620;" fillcolor="#FFFFFF" filled="t" stroked="t" coordsize="21600,21600" o:gfxdata="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fc3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自动码坯机</w:t>
                        </w:r>
                      </w:p>
                    </w:txbxContent>
                  </v:textbox>
                </v:rect>
                <v:shape id="_x0000_s1026" o:spid="_x0000_s1026" o:spt="32" type="#_x0000_t32" style="position:absolute;left:7950;top:10665;height:0;width:390;" filled="f" stroked="t" coordsize="21600,21600"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8340;top:10350;height:585;width:1620;" fillcolor="#FFFFFF" filled="t" stroked="t" coordsize="21600,21600"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pPr>
                        <w:r>
                          <w:rPr>
                            <w:rFonts w:hint="eastAsia"/>
                          </w:rPr>
                          <w:t>窑车</w:t>
                        </w:r>
                      </w:p>
                    </w:txbxContent>
                  </v:textbox>
                </v:rect>
                <v:shape id="_x0000_s1026" o:spid="_x0000_s1026" o:spt="32" type="#_x0000_t32" style="position:absolute;left:9180;top:8115;height:825;width:0;" filled="f" stroked="t" coordsize="21600,21600" o:gfxdata="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rZ5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355;top:11760;height:585;width:1620;" fillcolor="#FFFFFF" filled="t" stroked="t" coordsize="21600,21600" o:gfxdata="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IsP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存坯线</w:t>
                        </w:r>
                      </w:p>
                    </w:txbxContent>
                  </v:textbox>
                </v:rect>
                <v:rect id="_x0000_s1026" o:spid="_x0000_s1026" o:spt="1" style="position:absolute;left:6345;top:11760;height:585;width:1620;" fillcolor="#FFFFFF" filled="t" stroked="t" coordsize="21600,21600" o:gfxdata="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V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干燥窑</w:t>
                        </w:r>
                      </w:p>
                    </w:txbxContent>
                  </v:textbox>
                </v:rect>
                <v:rect id="_x0000_s1026" o:spid="_x0000_s1026" o:spt="1" style="position:absolute;left:4335;top:11760;height:585;width:1620;" fillcolor="#FFFFFF" filled="t" stroked="t" coordsize="21600,21600" o:gfxdata="UEsDBAoAAAAAAIdO4kAAAAAAAAAAAAAAAAAEAAAAZHJzL1BLAwQUAAAACACHTuJAEq2NFb4AAADb&#10;AAAADwAAAGRycy9kb3ducmV2LnhtbEWPzW7CMBCE70h9B2sr9QY2tKp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2NF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焙烧窑</w:t>
                        </w:r>
                      </w:p>
                    </w:txbxContent>
                  </v:textbox>
                </v:rect>
                <v:rect id="_x0000_s1026" o:spid="_x0000_s1026" o:spt="1" style="position:absolute;left:2325;top:11760;height:585;width:1620;"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成品装车</w:t>
                        </w:r>
                      </w:p>
                    </w:txbxContent>
                  </v:textbox>
                </v:rect>
                <v:shape id="_x0000_s1026" o:spid="_x0000_s1026" o:spt="32" type="#_x0000_t32" style="position:absolute;left:7950;top:12060;flip:x;height:0;width:405;" filled="f" stroked="t" coordsize="21600,21600" o:gfxdata="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IUP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955;top:12060;flip:x;height:0;width:405;" filled="f" stroked="t" coordsize="21600,21600" o:gfxdata="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sa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3930;top:12060;flip:x;height:0;width:405;" filled="f" stroked="t" coordsize="21600,21600" o:gfxdata="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El1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pPr>
        <w:spacing w:line="360" w:lineRule="auto"/>
        <w:ind w:firstLine="560" w:firstLineChars="200"/>
        <w:rPr>
          <w:rFonts w:hint="eastAsia" w:ascii="宋体"/>
          <w:snapToGrid w:val="0"/>
          <w:color w:val="auto"/>
          <w:kern w:val="0"/>
          <w:sz w:val="28"/>
          <w:szCs w:val="28"/>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w:t>
      </w:r>
      <w:r>
        <w:rPr>
          <w:rFonts w:hint="eastAsia" w:ascii="黑体" w:hAnsi="黑体" w:eastAsia="黑体"/>
          <w:b/>
          <w:snapToGrid w:val="0"/>
          <w:color w:val="auto"/>
          <w:kern w:val="0"/>
          <w:sz w:val="24"/>
          <w:lang w:val="en-US" w:eastAsia="zh-CN"/>
        </w:rPr>
        <w:t>2</w:t>
      </w:r>
      <w:r>
        <w:rPr>
          <w:rFonts w:hint="eastAsia" w:ascii="黑体" w:hAnsi="黑体" w:eastAsia="黑体"/>
          <w:b/>
          <w:snapToGrid w:val="0"/>
          <w:color w:val="auto"/>
          <w:kern w:val="0"/>
          <w:sz w:val="24"/>
          <w:lang w:eastAsia="zh-CN"/>
        </w:rPr>
        <w:t>-</w:t>
      </w:r>
      <w:r>
        <w:rPr>
          <w:rFonts w:hint="eastAsia" w:ascii="黑体" w:hAnsi="黑体" w:eastAsia="黑体"/>
          <w:b/>
          <w:snapToGrid w:val="0"/>
          <w:color w:val="auto"/>
          <w:kern w:val="0"/>
          <w:sz w:val="24"/>
          <w:lang w:val="en-US" w:eastAsia="zh-CN"/>
        </w:rPr>
        <w:t>4</w:t>
      </w:r>
      <w:r>
        <w:rPr>
          <w:rFonts w:hint="eastAsia" w:ascii="黑体" w:hAnsi="黑体" w:eastAsia="黑体"/>
          <w:b/>
          <w:snapToGrid w:val="0"/>
          <w:color w:val="auto"/>
          <w:kern w:val="0"/>
          <w:sz w:val="24"/>
          <w:lang w:eastAsia="zh-CN"/>
        </w:rPr>
        <w:t xml:space="preserve"> 页岩砖生产工艺流程示意图</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2、原料制备</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制砖主要原料煤外购运到厂内，自卸到板式给料机中。经板式给料机定量装到胶带输送机上，运到颚式破碎机处进行粗破，通过刮板给料机、圆盘给料机均匀喂料，至锤式破碎机进行粉碎，粉碎后物料颗粒组成情况为：</w:t>
      </w:r>
    </w:p>
    <w:tbl>
      <w:tblPr>
        <w:tblStyle w:val="1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539"/>
        <w:gridCol w:w="307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1～3mm</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0.5～1mm</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0.2～0.5mm</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&lt;3%</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30%</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33%</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&gt;34%</w:t>
            </w:r>
          </w:p>
        </w:tc>
      </w:tr>
    </w:tbl>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煤按配合比(</w:t>
      </w:r>
      <w:r>
        <w:rPr>
          <w:rFonts w:hint="eastAsia" w:ascii="宋体" w:hAnsi="宋体"/>
          <w:color w:val="auto"/>
          <w:sz w:val="28"/>
          <w:szCs w:val="28"/>
        </w:rPr>
        <w:t>页岩、煤矸石=7:3)</w:t>
      </w:r>
      <w:r>
        <w:rPr>
          <w:rFonts w:hint="eastAsia" w:ascii="宋体"/>
          <w:snapToGrid w:val="0"/>
          <w:color w:val="auto"/>
          <w:kern w:val="0"/>
          <w:sz w:val="28"/>
          <w:szCs w:val="28"/>
        </w:rPr>
        <w:t>要求经箱式给料机定量给料到胶带输送机上，</w:t>
      </w:r>
      <w:r>
        <w:rPr>
          <w:rFonts w:hint="eastAsia" w:ascii="宋体" w:hAnsi="宋体"/>
          <w:color w:val="auto"/>
          <w:sz w:val="28"/>
          <w:szCs w:val="28"/>
        </w:rPr>
        <w:t>页岩</w:t>
      </w:r>
      <w:r>
        <w:rPr>
          <w:rFonts w:hint="eastAsia" w:ascii="宋体"/>
          <w:snapToGrid w:val="0"/>
          <w:color w:val="auto"/>
          <w:kern w:val="0"/>
          <w:sz w:val="28"/>
          <w:szCs w:val="28"/>
        </w:rPr>
        <w:t>共同进行粗碎、细碎处理。粉碎后的</w:t>
      </w:r>
      <w:r>
        <w:rPr>
          <w:rFonts w:hint="eastAsia" w:ascii="宋体" w:hAnsi="宋体"/>
          <w:color w:val="auto"/>
          <w:sz w:val="28"/>
          <w:szCs w:val="28"/>
        </w:rPr>
        <w:t>页岩</w:t>
      </w:r>
      <w:r>
        <w:rPr>
          <w:rFonts w:hint="eastAsia" w:ascii="宋体"/>
          <w:snapToGrid w:val="0"/>
          <w:color w:val="auto"/>
          <w:kern w:val="0"/>
          <w:sz w:val="28"/>
          <w:szCs w:val="28"/>
        </w:rPr>
        <w:t>、煤粉经强力搅拌机加水搅拌混合。</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3、原料陈化处理</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强力搅拌机处理后的混合料再通过胶带输送机运到陈化库顶部的可逆移动配仓布料机上，将混合料按一定规律均匀的堆存到陈化库中，混合料陈化时间不得小于3小时。陈化的作用是使原料中水分均匀化程度提高，使原料颗粒表面和内部性能更加的均匀，更趋一致，使颗粒变得容易疏解，使混合料的成型性能得到提高。</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4、挤出成型</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过陈化的混合料有装运到胶带输送机上运到成型车间的箱式给料机处定量向强力搅拌机给料。原料通过这次加水搅拌，使其成型水分达到16～17%。搅拌后的物料再经过湿式轮碾机进一步碾练均化处理，使混合料性能满足成型需要。挤出成型采用高挤出压力、高真空度的双极真空挤出机，许用挤出压力达到3.8mpa，真空度达到≤-0.092mpa。挤出的泥条经自动切条机、切坯机割成需要规格的砖坯，再经码坯将砖坯放到窑车上。</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5、干燥、焙烧</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码有砖坯的窑车通过窑车运转系统完成窑车在贮存段、干燥室、焙烧窑的运行。由于成型工段在市场淡季有可能是二班生产，干燥室、焙烧窑是三班生产，因此必须设置码有砖坯的窑车贮存段，用于贮存夜班进窑的窑车，本项目共设250辆窑车。</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装有砖坯的窑车经过贮存后运送到进车端摆渡车上，通过液压顶车机将窑车送入干燥室内，本项目采用一次码烧工艺，26门轮窑生产线1条（1条</w:t>
      </w:r>
      <w:r>
        <w:rPr>
          <w:rFonts w:hint="eastAsia" w:ascii="宋体"/>
          <w:snapToGrid w:val="0"/>
          <w:color w:val="FF0000"/>
          <w:kern w:val="0"/>
          <w:sz w:val="28"/>
          <w:szCs w:val="28"/>
          <w:lang w:val="en-US" w:eastAsia="zh-CN"/>
        </w:rPr>
        <w:t>干燥窑，1条焙烧窑</w:t>
      </w:r>
      <w:r>
        <w:rPr>
          <w:rFonts w:hint="eastAsia" w:ascii="宋体"/>
          <w:snapToGrid w:val="0"/>
          <w:color w:val="auto"/>
          <w:kern w:val="0"/>
          <w:sz w:val="28"/>
          <w:szCs w:val="28"/>
          <w:lang w:val="en-US" w:eastAsia="zh-CN"/>
        </w:rPr>
        <w:t>）</w:t>
      </w:r>
      <w:r>
        <w:rPr>
          <w:rFonts w:hint="eastAsia" w:ascii="宋体"/>
          <w:snapToGrid w:val="0"/>
          <w:color w:val="FF0000"/>
          <w:kern w:val="0"/>
          <w:sz w:val="28"/>
          <w:szCs w:val="28"/>
          <w:lang w:val="en-US" w:eastAsia="zh-CN"/>
        </w:rPr>
        <w:t>。</w:t>
      </w:r>
      <w:r>
        <w:rPr>
          <w:rFonts w:hint="eastAsia" w:ascii="宋体"/>
          <w:snapToGrid w:val="0"/>
          <w:color w:val="auto"/>
          <w:kern w:val="0"/>
          <w:sz w:val="28"/>
          <w:szCs w:val="28"/>
          <w:lang w:val="en-US" w:eastAsia="zh-CN"/>
        </w:rPr>
        <w:t>干燥热源来自焙烧窑余热。干燥好的砖坯通过干燥室出口拉引机、焙烧窑液压顶车机将窑车送入焙烧窑。</w:t>
      </w:r>
    </w:p>
    <w:p>
      <w:pPr>
        <w:pStyle w:val="5"/>
        <w:spacing w:before="0" w:after="0" w:line="360" w:lineRule="auto"/>
        <w:rPr>
          <w:rFonts w:hint="eastAsia" w:ascii="宋体" w:hAnsi="宋体" w:eastAsia="宋体" w:cs="宋体"/>
          <w:color w:val="auto"/>
          <w:sz w:val="28"/>
          <w:szCs w:val="28"/>
          <w:lang w:val="zh-CN"/>
        </w:rPr>
      </w:pPr>
      <w:bookmarkStart w:id="45" w:name="_Toc20940"/>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5</w:t>
      </w:r>
      <w:r>
        <w:rPr>
          <w:rFonts w:hint="eastAsia" w:ascii="宋体" w:hAnsi="宋体" w:eastAsia="宋体" w:cs="宋体"/>
          <w:b/>
          <w:bCs/>
          <w:i w:val="0"/>
          <w:iCs w:val="0"/>
          <w:color w:val="auto"/>
          <w:sz w:val="28"/>
          <w:szCs w:val="28"/>
        </w:rPr>
        <w:t>主要生产设备情况</w:t>
      </w:r>
      <w:bookmarkEnd w:id="45"/>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仪陇县瓦子镇三鑫页岩砖厂</w:t>
      </w:r>
      <w:r>
        <w:rPr>
          <w:rFonts w:hint="eastAsia" w:ascii="宋体" w:hAnsi="宋体" w:cs="宋体"/>
          <w:i w:val="0"/>
          <w:iCs w:val="0"/>
          <w:color w:val="auto"/>
          <w:sz w:val="28"/>
          <w:szCs w:val="28"/>
        </w:rPr>
        <w:t>主要设备清单见表</w:t>
      </w:r>
      <w:r>
        <w:rPr>
          <w:rFonts w:hint="eastAsia" w:ascii="宋体" w:hAnsi="宋体" w:eastAsia="宋体" w:cs="宋体"/>
          <w:i w:val="0"/>
          <w:iCs w:val="0"/>
          <w:color w:val="auto"/>
          <w:sz w:val="28"/>
          <w:szCs w:val="28"/>
          <w:lang w:val="en-US" w:eastAsia="zh-CN"/>
        </w:rPr>
        <w:t>2</w:t>
      </w:r>
      <w:r>
        <w:rPr>
          <w:rFonts w:hint="eastAsia" w:ascii="宋体" w:hAnsi="宋体" w:cs="宋体"/>
          <w:i w:val="0"/>
          <w:iCs w:val="0"/>
          <w:color w:val="auto"/>
          <w:sz w:val="28"/>
          <w:szCs w:val="28"/>
        </w:rPr>
        <w:t>-</w:t>
      </w:r>
      <w:r>
        <w:rPr>
          <w:rFonts w:hint="eastAsia" w:ascii="宋体" w:hAnsi="宋体" w:cs="宋体"/>
          <w:i w:val="0"/>
          <w:iCs w:val="0"/>
          <w:color w:val="auto"/>
          <w:sz w:val="28"/>
          <w:szCs w:val="28"/>
          <w:lang w:val="en-US" w:eastAsia="zh-CN"/>
        </w:rPr>
        <w:t>2</w:t>
      </w:r>
      <w:r>
        <w:rPr>
          <w:rFonts w:hint="eastAsia" w:ascii="宋体" w:hAnsi="宋体" w:cs="宋体"/>
          <w:i w:val="0"/>
          <w:iCs w:val="0"/>
          <w:color w:val="auto"/>
          <w:sz w:val="28"/>
          <w:szCs w:val="28"/>
        </w:rPr>
        <w:t>所示。</w:t>
      </w:r>
    </w:p>
    <w:tbl>
      <w:tblPr>
        <w:tblStyle w:val="19"/>
        <w:tblW w:w="90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632"/>
        <w:gridCol w:w="3715"/>
        <w:gridCol w:w="1445"/>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序号</w:t>
            </w:r>
          </w:p>
        </w:tc>
        <w:tc>
          <w:tcPr>
            <w:tcW w:w="3715"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名称</w:t>
            </w:r>
          </w:p>
        </w:tc>
        <w:tc>
          <w:tcPr>
            <w:tcW w:w="1445"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型号</w:t>
            </w:r>
          </w:p>
        </w:tc>
        <w:tc>
          <w:tcPr>
            <w:tcW w:w="2300"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数世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w:t>
            </w:r>
          </w:p>
        </w:tc>
        <w:tc>
          <w:tcPr>
            <w:tcW w:w="3715"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挤出机</w:t>
            </w:r>
          </w:p>
        </w:tc>
        <w:tc>
          <w:tcPr>
            <w:tcW w:w="1445"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60-50</w:t>
            </w:r>
          </w:p>
        </w:tc>
        <w:tc>
          <w:tcPr>
            <w:tcW w:w="2300"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2</w:t>
            </w:r>
          </w:p>
        </w:tc>
        <w:tc>
          <w:tcPr>
            <w:tcW w:w="3715"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智能码坯机</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en-US" w:eastAsia="zh-CN"/>
              </w:rPr>
              <w:t>/</w:t>
            </w:r>
          </w:p>
        </w:tc>
        <w:tc>
          <w:tcPr>
            <w:tcW w:w="2300"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3</w:t>
            </w:r>
          </w:p>
        </w:tc>
        <w:tc>
          <w:tcPr>
            <w:tcW w:w="3715"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颚式破碎机</w:t>
            </w:r>
          </w:p>
        </w:tc>
        <w:tc>
          <w:tcPr>
            <w:tcW w:w="1445"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50-70</w:t>
            </w:r>
          </w:p>
        </w:tc>
        <w:tc>
          <w:tcPr>
            <w:tcW w:w="2300"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4</w:t>
            </w:r>
          </w:p>
        </w:tc>
        <w:tc>
          <w:tcPr>
            <w:tcW w:w="3715"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搅拌机</w:t>
            </w:r>
          </w:p>
        </w:tc>
        <w:tc>
          <w:tcPr>
            <w:tcW w:w="1445"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4.5m</w:t>
            </w:r>
          </w:p>
        </w:tc>
        <w:tc>
          <w:tcPr>
            <w:tcW w:w="2300"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5</w:t>
            </w:r>
          </w:p>
        </w:tc>
        <w:tc>
          <w:tcPr>
            <w:tcW w:w="3715"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滚动筛</w:t>
            </w:r>
          </w:p>
        </w:tc>
        <w:tc>
          <w:tcPr>
            <w:tcW w:w="1445"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en-US" w:eastAsia="en-US"/>
              </w:rPr>
              <w:t>2.2*</w:t>
            </w:r>
            <w:r>
              <w:rPr>
                <w:rFonts w:hint="eastAsia" w:ascii="宋体" w:hAnsi="宋体" w:eastAsia="宋体" w:cs="宋体"/>
                <w:vertAlign w:val="baseline"/>
                <w:lang w:val="zh-CN" w:eastAsia="zh-CN"/>
              </w:rPr>
              <w:t>lm</w:t>
            </w:r>
          </w:p>
        </w:tc>
        <w:tc>
          <w:tcPr>
            <w:tcW w:w="2300"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6</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粉碎机</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120型</w:t>
            </w:r>
          </w:p>
        </w:tc>
        <w:tc>
          <w:tcPr>
            <w:tcW w:w="2300"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7</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供煤机</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w:t>
            </w:r>
          </w:p>
        </w:tc>
        <w:tc>
          <w:tcPr>
            <w:tcW w:w="2300"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8</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自动切条机</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en-US" w:eastAsia="en-US"/>
              </w:rPr>
              <w:t>36*9</w:t>
            </w:r>
          </w:p>
        </w:tc>
        <w:tc>
          <w:tcPr>
            <w:tcW w:w="2300"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9</w:t>
            </w:r>
          </w:p>
        </w:tc>
        <w:tc>
          <w:tcPr>
            <w:tcW w:w="3715"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切坯机</w:t>
            </w:r>
          </w:p>
        </w:tc>
        <w:tc>
          <w:tcPr>
            <w:tcW w:w="1445"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w:t>
            </w:r>
          </w:p>
        </w:tc>
        <w:tc>
          <w:tcPr>
            <w:tcW w:w="2300"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10</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小平车</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w:t>
            </w:r>
          </w:p>
        </w:tc>
        <w:tc>
          <w:tcPr>
            <w:tcW w:w="2300"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800 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11</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电动车</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w:t>
            </w:r>
          </w:p>
        </w:tc>
        <w:tc>
          <w:tcPr>
            <w:tcW w:w="2300"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30台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12</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风机</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en-US" w:eastAsia="zh-CN"/>
              </w:rPr>
              <w:t>直径1</w:t>
            </w:r>
            <w:r>
              <w:rPr>
                <w:rFonts w:hint="eastAsia" w:ascii="宋体" w:hAnsi="宋体" w:eastAsia="宋体" w:cs="宋体"/>
                <w:vertAlign w:val="baseline"/>
                <w:lang w:val="en-US" w:eastAsia="en-US"/>
              </w:rPr>
              <w:t>.4</w:t>
            </w:r>
            <w:r>
              <w:rPr>
                <w:rFonts w:hint="eastAsia" w:ascii="宋体" w:hAnsi="宋体" w:eastAsia="宋体" w:cs="宋体"/>
                <w:vertAlign w:val="baseline"/>
                <w:lang w:val="zh-CN" w:eastAsia="zh-CN"/>
              </w:rPr>
              <w:t>m</w:t>
            </w:r>
          </w:p>
        </w:tc>
        <w:tc>
          <w:tcPr>
            <w:tcW w:w="2300"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13</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除尘器</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w:t>
            </w:r>
          </w:p>
        </w:tc>
        <w:tc>
          <w:tcPr>
            <w:tcW w:w="2300"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1套(新增)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14</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脱硫塔</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w:t>
            </w:r>
          </w:p>
        </w:tc>
        <w:tc>
          <w:tcPr>
            <w:tcW w:w="2300"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en-US" w:eastAsia="zh-CN"/>
              </w:rPr>
              <w:t>1套</w:t>
            </w:r>
            <w:r>
              <w:rPr>
                <w:rFonts w:hint="eastAsia" w:ascii="宋体" w:hAnsi="宋体" w:eastAsia="宋体" w:cs="宋体"/>
                <w:vertAlign w:val="baseline"/>
                <w:lang w:val="zh-CN" w:eastAsia="zh-CN"/>
              </w:rPr>
              <w:t>(新增)</w:t>
            </w:r>
          </w:p>
        </w:tc>
      </w:tr>
    </w:tbl>
    <w:p>
      <w:pPr>
        <w:pStyle w:val="12"/>
        <w:spacing w:line="240" w:lineRule="auto"/>
        <w:ind w:firstLine="482" w:firstLineChars="200"/>
        <w:jc w:val="center"/>
        <w:rPr>
          <w:rFonts w:hint="eastAsia" w:ascii="黑体" w:hAnsi="Courier New" w:eastAsia="黑体"/>
          <w:b/>
          <w:color w:val="auto"/>
          <w:sz w:val="24"/>
          <w:lang w:eastAsia="zh-CN"/>
        </w:rPr>
      </w:pPr>
      <w:r>
        <w:rPr>
          <w:rFonts w:hint="eastAsia" w:ascii="黑体" w:hAnsi="Courier New" w:eastAsia="黑体"/>
          <w:b/>
          <w:color w:val="auto"/>
          <w:sz w:val="24"/>
          <w:lang w:eastAsia="zh-CN"/>
        </w:rPr>
        <w:t>表</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 xml:space="preserve"> 主要设备清单</w:t>
      </w:r>
    </w:p>
    <w:p>
      <w:pPr>
        <w:pStyle w:val="5"/>
        <w:spacing w:before="0" w:after="0" w:line="360" w:lineRule="auto"/>
        <w:rPr>
          <w:rFonts w:hint="eastAsia" w:ascii="宋体" w:hAnsi="宋体" w:eastAsia="宋体" w:cs="宋体"/>
          <w:color w:val="auto"/>
          <w:sz w:val="28"/>
          <w:szCs w:val="28"/>
        </w:rPr>
      </w:pPr>
      <w:bookmarkStart w:id="46" w:name="_Toc15943"/>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各方应急力量有关基本情况</w:t>
      </w:r>
      <w:bookmarkEnd w:id="46"/>
    </w:p>
    <w:p>
      <w:pPr>
        <w:pStyle w:val="5"/>
        <w:spacing w:before="0" w:after="0" w:line="360" w:lineRule="auto"/>
        <w:rPr>
          <w:rFonts w:hint="eastAsia" w:ascii="宋体" w:hAnsi="宋体" w:eastAsia="宋体" w:cs="宋体"/>
          <w:color w:val="auto"/>
          <w:sz w:val="28"/>
          <w:szCs w:val="28"/>
          <w:lang w:val="zh-CN"/>
        </w:rPr>
      </w:pPr>
      <w:bookmarkStart w:id="47" w:name="_Toc8819"/>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.1内部应急力量</w:t>
      </w:r>
      <w:bookmarkEnd w:id="47"/>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rPr>
        <w:t>公司成立有以总经理</w:t>
      </w:r>
      <w:r>
        <w:rPr>
          <w:rFonts w:hint="eastAsia" w:ascii="宋体" w:hAnsi="宋体" w:cs="宋体"/>
          <w:i w:val="0"/>
          <w:iCs w:val="0"/>
          <w:color w:val="FF0000"/>
          <w:sz w:val="28"/>
          <w:szCs w:val="28"/>
          <w:lang w:eastAsia="zh-CN"/>
        </w:rPr>
        <w:t>李小兵</w:t>
      </w:r>
      <w:r>
        <w:rPr>
          <w:rFonts w:hint="eastAsia" w:ascii="宋体" w:hAnsi="宋体" w:cs="宋体"/>
          <w:i w:val="0"/>
          <w:iCs w:val="0"/>
          <w:color w:val="FF0000"/>
          <w:sz w:val="28"/>
          <w:szCs w:val="28"/>
        </w:rPr>
        <w:t>为组长的应急抢险救援领导小组，副组长由公司</w:t>
      </w:r>
      <w:r>
        <w:rPr>
          <w:rFonts w:hint="eastAsia" w:ascii="宋体" w:hAnsi="宋体" w:eastAsia="宋体" w:cs="宋体"/>
          <w:i w:val="0"/>
          <w:iCs w:val="0"/>
          <w:color w:val="FF0000"/>
          <w:sz w:val="28"/>
          <w:szCs w:val="28"/>
          <w:lang w:eastAsia="zh-CN"/>
        </w:rPr>
        <w:t>厂长</w:t>
      </w:r>
      <w:r>
        <w:rPr>
          <w:rFonts w:hint="eastAsia" w:ascii="宋体" w:hAnsi="宋体" w:cs="宋体"/>
          <w:i w:val="0"/>
          <w:iCs w:val="0"/>
          <w:color w:val="FF0000"/>
          <w:sz w:val="28"/>
          <w:szCs w:val="28"/>
          <w:lang w:eastAsia="zh-CN"/>
        </w:rPr>
        <w:t>李亨军</w:t>
      </w:r>
      <w:r>
        <w:rPr>
          <w:rFonts w:hint="eastAsia" w:ascii="宋体" w:hAnsi="宋体" w:cs="宋体"/>
          <w:i w:val="0"/>
          <w:iCs w:val="0"/>
          <w:color w:val="FF0000"/>
          <w:sz w:val="28"/>
          <w:szCs w:val="28"/>
        </w:rPr>
        <w:t>担任。成员由其他</w:t>
      </w:r>
      <w:r>
        <w:rPr>
          <w:rFonts w:hint="eastAsia" w:ascii="宋体" w:hAnsi="宋体" w:cs="宋体"/>
          <w:i w:val="0"/>
          <w:iCs w:val="0"/>
          <w:color w:val="FF0000"/>
          <w:sz w:val="28"/>
          <w:szCs w:val="28"/>
          <w:lang w:eastAsia="zh-CN"/>
        </w:rPr>
        <w:t>现场负责人</w:t>
      </w:r>
      <w:r>
        <w:rPr>
          <w:rFonts w:hint="eastAsia" w:ascii="宋体" w:hAnsi="宋体" w:cs="宋体"/>
          <w:i w:val="0"/>
          <w:iCs w:val="0"/>
          <w:color w:val="FF0000"/>
          <w:sz w:val="28"/>
          <w:szCs w:val="28"/>
        </w:rPr>
        <w:t>、车间主管及</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成员组成。并设</w:t>
      </w:r>
      <w:r>
        <w:rPr>
          <w:rFonts w:hint="eastAsia" w:ascii="宋体" w:hAnsi="宋体" w:cs="宋体"/>
          <w:i w:val="0"/>
          <w:iCs w:val="0"/>
          <w:color w:val="FF0000"/>
          <w:sz w:val="28"/>
          <w:szCs w:val="28"/>
          <w:lang w:eastAsia="zh-CN"/>
        </w:rPr>
        <w:t>安全管理员</w:t>
      </w:r>
      <w:r>
        <w:rPr>
          <w:rFonts w:hint="eastAsia" w:ascii="宋体" w:hAnsi="宋体" w:cs="宋体"/>
          <w:i w:val="0"/>
          <w:iCs w:val="0"/>
          <w:color w:val="FF0000"/>
          <w:sz w:val="28"/>
          <w:szCs w:val="28"/>
        </w:rPr>
        <w:t>作为独立的日常安全、环保管理专职人员，应急抢险救援领导小组下设有下设抢险救援组、</w:t>
      </w:r>
      <w:r>
        <w:rPr>
          <w:rFonts w:hint="eastAsia" w:ascii="宋体" w:hAnsi="宋体" w:cs="宋体"/>
          <w:i w:val="0"/>
          <w:iCs w:val="0"/>
          <w:color w:val="FF0000"/>
          <w:sz w:val="28"/>
          <w:szCs w:val="28"/>
          <w:lang w:eastAsia="zh-CN"/>
        </w:rPr>
        <w:t>疏散联络组</w:t>
      </w:r>
      <w:r>
        <w:rPr>
          <w:rFonts w:hint="eastAsia" w:ascii="宋体" w:hAnsi="宋体" w:cs="宋体"/>
          <w:i w:val="0"/>
          <w:iCs w:val="0"/>
          <w:color w:val="FF0000"/>
          <w:sz w:val="28"/>
          <w:szCs w:val="28"/>
        </w:rPr>
        <w:t>、后勤保障组、医疗救护组</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事故调查善后组、</w:t>
      </w:r>
      <w:r>
        <w:rPr>
          <w:rFonts w:hint="eastAsia" w:ascii="宋体" w:hAnsi="宋体" w:cs="宋体"/>
          <w:i w:val="0"/>
          <w:iCs w:val="0"/>
          <w:color w:val="FF0000"/>
          <w:sz w:val="28"/>
          <w:szCs w:val="28"/>
        </w:rPr>
        <w:t>负责处理应急救援事宜。领导小组办公室常设在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，日常工作由</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主管</w:t>
      </w:r>
      <w:r>
        <w:rPr>
          <w:rFonts w:hint="eastAsia" w:ascii="宋体" w:hAnsi="宋体" w:cs="宋体"/>
          <w:i w:val="0"/>
          <w:iCs w:val="0"/>
          <w:color w:val="FF0000"/>
          <w:sz w:val="28"/>
          <w:szCs w:val="28"/>
          <w:lang w:eastAsia="zh-CN"/>
        </w:rPr>
        <w:t>负责</w:t>
      </w:r>
      <w:r>
        <w:rPr>
          <w:rFonts w:hint="eastAsia" w:ascii="宋体" w:hAnsi="宋体" w:cs="宋体"/>
          <w:i w:val="0"/>
          <w:iCs w:val="0"/>
          <w:color w:val="FF0000"/>
          <w:sz w:val="28"/>
          <w:szCs w:val="28"/>
        </w:rPr>
        <w:t>。其它下设的各小组组长由公司指派部门负责人担任。重大事故发生时，由总经理任应急领导组长，领导小组副组长任副应急领导组长，负责组织和指挥应急抢险救护工作。应急领导小组一般设在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。如果应急领导组长或副组长均不在公司时，则由在公司</w:t>
      </w:r>
      <w:r>
        <w:rPr>
          <w:rFonts w:hint="eastAsia" w:ascii="宋体" w:hAnsi="宋体" w:cs="宋体"/>
          <w:i w:val="0"/>
          <w:iCs w:val="0"/>
          <w:color w:val="FF0000"/>
          <w:sz w:val="28"/>
          <w:szCs w:val="28"/>
          <w:lang w:eastAsia="zh-CN"/>
        </w:rPr>
        <w:t>厂长</w:t>
      </w:r>
      <w:r>
        <w:rPr>
          <w:rFonts w:hint="eastAsia" w:ascii="宋体" w:hAnsi="宋体" w:cs="宋体"/>
          <w:i w:val="0"/>
          <w:iCs w:val="0"/>
          <w:color w:val="FF0000"/>
          <w:sz w:val="28"/>
          <w:szCs w:val="28"/>
        </w:rPr>
        <w:t>与</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负责人为临时应急领导组长，全权负责应急抢险及救护工作。</w:t>
      </w:r>
    </w:p>
    <w:p>
      <w:pPr>
        <w:pStyle w:val="5"/>
        <w:spacing w:before="0" w:after="0" w:line="360" w:lineRule="auto"/>
        <w:rPr>
          <w:rFonts w:hint="eastAsia" w:ascii="宋体" w:hAnsi="宋体" w:eastAsia="宋体" w:cs="宋体"/>
          <w:color w:val="auto"/>
          <w:sz w:val="28"/>
          <w:szCs w:val="28"/>
          <w:lang w:val="zh-CN"/>
        </w:rPr>
      </w:pPr>
      <w:bookmarkStart w:id="48" w:name="_Toc32321"/>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外部应急力量</w:t>
      </w:r>
      <w:bookmarkEnd w:id="48"/>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rPr>
        <w:t>公司能借用的外部力量包括</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人民政府、</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应急管理局、</w:t>
      </w:r>
      <w:r>
        <w:rPr>
          <w:rFonts w:hint="eastAsia" w:ascii="宋体" w:hAnsi="宋体" w:cs="宋体"/>
          <w:i w:val="0"/>
          <w:iCs w:val="0"/>
          <w:color w:val="auto"/>
          <w:sz w:val="28"/>
          <w:szCs w:val="28"/>
          <w:lang w:eastAsia="zh-CN"/>
        </w:rPr>
        <w:t>仪陇县消防救援局</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仪陇县瓦子镇</w:t>
      </w:r>
      <w:r>
        <w:rPr>
          <w:rFonts w:hint="eastAsia" w:ascii="宋体" w:hAnsi="宋体" w:cs="宋体"/>
          <w:i w:val="0"/>
          <w:iCs w:val="0"/>
          <w:color w:val="auto"/>
          <w:sz w:val="28"/>
          <w:szCs w:val="28"/>
          <w:lang w:val="zh-CN" w:eastAsia="zh-CN"/>
        </w:rPr>
        <w:t>政府</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仪陇县瓦子镇卫生院</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仪陇县人民医院</w:t>
      </w:r>
      <w:r>
        <w:rPr>
          <w:rFonts w:hint="eastAsia" w:ascii="宋体" w:hAnsi="宋体" w:cs="宋体"/>
          <w:i w:val="0"/>
          <w:iCs w:val="0"/>
          <w:color w:val="auto"/>
          <w:sz w:val="28"/>
          <w:szCs w:val="28"/>
        </w:rPr>
        <w:t>以及周边企业应急救援物质。</w:t>
      </w:r>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lang w:eastAsia="zh-CN"/>
        </w:rPr>
        <w:t>仪陇县瓦子镇卫生院</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3</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10</w:t>
      </w:r>
      <w:r>
        <w:rPr>
          <w:rFonts w:hint="eastAsia" w:ascii="宋体" w:hAnsi="宋体" w:cs="宋体"/>
          <w:i w:val="0"/>
          <w:iCs w:val="0"/>
          <w:color w:val="FF0000"/>
          <w:sz w:val="28"/>
          <w:szCs w:val="28"/>
        </w:rPr>
        <w:t>分钟内能到达现场</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仪陇县人民医院</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62</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1.5小时</w:t>
      </w:r>
      <w:r>
        <w:rPr>
          <w:rFonts w:hint="eastAsia" w:ascii="宋体" w:hAnsi="宋体" w:cs="宋体"/>
          <w:i w:val="0"/>
          <w:iCs w:val="0"/>
          <w:color w:val="FF0000"/>
          <w:sz w:val="28"/>
          <w:szCs w:val="28"/>
        </w:rPr>
        <w:t>内能到达现场。</w:t>
      </w:r>
    </w:p>
    <w:p>
      <w:pPr>
        <w:spacing w:line="360" w:lineRule="auto"/>
        <w:ind w:firstLine="560" w:firstLineChars="200"/>
        <w:rPr>
          <w:rFonts w:hint="eastAsia" w:ascii="宋体" w:hAnsi="宋体" w:cs="宋体"/>
          <w:i w:val="0"/>
          <w:iCs w:val="0"/>
          <w:color w:val="FF0000"/>
          <w:sz w:val="28"/>
          <w:szCs w:val="28"/>
          <w:lang w:eastAsia="zh-CN"/>
        </w:rPr>
      </w:pPr>
      <w:r>
        <w:rPr>
          <w:rFonts w:hint="eastAsia" w:ascii="宋体" w:hAnsi="宋体" w:cs="宋体"/>
          <w:i w:val="0"/>
          <w:iCs w:val="0"/>
          <w:color w:val="FF0000"/>
          <w:sz w:val="28"/>
          <w:szCs w:val="28"/>
          <w:lang w:eastAsia="zh-CN"/>
        </w:rPr>
        <w:t>仪陇县瓦子镇</w:t>
      </w:r>
      <w:r>
        <w:rPr>
          <w:rFonts w:hint="eastAsia" w:ascii="宋体" w:hAnsi="宋体" w:cs="宋体"/>
          <w:i w:val="0"/>
          <w:iCs w:val="0"/>
          <w:color w:val="FF0000"/>
          <w:sz w:val="28"/>
          <w:szCs w:val="28"/>
          <w:lang w:val="zh-CN" w:eastAsia="zh-CN"/>
        </w:rPr>
        <w:t>政府</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3.4</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10</w:t>
      </w:r>
      <w:r>
        <w:rPr>
          <w:rFonts w:hint="eastAsia" w:ascii="宋体" w:hAnsi="宋体" w:cs="宋体"/>
          <w:i w:val="0"/>
          <w:iCs w:val="0"/>
          <w:color w:val="FF0000"/>
          <w:sz w:val="28"/>
          <w:szCs w:val="28"/>
        </w:rPr>
        <w:t>分钟内能到达现场</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仪陇县金城消防中队距企业距离约</w:t>
      </w:r>
      <w:r>
        <w:rPr>
          <w:rFonts w:hint="eastAsia" w:ascii="宋体" w:hAnsi="宋体" w:cs="宋体"/>
          <w:i w:val="0"/>
          <w:iCs w:val="0"/>
          <w:color w:val="FF0000"/>
          <w:sz w:val="28"/>
          <w:szCs w:val="28"/>
          <w:lang w:val="en-US" w:eastAsia="zh-CN"/>
        </w:rPr>
        <w:t>65</w:t>
      </w:r>
      <w:r>
        <w:rPr>
          <w:rFonts w:hint="eastAsia" w:ascii="宋体" w:hAnsi="宋体" w:cs="宋体"/>
          <w:i w:val="0"/>
          <w:iCs w:val="0"/>
          <w:color w:val="FF0000"/>
          <w:sz w:val="28"/>
          <w:szCs w:val="28"/>
          <w:lang w:eastAsia="zh-CN"/>
        </w:rPr>
        <w:t>km，发生事故时</w:t>
      </w:r>
      <w:r>
        <w:rPr>
          <w:rFonts w:hint="eastAsia" w:ascii="宋体" w:hAnsi="宋体" w:eastAsia="宋体" w:cs="宋体"/>
          <w:i w:val="0"/>
          <w:iCs w:val="0"/>
          <w:color w:val="FF0000"/>
          <w:sz w:val="28"/>
          <w:szCs w:val="28"/>
          <w:lang w:val="en-US" w:eastAsia="zh-CN"/>
        </w:rPr>
        <w:t>1.5小时</w:t>
      </w:r>
      <w:r>
        <w:rPr>
          <w:rFonts w:hint="eastAsia" w:ascii="宋体" w:hAnsi="宋体" w:cs="宋体"/>
          <w:i w:val="0"/>
          <w:iCs w:val="0"/>
          <w:color w:val="FF0000"/>
          <w:sz w:val="28"/>
          <w:szCs w:val="28"/>
          <w:lang w:eastAsia="zh-CN"/>
        </w:rPr>
        <w:t>内能到达现场；仪陇县消防救援局距企业距离约</w:t>
      </w:r>
      <w:r>
        <w:rPr>
          <w:rFonts w:hint="eastAsia" w:ascii="宋体" w:hAnsi="宋体" w:cs="宋体"/>
          <w:i w:val="0"/>
          <w:iCs w:val="0"/>
          <w:color w:val="FF0000"/>
          <w:sz w:val="28"/>
          <w:szCs w:val="28"/>
          <w:lang w:val="en-US" w:eastAsia="zh-CN"/>
        </w:rPr>
        <w:t>80</w:t>
      </w:r>
      <w:r>
        <w:rPr>
          <w:rFonts w:hint="eastAsia" w:ascii="宋体" w:hAnsi="宋体" w:cs="宋体"/>
          <w:i w:val="0"/>
          <w:iCs w:val="0"/>
          <w:color w:val="FF0000"/>
          <w:sz w:val="28"/>
          <w:szCs w:val="28"/>
          <w:lang w:eastAsia="zh-CN"/>
        </w:rPr>
        <w:t>km，发生事故时</w:t>
      </w:r>
      <w:r>
        <w:rPr>
          <w:rFonts w:hint="eastAsia" w:ascii="宋体" w:hAnsi="宋体" w:eastAsia="宋体" w:cs="宋体"/>
          <w:i w:val="0"/>
          <w:iCs w:val="0"/>
          <w:color w:val="FF0000"/>
          <w:sz w:val="28"/>
          <w:szCs w:val="28"/>
          <w:lang w:val="en-US" w:eastAsia="zh-CN"/>
        </w:rPr>
        <w:t>2小时</w:t>
      </w:r>
      <w:r>
        <w:rPr>
          <w:rFonts w:hint="eastAsia" w:ascii="宋体" w:hAnsi="宋体" w:cs="宋体"/>
          <w:i w:val="0"/>
          <w:iCs w:val="0"/>
          <w:color w:val="FF0000"/>
          <w:sz w:val="28"/>
          <w:szCs w:val="28"/>
        </w:rPr>
        <w:t>内</w:t>
      </w:r>
      <w:r>
        <w:rPr>
          <w:rFonts w:hint="eastAsia" w:ascii="宋体" w:hAnsi="宋体" w:cs="宋体"/>
          <w:i w:val="0"/>
          <w:iCs w:val="0"/>
          <w:color w:val="FF0000"/>
          <w:sz w:val="28"/>
          <w:szCs w:val="28"/>
          <w:lang w:eastAsia="zh-CN"/>
        </w:rPr>
        <w:t>内能到达现场。</w:t>
      </w:r>
    </w:p>
    <w:p>
      <w:pPr>
        <w:spacing w:line="360" w:lineRule="auto"/>
        <w:ind w:firstLine="560" w:firstLineChars="200"/>
        <w:rPr>
          <w:rFonts w:ascii="宋体" w:hAnsi="宋体"/>
          <w:i w:val="0"/>
          <w:iCs w:val="0"/>
          <w:color w:val="auto"/>
          <w:sz w:val="28"/>
          <w:szCs w:val="28"/>
        </w:rPr>
      </w:pPr>
      <w:r>
        <w:rPr>
          <w:rFonts w:hint="eastAsia" w:ascii="宋体" w:hAnsi="宋体"/>
          <w:i w:val="0"/>
          <w:iCs w:val="0"/>
          <w:color w:val="auto"/>
          <w:sz w:val="28"/>
          <w:szCs w:val="28"/>
        </w:rPr>
        <w:t>外部救援工作具体由指挥部负责，指挥部门负责与外部救援单位及时取得联系，并将具体地点、路线、发生事故的情况，救援所需器材的种类与外部救援单位讲清楚，同时应安排专人去接应并引路。</w:t>
      </w:r>
    </w:p>
    <w:p>
      <w:pPr>
        <w:spacing w:line="360" w:lineRule="auto"/>
        <w:jc w:val="center"/>
        <w:rPr>
          <w:rFonts w:hint="eastAsia" w:ascii="黑体" w:hAnsi="宋体" w:eastAsia="黑体"/>
          <w:b/>
          <w:bCs/>
          <w:i w:val="0"/>
          <w:iCs w:val="0"/>
          <w:color w:val="auto"/>
          <w:sz w:val="24"/>
        </w:rPr>
      </w:pPr>
      <w:r>
        <w:rPr>
          <w:rFonts w:hint="eastAsia" w:ascii="黑体" w:hAnsi="宋体" w:eastAsia="黑体"/>
          <w:b/>
          <w:bCs/>
          <w:i w:val="0"/>
          <w:iCs w:val="0"/>
          <w:color w:val="auto"/>
          <w:sz w:val="24"/>
        </w:rPr>
        <w:t>表2-</w:t>
      </w:r>
      <w:r>
        <w:rPr>
          <w:rFonts w:hint="eastAsia" w:ascii="黑体" w:hAnsi="宋体" w:eastAsia="黑体"/>
          <w:b/>
          <w:bCs/>
          <w:i w:val="0"/>
          <w:iCs w:val="0"/>
          <w:color w:val="auto"/>
          <w:sz w:val="24"/>
          <w:lang w:val="en-US" w:eastAsia="zh-CN"/>
        </w:rPr>
        <w:t>3</w:t>
      </w:r>
      <w:r>
        <w:rPr>
          <w:rFonts w:hint="eastAsia" w:ascii="黑体" w:hAnsi="宋体" w:eastAsia="黑体"/>
          <w:b/>
          <w:bCs/>
          <w:i w:val="0"/>
          <w:iCs w:val="0"/>
          <w:color w:val="auto"/>
          <w:sz w:val="24"/>
        </w:rPr>
        <w:t xml:space="preserve"> 外部应急支援一览表</w:t>
      </w:r>
    </w:p>
    <w:tbl>
      <w:tblPr>
        <w:tblStyle w:val="19"/>
        <w:tblW w:w="9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42"/>
        <w:gridCol w:w="765"/>
        <w:gridCol w:w="780"/>
        <w:gridCol w:w="4216"/>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序号</w:t>
            </w:r>
          </w:p>
        </w:tc>
        <w:tc>
          <w:tcPr>
            <w:tcW w:w="1742"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物资和装备名称</w:t>
            </w:r>
          </w:p>
        </w:tc>
        <w:tc>
          <w:tcPr>
            <w:tcW w:w="765"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数量</w:t>
            </w:r>
          </w:p>
        </w:tc>
        <w:tc>
          <w:tcPr>
            <w:tcW w:w="780"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w:t>
            </w:r>
          </w:p>
        </w:tc>
        <w:tc>
          <w:tcPr>
            <w:tcW w:w="4216"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单位名称</w:t>
            </w:r>
          </w:p>
        </w:tc>
        <w:tc>
          <w:tcPr>
            <w:tcW w:w="1084" w:type="dxa"/>
            <w:noWrap w:val="0"/>
            <w:vAlign w:val="center"/>
          </w:tcPr>
          <w:p>
            <w:pPr>
              <w:spacing w:line="460" w:lineRule="exact"/>
              <w:jc w:val="center"/>
              <w:rPr>
                <w:rFonts w:hint="eastAsia" w:ascii="宋体" w:hAnsi="宋体"/>
                <w:b/>
                <w:bCs/>
                <w:i w:val="0"/>
                <w:iCs w:val="0"/>
                <w:color w:val="auto"/>
                <w:szCs w:val="21"/>
              </w:rPr>
            </w:pPr>
            <w:r>
              <w:rPr>
                <w:rFonts w:hint="eastAsia" w:ascii="宋体" w:hAnsi="宋体"/>
                <w:b/>
                <w:bCs/>
                <w:i w:val="0"/>
                <w:iCs w:val="0"/>
                <w:color w:val="auto"/>
                <w:szCs w:val="21"/>
              </w:rPr>
              <w:t>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1）</w:t>
            </w:r>
          </w:p>
        </w:tc>
        <w:tc>
          <w:tcPr>
            <w:tcW w:w="1742"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消防</w:t>
            </w:r>
            <w:r>
              <w:rPr>
                <w:rFonts w:hint="eastAsia" w:ascii="宋体" w:hAnsi="宋体" w:eastAsia="宋体"/>
                <w:i w:val="0"/>
                <w:iCs w:val="0"/>
                <w:color w:val="auto"/>
                <w:szCs w:val="21"/>
                <w:lang w:eastAsia="zh-CN"/>
              </w:rPr>
              <w:t>用水</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1</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企业</w:t>
            </w:r>
            <w:r>
              <w:rPr>
                <w:rFonts w:hint="eastAsia" w:ascii="宋体" w:hAnsi="宋体" w:eastAsia="宋体"/>
                <w:i w:val="0"/>
                <w:iCs w:val="0"/>
                <w:color w:val="auto"/>
                <w:szCs w:val="21"/>
                <w:lang w:eastAsia="zh-CN"/>
              </w:rPr>
              <w:t>内水池（</w:t>
            </w:r>
            <w:r>
              <w:rPr>
                <w:rFonts w:hint="eastAsia" w:ascii="宋体" w:hAnsi="宋体" w:eastAsia="宋体"/>
                <w:i w:val="0"/>
                <w:iCs w:val="0"/>
                <w:color w:val="auto"/>
                <w:szCs w:val="21"/>
                <w:lang w:val="en-US" w:eastAsia="zh-CN"/>
              </w:rPr>
              <w:t>20m</w:t>
            </w:r>
            <w:r>
              <w:rPr>
                <w:rFonts w:hint="eastAsia" w:ascii="宋体" w:hAnsi="宋体" w:eastAsia="宋体"/>
                <w:i w:val="0"/>
                <w:iCs w:val="0"/>
                <w:color w:val="auto"/>
                <w:szCs w:val="21"/>
                <w:vertAlign w:val="superscript"/>
                <w:lang w:val="en-US" w:eastAsia="zh-CN"/>
              </w:rPr>
              <w:t>3</w:t>
            </w:r>
            <w:r>
              <w:rPr>
                <w:rFonts w:hint="eastAsia" w:ascii="宋体" w:hAnsi="宋体" w:eastAsia="宋体"/>
                <w:i w:val="0"/>
                <w:iCs w:val="0"/>
                <w:color w:val="auto"/>
                <w:szCs w:val="21"/>
                <w:lang w:eastAsia="zh-CN"/>
              </w:rPr>
              <w:t>）</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李亨军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7"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 xml:space="preserve"> 2）</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color w:val="auto"/>
                <w:szCs w:val="21"/>
              </w:rPr>
              <w:t>消防栓</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eastAsia="zh-CN"/>
              </w:rPr>
            </w:pPr>
            <w:r>
              <w:rPr>
                <w:rFonts w:hint="eastAsia" w:ascii="宋体" w:hAnsi="宋体"/>
                <w:color w:val="auto"/>
                <w:szCs w:val="21"/>
                <w:lang w:val="en-US" w:eastAsia="zh-CN"/>
              </w:rPr>
              <w:t>10</w:t>
            </w:r>
          </w:p>
        </w:tc>
        <w:tc>
          <w:tcPr>
            <w:tcW w:w="780" w:type="dxa"/>
            <w:noWrap w:val="0"/>
            <w:vAlign w:val="center"/>
          </w:tcPr>
          <w:p>
            <w:pPr>
              <w:spacing w:line="460" w:lineRule="exact"/>
              <w:jc w:val="center"/>
              <w:rPr>
                <w:rFonts w:hint="eastAsia" w:ascii="宋体" w:hAnsi="宋体"/>
                <w:i w:val="0"/>
                <w:iCs w:val="0"/>
                <w:color w:val="auto"/>
                <w:szCs w:val="21"/>
              </w:rPr>
            </w:pPr>
            <w:r>
              <w:rPr>
                <w:rFonts w:hint="eastAsia" w:ascii="宋体" w:hAnsi="宋体"/>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40" w:lineRule="exact"/>
              <w:jc w:val="center"/>
              <w:rPr>
                <w:rFonts w:hint="eastAsia" w:ascii="宋体" w:hAnsi="宋体"/>
                <w:i w:val="0"/>
                <w:iCs w:val="0"/>
                <w:color w:val="auto"/>
                <w:szCs w:val="21"/>
              </w:rPr>
            </w:pPr>
            <w:r>
              <w:rPr>
                <w:rFonts w:hint="eastAsia" w:ascii="宋体" w:hAnsi="宋体"/>
                <w:i w:val="0"/>
                <w:iCs w:val="0"/>
                <w:color w:val="auto"/>
                <w:szCs w:val="21"/>
                <w:lang w:eastAsia="zh-CN"/>
              </w:rPr>
              <w:t>李亨军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3）</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color w:val="auto"/>
                <w:szCs w:val="21"/>
              </w:rPr>
              <w:t>干粉灭火器</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color w:val="auto"/>
                <w:szCs w:val="21"/>
              </w:rPr>
              <w:t>若干</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李亨军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4）</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color w:val="auto"/>
                <w:szCs w:val="21"/>
              </w:rPr>
              <w:t>急救箱</w:t>
            </w:r>
          </w:p>
        </w:tc>
        <w:tc>
          <w:tcPr>
            <w:tcW w:w="765" w:type="dxa"/>
            <w:noWrap w:val="0"/>
            <w:vAlign w:val="top"/>
          </w:tcPr>
          <w:p>
            <w:pPr>
              <w:spacing w:line="440" w:lineRule="exact"/>
              <w:ind w:firstLine="105" w:firstLineChars="50"/>
              <w:jc w:val="center"/>
              <w:rPr>
                <w:rFonts w:hint="default" w:ascii="宋体" w:hAnsi="宋体"/>
                <w:i w:val="0"/>
                <w:iCs w:val="0"/>
                <w:color w:val="auto"/>
                <w:szCs w:val="21"/>
                <w:lang w:val="en-US" w:eastAsia="zh-CN"/>
              </w:rPr>
            </w:pPr>
            <w:r>
              <w:rPr>
                <w:rFonts w:hint="eastAsia" w:ascii="宋体" w:hAnsi="宋体"/>
                <w:color w:val="auto"/>
                <w:szCs w:val="21"/>
              </w:rPr>
              <w:t>5</w:t>
            </w:r>
          </w:p>
        </w:tc>
        <w:tc>
          <w:tcPr>
            <w:tcW w:w="780" w:type="dxa"/>
            <w:noWrap w:val="0"/>
            <w:vAlign w:val="center"/>
          </w:tcPr>
          <w:p>
            <w:pPr>
              <w:spacing w:line="460" w:lineRule="exact"/>
              <w:jc w:val="center"/>
              <w:rPr>
                <w:rFonts w:hint="eastAsia" w:ascii="宋体" w:hAnsi="宋体"/>
                <w:i w:val="0"/>
                <w:iCs w:val="0"/>
                <w:color w:val="auto"/>
                <w:szCs w:val="21"/>
              </w:rPr>
            </w:pPr>
            <w:r>
              <w:rPr>
                <w:rFonts w:hint="eastAsia" w:ascii="宋体" w:hAnsi="宋体"/>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李亨军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5）</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color w:val="auto"/>
                <w:szCs w:val="21"/>
              </w:rPr>
              <w:t>消防车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color w:val="auto"/>
                <w:szCs w:val="21"/>
              </w:rPr>
              <w:t>10</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color w:val="auto"/>
                <w:szCs w:val="21"/>
              </w:rPr>
              <w:t>辆</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李亨军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6）</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color w:val="auto"/>
                <w:szCs w:val="21"/>
              </w:rPr>
              <w:t>消防人员</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color w:val="auto"/>
                <w:szCs w:val="21"/>
                <w:lang w:val="en-US" w:eastAsia="zh-CN"/>
              </w:rPr>
              <w:t>10</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李亨军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7）</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rPr>
              <w:t>急救车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i w:val="0"/>
                <w:iCs w:val="0"/>
                <w:color w:val="auto"/>
                <w:szCs w:val="21"/>
              </w:rPr>
              <w:t>辆</w:t>
            </w:r>
          </w:p>
        </w:tc>
        <w:tc>
          <w:tcPr>
            <w:tcW w:w="4216"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仪陇县人民医院、仪陇县瓦子镇卫生院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李亨军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8</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rPr>
              <w:t>担架</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eastAsia="宋体"/>
                <w:i w:val="0"/>
                <w:iCs w:val="0"/>
                <w:color w:val="auto"/>
                <w:szCs w:val="21"/>
                <w:lang w:val="en-US" w:eastAsia="zh-CN"/>
              </w:rPr>
              <w:t>2</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仪陇县人民医院、仪陇县瓦子镇卫生院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李亨军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9</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应急床位</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i w:val="0"/>
                <w:iCs w:val="0"/>
                <w:color w:val="auto"/>
                <w:szCs w:val="21"/>
                <w:lang w:val="en-US" w:eastAsia="zh-CN"/>
              </w:rPr>
              <w:t>6</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仪陇县人民医院、仪陇县瓦子镇卫生院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李亨军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10</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急救医生</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4</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仪陇县人民医院、仪陇县瓦子镇卫生院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李亨军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11</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急救护士</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4</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仪陇县人民医院、仪陇县瓦子镇卫生院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李亨军</w:t>
            </w:r>
          </w:p>
        </w:tc>
      </w:tr>
      <w:bookmarkEnd w:id="35"/>
      <w:bookmarkEnd w:id="36"/>
      <w:bookmarkEnd w:id="37"/>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spacing w:line="360" w:lineRule="auto"/>
        <w:jc w:val="center"/>
        <w:outlineLvl w:val="0"/>
        <w:rPr>
          <w:rFonts w:hint="eastAsia" w:ascii="黑体" w:hAnsi="宋体" w:eastAsia="黑体"/>
          <w:b/>
          <w:sz w:val="32"/>
          <w:szCs w:val="32"/>
          <w:lang w:val="en-US" w:eastAsia="zh-CN"/>
        </w:rPr>
      </w:pPr>
      <w:bookmarkStart w:id="49" w:name="_Toc595"/>
      <w:r>
        <w:rPr>
          <w:rFonts w:hint="eastAsia" w:ascii="黑体" w:hAnsi="宋体" w:eastAsia="黑体"/>
          <w:b/>
          <w:sz w:val="32"/>
          <w:szCs w:val="32"/>
          <w:lang w:val="en-US" w:eastAsia="zh-CN"/>
        </w:rPr>
        <w:t>3危险、有害因素辨识</w:t>
      </w:r>
      <w:bookmarkEnd w:id="49"/>
    </w:p>
    <w:p>
      <w:pPr>
        <w:pStyle w:val="8"/>
        <w:spacing w:line="360" w:lineRule="auto"/>
        <w:ind w:firstLine="0" w:firstLineChars="0"/>
        <w:outlineLvl w:val="1"/>
        <w:rPr>
          <w:rFonts w:hint="eastAsia" w:ascii="黑体" w:eastAsia="黑体"/>
          <w:b/>
          <w:snapToGrid w:val="0"/>
          <w:kern w:val="0"/>
          <w:sz w:val="32"/>
          <w:szCs w:val="32"/>
        </w:rPr>
      </w:pPr>
      <w:bookmarkStart w:id="50" w:name="_Toc24153"/>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1 危险、有害因素辨识的目的</w:t>
      </w:r>
      <w:bookmarkEnd w:id="38"/>
      <w:bookmarkEnd w:id="39"/>
      <w:bookmarkEnd w:id="50"/>
    </w:p>
    <w:p>
      <w:pPr>
        <w:autoSpaceDE w:val="0"/>
        <w:autoSpaceDN w:val="0"/>
        <w:adjustRightInd w:val="0"/>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危险、有害因素是指能造成人员伤亡或影响人体健康、导致疾病和对物造成突发性或慢性损坏的因素。充分识别并掌握</w:t>
      </w:r>
      <w:r>
        <w:rPr>
          <w:rFonts w:hint="eastAsia" w:ascii="宋体" w:hAnsi="宋体"/>
          <w:snapToGrid w:val="0"/>
          <w:kern w:val="0"/>
          <w:sz w:val="28"/>
          <w:szCs w:val="28"/>
          <w:lang w:eastAsia="zh-CN"/>
        </w:rPr>
        <w:t>公司</w:t>
      </w:r>
      <w:r>
        <w:rPr>
          <w:rFonts w:hint="eastAsia" w:ascii="宋体" w:hAnsi="宋体"/>
          <w:snapToGrid w:val="0"/>
          <w:kern w:val="0"/>
          <w:sz w:val="28"/>
          <w:szCs w:val="28"/>
        </w:rPr>
        <w:t>生产系统中的危险有害因素，为企业有效减少人员伤亡和财产损失，确保生产安全具有重要意义；为企业</w:t>
      </w:r>
      <w:r>
        <w:rPr>
          <w:rFonts w:ascii="宋体" w:hAnsi="宋体"/>
          <w:snapToGrid w:val="0"/>
          <w:kern w:val="0"/>
          <w:sz w:val="28"/>
          <w:szCs w:val="28"/>
        </w:rPr>
        <w:t>在</w:t>
      </w:r>
      <w:r>
        <w:rPr>
          <w:rFonts w:hint="eastAsia" w:ascii="宋体" w:hAnsi="宋体"/>
          <w:snapToGrid w:val="0"/>
          <w:kern w:val="0"/>
          <w:sz w:val="28"/>
          <w:szCs w:val="28"/>
        </w:rPr>
        <w:t>实际生产中查找事故隐患并制定整改措施、制定事故应急救援预案</w:t>
      </w:r>
      <w:r>
        <w:rPr>
          <w:rFonts w:ascii="宋体" w:hAnsi="宋体"/>
          <w:snapToGrid w:val="0"/>
          <w:kern w:val="0"/>
          <w:sz w:val="28"/>
          <w:szCs w:val="28"/>
        </w:rPr>
        <w:t>指明方向。</w:t>
      </w:r>
    </w:p>
    <w:p>
      <w:pPr>
        <w:pStyle w:val="8"/>
        <w:spacing w:line="360" w:lineRule="auto"/>
        <w:ind w:firstLine="0" w:firstLineChars="0"/>
        <w:outlineLvl w:val="1"/>
        <w:rPr>
          <w:rFonts w:ascii="黑体" w:eastAsia="黑体"/>
          <w:b/>
          <w:snapToGrid w:val="0"/>
          <w:kern w:val="0"/>
          <w:sz w:val="32"/>
          <w:szCs w:val="32"/>
        </w:rPr>
      </w:pPr>
      <w:bookmarkStart w:id="51" w:name="_Toc514342839"/>
      <w:bookmarkStart w:id="52" w:name="_Toc480804387"/>
      <w:bookmarkStart w:id="53" w:name="_Toc17794"/>
      <w:bookmarkStart w:id="54" w:name="_Toc350781091"/>
      <w:bookmarkStart w:id="55" w:name="_Toc356401484"/>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2 危险、有害因素辨识的依据</w:t>
      </w:r>
      <w:bookmarkEnd w:id="51"/>
      <w:bookmarkEnd w:id="52"/>
      <w:bookmarkEnd w:id="53"/>
      <w:bookmarkEnd w:id="54"/>
      <w:bookmarkEnd w:id="55"/>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（1）按照《危险化学品名录（20</w:t>
      </w:r>
      <w:r>
        <w:rPr>
          <w:rFonts w:hint="eastAsia" w:ascii="宋体" w:hAnsi="宋体"/>
          <w:snapToGrid w:val="0"/>
          <w:kern w:val="0"/>
          <w:sz w:val="28"/>
          <w:szCs w:val="28"/>
        </w:rPr>
        <w:t>1</w:t>
      </w:r>
      <w:r>
        <w:rPr>
          <w:rFonts w:hint="eastAsia" w:ascii="宋体" w:hAnsi="宋体"/>
          <w:snapToGrid w:val="0"/>
          <w:kern w:val="0"/>
          <w:sz w:val="28"/>
          <w:szCs w:val="28"/>
          <w:lang w:val="en-US" w:eastAsia="zh-CN"/>
        </w:rPr>
        <w:t>8</w:t>
      </w:r>
      <w:r>
        <w:rPr>
          <w:rFonts w:ascii="宋体" w:hAnsi="宋体"/>
          <w:snapToGrid w:val="0"/>
          <w:kern w:val="0"/>
          <w:sz w:val="28"/>
          <w:szCs w:val="28"/>
        </w:rPr>
        <w:t>版）》将有害物质分为爆炸品、压缩气体和液化气体、易燃液体、易燃固体、自燃物品和遇湿易燃物品、氧化剂和有机过氧化物、毒害品和感染性物品、腐蚀品8大类，对系统中使用的物质及产品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（2）根据《危险化学品重大危险源辨识》（</w:t>
      </w:r>
      <w:r>
        <w:rPr>
          <w:rFonts w:hint="eastAsia" w:ascii="宋体" w:hAnsi="宋体"/>
          <w:snapToGrid w:val="0"/>
          <w:kern w:val="0"/>
          <w:sz w:val="28"/>
          <w:szCs w:val="28"/>
          <w:lang w:eastAsia="zh-CN"/>
        </w:rPr>
        <w:t>GB18218-2018</w:t>
      </w:r>
      <w:r>
        <w:rPr>
          <w:rFonts w:ascii="宋体" w:hAnsi="宋体"/>
          <w:snapToGrid w:val="0"/>
          <w:kern w:val="0"/>
          <w:sz w:val="28"/>
          <w:szCs w:val="28"/>
        </w:rPr>
        <w:t>），对</w:t>
      </w:r>
      <w:r>
        <w:rPr>
          <w:rFonts w:hint="eastAsia" w:ascii="宋体" w:hAnsi="宋体"/>
          <w:snapToGrid w:val="0"/>
          <w:kern w:val="0"/>
          <w:sz w:val="28"/>
          <w:szCs w:val="28"/>
          <w:lang w:eastAsia="zh-CN"/>
        </w:rPr>
        <w:t>厂区</w:t>
      </w:r>
      <w:r>
        <w:rPr>
          <w:rFonts w:ascii="宋体" w:hAnsi="宋体"/>
          <w:snapToGrid w:val="0"/>
          <w:kern w:val="0"/>
          <w:sz w:val="28"/>
          <w:szCs w:val="28"/>
        </w:rPr>
        <w:t>中使用到的各种物质进行重大危险源的计算与辨识。</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3）参照《企业职工伤亡事故分类》（GB6441-1986），综合考虑起因物、引发事故的诱导性原因、致害物、伤害方式等，将事故分为物体打击、车辆伤害、机械伤害、起重伤害、触电等20类，对系统中作业场所按照事故类型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（4）根据《生产过程危险和危害因素分类与代码》（GB/T13861-2009）对</w:t>
      </w:r>
      <w:r>
        <w:rPr>
          <w:rFonts w:hint="eastAsia" w:ascii="宋体" w:hAnsi="宋体"/>
          <w:snapToGrid w:val="0"/>
          <w:kern w:val="0"/>
          <w:sz w:val="28"/>
          <w:szCs w:val="28"/>
          <w:lang w:eastAsia="zh-CN"/>
        </w:rPr>
        <w:t>厂区</w:t>
      </w:r>
      <w:r>
        <w:rPr>
          <w:rFonts w:ascii="宋体" w:hAnsi="宋体"/>
          <w:snapToGrid w:val="0"/>
          <w:kern w:val="0"/>
          <w:sz w:val="28"/>
          <w:szCs w:val="28"/>
        </w:rPr>
        <w:t>生产过程中的危险、有害因素进行辨识与分析。</w:t>
      </w:r>
    </w:p>
    <w:p>
      <w:pPr>
        <w:spacing w:line="360" w:lineRule="auto"/>
        <w:ind w:firstLine="560" w:firstLineChars="200"/>
        <w:textAlignment w:val="baseline"/>
        <w:rPr>
          <w:rFonts w:hint="eastAsia" w:ascii="宋体" w:hAnsi="宋体"/>
          <w:sz w:val="28"/>
          <w:szCs w:val="28"/>
        </w:rPr>
      </w:pPr>
      <w:bookmarkStart w:id="56" w:name="_Toc350781092"/>
      <w:bookmarkStart w:id="57" w:name="_Toc480804388"/>
      <w:bookmarkStart w:id="58" w:name="_Toc356401485"/>
      <w:r>
        <w:rPr>
          <w:rFonts w:hint="eastAsia" w:ascii="宋体" w:hAnsi="宋体"/>
          <w:sz w:val="28"/>
          <w:szCs w:val="28"/>
        </w:rPr>
        <w:t>（5）参照</w:t>
      </w:r>
      <w:r>
        <w:rPr>
          <w:rFonts w:hint="eastAsia" w:ascii="宋体" w:hAnsi="宋体"/>
          <w:bCs/>
          <w:sz w:val="28"/>
          <w:szCs w:val="28"/>
        </w:rPr>
        <w:t>《职业病危害因素分类》（</w:t>
      </w:r>
      <w:r>
        <w:rPr>
          <w:rFonts w:ascii="宋体" w:hAnsi="宋体"/>
          <w:bCs/>
          <w:sz w:val="28"/>
          <w:szCs w:val="28"/>
        </w:rPr>
        <w:t>国卫疾控发〔201</w:t>
      </w:r>
      <w:r>
        <w:rPr>
          <w:rFonts w:hint="eastAsia" w:ascii="宋体" w:hAnsi="宋体"/>
          <w:bCs/>
          <w:sz w:val="28"/>
          <w:szCs w:val="28"/>
        </w:rPr>
        <w:t>5</w:t>
      </w:r>
      <w:r>
        <w:rPr>
          <w:rFonts w:ascii="宋体" w:hAnsi="宋体"/>
          <w:bCs/>
          <w:sz w:val="28"/>
          <w:szCs w:val="28"/>
        </w:rPr>
        <w:t>〕</w:t>
      </w:r>
      <w:r>
        <w:rPr>
          <w:rFonts w:hint="eastAsia" w:ascii="宋体" w:hAnsi="宋体"/>
          <w:bCs/>
          <w:sz w:val="28"/>
          <w:szCs w:val="28"/>
        </w:rPr>
        <w:t>92</w:t>
      </w:r>
      <w:r>
        <w:rPr>
          <w:rFonts w:ascii="宋体" w:hAnsi="宋体"/>
          <w:bCs/>
          <w:sz w:val="28"/>
          <w:szCs w:val="28"/>
        </w:rPr>
        <w:t>号</w:t>
      </w:r>
      <w:r>
        <w:rPr>
          <w:rFonts w:hint="eastAsia" w:ascii="宋体" w:hAnsi="宋体"/>
          <w:bCs/>
          <w:sz w:val="28"/>
          <w:szCs w:val="28"/>
        </w:rPr>
        <w:t>）</w:t>
      </w:r>
      <w:r>
        <w:rPr>
          <w:rFonts w:hint="eastAsia" w:ascii="宋体" w:hAnsi="宋体"/>
          <w:sz w:val="28"/>
          <w:szCs w:val="28"/>
        </w:rPr>
        <w:t>对作业环境进行职业危害辨识与分析。</w:t>
      </w:r>
    </w:p>
    <w:p>
      <w:pPr>
        <w:pStyle w:val="8"/>
        <w:spacing w:line="360" w:lineRule="auto"/>
        <w:ind w:firstLine="0" w:firstLineChars="0"/>
        <w:outlineLvl w:val="1"/>
        <w:rPr>
          <w:rFonts w:hint="eastAsia" w:ascii="黑体" w:eastAsia="黑体"/>
          <w:b/>
          <w:snapToGrid w:val="0"/>
          <w:kern w:val="0"/>
          <w:sz w:val="32"/>
          <w:szCs w:val="32"/>
        </w:rPr>
      </w:pPr>
      <w:bookmarkStart w:id="59" w:name="_Toc514342840"/>
      <w:bookmarkStart w:id="60" w:name="_Toc17030"/>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3 危险、有害因素辨识的方法</w:t>
      </w:r>
      <w:bookmarkEnd w:id="56"/>
      <w:bookmarkEnd w:id="57"/>
      <w:bookmarkEnd w:id="58"/>
      <w:bookmarkEnd w:id="59"/>
      <w:bookmarkEnd w:id="60"/>
    </w:p>
    <w:p>
      <w:pPr>
        <w:spacing w:line="360" w:lineRule="auto"/>
        <w:ind w:firstLine="560" w:firstLineChars="200"/>
        <w:textAlignment w:val="baseline"/>
        <w:rPr>
          <w:rFonts w:ascii="宋体" w:hAnsi="宋体"/>
          <w:sz w:val="28"/>
          <w:szCs w:val="28"/>
        </w:rPr>
      </w:pPr>
      <w:r>
        <w:rPr>
          <w:rFonts w:hint="eastAsia" w:ascii="宋体" w:hAnsi="宋体"/>
          <w:sz w:val="28"/>
          <w:szCs w:val="28"/>
          <w:lang w:eastAsia="zh-CN"/>
        </w:rPr>
        <w:t>公司</w:t>
      </w:r>
      <w:r>
        <w:rPr>
          <w:rFonts w:ascii="宋体" w:hAnsi="宋体"/>
          <w:sz w:val="28"/>
          <w:szCs w:val="28"/>
        </w:rPr>
        <w:t>生产过程复杂，生产条件多变，涉及的危险、有害因素较多。必须选择适当的方法识别分析危险和有害因素，为制定相关的防范措施奠定基础。本次安全评价选用对照分析法和专家评议法对生产过程中主要危险、有害因素进行辨识。</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⑴ 对照分析法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对照分析法是对照有关标准、规范、规程、法规或依靠分析人员的观察能力，借助其经验和判断能力，直观地对评价对象的危险因素进行分析的方法。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⑵ 专家评议法</w:t>
      </w:r>
    </w:p>
    <w:p>
      <w:pPr>
        <w:pStyle w:val="8"/>
        <w:spacing w:line="360" w:lineRule="auto"/>
        <w:ind w:firstLine="560"/>
        <w:rPr>
          <w:rFonts w:hint="eastAsia" w:ascii="宋体" w:hAnsi="宋体"/>
          <w:snapToGrid w:val="0"/>
          <w:kern w:val="0"/>
          <w:sz w:val="28"/>
          <w:szCs w:val="28"/>
        </w:rPr>
      </w:pPr>
      <w:r>
        <w:rPr>
          <w:rFonts w:ascii="宋体" w:hAnsi="宋体"/>
          <w:snapToGrid w:val="0"/>
          <w:kern w:val="0"/>
          <w:sz w:val="28"/>
          <w:szCs w:val="28"/>
        </w:rPr>
        <w:t>专家评议法是一种吸收专家参加，根据事物过去、现在及发展趋势，进行积极思维活动，对事物的未来进行分析、预测的方法。其实质是集</w:t>
      </w:r>
      <w:r>
        <w:rPr>
          <w:rFonts w:hint="eastAsia" w:ascii="宋体" w:hAnsi="宋体"/>
          <w:snapToGrid w:val="0"/>
          <w:kern w:val="0"/>
          <w:sz w:val="28"/>
          <w:szCs w:val="28"/>
        </w:rPr>
        <w:t>中技术</w:t>
      </w:r>
      <w:r>
        <w:rPr>
          <w:rFonts w:ascii="宋体" w:hAnsi="宋体"/>
          <w:snapToGrid w:val="0"/>
          <w:kern w:val="0"/>
          <w:sz w:val="28"/>
          <w:szCs w:val="28"/>
        </w:rPr>
        <w:t>专家的经验、知识和分析、推断能力来分析、识别危险、有害因素。</w:t>
      </w:r>
    </w:p>
    <w:p>
      <w:pPr>
        <w:pStyle w:val="8"/>
        <w:spacing w:line="360" w:lineRule="auto"/>
        <w:ind w:firstLine="0" w:firstLineChars="0"/>
        <w:outlineLvl w:val="1"/>
        <w:rPr>
          <w:rFonts w:hint="eastAsia" w:ascii="黑体" w:eastAsia="黑体"/>
          <w:b/>
          <w:snapToGrid w:val="0"/>
          <w:kern w:val="0"/>
          <w:sz w:val="32"/>
          <w:szCs w:val="32"/>
        </w:rPr>
      </w:pPr>
      <w:bookmarkStart w:id="61" w:name="_Toc514342841"/>
      <w:bookmarkStart w:id="62" w:name="_Toc356401486"/>
      <w:bookmarkStart w:id="63" w:name="_Toc480804389"/>
      <w:bookmarkStart w:id="64" w:name="_Toc332350845"/>
      <w:bookmarkStart w:id="65" w:name="_Toc345593159"/>
      <w:bookmarkStart w:id="66" w:name="_Toc356380973"/>
      <w:bookmarkStart w:id="67" w:name="_Toc1905"/>
      <w:bookmarkStart w:id="68" w:name="_Toc350781094"/>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4 主要危险、有害物质特性分析</w:t>
      </w:r>
      <w:bookmarkEnd w:id="61"/>
      <w:bookmarkEnd w:id="62"/>
      <w:bookmarkEnd w:id="63"/>
      <w:bookmarkEnd w:id="64"/>
      <w:bookmarkEnd w:id="65"/>
      <w:bookmarkEnd w:id="66"/>
      <w:bookmarkEnd w:id="67"/>
    </w:p>
    <w:p>
      <w:pPr>
        <w:pStyle w:val="8"/>
        <w:spacing w:line="360" w:lineRule="auto"/>
        <w:ind w:firstLine="560"/>
        <w:rPr>
          <w:rFonts w:hint="eastAsia" w:ascii="宋体" w:hAnsi="宋体"/>
          <w:snapToGrid w:val="0"/>
          <w:kern w:val="0"/>
          <w:sz w:val="28"/>
          <w:szCs w:val="28"/>
        </w:rPr>
      </w:pPr>
      <w:r>
        <w:rPr>
          <w:rFonts w:hint="eastAsia" w:ascii="宋体" w:hAnsi="宋体"/>
          <w:snapToGrid w:val="0"/>
          <w:kern w:val="0"/>
          <w:sz w:val="28"/>
          <w:szCs w:val="28"/>
        </w:rPr>
        <w:t>本系统主要使用煤炭作为燃料，点火时使用柴油。煤炭、柴油等物质在燃烧过程中，产生一氧化碳、二氧化碳及硫（磷）氧化物等危险、有害物质，对人体及周边环境造成影响。</w:t>
      </w:r>
    </w:p>
    <w:p>
      <w:pPr>
        <w:pStyle w:val="8"/>
        <w:spacing w:line="360" w:lineRule="auto"/>
        <w:ind w:firstLine="0" w:firstLineChars="0"/>
        <w:outlineLvl w:val="2"/>
        <w:rPr>
          <w:rFonts w:ascii="宋体" w:hAnsi="宋体"/>
          <w:b/>
          <w:snapToGrid w:val="0"/>
          <w:kern w:val="0"/>
          <w:sz w:val="28"/>
          <w:szCs w:val="28"/>
        </w:rPr>
      </w:pPr>
      <w:bookmarkStart w:id="69" w:name="_Toc480804390"/>
      <w:bookmarkStart w:id="70" w:name="_Toc356380974"/>
      <w:bookmarkStart w:id="71" w:name="_Toc514342842"/>
      <w:bookmarkStart w:id="72" w:name="_Toc19069"/>
      <w:bookmarkStart w:id="73" w:name="_Toc332350846"/>
      <w:bookmarkStart w:id="74" w:name="_Toc35640148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4.1 煤</w:t>
      </w:r>
      <w:bookmarkEnd w:id="69"/>
      <w:bookmarkEnd w:id="70"/>
      <w:bookmarkEnd w:id="71"/>
      <w:bookmarkEnd w:id="72"/>
      <w:bookmarkEnd w:id="73"/>
      <w:bookmarkEnd w:id="74"/>
    </w:p>
    <w:p>
      <w:pPr>
        <w:spacing w:line="360" w:lineRule="auto"/>
        <w:ind w:firstLine="560" w:firstLineChars="200"/>
        <w:rPr>
          <w:rFonts w:hint="eastAsia" w:ascii="宋体" w:hAnsi="宋体"/>
          <w:sz w:val="28"/>
          <w:szCs w:val="28"/>
        </w:rPr>
      </w:pPr>
      <w:r>
        <w:rPr>
          <w:rFonts w:hint="eastAsia" w:ascii="宋体" w:hAnsi="宋体"/>
          <w:sz w:val="28"/>
          <w:szCs w:val="28"/>
        </w:rPr>
        <w:t>煤的主要元素是碳，其次是氢，并含有少量的氧、氮、硫。碳和氢是煤的主要可燃元素；氧是煤中的一种有害物质，因为它和碳、氢等可燃元素构成氧化物而使它们推动了进行燃烧的可能性；氮在一般情况下不参加燃烧反应，是燃料中的惰性元素，但在高温条件下，氮和氧形成NOX，这是一种对大气有严重污染作用的有害气体；硫是一种极有害的物质，因为燃烧后生产二氧化硫和三氧化硫，能危害人体健康和造成大气污染。煤炭的储存也很重要，主要是防火灾危险，因为各种煤有不同程度的自燃能力，再加上煤内水分的影响、空气湿度的影响、氧化影响、粒度大小的影响等等，也影响了自燃能力的大小。</w:t>
      </w:r>
    </w:p>
    <w:p>
      <w:pPr>
        <w:pStyle w:val="8"/>
        <w:spacing w:line="360" w:lineRule="auto"/>
        <w:ind w:firstLine="0" w:firstLineChars="0"/>
        <w:outlineLvl w:val="2"/>
        <w:rPr>
          <w:rFonts w:ascii="宋体" w:hAnsi="宋体"/>
          <w:b/>
          <w:snapToGrid w:val="0"/>
          <w:kern w:val="0"/>
          <w:sz w:val="28"/>
          <w:szCs w:val="28"/>
        </w:rPr>
      </w:pPr>
      <w:bookmarkStart w:id="75" w:name="_Toc356380975"/>
      <w:bookmarkStart w:id="76" w:name="_Toc332350847"/>
      <w:bookmarkStart w:id="77" w:name="_Toc514342843"/>
      <w:bookmarkStart w:id="78" w:name="_Toc15069"/>
      <w:bookmarkStart w:id="79" w:name="_Toc480804391"/>
      <w:bookmarkStart w:id="80" w:name="_Toc35640148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4.2 柴油</w:t>
      </w:r>
      <w:bookmarkEnd w:id="75"/>
      <w:bookmarkEnd w:id="76"/>
      <w:bookmarkEnd w:id="77"/>
      <w:bookmarkEnd w:id="78"/>
      <w:bookmarkEnd w:id="79"/>
      <w:bookmarkEnd w:id="80"/>
    </w:p>
    <w:p>
      <w:pPr>
        <w:adjustRightInd w:val="0"/>
        <w:snapToGrid w:val="0"/>
        <w:spacing w:line="360" w:lineRule="auto"/>
        <w:ind w:firstLine="560" w:firstLineChars="200"/>
        <w:rPr>
          <w:rFonts w:hint="eastAsia"/>
          <w:sz w:val="28"/>
          <w:szCs w:val="28"/>
        </w:rPr>
      </w:pPr>
      <w:r>
        <w:rPr>
          <w:rFonts w:hint="eastAsia"/>
          <w:sz w:val="28"/>
          <w:szCs w:val="28"/>
        </w:rPr>
        <w:t>柴油主要是由烷烃、烯烃、芳香烃、多环芳烃与少量硫（2~60</w:t>
      </w:r>
      <w:r>
        <w:rPr>
          <w:sz w:val="28"/>
          <w:szCs w:val="28"/>
        </w:rPr>
        <w:t>g/Kg</w:t>
      </w:r>
      <w:r>
        <w:rPr>
          <w:rFonts w:hint="eastAsia"/>
          <w:sz w:val="28"/>
          <w:szCs w:val="28"/>
        </w:rPr>
        <w:t>）、氮（＜1</w:t>
      </w:r>
      <w:r>
        <w:rPr>
          <w:sz w:val="28"/>
          <w:szCs w:val="28"/>
        </w:rPr>
        <w:t xml:space="preserve"> g/Kg</w:t>
      </w:r>
      <w:r>
        <w:rPr>
          <w:rFonts w:hint="eastAsia"/>
          <w:sz w:val="28"/>
          <w:szCs w:val="28"/>
        </w:rPr>
        <w:t>）及添加剂组成的混合物。以燃料油为例：白色或淡黄色液体，相对密度0.85；熔点</w:t>
      </w:r>
      <w:r>
        <w:rPr>
          <w:sz w:val="28"/>
          <w:szCs w:val="28"/>
        </w:rPr>
        <w:t>--</w:t>
      </w:r>
      <w:r>
        <w:rPr>
          <w:rFonts w:hint="eastAsia"/>
          <w:sz w:val="28"/>
          <w:szCs w:val="28"/>
        </w:rPr>
        <w:t>29.56℃，沸点180~370℃，闪点40℃，蒸气密度4，蒸气压4.0</w:t>
      </w:r>
      <w:r>
        <w:rPr>
          <w:sz w:val="28"/>
          <w:szCs w:val="28"/>
        </w:rPr>
        <w:t>Kpa</w:t>
      </w:r>
      <w:r>
        <w:rPr>
          <w:rFonts w:hint="eastAsia"/>
          <w:sz w:val="28"/>
          <w:szCs w:val="28"/>
        </w:rPr>
        <w:t>。</w:t>
      </w:r>
    </w:p>
    <w:p>
      <w:pPr>
        <w:adjustRightInd w:val="0"/>
        <w:snapToGrid w:val="0"/>
        <w:spacing w:line="360" w:lineRule="auto"/>
        <w:ind w:firstLine="560" w:firstLineChars="200"/>
        <w:rPr>
          <w:rFonts w:hint="eastAsia"/>
          <w:sz w:val="28"/>
          <w:szCs w:val="28"/>
        </w:rPr>
      </w:pPr>
      <w:r>
        <w:rPr>
          <w:rFonts w:hint="eastAsia"/>
          <w:sz w:val="28"/>
          <w:szCs w:val="28"/>
        </w:rPr>
        <w:t>危险性：蒸气与空气混合物可燃限0.7~5.0%；不溶于水；遇热、火花、明火易燃，可蓄积静电，引起电火花；分解和燃烧产物为一氧化化碳、二氧化碳和硫氧化物；避免接触氧化剂。</w:t>
      </w:r>
    </w:p>
    <w:p>
      <w:pPr>
        <w:adjustRightInd w:val="0"/>
        <w:snapToGrid w:val="0"/>
        <w:spacing w:line="360" w:lineRule="auto"/>
        <w:ind w:firstLine="560" w:firstLineChars="200"/>
        <w:rPr>
          <w:rFonts w:hint="eastAsia"/>
          <w:sz w:val="28"/>
          <w:szCs w:val="28"/>
        </w:rPr>
      </w:pPr>
      <w:r>
        <w:rPr>
          <w:rFonts w:hint="eastAsia"/>
          <w:sz w:val="28"/>
          <w:szCs w:val="28"/>
        </w:rPr>
        <w:t>危害性：皮肤大量接触后，个别人可能发生肾脏损害；皮肤接触后，可发生接触性皮炎，表现为红斑、水疱、丘疹。</w:t>
      </w:r>
    </w:p>
    <w:p>
      <w:pPr>
        <w:adjustRightInd w:val="0"/>
        <w:snapToGrid w:val="0"/>
        <w:spacing w:line="360" w:lineRule="auto"/>
        <w:ind w:firstLine="560" w:firstLineChars="200"/>
        <w:rPr>
          <w:rFonts w:hint="eastAsia"/>
          <w:sz w:val="28"/>
          <w:szCs w:val="28"/>
        </w:rPr>
      </w:pPr>
      <w:r>
        <w:rPr>
          <w:rFonts w:hint="eastAsia"/>
          <w:sz w:val="28"/>
          <w:szCs w:val="28"/>
        </w:rPr>
        <w:t>灭火剂：泡沫、干粉、二氧化碳、砂土。</w:t>
      </w:r>
    </w:p>
    <w:p>
      <w:pPr>
        <w:adjustRightInd w:val="0"/>
        <w:snapToGrid w:val="0"/>
        <w:spacing w:line="360" w:lineRule="auto"/>
        <w:ind w:firstLine="560" w:firstLineChars="200"/>
        <w:rPr>
          <w:rFonts w:hint="eastAsia"/>
          <w:sz w:val="28"/>
          <w:szCs w:val="28"/>
        </w:rPr>
      </w:pPr>
      <w:r>
        <w:rPr>
          <w:rFonts w:hint="eastAsia"/>
          <w:sz w:val="28"/>
          <w:szCs w:val="28"/>
        </w:rPr>
        <w:t>着火性、流动性和凝点是柴油性能的重要指标。</w:t>
      </w:r>
    </w:p>
    <w:p>
      <w:pPr>
        <w:pStyle w:val="8"/>
        <w:spacing w:line="360" w:lineRule="auto"/>
        <w:ind w:firstLine="0" w:firstLineChars="0"/>
        <w:outlineLvl w:val="2"/>
        <w:rPr>
          <w:rFonts w:hint="eastAsia" w:ascii="宋体" w:hAnsi="宋体"/>
          <w:b/>
          <w:snapToGrid w:val="0"/>
          <w:kern w:val="0"/>
          <w:sz w:val="28"/>
          <w:szCs w:val="28"/>
        </w:rPr>
      </w:pPr>
      <w:bookmarkStart w:id="81" w:name="_Toc332350848"/>
      <w:bookmarkStart w:id="82" w:name="_Toc12387"/>
      <w:bookmarkStart w:id="83" w:name="_Toc356380976"/>
      <w:bookmarkStart w:id="84" w:name="_Toc514342844"/>
      <w:bookmarkStart w:id="85" w:name="_Toc356401489"/>
      <w:bookmarkStart w:id="86" w:name="_Toc48080439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4.3 一氧化碳</w:t>
      </w:r>
      <w:bookmarkEnd w:id="81"/>
      <w:bookmarkEnd w:id="82"/>
      <w:bookmarkEnd w:id="83"/>
      <w:bookmarkEnd w:id="84"/>
      <w:bookmarkEnd w:id="85"/>
      <w:bookmarkEnd w:id="86"/>
    </w:p>
    <w:p>
      <w:pPr>
        <w:adjustRightInd w:val="0"/>
        <w:snapToGrid w:val="0"/>
        <w:spacing w:line="360" w:lineRule="auto"/>
        <w:ind w:firstLine="560" w:firstLineChars="200"/>
        <w:rPr>
          <w:rFonts w:hint="eastAsia"/>
          <w:sz w:val="28"/>
          <w:szCs w:val="28"/>
        </w:rPr>
      </w:pPr>
      <w:r>
        <w:rPr>
          <w:rFonts w:hint="eastAsia"/>
          <w:sz w:val="28"/>
          <w:szCs w:val="28"/>
        </w:rPr>
        <w:t xml:space="preserve">英文名：Carbon  Monoxide               分子式：CO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性状：无色、无味气体；                 熔点：-199．1℃   </w:t>
      </w:r>
    </w:p>
    <w:p>
      <w:pPr>
        <w:adjustRightInd w:val="0"/>
        <w:snapToGrid w:val="0"/>
        <w:spacing w:line="360" w:lineRule="auto"/>
        <w:ind w:firstLine="560" w:firstLineChars="200"/>
        <w:rPr>
          <w:rFonts w:hint="eastAsia"/>
          <w:sz w:val="28"/>
          <w:szCs w:val="28"/>
        </w:rPr>
      </w:pPr>
      <w:r>
        <w:rPr>
          <w:rFonts w:hint="eastAsia"/>
          <w:sz w:val="28"/>
          <w:szCs w:val="28"/>
        </w:rPr>
        <w:t xml:space="preserve">沸点：-192℃                           相对密度：0．97   </w:t>
      </w:r>
    </w:p>
    <w:p>
      <w:pPr>
        <w:adjustRightInd w:val="0"/>
        <w:snapToGrid w:val="0"/>
        <w:spacing w:line="360" w:lineRule="auto"/>
        <w:ind w:firstLine="560" w:firstLineChars="200"/>
        <w:rPr>
          <w:rFonts w:hint="eastAsia"/>
          <w:sz w:val="28"/>
          <w:szCs w:val="28"/>
        </w:rPr>
      </w:pPr>
      <w:r>
        <w:rPr>
          <w:rFonts w:hint="eastAsia"/>
          <w:sz w:val="28"/>
          <w:szCs w:val="28"/>
        </w:rPr>
        <w:t>危险性类别：第2.易燃气体               危编号：21005</w:t>
      </w:r>
    </w:p>
    <w:p>
      <w:pPr>
        <w:adjustRightInd w:val="0"/>
        <w:snapToGrid w:val="0"/>
        <w:spacing w:line="360" w:lineRule="auto"/>
        <w:ind w:firstLine="560" w:firstLineChars="200"/>
        <w:rPr>
          <w:rFonts w:hint="eastAsia"/>
          <w:sz w:val="28"/>
          <w:szCs w:val="28"/>
        </w:rPr>
      </w:pPr>
      <w:r>
        <w:rPr>
          <w:rFonts w:hint="eastAsia"/>
          <w:sz w:val="28"/>
          <w:szCs w:val="28"/>
        </w:rPr>
        <w:t>un：1016(气体)                     爆炸极限：12</w:t>
      </w:r>
      <w:r>
        <w:rPr>
          <w:sz w:val="28"/>
          <w:szCs w:val="28"/>
        </w:rPr>
        <w:t>.</w:t>
      </w:r>
      <w:r>
        <w:rPr>
          <w:rFonts w:hint="eastAsia"/>
          <w:sz w:val="28"/>
          <w:szCs w:val="28"/>
        </w:rPr>
        <w:t>5~74％（V）</w:t>
      </w:r>
    </w:p>
    <w:p>
      <w:pPr>
        <w:adjustRightInd w:val="0"/>
        <w:snapToGrid w:val="0"/>
        <w:spacing w:line="360" w:lineRule="auto"/>
        <w:ind w:firstLine="560" w:firstLineChars="200"/>
        <w:rPr>
          <w:rFonts w:hint="eastAsia"/>
          <w:sz w:val="28"/>
          <w:szCs w:val="28"/>
        </w:rPr>
      </w:pPr>
      <w:r>
        <w:rPr>
          <w:rFonts w:hint="eastAsia"/>
          <w:sz w:val="28"/>
          <w:szCs w:val="28"/>
        </w:rPr>
        <w:t>最高容许浓度：30mg／m³(按职业性接触毒物危害程度分级为Ⅱ级，高度危害物质)。</w:t>
      </w:r>
    </w:p>
    <w:p>
      <w:pPr>
        <w:adjustRightInd w:val="0"/>
        <w:snapToGrid w:val="0"/>
        <w:spacing w:line="360" w:lineRule="auto"/>
        <w:ind w:firstLine="560" w:firstLineChars="200"/>
        <w:rPr>
          <w:rFonts w:hint="eastAsia"/>
          <w:sz w:val="28"/>
          <w:szCs w:val="28"/>
        </w:rPr>
      </w:pPr>
      <w:r>
        <w:rPr>
          <w:rFonts w:hint="eastAsia"/>
          <w:sz w:val="28"/>
          <w:szCs w:val="28"/>
        </w:rPr>
        <w:t>健康危害：一氧化碳在血液中与血红蛋白结合而造成组织缺氧。</w:t>
      </w:r>
    </w:p>
    <w:p>
      <w:pPr>
        <w:adjustRightInd w:val="0"/>
        <w:snapToGrid w:val="0"/>
        <w:spacing w:line="360" w:lineRule="auto"/>
        <w:ind w:firstLine="560" w:firstLineChars="200"/>
        <w:rPr>
          <w:rFonts w:hint="eastAsia"/>
          <w:sz w:val="28"/>
          <w:szCs w:val="28"/>
        </w:rPr>
      </w:pPr>
      <w:r>
        <w:rPr>
          <w:rFonts w:hint="eastAsia"/>
          <w:sz w:val="28"/>
          <w:szCs w:val="28"/>
        </w:rPr>
        <w:t>急性中毒：轻度中毒出现头痛、头晕、耳鸣、心悸、恶心、呕吐、无力；中度中毒除出现上述症状外还有皮肤粘膜呈樱红色、脉快、烦躁、步态不稳；重度患者深度昏迷、瞳孔扩大、肌张力增强，频繁抽搐、大小便失禁、休克、肺水肿、严重心肌损害等。</w:t>
      </w:r>
    </w:p>
    <w:p>
      <w:pPr>
        <w:pStyle w:val="8"/>
        <w:spacing w:line="360" w:lineRule="auto"/>
        <w:ind w:firstLine="0" w:firstLineChars="0"/>
        <w:outlineLvl w:val="2"/>
        <w:rPr>
          <w:rFonts w:hint="eastAsia" w:ascii="宋体" w:hAnsi="宋体"/>
          <w:b/>
          <w:snapToGrid w:val="0"/>
          <w:kern w:val="0"/>
          <w:sz w:val="28"/>
          <w:szCs w:val="28"/>
        </w:rPr>
      </w:pPr>
      <w:bookmarkStart w:id="87" w:name="_Toc25165"/>
      <w:bookmarkStart w:id="88" w:name="_Toc514342845"/>
      <w:bookmarkStart w:id="89" w:name="_Toc480804393"/>
      <w:bookmarkStart w:id="90" w:name="_Toc356380977"/>
      <w:bookmarkStart w:id="91" w:name="_Toc332350849"/>
      <w:bookmarkStart w:id="92" w:name="_Toc35640149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4.4 二氧化碳</w:t>
      </w:r>
      <w:bookmarkEnd w:id="87"/>
      <w:bookmarkEnd w:id="88"/>
      <w:bookmarkEnd w:id="89"/>
      <w:bookmarkEnd w:id="90"/>
      <w:bookmarkEnd w:id="91"/>
      <w:bookmarkEnd w:id="92"/>
      <w:r>
        <w:rPr>
          <w:rFonts w:hint="eastAsia" w:ascii="宋体" w:hAnsi="宋体"/>
          <w:b/>
          <w:snapToGrid w:val="0"/>
          <w:kern w:val="0"/>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英文名：Carbon  Dioxide             分子式：C02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性状：无色、无味、不燃的气体        熔点：-56．6℃   </w:t>
      </w:r>
    </w:p>
    <w:p>
      <w:pPr>
        <w:adjustRightInd w:val="0"/>
        <w:snapToGrid w:val="0"/>
        <w:spacing w:line="360" w:lineRule="auto"/>
        <w:ind w:firstLine="560" w:firstLineChars="200"/>
        <w:rPr>
          <w:rFonts w:hint="eastAsia"/>
          <w:sz w:val="28"/>
          <w:szCs w:val="28"/>
        </w:rPr>
      </w:pPr>
      <w:r>
        <w:rPr>
          <w:rFonts w:hint="eastAsia"/>
          <w:sz w:val="28"/>
          <w:szCs w:val="28"/>
        </w:rPr>
        <w:t>沸点：-78．5℃(升华)           危险性类别：第2.2不燃气体</w:t>
      </w:r>
    </w:p>
    <w:p>
      <w:pPr>
        <w:adjustRightInd w:val="0"/>
        <w:snapToGrid w:val="0"/>
        <w:spacing w:line="360" w:lineRule="auto"/>
        <w:ind w:firstLine="560" w:firstLineChars="200"/>
        <w:rPr>
          <w:rFonts w:hint="eastAsia"/>
          <w:sz w:val="28"/>
          <w:szCs w:val="28"/>
        </w:rPr>
      </w:pPr>
      <w:r>
        <w:rPr>
          <w:rFonts w:hint="eastAsia"/>
          <w:sz w:val="28"/>
          <w:szCs w:val="28"/>
        </w:rPr>
        <w:t>危编号：22019                        un：1013（气体）</w:t>
      </w:r>
    </w:p>
    <w:p>
      <w:pPr>
        <w:adjustRightInd w:val="0"/>
        <w:snapToGrid w:val="0"/>
        <w:spacing w:line="360" w:lineRule="auto"/>
        <w:ind w:firstLine="560" w:firstLineChars="200"/>
        <w:rPr>
          <w:rFonts w:hint="eastAsia"/>
          <w:sz w:val="28"/>
          <w:szCs w:val="28"/>
        </w:rPr>
      </w:pPr>
      <w:r>
        <w:rPr>
          <w:rFonts w:hint="eastAsia"/>
          <w:sz w:val="28"/>
          <w:szCs w:val="28"/>
        </w:rPr>
        <w:t>健康危害：在低浓度时，对呼吸中枢呈兴奋作用，高浓度时则产生抑制甚至麻痹作用。中毒机制中还兼有缺氧的因素。</w:t>
      </w:r>
    </w:p>
    <w:p>
      <w:pPr>
        <w:adjustRightInd w:val="0"/>
        <w:snapToGrid w:val="0"/>
        <w:spacing w:line="360" w:lineRule="auto"/>
        <w:ind w:firstLine="560" w:firstLineChars="200"/>
        <w:rPr>
          <w:rFonts w:hint="eastAsia"/>
          <w:sz w:val="28"/>
          <w:szCs w:val="28"/>
        </w:rPr>
      </w:pPr>
      <w:r>
        <w:rPr>
          <w:rFonts w:hint="eastAsia"/>
          <w:sz w:val="28"/>
          <w:szCs w:val="28"/>
        </w:rPr>
        <w:t>急性中毒：人进入高浓度二氧化碳环境，在几秒钟迅速昏迷倒下，反射消失、瞳孔扩大或缩小、大小便失禁、呕吐等，更严重者出现呼吸停止及休克，甚至死亡。</w:t>
      </w:r>
    </w:p>
    <w:p>
      <w:pPr>
        <w:adjustRightInd w:val="0"/>
        <w:snapToGrid w:val="0"/>
        <w:spacing w:line="360" w:lineRule="auto"/>
        <w:ind w:firstLine="560" w:firstLineChars="200"/>
        <w:rPr>
          <w:rFonts w:hint="eastAsia"/>
          <w:sz w:val="28"/>
          <w:szCs w:val="28"/>
        </w:rPr>
      </w:pPr>
      <w:r>
        <w:rPr>
          <w:rFonts w:hint="eastAsia"/>
          <w:sz w:val="28"/>
          <w:szCs w:val="28"/>
        </w:rPr>
        <w:t>慢性影响：经常接触较高的二氧化碳者，会有头晕、头痛、失眠、易兴奋、无力等神经功能紊乱等主诉。</w:t>
      </w:r>
    </w:p>
    <w:p>
      <w:pPr>
        <w:adjustRightInd w:val="0"/>
        <w:snapToGrid w:val="0"/>
        <w:spacing w:line="360" w:lineRule="auto"/>
        <w:ind w:firstLine="560" w:firstLineChars="200"/>
        <w:rPr>
          <w:rFonts w:hint="eastAsia"/>
          <w:sz w:val="28"/>
          <w:szCs w:val="28"/>
        </w:rPr>
      </w:pPr>
      <w:r>
        <w:rPr>
          <w:rFonts w:hint="eastAsia"/>
          <w:sz w:val="28"/>
          <w:szCs w:val="28"/>
        </w:rPr>
        <w:t>防护措施：呼吸系统防护：一般不需特殊防护，高浓度接触时可佩戴空气呼吸器；眼睛防护：一般不需特殊防护；身体防护：穿一般作业工作服；手防护：戴一般作业防护手套；其它：避免高浓度吸入。</w:t>
      </w:r>
    </w:p>
    <w:p>
      <w:pPr>
        <w:pStyle w:val="8"/>
        <w:spacing w:line="360" w:lineRule="auto"/>
        <w:ind w:firstLine="0" w:firstLineChars="0"/>
        <w:outlineLvl w:val="2"/>
        <w:rPr>
          <w:rFonts w:hint="eastAsia" w:ascii="宋体" w:hAnsi="宋体"/>
          <w:b/>
          <w:snapToGrid w:val="0"/>
          <w:kern w:val="0"/>
          <w:sz w:val="28"/>
          <w:szCs w:val="28"/>
        </w:rPr>
      </w:pPr>
      <w:bookmarkStart w:id="93" w:name="_Toc8652"/>
      <w:bookmarkStart w:id="94" w:name="_Toc356380978"/>
      <w:bookmarkStart w:id="95" w:name="_Toc332350850"/>
      <w:bookmarkStart w:id="96" w:name="_Toc514342846"/>
      <w:bookmarkStart w:id="97" w:name="_Toc480804394"/>
      <w:bookmarkStart w:id="98" w:name="_Toc356401491"/>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4.5 二氧化硫（三氧化硫参考）</w:t>
      </w:r>
      <w:bookmarkEnd w:id="93"/>
      <w:bookmarkEnd w:id="94"/>
      <w:bookmarkEnd w:id="95"/>
      <w:bookmarkEnd w:id="96"/>
      <w:bookmarkEnd w:id="97"/>
      <w:bookmarkEnd w:id="98"/>
    </w:p>
    <w:p>
      <w:pPr>
        <w:adjustRightInd w:val="0"/>
        <w:snapToGrid w:val="0"/>
        <w:spacing w:line="360" w:lineRule="auto"/>
        <w:ind w:firstLine="560" w:firstLineChars="200"/>
        <w:rPr>
          <w:rFonts w:hint="eastAsia"/>
          <w:sz w:val="28"/>
          <w:szCs w:val="28"/>
        </w:rPr>
      </w:pPr>
      <w:r>
        <w:rPr>
          <w:rFonts w:hint="eastAsia"/>
          <w:sz w:val="28"/>
          <w:szCs w:val="28"/>
        </w:rPr>
        <w:t>英文名：（S</w:t>
      </w:r>
      <w:r>
        <w:rPr>
          <w:sz w:val="28"/>
          <w:szCs w:val="28"/>
        </w:rPr>
        <w:t xml:space="preserve">ulfur  </w:t>
      </w:r>
      <w:r>
        <w:rPr>
          <w:rFonts w:hint="eastAsia"/>
          <w:sz w:val="28"/>
          <w:szCs w:val="28"/>
        </w:rPr>
        <w:t>D</w:t>
      </w:r>
      <w:r>
        <w:rPr>
          <w:sz w:val="28"/>
          <w:szCs w:val="28"/>
        </w:rPr>
        <w:t>ioxide</w:t>
      </w:r>
      <w:r>
        <w:rPr>
          <w:rFonts w:hint="eastAsia"/>
          <w:sz w:val="28"/>
          <w:szCs w:val="28"/>
        </w:rPr>
        <w:t>）           分子式：</w:t>
      </w:r>
      <w:r>
        <w:rPr>
          <w:sz w:val="28"/>
          <w:szCs w:val="28"/>
        </w:rPr>
        <w:t>SO2</w:t>
      </w:r>
      <w:r>
        <w:rPr>
          <w:rFonts w:hint="eastAsia"/>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外观及性状：无色气体，室温下具有强烈刺激气味，可溶于水及有机溶剂 </w:t>
      </w:r>
    </w:p>
    <w:p>
      <w:pPr>
        <w:adjustRightInd w:val="0"/>
        <w:snapToGrid w:val="0"/>
        <w:spacing w:line="360" w:lineRule="auto"/>
        <w:ind w:firstLine="560" w:firstLineChars="200"/>
        <w:rPr>
          <w:rFonts w:hint="eastAsia"/>
          <w:sz w:val="28"/>
          <w:szCs w:val="28"/>
        </w:rPr>
      </w:pPr>
      <w:r>
        <w:rPr>
          <w:rFonts w:hint="eastAsia"/>
          <w:sz w:val="28"/>
          <w:szCs w:val="28"/>
        </w:rPr>
        <w:t>熔点：</w:t>
      </w:r>
      <w:r>
        <w:rPr>
          <w:sz w:val="28"/>
          <w:szCs w:val="28"/>
        </w:rPr>
        <w:t>-75.5</w:t>
      </w:r>
      <w:r>
        <w:rPr>
          <w:rFonts w:hint="eastAsia"/>
          <w:sz w:val="28"/>
          <w:szCs w:val="28"/>
        </w:rPr>
        <w:t xml:space="preserve"> ℃                       沸点：</w:t>
      </w:r>
      <w:r>
        <w:rPr>
          <w:sz w:val="28"/>
          <w:szCs w:val="28"/>
        </w:rPr>
        <w:t>-10</w:t>
      </w:r>
      <w:r>
        <w:rPr>
          <w:rFonts w:hint="eastAsia"/>
          <w:sz w:val="28"/>
          <w:szCs w:val="28"/>
        </w:rPr>
        <w:t xml:space="preserve"> ℃  </w:t>
      </w:r>
    </w:p>
    <w:p>
      <w:pPr>
        <w:adjustRightInd w:val="0"/>
        <w:snapToGrid w:val="0"/>
        <w:spacing w:line="360" w:lineRule="auto"/>
        <w:ind w:firstLine="560" w:firstLineChars="200"/>
        <w:rPr>
          <w:rFonts w:hint="eastAsia"/>
          <w:sz w:val="28"/>
          <w:szCs w:val="28"/>
        </w:rPr>
      </w:pPr>
      <w:r>
        <w:rPr>
          <w:rFonts w:hint="eastAsia"/>
          <w:sz w:val="28"/>
          <w:szCs w:val="28"/>
        </w:rPr>
        <w:t xml:space="preserve">危险性类别：第2.3有毒气体           危编号： </w:t>
      </w:r>
      <w:r>
        <w:rPr>
          <w:sz w:val="28"/>
          <w:szCs w:val="28"/>
        </w:rPr>
        <w:t>23013</w:t>
      </w:r>
    </w:p>
    <w:p>
      <w:pPr>
        <w:adjustRightInd w:val="0"/>
        <w:snapToGrid w:val="0"/>
        <w:spacing w:line="360" w:lineRule="auto"/>
        <w:ind w:firstLine="560" w:firstLineChars="200"/>
        <w:rPr>
          <w:rFonts w:hint="eastAsia"/>
          <w:sz w:val="28"/>
          <w:szCs w:val="28"/>
        </w:rPr>
      </w:pPr>
      <w:r>
        <w:rPr>
          <w:sz w:val="28"/>
          <w:szCs w:val="28"/>
        </w:rPr>
        <w:t>UN</w:t>
      </w:r>
      <w:r>
        <w:rPr>
          <w:rFonts w:hint="eastAsia"/>
          <w:sz w:val="28"/>
          <w:szCs w:val="28"/>
        </w:rPr>
        <w:t>：1079                    相对密度：</w:t>
      </w:r>
      <w:r>
        <w:rPr>
          <w:sz w:val="28"/>
          <w:szCs w:val="28"/>
        </w:rPr>
        <w:t>1.43</w:t>
      </w:r>
      <w:r>
        <w:rPr>
          <w:rFonts w:hint="eastAsia"/>
          <w:sz w:val="28"/>
          <w:szCs w:val="28"/>
        </w:rPr>
        <w:t>（液化）；</w:t>
      </w:r>
      <w:r>
        <w:rPr>
          <w:sz w:val="28"/>
          <w:szCs w:val="28"/>
        </w:rPr>
        <w:t>2.26</w:t>
      </w:r>
      <w:r>
        <w:rPr>
          <w:rFonts w:hint="eastAsia"/>
          <w:sz w:val="28"/>
          <w:szCs w:val="28"/>
        </w:rPr>
        <w:t>（气）</w:t>
      </w:r>
    </w:p>
    <w:p>
      <w:pPr>
        <w:adjustRightInd w:val="0"/>
        <w:snapToGrid w:val="0"/>
        <w:spacing w:line="360" w:lineRule="auto"/>
        <w:ind w:firstLine="560" w:firstLineChars="200"/>
        <w:rPr>
          <w:sz w:val="28"/>
          <w:szCs w:val="28"/>
        </w:rPr>
      </w:pPr>
      <w:r>
        <w:rPr>
          <w:rFonts w:hint="eastAsia"/>
          <w:sz w:val="28"/>
          <w:szCs w:val="28"/>
        </w:rPr>
        <w:t>空气中允许极限：中国</w:t>
      </w:r>
      <w:r>
        <w:rPr>
          <w:sz w:val="28"/>
          <w:szCs w:val="28"/>
        </w:rPr>
        <w:t>MAC</w:t>
      </w:r>
      <w:r>
        <w:rPr>
          <w:rFonts w:hint="eastAsia"/>
          <w:sz w:val="28"/>
          <w:szCs w:val="28"/>
        </w:rPr>
        <w:t>：</w:t>
      </w:r>
      <w:r>
        <w:rPr>
          <w:sz w:val="28"/>
          <w:szCs w:val="28"/>
        </w:rPr>
        <w:t>15mg/m3</w:t>
      </w:r>
    </w:p>
    <w:p>
      <w:pPr>
        <w:adjustRightInd w:val="0"/>
        <w:snapToGrid w:val="0"/>
        <w:spacing w:line="360" w:lineRule="auto"/>
        <w:ind w:firstLine="560" w:firstLineChars="200"/>
        <w:rPr>
          <w:sz w:val="28"/>
          <w:szCs w:val="28"/>
        </w:rPr>
      </w:pPr>
      <w:r>
        <w:rPr>
          <w:rFonts w:hint="eastAsia"/>
          <w:sz w:val="28"/>
          <w:szCs w:val="28"/>
        </w:rPr>
        <w:t>健康危害：短期暴露：吸入刺激鼻、咽喉，出现流涕、呼吸困难、气阻、咳嗽、肺水肿、喘鸣、胸闷、肺炎，直至死亡；刺激皮肤，尤其湿润皮肤；接触液体可致冻伤和化学烧伤、紫绀；还可刺激眼，造成冻伤、失明；食入会引起口腔冻伤、化学烧伤、恶心、呕吐、腹疼；长期暴露，刺激咽喉和肺，出现鼻出血，对哮喘、肺功能不正常、心血管病人更危险。</w:t>
      </w:r>
    </w:p>
    <w:p>
      <w:pPr>
        <w:adjustRightInd w:val="0"/>
        <w:snapToGrid w:val="0"/>
        <w:spacing w:line="360" w:lineRule="auto"/>
        <w:ind w:firstLine="560" w:firstLineChars="200"/>
        <w:rPr>
          <w:sz w:val="28"/>
          <w:szCs w:val="28"/>
        </w:rPr>
      </w:pPr>
      <w:r>
        <w:rPr>
          <w:rFonts w:hint="eastAsia"/>
          <w:sz w:val="28"/>
          <w:szCs w:val="28"/>
        </w:rPr>
        <w:t>急救措施：眼接触：立即清洗。皮肤接触：立即用大量水清洗。吸入：将患者移至新鲜空气处，施行人工呼吸。</w:t>
      </w:r>
    </w:p>
    <w:p>
      <w:pPr>
        <w:adjustRightInd w:val="0"/>
        <w:snapToGrid w:val="0"/>
        <w:spacing w:line="360" w:lineRule="auto"/>
        <w:ind w:firstLine="560" w:firstLineChars="200"/>
        <w:rPr>
          <w:rFonts w:hint="eastAsia"/>
          <w:sz w:val="28"/>
          <w:szCs w:val="28"/>
        </w:rPr>
      </w:pPr>
      <w:r>
        <w:rPr>
          <w:rFonts w:hint="eastAsia"/>
          <w:sz w:val="28"/>
          <w:szCs w:val="28"/>
        </w:rPr>
        <w:t xml:space="preserve">防护措施：戴护目镜，穿防护服；选用适当呼吸器；提供应急眼药水；定期检查皮肤、眼睛及呼吸系统 </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99" w:name="_Toc32135"/>
      <w:bookmarkStart w:id="100" w:name="_Toc515659433"/>
      <w:r>
        <w:rPr>
          <w:rFonts w:hint="eastAsia" w:ascii="宋体" w:hAnsi="宋体"/>
          <w:b/>
          <w:snapToGrid w:val="0"/>
          <w:kern w:val="0"/>
          <w:sz w:val="28"/>
          <w:szCs w:val="28"/>
          <w:lang w:val="en-US" w:eastAsia="zh-CN"/>
        </w:rPr>
        <w:t>3.4.6 柴油安全数据表</w:t>
      </w:r>
      <w:bookmarkEnd w:id="99"/>
      <w:bookmarkEnd w:id="100"/>
    </w:p>
    <w:p>
      <w:pPr>
        <w:jc w:val="center"/>
        <w:rPr>
          <w:rFonts w:ascii="黑体" w:hAnsi="黑体" w:eastAsia="黑体"/>
          <w:b/>
          <w:sz w:val="24"/>
        </w:rPr>
      </w:pPr>
      <w:r>
        <w:rPr>
          <w:rFonts w:ascii="黑体" w:hAnsi="黑体" w:eastAsia="黑体"/>
          <w:b/>
          <w:sz w:val="24"/>
        </w:rPr>
        <w:t>表3-</w:t>
      </w:r>
      <w:r>
        <w:rPr>
          <w:rFonts w:hint="eastAsia" w:ascii="黑体" w:hAnsi="黑体" w:eastAsia="黑体"/>
          <w:b/>
          <w:sz w:val="24"/>
        </w:rPr>
        <w:t>1 柴油物料安全数据表</w:t>
      </w:r>
    </w:p>
    <w:tbl>
      <w:tblPr>
        <w:tblStyle w:val="19"/>
        <w:tblW w:w="852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9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标</w:t>
            </w:r>
          </w:p>
          <w:p>
            <w:pPr>
              <w:adjustRightInd w:val="0"/>
              <w:snapToGrid w:val="0"/>
              <w:jc w:val="left"/>
              <w:rPr>
                <w:rFonts w:ascii="宋体" w:hAnsi="宋体"/>
                <w:szCs w:val="21"/>
              </w:rPr>
            </w:pPr>
            <w:r>
              <w:rPr>
                <w:rFonts w:ascii="宋体" w:hAnsi="宋体"/>
                <w:b/>
                <w:bCs/>
                <w:szCs w:val="21"/>
              </w:rPr>
              <w:t>识</w:t>
            </w:r>
          </w:p>
        </w:tc>
        <w:tc>
          <w:tcPr>
            <w:tcW w:w="7954" w:type="dxa"/>
            <w:noWrap w:val="0"/>
            <w:vAlign w:val="center"/>
          </w:tcPr>
          <w:p>
            <w:pPr>
              <w:adjustRightInd w:val="0"/>
              <w:snapToGrid w:val="0"/>
              <w:jc w:val="left"/>
              <w:rPr>
                <w:rFonts w:ascii="宋体" w:hAnsi="宋体"/>
                <w:szCs w:val="21"/>
              </w:rPr>
            </w:pPr>
            <w:r>
              <w:rPr>
                <w:rFonts w:ascii="宋体" w:hAnsi="宋体"/>
                <w:b/>
                <w:bCs/>
                <w:szCs w:val="21"/>
              </w:rPr>
              <w:t>中文名：</w:t>
            </w:r>
            <w:r>
              <w:rPr>
                <w:rFonts w:ascii="宋体" w:hAnsi="宋体"/>
                <w:szCs w:val="21"/>
              </w:rPr>
              <w:t xml:space="preserve">柴油              </w:t>
            </w:r>
            <w:r>
              <w:rPr>
                <w:rFonts w:ascii="宋体" w:hAnsi="宋体"/>
                <w:b/>
                <w:bCs/>
                <w:szCs w:val="21"/>
              </w:rPr>
              <w:t>英文名：</w:t>
            </w:r>
            <w:r>
              <w:rPr>
                <w:rFonts w:ascii="宋体" w:hAnsi="宋体"/>
                <w:szCs w:val="21"/>
              </w:rPr>
              <w:t>Diesel oil</w:t>
            </w:r>
          </w:p>
          <w:p>
            <w:pPr>
              <w:adjustRightInd w:val="0"/>
              <w:snapToGrid w:val="0"/>
              <w:jc w:val="left"/>
              <w:rPr>
                <w:rFonts w:hint="eastAsia" w:ascii="宋体" w:hAnsi="宋体"/>
                <w:szCs w:val="21"/>
              </w:rPr>
            </w:pPr>
            <w:r>
              <w:rPr>
                <w:rFonts w:ascii="宋体" w:hAnsi="宋体"/>
                <w:b/>
                <w:bCs/>
                <w:szCs w:val="21"/>
              </w:rPr>
              <w:t>CAS号：</w:t>
            </w:r>
            <w:r>
              <w:rPr>
                <w:rFonts w:hint="eastAsia" w:ascii="宋体" w:hAnsi="宋体"/>
                <w:szCs w:val="21"/>
              </w:rPr>
              <w:t>68334-30-5</w:t>
            </w:r>
            <w:r>
              <w:rPr>
                <w:rFonts w:ascii="宋体" w:hAnsi="宋体"/>
                <w:szCs w:val="21"/>
              </w:rPr>
              <w:t xml:space="preserve">            </w:t>
            </w:r>
            <w:r>
              <w:rPr>
                <w:rFonts w:ascii="宋体" w:hAnsi="宋体"/>
                <w:b/>
                <w:bCs/>
                <w:szCs w:val="21"/>
              </w:rPr>
              <w:t>UN号：</w:t>
            </w:r>
            <w:r>
              <w:rPr>
                <w:rFonts w:hint="eastAsia" w:ascii="宋体" w:hAnsi="宋体"/>
                <w:szCs w:val="21"/>
              </w:rPr>
              <w:t>1202        危规编号：1674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理</w:t>
            </w:r>
          </w:p>
          <w:p>
            <w:pPr>
              <w:adjustRightInd w:val="0"/>
              <w:snapToGrid w:val="0"/>
              <w:jc w:val="left"/>
              <w:rPr>
                <w:rFonts w:ascii="宋体" w:hAnsi="宋体"/>
                <w:b/>
                <w:bCs/>
                <w:szCs w:val="21"/>
              </w:rPr>
            </w:pPr>
            <w:r>
              <w:rPr>
                <w:rFonts w:ascii="宋体" w:hAnsi="宋体"/>
                <w:b/>
                <w:bCs/>
                <w:szCs w:val="21"/>
              </w:rPr>
              <w:t>化</w:t>
            </w:r>
          </w:p>
          <w:p>
            <w:pPr>
              <w:adjustRightInd w:val="0"/>
              <w:snapToGrid w:val="0"/>
              <w:jc w:val="left"/>
              <w:rPr>
                <w:rFonts w:ascii="宋体" w:hAnsi="宋体"/>
                <w:b/>
                <w:bCs/>
                <w:szCs w:val="21"/>
              </w:rPr>
            </w:pPr>
            <w:r>
              <w:rPr>
                <w:rFonts w:ascii="宋体" w:hAnsi="宋体"/>
                <w:b/>
                <w:bCs/>
                <w:szCs w:val="21"/>
              </w:rPr>
              <w:t>性</w:t>
            </w:r>
          </w:p>
          <w:p>
            <w:pPr>
              <w:adjustRightInd w:val="0"/>
              <w:snapToGrid w:val="0"/>
              <w:jc w:val="left"/>
              <w:rPr>
                <w:rFonts w:ascii="宋体" w:hAnsi="宋体"/>
                <w:szCs w:val="21"/>
              </w:rPr>
            </w:pPr>
            <w:r>
              <w:rPr>
                <w:rFonts w:ascii="宋体" w:hAnsi="宋体"/>
                <w:b/>
                <w:bCs/>
                <w:szCs w:val="21"/>
              </w:rPr>
              <w:t>质</w:t>
            </w:r>
          </w:p>
        </w:tc>
        <w:tc>
          <w:tcPr>
            <w:tcW w:w="7954" w:type="dxa"/>
            <w:noWrap w:val="0"/>
            <w:vAlign w:val="center"/>
          </w:tcPr>
          <w:p>
            <w:pPr>
              <w:adjustRightInd w:val="0"/>
              <w:snapToGrid w:val="0"/>
              <w:jc w:val="left"/>
              <w:rPr>
                <w:rFonts w:ascii="宋体" w:hAnsi="宋体"/>
                <w:szCs w:val="21"/>
              </w:rPr>
            </w:pPr>
            <w:r>
              <w:rPr>
                <w:rFonts w:ascii="宋体" w:hAnsi="宋体"/>
                <w:b/>
                <w:bCs/>
                <w:szCs w:val="21"/>
              </w:rPr>
              <w:t>外观与性状：</w:t>
            </w:r>
            <w:r>
              <w:rPr>
                <w:rFonts w:ascii="宋体" w:hAnsi="宋体"/>
                <w:szCs w:val="21"/>
              </w:rPr>
              <w:t>稍有粘性的浅黄至棕色液体。</w:t>
            </w:r>
          </w:p>
          <w:p>
            <w:pPr>
              <w:adjustRightInd w:val="0"/>
              <w:snapToGrid w:val="0"/>
              <w:jc w:val="left"/>
              <w:rPr>
                <w:rFonts w:ascii="宋体" w:hAnsi="宋体"/>
                <w:szCs w:val="21"/>
              </w:rPr>
            </w:pPr>
            <w:r>
              <w:rPr>
                <w:rFonts w:ascii="宋体" w:hAnsi="宋体"/>
                <w:b/>
                <w:bCs/>
                <w:szCs w:val="21"/>
              </w:rPr>
              <w:t>熔点(℃)：</w:t>
            </w:r>
            <w:r>
              <w:rPr>
                <w:rFonts w:ascii="宋体" w:hAnsi="宋体"/>
                <w:szCs w:val="21"/>
              </w:rPr>
              <w:t xml:space="preserve">-35～20          </w:t>
            </w:r>
            <w:r>
              <w:rPr>
                <w:rFonts w:ascii="宋体" w:hAnsi="宋体"/>
                <w:b/>
                <w:bCs/>
                <w:szCs w:val="21"/>
              </w:rPr>
              <w:t>相对密度（水=1.0）：</w:t>
            </w:r>
            <w:r>
              <w:rPr>
                <w:rFonts w:ascii="宋体" w:hAnsi="宋体"/>
                <w:szCs w:val="21"/>
              </w:rPr>
              <w:t>0.87～0.9</w:t>
            </w:r>
          </w:p>
          <w:p>
            <w:pPr>
              <w:adjustRightInd w:val="0"/>
              <w:snapToGrid w:val="0"/>
              <w:jc w:val="left"/>
              <w:rPr>
                <w:rFonts w:ascii="宋体" w:hAnsi="宋体"/>
                <w:szCs w:val="21"/>
              </w:rPr>
            </w:pPr>
            <w:r>
              <w:rPr>
                <w:rFonts w:ascii="宋体" w:hAnsi="宋体"/>
                <w:b/>
                <w:bCs/>
                <w:szCs w:val="21"/>
              </w:rPr>
              <w:t>沸程(℃)：</w:t>
            </w:r>
            <w:r>
              <w:rPr>
                <w:rFonts w:ascii="宋体" w:hAnsi="宋体"/>
                <w:szCs w:val="21"/>
              </w:rPr>
              <w:t xml:space="preserve">282～338         </w:t>
            </w:r>
            <w:r>
              <w:rPr>
                <w:rFonts w:ascii="宋体" w:hAnsi="宋体"/>
                <w:b/>
                <w:bCs/>
                <w:szCs w:val="21"/>
              </w:rPr>
              <w:t>相对密度(空气=1):</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 xml:space="preserve">闪点(℃): </w:t>
            </w:r>
            <w:r>
              <w:rPr>
                <w:rFonts w:ascii="宋体" w:hAnsi="宋体"/>
                <w:bCs/>
                <w:szCs w:val="21"/>
              </w:rPr>
              <w:t>&gt;55</w:t>
            </w:r>
            <w:r>
              <w:rPr>
                <w:rFonts w:ascii="宋体" w:hAnsi="宋体"/>
                <w:szCs w:val="21"/>
              </w:rPr>
              <w:t xml:space="preserve">              </w:t>
            </w:r>
            <w:r>
              <w:rPr>
                <w:rFonts w:ascii="宋体" w:hAnsi="宋体"/>
                <w:b/>
                <w:bCs/>
                <w:szCs w:val="21"/>
              </w:rPr>
              <w:t>引燃温度(℃)：</w:t>
            </w:r>
            <w:r>
              <w:rPr>
                <w:rFonts w:ascii="宋体" w:hAnsi="宋体"/>
                <w:szCs w:val="21"/>
              </w:rPr>
              <w:t>257</w:t>
            </w:r>
          </w:p>
          <w:p>
            <w:pPr>
              <w:adjustRightInd w:val="0"/>
              <w:snapToGrid w:val="0"/>
              <w:jc w:val="left"/>
              <w:rPr>
                <w:rFonts w:ascii="宋体" w:hAnsi="宋体"/>
                <w:szCs w:val="21"/>
              </w:rPr>
            </w:pPr>
            <w:r>
              <w:rPr>
                <w:rFonts w:ascii="宋体" w:hAnsi="宋体"/>
                <w:b/>
                <w:bCs/>
                <w:szCs w:val="21"/>
              </w:rPr>
              <w:t>爆炸下限[%(V/V)]:</w:t>
            </w:r>
            <w:r>
              <w:rPr>
                <w:rFonts w:ascii="宋体" w:hAnsi="宋体"/>
                <w:szCs w:val="21"/>
              </w:rPr>
              <w:t xml:space="preserve"> </w:t>
            </w:r>
            <w:r>
              <w:rPr>
                <w:rFonts w:hint="eastAsia" w:ascii="宋体" w:hAnsi="宋体"/>
                <w:szCs w:val="21"/>
              </w:rPr>
              <w:t>0.5</w:t>
            </w:r>
            <w:r>
              <w:rPr>
                <w:rFonts w:ascii="宋体" w:hAnsi="宋体"/>
                <w:szCs w:val="21"/>
              </w:rPr>
              <w:t xml:space="preserve">   </w:t>
            </w:r>
            <w:r>
              <w:rPr>
                <w:rFonts w:ascii="宋体" w:hAnsi="宋体"/>
                <w:b/>
                <w:bCs/>
                <w:szCs w:val="21"/>
              </w:rPr>
              <w:t>最小点火能(mJ):</w:t>
            </w:r>
            <w:r>
              <w:rPr>
                <w:rFonts w:ascii="宋体" w:hAnsi="宋体"/>
                <w:szCs w:val="21"/>
              </w:rPr>
              <w:t>无资料</w:t>
            </w:r>
          </w:p>
          <w:p>
            <w:pPr>
              <w:adjustRightInd w:val="0"/>
              <w:snapToGrid w:val="0"/>
              <w:jc w:val="left"/>
              <w:rPr>
                <w:rFonts w:ascii="宋体" w:hAnsi="宋体"/>
                <w:szCs w:val="21"/>
              </w:rPr>
            </w:pPr>
            <w:r>
              <w:rPr>
                <w:rFonts w:ascii="宋体" w:hAnsi="宋体"/>
                <w:b/>
                <w:bCs/>
                <w:szCs w:val="21"/>
              </w:rPr>
              <w:t>爆炸上限[%(V/V)]:</w:t>
            </w:r>
            <w:r>
              <w:rPr>
                <w:rFonts w:ascii="宋体" w:hAnsi="宋体"/>
                <w:szCs w:val="21"/>
              </w:rPr>
              <w:t xml:space="preserve"> </w:t>
            </w:r>
            <w:r>
              <w:rPr>
                <w:rFonts w:hint="eastAsia" w:ascii="宋体" w:hAnsi="宋体"/>
                <w:szCs w:val="21"/>
              </w:rPr>
              <w:t>4.5</w:t>
            </w:r>
            <w:r>
              <w:rPr>
                <w:rFonts w:ascii="宋体" w:hAnsi="宋体"/>
                <w:szCs w:val="21"/>
              </w:rPr>
              <w:t xml:space="preserve">   </w:t>
            </w:r>
            <w:r>
              <w:rPr>
                <w:rFonts w:ascii="宋体" w:hAnsi="宋体"/>
                <w:b/>
                <w:bCs/>
                <w:szCs w:val="21"/>
              </w:rPr>
              <w:t>最大爆炸压力(MPa):</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溶 解 性：</w:t>
            </w:r>
            <w:r>
              <w:rPr>
                <w:rFonts w:ascii="宋体" w:hAnsi="宋体"/>
                <w:szCs w:val="21"/>
              </w:rPr>
              <w:t>不溶于水,易溶于苯、二硫化碳、醇、脂肪。</w:t>
            </w:r>
          </w:p>
          <w:p>
            <w:pPr>
              <w:adjustRightInd w:val="0"/>
              <w:snapToGrid w:val="0"/>
              <w:jc w:val="left"/>
              <w:rPr>
                <w:rFonts w:ascii="宋体" w:hAnsi="宋体"/>
                <w:szCs w:val="21"/>
              </w:rPr>
            </w:pPr>
            <w:r>
              <w:rPr>
                <w:rFonts w:ascii="宋体" w:hAnsi="宋体"/>
                <w:b/>
                <w:bCs/>
                <w:szCs w:val="21"/>
              </w:rPr>
              <w:t>主要用途：</w:t>
            </w:r>
            <w:r>
              <w:rPr>
                <w:rFonts w:ascii="宋体" w:hAnsi="宋体"/>
                <w:szCs w:val="21"/>
              </w:rPr>
              <w:t xml:space="preserve">主要用作柴油机的燃料。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燃</w:t>
            </w:r>
          </w:p>
          <w:p>
            <w:pPr>
              <w:adjustRightInd w:val="0"/>
              <w:snapToGrid w:val="0"/>
              <w:jc w:val="left"/>
              <w:rPr>
                <w:rFonts w:ascii="宋体" w:hAnsi="宋体"/>
                <w:szCs w:val="21"/>
              </w:rPr>
            </w:pPr>
            <w:r>
              <w:rPr>
                <w:rFonts w:ascii="宋体" w:hAnsi="宋体"/>
                <w:b/>
                <w:bCs/>
                <w:szCs w:val="21"/>
              </w:rPr>
              <w:t>烧</w:t>
            </w:r>
          </w:p>
          <w:p>
            <w:pPr>
              <w:adjustRightInd w:val="0"/>
              <w:snapToGrid w:val="0"/>
              <w:jc w:val="left"/>
              <w:rPr>
                <w:rFonts w:ascii="宋体" w:hAnsi="宋体"/>
                <w:b/>
                <w:bCs/>
                <w:szCs w:val="21"/>
              </w:rPr>
            </w:pPr>
            <w:r>
              <w:rPr>
                <w:rFonts w:ascii="宋体" w:hAnsi="宋体"/>
                <w:b/>
                <w:bCs/>
                <w:szCs w:val="21"/>
              </w:rPr>
              <w:t>爆</w:t>
            </w:r>
          </w:p>
          <w:p>
            <w:pPr>
              <w:adjustRightInd w:val="0"/>
              <w:snapToGrid w:val="0"/>
              <w:jc w:val="left"/>
              <w:rPr>
                <w:rFonts w:ascii="宋体" w:hAnsi="宋体"/>
                <w:b/>
                <w:bCs/>
                <w:szCs w:val="21"/>
              </w:rPr>
            </w:pPr>
            <w:r>
              <w:rPr>
                <w:rFonts w:ascii="宋体" w:hAnsi="宋体"/>
                <w:b/>
                <w:bCs/>
                <w:szCs w:val="21"/>
              </w:rPr>
              <w:t>炸</w:t>
            </w:r>
          </w:p>
          <w:p>
            <w:pPr>
              <w:adjustRightInd w:val="0"/>
              <w:snapToGrid w:val="0"/>
              <w:jc w:val="left"/>
              <w:rPr>
                <w:rFonts w:ascii="宋体" w:hAnsi="宋体"/>
                <w:b/>
                <w:bCs/>
                <w:szCs w:val="21"/>
              </w:rPr>
            </w:pPr>
            <w:r>
              <w:rPr>
                <w:rFonts w:ascii="宋体" w:hAnsi="宋体"/>
                <w:b/>
                <w:bCs/>
                <w:szCs w:val="21"/>
              </w:rPr>
              <w:t>危</w:t>
            </w:r>
          </w:p>
          <w:p>
            <w:pPr>
              <w:adjustRightInd w:val="0"/>
              <w:snapToGrid w:val="0"/>
              <w:jc w:val="left"/>
              <w:rPr>
                <w:rFonts w:ascii="宋体" w:hAnsi="宋体"/>
                <w:b/>
                <w:bCs/>
                <w:szCs w:val="21"/>
              </w:rPr>
            </w:pPr>
            <w:r>
              <w:rPr>
                <w:rFonts w:ascii="宋体" w:hAnsi="宋体"/>
                <w:b/>
                <w:bCs/>
                <w:szCs w:val="21"/>
              </w:rPr>
              <w:t>险</w:t>
            </w:r>
          </w:p>
          <w:p>
            <w:pPr>
              <w:adjustRightInd w:val="0"/>
              <w:snapToGrid w:val="0"/>
              <w:jc w:val="left"/>
              <w:rPr>
                <w:rFonts w:ascii="宋体" w:hAnsi="宋体"/>
                <w:szCs w:val="21"/>
              </w:rPr>
            </w:pPr>
            <w:r>
              <w:rPr>
                <w:rFonts w:ascii="宋体" w:hAnsi="宋体"/>
                <w:b/>
                <w:bCs/>
                <w:szCs w:val="21"/>
              </w:rPr>
              <w:t>性</w:t>
            </w:r>
          </w:p>
        </w:tc>
        <w:tc>
          <w:tcPr>
            <w:tcW w:w="7954" w:type="dxa"/>
            <w:noWrap w:val="0"/>
            <w:vAlign w:val="center"/>
          </w:tcPr>
          <w:p>
            <w:pPr>
              <w:adjustRightInd w:val="0"/>
              <w:snapToGrid w:val="0"/>
              <w:jc w:val="left"/>
              <w:rPr>
                <w:rFonts w:ascii="宋体" w:hAnsi="宋体"/>
                <w:szCs w:val="21"/>
              </w:rPr>
            </w:pPr>
            <w:r>
              <w:rPr>
                <w:rFonts w:ascii="宋体" w:hAnsi="宋体"/>
                <w:b/>
                <w:bCs/>
                <w:szCs w:val="21"/>
              </w:rPr>
              <w:t>燃 烧 性：</w:t>
            </w:r>
            <w:r>
              <w:rPr>
                <w:rFonts w:ascii="宋体" w:hAnsi="宋体"/>
                <w:szCs w:val="21"/>
              </w:rPr>
              <w:t>易燃。</w:t>
            </w:r>
          </w:p>
          <w:p>
            <w:pPr>
              <w:pStyle w:val="10"/>
              <w:ind w:left="420"/>
              <w:jc w:val="left"/>
              <w:rPr>
                <w:rFonts w:ascii="宋体" w:hAnsi="宋体"/>
                <w:szCs w:val="21"/>
              </w:rPr>
            </w:pPr>
            <w:r>
              <w:rPr>
                <w:rFonts w:ascii="宋体" w:hAnsi="宋体"/>
                <w:b/>
                <w:bCs/>
                <w:szCs w:val="21"/>
              </w:rPr>
              <w:t>危险特性：</w:t>
            </w:r>
            <w:r>
              <w:rPr>
                <w:rFonts w:ascii="宋体" w:hAnsi="宋体"/>
                <w:szCs w:val="21"/>
              </w:rPr>
              <w:t>遇明火、高热或与氧化剂接触,有引起燃烧爆炸的危险。若遇高热，容器内压力增大，有开裂和爆炸的危险。</w:t>
            </w:r>
          </w:p>
          <w:p>
            <w:pPr>
              <w:pStyle w:val="10"/>
              <w:ind w:left="420"/>
              <w:jc w:val="left"/>
              <w:rPr>
                <w:rFonts w:ascii="宋体" w:hAnsi="宋体"/>
                <w:szCs w:val="21"/>
              </w:rPr>
            </w:pPr>
            <w:r>
              <w:rPr>
                <w:rFonts w:ascii="宋体" w:hAnsi="宋体"/>
                <w:b/>
                <w:bCs/>
                <w:szCs w:val="21"/>
              </w:rPr>
              <w:t>有害燃烧产物：</w:t>
            </w:r>
            <w:r>
              <w:rPr>
                <w:rFonts w:ascii="宋体" w:hAnsi="宋体"/>
                <w:szCs w:val="21"/>
              </w:rPr>
              <w:t>一氧化碳、二氧化碳。</w:t>
            </w:r>
          </w:p>
          <w:p>
            <w:pPr>
              <w:adjustRightInd w:val="0"/>
              <w:snapToGrid w:val="0"/>
              <w:jc w:val="left"/>
              <w:rPr>
                <w:rFonts w:ascii="宋体" w:hAnsi="宋体"/>
                <w:szCs w:val="21"/>
              </w:rPr>
            </w:pPr>
            <w:r>
              <w:rPr>
                <w:rFonts w:ascii="宋体" w:hAnsi="宋体"/>
                <w:b/>
                <w:bCs/>
                <w:szCs w:val="21"/>
              </w:rPr>
              <w:t>稳 定 性：</w:t>
            </w:r>
            <w:r>
              <w:rPr>
                <w:rFonts w:ascii="宋体" w:hAnsi="宋体"/>
                <w:szCs w:val="21"/>
              </w:rPr>
              <w:t xml:space="preserve">稳定。           </w:t>
            </w:r>
            <w:r>
              <w:rPr>
                <w:rFonts w:ascii="宋体" w:hAnsi="宋体"/>
                <w:b/>
                <w:bCs/>
                <w:szCs w:val="21"/>
              </w:rPr>
              <w:t>聚合危害：</w:t>
            </w:r>
            <w:r>
              <w:rPr>
                <w:rFonts w:ascii="宋体" w:hAnsi="宋体"/>
                <w:szCs w:val="21"/>
              </w:rPr>
              <w:t>不聚合。</w:t>
            </w:r>
          </w:p>
          <w:p>
            <w:pPr>
              <w:adjustRightInd w:val="0"/>
              <w:snapToGrid w:val="0"/>
              <w:jc w:val="left"/>
              <w:rPr>
                <w:rFonts w:ascii="宋体" w:hAnsi="宋体"/>
                <w:szCs w:val="21"/>
              </w:rPr>
            </w:pPr>
            <w:r>
              <w:rPr>
                <w:rFonts w:ascii="宋体" w:hAnsi="宋体"/>
                <w:b/>
                <w:bCs/>
                <w:szCs w:val="21"/>
              </w:rPr>
              <w:t>禁 配 物：</w:t>
            </w:r>
            <w:r>
              <w:rPr>
                <w:rFonts w:ascii="宋体" w:hAnsi="宋体"/>
                <w:szCs w:val="21"/>
              </w:rPr>
              <w:t>强氧化剂、卤素。</w:t>
            </w:r>
          </w:p>
          <w:p>
            <w:pPr>
              <w:adjustRightInd w:val="0"/>
              <w:snapToGrid w:val="0"/>
              <w:jc w:val="left"/>
              <w:rPr>
                <w:rFonts w:ascii="宋体" w:hAnsi="宋体"/>
                <w:szCs w:val="21"/>
              </w:rPr>
            </w:pPr>
            <w:r>
              <w:rPr>
                <w:rFonts w:ascii="宋体" w:hAnsi="宋体"/>
                <w:b/>
                <w:bCs/>
                <w:szCs w:val="21"/>
              </w:rPr>
              <w:t>灭火方法：</w:t>
            </w:r>
            <w:r>
              <w:rPr>
                <w:rFonts w:ascii="宋体" w:hAnsi="宋体"/>
                <w:szCs w:val="21"/>
              </w:rPr>
              <w:t>消防人员须配戴防毒面具、穿全身消防服,在上风向灭火。尽可能将容器从火场移至空旷处，喷水保持容器冷却，直至灭火结束。处在火场中的容器若已变色或从安全泄压装置中产生声音，必须马上撤离。</w:t>
            </w:r>
          </w:p>
          <w:p>
            <w:pPr>
              <w:adjustRightInd w:val="0"/>
              <w:snapToGrid w:val="0"/>
              <w:jc w:val="left"/>
              <w:rPr>
                <w:rFonts w:ascii="宋体" w:hAnsi="宋体"/>
                <w:szCs w:val="21"/>
              </w:rPr>
            </w:pPr>
            <w:r>
              <w:rPr>
                <w:rFonts w:ascii="宋体" w:hAnsi="宋体"/>
                <w:b/>
                <w:bCs/>
                <w:szCs w:val="21"/>
              </w:rPr>
              <w:t>灭 火 剂：</w:t>
            </w:r>
            <w:r>
              <w:rPr>
                <w:rFonts w:ascii="宋体" w:hAnsi="宋体"/>
                <w:szCs w:val="21"/>
              </w:rPr>
              <w:t>泡沫、干粉、二氧化碳、砂土。用水灭火无效。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568" w:type="dxa"/>
            <w:noWrap w:val="0"/>
            <w:vAlign w:val="center"/>
          </w:tcPr>
          <w:p>
            <w:pPr>
              <w:adjustRightInd w:val="0"/>
              <w:snapToGrid w:val="0"/>
              <w:rPr>
                <w:rFonts w:ascii="宋体" w:hAnsi="宋体"/>
                <w:b/>
                <w:bCs/>
                <w:szCs w:val="21"/>
              </w:rPr>
            </w:pPr>
            <w:r>
              <w:rPr>
                <w:rFonts w:ascii="宋体" w:hAnsi="宋体"/>
                <w:b/>
                <w:bCs/>
                <w:szCs w:val="21"/>
              </w:rPr>
              <w:t>包</w:t>
            </w:r>
          </w:p>
          <w:p>
            <w:pPr>
              <w:adjustRightInd w:val="0"/>
              <w:snapToGrid w:val="0"/>
              <w:rPr>
                <w:rFonts w:ascii="宋体" w:hAnsi="宋体"/>
                <w:b/>
                <w:bCs/>
                <w:szCs w:val="21"/>
              </w:rPr>
            </w:pPr>
            <w:r>
              <w:rPr>
                <w:rFonts w:ascii="宋体" w:hAnsi="宋体"/>
                <w:b/>
                <w:bCs/>
                <w:szCs w:val="21"/>
              </w:rPr>
              <w:t>装</w:t>
            </w:r>
          </w:p>
          <w:p>
            <w:pPr>
              <w:adjustRightInd w:val="0"/>
              <w:snapToGrid w:val="0"/>
              <w:rPr>
                <w:rFonts w:ascii="宋体" w:hAnsi="宋体"/>
                <w:b/>
                <w:bCs/>
                <w:szCs w:val="21"/>
              </w:rPr>
            </w:pPr>
            <w:r>
              <w:rPr>
                <w:rFonts w:ascii="宋体" w:hAnsi="宋体"/>
                <w:b/>
                <w:bCs/>
                <w:szCs w:val="21"/>
              </w:rPr>
              <w:t>与</w:t>
            </w:r>
          </w:p>
          <w:p>
            <w:pPr>
              <w:adjustRightInd w:val="0"/>
              <w:snapToGrid w:val="0"/>
              <w:rPr>
                <w:rFonts w:ascii="宋体" w:hAnsi="宋体"/>
                <w:b/>
                <w:bCs/>
                <w:szCs w:val="21"/>
              </w:rPr>
            </w:pPr>
            <w:r>
              <w:rPr>
                <w:rFonts w:ascii="宋体" w:hAnsi="宋体"/>
                <w:b/>
                <w:bCs/>
                <w:szCs w:val="21"/>
              </w:rPr>
              <w:t>储</w:t>
            </w:r>
          </w:p>
          <w:p>
            <w:pPr>
              <w:adjustRightInd w:val="0"/>
              <w:snapToGrid w:val="0"/>
              <w:jc w:val="left"/>
              <w:rPr>
                <w:rFonts w:ascii="宋体" w:hAnsi="宋体"/>
                <w:b/>
                <w:bCs/>
                <w:szCs w:val="21"/>
              </w:rPr>
            </w:pPr>
            <w:r>
              <w:rPr>
                <w:rFonts w:ascii="宋体" w:hAnsi="宋体"/>
                <w:b/>
                <w:bCs/>
                <w:szCs w:val="21"/>
              </w:rPr>
              <w:t>运</w:t>
            </w:r>
          </w:p>
        </w:tc>
        <w:tc>
          <w:tcPr>
            <w:tcW w:w="7954" w:type="dxa"/>
            <w:noWrap w:val="0"/>
            <w:vAlign w:val="center"/>
          </w:tcPr>
          <w:p>
            <w:pPr>
              <w:adjustRightInd w:val="0"/>
              <w:snapToGrid w:val="0"/>
              <w:rPr>
                <w:rFonts w:ascii="宋体" w:hAnsi="宋体"/>
                <w:szCs w:val="21"/>
              </w:rPr>
            </w:pPr>
            <w:r>
              <w:rPr>
                <w:rFonts w:ascii="宋体" w:hAnsi="宋体"/>
                <w:b/>
                <w:bCs/>
                <w:szCs w:val="21"/>
              </w:rPr>
              <w:t>安全标志：</w:t>
            </w:r>
            <w:r>
              <w:rPr>
                <w:rFonts w:ascii="宋体" w:hAnsi="宋体"/>
                <w:szCs w:val="21"/>
              </w:rPr>
              <w:t xml:space="preserve">易燃液体        </w:t>
            </w:r>
            <w:r>
              <w:rPr>
                <w:rFonts w:ascii="宋体" w:hAnsi="宋体"/>
                <w:b/>
                <w:bCs/>
                <w:szCs w:val="21"/>
              </w:rPr>
              <w:t>包装类别：Ⅲ</w:t>
            </w:r>
            <w:r>
              <w:rPr>
                <w:rFonts w:ascii="宋体" w:hAnsi="宋体"/>
                <w:szCs w:val="21"/>
              </w:rPr>
              <w:t>类包装</w:t>
            </w:r>
          </w:p>
          <w:p>
            <w:pPr>
              <w:adjustRightInd w:val="0"/>
              <w:snapToGrid w:val="0"/>
              <w:rPr>
                <w:rFonts w:ascii="宋体" w:hAnsi="宋体"/>
                <w:szCs w:val="21"/>
              </w:rPr>
            </w:pPr>
            <w:r>
              <w:rPr>
                <w:rFonts w:ascii="宋体" w:hAnsi="宋体"/>
                <w:b/>
                <w:bCs/>
                <w:szCs w:val="21"/>
              </w:rPr>
              <w:t>储存注意事项：</w:t>
            </w:r>
            <w:r>
              <w:rPr>
                <w:rFonts w:ascii="宋体" w:hAnsi="宋体"/>
                <w:szCs w:val="21"/>
              </w:rPr>
              <w:t>储存于阴凉、通风的库房 。远离火种、热源。应与氧化剂、卤素分开存放,切忌混储。储存间内的照明、通风等设施应采用防爆型，开关设在库房外。禁止使用易产生火花的机械设备和工具。储备区应有泄漏应急处理设备和合适的收容材料</w:t>
            </w:r>
          </w:p>
          <w:p>
            <w:pPr>
              <w:adjustRightInd w:val="0"/>
              <w:snapToGrid w:val="0"/>
              <w:jc w:val="left"/>
              <w:rPr>
                <w:rFonts w:ascii="宋体" w:hAnsi="宋体"/>
                <w:b/>
                <w:bCs/>
                <w:szCs w:val="21"/>
              </w:rPr>
            </w:pPr>
            <w:r>
              <w:rPr>
                <w:rFonts w:ascii="宋体" w:hAnsi="宋体"/>
                <w:b/>
                <w:bCs/>
                <w:szCs w:val="21"/>
              </w:rPr>
              <w:t>运输注意事项：</w:t>
            </w:r>
            <w:r>
              <w:rPr>
                <w:rFonts w:ascii="宋体" w:hAnsi="宋体"/>
                <w:szCs w:val="21"/>
              </w:rPr>
              <w:t>运输前应先检查包装容器是否完整、密封，运输过程中要确保容器不泄漏、不倒塌、不坠落、不损坏。运输时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毒</w:t>
            </w:r>
          </w:p>
          <w:p>
            <w:pPr>
              <w:adjustRightInd w:val="0"/>
              <w:snapToGrid w:val="0"/>
              <w:jc w:val="center"/>
              <w:rPr>
                <w:rFonts w:ascii="宋体" w:hAnsi="宋体"/>
                <w:b/>
                <w:bCs/>
                <w:szCs w:val="21"/>
              </w:rPr>
            </w:pPr>
            <w:r>
              <w:rPr>
                <w:rFonts w:ascii="宋体" w:hAnsi="宋体"/>
                <w:b/>
                <w:bCs/>
                <w:szCs w:val="21"/>
              </w:rPr>
              <w:t>性</w:t>
            </w:r>
          </w:p>
          <w:p>
            <w:pPr>
              <w:adjustRightInd w:val="0"/>
              <w:snapToGrid w:val="0"/>
              <w:jc w:val="center"/>
              <w:rPr>
                <w:rFonts w:ascii="宋体" w:hAnsi="宋体"/>
                <w:b/>
                <w:bCs/>
                <w:szCs w:val="21"/>
              </w:rPr>
            </w:pPr>
            <w:r>
              <w:rPr>
                <w:rFonts w:ascii="宋体" w:hAnsi="宋体"/>
                <w:b/>
                <w:bCs/>
                <w:szCs w:val="21"/>
              </w:rPr>
              <w:t>及</w:t>
            </w:r>
          </w:p>
          <w:p>
            <w:pPr>
              <w:adjustRightInd w:val="0"/>
              <w:snapToGrid w:val="0"/>
              <w:jc w:val="center"/>
              <w:rPr>
                <w:rFonts w:ascii="宋体" w:hAnsi="宋体"/>
                <w:b/>
                <w:bCs/>
                <w:szCs w:val="21"/>
              </w:rPr>
            </w:pPr>
            <w:r>
              <w:rPr>
                <w:rFonts w:ascii="宋体" w:hAnsi="宋体"/>
                <w:b/>
                <w:bCs/>
                <w:szCs w:val="21"/>
              </w:rPr>
              <w:t>健</w:t>
            </w:r>
          </w:p>
          <w:p>
            <w:pPr>
              <w:adjustRightInd w:val="0"/>
              <w:snapToGrid w:val="0"/>
              <w:jc w:val="center"/>
              <w:rPr>
                <w:rFonts w:ascii="宋体" w:hAnsi="宋体"/>
                <w:b/>
                <w:bCs/>
                <w:szCs w:val="21"/>
              </w:rPr>
            </w:pPr>
            <w:r>
              <w:rPr>
                <w:rFonts w:ascii="宋体" w:hAnsi="宋体"/>
                <w:b/>
                <w:bCs/>
                <w:szCs w:val="21"/>
              </w:rPr>
              <w:t>康</w:t>
            </w:r>
          </w:p>
          <w:p>
            <w:pPr>
              <w:adjustRightInd w:val="0"/>
              <w:snapToGrid w:val="0"/>
              <w:jc w:val="center"/>
              <w:rPr>
                <w:rFonts w:ascii="宋体" w:hAnsi="宋体"/>
                <w:b/>
                <w:bCs/>
                <w:szCs w:val="21"/>
              </w:rPr>
            </w:pPr>
            <w:r>
              <w:rPr>
                <w:rFonts w:ascii="宋体" w:hAnsi="宋体"/>
                <w:b/>
                <w:bCs/>
                <w:szCs w:val="21"/>
              </w:rPr>
              <w:t>危</w:t>
            </w:r>
          </w:p>
          <w:p>
            <w:pPr>
              <w:adjustRightInd w:val="0"/>
              <w:snapToGrid w:val="0"/>
              <w:jc w:val="center"/>
              <w:rPr>
                <w:rFonts w:ascii="宋体" w:hAnsi="宋体"/>
                <w:b/>
                <w:bCs/>
                <w:szCs w:val="21"/>
              </w:rPr>
            </w:pPr>
            <w:r>
              <w:rPr>
                <w:rFonts w:ascii="宋体" w:hAnsi="宋体"/>
                <w:b/>
                <w:bCs/>
                <w:szCs w:val="21"/>
              </w:rPr>
              <w:t>害</w:t>
            </w:r>
          </w:p>
          <w:p>
            <w:pPr>
              <w:adjustRightInd w:val="0"/>
              <w:snapToGrid w:val="0"/>
              <w:jc w:val="center"/>
              <w:rPr>
                <w:rFonts w:ascii="宋体" w:hAnsi="宋体"/>
                <w:szCs w:val="21"/>
              </w:rPr>
            </w:pPr>
            <w:r>
              <w:rPr>
                <w:rFonts w:ascii="宋体" w:hAnsi="宋体"/>
                <w:b/>
                <w:bCs/>
                <w:szCs w:val="21"/>
              </w:rPr>
              <w:t>性</w:t>
            </w:r>
          </w:p>
        </w:tc>
        <w:tc>
          <w:tcPr>
            <w:tcW w:w="7954" w:type="dxa"/>
            <w:noWrap w:val="0"/>
            <w:vAlign w:val="center"/>
          </w:tcPr>
          <w:p>
            <w:pPr>
              <w:adjustRightInd w:val="0"/>
              <w:snapToGrid w:val="0"/>
              <w:rPr>
                <w:rFonts w:ascii="宋体" w:hAnsi="宋体"/>
                <w:szCs w:val="21"/>
              </w:rPr>
            </w:pPr>
            <w:r>
              <w:rPr>
                <w:rFonts w:ascii="宋体" w:hAnsi="宋体"/>
                <w:b/>
                <w:bCs/>
                <w:szCs w:val="21"/>
              </w:rPr>
              <w:t>接触限值：</w:t>
            </w:r>
            <w:r>
              <w:rPr>
                <w:rFonts w:ascii="宋体" w:hAnsi="宋体"/>
                <w:szCs w:val="21"/>
              </w:rPr>
              <w:t>中国MAC（mg/m</w:t>
            </w:r>
            <w:r>
              <w:rPr>
                <w:rFonts w:ascii="宋体" w:hAnsi="宋体"/>
                <w:szCs w:val="21"/>
                <w:vertAlign w:val="superscript"/>
              </w:rPr>
              <w:t>3</w:t>
            </w:r>
            <w:r>
              <w:rPr>
                <w:rFonts w:ascii="宋体" w:hAnsi="宋体"/>
                <w:szCs w:val="21"/>
              </w:rPr>
              <w:t>）：无资料。</w:t>
            </w:r>
          </w:p>
          <w:p>
            <w:pPr>
              <w:adjustRightInd w:val="0"/>
              <w:snapToGrid w:val="0"/>
              <w:rPr>
                <w:rFonts w:ascii="宋体" w:hAnsi="宋体"/>
                <w:szCs w:val="21"/>
              </w:rPr>
            </w:pPr>
            <w:r>
              <w:rPr>
                <w:rFonts w:ascii="宋体" w:hAnsi="宋体"/>
                <w:b/>
                <w:bCs/>
                <w:szCs w:val="21"/>
              </w:rPr>
              <w:t>侵入途径：</w:t>
            </w:r>
            <w:r>
              <w:rPr>
                <w:rFonts w:ascii="宋体" w:hAnsi="宋体"/>
                <w:szCs w:val="21"/>
              </w:rPr>
              <w:t>吸入、食入、经皮肤吸收。</w:t>
            </w:r>
          </w:p>
          <w:p>
            <w:pPr>
              <w:adjustRightInd w:val="0"/>
              <w:snapToGrid w:val="0"/>
              <w:rPr>
                <w:rFonts w:ascii="宋体" w:hAnsi="宋体"/>
                <w:szCs w:val="21"/>
              </w:rPr>
            </w:pPr>
            <w:r>
              <w:rPr>
                <w:rFonts w:ascii="宋体" w:hAnsi="宋体"/>
                <w:b/>
                <w:bCs/>
                <w:szCs w:val="21"/>
              </w:rPr>
              <w:t>急性毒性：</w:t>
            </w:r>
            <w:r>
              <w:rPr>
                <w:rFonts w:ascii="宋体" w:hAnsi="宋体"/>
                <w:szCs w:val="21"/>
              </w:rPr>
              <w:t>LD</w:t>
            </w:r>
            <w:r>
              <w:rPr>
                <w:rFonts w:ascii="宋体" w:hAnsi="宋体"/>
                <w:szCs w:val="21"/>
                <w:vertAlign w:val="subscript"/>
              </w:rPr>
              <w:t>50</w:t>
            </w:r>
            <w:r>
              <w:rPr>
                <w:rFonts w:ascii="宋体" w:hAnsi="宋体"/>
                <w:szCs w:val="21"/>
              </w:rPr>
              <w:t xml:space="preserve">：无资料 </w:t>
            </w:r>
          </w:p>
          <w:p>
            <w:pPr>
              <w:adjustRightInd w:val="0"/>
              <w:snapToGrid w:val="0"/>
              <w:rPr>
                <w:rFonts w:ascii="宋体" w:hAnsi="宋体"/>
                <w:szCs w:val="21"/>
              </w:rPr>
            </w:pPr>
            <w:r>
              <w:rPr>
                <w:rFonts w:ascii="宋体" w:hAnsi="宋体"/>
                <w:b/>
                <w:bCs/>
                <w:szCs w:val="21"/>
              </w:rPr>
              <w:t>健康危害：</w:t>
            </w:r>
            <w:r>
              <w:rPr>
                <w:rFonts w:ascii="宋体" w:hAnsi="宋体"/>
                <w:szCs w:val="21"/>
              </w:rPr>
              <w:t>皮肤接触可为主要吸收途径，可致急性肾脏损害。柴油可引起接触性皮炎、油性痤疮。吸入其雾滴或液体呛入可引起吸入性肺炎。能经胎盘进入胎儿血液中。柴油废气可引起眼、鼻刺激症状,头晕及头痛。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急</w:t>
            </w:r>
          </w:p>
          <w:p>
            <w:pPr>
              <w:adjustRightInd w:val="0"/>
              <w:snapToGrid w:val="0"/>
              <w:jc w:val="center"/>
              <w:rPr>
                <w:rFonts w:ascii="宋体" w:hAnsi="宋体"/>
                <w:b/>
                <w:bCs/>
                <w:szCs w:val="21"/>
              </w:rPr>
            </w:pPr>
            <w:r>
              <w:rPr>
                <w:rFonts w:ascii="宋体" w:hAnsi="宋体"/>
                <w:b/>
                <w:bCs/>
                <w:szCs w:val="21"/>
              </w:rPr>
              <w:t>救</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皮肤接触：</w:t>
            </w:r>
            <w:r>
              <w:rPr>
                <w:rFonts w:ascii="宋体" w:hAnsi="宋体"/>
                <w:szCs w:val="21"/>
              </w:rPr>
              <w:t>立即脱去被污染的衣着，用肥皂水和清水彻底冲洗皮肤。就医。</w:t>
            </w:r>
          </w:p>
          <w:p>
            <w:pPr>
              <w:adjustRightInd w:val="0"/>
              <w:snapToGrid w:val="0"/>
              <w:rPr>
                <w:rFonts w:ascii="宋体" w:hAnsi="宋体"/>
                <w:szCs w:val="21"/>
              </w:rPr>
            </w:pPr>
            <w:r>
              <w:rPr>
                <w:rFonts w:ascii="宋体" w:hAnsi="宋体"/>
                <w:b/>
                <w:bCs/>
                <w:szCs w:val="21"/>
              </w:rPr>
              <w:t>眼睛接触：</w:t>
            </w:r>
            <w:r>
              <w:rPr>
                <w:rFonts w:ascii="宋体" w:hAnsi="宋体"/>
                <w:szCs w:val="21"/>
              </w:rPr>
              <w:t>立即提起眼睑，用大量流动清水或生理盐水彻底冲洗至少15分钟。就医。</w:t>
            </w:r>
          </w:p>
          <w:p>
            <w:pPr>
              <w:adjustRightInd w:val="0"/>
              <w:snapToGrid w:val="0"/>
              <w:rPr>
                <w:rFonts w:ascii="宋体" w:hAnsi="宋体"/>
                <w:szCs w:val="21"/>
              </w:rPr>
            </w:pPr>
            <w:r>
              <w:rPr>
                <w:rFonts w:ascii="宋体" w:hAnsi="宋体"/>
                <w:b/>
                <w:bCs/>
                <w:szCs w:val="21"/>
              </w:rPr>
              <w:t>吸入：</w:t>
            </w:r>
            <w:r>
              <w:rPr>
                <w:rFonts w:ascii="宋体" w:hAnsi="宋体"/>
                <w:szCs w:val="21"/>
              </w:rPr>
              <w:t>迅速脱离现场至空气新鲜处。保持呼吸道通畅。如呼吸困难，给输氧。如呼吸停止，立即进行人工呼吸。就医。</w:t>
            </w:r>
          </w:p>
          <w:p>
            <w:pPr>
              <w:adjustRightInd w:val="0"/>
              <w:snapToGrid w:val="0"/>
              <w:rPr>
                <w:rFonts w:ascii="宋体" w:hAnsi="宋体"/>
                <w:szCs w:val="21"/>
              </w:rPr>
            </w:pPr>
            <w:r>
              <w:rPr>
                <w:rFonts w:ascii="宋体" w:hAnsi="宋体"/>
                <w:b/>
                <w:bCs/>
                <w:szCs w:val="21"/>
              </w:rPr>
              <w:t>食入：</w:t>
            </w:r>
            <w:r>
              <w:rPr>
                <w:rFonts w:ascii="宋体" w:hAnsi="宋体"/>
                <w:szCs w:val="21"/>
              </w:rPr>
              <w:t>给饮牛奶或用植物油洗胃和灌肠。就医。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防</w:t>
            </w:r>
          </w:p>
          <w:p>
            <w:pPr>
              <w:adjustRightInd w:val="0"/>
              <w:snapToGrid w:val="0"/>
              <w:jc w:val="center"/>
              <w:rPr>
                <w:rFonts w:ascii="宋体" w:hAnsi="宋体"/>
                <w:b/>
                <w:bCs/>
                <w:szCs w:val="21"/>
              </w:rPr>
            </w:pPr>
            <w:r>
              <w:rPr>
                <w:rFonts w:ascii="宋体" w:hAnsi="宋体"/>
                <w:b/>
                <w:bCs/>
                <w:szCs w:val="21"/>
              </w:rPr>
              <w:t>护</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工程控制：</w:t>
            </w:r>
            <w:r>
              <w:rPr>
                <w:rFonts w:ascii="宋体" w:hAnsi="宋体"/>
                <w:szCs w:val="21"/>
              </w:rPr>
              <w:t>生产过程密闭操作，注意通风。</w:t>
            </w:r>
          </w:p>
          <w:p>
            <w:pPr>
              <w:adjustRightInd w:val="0"/>
              <w:snapToGrid w:val="0"/>
              <w:rPr>
                <w:rFonts w:ascii="宋体" w:hAnsi="宋体"/>
                <w:szCs w:val="21"/>
              </w:rPr>
            </w:pPr>
            <w:r>
              <w:rPr>
                <w:rFonts w:ascii="宋体" w:hAnsi="宋体"/>
                <w:b/>
                <w:bCs/>
                <w:szCs w:val="21"/>
              </w:rPr>
              <w:t>呼吸系统防护：</w:t>
            </w:r>
            <w:r>
              <w:rPr>
                <w:rFonts w:ascii="宋体" w:hAnsi="宋体"/>
                <w:szCs w:val="21"/>
              </w:rPr>
              <w:t>空气中浓度超标时，建议佩戴自吸过滤式防毒面具(半面罩)。紧急事态抢救或撤离时,应佩戴空气呼吸器。</w:t>
            </w:r>
          </w:p>
          <w:p>
            <w:pPr>
              <w:adjustRightInd w:val="0"/>
              <w:snapToGrid w:val="0"/>
              <w:rPr>
                <w:rFonts w:ascii="宋体" w:hAnsi="宋体"/>
                <w:szCs w:val="21"/>
              </w:rPr>
            </w:pPr>
            <w:r>
              <w:rPr>
                <w:rFonts w:ascii="宋体" w:hAnsi="宋体"/>
                <w:b/>
                <w:bCs/>
                <w:szCs w:val="21"/>
              </w:rPr>
              <w:t>眼睛防护：</w:t>
            </w:r>
            <w:r>
              <w:rPr>
                <w:rFonts w:ascii="宋体" w:hAnsi="宋体"/>
                <w:szCs w:val="21"/>
              </w:rPr>
              <w:t>必要时戴化学安全防护眼镜。</w:t>
            </w:r>
          </w:p>
          <w:p>
            <w:pPr>
              <w:adjustRightInd w:val="0"/>
              <w:snapToGrid w:val="0"/>
              <w:rPr>
                <w:rFonts w:ascii="宋体" w:hAnsi="宋体"/>
                <w:szCs w:val="21"/>
              </w:rPr>
            </w:pPr>
            <w:r>
              <w:rPr>
                <w:rFonts w:ascii="宋体" w:hAnsi="宋体"/>
                <w:b/>
                <w:bCs/>
                <w:szCs w:val="21"/>
              </w:rPr>
              <w:t>身体防护：</w:t>
            </w:r>
            <w:r>
              <w:rPr>
                <w:rFonts w:ascii="宋体" w:hAnsi="宋体"/>
                <w:szCs w:val="21"/>
              </w:rPr>
              <w:t>穿一般作业工作服。</w:t>
            </w:r>
          </w:p>
          <w:p>
            <w:pPr>
              <w:adjustRightInd w:val="0"/>
              <w:snapToGrid w:val="0"/>
              <w:rPr>
                <w:rFonts w:ascii="宋体" w:hAnsi="宋体"/>
                <w:szCs w:val="21"/>
              </w:rPr>
            </w:pPr>
            <w:r>
              <w:rPr>
                <w:rFonts w:ascii="宋体" w:hAnsi="宋体"/>
                <w:b/>
                <w:bCs/>
                <w:szCs w:val="21"/>
              </w:rPr>
              <w:t>手 防 护：</w:t>
            </w:r>
            <w:r>
              <w:rPr>
                <w:rFonts w:ascii="宋体" w:hAnsi="宋体"/>
                <w:szCs w:val="21"/>
              </w:rPr>
              <w:t>戴橡胶耐油手套。</w:t>
            </w:r>
          </w:p>
          <w:p>
            <w:pPr>
              <w:adjustRightInd w:val="0"/>
              <w:snapToGrid w:val="0"/>
              <w:rPr>
                <w:rFonts w:ascii="宋体" w:hAnsi="宋体"/>
                <w:szCs w:val="21"/>
              </w:rPr>
            </w:pPr>
            <w:r>
              <w:rPr>
                <w:rFonts w:ascii="宋体" w:hAnsi="宋体"/>
                <w:b/>
                <w:bCs/>
                <w:szCs w:val="21"/>
              </w:rPr>
              <w:t>其它防护：</w:t>
            </w:r>
            <w:r>
              <w:rPr>
                <w:rFonts w:ascii="宋体" w:hAnsi="宋体"/>
                <w:szCs w:val="21"/>
              </w:rPr>
              <w:t>工作现场禁止吸烟。避免长期反复接触。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泄</w:t>
            </w:r>
          </w:p>
          <w:p>
            <w:pPr>
              <w:adjustRightInd w:val="0"/>
              <w:snapToGrid w:val="0"/>
              <w:jc w:val="center"/>
              <w:rPr>
                <w:rFonts w:ascii="宋体" w:hAnsi="宋体"/>
                <w:b/>
                <w:bCs/>
                <w:szCs w:val="21"/>
              </w:rPr>
            </w:pPr>
            <w:r>
              <w:rPr>
                <w:rFonts w:ascii="宋体" w:hAnsi="宋体"/>
                <w:b/>
                <w:bCs/>
                <w:szCs w:val="21"/>
              </w:rPr>
              <w:t>漏</w:t>
            </w:r>
          </w:p>
          <w:p>
            <w:pPr>
              <w:adjustRightInd w:val="0"/>
              <w:snapToGrid w:val="0"/>
              <w:jc w:val="center"/>
              <w:rPr>
                <w:rFonts w:ascii="宋体" w:hAnsi="宋体"/>
                <w:b/>
                <w:bCs/>
                <w:szCs w:val="21"/>
              </w:rPr>
            </w:pPr>
            <w:r>
              <w:rPr>
                <w:rFonts w:ascii="宋体" w:hAnsi="宋体"/>
                <w:b/>
                <w:bCs/>
                <w:szCs w:val="21"/>
              </w:rPr>
              <w:t>处</w:t>
            </w:r>
          </w:p>
          <w:p>
            <w:pPr>
              <w:adjustRightInd w:val="0"/>
              <w:snapToGrid w:val="0"/>
              <w:jc w:val="center"/>
              <w:rPr>
                <w:rFonts w:ascii="宋体" w:hAnsi="宋体"/>
                <w:szCs w:val="21"/>
              </w:rPr>
            </w:pPr>
            <w:r>
              <w:rPr>
                <w:rFonts w:ascii="宋体" w:hAnsi="宋体"/>
                <w:b/>
                <w:bCs/>
                <w:szCs w:val="21"/>
              </w:rPr>
              <w:t>理</w:t>
            </w:r>
          </w:p>
        </w:tc>
        <w:tc>
          <w:tcPr>
            <w:tcW w:w="7954" w:type="dxa"/>
            <w:noWrap w:val="0"/>
            <w:vAlign w:val="center"/>
          </w:tcPr>
          <w:p>
            <w:pPr>
              <w:adjustRightInd w:val="0"/>
              <w:snapToGrid w:val="0"/>
              <w:rPr>
                <w:rFonts w:ascii="宋体" w:hAnsi="宋体"/>
                <w:szCs w:val="21"/>
              </w:rPr>
            </w:pPr>
            <w:r>
              <w:rPr>
                <w:rFonts w:ascii="宋体" w:hAnsi="宋体"/>
                <w:b/>
                <w:bCs/>
                <w:szCs w:val="21"/>
              </w:rPr>
              <w:t>应急行动：</w:t>
            </w:r>
            <w:r>
              <w:rPr>
                <w:rFonts w:ascii="宋体" w:hAnsi="宋体"/>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防爆泵转移至槽车或专用收集容器内，回收或运至废物处理场所处置。</w:t>
            </w:r>
          </w:p>
        </w:tc>
      </w:tr>
    </w:tbl>
    <w:p>
      <w:pPr>
        <w:adjustRightInd w:val="0"/>
        <w:snapToGrid w:val="0"/>
        <w:spacing w:line="360" w:lineRule="auto"/>
        <w:ind w:firstLine="560" w:firstLineChars="200"/>
        <w:rPr>
          <w:rFonts w:hint="eastAsia"/>
          <w:sz w:val="28"/>
          <w:szCs w:val="28"/>
        </w:rPr>
      </w:pPr>
    </w:p>
    <w:p>
      <w:pPr>
        <w:pStyle w:val="8"/>
        <w:spacing w:line="360" w:lineRule="auto"/>
        <w:ind w:firstLine="0" w:firstLineChars="0"/>
        <w:outlineLvl w:val="2"/>
        <w:rPr>
          <w:rFonts w:hint="eastAsia" w:ascii="宋体" w:hAnsi="宋体"/>
          <w:b/>
          <w:snapToGrid w:val="0"/>
          <w:kern w:val="0"/>
          <w:sz w:val="28"/>
          <w:szCs w:val="28"/>
          <w:lang w:val="en-US" w:eastAsia="zh-CN"/>
        </w:rPr>
      </w:pPr>
      <w:bookmarkStart w:id="101" w:name="_Toc3554"/>
      <w:bookmarkStart w:id="102" w:name="_Toc475363997"/>
      <w:bookmarkStart w:id="103" w:name="_Toc513735551"/>
      <w:bookmarkStart w:id="104" w:name="_Toc515659434"/>
      <w:bookmarkStart w:id="105" w:name="_Toc511994825"/>
      <w:r>
        <w:rPr>
          <w:rFonts w:hint="eastAsia" w:ascii="宋体" w:hAnsi="宋体"/>
          <w:b/>
          <w:snapToGrid w:val="0"/>
          <w:kern w:val="0"/>
          <w:sz w:val="28"/>
          <w:szCs w:val="28"/>
          <w:lang w:val="en-US" w:eastAsia="zh-CN"/>
        </w:rPr>
        <w:t>3.4.7 氧气安全数据表</w:t>
      </w:r>
      <w:bookmarkEnd w:id="101"/>
      <w:bookmarkEnd w:id="102"/>
      <w:bookmarkEnd w:id="103"/>
      <w:bookmarkEnd w:id="104"/>
    </w:p>
    <w:p>
      <w:pPr>
        <w:pStyle w:val="32"/>
        <w:rPr>
          <w:rFonts w:eastAsia="黑体"/>
          <w:sz w:val="24"/>
          <w:szCs w:val="24"/>
        </w:rPr>
      </w:pPr>
      <w:r>
        <w:rPr>
          <w:rFonts w:eastAsia="黑体"/>
          <w:sz w:val="24"/>
          <w:szCs w:val="24"/>
        </w:rPr>
        <w:t>表3-</w:t>
      </w:r>
      <w:r>
        <w:rPr>
          <w:rFonts w:hint="eastAsia" w:eastAsia="黑体"/>
          <w:sz w:val="24"/>
          <w:szCs w:val="24"/>
        </w:rPr>
        <w:t>2</w:t>
      </w:r>
      <w:r>
        <w:rPr>
          <w:rFonts w:eastAsia="黑体"/>
          <w:sz w:val="24"/>
          <w:szCs w:val="24"/>
        </w:rPr>
        <w:t xml:space="preserve"> 氧气安全数据表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中文名：氧气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英文名：oxygen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CAS号：7782-44-7</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2528</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主要用途：用于切割、焊接金属，制造医药、染料、炸药等。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w:t>
            </w:r>
          </w:p>
          <w:p>
            <w:pPr>
              <w:spacing w:line="260" w:lineRule="exact"/>
              <w:rPr>
                <w:rFonts w:ascii="宋体" w:hAnsi="宋体"/>
                <w:szCs w:val="21"/>
              </w:rPr>
            </w:pPr>
            <w:r>
              <w:rPr>
                <w:rFonts w:ascii="宋体" w:hAnsi="宋体"/>
                <w:szCs w:val="21"/>
              </w:rPr>
              <w:t>1.14（-183℃）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饱和蒸汽压(kPa)：506.62（-164℃）</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临界温度(℃)：-118.4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1.43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临界压力(MPa)：5.08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熔点：-218.8</w:t>
            </w:r>
          </w:p>
        </w:tc>
        <w:tc>
          <w:tcPr>
            <w:tcW w:w="4076" w:type="dxa"/>
            <w:gridSpan w:val="5"/>
            <w:noWrap w:val="0"/>
            <w:vAlign w:val="center"/>
          </w:tcPr>
          <w:p>
            <w:pPr>
              <w:spacing w:line="260" w:lineRule="exact"/>
              <w:rPr>
                <w:rFonts w:ascii="宋体" w:hAnsi="宋体"/>
                <w:szCs w:val="21"/>
              </w:rPr>
            </w:pPr>
            <w:r>
              <w:rPr>
                <w:rFonts w:ascii="宋体" w:hAnsi="宋体"/>
                <w:szCs w:val="21"/>
              </w:rPr>
              <w:t>沸点：-183.1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溶解性：溶于水、乙醇。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危险特性：是易燃物、可燃物燃烧爆炸的基本要素之一, 能氧化大多数活性物质。与易燃物（如乙炔、甲烷等）形成有爆炸性的混合物。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燃烧分解产物：无数据</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稳定性：无数据</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聚合危害：无数据</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禁忌物：易燃或可燃物、活性金属粉末、乙炔。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灭火方法：用水保持容器冷却，以防受热爆炸，急剧助长火势。迅速切断气源，用水喷淋保护切断气源的人员，然后根据着火原因选择适当灭火剂灭火。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危险性类别：第2.2类 不燃气体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燃爆危险：本品助燃。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69"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危险货物包装标志：无数据</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钢质气瓶包装。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工程控制：密闭操作。提供良好的自然通风条件。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身体防护：穿一般作业工作服。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其它防护：避免高浓度吸入。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bl>
    <w:p>
      <w:bookmarkStart w:id="106" w:name="_Toc321298550"/>
    </w:p>
    <w:p>
      <w:pPr>
        <w:pStyle w:val="8"/>
        <w:spacing w:line="360" w:lineRule="auto"/>
        <w:ind w:firstLine="0" w:firstLineChars="0"/>
        <w:outlineLvl w:val="2"/>
        <w:rPr>
          <w:rFonts w:hint="eastAsia" w:ascii="宋体" w:hAnsi="宋体"/>
          <w:b/>
          <w:snapToGrid w:val="0"/>
          <w:kern w:val="0"/>
          <w:sz w:val="28"/>
          <w:szCs w:val="28"/>
          <w:lang w:val="en-US" w:eastAsia="zh-CN"/>
        </w:rPr>
      </w:pPr>
      <w:bookmarkStart w:id="107" w:name="_Toc475363998"/>
      <w:bookmarkStart w:id="108" w:name="_Toc513735552"/>
      <w:bookmarkStart w:id="109" w:name="_Toc515659435"/>
      <w:bookmarkStart w:id="110" w:name="_Toc23454"/>
      <w:r>
        <w:rPr>
          <w:rFonts w:hint="eastAsia" w:ascii="宋体" w:hAnsi="宋体"/>
          <w:b/>
          <w:snapToGrid w:val="0"/>
          <w:kern w:val="0"/>
          <w:sz w:val="28"/>
          <w:szCs w:val="28"/>
          <w:lang w:val="en-US" w:eastAsia="zh-CN"/>
        </w:rPr>
        <w:t>3.4.8 乙炔安全数据表</w:t>
      </w:r>
      <w:bookmarkEnd w:id="106"/>
      <w:bookmarkEnd w:id="107"/>
      <w:bookmarkEnd w:id="108"/>
      <w:bookmarkEnd w:id="109"/>
      <w:bookmarkEnd w:id="110"/>
    </w:p>
    <w:p>
      <w:pPr>
        <w:pStyle w:val="32"/>
        <w:rPr>
          <w:rFonts w:eastAsia="黑体"/>
          <w:sz w:val="24"/>
          <w:szCs w:val="24"/>
        </w:rPr>
      </w:pPr>
      <w:r>
        <w:rPr>
          <w:rFonts w:hint="eastAsia" w:eastAsia="黑体"/>
          <w:sz w:val="24"/>
          <w:szCs w:val="24"/>
        </w:rPr>
        <w:t>表</w:t>
      </w:r>
      <w:r>
        <w:rPr>
          <w:rFonts w:eastAsia="黑体"/>
          <w:sz w:val="24"/>
          <w:szCs w:val="24"/>
        </w:rPr>
        <w:t>3-</w:t>
      </w:r>
      <w:r>
        <w:rPr>
          <w:rFonts w:hint="eastAsia" w:eastAsia="黑体"/>
          <w:sz w:val="24"/>
          <w:szCs w:val="24"/>
        </w:rPr>
        <w:t>3</w:t>
      </w:r>
      <w:r>
        <w:rPr>
          <w:rFonts w:eastAsia="黑体"/>
          <w:sz w:val="24"/>
          <w:szCs w:val="24"/>
        </w:rPr>
        <w:t xml:space="preserve"> 乙炔安全数据表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 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中文名：乙炔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英文名：acetylene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CAS号：74-86-2</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2629</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危险货物编号：21024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性状：无色无臭气体，工业品有使人不愉快的大蒜气味。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主要用途：是有机合成的重要原料之一。亦是合成橡胶、合成纤维和塑料的单体，也用于氧炔焊割。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相对密度(水=1)：0.62</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饱和蒸汽压(kPa)：4053（16.8℃）</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临界温度(℃)：35.2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0.91</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临界压力(MPa)：6.14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熔点：-81.8（119kPa）</w:t>
            </w:r>
          </w:p>
        </w:tc>
        <w:tc>
          <w:tcPr>
            <w:tcW w:w="4076" w:type="dxa"/>
            <w:gridSpan w:val="5"/>
            <w:noWrap w:val="0"/>
            <w:vAlign w:val="center"/>
          </w:tcPr>
          <w:p>
            <w:pPr>
              <w:spacing w:line="260" w:lineRule="exact"/>
              <w:rPr>
                <w:rFonts w:ascii="宋体" w:hAnsi="宋体"/>
                <w:szCs w:val="21"/>
              </w:rPr>
            </w:pPr>
            <w:r>
              <w:rPr>
                <w:rFonts w:ascii="宋体" w:hAnsi="宋体"/>
                <w:szCs w:val="21"/>
              </w:rPr>
              <w:t>沸点：-83.8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溶解性：微溶于水、乙醇，溶于丙酮、氯仿、苯。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危险特性：极易燃烧爆炸。与空气混合能形成爆炸性混合物，遇明火、高热能引起燃烧爆炸。与氧化剂接触猛烈反应。与氟、氯等接触会发生剧烈的化学反应。能与铜、银、汞等的化合物生成爆炸性物质。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燃烧分解产物：一氧化碳、二氧化碳。</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稳定性：稳定</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禁忌物：强氧化剂、强酸、卤素。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灭火方法：切断气源。若不能切断气源，则不允许熄灭泄漏处的火焰。喷水冷却容器，可能的话将容器从火场移至空旷处。灭火剂：雾状水、泡沫、二氧化碳、干粉。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危险性类别：第2.1类 易燃气体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39"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健康危害：具有弱麻醉作用。高浓度吸入可引起单纯窒息。 急性中毒：暴露于20％浓度时，出现明显缺氧症状；吸入高浓度，初期兴奋、多语、哭笑不安，后出现眩晕、头痛、恶心、呕吐、共济失调、嗜睡；严重者昏迷、紫绀、瞳孔对光反应消失、脉弱而不齐。当混有磷化氢、硫化氢时，毒性增大，应予以注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燃爆危险：本品易燃，具窒息性。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危险货物包装标志：易燃气体</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乙炔的包装法通常是溶解在溶剂及多孔物中, 装入钢瓶内。储存于阴凉、通风的库房。远离火种、热源。库温不宜超过30℃。应与氧化剂、酸类、卤素分开存放，切忌混储。采用防爆型照明、通风设施。禁止使用易产生火花的机械设备和工具。储区应备有泄漏应急处理设备。</w:t>
            </w:r>
          </w:p>
          <w:p>
            <w:pPr>
              <w:spacing w:line="260" w:lineRule="exact"/>
              <w:rPr>
                <w:rFonts w:ascii="宋体" w:hAnsi="宋体"/>
                <w:szCs w:val="21"/>
              </w:rPr>
            </w:pPr>
            <w:r>
              <w:rPr>
                <w:rFonts w:ascii="宋体" w:hAnsi="宋体"/>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等混装混运。夏季应早晚运输，防止日光曝晒。中途停留时应远离火种、热源。公路运输时要按规定路线行驶，勿在居民区和人口稠密区停留。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吸入：迅速脱离现场至空气新鲜处。保持呼吸道通畅。如呼吸困难，给输氧。如呼吸停止，立即进行人工呼吸。就医。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工程控制：生产过程密闭，全面通风。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呼吸系统防护：一般不需要特殊防护，但建议特殊情况下，佩戴自吸过滤式防毒面具（半面罩）。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身体防护：穿防静电工作服。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tc>
      </w:tr>
    </w:tbl>
    <w:p/>
    <w:p>
      <w:pPr>
        <w:pStyle w:val="8"/>
        <w:spacing w:line="360" w:lineRule="auto"/>
        <w:ind w:firstLine="0" w:firstLineChars="0"/>
        <w:outlineLvl w:val="1"/>
        <w:rPr>
          <w:rFonts w:hint="eastAsia" w:ascii="黑体" w:eastAsia="黑体"/>
          <w:b/>
          <w:snapToGrid w:val="0"/>
          <w:kern w:val="0"/>
          <w:sz w:val="32"/>
          <w:szCs w:val="32"/>
        </w:rPr>
      </w:pPr>
      <w:bookmarkStart w:id="111" w:name="_Toc31155"/>
      <w:bookmarkStart w:id="112" w:name="_Toc515659436"/>
      <w:r>
        <w:rPr>
          <w:rFonts w:hint="eastAsia" w:ascii="黑体" w:eastAsia="黑体"/>
          <w:b/>
          <w:snapToGrid w:val="0"/>
          <w:kern w:val="0"/>
          <w:sz w:val="32"/>
          <w:szCs w:val="32"/>
        </w:rPr>
        <w:t>3.5 生产过程危险有害因素分析和辨识</w:t>
      </w:r>
      <w:bookmarkEnd w:id="105"/>
      <w:bookmarkEnd w:id="111"/>
      <w:bookmarkEnd w:id="112"/>
    </w:p>
    <w:p>
      <w:pPr>
        <w:pStyle w:val="2"/>
      </w:pPr>
    </w:p>
    <w:p>
      <w:pPr>
        <w:pStyle w:val="8"/>
        <w:spacing w:line="360" w:lineRule="auto"/>
        <w:ind w:firstLine="0" w:firstLineChars="0"/>
        <w:outlineLvl w:val="1"/>
        <w:rPr>
          <w:rFonts w:hint="eastAsia" w:ascii="黑体" w:eastAsia="黑体"/>
          <w:b/>
          <w:snapToGrid w:val="0"/>
          <w:kern w:val="0"/>
          <w:sz w:val="32"/>
          <w:szCs w:val="32"/>
        </w:rPr>
      </w:pPr>
      <w:bookmarkStart w:id="113" w:name="_Toc514342847"/>
      <w:bookmarkStart w:id="114" w:name="_Toc356380979"/>
      <w:bookmarkStart w:id="115" w:name="_Toc345593160"/>
      <w:bookmarkStart w:id="116" w:name="_Toc356401492"/>
      <w:bookmarkStart w:id="117" w:name="_Toc332350851"/>
      <w:bookmarkStart w:id="118" w:name="_Toc16011"/>
      <w:bookmarkStart w:id="119" w:name="_Toc480804395"/>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5 生产过程危险有害因素分析和辨识</w:t>
      </w:r>
      <w:bookmarkEnd w:id="113"/>
      <w:bookmarkEnd w:id="114"/>
      <w:bookmarkEnd w:id="115"/>
      <w:bookmarkEnd w:id="116"/>
      <w:bookmarkEnd w:id="117"/>
      <w:bookmarkEnd w:id="118"/>
      <w:bookmarkEnd w:id="119"/>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根据现场检查及工艺过程分析，生产过程中危险有害因素分为：</w:t>
      </w:r>
    </w:p>
    <w:p>
      <w:pPr>
        <w:pStyle w:val="8"/>
        <w:spacing w:line="360" w:lineRule="auto"/>
        <w:ind w:firstLine="0" w:firstLineChars="0"/>
        <w:outlineLvl w:val="2"/>
        <w:rPr>
          <w:rFonts w:hint="eastAsia" w:ascii="宋体" w:hAnsi="宋体"/>
          <w:b/>
          <w:snapToGrid w:val="0"/>
          <w:kern w:val="0"/>
          <w:sz w:val="28"/>
          <w:szCs w:val="28"/>
        </w:rPr>
      </w:pPr>
      <w:bookmarkStart w:id="120" w:name="_Toc480804396"/>
      <w:bookmarkStart w:id="121" w:name="_Toc356380982"/>
      <w:bookmarkStart w:id="122" w:name="_Toc13295"/>
      <w:bookmarkStart w:id="123" w:name="_Toc356401493"/>
      <w:bookmarkStart w:id="124" w:name="_Toc332350854"/>
      <w:bookmarkStart w:id="125" w:name="_Toc51434284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5.1 车辆事故</w:t>
      </w:r>
      <w:bookmarkEnd w:id="120"/>
      <w:bookmarkEnd w:id="121"/>
      <w:bookmarkEnd w:id="122"/>
      <w:bookmarkEnd w:id="123"/>
      <w:bookmarkEnd w:id="124"/>
      <w:bookmarkEnd w:id="125"/>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车辆伤害事故指企业机动车辆在行驶中引起的人体坠落和物体倒塌、坠落、挤压伤亡事故。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车辆伤害事故的主要原因有</w:t>
      </w:r>
      <w:r>
        <w:rPr>
          <w:rFonts w:ascii="宋体" w:hAnsi="宋体"/>
          <w:snapToGrid w:val="0"/>
          <w:kern w:val="0"/>
          <w:sz w:val="28"/>
          <w:szCs w:val="28"/>
        </w:rPr>
        <w:t>:</w:t>
      </w:r>
      <w:r>
        <w:rPr>
          <w:rFonts w:hint="eastAsia" w:ascii="宋体" w:hAnsi="宋体"/>
          <w:snapToGrid w:val="0"/>
          <w:kern w:val="0"/>
          <w:sz w:val="28"/>
          <w:szCs w:val="28"/>
        </w:rPr>
        <w:t>①违章驾车：如酒后驾车、疲劳驾车、非驾驶员驾车、超速行驶、争道抢行、违章超车和超载等；②疏忽大意：如情绪急躁、精神分散、心理烦乱、身体不适等；③车况不好：如安全装置不齐全、工作装置工作不可靠、安全防护装置工作不可靠、车辆维护修理不及时、带“病”行驶等；④道路环境：如道路条件差、视线不良、在恶劣的气候条件下行驶等；⑤管理因素：如车辆安全行驶制度不落实、管理规章制度或操作规程不健全、车辆维修不及时、交通信号、标志、设施缺陷等。</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企业可能发生的车辆伤害事故：矿车行驶中撞击或挤压到人员；人员从行驶中的车辆上坠落；挖掘设备给矿车装过大的大块或矿车装料时由于停放处坑洼不平等造成矿车翻倒事故；交叉路口或超车或会车时发生车辆相撞事故；矿车倒车排废时由于车上的大块卡住车斗或操作不当或发生滑坡、塌方造成矿车翻下山；矿车行驶中轮胎</w:t>
      </w:r>
      <w:r>
        <w:rPr>
          <w:rFonts w:ascii="宋体" w:hAnsi="宋体"/>
          <w:snapToGrid w:val="0"/>
          <w:kern w:val="0"/>
          <w:sz w:val="28"/>
          <w:szCs w:val="28"/>
        </w:rPr>
        <w:t>"</w:t>
      </w:r>
      <w:r>
        <w:rPr>
          <w:rFonts w:hint="eastAsia" w:ascii="宋体" w:hAnsi="宋体"/>
          <w:snapToGrid w:val="0"/>
          <w:kern w:val="0"/>
          <w:sz w:val="28"/>
          <w:szCs w:val="28"/>
        </w:rPr>
        <w:t>突爆</w:t>
      </w:r>
      <w:r>
        <w:rPr>
          <w:rFonts w:ascii="宋体" w:hAnsi="宋体"/>
          <w:snapToGrid w:val="0"/>
          <w:kern w:val="0"/>
          <w:sz w:val="28"/>
          <w:szCs w:val="28"/>
        </w:rPr>
        <w:t>"</w:t>
      </w:r>
      <w:r>
        <w:rPr>
          <w:rFonts w:hint="eastAsia" w:ascii="宋体" w:hAnsi="宋体"/>
          <w:snapToGrid w:val="0"/>
          <w:kern w:val="0"/>
          <w:sz w:val="28"/>
          <w:szCs w:val="28"/>
        </w:rPr>
        <w:t>造成翻车等事故的发生；挖掘设备上下坡或在坡上作业时发生倾倒事故；挖掘设备回转过程中或卸料时铲斗碰到矿车驾驶室或其它部位造成事故。</w:t>
      </w:r>
    </w:p>
    <w:p>
      <w:pPr>
        <w:spacing w:line="360" w:lineRule="auto"/>
        <w:ind w:firstLine="560" w:firstLineChars="200"/>
        <w:rPr>
          <w:rFonts w:hint="eastAsia"/>
          <w:sz w:val="28"/>
          <w:szCs w:val="28"/>
        </w:rPr>
      </w:pPr>
      <w:r>
        <w:rPr>
          <w:rFonts w:hint="eastAsia"/>
          <w:sz w:val="28"/>
          <w:szCs w:val="28"/>
        </w:rPr>
        <w:t>砖瓦厂在原料（泥土、煤渣）运输堆积、半成品及成品砖运输等过程中，各种车辆来往频繁。车辆的装载和驾驶、车辆及驾驶员的管理等方面的缺陷均可能引发车辆伤害事故。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车辆伤害后果是人员的伤亡和设备物品的损毁。</w:t>
      </w:r>
    </w:p>
    <w:p>
      <w:pPr>
        <w:pStyle w:val="8"/>
        <w:spacing w:line="360" w:lineRule="auto"/>
        <w:ind w:firstLine="0" w:firstLineChars="0"/>
        <w:outlineLvl w:val="2"/>
        <w:rPr>
          <w:rFonts w:hint="eastAsia" w:ascii="宋体" w:hAnsi="宋体"/>
          <w:b/>
          <w:snapToGrid w:val="0"/>
          <w:kern w:val="0"/>
          <w:sz w:val="28"/>
          <w:szCs w:val="28"/>
        </w:rPr>
      </w:pPr>
      <w:bookmarkStart w:id="126" w:name="_Toc356380983"/>
      <w:bookmarkStart w:id="127" w:name="_Toc332350855"/>
      <w:bookmarkStart w:id="128" w:name="_Toc480804397"/>
      <w:bookmarkStart w:id="129" w:name="_Toc514342849"/>
      <w:bookmarkStart w:id="130" w:name="_Toc25709"/>
      <w:bookmarkStart w:id="131" w:name="_Toc356401494"/>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5.2 机械</w:t>
      </w:r>
      <w:bookmarkEnd w:id="126"/>
      <w:bookmarkEnd w:id="127"/>
      <w:r>
        <w:rPr>
          <w:rFonts w:hint="eastAsia" w:ascii="宋体" w:hAnsi="宋体"/>
          <w:b/>
          <w:snapToGrid w:val="0"/>
          <w:kern w:val="0"/>
          <w:sz w:val="28"/>
          <w:szCs w:val="28"/>
        </w:rPr>
        <w:t>伤害</w:t>
      </w:r>
      <w:bookmarkEnd w:id="128"/>
      <w:bookmarkEnd w:id="129"/>
      <w:bookmarkEnd w:id="130"/>
      <w:bookmarkEnd w:id="131"/>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机械伤害事故是指机械设备运动</w:t>
      </w:r>
      <w:r>
        <w:rPr>
          <w:rFonts w:ascii="宋体" w:hAnsi="宋体"/>
          <w:snapToGrid w:val="0"/>
          <w:kern w:val="0"/>
          <w:sz w:val="28"/>
          <w:szCs w:val="28"/>
        </w:rPr>
        <w:t>(</w:t>
      </w:r>
      <w:r>
        <w:rPr>
          <w:rFonts w:hint="eastAsia" w:ascii="宋体" w:hAnsi="宋体"/>
          <w:snapToGrid w:val="0"/>
          <w:kern w:val="0"/>
          <w:sz w:val="28"/>
          <w:szCs w:val="28"/>
        </w:rPr>
        <w:t>静止</w:t>
      </w:r>
      <w:r>
        <w:rPr>
          <w:rFonts w:ascii="宋体" w:hAnsi="宋体"/>
          <w:snapToGrid w:val="0"/>
          <w:kern w:val="0"/>
          <w:sz w:val="28"/>
          <w:szCs w:val="28"/>
        </w:rPr>
        <w:t>)</w:t>
      </w:r>
      <w:r>
        <w:rPr>
          <w:rFonts w:hint="eastAsia" w:ascii="宋体" w:hAnsi="宋体"/>
          <w:snapToGrid w:val="0"/>
          <w:kern w:val="0"/>
          <w:sz w:val="28"/>
          <w:szCs w:val="28"/>
        </w:rPr>
        <w:t>部件、工具、加工件直接与人体接触引起的夹击、碰撞、剪切、卷人、绞、碾、割、刺等伤害，不包括车辆、起重机械引起的机械伤害。</w:t>
      </w:r>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机械伤害事故产生的主要原因</w:t>
      </w:r>
      <w:r>
        <w:rPr>
          <w:rFonts w:ascii="宋体" w:hAnsi="宋体"/>
          <w:snapToGrid w:val="0"/>
          <w:kern w:val="0"/>
          <w:sz w:val="28"/>
          <w:szCs w:val="28"/>
        </w:rPr>
        <w:t>:</w:t>
      </w:r>
      <w:r>
        <w:rPr>
          <w:rFonts w:hint="eastAsia" w:ascii="宋体" w:hAnsi="宋体"/>
          <w:snapToGrid w:val="0"/>
          <w:kern w:val="0"/>
          <w:sz w:val="28"/>
          <w:szCs w:val="28"/>
        </w:rPr>
        <w:t>①指挥人员违章指挥，操作人员违章操作；②机械设备安全防护装置缺乏或防护装置失效等，导致事故发生；③安全管理上存在不足；④场地及运输道路缺陷；⑤意外因素影响</w:t>
      </w:r>
      <w:r>
        <w:rPr>
          <w:rFonts w:ascii="宋体" w:hAnsi="宋体"/>
          <w:snapToGrid w:val="0"/>
          <w:kern w:val="0"/>
          <w:sz w:val="28"/>
          <w:szCs w:val="28"/>
        </w:rPr>
        <w:t>:</w:t>
      </w:r>
      <w:r>
        <w:rPr>
          <w:rFonts w:hint="eastAsia" w:ascii="宋体" w:hAnsi="宋体"/>
          <w:snapToGrid w:val="0"/>
          <w:kern w:val="0"/>
          <w:sz w:val="28"/>
          <w:szCs w:val="28"/>
        </w:rPr>
        <w:t>如在检修和正常工作时，机器突然被别人随意启动，导致事故发生；⑥在不安全的机械上停留、休息，导致事故发生等。</w:t>
      </w:r>
    </w:p>
    <w:p>
      <w:pPr>
        <w:spacing w:line="360" w:lineRule="auto"/>
        <w:ind w:firstLine="515" w:firstLineChars="184"/>
        <w:rPr>
          <w:rFonts w:hint="eastAsia" w:ascii="宋体" w:hAnsi="宋体"/>
          <w:bCs/>
          <w:snapToGrid w:val="0"/>
          <w:kern w:val="0"/>
          <w:sz w:val="28"/>
          <w:szCs w:val="28"/>
        </w:rPr>
      </w:pPr>
      <w:r>
        <w:rPr>
          <w:rFonts w:hint="eastAsia" w:ascii="宋体" w:hAnsi="宋体"/>
          <w:snapToGrid w:val="0"/>
          <w:kern w:val="0"/>
          <w:sz w:val="28"/>
          <w:szCs w:val="28"/>
        </w:rPr>
        <w:t>机械伤害的主要后果是造成人员伤亡，其次是对物件的损坏。</w:t>
      </w:r>
      <w:r>
        <w:rPr>
          <w:rFonts w:ascii="宋体" w:hAnsi="宋体"/>
          <w:bCs/>
          <w:snapToGrid w:val="0"/>
          <w:kern w:val="0"/>
          <w:sz w:val="28"/>
          <w:szCs w:val="28"/>
        </w:rPr>
        <w:t>因此，加强生产作业中的安全防护是防止机械伤害事故的关键，即保持安全防护设施的完好，按规定使用安全防护用品等。同时加强安全管理力度，禁止违章作业和冒险接触机械危险部位，操作时集中精力，防止非操作人员随意开机，做好正常检修设备时的安全防护措施等对于预防机械事故的发生也很重要。</w:t>
      </w:r>
    </w:p>
    <w:p>
      <w:pPr>
        <w:spacing w:line="360" w:lineRule="auto"/>
        <w:ind w:firstLine="515" w:firstLineChars="184"/>
        <w:rPr>
          <w:rFonts w:hint="eastAsia" w:ascii="宋体" w:hAnsi="宋体"/>
          <w:snapToGrid w:val="0"/>
          <w:kern w:val="0"/>
          <w:sz w:val="28"/>
          <w:szCs w:val="28"/>
        </w:rPr>
      </w:pPr>
      <w:r>
        <w:rPr>
          <w:rFonts w:hint="eastAsia" w:ascii="宋体" w:hAnsi="宋体"/>
          <w:snapToGrid w:val="0"/>
          <w:kern w:val="0"/>
          <w:sz w:val="28"/>
          <w:szCs w:val="28"/>
        </w:rPr>
        <w:t>砖瓦厂在泥土破碎、运输、搅拌、挤压成型、截条、切条等过程中涉及到机械设备，某些设备的转动部件、移动部件等若缺乏良好的防护设施或防护设施有缺陷、操作错误等，均可能造成人身伤害。若没有配备或正确穿戴必需的劳动防护用品时，也可能造成机械伤害。</w:t>
      </w:r>
    </w:p>
    <w:p>
      <w:pPr>
        <w:pStyle w:val="8"/>
        <w:spacing w:line="360" w:lineRule="auto"/>
        <w:ind w:firstLine="0" w:firstLineChars="0"/>
        <w:outlineLvl w:val="2"/>
        <w:rPr>
          <w:rFonts w:hint="eastAsia" w:ascii="宋体" w:hAnsi="宋体"/>
          <w:b/>
          <w:snapToGrid w:val="0"/>
          <w:kern w:val="0"/>
          <w:sz w:val="28"/>
          <w:szCs w:val="28"/>
        </w:rPr>
      </w:pPr>
      <w:bookmarkStart w:id="132" w:name="_Toc480804398"/>
      <w:bookmarkStart w:id="133" w:name="_Toc514342850"/>
      <w:bookmarkStart w:id="134" w:name="_Toc350781098"/>
      <w:bookmarkStart w:id="135" w:name="_Toc356401495"/>
      <w:bookmarkStart w:id="136" w:name="_Toc19363"/>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5.3</w:t>
      </w:r>
      <w:r>
        <w:rPr>
          <w:rFonts w:ascii="宋体" w:hAnsi="宋体"/>
          <w:b/>
          <w:snapToGrid w:val="0"/>
          <w:kern w:val="0"/>
          <w:sz w:val="28"/>
          <w:szCs w:val="28"/>
        </w:rPr>
        <w:t xml:space="preserve"> 触电</w:t>
      </w:r>
      <w:r>
        <w:rPr>
          <w:rFonts w:hint="eastAsia" w:ascii="宋体" w:hAnsi="宋体"/>
          <w:b/>
          <w:snapToGrid w:val="0"/>
          <w:kern w:val="0"/>
          <w:sz w:val="28"/>
          <w:szCs w:val="28"/>
        </w:rPr>
        <w:t>事故</w:t>
      </w:r>
      <w:bookmarkEnd w:id="132"/>
      <w:bookmarkEnd w:id="133"/>
      <w:bookmarkEnd w:id="134"/>
      <w:bookmarkEnd w:id="135"/>
      <w:bookmarkEnd w:id="136"/>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触电事故是指由于电流流经人体导致的生理伤害，包括雷击伤亡事故。</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触电伤害产生的主要原因：①电气线路或电气设备在设计、安装上存在缺陷，或在运行中缺乏必要的检修维护；②没有设置必要的安全技术措施</w:t>
      </w:r>
      <w:r>
        <w:rPr>
          <w:rFonts w:ascii="宋体" w:hAnsi="宋体"/>
          <w:bCs/>
          <w:snapToGrid w:val="0"/>
          <w:kern w:val="0"/>
          <w:sz w:val="28"/>
          <w:szCs w:val="28"/>
        </w:rPr>
        <w:t>(</w:t>
      </w:r>
      <w:r>
        <w:rPr>
          <w:rFonts w:hint="eastAsia" w:ascii="宋体" w:hAnsi="宋体"/>
          <w:bCs/>
          <w:snapToGrid w:val="0"/>
          <w:kern w:val="0"/>
          <w:sz w:val="28"/>
          <w:szCs w:val="28"/>
        </w:rPr>
        <w:t>如保护接零、漏电保护、安全电压等</w:t>
      </w:r>
      <w:r>
        <w:rPr>
          <w:rFonts w:ascii="宋体" w:hAnsi="宋体"/>
          <w:bCs/>
          <w:snapToGrid w:val="0"/>
          <w:kern w:val="0"/>
          <w:sz w:val="28"/>
          <w:szCs w:val="28"/>
        </w:rPr>
        <w:t>)</w:t>
      </w:r>
      <w:r>
        <w:rPr>
          <w:rFonts w:hint="eastAsia" w:ascii="宋体" w:hAnsi="宋体"/>
          <w:bCs/>
          <w:snapToGrid w:val="0"/>
          <w:kern w:val="0"/>
          <w:sz w:val="28"/>
          <w:szCs w:val="28"/>
        </w:rPr>
        <w:t>，或安全措施失效；③电气设备运行管理不当，安全管理制度不完善；④专业电工或机电设备操作人员操作失误，或违章作业等；⑤非专业电工人员私自进行检修、接线等专业工作；⑥电气安全管理工作存在漏洞；⑦在规定地点没有使用安全电压；⑧违章指挥等。</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可能存在的触电场所有</w:t>
      </w:r>
      <w:r>
        <w:rPr>
          <w:rFonts w:ascii="宋体" w:hAnsi="宋体"/>
          <w:bCs/>
          <w:snapToGrid w:val="0"/>
          <w:kern w:val="0"/>
          <w:sz w:val="28"/>
          <w:szCs w:val="28"/>
        </w:rPr>
        <w:t>:</w:t>
      </w:r>
      <w:r>
        <w:rPr>
          <w:rFonts w:hint="eastAsia" w:ascii="宋体" w:hAnsi="宋体"/>
          <w:bCs/>
          <w:snapToGrid w:val="0"/>
          <w:kern w:val="0"/>
          <w:sz w:val="28"/>
          <w:szCs w:val="28"/>
        </w:rPr>
        <w:t>地面变压器、配电线路以及在生产过程中使用的各种电气设备、动力设备采用闸刀直接起动的设备、手持电动设备、照明线路及照明器具等。</w:t>
      </w:r>
    </w:p>
    <w:p>
      <w:pPr>
        <w:spacing w:line="360" w:lineRule="auto"/>
        <w:ind w:firstLine="560" w:firstLineChars="200"/>
        <w:rPr>
          <w:rFonts w:hint="eastAsia" w:ascii="宋体" w:hAnsi="宋体"/>
          <w:bCs/>
          <w:snapToGrid w:val="0"/>
          <w:kern w:val="0"/>
          <w:sz w:val="28"/>
          <w:szCs w:val="28"/>
        </w:rPr>
      </w:pPr>
      <w:r>
        <w:rPr>
          <w:rFonts w:hint="eastAsia" w:ascii="宋体" w:hAnsi="宋体"/>
          <w:bCs/>
          <w:snapToGrid w:val="0"/>
          <w:kern w:val="0"/>
          <w:sz w:val="28"/>
          <w:szCs w:val="28"/>
        </w:rPr>
        <w:t>触电伤害的后果是直接造成人员伤亡事故。</w:t>
      </w:r>
    </w:p>
    <w:p>
      <w:pPr>
        <w:pStyle w:val="8"/>
        <w:spacing w:line="360" w:lineRule="auto"/>
        <w:ind w:firstLine="0" w:firstLineChars="0"/>
        <w:outlineLvl w:val="2"/>
        <w:rPr>
          <w:rFonts w:hint="eastAsia" w:ascii="宋体" w:hAnsi="宋体"/>
          <w:b/>
          <w:snapToGrid w:val="0"/>
          <w:kern w:val="0"/>
          <w:sz w:val="28"/>
          <w:szCs w:val="28"/>
        </w:rPr>
      </w:pPr>
      <w:bookmarkStart w:id="137" w:name="_Toc514342851"/>
      <w:bookmarkStart w:id="138" w:name="_Toc480804399"/>
      <w:bookmarkStart w:id="139" w:name="_Toc356401496"/>
      <w:bookmarkStart w:id="140" w:name="_Toc332350857"/>
      <w:bookmarkStart w:id="141" w:name="_Toc356380985"/>
      <w:bookmarkStart w:id="142" w:name="_Toc2761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5.4 高处坠落</w:t>
      </w:r>
      <w:bookmarkEnd w:id="137"/>
      <w:bookmarkEnd w:id="138"/>
      <w:bookmarkEnd w:id="139"/>
      <w:bookmarkEnd w:id="140"/>
      <w:bookmarkEnd w:id="141"/>
      <w:bookmarkEnd w:id="142"/>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高处坠落指在高处作业中发生坠落造成的伤亡事故，不包括触电坠落事故。</w:t>
      </w:r>
      <w:r>
        <w:rPr>
          <w:rFonts w:ascii="宋体" w:hAnsi="宋体"/>
          <w:bCs/>
          <w:snapToGrid w:val="0"/>
          <w:kern w:val="0"/>
          <w:sz w:val="28"/>
          <w:szCs w:val="28"/>
        </w:rPr>
        <w:t>高处坠落主要包括：采场顶部的高处坠落，检修安装设备时的高处坠落，人员行进中的意外滑倒等，增加防护装置是预防事故发生的重要措施。</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造成高处坠落的主要原因有：①没有按要求使用安全带、安全索；②没有按要求穿防滑性能良好的软底鞋；③高处作业时安全防护设施不完善或损坏；④工作责任心不强，主观判断失误；⑤使用安全保护装置不完善或缺乏的设备、设施进行作业；⑥作业人员疏忽大意，疲劳作业；⑦高处作业无专人负责指挥，安全管理不到位；⑧作业场所狭小，不符合安全要求。</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阴雨、积雪可引起料堆、砖坯堆垛坍方；料场土堆高3米，在堆料、喂料过程中土堆可能发生坍塌；料场打堆车道宽6米、坡度25°，在往高处打堆时，由于料堆松软，有可能造成运输机械侧翻、被掩埋的潜在危险，同时现场作业人员或外来人员有被压埋的潜在危险。同时，窑炉和烟囱在进行相关作业时，也存在坍塌和高处坠落的危险。</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高处坠落造成的事故的后果是人员伤亡和设备损坏。</w:t>
      </w:r>
    </w:p>
    <w:bookmarkEnd w:id="68"/>
    <w:p>
      <w:pPr>
        <w:pStyle w:val="8"/>
        <w:spacing w:line="360" w:lineRule="auto"/>
        <w:ind w:firstLine="0" w:firstLineChars="0"/>
        <w:outlineLvl w:val="2"/>
        <w:rPr>
          <w:rFonts w:ascii="宋体" w:hAnsi="宋体"/>
          <w:b/>
          <w:snapToGrid w:val="0"/>
          <w:kern w:val="0"/>
          <w:sz w:val="28"/>
          <w:szCs w:val="28"/>
        </w:rPr>
      </w:pPr>
      <w:bookmarkStart w:id="143" w:name="_Toc350781096"/>
      <w:bookmarkStart w:id="144" w:name="_Toc356401497"/>
      <w:bookmarkStart w:id="145" w:name="_Toc480804400"/>
      <w:bookmarkStart w:id="146" w:name="_Toc514342852"/>
      <w:bookmarkStart w:id="147" w:name="_Toc247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rPr>
        <w:t>5</w:t>
      </w:r>
      <w:r>
        <w:rPr>
          <w:rFonts w:ascii="宋体" w:hAnsi="宋体"/>
          <w:b/>
          <w:snapToGrid w:val="0"/>
          <w:kern w:val="0"/>
          <w:sz w:val="28"/>
          <w:szCs w:val="28"/>
        </w:rPr>
        <w:t xml:space="preserve"> 物体打击</w:t>
      </w:r>
      <w:bookmarkEnd w:id="143"/>
      <w:bookmarkEnd w:id="144"/>
      <w:bookmarkEnd w:id="145"/>
      <w:bookmarkEnd w:id="146"/>
      <w:bookmarkEnd w:id="147"/>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物体打击事故是指物体在重力或其它外力的作用下产生运动，打击人体造成人身伤亡事故，不包括因机械设备、车辆、起重机械、坍塌等引发的物体打击。</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造成物体打击的主要原因有</w:t>
      </w:r>
      <w:r>
        <w:rPr>
          <w:rFonts w:ascii="宋体" w:hAnsi="宋体"/>
          <w:snapToGrid w:val="0"/>
          <w:kern w:val="0"/>
          <w:sz w:val="28"/>
          <w:szCs w:val="28"/>
        </w:rPr>
        <w:t>:</w:t>
      </w:r>
      <w:r>
        <w:rPr>
          <w:rFonts w:hint="eastAsia" w:ascii="宋体" w:hAnsi="宋体"/>
          <w:snapToGrid w:val="0"/>
          <w:kern w:val="0"/>
          <w:sz w:val="28"/>
          <w:szCs w:val="28"/>
        </w:rPr>
        <w:t>①工作场所狭小，缺乏躲避空间，上下同时作业；②没有排险工具或排险工具有缺陷等；③工作时精力不集中，对出现的险情不能及时做出反应；④安全帽等劳保用品穿戴不规范、不齐全；⑤传递工具物件方法不当等</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可能发生的物体打击事故：拆卸设备部件时敲打工具造成工具强出伤人；高空作业时，由于工具、托辊、零件、砖瓦、木块等物不慎从高处掉落伤人或乱扔废物、杂物击中他人；</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一旦遭受物体打击其后果是人员的伤亡和物品的损毁。</w:t>
      </w:r>
    </w:p>
    <w:p>
      <w:pPr>
        <w:pStyle w:val="8"/>
        <w:spacing w:line="360" w:lineRule="auto"/>
        <w:ind w:firstLine="0" w:firstLineChars="0"/>
        <w:outlineLvl w:val="2"/>
        <w:rPr>
          <w:rFonts w:hint="eastAsia" w:ascii="宋体" w:hAnsi="宋体"/>
          <w:b/>
          <w:snapToGrid w:val="0"/>
          <w:kern w:val="0"/>
          <w:sz w:val="28"/>
          <w:szCs w:val="28"/>
        </w:rPr>
      </w:pPr>
      <w:bookmarkStart w:id="148" w:name="_Toc350781100"/>
      <w:bookmarkStart w:id="149" w:name="_Toc356401498"/>
      <w:bookmarkStart w:id="150" w:name="_Toc514342853"/>
      <w:bookmarkStart w:id="151" w:name="_Toc29723"/>
      <w:bookmarkStart w:id="152" w:name="_Toc480804401"/>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5.6 火灾</w:t>
      </w:r>
      <w:bookmarkEnd w:id="148"/>
      <w:r>
        <w:rPr>
          <w:rFonts w:hint="eastAsia" w:ascii="宋体" w:hAnsi="宋体"/>
          <w:b/>
          <w:snapToGrid w:val="0"/>
          <w:kern w:val="0"/>
          <w:sz w:val="28"/>
          <w:szCs w:val="28"/>
        </w:rPr>
        <w:t>事故</w:t>
      </w:r>
      <w:bookmarkEnd w:id="149"/>
      <w:bookmarkEnd w:id="150"/>
      <w:bookmarkEnd w:id="151"/>
      <w:bookmarkEnd w:id="152"/>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火灾是指企业内所发生的火灾。</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火灾事故产生的主要原因</w:t>
      </w:r>
      <w:r>
        <w:rPr>
          <w:rFonts w:ascii="宋体" w:hAnsi="宋体"/>
          <w:snapToGrid w:val="0"/>
          <w:kern w:val="0"/>
          <w:sz w:val="28"/>
          <w:szCs w:val="28"/>
        </w:rPr>
        <w:t>:</w:t>
      </w:r>
      <w:r>
        <w:rPr>
          <w:rFonts w:hint="eastAsia" w:ascii="宋体" w:hAnsi="宋体"/>
          <w:snapToGrid w:val="0"/>
          <w:kern w:val="0"/>
          <w:sz w:val="28"/>
          <w:szCs w:val="28"/>
        </w:rPr>
        <w:t>①明火</w:t>
      </w:r>
      <w:r>
        <w:rPr>
          <w:rFonts w:ascii="宋体" w:hAnsi="宋体"/>
          <w:snapToGrid w:val="0"/>
          <w:kern w:val="0"/>
          <w:sz w:val="28"/>
          <w:szCs w:val="28"/>
        </w:rPr>
        <w:t>(</w:t>
      </w:r>
      <w:r>
        <w:rPr>
          <w:rFonts w:hint="eastAsia" w:ascii="宋体" w:hAnsi="宋体"/>
          <w:snapToGrid w:val="0"/>
          <w:kern w:val="0"/>
          <w:sz w:val="28"/>
          <w:szCs w:val="28"/>
        </w:rPr>
        <w:t>包括火柴点火、吸烟、电焊、气焊、明火灯等</w:t>
      </w:r>
      <w:r>
        <w:rPr>
          <w:rFonts w:ascii="宋体" w:hAnsi="宋体"/>
          <w:snapToGrid w:val="0"/>
          <w:kern w:val="0"/>
          <w:sz w:val="28"/>
          <w:szCs w:val="28"/>
        </w:rPr>
        <w:t>)</w:t>
      </w:r>
      <w:r>
        <w:rPr>
          <w:rFonts w:hint="eastAsia" w:ascii="宋体" w:hAnsi="宋体"/>
          <w:snapToGrid w:val="0"/>
          <w:kern w:val="0"/>
          <w:sz w:val="28"/>
          <w:szCs w:val="28"/>
        </w:rPr>
        <w:t>所引燃；②油料</w:t>
      </w:r>
      <w:r>
        <w:rPr>
          <w:rFonts w:ascii="宋体" w:hAnsi="宋体"/>
          <w:snapToGrid w:val="0"/>
          <w:kern w:val="0"/>
          <w:sz w:val="28"/>
          <w:szCs w:val="28"/>
        </w:rPr>
        <w:t>(</w:t>
      </w:r>
      <w:r>
        <w:rPr>
          <w:rFonts w:hint="eastAsia" w:ascii="宋体" w:hAnsi="宋体"/>
          <w:snapToGrid w:val="0"/>
          <w:kern w:val="0"/>
          <w:sz w:val="28"/>
          <w:szCs w:val="28"/>
        </w:rPr>
        <w:t>润滑油、变压器油、液压设备用油、柴油设备用油、维修设备用油等</w:t>
      </w:r>
      <w:r>
        <w:rPr>
          <w:rFonts w:ascii="宋体" w:hAnsi="宋体"/>
          <w:snapToGrid w:val="0"/>
          <w:kern w:val="0"/>
          <w:sz w:val="28"/>
          <w:szCs w:val="28"/>
        </w:rPr>
        <w:t>)</w:t>
      </w:r>
      <w:r>
        <w:rPr>
          <w:rFonts w:hint="eastAsia" w:ascii="宋体" w:hAnsi="宋体"/>
          <w:snapToGrid w:val="0"/>
          <w:kern w:val="0"/>
          <w:sz w:val="28"/>
          <w:szCs w:val="28"/>
        </w:rPr>
        <w:t>保管、运输和使用不当；③电缆、电线、电动机、电钻等电器设备绝缘损坏及性能不良产生的电弧、电火花、漏电、失爆、短路或超负荷运行引起火灾；④保险丝</w:t>
      </w:r>
      <w:r>
        <w:rPr>
          <w:rFonts w:ascii="宋体" w:hAnsi="宋体"/>
          <w:snapToGrid w:val="0"/>
          <w:kern w:val="0"/>
          <w:sz w:val="28"/>
          <w:szCs w:val="28"/>
        </w:rPr>
        <w:t>(</w:t>
      </w:r>
      <w:r>
        <w:rPr>
          <w:rFonts w:hint="eastAsia" w:ascii="宋体" w:hAnsi="宋体"/>
          <w:snapToGrid w:val="0"/>
          <w:kern w:val="0"/>
          <w:sz w:val="28"/>
          <w:szCs w:val="28"/>
        </w:rPr>
        <w:t>片</w:t>
      </w:r>
      <w:r>
        <w:rPr>
          <w:rFonts w:ascii="宋体" w:hAnsi="宋体"/>
          <w:snapToGrid w:val="0"/>
          <w:kern w:val="0"/>
          <w:sz w:val="28"/>
          <w:szCs w:val="28"/>
        </w:rPr>
        <w:t>)</w:t>
      </w:r>
      <w:r>
        <w:rPr>
          <w:rFonts w:hint="eastAsia" w:ascii="宋体" w:hAnsi="宋体"/>
          <w:snapToGrid w:val="0"/>
          <w:kern w:val="0"/>
          <w:sz w:val="28"/>
          <w:szCs w:val="28"/>
        </w:rPr>
        <w:t>选用不当，使用铜丝、铝线代替保险丝；⑤油开关及配电箱内油料着火</w:t>
      </w:r>
      <w:r>
        <w:rPr>
          <w:rFonts w:ascii="宋体" w:hAnsi="宋体"/>
          <w:snapToGrid w:val="0"/>
          <w:kern w:val="0"/>
          <w:sz w:val="28"/>
          <w:szCs w:val="28"/>
        </w:rPr>
        <w:t>;</w:t>
      </w:r>
      <w:r>
        <w:rPr>
          <w:rFonts w:hint="eastAsia" w:ascii="宋体" w:hAnsi="宋体"/>
          <w:snapToGrid w:val="0"/>
          <w:kern w:val="0"/>
          <w:sz w:val="28"/>
          <w:szCs w:val="28"/>
        </w:rPr>
        <w:t>⑥机械作用</w:t>
      </w:r>
      <w:r>
        <w:rPr>
          <w:rFonts w:ascii="宋体" w:hAnsi="宋体"/>
          <w:snapToGrid w:val="0"/>
          <w:kern w:val="0"/>
          <w:sz w:val="28"/>
          <w:szCs w:val="28"/>
        </w:rPr>
        <w:t>(</w:t>
      </w:r>
      <w:r>
        <w:rPr>
          <w:rFonts w:hint="eastAsia" w:ascii="宋体" w:hAnsi="宋体"/>
          <w:snapToGrid w:val="0"/>
          <w:kern w:val="0"/>
          <w:sz w:val="28"/>
          <w:szCs w:val="28"/>
        </w:rPr>
        <w:t>包括摩擦、震动冲击等</w:t>
      </w:r>
      <w:r>
        <w:rPr>
          <w:rFonts w:ascii="宋体" w:hAnsi="宋体"/>
          <w:snapToGrid w:val="0"/>
          <w:kern w:val="0"/>
          <w:sz w:val="28"/>
          <w:szCs w:val="28"/>
        </w:rPr>
        <w:t>)</w:t>
      </w:r>
      <w:r>
        <w:rPr>
          <w:rFonts w:hint="eastAsia" w:ascii="宋体" w:hAnsi="宋体"/>
          <w:snapToGrid w:val="0"/>
          <w:kern w:val="0"/>
          <w:sz w:val="28"/>
          <w:szCs w:val="28"/>
        </w:rPr>
        <w:t>所引起。</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火灾可能发生在空压机房、机修车间、综合材料库、变压器等用电部位。</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火灾事故的主要后果是造成人员伤亡和财产损失。</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53" w:name="_Toc413834088"/>
      <w:bookmarkStart w:id="154" w:name="_Toc359225364"/>
      <w:bookmarkStart w:id="155" w:name="_Toc496016651"/>
      <w:bookmarkStart w:id="156" w:name="_Toc2740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hint="eastAsia" w:ascii="宋体" w:hAnsi="宋体"/>
          <w:b/>
          <w:snapToGrid w:val="0"/>
          <w:kern w:val="0"/>
          <w:sz w:val="28"/>
          <w:szCs w:val="28"/>
          <w:lang w:val="en-US" w:eastAsia="zh-CN"/>
        </w:rPr>
        <w:t>7 坍塌</w:t>
      </w:r>
      <w:bookmarkEnd w:id="153"/>
      <w:bookmarkEnd w:id="154"/>
      <w:bookmarkEnd w:id="155"/>
      <w:bookmarkEnd w:id="156"/>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坍塌事故产生的主要原因有：①确定的边坡角不合理；②地质因素对边坡的影响；③岩体中的地下水；④人为因素；⑤风化作用；⑥地震等。坍塌是</w:t>
      </w:r>
      <w:r>
        <w:rPr>
          <w:rFonts w:hint="eastAsia" w:ascii="宋体" w:hAnsi="宋体" w:cs="宋体"/>
          <w:color w:val="auto"/>
          <w:sz w:val="28"/>
          <w:szCs w:val="28"/>
          <w:lang w:eastAsia="zh-CN"/>
        </w:rPr>
        <w:t>砖厂页岩开采</w:t>
      </w:r>
      <w:r>
        <w:rPr>
          <w:rFonts w:hint="eastAsia" w:ascii="宋体" w:hAnsi="宋体" w:cs="宋体"/>
          <w:color w:val="auto"/>
          <w:sz w:val="28"/>
          <w:szCs w:val="28"/>
        </w:rPr>
        <w:t>的主要危险因素之一，发生事故的后果是造成重大人员伤亡和设备、设施损坏，对生产企业造成重大经济损失。</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存在原料堆放、砖坯堆码、成品堆垛等工序。如原料打堆过高，由于料堆松软，有可能造成运输机械侧翻、被掩埋的潜在危险，同时现场作业人员或外来人员有被压埋的潜在危险。工作人员在窑内码坯和成品堆垛过程中，由于砖坯堆放不稳，堆放过高或地基不稳，堆垛码放不符合要求，都可能会引起坯（砖）垛倒塌，发生倒塌伤人、损物等事故。</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57" w:name="_Toc7830"/>
      <w:r>
        <w:rPr>
          <w:rFonts w:hint="eastAsia" w:ascii="宋体" w:hAnsi="宋体"/>
          <w:b/>
          <w:snapToGrid w:val="0"/>
          <w:kern w:val="0"/>
          <w:sz w:val="28"/>
          <w:szCs w:val="28"/>
          <w:lang w:val="en-US" w:eastAsia="zh-CN"/>
        </w:rPr>
        <w:t>3.5.8中毒窒息</w:t>
      </w:r>
      <w:bookmarkEnd w:id="157"/>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产生的主要原因：①出窑作业未按规定通风；②烧窑过程燃烧不充分产生有毒气体; ③人员违反规定进入受限空间作业;④窑台边缘安全防护措施未落实,未设警示标识,人员误操作或能见度低引发高空坠落事故。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可能存在的</w:t>
      </w: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场所有:砖窑</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的主要后果是中毒窒息、高处坠落造成人员死亡、人身伤害、经济损失等。事故多发生生产旺季。</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58" w:name="_Toc481870967"/>
      <w:bookmarkStart w:id="159" w:name="_Toc332350852"/>
      <w:bookmarkStart w:id="160" w:name="_Toc499478606"/>
      <w:bookmarkStart w:id="161" w:name="_Toc18964"/>
      <w:bookmarkStart w:id="162" w:name="_Toc515659445"/>
      <w:bookmarkStart w:id="163" w:name="_Toc511994834"/>
      <w:r>
        <w:rPr>
          <w:rFonts w:hint="eastAsia" w:ascii="宋体" w:hAnsi="宋体"/>
          <w:b/>
          <w:snapToGrid w:val="0"/>
          <w:color w:val="FF0000"/>
          <w:kern w:val="0"/>
          <w:sz w:val="28"/>
          <w:szCs w:val="28"/>
          <w:lang w:val="en-US" w:eastAsia="zh-CN"/>
        </w:rPr>
        <w:t>3.5.9高温</w:t>
      </w:r>
      <w:bookmarkEnd w:id="158"/>
      <w:bookmarkEnd w:id="159"/>
      <w:r>
        <w:rPr>
          <w:rFonts w:hint="eastAsia" w:ascii="宋体" w:hAnsi="宋体"/>
          <w:b/>
          <w:snapToGrid w:val="0"/>
          <w:color w:val="FF0000"/>
          <w:kern w:val="0"/>
          <w:sz w:val="28"/>
          <w:szCs w:val="28"/>
          <w:lang w:val="en-US" w:eastAsia="zh-CN"/>
        </w:rPr>
        <w:t>灼烫</w:t>
      </w:r>
      <w:bookmarkEnd w:id="160"/>
      <w:bookmarkEnd w:id="161"/>
      <w:bookmarkEnd w:id="162"/>
      <w:bookmarkEnd w:id="163"/>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在生产工艺中存在烘干窑、隧道窑及高温产品等高温作业环境，作业人员在工作过程中由于劳保用品穿戴不好，违章操作、设备设施故障泄漏或保温失效、检修过程中防护不当以及其它突发事故等原因，均可导致作业人员发生高温烫伤伤害。在烧结时，窑体加煤烧制、成品砖出窑过程中，温度较高，如窑体保温密封不良会产生较强的热辐射，作业人员长期在此环境中易受到高温中暑危害。</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64" w:name="_Toc515659444"/>
      <w:bookmarkStart w:id="165" w:name="_Toc1957"/>
      <w:bookmarkStart w:id="166" w:name="_Toc511994833"/>
      <w:bookmarkStart w:id="167" w:name="_Toc468870614"/>
      <w:r>
        <w:rPr>
          <w:rFonts w:hint="eastAsia" w:ascii="宋体" w:hAnsi="宋体"/>
          <w:b/>
          <w:snapToGrid w:val="0"/>
          <w:color w:val="FF0000"/>
          <w:kern w:val="0"/>
          <w:sz w:val="28"/>
          <w:szCs w:val="28"/>
          <w:lang w:val="en-US" w:eastAsia="zh-CN"/>
        </w:rPr>
        <w:t>3.5.10容器爆炸</w:t>
      </w:r>
      <w:bookmarkEnd w:id="164"/>
      <w:bookmarkEnd w:id="165"/>
      <w:bookmarkEnd w:id="166"/>
      <w:bookmarkEnd w:id="167"/>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公司使用的空压设备配套有压缩空气罐，压缩空气罐属于普通的一类压力容器，压力容器在使用过程中存在压力容器爆炸危险，发生容器爆炸事故的主要原因有：</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(1) 由于设计制造不当造成设备的质量不符合有关规范要求，在运行时发生爆裂，其爆裂的形式有：</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1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①</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韧性爆裂：是压力容器在内部压力下，器壁上产生的应力达到材料强度的极限而断裂的一种破坏形式。引起韧性爆裂的原因大多是：磨损、腐蚀、壁厚减薄、强度不足仍继续运行所致。</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2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②</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脆性爆裂：是容器承受的压力并不高，负荷产生的应力远小于材料屈服极限及明显的变形而突然发生爆裂，其原因是由于温度、应力集中、冲击荷载作用等因素使材料的塑性和韧性下降、材料变脆不能抑制裂纹的结果。</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3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③</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疲劳爆裂：是容器在反复的加压、卸压后，壳体材料长期受到交变载荷的作用，如反复的加压和卸压，开停车或负荷波动幅度大如吸附和再生作业时，导致操作压力波动幅度较大及工作温度周期性的变化的作用而出现的金属疲劳，从而产生的一种爆裂形式。</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4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④</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腐蚀爆裂：是容器壳体由于受到腐蚀介质作用而产生的均匀腐蚀、点腐蚀、晶间腐蚀、应力腐蚀、疲劳腐蚀而引起的爆裂。</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 xml:space="preserve">(2) 在使用过程中，若违反操作规程或因年久腐蚀严重又未按国家规定进行检测，在超压运行状态下，而安全阀又未动作时，罐体承受不住内部气压或液压时，将发生爆裂或爆炸。 </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(3) 由于压力容器的安全阀、压力表等未定期检验或损坏失灵，致不能正确显示和及时泄放，容器超压也可能引起爆炸。</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68" w:name="_Toc515659448"/>
      <w:bookmarkStart w:id="169" w:name="_Toc511994836"/>
      <w:bookmarkStart w:id="170" w:name="_Toc6019"/>
      <w:bookmarkStart w:id="171" w:name="_Toc515657141"/>
      <w:r>
        <w:rPr>
          <w:rFonts w:hint="eastAsia" w:ascii="宋体" w:hAnsi="宋体"/>
          <w:b/>
          <w:snapToGrid w:val="0"/>
          <w:kern w:val="0"/>
          <w:sz w:val="28"/>
          <w:szCs w:val="28"/>
          <w:lang w:val="en-US" w:eastAsia="zh-CN"/>
        </w:rPr>
        <w:t>3.5.11有限空间作业</w:t>
      </w:r>
      <w:bookmarkEnd w:id="168"/>
      <w:bookmarkEnd w:id="169"/>
      <w:bookmarkEnd w:id="170"/>
      <w:bookmarkEnd w:id="171"/>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本项目的各类储罐容器、脱硫塔、窑炉炉膛、砖坯烘干室、设备地下坑道、烟道等设施、设备和场所，在日常维护和检测时会进行有限空间作业。</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有限空间内作业，如管理稍有不慎，极易导致火灾、爆炸、中毒、窒息等人身伤害事故，给作业人员的安全带来严重安全隐患。研究表明很多致命的有限空间事故的发生都与所在空间内存在的种危险因素未得到重视有关，而这些危险因素既可能在员工进入有限空间之前就已存在，也可能是由于他们在其间的活动形成。因此，有限空间是一种作业风险比较高，应当引起人们高度重视的作业环境。</w:t>
      </w:r>
    </w:p>
    <w:p>
      <w:pPr>
        <w:pStyle w:val="8"/>
        <w:spacing w:line="360" w:lineRule="auto"/>
        <w:ind w:firstLine="0" w:firstLineChars="0"/>
        <w:outlineLvl w:val="2"/>
        <w:rPr>
          <w:rFonts w:hint="eastAsia" w:ascii="宋体" w:hAnsi="宋体"/>
          <w:b/>
          <w:snapToGrid w:val="0"/>
          <w:kern w:val="0"/>
          <w:sz w:val="28"/>
          <w:szCs w:val="28"/>
        </w:rPr>
      </w:pPr>
      <w:bookmarkStart w:id="172" w:name="_Toc480804402"/>
      <w:bookmarkStart w:id="173" w:name="_Toc350781101"/>
      <w:bookmarkStart w:id="174" w:name="_Toc13352"/>
      <w:bookmarkStart w:id="175" w:name="_Toc514342854"/>
      <w:bookmarkStart w:id="176" w:name="_Toc35640149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lang w:val="en-US" w:eastAsia="zh-CN"/>
        </w:rPr>
        <w:t>12</w:t>
      </w:r>
      <w:r>
        <w:rPr>
          <w:rFonts w:ascii="宋体" w:hAnsi="宋体"/>
          <w:b/>
          <w:snapToGrid w:val="0"/>
          <w:kern w:val="0"/>
          <w:sz w:val="28"/>
          <w:szCs w:val="28"/>
        </w:rPr>
        <w:t xml:space="preserve"> </w:t>
      </w:r>
      <w:r>
        <w:rPr>
          <w:rFonts w:hint="eastAsia" w:ascii="宋体" w:hAnsi="宋体"/>
          <w:b/>
          <w:snapToGrid w:val="0"/>
          <w:kern w:val="0"/>
          <w:sz w:val="28"/>
          <w:szCs w:val="28"/>
        </w:rPr>
        <w:t>职业</w:t>
      </w:r>
      <w:r>
        <w:rPr>
          <w:rFonts w:ascii="宋体" w:hAnsi="宋体"/>
          <w:b/>
          <w:snapToGrid w:val="0"/>
          <w:kern w:val="0"/>
          <w:sz w:val="28"/>
          <w:szCs w:val="28"/>
        </w:rPr>
        <w:t>危害</w:t>
      </w:r>
      <w:r>
        <w:rPr>
          <w:rFonts w:hint="eastAsia" w:ascii="宋体" w:hAnsi="宋体"/>
          <w:b/>
          <w:snapToGrid w:val="0"/>
          <w:kern w:val="0"/>
          <w:sz w:val="28"/>
          <w:szCs w:val="28"/>
        </w:rPr>
        <w:t>因素</w:t>
      </w:r>
      <w:bookmarkEnd w:id="172"/>
      <w:bookmarkEnd w:id="173"/>
      <w:bookmarkEnd w:id="174"/>
      <w:bookmarkEnd w:id="175"/>
      <w:bookmarkEnd w:id="176"/>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.1 粉尘</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eastAsia="宋体" w:cstheme="minorBidi"/>
          <w:snapToGrid w:val="0"/>
          <w:color w:val="auto"/>
          <w:kern w:val="0"/>
          <w:sz w:val="28"/>
          <w:szCs w:val="28"/>
          <w:lang w:val="en-US" w:eastAsia="zh-CN" w:bidi="ar-SA"/>
        </w:rPr>
        <w:t>窑体在加煤烧制过程中窑顶部、出窑时窑洞中粉尘浓度较大，作</w:t>
      </w:r>
      <w:r>
        <w:rPr>
          <w:rFonts w:hint="eastAsia" w:ascii="宋体" w:hAnsi="宋体"/>
          <w:snapToGrid w:val="0"/>
          <w:color w:val="auto"/>
          <w:kern w:val="0"/>
          <w:sz w:val="28"/>
          <w:szCs w:val="28"/>
          <w:lang w:eastAsia="zh-CN"/>
        </w:rPr>
        <w:t>业人员在此环境中易受到粉尘危害。粉尘危害是砖厂生产作业中最大危害之一。粉尘是在生产过程中产生的细粒状矿物或岩石粉尘。</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粉尘的环节主要有原料装卸、破碎等生产过程。在上述生产作业中产生的细粒状矿物或岩石粉尘，直径大于50μm的尘粒，在重力作用下会很快从气流中分离出来，沉落于地面，此类矿尘称为落尘；直径在0.01～50μm范围内的尘粒，能长时间悬浮于空气中，此类矿尘叫做浮尘。浮尘对空气的污染和对人体健康具有重大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.2 烟气</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烧结自保温砌块的制造生产主要采用内燃烧成工艺，但有时也需要补充少量的外燃，其内燃热值一般为300～500cal/g，因此烟气成分复杂，废气中以无机污染物为主。燃烧过程中可逸出有害气体S02、HF、NOx、CO、HC1等，其主要污染物是S02气体，如不加以治理，将会对工作场所人员健康和环境造成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.3 噪声、振动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噪声指声强和频率的变化都无规律、杂乱无章的声音。砖厂噪声具有强度大、声级高、噪声源多、干扰时间长以及连续噪声多等特点。</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噪声与振动主要来源于各种设备在运转过程中由于震动、摩擦、碰撞而产生的机械动力噪声和由风管排气、漏气而产生的气体动力噪声。</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产生噪声与振动的设备和场所：空压机和空压机泵房；制砖工作面；装载、挖掘设备驾驶室。</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噪声可以使人耳聋，还可能引起高血压、心脏病、神经官能症等疾病。噪声还污染环境，影响人们的正常生活和生产活动。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.4 高温、低温</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高温、高湿环境会增加人员中暑机率，并会加速有毒物质吸收，会导致操作失误率升高，易发生事故，长期在高温、高湿环境下工作，可引发关节炎等疾病；高温、高湿环境会加速材料的腐蚀；过大的湿度会引起电气设备受潮、绝缘下降，引起触电事故；</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在烧结时，窑体加煤烧制、成品砖出窑过程中，温度较高，如窑体保温密封不良会产生较强的热辐射，作业人员在此环境中易受到高温危害。</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在低温环境下，人员操作功能随温度的下降而明显下降，注意力不集中，反应时间延长，作业失误率上升，且可能发生冻伤。</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77" w:name="_Toc413834096"/>
      <w:bookmarkStart w:id="178" w:name="_Toc359225372"/>
      <w:bookmarkStart w:id="179" w:name="_Toc496016659"/>
      <w:bookmarkStart w:id="180" w:name="_Toc18351"/>
      <w:r>
        <w:rPr>
          <w:rFonts w:hint="eastAsia" w:ascii="宋体" w:hAnsi="宋体"/>
          <w:b/>
          <w:snapToGrid w:val="0"/>
          <w:kern w:val="0"/>
          <w:sz w:val="28"/>
          <w:szCs w:val="28"/>
          <w:lang w:val="en-US" w:eastAsia="zh-CN"/>
        </w:rPr>
        <w:t>3.5.13 自然灾害</w:t>
      </w:r>
      <w:bookmarkEnd w:id="177"/>
      <w:bookmarkEnd w:id="178"/>
      <w:bookmarkEnd w:id="179"/>
      <w:bookmarkEnd w:id="180"/>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.1 地震灾害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地震发生时，可能使建筑物倒塌，建筑设施结构破坏造成人员伤亡，也可能使电气系统短路导致火灾事故发生等。</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.2 雷击危害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雷雨云对地放电形成直击雷。雷击发生时，强大的冲击电压和雷电流会毁坏各种电气设备，强烈的空气扰动会使建筑物和设备损坏，其热效应会引起火灾，还可能击中人员事故伤亡事故。除直击雷外，还有雷电感应、球型雷和雷电侵入波等都可造成危害，其中直击雷的危害最大，此外雷电还可通过静电感应或电磁感应产生破坏作用。</w:t>
      </w:r>
    </w:p>
    <w:p>
      <w:pPr>
        <w:pStyle w:val="8"/>
        <w:spacing w:line="360" w:lineRule="auto"/>
        <w:ind w:firstLine="0" w:firstLineChars="0"/>
        <w:outlineLvl w:val="1"/>
        <w:rPr>
          <w:rFonts w:hint="eastAsia" w:ascii="黑体" w:hAnsi="宋体" w:eastAsia="黑体"/>
          <w:b/>
          <w:snapToGrid w:val="0"/>
          <w:kern w:val="0"/>
          <w:sz w:val="32"/>
          <w:szCs w:val="32"/>
        </w:rPr>
      </w:pPr>
      <w:bookmarkStart w:id="181" w:name="_Toc325528024"/>
      <w:bookmarkStart w:id="182" w:name="_Toc303340324"/>
      <w:bookmarkStart w:id="183" w:name="_Toc484594602"/>
      <w:bookmarkStart w:id="184" w:name="_Toc9767"/>
      <w:bookmarkStart w:id="185" w:name="_Toc514342856"/>
      <w:bookmarkStart w:id="186" w:name="_Toc304291284"/>
      <w:r>
        <w:rPr>
          <w:rFonts w:hint="eastAsia" w:ascii="黑体" w:hAnsi="宋体" w:eastAsia="黑体"/>
          <w:b/>
          <w:snapToGrid w:val="0"/>
          <w:kern w:val="0"/>
          <w:sz w:val="32"/>
          <w:szCs w:val="32"/>
          <w:lang w:val="en-US" w:eastAsia="zh-CN"/>
        </w:rPr>
        <w:t>3</w:t>
      </w:r>
      <w:r>
        <w:rPr>
          <w:rFonts w:hint="eastAsia" w:ascii="黑体" w:hAnsi="宋体" w:eastAsia="黑体"/>
          <w:b/>
          <w:snapToGrid w:val="0"/>
          <w:kern w:val="0"/>
          <w:sz w:val="32"/>
          <w:szCs w:val="32"/>
          <w:lang w:eastAsia="zh-CN"/>
        </w:rPr>
        <w:t>.</w:t>
      </w:r>
      <w:r>
        <w:rPr>
          <w:rFonts w:hint="eastAsia" w:ascii="黑体" w:hAnsi="宋体" w:eastAsia="黑体"/>
          <w:b/>
          <w:snapToGrid w:val="0"/>
          <w:kern w:val="0"/>
          <w:sz w:val="32"/>
          <w:szCs w:val="32"/>
        </w:rPr>
        <w:t>6 厂址安全条件的危险、有害因素辨识与分析</w:t>
      </w:r>
      <w:bookmarkEnd w:id="181"/>
      <w:bookmarkEnd w:id="182"/>
      <w:bookmarkEnd w:id="183"/>
      <w:bookmarkEnd w:id="184"/>
      <w:bookmarkEnd w:id="185"/>
      <w:bookmarkEnd w:id="186"/>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工业企业若选址不当，厂址条件差，可能存在以下危险、有害因素：①厂址工程地质不良，厂址周围为陡坎或有河流、沟渠通过，容易造成厂内塌陷和周边垮塌，设备、设施损坏，造成有害物质泄漏，引发火灾爆炸和窒息事故。②厂址所在地地形地貌差，处于窝风地带，厂内有害气体得不到及时散放，其生产作业危险性就大。③厂址与周边居民区或企业，安全距离不够，相互间会产生不利影响。④厂址所在地水文、气象条件恶劣，易发生水灾、雷击灾害，影响企业的正常生产。⑤厂址周边交通运输条件不畅、消防配备设施不完善，会造成运输不便，增加运输风险。</w:t>
      </w:r>
    </w:p>
    <w:p>
      <w:pPr>
        <w:spacing w:line="360" w:lineRule="auto"/>
        <w:ind w:firstLine="560" w:firstLineChars="200"/>
        <w:rPr>
          <w:rFonts w:hint="eastAsia" w:ascii="宋体" w:hAnsi="宋体"/>
          <w:snapToGrid w:val="0"/>
          <w:kern w:val="0"/>
          <w:sz w:val="28"/>
          <w:szCs w:val="28"/>
        </w:rPr>
      </w:pPr>
      <w:r>
        <w:rPr>
          <w:rFonts w:ascii="宋体" w:hAnsi="宋体"/>
          <w:snapToGrid w:val="0"/>
          <w:kern w:val="0"/>
          <w:sz w:val="28"/>
          <w:szCs w:val="28"/>
        </w:rPr>
        <w:t>本工程厂址周围无大型重要公共建筑设施</w:t>
      </w:r>
      <w:r>
        <w:rPr>
          <w:rFonts w:hint="eastAsia" w:ascii="宋体" w:hAnsi="宋体"/>
          <w:snapToGrid w:val="0"/>
          <w:kern w:val="0"/>
          <w:sz w:val="28"/>
          <w:szCs w:val="28"/>
        </w:rPr>
        <w:t>，</w:t>
      </w:r>
      <w:r>
        <w:rPr>
          <w:rFonts w:ascii="宋体" w:hAnsi="宋体"/>
          <w:snapToGrid w:val="0"/>
          <w:kern w:val="0"/>
          <w:sz w:val="28"/>
          <w:szCs w:val="28"/>
        </w:rPr>
        <w:t>位于相对稳定地块，场地无不良地质现象，地基承载力较高，不受洪水威胁；地下水对混凝土结构和钢筋混凝土结构中的钢筋不具腐蚀性。厂址交通运输方便</w:t>
      </w:r>
      <w:r>
        <w:rPr>
          <w:rFonts w:hint="eastAsia" w:ascii="宋体" w:hAnsi="宋体"/>
          <w:snapToGrid w:val="0"/>
          <w:kern w:val="0"/>
          <w:sz w:val="28"/>
          <w:szCs w:val="28"/>
        </w:rPr>
        <w:t>，</w:t>
      </w:r>
      <w:r>
        <w:rPr>
          <w:rFonts w:ascii="宋体" w:hAnsi="宋体"/>
          <w:snapToGrid w:val="0"/>
          <w:kern w:val="0"/>
          <w:sz w:val="28"/>
          <w:szCs w:val="28"/>
        </w:rPr>
        <w:t>已取得政府相关部门的</w:t>
      </w:r>
      <w:r>
        <w:rPr>
          <w:rFonts w:hint="eastAsia" w:ascii="宋体" w:hAnsi="宋体"/>
          <w:snapToGrid w:val="0"/>
          <w:kern w:val="0"/>
          <w:sz w:val="28"/>
          <w:szCs w:val="28"/>
        </w:rPr>
        <w:t>技改</w:t>
      </w:r>
      <w:r>
        <w:rPr>
          <w:rFonts w:ascii="宋体" w:hAnsi="宋体"/>
          <w:snapToGrid w:val="0"/>
          <w:kern w:val="0"/>
          <w:sz w:val="28"/>
          <w:szCs w:val="28"/>
        </w:rPr>
        <w:t>批复。因此，该工程选址符合当地政府部门规划，选址符合厂址选择的技术要求。</w:t>
      </w:r>
    </w:p>
    <w:p>
      <w:pPr>
        <w:pStyle w:val="8"/>
        <w:spacing w:line="360" w:lineRule="auto"/>
        <w:ind w:firstLine="0" w:firstLineChars="0"/>
        <w:outlineLvl w:val="2"/>
        <w:rPr>
          <w:rFonts w:hint="eastAsia" w:ascii="宋体" w:hAnsi="宋体"/>
          <w:b/>
          <w:snapToGrid w:val="0"/>
          <w:kern w:val="0"/>
          <w:sz w:val="28"/>
          <w:szCs w:val="28"/>
        </w:rPr>
      </w:pPr>
      <w:bookmarkStart w:id="187" w:name="_Toc514342857"/>
      <w:bookmarkStart w:id="188" w:name="_Toc484594603"/>
      <w:bookmarkStart w:id="189" w:name="_Toc458523590"/>
      <w:bookmarkStart w:id="190" w:name="_Toc32585"/>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 xml:space="preserve">6.1 </w:t>
      </w:r>
      <w:r>
        <w:rPr>
          <w:rFonts w:hint="eastAsia" w:ascii="宋体" w:hAnsi="宋体"/>
          <w:b/>
          <w:snapToGrid w:val="0"/>
          <w:kern w:val="0"/>
          <w:sz w:val="28"/>
          <w:szCs w:val="28"/>
          <w:lang w:eastAsia="zh-CN"/>
        </w:rPr>
        <w:t>公司</w:t>
      </w:r>
      <w:r>
        <w:rPr>
          <w:rFonts w:hint="eastAsia" w:ascii="宋体" w:hAnsi="宋体"/>
          <w:b/>
          <w:snapToGrid w:val="0"/>
          <w:kern w:val="0"/>
          <w:sz w:val="28"/>
          <w:szCs w:val="28"/>
        </w:rPr>
        <w:t>对周边环境的影响分析</w:t>
      </w:r>
      <w:bookmarkEnd w:id="187"/>
      <w:bookmarkEnd w:id="188"/>
      <w:bookmarkEnd w:id="189"/>
      <w:bookmarkEnd w:id="190"/>
    </w:p>
    <w:p>
      <w:pPr>
        <w:tabs>
          <w:tab w:val="left" w:pos="8808"/>
        </w:tabs>
        <w:snapToGrid w:val="0"/>
        <w:spacing w:line="360" w:lineRule="auto"/>
        <w:ind w:firstLine="560" w:firstLineChars="200"/>
        <w:rPr>
          <w:rFonts w:hint="eastAsia" w:ascii="宋体" w:hAnsi="宋体" w:cs="宋体"/>
          <w:sz w:val="28"/>
          <w:szCs w:val="28"/>
        </w:rPr>
      </w:pPr>
      <w:bookmarkStart w:id="191" w:name="_Toc172964203"/>
      <w:bookmarkStart w:id="192" w:name="_Toc172963399"/>
      <w:bookmarkStart w:id="193" w:name="_Toc155775354"/>
      <w:bookmarkStart w:id="194" w:name="_Toc172964408"/>
      <w:bookmarkStart w:id="195" w:name="_Toc374385892"/>
      <w:r>
        <w:rPr>
          <w:rFonts w:hint="eastAsia" w:ascii="宋体" w:hAnsi="宋体" w:cs="宋体"/>
          <w:sz w:val="28"/>
          <w:szCs w:val="28"/>
          <w:lang w:eastAsia="zh-CN"/>
        </w:rPr>
        <w:t>厂</w:t>
      </w:r>
      <w:r>
        <w:rPr>
          <w:rFonts w:ascii="宋体" w:hAnsi="宋体" w:cs="宋体"/>
          <w:sz w:val="28"/>
          <w:szCs w:val="28"/>
        </w:rPr>
        <w:t>区内</w:t>
      </w:r>
      <w:r>
        <w:rPr>
          <w:rFonts w:hint="eastAsia" w:ascii="宋体" w:hAnsi="宋体" w:cs="宋体"/>
          <w:sz w:val="28"/>
          <w:szCs w:val="28"/>
        </w:rPr>
        <w:t>无高压电线敷设、无</w:t>
      </w:r>
      <w:r>
        <w:rPr>
          <w:rFonts w:ascii="宋体" w:hAnsi="宋体" w:cs="宋体"/>
          <w:sz w:val="28"/>
          <w:szCs w:val="28"/>
        </w:rPr>
        <w:t>国家规定的风景名胜区、革命历史古迹等文物保护对象，无集中式水源地等特殊保护对象</w:t>
      </w:r>
      <w:r>
        <w:rPr>
          <w:rFonts w:hint="eastAsia" w:ascii="宋体" w:hAnsi="宋体" w:cs="宋体"/>
          <w:sz w:val="28"/>
          <w:szCs w:val="28"/>
        </w:rPr>
        <w:t>；</w:t>
      </w:r>
      <w:r>
        <w:rPr>
          <w:rFonts w:ascii="宋体" w:hAnsi="宋体" w:cs="宋体"/>
          <w:sz w:val="28"/>
          <w:szCs w:val="28"/>
        </w:rPr>
        <w:t>区域内及附近无</w:t>
      </w:r>
      <w:r>
        <w:rPr>
          <w:rFonts w:hint="eastAsia" w:ascii="宋体" w:hAnsi="宋体" w:cs="宋体"/>
          <w:sz w:val="28"/>
          <w:szCs w:val="28"/>
        </w:rPr>
        <w:t>重大危险源监管单位、无</w:t>
      </w:r>
      <w:r>
        <w:rPr>
          <w:rFonts w:ascii="宋体" w:hAnsi="宋体" w:cs="宋体"/>
          <w:sz w:val="28"/>
          <w:szCs w:val="28"/>
        </w:rPr>
        <w:t>军事设施等保密单位，无军事国防通讯设施及其他通讯设施等敏感目标，地下未发现矿产资源</w:t>
      </w:r>
      <w:r>
        <w:rPr>
          <w:rFonts w:hint="eastAsia" w:ascii="宋体" w:hAnsi="宋体" w:cs="宋体"/>
          <w:sz w:val="28"/>
          <w:szCs w:val="28"/>
        </w:rPr>
        <w:t>，无长输天然气管道、输油管道敷设</w:t>
      </w:r>
      <w:r>
        <w:rPr>
          <w:rFonts w:ascii="宋体" w:hAnsi="宋体" w:cs="宋体"/>
          <w:sz w:val="28"/>
          <w:szCs w:val="28"/>
        </w:rPr>
        <w:t>。</w:t>
      </w:r>
      <w:r>
        <w:rPr>
          <w:rFonts w:hint="eastAsia" w:ascii="宋体" w:hAnsi="宋体" w:cs="宋体"/>
          <w:sz w:val="28"/>
          <w:szCs w:val="28"/>
          <w:lang w:eastAsia="zh-CN"/>
        </w:rPr>
        <w:t>公司</w:t>
      </w:r>
      <w:r>
        <w:rPr>
          <w:rFonts w:hint="eastAsia" w:ascii="宋体" w:hAnsi="宋体" w:cs="宋体"/>
          <w:sz w:val="28"/>
          <w:szCs w:val="28"/>
        </w:rPr>
        <w:t>在正常工况下废水、废气、废渣等经达标后排放，并与周边建构筑留有足够的防火间距，即</w:t>
      </w:r>
      <w:r>
        <w:rPr>
          <w:rFonts w:hint="eastAsia" w:ascii="宋体" w:hAnsi="宋体" w:cs="宋体"/>
          <w:sz w:val="28"/>
          <w:szCs w:val="28"/>
          <w:lang w:eastAsia="zh-CN"/>
        </w:rPr>
        <w:t>公司</w:t>
      </w:r>
      <w:r>
        <w:rPr>
          <w:rFonts w:hint="eastAsia" w:ascii="宋体" w:hAnsi="宋体" w:cs="宋体"/>
          <w:sz w:val="28"/>
          <w:szCs w:val="28"/>
        </w:rPr>
        <w:t>正常工况下不会对周边单位生产、经营活动或者居民生活造成影响。</w:t>
      </w:r>
    </w:p>
    <w:p>
      <w:pPr>
        <w:spacing w:line="360" w:lineRule="auto"/>
        <w:ind w:firstLine="560" w:firstLineChars="200"/>
        <w:rPr>
          <w:rFonts w:hint="eastAsia" w:ascii="宋体" w:hAnsi="宋体"/>
          <w:sz w:val="28"/>
          <w:szCs w:val="28"/>
        </w:rPr>
      </w:pPr>
      <w:r>
        <w:rPr>
          <w:rFonts w:ascii="宋体" w:hAnsi="宋体"/>
          <w:sz w:val="28"/>
          <w:szCs w:val="28"/>
        </w:rPr>
        <w:t>若三废处理不当可能会对周边环境、企业造成不良影响，因此本工程应切实做好三废的处理工作。</w:t>
      </w:r>
      <w:r>
        <w:rPr>
          <w:rFonts w:hint="eastAsia" w:ascii="宋体" w:hAnsi="宋体"/>
          <w:sz w:val="28"/>
          <w:szCs w:val="28"/>
          <w:lang w:eastAsia="zh-CN"/>
        </w:rPr>
        <w:t>公司</w:t>
      </w:r>
      <w:r>
        <w:rPr>
          <w:rFonts w:ascii="宋体" w:hAnsi="宋体"/>
          <w:sz w:val="28"/>
          <w:szCs w:val="28"/>
        </w:rPr>
        <w:t>在采取了可靠的安全、环保的防护措施之后，</w:t>
      </w:r>
      <w:r>
        <w:rPr>
          <w:rFonts w:hint="eastAsia" w:ascii="宋体" w:hAnsi="宋体" w:cs="宋体"/>
          <w:sz w:val="28"/>
          <w:szCs w:val="28"/>
        </w:rPr>
        <w:t>对周边环境的影响在可接受和可控制范围。</w:t>
      </w:r>
    </w:p>
    <w:bookmarkEnd w:id="191"/>
    <w:bookmarkEnd w:id="192"/>
    <w:bookmarkEnd w:id="193"/>
    <w:bookmarkEnd w:id="194"/>
    <w:bookmarkEnd w:id="195"/>
    <w:p>
      <w:pPr>
        <w:pStyle w:val="8"/>
        <w:spacing w:line="360" w:lineRule="auto"/>
        <w:ind w:firstLine="0" w:firstLineChars="0"/>
        <w:outlineLvl w:val="2"/>
        <w:rPr>
          <w:rFonts w:hint="eastAsia" w:ascii="宋体" w:hAnsi="宋体"/>
          <w:b/>
          <w:snapToGrid w:val="0"/>
          <w:kern w:val="0"/>
          <w:sz w:val="28"/>
          <w:szCs w:val="28"/>
        </w:rPr>
      </w:pPr>
      <w:bookmarkStart w:id="196" w:name="_Toc514342858"/>
      <w:bookmarkStart w:id="197" w:name="_Toc458523594"/>
      <w:bookmarkStart w:id="198" w:name="_Toc155775365"/>
      <w:bookmarkStart w:id="199" w:name="_Toc172963410"/>
      <w:bookmarkStart w:id="200" w:name="_Toc484594604"/>
      <w:bookmarkStart w:id="201" w:name="_Toc172964213"/>
      <w:bookmarkStart w:id="202" w:name="_Toc172964418"/>
      <w:bookmarkStart w:id="203" w:name="_Toc593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6.2 周边环境对</w:t>
      </w:r>
      <w:r>
        <w:rPr>
          <w:rFonts w:hint="eastAsia" w:ascii="宋体" w:hAnsi="宋体"/>
          <w:b/>
          <w:snapToGrid w:val="0"/>
          <w:kern w:val="0"/>
          <w:sz w:val="28"/>
          <w:szCs w:val="28"/>
          <w:lang w:eastAsia="zh-CN"/>
        </w:rPr>
        <w:t>公司</w:t>
      </w:r>
      <w:r>
        <w:rPr>
          <w:rFonts w:hint="eastAsia" w:ascii="宋体" w:hAnsi="宋体"/>
          <w:b/>
          <w:snapToGrid w:val="0"/>
          <w:kern w:val="0"/>
          <w:sz w:val="28"/>
          <w:szCs w:val="28"/>
        </w:rPr>
        <w:t>的影响分析</w:t>
      </w:r>
      <w:bookmarkEnd w:id="196"/>
      <w:bookmarkEnd w:id="197"/>
      <w:bookmarkEnd w:id="198"/>
      <w:bookmarkEnd w:id="199"/>
      <w:bookmarkEnd w:id="200"/>
      <w:bookmarkEnd w:id="201"/>
      <w:bookmarkEnd w:id="202"/>
      <w:bookmarkEnd w:id="203"/>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公司</w:t>
      </w:r>
      <w:r>
        <w:rPr>
          <w:rFonts w:hint="eastAsia" w:ascii="宋体" w:hAnsi="宋体" w:cs="宋体"/>
          <w:color w:val="auto"/>
          <w:sz w:val="28"/>
          <w:szCs w:val="28"/>
          <w:lang w:val="en-US" w:eastAsia="zh-CN"/>
        </w:rPr>
        <w:t>矿山开采登记范围不存在矿权重叠与边界纠纷问题，矿区附近谷地及缓坡平地为农业耕作区，斜坡以上大部分为荒坡，少量林木分布。矿区周围大多为农田，矿山范围内人类工程主要以农耕地为主。</w:t>
      </w:r>
    </w:p>
    <w:p>
      <w:pPr>
        <w:spacing w:line="360" w:lineRule="auto"/>
        <w:ind w:firstLine="560" w:firstLineChars="200"/>
        <w:rPr>
          <w:rFonts w:hint="eastAsia" w:ascii="宋体" w:hAnsi="宋体" w:cs="宋体"/>
          <w:color w:val="auto"/>
          <w:sz w:val="28"/>
          <w:szCs w:val="28"/>
          <w:lang w:val="en-US" w:eastAsia="en-US"/>
        </w:rPr>
      </w:pPr>
      <w:r>
        <w:rPr>
          <w:rFonts w:hint="eastAsia" w:ascii="宋体" w:hAnsi="宋体" w:cs="宋体"/>
          <w:color w:val="auto"/>
          <w:sz w:val="28"/>
          <w:szCs w:val="28"/>
          <w:lang w:val="en-US" w:eastAsia="zh-CN"/>
        </w:rPr>
        <w:t>砖厂朝向近似座北朝东，</w:t>
      </w:r>
      <w:r>
        <w:rPr>
          <w:rFonts w:hint="eastAsia" w:ascii="宋体" w:hAnsi="宋体" w:cs="宋体"/>
          <w:color w:val="auto"/>
          <w:sz w:val="28"/>
          <w:szCs w:val="28"/>
          <w:lang w:val="zh-CN" w:eastAsia="zh-CN"/>
        </w:rPr>
        <w:t>地处农村环境，外环境简单，具体情况如下：厂区周边主要为山坡地，植被为杂草、灌木丛及农作物，不存在珍稀植物。根据现场勘查，公司生产区周边主要为耕地、农户。公司大门位于东面，东面紧邻进厂道路，道路 两侧为农田；公司北面和西面为农田；东南面为本公司矿山页岩开采区；开采区以东为丘陵。</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周边200米范围内的零散居民住户与公司的防火间距均大于50米。公司周边环境条件良好，周边环境不会对公司形成制约影响因素。</w:t>
      </w:r>
    </w:p>
    <w:p>
      <w:pPr>
        <w:pStyle w:val="8"/>
        <w:spacing w:line="360" w:lineRule="auto"/>
        <w:ind w:firstLine="0" w:firstLineChars="0"/>
        <w:outlineLvl w:val="1"/>
        <w:rPr>
          <w:rFonts w:hint="eastAsia" w:ascii="黑体" w:eastAsia="黑体"/>
          <w:b/>
          <w:snapToGrid w:val="0"/>
          <w:kern w:val="0"/>
          <w:sz w:val="32"/>
          <w:szCs w:val="32"/>
        </w:rPr>
      </w:pPr>
      <w:bookmarkStart w:id="204" w:name="_Toc514342863"/>
      <w:bookmarkStart w:id="205" w:name="_Toc356401505"/>
      <w:bookmarkStart w:id="206" w:name="_Toc350781107"/>
      <w:bookmarkStart w:id="207" w:name="_Toc8901"/>
      <w:bookmarkStart w:id="208" w:name="_Toc480804413"/>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lang w:val="en-US" w:eastAsia="zh-CN"/>
        </w:rPr>
        <w:t>7</w:t>
      </w:r>
      <w:r>
        <w:rPr>
          <w:rFonts w:hint="eastAsia" w:ascii="黑体" w:eastAsia="黑体"/>
          <w:b/>
          <w:snapToGrid w:val="0"/>
          <w:kern w:val="0"/>
          <w:sz w:val="32"/>
          <w:szCs w:val="32"/>
        </w:rPr>
        <w:t xml:space="preserve"> 重大危险源辨识</w:t>
      </w:r>
      <w:bookmarkEnd w:id="204"/>
      <w:bookmarkEnd w:id="205"/>
      <w:bookmarkEnd w:id="206"/>
      <w:bookmarkEnd w:id="207"/>
      <w:bookmarkEnd w:id="208"/>
    </w:p>
    <w:p>
      <w:pPr>
        <w:pStyle w:val="8"/>
        <w:spacing w:line="360" w:lineRule="auto"/>
        <w:ind w:firstLine="0" w:firstLineChars="0"/>
        <w:outlineLvl w:val="2"/>
        <w:rPr>
          <w:rFonts w:hint="eastAsia" w:ascii="宋体" w:hAnsi="宋体"/>
          <w:b/>
          <w:snapToGrid w:val="0"/>
          <w:kern w:val="0"/>
          <w:sz w:val="28"/>
          <w:szCs w:val="28"/>
        </w:rPr>
      </w:pPr>
      <w:bookmarkStart w:id="209" w:name="_Toc356401506"/>
      <w:bookmarkStart w:id="210" w:name="_Toc3743"/>
      <w:bookmarkStart w:id="211" w:name="_Toc514342864"/>
      <w:bookmarkStart w:id="212" w:name="_Toc480804414"/>
      <w:bookmarkStart w:id="213" w:name="_Toc351125383"/>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.1 辨识依据</w:t>
      </w:r>
      <w:bookmarkEnd w:id="209"/>
      <w:bookmarkEnd w:id="210"/>
      <w:bookmarkEnd w:id="211"/>
      <w:bookmarkEnd w:id="212"/>
      <w:bookmarkEnd w:id="213"/>
    </w:p>
    <w:p>
      <w:pPr>
        <w:tabs>
          <w:tab w:val="right" w:leader="hyphen" w:pos="8343"/>
        </w:tabs>
        <w:spacing w:line="360" w:lineRule="auto"/>
        <w:ind w:firstLine="560" w:firstLineChars="200"/>
        <w:rPr>
          <w:rFonts w:hint="eastAsia" w:ascii="宋体" w:hAnsi="宋体"/>
          <w:sz w:val="28"/>
          <w:szCs w:val="28"/>
        </w:rPr>
      </w:pPr>
      <w:r>
        <w:rPr>
          <w:rFonts w:hint="eastAsia" w:ascii="宋体" w:hAnsi="宋体"/>
          <w:sz w:val="28"/>
          <w:szCs w:val="28"/>
        </w:rPr>
        <w:t>根据《中华人民共和国安全生产法》、《危险化学品重大危险源辨识》（</w:t>
      </w:r>
      <w:r>
        <w:rPr>
          <w:rFonts w:hint="eastAsia" w:ascii="宋体" w:hAnsi="宋体"/>
          <w:sz w:val="28"/>
          <w:szCs w:val="28"/>
          <w:lang w:eastAsia="zh-CN"/>
        </w:rPr>
        <w:t>GB18218-2018</w:t>
      </w:r>
      <w:r>
        <w:rPr>
          <w:rFonts w:hint="eastAsia" w:ascii="宋体" w:hAnsi="宋体"/>
          <w:sz w:val="28"/>
          <w:szCs w:val="28"/>
        </w:rPr>
        <w:t>）的有关规定，重大危险源是指长期地或者临时地生产、加工、搬运、使用或储存危险物品，且危险物品的数量等于或超过临界量的场所和设施，以及其他存在危险能量等于或超过临界量的场所和设施。</w:t>
      </w:r>
    </w:p>
    <w:p>
      <w:pPr>
        <w:pStyle w:val="8"/>
        <w:spacing w:line="360" w:lineRule="auto"/>
        <w:ind w:firstLine="0" w:firstLineChars="0"/>
        <w:outlineLvl w:val="2"/>
        <w:rPr>
          <w:rFonts w:hint="eastAsia" w:ascii="宋体" w:hAnsi="宋体"/>
          <w:b/>
          <w:snapToGrid w:val="0"/>
          <w:kern w:val="0"/>
          <w:sz w:val="28"/>
          <w:szCs w:val="28"/>
        </w:rPr>
      </w:pPr>
      <w:bookmarkStart w:id="214" w:name="_Toc351125385"/>
      <w:bookmarkStart w:id="215" w:name="_Toc514342865"/>
      <w:bookmarkStart w:id="216" w:name="_Toc17906"/>
      <w:bookmarkStart w:id="217" w:name="_Toc356401507"/>
      <w:bookmarkStart w:id="218" w:name="_Toc480804415"/>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.2 辨识结果</w:t>
      </w:r>
      <w:bookmarkEnd w:id="214"/>
      <w:bookmarkEnd w:id="215"/>
      <w:bookmarkEnd w:id="216"/>
      <w:bookmarkEnd w:id="217"/>
      <w:bookmarkEnd w:id="218"/>
    </w:p>
    <w:p>
      <w:pPr>
        <w:spacing w:line="360" w:lineRule="auto"/>
        <w:ind w:firstLine="560" w:firstLineChars="200"/>
        <w:rPr>
          <w:rFonts w:hint="eastAsia" w:ascii="宋体" w:hAnsi="宋体"/>
          <w:sz w:val="28"/>
          <w:szCs w:val="28"/>
        </w:rPr>
      </w:pPr>
      <w:r>
        <w:rPr>
          <w:rFonts w:hint="eastAsia"/>
          <w:sz w:val="28"/>
          <w:szCs w:val="28"/>
          <w:lang w:eastAsia="zh-CN"/>
        </w:rPr>
        <w:t>公司</w:t>
      </w:r>
      <w:r>
        <w:rPr>
          <w:rFonts w:hint="eastAsia"/>
          <w:sz w:val="28"/>
          <w:szCs w:val="28"/>
        </w:rPr>
        <w:t>生产过程中的原料、辅料、中间品、产品除柴油外其余均未列入《重大危险源辨识》中，</w:t>
      </w:r>
      <w:r>
        <w:rPr>
          <w:rFonts w:hint="eastAsia"/>
          <w:sz w:val="28"/>
          <w:szCs w:val="28"/>
          <w:lang w:eastAsia="zh-CN"/>
        </w:rPr>
        <w:t>厂区</w:t>
      </w:r>
      <w:r>
        <w:rPr>
          <w:rFonts w:hint="eastAsia"/>
          <w:sz w:val="28"/>
          <w:szCs w:val="28"/>
        </w:rPr>
        <w:t>使用柴油仅做为点火燃料使用，用量少（仅备用1桶，约200L），使用频率低，</w:t>
      </w:r>
      <w:r>
        <w:rPr>
          <w:rFonts w:hint="eastAsia" w:ascii="宋体" w:hAnsi="宋体"/>
          <w:sz w:val="28"/>
          <w:szCs w:val="28"/>
        </w:rPr>
        <w:t>其临界量和拟存放量见下表：</w:t>
      </w:r>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hint="eastAsia" w:ascii="黑体" w:eastAsia="黑体"/>
          <w:b/>
          <w:sz w:val="24"/>
          <w:lang w:eastAsia="zh-CN"/>
        </w:rPr>
        <w:t>-</w:t>
      </w:r>
      <w:r>
        <w:rPr>
          <w:rFonts w:hint="eastAsia" w:ascii="黑体" w:eastAsia="黑体"/>
          <w:b/>
          <w:sz w:val="24"/>
          <w:lang w:val="en-US" w:eastAsia="zh-CN"/>
        </w:rPr>
        <w:t>4</w:t>
      </w:r>
      <w:r>
        <w:rPr>
          <w:rFonts w:hint="eastAsia" w:ascii="黑体" w:eastAsia="黑体"/>
          <w:b/>
          <w:sz w:val="24"/>
        </w:rPr>
        <w:t>危险化学品名称及其临界量</w:t>
      </w:r>
    </w:p>
    <w:tbl>
      <w:tblPr>
        <w:tblStyle w:val="19"/>
        <w:tblW w:w="8711"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3526"/>
        <w:gridCol w:w="1855"/>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03" w:type="dxa"/>
            <w:noWrap w:val="0"/>
            <w:vAlign w:val="center"/>
          </w:tcPr>
          <w:p>
            <w:pPr>
              <w:pStyle w:val="25"/>
              <w:tabs>
                <w:tab w:val="left" w:pos="0"/>
              </w:tabs>
              <w:spacing w:before="0" w:after="0"/>
              <w:rPr>
                <w:rFonts w:hint="eastAsia" w:hAnsi="宋体"/>
                <w:b/>
                <w:spacing w:val="10"/>
                <w:sz w:val="24"/>
                <w:szCs w:val="24"/>
              </w:rPr>
            </w:pPr>
            <w:r>
              <w:rPr>
                <w:rFonts w:hint="eastAsia" w:hAnsi="宋体"/>
                <w:b/>
                <w:spacing w:val="10"/>
                <w:sz w:val="24"/>
                <w:szCs w:val="24"/>
              </w:rPr>
              <w:t>物质名称</w:t>
            </w:r>
          </w:p>
        </w:tc>
        <w:tc>
          <w:tcPr>
            <w:tcW w:w="3526"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类别</w:t>
            </w:r>
          </w:p>
        </w:tc>
        <w:tc>
          <w:tcPr>
            <w:tcW w:w="1855"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临界量/t</w:t>
            </w:r>
          </w:p>
        </w:tc>
        <w:tc>
          <w:tcPr>
            <w:tcW w:w="1827"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实际量/t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503"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柴油</w:t>
            </w:r>
          </w:p>
        </w:tc>
        <w:tc>
          <w:tcPr>
            <w:tcW w:w="3526"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易燃液体（23℃&lt;闪点&lt;61℃）</w:t>
            </w:r>
          </w:p>
        </w:tc>
        <w:tc>
          <w:tcPr>
            <w:tcW w:w="1855"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5000</w:t>
            </w:r>
          </w:p>
        </w:tc>
        <w:tc>
          <w:tcPr>
            <w:tcW w:w="1827"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0.17</w:t>
            </w:r>
          </w:p>
        </w:tc>
      </w:tr>
    </w:tbl>
    <w:p>
      <w:pPr>
        <w:ind w:firstLine="420" w:firstLineChars="200"/>
        <w:rPr>
          <w:rFonts w:hint="eastAsia"/>
          <w:szCs w:val="28"/>
        </w:rPr>
      </w:pPr>
    </w:p>
    <w:p>
      <w:pPr>
        <w:spacing w:line="360" w:lineRule="auto"/>
        <w:ind w:firstLine="560" w:firstLineChars="200"/>
        <w:rPr>
          <w:rFonts w:hint="eastAsia" w:ascii="宋体" w:hAnsi="宋体"/>
          <w:kern w:val="0"/>
          <w:sz w:val="28"/>
          <w:szCs w:val="28"/>
        </w:rPr>
      </w:pPr>
      <w:r>
        <w:rPr>
          <w:rFonts w:hint="eastAsia" w:ascii="宋体" w:hAnsi="宋体"/>
          <w:sz w:val="28"/>
          <w:szCs w:val="28"/>
          <w:lang w:eastAsia="zh-CN"/>
        </w:rPr>
        <w:t>公司</w:t>
      </w:r>
      <w:r>
        <w:rPr>
          <w:rFonts w:hint="eastAsia" w:ascii="宋体" w:hAnsi="宋体"/>
          <w:sz w:val="28"/>
          <w:szCs w:val="28"/>
        </w:rPr>
        <w:t>有柴油储量1桶（200升），柴油密度0.85t/m</w:t>
      </w:r>
      <w:r>
        <w:rPr>
          <w:rFonts w:hint="eastAsia" w:ascii="宋体" w:hAnsi="宋体"/>
          <w:sz w:val="28"/>
          <w:szCs w:val="28"/>
          <w:vertAlign w:val="superscript"/>
        </w:rPr>
        <w:t>3</w:t>
      </w:r>
      <w:r>
        <w:rPr>
          <w:rFonts w:hint="eastAsia" w:ascii="宋体" w:hAnsi="宋体"/>
          <w:sz w:val="28"/>
          <w:szCs w:val="28"/>
        </w:rPr>
        <w:t>，合计0.17t。</w:t>
      </w:r>
    </w:p>
    <w:p>
      <w:pPr>
        <w:spacing w:line="360" w:lineRule="auto"/>
        <w:ind w:firstLine="560" w:firstLineChars="200"/>
        <w:rPr>
          <w:rFonts w:hint="eastAsia" w:ascii="宋体" w:hAnsi="宋体"/>
          <w:sz w:val="28"/>
          <w:szCs w:val="28"/>
          <w:lang w:eastAsia="zh-CN"/>
        </w:rPr>
      </w:pPr>
      <w:r>
        <w:rPr>
          <w:rFonts w:hint="eastAsia" w:ascii="宋体" w:hAnsi="宋体"/>
          <w:sz w:val="28"/>
          <w:szCs w:val="28"/>
          <w:lang w:eastAsia="zh-CN"/>
        </w:rPr>
        <w:t>则：0.17/5000=0.000034＜1</w:t>
      </w:r>
    </w:p>
    <w:bookmarkEnd w:id="40"/>
    <w:p>
      <w:pPr>
        <w:spacing w:line="360" w:lineRule="auto"/>
        <w:ind w:firstLine="560" w:firstLineChars="200"/>
        <w:rPr>
          <w:rFonts w:hint="eastAsia" w:ascii="宋体" w:hAnsi="宋体"/>
          <w:sz w:val="28"/>
          <w:szCs w:val="28"/>
          <w:lang w:eastAsia="zh-CN"/>
        </w:rPr>
      </w:pPr>
      <w:bookmarkStart w:id="219" w:name="_Toc21054"/>
      <w:bookmarkStart w:id="220" w:name="_Toc10261"/>
      <w:r>
        <w:rPr>
          <w:rFonts w:hint="eastAsia" w:ascii="宋体" w:hAnsi="宋体"/>
          <w:sz w:val="28"/>
          <w:szCs w:val="28"/>
          <w:lang w:eastAsia="zh-CN"/>
        </w:rPr>
        <w:t>综上所述，根据《危险化学品重大危险源辨识》(GB18218-20</w:t>
      </w:r>
      <w:r>
        <w:rPr>
          <w:rFonts w:hint="eastAsia" w:ascii="宋体" w:hAnsi="宋体"/>
          <w:sz w:val="28"/>
          <w:szCs w:val="28"/>
          <w:lang w:val="en-US" w:eastAsia="zh-CN"/>
        </w:rPr>
        <w:t>18</w:t>
      </w:r>
      <w:r>
        <w:rPr>
          <w:rFonts w:hint="eastAsia" w:ascii="宋体" w:hAnsi="宋体"/>
          <w:sz w:val="28"/>
          <w:szCs w:val="28"/>
          <w:lang w:eastAsia="zh-CN"/>
        </w:rPr>
        <w:t>)，本公司危险化学品的使用和储存均不构成危险化学品重大危险源。即，仪陇县瓦子镇三鑫页岩砖厂不构成危险化学品重大危险源。</w:t>
      </w:r>
    </w:p>
    <w:p>
      <w:pPr>
        <w:pStyle w:val="8"/>
        <w:spacing w:line="360" w:lineRule="auto"/>
        <w:ind w:firstLine="0" w:firstLineChars="0"/>
        <w:outlineLvl w:val="1"/>
        <w:rPr>
          <w:rFonts w:hint="eastAsia" w:ascii="黑体" w:eastAsia="黑体"/>
          <w:b/>
          <w:snapToGrid w:val="0"/>
          <w:kern w:val="0"/>
          <w:sz w:val="32"/>
          <w:szCs w:val="32"/>
          <w:lang w:val="en-US" w:eastAsia="zh-CN"/>
        </w:rPr>
      </w:pPr>
      <w:bookmarkStart w:id="221" w:name="_Toc31555"/>
      <w:r>
        <w:rPr>
          <w:rFonts w:hint="eastAsia" w:ascii="黑体" w:eastAsia="黑体"/>
          <w:b/>
          <w:snapToGrid w:val="0"/>
          <w:kern w:val="0"/>
          <w:sz w:val="32"/>
          <w:szCs w:val="32"/>
          <w:lang w:val="en-US" w:eastAsia="zh-CN"/>
        </w:rPr>
        <w:t>3.8小结</w:t>
      </w:r>
      <w:bookmarkEnd w:id="219"/>
      <w:bookmarkEnd w:id="220"/>
      <w:bookmarkEnd w:id="221"/>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ascii="黑体" w:eastAsia="黑体"/>
          <w:b/>
          <w:sz w:val="24"/>
        </w:rPr>
        <w:t>-</w:t>
      </w:r>
      <w:r>
        <w:rPr>
          <w:rFonts w:hint="eastAsia" w:ascii="黑体" w:eastAsia="黑体"/>
          <w:b/>
          <w:sz w:val="24"/>
          <w:lang w:val="en-US" w:eastAsia="zh-CN"/>
        </w:rPr>
        <w:t>5</w:t>
      </w:r>
      <w:r>
        <w:rPr>
          <w:rFonts w:ascii="黑体" w:eastAsia="黑体"/>
          <w:b/>
          <w:sz w:val="24"/>
        </w:rPr>
        <w:t xml:space="preserve">  </w:t>
      </w:r>
      <w:r>
        <w:rPr>
          <w:rFonts w:hint="eastAsia" w:ascii="黑体" w:eastAsia="黑体"/>
          <w:b/>
          <w:sz w:val="24"/>
        </w:rPr>
        <w:t>危险、有害因素汇总表</w:t>
      </w:r>
    </w:p>
    <w:tbl>
      <w:tblPr>
        <w:tblStyle w:val="19"/>
        <w:tblpPr w:leftFromText="180" w:rightFromText="180" w:vertAnchor="text" w:horzAnchor="page" w:tblpX="1249" w:tblpY="447"/>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94"/>
        <w:gridCol w:w="2148"/>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bookmarkStart w:id="222" w:name="_Toc29398"/>
            <w:bookmarkStart w:id="223" w:name="_Toc10334"/>
            <w:r>
              <w:rPr>
                <w:rFonts w:hint="eastAsia" w:ascii="宋体" w:hAnsi="宋体" w:cs="宋体"/>
                <w:color w:val="auto"/>
                <w:sz w:val="24"/>
              </w:rPr>
              <w:t>序号</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活动/工序/地点</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项 目</w:t>
            </w:r>
          </w:p>
        </w:tc>
        <w:tc>
          <w:tcPr>
            <w:tcW w:w="524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主要危险、危害简要分析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进入工作场所人员</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进场安全教育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为严格按规定内容教育，造成多种伤害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2</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特殊工种及特种作业人员培训</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作业人员培训效果不好，造成多种伤害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现场作业人员教育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安全意识不强，发生高处坠落和物体打击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4</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 xml:space="preserve"> 原材料、辅料储存和运输</w:t>
            </w:r>
          </w:p>
        </w:tc>
        <w:tc>
          <w:tcPr>
            <w:tcW w:w="2148"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页岩矿、煤、砖</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在装卸、</w:t>
            </w:r>
            <w:r>
              <w:rPr>
                <w:rFonts w:hint="eastAsia" w:ascii="宋体" w:hAnsi="宋体" w:cs="宋体"/>
                <w:color w:val="auto"/>
                <w:sz w:val="24"/>
                <w:lang w:eastAsia="zh-CN"/>
              </w:rPr>
              <w:t>破碎</w:t>
            </w:r>
            <w:r>
              <w:rPr>
                <w:rFonts w:hint="eastAsia" w:ascii="宋体" w:hAnsi="宋体" w:cs="宋体"/>
                <w:color w:val="auto"/>
                <w:sz w:val="24"/>
              </w:rPr>
              <w:t>、</w:t>
            </w:r>
            <w:r>
              <w:rPr>
                <w:rFonts w:hint="eastAsia" w:ascii="宋体" w:hAnsi="宋体" w:cs="宋体"/>
                <w:color w:val="auto"/>
                <w:sz w:val="24"/>
                <w:lang w:eastAsia="zh-CN"/>
              </w:rPr>
              <w:t>制砖、上煤、</w:t>
            </w:r>
            <w:r>
              <w:rPr>
                <w:rFonts w:hint="eastAsia" w:ascii="宋体" w:hAnsi="宋体" w:cs="宋体"/>
                <w:color w:val="auto"/>
                <w:sz w:val="24"/>
              </w:rPr>
              <w:t>搅拌过程中主要存在粉尘危害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5</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w:t>
            </w:r>
          </w:p>
          <w:p>
            <w:pPr>
              <w:spacing w:line="240" w:lineRule="auto"/>
              <w:jc w:val="center"/>
              <w:rPr>
                <w:rFonts w:hint="eastAsia" w:ascii="宋体" w:hAnsi="宋体" w:cs="宋体"/>
                <w:color w:val="auto"/>
                <w:sz w:val="24"/>
              </w:rPr>
            </w:pPr>
            <w:r>
              <w:rPr>
                <w:rFonts w:hint="eastAsia" w:ascii="宋体" w:hAnsi="宋体" w:cs="宋体"/>
                <w:color w:val="auto"/>
                <w:sz w:val="24"/>
              </w:rPr>
              <w:t>过程</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凿岩作业</w:t>
            </w:r>
            <w:r>
              <w:rPr>
                <w:rFonts w:hint="eastAsia" w:ascii="宋体" w:hAnsi="宋体" w:cs="宋体"/>
                <w:color w:val="auto"/>
                <w:sz w:val="24"/>
                <w:lang w:eastAsia="zh-CN"/>
              </w:rPr>
              <w:t>和</w:t>
            </w:r>
            <w:r>
              <w:rPr>
                <w:rFonts w:hint="eastAsia" w:ascii="宋体" w:hAnsi="宋体" w:cs="宋体"/>
                <w:color w:val="auto"/>
                <w:sz w:val="24"/>
              </w:rPr>
              <w:t>砖窑</w:t>
            </w:r>
            <w:r>
              <w:rPr>
                <w:rFonts w:hint="eastAsia" w:ascii="宋体" w:hAnsi="宋体" w:cs="宋体"/>
                <w:color w:val="auto"/>
                <w:sz w:val="24"/>
                <w:lang w:eastAsia="zh-CN"/>
              </w:rPr>
              <w:t>等</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造成物体打击及高处坠落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破碎区上料口、上砖</w:t>
            </w:r>
            <w:r>
              <w:rPr>
                <w:rFonts w:hint="eastAsia" w:ascii="宋体" w:hAnsi="宋体" w:cs="宋体"/>
                <w:color w:val="auto"/>
                <w:sz w:val="24"/>
              </w:rPr>
              <w:t>作业场所</w:t>
            </w:r>
            <w:r>
              <w:rPr>
                <w:rFonts w:hint="eastAsia" w:ascii="宋体" w:hAnsi="宋体" w:cs="宋体"/>
                <w:color w:val="auto"/>
                <w:sz w:val="24"/>
                <w:lang w:eastAsia="zh-CN"/>
              </w:rPr>
              <w:t>和</w:t>
            </w:r>
            <w:r>
              <w:rPr>
                <w:rFonts w:hint="eastAsia" w:ascii="宋体" w:hAnsi="宋体" w:cs="宋体"/>
                <w:color w:val="auto"/>
                <w:sz w:val="24"/>
              </w:rPr>
              <w:t>运输途中</w:t>
            </w:r>
          </w:p>
        </w:tc>
        <w:tc>
          <w:tcPr>
            <w:tcW w:w="5246" w:type="dxa"/>
            <w:noWrap w:val="0"/>
            <w:vAlign w:val="center"/>
          </w:tcPr>
          <w:p>
            <w:pPr>
              <w:spacing w:line="240" w:lineRule="auto"/>
              <w:jc w:val="left"/>
              <w:rPr>
                <w:rFonts w:hint="eastAsia" w:ascii="宋体" w:hAnsi="宋体" w:eastAsia="宋体" w:cs="宋体"/>
                <w:color w:val="auto"/>
                <w:sz w:val="24"/>
                <w:lang w:val="en-US" w:eastAsia="zh-CN"/>
              </w:rPr>
            </w:pPr>
            <w:r>
              <w:rPr>
                <w:rFonts w:hint="eastAsia" w:ascii="宋体" w:hAnsi="宋体" w:cs="宋体"/>
                <w:color w:val="auto"/>
                <w:sz w:val="24"/>
              </w:rPr>
              <w:t>造成</w:t>
            </w:r>
            <w:r>
              <w:rPr>
                <w:rFonts w:hint="eastAsia" w:ascii="宋体" w:hAnsi="宋体" w:cs="宋体"/>
                <w:color w:val="auto"/>
                <w:sz w:val="24"/>
                <w:lang w:eastAsia="zh-CN"/>
              </w:rPr>
              <w:t>车辆伤害、机械伤害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6</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堆土场坍塌和成品区坍塌</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造成坍塌事故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烧窑过程中</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7</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指挥错误造成多种伤害。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8</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电工作业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违章操作用电造成触电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9</w:t>
            </w:r>
          </w:p>
        </w:tc>
        <w:tc>
          <w:tcPr>
            <w:tcW w:w="1594" w:type="dxa"/>
            <w:vMerge w:val="restart"/>
            <w:noWrap w:val="0"/>
            <w:vAlign w:val="center"/>
          </w:tcPr>
          <w:p>
            <w:pPr>
              <w:spacing w:line="240" w:lineRule="auto"/>
              <w:jc w:val="center"/>
              <w:rPr>
                <w:rFonts w:hint="eastAsia" w:ascii="宋体" w:hAnsi="宋体" w:cs="宋体"/>
                <w:color w:val="auto"/>
                <w:sz w:val="24"/>
              </w:rPr>
            </w:pPr>
          </w:p>
          <w:p>
            <w:pPr>
              <w:spacing w:line="240" w:lineRule="auto"/>
              <w:jc w:val="center"/>
              <w:rPr>
                <w:rFonts w:hint="eastAsia" w:ascii="宋体" w:hAnsi="宋体" w:cs="宋体"/>
                <w:color w:val="auto"/>
                <w:sz w:val="24"/>
              </w:rPr>
            </w:pPr>
            <w:r>
              <w:rPr>
                <w:rFonts w:hint="eastAsia" w:ascii="宋体" w:hAnsi="宋体" w:cs="宋体"/>
                <w:color w:val="auto"/>
                <w:sz w:val="24"/>
              </w:rPr>
              <w:t>设备运行、维护和保养</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机动车辆驾驶(包括装载机)</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作业环境不良，违章驾驶造成机械伤害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10</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焊接(切割)作业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紫外线、电危害粉尘等金属烟尘，造成中毒、尘肺、触电烧烫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1</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制砖</w:t>
            </w:r>
            <w:r>
              <w:rPr>
                <w:rFonts w:hint="eastAsia" w:ascii="宋体" w:hAnsi="宋体" w:cs="宋体"/>
                <w:color w:val="auto"/>
                <w:sz w:val="24"/>
              </w:rPr>
              <w:t>设备</w:t>
            </w:r>
            <w:r>
              <w:rPr>
                <w:rFonts w:hint="eastAsia" w:ascii="宋体" w:hAnsi="宋体" w:cs="宋体"/>
                <w:color w:val="auto"/>
                <w:sz w:val="24"/>
                <w:lang w:eastAsia="zh-CN"/>
              </w:rPr>
              <w:t>、破碎设备</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结构庞大、设备复杂，结构暴露部位多，且作业时需多人配合，极易发生</w:t>
            </w:r>
            <w:r>
              <w:rPr>
                <w:rFonts w:hint="eastAsia" w:ascii="宋体" w:hAnsi="宋体" w:cs="宋体"/>
                <w:color w:val="auto"/>
                <w:sz w:val="24"/>
                <w:lang w:eastAsia="zh-CN"/>
              </w:rPr>
              <w:t>机械伤害</w:t>
            </w:r>
            <w:r>
              <w:rPr>
                <w:rFonts w:hint="eastAsia" w:ascii="宋体" w:hAnsi="宋体" w:cs="宋体"/>
                <w:color w:val="auto"/>
                <w:sz w:val="24"/>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其它辅助活动</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档案、资料管理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明火、照明线路不良等造成火灾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  公</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地面、楼梯存水及障碍物其他伤害摔伤、撞伤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办公照明用电</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违章操作触电</w:t>
            </w:r>
          </w:p>
        </w:tc>
      </w:tr>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numPr>
          <w:ilvl w:val="0"/>
          <w:numId w:val="0"/>
        </w:numPr>
        <w:spacing w:line="360" w:lineRule="auto"/>
        <w:jc w:val="center"/>
        <w:outlineLvl w:val="0"/>
        <w:rPr>
          <w:rFonts w:hint="eastAsia" w:ascii="黑体" w:hAnsi="宋体" w:eastAsia="黑体"/>
          <w:b/>
          <w:sz w:val="32"/>
          <w:szCs w:val="32"/>
        </w:rPr>
      </w:pPr>
      <w:bookmarkStart w:id="224" w:name="_Toc9636"/>
      <w:r>
        <w:rPr>
          <w:rFonts w:hint="eastAsia" w:ascii="黑体" w:hAnsi="宋体" w:eastAsia="黑体"/>
          <w:b/>
          <w:sz w:val="32"/>
          <w:szCs w:val="32"/>
          <w:lang w:val="en-US" w:eastAsia="zh-CN"/>
        </w:rPr>
        <w:t>4</w:t>
      </w:r>
      <w:r>
        <w:rPr>
          <w:rFonts w:hint="eastAsia" w:ascii="黑体" w:hAnsi="宋体" w:eastAsia="黑体"/>
          <w:b/>
          <w:sz w:val="32"/>
          <w:szCs w:val="32"/>
        </w:rPr>
        <w:t>评估结论与建议</w:t>
      </w:r>
      <w:bookmarkEnd w:id="222"/>
      <w:bookmarkEnd w:id="224"/>
    </w:p>
    <w:p>
      <w:pPr>
        <w:pStyle w:val="5"/>
        <w:autoSpaceDN w:val="0"/>
        <w:spacing w:before="0" w:after="0" w:line="360" w:lineRule="auto"/>
        <w:jc w:val="left"/>
        <w:rPr>
          <w:rFonts w:hint="eastAsia" w:ascii="黑体" w:hAnsi="黑体"/>
          <w:sz w:val="28"/>
          <w:szCs w:val="28"/>
          <w:lang w:val="en-US" w:eastAsia="zh-CN"/>
        </w:rPr>
      </w:pPr>
      <w:bookmarkStart w:id="225" w:name="_Toc29428"/>
      <w:r>
        <w:rPr>
          <w:rFonts w:hint="eastAsia" w:ascii="黑体" w:hAnsi="黑体"/>
          <w:sz w:val="28"/>
          <w:szCs w:val="28"/>
          <w:lang w:val="en-US" w:eastAsia="zh-CN"/>
        </w:rPr>
        <w:t>4.1总体评价结论</w:t>
      </w:r>
      <w:bookmarkEnd w:id="223"/>
      <w:bookmarkEnd w:id="225"/>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通过对仪陇县瓦子镇三鑫页岩砖厂周边环境、总平面布置及建构筑物、生产设施与设备安全、生产工艺控制、危险化学品储存使用、公辅工程、安全管理等方面的综合评价，本公司各类危险源均处在动态监控中，在日常生产过程中发现隐患问题，能够及时得到整改，加强员工教育，杜绝“三违”现象，就能够做到事故可防可控。本公司《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pPr>
        <w:pStyle w:val="5"/>
        <w:autoSpaceDN w:val="0"/>
        <w:spacing w:before="0" w:after="0" w:line="360" w:lineRule="auto"/>
        <w:jc w:val="left"/>
        <w:rPr>
          <w:rFonts w:hint="eastAsia" w:ascii="黑体" w:hAnsi="黑体"/>
          <w:sz w:val="28"/>
          <w:szCs w:val="28"/>
        </w:rPr>
      </w:pPr>
      <w:bookmarkStart w:id="226" w:name="_Toc22214"/>
      <w:bookmarkStart w:id="227" w:name="_Toc5799"/>
      <w:bookmarkStart w:id="228" w:name="_Toc25434"/>
      <w:r>
        <w:rPr>
          <w:rFonts w:hint="eastAsia" w:ascii="黑体" w:hAnsi="黑体"/>
          <w:sz w:val="28"/>
          <w:szCs w:val="28"/>
          <w:lang w:val="en-US" w:eastAsia="zh-CN"/>
        </w:rPr>
        <w:t>4</w:t>
      </w:r>
      <w:r>
        <w:rPr>
          <w:rFonts w:hint="eastAsia" w:ascii="黑体" w:hAnsi="黑体"/>
          <w:sz w:val="28"/>
          <w:szCs w:val="28"/>
        </w:rPr>
        <w:t>.</w:t>
      </w:r>
      <w:r>
        <w:rPr>
          <w:rFonts w:hint="eastAsia" w:ascii="黑体" w:hAnsi="黑体"/>
          <w:sz w:val="28"/>
          <w:szCs w:val="28"/>
          <w:lang w:val="en-US" w:eastAsia="zh-CN"/>
        </w:rPr>
        <w:t>2</w:t>
      </w:r>
      <w:r>
        <w:rPr>
          <w:rFonts w:hint="eastAsia" w:ascii="黑体" w:hAnsi="黑体"/>
          <w:sz w:val="28"/>
          <w:szCs w:val="28"/>
        </w:rPr>
        <w:t>建议</w:t>
      </w:r>
      <w:bookmarkEnd w:id="226"/>
      <w:bookmarkEnd w:id="227"/>
      <w:bookmarkEnd w:id="228"/>
    </w:p>
    <w:p>
      <w:pPr>
        <w:spacing w:line="360" w:lineRule="auto"/>
        <w:ind w:firstLine="560" w:firstLineChars="200"/>
        <w:rPr>
          <w:sz w:val="28"/>
          <w:szCs w:val="28"/>
        </w:rPr>
      </w:pPr>
      <w:r>
        <w:rPr>
          <w:sz w:val="28"/>
          <w:szCs w:val="28"/>
        </w:rPr>
        <w:t>（1）应加强对现有安全措施及消防装置的维护检查，确保安全设施及消防措施的可靠性，在发生险情时能有效地发挥其作用。对损坏、失效的消防设备设施要作到及时修复和更换。</w:t>
      </w:r>
    </w:p>
    <w:p>
      <w:pPr>
        <w:spacing w:line="360" w:lineRule="auto"/>
        <w:ind w:firstLine="560" w:firstLineChars="200"/>
        <w:rPr>
          <w:sz w:val="28"/>
          <w:szCs w:val="28"/>
        </w:rPr>
      </w:pPr>
      <w:r>
        <w:rPr>
          <w:sz w:val="28"/>
          <w:szCs w:val="28"/>
        </w:rPr>
        <w:t>（2）应增加应急救援器材，确保事故发生或作业人员发生人身伤害时，能够及时采取有效救援措施，减轻伤害程度，控制事故的发展。</w:t>
      </w:r>
    </w:p>
    <w:p>
      <w:pPr>
        <w:rPr>
          <w:rFonts w:hint="eastAsia"/>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简体">
    <w:altName w:val="宋体"/>
    <w:panose1 w:val="02010601030101010101"/>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PMingLiU">
    <w:altName w:val="PMingLiU-ExtB"/>
    <w:panose1 w:val="02020500000000000000"/>
    <w:charset w:val="78"/>
    <w:family w:val="auto"/>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F723BC"/>
    <w:rsid w:val="00324365"/>
    <w:rsid w:val="005247D8"/>
    <w:rsid w:val="005D60C3"/>
    <w:rsid w:val="00B44381"/>
    <w:rsid w:val="01B34626"/>
    <w:rsid w:val="01D26CA9"/>
    <w:rsid w:val="02EB4D5F"/>
    <w:rsid w:val="03D37A5F"/>
    <w:rsid w:val="047007AE"/>
    <w:rsid w:val="059A7F41"/>
    <w:rsid w:val="06330342"/>
    <w:rsid w:val="06867417"/>
    <w:rsid w:val="069D7701"/>
    <w:rsid w:val="07024A58"/>
    <w:rsid w:val="0731706A"/>
    <w:rsid w:val="07835CC2"/>
    <w:rsid w:val="07A44FA0"/>
    <w:rsid w:val="07B56C35"/>
    <w:rsid w:val="07E323AA"/>
    <w:rsid w:val="07F26DF4"/>
    <w:rsid w:val="0808585B"/>
    <w:rsid w:val="0814262C"/>
    <w:rsid w:val="08FB3207"/>
    <w:rsid w:val="0A1B12D6"/>
    <w:rsid w:val="0A54055C"/>
    <w:rsid w:val="0A5621CC"/>
    <w:rsid w:val="0AE45EDA"/>
    <w:rsid w:val="0AF829E5"/>
    <w:rsid w:val="0C18342B"/>
    <w:rsid w:val="0CA8623A"/>
    <w:rsid w:val="0D066290"/>
    <w:rsid w:val="0D3B3E73"/>
    <w:rsid w:val="0DE0620E"/>
    <w:rsid w:val="0E6D3139"/>
    <w:rsid w:val="0EB95D58"/>
    <w:rsid w:val="0ECB0C27"/>
    <w:rsid w:val="0F25281E"/>
    <w:rsid w:val="0F77136B"/>
    <w:rsid w:val="0F842DC8"/>
    <w:rsid w:val="0F9227C9"/>
    <w:rsid w:val="0FE50957"/>
    <w:rsid w:val="112E4204"/>
    <w:rsid w:val="11385FCD"/>
    <w:rsid w:val="11C747FB"/>
    <w:rsid w:val="11D61819"/>
    <w:rsid w:val="11F65369"/>
    <w:rsid w:val="12651DAC"/>
    <w:rsid w:val="128342A7"/>
    <w:rsid w:val="12CA5EC1"/>
    <w:rsid w:val="13174795"/>
    <w:rsid w:val="134B441C"/>
    <w:rsid w:val="136C6E71"/>
    <w:rsid w:val="13C77420"/>
    <w:rsid w:val="140B1FB2"/>
    <w:rsid w:val="143B6186"/>
    <w:rsid w:val="14694763"/>
    <w:rsid w:val="14742777"/>
    <w:rsid w:val="149039AD"/>
    <w:rsid w:val="14B414F7"/>
    <w:rsid w:val="15570D21"/>
    <w:rsid w:val="155E39C3"/>
    <w:rsid w:val="158733A6"/>
    <w:rsid w:val="15A14830"/>
    <w:rsid w:val="165B5ABE"/>
    <w:rsid w:val="16ED61B4"/>
    <w:rsid w:val="170B2C2B"/>
    <w:rsid w:val="172C1FB3"/>
    <w:rsid w:val="173B5FB4"/>
    <w:rsid w:val="17D8718E"/>
    <w:rsid w:val="18A56828"/>
    <w:rsid w:val="18E72215"/>
    <w:rsid w:val="18E80829"/>
    <w:rsid w:val="19837993"/>
    <w:rsid w:val="19D37E9F"/>
    <w:rsid w:val="1A4F49A7"/>
    <w:rsid w:val="1AF723BC"/>
    <w:rsid w:val="1B584D22"/>
    <w:rsid w:val="1B7B5998"/>
    <w:rsid w:val="1BB675E2"/>
    <w:rsid w:val="1BCF066F"/>
    <w:rsid w:val="1BD90D39"/>
    <w:rsid w:val="1BEC385B"/>
    <w:rsid w:val="1C0A5497"/>
    <w:rsid w:val="1D752B45"/>
    <w:rsid w:val="1D85003A"/>
    <w:rsid w:val="1DC712A8"/>
    <w:rsid w:val="1DD34EC9"/>
    <w:rsid w:val="1DEB3E64"/>
    <w:rsid w:val="1E165C3D"/>
    <w:rsid w:val="1E220183"/>
    <w:rsid w:val="1E8E35FC"/>
    <w:rsid w:val="1F2F4931"/>
    <w:rsid w:val="1F3805F9"/>
    <w:rsid w:val="1F4340AC"/>
    <w:rsid w:val="1F48275D"/>
    <w:rsid w:val="1F647F1F"/>
    <w:rsid w:val="1F7A37C8"/>
    <w:rsid w:val="1F8D03F9"/>
    <w:rsid w:val="1F8E5F41"/>
    <w:rsid w:val="1FB86C9B"/>
    <w:rsid w:val="1FC13459"/>
    <w:rsid w:val="1FE208B9"/>
    <w:rsid w:val="208858FB"/>
    <w:rsid w:val="20BE35EE"/>
    <w:rsid w:val="21A05E53"/>
    <w:rsid w:val="22627230"/>
    <w:rsid w:val="22C3776E"/>
    <w:rsid w:val="22D832A8"/>
    <w:rsid w:val="22E40C74"/>
    <w:rsid w:val="22E759E4"/>
    <w:rsid w:val="23032879"/>
    <w:rsid w:val="239931F2"/>
    <w:rsid w:val="23D97413"/>
    <w:rsid w:val="240D3547"/>
    <w:rsid w:val="2439225C"/>
    <w:rsid w:val="24450122"/>
    <w:rsid w:val="244C16C4"/>
    <w:rsid w:val="245A3C4E"/>
    <w:rsid w:val="24FB56BC"/>
    <w:rsid w:val="25AF1A07"/>
    <w:rsid w:val="25F57BEE"/>
    <w:rsid w:val="26524A71"/>
    <w:rsid w:val="26A96685"/>
    <w:rsid w:val="26E103D1"/>
    <w:rsid w:val="27614997"/>
    <w:rsid w:val="277D73A1"/>
    <w:rsid w:val="2793442C"/>
    <w:rsid w:val="27C206E8"/>
    <w:rsid w:val="28982FE2"/>
    <w:rsid w:val="28B83BFF"/>
    <w:rsid w:val="290F2046"/>
    <w:rsid w:val="2923409D"/>
    <w:rsid w:val="294C2435"/>
    <w:rsid w:val="298C52F0"/>
    <w:rsid w:val="29925E1A"/>
    <w:rsid w:val="2997713A"/>
    <w:rsid w:val="2A1D0F47"/>
    <w:rsid w:val="2A5B6A09"/>
    <w:rsid w:val="2B040F9D"/>
    <w:rsid w:val="2B34415E"/>
    <w:rsid w:val="2B3C65FF"/>
    <w:rsid w:val="2BDD5569"/>
    <w:rsid w:val="2C0870D6"/>
    <w:rsid w:val="2C5A6C5D"/>
    <w:rsid w:val="2C955142"/>
    <w:rsid w:val="2CB53128"/>
    <w:rsid w:val="2CD176A6"/>
    <w:rsid w:val="2CE03705"/>
    <w:rsid w:val="2CE5756B"/>
    <w:rsid w:val="2D17630C"/>
    <w:rsid w:val="2D2D3B92"/>
    <w:rsid w:val="2D980C0B"/>
    <w:rsid w:val="2DA36ECA"/>
    <w:rsid w:val="2DFE08A6"/>
    <w:rsid w:val="2E313DDB"/>
    <w:rsid w:val="2EB87CC0"/>
    <w:rsid w:val="2EC16023"/>
    <w:rsid w:val="2ED80F4B"/>
    <w:rsid w:val="2F1B7849"/>
    <w:rsid w:val="2F8D64C0"/>
    <w:rsid w:val="300251B5"/>
    <w:rsid w:val="305C4346"/>
    <w:rsid w:val="310028DA"/>
    <w:rsid w:val="313177DD"/>
    <w:rsid w:val="32240BF8"/>
    <w:rsid w:val="322A0AE4"/>
    <w:rsid w:val="3235563A"/>
    <w:rsid w:val="32683B2D"/>
    <w:rsid w:val="327E3643"/>
    <w:rsid w:val="32AF5AD2"/>
    <w:rsid w:val="32C563AD"/>
    <w:rsid w:val="32FE496E"/>
    <w:rsid w:val="330C362C"/>
    <w:rsid w:val="335A7005"/>
    <w:rsid w:val="33956D13"/>
    <w:rsid w:val="339D79F1"/>
    <w:rsid w:val="33A20370"/>
    <w:rsid w:val="33B37D8A"/>
    <w:rsid w:val="33BB103D"/>
    <w:rsid w:val="34383A5B"/>
    <w:rsid w:val="343E683F"/>
    <w:rsid w:val="34554F53"/>
    <w:rsid w:val="34662EA6"/>
    <w:rsid w:val="347F25F8"/>
    <w:rsid w:val="35532903"/>
    <w:rsid w:val="37095278"/>
    <w:rsid w:val="37260A87"/>
    <w:rsid w:val="376A4991"/>
    <w:rsid w:val="37D179DF"/>
    <w:rsid w:val="37F5632A"/>
    <w:rsid w:val="388958CC"/>
    <w:rsid w:val="39102AC2"/>
    <w:rsid w:val="393A7B4C"/>
    <w:rsid w:val="39A80794"/>
    <w:rsid w:val="39CB2810"/>
    <w:rsid w:val="39EF57AC"/>
    <w:rsid w:val="3A5F15D0"/>
    <w:rsid w:val="3A7A59C2"/>
    <w:rsid w:val="3A8A5198"/>
    <w:rsid w:val="3AB647BD"/>
    <w:rsid w:val="3B3E3E45"/>
    <w:rsid w:val="3CA77EE1"/>
    <w:rsid w:val="3CE4144F"/>
    <w:rsid w:val="3D294EE0"/>
    <w:rsid w:val="3DAE5076"/>
    <w:rsid w:val="3DE73B46"/>
    <w:rsid w:val="3DE83AD0"/>
    <w:rsid w:val="3E9F6159"/>
    <w:rsid w:val="3FBC7E4E"/>
    <w:rsid w:val="3FDC1A36"/>
    <w:rsid w:val="3FDD2101"/>
    <w:rsid w:val="3FEA6A42"/>
    <w:rsid w:val="409F3EEA"/>
    <w:rsid w:val="40A21DB4"/>
    <w:rsid w:val="40B7729C"/>
    <w:rsid w:val="411F7579"/>
    <w:rsid w:val="41355E93"/>
    <w:rsid w:val="41730BF7"/>
    <w:rsid w:val="428B2341"/>
    <w:rsid w:val="433507F9"/>
    <w:rsid w:val="441915F5"/>
    <w:rsid w:val="45770186"/>
    <w:rsid w:val="459F7826"/>
    <w:rsid w:val="464A1410"/>
    <w:rsid w:val="46F66BD7"/>
    <w:rsid w:val="47341022"/>
    <w:rsid w:val="477E3CE3"/>
    <w:rsid w:val="48184499"/>
    <w:rsid w:val="483B34B0"/>
    <w:rsid w:val="48FD757B"/>
    <w:rsid w:val="491C391B"/>
    <w:rsid w:val="492B09D8"/>
    <w:rsid w:val="498E082D"/>
    <w:rsid w:val="4A3D268D"/>
    <w:rsid w:val="4A720B65"/>
    <w:rsid w:val="4AAF0090"/>
    <w:rsid w:val="4B064935"/>
    <w:rsid w:val="4B090AF7"/>
    <w:rsid w:val="4B220275"/>
    <w:rsid w:val="4B483AD9"/>
    <w:rsid w:val="4B6768D2"/>
    <w:rsid w:val="4BFC05F5"/>
    <w:rsid w:val="4C0F77AD"/>
    <w:rsid w:val="4C6D0410"/>
    <w:rsid w:val="4C8611D9"/>
    <w:rsid w:val="4D02687F"/>
    <w:rsid w:val="4D453DC9"/>
    <w:rsid w:val="4D8D0BEB"/>
    <w:rsid w:val="4DB8268A"/>
    <w:rsid w:val="4DF07C13"/>
    <w:rsid w:val="4E426085"/>
    <w:rsid w:val="4E8B327B"/>
    <w:rsid w:val="4ED74A31"/>
    <w:rsid w:val="4EFD13C2"/>
    <w:rsid w:val="4EFE4FA4"/>
    <w:rsid w:val="4F886CE6"/>
    <w:rsid w:val="50993D59"/>
    <w:rsid w:val="515512D0"/>
    <w:rsid w:val="516E3E1E"/>
    <w:rsid w:val="51770C66"/>
    <w:rsid w:val="51C92B72"/>
    <w:rsid w:val="51F47B43"/>
    <w:rsid w:val="525C2381"/>
    <w:rsid w:val="52622A40"/>
    <w:rsid w:val="52755F2A"/>
    <w:rsid w:val="527A20EE"/>
    <w:rsid w:val="532B27D1"/>
    <w:rsid w:val="53A07D90"/>
    <w:rsid w:val="53C43072"/>
    <w:rsid w:val="53EA2B27"/>
    <w:rsid w:val="540B4142"/>
    <w:rsid w:val="5455526C"/>
    <w:rsid w:val="54D21C50"/>
    <w:rsid w:val="55FD3636"/>
    <w:rsid w:val="564C147E"/>
    <w:rsid w:val="56775B43"/>
    <w:rsid w:val="5681710C"/>
    <w:rsid w:val="571950BC"/>
    <w:rsid w:val="57D309C6"/>
    <w:rsid w:val="58B72C33"/>
    <w:rsid w:val="590B70B3"/>
    <w:rsid w:val="592F0C5C"/>
    <w:rsid w:val="59336AE3"/>
    <w:rsid w:val="59A421BC"/>
    <w:rsid w:val="59E15F92"/>
    <w:rsid w:val="59ED3977"/>
    <w:rsid w:val="5A0C0B47"/>
    <w:rsid w:val="5AE86358"/>
    <w:rsid w:val="5B8C578C"/>
    <w:rsid w:val="5B942AB1"/>
    <w:rsid w:val="5BA27CFF"/>
    <w:rsid w:val="5BE34BD9"/>
    <w:rsid w:val="5BEC5827"/>
    <w:rsid w:val="5C2E219B"/>
    <w:rsid w:val="5C6F0596"/>
    <w:rsid w:val="5CB37775"/>
    <w:rsid w:val="5DDA2367"/>
    <w:rsid w:val="5E373F89"/>
    <w:rsid w:val="5E5068C1"/>
    <w:rsid w:val="5E9B5A1F"/>
    <w:rsid w:val="5EFD55DF"/>
    <w:rsid w:val="5F053AC2"/>
    <w:rsid w:val="5F0B5C76"/>
    <w:rsid w:val="5F16731B"/>
    <w:rsid w:val="5F1C71B2"/>
    <w:rsid w:val="5F1D225B"/>
    <w:rsid w:val="5F21657F"/>
    <w:rsid w:val="5F4A1C91"/>
    <w:rsid w:val="5FCA3D8D"/>
    <w:rsid w:val="60377224"/>
    <w:rsid w:val="607D49FD"/>
    <w:rsid w:val="60E67C6D"/>
    <w:rsid w:val="61043818"/>
    <w:rsid w:val="612E1200"/>
    <w:rsid w:val="613618D5"/>
    <w:rsid w:val="61E37CF9"/>
    <w:rsid w:val="61EF4BAD"/>
    <w:rsid w:val="622E630D"/>
    <w:rsid w:val="62742DCD"/>
    <w:rsid w:val="62B91BA7"/>
    <w:rsid w:val="62D7527A"/>
    <w:rsid w:val="63156E86"/>
    <w:rsid w:val="6395494B"/>
    <w:rsid w:val="639A41C4"/>
    <w:rsid w:val="63AD0D00"/>
    <w:rsid w:val="63CF1848"/>
    <w:rsid w:val="63E37986"/>
    <w:rsid w:val="64360ADF"/>
    <w:rsid w:val="64F03451"/>
    <w:rsid w:val="64FB6E9F"/>
    <w:rsid w:val="654C0C6E"/>
    <w:rsid w:val="65B43BEA"/>
    <w:rsid w:val="65C409EA"/>
    <w:rsid w:val="663A3EB4"/>
    <w:rsid w:val="66E17464"/>
    <w:rsid w:val="67D414E5"/>
    <w:rsid w:val="69A5229A"/>
    <w:rsid w:val="69A97278"/>
    <w:rsid w:val="69F554D1"/>
    <w:rsid w:val="6BBC26DD"/>
    <w:rsid w:val="6BF603B0"/>
    <w:rsid w:val="6C290D26"/>
    <w:rsid w:val="6C2D1542"/>
    <w:rsid w:val="6C4912EE"/>
    <w:rsid w:val="6C800B14"/>
    <w:rsid w:val="6CDC19EB"/>
    <w:rsid w:val="6D11498F"/>
    <w:rsid w:val="6D476F7F"/>
    <w:rsid w:val="6D684322"/>
    <w:rsid w:val="6DBA0093"/>
    <w:rsid w:val="6E7B4731"/>
    <w:rsid w:val="6E927F94"/>
    <w:rsid w:val="6EEF6407"/>
    <w:rsid w:val="6F555EF3"/>
    <w:rsid w:val="6FAA56EB"/>
    <w:rsid w:val="6FED25A3"/>
    <w:rsid w:val="704A3031"/>
    <w:rsid w:val="70554E01"/>
    <w:rsid w:val="70601362"/>
    <w:rsid w:val="70AD3F02"/>
    <w:rsid w:val="70EA511B"/>
    <w:rsid w:val="716D7957"/>
    <w:rsid w:val="71E473EF"/>
    <w:rsid w:val="72251606"/>
    <w:rsid w:val="723C4E0C"/>
    <w:rsid w:val="72421DD8"/>
    <w:rsid w:val="727017CD"/>
    <w:rsid w:val="730D354D"/>
    <w:rsid w:val="734E2F8F"/>
    <w:rsid w:val="7386403F"/>
    <w:rsid w:val="73A236AA"/>
    <w:rsid w:val="73AA2E25"/>
    <w:rsid w:val="73B257D5"/>
    <w:rsid w:val="73C66834"/>
    <w:rsid w:val="74034CD0"/>
    <w:rsid w:val="74B623B5"/>
    <w:rsid w:val="74FC7F63"/>
    <w:rsid w:val="75494092"/>
    <w:rsid w:val="759E0303"/>
    <w:rsid w:val="75AD4B40"/>
    <w:rsid w:val="75FE1A6B"/>
    <w:rsid w:val="767D74C7"/>
    <w:rsid w:val="76820B04"/>
    <w:rsid w:val="76DA4889"/>
    <w:rsid w:val="76E47588"/>
    <w:rsid w:val="77354976"/>
    <w:rsid w:val="776A67F8"/>
    <w:rsid w:val="77DF6978"/>
    <w:rsid w:val="78046151"/>
    <w:rsid w:val="783311DF"/>
    <w:rsid w:val="784F6630"/>
    <w:rsid w:val="78507FEF"/>
    <w:rsid w:val="78B03D86"/>
    <w:rsid w:val="78EA49E2"/>
    <w:rsid w:val="79260D6C"/>
    <w:rsid w:val="79F66BAF"/>
    <w:rsid w:val="7A2F46E7"/>
    <w:rsid w:val="7A4F1784"/>
    <w:rsid w:val="7A5245F9"/>
    <w:rsid w:val="7AF95BE7"/>
    <w:rsid w:val="7B70248C"/>
    <w:rsid w:val="7B932C66"/>
    <w:rsid w:val="7BB02559"/>
    <w:rsid w:val="7BF0782B"/>
    <w:rsid w:val="7C05359C"/>
    <w:rsid w:val="7CF11279"/>
    <w:rsid w:val="7D0275D8"/>
    <w:rsid w:val="7DB96803"/>
    <w:rsid w:val="7E2852A2"/>
    <w:rsid w:val="7E605563"/>
    <w:rsid w:val="7EAA408B"/>
    <w:rsid w:val="7EC478BA"/>
    <w:rsid w:val="7EDF4571"/>
    <w:rsid w:val="7F114FA7"/>
    <w:rsid w:val="7F1F28DF"/>
    <w:rsid w:val="7F280353"/>
    <w:rsid w:val="7F350E03"/>
    <w:rsid w:val="7F66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4"/>
      <w:lang w:val="en-US" w:eastAsia="zh-CN" w:bidi="ar-SA"/>
    </w:rPr>
  </w:style>
  <w:style w:type="paragraph" w:styleId="4">
    <w:name w:val="heading 1"/>
    <w:basedOn w:val="1"/>
    <w:next w:val="1"/>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5">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widowControl w:val="0"/>
      <w:ind w:firstLine="600" w:firstLineChars="600"/>
      <w:outlineLvl w:val="3"/>
    </w:pPr>
    <w:rPr>
      <w:rFonts w:ascii="宋体"/>
      <w:sz w:val="28"/>
    </w:rPr>
  </w:style>
  <w:style w:type="character" w:default="1" w:styleId="21">
    <w:name w:val="Default Paragraph Font"/>
    <w:link w:val="22"/>
    <w:semiHidden/>
    <w:qFormat/>
    <w:uiPriority w:val="0"/>
    <w:rPr>
      <w:rFonts w:eastAsia="方正仿宋简体"/>
      <w:sz w:val="32"/>
      <w:szCs w:val="21"/>
    </w:rPr>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autoSpaceDE/>
      <w:autoSpaceDN/>
      <w:adjustRightInd/>
      <w:spacing w:after="120" w:line="240" w:lineRule="auto"/>
      <w:ind w:firstLine="420" w:firstLineChars="100"/>
      <w:jc w:val="both"/>
      <w:textAlignment w:val="auto"/>
    </w:pPr>
    <w:rPr>
      <w:rFonts w:ascii="Times New Roman"/>
      <w:color w:val="auto"/>
      <w:kern w:val="2"/>
      <w:sz w:val="21"/>
      <w:szCs w:val="24"/>
    </w:rPr>
  </w:style>
  <w:style w:type="paragraph" w:styleId="3">
    <w:name w:val="Body Text"/>
    <w:basedOn w:val="1"/>
    <w:qFormat/>
    <w:uiPriority w:val="0"/>
    <w:pPr>
      <w:spacing w:line="400" w:lineRule="exact"/>
    </w:pPr>
    <w:rPr>
      <w:sz w:val="28"/>
    </w:rPr>
  </w:style>
  <w:style w:type="paragraph" w:styleId="8">
    <w:name w:val="Normal Indent"/>
    <w:basedOn w:val="1"/>
    <w:qFormat/>
    <w:uiPriority w:val="0"/>
    <w:pPr>
      <w:ind w:firstLine="420"/>
    </w:pPr>
  </w:style>
  <w:style w:type="paragraph" w:styleId="9">
    <w:name w:val="caption"/>
    <w:basedOn w:val="1"/>
    <w:next w:val="1"/>
    <w:semiHidden/>
    <w:qFormat/>
    <w:uiPriority w:val="0"/>
    <w:pPr>
      <w:spacing w:before="152" w:after="160"/>
    </w:pPr>
    <w:rPr>
      <w:rFonts w:ascii="Arial" w:hAnsi="Arial" w:eastAsia="黑体" w:cs="Arial"/>
      <w:sz w:val="20"/>
    </w:rPr>
  </w:style>
  <w:style w:type="paragraph" w:styleId="10">
    <w:name w:val="Body Text Indent"/>
    <w:basedOn w:val="1"/>
    <w:qFormat/>
    <w:uiPriority w:val="0"/>
    <w:pPr>
      <w:ind w:firstLine="480"/>
    </w:pPr>
    <w:rPr>
      <w:rFonts w:ascii="宋体"/>
      <w:sz w:val="24"/>
    </w:rPr>
  </w:style>
  <w:style w:type="paragraph" w:styleId="11">
    <w:name w:val="toc 3"/>
    <w:basedOn w:val="1"/>
    <w:next w:val="1"/>
    <w:qFormat/>
    <w:uiPriority w:val="0"/>
    <w:pPr>
      <w:ind w:left="840" w:leftChars="400"/>
    </w:pPr>
  </w:style>
  <w:style w:type="paragraph" w:styleId="12">
    <w:name w:val="Plain Text"/>
    <w:basedOn w:val="1"/>
    <w:qFormat/>
    <w:uiPriority w:val="0"/>
    <w:pPr>
      <w:spacing w:line="360" w:lineRule="auto"/>
      <w:ind w:firstLine="200" w:firstLineChars="200"/>
    </w:pPr>
    <w:rPr>
      <w:rFonts w:ascii="宋体" w:hAnsi="Courier New" w:cs="Courier New"/>
      <w:sz w:val="28"/>
      <w:szCs w:val="21"/>
    </w:rPr>
  </w:style>
  <w:style w:type="paragraph" w:styleId="13">
    <w:name w:val="footer"/>
    <w:basedOn w:val="1"/>
    <w:link w:val="3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qFormat/>
    <w:uiPriority w:val="0"/>
    <w:pPr>
      <w:tabs>
        <w:tab w:val="left" w:pos="1050"/>
      </w:tabs>
      <w:spacing w:before="120" w:line="360" w:lineRule="auto"/>
      <w:ind w:firstLine="420" w:firstLineChars="150"/>
    </w:pPr>
    <w:rPr>
      <w:rFonts w:ascii="宋体"/>
      <w:spacing w:val="20"/>
      <w:sz w:val="24"/>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Lines="0" w:beforeAutospacing="1" w:after="100" w:afterLines="0" w:afterAutospacing="1" w:line="360" w:lineRule="auto"/>
      <w:jc w:val="left"/>
    </w:pPr>
    <w:rPr>
      <w:rFonts w:ascii="宋体" w:hAnsi="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Char"/>
    <w:basedOn w:val="1"/>
    <w:link w:val="21"/>
    <w:qFormat/>
    <w:uiPriority w:val="0"/>
    <w:rPr>
      <w:rFonts w:eastAsia="方正仿宋简体"/>
      <w:sz w:val="32"/>
      <w:szCs w:val="21"/>
    </w:rPr>
  </w:style>
  <w:style w:type="character" w:styleId="23">
    <w:name w:val="annotation reference"/>
    <w:basedOn w:val="21"/>
    <w:semiHidden/>
    <w:qFormat/>
    <w:uiPriority w:val="0"/>
    <w:rPr>
      <w:sz w:val="21"/>
      <w:szCs w:val="21"/>
    </w:rPr>
  </w:style>
  <w:style w:type="paragraph" w:customStyle="1" w:styleId="24">
    <w:name w:val="xl53"/>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kern w:val="0"/>
      <w:sz w:val="28"/>
      <w:szCs w:val="28"/>
    </w:rPr>
  </w:style>
  <w:style w:type="paragraph" w:customStyle="1" w:styleId="25">
    <w:name w:val="表格"/>
    <w:basedOn w:val="1"/>
    <w:qFormat/>
    <w:uiPriority w:val="0"/>
    <w:pPr>
      <w:widowControl/>
      <w:snapToGrid w:val="0"/>
      <w:jc w:val="center"/>
    </w:pPr>
    <w:rPr>
      <w:kern w:val="0"/>
    </w:rPr>
  </w:style>
  <w:style w:type="paragraph" w:customStyle="1" w:styleId="26">
    <w:name w:val="简单回函地址"/>
    <w:basedOn w:val="1"/>
    <w:qFormat/>
    <w:uiPriority w:val="0"/>
  </w:style>
  <w:style w:type="paragraph" w:customStyle="1" w:styleId="27">
    <w:name w:val="居中"/>
    <w:basedOn w:val="1"/>
    <w:qFormat/>
    <w:uiPriority w:val="0"/>
    <w:pPr>
      <w:jc w:val="center"/>
    </w:pPr>
    <w:rPr>
      <w:rFonts w:ascii="宋体" w:hAnsi="宋体"/>
      <w:color w:val="000000"/>
      <w:sz w:val="21"/>
    </w:rPr>
  </w:style>
  <w:style w:type="character" w:customStyle="1" w:styleId="28">
    <w:name w:val="zw1"/>
    <w:basedOn w:val="21"/>
    <w:qFormat/>
    <w:uiPriority w:val="0"/>
    <w:rPr>
      <w:rFonts w:hint="eastAsia" w:ascii="宋体" w:hAnsi="宋体" w:eastAsia="宋体"/>
      <w:sz w:val="22"/>
      <w:szCs w:val="22"/>
    </w:rPr>
  </w:style>
  <w:style w:type="character" w:customStyle="1" w:styleId="29">
    <w:name w:val="正文1"/>
    <w:basedOn w:val="21"/>
    <w:qFormat/>
    <w:uiPriority w:val="0"/>
    <w:rPr>
      <w:rFonts w:hint="eastAsia" w:ascii="宋体" w:hAnsi="宋体" w:eastAsia="宋体"/>
      <w:sz w:val="22"/>
      <w:szCs w:val="22"/>
    </w:rPr>
  </w:style>
  <w:style w:type="paragraph" w:customStyle="1" w:styleId="30">
    <w:name w:val="Body text|2"/>
    <w:basedOn w:val="1"/>
    <w:qFormat/>
    <w:uiPriority w:val="0"/>
    <w:pPr>
      <w:widowControl w:val="0"/>
      <w:shd w:val="clear" w:color="auto" w:fill="FFFFFF"/>
      <w:spacing w:line="242" w:lineRule="exact"/>
    </w:pPr>
    <w:rPr>
      <w:rFonts w:ascii="PMingLiU" w:hAnsi="PMingLiU" w:eastAsia="PMingLiU" w:cs="PMingLiU"/>
      <w:sz w:val="13"/>
      <w:szCs w:val="13"/>
      <w:u w:val="none"/>
    </w:rPr>
  </w:style>
  <w:style w:type="character" w:customStyle="1" w:styleId="31">
    <w:name w:val="页脚 Char"/>
    <w:link w:val="13"/>
    <w:qFormat/>
    <w:uiPriority w:val="99"/>
    <w:rPr>
      <w:sz w:val="18"/>
    </w:rPr>
  </w:style>
  <w:style w:type="paragraph" w:customStyle="1" w:styleId="32">
    <w:name w:val="【表头】"/>
    <w:basedOn w:val="1"/>
    <w:qFormat/>
    <w:uiPriority w:val="0"/>
    <w:pPr>
      <w:spacing w:line="360" w:lineRule="auto"/>
      <w:jc w:val="center"/>
    </w:pPr>
    <w:rPr>
      <w:b/>
      <w:kern w:val="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2018-03-12T10:48:00Z</dcterms:created>
  <dc:creator>1111</dc:creator>
  <cp:lastModifiedBy>1111</cp:lastModifiedBy>
  <cp:lastPrinted>2019-05-14T01:57:00Z</cp:lastPrinted>
  <dcterms:modified xsi:type="dcterms:W3CDTF">2019-05-23T08:47:46Z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