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ind w:firstLine="1044"/>
        <w:jc w:val="right"/>
        <w:rPr>
          <w:rFonts w:hint="eastAsia"/>
          <w:b/>
          <w:color w:val="auto"/>
          <w:sz w:val="28"/>
          <w:szCs w:val="28"/>
        </w:rPr>
      </w:pPr>
      <w:bookmarkStart w:id="0" w:name="_Toc19720"/>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spacing w:line="360" w:lineRule="auto"/>
        <w:jc w:val="center"/>
        <w:rPr>
          <w:rFonts w:hint="eastAsia" w:ascii="宋体" w:hAnsi="宋体" w:eastAsia="宋体"/>
          <w:b/>
          <w:bCs/>
          <w:caps/>
          <w:color w:val="auto"/>
          <w:sz w:val="48"/>
          <w:szCs w:val="48"/>
          <w:lang w:eastAsia="zh-CN"/>
        </w:rPr>
      </w:pPr>
      <w:r>
        <w:rPr>
          <w:rFonts w:hint="eastAsia" w:ascii="宋体" w:hAnsi="宋体"/>
          <w:b/>
          <w:bCs/>
          <w:caps/>
          <w:color w:val="auto"/>
          <w:sz w:val="48"/>
          <w:szCs w:val="48"/>
          <w:lang w:eastAsia="zh-CN"/>
        </w:rPr>
        <w:t>仪陇县义路镇正强页岩砖厂</w:t>
      </w:r>
    </w:p>
    <w:p>
      <w:pPr>
        <w:spacing w:line="360" w:lineRule="auto"/>
        <w:jc w:val="center"/>
        <w:rPr>
          <w:rFonts w:hint="eastAsia" w:ascii="宋体" w:hAnsi="宋体"/>
          <w:b/>
          <w:bCs/>
          <w:caps/>
          <w:color w:val="auto"/>
          <w:sz w:val="48"/>
          <w:szCs w:val="48"/>
        </w:rPr>
      </w:pPr>
    </w:p>
    <w:p>
      <w:pPr>
        <w:spacing w:line="360" w:lineRule="auto"/>
        <w:jc w:val="center"/>
        <w:rPr>
          <w:rFonts w:hint="eastAsia" w:ascii="宋体" w:hAnsi="宋体"/>
          <w:b/>
          <w:bCs/>
          <w:caps/>
          <w:color w:val="auto"/>
          <w:sz w:val="48"/>
          <w:szCs w:val="48"/>
          <w:lang w:eastAsia="zh-CN"/>
        </w:rPr>
      </w:pPr>
      <w:r>
        <w:rPr>
          <w:rFonts w:hint="eastAsia" w:ascii="宋体" w:hAnsi="宋体"/>
          <w:b/>
          <w:bCs/>
          <w:caps/>
          <w:color w:val="auto"/>
          <w:sz w:val="48"/>
          <w:szCs w:val="48"/>
          <w:lang w:eastAsia="zh-CN"/>
        </w:rPr>
        <w:tab/>
      </w:r>
      <w:r>
        <w:rPr>
          <w:rFonts w:hint="eastAsia" w:ascii="宋体" w:hAnsi="宋体"/>
          <w:b/>
          <w:bCs/>
          <w:caps/>
          <w:color w:val="auto"/>
          <w:sz w:val="48"/>
          <w:szCs w:val="48"/>
          <w:lang w:eastAsia="zh-CN"/>
        </w:rPr>
        <w:t>事故风险评估报告</w:t>
      </w:r>
      <w:r>
        <w:rPr>
          <w:rFonts w:hint="eastAsia" w:ascii="宋体" w:hAnsi="宋体"/>
          <w:b/>
          <w:bCs/>
          <w:caps/>
          <w:color w:val="auto"/>
          <w:sz w:val="48"/>
          <w:szCs w:val="48"/>
          <w:lang w:eastAsia="zh-CN"/>
        </w:rPr>
        <w:tab/>
      </w:r>
    </w:p>
    <w:p>
      <w:pPr>
        <w:jc w:val="center"/>
        <w:rPr>
          <w:rFonts w:hint="eastAsia"/>
          <w:color w:val="auto"/>
          <w:sz w:val="32"/>
          <w:szCs w:val="32"/>
        </w:rPr>
      </w:pPr>
    </w:p>
    <w:p>
      <w:pPr>
        <w:jc w:val="center"/>
        <w:rPr>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tbl>
      <w:tblPr>
        <w:tblStyle w:val="19"/>
        <w:tblW w:w="8137" w:type="dxa"/>
        <w:jc w:val="center"/>
        <w:tblInd w:w="0" w:type="dxa"/>
        <w:tblLayout w:type="fixed"/>
        <w:tblCellMar>
          <w:top w:w="0" w:type="dxa"/>
          <w:left w:w="108" w:type="dxa"/>
          <w:bottom w:w="0" w:type="dxa"/>
          <w:right w:w="108" w:type="dxa"/>
        </w:tblCellMar>
      </w:tblPr>
      <w:tblGrid>
        <w:gridCol w:w="8137"/>
      </w:tblGrid>
      <w:tr>
        <w:tblPrEx>
          <w:tblLayout w:type="fixed"/>
          <w:tblCellMar>
            <w:top w:w="0" w:type="dxa"/>
            <w:left w:w="108" w:type="dxa"/>
            <w:bottom w:w="0" w:type="dxa"/>
            <w:right w:w="108" w:type="dxa"/>
          </w:tblCellMar>
        </w:tblPrEx>
        <w:trPr>
          <w:jc w:val="center"/>
        </w:trPr>
        <w:tc>
          <w:tcPr>
            <w:tcW w:w="8137" w:type="dxa"/>
            <w:vAlign w:val="center"/>
          </w:tcPr>
          <w:p>
            <w:pPr>
              <w:jc w:val="center"/>
              <w:rPr>
                <w:rFonts w:hint="eastAsia"/>
                <w:color w:val="auto"/>
                <w:sz w:val="36"/>
                <w:szCs w:val="36"/>
              </w:rPr>
            </w:pPr>
            <w:r>
              <w:rPr>
                <w:rFonts w:hint="eastAsia" w:eastAsia="黑体"/>
                <w:bCs/>
                <w:color w:val="auto"/>
                <w:sz w:val="36"/>
                <w:szCs w:val="36"/>
              </w:rPr>
              <w:t>编制单位：</w:t>
            </w:r>
            <w:r>
              <w:rPr>
                <w:rFonts w:hint="eastAsia" w:eastAsia="黑体"/>
                <w:b/>
                <w:bCs/>
                <w:color w:val="auto"/>
                <w:sz w:val="36"/>
                <w:szCs w:val="36"/>
                <w:lang w:eastAsia="zh-CN"/>
              </w:rPr>
              <w:t>仪陇县义路镇正强页岩砖厂</w:t>
            </w:r>
          </w:p>
        </w:tc>
      </w:tr>
      <w:tr>
        <w:tblPrEx>
          <w:tblLayout w:type="fixed"/>
          <w:tblCellMar>
            <w:top w:w="0" w:type="dxa"/>
            <w:left w:w="108" w:type="dxa"/>
            <w:bottom w:w="0" w:type="dxa"/>
            <w:right w:w="108" w:type="dxa"/>
          </w:tblCellMar>
        </w:tblPrEx>
        <w:trPr>
          <w:jc w:val="center"/>
        </w:trPr>
        <w:tc>
          <w:tcPr>
            <w:tcW w:w="8137" w:type="dxa"/>
            <w:vAlign w:val="center"/>
          </w:tcPr>
          <w:p>
            <w:pPr>
              <w:ind w:firstLine="720"/>
              <w:rPr>
                <w:rFonts w:hint="eastAsia" w:eastAsia="黑体"/>
                <w:bCs/>
                <w:color w:val="auto"/>
                <w:sz w:val="36"/>
                <w:szCs w:val="36"/>
              </w:rPr>
            </w:pPr>
          </w:p>
        </w:tc>
      </w:tr>
      <w:tr>
        <w:tblPrEx>
          <w:tblLayout w:type="fixed"/>
          <w:tblCellMar>
            <w:top w:w="0" w:type="dxa"/>
            <w:left w:w="108" w:type="dxa"/>
            <w:bottom w:w="0" w:type="dxa"/>
            <w:right w:w="108" w:type="dxa"/>
          </w:tblCellMar>
        </w:tblPrEx>
        <w:trPr>
          <w:jc w:val="center"/>
        </w:trPr>
        <w:tc>
          <w:tcPr>
            <w:tcW w:w="8137" w:type="dxa"/>
            <w:vAlign w:val="center"/>
          </w:tcPr>
          <w:p>
            <w:pPr>
              <w:jc w:val="center"/>
              <w:rPr>
                <w:rFonts w:hint="eastAsia"/>
                <w:color w:val="auto"/>
                <w:sz w:val="36"/>
                <w:szCs w:val="36"/>
              </w:rPr>
            </w:pPr>
            <w:r>
              <w:rPr>
                <w:rFonts w:hint="eastAsia" w:eastAsia="黑体"/>
                <w:bCs/>
                <w:color w:val="auto"/>
                <w:sz w:val="36"/>
                <w:szCs w:val="36"/>
              </w:rPr>
              <w:t>编制时间：201</w:t>
            </w:r>
            <w:r>
              <w:rPr>
                <w:rFonts w:hint="eastAsia" w:eastAsia="黑体"/>
                <w:bCs/>
                <w:color w:val="auto"/>
                <w:sz w:val="36"/>
                <w:szCs w:val="36"/>
                <w:lang w:val="en-US" w:eastAsia="zh-CN"/>
              </w:rPr>
              <w:t>9</w:t>
            </w:r>
            <w:r>
              <w:rPr>
                <w:rFonts w:hint="eastAsia" w:eastAsia="黑体"/>
                <w:bCs/>
                <w:color w:val="auto"/>
                <w:sz w:val="36"/>
                <w:szCs w:val="36"/>
              </w:rPr>
              <w:t>年</w:t>
            </w:r>
            <w:r>
              <w:rPr>
                <w:rFonts w:hint="eastAsia" w:eastAsia="黑体"/>
                <w:bCs/>
                <w:color w:val="auto"/>
                <w:sz w:val="36"/>
                <w:szCs w:val="36"/>
                <w:lang w:val="en-US" w:eastAsia="zh-CN"/>
              </w:rPr>
              <w:t>04</w:t>
            </w:r>
            <w:r>
              <w:rPr>
                <w:rFonts w:hint="eastAsia" w:eastAsia="黑体"/>
                <w:bCs/>
                <w:color w:val="auto"/>
                <w:sz w:val="36"/>
                <w:szCs w:val="36"/>
              </w:rPr>
              <w:t>月</w:t>
            </w:r>
            <w:r>
              <w:rPr>
                <w:rFonts w:hint="eastAsia" w:eastAsia="黑体"/>
                <w:bCs/>
                <w:color w:val="auto"/>
                <w:sz w:val="36"/>
                <w:szCs w:val="36"/>
                <w:lang w:val="en-US" w:eastAsia="zh-CN"/>
              </w:rPr>
              <w:t>25</w:t>
            </w:r>
            <w:r>
              <w:rPr>
                <w:rFonts w:hint="eastAsia" w:eastAsia="黑体"/>
                <w:bCs/>
                <w:color w:val="auto"/>
                <w:sz w:val="36"/>
                <w:szCs w:val="36"/>
              </w:rPr>
              <w:t>日</w:t>
            </w:r>
          </w:p>
        </w:tc>
      </w:tr>
    </w:tbl>
    <w:p>
      <w:pPr>
        <w:jc w:val="center"/>
        <w:rPr>
          <w:rFonts w:hint="eastAsia"/>
          <w:color w:val="auto"/>
          <w:sz w:val="32"/>
          <w:szCs w:val="32"/>
        </w:rPr>
      </w:pPr>
    </w:p>
    <w:p>
      <w:pPr>
        <w:widowControl/>
        <w:spacing w:line="560" w:lineRule="exact"/>
        <w:jc w:val="left"/>
        <w:outlineLvl w:val="2"/>
        <w:rPr>
          <w:rFonts w:hint="eastAsia" w:ascii="宋体" w:hAnsi="宋体" w:cs="宋体"/>
          <w:b/>
          <w:bCs/>
          <w:color w:val="auto"/>
          <w:kern w:val="0"/>
          <w:sz w:val="28"/>
          <w:szCs w:val="28"/>
        </w:rPr>
      </w:pPr>
    </w:p>
    <w:p>
      <w:pPr>
        <w:rPr>
          <w:rFonts w:hint="eastAsia"/>
          <w:color w:val="auto"/>
        </w:rPr>
      </w:pPr>
      <w:bookmarkStart w:id="1" w:name="_Toc481937753"/>
      <w:bookmarkStart w:id="2" w:name="_Toc1966"/>
      <w:bookmarkStart w:id="3" w:name="_Toc490472469"/>
      <w:bookmarkStart w:id="4" w:name="_Toc489891867"/>
      <w:bookmarkStart w:id="5" w:name="_Toc486865993"/>
      <w:r>
        <w:rPr>
          <w:rFonts w:hint="eastAsia"/>
          <w:color w:val="auto"/>
        </w:rPr>
        <w:br w:type="page"/>
      </w:r>
    </w:p>
    <w:p>
      <w:pPr>
        <w:rPr>
          <w:rFonts w:hint="eastAsia"/>
        </w:rPr>
        <w:sectPr>
          <w:pgSz w:w="11906" w:h="16838"/>
          <w:pgMar w:top="1440" w:right="1800" w:bottom="1440" w:left="1800" w:header="851" w:footer="992" w:gutter="0"/>
          <w:pgNumType w:fmt="decimal"/>
          <w:cols w:space="425" w:num="1"/>
          <w:docGrid w:type="lines" w:linePitch="312" w:charSpace="0"/>
        </w:sectPr>
      </w:pPr>
    </w:p>
    <w:p>
      <w:pPr>
        <w:pStyle w:val="4"/>
        <w:spacing w:line="360" w:lineRule="auto"/>
        <w:rPr>
          <w:rFonts w:hint="eastAsia"/>
          <w:color w:val="auto"/>
        </w:rPr>
      </w:pPr>
      <w:bookmarkStart w:id="6" w:name="_Toc10859"/>
      <w:bookmarkStart w:id="7" w:name="_Toc6757"/>
      <w:bookmarkStart w:id="8" w:name="_Toc2372"/>
      <w:bookmarkStart w:id="9" w:name="_Toc29638"/>
      <w:bookmarkStart w:id="10" w:name="_Toc17105"/>
      <w:bookmarkStart w:id="11" w:name="_Toc27599"/>
      <w:bookmarkStart w:id="12" w:name="_Toc21634"/>
      <w:bookmarkStart w:id="13" w:name="_Toc27937"/>
      <w:bookmarkStart w:id="14" w:name="_Toc32726"/>
      <w:bookmarkStart w:id="15" w:name="_Toc7658"/>
      <w:bookmarkStart w:id="16" w:name="_Toc5540"/>
      <w:bookmarkStart w:id="17" w:name="_Toc28211"/>
      <w:bookmarkStart w:id="18" w:name="_Toc30139"/>
      <w:r>
        <w:rPr>
          <w:rFonts w:hint="eastAsia"/>
          <w:color w:val="auto"/>
        </w:rPr>
        <w:t>目</w:t>
      </w:r>
      <w:r>
        <w:rPr>
          <w:rFonts w:hint="eastAsia"/>
          <w:color w:val="auto"/>
          <w:lang w:val="en-US" w:eastAsia="zh-CN"/>
        </w:rPr>
        <w:t xml:space="preserve">  </w:t>
      </w:r>
      <w:r>
        <w:rPr>
          <w:rFonts w:hint="eastAsia"/>
          <w:color w:val="auto"/>
        </w:rPr>
        <w:t>录</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pPr>
        <w:pStyle w:val="15"/>
        <w:tabs>
          <w:tab w:val="right" w:leader="dot" w:pos="9638"/>
        </w:tabs>
        <w:spacing w:line="360" w:lineRule="auto"/>
        <w:rPr>
          <w:rFonts w:ascii="宋体" w:hAnsi="宋体"/>
          <w:color w:val="auto"/>
          <w:sz w:val="24"/>
        </w:rPr>
      </w:pPr>
    </w:p>
    <w:p>
      <w:pPr>
        <w:pStyle w:val="15"/>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 w:val="21"/>
          <w:szCs w:val="21"/>
        </w:rPr>
        <w:fldChar w:fldCharType="begin"/>
      </w:r>
      <w:r>
        <w:rPr>
          <w:rFonts w:hint="eastAsia" w:asciiTheme="minorEastAsia" w:hAnsiTheme="minorEastAsia" w:eastAsiaTheme="minorEastAsia" w:cstheme="minorEastAsia"/>
          <w:color w:val="auto"/>
          <w:sz w:val="21"/>
          <w:szCs w:val="21"/>
        </w:rPr>
        <w:instrText xml:space="preserve"> TOC \o "1-3" \h \z \u </w:instrText>
      </w:r>
      <w:r>
        <w:rPr>
          <w:rFonts w:hint="eastAsia" w:asciiTheme="minorEastAsia" w:hAnsiTheme="minorEastAsia" w:eastAsiaTheme="minorEastAsia" w:cstheme="minorEastAsia"/>
          <w:color w:val="auto"/>
          <w:sz w:val="21"/>
          <w:szCs w:val="21"/>
        </w:rPr>
        <w:fldChar w:fldCharType="separate"/>
      </w: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_Toc12741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32"/>
        </w:rPr>
        <w:t>1概述</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_Toc12741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_Toc15746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rPr>
        <w:t>1.1评估的主要依据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_Toc15746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_Toc7709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en-US" w:eastAsia="zh-CN"/>
        </w:rPr>
        <w:t>1.2评估目的</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_Toc7709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_Toc23239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en-US" w:eastAsia="zh-CN"/>
        </w:rPr>
        <w:t>1.3风险评估范围</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_Toc23239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_Toc2952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rPr>
        <w:t>1.4评估程序</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_Toc2952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5"/>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_Toc32373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32"/>
          <w:lang w:val="en-US" w:eastAsia="zh-CN"/>
        </w:rPr>
        <w:t>2</w:t>
      </w:r>
      <w:r>
        <w:rPr>
          <w:rFonts w:hint="eastAsia" w:asciiTheme="minorEastAsia" w:hAnsiTheme="minorEastAsia" w:eastAsiaTheme="minorEastAsia" w:cstheme="minorEastAsia"/>
          <w:szCs w:val="32"/>
        </w:rPr>
        <w:t>公司概况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_Toc32373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_Toc10699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rPr>
        <w:t>2.1 公司概况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_Toc10699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_Toc8293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rPr>
        <w:t>2.</w:t>
      </w:r>
      <w:r>
        <w:rPr>
          <w:rFonts w:hint="eastAsia" w:asciiTheme="minorEastAsia" w:hAnsiTheme="minorEastAsia" w:eastAsiaTheme="minorEastAsia" w:cstheme="minorEastAsia"/>
          <w:szCs w:val="28"/>
          <w:lang w:val="en-US" w:eastAsia="zh-CN"/>
        </w:rPr>
        <w:t>1.1</w:t>
      </w:r>
      <w:r>
        <w:rPr>
          <w:rFonts w:hint="eastAsia" w:asciiTheme="minorEastAsia" w:hAnsiTheme="minorEastAsia" w:eastAsiaTheme="minorEastAsia" w:cstheme="minorEastAsia"/>
          <w:szCs w:val="28"/>
        </w:rPr>
        <w:t>公司地理位置及环境等情况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_Toc8293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_Toc1015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zh-CN"/>
        </w:rPr>
        <w:t>2.1.</w:t>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lang w:val="zh-CN"/>
        </w:rPr>
        <w:t>总体布置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_Toc1015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_Toc12177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zh-CN"/>
        </w:rPr>
        <w:t>2.</w:t>
      </w:r>
      <w:r>
        <w:rPr>
          <w:rFonts w:hint="eastAsia" w:asciiTheme="minorEastAsia" w:hAnsiTheme="minorEastAsia" w:eastAsiaTheme="minorEastAsia" w:cstheme="minorEastAsia"/>
          <w:szCs w:val="28"/>
        </w:rPr>
        <w:t>1.</w:t>
      </w:r>
      <w:r>
        <w:rPr>
          <w:rFonts w:hint="eastAsia" w:asciiTheme="minorEastAsia" w:hAnsiTheme="minorEastAsia" w:eastAsiaTheme="minorEastAsia" w:cstheme="minorEastAsia"/>
          <w:szCs w:val="28"/>
          <w:lang w:val="en-US" w:eastAsia="zh-CN"/>
        </w:rPr>
        <w:t>3</w:t>
      </w:r>
      <w:r>
        <w:rPr>
          <w:rFonts w:hint="eastAsia" w:asciiTheme="minorEastAsia" w:hAnsiTheme="minorEastAsia" w:eastAsiaTheme="minorEastAsia" w:cstheme="minorEastAsia"/>
          <w:szCs w:val="28"/>
          <w:lang w:val="zh-CN"/>
        </w:rPr>
        <w:t>周边环境</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_Toc12177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_Toc25733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zh-CN"/>
        </w:rPr>
        <w:t>2.1.</w:t>
      </w:r>
      <w:r>
        <w:rPr>
          <w:rFonts w:hint="eastAsia" w:asciiTheme="minorEastAsia" w:hAnsiTheme="minorEastAsia" w:eastAsiaTheme="minorEastAsia" w:cstheme="minorEastAsia"/>
          <w:szCs w:val="28"/>
          <w:lang w:val="en-US" w:eastAsia="zh-CN"/>
        </w:rPr>
        <w:t>4</w:t>
      </w:r>
      <w:r>
        <w:rPr>
          <w:rFonts w:hint="eastAsia" w:asciiTheme="minorEastAsia" w:hAnsiTheme="minorEastAsia" w:eastAsiaTheme="minorEastAsia" w:cstheme="minorEastAsia"/>
          <w:szCs w:val="28"/>
          <w:lang w:val="zh-CN"/>
        </w:rPr>
        <w:t>工艺流程</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_Toc25733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_Toc11854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zh-CN"/>
        </w:rPr>
        <w:t>2.1.</w:t>
      </w:r>
      <w:r>
        <w:rPr>
          <w:rFonts w:hint="eastAsia" w:asciiTheme="minorEastAsia" w:hAnsiTheme="minorEastAsia" w:eastAsiaTheme="minorEastAsia" w:cstheme="minorEastAsia"/>
          <w:szCs w:val="28"/>
          <w:lang w:val="en-US" w:eastAsia="zh-CN"/>
        </w:rPr>
        <w:t>5</w:t>
      </w:r>
      <w:r>
        <w:rPr>
          <w:rFonts w:hint="eastAsia" w:asciiTheme="minorEastAsia" w:hAnsiTheme="minorEastAsia" w:eastAsiaTheme="minorEastAsia" w:cstheme="minorEastAsia"/>
          <w:bCs/>
          <w:i w:val="0"/>
          <w:iCs w:val="0"/>
          <w:szCs w:val="28"/>
        </w:rPr>
        <w:t>主要生产设备情况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_Toc11854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_Toc10033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rPr>
        <w:t>2.</w:t>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rPr>
        <w:t>各方应急力量有关基本情况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_Toc10033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_Toc18754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zh-CN"/>
        </w:rPr>
        <w:t>2.</w:t>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lang w:val="zh-CN"/>
        </w:rPr>
        <w:t>.1内部应急力量</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_Toc18754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_Toc20117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zh-CN"/>
        </w:rPr>
        <w:t>2.</w:t>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lang w:val="zh-CN"/>
        </w:rPr>
        <w:t>.</w:t>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lang w:val="zh-CN"/>
        </w:rPr>
        <w:t>外部应急力量</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_Toc20117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5"/>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_Toc1785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32"/>
          <w:lang w:val="en-US" w:eastAsia="zh-CN"/>
        </w:rPr>
        <w:t>3危险、有害因素辨识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_Toc1785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_Toc9188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rPr>
        <w:t>1 危险、有害因素辨识的目的</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_Toc9188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_Toc23888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rPr>
        <w:t>2 危险、有害因素辨识的依据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_Toc23888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_Toc6449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rPr>
        <w:t>3 危险、有害因素辨识的方法</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_Toc6449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_Toc8976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rPr>
        <w:t>4 主要危险、有害物质特性分析</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_Toc8976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_Toc11038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4.1 煤</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_Toc11038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_Toc18276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4.2 柴油</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_Toc18276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_Toc9458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4.3 一氧化碳</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_Toc9458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_Toc17945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4.4 二氧化碳</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_Toc17945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_Toc608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4.5 二氧化硫（三氧化硫参考）</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_Toc608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_Toc18120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3.4.6 柴油安全数据表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_Toc18120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_Toc17544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3.4.7 氧气安全数据表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_Toc17544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_Toc31733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3.4.8 乙炔安全数据表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_Toc31733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_Toc25966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rPr>
        <w:t>3.5 生产过程危险有害因素分析和辨识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_Toc25966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_Toc6059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rPr>
        <w:t>5 生产过程危险有害因素分析和辨识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_Toc6059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_Toc3048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5.1 车辆事故</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_Toc3048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_Toc18817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5.2 机械伤害</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_Toc18817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_Toc20532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5.3 触电事故</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_Toc20532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_Toc4692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5.4 高处坠落</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_Toc4692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_Toc19259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5.5 物体打击</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_Toc19259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_Toc23773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5.6 火灾事故</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_Toc23773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_Toc1126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w:t>
      </w:r>
      <w:r>
        <w:rPr>
          <w:rFonts w:hint="eastAsia" w:asciiTheme="minorEastAsia" w:hAnsiTheme="minorEastAsia" w:eastAsiaTheme="minorEastAsia" w:cstheme="minorEastAsia"/>
          <w:snapToGrid w:val="0"/>
          <w:kern w:val="0"/>
          <w:szCs w:val="28"/>
          <w:lang w:val="en-US" w:eastAsia="zh-CN"/>
        </w:rPr>
        <w:t>7 坍塌</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_Toc1126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_Toc1070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3.5.8中毒窒息</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_Toc1070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_Toc16031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3.5.9高温灼烫</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_Toc16031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_Toc19234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3.5.10容器爆炸</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_Toc19234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_Toc30340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3.5.11有限空间作业</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_Toc30340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_Toc13383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w:t>
      </w:r>
      <w:r>
        <w:rPr>
          <w:rFonts w:hint="eastAsia" w:asciiTheme="minorEastAsia" w:hAnsiTheme="minorEastAsia" w:eastAsiaTheme="minorEastAsia" w:cstheme="minorEastAsia"/>
          <w:snapToGrid w:val="0"/>
          <w:kern w:val="0"/>
          <w:szCs w:val="28"/>
          <w:lang w:val="en-US" w:eastAsia="zh-CN"/>
        </w:rPr>
        <w:t>12</w:t>
      </w:r>
      <w:r>
        <w:rPr>
          <w:rFonts w:hint="eastAsia" w:asciiTheme="minorEastAsia" w:hAnsiTheme="minorEastAsia" w:eastAsiaTheme="minorEastAsia" w:cstheme="minorEastAsia"/>
          <w:snapToGrid w:val="0"/>
          <w:kern w:val="0"/>
          <w:szCs w:val="28"/>
        </w:rPr>
        <w:t xml:space="preserve"> 职业危害因素</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_Toc13383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_Toc25395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3.5.13 自然灾害</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_Toc25395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_Toc26116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rPr>
        <w:t>6 厂址安全条件的危险、有害因素辨识与分析</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_Toc26116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_Toc5702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 xml:space="preserve">6.1 </w:t>
      </w:r>
      <w:r>
        <w:rPr>
          <w:rFonts w:hint="eastAsia" w:asciiTheme="minorEastAsia" w:hAnsiTheme="minorEastAsia" w:eastAsiaTheme="minorEastAsia" w:cstheme="minorEastAsia"/>
          <w:snapToGrid w:val="0"/>
          <w:kern w:val="0"/>
          <w:szCs w:val="28"/>
          <w:lang w:eastAsia="zh-CN"/>
        </w:rPr>
        <w:t>公司</w:t>
      </w:r>
      <w:r>
        <w:rPr>
          <w:rFonts w:hint="eastAsia" w:asciiTheme="minorEastAsia" w:hAnsiTheme="minorEastAsia" w:eastAsiaTheme="minorEastAsia" w:cstheme="minorEastAsia"/>
          <w:snapToGrid w:val="0"/>
          <w:kern w:val="0"/>
          <w:szCs w:val="28"/>
        </w:rPr>
        <w:t>对周边环境的影响分析</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_Toc5702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_Toc25868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6.2 周边环境对</w:t>
      </w:r>
      <w:r>
        <w:rPr>
          <w:rFonts w:hint="eastAsia" w:asciiTheme="minorEastAsia" w:hAnsiTheme="minorEastAsia" w:eastAsiaTheme="minorEastAsia" w:cstheme="minorEastAsia"/>
          <w:snapToGrid w:val="0"/>
          <w:kern w:val="0"/>
          <w:szCs w:val="28"/>
          <w:lang w:eastAsia="zh-CN"/>
        </w:rPr>
        <w:t>公司</w:t>
      </w:r>
      <w:r>
        <w:rPr>
          <w:rFonts w:hint="eastAsia" w:asciiTheme="minorEastAsia" w:hAnsiTheme="minorEastAsia" w:eastAsiaTheme="minorEastAsia" w:cstheme="minorEastAsia"/>
          <w:snapToGrid w:val="0"/>
          <w:kern w:val="0"/>
          <w:szCs w:val="28"/>
        </w:rPr>
        <w:t>的影响分析</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_Toc25868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_Toc32007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lang w:val="en-US" w:eastAsia="zh-CN"/>
        </w:rPr>
        <w:t>7</w:t>
      </w:r>
      <w:r>
        <w:rPr>
          <w:rFonts w:hint="eastAsia" w:asciiTheme="minorEastAsia" w:hAnsiTheme="minorEastAsia" w:eastAsiaTheme="minorEastAsia" w:cstheme="minorEastAsia"/>
          <w:snapToGrid w:val="0"/>
          <w:kern w:val="0"/>
          <w:szCs w:val="32"/>
        </w:rPr>
        <w:t xml:space="preserve"> 重大危险源辨识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_Toc32007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_Toc32610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lang w:val="en-US" w:eastAsia="zh-CN"/>
        </w:rPr>
        <w:t>7</w:t>
      </w:r>
      <w:r>
        <w:rPr>
          <w:rFonts w:hint="eastAsia" w:asciiTheme="minorEastAsia" w:hAnsiTheme="minorEastAsia" w:eastAsiaTheme="minorEastAsia" w:cstheme="minorEastAsia"/>
          <w:snapToGrid w:val="0"/>
          <w:kern w:val="0"/>
          <w:szCs w:val="28"/>
        </w:rPr>
        <w:t>.1 辨识依据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_Toc32610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_Toc21470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lang w:val="en-US" w:eastAsia="zh-CN"/>
        </w:rPr>
        <w:t>7</w:t>
      </w:r>
      <w:r>
        <w:rPr>
          <w:rFonts w:hint="eastAsia" w:asciiTheme="minorEastAsia" w:hAnsiTheme="minorEastAsia" w:eastAsiaTheme="minorEastAsia" w:cstheme="minorEastAsia"/>
          <w:snapToGrid w:val="0"/>
          <w:kern w:val="0"/>
          <w:szCs w:val="28"/>
        </w:rPr>
        <w:t>.2 辨识结果</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_Toc21470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_Toc21620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lang w:val="en-US" w:eastAsia="zh-CN"/>
        </w:rPr>
        <w:t>3.8小结</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_Toc21620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5"/>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_Toc26241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32"/>
          <w:lang w:val="en-US" w:eastAsia="zh-CN"/>
        </w:rPr>
        <w:t>4</w:t>
      </w:r>
      <w:r>
        <w:rPr>
          <w:rFonts w:hint="eastAsia" w:asciiTheme="minorEastAsia" w:hAnsiTheme="minorEastAsia" w:eastAsiaTheme="minorEastAsia" w:cstheme="minorEastAsia"/>
          <w:szCs w:val="32"/>
        </w:rPr>
        <w:t>评估结论与建议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_Toc26241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_Toc2842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en-US" w:eastAsia="zh-CN"/>
        </w:rPr>
        <w:t>4.1总体评价结论</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_Toc2842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_Toc2685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en-US" w:eastAsia="zh-CN"/>
        </w:rPr>
        <w:t>4</w:t>
      </w:r>
      <w:r>
        <w:rPr>
          <w:rFonts w:hint="eastAsia" w:asciiTheme="minorEastAsia" w:hAnsiTheme="minorEastAsia" w:eastAsiaTheme="minorEastAsia" w:cstheme="minorEastAsia"/>
          <w:szCs w:val="28"/>
        </w:rPr>
        <w:t>.</w:t>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rPr>
        <w:t>建议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_Toc2685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widowControl/>
        <w:spacing w:line="360" w:lineRule="auto"/>
        <w:jc w:val="left"/>
        <w:outlineLvl w:val="2"/>
        <w:rPr>
          <w:rFonts w:hint="eastAsia" w:ascii="宋体" w:hAnsi="宋体" w:cs="宋体"/>
          <w:b/>
          <w:bCs/>
          <w:color w:val="auto"/>
          <w:kern w:val="0"/>
          <w:sz w:val="28"/>
          <w:szCs w:val="28"/>
        </w:rPr>
      </w:pPr>
      <w:r>
        <w:rPr>
          <w:rFonts w:hint="eastAsia" w:asciiTheme="minorEastAsia" w:hAnsiTheme="minorEastAsia" w:eastAsiaTheme="minorEastAsia" w:cstheme="minorEastAsia"/>
          <w:color w:val="auto"/>
          <w:szCs w:val="21"/>
        </w:rPr>
        <w:fldChar w:fldCharType="end"/>
      </w:r>
    </w:p>
    <w:p>
      <w:pPr>
        <w:numPr>
          <w:ilvl w:val="0"/>
          <w:numId w:val="0"/>
        </w:numPr>
        <w:spacing w:line="360" w:lineRule="auto"/>
        <w:jc w:val="center"/>
        <w:outlineLvl w:val="0"/>
        <w:rPr>
          <w:rFonts w:hint="eastAsia" w:ascii="黑体" w:hAnsi="宋体" w:eastAsia="黑体"/>
          <w:b/>
          <w:color w:val="auto"/>
          <w:sz w:val="32"/>
          <w:szCs w:val="32"/>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p>
    <w:p>
      <w:pPr>
        <w:spacing w:line="360" w:lineRule="auto"/>
        <w:jc w:val="center"/>
        <w:outlineLvl w:val="0"/>
        <w:rPr>
          <w:rFonts w:hint="eastAsia" w:ascii="黑体" w:hAnsi="宋体" w:eastAsia="黑体"/>
          <w:b/>
          <w:sz w:val="32"/>
          <w:szCs w:val="32"/>
        </w:rPr>
      </w:pPr>
      <w:bookmarkStart w:id="19" w:name="_Toc12741"/>
      <w:bookmarkStart w:id="20" w:name="_Toc1621"/>
      <w:bookmarkStart w:id="21" w:name="_Toc97"/>
      <w:r>
        <w:rPr>
          <w:rFonts w:hint="eastAsia" w:ascii="黑体" w:hAnsi="宋体" w:eastAsia="黑体"/>
          <w:b/>
          <w:sz w:val="32"/>
          <w:szCs w:val="32"/>
        </w:rPr>
        <w:t>1概述</w:t>
      </w:r>
      <w:bookmarkEnd w:id="19"/>
      <w:bookmarkEnd w:id="20"/>
      <w:bookmarkEnd w:id="21"/>
    </w:p>
    <w:p>
      <w:pPr>
        <w:pStyle w:val="5"/>
        <w:spacing w:line="360" w:lineRule="auto"/>
        <w:rPr>
          <w:rFonts w:hint="eastAsia" w:ascii="宋体" w:hAnsi="宋体" w:eastAsia="宋体" w:cs="宋体"/>
          <w:sz w:val="28"/>
          <w:szCs w:val="28"/>
        </w:rPr>
      </w:pPr>
      <w:bookmarkStart w:id="22" w:name="_Toc13902"/>
      <w:bookmarkStart w:id="23" w:name="_Toc10102"/>
      <w:bookmarkStart w:id="24" w:name="_Toc15746"/>
      <w:r>
        <w:rPr>
          <w:rFonts w:hint="eastAsia" w:ascii="宋体" w:hAnsi="宋体" w:eastAsia="宋体" w:cs="宋体"/>
          <w:sz w:val="28"/>
          <w:szCs w:val="28"/>
        </w:rPr>
        <w:t>1.1评估的主要依据</w:t>
      </w:r>
      <w:bookmarkEnd w:id="22"/>
      <w:bookmarkEnd w:id="23"/>
      <w:bookmarkEnd w:id="24"/>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（1）《中华人民共和国安全生产法》（中华人民共和国主席令第13号，自2014年12月1日起施行）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（2）《中华人民共和国劳动法》（中华人民共和国主席令第28号，自1995年1月1日起施行，2009年8月27日修订）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（3）《中华人民共和国职业病防治法》(中华人民共和国主席令第24号，2018年12月29日修订)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（4）《中华人民共和国消防法》（中华人民共和国主席令第6号，自20</w:t>
      </w:r>
      <w:r>
        <w:rPr>
          <w:rFonts w:hint="eastAsia" w:ascii="宋体" w:hAnsi="宋体" w:cs="宋体"/>
          <w:color w:val="auto"/>
          <w:sz w:val="28"/>
          <w:szCs w:val="28"/>
          <w:lang w:val="en-US" w:eastAsia="zh-CN"/>
        </w:rPr>
        <w:t>1</w:t>
      </w:r>
      <w:r>
        <w:rPr>
          <w:rFonts w:hint="eastAsia" w:ascii="宋体" w:hAnsi="宋体" w:cs="宋体"/>
          <w:color w:val="auto"/>
          <w:sz w:val="28"/>
          <w:szCs w:val="28"/>
          <w:lang w:val="zh-CN" w:eastAsia="zh-CN"/>
        </w:rPr>
        <w:t>9年</w:t>
      </w:r>
      <w:r>
        <w:rPr>
          <w:rFonts w:hint="eastAsia" w:ascii="宋体" w:hAnsi="宋体" w:cs="宋体"/>
          <w:color w:val="auto"/>
          <w:sz w:val="28"/>
          <w:szCs w:val="28"/>
          <w:lang w:val="en-US" w:eastAsia="zh-CN"/>
        </w:rPr>
        <w:t>4</w:t>
      </w:r>
      <w:r>
        <w:rPr>
          <w:rFonts w:hint="eastAsia" w:ascii="宋体" w:hAnsi="宋体" w:cs="宋体"/>
          <w:color w:val="auto"/>
          <w:sz w:val="28"/>
          <w:szCs w:val="28"/>
          <w:lang w:val="zh-CN" w:eastAsia="zh-CN"/>
        </w:rPr>
        <w:t>月</w:t>
      </w:r>
      <w:r>
        <w:rPr>
          <w:rFonts w:hint="eastAsia" w:ascii="宋体" w:hAnsi="宋体" w:cs="宋体"/>
          <w:color w:val="auto"/>
          <w:sz w:val="28"/>
          <w:szCs w:val="28"/>
          <w:lang w:val="en-US" w:eastAsia="zh-CN"/>
        </w:rPr>
        <w:t>23</w:t>
      </w:r>
      <w:r>
        <w:rPr>
          <w:rFonts w:hint="eastAsia" w:ascii="宋体" w:hAnsi="宋体" w:cs="宋体"/>
          <w:color w:val="auto"/>
          <w:sz w:val="28"/>
          <w:szCs w:val="28"/>
          <w:lang w:val="zh-CN" w:eastAsia="zh-CN"/>
        </w:rPr>
        <w:t>日起修订）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（5）《中华人民共和国突发事件应对法》（中华人民共和国主席令第69号，自2007年11月1日起施行）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（6）《中华人民共和国劳动合同法》（主席令第73号，自2013年7月1日起施行）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（7）《中华人民共和国环境保护法》（主席令第9号，自2015年1月1日起施行）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（8）《中华人民共和国特种设备安全法》（主席令第4号，2014年1月1日起实施）；</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（9）《中华人民共和国防震减灾法》（国家主席令第7号，自2009年5月1日起施行）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（10）《工伤保险条例》（国务院第586号令）</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（11）《机关、团体、企业事业单位消防安全管理规定》（公安部第61号令）</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（12）《有限空间安全作业五条规定》（国家安监总局令[2014]第69号）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（13）《企业安全生产风险公告六条规定》（国家安监总局令[2014]第70号）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（14）《企业安全生产应急管理九条规定》（国家安监总局令[2015]第74号）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（15）《国家安全监管总局办公厅关于印发用人单位劳动防护用品管理规范的通知》（安监总厅安健〔2015〕124号）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（16）《工作场所职业卫生监督管理规定》（国家安监总局令第47号）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（17）《生产安全事故应急预案管理办法》（国家安全生产监督管理总局令第88号）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（18）《生产经营单位生产安全事故应急预案编制导则》（GB/T29639-2013）</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（19）《生产安全事故应急条例》（国令第708号，2019年4月1日起施行）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（20）《生产安全事故应急演练评估规范》（AQ/T9009-2015）</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（21）《生产安全事故应急演练指南》（AQ/T 9007-2011）</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w:t>
      </w:r>
      <w:r>
        <w:rPr>
          <w:rFonts w:hint="eastAsia" w:ascii="宋体" w:hAnsi="宋体" w:cs="宋体"/>
          <w:color w:val="auto"/>
          <w:sz w:val="28"/>
          <w:szCs w:val="28"/>
          <w:lang w:val="en-US" w:eastAsia="zh-CN"/>
        </w:rPr>
        <w:t>22</w:t>
      </w:r>
      <w:r>
        <w:rPr>
          <w:rFonts w:hint="eastAsia" w:ascii="宋体" w:hAnsi="宋体" w:cs="宋体"/>
          <w:color w:val="auto"/>
          <w:sz w:val="28"/>
          <w:szCs w:val="28"/>
          <w:lang w:val="zh-CN" w:eastAsia="zh-CN"/>
        </w:rPr>
        <w:t>）《危险化学品重大危险源辨识》（GB18218-20</w:t>
      </w:r>
      <w:r>
        <w:rPr>
          <w:rFonts w:hint="eastAsia" w:ascii="宋体" w:hAnsi="宋体" w:cs="宋体"/>
          <w:color w:val="auto"/>
          <w:sz w:val="28"/>
          <w:szCs w:val="28"/>
          <w:lang w:val="en-US" w:eastAsia="zh-CN"/>
        </w:rPr>
        <w:t>18</w:t>
      </w:r>
      <w:r>
        <w:rPr>
          <w:rFonts w:hint="eastAsia" w:ascii="宋体" w:hAnsi="宋体" w:cs="宋体"/>
          <w:color w:val="auto"/>
          <w:sz w:val="28"/>
          <w:szCs w:val="28"/>
          <w:lang w:val="zh-CN" w:eastAsia="zh-CN"/>
        </w:rPr>
        <w:t>）</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3</w:t>
      </w:r>
      <w:r>
        <w:rPr>
          <w:rFonts w:hint="eastAsia" w:ascii="宋体" w:hAnsi="宋体" w:cs="宋体"/>
          <w:color w:val="auto"/>
          <w:sz w:val="28"/>
          <w:szCs w:val="28"/>
          <w:lang w:val="zh-CN" w:eastAsia="zh-CN"/>
        </w:rPr>
        <w:t>）《四川省安全生产条例》（2006年11月30日四川省第十届人大常委会第二十四次会议通过）</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4</w:t>
      </w:r>
      <w:r>
        <w:rPr>
          <w:rFonts w:hint="eastAsia" w:ascii="宋体" w:hAnsi="宋体" w:cs="宋体"/>
          <w:color w:val="auto"/>
          <w:sz w:val="28"/>
          <w:szCs w:val="28"/>
          <w:lang w:val="zh-CN" w:eastAsia="zh-CN"/>
        </w:rPr>
        <w:t>）《危险化学品目录》（2015年版）</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5</w:t>
      </w:r>
      <w:r>
        <w:rPr>
          <w:rFonts w:hint="eastAsia" w:ascii="宋体" w:hAnsi="宋体" w:cs="宋体"/>
          <w:color w:val="auto"/>
          <w:sz w:val="28"/>
          <w:szCs w:val="28"/>
          <w:lang w:val="zh-CN" w:eastAsia="zh-CN"/>
        </w:rPr>
        <w:t>）《易燃易爆性商品储存养护技术条件》（GB17914-2013）</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6</w:t>
      </w:r>
      <w:r>
        <w:rPr>
          <w:rFonts w:hint="eastAsia" w:ascii="宋体" w:hAnsi="宋体" w:cs="宋体"/>
          <w:color w:val="auto"/>
          <w:sz w:val="28"/>
          <w:szCs w:val="28"/>
          <w:lang w:val="zh-CN" w:eastAsia="zh-CN"/>
        </w:rPr>
        <w:t>）《四川省生产安全事故应急预案管理实施细则》（川安监〔2018〕43号）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7</w:t>
      </w:r>
      <w:r>
        <w:rPr>
          <w:rFonts w:hint="eastAsia" w:ascii="宋体" w:hAnsi="宋体" w:cs="宋体"/>
          <w:color w:val="auto"/>
          <w:sz w:val="28"/>
          <w:szCs w:val="28"/>
          <w:lang w:val="zh-CN" w:eastAsia="zh-CN"/>
        </w:rPr>
        <w:t>）《成都市安全生产监督管理局关于规范生产安全事故应急预案评审备案工作的通知》成安监函〔2018〕9号</w:t>
      </w:r>
    </w:p>
    <w:p>
      <w:pPr>
        <w:pStyle w:val="5"/>
        <w:spacing w:before="0" w:after="0" w:line="360" w:lineRule="auto"/>
        <w:rPr>
          <w:rFonts w:hint="eastAsia" w:ascii="宋体" w:hAnsi="宋体" w:eastAsia="宋体" w:cs="宋体"/>
          <w:color w:val="auto"/>
          <w:sz w:val="28"/>
          <w:szCs w:val="28"/>
          <w:lang w:val="en-US" w:eastAsia="zh-CN"/>
        </w:rPr>
      </w:pPr>
      <w:bookmarkStart w:id="25" w:name="_Toc25561"/>
      <w:bookmarkStart w:id="26" w:name="_Toc16426"/>
      <w:bookmarkStart w:id="27" w:name="_Toc7709"/>
      <w:r>
        <w:rPr>
          <w:rFonts w:hint="eastAsia" w:ascii="宋体" w:hAnsi="宋体" w:eastAsia="宋体" w:cs="宋体"/>
          <w:color w:val="auto"/>
          <w:sz w:val="28"/>
          <w:szCs w:val="28"/>
          <w:lang w:val="en-US" w:eastAsia="zh-CN"/>
        </w:rPr>
        <w:t>1.2评估目的</w:t>
      </w:r>
      <w:bookmarkEnd w:id="25"/>
      <w:bookmarkEnd w:id="26"/>
      <w:bookmarkEnd w:id="27"/>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为规范</w:t>
      </w:r>
      <w:r>
        <w:rPr>
          <w:rFonts w:hint="eastAsia" w:hAnsi="宋体"/>
          <w:sz w:val="28"/>
          <w:szCs w:val="28"/>
          <w:lang w:eastAsia="zh-CN"/>
        </w:rPr>
        <w:t>公司</w:t>
      </w:r>
      <w:r>
        <w:rPr>
          <w:rFonts w:hint="eastAsia" w:hAnsi="宋体"/>
          <w:sz w:val="28"/>
          <w:szCs w:val="28"/>
        </w:rPr>
        <w:t>风险管理工作，识别和分析生产安全作业中的危险有害因素，消除或减少事故危害，确保安全作业，由</w:t>
      </w:r>
      <w:r>
        <w:rPr>
          <w:rFonts w:hint="eastAsia" w:hAnsi="宋体"/>
          <w:sz w:val="28"/>
          <w:szCs w:val="28"/>
          <w:lang w:eastAsia="zh-CN"/>
        </w:rPr>
        <w:t>公司</w:t>
      </w:r>
      <w:r>
        <w:rPr>
          <w:rFonts w:hint="eastAsia" w:hAnsi="宋体"/>
          <w:sz w:val="28"/>
          <w:szCs w:val="28"/>
        </w:rPr>
        <w:t>风险评价小组进行风险评估。</w:t>
      </w:r>
    </w:p>
    <w:p>
      <w:pPr>
        <w:pStyle w:val="5"/>
        <w:spacing w:before="0" w:after="0" w:line="360" w:lineRule="auto"/>
        <w:rPr>
          <w:rFonts w:hint="eastAsia" w:ascii="宋体" w:hAnsi="宋体" w:eastAsia="宋体" w:cs="宋体"/>
          <w:color w:val="auto"/>
          <w:sz w:val="28"/>
          <w:szCs w:val="28"/>
          <w:lang w:val="en-US" w:eastAsia="zh-CN"/>
        </w:rPr>
      </w:pPr>
      <w:bookmarkStart w:id="28" w:name="_Toc23239"/>
      <w:bookmarkStart w:id="29" w:name="_Toc19499"/>
      <w:bookmarkStart w:id="30" w:name="_Toc12578"/>
      <w:r>
        <w:rPr>
          <w:rFonts w:hint="eastAsia" w:ascii="宋体" w:hAnsi="宋体" w:eastAsia="宋体" w:cs="宋体"/>
          <w:color w:val="auto"/>
          <w:sz w:val="28"/>
          <w:szCs w:val="28"/>
          <w:lang w:val="en-US" w:eastAsia="zh-CN"/>
        </w:rPr>
        <w:t>1.3风险评估范围</w:t>
      </w:r>
      <w:bookmarkEnd w:id="28"/>
      <w:bookmarkEnd w:id="29"/>
      <w:bookmarkEnd w:id="30"/>
      <w:r>
        <w:rPr>
          <w:rFonts w:hint="eastAsia" w:ascii="宋体" w:hAnsi="宋体" w:eastAsia="宋体" w:cs="宋体"/>
          <w:color w:val="auto"/>
          <w:sz w:val="28"/>
          <w:szCs w:val="28"/>
          <w:lang w:val="en-US" w:eastAsia="zh-CN"/>
        </w:rPr>
        <w:t xml:space="preserve">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评估范围主要围绕生产经营活动开展，主要包括</w:t>
      </w:r>
      <w:r>
        <w:rPr>
          <w:rFonts w:hint="eastAsia" w:hAnsi="宋体"/>
          <w:sz w:val="28"/>
          <w:szCs w:val="28"/>
          <w:lang w:eastAsia="zh-CN"/>
        </w:rPr>
        <w:t>公司</w:t>
      </w:r>
      <w:r>
        <w:rPr>
          <w:rFonts w:hint="eastAsia" w:hAnsi="宋体"/>
          <w:sz w:val="28"/>
          <w:szCs w:val="28"/>
        </w:rPr>
        <w:t>在生产经营过程的生产工艺装置和储存设施以及配套的公用工程系统的风险性识别和分析。</w:t>
      </w:r>
    </w:p>
    <w:p>
      <w:pPr>
        <w:pStyle w:val="5"/>
        <w:spacing w:before="0" w:after="0" w:line="360" w:lineRule="auto"/>
        <w:rPr>
          <w:rFonts w:hint="eastAsia" w:ascii="宋体" w:hAnsi="宋体" w:eastAsia="宋体" w:cs="宋体"/>
          <w:sz w:val="28"/>
          <w:szCs w:val="28"/>
        </w:rPr>
      </w:pPr>
      <w:bookmarkStart w:id="31" w:name="_Toc23032"/>
      <w:bookmarkStart w:id="32" w:name="_Toc15923"/>
      <w:bookmarkStart w:id="33" w:name="_Toc2952"/>
      <w:r>
        <w:rPr>
          <w:rFonts w:hint="eastAsia" w:ascii="宋体" w:hAnsi="宋体" w:eastAsia="宋体" w:cs="宋体"/>
          <w:sz w:val="28"/>
          <w:szCs w:val="28"/>
        </w:rPr>
        <w:t>1.4评估程序</w:t>
      </w:r>
      <w:bookmarkEnd w:id="31"/>
      <w:bookmarkEnd w:id="32"/>
      <w:bookmarkEnd w:id="33"/>
      <w:r>
        <w:rPr>
          <w:rFonts w:hint="eastAsia" w:ascii="宋体" w:hAnsi="宋体" w:eastAsia="宋体" w:cs="宋体"/>
          <w:sz w:val="28"/>
          <w:szCs w:val="28"/>
        </w:rPr>
        <w:t xml:space="preserve">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 xml:space="preserve">1、成立风险评估小组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 xml:space="preserve">2、收集分析资料、现场勘察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 xml:space="preserve">3、组织进行风险识别和评估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4、评估汇总交</w:t>
      </w:r>
      <w:r>
        <w:rPr>
          <w:rFonts w:hint="eastAsia" w:hAnsi="宋体"/>
          <w:sz w:val="28"/>
          <w:szCs w:val="28"/>
          <w:lang w:eastAsia="zh-CN"/>
        </w:rPr>
        <w:t>公司</w:t>
      </w:r>
      <w:r>
        <w:rPr>
          <w:rFonts w:hint="eastAsia" w:hAnsi="宋体"/>
          <w:sz w:val="28"/>
          <w:szCs w:val="28"/>
        </w:rPr>
        <w:t xml:space="preserve">主要负责人批准 </w:t>
      </w:r>
    </w:p>
    <w:p>
      <w:pPr>
        <w:rPr>
          <w:rFonts w:hint="eastAsia" w:ascii="黑体" w:hAnsi="宋体" w:eastAsia="黑体"/>
          <w:b/>
          <w:color w:val="auto"/>
          <w:sz w:val="32"/>
          <w:szCs w:val="32"/>
          <w:lang w:val="en-US" w:eastAsia="zh-CN"/>
        </w:rPr>
      </w:pPr>
      <w:r>
        <w:rPr>
          <w:rFonts w:hint="eastAsia" w:ascii="黑体" w:hAnsi="宋体" w:eastAsia="黑体"/>
          <w:b/>
          <w:color w:val="auto"/>
          <w:sz w:val="32"/>
          <w:szCs w:val="32"/>
          <w:lang w:val="en-US" w:eastAsia="zh-CN"/>
        </w:rPr>
        <w:br w:type="page"/>
      </w:r>
    </w:p>
    <w:p>
      <w:pPr>
        <w:numPr>
          <w:ilvl w:val="0"/>
          <w:numId w:val="0"/>
        </w:numPr>
        <w:spacing w:line="360" w:lineRule="auto"/>
        <w:jc w:val="center"/>
        <w:outlineLvl w:val="0"/>
        <w:rPr>
          <w:rFonts w:hint="eastAsia" w:ascii="黑体" w:hAnsi="宋体" w:eastAsia="黑体"/>
          <w:b/>
          <w:color w:val="auto"/>
          <w:sz w:val="32"/>
          <w:szCs w:val="32"/>
        </w:rPr>
      </w:pPr>
      <w:bookmarkStart w:id="34" w:name="_Toc32373"/>
      <w:r>
        <w:rPr>
          <w:rFonts w:hint="eastAsia" w:ascii="黑体" w:hAnsi="宋体" w:eastAsia="黑体"/>
          <w:b/>
          <w:color w:val="auto"/>
          <w:sz w:val="32"/>
          <w:szCs w:val="32"/>
          <w:lang w:val="en-US" w:eastAsia="zh-CN"/>
        </w:rPr>
        <w:t>2</w:t>
      </w:r>
      <w:r>
        <w:rPr>
          <w:rFonts w:hint="eastAsia" w:ascii="黑体" w:hAnsi="宋体" w:eastAsia="黑体"/>
          <w:b/>
          <w:color w:val="auto"/>
          <w:sz w:val="32"/>
          <w:szCs w:val="32"/>
        </w:rPr>
        <w:t>公司概况</w:t>
      </w:r>
      <w:bookmarkEnd w:id="0"/>
      <w:bookmarkEnd w:id="34"/>
    </w:p>
    <w:p>
      <w:pPr>
        <w:pStyle w:val="5"/>
        <w:spacing w:before="0" w:after="0" w:line="360" w:lineRule="auto"/>
        <w:rPr>
          <w:rFonts w:hint="eastAsia" w:ascii="宋体" w:hAnsi="宋体" w:eastAsia="宋体" w:cs="宋体"/>
          <w:color w:val="auto"/>
          <w:sz w:val="28"/>
          <w:szCs w:val="28"/>
        </w:rPr>
      </w:pPr>
      <w:bookmarkStart w:id="35" w:name="_Toc10699"/>
      <w:bookmarkStart w:id="36" w:name="_Toc332285103"/>
      <w:bookmarkStart w:id="37" w:name="_Toc13200"/>
      <w:bookmarkStart w:id="38" w:name="_Toc176022617"/>
      <w:bookmarkStart w:id="39" w:name="_Toc4724"/>
      <w:bookmarkStart w:id="40" w:name="_Toc514342838"/>
      <w:bookmarkStart w:id="41" w:name="_Toc480804386"/>
      <w:bookmarkStart w:id="42" w:name="_Toc485656588"/>
      <w:r>
        <w:rPr>
          <w:rFonts w:hint="eastAsia" w:ascii="宋体" w:hAnsi="宋体" w:eastAsia="宋体" w:cs="宋体"/>
          <w:color w:val="auto"/>
          <w:sz w:val="28"/>
          <w:szCs w:val="28"/>
        </w:rPr>
        <w:t>2.1 公司概况</w:t>
      </w:r>
      <w:bookmarkEnd w:id="35"/>
    </w:p>
    <w:tbl>
      <w:tblPr>
        <w:tblStyle w:val="20"/>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6"/>
        <w:gridCol w:w="1907"/>
        <w:gridCol w:w="1643"/>
        <w:gridCol w:w="366"/>
        <w:gridCol w:w="1134"/>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单位</w:t>
            </w:r>
            <w:r>
              <w:rPr>
                <w:rFonts w:hint="eastAsia" w:hAnsi="宋体" w:eastAsia="Times New Roman" w:cs="宋体"/>
                <w:color w:val="auto"/>
                <w:kern w:val="2"/>
                <w:sz w:val="28"/>
                <w:szCs w:val="28"/>
                <w:lang w:val="zh-CN" w:eastAsia="zh-CN" w:bidi="ar-SA"/>
              </w:rPr>
              <w:t>名称</w:t>
            </w:r>
          </w:p>
        </w:tc>
        <w:tc>
          <w:tcPr>
            <w:tcW w:w="7012" w:type="dxa"/>
            <w:gridSpan w:val="5"/>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仪陇县义路镇正强页岩砖厂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法人代表</w:t>
            </w:r>
          </w:p>
        </w:tc>
        <w:tc>
          <w:tcPr>
            <w:tcW w:w="1907"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周正</w:t>
            </w:r>
          </w:p>
        </w:tc>
        <w:tc>
          <w:tcPr>
            <w:tcW w:w="2009"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联系电话</w:t>
            </w:r>
          </w:p>
        </w:tc>
        <w:tc>
          <w:tcPr>
            <w:tcW w:w="3096"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hAnsi="宋体" w:eastAsia="Times New Roman" w:cs="宋体"/>
                <w:color w:val="auto"/>
                <w:kern w:val="2"/>
                <w:sz w:val="28"/>
                <w:szCs w:val="28"/>
                <w:lang w:val="en-US" w:eastAsia="zh-CN" w:bidi="ar-SA"/>
              </w:rPr>
            </w:pPr>
            <w:r>
              <w:rPr>
                <w:rFonts w:hint="eastAsia" w:hAnsi="宋体" w:eastAsia="Times New Roman" w:cs="宋体"/>
                <w:color w:val="auto"/>
                <w:kern w:val="2"/>
                <w:sz w:val="28"/>
                <w:szCs w:val="28"/>
                <w:lang w:val="en-US" w:eastAsia="zh-CN" w:bidi="ar-SA"/>
              </w:rPr>
              <w:t>13990756025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联系人</w:t>
            </w:r>
          </w:p>
        </w:tc>
        <w:tc>
          <w:tcPr>
            <w:tcW w:w="1907"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王顺发</w:t>
            </w:r>
          </w:p>
        </w:tc>
        <w:tc>
          <w:tcPr>
            <w:tcW w:w="2009"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成立时间</w:t>
            </w:r>
          </w:p>
        </w:tc>
        <w:tc>
          <w:tcPr>
            <w:tcW w:w="3096"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hAnsi="宋体" w:eastAsia="Times New Roman" w:cs="宋体"/>
                <w:color w:val="auto"/>
                <w:kern w:val="2"/>
                <w:sz w:val="28"/>
                <w:szCs w:val="28"/>
                <w:lang w:val="en-US" w:eastAsia="zh-CN" w:bidi="ar-SA"/>
              </w:rPr>
            </w:pPr>
            <w:r>
              <w:rPr>
                <w:rFonts w:hint="eastAsia" w:hAnsi="宋体" w:eastAsia="Times New Roman" w:cs="宋体"/>
                <w:color w:val="auto"/>
                <w:kern w:val="2"/>
                <w:sz w:val="28"/>
                <w:szCs w:val="28"/>
                <w:lang w:val="en-US" w:eastAsia="zh-CN" w:bidi="ar-SA"/>
              </w:rPr>
              <w:t>2015年03月30日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企业性质</w:t>
            </w:r>
          </w:p>
        </w:tc>
        <w:tc>
          <w:tcPr>
            <w:tcW w:w="1907"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hAnsi="宋体" w:eastAsia="宋体" w:cs="宋体"/>
                <w:color w:val="auto"/>
                <w:kern w:val="2"/>
                <w:sz w:val="28"/>
                <w:szCs w:val="28"/>
                <w:lang w:val="en-US" w:eastAsia="zh-CN" w:bidi="ar-SA"/>
              </w:rPr>
            </w:pPr>
            <w:r>
              <w:rPr>
                <w:rFonts w:hint="eastAsia" w:hAnsi="宋体" w:eastAsia="Times New Roman" w:cs="宋体"/>
                <w:color w:val="auto"/>
                <w:kern w:val="2"/>
                <w:sz w:val="28"/>
                <w:szCs w:val="28"/>
                <w:lang w:val="en-US" w:eastAsia="zh-CN" w:bidi="ar-SA"/>
              </w:rPr>
              <w:t>个人</w:t>
            </w:r>
            <w:r>
              <w:rPr>
                <w:rFonts w:hint="eastAsia" w:hAnsi="宋体" w:cs="宋体"/>
                <w:color w:val="auto"/>
                <w:kern w:val="2"/>
                <w:sz w:val="28"/>
                <w:szCs w:val="28"/>
                <w:lang w:val="en-US" w:eastAsia="zh-CN" w:bidi="ar-SA"/>
              </w:rPr>
              <w:t>独资企业</w:t>
            </w:r>
          </w:p>
        </w:tc>
        <w:tc>
          <w:tcPr>
            <w:tcW w:w="2009" w:type="dxa"/>
            <w:gridSpan w:val="2"/>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en-US" w:eastAsia="zh-CN" w:bidi="ar-SA"/>
              </w:rPr>
              <w:t>注册号</w:t>
            </w:r>
          </w:p>
        </w:tc>
        <w:tc>
          <w:tcPr>
            <w:tcW w:w="3096" w:type="dxa"/>
            <w:gridSpan w:val="2"/>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Courier New"/>
                <w:snapToGrid w:val="0"/>
                <w:color w:val="auto"/>
                <w:kern w:val="0"/>
                <w:sz w:val="28"/>
                <w:szCs w:val="28"/>
                <w:lang w:val="zh-CN" w:eastAsia="zh-CN"/>
              </w:rPr>
            </w:pPr>
            <w:r>
              <w:rPr>
                <w:rFonts w:hint="eastAsia" w:ascii="仿宋_GB2312" w:hAnsi="Times New Roman" w:eastAsia="仿宋_GB2312"/>
                <w:snapToGrid w:val="0"/>
                <w:kern w:val="0"/>
                <w:sz w:val="28"/>
                <w:szCs w:val="28"/>
                <w:lang w:val="en-US" w:eastAsia="zh-CN" w:bidi="ar-SA"/>
              </w:rPr>
              <w:t>9</w:t>
            </w:r>
            <w:r>
              <w:rPr>
                <w:rFonts w:hint="eastAsia" w:ascii="仿宋_GB2312" w:hAnsi="Times New Roman"/>
                <w:snapToGrid w:val="0"/>
                <w:kern w:val="0"/>
                <w:sz w:val="28"/>
                <w:szCs w:val="28"/>
                <w:lang w:val="en-US" w:eastAsia="zh-CN" w:bidi="ar-SA"/>
              </w:rPr>
              <w:t>1</w:t>
            </w:r>
            <w:r>
              <w:rPr>
                <w:rFonts w:hint="eastAsia" w:ascii="仿宋_GB2312" w:hAnsi="Times New Roman" w:eastAsia="仿宋_GB2312"/>
                <w:snapToGrid w:val="0"/>
                <w:kern w:val="0"/>
                <w:sz w:val="28"/>
                <w:szCs w:val="28"/>
                <w:lang w:val="en-US" w:eastAsia="zh-CN" w:bidi="ar-SA"/>
              </w:rPr>
              <w:t>511324</w:t>
            </w:r>
            <w:r>
              <w:rPr>
                <w:rFonts w:hint="eastAsia" w:ascii="仿宋_GB2312" w:hAnsi="Times New Roman"/>
                <w:snapToGrid w:val="0"/>
                <w:kern w:val="0"/>
                <w:sz w:val="28"/>
                <w:szCs w:val="28"/>
                <w:lang w:val="en-US" w:eastAsia="zh-CN" w:bidi="ar-SA"/>
              </w:rPr>
              <w:t>337730842J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通讯地址</w:t>
            </w:r>
          </w:p>
        </w:tc>
        <w:tc>
          <w:tcPr>
            <w:tcW w:w="7012" w:type="dxa"/>
            <w:gridSpan w:val="5"/>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仪陇县义路镇粉房坝村7社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行业类别及代码</w:t>
            </w:r>
          </w:p>
        </w:tc>
        <w:tc>
          <w:tcPr>
            <w:tcW w:w="7012" w:type="dxa"/>
            <w:gridSpan w:val="5"/>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en-US" w:eastAsia="zh-CN" w:bidi="ar-SA"/>
              </w:rPr>
            </w:pPr>
            <w:r>
              <w:rPr>
                <w:rFonts w:hint="eastAsia" w:hAnsi="宋体" w:eastAsia="Times New Roman" w:cs="宋体"/>
                <w:color w:val="auto"/>
                <w:kern w:val="2"/>
                <w:sz w:val="28"/>
                <w:szCs w:val="28"/>
                <w:lang w:val="zh-CN" w:eastAsia="zh-CN" w:bidi="ar-SA"/>
              </w:rPr>
              <w:t>C</w:t>
            </w:r>
            <w:r>
              <w:rPr>
                <w:rFonts w:hint="eastAsia" w:hAnsi="宋体" w:eastAsia="Times New Roman" w:cs="宋体"/>
                <w:color w:val="auto"/>
                <w:kern w:val="2"/>
                <w:sz w:val="28"/>
                <w:szCs w:val="28"/>
                <w:lang w:val="en-US" w:eastAsia="en-US" w:bidi="ar-SA"/>
              </w:rPr>
              <w:t>3031</w:t>
            </w:r>
            <w:r>
              <w:rPr>
                <w:rFonts w:hint="eastAsia" w:hAnsi="宋体" w:eastAsia="Times New Roman" w:cs="宋体"/>
                <w:color w:val="auto"/>
                <w:kern w:val="2"/>
                <w:sz w:val="28"/>
                <w:szCs w:val="28"/>
                <w:lang w:val="zh-CN" w:eastAsia="zh-CN" w:bidi="ar-SA"/>
              </w:rPr>
              <w:t>粘土砖瓦及建筑砌块制造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企业规模</w:t>
            </w:r>
          </w:p>
        </w:tc>
        <w:tc>
          <w:tcPr>
            <w:tcW w:w="3550" w:type="dxa"/>
            <w:gridSpan w:val="2"/>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en-US" w:eastAsia="zh-CN" w:bidi="ar-SA"/>
              </w:rPr>
            </w:pPr>
            <w:r>
              <w:rPr>
                <w:rFonts w:hint="eastAsia" w:hAnsi="宋体" w:cs="宋体"/>
                <w:lang w:val="en-US" w:eastAsia="zh-CN"/>
              </w:rPr>
              <w:t>35</w:t>
            </w:r>
            <w:r>
              <w:rPr>
                <w:rFonts w:hint="eastAsia" w:ascii="宋体" w:hAnsi="宋体" w:eastAsia="宋体" w:cs="宋体"/>
              </w:rPr>
              <w:t>00万标砖/年</w:t>
            </w:r>
          </w:p>
        </w:tc>
        <w:tc>
          <w:tcPr>
            <w:tcW w:w="1500"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占地面积</w:t>
            </w:r>
          </w:p>
        </w:tc>
        <w:tc>
          <w:tcPr>
            <w:tcW w:w="1962"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cs="宋体"/>
                <w:lang w:val="en-US" w:eastAsia="zh-CN"/>
              </w:rPr>
              <w:t>19600</w:t>
            </w:r>
            <w:r>
              <w:rPr>
                <w:rFonts w:hint="eastAsia" w:ascii="宋体" w:hAnsi="宋体" w:eastAsia="宋体" w:cs="宋体"/>
              </w:rPr>
              <w:t>m</w:t>
            </w:r>
            <w:r>
              <w:rPr>
                <w:rFonts w:hint="eastAsia" w:ascii="宋体" w:hAnsi="宋体" w:eastAsia="宋体" w:cs="宋体"/>
                <w:vertAlign w:val="superscript"/>
              </w:rPr>
              <w:t>2</w:t>
            </w:r>
          </w:p>
        </w:tc>
      </w:tr>
    </w:tbl>
    <w:p>
      <w:pPr>
        <w:pStyle w:val="12"/>
        <w:spacing w:line="240" w:lineRule="auto"/>
        <w:ind w:firstLine="482" w:firstLineChars="200"/>
        <w:jc w:val="center"/>
        <w:rPr>
          <w:rFonts w:hint="eastAsia" w:ascii="黑体" w:hAnsi="Courier New" w:eastAsia="黑体"/>
          <w:b/>
          <w:color w:val="auto"/>
          <w:sz w:val="24"/>
        </w:rPr>
      </w:pPr>
      <w:r>
        <w:rPr>
          <w:rFonts w:hint="eastAsia" w:ascii="黑体" w:hAnsi="Courier New" w:eastAsia="黑体"/>
          <w:b/>
          <w:color w:val="auto"/>
          <w:sz w:val="24"/>
        </w:rPr>
        <w:t>表2-1 单位基本情况一览表</w:t>
      </w:r>
    </w:p>
    <w:p>
      <w:pPr>
        <w:spacing w:line="360" w:lineRule="auto"/>
        <w:ind w:firstLine="560" w:firstLineChars="200"/>
        <w:rPr>
          <w:rFonts w:hint="eastAsia" w:ascii="宋体" w:hAnsi="宋体" w:cs="宋体"/>
          <w:color w:val="auto"/>
          <w:sz w:val="28"/>
          <w:szCs w:val="28"/>
          <w:lang w:val="en-US" w:eastAsia="zh-CN"/>
        </w:rPr>
      </w:pPr>
      <w:r>
        <w:rPr>
          <w:rFonts w:hint="eastAsia" w:ascii="仿宋_GB2312"/>
          <w:snapToGrid w:val="0"/>
          <w:kern w:val="0"/>
          <w:sz w:val="28"/>
          <w:szCs w:val="28"/>
          <w:lang w:val="en-US" w:eastAsia="zh-CN"/>
        </w:rPr>
        <w:t>仪陇县义路镇正强页岩砖厂</w:t>
      </w:r>
      <w:r>
        <w:rPr>
          <w:rFonts w:hint="eastAsia" w:ascii="宋体" w:hAnsi="宋体"/>
          <w:sz w:val="28"/>
          <w:szCs w:val="28"/>
        </w:rPr>
        <w:t>于</w:t>
      </w:r>
      <w:r>
        <w:rPr>
          <w:rFonts w:hint="eastAsia" w:ascii="宋体" w:hAnsi="宋体"/>
          <w:sz w:val="28"/>
          <w:szCs w:val="28"/>
          <w:lang w:val="en-US" w:eastAsia="zh-CN"/>
        </w:rPr>
        <w:t>2017</w:t>
      </w:r>
      <w:r>
        <w:rPr>
          <w:rFonts w:hint="eastAsia" w:ascii="仿宋_GB2312"/>
          <w:snapToGrid w:val="0"/>
          <w:kern w:val="0"/>
          <w:sz w:val="28"/>
          <w:szCs w:val="28"/>
          <w:lang w:val="en-US" w:eastAsia="zh-CN"/>
        </w:rPr>
        <w:t>年成立，位于</w:t>
      </w:r>
      <w:r>
        <w:rPr>
          <w:rFonts w:hint="eastAsia" w:ascii="仿宋_GB2312" w:hAnsi="Times New Roman" w:eastAsia="仿宋_GB2312"/>
          <w:snapToGrid w:val="0"/>
          <w:kern w:val="0"/>
          <w:sz w:val="28"/>
          <w:szCs w:val="28"/>
          <w:lang w:val="en-US" w:eastAsia="zh-CN" w:bidi="ar-SA"/>
        </w:rPr>
        <w:t>仪陇县</w:t>
      </w:r>
      <w:r>
        <w:rPr>
          <w:rFonts w:hint="eastAsia" w:ascii="仿宋_GB2312" w:hAnsi="Times New Roman"/>
          <w:snapToGrid w:val="0"/>
          <w:kern w:val="0"/>
          <w:sz w:val="28"/>
          <w:szCs w:val="28"/>
          <w:lang w:val="en-US" w:eastAsia="zh-CN" w:bidi="ar-SA"/>
        </w:rPr>
        <w:t>义路镇粉房坝村7社</w:t>
      </w:r>
      <w:r>
        <w:rPr>
          <w:rFonts w:hint="eastAsia" w:ascii="仿宋_GB2312"/>
          <w:snapToGrid w:val="0"/>
          <w:kern w:val="0"/>
          <w:sz w:val="28"/>
          <w:szCs w:val="28"/>
          <w:lang w:val="en-US" w:eastAsia="zh-CN"/>
        </w:rPr>
        <w:t>。现有20人，</w:t>
      </w:r>
      <w:r>
        <w:rPr>
          <w:rFonts w:hint="eastAsia" w:ascii="宋体" w:hAnsi="宋体" w:cs="宋体"/>
          <w:snapToGrid w:val="0"/>
          <w:kern w:val="0"/>
          <w:sz w:val="28"/>
          <w:szCs w:val="28"/>
          <w:lang w:val="en-US" w:eastAsia="zh-CN"/>
        </w:rPr>
        <w:t>安全生产管理人员由于总经理周正、厂长王顺发、</w:t>
      </w:r>
      <w:r>
        <w:rPr>
          <w:rFonts w:hint="eastAsia" w:ascii="宋体" w:hAnsi="宋体" w:cs="宋体"/>
          <w:snapToGrid w:val="0"/>
          <w:kern w:val="0"/>
          <w:sz w:val="28"/>
          <w:szCs w:val="28"/>
          <w:lang w:eastAsia="zh-CN"/>
        </w:rPr>
        <w:t>刘军明、陈林木、秦玉华、马明杨</w:t>
      </w:r>
      <w:r>
        <w:rPr>
          <w:rFonts w:hint="eastAsia" w:ascii="宋体" w:hAnsi="宋体" w:cs="宋体"/>
          <w:snapToGrid w:val="0"/>
          <w:kern w:val="0"/>
          <w:sz w:val="28"/>
          <w:szCs w:val="28"/>
          <w:lang w:val="en-US" w:eastAsia="zh-CN"/>
        </w:rPr>
        <w:t>组成。公司生产规模：年</w:t>
      </w:r>
      <w:r>
        <w:rPr>
          <w:rFonts w:hint="eastAsia" w:ascii="宋体" w:hAnsi="宋体" w:cs="宋体"/>
          <w:snapToGrid w:val="0"/>
          <w:kern w:val="0"/>
          <w:sz w:val="28"/>
          <w:szCs w:val="28"/>
          <w:lang w:eastAsia="zh-CN"/>
        </w:rPr>
        <w:t>产</w:t>
      </w:r>
      <w:r>
        <w:rPr>
          <w:rFonts w:hint="eastAsia" w:ascii="宋体" w:hAnsi="宋体" w:cs="宋体"/>
          <w:snapToGrid w:val="0"/>
          <w:kern w:val="0"/>
          <w:sz w:val="28"/>
          <w:szCs w:val="28"/>
          <w:lang w:val="en-US" w:eastAsia="zh-CN"/>
        </w:rPr>
        <w:t>31</w:t>
      </w:r>
      <w:r>
        <w:rPr>
          <w:rFonts w:hint="eastAsia" w:ascii="宋体" w:hAnsi="宋体" w:cs="宋体"/>
          <w:snapToGrid w:val="0"/>
          <w:kern w:val="0"/>
          <w:sz w:val="28"/>
          <w:szCs w:val="28"/>
          <w:lang w:eastAsia="zh-CN"/>
        </w:rPr>
        <w:t>00万匹页岩砖。</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年生产工作日为3</w:t>
      </w:r>
      <w:r>
        <w:rPr>
          <w:rFonts w:hint="eastAsia" w:ascii="宋体" w:hAnsi="宋体" w:cs="宋体"/>
          <w:color w:val="auto"/>
          <w:sz w:val="28"/>
          <w:szCs w:val="28"/>
          <w:lang w:val="en-US" w:eastAsia="zh-CN"/>
        </w:rPr>
        <w:t>30</w:t>
      </w:r>
      <w:r>
        <w:rPr>
          <w:rFonts w:hint="eastAsia" w:ascii="宋体" w:hAnsi="宋体" w:cs="宋体"/>
          <w:color w:val="auto"/>
          <w:sz w:val="28"/>
          <w:szCs w:val="28"/>
          <w:lang w:val="zh-CN" w:eastAsia="zh-CN"/>
        </w:rPr>
        <w:t>天。焙烧窑24小时燃烧，员工采取白班工作制（每班工作8小时）。</w:t>
      </w:r>
    </w:p>
    <w:p>
      <w:pPr>
        <w:pStyle w:val="5"/>
        <w:spacing w:before="0" w:after="0" w:line="360" w:lineRule="auto"/>
        <w:rPr>
          <w:rFonts w:hint="eastAsia" w:ascii="宋体" w:hAnsi="宋体" w:eastAsia="宋体" w:cs="宋体"/>
          <w:color w:val="000000" w:themeColor="text1"/>
          <w:sz w:val="28"/>
          <w:szCs w:val="28"/>
          <w14:textFill>
            <w14:solidFill>
              <w14:schemeClr w14:val="tx1"/>
            </w14:solidFill>
          </w14:textFill>
        </w:rPr>
      </w:pPr>
      <w:bookmarkStart w:id="43" w:name="_Toc8293"/>
      <w:r>
        <w:rPr>
          <w:rFonts w:hint="eastAsia" w:ascii="宋体" w:hAnsi="宋体" w:eastAsia="宋体" w:cs="宋体"/>
          <w:color w:val="000000" w:themeColor="text1"/>
          <w:sz w:val="28"/>
          <w:szCs w:val="28"/>
          <w14:textFill>
            <w14:solidFill>
              <w14:schemeClr w14:val="tx1"/>
            </w14:solidFill>
          </w14:textFill>
        </w:rPr>
        <w:t>2.</w:t>
      </w:r>
      <w:r>
        <w:rPr>
          <w:rFonts w:hint="eastAsia" w:ascii="宋体" w:hAnsi="宋体" w:eastAsia="宋体" w:cs="宋体"/>
          <w:color w:val="000000" w:themeColor="text1"/>
          <w:sz w:val="28"/>
          <w:szCs w:val="28"/>
          <w:lang w:val="en-US" w:eastAsia="zh-CN"/>
          <w14:textFill>
            <w14:solidFill>
              <w14:schemeClr w14:val="tx1"/>
            </w14:solidFill>
          </w14:textFill>
        </w:rPr>
        <w:t>1.1</w:t>
      </w:r>
      <w:r>
        <w:rPr>
          <w:rFonts w:hint="eastAsia" w:ascii="宋体" w:hAnsi="宋体" w:eastAsia="宋体" w:cs="宋体"/>
          <w:color w:val="000000" w:themeColor="text1"/>
          <w:sz w:val="28"/>
          <w:szCs w:val="28"/>
          <w14:textFill>
            <w14:solidFill>
              <w14:schemeClr w14:val="tx1"/>
            </w14:solidFill>
          </w14:textFill>
        </w:rPr>
        <w:t>公司地理位置及环境等情况</w:t>
      </w:r>
      <w:bookmarkEnd w:id="43"/>
    </w:p>
    <w:p>
      <w:pPr>
        <w:spacing w:line="360" w:lineRule="auto"/>
        <w:ind w:firstLine="560" w:firstLineChars="200"/>
        <w:rPr>
          <w:rFonts w:hint="eastAsia" w:ascii="仿宋_GB2312" w:hAnsi="Times New Roman"/>
          <w:snapToGrid w:val="0"/>
          <w:color w:val="000000" w:themeColor="text1"/>
          <w:kern w:val="0"/>
          <w:sz w:val="28"/>
          <w:szCs w:val="28"/>
          <w:lang w:val="en-US" w:eastAsia="zh-CN" w:bidi="ar-SA"/>
          <w14:textFill>
            <w14:solidFill>
              <w14:schemeClr w14:val="tx1"/>
            </w14:solidFill>
          </w14:textFill>
        </w:rPr>
      </w:pPr>
      <w:r>
        <w:rPr>
          <w:rFonts w:hint="eastAsia" w:ascii="仿宋_GB2312" w:hAnsi="Times New Roman"/>
          <w:snapToGrid w:val="0"/>
          <w:color w:val="000000" w:themeColor="text1"/>
          <w:kern w:val="0"/>
          <w:sz w:val="28"/>
          <w:szCs w:val="28"/>
          <w:lang w:val="en-US" w:eastAsia="zh-CN" w:bidi="ar-SA"/>
          <w14:textFill>
            <w14:solidFill>
              <w14:schemeClr w14:val="tx1"/>
            </w14:solidFill>
          </w14:textFill>
        </w:rPr>
        <w:t>仪陇县义路镇正强页岩砖厂</w:t>
      </w:r>
      <w:r>
        <w:rPr>
          <w:rFonts w:hint="eastAsia" w:ascii="仿宋_GB2312" w:hAnsi="Times New Roman"/>
          <w:snapToGrid w:val="0"/>
          <w:color w:val="000000" w:themeColor="text1"/>
          <w:kern w:val="0"/>
          <w:sz w:val="28"/>
          <w:szCs w:val="28"/>
          <w:lang w:val="zh-CN" w:eastAsia="zh-CN" w:bidi="ar-SA"/>
          <w14:textFill>
            <w14:solidFill>
              <w14:schemeClr w14:val="tx1"/>
            </w14:solidFill>
          </w14:textFill>
        </w:rPr>
        <w:t>行政区划隶属仪陇县义路镇粉房坝村7社，义路镇位于仪陇县东部，距县城72公里。东与义门乡相望、南连柳垭镇、西靠马鞍镇、北接合作乡。属亚热带季风气候，四季分明。地貌以丘陵为主，多页岩丘陵。土壤尤以水稻土、红石谷子分布最广，面积最大。全镇幅员面积25平方公里，耕地面积9228.10亩，辖10个村，人均耕地近0.8亩。义路镇为仪陇县辖镇。1940年置义路乡，1992年改镇。辖白沙坎、奉恩寺、粉坊坝、场沟、龙城寨、金石头、钟城寨、青春堰、大岚山、青天院10个村委会和1个街道居委会。</w:t>
      </w:r>
      <w:r>
        <w:rPr>
          <w:rFonts w:hint="eastAsia" w:ascii="仿宋_GB2312" w:hAnsi="Times New Roman"/>
          <w:snapToGrid w:val="0"/>
          <w:color w:val="000000" w:themeColor="text1"/>
          <w:kern w:val="0"/>
          <w:sz w:val="28"/>
          <w:szCs w:val="28"/>
          <w:lang w:val="en-US" w:eastAsia="zh-CN" w:bidi="ar-SA"/>
          <w14:textFill>
            <w14:solidFill>
              <w14:schemeClr w14:val="tx1"/>
            </w14:solidFill>
          </w14:textFill>
        </w:rPr>
        <w:t>砖厂位于仪陇县县城（新政镇）390方向，直距约46.6km处，厂区有1.2km厂区公路与合作～义路公路相接，交通方便。矿区中心点地理坐标：东经106°39′50″，北纬31°33′11″。</w:t>
      </w:r>
    </w:p>
    <w:p>
      <w:pPr>
        <w:pStyle w:val="2"/>
        <w:ind w:left="0" w:leftChars="0" w:firstLine="0" w:firstLineChars="0"/>
        <w:rPr>
          <w:rFonts w:hint="eastAsia"/>
          <w:color w:val="000000" w:themeColor="text1"/>
          <w:lang w:val="zh-CN" w:eastAsia="zh-CN"/>
          <w14:textFill>
            <w14:solidFill>
              <w14:schemeClr w14:val="tx1"/>
            </w14:solidFill>
          </w14:textFill>
        </w:rPr>
      </w:pPr>
      <w:r>
        <w:rPr>
          <w:color w:val="000000" w:themeColor="text1"/>
          <w:sz w:val="72"/>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1162050</wp:posOffset>
                </wp:positionH>
                <wp:positionV relativeFrom="paragraph">
                  <wp:posOffset>1845945</wp:posOffset>
                </wp:positionV>
                <wp:extent cx="1728470" cy="303530"/>
                <wp:effectExtent l="5080" t="147955" r="171450" b="5715"/>
                <wp:wrapNone/>
                <wp:docPr id="74" name="圆角矩形标注 74"/>
                <wp:cNvGraphicFramePr/>
                <a:graphic xmlns:a="http://schemas.openxmlformats.org/drawingml/2006/main">
                  <a:graphicData uri="http://schemas.microsoft.com/office/word/2010/wordprocessingShape">
                    <wps:wsp>
                      <wps:cNvSpPr/>
                      <wps:spPr>
                        <a:xfrm flipH="1" flipV="1">
                          <a:off x="0" y="0"/>
                          <a:ext cx="1728470" cy="303530"/>
                        </a:xfrm>
                        <a:prstGeom prst="wedgeRoundRectCallout">
                          <a:avLst>
                            <a:gd name="adj1" fmla="val -57491"/>
                            <a:gd name="adj2" fmla="val 95208"/>
                            <a:gd name="adj3" fmla="val 16667"/>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color w:val="FF0000"/>
                                <w:sz w:val="18"/>
                                <w:szCs w:val="18"/>
                              </w:rPr>
                            </w:pPr>
                            <w:r>
                              <w:rPr>
                                <w:rFonts w:hint="eastAsia" w:ascii="仿宋_GB2312" w:hAnsi="Times New Roman"/>
                                <w:snapToGrid w:val="0"/>
                                <w:color w:val="000000" w:themeColor="text1"/>
                                <w:kern w:val="0"/>
                                <w:sz w:val="18"/>
                                <w:szCs w:val="18"/>
                                <w:lang w:val="en-US" w:eastAsia="zh-CN" w:bidi="ar-SA"/>
                                <w14:textFill>
                                  <w14:solidFill>
                                    <w14:schemeClr w14:val="tx1"/>
                                  </w14:solidFill>
                                </w14:textFill>
                              </w:rPr>
                              <w:t>仪陇县义路镇正强页岩砖厂</w:t>
                            </w:r>
                          </w:p>
                        </w:txbxContent>
                      </wps:txbx>
                      <wps:bodyPr upright="1"/>
                    </wps:wsp>
                  </a:graphicData>
                </a:graphic>
              </wp:anchor>
            </w:drawing>
          </mc:Choice>
          <mc:Fallback>
            <w:pict>
              <v:shape id="_x0000_s1026" o:spid="_x0000_s1026" o:spt="62" type="#_x0000_t62" style="position:absolute;left:0pt;flip:x y;margin-left:91.5pt;margin-top:145.35pt;height:23.9pt;width:136.1pt;z-index:251731968;mso-width-relative:page;mso-height-relative:page;" filled="f" stroked="t" coordsize="21600,21600" o:gfxdata="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vWJVNsAAAALAQAADwAAAAAAAAABACAAAAAiAAAA&#10;ZHJzL2Rvd25yZXYueG1sUEsBAhQAFAAAAAgAh07iQDg8Ilo9AgAAWwQAAA4AAAAAAAAAAQAgAAAA&#10;KgEAAGRycy9lMm9Eb2MueG1sUEsFBgAAAAAGAAYAWQEAANkFAAAAAA==&#10;" adj="-1618,31365,14400">
                <v:fill on="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color w:val="FF0000"/>
                          <w:sz w:val="18"/>
                          <w:szCs w:val="18"/>
                        </w:rPr>
                      </w:pPr>
                      <w:r>
                        <w:rPr>
                          <w:rFonts w:hint="eastAsia" w:ascii="仿宋_GB2312" w:hAnsi="Times New Roman"/>
                          <w:snapToGrid w:val="0"/>
                          <w:color w:val="000000" w:themeColor="text1"/>
                          <w:kern w:val="0"/>
                          <w:sz w:val="18"/>
                          <w:szCs w:val="18"/>
                          <w:lang w:val="en-US" w:eastAsia="zh-CN" w:bidi="ar-SA"/>
                          <w14:textFill>
                            <w14:solidFill>
                              <w14:schemeClr w14:val="tx1"/>
                            </w14:solidFill>
                          </w14:textFill>
                        </w:rPr>
                        <w:t>仪陇县义路镇正强页岩砖厂</w:t>
                      </w:r>
                    </w:p>
                  </w:txbxContent>
                </v:textbox>
              </v:shape>
            </w:pict>
          </mc:Fallback>
        </mc:AlternateContent>
      </w:r>
      <w:r>
        <w:rPr>
          <w:color w:val="000000" w:themeColor="text1"/>
          <w14:textFill>
            <w14:solidFill>
              <w14:schemeClr w14:val="tx1"/>
            </w14:solidFill>
          </w14:textFill>
        </w:rPr>
        <w:drawing>
          <wp:inline distT="0" distB="0" distL="114300" distR="114300">
            <wp:extent cx="5975350" cy="3112135"/>
            <wp:effectExtent l="0" t="0" r="13970" b="12065"/>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pic:cNvPicPr>
                  </pic:nvPicPr>
                  <pic:blipFill>
                    <a:blip r:embed="rId6"/>
                    <a:stretch>
                      <a:fillRect/>
                    </a:stretch>
                  </pic:blipFill>
                  <pic:spPr>
                    <a:xfrm>
                      <a:off x="0" y="0"/>
                      <a:ext cx="5975350" cy="3112135"/>
                    </a:xfrm>
                    <a:prstGeom prst="rect">
                      <a:avLst/>
                    </a:prstGeom>
                    <a:noFill/>
                    <a:ln>
                      <a:noFill/>
                    </a:ln>
                  </pic:spPr>
                </pic:pic>
              </a:graphicData>
            </a:graphic>
          </wp:inline>
        </w:drawing>
      </w:r>
    </w:p>
    <w:p>
      <w:pPr>
        <w:pStyle w:val="12"/>
        <w:spacing w:line="240" w:lineRule="auto"/>
        <w:ind w:firstLine="482" w:firstLineChars="200"/>
        <w:jc w:val="center"/>
        <w:rPr>
          <w:rFonts w:hint="eastAsia" w:ascii="黑体" w:hAnsi="Courier New" w:eastAsia="黑体"/>
          <w:b/>
          <w:color w:val="000000" w:themeColor="text1"/>
          <w:sz w:val="24"/>
          <w:lang w:eastAsia="zh-CN"/>
          <w14:textFill>
            <w14:solidFill>
              <w14:schemeClr w14:val="tx1"/>
            </w14:solidFill>
          </w14:textFill>
        </w:rPr>
      </w:pPr>
      <w:r>
        <w:rPr>
          <w:rFonts w:hint="eastAsia" w:ascii="黑体" w:hAnsi="Courier New" w:eastAsia="黑体"/>
          <w:b/>
          <w:color w:val="000000" w:themeColor="text1"/>
          <w:sz w:val="24"/>
          <w:lang w:eastAsia="zh-CN"/>
          <w14:textFill>
            <w14:solidFill>
              <w14:schemeClr w14:val="tx1"/>
            </w14:solidFill>
          </w14:textFill>
        </w:rPr>
        <w:t>图2-1 地理位置图</w:t>
      </w:r>
    </w:p>
    <w:p>
      <w:pPr>
        <w:pStyle w:val="5"/>
        <w:spacing w:before="0" w:after="0" w:line="360" w:lineRule="auto"/>
        <w:rPr>
          <w:rFonts w:hint="eastAsia" w:ascii="宋体" w:hAnsi="宋体" w:eastAsia="宋体" w:cs="宋体"/>
          <w:color w:val="000000" w:themeColor="text1"/>
          <w:sz w:val="28"/>
          <w:szCs w:val="28"/>
          <w:lang w:val="en-US" w:eastAsia="zh-CN"/>
          <w14:textFill>
            <w14:solidFill>
              <w14:schemeClr w14:val="tx1"/>
            </w14:solidFill>
          </w14:textFill>
        </w:rPr>
      </w:pPr>
      <w:bookmarkStart w:id="44" w:name="_Toc1015"/>
      <w:r>
        <w:rPr>
          <w:rFonts w:hint="eastAsia" w:ascii="宋体" w:hAnsi="宋体" w:eastAsia="宋体" w:cs="宋体"/>
          <w:color w:val="000000" w:themeColor="text1"/>
          <w:sz w:val="28"/>
          <w:szCs w:val="28"/>
          <w:lang w:val="zh-CN"/>
          <w14:textFill>
            <w14:solidFill>
              <w14:schemeClr w14:val="tx1"/>
            </w14:solidFill>
          </w14:textFill>
        </w:rPr>
        <w:t>2.1.</w:t>
      </w: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zh-CN"/>
          <w14:textFill>
            <w14:solidFill>
              <w14:schemeClr w14:val="tx1"/>
            </w14:solidFill>
          </w14:textFill>
        </w:rPr>
        <w:t>总体布置</w:t>
      </w:r>
      <w:bookmarkEnd w:id="44"/>
    </w:p>
    <w:p>
      <w:pPr>
        <w:spacing w:line="360" w:lineRule="auto"/>
        <w:ind w:firstLine="562" w:firstLineChars="200"/>
        <w:rPr>
          <w:rFonts w:hint="eastAsia" w:ascii="宋体"/>
          <w:b/>
          <w:bCs/>
          <w:snapToGrid w:val="0"/>
          <w:color w:val="000000" w:themeColor="text1"/>
          <w:kern w:val="0"/>
          <w:sz w:val="28"/>
          <w:szCs w:val="28"/>
          <w:lang w:val="en-US" w:eastAsia="en-US"/>
          <w14:textFill>
            <w14:solidFill>
              <w14:schemeClr w14:val="tx1"/>
            </w14:solidFill>
          </w14:textFill>
        </w:rPr>
      </w:pPr>
      <w:r>
        <w:rPr>
          <w:rFonts w:hint="eastAsia" w:ascii="宋体" w:eastAsia="宋体"/>
          <w:b/>
          <w:bCs/>
          <w:snapToGrid w:val="0"/>
          <w:color w:val="000000" w:themeColor="text1"/>
          <w:kern w:val="0"/>
          <w:sz w:val="28"/>
          <w:szCs w:val="28"/>
          <w:lang w:val="en-US" w:eastAsia="zh-CN"/>
          <w14:textFill>
            <w14:solidFill>
              <w14:schemeClr w14:val="tx1"/>
            </w14:solidFill>
          </w14:textFill>
        </w:rPr>
        <w:t>1、</w:t>
      </w:r>
      <w:r>
        <w:rPr>
          <w:rFonts w:hint="eastAsia" w:ascii="宋体"/>
          <w:b/>
          <w:bCs/>
          <w:snapToGrid w:val="0"/>
          <w:color w:val="000000" w:themeColor="text1"/>
          <w:kern w:val="0"/>
          <w:sz w:val="28"/>
          <w:szCs w:val="28"/>
          <w:lang w:val="zh-CN" w:eastAsia="zh-CN"/>
          <w14:textFill>
            <w14:solidFill>
              <w14:schemeClr w14:val="tx1"/>
            </w14:solidFill>
          </w14:textFill>
        </w:rPr>
        <w:t>总平面布置</w:t>
      </w:r>
    </w:p>
    <w:p>
      <w:pPr>
        <w:spacing w:line="360" w:lineRule="auto"/>
        <w:ind w:firstLine="560" w:firstLineChars="200"/>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本砖厂</w:t>
      </w:r>
      <w:r>
        <w:rPr>
          <w:rFonts w:hint="eastAsia" w:ascii="宋体" w:hAnsi="宋体" w:cs="宋体"/>
          <w:color w:val="000000" w:themeColor="text1"/>
          <w:sz w:val="28"/>
          <w:szCs w:val="28"/>
          <w:lang w:val="zh-CN" w:eastAsia="zh-CN"/>
          <w14:textFill>
            <w14:solidFill>
              <w14:schemeClr w14:val="tx1"/>
            </w14:solidFill>
          </w14:textFill>
        </w:rPr>
        <w:t>占地面积为</w:t>
      </w:r>
      <w:r>
        <w:rPr>
          <w:rFonts w:hint="eastAsia" w:ascii="宋体" w:hAnsi="宋体" w:cs="宋体"/>
          <w:color w:val="000000" w:themeColor="text1"/>
          <w:sz w:val="28"/>
          <w:szCs w:val="28"/>
          <w:lang w:val="en-US" w:eastAsia="zh-CN"/>
          <w14:textFill>
            <w14:solidFill>
              <w14:schemeClr w14:val="tx1"/>
            </w14:solidFill>
          </w14:textFill>
        </w:rPr>
        <w:t>196</w:t>
      </w:r>
      <w:r>
        <w:rPr>
          <w:rFonts w:hint="eastAsia" w:ascii="宋体" w:hAnsi="宋体" w:cs="宋体"/>
          <w:color w:val="000000" w:themeColor="text1"/>
          <w:sz w:val="28"/>
          <w:szCs w:val="28"/>
          <w:lang w:val="en-US" w:eastAsia="en-US"/>
          <w14:textFill>
            <w14:solidFill>
              <w14:schemeClr w14:val="tx1"/>
            </w14:solidFill>
          </w14:textFill>
        </w:rPr>
        <w:t>00m</w:t>
      </w:r>
      <w:r>
        <w:rPr>
          <w:rFonts w:hint="eastAsia" w:ascii="宋体" w:hAnsi="宋体" w:cs="宋体"/>
          <w:color w:val="000000" w:themeColor="text1"/>
          <w:sz w:val="28"/>
          <w:szCs w:val="28"/>
          <w:vertAlign w:val="superscript"/>
          <w:lang w:val="en-US" w:eastAsia="en-US"/>
          <w14:textFill>
            <w14:solidFill>
              <w14:schemeClr w14:val="tx1"/>
            </w14:solidFill>
          </w14:textFill>
        </w:rPr>
        <w:t>2</w:t>
      </w:r>
      <w:r>
        <w:rPr>
          <w:rFonts w:hint="eastAsia" w:ascii="宋体" w:hAnsi="宋体" w:cs="宋体"/>
          <w:color w:val="000000" w:themeColor="text1"/>
          <w:sz w:val="28"/>
          <w:szCs w:val="28"/>
          <w:lang w:val="en-US" w:eastAsia="en-US"/>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厂房及办公楼3800</w:t>
      </w:r>
      <w:r>
        <w:rPr>
          <w:rFonts w:hint="eastAsia" w:ascii="宋体" w:hAnsi="宋体" w:cs="宋体"/>
          <w:color w:val="000000" w:themeColor="text1"/>
          <w:sz w:val="28"/>
          <w:szCs w:val="28"/>
          <w:lang w:val="en-US" w:eastAsia="en-US"/>
          <w14:textFill>
            <w14:solidFill>
              <w14:schemeClr w14:val="tx1"/>
            </w14:solidFill>
          </w14:textFill>
        </w:rPr>
        <w:t>m</w:t>
      </w:r>
      <w:r>
        <w:rPr>
          <w:rFonts w:hint="eastAsia" w:ascii="宋体" w:hAnsi="宋体" w:cs="宋体"/>
          <w:color w:val="000000" w:themeColor="text1"/>
          <w:sz w:val="28"/>
          <w:szCs w:val="28"/>
          <w:vertAlign w:val="superscript"/>
          <w:lang w:val="en-US" w:eastAsia="en-US"/>
          <w14:textFill>
            <w14:solidFill>
              <w14:schemeClr w14:val="tx1"/>
            </w14:solidFill>
          </w14:textFill>
        </w:rPr>
        <w:t>2</w:t>
      </w:r>
      <w:r>
        <w:rPr>
          <w:rFonts w:hint="eastAsia" w:ascii="宋体" w:hAnsi="宋体" w:cs="宋体"/>
          <w:color w:val="000000" w:themeColor="text1"/>
          <w:sz w:val="28"/>
          <w:szCs w:val="28"/>
          <w:lang w:val="en-US" w:eastAsia="en-US"/>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轮窑生产线一条（1条干燥窑，1条焙烧窑），厂区用地按功能用途分为办公生活区、生产区，并将生产区与办公生活区分开布置。</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000000" w:themeColor="text1"/>
          <w:sz w:val="28"/>
          <w:szCs w:val="28"/>
          <w:lang w:val="zh-CN" w:eastAsia="zh-CN"/>
          <w14:textFill>
            <w14:solidFill>
              <w14:schemeClr w14:val="tx1"/>
            </w14:solidFill>
          </w14:textFill>
        </w:rPr>
        <w:t>页岩开采区设在公司西北面，占地面积</w:t>
      </w:r>
      <w:r>
        <w:rPr>
          <w:rFonts w:hint="eastAsia" w:ascii="宋体" w:hAnsi="宋体" w:cs="宋体"/>
          <w:color w:val="000000" w:themeColor="text1"/>
          <w:sz w:val="28"/>
          <w:szCs w:val="28"/>
          <w:lang w:val="en-US" w:eastAsia="zh-CN"/>
          <w14:textFill>
            <w14:solidFill>
              <w14:schemeClr w14:val="tx1"/>
            </w14:solidFill>
          </w14:textFill>
        </w:rPr>
        <w:t>7000</w:t>
      </w:r>
      <w:r>
        <w:rPr>
          <w:rFonts w:hint="eastAsia" w:ascii="宋体" w:hAnsi="宋体" w:cs="宋体"/>
          <w:color w:val="000000" w:themeColor="text1"/>
          <w:sz w:val="28"/>
          <w:szCs w:val="28"/>
          <w:lang w:val="en-US" w:eastAsia="en-US"/>
          <w14:textFill>
            <w14:solidFill>
              <w14:schemeClr w14:val="tx1"/>
            </w14:solidFill>
          </w14:textFill>
        </w:rPr>
        <w:t>m</w:t>
      </w:r>
      <w:r>
        <w:rPr>
          <w:rFonts w:hint="eastAsia" w:ascii="宋体" w:hAnsi="宋体" w:cs="宋体"/>
          <w:color w:val="000000" w:themeColor="text1"/>
          <w:sz w:val="28"/>
          <w:szCs w:val="28"/>
          <w:vertAlign w:val="superscript"/>
          <w:lang w:val="en-US" w:eastAsia="en-US"/>
          <w14:textFill>
            <w14:solidFill>
              <w14:schemeClr w14:val="tx1"/>
            </w14:solidFill>
          </w14:textFill>
        </w:rPr>
        <w:t>2</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cs="宋体"/>
          <w:color w:val="000000" w:themeColor="text1"/>
          <w:sz w:val="28"/>
          <w:szCs w:val="28"/>
          <w:lang w:val="zh-CN" w:eastAsia="zh-CN"/>
          <w14:textFill>
            <w14:solidFill>
              <w14:schemeClr w14:val="tx1"/>
            </w14:solidFill>
          </w14:textFill>
        </w:rPr>
        <w:t>页岩粉碎车间布置于厂界中央西侧的位置，页岩通过就地开采直接存放于原料堆场进行粉碎，</w:t>
      </w:r>
      <w:r>
        <w:rPr>
          <w:rFonts w:hint="eastAsia" w:ascii="宋体" w:hAnsi="宋体" w:cs="宋体"/>
          <w:color w:val="000000" w:themeColor="text1"/>
          <w:sz w:val="28"/>
          <w:szCs w:val="28"/>
          <w:lang w:val="en-US" w:eastAsia="zh-CN"/>
          <w14:textFill>
            <w14:solidFill>
              <w14:schemeClr w14:val="tx1"/>
            </w14:solidFill>
          </w14:textFill>
        </w:rPr>
        <w:t>点地面积约700</w:t>
      </w:r>
      <w:r>
        <w:rPr>
          <w:rFonts w:hint="eastAsia" w:ascii="宋体" w:hAnsi="宋体" w:cs="宋体"/>
          <w:color w:val="000000" w:themeColor="text1"/>
          <w:sz w:val="28"/>
          <w:szCs w:val="28"/>
          <w:lang w:val="en-US" w:eastAsia="en-US"/>
          <w14:textFill>
            <w14:solidFill>
              <w14:schemeClr w14:val="tx1"/>
            </w14:solidFill>
          </w14:textFill>
        </w:rPr>
        <w:t>m</w:t>
      </w:r>
      <w:r>
        <w:rPr>
          <w:rFonts w:hint="eastAsia" w:ascii="宋体" w:hAnsi="宋体" w:cs="宋体"/>
          <w:color w:val="000000" w:themeColor="text1"/>
          <w:sz w:val="28"/>
          <w:szCs w:val="28"/>
          <w:vertAlign w:val="superscript"/>
          <w:lang w:val="en-US" w:eastAsia="en-US"/>
          <w14:textFill>
            <w14:solidFill>
              <w14:schemeClr w14:val="tx1"/>
            </w14:solidFill>
          </w14:textFill>
        </w:rPr>
        <w:t>2</w:t>
      </w:r>
      <w:r>
        <w:rPr>
          <w:rFonts w:hint="eastAsia" w:ascii="宋体" w:hAnsi="宋体" w:cs="宋体"/>
          <w:color w:val="000000" w:themeColor="text1"/>
          <w:sz w:val="28"/>
          <w:szCs w:val="28"/>
          <w:lang w:val="en-US" w:eastAsia="zh-CN"/>
          <w14:textFill>
            <w14:solidFill>
              <w14:schemeClr w14:val="tx1"/>
            </w14:solidFill>
          </w14:textFill>
        </w:rPr>
        <w:t>；制坯区紧挨着</w:t>
      </w:r>
      <w:r>
        <w:rPr>
          <w:rFonts w:hint="eastAsia" w:ascii="宋体" w:hAnsi="宋体" w:cs="宋体"/>
          <w:color w:val="000000" w:themeColor="text1"/>
          <w:sz w:val="28"/>
          <w:szCs w:val="28"/>
          <w:lang w:val="zh-CN" w:eastAsia="zh-CN"/>
          <w14:textFill>
            <w14:solidFill>
              <w14:schemeClr w14:val="tx1"/>
            </w14:solidFill>
          </w14:textFill>
        </w:rPr>
        <w:t>粉碎车间，</w:t>
      </w:r>
      <w:r>
        <w:rPr>
          <w:rFonts w:hint="eastAsia" w:ascii="宋体" w:hAnsi="宋体" w:cs="宋体"/>
          <w:color w:val="000000" w:themeColor="text1"/>
          <w:sz w:val="28"/>
          <w:szCs w:val="28"/>
          <w:lang w:val="en-US" w:eastAsia="zh-CN"/>
          <w14:textFill>
            <w14:solidFill>
              <w14:schemeClr w14:val="tx1"/>
            </w14:solidFill>
          </w14:textFill>
        </w:rPr>
        <w:t>25门</w:t>
      </w:r>
      <w:r>
        <w:rPr>
          <w:rFonts w:hint="eastAsia" w:ascii="宋体" w:hAnsi="宋体" w:cs="宋体"/>
          <w:color w:val="000000" w:themeColor="text1"/>
          <w:sz w:val="28"/>
          <w:szCs w:val="28"/>
          <w:lang w:val="zh-CN" w:eastAsia="zh-CN"/>
          <w14:textFill>
            <w14:solidFill>
              <w14:schemeClr w14:val="tx1"/>
            </w14:solidFill>
          </w14:textFill>
        </w:rPr>
        <w:t>轮窖布置于厂界东侧，便于砖坯就近进入窖内进行干燥、焙烧，减少运输环节。公用工程：原料棚、成品堆场、绿化、道路及硬化工程等，以及相应环保工程等，</w:t>
      </w:r>
      <w:r>
        <w:rPr>
          <w:rFonts w:hint="eastAsia" w:ascii="宋体" w:hAnsi="宋体" w:cs="宋体"/>
          <w:color w:val="000000" w:themeColor="text1"/>
          <w:sz w:val="28"/>
          <w:szCs w:val="28"/>
          <w:lang w:val="en-US" w:eastAsia="zh-CN"/>
          <w14:textFill>
            <w14:solidFill>
              <w14:schemeClr w14:val="tx1"/>
            </w14:solidFill>
          </w14:textFill>
        </w:rPr>
        <w:t>其余工序按破碎—筛选―搅拌</w:t>
      </w:r>
      <w:r>
        <w:rPr>
          <w:rFonts w:hint="eastAsia" w:ascii="宋体" w:hAnsi="宋体" w:cs="宋体"/>
          <w:color w:val="auto"/>
          <w:sz w:val="28"/>
          <w:szCs w:val="28"/>
          <w:lang w:val="en-US" w:eastAsia="zh-CN"/>
        </w:rPr>
        <w:t>—陈化—切坯―码坯—干燥—焙烧工序依次设置，布局紧凑，工作方便。详情如图2-2所示</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综上，厂内各生产工序有机结合，有利于生产活动的开展，各地块利用功能集中且合理清楚，总平面布置较合理。</w:t>
      </w:r>
    </w:p>
    <w:p>
      <w:pPr>
        <w:pStyle w:val="2"/>
        <w:jc w:val="center"/>
        <w:rPr>
          <w:rFonts w:hint="eastAsia"/>
          <w:lang w:val="zh-CN" w:eastAsia="zh-CN"/>
        </w:rPr>
      </w:pPr>
      <w:r>
        <w:drawing>
          <wp:inline distT="0" distB="0" distL="114300" distR="114300">
            <wp:extent cx="4966970" cy="3927475"/>
            <wp:effectExtent l="0" t="0" r="1270" b="4445"/>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pic:cNvPicPr>
                  </pic:nvPicPr>
                  <pic:blipFill>
                    <a:blip r:embed="rId7"/>
                    <a:srcRect t="1639" b="929"/>
                    <a:stretch>
                      <a:fillRect/>
                    </a:stretch>
                  </pic:blipFill>
                  <pic:spPr>
                    <a:xfrm>
                      <a:off x="0" y="0"/>
                      <a:ext cx="4966970" cy="3927475"/>
                    </a:xfrm>
                    <a:prstGeom prst="rect">
                      <a:avLst/>
                    </a:prstGeom>
                    <a:noFill/>
                    <a:ln>
                      <a:noFill/>
                    </a:ln>
                  </pic:spPr>
                </pic:pic>
              </a:graphicData>
            </a:graphic>
          </wp:inline>
        </w:drawing>
      </w:r>
    </w:p>
    <w:p>
      <w:pPr>
        <w:pStyle w:val="12"/>
        <w:spacing w:line="240" w:lineRule="auto"/>
        <w:ind w:firstLine="482" w:firstLineChars="200"/>
        <w:jc w:val="center"/>
        <w:rPr>
          <w:rFonts w:hint="default" w:ascii="黑体" w:hAnsi="Courier New" w:eastAsia="黑体"/>
          <w:b/>
          <w:color w:val="auto"/>
          <w:sz w:val="24"/>
          <w:lang w:val="en-US"/>
        </w:rPr>
      </w:pPr>
      <w:r>
        <w:rPr>
          <w:rFonts w:hint="eastAsia" w:ascii="黑体" w:hAnsi="Courier New" w:eastAsia="黑体"/>
          <w:b/>
          <w:color w:val="auto"/>
          <w:sz w:val="24"/>
          <w:lang w:eastAsia="zh-CN"/>
        </w:rPr>
        <w:t>图</w:t>
      </w:r>
      <w:r>
        <w:rPr>
          <w:rFonts w:hint="eastAsia" w:ascii="黑体" w:hAnsi="Courier New" w:eastAsia="黑体"/>
          <w:b/>
          <w:color w:val="auto"/>
          <w:sz w:val="24"/>
          <w:lang w:val="en-US" w:eastAsia="zh-CN"/>
        </w:rPr>
        <w:t>2-2  总平面布局示意图</w:t>
      </w:r>
    </w:p>
    <w:p>
      <w:pPr>
        <w:pStyle w:val="5"/>
        <w:spacing w:before="0" w:after="0" w:line="360" w:lineRule="auto"/>
        <w:rPr>
          <w:rFonts w:hint="eastAsia" w:ascii="宋体" w:hAnsi="宋体" w:eastAsia="宋体" w:cs="宋体"/>
          <w:color w:val="auto"/>
          <w:sz w:val="28"/>
          <w:szCs w:val="28"/>
          <w:lang w:val="zh-CN"/>
        </w:rPr>
      </w:pPr>
      <w:bookmarkStart w:id="45" w:name="_Toc12177"/>
      <w:r>
        <w:rPr>
          <w:rFonts w:hint="eastAsia" w:ascii="宋体" w:hAnsi="宋体" w:eastAsia="宋体" w:cs="宋体"/>
          <w:color w:val="auto"/>
          <w:sz w:val="28"/>
          <w:szCs w:val="28"/>
          <w:lang w:val="zh-CN"/>
        </w:rPr>
        <w:t>2.</w:t>
      </w:r>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val="zh-CN"/>
        </w:rPr>
        <w:t>周边环境</w:t>
      </w:r>
      <w:bookmarkEnd w:id="45"/>
    </w:p>
    <w:p>
      <w:pPr>
        <w:spacing w:line="360" w:lineRule="auto"/>
        <w:ind w:firstLine="560" w:firstLineChars="200"/>
        <w:rPr>
          <w:rFonts w:hint="eastAsia" w:ascii="宋体" w:hAnsi="宋体"/>
          <w:sz w:val="28"/>
          <w:szCs w:val="28"/>
          <w:lang w:val="zh-CN" w:eastAsia="zh-CN"/>
        </w:rPr>
      </w:pPr>
      <w:r>
        <w:rPr>
          <w:rFonts w:hint="eastAsia" w:ascii="宋体" w:hAnsi="宋体"/>
          <w:sz w:val="28"/>
          <w:szCs w:val="28"/>
          <w:lang w:val="zh-CN" w:eastAsia="zh-CN"/>
        </w:rPr>
        <w:t>仪陇县义路镇正强页岩砖厂位于仪陇县义路镇粉房坝村7社，厂界西北侧厂界外</w:t>
      </w:r>
      <w:r>
        <w:rPr>
          <w:rFonts w:hint="eastAsia" w:ascii="宋体" w:hAnsi="宋体"/>
          <w:sz w:val="28"/>
          <w:szCs w:val="28"/>
          <w:lang w:val="en-US" w:eastAsia="zh-CN"/>
        </w:rPr>
        <w:t>54米处为义路镇粉房村村民（3户，12人）；厂界西侧厂界外为山地，30米处有散居村民（3户，12人）；厂界南侧为农田和山地没有居民居住，东侧为有一处池塘和农田70m外有散居农户（12户，48人）；东北侧约60米有二处农户（2户，8人）。</w:t>
      </w:r>
      <w:r>
        <w:rPr>
          <w:rFonts w:hint="eastAsia" w:ascii="宋体" w:hAnsi="宋体"/>
          <w:sz w:val="28"/>
          <w:szCs w:val="28"/>
          <w:lang w:val="zh-CN" w:eastAsia="zh-CN"/>
        </w:rPr>
        <w:t>矿区坐南朝北，南面靠山（坡地），北面为矿山作业广场，南、东、西三面基本属荒坡，夹杂部分耕地。砖厂窑体与采场有约40m的转运距离。矿区四周300m安全警戒范围内，无重要公共建筑物或生产厂房，无高压输电线及通信线跨越矿区上空，远离人口密集区和商业区。</w:t>
      </w:r>
    </w:p>
    <w:p>
      <w:pPr>
        <w:pStyle w:val="2"/>
        <w:ind w:left="0" w:leftChars="0" w:firstLine="0" w:firstLineChars="0"/>
        <w:rPr>
          <w:rFonts w:hint="eastAsia"/>
          <w:lang w:val="zh-CN" w:eastAsia="zh-CN"/>
        </w:rPr>
      </w:pPr>
      <w:r>
        <w:rPr>
          <w:sz w:val="21"/>
        </w:rPr>
        <mc:AlternateContent>
          <mc:Choice Requires="wps">
            <w:drawing>
              <wp:anchor distT="0" distB="0" distL="114300" distR="114300" simplePos="0" relativeHeight="251739136" behindDoc="0" locked="0" layoutInCell="1" allowOverlap="1">
                <wp:simplePos x="0" y="0"/>
                <wp:positionH relativeFrom="column">
                  <wp:posOffset>2143125</wp:posOffset>
                </wp:positionH>
                <wp:positionV relativeFrom="paragraph">
                  <wp:posOffset>1442085</wp:posOffset>
                </wp:positionV>
                <wp:extent cx="1240790" cy="523240"/>
                <wp:effectExtent l="0" t="0" r="0" b="0"/>
                <wp:wrapNone/>
                <wp:docPr id="76" name="矩形 76"/>
                <wp:cNvGraphicFramePr/>
                <a:graphic xmlns:a="http://schemas.openxmlformats.org/drawingml/2006/main">
                  <a:graphicData uri="http://schemas.microsoft.com/office/word/2010/wordprocessingShape">
                    <wps:wsp>
                      <wps:cNvSpPr/>
                      <wps:spPr>
                        <a:xfrm>
                          <a:off x="0" y="0"/>
                          <a:ext cx="1240790" cy="523240"/>
                        </a:xfrm>
                        <a:prstGeom prst="rect">
                          <a:avLst/>
                        </a:prstGeom>
                        <a:noFill/>
                        <a:ln>
                          <a:noFill/>
                        </a:ln>
                      </wps:spPr>
                      <wps:txbx>
                        <w:txbxContent>
                          <w:p>
                            <w:pPr>
                              <w:rPr>
                                <w:b/>
                                <w:bCs/>
                                <w:color w:val="000000" w:themeColor="text1"/>
                                <w:sz w:val="21"/>
                                <w:szCs w:val="2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_GB2312" w:hAnsi="Times New Roman"/>
                                <w:snapToGrid w:val="0"/>
                                <w:color w:val="000000" w:themeColor="text1"/>
                                <w:kern w:val="0"/>
                                <w:sz w:val="21"/>
                                <w:szCs w:val="21"/>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仪陇县义路镇正强页岩砖厂</w:t>
                            </w:r>
                          </w:p>
                          <w:p>
                            <w:pPr>
                              <w:rPr>
                                <w:b/>
                                <w:bCs/>
                                <w:color w:val="000000" w:themeColor="text1"/>
                                <w:sz w:val="21"/>
                                <w:szCs w:val="2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wps:txbx>
                      <wps:bodyPr upright="1"/>
                    </wps:wsp>
                  </a:graphicData>
                </a:graphic>
              </wp:anchor>
            </w:drawing>
          </mc:Choice>
          <mc:Fallback>
            <w:pict>
              <v:rect id="_x0000_s1026" o:spid="_x0000_s1026" o:spt="1" style="position:absolute;left:0pt;margin-left:168.75pt;margin-top:113.55pt;height:41.2pt;width:97.7pt;z-index:251739136;mso-width-relative:page;mso-height-relative:page;" filled="f" stroked="f" coordsize="21600,21600" o:gfxdata="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Fsek4HcAAAACwEAAA8AAAAAAAAAAQAgAAAAIgAAAGRycy9kb3ducmV2Lnht&#10;bFBLAQIUABQAAAAIAIdO4kB8tp8zgwEAAPUCAAAOAAAAAAAAAAEAIAAAACsBAABkcnMvZTJvRG9j&#10;LnhtbFBLBQYAAAAABgAGAFkBAAAgBQAAAAA=&#10;">
                <v:fill on="f" focussize="0,0"/>
                <v:stroke on="f"/>
                <v:imagedata o:title=""/>
                <o:lock v:ext="edit" aspectratio="f"/>
                <v:textbox>
                  <w:txbxContent>
                    <w:p>
                      <w:pPr>
                        <w:rPr>
                          <w:b/>
                          <w:bCs/>
                          <w:color w:val="000000" w:themeColor="text1"/>
                          <w:sz w:val="21"/>
                          <w:szCs w:val="2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_GB2312" w:hAnsi="Times New Roman"/>
                          <w:snapToGrid w:val="0"/>
                          <w:color w:val="000000" w:themeColor="text1"/>
                          <w:kern w:val="0"/>
                          <w:sz w:val="21"/>
                          <w:szCs w:val="21"/>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仪陇县义路镇正强页岩砖厂</w:t>
                      </w:r>
                    </w:p>
                    <w:p>
                      <w:pPr>
                        <w:rPr>
                          <w:b/>
                          <w:bCs/>
                          <w:color w:val="000000" w:themeColor="text1"/>
                          <w:sz w:val="21"/>
                          <w:szCs w:val="2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v:textbox>
              </v:rect>
            </w:pict>
          </mc:Fallback>
        </mc:AlternateContent>
      </w:r>
      <w:r>
        <w:drawing>
          <wp:inline distT="0" distB="0" distL="114300" distR="114300">
            <wp:extent cx="6329680" cy="3320415"/>
            <wp:effectExtent l="0" t="0" r="10160" b="1905"/>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8"/>
                    <a:stretch>
                      <a:fillRect/>
                    </a:stretch>
                  </pic:blipFill>
                  <pic:spPr>
                    <a:xfrm>
                      <a:off x="0" y="0"/>
                      <a:ext cx="6329680" cy="3320415"/>
                    </a:xfrm>
                    <a:prstGeom prst="rect">
                      <a:avLst/>
                    </a:prstGeom>
                    <a:noFill/>
                    <a:ln>
                      <a:noFill/>
                    </a:ln>
                  </pic:spPr>
                </pic:pic>
              </a:graphicData>
            </a:graphic>
          </wp:inline>
        </w:drawing>
      </w:r>
    </w:p>
    <w:p>
      <w:pPr>
        <w:pStyle w:val="2"/>
        <w:jc w:val="center"/>
        <w:rPr>
          <w:rFonts w:hint="eastAsia"/>
          <w:b/>
          <w:bCs/>
          <w:lang w:val="en-US" w:eastAsia="zh-CN"/>
        </w:rPr>
      </w:pPr>
      <w:r>
        <w:rPr>
          <w:rFonts w:hint="eastAsia"/>
          <w:b/>
          <w:bCs/>
          <w:lang w:val="en-US" w:eastAsia="zh-CN"/>
        </w:rPr>
        <w:t>图2-3  周边环境示意图</w:t>
      </w:r>
    </w:p>
    <w:p>
      <w:pPr>
        <w:pStyle w:val="5"/>
        <w:spacing w:before="0" w:after="0" w:line="360" w:lineRule="auto"/>
        <w:rPr>
          <w:rFonts w:hint="eastAsia" w:ascii="宋体" w:hAnsi="宋体" w:eastAsia="宋体" w:cs="宋体"/>
          <w:color w:val="FF0000"/>
          <w:sz w:val="28"/>
          <w:szCs w:val="28"/>
          <w:lang w:val="zh-CN"/>
        </w:rPr>
      </w:pPr>
      <w:bookmarkStart w:id="46" w:name="_Toc25733"/>
      <w:r>
        <w:rPr>
          <w:rFonts w:hint="eastAsia" w:ascii="宋体" w:hAnsi="宋体" w:eastAsia="宋体" w:cs="宋体"/>
          <w:color w:val="FF0000"/>
          <w:sz w:val="28"/>
          <w:szCs w:val="28"/>
          <w:lang w:val="zh-CN"/>
        </w:rPr>
        <w:t>2.1.</w:t>
      </w:r>
      <w:r>
        <w:rPr>
          <w:rFonts w:hint="eastAsia" w:ascii="宋体" w:hAnsi="宋体" w:eastAsia="宋体" w:cs="宋体"/>
          <w:color w:val="FF0000"/>
          <w:sz w:val="28"/>
          <w:szCs w:val="28"/>
          <w:lang w:val="en-US" w:eastAsia="zh-CN"/>
        </w:rPr>
        <w:t>4</w:t>
      </w:r>
      <w:r>
        <w:rPr>
          <w:rFonts w:hint="eastAsia" w:ascii="宋体" w:hAnsi="宋体" w:eastAsia="宋体" w:cs="宋体"/>
          <w:color w:val="FF0000"/>
          <w:sz w:val="28"/>
          <w:szCs w:val="28"/>
          <w:lang w:val="zh-CN"/>
        </w:rPr>
        <w:t>工艺流程</w:t>
      </w:r>
      <w:bookmarkEnd w:id="46"/>
    </w:p>
    <w:p>
      <w:pPr>
        <w:spacing w:line="360" w:lineRule="auto"/>
        <w:ind w:firstLine="562" w:firstLineChars="200"/>
        <w:rPr>
          <w:rFonts w:hint="eastAsia" w:ascii="宋体"/>
          <w:b/>
          <w:bCs/>
          <w:snapToGrid w:val="0"/>
          <w:color w:val="FF0000"/>
          <w:kern w:val="0"/>
          <w:sz w:val="28"/>
          <w:szCs w:val="28"/>
          <w:lang w:val="en-US" w:eastAsia="zh-CN"/>
        </w:rPr>
      </w:pPr>
      <w:r>
        <w:rPr>
          <w:rFonts w:hint="eastAsia" w:ascii="宋体"/>
          <w:b/>
          <w:bCs/>
          <w:snapToGrid w:val="0"/>
          <w:color w:val="FF0000"/>
          <w:kern w:val="0"/>
          <w:sz w:val="28"/>
          <w:szCs w:val="28"/>
          <w:lang w:val="en-US" w:eastAsia="zh-CN"/>
        </w:rPr>
        <w:t>1、生产工艺流程图</w:t>
      </w:r>
    </w:p>
    <w:p>
      <w:pPr>
        <w:spacing w:line="360" w:lineRule="auto"/>
        <w:ind w:firstLine="560" w:firstLineChars="200"/>
        <w:rPr>
          <w:rFonts w:hint="eastAsia" w:ascii="宋体"/>
          <w:snapToGrid w:val="0"/>
          <w:color w:val="FF0000"/>
          <w:kern w:val="0"/>
          <w:sz w:val="28"/>
          <w:szCs w:val="28"/>
          <w:lang w:val="zh-CN" w:eastAsia="zh-CN"/>
        </w:rPr>
      </w:pPr>
      <w:r>
        <w:rPr>
          <w:rFonts w:hint="eastAsia" w:ascii="宋体"/>
          <w:snapToGrid w:val="0"/>
          <w:color w:val="FF0000"/>
          <w:kern w:val="0"/>
          <w:sz w:val="28"/>
          <w:szCs w:val="28"/>
          <w:lang w:val="zh-CN" w:eastAsia="zh-CN"/>
        </w:rPr>
        <w:t>标砖生产主要包括采矿、破碎、筛分、搅拌、制胚、进胚、烧窑、装车8大工序，各工序按照工艺流程布置在各自区域内。公司隧道窑采用环保节能式的隧道窑，首次烧结采用精煤助燃，顺利开窑后可利用标砖中含有的煤自燃热量进行烧结，待自然冷却后装车装车外售。生产工艺流程如图：</w:t>
      </w:r>
    </w:p>
    <w:p>
      <w:pPr>
        <w:spacing w:line="360" w:lineRule="auto"/>
        <w:ind w:firstLine="560" w:firstLineChars="200"/>
        <w:rPr>
          <w:rFonts w:hint="eastAsia" w:ascii="宋体"/>
          <w:snapToGrid w:val="0"/>
          <w:color w:val="auto"/>
          <w:kern w:val="0"/>
          <w:sz w:val="28"/>
          <w:szCs w:val="28"/>
        </w:rPr>
      </w:pPr>
      <w:r>
        <w:rPr>
          <w:rFonts w:hint="eastAsia" w:ascii="宋体"/>
          <w:color w:val="FF0000"/>
          <w:kern w:val="0"/>
          <w:sz w:val="28"/>
          <w:szCs w:val="28"/>
        </w:rPr>
        <mc:AlternateContent>
          <mc:Choice Requires="wpg">
            <w:drawing>
              <wp:anchor distT="0" distB="0" distL="114300" distR="114300" simplePos="0" relativeHeight="251738112" behindDoc="0" locked="0" layoutInCell="1" allowOverlap="1">
                <wp:simplePos x="0" y="0"/>
                <wp:positionH relativeFrom="column">
                  <wp:posOffset>18415</wp:posOffset>
                </wp:positionH>
                <wp:positionV relativeFrom="paragraph">
                  <wp:posOffset>635</wp:posOffset>
                </wp:positionV>
                <wp:extent cx="5632450" cy="2139950"/>
                <wp:effectExtent l="4445" t="4445" r="17145" b="19685"/>
                <wp:wrapNone/>
                <wp:docPr id="71" name="组合 71"/>
                <wp:cNvGraphicFramePr/>
                <a:graphic xmlns:a="http://schemas.openxmlformats.org/drawingml/2006/main">
                  <a:graphicData uri="http://schemas.microsoft.com/office/word/2010/wordprocessingGroup">
                    <wpg:wgp>
                      <wpg:cNvGrpSpPr/>
                      <wpg:grpSpPr>
                        <a:xfrm>
                          <a:off x="0" y="0"/>
                          <a:ext cx="5632450" cy="2139950"/>
                          <a:chOff x="2310" y="7530"/>
                          <a:chExt cx="7665" cy="4815"/>
                        </a:xfrm>
                      </wpg:grpSpPr>
                      <wps:wsp>
                        <wps:cNvPr id="40" name="矩形 40"/>
                        <wps:cNvSpPr/>
                        <wps:spPr>
                          <a:xfrm>
                            <a:off x="231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煤矸石、页岩</w:t>
                              </w:r>
                            </w:p>
                          </w:txbxContent>
                        </wps:txbx>
                        <wps:bodyPr upright="1"/>
                      </wps:wsp>
                      <wps:wsp>
                        <wps:cNvPr id="41" name="直接箭头连接符 41"/>
                        <wps:cNvCnPr/>
                        <wps:spPr>
                          <a:xfrm>
                            <a:off x="3930" y="7860"/>
                            <a:ext cx="390" cy="0"/>
                          </a:xfrm>
                          <a:prstGeom prst="straightConnector1">
                            <a:avLst/>
                          </a:prstGeom>
                          <a:ln w="9525" cap="flat" cmpd="sng">
                            <a:solidFill>
                              <a:srgbClr val="000000"/>
                            </a:solidFill>
                            <a:prstDash val="solid"/>
                            <a:headEnd type="none" w="med" len="med"/>
                            <a:tailEnd type="triangle" w="med" len="med"/>
                          </a:ln>
                        </wps:spPr>
                        <wps:bodyPr/>
                      </wps:wsp>
                      <wps:wsp>
                        <wps:cNvPr id="42" name="矩形 42"/>
                        <wps:cNvSpPr/>
                        <wps:spPr>
                          <a:xfrm>
                            <a:off x="432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板式给料机</w:t>
                              </w:r>
                            </w:p>
                          </w:txbxContent>
                        </wps:txbx>
                        <wps:bodyPr upright="1"/>
                      </wps:wsp>
                      <wps:wsp>
                        <wps:cNvPr id="43" name="直接箭头连接符 43"/>
                        <wps:cNvCnPr/>
                        <wps:spPr>
                          <a:xfrm>
                            <a:off x="3060" y="9525"/>
                            <a:ext cx="0" cy="825"/>
                          </a:xfrm>
                          <a:prstGeom prst="straightConnector1">
                            <a:avLst/>
                          </a:prstGeom>
                          <a:ln w="9525" cap="flat" cmpd="sng">
                            <a:solidFill>
                              <a:srgbClr val="000000"/>
                            </a:solidFill>
                            <a:prstDash val="solid"/>
                            <a:headEnd type="none" w="med" len="med"/>
                            <a:tailEnd type="triangle" w="med" len="med"/>
                          </a:ln>
                        </wps:spPr>
                        <wps:bodyPr/>
                      </wps:wsp>
                      <wps:wsp>
                        <wps:cNvPr id="44" name="直接箭头连接符 44"/>
                        <wps:cNvCnPr/>
                        <wps:spPr>
                          <a:xfrm>
                            <a:off x="5940" y="7845"/>
                            <a:ext cx="390" cy="0"/>
                          </a:xfrm>
                          <a:prstGeom prst="straightConnector1">
                            <a:avLst/>
                          </a:prstGeom>
                          <a:ln w="9525" cap="flat" cmpd="sng">
                            <a:solidFill>
                              <a:srgbClr val="000000"/>
                            </a:solidFill>
                            <a:prstDash val="solid"/>
                            <a:headEnd type="none" w="med" len="med"/>
                            <a:tailEnd type="triangle" w="med" len="med"/>
                          </a:ln>
                        </wps:spPr>
                        <wps:bodyPr/>
                      </wps:wsp>
                      <wps:wsp>
                        <wps:cNvPr id="45" name="矩形 45"/>
                        <wps:cNvSpPr/>
                        <wps:spPr>
                          <a:xfrm>
                            <a:off x="633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鄂破机</w:t>
                              </w:r>
                            </w:p>
                          </w:txbxContent>
                        </wps:txbx>
                        <wps:bodyPr upright="1"/>
                      </wps:wsp>
                      <wps:wsp>
                        <wps:cNvPr id="46" name="直接箭头连接符 46"/>
                        <wps:cNvCnPr/>
                        <wps:spPr>
                          <a:xfrm>
                            <a:off x="7950" y="7845"/>
                            <a:ext cx="390" cy="0"/>
                          </a:xfrm>
                          <a:prstGeom prst="straightConnector1">
                            <a:avLst/>
                          </a:prstGeom>
                          <a:ln w="9525" cap="flat" cmpd="sng">
                            <a:solidFill>
                              <a:srgbClr val="000000"/>
                            </a:solidFill>
                            <a:prstDash val="solid"/>
                            <a:headEnd type="none" w="med" len="med"/>
                            <a:tailEnd type="triangle" w="med" len="med"/>
                          </a:ln>
                        </wps:spPr>
                        <wps:bodyPr/>
                      </wps:wsp>
                      <wps:wsp>
                        <wps:cNvPr id="47" name="矩形 47"/>
                        <wps:cNvSpPr/>
                        <wps:spPr>
                          <a:xfrm>
                            <a:off x="834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细破机</w:t>
                              </w:r>
                            </w:p>
                          </w:txbxContent>
                        </wps:txbx>
                        <wps:bodyPr upright="1"/>
                      </wps:wsp>
                      <wps:wsp>
                        <wps:cNvPr id="48" name="矩形 48"/>
                        <wps:cNvSpPr/>
                        <wps:spPr>
                          <a:xfrm>
                            <a:off x="834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双轴搅拌机</w:t>
                              </w:r>
                            </w:p>
                          </w:txbxContent>
                        </wps:txbx>
                        <wps:bodyPr upright="1"/>
                      </wps:wsp>
                      <wps:wsp>
                        <wps:cNvPr id="49" name="矩形 49"/>
                        <wps:cNvSpPr/>
                        <wps:spPr>
                          <a:xfrm>
                            <a:off x="633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液压多斗挖掘</w:t>
                              </w:r>
                            </w:p>
                          </w:txbxContent>
                        </wps:txbx>
                        <wps:bodyPr upright="1"/>
                      </wps:wsp>
                      <wps:wsp>
                        <wps:cNvPr id="50" name="矩形 50"/>
                        <wps:cNvSpPr/>
                        <wps:spPr>
                          <a:xfrm>
                            <a:off x="432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箱式给料机</w:t>
                              </w:r>
                            </w:p>
                          </w:txbxContent>
                        </wps:txbx>
                        <wps:bodyPr upright="1"/>
                      </wps:wsp>
                      <wps:wsp>
                        <wps:cNvPr id="51" name="矩形 51"/>
                        <wps:cNvSpPr/>
                        <wps:spPr>
                          <a:xfrm>
                            <a:off x="231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挤泥机</w:t>
                              </w:r>
                            </w:p>
                          </w:txbxContent>
                        </wps:txbx>
                        <wps:bodyPr upright="1"/>
                      </wps:wsp>
                      <wps:wsp>
                        <wps:cNvPr id="52" name="直接箭头连接符 52"/>
                        <wps:cNvCnPr/>
                        <wps:spPr>
                          <a:xfrm flipH="1">
                            <a:off x="7935" y="9240"/>
                            <a:ext cx="405" cy="0"/>
                          </a:xfrm>
                          <a:prstGeom prst="straightConnector1">
                            <a:avLst/>
                          </a:prstGeom>
                          <a:ln w="9525" cap="flat" cmpd="sng">
                            <a:solidFill>
                              <a:srgbClr val="000000"/>
                            </a:solidFill>
                            <a:prstDash val="solid"/>
                            <a:headEnd type="none" w="med" len="med"/>
                            <a:tailEnd type="triangle" w="med" len="med"/>
                          </a:ln>
                        </wps:spPr>
                        <wps:bodyPr/>
                      </wps:wsp>
                      <wps:wsp>
                        <wps:cNvPr id="53" name="直接箭头连接符 53"/>
                        <wps:cNvCnPr/>
                        <wps:spPr>
                          <a:xfrm flipH="1">
                            <a:off x="5940" y="9240"/>
                            <a:ext cx="405" cy="0"/>
                          </a:xfrm>
                          <a:prstGeom prst="straightConnector1">
                            <a:avLst/>
                          </a:prstGeom>
                          <a:ln w="9525" cap="flat" cmpd="sng">
                            <a:solidFill>
                              <a:srgbClr val="000000"/>
                            </a:solidFill>
                            <a:prstDash val="solid"/>
                            <a:headEnd type="none" w="med" len="med"/>
                            <a:tailEnd type="triangle" w="med" len="med"/>
                          </a:ln>
                        </wps:spPr>
                        <wps:bodyPr/>
                      </wps:wsp>
                      <wps:wsp>
                        <wps:cNvPr id="54" name="直接箭头连接符 54"/>
                        <wps:cNvCnPr/>
                        <wps:spPr>
                          <a:xfrm flipH="1">
                            <a:off x="3915" y="9240"/>
                            <a:ext cx="405" cy="0"/>
                          </a:xfrm>
                          <a:prstGeom prst="straightConnector1">
                            <a:avLst/>
                          </a:prstGeom>
                          <a:ln w="9525" cap="flat" cmpd="sng">
                            <a:solidFill>
                              <a:srgbClr val="000000"/>
                            </a:solidFill>
                            <a:prstDash val="solid"/>
                            <a:headEnd type="none" w="med" len="med"/>
                            <a:tailEnd type="triangle" w="med" len="med"/>
                          </a:ln>
                        </wps:spPr>
                        <wps:bodyPr/>
                      </wps:wsp>
                      <wps:wsp>
                        <wps:cNvPr id="55" name="矩形 55"/>
                        <wps:cNvSpPr/>
                        <wps:spPr>
                          <a:xfrm>
                            <a:off x="231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切条、切坏机</w:t>
                              </w:r>
                            </w:p>
                          </w:txbxContent>
                        </wps:txbx>
                        <wps:bodyPr upright="1"/>
                      </wps:wsp>
                      <wps:wsp>
                        <wps:cNvPr id="56" name="直接箭头连接符 56"/>
                        <wps:cNvCnPr/>
                        <wps:spPr>
                          <a:xfrm>
                            <a:off x="3930" y="10680"/>
                            <a:ext cx="390" cy="0"/>
                          </a:xfrm>
                          <a:prstGeom prst="straightConnector1">
                            <a:avLst/>
                          </a:prstGeom>
                          <a:ln w="9525" cap="flat" cmpd="sng">
                            <a:solidFill>
                              <a:srgbClr val="000000"/>
                            </a:solidFill>
                            <a:prstDash val="solid"/>
                            <a:headEnd type="none" w="med" len="med"/>
                            <a:tailEnd type="triangle" w="med" len="med"/>
                          </a:ln>
                        </wps:spPr>
                        <wps:bodyPr/>
                      </wps:wsp>
                      <wps:wsp>
                        <wps:cNvPr id="57" name="矩形 57"/>
                        <wps:cNvSpPr/>
                        <wps:spPr>
                          <a:xfrm>
                            <a:off x="432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自动编码</w:t>
                              </w:r>
                            </w:p>
                          </w:txbxContent>
                        </wps:txbx>
                        <wps:bodyPr upright="1"/>
                      </wps:wsp>
                      <wps:wsp>
                        <wps:cNvPr id="58" name="直接箭头连接符 58"/>
                        <wps:cNvCnPr/>
                        <wps:spPr>
                          <a:xfrm>
                            <a:off x="9180" y="10935"/>
                            <a:ext cx="0" cy="825"/>
                          </a:xfrm>
                          <a:prstGeom prst="straightConnector1">
                            <a:avLst/>
                          </a:prstGeom>
                          <a:ln w="9525" cap="flat" cmpd="sng">
                            <a:solidFill>
                              <a:srgbClr val="000000"/>
                            </a:solidFill>
                            <a:prstDash val="solid"/>
                            <a:headEnd type="none" w="med" len="med"/>
                            <a:tailEnd type="triangle" w="med" len="med"/>
                          </a:ln>
                        </wps:spPr>
                        <wps:bodyPr/>
                      </wps:wsp>
                      <wps:wsp>
                        <wps:cNvPr id="59" name="直接箭头连接符 59"/>
                        <wps:cNvCnPr/>
                        <wps:spPr>
                          <a:xfrm>
                            <a:off x="5940" y="10665"/>
                            <a:ext cx="390" cy="0"/>
                          </a:xfrm>
                          <a:prstGeom prst="straightConnector1">
                            <a:avLst/>
                          </a:prstGeom>
                          <a:ln w="9525" cap="flat" cmpd="sng">
                            <a:solidFill>
                              <a:srgbClr val="000000"/>
                            </a:solidFill>
                            <a:prstDash val="solid"/>
                            <a:headEnd type="none" w="med" len="med"/>
                            <a:tailEnd type="triangle" w="med" len="med"/>
                          </a:ln>
                        </wps:spPr>
                        <wps:bodyPr/>
                      </wps:wsp>
                      <wps:wsp>
                        <wps:cNvPr id="60" name="矩形 60"/>
                        <wps:cNvSpPr/>
                        <wps:spPr>
                          <a:xfrm>
                            <a:off x="633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自动码坯机</w:t>
                              </w:r>
                            </w:p>
                          </w:txbxContent>
                        </wps:txbx>
                        <wps:bodyPr upright="1"/>
                      </wps:wsp>
                      <wps:wsp>
                        <wps:cNvPr id="61" name="直接箭头连接符 61"/>
                        <wps:cNvCnPr/>
                        <wps:spPr>
                          <a:xfrm>
                            <a:off x="7950" y="10665"/>
                            <a:ext cx="390" cy="0"/>
                          </a:xfrm>
                          <a:prstGeom prst="straightConnector1">
                            <a:avLst/>
                          </a:prstGeom>
                          <a:ln w="9525" cap="flat" cmpd="sng">
                            <a:solidFill>
                              <a:srgbClr val="000000"/>
                            </a:solidFill>
                            <a:prstDash val="solid"/>
                            <a:headEnd type="none" w="med" len="med"/>
                            <a:tailEnd type="triangle" w="med" len="med"/>
                          </a:ln>
                        </wps:spPr>
                        <wps:bodyPr/>
                      </wps:wsp>
                      <wps:wsp>
                        <wps:cNvPr id="62" name="矩形 62"/>
                        <wps:cNvSpPr/>
                        <wps:spPr>
                          <a:xfrm>
                            <a:off x="834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窑车</w:t>
                              </w:r>
                            </w:p>
                          </w:txbxContent>
                        </wps:txbx>
                        <wps:bodyPr upright="1"/>
                      </wps:wsp>
                      <wps:wsp>
                        <wps:cNvPr id="63" name="直接箭头连接符 63"/>
                        <wps:cNvCnPr/>
                        <wps:spPr>
                          <a:xfrm>
                            <a:off x="9180" y="8115"/>
                            <a:ext cx="0" cy="825"/>
                          </a:xfrm>
                          <a:prstGeom prst="straightConnector1">
                            <a:avLst/>
                          </a:prstGeom>
                          <a:ln w="9525" cap="flat" cmpd="sng">
                            <a:solidFill>
                              <a:srgbClr val="000000"/>
                            </a:solidFill>
                            <a:prstDash val="solid"/>
                            <a:headEnd type="none" w="med" len="med"/>
                            <a:tailEnd type="triangle" w="med" len="med"/>
                          </a:ln>
                        </wps:spPr>
                        <wps:bodyPr/>
                      </wps:wsp>
                      <wps:wsp>
                        <wps:cNvPr id="64" name="矩形 64"/>
                        <wps:cNvSpPr/>
                        <wps:spPr>
                          <a:xfrm>
                            <a:off x="835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存坯线</w:t>
                              </w:r>
                            </w:p>
                          </w:txbxContent>
                        </wps:txbx>
                        <wps:bodyPr upright="1"/>
                      </wps:wsp>
                      <wps:wsp>
                        <wps:cNvPr id="65" name="矩形 65"/>
                        <wps:cNvSpPr/>
                        <wps:spPr>
                          <a:xfrm>
                            <a:off x="634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干燥窑</w:t>
                              </w:r>
                            </w:p>
                          </w:txbxContent>
                        </wps:txbx>
                        <wps:bodyPr upright="1"/>
                      </wps:wsp>
                      <wps:wsp>
                        <wps:cNvPr id="66" name="矩形 66"/>
                        <wps:cNvSpPr/>
                        <wps:spPr>
                          <a:xfrm>
                            <a:off x="433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焙烧窑</w:t>
                              </w:r>
                            </w:p>
                          </w:txbxContent>
                        </wps:txbx>
                        <wps:bodyPr upright="1"/>
                      </wps:wsp>
                      <wps:wsp>
                        <wps:cNvPr id="67" name="矩形 67"/>
                        <wps:cNvSpPr/>
                        <wps:spPr>
                          <a:xfrm>
                            <a:off x="232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成品装车</w:t>
                              </w:r>
                            </w:p>
                          </w:txbxContent>
                        </wps:txbx>
                        <wps:bodyPr upright="1"/>
                      </wps:wsp>
                      <wps:wsp>
                        <wps:cNvPr id="68" name="直接箭头连接符 68"/>
                        <wps:cNvCnPr/>
                        <wps:spPr>
                          <a:xfrm flipH="1">
                            <a:off x="7950" y="12060"/>
                            <a:ext cx="405" cy="0"/>
                          </a:xfrm>
                          <a:prstGeom prst="straightConnector1">
                            <a:avLst/>
                          </a:prstGeom>
                          <a:ln w="9525" cap="flat" cmpd="sng">
                            <a:solidFill>
                              <a:srgbClr val="000000"/>
                            </a:solidFill>
                            <a:prstDash val="solid"/>
                            <a:headEnd type="none" w="med" len="med"/>
                            <a:tailEnd type="triangle" w="med" len="med"/>
                          </a:ln>
                        </wps:spPr>
                        <wps:bodyPr/>
                      </wps:wsp>
                      <wps:wsp>
                        <wps:cNvPr id="69" name="直接箭头连接符 69"/>
                        <wps:cNvCnPr/>
                        <wps:spPr>
                          <a:xfrm flipH="1">
                            <a:off x="5955" y="12060"/>
                            <a:ext cx="405" cy="0"/>
                          </a:xfrm>
                          <a:prstGeom prst="straightConnector1">
                            <a:avLst/>
                          </a:prstGeom>
                          <a:ln w="9525" cap="flat" cmpd="sng">
                            <a:solidFill>
                              <a:srgbClr val="000000"/>
                            </a:solidFill>
                            <a:prstDash val="solid"/>
                            <a:headEnd type="none" w="med" len="med"/>
                            <a:tailEnd type="triangle" w="med" len="med"/>
                          </a:ln>
                        </wps:spPr>
                        <wps:bodyPr/>
                      </wps:wsp>
                      <wps:wsp>
                        <wps:cNvPr id="70" name="直接箭头连接符 70"/>
                        <wps:cNvCnPr/>
                        <wps:spPr>
                          <a:xfrm flipH="1">
                            <a:off x="3930" y="12060"/>
                            <a:ext cx="405" cy="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45pt;margin-top:0.05pt;height:168.5pt;width:443.5pt;z-index:251738112;mso-width-relative:page;mso-height-relative:page;" coordorigin="2310,7530" coordsize="7665,4815" o:gfxdata="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">
                <o:lock v:ext="edit" aspectratio="f"/>
                <v:rect id="_x0000_s1026" o:spid="_x0000_s1026" o:spt="1" style="position:absolute;left:2310;top:7530;height:585;width:1620;" fillcolor="#FFFFFF" filled="t" stroked="t" coordsize="21600,21600" o:gfxdata="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LzGM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r>
                          <w:rPr>
                            <w:rFonts w:hint="eastAsia"/>
                          </w:rPr>
                          <w:t>煤矸石、页岩</w:t>
                        </w:r>
                      </w:p>
                    </w:txbxContent>
                  </v:textbox>
                </v:rect>
                <v:shape id="_x0000_s1026" o:spid="_x0000_s1026" o:spt="32" type="#_x0000_t32" style="position:absolute;left:3930;top:7860;height:0;width:390;" filled="f" stroked="t" coordsize="21600,21600" o:gfxdata="UEsDBAoAAAAAAIdO4kAAAAAAAAAAAAAAAAAEAAAAZHJzL1BLAwQUAAAACACHTuJAY3NjfL4AAADb&#10;AAAADwAAAGRycy9kb3ducmV2LnhtbEWPT2sCMRTE7wW/Q3hCbzW7U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Njf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4320;top:7530;height:585;width:1620;" fillcolor="#FFFFFF" filled="t" stroked="t" coordsize="21600,21600" o:gfxdata="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sQpg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板式给料机</w:t>
                        </w:r>
                      </w:p>
                    </w:txbxContent>
                  </v:textbox>
                </v:rect>
                <v:shape id="_x0000_s1026" o:spid="_x0000_s1026" o:spt="32" type="#_x0000_t32" style="position:absolute;left:3060;top:9525;height:825;width:0;" filled="f" stroked="t" coordsize="21600,21600" o:gfxdata="UEsDBAoAAAAAAIdO4kAAAAAAAAAAAAAAAAAEAAAAZHJzL1BLAwQUAAAACACHTuJA/O1YkL4AAADb&#10;AAAADwAAAGRycy9kb3ducmV2LnhtbEWPW2sCMRSE3wv9D+EUfNOsWha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Yk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5940;top:7845;height:0;width:390;" filled="f" stroked="t" coordsize="21600,21600" o:gfxdata="UEsDBAoAAAAAAIdO4kAAAAAAAAAAAAAAAAAEAAAAZHJzL1BLAwQUAAAACACHTuJAcwTA5L4AAADb&#10;AAAADwAAAGRycy9kb3ducmV2LnhtbEWPT2sCMRTE7wW/Q3iCt5pVZK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TA5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6330;top:7530;height:585;width:1620;" fillcolor="#FFFFFF" filled="t" stroked="t" coordsize="21600,21600" o:gfxdata="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WJI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鄂破机</w:t>
                        </w:r>
                      </w:p>
                    </w:txbxContent>
                  </v:textbox>
                </v:rect>
                <v:shape id="_x0000_s1026" o:spid="_x0000_s1026" o:spt="32" type="#_x0000_t32" style="position:absolute;left:7950;top:7845;height:0;width:390;" filled="f" stroked="t" coordsize="21600,21600" o:gfxdata="UEsDBAoAAAAAAIdO4kAAAAAAAAAAAAAAAAAEAAAAZHJzL1BLAwQUAAAACACHTuJA7Jr7CL8AAADb&#10;AAAADwAAAGRycy9kb3ducmV2LnhtbEWPzWrDMBCE74G8g9hAb4nsU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a+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8340;top:7530;height:585;width:1620;" fillcolor="#FFFFFF" filled="t" stroked="t" coordsize="21600,21600" o:gfxdata="UEsDBAoAAAAAAIdO4kAAAAAAAAAAAAAAAAAEAAAAZHJzL1BLAwQUAAAACACHTuJAGcap+L0AAADb&#10;AAAADwAAAGRycy9kb3ducmV2LnhtbEWPwW7CMBBE70j9B2srcQMbqAo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xqn4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细破机</w:t>
                        </w:r>
                      </w:p>
                    </w:txbxContent>
                  </v:textbox>
                </v:rect>
                <v:rect id="_x0000_s1026" o:spid="_x0000_s1026" o:spt="1" style="position:absolute;left:8340;top:8940;height:585;width:1620;" fillcolor="#FFFFFF" filled="t" stroked="t" coordsize="21600,21600" o:gfxdata="UEsDBAoAAAAAAIdO4kAAAAAAAAAAAAAAAAAEAAAAZHJzL1BLAwQUAAAACACHTuJAaFk9iroAAADb&#10;AAAADwAAAGRycy9kb3ducmV2LnhtbEVPu27CMBTdkfoP1q3UDWxohW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WT2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双轴搅拌机</w:t>
                        </w:r>
                      </w:p>
                    </w:txbxContent>
                  </v:textbox>
                </v:rect>
                <v:rect id="_x0000_s1026" o:spid="_x0000_s1026" o:spt="1" style="position:absolute;left:6330;top:8940;height:585;width:1620;" fillcolor="#FFFFFF" filled="t" stroked="t" coordsize="21600,21600" o:gfxdata="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WYE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液压多斗挖掘</w:t>
                        </w:r>
                      </w:p>
                    </w:txbxContent>
                  </v:textbox>
                </v:rect>
                <v:rect id="_x0000_s1026" o:spid="_x0000_s1026" o:spt="1" style="position:absolute;left:4320;top:8940;height:585;width:1620;" fillcolor="#FFFFFF" filled="t" stroked="t" coordsize="21600,21600" o:gfxdata="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9qdR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箱式给料机</w:t>
                        </w:r>
                      </w:p>
                    </w:txbxContent>
                  </v:textbox>
                </v:rect>
                <v:rect id="_x0000_s1026" o:spid="_x0000_s1026" o:spt="1" style="position:absolute;left:2310;top:8940;height:585;width:1620;" fillcolor="#FFFFFF" filled="t" stroked="t" coordsize="21600,21600" o:gfxdata="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ugL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挤泥机</w:t>
                        </w:r>
                      </w:p>
                    </w:txbxContent>
                  </v:textbox>
                </v:rect>
                <v:shape id="_x0000_s1026" o:spid="_x0000_s1026" o:spt="32" type="#_x0000_t32" style="position:absolute;left:7935;top:9240;flip:x;height:0;width:405;" filled="f" stroked="t" coordsize="21600,21600" o:gfxdata="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k+e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5940;top:9240;flip:x;height:0;width:405;" filled="f" stroked="t" coordsize="21600,21600" o:gfxdata="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RZvj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3915;top:9240;flip:x;height:0;width:405;" filled="f" stroked="t" coordsize="21600,21600" o:gfxdata="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rAOX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2310;top:10350;height:585;width:1620;" fillcolor="#FFFFFF" filled="t" stroked="t" coordsize="21600,21600" o:gfxdata="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EEy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切条、切坏机</w:t>
                        </w:r>
                      </w:p>
                    </w:txbxContent>
                  </v:textbox>
                </v:rect>
                <v:shape id="_x0000_s1026" o:spid="_x0000_s1026" o:spt="32" type="#_x0000_t32" style="position:absolute;left:3930;top:10680;height:0;width:390;" filled="f" stroked="t" coordsize="21600,21600" o:gfxdata="UEsDBAoAAAAAAIdO4kAAAAAAAAAAAAAAAAAEAAAAZHJzL1BLAwQUAAAACACHTuJAaUNt1b8AAADb&#10;AAAADwAAAGRycy9kb3ducmV2LnhtbEWPzWrDMBCE74G8g9hAb4nsQE3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Dbd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4320;top:10350;height:585;width:1620;" fillcolor="#FFFFFF" filled="t" stroked="t" coordsize="21600,21600" o:gfxdata="UEsDBAoAAAAAAIdO4kAAAAAAAAAAAAAAAAAEAAAAZHJzL1BLAwQUAAAACACHTuJAnB8/Jb0AAADb&#10;AAAADwAAAGRycy9kb3ducmV2LnhtbEWPwW7CMBBE70j9B2srcQMbUAs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z8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自动编码</w:t>
                        </w:r>
                      </w:p>
                    </w:txbxContent>
                  </v:textbox>
                </v:rect>
                <v:shape id="_x0000_s1026" o:spid="_x0000_s1026" o:spt="32" type="#_x0000_t32" style="position:absolute;left:9180;top:10935;height:825;width:0;" filled="f" stroked="t" coordsize="21600,21600" o:gfxdata="UEsDBAoAAAAAAIdO4kAAAAAAAAAAAAAAAAAEAAAAZHJzL1BLAwQUAAAACACHTuJAd5BcPLsAAADb&#10;AAAADwAAAGRycy9kb3ducmV2LnhtbEVPW2vCMBR+H+w/hDPY20wrrG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5BcP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5940;top:10665;height:0;width:390;" filled="f" stroked="t" coordsize="21600,21600" o:gfxdata="UEsDBAoAAAAAAIdO4kAAAAAAAAAAAAAAAAAEAAAAZHJzL1BLAwQUAAAACACHTuJAGNz5p74AAADb&#10;AAAADwAAAGRycy9kb3ducmV2LnhtbEWPT2sCMRTE74V+h/CE3mpWo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z5p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6330;top:10350;height:585;width:1620;" fillcolor="#FFFFFF" filled="t" stroked="t" coordsize="21600,21600" o:gfxdata="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Zpt7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pPr>
                        <w:r>
                          <w:rPr>
                            <w:rFonts w:hint="eastAsia"/>
                          </w:rPr>
                          <w:t>自动码坯机</w:t>
                        </w:r>
                      </w:p>
                    </w:txbxContent>
                  </v:textbox>
                </v:rect>
                <v:shape id="_x0000_s1026" o:spid="_x0000_s1026" o:spt="32" type="#_x0000_t32" style="position:absolute;left:7950;top:10665;height:0;width:390;" filled="f" stroked="t" coordsize="21600,21600" o:gfxdata="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j8c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8340;top:10350;height:585;width:1620;" fillcolor="#FFFFFF" filled="t" stroked="t" coordsize="21600,21600" o:gfxdata="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EVgC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窑车</w:t>
                        </w:r>
                      </w:p>
                    </w:txbxContent>
                  </v:textbox>
                </v:rect>
                <v:shape id="_x0000_s1026" o:spid="_x0000_s1026" o:spt="32" type="#_x0000_t32" style="position:absolute;left:9180;top:8115;height:825;width:0;" filled="f" stroked="t" coordsize="21600,21600" o:gfxdata="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YBPC/&#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8355;top:11760;height:585;width:1620;" fillcolor="#FFFFFF" filled="t" stroked="t" coordsize="21600,21600" o:gfxdata="UEsDBAoAAAAAAIdO4kAAAAAAAAAAAAAAAAAEAAAAZHJzL1BLAwQUAAAACACHTuJAoqFr77wAAADb&#10;AAAADwAAAGRycy9kb3ducmV2LnhtbEWPQYvCMBSE78L+h/AW9qaJroh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h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存坯线</w:t>
                        </w:r>
                      </w:p>
                    </w:txbxContent>
                  </v:textbox>
                </v:rect>
                <v:rect id="_x0000_s1026" o:spid="_x0000_s1026" o:spt="1" style="position:absolute;left:6345;top:11760;height:585;width:1620;" fillcolor="#FFFFFF" filled="t" stroked="t" coordsize="21600,21600" o:gfxdata="UEsDBAoAAAAAAIdO4kAAAAAAAAAAAAAAAAAEAAAAZHJzL1BLAwQUAAAACACHTuJAze3OdLwAAADb&#10;AAAADwAAAGRycy9kb3ducmV2LnhtbEWPQYvCMBSE78L+h/AW9qaJLop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tzn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干燥窑</w:t>
                        </w:r>
                      </w:p>
                    </w:txbxContent>
                  </v:textbox>
                </v:rect>
                <v:rect id="_x0000_s1026" o:spid="_x0000_s1026" o:spt="1" style="position:absolute;left:4335;top:11760;height:585;width:1620;" fillcolor="#FFFFFF" filled="t" stroked="t" coordsize="21600,21600" o:gfxdata="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UA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焙烧窑</w:t>
                        </w:r>
                      </w:p>
                    </w:txbxContent>
                  </v:textbox>
                </v:rect>
                <v:rect id="_x0000_s1026" o:spid="_x0000_s1026" o:spt="1" style="position:absolute;left:2325;top:11760;height:585;width:1620;" fillcolor="#FFFFFF" filled="t" stroked="t" coordsize="21600,21600" o:gfxdata="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P1m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成品装车</w:t>
                        </w:r>
                      </w:p>
                    </w:txbxContent>
                  </v:textbox>
                </v:rect>
                <v:shape id="_x0000_s1026" o:spid="_x0000_s1026" o:spt="32" type="#_x0000_t32" style="position:absolute;left:7950;top:12060;flip:x;height:0;width:405;" filled="f" stroked="t" coordsize="21600,21600" o:gfxdata="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3DL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5955;top:12060;flip:x;height:0;width:405;" filled="f" stroked="t" coordsize="21600,21600" o:gfxdata="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wWa0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3930;top:12060;flip:x;height:0;width:405;" filled="f" stroked="t" coordsize="21600,21600" o:gfxdata="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iJZ9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p>
    <w:p>
      <w:pPr>
        <w:spacing w:line="360" w:lineRule="auto"/>
        <w:ind w:firstLine="560" w:firstLineChars="200"/>
        <w:rPr>
          <w:rFonts w:hint="eastAsia" w:ascii="宋体"/>
          <w:snapToGrid w:val="0"/>
          <w:color w:val="auto"/>
          <w:kern w:val="0"/>
          <w:sz w:val="28"/>
          <w:szCs w:val="28"/>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p>
    <w:p>
      <w:pPr>
        <w:pStyle w:val="2"/>
        <w:rPr>
          <w:rFonts w:hint="eastAsia"/>
          <w:lang w:eastAsia="zh-CN"/>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r>
        <w:rPr>
          <w:rFonts w:hint="eastAsia" w:ascii="黑体" w:hAnsi="黑体" w:eastAsia="黑体"/>
          <w:b/>
          <w:snapToGrid w:val="0"/>
          <w:color w:val="auto"/>
          <w:kern w:val="0"/>
          <w:sz w:val="24"/>
          <w:lang w:eastAsia="zh-CN"/>
        </w:rPr>
        <w:t>图</w:t>
      </w:r>
      <w:r>
        <w:rPr>
          <w:rFonts w:hint="eastAsia" w:ascii="黑体" w:hAnsi="黑体" w:eastAsia="黑体"/>
          <w:b/>
          <w:snapToGrid w:val="0"/>
          <w:color w:val="auto"/>
          <w:kern w:val="0"/>
          <w:sz w:val="24"/>
          <w:lang w:val="en-US" w:eastAsia="zh-CN"/>
        </w:rPr>
        <w:t>2</w:t>
      </w:r>
      <w:r>
        <w:rPr>
          <w:rFonts w:hint="eastAsia" w:ascii="黑体" w:hAnsi="黑体" w:eastAsia="黑体"/>
          <w:b/>
          <w:snapToGrid w:val="0"/>
          <w:color w:val="auto"/>
          <w:kern w:val="0"/>
          <w:sz w:val="24"/>
          <w:lang w:eastAsia="zh-CN"/>
        </w:rPr>
        <w:t>-</w:t>
      </w:r>
      <w:r>
        <w:rPr>
          <w:rFonts w:hint="eastAsia" w:ascii="黑体" w:hAnsi="黑体" w:eastAsia="黑体"/>
          <w:b/>
          <w:snapToGrid w:val="0"/>
          <w:color w:val="auto"/>
          <w:kern w:val="0"/>
          <w:sz w:val="24"/>
          <w:lang w:val="en-US" w:eastAsia="zh-CN"/>
        </w:rPr>
        <w:t>4</w:t>
      </w:r>
      <w:r>
        <w:rPr>
          <w:rFonts w:hint="eastAsia" w:ascii="黑体" w:hAnsi="黑体" w:eastAsia="黑体"/>
          <w:b/>
          <w:snapToGrid w:val="0"/>
          <w:color w:val="auto"/>
          <w:kern w:val="0"/>
          <w:sz w:val="24"/>
          <w:lang w:eastAsia="zh-CN"/>
        </w:rPr>
        <w:t xml:space="preserve"> 页岩砖生产工艺流程示意图</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2、原料制备</w:t>
      </w:r>
    </w:p>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制砖主要原料煤外购运到厂内，自卸到板式给料机中。经板式给料机定量装到胶带输送机上，运到颚式破碎机处进行粗破，通过刮板给料机、</w:t>
      </w:r>
      <w:bookmarkStart w:id="231" w:name="_GoBack"/>
      <w:bookmarkEnd w:id="231"/>
      <w:r>
        <w:rPr>
          <w:rFonts w:hint="eastAsia" w:ascii="宋体"/>
          <w:snapToGrid w:val="0"/>
          <w:color w:val="auto"/>
          <w:kern w:val="0"/>
          <w:sz w:val="28"/>
          <w:szCs w:val="28"/>
        </w:rPr>
        <w:t>圆盘给料机均匀喂料，至锤式破碎机进行粉碎，粉碎后物料颗粒组成情况为：</w:t>
      </w:r>
    </w:p>
    <w:tbl>
      <w:tblPr>
        <w:tblStyle w:val="19"/>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2539"/>
        <w:gridCol w:w="3074"/>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1～3mm</w:t>
            </w:r>
          </w:p>
        </w:tc>
        <w:tc>
          <w:tcPr>
            <w:tcW w:w="253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0.5～1mm</w:t>
            </w:r>
          </w:p>
        </w:tc>
        <w:tc>
          <w:tcPr>
            <w:tcW w:w="3074"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0.2～0.5mm</w:t>
            </w:r>
          </w:p>
        </w:tc>
        <w:tc>
          <w:tcPr>
            <w:tcW w:w="2006"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&lt;0.2mm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&lt;3%</w:t>
            </w:r>
          </w:p>
        </w:tc>
        <w:tc>
          <w:tcPr>
            <w:tcW w:w="253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30%</w:t>
            </w:r>
          </w:p>
        </w:tc>
        <w:tc>
          <w:tcPr>
            <w:tcW w:w="3074"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33%</w:t>
            </w:r>
          </w:p>
        </w:tc>
        <w:tc>
          <w:tcPr>
            <w:tcW w:w="2006"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&gt;34%</w:t>
            </w:r>
          </w:p>
        </w:tc>
      </w:tr>
    </w:tbl>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煤按配合比(</w:t>
      </w:r>
      <w:r>
        <w:rPr>
          <w:rFonts w:hint="eastAsia" w:ascii="宋体" w:hAnsi="宋体"/>
          <w:color w:val="auto"/>
          <w:sz w:val="28"/>
          <w:szCs w:val="28"/>
        </w:rPr>
        <w:t>页岩、煤矸石=7:3)</w:t>
      </w:r>
      <w:r>
        <w:rPr>
          <w:rFonts w:hint="eastAsia" w:ascii="宋体"/>
          <w:snapToGrid w:val="0"/>
          <w:color w:val="auto"/>
          <w:kern w:val="0"/>
          <w:sz w:val="28"/>
          <w:szCs w:val="28"/>
        </w:rPr>
        <w:t>要求经箱式给料机定量给料到胶带输送机上，</w:t>
      </w:r>
      <w:r>
        <w:rPr>
          <w:rFonts w:hint="eastAsia" w:ascii="宋体" w:hAnsi="宋体"/>
          <w:color w:val="auto"/>
          <w:sz w:val="28"/>
          <w:szCs w:val="28"/>
        </w:rPr>
        <w:t>页岩</w:t>
      </w:r>
      <w:r>
        <w:rPr>
          <w:rFonts w:hint="eastAsia" w:ascii="宋体"/>
          <w:snapToGrid w:val="0"/>
          <w:color w:val="auto"/>
          <w:kern w:val="0"/>
          <w:sz w:val="28"/>
          <w:szCs w:val="28"/>
        </w:rPr>
        <w:t>共同进行粗碎、细碎处理。粉碎后的</w:t>
      </w:r>
      <w:r>
        <w:rPr>
          <w:rFonts w:hint="eastAsia" w:ascii="宋体" w:hAnsi="宋体"/>
          <w:color w:val="auto"/>
          <w:sz w:val="28"/>
          <w:szCs w:val="28"/>
        </w:rPr>
        <w:t>页岩</w:t>
      </w:r>
      <w:r>
        <w:rPr>
          <w:rFonts w:hint="eastAsia" w:ascii="宋体"/>
          <w:snapToGrid w:val="0"/>
          <w:color w:val="auto"/>
          <w:kern w:val="0"/>
          <w:sz w:val="28"/>
          <w:szCs w:val="28"/>
        </w:rPr>
        <w:t>、煤粉经强力搅拌机加水搅拌混合。</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3、原料陈化处理</w:t>
      </w:r>
    </w:p>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经强力搅拌机处理后的混合料再通过胶带输送机运到陈化库顶部的可逆移动配仓布料机上，将混合料按一定规律均匀的堆存到陈化库中，混合料陈化时间不得小于3小时。陈化的作用是使原料中水分均匀化程度提高，使原料颗粒表面和内部性能更加的均匀，更趋一致，使颗粒变得容易疏解，使混合料的成型性能得到提高。</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4、挤出成型</w:t>
      </w:r>
    </w:p>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经过陈化的混合料有装运到胶带输送机上运到成型车间的箱式给料机处定量向强力搅拌机给料。原料通过这次加水搅拌，使其成型水分达到16～17%。搅拌后的物料再经过湿式轮碾机进一步碾练均化处理，使混合料性能满足成型需要。挤出成型采用高挤出压力、高真空度的双极真空挤出机，许用挤出压力达到3.8mpa，真空度达到≤-0.092mpa。挤出的泥条经自动切条机、切坯机割成需要规格的砖坯，再经码坯将砖坯放到窑车上。</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5、干燥、焙烧</w:t>
      </w:r>
    </w:p>
    <w:p>
      <w:pPr>
        <w:spacing w:line="360" w:lineRule="auto"/>
        <w:ind w:firstLine="560" w:firstLineChars="200"/>
        <w:rPr>
          <w:rFonts w:hint="eastAsia" w:ascii="宋体"/>
          <w:snapToGrid w:val="0"/>
          <w:color w:val="auto"/>
          <w:kern w:val="0"/>
          <w:sz w:val="28"/>
          <w:szCs w:val="28"/>
          <w:lang w:val="en-US" w:eastAsia="zh-CN"/>
        </w:rPr>
      </w:pPr>
      <w:r>
        <w:rPr>
          <w:rFonts w:hint="eastAsia" w:ascii="宋体"/>
          <w:snapToGrid w:val="0"/>
          <w:color w:val="auto"/>
          <w:kern w:val="0"/>
          <w:sz w:val="28"/>
          <w:szCs w:val="28"/>
          <w:lang w:val="en-US" w:eastAsia="zh-CN"/>
        </w:rPr>
        <w:t>码有砖坯的窑车通过窑车运转系统完成窑车在贮存段、干燥室、焙烧窑的运行。由于成型工段在市场淡季有可能是二班生产，干燥室、焙烧窑是三班生产，因此必须设置码有砖坯的窑车贮存段，用于贮存夜班进窑的窑车，本项目共设250辆窑车。</w:t>
      </w:r>
    </w:p>
    <w:p>
      <w:pPr>
        <w:spacing w:line="360" w:lineRule="auto"/>
        <w:ind w:firstLine="560" w:firstLineChars="200"/>
        <w:rPr>
          <w:rFonts w:hint="eastAsia" w:ascii="宋体"/>
          <w:snapToGrid w:val="0"/>
          <w:color w:val="auto"/>
          <w:kern w:val="0"/>
          <w:sz w:val="28"/>
          <w:szCs w:val="28"/>
          <w:lang w:val="en-US" w:eastAsia="zh-CN"/>
        </w:rPr>
      </w:pPr>
      <w:r>
        <w:rPr>
          <w:rFonts w:hint="eastAsia" w:ascii="宋体"/>
          <w:snapToGrid w:val="0"/>
          <w:color w:val="auto"/>
          <w:kern w:val="0"/>
          <w:sz w:val="28"/>
          <w:szCs w:val="28"/>
          <w:lang w:val="en-US" w:eastAsia="zh-CN"/>
        </w:rPr>
        <w:t>装有砖坯的窑车经过贮存后运送到进车端摆渡车上，通过液压顶车机将窑车送入干燥室内，本项目采用一次码烧工艺，25门轮窑生产线1条（1座</w:t>
      </w:r>
      <w:r>
        <w:rPr>
          <w:rFonts w:hint="eastAsia" w:ascii="宋体"/>
          <w:snapToGrid w:val="0"/>
          <w:color w:val="FF0000"/>
          <w:kern w:val="0"/>
          <w:sz w:val="28"/>
          <w:szCs w:val="28"/>
          <w:lang w:val="en-US" w:eastAsia="zh-CN"/>
        </w:rPr>
        <w:t>干燥窑，1座焙烧窑</w:t>
      </w:r>
      <w:r>
        <w:rPr>
          <w:rFonts w:hint="eastAsia" w:ascii="宋体"/>
          <w:snapToGrid w:val="0"/>
          <w:color w:val="auto"/>
          <w:kern w:val="0"/>
          <w:sz w:val="28"/>
          <w:szCs w:val="28"/>
          <w:lang w:val="en-US" w:eastAsia="zh-CN"/>
        </w:rPr>
        <w:t>）</w:t>
      </w:r>
      <w:r>
        <w:rPr>
          <w:rFonts w:hint="eastAsia" w:ascii="宋体"/>
          <w:snapToGrid w:val="0"/>
          <w:color w:val="FF0000"/>
          <w:kern w:val="0"/>
          <w:sz w:val="28"/>
          <w:szCs w:val="28"/>
          <w:lang w:val="en-US" w:eastAsia="zh-CN"/>
        </w:rPr>
        <w:t>。</w:t>
      </w:r>
      <w:r>
        <w:rPr>
          <w:rFonts w:hint="eastAsia" w:ascii="宋体"/>
          <w:snapToGrid w:val="0"/>
          <w:color w:val="auto"/>
          <w:kern w:val="0"/>
          <w:sz w:val="28"/>
          <w:szCs w:val="28"/>
          <w:lang w:val="en-US" w:eastAsia="zh-CN"/>
        </w:rPr>
        <w:t>干燥热源来自焙烧窑余热。干燥好的砖坯通过干燥室出口拉引机、焙烧窑液压顶车机将窑车送入焙烧窑。</w:t>
      </w:r>
    </w:p>
    <w:p>
      <w:pPr>
        <w:pStyle w:val="5"/>
        <w:spacing w:before="0" w:after="0" w:line="360" w:lineRule="auto"/>
        <w:rPr>
          <w:rFonts w:hint="eastAsia" w:ascii="宋体" w:hAnsi="宋体" w:eastAsia="宋体" w:cs="宋体"/>
          <w:color w:val="auto"/>
          <w:sz w:val="28"/>
          <w:szCs w:val="28"/>
          <w:lang w:val="zh-CN"/>
        </w:rPr>
      </w:pPr>
      <w:bookmarkStart w:id="47" w:name="_Toc11854"/>
      <w:r>
        <w:rPr>
          <w:rFonts w:hint="eastAsia" w:ascii="宋体" w:hAnsi="宋体" w:eastAsia="宋体" w:cs="宋体"/>
          <w:color w:val="auto"/>
          <w:sz w:val="28"/>
          <w:szCs w:val="28"/>
          <w:lang w:val="zh-CN"/>
        </w:rPr>
        <w:t>2.1.</w:t>
      </w:r>
      <w:r>
        <w:rPr>
          <w:rFonts w:hint="eastAsia" w:ascii="宋体" w:hAnsi="宋体" w:eastAsia="宋体" w:cs="宋体"/>
          <w:color w:val="auto"/>
          <w:sz w:val="28"/>
          <w:szCs w:val="28"/>
          <w:lang w:val="en-US" w:eastAsia="zh-CN"/>
        </w:rPr>
        <w:t>5</w:t>
      </w:r>
      <w:r>
        <w:rPr>
          <w:rFonts w:hint="eastAsia" w:ascii="宋体" w:hAnsi="宋体" w:eastAsia="宋体" w:cs="宋体"/>
          <w:b/>
          <w:bCs/>
          <w:i w:val="0"/>
          <w:iCs w:val="0"/>
          <w:color w:val="auto"/>
          <w:sz w:val="28"/>
          <w:szCs w:val="28"/>
        </w:rPr>
        <w:t>主要生产设备情况</w:t>
      </w:r>
      <w:bookmarkEnd w:id="47"/>
    </w:p>
    <w:p>
      <w:pPr>
        <w:spacing w:line="360" w:lineRule="auto"/>
        <w:ind w:firstLine="560" w:firstLineChars="200"/>
        <w:rPr>
          <w:rFonts w:hint="eastAsia" w:ascii="宋体" w:hAnsi="宋体" w:cs="宋体"/>
          <w:i w:val="0"/>
          <w:iCs w:val="0"/>
          <w:color w:val="auto"/>
          <w:sz w:val="28"/>
          <w:szCs w:val="28"/>
        </w:rPr>
      </w:pPr>
      <w:r>
        <w:rPr>
          <w:rFonts w:hint="eastAsia" w:ascii="宋体" w:hAnsi="宋体" w:cs="宋体"/>
          <w:i w:val="0"/>
          <w:iCs w:val="0"/>
          <w:color w:val="auto"/>
          <w:sz w:val="28"/>
          <w:szCs w:val="28"/>
          <w:lang w:eastAsia="zh-CN"/>
        </w:rPr>
        <w:t>仪陇县义路镇正强页岩砖厂</w:t>
      </w:r>
      <w:r>
        <w:rPr>
          <w:rFonts w:hint="eastAsia" w:ascii="宋体" w:hAnsi="宋体" w:cs="宋体"/>
          <w:i w:val="0"/>
          <w:iCs w:val="0"/>
          <w:color w:val="auto"/>
          <w:sz w:val="28"/>
          <w:szCs w:val="28"/>
        </w:rPr>
        <w:t>主要设备清单见表</w:t>
      </w:r>
      <w:r>
        <w:rPr>
          <w:rFonts w:hint="eastAsia" w:ascii="宋体" w:hAnsi="宋体" w:eastAsia="宋体" w:cs="宋体"/>
          <w:i w:val="0"/>
          <w:iCs w:val="0"/>
          <w:color w:val="auto"/>
          <w:sz w:val="28"/>
          <w:szCs w:val="28"/>
          <w:lang w:val="en-US" w:eastAsia="zh-CN"/>
        </w:rPr>
        <w:t>2</w:t>
      </w:r>
      <w:r>
        <w:rPr>
          <w:rFonts w:hint="eastAsia" w:ascii="宋体" w:hAnsi="宋体" w:cs="宋体"/>
          <w:i w:val="0"/>
          <w:iCs w:val="0"/>
          <w:color w:val="auto"/>
          <w:sz w:val="28"/>
          <w:szCs w:val="28"/>
        </w:rPr>
        <w:t>-</w:t>
      </w:r>
      <w:r>
        <w:rPr>
          <w:rFonts w:hint="eastAsia" w:ascii="宋体" w:hAnsi="宋体" w:cs="宋体"/>
          <w:i w:val="0"/>
          <w:iCs w:val="0"/>
          <w:color w:val="auto"/>
          <w:sz w:val="28"/>
          <w:szCs w:val="28"/>
          <w:lang w:val="en-US" w:eastAsia="zh-CN"/>
        </w:rPr>
        <w:t>2</w:t>
      </w:r>
      <w:r>
        <w:rPr>
          <w:rFonts w:hint="eastAsia" w:ascii="宋体" w:hAnsi="宋体" w:cs="宋体"/>
          <w:i w:val="0"/>
          <w:iCs w:val="0"/>
          <w:color w:val="auto"/>
          <w:sz w:val="28"/>
          <w:szCs w:val="28"/>
        </w:rPr>
        <w:t>所示。</w:t>
      </w:r>
    </w:p>
    <w:tbl>
      <w:tblPr>
        <w:tblStyle w:val="20"/>
        <w:tblW w:w="96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2578"/>
        <w:gridCol w:w="2682"/>
        <w:gridCol w:w="2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tcPr>
          <w:p>
            <w:pPr>
              <w:jc w:val="center"/>
              <w:rPr>
                <w:rFonts w:hint="eastAsia"/>
                <w:vertAlign w:val="baseline"/>
                <w:lang w:eastAsia="zh-CN"/>
              </w:rPr>
            </w:pPr>
            <w:r>
              <w:rPr>
                <w:rFonts w:hint="eastAsia"/>
                <w:vertAlign w:val="baseline"/>
                <w:lang w:eastAsia="zh-CN"/>
              </w:rPr>
              <w:t>序号</w:t>
            </w:r>
          </w:p>
        </w:tc>
        <w:tc>
          <w:tcPr>
            <w:tcW w:w="2578" w:type="dxa"/>
          </w:tcPr>
          <w:p>
            <w:pPr>
              <w:jc w:val="center"/>
              <w:rPr>
                <w:rFonts w:hint="eastAsia"/>
                <w:vertAlign w:val="baseline"/>
                <w:lang w:eastAsia="zh-CN"/>
              </w:rPr>
            </w:pPr>
            <w:r>
              <w:rPr>
                <w:rFonts w:hint="eastAsia"/>
                <w:vertAlign w:val="baseline"/>
                <w:lang w:eastAsia="zh-CN"/>
              </w:rPr>
              <w:t>名称</w:t>
            </w:r>
          </w:p>
        </w:tc>
        <w:tc>
          <w:tcPr>
            <w:tcW w:w="2682" w:type="dxa"/>
          </w:tcPr>
          <w:p>
            <w:pPr>
              <w:jc w:val="center"/>
              <w:rPr>
                <w:rFonts w:hint="eastAsia"/>
                <w:vertAlign w:val="baseline"/>
                <w:lang w:eastAsia="zh-CN"/>
              </w:rPr>
            </w:pPr>
            <w:r>
              <w:rPr>
                <w:rFonts w:hint="eastAsia"/>
                <w:vertAlign w:val="baseline"/>
                <w:lang w:eastAsia="zh-CN"/>
              </w:rPr>
              <w:t>型号</w:t>
            </w:r>
          </w:p>
        </w:tc>
        <w:tc>
          <w:tcPr>
            <w:tcW w:w="2916" w:type="dxa"/>
          </w:tcPr>
          <w:p>
            <w:pPr>
              <w:jc w:val="center"/>
              <w:rPr>
                <w:rFonts w:hint="eastAsia"/>
                <w:vertAlign w:val="baseline"/>
                <w:lang w:eastAsia="zh-CN"/>
              </w:rPr>
            </w:pPr>
            <w:r>
              <w:rPr>
                <w:rFonts w:hint="eastAsia"/>
                <w:vertAlign w:val="baseline"/>
                <w:lang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tcPr>
          <w:p>
            <w:pPr>
              <w:jc w:val="center"/>
              <w:rPr>
                <w:rFonts w:hint="eastAsia"/>
                <w:vertAlign w:val="baseline"/>
                <w:lang w:val="en-US" w:eastAsia="zh-CN"/>
              </w:rPr>
            </w:pPr>
            <w:r>
              <w:rPr>
                <w:rFonts w:hint="eastAsia"/>
                <w:vertAlign w:val="baseline"/>
                <w:lang w:val="en-US" w:eastAsia="zh-CN"/>
              </w:rPr>
              <w:t>1</w:t>
            </w:r>
          </w:p>
        </w:tc>
        <w:tc>
          <w:tcPr>
            <w:tcW w:w="2578" w:type="dxa"/>
          </w:tcPr>
          <w:p>
            <w:pPr>
              <w:jc w:val="center"/>
              <w:rPr>
                <w:rFonts w:hint="eastAsia" w:eastAsia="宋体"/>
                <w:vertAlign w:val="baseline"/>
                <w:lang w:val="en-US" w:eastAsia="zh-CN"/>
              </w:rPr>
            </w:pPr>
            <w:r>
              <w:rPr>
                <w:rFonts w:hint="eastAsia"/>
                <w:vertAlign w:val="baseline"/>
                <w:lang w:val="en-US" w:eastAsia="zh-CN"/>
              </w:rPr>
              <w:t>挤出机</w:t>
            </w:r>
          </w:p>
        </w:tc>
        <w:tc>
          <w:tcPr>
            <w:tcW w:w="2682" w:type="dxa"/>
          </w:tcPr>
          <w:p>
            <w:pPr>
              <w:jc w:val="center"/>
              <w:rPr>
                <w:rFonts w:hint="eastAsia"/>
                <w:vertAlign w:val="baseline"/>
                <w:lang w:val="en-US" w:eastAsia="zh-CN"/>
              </w:rPr>
            </w:pPr>
            <w:r>
              <w:rPr>
                <w:rFonts w:hint="eastAsia"/>
                <w:vertAlign w:val="baseline"/>
                <w:lang w:val="en-US" w:eastAsia="zh-CN"/>
              </w:rPr>
              <w:t>60-5</w:t>
            </w:r>
          </w:p>
        </w:tc>
        <w:tc>
          <w:tcPr>
            <w:tcW w:w="2916" w:type="dxa"/>
          </w:tcPr>
          <w:p>
            <w:pPr>
              <w:jc w:val="center"/>
              <w:rPr>
                <w:rFonts w:hint="eastAsia"/>
                <w:vertAlign w:val="baseline"/>
                <w:lang w:val="en-US" w:eastAsia="zh-CN"/>
              </w:rPr>
            </w:pPr>
            <w:r>
              <w:rPr>
                <w:rFonts w:hint="eastAsia"/>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tcPr>
          <w:p>
            <w:pPr>
              <w:jc w:val="center"/>
              <w:rPr>
                <w:rFonts w:hint="eastAsia"/>
                <w:vertAlign w:val="baseline"/>
                <w:lang w:val="en-US" w:eastAsia="zh-CN"/>
              </w:rPr>
            </w:pPr>
            <w:r>
              <w:rPr>
                <w:rFonts w:hint="eastAsia"/>
                <w:vertAlign w:val="baseline"/>
                <w:lang w:val="en-US" w:eastAsia="zh-CN"/>
              </w:rPr>
              <w:t>2</w:t>
            </w:r>
          </w:p>
        </w:tc>
        <w:tc>
          <w:tcPr>
            <w:tcW w:w="2578" w:type="dxa"/>
          </w:tcPr>
          <w:p>
            <w:pPr>
              <w:jc w:val="center"/>
              <w:rPr>
                <w:rFonts w:hint="eastAsia"/>
                <w:vertAlign w:val="baseline"/>
                <w:lang w:eastAsia="zh-CN"/>
              </w:rPr>
            </w:pPr>
            <w:r>
              <w:rPr>
                <w:rFonts w:hint="eastAsia"/>
                <w:vertAlign w:val="baseline"/>
                <w:lang w:eastAsia="zh-CN"/>
              </w:rPr>
              <w:t>码坯机</w:t>
            </w:r>
          </w:p>
        </w:tc>
        <w:tc>
          <w:tcPr>
            <w:tcW w:w="2682" w:type="dxa"/>
          </w:tcPr>
          <w:p>
            <w:pPr>
              <w:jc w:val="center"/>
              <w:rPr>
                <w:rFonts w:hint="eastAsia"/>
                <w:vertAlign w:val="baseline"/>
                <w:lang w:val="en-US" w:eastAsia="zh-CN"/>
              </w:rPr>
            </w:pPr>
            <w:r>
              <w:rPr>
                <w:rFonts w:hint="eastAsia"/>
                <w:vertAlign w:val="baseline"/>
                <w:lang w:val="en-US" w:eastAsia="zh-CN"/>
              </w:rPr>
              <w:t>/</w:t>
            </w:r>
          </w:p>
        </w:tc>
        <w:tc>
          <w:tcPr>
            <w:tcW w:w="2916" w:type="dxa"/>
          </w:tcPr>
          <w:p>
            <w:pPr>
              <w:jc w:val="center"/>
              <w:rPr>
                <w:rFonts w:hint="eastAsia"/>
                <w:vertAlign w:val="baseline"/>
                <w:lang w:eastAsia="zh-CN"/>
              </w:rPr>
            </w:pPr>
            <w:r>
              <w:rPr>
                <w:rFonts w:hint="eastAsia"/>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tcPr>
          <w:p>
            <w:pPr>
              <w:jc w:val="center"/>
              <w:rPr>
                <w:rFonts w:hint="eastAsia"/>
                <w:vertAlign w:val="baseline"/>
                <w:lang w:val="en-US" w:eastAsia="zh-CN"/>
              </w:rPr>
            </w:pPr>
            <w:r>
              <w:rPr>
                <w:rFonts w:hint="eastAsia"/>
                <w:vertAlign w:val="baseline"/>
                <w:lang w:val="en-US" w:eastAsia="zh-CN"/>
              </w:rPr>
              <w:t>3</w:t>
            </w:r>
          </w:p>
        </w:tc>
        <w:tc>
          <w:tcPr>
            <w:tcW w:w="2578" w:type="dxa"/>
          </w:tcPr>
          <w:p>
            <w:pPr>
              <w:jc w:val="center"/>
              <w:rPr>
                <w:rFonts w:hint="eastAsia"/>
                <w:vertAlign w:val="baseline"/>
                <w:lang w:eastAsia="zh-CN"/>
              </w:rPr>
            </w:pPr>
            <w:r>
              <w:rPr>
                <w:rFonts w:hint="eastAsia"/>
                <w:vertAlign w:val="baseline"/>
                <w:lang w:eastAsia="zh-CN"/>
              </w:rPr>
              <w:t>颚式破碎机</w:t>
            </w:r>
          </w:p>
        </w:tc>
        <w:tc>
          <w:tcPr>
            <w:tcW w:w="2682" w:type="dxa"/>
          </w:tcPr>
          <w:p>
            <w:pPr>
              <w:jc w:val="center"/>
              <w:rPr>
                <w:rFonts w:hint="eastAsia"/>
                <w:vertAlign w:val="baseline"/>
                <w:lang w:val="en-US" w:eastAsia="zh-CN"/>
              </w:rPr>
            </w:pPr>
            <w:r>
              <w:rPr>
                <w:rFonts w:hint="eastAsia"/>
                <w:vertAlign w:val="baseline"/>
                <w:lang w:val="en-US" w:eastAsia="zh-CN"/>
              </w:rPr>
              <w:t>50-70</w:t>
            </w:r>
          </w:p>
        </w:tc>
        <w:tc>
          <w:tcPr>
            <w:tcW w:w="2916" w:type="dxa"/>
          </w:tcPr>
          <w:p>
            <w:pPr>
              <w:jc w:val="center"/>
              <w:rPr>
                <w:rFonts w:hint="eastAsia"/>
                <w:vertAlign w:val="baseline"/>
                <w:lang w:eastAsia="zh-CN"/>
              </w:rPr>
            </w:pPr>
            <w:r>
              <w:rPr>
                <w:rFonts w:hint="eastAsia"/>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tcPr>
          <w:p>
            <w:pPr>
              <w:jc w:val="center"/>
              <w:rPr>
                <w:rFonts w:hint="eastAsia"/>
                <w:vertAlign w:val="baseline"/>
                <w:lang w:val="en-US" w:eastAsia="zh-CN"/>
              </w:rPr>
            </w:pPr>
            <w:r>
              <w:rPr>
                <w:rFonts w:hint="eastAsia"/>
                <w:vertAlign w:val="baseline"/>
                <w:lang w:val="en-US" w:eastAsia="zh-CN"/>
              </w:rPr>
              <w:t>4</w:t>
            </w:r>
          </w:p>
        </w:tc>
        <w:tc>
          <w:tcPr>
            <w:tcW w:w="2578" w:type="dxa"/>
          </w:tcPr>
          <w:p>
            <w:pPr>
              <w:jc w:val="center"/>
              <w:rPr>
                <w:rFonts w:hint="eastAsia"/>
                <w:vertAlign w:val="baseline"/>
                <w:lang w:eastAsia="zh-CN"/>
              </w:rPr>
            </w:pPr>
            <w:r>
              <w:rPr>
                <w:rFonts w:hint="eastAsia"/>
                <w:vertAlign w:val="baseline"/>
                <w:lang w:eastAsia="zh-CN"/>
              </w:rPr>
              <w:t>搅拌机</w:t>
            </w:r>
          </w:p>
        </w:tc>
        <w:tc>
          <w:tcPr>
            <w:tcW w:w="2682" w:type="dxa"/>
          </w:tcPr>
          <w:p>
            <w:pPr>
              <w:jc w:val="center"/>
              <w:rPr>
                <w:rFonts w:hint="eastAsia"/>
                <w:vertAlign w:val="baseline"/>
                <w:lang w:val="en-US" w:eastAsia="zh-CN"/>
              </w:rPr>
            </w:pPr>
            <w:r>
              <w:rPr>
                <w:rFonts w:hint="eastAsia"/>
                <w:vertAlign w:val="baseline"/>
                <w:lang w:val="en-US" w:eastAsia="zh-CN"/>
              </w:rPr>
              <w:t>4.5m</w:t>
            </w:r>
          </w:p>
        </w:tc>
        <w:tc>
          <w:tcPr>
            <w:tcW w:w="2916" w:type="dxa"/>
          </w:tcPr>
          <w:p>
            <w:pPr>
              <w:jc w:val="center"/>
              <w:rPr>
                <w:rFonts w:hint="eastAsia"/>
                <w:vertAlign w:val="baseline"/>
                <w:lang w:eastAsia="zh-CN"/>
              </w:rPr>
            </w:pPr>
            <w:r>
              <w:rPr>
                <w:rFonts w:hint="eastAsia"/>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tcPr>
          <w:p>
            <w:pPr>
              <w:jc w:val="center"/>
              <w:rPr>
                <w:rFonts w:hint="eastAsia"/>
                <w:vertAlign w:val="baseline"/>
                <w:lang w:val="en-US" w:eastAsia="zh-CN"/>
              </w:rPr>
            </w:pPr>
            <w:r>
              <w:rPr>
                <w:rFonts w:hint="eastAsia"/>
                <w:vertAlign w:val="baseline"/>
                <w:lang w:val="en-US" w:eastAsia="zh-CN"/>
              </w:rPr>
              <w:t>5</w:t>
            </w:r>
          </w:p>
        </w:tc>
        <w:tc>
          <w:tcPr>
            <w:tcW w:w="2578" w:type="dxa"/>
          </w:tcPr>
          <w:p>
            <w:pPr>
              <w:jc w:val="center"/>
              <w:rPr>
                <w:rFonts w:hint="eastAsia"/>
                <w:vertAlign w:val="baseline"/>
                <w:lang w:eastAsia="zh-CN"/>
              </w:rPr>
            </w:pPr>
            <w:r>
              <w:rPr>
                <w:rFonts w:hint="eastAsia"/>
                <w:vertAlign w:val="baseline"/>
                <w:lang w:eastAsia="zh-CN"/>
              </w:rPr>
              <w:t>滚动筛</w:t>
            </w:r>
          </w:p>
        </w:tc>
        <w:tc>
          <w:tcPr>
            <w:tcW w:w="2682" w:type="dxa"/>
          </w:tcPr>
          <w:p>
            <w:pPr>
              <w:jc w:val="center"/>
              <w:rPr>
                <w:rFonts w:hint="eastAsia"/>
                <w:vertAlign w:val="baseline"/>
                <w:lang w:val="en-US" w:eastAsia="zh-CN"/>
              </w:rPr>
            </w:pPr>
            <w:r>
              <w:rPr>
                <w:rFonts w:hint="eastAsia"/>
                <w:vertAlign w:val="baseline"/>
                <w:lang w:val="en-US" w:eastAsia="zh-CN"/>
              </w:rPr>
              <w:t>2.2*1m</w:t>
            </w:r>
          </w:p>
        </w:tc>
        <w:tc>
          <w:tcPr>
            <w:tcW w:w="2916" w:type="dxa"/>
          </w:tcPr>
          <w:p>
            <w:pPr>
              <w:jc w:val="center"/>
              <w:rPr>
                <w:rFonts w:hint="eastAsia"/>
                <w:vertAlign w:val="baseline"/>
                <w:lang w:eastAsia="zh-CN"/>
              </w:rPr>
            </w:pPr>
            <w:r>
              <w:rPr>
                <w:rFonts w:hint="eastAsia"/>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tcPr>
          <w:p>
            <w:pPr>
              <w:jc w:val="center"/>
              <w:rPr>
                <w:rFonts w:hint="eastAsia"/>
                <w:vertAlign w:val="baseline"/>
                <w:lang w:val="en-US" w:eastAsia="zh-CN"/>
              </w:rPr>
            </w:pPr>
            <w:r>
              <w:rPr>
                <w:rFonts w:hint="eastAsia"/>
                <w:vertAlign w:val="baseline"/>
                <w:lang w:val="en-US" w:eastAsia="zh-CN"/>
              </w:rPr>
              <w:t>6</w:t>
            </w:r>
          </w:p>
        </w:tc>
        <w:tc>
          <w:tcPr>
            <w:tcW w:w="2578" w:type="dxa"/>
          </w:tcPr>
          <w:p>
            <w:pPr>
              <w:jc w:val="center"/>
              <w:rPr>
                <w:rFonts w:hint="eastAsia"/>
                <w:vertAlign w:val="baseline"/>
                <w:lang w:eastAsia="zh-CN"/>
              </w:rPr>
            </w:pPr>
            <w:r>
              <w:rPr>
                <w:rFonts w:hint="eastAsia"/>
                <w:vertAlign w:val="baseline"/>
                <w:lang w:eastAsia="zh-CN"/>
              </w:rPr>
              <w:t>粉碎机</w:t>
            </w:r>
          </w:p>
        </w:tc>
        <w:tc>
          <w:tcPr>
            <w:tcW w:w="2682" w:type="dxa"/>
          </w:tcPr>
          <w:p>
            <w:pPr>
              <w:jc w:val="center"/>
              <w:rPr>
                <w:rFonts w:hint="eastAsia"/>
                <w:vertAlign w:val="baseline"/>
                <w:lang w:val="en-US" w:eastAsia="zh-CN"/>
              </w:rPr>
            </w:pPr>
            <w:r>
              <w:rPr>
                <w:rFonts w:hint="eastAsia"/>
                <w:vertAlign w:val="baseline"/>
                <w:lang w:val="en-US" w:eastAsia="zh-CN"/>
              </w:rPr>
              <w:t>120型</w:t>
            </w:r>
          </w:p>
        </w:tc>
        <w:tc>
          <w:tcPr>
            <w:tcW w:w="2916" w:type="dxa"/>
          </w:tcPr>
          <w:p>
            <w:pPr>
              <w:jc w:val="center"/>
              <w:rPr>
                <w:rFonts w:hint="eastAsia"/>
                <w:vertAlign w:val="baseline"/>
                <w:lang w:eastAsia="zh-CN"/>
              </w:rPr>
            </w:pPr>
            <w:r>
              <w:rPr>
                <w:rFonts w:hint="eastAsia"/>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tcPr>
          <w:p>
            <w:pPr>
              <w:jc w:val="center"/>
              <w:rPr>
                <w:rFonts w:hint="eastAsia"/>
                <w:vertAlign w:val="baseline"/>
                <w:lang w:val="en-US" w:eastAsia="zh-CN"/>
              </w:rPr>
            </w:pPr>
            <w:r>
              <w:rPr>
                <w:rFonts w:hint="eastAsia"/>
                <w:vertAlign w:val="baseline"/>
                <w:lang w:val="en-US" w:eastAsia="zh-CN"/>
              </w:rPr>
              <w:t>7</w:t>
            </w:r>
          </w:p>
        </w:tc>
        <w:tc>
          <w:tcPr>
            <w:tcW w:w="2578" w:type="dxa"/>
          </w:tcPr>
          <w:p>
            <w:pPr>
              <w:jc w:val="center"/>
              <w:rPr>
                <w:rFonts w:hint="eastAsia"/>
                <w:vertAlign w:val="baseline"/>
                <w:lang w:eastAsia="zh-CN"/>
              </w:rPr>
            </w:pPr>
            <w:r>
              <w:rPr>
                <w:rFonts w:hint="eastAsia"/>
                <w:vertAlign w:val="baseline"/>
                <w:lang w:eastAsia="zh-CN"/>
              </w:rPr>
              <w:t>供煤机</w:t>
            </w:r>
          </w:p>
        </w:tc>
        <w:tc>
          <w:tcPr>
            <w:tcW w:w="2682" w:type="dxa"/>
          </w:tcPr>
          <w:p>
            <w:pPr>
              <w:jc w:val="center"/>
              <w:rPr>
                <w:rFonts w:hint="eastAsia"/>
                <w:vertAlign w:val="baseline"/>
                <w:lang w:val="en-US" w:eastAsia="zh-CN"/>
              </w:rPr>
            </w:pPr>
            <w:r>
              <w:rPr>
                <w:rFonts w:hint="eastAsia"/>
                <w:vertAlign w:val="baseline"/>
                <w:lang w:val="en-US" w:eastAsia="zh-CN"/>
              </w:rPr>
              <w:t>/</w:t>
            </w:r>
          </w:p>
        </w:tc>
        <w:tc>
          <w:tcPr>
            <w:tcW w:w="2916" w:type="dxa"/>
          </w:tcPr>
          <w:p>
            <w:pPr>
              <w:jc w:val="center"/>
              <w:rPr>
                <w:rFonts w:hint="eastAsia"/>
                <w:vertAlign w:val="baseline"/>
                <w:lang w:eastAsia="zh-CN"/>
              </w:rPr>
            </w:pPr>
            <w:r>
              <w:rPr>
                <w:rFonts w:hint="eastAsia"/>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tcPr>
          <w:p>
            <w:pPr>
              <w:jc w:val="center"/>
              <w:rPr>
                <w:rFonts w:hint="eastAsia"/>
                <w:vertAlign w:val="baseline"/>
                <w:lang w:val="en-US" w:eastAsia="zh-CN"/>
              </w:rPr>
            </w:pPr>
            <w:r>
              <w:rPr>
                <w:rFonts w:hint="eastAsia"/>
                <w:vertAlign w:val="baseline"/>
                <w:lang w:val="en-US" w:eastAsia="zh-CN"/>
              </w:rPr>
              <w:t>8</w:t>
            </w:r>
          </w:p>
        </w:tc>
        <w:tc>
          <w:tcPr>
            <w:tcW w:w="2578" w:type="dxa"/>
          </w:tcPr>
          <w:p>
            <w:pPr>
              <w:jc w:val="center"/>
              <w:rPr>
                <w:rFonts w:hint="eastAsia"/>
                <w:vertAlign w:val="baseline"/>
                <w:lang w:eastAsia="zh-CN"/>
              </w:rPr>
            </w:pPr>
            <w:r>
              <w:rPr>
                <w:rFonts w:hint="eastAsia"/>
                <w:vertAlign w:val="baseline"/>
                <w:lang w:eastAsia="zh-CN"/>
              </w:rPr>
              <w:t>自动切条机</w:t>
            </w:r>
          </w:p>
        </w:tc>
        <w:tc>
          <w:tcPr>
            <w:tcW w:w="2682" w:type="dxa"/>
          </w:tcPr>
          <w:p>
            <w:pPr>
              <w:jc w:val="center"/>
              <w:rPr>
                <w:rFonts w:hint="eastAsia"/>
                <w:vertAlign w:val="baseline"/>
                <w:lang w:val="en-US" w:eastAsia="zh-CN"/>
              </w:rPr>
            </w:pPr>
            <w:r>
              <w:rPr>
                <w:rFonts w:hint="eastAsia"/>
                <w:vertAlign w:val="baseline"/>
                <w:lang w:val="en-US" w:eastAsia="zh-CN"/>
              </w:rPr>
              <w:t>36*9</w:t>
            </w:r>
          </w:p>
        </w:tc>
        <w:tc>
          <w:tcPr>
            <w:tcW w:w="2916" w:type="dxa"/>
          </w:tcPr>
          <w:p>
            <w:pPr>
              <w:jc w:val="center"/>
              <w:rPr>
                <w:rFonts w:hint="eastAsia"/>
                <w:vertAlign w:val="baseline"/>
                <w:lang w:eastAsia="zh-CN"/>
              </w:rPr>
            </w:pPr>
            <w:r>
              <w:rPr>
                <w:rFonts w:hint="eastAsia"/>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tcPr>
          <w:p>
            <w:pPr>
              <w:jc w:val="center"/>
              <w:rPr>
                <w:rFonts w:hint="eastAsia"/>
                <w:vertAlign w:val="baseline"/>
                <w:lang w:val="en-US" w:eastAsia="zh-CN"/>
              </w:rPr>
            </w:pPr>
            <w:r>
              <w:rPr>
                <w:rFonts w:hint="eastAsia"/>
                <w:vertAlign w:val="baseline"/>
                <w:lang w:val="en-US" w:eastAsia="zh-CN"/>
              </w:rPr>
              <w:t>9</w:t>
            </w:r>
          </w:p>
        </w:tc>
        <w:tc>
          <w:tcPr>
            <w:tcW w:w="2578" w:type="dxa"/>
          </w:tcPr>
          <w:p>
            <w:pPr>
              <w:jc w:val="center"/>
              <w:rPr>
                <w:rFonts w:hint="eastAsia"/>
                <w:vertAlign w:val="baseline"/>
                <w:lang w:eastAsia="zh-CN"/>
              </w:rPr>
            </w:pPr>
            <w:r>
              <w:rPr>
                <w:rFonts w:hint="eastAsia"/>
                <w:vertAlign w:val="baseline"/>
                <w:lang w:eastAsia="zh-CN"/>
              </w:rPr>
              <w:t>切坯机</w:t>
            </w:r>
          </w:p>
        </w:tc>
        <w:tc>
          <w:tcPr>
            <w:tcW w:w="2682" w:type="dxa"/>
          </w:tcPr>
          <w:p>
            <w:pPr>
              <w:jc w:val="center"/>
              <w:rPr>
                <w:rFonts w:hint="eastAsia"/>
                <w:vertAlign w:val="baseline"/>
                <w:lang w:val="en-US" w:eastAsia="zh-CN"/>
              </w:rPr>
            </w:pPr>
            <w:r>
              <w:rPr>
                <w:rFonts w:hint="eastAsia"/>
                <w:vertAlign w:val="baseline"/>
                <w:lang w:val="en-US" w:eastAsia="zh-CN"/>
              </w:rPr>
              <w:t>/</w:t>
            </w:r>
          </w:p>
        </w:tc>
        <w:tc>
          <w:tcPr>
            <w:tcW w:w="2916" w:type="dxa"/>
          </w:tcPr>
          <w:p>
            <w:pPr>
              <w:jc w:val="center"/>
              <w:rPr>
                <w:rFonts w:hint="eastAsia"/>
                <w:vertAlign w:val="baseline"/>
                <w:lang w:eastAsia="zh-CN"/>
              </w:rPr>
            </w:pPr>
            <w:r>
              <w:rPr>
                <w:rFonts w:hint="eastAsia"/>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tcPr>
          <w:p>
            <w:pPr>
              <w:jc w:val="center"/>
              <w:rPr>
                <w:rFonts w:hint="eastAsia"/>
                <w:vertAlign w:val="baseline"/>
                <w:lang w:val="en-US" w:eastAsia="zh-CN"/>
              </w:rPr>
            </w:pPr>
            <w:r>
              <w:rPr>
                <w:rFonts w:hint="eastAsia"/>
                <w:vertAlign w:val="baseline"/>
                <w:lang w:val="en-US" w:eastAsia="zh-CN"/>
              </w:rPr>
              <w:t>10</w:t>
            </w:r>
          </w:p>
        </w:tc>
        <w:tc>
          <w:tcPr>
            <w:tcW w:w="2578" w:type="dxa"/>
          </w:tcPr>
          <w:p>
            <w:pPr>
              <w:jc w:val="center"/>
              <w:rPr>
                <w:rFonts w:hint="eastAsia"/>
                <w:vertAlign w:val="baseline"/>
                <w:lang w:eastAsia="zh-CN"/>
              </w:rPr>
            </w:pPr>
            <w:r>
              <w:rPr>
                <w:rFonts w:hint="eastAsia"/>
                <w:vertAlign w:val="baseline"/>
                <w:lang w:eastAsia="zh-CN"/>
              </w:rPr>
              <w:t>小平车</w:t>
            </w:r>
          </w:p>
        </w:tc>
        <w:tc>
          <w:tcPr>
            <w:tcW w:w="2682" w:type="dxa"/>
          </w:tcPr>
          <w:p>
            <w:pPr>
              <w:jc w:val="center"/>
              <w:rPr>
                <w:rFonts w:hint="eastAsia"/>
                <w:vertAlign w:val="baseline"/>
                <w:lang w:val="en-US" w:eastAsia="zh-CN"/>
              </w:rPr>
            </w:pPr>
            <w:r>
              <w:rPr>
                <w:rFonts w:hint="eastAsia"/>
                <w:vertAlign w:val="baseline"/>
                <w:lang w:val="en-US" w:eastAsia="zh-CN"/>
              </w:rPr>
              <w:t>/</w:t>
            </w:r>
          </w:p>
        </w:tc>
        <w:tc>
          <w:tcPr>
            <w:tcW w:w="2916" w:type="dxa"/>
          </w:tcPr>
          <w:p>
            <w:pPr>
              <w:jc w:val="center"/>
              <w:rPr>
                <w:rFonts w:hint="eastAsia"/>
                <w:vertAlign w:val="baseline"/>
                <w:lang w:val="en-US" w:eastAsia="zh-CN"/>
              </w:rPr>
            </w:pPr>
            <w:r>
              <w:rPr>
                <w:rFonts w:hint="eastAsia"/>
                <w:vertAlign w:val="baseline"/>
                <w:lang w:val="en-US" w:eastAsia="zh-CN"/>
              </w:rPr>
              <w:t>800台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tcPr>
          <w:p>
            <w:pPr>
              <w:jc w:val="center"/>
              <w:rPr>
                <w:rFonts w:hint="eastAsia"/>
                <w:vertAlign w:val="baseline"/>
                <w:lang w:val="en-US" w:eastAsia="zh-CN"/>
              </w:rPr>
            </w:pPr>
            <w:r>
              <w:rPr>
                <w:rFonts w:hint="eastAsia"/>
                <w:vertAlign w:val="baseline"/>
                <w:lang w:val="en-US" w:eastAsia="zh-CN"/>
              </w:rPr>
              <w:t>11</w:t>
            </w:r>
          </w:p>
        </w:tc>
        <w:tc>
          <w:tcPr>
            <w:tcW w:w="2578" w:type="dxa"/>
          </w:tcPr>
          <w:p>
            <w:pPr>
              <w:jc w:val="center"/>
              <w:rPr>
                <w:rFonts w:hint="eastAsia"/>
                <w:vertAlign w:val="baseline"/>
                <w:lang w:eastAsia="zh-CN"/>
              </w:rPr>
            </w:pPr>
            <w:r>
              <w:rPr>
                <w:rFonts w:hint="eastAsia"/>
                <w:vertAlign w:val="baseline"/>
                <w:lang w:eastAsia="zh-CN"/>
              </w:rPr>
              <w:t>电动车</w:t>
            </w:r>
          </w:p>
        </w:tc>
        <w:tc>
          <w:tcPr>
            <w:tcW w:w="2682" w:type="dxa"/>
          </w:tcPr>
          <w:p>
            <w:pPr>
              <w:jc w:val="center"/>
              <w:rPr>
                <w:rFonts w:hint="eastAsia"/>
                <w:vertAlign w:val="baseline"/>
                <w:lang w:val="en-US" w:eastAsia="zh-CN"/>
              </w:rPr>
            </w:pPr>
            <w:r>
              <w:rPr>
                <w:rFonts w:hint="eastAsia"/>
                <w:vertAlign w:val="baseline"/>
                <w:lang w:val="en-US" w:eastAsia="zh-CN"/>
              </w:rPr>
              <w:t>/</w:t>
            </w:r>
          </w:p>
        </w:tc>
        <w:tc>
          <w:tcPr>
            <w:tcW w:w="2916" w:type="dxa"/>
          </w:tcPr>
          <w:p>
            <w:pPr>
              <w:jc w:val="center"/>
              <w:rPr>
                <w:rFonts w:hint="eastAsia"/>
                <w:vertAlign w:val="baseline"/>
                <w:lang w:val="en-US" w:eastAsia="zh-CN"/>
              </w:rPr>
            </w:pPr>
            <w:r>
              <w:rPr>
                <w:rFonts w:hint="eastAsia"/>
                <w:vertAlign w:val="baseline"/>
                <w:lang w:val="en-US" w:eastAsia="zh-CN"/>
              </w:rPr>
              <w:t>30台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tcPr>
          <w:p>
            <w:pPr>
              <w:jc w:val="center"/>
              <w:rPr>
                <w:rFonts w:hint="eastAsia"/>
                <w:vertAlign w:val="baseline"/>
                <w:lang w:val="en-US" w:eastAsia="zh-CN"/>
              </w:rPr>
            </w:pPr>
            <w:r>
              <w:rPr>
                <w:rFonts w:hint="eastAsia"/>
                <w:vertAlign w:val="baseline"/>
                <w:lang w:val="en-US" w:eastAsia="zh-CN"/>
              </w:rPr>
              <w:t>12</w:t>
            </w:r>
          </w:p>
        </w:tc>
        <w:tc>
          <w:tcPr>
            <w:tcW w:w="2578" w:type="dxa"/>
          </w:tcPr>
          <w:p>
            <w:pPr>
              <w:jc w:val="center"/>
              <w:rPr>
                <w:rFonts w:hint="eastAsia"/>
                <w:vertAlign w:val="baseline"/>
                <w:lang w:eastAsia="zh-CN"/>
              </w:rPr>
            </w:pPr>
            <w:r>
              <w:rPr>
                <w:rFonts w:hint="eastAsia"/>
                <w:vertAlign w:val="baseline"/>
                <w:lang w:eastAsia="zh-CN"/>
              </w:rPr>
              <w:t>风机</w:t>
            </w:r>
          </w:p>
        </w:tc>
        <w:tc>
          <w:tcPr>
            <w:tcW w:w="2682" w:type="dxa"/>
          </w:tcPr>
          <w:p>
            <w:pPr>
              <w:jc w:val="center"/>
              <w:rPr>
                <w:rFonts w:hint="eastAsia"/>
                <w:vertAlign w:val="baseline"/>
                <w:lang w:val="en-US" w:eastAsia="zh-CN"/>
              </w:rPr>
            </w:pPr>
            <w:r>
              <w:rPr>
                <w:rFonts w:hint="eastAsia"/>
                <w:vertAlign w:val="baseline"/>
                <w:lang w:eastAsia="zh-CN"/>
              </w:rPr>
              <w:t>直径</w:t>
            </w:r>
            <w:r>
              <w:rPr>
                <w:rFonts w:hint="eastAsia"/>
                <w:vertAlign w:val="baseline"/>
                <w:lang w:val="en-US" w:eastAsia="zh-CN"/>
              </w:rPr>
              <w:t>1.4m</w:t>
            </w:r>
          </w:p>
        </w:tc>
        <w:tc>
          <w:tcPr>
            <w:tcW w:w="2916" w:type="dxa"/>
          </w:tcPr>
          <w:p>
            <w:pPr>
              <w:jc w:val="center"/>
              <w:rPr>
                <w:rFonts w:hint="eastAsia"/>
                <w:vertAlign w:val="baseline"/>
                <w:lang w:val="en-US" w:eastAsia="zh-CN"/>
              </w:rPr>
            </w:pPr>
            <w:r>
              <w:rPr>
                <w:rFonts w:hint="eastAsia"/>
                <w:vertAlign w:val="baseline"/>
                <w:lang w:val="en-US" w:eastAsia="zh-CN"/>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tcPr>
          <w:p>
            <w:pPr>
              <w:jc w:val="center"/>
              <w:rPr>
                <w:rFonts w:hint="eastAsia"/>
                <w:vertAlign w:val="baseline"/>
                <w:lang w:val="en-US" w:eastAsia="zh-CN"/>
              </w:rPr>
            </w:pPr>
            <w:r>
              <w:rPr>
                <w:rFonts w:hint="eastAsia"/>
                <w:vertAlign w:val="baseline"/>
                <w:lang w:val="en-US" w:eastAsia="zh-CN"/>
              </w:rPr>
              <w:t>13</w:t>
            </w:r>
          </w:p>
        </w:tc>
        <w:tc>
          <w:tcPr>
            <w:tcW w:w="2578" w:type="dxa"/>
          </w:tcPr>
          <w:p>
            <w:pPr>
              <w:jc w:val="center"/>
              <w:rPr>
                <w:rFonts w:hint="eastAsia"/>
                <w:vertAlign w:val="baseline"/>
                <w:lang w:eastAsia="zh-CN"/>
              </w:rPr>
            </w:pPr>
            <w:r>
              <w:rPr>
                <w:rFonts w:hint="eastAsia"/>
                <w:vertAlign w:val="baseline"/>
                <w:lang w:eastAsia="zh-CN"/>
              </w:rPr>
              <w:t>除尘器</w:t>
            </w:r>
          </w:p>
        </w:tc>
        <w:tc>
          <w:tcPr>
            <w:tcW w:w="2682" w:type="dxa"/>
          </w:tcPr>
          <w:p>
            <w:pPr>
              <w:jc w:val="center"/>
              <w:rPr>
                <w:rFonts w:hint="eastAsia"/>
                <w:vertAlign w:val="baseline"/>
                <w:lang w:val="en-US" w:eastAsia="zh-CN"/>
              </w:rPr>
            </w:pPr>
            <w:r>
              <w:rPr>
                <w:rFonts w:hint="eastAsia"/>
                <w:vertAlign w:val="baseline"/>
                <w:lang w:val="en-US" w:eastAsia="zh-CN"/>
              </w:rPr>
              <w:t>/</w:t>
            </w:r>
          </w:p>
        </w:tc>
        <w:tc>
          <w:tcPr>
            <w:tcW w:w="2916" w:type="dxa"/>
          </w:tcPr>
          <w:p>
            <w:pPr>
              <w:jc w:val="center"/>
              <w:rPr>
                <w:rFonts w:hint="eastAsia"/>
                <w:vertAlign w:val="baseline"/>
                <w:lang w:eastAsia="zh-CN"/>
              </w:rPr>
            </w:pPr>
            <w:r>
              <w:rPr>
                <w:rFonts w:hint="eastAsia"/>
                <w:vertAlign w:val="baseline"/>
                <w:lang w:val="en-US" w:eastAsia="zh-CN"/>
              </w:rPr>
              <w:t>1</w:t>
            </w:r>
            <w:r>
              <w:rPr>
                <w:rFonts w:hint="eastAsia"/>
                <w:vertAlign w:val="baseline"/>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tcPr>
          <w:p>
            <w:pPr>
              <w:jc w:val="center"/>
              <w:rPr>
                <w:rFonts w:hint="eastAsia"/>
                <w:vertAlign w:val="baseline"/>
                <w:lang w:val="en-US" w:eastAsia="zh-CN"/>
              </w:rPr>
            </w:pPr>
            <w:r>
              <w:rPr>
                <w:rFonts w:hint="eastAsia"/>
                <w:vertAlign w:val="baseline"/>
                <w:lang w:val="en-US" w:eastAsia="zh-CN"/>
              </w:rPr>
              <w:t>14</w:t>
            </w:r>
          </w:p>
        </w:tc>
        <w:tc>
          <w:tcPr>
            <w:tcW w:w="2578" w:type="dxa"/>
          </w:tcPr>
          <w:p>
            <w:pPr>
              <w:jc w:val="center"/>
              <w:rPr>
                <w:rFonts w:hint="eastAsia"/>
                <w:vertAlign w:val="baseline"/>
                <w:lang w:eastAsia="zh-CN"/>
              </w:rPr>
            </w:pPr>
            <w:r>
              <w:rPr>
                <w:rFonts w:hint="eastAsia"/>
                <w:vertAlign w:val="baseline"/>
                <w:lang w:eastAsia="zh-CN"/>
              </w:rPr>
              <w:t>脱硫塔</w:t>
            </w:r>
          </w:p>
        </w:tc>
        <w:tc>
          <w:tcPr>
            <w:tcW w:w="2682" w:type="dxa"/>
          </w:tcPr>
          <w:p>
            <w:pPr>
              <w:jc w:val="center"/>
              <w:rPr>
                <w:rFonts w:hint="eastAsia"/>
                <w:vertAlign w:val="baseline"/>
                <w:lang w:val="en-US" w:eastAsia="zh-CN"/>
              </w:rPr>
            </w:pPr>
            <w:r>
              <w:rPr>
                <w:rFonts w:hint="eastAsia"/>
                <w:vertAlign w:val="baseline"/>
                <w:lang w:val="en-US" w:eastAsia="zh-CN"/>
              </w:rPr>
              <w:t>/</w:t>
            </w:r>
          </w:p>
        </w:tc>
        <w:tc>
          <w:tcPr>
            <w:tcW w:w="2916" w:type="dxa"/>
          </w:tcPr>
          <w:p>
            <w:pPr>
              <w:jc w:val="center"/>
              <w:rPr>
                <w:rFonts w:hint="eastAsia"/>
                <w:vertAlign w:val="baseline"/>
                <w:lang w:eastAsia="zh-CN"/>
              </w:rPr>
            </w:pPr>
            <w:r>
              <w:rPr>
                <w:rFonts w:hint="eastAsia"/>
                <w:vertAlign w:val="baseline"/>
                <w:lang w:val="en-US" w:eastAsia="zh-CN"/>
              </w:rPr>
              <w:t>1</w:t>
            </w:r>
            <w:r>
              <w:rPr>
                <w:rFonts w:hint="eastAsia"/>
                <w:vertAlign w:val="baseline"/>
                <w:lang w:eastAsia="zh-CN"/>
              </w:rPr>
              <w:t>套</w:t>
            </w:r>
          </w:p>
        </w:tc>
      </w:tr>
    </w:tbl>
    <w:p>
      <w:pPr>
        <w:pStyle w:val="12"/>
        <w:spacing w:line="240" w:lineRule="auto"/>
        <w:ind w:firstLine="482" w:firstLineChars="200"/>
        <w:jc w:val="center"/>
        <w:rPr>
          <w:rFonts w:hint="eastAsia" w:ascii="黑体" w:hAnsi="Courier New" w:eastAsia="黑体"/>
          <w:b/>
          <w:color w:val="auto"/>
          <w:sz w:val="24"/>
          <w:lang w:eastAsia="zh-CN"/>
        </w:rPr>
      </w:pPr>
      <w:r>
        <w:rPr>
          <w:rFonts w:hint="eastAsia" w:ascii="黑体" w:hAnsi="Courier New" w:eastAsia="黑体"/>
          <w:b/>
          <w:color w:val="auto"/>
          <w:sz w:val="24"/>
          <w:lang w:eastAsia="zh-CN"/>
        </w:rPr>
        <w:t>表</w:t>
      </w:r>
      <w:r>
        <w:rPr>
          <w:rFonts w:hint="eastAsia" w:ascii="黑体" w:hAnsi="Courier New" w:eastAsia="黑体"/>
          <w:b/>
          <w:color w:val="auto"/>
          <w:sz w:val="24"/>
          <w:lang w:val="en-US" w:eastAsia="zh-CN"/>
        </w:rPr>
        <w:t>2</w:t>
      </w:r>
      <w:r>
        <w:rPr>
          <w:rFonts w:hint="eastAsia" w:ascii="黑体" w:hAnsi="Courier New" w:eastAsia="黑体"/>
          <w:b/>
          <w:color w:val="auto"/>
          <w:sz w:val="24"/>
          <w:lang w:eastAsia="zh-CN"/>
        </w:rPr>
        <w:t>-</w:t>
      </w:r>
      <w:r>
        <w:rPr>
          <w:rFonts w:hint="eastAsia" w:ascii="黑体" w:hAnsi="Courier New" w:eastAsia="黑体"/>
          <w:b/>
          <w:color w:val="auto"/>
          <w:sz w:val="24"/>
          <w:lang w:val="en-US" w:eastAsia="zh-CN"/>
        </w:rPr>
        <w:t>2</w:t>
      </w:r>
      <w:r>
        <w:rPr>
          <w:rFonts w:hint="eastAsia" w:ascii="黑体" w:hAnsi="Courier New" w:eastAsia="黑体"/>
          <w:b/>
          <w:color w:val="auto"/>
          <w:sz w:val="24"/>
          <w:lang w:eastAsia="zh-CN"/>
        </w:rPr>
        <w:t xml:space="preserve"> 主要设备清单</w:t>
      </w:r>
    </w:p>
    <w:p>
      <w:pPr>
        <w:pStyle w:val="5"/>
        <w:spacing w:before="0" w:after="0" w:line="360" w:lineRule="auto"/>
        <w:rPr>
          <w:rFonts w:hint="eastAsia" w:ascii="宋体" w:hAnsi="宋体" w:eastAsia="宋体" w:cs="宋体"/>
          <w:color w:val="auto"/>
          <w:sz w:val="28"/>
          <w:szCs w:val="28"/>
        </w:rPr>
      </w:pPr>
      <w:bookmarkStart w:id="48" w:name="_Toc10033"/>
      <w:r>
        <w:rPr>
          <w:rFonts w:hint="eastAsia" w:ascii="宋体" w:hAnsi="宋体" w:eastAsia="宋体" w:cs="宋体"/>
          <w:color w:val="auto"/>
          <w:sz w:val="28"/>
          <w:szCs w:val="28"/>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各方应急力量有关基本情况</w:t>
      </w:r>
      <w:bookmarkEnd w:id="48"/>
    </w:p>
    <w:p>
      <w:pPr>
        <w:pStyle w:val="5"/>
        <w:spacing w:before="0" w:after="0" w:line="360" w:lineRule="auto"/>
        <w:rPr>
          <w:rFonts w:hint="eastAsia" w:ascii="宋体" w:hAnsi="宋体" w:eastAsia="宋体" w:cs="宋体"/>
          <w:color w:val="auto"/>
          <w:sz w:val="28"/>
          <w:szCs w:val="28"/>
          <w:lang w:val="zh-CN"/>
        </w:rPr>
      </w:pPr>
      <w:bookmarkStart w:id="49" w:name="_Toc18754"/>
      <w:r>
        <w:rPr>
          <w:rFonts w:hint="eastAsia" w:ascii="宋体" w:hAnsi="宋体" w:eastAsia="宋体" w:cs="宋体"/>
          <w:color w:val="auto"/>
          <w:sz w:val="28"/>
          <w:szCs w:val="28"/>
          <w:lang w:val="zh-CN"/>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.1内部应急力量</w:t>
      </w:r>
      <w:bookmarkEnd w:id="49"/>
    </w:p>
    <w:p>
      <w:pPr>
        <w:spacing w:line="360" w:lineRule="auto"/>
        <w:ind w:firstLine="560" w:firstLineChars="200"/>
        <w:rPr>
          <w:rFonts w:hint="eastAsia" w:ascii="宋体" w:hAnsi="宋体" w:cs="宋体"/>
          <w:i w:val="0"/>
          <w:iCs w:val="0"/>
          <w:color w:val="FF0000"/>
          <w:sz w:val="28"/>
          <w:szCs w:val="28"/>
        </w:rPr>
      </w:pPr>
      <w:r>
        <w:rPr>
          <w:rFonts w:hint="eastAsia" w:ascii="宋体" w:hAnsi="宋体" w:cs="宋体"/>
          <w:i w:val="0"/>
          <w:iCs w:val="0"/>
          <w:color w:val="FF0000"/>
          <w:sz w:val="28"/>
          <w:szCs w:val="28"/>
        </w:rPr>
        <w:t>公司成立有以总经理</w:t>
      </w:r>
      <w:r>
        <w:rPr>
          <w:rFonts w:hint="eastAsia" w:ascii="宋体" w:hAnsi="宋体" w:cs="宋体"/>
          <w:i w:val="0"/>
          <w:iCs w:val="0"/>
          <w:color w:val="FF0000"/>
          <w:sz w:val="28"/>
          <w:szCs w:val="28"/>
          <w:lang w:val="en-US" w:eastAsia="zh-CN"/>
        </w:rPr>
        <w:t>王顺发</w:t>
      </w:r>
      <w:r>
        <w:rPr>
          <w:rFonts w:hint="eastAsia" w:ascii="宋体" w:hAnsi="宋体" w:cs="宋体"/>
          <w:i w:val="0"/>
          <w:iCs w:val="0"/>
          <w:color w:val="FF0000"/>
          <w:sz w:val="28"/>
          <w:szCs w:val="28"/>
        </w:rPr>
        <w:t>为组长的应急抢险救援领导小组，副组长由公司</w:t>
      </w:r>
      <w:r>
        <w:rPr>
          <w:rFonts w:hint="eastAsia" w:ascii="宋体" w:hAnsi="宋体" w:eastAsia="宋体" w:cs="宋体"/>
          <w:i w:val="0"/>
          <w:iCs w:val="0"/>
          <w:color w:val="FF0000"/>
          <w:sz w:val="28"/>
          <w:szCs w:val="28"/>
          <w:lang w:eastAsia="zh-CN"/>
        </w:rPr>
        <w:t>厂长</w:t>
      </w:r>
      <w:r>
        <w:rPr>
          <w:rFonts w:hint="eastAsia" w:ascii="宋体" w:hAnsi="宋体" w:eastAsia="宋体" w:cs="宋体"/>
          <w:i w:val="0"/>
          <w:iCs w:val="0"/>
          <w:color w:val="FF0000"/>
          <w:sz w:val="28"/>
          <w:szCs w:val="28"/>
          <w:lang w:val="en-US" w:eastAsia="zh-CN"/>
        </w:rPr>
        <w:t>刘军明</w:t>
      </w:r>
      <w:r>
        <w:rPr>
          <w:rFonts w:hint="eastAsia" w:ascii="宋体" w:hAnsi="宋体" w:cs="宋体"/>
          <w:i w:val="0"/>
          <w:iCs w:val="0"/>
          <w:color w:val="FF0000"/>
          <w:sz w:val="28"/>
          <w:szCs w:val="28"/>
        </w:rPr>
        <w:t>担任。成员由其他</w:t>
      </w:r>
      <w:r>
        <w:rPr>
          <w:rFonts w:hint="eastAsia" w:ascii="宋体" w:hAnsi="宋体" w:cs="宋体"/>
          <w:i w:val="0"/>
          <w:iCs w:val="0"/>
          <w:color w:val="FF0000"/>
          <w:sz w:val="28"/>
          <w:szCs w:val="28"/>
          <w:lang w:eastAsia="zh-CN"/>
        </w:rPr>
        <w:t>现场负责人</w:t>
      </w:r>
      <w:r>
        <w:rPr>
          <w:rFonts w:hint="eastAsia" w:ascii="宋体" w:hAnsi="宋体" w:cs="宋体"/>
          <w:i w:val="0"/>
          <w:iCs w:val="0"/>
          <w:color w:val="FF0000"/>
          <w:sz w:val="28"/>
          <w:szCs w:val="28"/>
        </w:rPr>
        <w:t>、车间主管及</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成员组成。并设</w:t>
      </w:r>
      <w:r>
        <w:rPr>
          <w:rFonts w:hint="eastAsia" w:ascii="宋体" w:hAnsi="宋体" w:cs="宋体"/>
          <w:i w:val="0"/>
          <w:iCs w:val="0"/>
          <w:color w:val="FF0000"/>
          <w:sz w:val="28"/>
          <w:szCs w:val="28"/>
          <w:lang w:eastAsia="zh-CN"/>
        </w:rPr>
        <w:t>安全管理员</w:t>
      </w:r>
      <w:r>
        <w:rPr>
          <w:rFonts w:hint="eastAsia" w:ascii="宋体" w:hAnsi="宋体" w:cs="宋体"/>
          <w:i w:val="0"/>
          <w:iCs w:val="0"/>
          <w:color w:val="FF0000"/>
          <w:sz w:val="28"/>
          <w:szCs w:val="28"/>
        </w:rPr>
        <w:t>作为独立的日常安全、环保管理专职人员，应急抢险救援领导小组下设有下设抢险救援组、</w:t>
      </w:r>
      <w:r>
        <w:rPr>
          <w:rFonts w:hint="eastAsia" w:ascii="宋体" w:hAnsi="宋体" w:cs="宋体"/>
          <w:i w:val="0"/>
          <w:iCs w:val="0"/>
          <w:color w:val="FF0000"/>
          <w:sz w:val="28"/>
          <w:szCs w:val="28"/>
          <w:lang w:eastAsia="zh-CN"/>
        </w:rPr>
        <w:t>疏散联络组</w:t>
      </w:r>
      <w:r>
        <w:rPr>
          <w:rFonts w:hint="eastAsia" w:ascii="宋体" w:hAnsi="宋体" w:cs="宋体"/>
          <w:i w:val="0"/>
          <w:iCs w:val="0"/>
          <w:color w:val="FF0000"/>
          <w:sz w:val="28"/>
          <w:szCs w:val="28"/>
        </w:rPr>
        <w:t>、后勤保障组、医疗救护组</w:t>
      </w:r>
      <w:r>
        <w:rPr>
          <w:rFonts w:hint="eastAsia" w:ascii="宋体" w:hAnsi="宋体" w:eastAsia="宋体" w:cs="宋体"/>
          <w:i w:val="0"/>
          <w:iCs w:val="0"/>
          <w:color w:val="FF0000"/>
          <w:sz w:val="28"/>
          <w:szCs w:val="28"/>
          <w:lang w:eastAsia="zh-CN"/>
        </w:rPr>
        <w:t>、</w:t>
      </w:r>
      <w:r>
        <w:rPr>
          <w:rFonts w:hint="eastAsia" w:ascii="宋体" w:hAnsi="宋体" w:cs="宋体"/>
          <w:i w:val="0"/>
          <w:iCs w:val="0"/>
          <w:color w:val="FF0000"/>
          <w:sz w:val="28"/>
          <w:szCs w:val="28"/>
          <w:lang w:eastAsia="zh-CN"/>
        </w:rPr>
        <w:t>事故调查善后组、</w:t>
      </w:r>
      <w:r>
        <w:rPr>
          <w:rFonts w:hint="eastAsia" w:ascii="宋体" w:hAnsi="宋体" w:cs="宋体"/>
          <w:i w:val="0"/>
          <w:iCs w:val="0"/>
          <w:color w:val="FF0000"/>
          <w:sz w:val="28"/>
          <w:szCs w:val="28"/>
        </w:rPr>
        <w:t>负责处理应急救援事宜。领导小组办公室常设在</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，日常工作由</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主管</w:t>
      </w:r>
      <w:r>
        <w:rPr>
          <w:rFonts w:hint="eastAsia" w:ascii="宋体" w:hAnsi="宋体" w:cs="宋体"/>
          <w:i w:val="0"/>
          <w:iCs w:val="0"/>
          <w:color w:val="FF0000"/>
          <w:sz w:val="28"/>
          <w:szCs w:val="28"/>
          <w:lang w:eastAsia="zh-CN"/>
        </w:rPr>
        <w:t>负责</w:t>
      </w:r>
      <w:r>
        <w:rPr>
          <w:rFonts w:hint="eastAsia" w:ascii="宋体" w:hAnsi="宋体" w:cs="宋体"/>
          <w:i w:val="0"/>
          <w:iCs w:val="0"/>
          <w:color w:val="FF0000"/>
          <w:sz w:val="28"/>
          <w:szCs w:val="28"/>
        </w:rPr>
        <w:t>。其它下设的各小组组长由公司指派部门负责人担任。重大事故发生时，由总经理任应急领导组长，领导小组副组长任副应急领导组长，负责组织和指挥应急抢险救护工作。应急领导小组一般设在</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。如果应急领导组长或副组长均不在公司时，则由在公司</w:t>
      </w:r>
      <w:r>
        <w:rPr>
          <w:rFonts w:hint="eastAsia" w:ascii="宋体" w:hAnsi="宋体" w:cs="宋体"/>
          <w:i w:val="0"/>
          <w:iCs w:val="0"/>
          <w:color w:val="FF0000"/>
          <w:sz w:val="28"/>
          <w:szCs w:val="28"/>
          <w:lang w:eastAsia="zh-CN"/>
        </w:rPr>
        <w:t>厂长</w:t>
      </w:r>
      <w:r>
        <w:rPr>
          <w:rFonts w:hint="eastAsia" w:ascii="宋体" w:hAnsi="宋体" w:cs="宋体"/>
          <w:i w:val="0"/>
          <w:iCs w:val="0"/>
          <w:color w:val="FF0000"/>
          <w:sz w:val="28"/>
          <w:szCs w:val="28"/>
        </w:rPr>
        <w:t>与</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负责人为临时应急领导组长，全权负责应急抢险及救护工作。</w:t>
      </w:r>
    </w:p>
    <w:p>
      <w:pPr>
        <w:pStyle w:val="5"/>
        <w:spacing w:before="0" w:after="0" w:line="360" w:lineRule="auto"/>
        <w:rPr>
          <w:rFonts w:hint="eastAsia" w:ascii="宋体" w:hAnsi="宋体" w:eastAsia="宋体" w:cs="宋体"/>
          <w:color w:val="auto"/>
          <w:sz w:val="28"/>
          <w:szCs w:val="28"/>
          <w:lang w:val="zh-CN"/>
        </w:rPr>
      </w:pPr>
      <w:bookmarkStart w:id="50" w:name="_Toc20117"/>
      <w:r>
        <w:rPr>
          <w:rFonts w:hint="eastAsia" w:ascii="宋体" w:hAnsi="宋体" w:eastAsia="宋体" w:cs="宋体"/>
          <w:color w:val="auto"/>
          <w:sz w:val="28"/>
          <w:szCs w:val="28"/>
          <w:lang w:val="zh-CN"/>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外部应急力量</w:t>
      </w:r>
      <w:bookmarkEnd w:id="50"/>
    </w:p>
    <w:p>
      <w:pPr>
        <w:spacing w:line="360" w:lineRule="auto"/>
        <w:ind w:firstLine="560" w:firstLineChars="200"/>
        <w:rPr>
          <w:rFonts w:hint="eastAsia" w:ascii="宋体" w:hAnsi="宋体" w:cs="宋体"/>
          <w:i w:val="0"/>
          <w:iCs w:val="0"/>
          <w:color w:val="auto"/>
          <w:sz w:val="28"/>
          <w:szCs w:val="28"/>
        </w:rPr>
      </w:pPr>
      <w:r>
        <w:rPr>
          <w:rFonts w:hint="eastAsia" w:ascii="宋体" w:hAnsi="宋体" w:cs="宋体"/>
          <w:i w:val="0"/>
          <w:iCs w:val="0"/>
          <w:color w:val="auto"/>
          <w:sz w:val="28"/>
          <w:szCs w:val="28"/>
        </w:rPr>
        <w:t>公司能借用的外部力量包括</w:t>
      </w:r>
      <w:r>
        <w:rPr>
          <w:rFonts w:hint="eastAsia" w:ascii="宋体" w:hAnsi="宋体" w:cs="宋体"/>
          <w:i w:val="0"/>
          <w:iCs w:val="0"/>
          <w:color w:val="auto"/>
          <w:sz w:val="28"/>
          <w:szCs w:val="28"/>
          <w:lang w:eastAsia="zh-CN"/>
        </w:rPr>
        <w:t>仪陇县</w:t>
      </w:r>
      <w:r>
        <w:rPr>
          <w:rFonts w:hint="eastAsia" w:ascii="宋体" w:hAnsi="宋体" w:cs="宋体"/>
          <w:i w:val="0"/>
          <w:iCs w:val="0"/>
          <w:color w:val="auto"/>
          <w:sz w:val="28"/>
          <w:szCs w:val="28"/>
        </w:rPr>
        <w:t>人民政府、</w:t>
      </w:r>
      <w:r>
        <w:rPr>
          <w:rFonts w:hint="eastAsia" w:ascii="宋体" w:hAnsi="宋体" w:cs="宋体"/>
          <w:i w:val="0"/>
          <w:iCs w:val="0"/>
          <w:color w:val="auto"/>
          <w:sz w:val="28"/>
          <w:szCs w:val="28"/>
          <w:lang w:eastAsia="zh-CN"/>
        </w:rPr>
        <w:t>仪陇县</w:t>
      </w:r>
      <w:r>
        <w:rPr>
          <w:rFonts w:hint="eastAsia" w:ascii="宋体" w:hAnsi="宋体" w:cs="宋体"/>
          <w:i w:val="0"/>
          <w:iCs w:val="0"/>
          <w:color w:val="auto"/>
          <w:sz w:val="28"/>
          <w:szCs w:val="28"/>
        </w:rPr>
        <w:t>应急管理局、</w:t>
      </w:r>
      <w:r>
        <w:rPr>
          <w:rFonts w:hint="eastAsia" w:ascii="宋体" w:hAnsi="宋体" w:cs="宋体"/>
          <w:i w:val="0"/>
          <w:iCs w:val="0"/>
          <w:color w:val="auto"/>
          <w:sz w:val="28"/>
          <w:szCs w:val="28"/>
          <w:lang w:eastAsia="zh-CN"/>
        </w:rPr>
        <w:t>仪陇县消防救援局</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仪陇县义路镇</w:t>
      </w:r>
      <w:r>
        <w:rPr>
          <w:rFonts w:hint="eastAsia" w:ascii="宋体" w:hAnsi="宋体" w:cs="宋体"/>
          <w:i w:val="0"/>
          <w:iCs w:val="0"/>
          <w:color w:val="auto"/>
          <w:sz w:val="28"/>
          <w:szCs w:val="28"/>
          <w:lang w:val="zh-CN" w:eastAsia="zh-CN"/>
        </w:rPr>
        <w:t>政府</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仪陇县义路镇卫生院</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仪陇县人民医院</w:t>
      </w:r>
      <w:r>
        <w:rPr>
          <w:rFonts w:hint="eastAsia" w:ascii="宋体" w:hAnsi="宋体" w:cs="宋体"/>
          <w:i w:val="0"/>
          <w:iCs w:val="0"/>
          <w:color w:val="auto"/>
          <w:sz w:val="28"/>
          <w:szCs w:val="28"/>
        </w:rPr>
        <w:t>以及周边企业应急救援物质。</w:t>
      </w:r>
    </w:p>
    <w:p>
      <w:pPr>
        <w:spacing w:line="360" w:lineRule="auto"/>
        <w:ind w:firstLine="560" w:firstLineChars="200"/>
        <w:rPr>
          <w:rFonts w:hint="eastAsia" w:ascii="宋体" w:hAnsi="宋体" w:cs="宋体"/>
          <w:i w:val="0"/>
          <w:iCs w:val="0"/>
          <w:color w:val="FF0000"/>
          <w:sz w:val="28"/>
          <w:szCs w:val="28"/>
        </w:rPr>
      </w:pPr>
      <w:r>
        <w:rPr>
          <w:rFonts w:hint="eastAsia" w:ascii="宋体" w:hAnsi="宋体" w:cs="宋体"/>
          <w:i w:val="0"/>
          <w:iCs w:val="0"/>
          <w:color w:val="FF0000"/>
          <w:sz w:val="28"/>
          <w:szCs w:val="28"/>
          <w:lang w:eastAsia="zh-CN"/>
        </w:rPr>
        <w:t>仪陇县义路镇卫生院</w:t>
      </w:r>
      <w:r>
        <w:rPr>
          <w:rFonts w:hint="eastAsia" w:ascii="宋体" w:hAnsi="宋体" w:cs="宋体"/>
          <w:i w:val="0"/>
          <w:iCs w:val="0"/>
          <w:color w:val="FF0000"/>
          <w:sz w:val="28"/>
          <w:szCs w:val="28"/>
        </w:rPr>
        <w:t>距企业距离约</w:t>
      </w:r>
      <w:r>
        <w:rPr>
          <w:rFonts w:hint="eastAsia" w:ascii="宋体" w:hAnsi="宋体" w:eastAsia="宋体" w:cs="宋体"/>
          <w:i w:val="0"/>
          <w:iCs w:val="0"/>
          <w:color w:val="FF0000"/>
          <w:sz w:val="28"/>
          <w:szCs w:val="28"/>
          <w:lang w:val="en-US" w:eastAsia="zh-CN"/>
        </w:rPr>
        <w:t>2.6</w:t>
      </w:r>
      <w:r>
        <w:rPr>
          <w:rFonts w:hint="eastAsia" w:ascii="宋体" w:hAnsi="宋体" w:cs="宋体"/>
          <w:i w:val="0"/>
          <w:iCs w:val="0"/>
          <w:color w:val="FF0000"/>
          <w:sz w:val="28"/>
          <w:szCs w:val="28"/>
        </w:rPr>
        <w:t>km，发生事故时</w:t>
      </w:r>
      <w:r>
        <w:rPr>
          <w:rFonts w:hint="eastAsia" w:ascii="宋体" w:hAnsi="宋体" w:eastAsia="宋体" w:cs="宋体"/>
          <w:i w:val="0"/>
          <w:iCs w:val="0"/>
          <w:color w:val="FF0000"/>
          <w:sz w:val="28"/>
          <w:szCs w:val="28"/>
          <w:lang w:val="en-US" w:eastAsia="zh-CN"/>
        </w:rPr>
        <w:t>5</w:t>
      </w:r>
      <w:r>
        <w:rPr>
          <w:rFonts w:hint="eastAsia" w:ascii="宋体" w:hAnsi="宋体" w:cs="宋体"/>
          <w:i w:val="0"/>
          <w:iCs w:val="0"/>
          <w:color w:val="FF0000"/>
          <w:sz w:val="28"/>
          <w:szCs w:val="28"/>
        </w:rPr>
        <w:t>分钟内能到达现场</w:t>
      </w:r>
      <w:r>
        <w:rPr>
          <w:rFonts w:hint="eastAsia" w:ascii="宋体" w:hAnsi="宋体" w:eastAsia="宋体" w:cs="宋体"/>
          <w:i w:val="0"/>
          <w:iCs w:val="0"/>
          <w:color w:val="FF0000"/>
          <w:sz w:val="28"/>
          <w:szCs w:val="28"/>
          <w:lang w:eastAsia="zh-CN"/>
        </w:rPr>
        <w:t>；</w:t>
      </w:r>
      <w:r>
        <w:rPr>
          <w:rFonts w:hint="eastAsia" w:ascii="宋体" w:hAnsi="宋体" w:cs="宋体"/>
          <w:i w:val="0"/>
          <w:iCs w:val="0"/>
          <w:color w:val="FF0000"/>
          <w:sz w:val="28"/>
          <w:szCs w:val="28"/>
          <w:lang w:eastAsia="zh-CN"/>
        </w:rPr>
        <w:t>仪陇县人民医院（金城）</w:t>
      </w:r>
      <w:r>
        <w:rPr>
          <w:rFonts w:hint="eastAsia" w:ascii="宋体" w:hAnsi="宋体" w:cs="宋体"/>
          <w:i w:val="0"/>
          <w:iCs w:val="0"/>
          <w:color w:val="FF0000"/>
          <w:sz w:val="28"/>
          <w:szCs w:val="28"/>
        </w:rPr>
        <w:t>距企业距离约</w:t>
      </w:r>
      <w:r>
        <w:rPr>
          <w:rFonts w:hint="eastAsia" w:ascii="宋体" w:hAnsi="宋体" w:eastAsia="宋体" w:cs="宋体"/>
          <w:i w:val="0"/>
          <w:iCs w:val="0"/>
          <w:color w:val="FF0000"/>
          <w:sz w:val="28"/>
          <w:szCs w:val="28"/>
          <w:lang w:val="en-US" w:eastAsia="zh-CN"/>
        </w:rPr>
        <w:t>47</w:t>
      </w:r>
      <w:r>
        <w:rPr>
          <w:rFonts w:hint="eastAsia" w:ascii="宋体" w:hAnsi="宋体" w:cs="宋体"/>
          <w:i w:val="0"/>
          <w:iCs w:val="0"/>
          <w:color w:val="FF0000"/>
          <w:sz w:val="28"/>
          <w:szCs w:val="28"/>
        </w:rPr>
        <w:t>km，发生事故时</w:t>
      </w:r>
      <w:r>
        <w:rPr>
          <w:rFonts w:hint="eastAsia" w:ascii="宋体" w:hAnsi="宋体" w:eastAsia="宋体" w:cs="宋体"/>
          <w:i w:val="0"/>
          <w:iCs w:val="0"/>
          <w:color w:val="FF0000"/>
          <w:sz w:val="28"/>
          <w:szCs w:val="28"/>
          <w:lang w:val="en-US" w:eastAsia="zh-CN"/>
        </w:rPr>
        <w:t>1.5小时</w:t>
      </w:r>
      <w:r>
        <w:rPr>
          <w:rFonts w:hint="eastAsia" w:ascii="宋体" w:hAnsi="宋体" w:cs="宋体"/>
          <w:i w:val="0"/>
          <w:iCs w:val="0"/>
          <w:color w:val="FF0000"/>
          <w:sz w:val="28"/>
          <w:szCs w:val="28"/>
        </w:rPr>
        <w:t>内能到达现场。</w:t>
      </w:r>
      <w:r>
        <w:rPr>
          <w:rFonts w:hint="eastAsia" w:ascii="宋体" w:hAnsi="宋体" w:cs="宋体"/>
          <w:i w:val="0"/>
          <w:iCs w:val="0"/>
          <w:color w:val="FF0000"/>
          <w:sz w:val="28"/>
          <w:szCs w:val="28"/>
          <w:lang w:eastAsia="zh-CN"/>
        </w:rPr>
        <w:t>仪陇县人民医院</w:t>
      </w:r>
      <w:r>
        <w:rPr>
          <w:rFonts w:hint="eastAsia" w:ascii="宋体" w:hAnsi="宋体" w:cs="宋体"/>
          <w:i w:val="0"/>
          <w:iCs w:val="0"/>
          <w:color w:val="FF0000"/>
          <w:sz w:val="28"/>
          <w:szCs w:val="28"/>
        </w:rPr>
        <w:t>距企业距离约</w:t>
      </w:r>
      <w:r>
        <w:rPr>
          <w:rFonts w:hint="eastAsia" w:ascii="宋体" w:hAnsi="宋体" w:eastAsia="宋体" w:cs="宋体"/>
          <w:i w:val="0"/>
          <w:iCs w:val="0"/>
          <w:color w:val="FF0000"/>
          <w:sz w:val="28"/>
          <w:szCs w:val="28"/>
          <w:lang w:val="en-US" w:eastAsia="zh-CN"/>
        </w:rPr>
        <w:t>65</w:t>
      </w:r>
      <w:r>
        <w:rPr>
          <w:rFonts w:hint="eastAsia" w:ascii="宋体" w:hAnsi="宋体" w:cs="宋体"/>
          <w:i w:val="0"/>
          <w:iCs w:val="0"/>
          <w:color w:val="FF0000"/>
          <w:sz w:val="28"/>
          <w:szCs w:val="28"/>
        </w:rPr>
        <w:t>km，发生事故时</w:t>
      </w:r>
      <w:r>
        <w:rPr>
          <w:rFonts w:hint="eastAsia" w:ascii="宋体" w:hAnsi="宋体" w:eastAsia="宋体" w:cs="宋体"/>
          <w:i w:val="0"/>
          <w:iCs w:val="0"/>
          <w:color w:val="FF0000"/>
          <w:sz w:val="28"/>
          <w:szCs w:val="28"/>
          <w:lang w:val="en-US" w:eastAsia="zh-CN"/>
        </w:rPr>
        <w:t>1小时40分钟</w:t>
      </w:r>
      <w:r>
        <w:rPr>
          <w:rFonts w:hint="eastAsia" w:ascii="宋体" w:hAnsi="宋体" w:cs="宋体"/>
          <w:i w:val="0"/>
          <w:iCs w:val="0"/>
          <w:color w:val="FF0000"/>
          <w:sz w:val="28"/>
          <w:szCs w:val="28"/>
        </w:rPr>
        <w:t>内能到达现场。</w:t>
      </w:r>
    </w:p>
    <w:p>
      <w:pPr>
        <w:spacing w:line="360" w:lineRule="auto"/>
        <w:ind w:firstLine="560" w:firstLineChars="200"/>
        <w:rPr>
          <w:rFonts w:hint="eastAsia" w:ascii="宋体" w:hAnsi="宋体" w:cs="宋体"/>
          <w:i w:val="0"/>
          <w:iCs w:val="0"/>
          <w:color w:val="FF0000"/>
          <w:sz w:val="28"/>
          <w:szCs w:val="28"/>
          <w:lang w:eastAsia="zh-CN"/>
        </w:rPr>
      </w:pPr>
      <w:r>
        <w:rPr>
          <w:rFonts w:hint="eastAsia" w:ascii="宋体" w:hAnsi="宋体" w:cs="宋体"/>
          <w:i w:val="0"/>
          <w:iCs w:val="0"/>
          <w:color w:val="FF0000"/>
          <w:sz w:val="28"/>
          <w:szCs w:val="28"/>
          <w:lang w:eastAsia="zh-CN"/>
        </w:rPr>
        <w:t>仪陇县义路镇</w:t>
      </w:r>
      <w:r>
        <w:rPr>
          <w:rFonts w:hint="eastAsia" w:ascii="宋体" w:hAnsi="宋体" w:cs="宋体"/>
          <w:i w:val="0"/>
          <w:iCs w:val="0"/>
          <w:color w:val="FF0000"/>
          <w:sz w:val="28"/>
          <w:szCs w:val="28"/>
          <w:lang w:val="zh-CN" w:eastAsia="zh-CN"/>
        </w:rPr>
        <w:t>政府</w:t>
      </w:r>
      <w:r>
        <w:rPr>
          <w:rFonts w:hint="eastAsia" w:ascii="宋体" w:hAnsi="宋体" w:cs="宋体"/>
          <w:i w:val="0"/>
          <w:iCs w:val="0"/>
          <w:color w:val="FF0000"/>
          <w:sz w:val="28"/>
          <w:szCs w:val="28"/>
        </w:rPr>
        <w:t>距企业距离约</w:t>
      </w:r>
      <w:r>
        <w:rPr>
          <w:rFonts w:hint="eastAsia" w:ascii="宋体" w:hAnsi="宋体" w:eastAsia="宋体" w:cs="宋体"/>
          <w:i w:val="0"/>
          <w:iCs w:val="0"/>
          <w:color w:val="FF0000"/>
          <w:sz w:val="28"/>
          <w:szCs w:val="28"/>
          <w:lang w:val="en-US" w:eastAsia="zh-CN"/>
        </w:rPr>
        <w:t>2.6</w:t>
      </w:r>
      <w:r>
        <w:rPr>
          <w:rFonts w:hint="eastAsia" w:ascii="宋体" w:hAnsi="宋体" w:cs="宋体"/>
          <w:i w:val="0"/>
          <w:iCs w:val="0"/>
          <w:color w:val="FF0000"/>
          <w:sz w:val="28"/>
          <w:szCs w:val="28"/>
        </w:rPr>
        <w:t>km，发生事故时</w:t>
      </w:r>
      <w:r>
        <w:rPr>
          <w:rFonts w:hint="eastAsia" w:ascii="宋体" w:hAnsi="宋体" w:eastAsia="宋体" w:cs="宋体"/>
          <w:i w:val="0"/>
          <w:iCs w:val="0"/>
          <w:color w:val="FF0000"/>
          <w:sz w:val="28"/>
          <w:szCs w:val="28"/>
          <w:lang w:val="en-US" w:eastAsia="zh-CN"/>
        </w:rPr>
        <w:t>5</w:t>
      </w:r>
      <w:r>
        <w:rPr>
          <w:rFonts w:hint="eastAsia" w:ascii="宋体" w:hAnsi="宋体" w:cs="宋体"/>
          <w:i w:val="0"/>
          <w:iCs w:val="0"/>
          <w:color w:val="FF0000"/>
          <w:sz w:val="28"/>
          <w:szCs w:val="28"/>
        </w:rPr>
        <w:t>分钟内能到达现场</w:t>
      </w:r>
      <w:r>
        <w:rPr>
          <w:rFonts w:hint="eastAsia" w:ascii="宋体" w:hAnsi="宋体" w:eastAsia="宋体" w:cs="宋体"/>
          <w:i w:val="0"/>
          <w:iCs w:val="0"/>
          <w:color w:val="FF0000"/>
          <w:sz w:val="28"/>
          <w:szCs w:val="28"/>
          <w:lang w:eastAsia="zh-CN"/>
        </w:rPr>
        <w:t>；</w:t>
      </w:r>
      <w:r>
        <w:rPr>
          <w:rFonts w:hint="eastAsia" w:ascii="宋体" w:hAnsi="宋体" w:cs="宋体"/>
          <w:i w:val="0"/>
          <w:iCs w:val="0"/>
          <w:color w:val="FF0000"/>
          <w:sz w:val="28"/>
          <w:szCs w:val="28"/>
          <w:lang w:eastAsia="zh-CN"/>
        </w:rPr>
        <w:t>仪陇县金城消防中队距企业距离约</w:t>
      </w:r>
      <w:r>
        <w:rPr>
          <w:rFonts w:hint="eastAsia" w:ascii="宋体" w:hAnsi="宋体" w:cs="宋体"/>
          <w:i w:val="0"/>
          <w:iCs w:val="0"/>
          <w:color w:val="FF0000"/>
          <w:sz w:val="28"/>
          <w:szCs w:val="28"/>
          <w:lang w:val="en-US" w:eastAsia="zh-CN"/>
        </w:rPr>
        <w:t>49</w:t>
      </w:r>
      <w:r>
        <w:rPr>
          <w:rFonts w:hint="eastAsia" w:ascii="宋体" w:hAnsi="宋体" w:cs="宋体"/>
          <w:i w:val="0"/>
          <w:iCs w:val="0"/>
          <w:color w:val="FF0000"/>
          <w:sz w:val="28"/>
          <w:szCs w:val="28"/>
          <w:lang w:eastAsia="zh-CN"/>
        </w:rPr>
        <w:t>km，发生事故时</w:t>
      </w:r>
      <w:r>
        <w:rPr>
          <w:rFonts w:hint="eastAsia" w:ascii="宋体" w:hAnsi="宋体" w:eastAsia="宋体" w:cs="宋体"/>
          <w:i w:val="0"/>
          <w:iCs w:val="0"/>
          <w:color w:val="FF0000"/>
          <w:sz w:val="28"/>
          <w:szCs w:val="28"/>
          <w:lang w:val="en-US" w:eastAsia="zh-CN"/>
        </w:rPr>
        <w:t>1.5小时</w:t>
      </w:r>
      <w:r>
        <w:rPr>
          <w:rFonts w:hint="eastAsia" w:ascii="宋体" w:hAnsi="宋体" w:cs="宋体"/>
          <w:i w:val="0"/>
          <w:iCs w:val="0"/>
          <w:color w:val="FF0000"/>
          <w:sz w:val="28"/>
          <w:szCs w:val="28"/>
          <w:lang w:eastAsia="zh-CN"/>
        </w:rPr>
        <w:t>内能到达现场；仪陇县消防救援局距企业距离约</w:t>
      </w:r>
      <w:r>
        <w:rPr>
          <w:rFonts w:hint="eastAsia" w:ascii="宋体" w:hAnsi="宋体" w:cs="宋体"/>
          <w:i w:val="0"/>
          <w:iCs w:val="0"/>
          <w:color w:val="FF0000"/>
          <w:sz w:val="28"/>
          <w:szCs w:val="28"/>
          <w:lang w:val="en-US" w:eastAsia="zh-CN"/>
        </w:rPr>
        <w:t>64</w:t>
      </w:r>
      <w:r>
        <w:rPr>
          <w:rFonts w:hint="eastAsia" w:ascii="宋体" w:hAnsi="宋体" w:cs="宋体"/>
          <w:i w:val="0"/>
          <w:iCs w:val="0"/>
          <w:color w:val="FF0000"/>
          <w:sz w:val="28"/>
          <w:szCs w:val="28"/>
          <w:lang w:eastAsia="zh-CN"/>
        </w:rPr>
        <w:t>km，发生事故时</w:t>
      </w:r>
      <w:r>
        <w:rPr>
          <w:rFonts w:hint="eastAsia" w:ascii="宋体" w:hAnsi="宋体" w:eastAsia="宋体" w:cs="宋体"/>
          <w:i w:val="0"/>
          <w:iCs w:val="0"/>
          <w:color w:val="FF0000"/>
          <w:sz w:val="28"/>
          <w:szCs w:val="28"/>
          <w:lang w:val="en-US" w:eastAsia="zh-CN"/>
        </w:rPr>
        <w:t>1.5小时</w:t>
      </w:r>
      <w:r>
        <w:rPr>
          <w:rFonts w:hint="eastAsia" w:ascii="宋体" w:hAnsi="宋体" w:cs="宋体"/>
          <w:i w:val="0"/>
          <w:iCs w:val="0"/>
          <w:color w:val="FF0000"/>
          <w:sz w:val="28"/>
          <w:szCs w:val="28"/>
          <w:lang w:eastAsia="zh-CN"/>
        </w:rPr>
        <w:t>内能到达现场。</w:t>
      </w:r>
    </w:p>
    <w:p>
      <w:pPr>
        <w:spacing w:line="360" w:lineRule="auto"/>
        <w:ind w:firstLine="560" w:firstLineChars="200"/>
        <w:rPr>
          <w:rFonts w:ascii="宋体" w:hAnsi="宋体"/>
          <w:i w:val="0"/>
          <w:iCs w:val="0"/>
          <w:color w:val="auto"/>
          <w:sz w:val="28"/>
          <w:szCs w:val="28"/>
        </w:rPr>
      </w:pPr>
      <w:r>
        <w:rPr>
          <w:rFonts w:hint="eastAsia" w:ascii="宋体" w:hAnsi="宋体"/>
          <w:i w:val="0"/>
          <w:iCs w:val="0"/>
          <w:color w:val="auto"/>
          <w:sz w:val="28"/>
          <w:szCs w:val="28"/>
        </w:rPr>
        <w:t>外部救援工作具体由指挥部负责，指挥部门负责与外部救援单位及时取得联系，并将具体地点、路线、发生事故的情况，救援所需器材的种类与外部救援单位讲清楚，同时应安排专人去接应并引路。</w:t>
      </w:r>
    </w:p>
    <w:p>
      <w:pPr>
        <w:spacing w:line="360" w:lineRule="auto"/>
        <w:jc w:val="center"/>
        <w:rPr>
          <w:rFonts w:hint="eastAsia" w:ascii="黑体" w:hAnsi="宋体" w:eastAsia="黑体"/>
          <w:b/>
          <w:bCs/>
          <w:i w:val="0"/>
          <w:iCs w:val="0"/>
          <w:color w:val="auto"/>
          <w:sz w:val="24"/>
        </w:rPr>
      </w:pPr>
      <w:r>
        <w:rPr>
          <w:rFonts w:hint="eastAsia" w:ascii="黑体" w:hAnsi="宋体" w:eastAsia="黑体"/>
          <w:b/>
          <w:bCs/>
          <w:i w:val="0"/>
          <w:iCs w:val="0"/>
          <w:color w:val="auto"/>
          <w:sz w:val="24"/>
        </w:rPr>
        <w:t>表2-</w:t>
      </w:r>
      <w:r>
        <w:rPr>
          <w:rFonts w:hint="eastAsia" w:ascii="黑体" w:hAnsi="宋体" w:eastAsia="黑体"/>
          <w:b/>
          <w:bCs/>
          <w:i w:val="0"/>
          <w:iCs w:val="0"/>
          <w:color w:val="auto"/>
          <w:sz w:val="24"/>
          <w:lang w:val="en-US" w:eastAsia="zh-CN"/>
        </w:rPr>
        <w:t>3</w:t>
      </w:r>
      <w:r>
        <w:rPr>
          <w:rFonts w:hint="eastAsia" w:ascii="黑体" w:hAnsi="宋体" w:eastAsia="黑体"/>
          <w:b/>
          <w:bCs/>
          <w:i w:val="0"/>
          <w:iCs w:val="0"/>
          <w:color w:val="auto"/>
          <w:sz w:val="24"/>
        </w:rPr>
        <w:t xml:space="preserve"> 外部应急支援一览表</w:t>
      </w:r>
    </w:p>
    <w:tbl>
      <w:tblPr>
        <w:tblStyle w:val="19"/>
        <w:tblW w:w="93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742"/>
        <w:gridCol w:w="765"/>
        <w:gridCol w:w="780"/>
        <w:gridCol w:w="4216"/>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序号</w:t>
            </w:r>
          </w:p>
        </w:tc>
        <w:tc>
          <w:tcPr>
            <w:tcW w:w="1742"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物资和装备名称</w:t>
            </w:r>
          </w:p>
        </w:tc>
        <w:tc>
          <w:tcPr>
            <w:tcW w:w="765"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数量</w:t>
            </w:r>
          </w:p>
        </w:tc>
        <w:tc>
          <w:tcPr>
            <w:tcW w:w="780"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单位</w:t>
            </w:r>
          </w:p>
        </w:tc>
        <w:tc>
          <w:tcPr>
            <w:tcW w:w="4216"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单位名称</w:t>
            </w:r>
          </w:p>
        </w:tc>
        <w:tc>
          <w:tcPr>
            <w:tcW w:w="1084" w:type="dxa"/>
            <w:noWrap w:val="0"/>
            <w:vAlign w:val="center"/>
          </w:tcPr>
          <w:p>
            <w:pPr>
              <w:spacing w:line="460" w:lineRule="exact"/>
              <w:jc w:val="center"/>
              <w:rPr>
                <w:rFonts w:hint="eastAsia" w:ascii="宋体" w:hAnsi="宋体"/>
                <w:b/>
                <w:bCs/>
                <w:i w:val="0"/>
                <w:iCs w:val="0"/>
                <w:color w:val="auto"/>
                <w:szCs w:val="21"/>
              </w:rPr>
            </w:pPr>
            <w:r>
              <w:rPr>
                <w:rFonts w:hint="eastAsia" w:ascii="宋体" w:hAnsi="宋体"/>
                <w:b/>
                <w:bCs/>
                <w:i w:val="0"/>
                <w:iCs w:val="0"/>
                <w:color w:val="auto"/>
                <w:szCs w:val="21"/>
              </w:rPr>
              <w:t>联络人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1）</w:t>
            </w:r>
          </w:p>
        </w:tc>
        <w:tc>
          <w:tcPr>
            <w:tcW w:w="1742" w:type="dxa"/>
            <w:noWrap w:val="0"/>
            <w:vAlign w:val="top"/>
          </w:tcPr>
          <w:p>
            <w:pPr>
              <w:spacing w:line="440" w:lineRule="exact"/>
              <w:ind w:firstLine="105" w:firstLineChars="50"/>
              <w:rPr>
                <w:rFonts w:hint="eastAsia" w:ascii="宋体" w:hAnsi="宋体" w:eastAsia="宋体"/>
                <w:i w:val="0"/>
                <w:iCs w:val="0"/>
                <w:color w:val="auto"/>
                <w:szCs w:val="21"/>
                <w:lang w:eastAsia="zh-CN"/>
              </w:rPr>
            </w:pPr>
            <w:r>
              <w:rPr>
                <w:rFonts w:hint="eastAsia" w:ascii="宋体" w:hAnsi="宋体"/>
                <w:i w:val="0"/>
                <w:iCs w:val="0"/>
                <w:color w:val="auto"/>
                <w:szCs w:val="21"/>
              </w:rPr>
              <w:t>消防</w:t>
            </w:r>
            <w:r>
              <w:rPr>
                <w:rFonts w:hint="eastAsia" w:ascii="宋体" w:hAnsi="宋体" w:eastAsia="宋体"/>
                <w:i w:val="0"/>
                <w:iCs w:val="0"/>
                <w:color w:val="auto"/>
                <w:szCs w:val="21"/>
                <w:lang w:eastAsia="zh-CN"/>
              </w:rPr>
              <w:t>用水</w:t>
            </w:r>
          </w:p>
        </w:tc>
        <w:tc>
          <w:tcPr>
            <w:tcW w:w="765" w:type="dxa"/>
            <w:noWrap w:val="0"/>
            <w:vAlign w:val="top"/>
          </w:tcPr>
          <w:p>
            <w:pPr>
              <w:spacing w:line="440" w:lineRule="exact"/>
              <w:ind w:firstLine="105" w:firstLineChars="50"/>
              <w:jc w:val="center"/>
              <w:rPr>
                <w:rFonts w:hint="eastAsia" w:ascii="宋体" w:hAnsi="宋体" w:eastAsia="宋体"/>
                <w:i w:val="0"/>
                <w:iCs w:val="0"/>
                <w:color w:val="auto"/>
                <w:szCs w:val="21"/>
                <w:lang w:eastAsia="zh-CN"/>
              </w:rPr>
            </w:pPr>
            <w:r>
              <w:rPr>
                <w:rFonts w:hint="eastAsia" w:ascii="宋体" w:hAnsi="宋体" w:eastAsia="宋体"/>
                <w:i w:val="0"/>
                <w:iCs w:val="0"/>
                <w:color w:val="auto"/>
                <w:szCs w:val="21"/>
                <w:lang w:val="en-US" w:eastAsia="zh-CN"/>
              </w:rPr>
              <w:t>1</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个</w:t>
            </w:r>
          </w:p>
        </w:tc>
        <w:tc>
          <w:tcPr>
            <w:tcW w:w="4216" w:type="dxa"/>
            <w:noWrap w:val="0"/>
            <w:vAlign w:val="top"/>
          </w:tcPr>
          <w:p>
            <w:pPr>
              <w:spacing w:line="440" w:lineRule="exact"/>
              <w:ind w:firstLine="105" w:firstLineChars="50"/>
              <w:rPr>
                <w:rFonts w:hint="eastAsia" w:ascii="宋体" w:hAnsi="宋体" w:eastAsia="宋体"/>
                <w:i w:val="0"/>
                <w:iCs w:val="0"/>
                <w:color w:val="auto"/>
                <w:szCs w:val="21"/>
                <w:lang w:eastAsia="zh-CN"/>
              </w:rPr>
            </w:pPr>
            <w:r>
              <w:rPr>
                <w:rFonts w:hint="eastAsia" w:ascii="宋体" w:hAnsi="宋体"/>
                <w:i w:val="0"/>
                <w:iCs w:val="0"/>
                <w:color w:val="auto"/>
                <w:szCs w:val="21"/>
              </w:rPr>
              <w:t>企业</w:t>
            </w:r>
            <w:r>
              <w:rPr>
                <w:rFonts w:hint="eastAsia" w:ascii="宋体" w:hAnsi="宋体" w:eastAsia="宋体"/>
                <w:i w:val="0"/>
                <w:iCs w:val="0"/>
                <w:color w:val="auto"/>
                <w:szCs w:val="21"/>
                <w:lang w:eastAsia="zh-CN"/>
              </w:rPr>
              <w:t>内水池（</w:t>
            </w:r>
            <w:r>
              <w:rPr>
                <w:rFonts w:hint="eastAsia" w:ascii="宋体" w:hAnsi="宋体" w:eastAsia="宋体"/>
                <w:i w:val="0"/>
                <w:iCs w:val="0"/>
                <w:color w:val="auto"/>
                <w:szCs w:val="21"/>
                <w:lang w:val="en-US" w:eastAsia="zh-CN"/>
              </w:rPr>
              <w:t>20m</w:t>
            </w:r>
            <w:r>
              <w:rPr>
                <w:rFonts w:hint="eastAsia" w:ascii="宋体" w:hAnsi="宋体" w:eastAsia="宋体"/>
                <w:i w:val="0"/>
                <w:iCs w:val="0"/>
                <w:color w:val="auto"/>
                <w:szCs w:val="21"/>
                <w:vertAlign w:val="superscript"/>
                <w:lang w:val="en-US" w:eastAsia="zh-CN"/>
              </w:rPr>
              <w:t>3</w:t>
            </w:r>
            <w:r>
              <w:rPr>
                <w:rFonts w:hint="eastAsia" w:ascii="宋体" w:hAnsi="宋体" w:eastAsia="宋体"/>
                <w:i w:val="0"/>
                <w:iCs w:val="0"/>
                <w:color w:val="auto"/>
                <w:szCs w:val="21"/>
                <w:lang w:eastAsia="zh-CN"/>
              </w:rPr>
              <w:t>）</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刘军明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7" w:type="dxa"/>
            <w:noWrap w:val="0"/>
            <w:vAlign w:val="center"/>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rPr>
              <w:t xml:space="preserve"> 2）</w:t>
            </w:r>
          </w:p>
        </w:tc>
        <w:tc>
          <w:tcPr>
            <w:tcW w:w="1742" w:type="dxa"/>
            <w:noWrap w:val="0"/>
            <w:vAlign w:val="top"/>
          </w:tcPr>
          <w:p>
            <w:pPr>
              <w:spacing w:line="440" w:lineRule="exact"/>
              <w:ind w:firstLine="105" w:firstLineChars="50"/>
              <w:rPr>
                <w:rFonts w:hint="eastAsia" w:ascii="宋体" w:hAnsi="宋体"/>
                <w:i w:val="0"/>
                <w:iCs w:val="0"/>
                <w:color w:val="auto"/>
                <w:szCs w:val="21"/>
              </w:rPr>
            </w:pPr>
            <w:r>
              <w:rPr>
                <w:rFonts w:hint="eastAsia" w:ascii="宋体" w:hAnsi="宋体"/>
                <w:color w:val="auto"/>
                <w:szCs w:val="21"/>
              </w:rPr>
              <w:t>消防栓</w:t>
            </w:r>
          </w:p>
        </w:tc>
        <w:tc>
          <w:tcPr>
            <w:tcW w:w="765" w:type="dxa"/>
            <w:noWrap w:val="0"/>
            <w:vAlign w:val="top"/>
          </w:tcPr>
          <w:p>
            <w:pPr>
              <w:spacing w:line="440" w:lineRule="exact"/>
              <w:ind w:firstLine="105" w:firstLineChars="50"/>
              <w:jc w:val="center"/>
              <w:rPr>
                <w:rFonts w:hint="eastAsia" w:ascii="宋体" w:hAnsi="宋体"/>
                <w:i w:val="0"/>
                <w:iCs w:val="0"/>
                <w:color w:val="auto"/>
                <w:szCs w:val="21"/>
                <w:lang w:eastAsia="zh-CN"/>
              </w:rPr>
            </w:pPr>
            <w:r>
              <w:rPr>
                <w:rFonts w:hint="eastAsia" w:ascii="宋体" w:hAnsi="宋体"/>
                <w:color w:val="auto"/>
                <w:szCs w:val="21"/>
                <w:lang w:val="en-US" w:eastAsia="zh-CN"/>
              </w:rPr>
              <w:t>10</w:t>
            </w:r>
          </w:p>
        </w:tc>
        <w:tc>
          <w:tcPr>
            <w:tcW w:w="780" w:type="dxa"/>
            <w:noWrap w:val="0"/>
            <w:vAlign w:val="center"/>
          </w:tcPr>
          <w:p>
            <w:pPr>
              <w:spacing w:line="460" w:lineRule="exact"/>
              <w:jc w:val="center"/>
              <w:rPr>
                <w:rFonts w:hint="eastAsia" w:ascii="宋体" w:hAnsi="宋体"/>
                <w:i w:val="0"/>
                <w:iCs w:val="0"/>
                <w:color w:val="auto"/>
                <w:szCs w:val="21"/>
              </w:rPr>
            </w:pPr>
            <w:r>
              <w:rPr>
                <w:rFonts w:hint="eastAsia" w:ascii="宋体" w:hAnsi="宋体"/>
                <w:color w:val="auto"/>
                <w:szCs w:val="21"/>
              </w:rPr>
              <w:t>个</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40" w:lineRule="exact"/>
              <w:jc w:val="center"/>
              <w:rPr>
                <w:rFonts w:hint="eastAsia" w:ascii="宋体" w:hAnsi="宋体"/>
                <w:i w:val="0"/>
                <w:iCs w:val="0"/>
                <w:color w:val="auto"/>
                <w:szCs w:val="21"/>
              </w:rPr>
            </w:pPr>
            <w:r>
              <w:rPr>
                <w:rFonts w:hint="eastAsia" w:ascii="宋体" w:hAnsi="宋体"/>
                <w:i w:val="0"/>
                <w:iCs w:val="0"/>
                <w:color w:val="auto"/>
                <w:szCs w:val="21"/>
                <w:lang w:eastAsia="zh-CN"/>
              </w:rPr>
              <w:t>刘军明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3）</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color w:val="auto"/>
                <w:szCs w:val="21"/>
              </w:rPr>
              <w:t>干粉灭火器</w:t>
            </w:r>
          </w:p>
        </w:tc>
        <w:tc>
          <w:tcPr>
            <w:tcW w:w="765" w:type="dxa"/>
            <w:noWrap w:val="0"/>
            <w:vAlign w:val="top"/>
          </w:tcPr>
          <w:p>
            <w:pPr>
              <w:spacing w:line="440" w:lineRule="exact"/>
              <w:ind w:firstLine="105" w:firstLineChars="50"/>
              <w:jc w:val="center"/>
              <w:rPr>
                <w:rFonts w:hint="eastAsia" w:ascii="宋体" w:hAnsi="宋体"/>
                <w:i w:val="0"/>
                <w:iCs w:val="0"/>
                <w:color w:val="auto"/>
                <w:szCs w:val="21"/>
              </w:rPr>
            </w:pPr>
            <w:r>
              <w:rPr>
                <w:rFonts w:hint="eastAsia" w:ascii="宋体" w:hAnsi="宋体"/>
                <w:color w:val="auto"/>
                <w:szCs w:val="21"/>
              </w:rPr>
              <w:t>若干</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color w:val="auto"/>
                <w:szCs w:val="21"/>
              </w:rPr>
              <w:t>个</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刘军明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4）</w:t>
            </w:r>
          </w:p>
        </w:tc>
        <w:tc>
          <w:tcPr>
            <w:tcW w:w="1742" w:type="dxa"/>
            <w:noWrap w:val="0"/>
            <w:vAlign w:val="top"/>
          </w:tcPr>
          <w:p>
            <w:pPr>
              <w:spacing w:line="440" w:lineRule="exact"/>
              <w:ind w:firstLine="105" w:firstLineChars="50"/>
              <w:rPr>
                <w:rFonts w:hint="eastAsia" w:ascii="宋体" w:hAnsi="宋体"/>
                <w:i w:val="0"/>
                <w:iCs w:val="0"/>
                <w:color w:val="auto"/>
                <w:szCs w:val="21"/>
              </w:rPr>
            </w:pPr>
            <w:r>
              <w:rPr>
                <w:rFonts w:hint="eastAsia" w:ascii="宋体" w:hAnsi="宋体"/>
                <w:color w:val="auto"/>
                <w:szCs w:val="21"/>
              </w:rPr>
              <w:t>急救箱</w:t>
            </w:r>
          </w:p>
        </w:tc>
        <w:tc>
          <w:tcPr>
            <w:tcW w:w="765" w:type="dxa"/>
            <w:noWrap w:val="0"/>
            <w:vAlign w:val="top"/>
          </w:tcPr>
          <w:p>
            <w:pPr>
              <w:spacing w:line="440" w:lineRule="exact"/>
              <w:ind w:firstLine="105" w:firstLineChars="50"/>
              <w:jc w:val="center"/>
              <w:rPr>
                <w:rFonts w:hint="default" w:ascii="宋体" w:hAnsi="宋体"/>
                <w:i w:val="0"/>
                <w:iCs w:val="0"/>
                <w:color w:val="auto"/>
                <w:szCs w:val="21"/>
                <w:lang w:val="en-US" w:eastAsia="zh-CN"/>
              </w:rPr>
            </w:pPr>
            <w:r>
              <w:rPr>
                <w:rFonts w:hint="eastAsia" w:ascii="宋体" w:hAnsi="宋体"/>
                <w:color w:val="auto"/>
                <w:szCs w:val="21"/>
              </w:rPr>
              <w:t>5</w:t>
            </w:r>
          </w:p>
        </w:tc>
        <w:tc>
          <w:tcPr>
            <w:tcW w:w="780" w:type="dxa"/>
            <w:noWrap w:val="0"/>
            <w:vAlign w:val="center"/>
          </w:tcPr>
          <w:p>
            <w:pPr>
              <w:spacing w:line="460" w:lineRule="exact"/>
              <w:jc w:val="center"/>
              <w:rPr>
                <w:rFonts w:hint="eastAsia" w:ascii="宋体" w:hAnsi="宋体"/>
                <w:i w:val="0"/>
                <w:iCs w:val="0"/>
                <w:color w:val="auto"/>
                <w:szCs w:val="21"/>
              </w:rPr>
            </w:pPr>
            <w:r>
              <w:rPr>
                <w:rFonts w:hint="eastAsia" w:ascii="宋体" w:hAnsi="宋体"/>
                <w:color w:val="auto"/>
                <w:szCs w:val="21"/>
              </w:rPr>
              <w:t>个</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刘军明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5）</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color w:val="auto"/>
                <w:szCs w:val="21"/>
              </w:rPr>
              <w:t>消防车</w:t>
            </w:r>
          </w:p>
        </w:tc>
        <w:tc>
          <w:tcPr>
            <w:tcW w:w="765" w:type="dxa"/>
            <w:noWrap w:val="0"/>
            <w:vAlign w:val="top"/>
          </w:tcPr>
          <w:p>
            <w:pPr>
              <w:spacing w:line="440" w:lineRule="exact"/>
              <w:ind w:firstLine="105" w:firstLineChars="50"/>
              <w:jc w:val="center"/>
              <w:rPr>
                <w:rFonts w:hint="eastAsia" w:ascii="宋体" w:hAnsi="宋体"/>
                <w:i w:val="0"/>
                <w:iCs w:val="0"/>
                <w:color w:val="auto"/>
                <w:szCs w:val="21"/>
                <w:lang w:val="en-US" w:eastAsia="zh-CN"/>
              </w:rPr>
            </w:pPr>
            <w:r>
              <w:rPr>
                <w:rFonts w:hint="eastAsia" w:ascii="宋体" w:hAnsi="宋体"/>
                <w:color w:val="auto"/>
                <w:szCs w:val="21"/>
              </w:rPr>
              <w:t>10</w:t>
            </w:r>
          </w:p>
        </w:tc>
        <w:tc>
          <w:tcPr>
            <w:tcW w:w="780" w:type="dxa"/>
            <w:noWrap w:val="0"/>
            <w:vAlign w:val="center"/>
          </w:tcPr>
          <w:p>
            <w:pPr>
              <w:spacing w:line="460" w:lineRule="exact"/>
              <w:jc w:val="center"/>
              <w:rPr>
                <w:rFonts w:hint="eastAsia" w:ascii="宋体" w:hAnsi="宋体"/>
                <w:i w:val="0"/>
                <w:iCs w:val="0"/>
                <w:color w:val="auto"/>
                <w:szCs w:val="21"/>
                <w:lang w:val="en-US" w:eastAsia="zh-CN"/>
              </w:rPr>
            </w:pPr>
            <w:r>
              <w:rPr>
                <w:rFonts w:hint="eastAsia" w:ascii="宋体" w:hAnsi="宋体"/>
                <w:color w:val="auto"/>
                <w:szCs w:val="21"/>
              </w:rPr>
              <w:t>辆</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刘军明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6）</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color w:val="auto"/>
                <w:szCs w:val="21"/>
              </w:rPr>
              <w:t>消防人员</w:t>
            </w:r>
          </w:p>
        </w:tc>
        <w:tc>
          <w:tcPr>
            <w:tcW w:w="765" w:type="dxa"/>
            <w:noWrap w:val="0"/>
            <w:vAlign w:val="top"/>
          </w:tcPr>
          <w:p>
            <w:pPr>
              <w:spacing w:line="440" w:lineRule="exact"/>
              <w:ind w:firstLine="105" w:firstLineChars="50"/>
              <w:jc w:val="center"/>
              <w:rPr>
                <w:rFonts w:hint="eastAsia" w:ascii="宋体" w:hAnsi="宋体"/>
                <w:i w:val="0"/>
                <w:iCs w:val="0"/>
                <w:color w:val="auto"/>
                <w:szCs w:val="21"/>
                <w:lang w:val="en-US" w:eastAsia="zh-CN"/>
              </w:rPr>
            </w:pPr>
            <w:r>
              <w:rPr>
                <w:rFonts w:hint="eastAsia" w:ascii="宋体" w:hAnsi="宋体"/>
                <w:color w:val="auto"/>
                <w:szCs w:val="21"/>
                <w:lang w:val="en-US" w:eastAsia="zh-CN"/>
              </w:rPr>
              <w:t>10</w:t>
            </w:r>
          </w:p>
        </w:tc>
        <w:tc>
          <w:tcPr>
            <w:tcW w:w="780" w:type="dxa"/>
            <w:noWrap w:val="0"/>
            <w:vAlign w:val="center"/>
          </w:tcPr>
          <w:p>
            <w:pPr>
              <w:spacing w:line="460" w:lineRule="exact"/>
              <w:jc w:val="center"/>
              <w:rPr>
                <w:rFonts w:hint="eastAsia" w:ascii="宋体" w:hAnsi="宋体"/>
                <w:i w:val="0"/>
                <w:iCs w:val="0"/>
                <w:color w:val="auto"/>
                <w:szCs w:val="21"/>
                <w:lang w:val="en-US" w:eastAsia="zh-CN"/>
              </w:rPr>
            </w:pPr>
            <w:r>
              <w:rPr>
                <w:rFonts w:hint="eastAsia" w:ascii="宋体" w:hAnsi="宋体"/>
                <w:color w:val="auto"/>
                <w:szCs w:val="21"/>
              </w:rPr>
              <w:t>人</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刘军明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7）</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rPr>
              <w:t>急救车</w:t>
            </w:r>
          </w:p>
        </w:tc>
        <w:tc>
          <w:tcPr>
            <w:tcW w:w="765" w:type="dxa"/>
            <w:noWrap w:val="0"/>
            <w:vAlign w:val="top"/>
          </w:tcPr>
          <w:p>
            <w:pPr>
              <w:spacing w:line="440" w:lineRule="exact"/>
              <w:ind w:firstLine="105" w:firstLineChars="50"/>
              <w:jc w:val="center"/>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1</w:t>
            </w:r>
          </w:p>
        </w:tc>
        <w:tc>
          <w:tcPr>
            <w:tcW w:w="780" w:type="dxa"/>
            <w:noWrap w:val="0"/>
            <w:vAlign w:val="center"/>
          </w:tcPr>
          <w:p>
            <w:pPr>
              <w:spacing w:line="460" w:lineRule="exact"/>
              <w:jc w:val="center"/>
              <w:rPr>
                <w:rFonts w:hint="eastAsia" w:ascii="宋体" w:hAnsi="宋体"/>
                <w:i w:val="0"/>
                <w:iCs w:val="0"/>
                <w:color w:val="auto"/>
                <w:szCs w:val="21"/>
                <w:lang w:val="en-US" w:eastAsia="zh-CN"/>
              </w:rPr>
            </w:pPr>
            <w:r>
              <w:rPr>
                <w:rFonts w:hint="eastAsia" w:ascii="宋体" w:hAnsi="宋体"/>
                <w:i w:val="0"/>
                <w:iCs w:val="0"/>
                <w:color w:val="auto"/>
                <w:szCs w:val="21"/>
              </w:rPr>
              <w:t>辆</w:t>
            </w:r>
          </w:p>
        </w:tc>
        <w:tc>
          <w:tcPr>
            <w:tcW w:w="4216"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仪陇县人民医院、仪陇县义路镇卫生院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刘军明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w:t>
            </w:r>
            <w:r>
              <w:rPr>
                <w:rFonts w:hint="eastAsia" w:ascii="宋体" w:hAnsi="宋体"/>
                <w:i w:val="0"/>
                <w:iCs w:val="0"/>
                <w:color w:val="auto"/>
                <w:szCs w:val="21"/>
                <w:lang w:val="en-US" w:eastAsia="zh-CN"/>
              </w:rPr>
              <w:t>8</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rPr>
              <w:t>担架</w:t>
            </w:r>
          </w:p>
        </w:tc>
        <w:tc>
          <w:tcPr>
            <w:tcW w:w="765" w:type="dxa"/>
            <w:noWrap w:val="0"/>
            <w:vAlign w:val="top"/>
          </w:tcPr>
          <w:p>
            <w:pPr>
              <w:spacing w:line="440" w:lineRule="exact"/>
              <w:ind w:firstLine="105" w:firstLineChars="50"/>
              <w:jc w:val="center"/>
              <w:rPr>
                <w:rFonts w:hint="eastAsia" w:ascii="宋体" w:hAnsi="宋体"/>
                <w:i w:val="0"/>
                <w:iCs w:val="0"/>
                <w:color w:val="auto"/>
                <w:szCs w:val="21"/>
                <w:lang w:val="en-US" w:eastAsia="zh-CN"/>
              </w:rPr>
            </w:pPr>
            <w:r>
              <w:rPr>
                <w:rFonts w:hint="eastAsia" w:ascii="宋体" w:hAnsi="宋体" w:eastAsia="宋体"/>
                <w:i w:val="0"/>
                <w:iCs w:val="0"/>
                <w:color w:val="auto"/>
                <w:szCs w:val="21"/>
                <w:lang w:val="en-US" w:eastAsia="zh-CN"/>
              </w:rPr>
              <w:t>2</w:t>
            </w:r>
          </w:p>
        </w:tc>
        <w:tc>
          <w:tcPr>
            <w:tcW w:w="780" w:type="dxa"/>
            <w:noWrap w:val="0"/>
            <w:vAlign w:val="center"/>
          </w:tcPr>
          <w:p>
            <w:pPr>
              <w:spacing w:line="460" w:lineRule="exact"/>
              <w:jc w:val="center"/>
              <w:rPr>
                <w:rFonts w:hint="eastAsia" w:ascii="宋体" w:hAnsi="宋体"/>
                <w:i w:val="0"/>
                <w:iCs w:val="0"/>
                <w:color w:val="auto"/>
                <w:szCs w:val="21"/>
                <w:lang w:val="en-US" w:eastAsia="zh-CN"/>
              </w:rPr>
            </w:pPr>
            <w:r>
              <w:rPr>
                <w:rFonts w:hint="eastAsia" w:ascii="宋体" w:hAnsi="宋体"/>
                <w:i w:val="0"/>
                <w:iCs w:val="0"/>
                <w:color w:val="auto"/>
                <w:szCs w:val="21"/>
              </w:rPr>
              <w:t>个</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仪陇县人民医院、仪陇县义路镇卫生院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刘军明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w:t>
            </w:r>
            <w:r>
              <w:rPr>
                <w:rFonts w:hint="eastAsia" w:ascii="宋体" w:hAnsi="宋体"/>
                <w:i w:val="0"/>
                <w:iCs w:val="0"/>
                <w:color w:val="auto"/>
                <w:szCs w:val="21"/>
                <w:lang w:val="en-US" w:eastAsia="zh-CN"/>
              </w:rPr>
              <w:t>9</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应急床位</w:t>
            </w:r>
          </w:p>
        </w:tc>
        <w:tc>
          <w:tcPr>
            <w:tcW w:w="765" w:type="dxa"/>
            <w:noWrap w:val="0"/>
            <w:vAlign w:val="top"/>
          </w:tcPr>
          <w:p>
            <w:pPr>
              <w:spacing w:line="440" w:lineRule="exact"/>
              <w:ind w:firstLine="105" w:firstLineChars="50"/>
              <w:jc w:val="center"/>
              <w:rPr>
                <w:rFonts w:hint="eastAsia" w:ascii="宋体" w:hAnsi="宋体" w:eastAsia="宋体"/>
                <w:i w:val="0"/>
                <w:iCs w:val="0"/>
                <w:color w:val="auto"/>
                <w:szCs w:val="21"/>
                <w:lang w:eastAsia="zh-CN"/>
              </w:rPr>
            </w:pPr>
            <w:r>
              <w:rPr>
                <w:rFonts w:hint="eastAsia" w:ascii="宋体" w:hAnsi="宋体"/>
                <w:i w:val="0"/>
                <w:iCs w:val="0"/>
                <w:color w:val="auto"/>
                <w:szCs w:val="21"/>
                <w:lang w:val="en-US" w:eastAsia="zh-CN"/>
              </w:rPr>
              <w:t>6</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个</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仪陇县人民医院、仪陇县义路镇卫生院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刘军明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lang w:val="en-US" w:eastAsia="zh-CN"/>
              </w:rPr>
              <w:t>10</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急救医生</w:t>
            </w:r>
          </w:p>
        </w:tc>
        <w:tc>
          <w:tcPr>
            <w:tcW w:w="765" w:type="dxa"/>
            <w:noWrap w:val="0"/>
            <w:vAlign w:val="top"/>
          </w:tcPr>
          <w:p>
            <w:pPr>
              <w:spacing w:line="440" w:lineRule="exact"/>
              <w:ind w:firstLine="105" w:firstLineChars="50"/>
              <w:jc w:val="center"/>
              <w:rPr>
                <w:rFonts w:hint="eastAsia" w:ascii="宋体" w:hAnsi="宋体" w:eastAsia="宋体"/>
                <w:i w:val="0"/>
                <w:iCs w:val="0"/>
                <w:color w:val="auto"/>
                <w:szCs w:val="21"/>
                <w:lang w:eastAsia="zh-CN"/>
              </w:rPr>
            </w:pPr>
            <w:r>
              <w:rPr>
                <w:rFonts w:hint="eastAsia" w:ascii="宋体" w:hAnsi="宋体" w:eastAsia="宋体"/>
                <w:i w:val="0"/>
                <w:iCs w:val="0"/>
                <w:color w:val="auto"/>
                <w:szCs w:val="21"/>
                <w:lang w:val="en-US" w:eastAsia="zh-CN"/>
              </w:rPr>
              <w:t>8</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人</w:t>
            </w:r>
          </w:p>
        </w:tc>
        <w:tc>
          <w:tcPr>
            <w:tcW w:w="4216"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仪陇县人民医院、仪陇县义路镇卫生院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刘军明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lang w:val="en-US" w:eastAsia="zh-CN"/>
              </w:rPr>
              <w:t>11</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急救护士</w:t>
            </w:r>
          </w:p>
        </w:tc>
        <w:tc>
          <w:tcPr>
            <w:tcW w:w="765" w:type="dxa"/>
            <w:noWrap w:val="0"/>
            <w:vAlign w:val="top"/>
          </w:tcPr>
          <w:p>
            <w:pPr>
              <w:spacing w:line="440" w:lineRule="exact"/>
              <w:ind w:firstLine="105" w:firstLineChars="50"/>
              <w:jc w:val="center"/>
              <w:rPr>
                <w:rFonts w:hint="default" w:ascii="宋体" w:hAnsi="宋体" w:eastAsia="宋体"/>
                <w:i w:val="0"/>
                <w:iCs w:val="0"/>
                <w:color w:val="auto"/>
                <w:szCs w:val="21"/>
                <w:lang w:val="en-US" w:eastAsia="zh-CN"/>
              </w:rPr>
            </w:pPr>
            <w:r>
              <w:rPr>
                <w:rFonts w:hint="eastAsia" w:ascii="宋体" w:hAnsi="宋体" w:eastAsia="宋体"/>
                <w:i w:val="0"/>
                <w:iCs w:val="0"/>
                <w:color w:val="auto"/>
                <w:szCs w:val="21"/>
                <w:lang w:val="en-US" w:eastAsia="zh-CN"/>
              </w:rPr>
              <w:t>6</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人</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仪陇县人民医院、仪陇县义路镇卫生院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刘军明</w:t>
            </w:r>
          </w:p>
        </w:tc>
      </w:tr>
      <w:bookmarkEnd w:id="36"/>
      <w:bookmarkEnd w:id="37"/>
      <w:bookmarkEnd w:id="38"/>
      <w:bookmarkEnd w:id="39"/>
    </w:tbl>
    <w:p>
      <w:pPr>
        <w:rPr>
          <w:rFonts w:hint="eastAsia" w:ascii="黑体" w:hAnsi="宋体" w:eastAsia="黑体"/>
          <w:b/>
          <w:sz w:val="32"/>
          <w:szCs w:val="32"/>
          <w:lang w:val="en-US" w:eastAsia="zh-CN"/>
        </w:rPr>
      </w:pPr>
      <w:r>
        <w:rPr>
          <w:rFonts w:hint="eastAsia" w:ascii="黑体" w:hAnsi="宋体" w:eastAsia="黑体"/>
          <w:b/>
          <w:sz w:val="32"/>
          <w:szCs w:val="32"/>
          <w:lang w:val="en-US" w:eastAsia="zh-CN"/>
        </w:rPr>
        <w:br w:type="page"/>
      </w:r>
    </w:p>
    <w:p>
      <w:pPr>
        <w:spacing w:line="360" w:lineRule="auto"/>
        <w:jc w:val="center"/>
        <w:outlineLvl w:val="0"/>
        <w:rPr>
          <w:rFonts w:hint="eastAsia" w:ascii="黑体" w:hAnsi="宋体" w:eastAsia="黑体"/>
          <w:b/>
          <w:sz w:val="32"/>
          <w:szCs w:val="32"/>
          <w:lang w:val="en-US" w:eastAsia="zh-CN"/>
        </w:rPr>
      </w:pPr>
      <w:bookmarkStart w:id="51" w:name="_Toc1785"/>
      <w:r>
        <w:rPr>
          <w:rFonts w:hint="eastAsia" w:ascii="黑体" w:hAnsi="宋体" w:eastAsia="黑体"/>
          <w:b/>
          <w:sz w:val="32"/>
          <w:szCs w:val="32"/>
          <w:lang w:val="en-US" w:eastAsia="zh-CN"/>
        </w:rPr>
        <w:t>3危险、有害因素辨识</w:t>
      </w:r>
      <w:bookmarkEnd w:id="51"/>
    </w:p>
    <w:p>
      <w:pPr>
        <w:pStyle w:val="8"/>
        <w:spacing w:line="360" w:lineRule="auto"/>
        <w:ind w:firstLine="0" w:firstLineChars="0"/>
        <w:outlineLvl w:val="1"/>
        <w:rPr>
          <w:rFonts w:hint="eastAsia" w:ascii="黑体" w:eastAsia="黑体"/>
          <w:b/>
          <w:snapToGrid w:val="0"/>
          <w:kern w:val="0"/>
          <w:sz w:val="32"/>
          <w:szCs w:val="32"/>
        </w:rPr>
      </w:pPr>
      <w:bookmarkStart w:id="52" w:name="_Toc9188"/>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1 危险、有害因素辨识的目的</w:t>
      </w:r>
      <w:bookmarkEnd w:id="40"/>
      <w:bookmarkEnd w:id="41"/>
      <w:bookmarkEnd w:id="52"/>
    </w:p>
    <w:p>
      <w:pPr>
        <w:autoSpaceDE w:val="0"/>
        <w:autoSpaceDN w:val="0"/>
        <w:adjustRightInd w:val="0"/>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危险、有害因素是指能造成人员伤亡或影响人体健康、导致疾病和对物造成突发性或慢性损坏的因素。充分识别并掌握</w:t>
      </w:r>
      <w:r>
        <w:rPr>
          <w:rFonts w:hint="eastAsia" w:ascii="宋体" w:hAnsi="宋体"/>
          <w:snapToGrid w:val="0"/>
          <w:kern w:val="0"/>
          <w:sz w:val="28"/>
          <w:szCs w:val="28"/>
          <w:lang w:eastAsia="zh-CN"/>
        </w:rPr>
        <w:t>公司</w:t>
      </w:r>
      <w:r>
        <w:rPr>
          <w:rFonts w:hint="eastAsia" w:ascii="宋体" w:hAnsi="宋体"/>
          <w:snapToGrid w:val="0"/>
          <w:kern w:val="0"/>
          <w:sz w:val="28"/>
          <w:szCs w:val="28"/>
        </w:rPr>
        <w:t>生产系统中的危险有害因素，为企业有效减少人员伤亡和财产损失，确保生产安全具有重要意义；为企业</w:t>
      </w:r>
      <w:r>
        <w:rPr>
          <w:rFonts w:ascii="宋体" w:hAnsi="宋体"/>
          <w:snapToGrid w:val="0"/>
          <w:kern w:val="0"/>
          <w:sz w:val="28"/>
          <w:szCs w:val="28"/>
        </w:rPr>
        <w:t>在</w:t>
      </w:r>
      <w:r>
        <w:rPr>
          <w:rFonts w:hint="eastAsia" w:ascii="宋体" w:hAnsi="宋体"/>
          <w:snapToGrid w:val="0"/>
          <w:kern w:val="0"/>
          <w:sz w:val="28"/>
          <w:szCs w:val="28"/>
        </w:rPr>
        <w:t>实际生产中查找事故隐患并制定整改措施、制定事故应急救援预案</w:t>
      </w:r>
      <w:r>
        <w:rPr>
          <w:rFonts w:ascii="宋体" w:hAnsi="宋体"/>
          <w:snapToGrid w:val="0"/>
          <w:kern w:val="0"/>
          <w:sz w:val="28"/>
          <w:szCs w:val="28"/>
        </w:rPr>
        <w:t>指明方向。</w:t>
      </w:r>
    </w:p>
    <w:p>
      <w:pPr>
        <w:pStyle w:val="8"/>
        <w:spacing w:line="360" w:lineRule="auto"/>
        <w:ind w:firstLine="0" w:firstLineChars="0"/>
        <w:outlineLvl w:val="1"/>
        <w:rPr>
          <w:rFonts w:ascii="黑体" w:eastAsia="黑体"/>
          <w:b/>
          <w:snapToGrid w:val="0"/>
          <w:kern w:val="0"/>
          <w:sz w:val="32"/>
          <w:szCs w:val="32"/>
        </w:rPr>
      </w:pPr>
      <w:bookmarkStart w:id="53" w:name="_Toc23888"/>
      <w:bookmarkStart w:id="54" w:name="_Toc514342839"/>
      <w:bookmarkStart w:id="55" w:name="_Toc480804387"/>
      <w:bookmarkStart w:id="56" w:name="_Toc350781091"/>
      <w:bookmarkStart w:id="57" w:name="_Toc356401484"/>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2 危险、有害因素辨识的依据</w:t>
      </w:r>
      <w:bookmarkEnd w:id="53"/>
      <w:bookmarkEnd w:id="54"/>
      <w:bookmarkEnd w:id="55"/>
      <w:bookmarkEnd w:id="56"/>
      <w:bookmarkEnd w:id="57"/>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（1）按照《危险化学品名录（20</w:t>
      </w:r>
      <w:r>
        <w:rPr>
          <w:rFonts w:hint="eastAsia" w:ascii="宋体" w:hAnsi="宋体"/>
          <w:snapToGrid w:val="0"/>
          <w:kern w:val="0"/>
          <w:sz w:val="28"/>
          <w:szCs w:val="28"/>
        </w:rPr>
        <w:t>1</w:t>
      </w:r>
      <w:r>
        <w:rPr>
          <w:rFonts w:hint="eastAsia" w:ascii="宋体" w:hAnsi="宋体"/>
          <w:snapToGrid w:val="0"/>
          <w:kern w:val="0"/>
          <w:sz w:val="28"/>
          <w:szCs w:val="28"/>
          <w:lang w:val="en-US" w:eastAsia="zh-CN"/>
        </w:rPr>
        <w:t>8</w:t>
      </w:r>
      <w:r>
        <w:rPr>
          <w:rFonts w:ascii="宋体" w:hAnsi="宋体"/>
          <w:snapToGrid w:val="0"/>
          <w:kern w:val="0"/>
          <w:sz w:val="28"/>
          <w:szCs w:val="28"/>
        </w:rPr>
        <w:t>版）》将有害物质分为爆炸品、压缩气体和液化气体、易燃液体、易燃固体、自燃物品和遇湿易燃物品、氧化剂和有机过氧化物、毒害品和感染性物品、腐蚀品8大类，对系统中使用的物质及产品进行辨识与分析。</w:t>
      </w:r>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（2）根据《危险化学品重大危险源辨识》（</w:t>
      </w:r>
      <w:r>
        <w:rPr>
          <w:rFonts w:hint="eastAsia" w:ascii="宋体" w:hAnsi="宋体"/>
          <w:snapToGrid w:val="0"/>
          <w:kern w:val="0"/>
          <w:sz w:val="28"/>
          <w:szCs w:val="28"/>
          <w:lang w:eastAsia="zh-CN"/>
        </w:rPr>
        <w:t>GB18218-2018</w:t>
      </w:r>
      <w:r>
        <w:rPr>
          <w:rFonts w:ascii="宋体" w:hAnsi="宋体"/>
          <w:snapToGrid w:val="0"/>
          <w:kern w:val="0"/>
          <w:sz w:val="28"/>
          <w:szCs w:val="28"/>
        </w:rPr>
        <w:t>），对</w:t>
      </w:r>
      <w:r>
        <w:rPr>
          <w:rFonts w:hint="eastAsia" w:ascii="宋体" w:hAnsi="宋体"/>
          <w:snapToGrid w:val="0"/>
          <w:kern w:val="0"/>
          <w:sz w:val="28"/>
          <w:szCs w:val="28"/>
          <w:lang w:eastAsia="zh-CN"/>
        </w:rPr>
        <w:t>厂区</w:t>
      </w:r>
      <w:r>
        <w:rPr>
          <w:rFonts w:ascii="宋体" w:hAnsi="宋体"/>
          <w:snapToGrid w:val="0"/>
          <w:kern w:val="0"/>
          <w:sz w:val="28"/>
          <w:szCs w:val="28"/>
        </w:rPr>
        <w:t>中使用到的各种物质进行重大危险源的计算与辨识。</w:t>
      </w:r>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3）参照《企业职工伤亡事故分类》（GB6441-1986），综合考虑起因物、引发事故的诱导性原因、致害物、伤害方式等，将事故分为物体打击、车辆伤害、机械伤害、起重伤害、触电等20类，对系统中作业场所按照事故类型进行辨识与分析。</w:t>
      </w:r>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（4）根据《生产过程危险和危害因素分类与代码》（GB/T13861-2009）对</w:t>
      </w:r>
      <w:r>
        <w:rPr>
          <w:rFonts w:hint="eastAsia" w:ascii="宋体" w:hAnsi="宋体"/>
          <w:snapToGrid w:val="0"/>
          <w:kern w:val="0"/>
          <w:sz w:val="28"/>
          <w:szCs w:val="28"/>
          <w:lang w:eastAsia="zh-CN"/>
        </w:rPr>
        <w:t>厂区</w:t>
      </w:r>
      <w:r>
        <w:rPr>
          <w:rFonts w:ascii="宋体" w:hAnsi="宋体"/>
          <w:snapToGrid w:val="0"/>
          <w:kern w:val="0"/>
          <w:sz w:val="28"/>
          <w:szCs w:val="28"/>
        </w:rPr>
        <w:t>生产过程中的危险、有害因素进行辨识与分析。</w:t>
      </w:r>
    </w:p>
    <w:p>
      <w:pPr>
        <w:spacing w:line="360" w:lineRule="auto"/>
        <w:ind w:firstLine="560" w:firstLineChars="200"/>
        <w:textAlignment w:val="baseline"/>
        <w:rPr>
          <w:rFonts w:hint="eastAsia" w:ascii="宋体" w:hAnsi="宋体"/>
          <w:sz w:val="28"/>
          <w:szCs w:val="28"/>
        </w:rPr>
      </w:pPr>
      <w:bookmarkStart w:id="58" w:name="_Toc350781092"/>
      <w:bookmarkStart w:id="59" w:name="_Toc480804388"/>
      <w:bookmarkStart w:id="60" w:name="_Toc356401485"/>
      <w:r>
        <w:rPr>
          <w:rFonts w:hint="eastAsia" w:ascii="宋体" w:hAnsi="宋体"/>
          <w:sz w:val="28"/>
          <w:szCs w:val="28"/>
        </w:rPr>
        <w:t>（5）参照</w:t>
      </w:r>
      <w:r>
        <w:rPr>
          <w:rFonts w:hint="eastAsia" w:ascii="宋体" w:hAnsi="宋体"/>
          <w:bCs/>
          <w:sz w:val="28"/>
          <w:szCs w:val="28"/>
        </w:rPr>
        <w:t>《职业病危害因素分类》（</w:t>
      </w:r>
      <w:r>
        <w:rPr>
          <w:rFonts w:ascii="宋体" w:hAnsi="宋体"/>
          <w:bCs/>
          <w:sz w:val="28"/>
          <w:szCs w:val="28"/>
        </w:rPr>
        <w:t>国卫疾控发〔201</w:t>
      </w:r>
      <w:r>
        <w:rPr>
          <w:rFonts w:hint="eastAsia" w:ascii="宋体" w:hAnsi="宋体"/>
          <w:bCs/>
          <w:sz w:val="28"/>
          <w:szCs w:val="28"/>
        </w:rPr>
        <w:t>5</w:t>
      </w:r>
      <w:r>
        <w:rPr>
          <w:rFonts w:ascii="宋体" w:hAnsi="宋体"/>
          <w:bCs/>
          <w:sz w:val="28"/>
          <w:szCs w:val="28"/>
        </w:rPr>
        <w:t>〕</w:t>
      </w:r>
      <w:r>
        <w:rPr>
          <w:rFonts w:hint="eastAsia" w:ascii="宋体" w:hAnsi="宋体"/>
          <w:bCs/>
          <w:sz w:val="28"/>
          <w:szCs w:val="28"/>
        </w:rPr>
        <w:t>92</w:t>
      </w:r>
      <w:r>
        <w:rPr>
          <w:rFonts w:ascii="宋体" w:hAnsi="宋体"/>
          <w:bCs/>
          <w:sz w:val="28"/>
          <w:szCs w:val="28"/>
        </w:rPr>
        <w:t>号</w:t>
      </w:r>
      <w:r>
        <w:rPr>
          <w:rFonts w:hint="eastAsia" w:ascii="宋体" w:hAnsi="宋体"/>
          <w:bCs/>
          <w:sz w:val="28"/>
          <w:szCs w:val="28"/>
        </w:rPr>
        <w:t>）</w:t>
      </w:r>
      <w:r>
        <w:rPr>
          <w:rFonts w:hint="eastAsia" w:ascii="宋体" w:hAnsi="宋体"/>
          <w:sz w:val="28"/>
          <w:szCs w:val="28"/>
        </w:rPr>
        <w:t>对作业环境进行职业危害辨识与分析。</w:t>
      </w:r>
    </w:p>
    <w:p>
      <w:pPr>
        <w:pStyle w:val="8"/>
        <w:spacing w:line="360" w:lineRule="auto"/>
        <w:ind w:firstLine="0" w:firstLineChars="0"/>
        <w:outlineLvl w:val="1"/>
        <w:rPr>
          <w:rFonts w:hint="eastAsia" w:ascii="黑体" w:eastAsia="黑体"/>
          <w:b/>
          <w:snapToGrid w:val="0"/>
          <w:kern w:val="0"/>
          <w:sz w:val="32"/>
          <w:szCs w:val="32"/>
        </w:rPr>
      </w:pPr>
      <w:bookmarkStart w:id="61" w:name="_Toc514342840"/>
      <w:bookmarkStart w:id="62" w:name="_Toc6449"/>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3 危险、有害因素辨识的方法</w:t>
      </w:r>
      <w:bookmarkEnd w:id="58"/>
      <w:bookmarkEnd w:id="59"/>
      <w:bookmarkEnd w:id="60"/>
      <w:bookmarkEnd w:id="61"/>
      <w:bookmarkEnd w:id="62"/>
    </w:p>
    <w:p>
      <w:pPr>
        <w:spacing w:line="360" w:lineRule="auto"/>
        <w:ind w:firstLine="560" w:firstLineChars="200"/>
        <w:textAlignment w:val="baseline"/>
        <w:rPr>
          <w:rFonts w:ascii="宋体" w:hAnsi="宋体"/>
          <w:sz w:val="28"/>
          <w:szCs w:val="28"/>
        </w:rPr>
      </w:pPr>
      <w:r>
        <w:rPr>
          <w:rFonts w:hint="eastAsia" w:ascii="宋体" w:hAnsi="宋体"/>
          <w:sz w:val="28"/>
          <w:szCs w:val="28"/>
          <w:lang w:eastAsia="zh-CN"/>
        </w:rPr>
        <w:t>公司</w:t>
      </w:r>
      <w:r>
        <w:rPr>
          <w:rFonts w:ascii="宋体" w:hAnsi="宋体"/>
          <w:sz w:val="28"/>
          <w:szCs w:val="28"/>
        </w:rPr>
        <w:t>生产过程复杂，生产条件多变，涉及的危险、有害因素较多。必须选择适当的方法识别分析危险和有害因素，为制定相关的防范措施奠定基础。本次安全评价选用对照分析法和专家评议法对生产过程中主要危险、有害因素进行辨识。</w:t>
      </w:r>
    </w:p>
    <w:p>
      <w:pPr>
        <w:spacing w:line="360" w:lineRule="auto"/>
        <w:ind w:firstLine="560" w:firstLineChars="200"/>
        <w:rPr>
          <w:rFonts w:ascii="宋体" w:hAnsi="宋体"/>
          <w:snapToGrid w:val="0"/>
          <w:kern w:val="0"/>
          <w:sz w:val="28"/>
          <w:szCs w:val="28"/>
        </w:rPr>
      </w:pPr>
      <w:r>
        <w:rPr>
          <w:rFonts w:ascii="宋体" w:hAnsi="宋体"/>
          <w:snapToGrid w:val="0"/>
          <w:kern w:val="0"/>
          <w:sz w:val="28"/>
          <w:szCs w:val="28"/>
        </w:rPr>
        <w:t>⑴ 对照分析法</w:t>
      </w:r>
    </w:p>
    <w:p>
      <w:pPr>
        <w:spacing w:line="360" w:lineRule="auto"/>
        <w:ind w:firstLine="560" w:firstLineChars="200"/>
        <w:rPr>
          <w:rFonts w:ascii="宋体" w:hAnsi="宋体"/>
          <w:snapToGrid w:val="0"/>
          <w:kern w:val="0"/>
          <w:sz w:val="28"/>
          <w:szCs w:val="28"/>
        </w:rPr>
      </w:pPr>
      <w:r>
        <w:rPr>
          <w:rFonts w:ascii="宋体" w:hAnsi="宋体"/>
          <w:snapToGrid w:val="0"/>
          <w:kern w:val="0"/>
          <w:sz w:val="28"/>
          <w:szCs w:val="28"/>
        </w:rPr>
        <w:t>对照分析法是对照有关标准、规范、规程、法规或依靠分析人员的观察能力，借助其经验和判断能力，直观地对评价对象的危险因素进行分析的方法。</w:t>
      </w:r>
    </w:p>
    <w:p>
      <w:pPr>
        <w:spacing w:line="360" w:lineRule="auto"/>
        <w:ind w:firstLine="560" w:firstLineChars="200"/>
        <w:rPr>
          <w:rFonts w:ascii="宋体" w:hAnsi="宋体"/>
          <w:snapToGrid w:val="0"/>
          <w:kern w:val="0"/>
          <w:sz w:val="28"/>
          <w:szCs w:val="28"/>
        </w:rPr>
      </w:pPr>
      <w:r>
        <w:rPr>
          <w:rFonts w:ascii="宋体" w:hAnsi="宋体"/>
          <w:snapToGrid w:val="0"/>
          <w:kern w:val="0"/>
          <w:sz w:val="28"/>
          <w:szCs w:val="28"/>
        </w:rPr>
        <w:t>⑵ 专家评议法</w:t>
      </w:r>
    </w:p>
    <w:p>
      <w:pPr>
        <w:pStyle w:val="8"/>
        <w:spacing w:line="360" w:lineRule="auto"/>
        <w:ind w:firstLine="560"/>
        <w:rPr>
          <w:rFonts w:hint="eastAsia" w:ascii="宋体" w:hAnsi="宋体"/>
          <w:snapToGrid w:val="0"/>
          <w:kern w:val="0"/>
          <w:sz w:val="28"/>
          <w:szCs w:val="28"/>
        </w:rPr>
      </w:pPr>
      <w:r>
        <w:rPr>
          <w:rFonts w:ascii="宋体" w:hAnsi="宋体"/>
          <w:snapToGrid w:val="0"/>
          <w:kern w:val="0"/>
          <w:sz w:val="28"/>
          <w:szCs w:val="28"/>
        </w:rPr>
        <w:t>专家评议法是一种吸收专家参加，根据事物过去、现在及发展趋势，进行积极思维活动，对事物的未来进行分析、预测的方法。其实质是集</w:t>
      </w:r>
      <w:r>
        <w:rPr>
          <w:rFonts w:hint="eastAsia" w:ascii="宋体" w:hAnsi="宋体"/>
          <w:snapToGrid w:val="0"/>
          <w:kern w:val="0"/>
          <w:sz w:val="28"/>
          <w:szCs w:val="28"/>
        </w:rPr>
        <w:t>中技术</w:t>
      </w:r>
      <w:r>
        <w:rPr>
          <w:rFonts w:ascii="宋体" w:hAnsi="宋体"/>
          <w:snapToGrid w:val="0"/>
          <w:kern w:val="0"/>
          <w:sz w:val="28"/>
          <w:szCs w:val="28"/>
        </w:rPr>
        <w:t>专家的经验、知识和分析、推断能力来分析、识别危险、有害因素。</w:t>
      </w:r>
    </w:p>
    <w:p>
      <w:pPr>
        <w:pStyle w:val="8"/>
        <w:spacing w:line="360" w:lineRule="auto"/>
        <w:ind w:firstLine="0" w:firstLineChars="0"/>
        <w:outlineLvl w:val="1"/>
        <w:rPr>
          <w:rFonts w:hint="eastAsia" w:ascii="黑体" w:eastAsia="黑体"/>
          <w:b/>
          <w:snapToGrid w:val="0"/>
          <w:kern w:val="0"/>
          <w:sz w:val="32"/>
          <w:szCs w:val="32"/>
        </w:rPr>
      </w:pPr>
      <w:bookmarkStart w:id="63" w:name="_Toc332350845"/>
      <w:bookmarkStart w:id="64" w:name="_Toc514342841"/>
      <w:bookmarkStart w:id="65" w:name="_Toc480804389"/>
      <w:bookmarkStart w:id="66" w:name="_Toc345593159"/>
      <w:bookmarkStart w:id="67" w:name="_Toc356380973"/>
      <w:bookmarkStart w:id="68" w:name="_Toc8976"/>
      <w:bookmarkStart w:id="69" w:name="_Toc356401486"/>
      <w:bookmarkStart w:id="70" w:name="_Toc350781094"/>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4 主要危险、有害物质特性分析</w:t>
      </w:r>
      <w:bookmarkEnd w:id="63"/>
      <w:bookmarkEnd w:id="64"/>
      <w:bookmarkEnd w:id="65"/>
      <w:bookmarkEnd w:id="66"/>
      <w:bookmarkEnd w:id="67"/>
      <w:bookmarkEnd w:id="68"/>
      <w:bookmarkEnd w:id="69"/>
    </w:p>
    <w:p>
      <w:pPr>
        <w:pStyle w:val="8"/>
        <w:spacing w:line="360" w:lineRule="auto"/>
        <w:ind w:firstLine="560"/>
        <w:rPr>
          <w:rFonts w:hint="eastAsia" w:ascii="宋体" w:hAnsi="宋体"/>
          <w:snapToGrid w:val="0"/>
          <w:kern w:val="0"/>
          <w:sz w:val="28"/>
          <w:szCs w:val="28"/>
        </w:rPr>
      </w:pPr>
      <w:r>
        <w:rPr>
          <w:rFonts w:hint="eastAsia" w:ascii="宋体" w:hAnsi="宋体"/>
          <w:snapToGrid w:val="0"/>
          <w:kern w:val="0"/>
          <w:sz w:val="28"/>
          <w:szCs w:val="28"/>
        </w:rPr>
        <w:t>本系统主要使用煤炭作为燃料，点火时使用柴油。煤炭、柴油等物质在燃烧过程中，产生一氧化碳、二氧化碳及硫（磷）氧化物等危险、有害物质，对人体及周边环境造成影响。</w:t>
      </w:r>
    </w:p>
    <w:p>
      <w:pPr>
        <w:pStyle w:val="8"/>
        <w:spacing w:line="360" w:lineRule="auto"/>
        <w:ind w:firstLine="0" w:firstLineChars="0"/>
        <w:outlineLvl w:val="2"/>
        <w:rPr>
          <w:rFonts w:ascii="宋体" w:hAnsi="宋体"/>
          <w:b/>
          <w:snapToGrid w:val="0"/>
          <w:kern w:val="0"/>
          <w:sz w:val="28"/>
          <w:szCs w:val="28"/>
        </w:rPr>
      </w:pPr>
      <w:bookmarkStart w:id="71" w:name="_Toc332350846"/>
      <w:bookmarkStart w:id="72" w:name="_Toc356380974"/>
      <w:bookmarkStart w:id="73" w:name="_Toc480804390"/>
      <w:bookmarkStart w:id="74" w:name="_Toc11038"/>
      <w:bookmarkStart w:id="75" w:name="_Toc356401487"/>
      <w:bookmarkStart w:id="76" w:name="_Toc514342842"/>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4.1 煤</w:t>
      </w:r>
      <w:bookmarkEnd w:id="71"/>
      <w:bookmarkEnd w:id="72"/>
      <w:bookmarkEnd w:id="73"/>
      <w:bookmarkEnd w:id="74"/>
      <w:bookmarkEnd w:id="75"/>
      <w:bookmarkEnd w:id="76"/>
    </w:p>
    <w:p>
      <w:pPr>
        <w:spacing w:line="360" w:lineRule="auto"/>
        <w:ind w:firstLine="560" w:firstLineChars="200"/>
        <w:rPr>
          <w:rFonts w:hint="eastAsia" w:ascii="宋体" w:hAnsi="宋体"/>
          <w:sz w:val="28"/>
          <w:szCs w:val="28"/>
        </w:rPr>
      </w:pPr>
      <w:r>
        <w:rPr>
          <w:rFonts w:hint="eastAsia" w:ascii="宋体" w:hAnsi="宋体"/>
          <w:sz w:val="28"/>
          <w:szCs w:val="28"/>
        </w:rPr>
        <w:t>煤的主要元素是碳，其次是氢，并含有少量的氧、氮、硫。碳和氢是煤的主要可燃元素；氧是煤中的一种有害物质，因为它和碳、氢等可燃元素构成氧化物而使它们推动了进行燃烧的可能性；氮在一般情况下不参加燃烧反应，是燃料中的惰性元素，但在高温条件下，氮和氧形成NOX，这是一种对大气有严重污染作用的有害气体；硫是一种极有害的物质，因为燃烧后生产二氧化硫和三氧化硫，能危害人体健康和造成大气污染。煤炭的储存也很重要，主要是防火灾危险，因为各种煤有不同程度的自燃能力，再加上煤内水分的影响、空气湿度的影响、氧化影响、粒度大小的影响等等，也影响了自燃能力的大小。</w:t>
      </w:r>
    </w:p>
    <w:p>
      <w:pPr>
        <w:pStyle w:val="8"/>
        <w:spacing w:line="360" w:lineRule="auto"/>
        <w:ind w:firstLine="0" w:firstLineChars="0"/>
        <w:outlineLvl w:val="2"/>
        <w:rPr>
          <w:rFonts w:ascii="宋体" w:hAnsi="宋体"/>
          <w:b/>
          <w:snapToGrid w:val="0"/>
          <w:kern w:val="0"/>
          <w:sz w:val="28"/>
          <w:szCs w:val="28"/>
        </w:rPr>
      </w:pPr>
      <w:bookmarkStart w:id="77" w:name="_Toc514342843"/>
      <w:bookmarkStart w:id="78" w:name="_Toc18276"/>
      <w:bookmarkStart w:id="79" w:name="_Toc480804391"/>
      <w:bookmarkStart w:id="80" w:name="_Toc356380975"/>
      <w:bookmarkStart w:id="81" w:name="_Toc332350847"/>
      <w:bookmarkStart w:id="82" w:name="_Toc356401488"/>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4.2 柴油</w:t>
      </w:r>
      <w:bookmarkEnd w:id="77"/>
      <w:bookmarkEnd w:id="78"/>
      <w:bookmarkEnd w:id="79"/>
      <w:bookmarkEnd w:id="80"/>
      <w:bookmarkEnd w:id="81"/>
      <w:bookmarkEnd w:id="82"/>
    </w:p>
    <w:p>
      <w:pPr>
        <w:adjustRightInd w:val="0"/>
        <w:snapToGrid w:val="0"/>
        <w:spacing w:line="360" w:lineRule="auto"/>
        <w:ind w:firstLine="560" w:firstLineChars="200"/>
        <w:rPr>
          <w:rFonts w:hint="eastAsia"/>
          <w:sz w:val="28"/>
          <w:szCs w:val="28"/>
        </w:rPr>
      </w:pPr>
      <w:r>
        <w:rPr>
          <w:rFonts w:hint="eastAsia"/>
          <w:sz w:val="28"/>
          <w:szCs w:val="28"/>
        </w:rPr>
        <w:t>柴油主要是由烷烃、烯烃、芳香烃、多环芳烃与少量硫（2~60</w:t>
      </w:r>
      <w:r>
        <w:rPr>
          <w:sz w:val="28"/>
          <w:szCs w:val="28"/>
        </w:rPr>
        <w:t>g/Kg</w:t>
      </w:r>
      <w:r>
        <w:rPr>
          <w:rFonts w:hint="eastAsia"/>
          <w:sz w:val="28"/>
          <w:szCs w:val="28"/>
        </w:rPr>
        <w:t>）、氮（＜1</w:t>
      </w:r>
      <w:r>
        <w:rPr>
          <w:sz w:val="28"/>
          <w:szCs w:val="28"/>
        </w:rPr>
        <w:t xml:space="preserve"> g/Kg</w:t>
      </w:r>
      <w:r>
        <w:rPr>
          <w:rFonts w:hint="eastAsia"/>
          <w:sz w:val="28"/>
          <w:szCs w:val="28"/>
        </w:rPr>
        <w:t>）及添加剂组成的混合物。以燃料油为例：白色或淡黄色液体，相对密度0.85；熔点</w:t>
      </w:r>
      <w:r>
        <w:rPr>
          <w:sz w:val="28"/>
          <w:szCs w:val="28"/>
        </w:rPr>
        <w:t>--</w:t>
      </w:r>
      <w:r>
        <w:rPr>
          <w:rFonts w:hint="eastAsia"/>
          <w:sz w:val="28"/>
          <w:szCs w:val="28"/>
        </w:rPr>
        <w:t>29.56℃，沸点180~370℃，闪点40℃，蒸气密度4，蒸气压4.0</w:t>
      </w:r>
      <w:r>
        <w:rPr>
          <w:sz w:val="28"/>
          <w:szCs w:val="28"/>
        </w:rPr>
        <w:t>Kpa</w:t>
      </w:r>
      <w:r>
        <w:rPr>
          <w:rFonts w:hint="eastAsia"/>
          <w:sz w:val="28"/>
          <w:szCs w:val="28"/>
        </w:rPr>
        <w:t>。</w:t>
      </w:r>
    </w:p>
    <w:p>
      <w:pPr>
        <w:adjustRightInd w:val="0"/>
        <w:snapToGrid w:val="0"/>
        <w:spacing w:line="360" w:lineRule="auto"/>
        <w:ind w:firstLine="560" w:firstLineChars="200"/>
        <w:rPr>
          <w:rFonts w:hint="eastAsia"/>
          <w:sz w:val="28"/>
          <w:szCs w:val="28"/>
        </w:rPr>
      </w:pPr>
      <w:r>
        <w:rPr>
          <w:rFonts w:hint="eastAsia"/>
          <w:sz w:val="28"/>
          <w:szCs w:val="28"/>
        </w:rPr>
        <w:t>危险性：蒸气与空气混合物可燃限0.7~5.0%；不溶于水；遇热、火花、明火易燃，可蓄积静电，引起电火花；分解和燃烧产物为一氧化化碳、二氧化碳和硫氧化物；避免接触氧化剂。</w:t>
      </w:r>
    </w:p>
    <w:p>
      <w:pPr>
        <w:adjustRightInd w:val="0"/>
        <w:snapToGrid w:val="0"/>
        <w:spacing w:line="360" w:lineRule="auto"/>
        <w:ind w:firstLine="560" w:firstLineChars="200"/>
        <w:rPr>
          <w:rFonts w:hint="eastAsia"/>
          <w:sz w:val="28"/>
          <w:szCs w:val="28"/>
        </w:rPr>
      </w:pPr>
      <w:r>
        <w:rPr>
          <w:rFonts w:hint="eastAsia"/>
          <w:sz w:val="28"/>
          <w:szCs w:val="28"/>
        </w:rPr>
        <w:t>危害性：皮肤大量接触后，个别人可能发生肾脏损害；皮肤接触后，可发生接触性皮炎，表现为红斑、水疱、丘疹。</w:t>
      </w:r>
    </w:p>
    <w:p>
      <w:pPr>
        <w:adjustRightInd w:val="0"/>
        <w:snapToGrid w:val="0"/>
        <w:spacing w:line="360" w:lineRule="auto"/>
        <w:ind w:firstLine="560" w:firstLineChars="200"/>
        <w:rPr>
          <w:rFonts w:hint="eastAsia"/>
          <w:sz w:val="28"/>
          <w:szCs w:val="28"/>
        </w:rPr>
      </w:pPr>
      <w:r>
        <w:rPr>
          <w:rFonts w:hint="eastAsia"/>
          <w:sz w:val="28"/>
          <w:szCs w:val="28"/>
        </w:rPr>
        <w:t>灭火剂：泡沫、干粉、二氧化碳、砂土。</w:t>
      </w:r>
    </w:p>
    <w:p>
      <w:pPr>
        <w:adjustRightInd w:val="0"/>
        <w:snapToGrid w:val="0"/>
        <w:spacing w:line="360" w:lineRule="auto"/>
        <w:ind w:firstLine="560" w:firstLineChars="200"/>
        <w:rPr>
          <w:rFonts w:hint="eastAsia"/>
          <w:sz w:val="28"/>
          <w:szCs w:val="28"/>
        </w:rPr>
      </w:pPr>
      <w:r>
        <w:rPr>
          <w:rFonts w:hint="eastAsia"/>
          <w:sz w:val="28"/>
          <w:szCs w:val="28"/>
        </w:rPr>
        <w:t>着火性、流动性和凝点是柴油性能的重要指标。</w:t>
      </w:r>
    </w:p>
    <w:p>
      <w:pPr>
        <w:pStyle w:val="8"/>
        <w:spacing w:line="360" w:lineRule="auto"/>
        <w:ind w:firstLine="0" w:firstLineChars="0"/>
        <w:outlineLvl w:val="2"/>
        <w:rPr>
          <w:rFonts w:hint="eastAsia" w:ascii="宋体" w:hAnsi="宋体"/>
          <w:b/>
          <w:snapToGrid w:val="0"/>
          <w:kern w:val="0"/>
          <w:sz w:val="28"/>
          <w:szCs w:val="28"/>
        </w:rPr>
      </w:pPr>
      <w:bookmarkStart w:id="83" w:name="_Toc356401489"/>
      <w:bookmarkStart w:id="84" w:name="_Toc514342844"/>
      <w:bookmarkStart w:id="85" w:name="_Toc332350848"/>
      <w:bookmarkStart w:id="86" w:name="_Toc9458"/>
      <w:bookmarkStart w:id="87" w:name="_Toc356380976"/>
      <w:bookmarkStart w:id="88" w:name="_Toc480804392"/>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4.3 一氧化碳</w:t>
      </w:r>
      <w:bookmarkEnd w:id="83"/>
      <w:bookmarkEnd w:id="84"/>
      <w:bookmarkEnd w:id="85"/>
      <w:bookmarkEnd w:id="86"/>
      <w:bookmarkEnd w:id="87"/>
      <w:bookmarkEnd w:id="88"/>
    </w:p>
    <w:p>
      <w:pPr>
        <w:adjustRightInd w:val="0"/>
        <w:snapToGrid w:val="0"/>
        <w:spacing w:line="360" w:lineRule="auto"/>
        <w:ind w:firstLine="560" w:firstLineChars="200"/>
        <w:rPr>
          <w:rFonts w:hint="eastAsia"/>
          <w:sz w:val="28"/>
          <w:szCs w:val="28"/>
        </w:rPr>
      </w:pPr>
      <w:r>
        <w:rPr>
          <w:rFonts w:hint="eastAsia"/>
          <w:sz w:val="28"/>
          <w:szCs w:val="28"/>
        </w:rPr>
        <w:t xml:space="preserve">英文名：Carbon  Monoxide               分子式：CO   </w:t>
      </w:r>
    </w:p>
    <w:p>
      <w:pPr>
        <w:adjustRightInd w:val="0"/>
        <w:snapToGrid w:val="0"/>
        <w:spacing w:line="360" w:lineRule="auto"/>
        <w:ind w:firstLine="560" w:firstLineChars="200"/>
        <w:rPr>
          <w:rFonts w:hint="eastAsia"/>
          <w:sz w:val="28"/>
          <w:szCs w:val="28"/>
        </w:rPr>
      </w:pPr>
      <w:r>
        <w:rPr>
          <w:rFonts w:hint="eastAsia"/>
          <w:sz w:val="28"/>
          <w:szCs w:val="28"/>
        </w:rPr>
        <w:t xml:space="preserve">性状：无色、无味气体；                 熔点：-199．1℃   </w:t>
      </w:r>
    </w:p>
    <w:p>
      <w:pPr>
        <w:adjustRightInd w:val="0"/>
        <w:snapToGrid w:val="0"/>
        <w:spacing w:line="360" w:lineRule="auto"/>
        <w:ind w:firstLine="560" w:firstLineChars="200"/>
        <w:rPr>
          <w:rFonts w:hint="eastAsia"/>
          <w:sz w:val="28"/>
          <w:szCs w:val="28"/>
        </w:rPr>
      </w:pPr>
      <w:r>
        <w:rPr>
          <w:rFonts w:hint="eastAsia"/>
          <w:sz w:val="28"/>
          <w:szCs w:val="28"/>
        </w:rPr>
        <w:t xml:space="preserve">沸点：-192℃                           相对密度：0．97   </w:t>
      </w:r>
    </w:p>
    <w:p>
      <w:pPr>
        <w:adjustRightInd w:val="0"/>
        <w:snapToGrid w:val="0"/>
        <w:spacing w:line="360" w:lineRule="auto"/>
        <w:ind w:firstLine="560" w:firstLineChars="200"/>
        <w:rPr>
          <w:rFonts w:hint="eastAsia"/>
          <w:sz w:val="28"/>
          <w:szCs w:val="28"/>
        </w:rPr>
      </w:pPr>
      <w:r>
        <w:rPr>
          <w:rFonts w:hint="eastAsia"/>
          <w:sz w:val="28"/>
          <w:szCs w:val="28"/>
        </w:rPr>
        <w:t>危险性类别：第2.易燃气体               危编号：21005</w:t>
      </w:r>
    </w:p>
    <w:p>
      <w:pPr>
        <w:adjustRightInd w:val="0"/>
        <w:snapToGrid w:val="0"/>
        <w:spacing w:line="360" w:lineRule="auto"/>
        <w:ind w:firstLine="560" w:firstLineChars="200"/>
        <w:rPr>
          <w:rFonts w:hint="eastAsia"/>
          <w:sz w:val="28"/>
          <w:szCs w:val="28"/>
        </w:rPr>
      </w:pPr>
      <w:r>
        <w:rPr>
          <w:rFonts w:hint="eastAsia"/>
          <w:sz w:val="28"/>
          <w:szCs w:val="28"/>
        </w:rPr>
        <w:t>un：1016(气体)                     爆炸极限：12</w:t>
      </w:r>
      <w:r>
        <w:rPr>
          <w:sz w:val="28"/>
          <w:szCs w:val="28"/>
        </w:rPr>
        <w:t>.</w:t>
      </w:r>
      <w:r>
        <w:rPr>
          <w:rFonts w:hint="eastAsia"/>
          <w:sz w:val="28"/>
          <w:szCs w:val="28"/>
        </w:rPr>
        <w:t>5~74％（V）</w:t>
      </w:r>
    </w:p>
    <w:p>
      <w:pPr>
        <w:adjustRightInd w:val="0"/>
        <w:snapToGrid w:val="0"/>
        <w:spacing w:line="360" w:lineRule="auto"/>
        <w:ind w:firstLine="560" w:firstLineChars="200"/>
        <w:rPr>
          <w:rFonts w:hint="eastAsia"/>
          <w:sz w:val="28"/>
          <w:szCs w:val="28"/>
        </w:rPr>
      </w:pPr>
      <w:r>
        <w:rPr>
          <w:rFonts w:hint="eastAsia"/>
          <w:sz w:val="28"/>
          <w:szCs w:val="28"/>
        </w:rPr>
        <w:t>最高容许浓度：30mg／m³(按职业性接触毒物危害程度分级为Ⅱ级，高度危害物质)。</w:t>
      </w:r>
    </w:p>
    <w:p>
      <w:pPr>
        <w:adjustRightInd w:val="0"/>
        <w:snapToGrid w:val="0"/>
        <w:spacing w:line="360" w:lineRule="auto"/>
        <w:ind w:firstLine="560" w:firstLineChars="200"/>
        <w:rPr>
          <w:rFonts w:hint="eastAsia"/>
          <w:sz w:val="28"/>
          <w:szCs w:val="28"/>
        </w:rPr>
      </w:pPr>
      <w:r>
        <w:rPr>
          <w:rFonts w:hint="eastAsia"/>
          <w:sz w:val="28"/>
          <w:szCs w:val="28"/>
        </w:rPr>
        <w:t>健康危害：一氧化碳在血液中与血红蛋白结合而造成组织缺氧。</w:t>
      </w:r>
    </w:p>
    <w:p>
      <w:pPr>
        <w:adjustRightInd w:val="0"/>
        <w:snapToGrid w:val="0"/>
        <w:spacing w:line="360" w:lineRule="auto"/>
        <w:ind w:firstLine="560" w:firstLineChars="200"/>
        <w:rPr>
          <w:rFonts w:hint="eastAsia"/>
          <w:sz w:val="28"/>
          <w:szCs w:val="28"/>
        </w:rPr>
      </w:pPr>
      <w:r>
        <w:rPr>
          <w:rFonts w:hint="eastAsia"/>
          <w:sz w:val="28"/>
          <w:szCs w:val="28"/>
        </w:rPr>
        <w:t>急性中毒：轻度中毒出现头痛、头晕、耳鸣、心悸、恶心、呕吐、无力；中度中毒除出现上述症状外还有皮肤粘膜呈樱红色、脉快、烦躁、步态不稳；重度患者深度昏迷、瞳孔扩大、肌张力增强，频繁抽搐、大小便失禁、休克、肺水肿、严重心肌损害等。</w:t>
      </w:r>
    </w:p>
    <w:p>
      <w:pPr>
        <w:pStyle w:val="8"/>
        <w:spacing w:line="360" w:lineRule="auto"/>
        <w:ind w:firstLine="0" w:firstLineChars="0"/>
        <w:outlineLvl w:val="2"/>
        <w:rPr>
          <w:rFonts w:hint="eastAsia" w:ascii="宋体" w:hAnsi="宋体"/>
          <w:b/>
          <w:snapToGrid w:val="0"/>
          <w:kern w:val="0"/>
          <w:sz w:val="28"/>
          <w:szCs w:val="28"/>
        </w:rPr>
      </w:pPr>
      <w:bookmarkStart w:id="89" w:name="_Toc332350849"/>
      <w:bookmarkStart w:id="90" w:name="_Toc514342845"/>
      <w:bookmarkStart w:id="91" w:name="_Toc480804393"/>
      <w:bookmarkStart w:id="92" w:name="_Toc356380977"/>
      <w:bookmarkStart w:id="93" w:name="_Toc356401490"/>
      <w:bookmarkStart w:id="94" w:name="_Toc17945"/>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4.4 二氧化碳</w:t>
      </w:r>
      <w:bookmarkEnd w:id="89"/>
      <w:bookmarkEnd w:id="90"/>
      <w:bookmarkEnd w:id="91"/>
      <w:bookmarkEnd w:id="92"/>
      <w:bookmarkEnd w:id="93"/>
      <w:bookmarkEnd w:id="94"/>
      <w:r>
        <w:rPr>
          <w:rFonts w:hint="eastAsia" w:ascii="宋体" w:hAnsi="宋体"/>
          <w:b/>
          <w:snapToGrid w:val="0"/>
          <w:kern w:val="0"/>
          <w:sz w:val="28"/>
          <w:szCs w:val="28"/>
        </w:rPr>
        <w:t xml:space="preserve"> </w:t>
      </w:r>
    </w:p>
    <w:p>
      <w:pPr>
        <w:adjustRightInd w:val="0"/>
        <w:snapToGrid w:val="0"/>
        <w:spacing w:line="360" w:lineRule="auto"/>
        <w:ind w:firstLine="560" w:firstLineChars="200"/>
        <w:rPr>
          <w:rFonts w:hint="eastAsia"/>
          <w:sz w:val="28"/>
          <w:szCs w:val="28"/>
        </w:rPr>
      </w:pPr>
      <w:r>
        <w:rPr>
          <w:rFonts w:hint="eastAsia"/>
          <w:sz w:val="28"/>
          <w:szCs w:val="28"/>
        </w:rPr>
        <w:t xml:space="preserve">英文名：Carbon  Dioxide             分子式：C02   </w:t>
      </w:r>
    </w:p>
    <w:p>
      <w:pPr>
        <w:adjustRightInd w:val="0"/>
        <w:snapToGrid w:val="0"/>
        <w:spacing w:line="360" w:lineRule="auto"/>
        <w:ind w:firstLine="560" w:firstLineChars="200"/>
        <w:rPr>
          <w:rFonts w:hint="eastAsia"/>
          <w:sz w:val="28"/>
          <w:szCs w:val="28"/>
        </w:rPr>
      </w:pPr>
      <w:r>
        <w:rPr>
          <w:rFonts w:hint="eastAsia"/>
          <w:sz w:val="28"/>
          <w:szCs w:val="28"/>
        </w:rPr>
        <w:t xml:space="preserve">性状：无色、无味、不燃的气体        熔点：-56．6℃   </w:t>
      </w:r>
    </w:p>
    <w:p>
      <w:pPr>
        <w:adjustRightInd w:val="0"/>
        <w:snapToGrid w:val="0"/>
        <w:spacing w:line="360" w:lineRule="auto"/>
        <w:ind w:firstLine="560" w:firstLineChars="200"/>
        <w:rPr>
          <w:rFonts w:hint="eastAsia"/>
          <w:sz w:val="28"/>
          <w:szCs w:val="28"/>
        </w:rPr>
      </w:pPr>
      <w:r>
        <w:rPr>
          <w:rFonts w:hint="eastAsia"/>
          <w:sz w:val="28"/>
          <w:szCs w:val="28"/>
        </w:rPr>
        <w:t>沸点：-78．5℃(升华)           危险性类别：第2.2不燃气体</w:t>
      </w:r>
    </w:p>
    <w:p>
      <w:pPr>
        <w:adjustRightInd w:val="0"/>
        <w:snapToGrid w:val="0"/>
        <w:spacing w:line="360" w:lineRule="auto"/>
        <w:ind w:firstLine="560" w:firstLineChars="200"/>
        <w:rPr>
          <w:rFonts w:hint="eastAsia"/>
          <w:sz w:val="28"/>
          <w:szCs w:val="28"/>
        </w:rPr>
      </w:pPr>
      <w:r>
        <w:rPr>
          <w:rFonts w:hint="eastAsia"/>
          <w:sz w:val="28"/>
          <w:szCs w:val="28"/>
        </w:rPr>
        <w:t>危编号：22019                        un：1013（气体）</w:t>
      </w:r>
    </w:p>
    <w:p>
      <w:pPr>
        <w:adjustRightInd w:val="0"/>
        <w:snapToGrid w:val="0"/>
        <w:spacing w:line="360" w:lineRule="auto"/>
        <w:ind w:firstLine="560" w:firstLineChars="200"/>
        <w:rPr>
          <w:rFonts w:hint="eastAsia"/>
          <w:sz w:val="28"/>
          <w:szCs w:val="28"/>
        </w:rPr>
      </w:pPr>
      <w:r>
        <w:rPr>
          <w:rFonts w:hint="eastAsia"/>
          <w:sz w:val="28"/>
          <w:szCs w:val="28"/>
        </w:rPr>
        <w:t>健康危害：在低浓度时，对呼吸中枢呈兴奋作用，高浓度时则产生抑制甚至麻痹作用。中毒机制中还兼有缺氧的因素。</w:t>
      </w:r>
    </w:p>
    <w:p>
      <w:pPr>
        <w:adjustRightInd w:val="0"/>
        <w:snapToGrid w:val="0"/>
        <w:spacing w:line="360" w:lineRule="auto"/>
        <w:ind w:firstLine="560" w:firstLineChars="200"/>
        <w:rPr>
          <w:rFonts w:hint="eastAsia"/>
          <w:sz w:val="28"/>
          <w:szCs w:val="28"/>
        </w:rPr>
      </w:pPr>
      <w:r>
        <w:rPr>
          <w:rFonts w:hint="eastAsia"/>
          <w:sz w:val="28"/>
          <w:szCs w:val="28"/>
        </w:rPr>
        <w:t>急性中毒：人进入高浓度二氧化碳环境，在几秒钟迅速昏迷倒下，反射消失、瞳孔扩大或缩小、大小便失禁、呕吐等，更严重者出现呼吸停止及休克，甚至死亡。</w:t>
      </w:r>
    </w:p>
    <w:p>
      <w:pPr>
        <w:adjustRightInd w:val="0"/>
        <w:snapToGrid w:val="0"/>
        <w:spacing w:line="360" w:lineRule="auto"/>
        <w:ind w:firstLine="560" w:firstLineChars="200"/>
        <w:rPr>
          <w:rFonts w:hint="eastAsia"/>
          <w:sz w:val="28"/>
          <w:szCs w:val="28"/>
        </w:rPr>
      </w:pPr>
      <w:r>
        <w:rPr>
          <w:rFonts w:hint="eastAsia"/>
          <w:sz w:val="28"/>
          <w:szCs w:val="28"/>
        </w:rPr>
        <w:t>慢性影响：经常接触较高的二氧化碳者，会有头晕、头痛、失眠、易兴奋、无力等神经功能紊乱等主诉。</w:t>
      </w:r>
    </w:p>
    <w:p>
      <w:pPr>
        <w:adjustRightInd w:val="0"/>
        <w:snapToGrid w:val="0"/>
        <w:spacing w:line="360" w:lineRule="auto"/>
        <w:ind w:firstLine="560" w:firstLineChars="200"/>
        <w:rPr>
          <w:rFonts w:hint="eastAsia"/>
          <w:sz w:val="28"/>
          <w:szCs w:val="28"/>
        </w:rPr>
      </w:pPr>
      <w:r>
        <w:rPr>
          <w:rFonts w:hint="eastAsia"/>
          <w:sz w:val="28"/>
          <w:szCs w:val="28"/>
        </w:rPr>
        <w:t>防护措施：呼吸系统防护：一般不需特殊防护，高浓度接触时可佩戴空气呼吸器；眼睛防护：一般不需特殊防护；身体防护：穿一般作业工作服；手防护：戴一般作业防护手套；其它：避免高浓度吸入。</w:t>
      </w:r>
    </w:p>
    <w:p>
      <w:pPr>
        <w:pStyle w:val="8"/>
        <w:spacing w:line="360" w:lineRule="auto"/>
        <w:ind w:firstLine="0" w:firstLineChars="0"/>
        <w:outlineLvl w:val="2"/>
        <w:rPr>
          <w:rFonts w:hint="eastAsia" w:ascii="宋体" w:hAnsi="宋体"/>
          <w:b/>
          <w:snapToGrid w:val="0"/>
          <w:kern w:val="0"/>
          <w:sz w:val="28"/>
          <w:szCs w:val="28"/>
        </w:rPr>
      </w:pPr>
      <w:bookmarkStart w:id="95" w:name="_Toc356401491"/>
      <w:bookmarkStart w:id="96" w:name="_Toc608"/>
      <w:bookmarkStart w:id="97" w:name="_Toc480804394"/>
      <w:bookmarkStart w:id="98" w:name="_Toc356380978"/>
      <w:bookmarkStart w:id="99" w:name="_Toc514342846"/>
      <w:bookmarkStart w:id="100" w:name="_Toc332350850"/>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4.5 二氧化硫（三氧化硫参考）</w:t>
      </w:r>
      <w:bookmarkEnd w:id="95"/>
      <w:bookmarkEnd w:id="96"/>
      <w:bookmarkEnd w:id="97"/>
      <w:bookmarkEnd w:id="98"/>
      <w:bookmarkEnd w:id="99"/>
      <w:bookmarkEnd w:id="100"/>
    </w:p>
    <w:p>
      <w:pPr>
        <w:adjustRightInd w:val="0"/>
        <w:snapToGrid w:val="0"/>
        <w:spacing w:line="360" w:lineRule="auto"/>
        <w:ind w:firstLine="560" w:firstLineChars="200"/>
        <w:rPr>
          <w:rFonts w:hint="eastAsia"/>
          <w:sz w:val="28"/>
          <w:szCs w:val="28"/>
        </w:rPr>
      </w:pPr>
      <w:r>
        <w:rPr>
          <w:rFonts w:hint="eastAsia"/>
          <w:sz w:val="28"/>
          <w:szCs w:val="28"/>
        </w:rPr>
        <w:t>英文名：（S</w:t>
      </w:r>
      <w:r>
        <w:rPr>
          <w:sz w:val="28"/>
          <w:szCs w:val="28"/>
        </w:rPr>
        <w:t xml:space="preserve">ulfur  </w:t>
      </w:r>
      <w:r>
        <w:rPr>
          <w:rFonts w:hint="eastAsia"/>
          <w:sz w:val="28"/>
          <w:szCs w:val="28"/>
        </w:rPr>
        <w:t>D</w:t>
      </w:r>
      <w:r>
        <w:rPr>
          <w:sz w:val="28"/>
          <w:szCs w:val="28"/>
        </w:rPr>
        <w:t>ioxide</w:t>
      </w:r>
      <w:r>
        <w:rPr>
          <w:rFonts w:hint="eastAsia"/>
          <w:sz w:val="28"/>
          <w:szCs w:val="28"/>
        </w:rPr>
        <w:t>）           分子式：</w:t>
      </w:r>
      <w:r>
        <w:rPr>
          <w:sz w:val="28"/>
          <w:szCs w:val="28"/>
        </w:rPr>
        <w:t>SO2</w:t>
      </w:r>
      <w:r>
        <w:rPr>
          <w:rFonts w:hint="eastAsia"/>
          <w:sz w:val="28"/>
          <w:szCs w:val="28"/>
        </w:rPr>
        <w:t xml:space="preserve">     </w:t>
      </w:r>
    </w:p>
    <w:p>
      <w:pPr>
        <w:adjustRightInd w:val="0"/>
        <w:snapToGrid w:val="0"/>
        <w:spacing w:line="360" w:lineRule="auto"/>
        <w:ind w:firstLine="560" w:firstLineChars="200"/>
        <w:rPr>
          <w:rFonts w:hint="eastAsia"/>
          <w:sz w:val="28"/>
          <w:szCs w:val="28"/>
        </w:rPr>
      </w:pPr>
      <w:r>
        <w:rPr>
          <w:rFonts w:hint="eastAsia"/>
          <w:sz w:val="28"/>
          <w:szCs w:val="28"/>
        </w:rPr>
        <w:t xml:space="preserve">外观及性状：无色气体，室温下具有强烈刺激气味，可溶于水及有机溶剂 </w:t>
      </w:r>
    </w:p>
    <w:p>
      <w:pPr>
        <w:adjustRightInd w:val="0"/>
        <w:snapToGrid w:val="0"/>
        <w:spacing w:line="360" w:lineRule="auto"/>
        <w:ind w:firstLine="560" w:firstLineChars="200"/>
        <w:rPr>
          <w:rFonts w:hint="eastAsia"/>
          <w:sz w:val="28"/>
          <w:szCs w:val="28"/>
        </w:rPr>
      </w:pPr>
      <w:r>
        <w:rPr>
          <w:rFonts w:hint="eastAsia"/>
          <w:sz w:val="28"/>
          <w:szCs w:val="28"/>
        </w:rPr>
        <w:t>熔点：</w:t>
      </w:r>
      <w:r>
        <w:rPr>
          <w:sz w:val="28"/>
          <w:szCs w:val="28"/>
        </w:rPr>
        <w:t>-75.5</w:t>
      </w:r>
      <w:r>
        <w:rPr>
          <w:rFonts w:hint="eastAsia"/>
          <w:sz w:val="28"/>
          <w:szCs w:val="28"/>
        </w:rPr>
        <w:t xml:space="preserve"> ℃                       沸点：</w:t>
      </w:r>
      <w:r>
        <w:rPr>
          <w:sz w:val="28"/>
          <w:szCs w:val="28"/>
        </w:rPr>
        <w:t>-10</w:t>
      </w:r>
      <w:r>
        <w:rPr>
          <w:rFonts w:hint="eastAsia"/>
          <w:sz w:val="28"/>
          <w:szCs w:val="28"/>
        </w:rPr>
        <w:t xml:space="preserve"> ℃  </w:t>
      </w:r>
    </w:p>
    <w:p>
      <w:pPr>
        <w:adjustRightInd w:val="0"/>
        <w:snapToGrid w:val="0"/>
        <w:spacing w:line="360" w:lineRule="auto"/>
        <w:ind w:firstLine="560" w:firstLineChars="200"/>
        <w:rPr>
          <w:rFonts w:hint="eastAsia"/>
          <w:sz w:val="28"/>
          <w:szCs w:val="28"/>
        </w:rPr>
      </w:pPr>
      <w:r>
        <w:rPr>
          <w:rFonts w:hint="eastAsia"/>
          <w:sz w:val="28"/>
          <w:szCs w:val="28"/>
        </w:rPr>
        <w:t xml:space="preserve">危险性类别：第2.3有毒气体           危编号： </w:t>
      </w:r>
      <w:r>
        <w:rPr>
          <w:sz w:val="28"/>
          <w:szCs w:val="28"/>
        </w:rPr>
        <w:t>23013</w:t>
      </w:r>
    </w:p>
    <w:p>
      <w:pPr>
        <w:adjustRightInd w:val="0"/>
        <w:snapToGrid w:val="0"/>
        <w:spacing w:line="360" w:lineRule="auto"/>
        <w:ind w:firstLine="560" w:firstLineChars="200"/>
        <w:rPr>
          <w:rFonts w:hint="eastAsia"/>
          <w:sz w:val="28"/>
          <w:szCs w:val="28"/>
        </w:rPr>
      </w:pPr>
      <w:r>
        <w:rPr>
          <w:sz w:val="28"/>
          <w:szCs w:val="28"/>
        </w:rPr>
        <w:t>UN</w:t>
      </w:r>
      <w:r>
        <w:rPr>
          <w:rFonts w:hint="eastAsia"/>
          <w:sz w:val="28"/>
          <w:szCs w:val="28"/>
        </w:rPr>
        <w:t>：1079                    相对密度：</w:t>
      </w:r>
      <w:r>
        <w:rPr>
          <w:sz w:val="28"/>
          <w:szCs w:val="28"/>
        </w:rPr>
        <w:t>1.43</w:t>
      </w:r>
      <w:r>
        <w:rPr>
          <w:rFonts w:hint="eastAsia"/>
          <w:sz w:val="28"/>
          <w:szCs w:val="28"/>
        </w:rPr>
        <w:t>（液化）；</w:t>
      </w:r>
      <w:r>
        <w:rPr>
          <w:sz w:val="28"/>
          <w:szCs w:val="28"/>
        </w:rPr>
        <w:t>2.26</w:t>
      </w:r>
      <w:r>
        <w:rPr>
          <w:rFonts w:hint="eastAsia"/>
          <w:sz w:val="28"/>
          <w:szCs w:val="28"/>
        </w:rPr>
        <w:t>（气）</w:t>
      </w:r>
    </w:p>
    <w:p>
      <w:pPr>
        <w:adjustRightInd w:val="0"/>
        <w:snapToGrid w:val="0"/>
        <w:spacing w:line="360" w:lineRule="auto"/>
        <w:ind w:firstLine="560" w:firstLineChars="200"/>
        <w:rPr>
          <w:sz w:val="28"/>
          <w:szCs w:val="28"/>
        </w:rPr>
      </w:pPr>
      <w:r>
        <w:rPr>
          <w:rFonts w:hint="eastAsia"/>
          <w:sz w:val="28"/>
          <w:szCs w:val="28"/>
        </w:rPr>
        <w:t>空气中允许极限：中国</w:t>
      </w:r>
      <w:r>
        <w:rPr>
          <w:sz w:val="28"/>
          <w:szCs w:val="28"/>
        </w:rPr>
        <w:t>MAC</w:t>
      </w:r>
      <w:r>
        <w:rPr>
          <w:rFonts w:hint="eastAsia"/>
          <w:sz w:val="28"/>
          <w:szCs w:val="28"/>
        </w:rPr>
        <w:t>：</w:t>
      </w:r>
      <w:r>
        <w:rPr>
          <w:sz w:val="28"/>
          <w:szCs w:val="28"/>
        </w:rPr>
        <w:t>15mg/m3</w:t>
      </w:r>
    </w:p>
    <w:p>
      <w:pPr>
        <w:adjustRightInd w:val="0"/>
        <w:snapToGrid w:val="0"/>
        <w:spacing w:line="360" w:lineRule="auto"/>
        <w:ind w:firstLine="560" w:firstLineChars="200"/>
        <w:rPr>
          <w:sz w:val="28"/>
          <w:szCs w:val="28"/>
        </w:rPr>
      </w:pPr>
      <w:r>
        <w:rPr>
          <w:rFonts w:hint="eastAsia"/>
          <w:sz w:val="28"/>
          <w:szCs w:val="28"/>
        </w:rPr>
        <w:t>健康危害：短期暴露：吸入刺激鼻、咽喉，出现流涕、呼吸困难、气阻、咳嗽、肺水肿、喘鸣、胸闷、肺炎，直至死亡；刺激皮肤，尤其湿润皮肤；接触液体可致冻伤和化学烧伤、紫绀；还可刺激眼，造成冻伤、失明；食入会引起口腔冻伤、化学烧伤、恶心、呕吐、腹疼；长期暴露，刺激咽喉和肺，出现鼻出血，对哮喘、肺功能不正常、心血管病人更危险。</w:t>
      </w:r>
    </w:p>
    <w:p>
      <w:pPr>
        <w:adjustRightInd w:val="0"/>
        <w:snapToGrid w:val="0"/>
        <w:spacing w:line="360" w:lineRule="auto"/>
        <w:ind w:firstLine="560" w:firstLineChars="200"/>
        <w:rPr>
          <w:sz w:val="28"/>
          <w:szCs w:val="28"/>
        </w:rPr>
      </w:pPr>
      <w:r>
        <w:rPr>
          <w:rFonts w:hint="eastAsia"/>
          <w:sz w:val="28"/>
          <w:szCs w:val="28"/>
        </w:rPr>
        <w:t>急救措施：眼接触：立即清洗。皮肤接触：立即用大量水清洗。吸入：将患者移至新鲜空气处，施行人工呼吸。</w:t>
      </w:r>
    </w:p>
    <w:p>
      <w:pPr>
        <w:adjustRightInd w:val="0"/>
        <w:snapToGrid w:val="0"/>
        <w:spacing w:line="360" w:lineRule="auto"/>
        <w:ind w:firstLine="560" w:firstLineChars="200"/>
        <w:rPr>
          <w:rFonts w:hint="eastAsia"/>
          <w:sz w:val="28"/>
          <w:szCs w:val="28"/>
        </w:rPr>
      </w:pPr>
      <w:r>
        <w:rPr>
          <w:rFonts w:hint="eastAsia"/>
          <w:sz w:val="28"/>
          <w:szCs w:val="28"/>
        </w:rPr>
        <w:t xml:space="preserve">防护措施：戴护目镜，穿防护服；选用适当呼吸器；提供应急眼药水；定期检查皮肤、眼睛及呼吸系统 </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01" w:name="_Toc515659433"/>
      <w:bookmarkStart w:id="102" w:name="_Toc18120"/>
      <w:r>
        <w:rPr>
          <w:rFonts w:hint="eastAsia" w:ascii="宋体" w:hAnsi="宋体"/>
          <w:b/>
          <w:snapToGrid w:val="0"/>
          <w:kern w:val="0"/>
          <w:sz w:val="28"/>
          <w:szCs w:val="28"/>
          <w:lang w:val="en-US" w:eastAsia="zh-CN"/>
        </w:rPr>
        <w:t>3.4.6 柴油安全数据表</w:t>
      </w:r>
      <w:bookmarkEnd w:id="101"/>
      <w:bookmarkEnd w:id="102"/>
    </w:p>
    <w:p>
      <w:pPr>
        <w:jc w:val="center"/>
        <w:rPr>
          <w:rFonts w:ascii="黑体" w:hAnsi="黑体" w:eastAsia="黑体"/>
          <w:b/>
          <w:sz w:val="24"/>
        </w:rPr>
      </w:pPr>
      <w:r>
        <w:rPr>
          <w:rFonts w:ascii="黑体" w:hAnsi="黑体" w:eastAsia="黑体"/>
          <w:b/>
          <w:sz w:val="24"/>
        </w:rPr>
        <w:t>表3-</w:t>
      </w:r>
      <w:r>
        <w:rPr>
          <w:rFonts w:hint="eastAsia" w:ascii="黑体" w:hAnsi="黑体" w:eastAsia="黑体"/>
          <w:b/>
          <w:sz w:val="24"/>
        </w:rPr>
        <w:t>1 柴油物料安全数据表</w:t>
      </w:r>
    </w:p>
    <w:tbl>
      <w:tblPr>
        <w:tblStyle w:val="19"/>
        <w:tblW w:w="8522" w:type="dxa"/>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568"/>
        <w:gridCol w:w="795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szCs w:val="21"/>
              </w:rPr>
            </w:pPr>
            <w:r>
              <w:rPr>
                <w:rFonts w:ascii="宋体" w:hAnsi="宋体"/>
                <w:b/>
                <w:bCs/>
                <w:szCs w:val="21"/>
              </w:rPr>
              <w:t>标</w:t>
            </w:r>
          </w:p>
          <w:p>
            <w:pPr>
              <w:adjustRightInd w:val="0"/>
              <w:snapToGrid w:val="0"/>
              <w:jc w:val="left"/>
              <w:rPr>
                <w:rFonts w:ascii="宋体" w:hAnsi="宋体"/>
                <w:szCs w:val="21"/>
              </w:rPr>
            </w:pPr>
            <w:r>
              <w:rPr>
                <w:rFonts w:ascii="宋体" w:hAnsi="宋体"/>
                <w:b/>
                <w:bCs/>
                <w:szCs w:val="21"/>
              </w:rPr>
              <w:t>识</w:t>
            </w:r>
          </w:p>
        </w:tc>
        <w:tc>
          <w:tcPr>
            <w:tcW w:w="7954" w:type="dxa"/>
            <w:noWrap w:val="0"/>
            <w:vAlign w:val="center"/>
          </w:tcPr>
          <w:p>
            <w:pPr>
              <w:adjustRightInd w:val="0"/>
              <w:snapToGrid w:val="0"/>
              <w:jc w:val="left"/>
              <w:rPr>
                <w:rFonts w:ascii="宋体" w:hAnsi="宋体"/>
                <w:szCs w:val="21"/>
              </w:rPr>
            </w:pPr>
            <w:r>
              <w:rPr>
                <w:rFonts w:ascii="宋体" w:hAnsi="宋体"/>
                <w:b/>
                <w:bCs/>
                <w:szCs w:val="21"/>
              </w:rPr>
              <w:t>中文名：</w:t>
            </w:r>
            <w:r>
              <w:rPr>
                <w:rFonts w:ascii="宋体" w:hAnsi="宋体"/>
                <w:szCs w:val="21"/>
              </w:rPr>
              <w:t xml:space="preserve">柴油              </w:t>
            </w:r>
            <w:r>
              <w:rPr>
                <w:rFonts w:ascii="宋体" w:hAnsi="宋体"/>
                <w:b/>
                <w:bCs/>
                <w:szCs w:val="21"/>
              </w:rPr>
              <w:t>英文名：</w:t>
            </w:r>
            <w:r>
              <w:rPr>
                <w:rFonts w:ascii="宋体" w:hAnsi="宋体"/>
                <w:szCs w:val="21"/>
              </w:rPr>
              <w:t>Diesel oil</w:t>
            </w:r>
          </w:p>
          <w:p>
            <w:pPr>
              <w:adjustRightInd w:val="0"/>
              <w:snapToGrid w:val="0"/>
              <w:jc w:val="left"/>
              <w:rPr>
                <w:rFonts w:hint="eastAsia" w:ascii="宋体" w:hAnsi="宋体"/>
                <w:szCs w:val="21"/>
              </w:rPr>
            </w:pPr>
            <w:r>
              <w:rPr>
                <w:rFonts w:ascii="宋体" w:hAnsi="宋体"/>
                <w:b/>
                <w:bCs/>
                <w:szCs w:val="21"/>
              </w:rPr>
              <w:t>CAS号：</w:t>
            </w:r>
            <w:r>
              <w:rPr>
                <w:rFonts w:hint="eastAsia" w:ascii="宋体" w:hAnsi="宋体"/>
                <w:szCs w:val="21"/>
              </w:rPr>
              <w:t>68334-30-5</w:t>
            </w:r>
            <w:r>
              <w:rPr>
                <w:rFonts w:ascii="宋体" w:hAnsi="宋体"/>
                <w:szCs w:val="21"/>
              </w:rPr>
              <w:t xml:space="preserve">            </w:t>
            </w:r>
            <w:r>
              <w:rPr>
                <w:rFonts w:ascii="宋体" w:hAnsi="宋体"/>
                <w:b/>
                <w:bCs/>
                <w:szCs w:val="21"/>
              </w:rPr>
              <w:t>UN号：</w:t>
            </w:r>
            <w:r>
              <w:rPr>
                <w:rFonts w:hint="eastAsia" w:ascii="宋体" w:hAnsi="宋体"/>
                <w:szCs w:val="21"/>
              </w:rPr>
              <w:t>1202        危规编号：1674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szCs w:val="21"/>
              </w:rPr>
            </w:pPr>
            <w:r>
              <w:rPr>
                <w:rFonts w:ascii="宋体" w:hAnsi="宋体"/>
                <w:b/>
                <w:bCs/>
                <w:szCs w:val="21"/>
              </w:rPr>
              <w:t>理</w:t>
            </w:r>
          </w:p>
          <w:p>
            <w:pPr>
              <w:adjustRightInd w:val="0"/>
              <w:snapToGrid w:val="0"/>
              <w:jc w:val="left"/>
              <w:rPr>
                <w:rFonts w:ascii="宋体" w:hAnsi="宋体"/>
                <w:b/>
                <w:bCs/>
                <w:szCs w:val="21"/>
              </w:rPr>
            </w:pPr>
            <w:r>
              <w:rPr>
                <w:rFonts w:ascii="宋体" w:hAnsi="宋体"/>
                <w:b/>
                <w:bCs/>
                <w:szCs w:val="21"/>
              </w:rPr>
              <w:t>化</w:t>
            </w:r>
          </w:p>
          <w:p>
            <w:pPr>
              <w:adjustRightInd w:val="0"/>
              <w:snapToGrid w:val="0"/>
              <w:jc w:val="left"/>
              <w:rPr>
                <w:rFonts w:ascii="宋体" w:hAnsi="宋体"/>
                <w:b/>
                <w:bCs/>
                <w:szCs w:val="21"/>
              </w:rPr>
            </w:pPr>
            <w:r>
              <w:rPr>
                <w:rFonts w:ascii="宋体" w:hAnsi="宋体"/>
                <w:b/>
                <w:bCs/>
                <w:szCs w:val="21"/>
              </w:rPr>
              <w:t>性</w:t>
            </w:r>
          </w:p>
          <w:p>
            <w:pPr>
              <w:adjustRightInd w:val="0"/>
              <w:snapToGrid w:val="0"/>
              <w:jc w:val="left"/>
              <w:rPr>
                <w:rFonts w:ascii="宋体" w:hAnsi="宋体"/>
                <w:szCs w:val="21"/>
              </w:rPr>
            </w:pPr>
            <w:r>
              <w:rPr>
                <w:rFonts w:ascii="宋体" w:hAnsi="宋体"/>
                <w:b/>
                <w:bCs/>
                <w:szCs w:val="21"/>
              </w:rPr>
              <w:t>质</w:t>
            </w:r>
          </w:p>
        </w:tc>
        <w:tc>
          <w:tcPr>
            <w:tcW w:w="7954" w:type="dxa"/>
            <w:noWrap w:val="0"/>
            <w:vAlign w:val="center"/>
          </w:tcPr>
          <w:p>
            <w:pPr>
              <w:adjustRightInd w:val="0"/>
              <w:snapToGrid w:val="0"/>
              <w:jc w:val="left"/>
              <w:rPr>
                <w:rFonts w:ascii="宋体" w:hAnsi="宋体"/>
                <w:szCs w:val="21"/>
              </w:rPr>
            </w:pPr>
            <w:r>
              <w:rPr>
                <w:rFonts w:ascii="宋体" w:hAnsi="宋体"/>
                <w:b/>
                <w:bCs/>
                <w:szCs w:val="21"/>
              </w:rPr>
              <w:t>外观与性状：</w:t>
            </w:r>
            <w:r>
              <w:rPr>
                <w:rFonts w:ascii="宋体" w:hAnsi="宋体"/>
                <w:szCs w:val="21"/>
              </w:rPr>
              <w:t>稍有粘性的浅黄至棕色液体。</w:t>
            </w:r>
          </w:p>
          <w:p>
            <w:pPr>
              <w:adjustRightInd w:val="0"/>
              <w:snapToGrid w:val="0"/>
              <w:jc w:val="left"/>
              <w:rPr>
                <w:rFonts w:ascii="宋体" w:hAnsi="宋体"/>
                <w:szCs w:val="21"/>
              </w:rPr>
            </w:pPr>
            <w:r>
              <w:rPr>
                <w:rFonts w:ascii="宋体" w:hAnsi="宋体"/>
                <w:b/>
                <w:bCs/>
                <w:szCs w:val="21"/>
              </w:rPr>
              <w:t>熔点(℃)：</w:t>
            </w:r>
            <w:r>
              <w:rPr>
                <w:rFonts w:ascii="宋体" w:hAnsi="宋体"/>
                <w:szCs w:val="21"/>
              </w:rPr>
              <w:t xml:space="preserve">-35～20          </w:t>
            </w:r>
            <w:r>
              <w:rPr>
                <w:rFonts w:ascii="宋体" w:hAnsi="宋体"/>
                <w:b/>
                <w:bCs/>
                <w:szCs w:val="21"/>
              </w:rPr>
              <w:t>相对密度（水=1.0）：</w:t>
            </w:r>
            <w:r>
              <w:rPr>
                <w:rFonts w:ascii="宋体" w:hAnsi="宋体"/>
                <w:szCs w:val="21"/>
              </w:rPr>
              <w:t>0.87～0.9</w:t>
            </w:r>
          </w:p>
          <w:p>
            <w:pPr>
              <w:adjustRightInd w:val="0"/>
              <w:snapToGrid w:val="0"/>
              <w:jc w:val="left"/>
              <w:rPr>
                <w:rFonts w:ascii="宋体" w:hAnsi="宋体"/>
                <w:szCs w:val="21"/>
              </w:rPr>
            </w:pPr>
            <w:r>
              <w:rPr>
                <w:rFonts w:ascii="宋体" w:hAnsi="宋体"/>
                <w:b/>
                <w:bCs/>
                <w:szCs w:val="21"/>
              </w:rPr>
              <w:t>沸程(℃)：</w:t>
            </w:r>
            <w:r>
              <w:rPr>
                <w:rFonts w:ascii="宋体" w:hAnsi="宋体"/>
                <w:szCs w:val="21"/>
              </w:rPr>
              <w:t xml:space="preserve">282～338         </w:t>
            </w:r>
            <w:r>
              <w:rPr>
                <w:rFonts w:ascii="宋体" w:hAnsi="宋体"/>
                <w:b/>
                <w:bCs/>
                <w:szCs w:val="21"/>
              </w:rPr>
              <w:t>相对密度(空气=1):</w:t>
            </w:r>
            <w:r>
              <w:rPr>
                <w:rFonts w:ascii="宋体" w:hAnsi="宋体"/>
                <w:szCs w:val="21"/>
              </w:rPr>
              <w:t xml:space="preserve"> 无资料</w:t>
            </w:r>
          </w:p>
          <w:p>
            <w:pPr>
              <w:adjustRightInd w:val="0"/>
              <w:snapToGrid w:val="0"/>
              <w:jc w:val="left"/>
              <w:rPr>
                <w:rFonts w:ascii="宋体" w:hAnsi="宋体"/>
                <w:szCs w:val="21"/>
              </w:rPr>
            </w:pPr>
            <w:r>
              <w:rPr>
                <w:rFonts w:ascii="宋体" w:hAnsi="宋体"/>
                <w:b/>
                <w:bCs/>
                <w:szCs w:val="21"/>
              </w:rPr>
              <w:t xml:space="preserve">闪点(℃): </w:t>
            </w:r>
            <w:r>
              <w:rPr>
                <w:rFonts w:ascii="宋体" w:hAnsi="宋体"/>
                <w:bCs/>
                <w:szCs w:val="21"/>
              </w:rPr>
              <w:t>&gt;55</w:t>
            </w:r>
            <w:r>
              <w:rPr>
                <w:rFonts w:ascii="宋体" w:hAnsi="宋体"/>
                <w:szCs w:val="21"/>
              </w:rPr>
              <w:t xml:space="preserve">              </w:t>
            </w:r>
            <w:r>
              <w:rPr>
                <w:rFonts w:ascii="宋体" w:hAnsi="宋体"/>
                <w:b/>
                <w:bCs/>
                <w:szCs w:val="21"/>
              </w:rPr>
              <w:t>引燃温度(℃)：</w:t>
            </w:r>
            <w:r>
              <w:rPr>
                <w:rFonts w:ascii="宋体" w:hAnsi="宋体"/>
                <w:szCs w:val="21"/>
              </w:rPr>
              <w:t>257</w:t>
            </w:r>
          </w:p>
          <w:p>
            <w:pPr>
              <w:adjustRightInd w:val="0"/>
              <w:snapToGrid w:val="0"/>
              <w:jc w:val="left"/>
              <w:rPr>
                <w:rFonts w:ascii="宋体" w:hAnsi="宋体"/>
                <w:szCs w:val="21"/>
              </w:rPr>
            </w:pPr>
            <w:r>
              <w:rPr>
                <w:rFonts w:ascii="宋体" w:hAnsi="宋体"/>
                <w:b/>
                <w:bCs/>
                <w:szCs w:val="21"/>
              </w:rPr>
              <w:t>爆炸下限[%(V/V)]:</w:t>
            </w:r>
            <w:r>
              <w:rPr>
                <w:rFonts w:ascii="宋体" w:hAnsi="宋体"/>
                <w:szCs w:val="21"/>
              </w:rPr>
              <w:t xml:space="preserve"> </w:t>
            </w:r>
            <w:r>
              <w:rPr>
                <w:rFonts w:hint="eastAsia" w:ascii="宋体" w:hAnsi="宋体"/>
                <w:szCs w:val="21"/>
              </w:rPr>
              <w:t>0.5</w:t>
            </w:r>
            <w:r>
              <w:rPr>
                <w:rFonts w:ascii="宋体" w:hAnsi="宋体"/>
                <w:szCs w:val="21"/>
              </w:rPr>
              <w:t xml:space="preserve">   </w:t>
            </w:r>
            <w:r>
              <w:rPr>
                <w:rFonts w:ascii="宋体" w:hAnsi="宋体"/>
                <w:b/>
                <w:bCs/>
                <w:szCs w:val="21"/>
              </w:rPr>
              <w:t>最小点火能(mJ):</w:t>
            </w:r>
            <w:r>
              <w:rPr>
                <w:rFonts w:ascii="宋体" w:hAnsi="宋体"/>
                <w:szCs w:val="21"/>
              </w:rPr>
              <w:t>无资料</w:t>
            </w:r>
          </w:p>
          <w:p>
            <w:pPr>
              <w:adjustRightInd w:val="0"/>
              <w:snapToGrid w:val="0"/>
              <w:jc w:val="left"/>
              <w:rPr>
                <w:rFonts w:ascii="宋体" w:hAnsi="宋体"/>
                <w:szCs w:val="21"/>
              </w:rPr>
            </w:pPr>
            <w:r>
              <w:rPr>
                <w:rFonts w:ascii="宋体" w:hAnsi="宋体"/>
                <w:b/>
                <w:bCs/>
                <w:szCs w:val="21"/>
              </w:rPr>
              <w:t>爆炸上限[%(V/V)]:</w:t>
            </w:r>
            <w:r>
              <w:rPr>
                <w:rFonts w:ascii="宋体" w:hAnsi="宋体"/>
                <w:szCs w:val="21"/>
              </w:rPr>
              <w:t xml:space="preserve"> </w:t>
            </w:r>
            <w:r>
              <w:rPr>
                <w:rFonts w:hint="eastAsia" w:ascii="宋体" w:hAnsi="宋体"/>
                <w:szCs w:val="21"/>
              </w:rPr>
              <w:t>4.5</w:t>
            </w:r>
            <w:r>
              <w:rPr>
                <w:rFonts w:ascii="宋体" w:hAnsi="宋体"/>
                <w:szCs w:val="21"/>
              </w:rPr>
              <w:t xml:space="preserve">   </w:t>
            </w:r>
            <w:r>
              <w:rPr>
                <w:rFonts w:ascii="宋体" w:hAnsi="宋体"/>
                <w:b/>
                <w:bCs/>
                <w:szCs w:val="21"/>
              </w:rPr>
              <w:t>最大爆炸压力(MPa):</w:t>
            </w:r>
            <w:r>
              <w:rPr>
                <w:rFonts w:ascii="宋体" w:hAnsi="宋体"/>
                <w:szCs w:val="21"/>
              </w:rPr>
              <w:t xml:space="preserve"> 无资料</w:t>
            </w:r>
          </w:p>
          <w:p>
            <w:pPr>
              <w:adjustRightInd w:val="0"/>
              <w:snapToGrid w:val="0"/>
              <w:jc w:val="left"/>
              <w:rPr>
                <w:rFonts w:ascii="宋体" w:hAnsi="宋体"/>
                <w:szCs w:val="21"/>
              </w:rPr>
            </w:pPr>
            <w:r>
              <w:rPr>
                <w:rFonts w:ascii="宋体" w:hAnsi="宋体"/>
                <w:b/>
                <w:bCs/>
                <w:szCs w:val="21"/>
              </w:rPr>
              <w:t>溶 解 性：</w:t>
            </w:r>
            <w:r>
              <w:rPr>
                <w:rFonts w:ascii="宋体" w:hAnsi="宋体"/>
                <w:szCs w:val="21"/>
              </w:rPr>
              <w:t>不溶于水,易溶于苯、二硫化碳、醇、脂肪。</w:t>
            </w:r>
          </w:p>
          <w:p>
            <w:pPr>
              <w:adjustRightInd w:val="0"/>
              <w:snapToGrid w:val="0"/>
              <w:jc w:val="left"/>
              <w:rPr>
                <w:rFonts w:ascii="宋体" w:hAnsi="宋体"/>
                <w:szCs w:val="21"/>
              </w:rPr>
            </w:pPr>
            <w:r>
              <w:rPr>
                <w:rFonts w:ascii="宋体" w:hAnsi="宋体"/>
                <w:b/>
                <w:bCs/>
                <w:szCs w:val="21"/>
              </w:rPr>
              <w:t>主要用途：</w:t>
            </w:r>
            <w:r>
              <w:rPr>
                <w:rFonts w:ascii="宋体" w:hAnsi="宋体"/>
                <w:szCs w:val="21"/>
              </w:rPr>
              <w:t xml:space="preserve">主要用作柴油机的燃料。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szCs w:val="21"/>
              </w:rPr>
            </w:pPr>
            <w:r>
              <w:rPr>
                <w:rFonts w:ascii="宋体" w:hAnsi="宋体"/>
                <w:b/>
                <w:bCs/>
                <w:szCs w:val="21"/>
              </w:rPr>
              <w:t>燃</w:t>
            </w:r>
          </w:p>
          <w:p>
            <w:pPr>
              <w:adjustRightInd w:val="0"/>
              <w:snapToGrid w:val="0"/>
              <w:jc w:val="left"/>
              <w:rPr>
                <w:rFonts w:ascii="宋体" w:hAnsi="宋体"/>
                <w:szCs w:val="21"/>
              </w:rPr>
            </w:pPr>
            <w:r>
              <w:rPr>
                <w:rFonts w:ascii="宋体" w:hAnsi="宋体"/>
                <w:b/>
                <w:bCs/>
                <w:szCs w:val="21"/>
              </w:rPr>
              <w:t>烧</w:t>
            </w:r>
          </w:p>
          <w:p>
            <w:pPr>
              <w:adjustRightInd w:val="0"/>
              <w:snapToGrid w:val="0"/>
              <w:jc w:val="left"/>
              <w:rPr>
                <w:rFonts w:ascii="宋体" w:hAnsi="宋体"/>
                <w:b/>
                <w:bCs/>
                <w:szCs w:val="21"/>
              </w:rPr>
            </w:pPr>
            <w:r>
              <w:rPr>
                <w:rFonts w:ascii="宋体" w:hAnsi="宋体"/>
                <w:b/>
                <w:bCs/>
                <w:szCs w:val="21"/>
              </w:rPr>
              <w:t>爆</w:t>
            </w:r>
          </w:p>
          <w:p>
            <w:pPr>
              <w:adjustRightInd w:val="0"/>
              <w:snapToGrid w:val="0"/>
              <w:jc w:val="left"/>
              <w:rPr>
                <w:rFonts w:ascii="宋体" w:hAnsi="宋体"/>
                <w:b/>
                <w:bCs/>
                <w:szCs w:val="21"/>
              </w:rPr>
            </w:pPr>
            <w:r>
              <w:rPr>
                <w:rFonts w:ascii="宋体" w:hAnsi="宋体"/>
                <w:b/>
                <w:bCs/>
                <w:szCs w:val="21"/>
              </w:rPr>
              <w:t>炸</w:t>
            </w:r>
          </w:p>
          <w:p>
            <w:pPr>
              <w:adjustRightInd w:val="0"/>
              <w:snapToGrid w:val="0"/>
              <w:jc w:val="left"/>
              <w:rPr>
                <w:rFonts w:ascii="宋体" w:hAnsi="宋体"/>
                <w:b/>
                <w:bCs/>
                <w:szCs w:val="21"/>
              </w:rPr>
            </w:pPr>
            <w:r>
              <w:rPr>
                <w:rFonts w:ascii="宋体" w:hAnsi="宋体"/>
                <w:b/>
                <w:bCs/>
                <w:szCs w:val="21"/>
              </w:rPr>
              <w:t>危</w:t>
            </w:r>
          </w:p>
          <w:p>
            <w:pPr>
              <w:adjustRightInd w:val="0"/>
              <w:snapToGrid w:val="0"/>
              <w:jc w:val="left"/>
              <w:rPr>
                <w:rFonts w:ascii="宋体" w:hAnsi="宋体"/>
                <w:b/>
                <w:bCs/>
                <w:szCs w:val="21"/>
              </w:rPr>
            </w:pPr>
            <w:r>
              <w:rPr>
                <w:rFonts w:ascii="宋体" w:hAnsi="宋体"/>
                <w:b/>
                <w:bCs/>
                <w:szCs w:val="21"/>
              </w:rPr>
              <w:t>险</w:t>
            </w:r>
          </w:p>
          <w:p>
            <w:pPr>
              <w:adjustRightInd w:val="0"/>
              <w:snapToGrid w:val="0"/>
              <w:jc w:val="left"/>
              <w:rPr>
                <w:rFonts w:ascii="宋体" w:hAnsi="宋体"/>
                <w:szCs w:val="21"/>
              </w:rPr>
            </w:pPr>
            <w:r>
              <w:rPr>
                <w:rFonts w:ascii="宋体" w:hAnsi="宋体"/>
                <w:b/>
                <w:bCs/>
                <w:szCs w:val="21"/>
              </w:rPr>
              <w:t>性</w:t>
            </w:r>
          </w:p>
        </w:tc>
        <w:tc>
          <w:tcPr>
            <w:tcW w:w="7954" w:type="dxa"/>
            <w:noWrap w:val="0"/>
            <w:vAlign w:val="center"/>
          </w:tcPr>
          <w:p>
            <w:pPr>
              <w:adjustRightInd w:val="0"/>
              <w:snapToGrid w:val="0"/>
              <w:jc w:val="left"/>
              <w:rPr>
                <w:rFonts w:ascii="宋体" w:hAnsi="宋体"/>
                <w:szCs w:val="21"/>
              </w:rPr>
            </w:pPr>
            <w:r>
              <w:rPr>
                <w:rFonts w:ascii="宋体" w:hAnsi="宋体"/>
                <w:b/>
                <w:bCs/>
                <w:szCs w:val="21"/>
              </w:rPr>
              <w:t>燃 烧 性：</w:t>
            </w:r>
            <w:r>
              <w:rPr>
                <w:rFonts w:ascii="宋体" w:hAnsi="宋体"/>
                <w:szCs w:val="21"/>
              </w:rPr>
              <w:t>易燃。</w:t>
            </w:r>
          </w:p>
          <w:p>
            <w:pPr>
              <w:pStyle w:val="10"/>
              <w:ind w:left="420"/>
              <w:jc w:val="left"/>
              <w:rPr>
                <w:rFonts w:ascii="宋体" w:hAnsi="宋体"/>
                <w:szCs w:val="21"/>
              </w:rPr>
            </w:pPr>
            <w:r>
              <w:rPr>
                <w:rFonts w:ascii="宋体" w:hAnsi="宋体"/>
                <w:b/>
                <w:bCs/>
                <w:szCs w:val="21"/>
              </w:rPr>
              <w:t>危险特性：</w:t>
            </w:r>
            <w:r>
              <w:rPr>
                <w:rFonts w:ascii="宋体" w:hAnsi="宋体"/>
                <w:szCs w:val="21"/>
              </w:rPr>
              <w:t>遇明火、高热或与氧化剂接触,有引起燃烧爆炸的危险。若遇高热，容器内压力增大，有开裂和爆炸的危险。</w:t>
            </w:r>
          </w:p>
          <w:p>
            <w:pPr>
              <w:pStyle w:val="10"/>
              <w:ind w:left="420"/>
              <w:jc w:val="left"/>
              <w:rPr>
                <w:rFonts w:ascii="宋体" w:hAnsi="宋体"/>
                <w:szCs w:val="21"/>
              </w:rPr>
            </w:pPr>
            <w:r>
              <w:rPr>
                <w:rFonts w:ascii="宋体" w:hAnsi="宋体"/>
                <w:b/>
                <w:bCs/>
                <w:szCs w:val="21"/>
              </w:rPr>
              <w:t>有害燃烧产物：</w:t>
            </w:r>
            <w:r>
              <w:rPr>
                <w:rFonts w:ascii="宋体" w:hAnsi="宋体"/>
                <w:szCs w:val="21"/>
              </w:rPr>
              <w:t>一氧化碳、二氧化碳。</w:t>
            </w:r>
          </w:p>
          <w:p>
            <w:pPr>
              <w:adjustRightInd w:val="0"/>
              <w:snapToGrid w:val="0"/>
              <w:jc w:val="left"/>
              <w:rPr>
                <w:rFonts w:ascii="宋体" w:hAnsi="宋体"/>
                <w:szCs w:val="21"/>
              </w:rPr>
            </w:pPr>
            <w:r>
              <w:rPr>
                <w:rFonts w:ascii="宋体" w:hAnsi="宋体"/>
                <w:b/>
                <w:bCs/>
                <w:szCs w:val="21"/>
              </w:rPr>
              <w:t>稳 定 性：</w:t>
            </w:r>
            <w:r>
              <w:rPr>
                <w:rFonts w:ascii="宋体" w:hAnsi="宋体"/>
                <w:szCs w:val="21"/>
              </w:rPr>
              <w:t xml:space="preserve">稳定。           </w:t>
            </w:r>
            <w:r>
              <w:rPr>
                <w:rFonts w:ascii="宋体" w:hAnsi="宋体"/>
                <w:b/>
                <w:bCs/>
                <w:szCs w:val="21"/>
              </w:rPr>
              <w:t>聚合危害：</w:t>
            </w:r>
            <w:r>
              <w:rPr>
                <w:rFonts w:ascii="宋体" w:hAnsi="宋体"/>
                <w:szCs w:val="21"/>
              </w:rPr>
              <w:t>不聚合。</w:t>
            </w:r>
          </w:p>
          <w:p>
            <w:pPr>
              <w:adjustRightInd w:val="0"/>
              <w:snapToGrid w:val="0"/>
              <w:jc w:val="left"/>
              <w:rPr>
                <w:rFonts w:ascii="宋体" w:hAnsi="宋体"/>
                <w:szCs w:val="21"/>
              </w:rPr>
            </w:pPr>
            <w:r>
              <w:rPr>
                <w:rFonts w:ascii="宋体" w:hAnsi="宋体"/>
                <w:b/>
                <w:bCs/>
                <w:szCs w:val="21"/>
              </w:rPr>
              <w:t>禁 配 物：</w:t>
            </w:r>
            <w:r>
              <w:rPr>
                <w:rFonts w:ascii="宋体" w:hAnsi="宋体"/>
                <w:szCs w:val="21"/>
              </w:rPr>
              <w:t>强氧化剂、卤素。</w:t>
            </w:r>
          </w:p>
          <w:p>
            <w:pPr>
              <w:adjustRightInd w:val="0"/>
              <w:snapToGrid w:val="0"/>
              <w:jc w:val="left"/>
              <w:rPr>
                <w:rFonts w:ascii="宋体" w:hAnsi="宋体"/>
                <w:szCs w:val="21"/>
              </w:rPr>
            </w:pPr>
            <w:r>
              <w:rPr>
                <w:rFonts w:ascii="宋体" w:hAnsi="宋体"/>
                <w:b/>
                <w:bCs/>
                <w:szCs w:val="21"/>
              </w:rPr>
              <w:t>灭火方法：</w:t>
            </w:r>
            <w:r>
              <w:rPr>
                <w:rFonts w:ascii="宋体" w:hAnsi="宋体"/>
                <w:szCs w:val="21"/>
              </w:rPr>
              <w:t>消防人员须配戴防毒面具、穿全身消防服,在上风向灭火。尽可能将容器从火场移至空旷处，喷水保持容器冷却，直至灭火结束。处在火场中的容器若已变色或从安全泄压装置中产生声音，必须马上撤离。</w:t>
            </w:r>
          </w:p>
          <w:p>
            <w:pPr>
              <w:adjustRightInd w:val="0"/>
              <w:snapToGrid w:val="0"/>
              <w:jc w:val="left"/>
              <w:rPr>
                <w:rFonts w:ascii="宋体" w:hAnsi="宋体"/>
                <w:szCs w:val="21"/>
              </w:rPr>
            </w:pPr>
            <w:r>
              <w:rPr>
                <w:rFonts w:ascii="宋体" w:hAnsi="宋体"/>
                <w:b/>
                <w:bCs/>
                <w:szCs w:val="21"/>
              </w:rPr>
              <w:t>灭 火 剂：</w:t>
            </w:r>
            <w:r>
              <w:rPr>
                <w:rFonts w:ascii="宋体" w:hAnsi="宋体"/>
                <w:szCs w:val="21"/>
              </w:rPr>
              <w:t>泡沫、干粉、二氧化碳、砂土。用水灭火无效。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rPr>
        <w:tc>
          <w:tcPr>
            <w:tcW w:w="568" w:type="dxa"/>
            <w:noWrap w:val="0"/>
            <w:vAlign w:val="center"/>
          </w:tcPr>
          <w:p>
            <w:pPr>
              <w:adjustRightInd w:val="0"/>
              <w:snapToGrid w:val="0"/>
              <w:rPr>
                <w:rFonts w:ascii="宋体" w:hAnsi="宋体"/>
                <w:b/>
                <w:bCs/>
                <w:szCs w:val="21"/>
              </w:rPr>
            </w:pPr>
            <w:r>
              <w:rPr>
                <w:rFonts w:ascii="宋体" w:hAnsi="宋体"/>
                <w:b/>
                <w:bCs/>
                <w:szCs w:val="21"/>
              </w:rPr>
              <w:t>包</w:t>
            </w:r>
          </w:p>
          <w:p>
            <w:pPr>
              <w:adjustRightInd w:val="0"/>
              <w:snapToGrid w:val="0"/>
              <w:rPr>
                <w:rFonts w:ascii="宋体" w:hAnsi="宋体"/>
                <w:b/>
                <w:bCs/>
                <w:szCs w:val="21"/>
              </w:rPr>
            </w:pPr>
            <w:r>
              <w:rPr>
                <w:rFonts w:ascii="宋体" w:hAnsi="宋体"/>
                <w:b/>
                <w:bCs/>
                <w:szCs w:val="21"/>
              </w:rPr>
              <w:t>装</w:t>
            </w:r>
          </w:p>
          <w:p>
            <w:pPr>
              <w:adjustRightInd w:val="0"/>
              <w:snapToGrid w:val="0"/>
              <w:rPr>
                <w:rFonts w:ascii="宋体" w:hAnsi="宋体"/>
                <w:b/>
                <w:bCs/>
                <w:szCs w:val="21"/>
              </w:rPr>
            </w:pPr>
            <w:r>
              <w:rPr>
                <w:rFonts w:ascii="宋体" w:hAnsi="宋体"/>
                <w:b/>
                <w:bCs/>
                <w:szCs w:val="21"/>
              </w:rPr>
              <w:t>与</w:t>
            </w:r>
          </w:p>
          <w:p>
            <w:pPr>
              <w:adjustRightInd w:val="0"/>
              <w:snapToGrid w:val="0"/>
              <w:rPr>
                <w:rFonts w:ascii="宋体" w:hAnsi="宋体"/>
                <w:b/>
                <w:bCs/>
                <w:szCs w:val="21"/>
              </w:rPr>
            </w:pPr>
            <w:r>
              <w:rPr>
                <w:rFonts w:ascii="宋体" w:hAnsi="宋体"/>
                <w:b/>
                <w:bCs/>
                <w:szCs w:val="21"/>
              </w:rPr>
              <w:t>储</w:t>
            </w:r>
          </w:p>
          <w:p>
            <w:pPr>
              <w:adjustRightInd w:val="0"/>
              <w:snapToGrid w:val="0"/>
              <w:jc w:val="left"/>
              <w:rPr>
                <w:rFonts w:ascii="宋体" w:hAnsi="宋体"/>
                <w:b/>
                <w:bCs/>
                <w:szCs w:val="21"/>
              </w:rPr>
            </w:pPr>
            <w:r>
              <w:rPr>
                <w:rFonts w:ascii="宋体" w:hAnsi="宋体"/>
                <w:b/>
                <w:bCs/>
                <w:szCs w:val="21"/>
              </w:rPr>
              <w:t>运</w:t>
            </w:r>
          </w:p>
        </w:tc>
        <w:tc>
          <w:tcPr>
            <w:tcW w:w="7954" w:type="dxa"/>
            <w:noWrap w:val="0"/>
            <w:vAlign w:val="center"/>
          </w:tcPr>
          <w:p>
            <w:pPr>
              <w:adjustRightInd w:val="0"/>
              <w:snapToGrid w:val="0"/>
              <w:rPr>
                <w:rFonts w:ascii="宋体" w:hAnsi="宋体"/>
                <w:szCs w:val="21"/>
              </w:rPr>
            </w:pPr>
            <w:r>
              <w:rPr>
                <w:rFonts w:ascii="宋体" w:hAnsi="宋体"/>
                <w:b/>
                <w:bCs/>
                <w:szCs w:val="21"/>
              </w:rPr>
              <w:t>安全标志：</w:t>
            </w:r>
            <w:r>
              <w:rPr>
                <w:rFonts w:ascii="宋体" w:hAnsi="宋体"/>
                <w:szCs w:val="21"/>
              </w:rPr>
              <w:t xml:space="preserve">易燃液体        </w:t>
            </w:r>
            <w:r>
              <w:rPr>
                <w:rFonts w:ascii="宋体" w:hAnsi="宋体"/>
                <w:b/>
                <w:bCs/>
                <w:szCs w:val="21"/>
              </w:rPr>
              <w:t>包装类别：Ⅲ</w:t>
            </w:r>
            <w:r>
              <w:rPr>
                <w:rFonts w:ascii="宋体" w:hAnsi="宋体"/>
                <w:szCs w:val="21"/>
              </w:rPr>
              <w:t>类包装</w:t>
            </w:r>
          </w:p>
          <w:p>
            <w:pPr>
              <w:adjustRightInd w:val="0"/>
              <w:snapToGrid w:val="0"/>
              <w:rPr>
                <w:rFonts w:ascii="宋体" w:hAnsi="宋体"/>
                <w:szCs w:val="21"/>
              </w:rPr>
            </w:pPr>
            <w:r>
              <w:rPr>
                <w:rFonts w:ascii="宋体" w:hAnsi="宋体"/>
                <w:b/>
                <w:bCs/>
                <w:szCs w:val="21"/>
              </w:rPr>
              <w:t>储存注意事项：</w:t>
            </w:r>
            <w:r>
              <w:rPr>
                <w:rFonts w:ascii="宋体" w:hAnsi="宋体"/>
                <w:szCs w:val="21"/>
              </w:rPr>
              <w:t>储存于阴凉、通风的库房 。远离火种、热源。应与氧化剂、卤素分开存放,切忌混储。储存间内的照明、通风等设施应采用防爆型，开关设在库房外。禁止使用易产生火花的机械设备和工具。储备区应有泄漏应急处理设备和合适的收容材料</w:t>
            </w:r>
          </w:p>
          <w:p>
            <w:pPr>
              <w:adjustRightInd w:val="0"/>
              <w:snapToGrid w:val="0"/>
              <w:jc w:val="left"/>
              <w:rPr>
                <w:rFonts w:ascii="宋体" w:hAnsi="宋体"/>
                <w:b/>
                <w:bCs/>
                <w:szCs w:val="21"/>
              </w:rPr>
            </w:pPr>
            <w:r>
              <w:rPr>
                <w:rFonts w:ascii="宋体" w:hAnsi="宋体"/>
                <w:b/>
                <w:bCs/>
                <w:szCs w:val="21"/>
              </w:rPr>
              <w:t>运输注意事项：</w:t>
            </w:r>
            <w:r>
              <w:rPr>
                <w:rFonts w:ascii="宋体" w:hAnsi="宋体"/>
                <w:szCs w:val="21"/>
              </w:rPr>
              <w:t>运输前应先检查包装容器是否完整、密封，运输过程中要确保容器不泄漏、不倒塌、不坠落、不损坏。运输时车辆应配备相应品种和数量的消防器材及泄漏应急处理设备。夏季最好早晚运输。运输时所用的槽（罐）车应有接地链，槽内可设孔隔板以减少震荡产生静电。严禁与氧化剂、卤素、食用化学品等混装混运。运输途中应防曝晒、雨淋，防高温。中途停留时应远离火种、热源、高温区。装运该物品的车辆排气管必须配备阻火装置，禁止使用易产生火花的机械设备和工具装卸。运输车船必须彻底清洗、消毒，否则不得装运其它物品。船运时，配装位置应远离卧室、厨房，并与机舱、电源、火源等部位隔离。公路运输时要按规定路线行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毒</w:t>
            </w:r>
          </w:p>
          <w:p>
            <w:pPr>
              <w:adjustRightInd w:val="0"/>
              <w:snapToGrid w:val="0"/>
              <w:jc w:val="center"/>
              <w:rPr>
                <w:rFonts w:ascii="宋体" w:hAnsi="宋体"/>
                <w:b/>
                <w:bCs/>
                <w:szCs w:val="21"/>
              </w:rPr>
            </w:pPr>
            <w:r>
              <w:rPr>
                <w:rFonts w:ascii="宋体" w:hAnsi="宋体"/>
                <w:b/>
                <w:bCs/>
                <w:szCs w:val="21"/>
              </w:rPr>
              <w:t>性</w:t>
            </w:r>
          </w:p>
          <w:p>
            <w:pPr>
              <w:adjustRightInd w:val="0"/>
              <w:snapToGrid w:val="0"/>
              <w:jc w:val="center"/>
              <w:rPr>
                <w:rFonts w:ascii="宋体" w:hAnsi="宋体"/>
                <w:b/>
                <w:bCs/>
                <w:szCs w:val="21"/>
              </w:rPr>
            </w:pPr>
            <w:r>
              <w:rPr>
                <w:rFonts w:ascii="宋体" w:hAnsi="宋体"/>
                <w:b/>
                <w:bCs/>
                <w:szCs w:val="21"/>
              </w:rPr>
              <w:t>及</w:t>
            </w:r>
          </w:p>
          <w:p>
            <w:pPr>
              <w:adjustRightInd w:val="0"/>
              <w:snapToGrid w:val="0"/>
              <w:jc w:val="center"/>
              <w:rPr>
                <w:rFonts w:ascii="宋体" w:hAnsi="宋体"/>
                <w:b/>
                <w:bCs/>
                <w:szCs w:val="21"/>
              </w:rPr>
            </w:pPr>
            <w:r>
              <w:rPr>
                <w:rFonts w:ascii="宋体" w:hAnsi="宋体"/>
                <w:b/>
                <w:bCs/>
                <w:szCs w:val="21"/>
              </w:rPr>
              <w:t>健</w:t>
            </w:r>
          </w:p>
          <w:p>
            <w:pPr>
              <w:adjustRightInd w:val="0"/>
              <w:snapToGrid w:val="0"/>
              <w:jc w:val="center"/>
              <w:rPr>
                <w:rFonts w:ascii="宋体" w:hAnsi="宋体"/>
                <w:b/>
                <w:bCs/>
                <w:szCs w:val="21"/>
              </w:rPr>
            </w:pPr>
            <w:r>
              <w:rPr>
                <w:rFonts w:ascii="宋体" w:hAnsi="宋体"/>
                <w:b/>
                <w:bCs/>
                <w:szCs w:val="21"/>
              </w:rPr>
              <w:t>康</w:t>
            </w:r>
          </w:p>
          <w:p>
            <w:pPr>
              <w:adjustRightInd w:val="0"/>
              <w:snapToGrid w:val="0"/>
              <w:jc w:val="center"/>
              <w:rPr>
                <w:rFonts w:ascii="宋体" w:hAnsi="宋体"/>
                <w:b/>
                <w:bCs/>
                <w:szCs w:val="21"/>
              </w:rPr>
            </w:pPr>
            <w:r>
              <w:rPr>
                <w:rFonts w:ascii="宋体" w:hAnsi="宋体"/>
                <w:b/>
                <w:bCs/>
                <w:szCs w:val="21"/>
              </w:rPr>
              <w:t>危</w:t>
            </w:r>
          </w:p>
          <w:p>
            <w:pPr>
              <w:adjustRightInd w:val="0"/>
              <w:snapToGrid w:val="0"/>
              <w:jc w:val="center"/>
              <w:rPr>
                <w:rFonts w:ascii="宋体" w:hAnsi="宋体"/>
                <w:b/>
                <w:bCs/>
                <w:szCs w:val="21"/>
              </w:rPr>
            </w:pPr>
            <w:r>
              <w:rPr>
                <w:rFonts w:ascii="宋体" w:hAnsi="宋体"/>
                <w:b/>
                <w:bCs/>
                <w:szCs w:val="21"/>
              </w:rPr>
              <w:t>害</w:t>
            </w:r>
          </w:p>
          <w:p>
            <w:pPr>
              <w:adjustRightInd w:val="0"/>
              <w:snapToGrid w:val="0"/>
              <w:jc w:val="center"/>
              <w:rPr>
                <w:rFonts w:ascii="宋体" w:hAnsi="宋体"/>
                <w:szCs w:val="21"/>
              </w:rPr>
            </w:pPr>
            <w:r>
              <w:rPr>
                <w:rFonts w:ascii="宋体" w:hAnsi="宋体"/>
                <w:b/>
                <w:bCs/>
                <w:szCs w:val="21"/>
              </w:rPr>
              <w:t>性</w:t>
            </w:r>
          </w:p>
        </w:tc>
        <w:tc>
          <w:tcPr>
            <w:tcW w:w="7954" w:type="dxa"/>
            <w:noWrap w:val="0"/>
            <w:vAlign w:val="center"/>
          </w:tcPr>
          <w:p>
            <w:pPr>
              <w:adjustRightInd w:val="0"/>
              <w:snapToGrid w:val="0"/>
              <w:rPr>
                <w:rFonts w:ascii="宋体" w:hAnsi="宋体"/>
                <w:szCs w:val="21"/>
              </w:rPr>
            </w:pPr>
            <w:r>
              <w:rPr>
                <w:rFonts w:ascii="宋体" w:hAnsi="宋体"/>
                <w:b/>
                <w:bCs/>
                <w:szCs w:val="21"/>
              </w:rPr>
              <w:t>接触限值：</w:t>
            </w:r>
            <w:r>
              <w:rPr>
                <w:rFonts w:ascii="宋体" w:hAnsi="宋体"/>
                <w:szCs w:val="21"/>
              </w:rPr>
              <w:t>中国MAC（mg/m</w:t>
            </w:r>
            <w:r>
              <w:rPr>
                <w:rFonts w:ascii="宋体" w:hAnsi="宋体"/>
                <w:szCs w:val="21"/>
                <w:vertAlign w:val="superscript"/>
              </w:rPr>
              <w:t>3</w:t>
            </w:r>
            <w:r>
              <w:rPr>
                <w:rFonts w:ascii="宋体" w:hAnsi="宋体"/>
                <w:szCs w:val="21"/>
              </w:rPr>
              <w:t>）：无资料。</w:t>
            </w:r>
          </w:p>
          <w:p>
            <w:pPr>
              <w:adjustRightInd w:val="0"/>
              <w:snapToGrid w:val="0"/>
              <w:rPr>
                <w:rFonts w:ascii="宋体" w:hAnsi="宋体"/>
                <w:szCs w:val="21"/>
              </w:rPr>
            </w:pPr>
            <w:r>
              <w:rPr>
                <w:rFonts w:ascii="宋体" w:hAnsi="宋体"/>
                <w:b/>
                <w:bCs/>
                <w:szCs w:val="21"/>
              </w:rPr>
              <w:t>侵入途径：</w:t>
            </w:r>
            <w:r>
              <w:rPr>
                <w:rFonts w:ascii="宋体" w:hAnsi="宋体"/>
                <w:szCs w:val="21"/>
              </w:rPr>
              <w:t>吸入、食入、经皮肤吸收。</w:t>
            </w:r>
          </w:p>
          <w:p>
            <w:pPr>
              <w:adjustRightInd w:val="0"/>
              <w:snapToGrid w:val="0"/>
              <w:rPr>
                <w:rFonts w:ascii="宋体" w:hAnsi="宋体"/>
                <w:szCs w:val="21"/>
              </w:rPr>
            </w:pPr>
            <w:r>
              <w:rPr>
                <w:rFonts w:ascii="宋体" w:hAnsi="宋体"/>
                <w:b/>
                <w:bCs/>
                <w:szCs w:val="21"/>
              </w:rPr>
              <w:t>急性毒性：</w:t>
            </w:r>
            <w:r>
              <w:rPr>
                <w:rFonts w:ascii="宋体" w:hAnsi="宋体"/>
                <w:szCs w:val="21"/>
              </w:rPr>
              <w:t>LD</w:t>
            </w:r>
            <w:r>
              <w:rPr>
                <w:rFonts w:ascii="宋体" w:hAnsi="宋体"/>
                <w:szCs w:val="21"/>
                <w:vertAlign w:val="subscript"/>
              </w:rPr>
              <w:t>50</w:t>
            </w:r>
            <w:r>
              <w:rPr>
                <w:rFonts w:ascii="宋体" w:hAnsi="宋体"/>
                <w:szCs w:val="21"/>
              </w:rPr>
              <w:t xml:space="preserve">：无资料 </w:t>
            </w:r>
          </w:p>
          <w:p>
            <w:pPr>
              <w:adjustRightInd w:val="0"/>
              <w:snapToGrid w:val="0"/>
              <w:rPr>
                <w:rFonts w:ascii="宋体" w:hAnsi="宋体"/>
                <w:szCs w:val="21"/>
              </w:rPr>
            </w:pPr>
            <w:r>
              <w:rPr>
                <w:rFonts w:ascii="宋体" w:hAnsi="宋体"/>
                <w:b/>
                <w:bCs/>
                <w:szCs w:val="21"/>
              </w:rPr>
              <w:t>健康危害：</w:t>
            </w:r>
            <w:r>
              <w:rPr>
                <w:rFonts w:ascii="宋体" w:hAnsi="宋体"/>
                <w:szCs w:val="21"/>
              </w:rPr>
              <w:t>皮肤接触可为主要吸收途径，可致急性肾脏损害。柴油可引起接触性皮炎、油性痤疮。吸入其雾滴或液体呛入可引起吸入性肺炎。能经胎盘进入胎儿血液中。柴油废气可引起眼、鼻刺激症状,头晕及头痛。</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急</w:t>
            </w:r>
          </w:p>
          <w:p>
            <w:pPr>
              <w:adjustRightInd w:val="0"/>
              <w:snapToGrid w:val="0"/>
              <w:jc w:val="center"/>
              <w:rPr>
                <w:rFonts w:ascii="宋体" w:hAnsi="宋体"/>
                <w:b/>
                <w:bCs/>
                <w:szCs w:val="21"/>
              </w:rPr>
            </w:pPr>
            <w:r>
              <w:rPr>
                <w:rFonts w:ascii="宋体" w:hAnsi="宋体"/>
                <w:b/>
                <w:bCs/>
                <w:szCs w:val="21"/>
              </w:rPr>
              <w:t>救</w:t>
            </w:r>
          </w:p>
          <w:p>
            <w:pPr>
              <w:adjustRightInd w:val="0"/>
              <w:snapToGrid w:val="0"/>
              <w:jc w:val="center"/>
              <w:rPr>
                <w:rFonts w:ascii="宋体" w:hAnsi="宋体"/>
                <w:b/>
                <w:bCs/>
                <w:szCs w:val="21"/>
              </w:rPr>
            </w:pPr>
            <w:r>
              <w:rPr>
                <w:rFonts w:ascii="宋体" w:hAnsi="宋体"/>
                <w:b/>
                <w:bCs/>
                <w:szCs w:val="21"/>
              </w:rPr>
              <w:t>措</w:t>
            </w:r>
          </w:p>
          <w:p>
            <w:pPr>
              <w:adjustRightInd w:val="0"/>
              <w:snapToGrid w:val="0"/>
              <w:jc w:val="center"/>
              <w:rPr>
                <w:rFonts w:ascii="宋体" w:hAnsi="宋体"/>
                <w:szCs w:val="21"/>
              </w:rPr>
            </w:pPr>
            <w:r>
              <w:rPr>
                <w:rFonts w:ascii="宋体" w:hAnsi="宋体"/>
                <w:b/>
                <w:bCs/>
                <w:szCs w:val="21"/>
              </w:rPr>
              <w:t>施</w:t>
            </w:r>
          </w:p>
        </w:tc>
        <w:tc>
          <w:tcPr>
            <w:tcW w:w="7954" w:type="dxa"/>
            <w:noWrap w:val="0"/>
            <w:vAlign w:val="center"/>
          </w:tcPr>
          <w:p>
            <w:pPr>
              <w:adjustRightInd w:val="0"/>
              <w:snapToGrid w:val="0"/>
              <w:rPr>
                <w:rFonts w:ascii="宋体" w:hAnsi="宋体"/>
                <w:szCs w:val="21"/>
              </w:rPr>
            </w:pPr>
            <w:r>
              <w:rPr>
                <w:rFonts w:ascii="宋体" w:hAnsi="宋体"/>
                <w:b/>
                <w:bCs/>
                <w:szCs w:val="21"/>
              </w:rPr>
              <w:t>皮肤接触：</w:t>
            </w:r>
            <w:r>
              <w:rPr>
                <w:rFonts w:ascii="宋体" w:hAnsi="宋体"/>
                <w:szCs w:val="21"/>
              </w:rPr>
              <w:t>立即脱去被污染的衣着，用肥皂水和清水彻底冲洗皮肤。就医。</w:t>
            </w:r>
          </w:p>
          <w:p>
            <w:pPr>
              <w:adjustRightInd w:val="0"/>
              <w:snapToGrid w:val="0"/>
              <w:rPr>
                <w:rFonts w:ascii="宋体" w:hAnsi="宋体"/>
                <w:szCs w:val="21"/>
              </w:rPr>
            </w:pPr>
            <w:r>
              <w:rPr>
                <w:rFonts w:ascii="宋体" w:hAnsi="宋体"/>
                <w:b/>
                <w:bCs/>
                <w:szCs w:val="21"/>
              </w:rPr>
              <w:t>眼睛接触：</w:t>
            </w:r>
            <w:r>
              <w:rPr>
                <w:rFonts w:ascii="宋体" w:hAnsi="宋体"/>
                <w:szCs w:val="21"/>
              </w:rPr>
              <w:t>立即提起眼睑，用大量流动清水或生理盐水彻底冲洗至少15分钟。就医。</w:t>
            </w:r>
          </w:p>
          <w:p>
            <w:pPr>
              <w:adjustRightInd w:val="0"/>
              <w:snapToGrid w:val="0"/>
              <w:rPr>
                <w:rFonts w:ascii="宋体" w:hAnsi="宋体"/>
                <w:szCs w:val="21"/>
              </w:rPr>
            </w:pPr>
            <w:r>
              <w:rPr>
                <w:rFonts w:ascii="宋体" w:hAnsi="宋体"/>
                <w:b/>
                <w:bCs/>
                <w:szCs w:val="21"/>
              </w:rPr>
              <w:t>吸入：</w:t>
            </w:r>
            <w:r>
              <w:rPr>
                <w:rFonts w:ascii="宋体" w:hAnsi="宋体"/>
                <w:szCs w:val="21"/>
              </w:rPr>
              <w:t>迅速脱离现场至空气新鲜处。保持呼吸道通畅。如呼吸困难，给输氧。如呼吸停止，立即进行人工呼吸。就医。</w:t>
            </w:r>
          </w:p>
          <w:p>
            <w:pPr>
              <w:adjustRightInd w:val="0"/>
              <w:snapToGrid w:val="0"/>
              <w:rPr>
                <w:rFonts w:ascii="宋体" w:hAnsi="宋体"/>
                <w:szCs w:val="21"/>
              </w:rPr>
            </w:pPr>
            <w:r>
              <w:rPr>
                <w:rFonts w:ascii="宋体" w:hAnsi="宋体"/>
                <w:b/>
                <w:bCs/>
                <w:szCs w:val="21"/>
              </w:rPr>
              <w:t>食入：</w:t>
            </w:r>
            <w:r>
              <w:rPr>
                <w:rFonts w:ascii="宋体" w:hAnsi="宋体"/>
                <w:szCs w:val="21"/>
              </w:rPr>
              <w:t>给饮牛奶或用植物油洗胃和灌肠。就医。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防</w:t>
            </w:r>
          </w:p>
          <w:p>
            <w:pPr>
              <w:adjustRightInd w:val="0"/>
              <w:snapToGrid w:val="0"/>
              <w:jc w:val="center"/>
              <w:rPr>
                <w:rFonts w:ascii="宋体" w:hAnsi="宋体"/>
                <w:b/>
                <w:bCs/>
                <w:szCs w:val="21"/>
              </w:rPr>
            </w:pPr>
            <w:r>
              <w:rPr>
                <w:rFonts w:ascii="宋体" w:hAnsi="宋体"/>
                <w:b/>
                <w:bCs/>
                <w:szCs w:val="21"/>
              </w:rPr>
              <w:t>护</w:t>
            </w:r>
          </w:p>
          <w:p>
            <w:pPr>
              <w:adjustRightInd w:val="0"/>
              <w:snapToGrid w:val="0"/>
              <w:jc w:val="center"/>
              <w:rPr>
                <w:rFonts w:ascii="宋体" w:hAnsi="宋体"/>
                <w:b/>
                <w:bCs/>
                <w:szCs w:val="21"/>
              </w:rPr>
            </w:pPr>
            <w:r>
              <w:rPr>
                <w:rFonts w:ascii="宋体" w:hAnsi="宋体"/>
                <w:b/>
                <w:bCs/>
                <w:szCs w:val="21"/>
              </w:rPr>
              <w:t>措</w:t>
            </w:r>
          </w:p>
          <w:p>
            <w:pPr>
              <w:adjustRightInd w:val="0"/>
              <w:snapToGrid w:val="0"/>
              <w:jc w:val="center"/>
              <w:rPr>
                <w:rFonts w:ascii="宋体" w:hAnsi="宋体"/>
                <w:szCs w:val="21"/>
              </w:rPr>
            </w:pPr>
            <w:r>
              <w:rPr>
                <w:rFonts w:ascii="宋体" w:hAnsi="宋体"/>
                <w:b/>
                <w:bCs/>
                <w:szCs w:val="21"/>
              </w:rPr>
              <w:t>施</w:t>
            </w:r>
          </w:p>
        </w:tc>
        <w:tc>
          <w:tcPr>
            <w:tcW w:w="7954" w:type="dxa"/>
            <w:noWrap w:val="0"/>
            <w:vAlign w:val="center"/>
          </w:tcPr>
          <w:p>
            <w:pPr>
              <w:adjustRightInd w:val="0"/>
              <w:snapToGrid w:val="0"/>
              <w:rPr>
                <w:rFonts w:ascii="宋体" w:hAnsi="宋体"/>
                <w:szCs w:val="21"/>
              </w:rPr>
            </w:pPr>
            <w:r>
              <w:rPr>
                <w:rFonts w:ascii="宋体" w:hAnsi="宋体"/>
                <w:b/>
                <w:bCs/>
                <w:szCs w:val="21"/>
              </w:rPr>
              <w:t>工程控制：</w:t>
            </w:r>
            <w:r>
              <w:rPr>
                <w:rFonts w:ascii="宋体" w:hAnsi="宋体"/>
                <w:szCs w:val="21"/>
              </w:rPr>
              <w:t>生产过程密闭操作，注意通风。</w:t>
            </w:r>
          </w:p>
          <w:p>
            <w:pPr>
              <w:adjustRightInd w:val="0"/>
              <w:snapToGrid w:val="0"/>
              <w:rPr>
                <w:rFonts w:ascii="宋体" w:hAnsi="宋体"/>
                <w:szCs w:val="21"/>
              </w:rPr>
            </w:pPr>
            <w:r>
              <w:rPr>
                <w:rFonts w:ascii="宋体" w:hAnsi="宋体"/>
                <w:b/>
                <w:bCs/>
                <w:szCs w:val="21"/>
              </w:rPr>
              <w:t>呼吸系统防护：</w:t>
            </w:r>
            <w:r>
              <w:rPr>
                <w:rFonts w:ascii="宋体" w:hAnsi="宋体"/>
                <w:szCs w:val="21"/>
              </w:rPr>
              <w:t>空气中浓度超标时，建议佩戴自吸过滤式防毒面具(半面罩)。紧急事态抢救或撤离时,应佩戴空气呼吸器。</w:t>
            </w:r>
          </w:p>
          <w:p>
            <w:pPr>
              <w:adjustRightInd w:val="0"/>
              <w:snapToGrid w:val="0"/>
              <w:rPr>
                <w:rFonts w:ascii="宋体" w:hAnsi="宋体"/>
                <w:szCs w:val="21"/>
              </w:rPr>
            </w:pPr>
            <w:r>
              <w:rPr>
                <w:rFonts w:ascii="宋体" w:hAnsi="宋体"/>
                <w:b/>
                <w:bCs/>
                <w:szCs w:val="21"/>
              </w:rPr>
              <w:t>眼睛防护：</w:t>
            </w:r>
            <w:r>
              <w:rPr>
                <w:rFonts w:ascii="宋体" w:hAnsi="宋体"/>
                <w:szCs w:val="21"/>
              </w:rPr>
              <w:t>必要时戴化学安全防护眼镜。</w:t>
            </w:r>
          </w:p>
          <w:p>
            <w:pPr>
              <w:adjustRightInd w:val="0"/>
              <w:snapToGrid w:val="0"/>
              <w:rPr>
                <w:rFonts w:ascii="宋体" w:hAnsi="宋体"/>
                <w:szCs w:val="21"/>
              </w:rPr>
            </w:pPr>
            <w:r>
              <w:rPr>
                <w:rFonts w:ascii="宋体" w:hAnsi="宋体"/>
                <w:b/>
                <w:bCs/>
                <w:szCs w:val="21"/>
              </w:rPr>
              <w:t>身体防护：</w:t>
            </w:r>
            <w:r>
              <w:rPr>
                <w:rFonts w:ascii="宋体" w:hAnsi="宋体"/>
                <w:szCs w:val="21"/>
              </w:rPr>
              <w:t>穿一般作业工作服。</w:t>
            </w:r>
          </w:p>
          <w:p>
            <w:pPr>
              <w:adjustRightInd w:val="0"/>
              <w:snapToGrid w:val="0"/>
              <w:rPr>
                <w:rFonts w:ascii="宋体" w:hAnsi="宋体"/>
                <w:szCs w:val="21"/>
              </w:rPr>
            </w:pPr>
            <w:r>
              <w:rPr>
                <w:rFonts w:ascii="宋体" w:hAnsi="宋体"/>
                <w:b/>
                <w:bCs/>
                <w:szCs w:val="21"/>
              </w:rPr>
              <w:t>手 防 护：</w:t>
            </w:r>
            <w:r>
              <w:rPr>
                <w:rFonts w:ascii="宋体" w:hAnsi="宋体"/>
                <w:szCs w:val="21"/>
              </w:rPr>
              <w:t>戴橡胶耐油手套。</w:t>
            </w:r>
          </w:p>
          <w:p>
            <w:pPr>
              <w:adjustRightInd w:val="0"/>
              <w:snapToGrid w:val="0"/>
              <w:rPr>
                <w:rFonts w:ascii="宋体" w:hAnsi="宋体"/>
                <w:szCs w:val="21"/>
              </w:rPr>
            </w:pPr>
            <w:r>
              <w:rPr>
                <w:rFonts w:ascii="宋体" w:hAnsi="宋体"/>
                <w:b/>
                <w:bCs/>
                <w:szCs w:val="21"/>
              </w:rPr>
              <w:t>其它防护：</w:t>
            </w:r>
            <w:r>
              <w:rPr>
                <w:rFonts w:ascii="宋体" w:hAnsi="宋体"/>
                <w:szCs w:val="21"/>
              </w:rPr>
              <w:t>工作现场禁止吸烟。避免长期反复接触。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泄</w:t>
            </w:r>
          </w:p>
          <w:p>
            <w:pPr>
              <w:adjustRightInd w:val="0"/>
              <w:snapToGrid w:val="0"/>
              <w:jc w:val="center"/>
              <w:rPr>
                <w:rFonts w:ascii="宋体" w:hAnsi="宋体"/>
                <w:b/>
                <w:bCs/>
                <w:szCs w:val="21"/>
              </w:rPr>
            </w:pPr>
            <w:r>
              <w:rPr>
                <w:rFonts w:ascii="宋体" w:hAnsi="宋体"/>
                <w:b/>
                <w:bCs/>
                <w:szCs w:val="21"/>
              </w:rPr>
              <w:t>漏</w:t>
            </w:r>
          </w:p>
          <w:p>
            <w:pPr>
              <w:adjustRightInd w:val="0"/>
              <w:snapToGrid w:val="0"/>
              <w:jc w:val="center"/>
              <w:rPr>
                <w:rFonts w:ascii="宋体" w:hAnsi="宋体"/>
                <w:b/>
                <w:bCs/>
                <w:szCs w:val="21"/>
              </w:rPr>
            </w:pPr>
            <w:r>
              <w:rPr>
                <w:rFonts w:ascii="宋体" w:hAnsi="宋体"/>
                <w:b/>
                <w:bCs/>
                <w:szCs w:val="21"/>
              </w:rPr>
              <w:t>处</w:t>
            </w:r>
          </w:p>
          <w:p>
            <w:pPr>
              <w:adjustRightInd w:val="0"/>
              <w:snapToGrid w:val="0"/>
              <w:jc w:val="center"/>
              <w:rPr>
                <w:rFonts w:ascii="宋体" w:hAnsi="宋体"/>
                <w:szCs w:val="21"/>
              </w:rPr>
            </w:pPr>
            <w:r>
              <w:rPr>
                <w:rFonts w:ascii="宋体" w:hAnsi="宋体"/>
                <w:b/>
                <w:bCs/>
                <w:szCs w:val="21"/>
              </w:rPr>
              <w:t>理</w:t>
            </w:r>
          </w:p>
        </w:tc>
        <w:tc>
          <w:tcPr>
            <w:tcW w:w="7954" w:type="dxa"/>
            <w:noWrap w:val="0"/>
            <w:vAlign w:val="center"/>
          </w:tcPr>
          <w:p>
            <w:pPr>
              <w:adjustRightInd w:val="0"/>
              <w:snapToGrid w:val="0"/>
              <w:rPr>
                <w:rFonts w:ascii="宋体" w:hAnsi="宋体"/>
                <w:szCs w:val="21"/>
              </w:rPr>
            </w:pPr>
            <w:r>
              <w:rPr>
                <w:rFonts w:ascii="宋体" w:hAnsi="宋体"/>
                <w:b/>
                <w:bCs/>
                <w:szCs w:val="21"/>
              </w:rPr>
              <w:t>应急行动：</w:t>
            </w:r>
            <w:r>
              <w:rPr>
                <w:rFonts w:ascii="宋体" w:hAnsi="宋体"/>
                <w:szCs w:val="21"/>
              </w:rPr>
              <w:t>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构筑围堤或挖坑收容。用防爆泵转移至槽车或专用收集容器内，回收或运至废物处理场所处置。</w:t>
            </w:r>
          </w:p>
        </w:tc>
      </w:tr>
    </w:tbl>
    <w:p>
      <w:pPr>
        <w:adjustRightInd w:val="0"/>
        <w:snapToGrid w:val="0"/>
        <w:spacing w:line="360" w:lineRule="auto"/>
        <w:ind w:firstLine="560" w:firstLineChars="200"/>
        <w:rPr>
          <w:rFonts w:hint="eastAsia"/>
          <w:sz w:val="28"/>
          <w:szCs w:val="28"/>
        </w:rPr>
      </w:pPr>
    </w:p>
    <w:p>
      <w:pPr>
        <w:pStyle w:val="8"/>
        <w:spacing w:line="360" w:lineRule="auto"/>
        <w:ind w:firstLine="0" w:firstLineChars="0"/>
        <w:outlineLvl w:val="2"/>
        <w:rPr>
          <w:rFonts w:hint="eastAsia" w:ascii="宋体" w:hAnsi="宋体"/>
          <w:b/>
          <w:snapToGrid w:val="0"/>
          <w:kern w:val="0"/>
          <w:sz w:val="28"/>
          <w:szCs w:val="28"/>
          <w:lang w:val="en-US" w:eastAsia="zh-CN"/>
        </w:rPr>
      </w:pPr>
      <w:bookmarkStart w:id="103" w:name="_Toc17544"/>
      <w:bookmarkStart w:id="104" w:name="_Toc513735551"/>
      <w:bookmarkStart w:id="105" w:name="_Toc515659434"/>
      <w:bookmarkStart w:id="106" w:name="_Toc475363997"/>
      <w:bookmarkStart w:id="107" w:name="_Toc511994825"/>
      <w:r>
        <w:rPr>
          <w:rFonts w:hint="eastAsia" w:ascii="宋体" w:hAnsi="宋体"/>
          <w:b/>
          <w:snapToGrid w:val="0"/>
          <w:kern w:val="0"/>
          <w:sz w:val="28"/>
          <w:szCs w:val="28"/>
          <w:lang w:val="en-US" w:eastAsia="zh-CN"/>
        </w:rPr>
        <w:t>3.4.7 氧气安全数据表</w:t>
      </w:r>
      <w:bookmarkEnd w:id="103"/>
      <w:bookmarkEnd w:id="104"/>
      <w:bookmarkEnd w:id="105"/>
      <w:bookmarkEnd w:id="106"/>
    </w:p>
    <w:p>
      <w:pPr>
        <w:pStyle w:val="32"/>
        <w:rPr>
          <w:rFonts w:eastAsia="黑体"/>
          <w:sz w:val="24"/>
          <w:szCs w:val="24"/>
        </w:rPr>
      </w:pPr>
      <w:r>
        <w:rPr>
          <w:rFonts w:eastAsia="黑体"/>
          <w:sz w:val="24"/>
          <w:szCs w:val="24"/>
        </w:rPr>
        <w:t>表3-</w:t>
      </w:r>
      <w:r>
        <w:rPr>
          <w:rFonts w:hint="eastAsia" w:eastAsia="黑体"/>
          <w:sz w:val="24"/>
          <w:szCs w:val="24"/>
        </w:rPr>
        <w:t>2</w:t>
      </w:r>
      <w:r>
        <w:rPr>
          <w:rFonts w:eastAsia="黑体"/>
          <w:sz w:val="24"/>
          <w:szCs w:val="24"/>
        </w:rPr>
        <w:t xml:space="preserve"> 氧气安全数据表</w:t>
      </w:r>
    </w:p>
    <w:tbl>
      <w:tblPr>
        <w:tblStyle w:val="19"/>
        <w:tblW w:w="833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6"/>
        <w:gridCol w:w="1947"/>
        <w:gridCol w:w="531"/>
        <w:gridCol w:w="788"/>
        <w:gridCol w:w="255"/>
        <w:gridCol w:w="43"/>
        <w:gridCol w:w="220"/>
        <w:gridCol w:w="436"/>
        <w:gridCol w:w="967"/>
        <w:gridCol w:w="229"/>
        <w:gridCol w:w="408"/>
        <w:gridCol w:w="20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标识</w:t>
            </w: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中文名：氧气</w:t>
            </w:r>
          </w:p>
        </w:tc>
        <w:tc>
          <w:tcPr>
            <w:tcW w:w="5382" w:type="dxa"/>
            <w:gridSpan w:val="9"/>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英文名：oxygen</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CAS号：7782-44-7</w:t>
            </w:r>
          </w:p>
        </w:tc>
        <w:tc>
          <w:tcPr>
            <w:tcW w:w="3346" w:type="dxa"/>
            <w:gridSpan w:val="8"/>
            <w:noWrap w:val="0"/>
            <w:tcMar>
              <w:top w:w="15" w:type="dxa"/>
              <w:left w:w="15" w:type="dxa"/>
              <w:bottom w:w="15" w:type="dxa"/>
              <w:right w:w="15" w:type="dxa"/>
            </w:tcMar>
            <w:vAlign w:val="center"/>
          </w:tcPr>
          <w:p>
            <w:pPr>
              <w:spacing w:line="260" w:lineRule="exact"/>
              <w:rPr>
                <w:rFonts w:ascii="宋体" w:hAnsi="宋体"/>
                <w:szCs w:val="21"/>
              </w:rPr>
            </w:pPr>
            <w:r>
              <w:rPr>
                <w:rFonts w:hint="eastAsia" w:ascii="宋体" w:hAnsi="宋体"/>
                <w:szCs w:val="21"/>
              </w:rPr>
              <w:t>危规</w:t>
            </w:r>
            <w:r>
              <w:rPr>
                <w:rFonts w:ascii="宋体" w:hAnsi="宋体"/>
                <w:szCs w:val="21"/>
              </w:rPr>
              <w:t>编号：</w:t>
            </w:r>
            <w:r>
              <w:rPr>
                <w:rFonts w:hint="eastAsia" w:ascii="宋体" w:hAnsi="宋体"/>
                <w:szCs w:val="21"/>
              </w:rPr>
              <w:t>2528</w:t>
            </w:r>
          </w:p>
        </w:tc>
        <w:tc>
          <w:tcPr>
            <w:tcW w:w="203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危险货物编号：22001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理化性质</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性状：无色无臭气体。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主要用途：用于切割、焊接金属，制造医药、染料、炸药等。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相对密度(水=1)：</w:t>
            </w:r>
          </w:p>
          <w:p>
            <w:pPr>
              <w:spacing w:line="260" w:lineRule="exact"/>
              <w:rPr>
                <w:rFonts w:ascii="宋体" w:hAnsi="宋体"/>
                <w:szCs w:val="21"/>
              </w:rPr>
            </w:pPr>
            <w:r>
              <w:rPr>
                <w:rFonts w:ascii="宋体" w:hAnsi="宋体"/>
                <w:szCs w:val="21"/>
              </w:rPr>
              <w:t>1.14（-183℃）</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饱和蒸汽压(kPa)：506.62（-164℃）</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临界温度(℃)：-118.4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相对密度(空气=1): 1.43</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闪点(℃)：不适用</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临界压力(MPa)：5.08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34" w:hRule="atLeast"/>
        </w:trPr>
        <w:tc>
          <w:tcPr>
            <w:tcW w:w="476" w:type="dxa"/>
            <w:vMerge w:val="continue"/>
            <w:noWrap w:val="0"/>
            <w:vAlign w:val="center"/>
          </w:tcPr>
          <w:p>
            <w:pPr>
              <w:spacing w:line="260" w:lineRule="exact"/>
              <w:rPr>
                <w:rFonts w:ascii="宋体" w:hAnsi="宋体"/>
                <w:szCs w:val="21"/>
              </w:rPr>
            </w:pPr>
          </w:p>
        </w:tc>
        <w:tc>
          <w:tcPr>
            <w:tcW w:w="3784"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熔点：-218.8</w:t>
            </w:r>
          </w:p>
        </w:tc>
        <w:tc>
          <w:tcPr>
            <w:tcW w:w="4076" w:type="dxa"/>
            <w:gridSpan w:val="5"/>
            <w:noWrap w:val="0"/>
            <w:vAlign w:val="center"/>
          </w:tcPr>
          <w:p>
            <w:pPr>
              <w:spacing w:line="260" w:lineRule="exact"/>
              <w:rPr>
                <w:rFonts w:ascii="宋体" w:hAnsi="宋体"/>
                <w:szCs w:val="21"/>
              </w:rPr>
            </w:pPr>
            <w:r>
              <w:rPr>
                <w:rFonts w:ascii="宋体" w:hAnsi="宋体"/>
                <w:szCs w:val="21"/>
              </w:rPr>
              <w:t>沸点：-183.1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9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溶解性：溶于水、乙醇。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危险特性：是易燃物、可燃物燃烧爆炸的基本要素之一, 能氧化大多数活性物质。与易燃物（如乙炔、甲烷等）形成有爆炸性的混合物。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1947"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燃烧分解产物：无数据</w:t>
            </w:r>
          </w:p>
        </w:tc>
        <w:tc>
          <w:tcPr>
            <w:tcW w:w="1319"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稳定性：无数据</w:t>
            </w:r>
          </w:p>
        </w:tc>
        <w:tc>
          <w:tcPr>
            <w:tcW w:w="1921"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聚合危害：无数据</w:t>
            </w:r>
          </w:p>
        </w:tc>
        <w:tc>
          <w:tcPr>
            <w:tcW w:w="2673" w:type="dxa"/>
            <w:gridSpan w:val="3"/>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禁忌物：易燃或可燃物、活性金属粉末、乙炔。</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6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灭火方法：用水保持容器冷却，以防受热爆炸，急剧助长火势。迅速切断气源，用水喷淋保护切断气源的人员，然后根据着火原因选择适当灭火剂灭火。</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危害</w:t>
            </w:r>
          </w:p>
        </w:tc>
        <w:tc>
          <w:tcPr>
            <w:tcW w:w="3521"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危险性类别：第2.2类 不燃气体</w:t>
            </w:r>
          </w:p>
        </w:tc>
        <w:tc>
          <w:tcPr>
            <w:tcW w:w="4339" w:type="dxa"/>
            <w:gridSpan w:val="7"/>
            <w:noWrap w:val="0"/>
            <w:vAlign w:val="center"/>
          </w:tcPr>
          <w:p>
            <w:pPr>
              <w:spacing w:line="260" w:lineRule="exact"/>
              <w:rPr>
                <w:rFonts w:ascii="宋体" w:hAnsi="宋体"/>
                <w:szCs w:val="21"/>
              </w:rPr>
            </w:pPr>
            <w:r>
              <w:rPr>
                <w:rFonts w:ascii="宋体" w:hAnsi="宋体"/>
                <w:szCs w:val="21"/>
              </w:rPr>
              <w:t>侵入途径：无数据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健康危害：常压下，当氧的浓度超过40％时，有可能发生氧中毒。吸入40％～60％的氧时，出现胸骨后不适感、轻咳，进而胸闷、胸骨后烧灼感和呼吸困难，咳嗽加剧；严重时可发生肺水肿，甚至出现呼吸窘迫综合征。吸入氧浓度在80％以上时，出现面部肌肉抽动、面色苍白、眩晕、心动过速、虚脱，继而全身强直性抽搐、昏迷、呼吸衰竭而死亡。长期处于氧分压为60～100kPa（相当于吸入氧浓度40％左右）的条件下可发生眼损害，严重者可失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7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燃爆危险：本品助燃。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69"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包装与储运</w:t>
            </w:r>
          </w:p>
        </w:tc>
        <w:tc>
          <w:tcPr>
            <w:tcW w:w="3564"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危险货物包装标志：无数据</w:t>
            </w:r>
          </w:p>
        </w:tc>
        <w:tc>
          <w:tcPr>
            <w:tcW w:w="4296"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包装类别：O53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7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钢质气瓶包装。氧气钢瓶不得沾污油脂。采用刚瓶运输时必须戴好钢瓶上的安全帽。钢瓶一般平放，并应将瓶口朝同一方向，不可交叉；高度不得超过车辆的防护栏板，并用三角木垫卡牢，防止滚动。严禁与易燃物或可燃物、活性金属粉末等混装混运。夏季应早晚运输，防止日光曝晒。铁路运输时要禁止溜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急救措施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皮肤接触：无数据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食入：无数据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吸入：迅速脱离现场至空气新鲜处。保持呼吸道通畅。如呼吸停止，立即进行人工呼吸。就医。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防护措施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工程控制：密闭操作。提供良好的自然通风条件。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呼吸系统防护：一般不需特殊防护。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4220"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身体防护：穿一般作业工作服。</w:t>
            </w:r>
          </w:p>
        </w:tc>
        <w:tc>
          <w:tcPr>
            <w:tcW w:w="3640"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手防护：戴一般作业防护手套。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其它防护：避免高浓度吸入。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59" w:hRule="atLeast"/>
        </w:trPr>
        <w:tc>
          <w:tcPr>
            <w:tcW w:w="47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泄漏处理</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迅速撤离泄漏污染区人员至上风处，并进行隔离，严格限制出入。切断火源。建议应急处理人员戴自给正压式呼吸器，穿一般作业工作服。避免与可燃物或易燃物接触。尽可能切断泄漏源。合理通风，加速扩散。漏气容器要妥善处理，修复、检验后再用。</w:t>
            </w:r>
          </w:p>
        </w:tc>
      </w:tr>
    </w:tbl>
    <w:p>
      <w:bookmarkStart w:id="108" w:name="_Toc321298550"/>
    </w:p>
    <w:p>
      <w:pPr>
        <w:pStyle w:val="8"/>
        <w:spacing w:line="360" w:lineRule="auto"/>
        <w:ind w:firstLine="0" w:firstLineChars="0"/>
        <w:outlineLvl w:val="2"/>
        <w:rPr>
          <w:rFonts w:hint="eastAsia" w:ascii="宋体" w:hAnsi="宋体"/>
          <w:b/>
          <w:snapToGrid w:val="0"/>
          <w:kern w:val="0"/>
          <w:sz w:val="28"/>
          <w:szCs w:val="28"/>
          <w:lang w:val="en-US" w:eastAsia="zh-CN"/>
        </w:rPr>
      </w:pPr>
      <w:bookmarkStart w:id="109" w:name="_Toc513735552"/>
      <w:bookmarkStart w:id="110" w:name="_Toc31733"/>
      <w:bookmarkStart w:id="111" w:name="_Toc475363998"/>
      <w:bookmarkStart w:id="112" w:name="_Toc515659435"/>
      <w:r>
        <w:rPr>
          <w:rFonts w:hint="eastAsia" w:ascii="宋体" w:hAnsi="宋体"/>
          <w:b/>
          <w:snapToGrid w:val="0"/>
          <w:kern w:val="0"/>
          <w:sz w:val="28"/>
          <w:szCs w:val="28"/>
          <w:lang w:val="en-US" w:eastAsia="zh-CN"/>
        </w:rPr>
        <w:t>3.4.8 乙炔安全数据表</w:t>
      </w:r>
      <w:bookmarkEnd w:id="108"/>
      <w:bookmarkEnd w:id="109"/>
      <w:bookmarkEnd w:id="110"/>
      <w:bookmarkEnd w:id="111"/>
      <w:bookmarkEnd w:id="112"/>
    </w:p>
    <w:p>
      <w:pPr>
        <w:pStyle w:val="32"/>
        <w:rPr>
          <w:rFonts w:eastAsia="黑体"/>
          <w:sz w:val="24"/>
          <w:szCs w:val="24"/>
        </w:rPr>
      </w:pPr>
      <w:r>
        <w:rPr>
          <w:rFonts w:hint="eastAsia" w:eastAsia="黑体"/>
          <w:sz w:val="24"/>
          <w:szCs w:val="24"/>
        </w:rPr>
        <w:t>表</w:t>
      </w:r>
      <w:r>
        <w:rPr>
          <w:rFonts w:eastAsia="黑体"/>
          <w:sz w:val="24"/>
          <w:szCs w:val="24"/>
        </w:rPr>
        <w:t>3-</w:t>
      </w:r>
      <w:r>
        <w:rPr>
          <w:rFonts w:hint="eastAsia" w:eastAsia="黑体"/>
          <w:sz w:val="24"/>
          <w:szCs w:val="24"/>
        </w:rPr>
        <w:t>3</w:t>
      </w:r>
      <w:r>
        <w:rPr>
          <w:rFonts w:eastAsia="黑体"/>
          <w:sz w:val="24"/>
          <w:szCs w:val="24"/>
        </w:rPr>
        <w:t xml:space="preserve"> 乙炔安全数据表</w:t>
      </w:r>
    </w:p>
    <w:tbl>
      <w:tblPr>
        <w:tblStyle w:val="19"/>
        <w:tblW w:w="833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6"/>
        <w:gridCol w:w="1947"/>
        <w:gridCol w:w="531"/>
        <w:gridCol w:w="788"/>
        <w:gridCol w:w="255"/>
        <w:gridCol w:w="43"/>
        <w:gridCol w:w="220"/>
        <w:gridCol w:w="436"/>
        <w:gridCol w:w="967"/>
        <w:gridCol w:w="229"/>
        <w:gridCol w:w="408"/>
        <w:gridCol w:w="20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标 识</w:t>
            </w: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中文名：乙炔</w:t>
            </w:r>
          </w:p>
        </w:tc>
        <w:tc>
          <w:tcPr>
            <w:tcW w:w="5382" w:type="dxa"/>
            <w:gridSpan w:val="9"/>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英文名：acetylene</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CAS号：74-86-2</w:t>
            </w:r>
          </w:p>
        </w:tc>
        <w:tc>
          <w:tcPr>
            <w:tcW w:w="3346" w:type="dxa"/>
            <w:gridSpan w:val="8"/>
            <w:noWrap w:val="0"/>
            <w:tcMar>
              <w:top w:w="15" w:type="dxa"/>
              <w:left w:w="15" w:type="dxa"/>
              <w:bottom w:w="15" w:type="dxa"/>
              <w:right w:w="15" w:type="dxa"/>
            </w:tcMar>
            <w:vAlign w:val="center"/>
          </w:tcPr>
          <w:p>
            <w:pPr>
              <w:spacing w:line="260" w:lineRule="exact"/>
              <w:rPr>
                <w:rFonts w:ascii="宋体" w:hAnsi="宋体"/>
                <w:szCs w:val="21"/>
              </w:rPr>
            </w:pPr>
            <w:r>
              <w:rPr>
                <w:rFonts w:hint="eastAsia" w:ascii="宋体" w:hAnsi="宋体"/>
                <w:szCs w:val="21"/>
              </w:rPr>
              <w:t>危规</w:t>
            </w:r>
            <w:r>
              <w:rPr>
                <w:rFonts w:ascii="宋体" w:hAnsi="宋体"/>
                <w:szCs w:val="21"/>
              </w:rPr>
              <w:t>编号：</w:t>
            </w:r>
            <w:r>
              <w:rPr>
                <w:rFonts w:hint="eastAsia" w:ascii="宋体" w:hAnsi="宋体"/>
                <w:szCs w:val="21"/>
              </w:rPr>
              <w:t>2629</w:t>
            </w:r>
          </w:p>
        </w:tc>
        <w:tc>
          <w:tcPr>
            <w:tcW w:w="203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危险货物编号：21024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理化性质</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性状：无色无臭气体，工业品有使人不愉快的大蒜气味。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主要用途：是有机合成的重要原料之一。亦是合成橡胶、合成纤维和塑料的单体，也用于氧炔焊割。</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相对密度(水=1)：0.62</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饱和蒸汽压(kPa)：4053（16.8℃）</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临界温度(℃)：35.2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相对密度(空气=1): 0.91</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闪点(℃)：不适用</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临界压力(MPa)：6.14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34" w:hRule="atLeast"/>
        </w:trPr>
        <w:tc>
          <w:tcPr>
            <w:tcW w:w="476" w:type="dxa"/>
            <w:vMerge w:val="continue"/>
            <w:noWrap w:val="0"/>
            <w:vAlign w:val="center"/>
          </w:tcPr>
          <w:p>
            <w:pPr>
              <w:spacing w:line="260" w:lineRule="exact"/>
              <w:rPr>
                <w:rFonts w:ascii="宋体" w:hAnsi="宋体"/>
                <w:szCs w:val="21"/>
              </w:rPr>
            </w:pPr>
          </w:p>
        </w:tc>
        <w:tc>
          <w:tcPr>
            <w:tcW w:w="3784"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熔点：-81.8（119kPa）</w:t>
            </w:r>
          </w:p>
        </w:tc>
        <w:tc>
          <w:tcPr>
            <w:tcW w:w="4076" w:type="dxa"/>
            <w:gridSpan w:val="5"/>
            <w:noWrap w:val="0"/>
            <w:vAlign w:val="center"/>
          </w:tcPr>
          <w:p>
            <w:pPr>
              <w:spacing w:line="260" w:lineRule="exact"/>
              <w:rPr>
                <w:rFonts w:ascii="宋体" w:hAnsi="宋体"/>
                <w:szCs w:val="21"/>
              </w:rPr>
            </w:pPr>
            <w:r>
              <w:rPr>
                <w:rFonts w:ascii="宋体" w:hAnsi="宋体"/>
                <w:szCs w:val="21"/>
              </w:rPr>
              <w:t>沸点：-83.8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9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溶解性：微溶于水、乙醇，溶于丙酮、氯仿、苯。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危险特性：极易燃烧爆炸。与空气混合能形成爆炸性混合物，遇明火、高热能引起燃烧爆炸。与氧化剂接触猛烈反应。与氟、氯等接触会发生剧烈的化学反应。能与铜、银、汞等的化合物生成爆炸性物质。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1947"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燃烧分解产物：一氧化碳、二氧化碳。</w:t>
            </w:r>
          </w:p>
        </w:tc>
        <w:tc>
          <w:tcPr>
            <w:tcW w:w="1319"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稳定性：稳定</w:t>
            </w:r>
          </w:p>
        </w:tc>
        <w:tc>
          <w:tcPr>
            <w:tcW w:w="1921"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聚合危害：</w:t>
            </w:r>
          </w:p>
        </w:tc>
        <w:tc>
          <w:tcPr>
            <w:tcW w:w="2673" w:type="dxa"/>
            <w:gridSpan w:val="3"/>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禁忌物：强氧化剂、强酸、卤素。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6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灭火方法：切断气源。若不能切断气源，则不允许熄灭泄漏处的火焰。喷水冷却容器，可能的话将容器从火场移至空旷处。灭火剂：雾状水、泡沫、二氧化碳、干粉。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危害</w:t>
            </w:r>
          </w:p>
        </w:tc>
        <w:tc>
          <w:tcPr>
            <w:tcW w:w="3521"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危险性类别：第2.1类 易燃气体</w:t>
            </w:r>
          </w:p>
        </w:tc>
        <w:tc>
          <w:tcPr>
            <w:tcW w:w="4339" w:type="dxa"/>
            <w:gridSpan w:val="7"/>
            <w:noWrap w:val="0"/>
            <w:vAlign w:val="center"/>
          </w:tcPr>
          <w:p>
            <w:pPr>
              <w:spacing w:line="260" w:lineRule="exact"/>
              <w:rPr>
                <w:rFonts w:ascii="宋体" w:hAnsi="宋体"/>
                <w:szCs w:val="21"/>
              </w:rPr>
            </w:pPr>
            <w:r>
              <w:rPr>
                <w:rFonts w:ascii="宋体" w:hAnsi="宋体"/>
                <w:szCs w:val="21"/>
              </w:rPr>
              <w:t>侵入途径：吸入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39"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健康危害：具有弱麻醉作用。高浓度吸入可引起单纯窒息。 急性中毒：暴露于20％浓度时，出现明显缺氧症状；吸入高浓度，初期兴奋、多语、哭笑不安，后出现眩晕、头痛、恶心、呕吐、共济失调、嗜睡；严重者昏迷、紫绀、瞳孔对光反应消失、脉弱而不齐。当混有磷化氢、硫化氢时，毒性增大，应予以注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7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燃爆危险：本品易燃，具窒息性。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包装与储运</w:t>
            </w:r>
          </w:p>
        </w:tc>
        <w:tc>
          <w:tcPr>
            <w:tcW w:w="3564"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危险货物包装标志：易燃气体</w:t>
            </w:r>
          </w:p>
        </w:tc>
        <w:tc>
          <w:tcPr>
            <w:tcW w:w="4296"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包装类别：O52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7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乙炔的包装法通常是溶解在溶剂及多孔物中, 装入钢瓶内。储存于阴凉、通风的库房。远离火种、热源。库温不宜超过30℃。应与氧化剂、酸类、卤素分开存放，切忌混储。采用防爆型照明、通风设施。禁止使用易产生火花的机械设备和工具。储区应备有泄漏应急处理设备。</w:t>
            </w:r>
          </w:p>
          <w:p>
            <w:pPr>
              <w:spacing w:line="260" w:lineRule="exact"/>
              <w:rPr>
                <w:rFonts w:ascii="宋体" w:hAnsi="宋体"/>
                <w:szCs w:val="21"/>
              </w:rPr>
            </w:pPr>
            <w:r>
              <w:rPr>
                <w:rFonts w:ascii="宋体" w:hAnsi="宋体"/>
                <w:szCs w:val="21"/>
              </w:rPr>
              <w:t>采用刚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酸类、卤素等混装混运。夏季应早晚运输，防止日光曝晒。中途停留时应远离火种、热源。公路运输时要按规定路线行驶，勿在居民区和人口稠密区停留。铁路运输时要禁止溜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急救措施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皮肤接触：无数据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食入：无数据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吸入：迅速脱离现场至空气新鲜处。保持呼吸道通畅。如呼吸困难，给输氧。如呼吸停止，立即进行人工呼吸。就医。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防护措施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工程控制：生产过程密闭，全面通风。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呼吸系统防护：一般不需要特殊防护，但建议特殊情况下，佩戴自吸过滤式防毒面具（半面罩）。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4220"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身体防护：穿防静电工作服。</w:t>
            </w:r>
          </w:p>
        </w:tc>
        <w:tc>
          <w:tcPr>
            <w:tcW w:w="3640"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手防护：戴一般作业防护手套。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其它防护：无数据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59" w:hRule="atLeast"/>
        </w:trPr>
        <w:tc>
          <w:tcPr>
            <w:tcW w:w="47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泄漏处理</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迅速撤离泄漏污染区人员至上风处，并进行隔离，严格限制出入。切断火源。建议应急处理人员戴自给正压式呼吸器，穿防静电工作服。尽可能切断泄漏源。合理通风，加速扩散。喷雾状水稀释、溶解。构筑围堤或挖坑收容产生的大量废水。如有可能，将漏出气用排风机送至空旷地方或装设适当喷头烧掉。漏气容器要妥善处理，修复、检验后再用。</w:t>
            </w:r>
          </w:p>
        </w:tc>
      </w:tr>
    </w:tbl>
    <w:p/>
    <w:p>
      <w:pPr>
        <w:pStyle w:val="8"/>
        <w:spacing w:line="360" w:lineRule="auto"/>
        <w:ind w:firstLine="0" w:firstLineChars="0"/>
        <w:outlineLvl w:val="1"/>
        <w:rPr>
          <w:rFonts w:hint="eastAsia" w:ascii="黑体" w:eastAsia="黑体"/>
          <w:b/>
          <w:snapToGrid w:val="0"/>
          <w:kern w:val="0"/>
          <w:sz w:val="32"/>
          <w:szCs w:val="32"/>
        </w:rPr>
      </w:pPr>
      <w:bookmarkStart w:id="113" w:name="_Toc515659436"/>
      <w:bookmarkStart w:id="114" w:name="_Toc25966"/>
      <w:r>
        <w:rPr>
          <w:rFonts w:hint="eastAsia" w:ascii="黑体" w:eastAsia="黑体"/>
          <w:b/>
          <w:snapToGrid w:val="0"/>
          <w:kern w:val="0"/>
          <w:sz w:val="32"/>
          <w:szCs w:val="32"/>
        </w:rPr>
        <w:t>3.5 生产过程危险有害因素分析和辨识</w:t>
      </w:r>
      <w:bookmarkEnd w:id="107"/>
      <w:bookmarkEnd w:id="113"/>
      <w:bookmarkEnd w:id="114"/>
    </w:p>
    <w:p>
      <w:pPr>
        <w:pStyle w:val="2"/>
      </w:pPr>
    </w:p>
    <w:p>
      <w:pPr>
        <w:pStyle w:val="8"/>
        <w:spacing w:line="360" w:lineRule="auto"/>
        <w:ind w:firstLine="0" w:firstLineChars="0"/>
        <w:outlineLvl w:val="1"/>
        <w:rPr>
          <w:rFonts w:hint="eastAsia" w:ascii="黑体" w:eastAsia="黑体"/>
          <w:b/>
          <w:snapToGrid w:val="0"/>
          <w:kern w:val="0"/>
          <w:sz w:val="32"/>
          <w:szCs w:val="32"/>
        </w:rPr>
      </w:pPr>
      <w:bookmarkStart w:id="115" w:name="_Toc356380979"/>
      <w:bookmarkStart w:id="116" w:name="_Toc514342847"/>
      <w:bookmarkStart w:id="117" w:name="_Toc332350851"/>
      <w:bookmarkStart w:id="118" w:name="_Toc345593160"/>
      <w:bookmarkStart w:id="119" w:name="_Toc480804395"/>
      <w:bookmarkStart w:id="120" w:name="_Toc6059"/>
      <w:bookmarkStart w:id="121" w:name="_Toc356401492"/>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5 生产过程危险有害因素分析和辨识</w:t>
      </w:r>
      <w:bookmarkEnd w:id="115"/>
      <w:bookmarkEnd w:id="116"/>
      <w:bookmarkEnd w:id="117"/>
      <w:bookmarkEnd w:id="118"/>
      <w:bookmarkEnd w:id="119"/>
      <w:bookmarkEnd w:id="120"/>
      <w:bookmarkEnd w:id="121"/>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根据现场检查及工艺过程分析，生产过程中危险有害因素分为：</w:t>
      </w:r>
    </w:p>
    <w:p>
      <w:pPr>
        <w:pStyle w:val="8"/>
        <w:spacing w:line="360" w:lineRule="auto"/>
        <w:ind w:firstLine="0" w:firstLineChars="0"/>
        <w:outlineLvl w:val="2"/>
        <w:rPr>
          <w:rFonts w:hint="eastAsia" w:ascii="宋体" w:hAnsi="宋体"/>
          <w:b/>
          <w:snapToGrid w:val="0"/>
          <w:kern w:val="0"/>
          <w:sz w:val="28"/>
          <w:szCs w:val="28"/>
        </w:rPr>
      </w:pPr>
      <w:bookmarkStart w:id="122" w:name="_Toc356401493"/>
      <w:bookmarkStart w:id="123" w:name="_Toc356380982"/>
      <w:bookmarkStart w:id="124" w:name="_Toc3048"/>
      <w:bookmarkStart w:id="125" w:name="_Toc480804396"/>
      <w:bookmarkStart w:id="126" w:name="_Toc514342848"/>
      <w:bookmarkStart w:id="127" w:name="_Toc332350854"/>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5.1 车辆事故</w:t>
      </w:r>
      <w:bookmarkEnd w:id="122"/>
      <w:bookmarkEnd w:id="123"/>
      <w:bookmarkEnd w:id="124"/>
      <w:bookmarkEnd w:id="125"/>
      <w:bookmarkEnd w:id="126"/>
      <w:bookmarkEnd w:id="127"/>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车辆伤害事故指企业机动车辆在行驶中引起的人体坠落和物体倒塌、坠落、挤压伤亡事故。</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车辆伤害事故的主要原因有</w:t>
      </w:r>
      <w:r>
        <w:rPr>
          <w:rFonts w:ascii="宋体" w:hAnsi="宋体"/>
          <w:snapToGrid w:val="0"/>
          <w:kern w:val="0"/>
          <w:sz w:val="28"/>
          <w:szCs w:val="28"/>
        </w:rPr>
        <w:t>:</w:t>
      </w:r>
      <w:r>
        <w:rPr>
          <w:rFonts w:hint="eastAsia" w:ascii="宋体" w:hAnsi="宋体"/>
          <w:snapToGrid w:val="0"/>
          <w:kern w:val="0"/>
          <w:sz w:val="28"/>
          <w:szCs w:val="28"/>
        </w:rPr>
        <w:t>①违章驾车：如酒后驾车、疲劳驾车、非驾驶员驾车、超速行驶、争道抢行、违章超车和超载等；②疏忽大意：如情绪急躁、精神分散、心理烦乱、身体不适等；③车况不好：如安全装置不齐全、工作装置工作不可靠、安全防护装置工作不可靠、车辆维护修理不及时、带“病”行驶等；④道路环境：如道路条件差、视线不良、在恶劣的气候条件下行驶等；⑤管理因素：如车辆安全行驶制度不落实、管理规章制度或操作规程不健全、车辆维修不及时、交通信号、标志、设施缺陷等。</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企业可能发生的车辆伤害事故：矿车行驶中撞击或挤压到人员；人员从行驶中的车辆上坠落；挖掘设备给矿车装过大的大块或矿车装料时由于停放处坑洼不平等造成矿车翻倒事故；交叉路口或超车或会车时发生车辆相撞事故；矿车倒车排废时由于车上的大块卡住车斗或操作不当或发生滑坡、塌方造成矿车翻下山；矿车行驶中轮胎</w:t>
      </w:r>
      <w:r>
        <w:rPr>
          <w:rFonts w:ascii="宋体" w:hAnsi="宋体"/>
          <w:snapToGrid w:val="0"/>
          <w:kern w:val="0"/>
          <w:sz w:val="28"/>
          <w:szCs w:val="28"/>
        </w:rPr>
        <w:t>"</w:t>
      </w:r>
      <w:r>
        <w:rPr>
          <w:rFonts w:hint="eastAsia" w:ascii="宋体" w:hAnsi="宋体"/>
          <w:snapToGrid w:val="0"/>
          <w:kern w:val="0"/>
          <w:sz w:val="28"/>
          <w:szCs w:val="28"/>
        </w:rPr>
        <w:t>突爆</w:t>
      </w:r>
      <w:r>
        <w:rPr>
          <w:rFonts w:ascii="宋体" w:hAnsi="宋体"/>
          <w:snapToGrid w:val="0"/>
          <w:kern w:val="0"/>
          <w:sz w:val="28"/>
          <w:szCs w:val="28"/>
        </w:rPr>
        <w:t>"</w:t>
      </w:r>
      <w:r>
        <w:rPr>
          <w:rFonts w:hint="eastAsia" w:ascii="宋体" w:hAnsi="宋体"/>
          <w:snapToGrid w:val="0"/>
          <w:kern w:val="0"/>
          <w:sz w:val="28"/>
          <w:szCs w:val="28"/>
        </w:rPr>
        <w:t>造成翻车等事故的发生；挖掘设备上下坡或在坡上作业时发生倾倒事故；挖掘设备回转过程中或卸料时铲斗碰到矿车驾驶室或其它部位造成事故。</w:t>
      </w:r>
    </w:p>
    <w:p>
      <w:pPr>
        <w:spacing w:line="360" w:lineRule="auto"/>
        <w:ind w:firstLine="560" w:firstLineChars="200"/>
        <w:rPr>
          <w:rFonts w:hint="eastAsia"/>
          <w:sz w:val="28"/>
          <w:szCs w:val="28"/>
        </w:rPr>
      </w:pPr>
      <w:r>
        <w:rPr>
          <w:rFonts w:hint="eastAsia"/>
          <w:sz w:val="28"/>
          <w:szCs w:val="28"/>
        </w:rPr>
        <w:t>砖瓦厂在原料（泥土、煤渣）运输堆积、半成品及成品砖运输等过程中，各种车辆来往频繁。车辆的装载和驾驶、车辆及驾驶员的管理等方面的缺陷均可能引发车辆伤害事故。</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车辆伤害后果是人员的伤亡和设备物品的损毁。</w:t>
      </w:r>
    </w:p>
    <w:p>
      <w:pPr>
        <w:pStyle w:val="8"/>
        <w:spacing w:line="360" w:lineRule="auto"/>
        <w:ind w:firstLine="0" w:firstLineChars="0"/>
        <w:outlineLvl w:val="2"/>
        <w:rPr>
          <w:rFonts w:hint="eastAsia" w:ascii="宋体" w:hAnsi="宋体"/>
          <w:b/>
          <w:snapToGrid w:val="0"/>
          <w:kern w:val="0"/>
          <w:sz w:val="28"/>
          <w:szCs w:val="28"/>
        </w:rPr>
      </w:pPr>
      <w:bookmarkStart w:id="128" w:name="_Toc332350855"/>
      <w:bookmarkStart w:id="129" w:name="_Toc356380983"/>
      <w:bookmarkStart w:id="130" w:name="_Toc356401494"/>
      <w:bookmarkStart w:id="131" w:name="_Toc514342849"/>
      <w:bookmarkStart w:id="132" w:name="_Toc480804397"/>
      <w:bookmarkStart w:id="133" w:name="_Toc18817"/>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5.2 机械</w:t>
      </w:r>
      <w:bookmarkEnd w:id="128"/>
      <w:bookmarkEnd w:id="129"/>
      <w:r>
        <w:rPr>
          <w:rFonts w:hint="eastAsia" w:ascii="宋体" w:hAnsi="宋体"/>
          <w:b/>
          <w:snapToGrid w:val="0"/>
          <w:kern w:val="0"/>
          <w:sz w:val="28"/>
          <w:szCs w:val="28"/>
        </w:rPr>
        <w:t>伤害</w:t>
      </w:r>
      <w:bookmarkEnd w:id="130"/>
      <w:bookmarkEnd w:id="131"/>
      <w:bookmarkEnd w:id="132"/>
      <w:bookmarkEnd w:id="133"/>
    </w:p>
    <w:p>
      <w:pPr>
        <w:spacing w:line="360" w:lineRule="auto"/>
        <w:ind w:firstLine="515" w:firstLineChars="184"/>
        <w:rPr>
          <w:rFonts w:ascii="宋体" w:hAnsi="宋体"/>
          <w:snapToGrid w:val="0"/>
          <w:kern w:val="0"/>
          <w:sz w:val="28"/>
          <w:szCs w:val="28"/>
        </w:rPr>
      </w:pPr>
      <w:r>
        <w:rPr>
          <w:rFonts w:hint="eastAsia" w:ascii="宋体" w:hAnsi="宋体"/>
          <w:snapToGrid w:val="0"/>
          <w:kern w:val="0"/>
          <w:sz w:val="28"/>
          <w:szCs w:val="28"/>
        </w:rPr>
        <w:t>机械伤害事故是指机械设备运动</w:t>
      </w:r>
      <w:r>
        <w:rPr>
          <w:rFonts w:ascii="宋体" w:hAnsi="宋体"/>
          <w:snapToGrid w:val="0"/>
          <w:kern w:val="0"/>
          <w:sz w:val="28"/>
          <w:szCs w:val="28"/>
        </w:rPr>
        <w:t>(</w:t>
      </w:r>
      <w:r>
        <w:rPr>
          <w:rFonts w:hint="eastAsia" w:ascii="宋体" w:hAnsi="宋体"/>
          <w:snapToGrid w:val="0"/>
          <w:kern w:val="0"/>
          <w:sz w:val="28"/>
          <w:szCs w:val="28"/>
        </w:rPr>
        <w:t>静止</w:t>
      </w:r>
      <w:r>
        <w:rPr>
          <w:rFonts w:ascii="宋体" w:hAnsi="宋体"/>
          <w:snapToGrid w:val="0"/>
          <w:kern w:val="0"/>
          <w:sz w:val="28"/>
          <w:szCs w:val="28"/>
        </w:rPr>
        <w:t>)</w:t>
      </w:r>
      <w:r>
        <w:rPr>
          <w:rFonts w:hint="eastAsia" w:ascii="宋体" w:hAnsi="宋体"/>
          <w:snapToGrid w:val="0"/>
          <w:kern w:val="0"/>
          <w:sz w:val="28"/>
          <w:szCs w:val="28"/>
        </w:rPr>
        <w:t>部件、工具、加工件直接与人体接触引起的夹击、碰撞、剪切、卷人、绞、碾、割、刺等伤害，不包括车辆、起重机械引起的机械伤害。</w:t>
      </w:r>
    </w:p>
    <w:p>
      <w:pPr>
        <w:spacing w:line="360" w:lineRule="auto"/>
        <w:ind w:firstLine="515" w:firstLineChars="184"/>
        <w:rPr>
          <w:rFonts w:ascii="宋体" w:hAnsi="宋体"/>
          <w:snapToGrid w:val="0"/>
          <w:kern w:val="0"/>
          <w:sz w:val="28"/>
          <w:szCs w:val="28"/>
        </w:rPr>
      </w:pPr>
      <w:r>
        <w:rPr>
          <w:rFonts w:hint="eastAsia" w:ascii="宋体" w:hAnsi="宋体"/>
          <w:snapToGrid w:val="0"/>
          <w:kern w:val="0"/>
          <w:sz w:val="28"/>
          <w:szCs w:val="28"/>
        </w:rPr>
        <w:t>机械伤害事故产生的主要原因</w:t>
      </w:r>
      <w:r>
        <w:rPr>
          <w:rFonts w:ascii="宋体" w:hAnsi="宋体"/>
          <w:snapToGrid w:val="0"/>
          <w:kern w:val="0"/>
          <w:sz w:val="28"/>
          <w:szCs w:val="28"/>
        </w:rPr>
        <w:t>:</w:t>
      </w:r>
      <w:r>
        <w:rPr>
          <w:rFonts w:hint="eastAsia" w:ascii="宋体" w:hAnsi="宋体"/>
          <w:snapToGrid w:val="0"/>
          <w:kern w:val="0"/>
          <w:sz w:val="28"/>
          <w:szCs w:val="28"/>
        </w:rPr>
        <w:t>①指挥人员违章指挥，操作人员违章操作；②机械设备安全防护装置缺乏或防护装置失效等，导致事故发生；③安全管理上存在不足；④场地及运输道路缺陷；⑤意外因素影响</w:t>
      </w:r>
      <w:r>
        <w:rPr>
          <w:rFonts w:ascii="宋体" w:hAnsi="宋体"/>
          <w:snapToGrid w:val="0"/>
          <w:kern w:val="0"/>
          <w:sz w:val="28"/>
          <w:szCs w:val="28"/>
        </w:rPr>
        <w:t>:</w:t>
      </w:r>
      <w:r>
        <w:rPr>
          <w:rFonts w:hint="eastAsia" w:ascii="宋体" w:hAnsi="宋体"/>
          <w:snapToGrid w:val="0"/>
          <w:kern w:val="0"/>
          <w:sz w:val="28"/>
          <w:szCs w:val="28"/>
        </w:rPr>
        <w:t>如在检修和正常工作时，机器突然被别人随意启动，导致事故发生；⑥在不安全的机械上停留、休息，导致事故发生等。</w:t>
      </w:r>
    </w:p>
    <w:p>
      <w:pPr>
        <w:spacing w:line="360" w:lineRule="auto"/>
        <w:ind w:firstLine="515" w:firstLineChars="184"/>
        <w:rPr>
          <w:rFonts w:hint="eastAsia" w:ascii="宋体" w:hAnsi="宋体"/>
          <w:bCs/>
          <w:snapToGrid w:val="0"/>
          <w:kern w:val="0"/>
          <w:sz w:val="28"/>
          <w:szCs w:val="28"/>
        </w:rPr>
      </w:pPr>
      <w:r>
        <w:rPr>
          <w:rFonts w:hint="eastAsia" w:ascii="宋体" w:hAnsi="宋体"/>
          <w:snapToGrid w:val="0"/>
          <w:kern w:val="0"/>
          <w:sz w:val="28"/>
          <w:szCs w:val="28"/>
        </w:rPr>
        <w:t>机械伤害的主要后果是造成人员伤亡，其次是对物件的损坏。</w:t>
      </w:r>
      <w:r>
        <w:rPr>
          <w:rFonts w:ascii="宋体" w:hAnsi="宋体"/>
          <w:bCs/>
          <w:snapToGrid w:val="0"/>
          <w:kern w:val="0"/>
          <w:sz w:val="28"/>
          <w:szCs w:val="28"/>
        </w:rPr>
        <w:t>因此，加强生产作业中的安全防护是防止机械伤害事故的关键，即保持安全防护设施的完好，按规定使用安全防护用品等。同时加强安全管理力度，禁止违章作业和冒险接触机械危险部位，操作时集中精力，防止非操作人员随意开机，做好正常检修设备时的安全防护措施等对于预防机械事故的发生也很重要。</w:t>
      </w:r>
    </w:p>
    <w:p>
      <w:pPr>
        <w:spacing w:line="360" w:lineRule="auto"/>
        <w:ind w:firstLine="515" w:firstLineChars="184"/>
        <w:rPr>
          <w:rFonts w:hint="eastAsia" w:ascii="宋体" w:hAnsi="宋体"/>
          <w:snapToGrid w:val="0"/>
          <w:kern w:val="0"/>
          <w:sz w:val="28"/>
          <w:szCs w:val="28"/>
        </w:rPr>
      </w:pPr>
      <w:r>
        <w:rPr>
          <w:rFonts w:hint="eastAsia" w:ascii="宋体" w:hAnsi="宋体"/>
          <w:snapToGrid w:val="0"/>
          <w:kern w:val="0"/>
          <w:sz w:val="28"/>
          <w:szCs w:val="28"/>
        </w:rPr>
        <w:t>砖瓦厂在泥土破碎、运输、搅拌、挤压成型、截条、切条等过程中涉及到机械设备，某些设备的转动部件、移动部件等若缺乏良好的防护设施或防护设施有缺陷、操作错误等，均可能造成人身伤害。若没有配备或正确穿戴必需的劳动防护用品时，也可能造成机械伤害。</w:t>
      </w:r>
    </w:p>
    <w:p>
      <w:pPr>
        <w:pStyle w:val="8"/>
        <w:spacing w:line="360" w:lineRule="auto"/>
        <w:ind w:firstLine="0" w:firstLineChars="0"/>
        <w:outlineLvl w:val="2"/>
        <w:rPr>
          <w:rFonts w:hint="eastAsia" w:ascii="宋体" w:hAnsi="宋体"/>
          <w:b/>
          <w:snapToGrid w:val="0"/>
          <w:kern w:val="0"/>
          <w:sz w:val="28"/>
          <w:szCs w:val="28"/>
        </w:rPr>
      </w:pPr>
      <w:bookmarkStart w:id="134" w:name="_Toc514342850"/>
      <w:bookmarkStart w:id="135" w:name="_Toc480804398"/>
      <w:bookmarkStart w:id="136" w:name="_Toc350781098"/>
      <w:bookmarkStart w:id="137" w:name="_Toc356401495"/>
      <w:bookmarkStart w:id="138" w:name="_Toc20532"/>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5.3</w:t>
      </w:r>
      <w:r>
        <w:rPr>
          <w:rFonts w:ascii="宋体" w:hAnsi="宋体"/>
          <w:b/>
          <w:snapToGrid w:val="0"/>
          <w:kern w:val="0"/>
          <w:sz w:val="28"/>
          <w:szCs w:val="28"/>
        </w:rPr>
        <w:t xml:space="preserve"> 触电</w:t>
      </w:r>
      <w:r>
        <w:rPr>
          <w:rFonts w:hint="eastAsia" w:ascii="宋体" w:hAnsi="宋体"/>
          <w:b/>
          <w:snapToGrid w:val="0"/>
          <w:kern w:val="0"/>
          <w:sz w:val="28"/>
          <w:szCs w:val="28"/>
        </w:rPr>
        <w:t>事故</w:t>
      </w:r>
      <w:bookmarkEnd w:id="134"/>
      <w:bookmarkEnd w:id="135"/>
      <w:bookmarkEnd w:id="136"/>
      <w:bookmarkEnd w:id="137"/>
      <w:bookmarkEnd w:id="138"/>
    </w:p>
    <w:p>
      <w:pPr>
        <w:spacing w:line="360" w:lineRule="auto"/>
        <w:ind w:firstLine="560" w:firstLineChars="200"/>
        <w:rPr>
          <w:rFonts w:ascii="宋体" w:hAnsi="宋体"/>
          <w:bCs/>
          <w:snapToGrid w:val="0"/>
          <w:kern w:val="0"/>
          <w:sz w:val="28"/>
          <w:szCs w:val="28"/>
        </w:rPr>
      </w:pPr>
      <w:r>
        <w:rPr>
          <w:rFonts w:hint="eastAsia" w:ascii="宋体" w:hAnsi="宋体"/>
          <w:bCs/>
          <w:snapToGrid w:val="0"/>
          <w:kern w:val="0"/>
          <w:sz w:val="28"/>
          <w:szCs w:val="28"/>
        </w:rPr>
        <w:t>触电事故是指由于电流流经人体导致的生理伤害，包括雷击伤亡事故。</w:t>
      </w:r>
    </w:p>
    <w:p>
      <w:pPr>
        <w:spacing w:line="360" w:lineRule="auto"/>
        <w:ind w:firstLine="560" w:firstLineChars="200"/>
        <w:rPr>
          <w:rFonts w:ascii="宋体" w:hAnsi="宋体"/>
          <w:bCs/>
          <w:snapToGrid w:val="0"/>
          <w:kern w:val="0"/>
          <w:sz w:val="28"/>
          <w:szCs w:val="28"/>
        </w:rPr>
      </w:pPr>
      <w:r>
        <w:rPr>
          <w:rFonts w:hint="eastAsia" w:ascii="宋体" w:hAnsi="宋体"/>
          <w:bCs/>
          <w:snapToGrid w:val="0"/>
          <w:kern w:val="0"/>
          <w:sz w:val="28"/>
          <w:szCs w:val="28"/>
        </w:rPr>
        <w:t>触电伤害产生的主要原因：①电气线路或电气设备在设计、安装上存在缺陷，或在运行中缺乏必要的检修维护；②没有设置必要的安全技术措施</w:t>
      </w:r>
      <w:r>
        <w:rPr>
          <w:rFonts w:ascii="宋体" w:hAnsi="宋体"/>
          <w:bCs/>
          <w:snapToGrid w:val="0"/>
          <w:kern w:val="0"/>
          <w:sz w:val="28"/>
          <w:szCs w:val="28"/>
        </w:rPr>
        <w:t>(</w:t>
      </w:r>
      <w:r>
        <w:rPr>
          <w:rFonts w:hint="eastAsia" w:ascii="宋体" w:hAnsi="宋体"/>
          <w:bCs/>
          <w:snapToGrid w:val="0"/>
          <w:kern w:val="0"/>
          <w:sz w:val="28"/>
          <w:szCs w:val="28"/>
        </w:rPr>
        <w:t>如保护接零、漏电保护、安全电压等</w:t>
      </w:r>
      <w:r>
        <w:rPr>
          <w:rFonts w:ascii="宋体" w:hAnsi="宋体"/>
          <w:bCs/>
          <w:snapToGrid w:val="0"/>
          <w:kern w:val="0"/>
          <w:sz w:val="28"/>
          <w:szCs w:val="28"/>
        </w:rPr>
        <w:t>)</w:t>
      </w:r>
      <w:r>
        <w:rPr>
          <w:rFonts w:hint="eastAsia" w:ascii="宋体" w:hAnsi="宋体"/>
          <w:bCs/>
          <w:snapToGrid w:val="0"/>
          <w:kern w:val="0"/>
          <w:sz w:val="28"/>
          <w:szCs w:val="28"/>
        </w:rPr>
        <w:t>，或安全措施失效；③电气设备运行管理不当，安全管理制度不完善；④专业电工或机电设备操作人员操作失误，或违章作业等；⑤非专业电工人员私自进行检修、接线等专业工作；⑥电气安全管理工作存在漏洞；⑦在规定地点没有使用安全电压；⑧违章指挥等。</w:t>
      </w:r>
    </w:p>
    <w:p>
      <w:pPr>
        <w:spacing w:line="360" w:lineRule="auto"/>
        <w:ind w:firstLine="560" w:firstLineChars="200"/>
        <w:rPr>
          <w:rFonts w:ascii="宋体" w:hAnsi="宋体"/>
          <w:bCs/>
          <w:snapToGrid w:val="0"/>
          <w:kern w:val="0"/>
          <w:sz w:val="28"/>
          <w:szCs w:val="28"/>
        </w:rPr>
      </w:pPr>
      <w:r>
        <w:rPr>
          <w:rFonts w:hint="eastAsia" w:ascii="宋体" w:hAnsi="宋体"/>
          <w:bCs/>
          <w:snapToGrid w:val="0"/>
          <w:kern w:val="0"/>
          <w:sz w:val="28"/>
          <w:szCs w:val="28"/>
        </w:rPr>
        <w:t>可能存在的触电场所有</w:t>
      </w:r>
      <w:r>
        <w:rPr>
          <w:rFonts w:ascii="宋体" w:hAnsi="宋体"/>
          <w:bCs/>
          <w:snapToGrid w:val="0"/>
          <w:kern w:val="0"/>
          <w:sz w:val="28"/>
          <w:szCs w:val="28"/>
        </w:rPr>
        <w:t>:</w:t>
      </w:r>
      <w:r>
        <w:rPr>
          <w:rFonts w:hint="eastAsia" w:ascii="宋体" w:hAnsi="宋体"/>
          <w:bCs/>
          <w:snapToGrid w:val="0"/>
          <w:kern w:val="0"/>
          <w:sz w:val="28"/>
          <w:szCs w:val="28"/>
        </w:rPr>
        <w:t>地面变压器、配电线路以及在生产过程中使用的各种电气设备、动力设备采用闸刀直接起动的设备、手持电动设备、照明线路及照明器具等。</w:t>
      </w:r>
    </w:p>
    <w:p>
      <w:pPr>
        <w:spacing w:line="360" w:lineRule="auto"/>
        <w:ind w:firstLine="560" w:firstLineChars="200"/>
        <w:rPr>
          <w:rFonts w:hint="eastAsia" w:ascii="宋体" w:hAnsi="宋体"/>
          <w:bCs/>
          <w:snapToGrid w:val="0"/>
          <w:kern w:val="0"/>
          <w:sz w:val="28"/>
          <w:szCs w:val="28"/>
        </w:rPr>
      </w:pPr>
      <w:r>
        <w:rPr>
          <w:rFonts w:hint="eastAsia" w:ascii="宋体" w:hAnsi="宋体"/>
          <w:bCs/>
          <w:snapToGrid w:val="0"/>
          <w:kern w:val="0"/>
          <w:sz w:val="28"/>
          <w:szCs w:val="28"/>
        </w:rPr>
        <w:t>触电伤害的后果是直接造成人员伤亡事故。</w:t>
      </w:r>
    </w:p>
    <w:p>
      <w:pPr>
        <w:pStyle w:val="8"/>
        <w:spacing w:line="360" w:lineRule="auto"/>
        <w:ind w:firstLine="0" w:firstLineChars="0"/>
        <w:outlineLvl w:val="2"/>
        <w:rPr>
          <w:rFonts w:hint="eastAsia" w:ascii="宋体" w:hAnsi="宋体"/>
          <w:b/>
          <w:snapToGrid w:val="0"/>
          <w:kern w:val="0"/>
          <w:sz w:val="28"/>
          <w:szCs w:val="28"/>
        </w:rPr>
      </w:pPr>
      <w:bookmarkStart w:id="139" w:name="_Toc356401496"/>
      <w:bookmarkStart w:id="140" w:name="_Toc514342851"/>
      <w:bookmarkStart w:id="141" w:name="_Toc480804399"/>
      <w:bookmarkStart w:id="142" w:name="_Toc332350857"/>
      <w:bookmarkStart w:id="143" w:name="_Toc356380985"/>
      <w:bookmarkStart w:id="144" w:name="_Toc4692"/>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5.4 高处坠落</w:t>
      </w:r>
      <w:bookmarkEnd w:id="139"/>
      <w:bookmarkEnd w:id="140"/>
      <w:bookmarkEnd w:id="141"/>
      <w:bookmarkEnd w:id="142"/>
      <w:bookmarkEnd w:id="143"/>
      <w:bookmarkEnd w:id="144"/>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高处坠落指在高处作业中发生坠落造成的伤亡事故，不包括触电坠落事故。</w:t>
      </w:r>
      <w:r>
        <w:rPr>
          <w:rFonts w:ascii="宋体" w:hAnsi="宋体"/>
          <w:bCs/>
          <w:snapToGrid w:val="0"/>
          <w:kern w:val="0"/>
          <w:sz w:val="28"/>
          <w:szCs w:val="28"/>
        </w:rPr>
        <w:t>高处坠落主要包括：采场顶部的高处坠落，检修安装设备时的高处坠落，人员行进中的意外滑倒等，增加防护装置是预防事故发生的重要措施。</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造成高处坠落的主要原因有：①没有按要求使用安全带、安全索；②没有按要求穿防滑性能良好的软底鞋；③高处作业时安全防护设施不完善或损坏；④工作责任心不强，主观判断失误；⑤使用安全保护装置不完善或缺乏的设备、设施进行作业；⑥作业人员疏忽大意，疲劳作业；⑦高处作业无专人负责指挥，安全管理不到位；⑧作业场所狭小，不符合安全要求。</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阴雨、积雪可引起料堆、砖坯堆垛坍方；料场土堆高3米，在堆料、喂料过程中土堆可能发生坍塌；料场打堆车道宽6米、坡度25°，在往高处打堆时，由于料堆松软，有可能造成运输机械侧翻、被掩埋的潜在危险，同时现场作业人员或外来人员有被压埋的潜在危险。同时，窑炉和烟囱在进行相关作业时，也存在坍塌和高处坠落的危险。</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高处坠落造成的事故的后果是人员伤亡和设备损坏。</w:t>
      </w:r>
    </w:p>
    <w:bookmarkEnd w:id="70"/>
    <w:p>
      <w:pPr>
        <w:pStyle w:val="8"/>
        <w:spacing w:line="360" w:lineRule="auto"/>
        <w:ind w:firstLine="0" w:firstLineChars="0"/>
        <w:outlineLvl w:val="2"/>
        <w:rPr>
          <w:rFonts w:ascii="宋体" w:hAnsi="宋体"/>
          <w:b/>
          <w:snapToGrid w:val="0"/>
          <w:kern w:val="0"/>
          <w:sz w:val="28"/>
          <w:szCs w:val="28"/>
        </w:rPr>
      </w:pPr>
      <w:bookmarkStart w:id="145" w:name="_Toc480804400"/>
      <w:bookmarkStart w:id="146" w:name="_Toc19259"/>
      <w:bookmarkStart w:id="147" w:name="_Toc350781096"/>
      <w:bookmarkStart w:id="148" w:name="_Toc514342852"/>
      <w:bookmarkStart w:id="149" w:name="_Toc356401497"/>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w:t>
      </w:r>
      <w:r>
        <w:rPr>
          <w:rFonts w:ascii="宋体" w:hAnsi="宋体"/>
          <w:b/>
          <w:snapToGrid w:val="0"/>
          <w:kern w:val="0"/>
          <w:sz w:val="28"/>
          <w:szCs w:val="28"/>
        </w:rPr>
        <w:t>.</w:t>
      </w:r>
      <w:r>
        <w:rPr>
          <w:rFonts w:hint="eastAsia" w:ascii="宋体" w:hAnsi="宋体"/>
          <w:b/>
          <w:snapToGrid w:val="0"/>
          <w:kern w:val="0"/>
          <w:sz w:val="28"/>
          <w:szCs w:val="28"/>
        </w:rPr>
        <w:t>5</w:t>
      </w:r>
      <w:r>
        <w:rPr>
          <w:rFonts w:ascii="宋体" w:hAnsi="宋体"/>
          <w:b/>
          <w:snapToGrid w:val="0"/>
          <w:kern w:val="0"/>
          <w:sz w:val="28"/>
          <w:szCs w:val="28"/>
        </w:rPr>
        <w:t xml:space="preserve"> 物体打击</w:t>
      </w:r>
      <w:bookmarkEnd w:id="145"/>
      <w:bookmarkEnd w:id="146"/>
      <w:bookmarkEnd w:id="147"/>
      <w:bookmarkEnd w:id="148"/>
      <w:bookmarkEnd w:id="149"/>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物体打击事故是指物体在重力或其它外力的作用下产生运动，打击人体造成人身伤亡事故，不包括因机械设备、车辆、起重机械、坍塌等引发的物体打击。</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造成物体打击的主要原因有</w:t>
      </w:r>
      <w:r>
        <w:rPr>
          <w:rFonts w:ascii="宋体" w:hAnsi="宋体"/>
          <w:snapToGrid w:val="0"/>
          <w:kern w:val="0"/>
          <w:sz w:val="28"/>
          <w:szCs w:val="28"/>
        </w:rPr>
        <w:t>:</w:t>
      </w:r>
      <w:r>
        <w:rPr>
          <w:rFonts w:hint="eastAsia" w:ascii="宋体" w:hAnsi="宋体"/>
          <w:snapToGrid w:val="0"/>
          <w:kern w:val="0"/>
          <w:sz w:val="28"/>
          <w:szCs w:val="28"/>
        </w:rPr>
        <w:t>①工作场所狭小，缺乏躲避空间，上下同时作业；②没有排险工具或排险工具有缺陷等；③工作时精力不集中，对出现的险情不能及时做出反应；④安全帽等劳保用品穿戴不规范、不齐全；⑤传递工具物件方法不当等</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可能发生的物体打击事故：拆卸设备部件时敲打工具造成工具强出伤人；高空作业时，由于工具、托辊、零件、砖瓦、木块等物不慎从高处掉落伤人或乱扔废物、杂物击中他人；</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一旦遭受物体打击其后果是人员的伤亡和物品的损毁。</w:t>
      </w:r>
    </w:p>
    <w:p>
      <w:pPr>
        <w:pStyle w:val="8"/>
        <w:spacing w:line="360" w:lineRule="auto"/>
        <w:ind w:firstLine="0" w:firstLineChars="0"/>
        <w:outlineLvl w:val="2"/>
        <w:rPr>
          <w:rFonts w:hint="eastAsia" w:ascii="宋体" w:hAnsi="宋体"/>
          <w:b/>
          <w:snapToGrid w:val="0"/>
          <w:kern w:val="0"/>
          <w:sz w:val="28"/>
          <w:szCs w:val="28"/>
        </w:rPr>
      </w:pPr>
      <w:bookmarkStart w:id="150" w:name="_Toc350781100"/>
      <w:bookmarkStart w:id="151" w:name="_Toc480804401"/>
      <w:bookmarkStart w:id="152" w:name="_Toc356401498"/>
      <w:bookmarkStart w:id="153" w:name="_Toc514342853"/>
      <w:bookmarkStart w:id="154" w:name="_Toc23773"/>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5.6 火灾</w:t>
      </w:r>
      <w:bookmarkEnd w:id="150"/>
      <w:r>
        <w:rPr>
          <w:rFonts w:hint="eastAsia" w:ascii="宋体" w:hAnsi="宋体"/>
          <w:b/>
          <w:snapToGrid w:val="0"/>
          <w:kern w:val="0"/>
          <w:sz w:val="28"/>
          <w:szCs w:val="28"/>
        </w:rPr>
        <w:t>事故</w:t>
      </w:r>
      <w:bookmarkEnd w:id="151"/>
      <w:bookmarkEnd w:id="152"/>
      <w:bookmarkEnd w:id="153"/>
      <w:bookmarkEnd w:id="154"/>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火灾是指企业内所发生的火灾。</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火灾事故产生的主要原因</w:t>
      </w:r>
      <w:r>
        <w:rPr>
          <w:rFonts w:ascii="宋体" w:hAnsi="宋体"/>
          <w:snapToGrid w:val="0"/>
          <w:kern w:val="0"/>
          <w:sz w:val="28"/>
          <w:szCs w:val="28"/>
        </w:rPr>
        <w:t>:</w:t>
      </w:r>
      <w:r>
        <w:rPr>
          <w:rFonts w:hint="eastAsia" w:ascii="宋体" w:hAnsi="宋体"/>
          <w:snapToGrid w:val="0"/>
          <w:kern w:val="0"/>
          <w:sz w:val="28"/>
          <w:szCs w:val="28"/>
        </w:rPr>
        <w:t>①明火</w:t>
      </w:r>
      <w:r>
        <w:rPr>
          <w:rFonts w:ascii="宋体" w:hAnsi="宋体"/>
          <w:snapToGrid w:val="0"/>
          <w:kern w:val="0"/>
          <w:sz w:val="28"/>
          <w:szCs w:val="28"/>
        </w:rPr>
        <w:t>(</w:t>
      </w:r>
      <w:r>
        <w:rPr>
          <w:rFonts w:hint="eastAsia" w:ascii="宋体" w:hAnsi="宋体"/>
          <w:snapToGrid w:val="0"/>
          <w:kern w:val="0"/>
          <w:sz w:val="28"/>
          <w:szCs w:val="28"/>
        </w:rPr>
        <w:t>包括火柴点火、吸烟、电焊、气焊、明火灯等</w:t>
      </w:r>
      <w:r>
        <w:rPr>
          <w:rFonts w:ascii="宋体" w:hAnsi="宋体"/>
          <w:snapToGrid w:val="0"/>
          <w:kern w:val="0"/>
          <w:sz w:val="28"/>
          <w:szCs w:val="28"/>
        </w:rPr>
        <w:t>)</w:t>
      </w:r>
      <w:r>
        <w:rPr>
          <w:rFonts w:hint="eastAsia" w:ascii="宋体" w:hAnsi="宋体"/>
          <w:snapToGrid w:val="0"/>
          <w:kern w:val="0"/>
          <w:sz w:val="28"/>
          <w:szCs w:val="28"/>
        </w:rPr>
        <w:t>所引燃；②油料</w:t>
      </w:r>
      <w:r>
        <w:rPr>
          <w:rFonts w:ascii="宋体" w:hAnsi="宋体"/>
          <w:snapToGrid w:val="0"/>
          <w:kern w:val="0"/>
          <w:sz w:val="28"/>
          <w:szCs w:val="28"/>
        </w:rPr>
        <w:t>(</w:t>
      </w:r>
      <w:r>
        <w:rPr>
          <w:rFonts w:hint="eastAsia" w:ascii="宋体" w:hAnsi="宋体"/>
          <w:snapToGrid w:val="0"/>
          <w:kern w:val="0"/>
          <w:sz w:val="28"/>
          <w:szCs w:val="28"/>
        </w:rPr>
        <w:t>润滑油、变压器油、液压设备用油、柴油设备用油、维修设备用油等</w:t>
      </w:r>
      <w:r>
        <w:rPr>
          <w:rFonts w:ascii="宋体" w:hAnsi="宋体"/>
          <w:snapToGrid w:val="0"/>
          <w:kern w:val="0"/>
          <w:sz w:val="28"/>
          <w:szCs w:val="28"/>
        </w:rPr>
        <w:t>)</w:t>
      </w:r>
      <w:r>
        <w:rPr>
          <w:rFonts w:hint="eastAsia" w:ascii="宋体" w:hAnsi="宋体"/>
          <w:snapToGrid w:val="0"/>
          <w:kern w:val="0"/>
          <w:sz w:val="28"/>
          <w:szCs w:val="28"/>
        </w:rPr>
        <w:t>保管、运输和使用不当；③电缆、电线、电动机、电钻等电器设备绝缘损坏及性能不良产生的电弧、电火花、漏电、失爆、短路或超负荷运行引起火灾；④保险丝</w:t>
      </w:r>
      <w:r>
        <w:rPr>
          <w:rFonts w:ascii="宋体" w:hAnsi="宋体"/>
          <w:snapToGrid w:val="0"/>
          <w:kern w:val="0"/>
          <w:sz w:val="28"/>
          <w:szCs w:val="28"/>
        </w:rPr>
        <w:t>(</w:t>
      </w:r>
      <w:r>
        <w:rPr>
          <w:rFonts w:hint="eastAsia" w:ascii="宋体" w:hAnsi="宋体"/>
          <w:snapToGrid w:val="0"/>
          <w:kern w:val="0"/>
          <w:sz w:val="28"/>
          <w:szCs w:val="28"/>
        </w:rPr>
        <w:t>片</w:t>
      </w:r>
      <w:r>
        <w:rPr>
          <w:rFonts w:ascii="宋体" w:hAnsi="宋体"/>
          <w:snapToGrid w:val="0"/>
          <w:kern w:val="0"/>
          <w:sz w:val="28"/>
          <w:szCs w:val="28"/>
        </w:rPr>
        <w:t>)</w:t>
      </w:r>
      <w:r>
        <w:rPr>
          <w:rFonts w:hint="eastAsia" w:ascii="宋体" w:hAnsi="宋体"/>
          <w:snapToGrid w:val="0"/>
          <w:kern w:val="0"/>
          <w:sz w:val="28"/>
          <w:szCs w:val="28"/>
        </w:rPr>
        <w:t>选用不当，使用铜丝、铝线代替保险丝；⑤油开关及配电箱内油料着火</w:t>
      </w:r>
      <w:r>
        <w:rPr>
          <w:rFonts w:ascii="宋体" w:hAnsi="宋体"/>
          <w:snapToGrid w:val="0"/>
          <w:kern w:val="0"/>
          <w:sz w:val="28"/>
          <w:szCs w:val="28"/>
        </w:rPr>
        <w:t>;</w:t>
      </w:r>
      <w:r>
        <w:rPr>
          <w:rFonts w:hint="eastAsia" w:ascii="宋体" w:hAnsi="宋体"/>
          <w:snapToGrid w:val="0"/>
          <w:kern w:val="0"/>
          <w:sz w:val="28"/>
          <w:szCs w:val="28"/>
        </w:rPr>
        <w:t>⑥机械作用</w:t>
      </w:r>
      <w:r>
        <w:rPr>
          <w:rFonts w:ascii="宋体" w:hAnsi="宋体"/>
          <w:snapToGrid w:val="0"/>
          <w:kern w:val="0"/>
          <w:sz w:val="28"/>
          <w:szCs w:val="28"/>
        </w:rPr>
        <w:t>(</w:t>
      </w:r>
      <w:r>
        <w:rPr>
          <w:rFonts w:hint="eastAsia" w:ascii="宋体" w:hAnsi="宋体"/>
          <w:snapToGrid w:val="0"/>
          <w:kern w:val="0"/>
          <w:sz w:val="28"/>
          <w:szCs w:val="28"/>
        </w:rPr>
        <w:t>包括摩擦、震动冲击等</w:t>
      </w:r>
      <w:r>
        <w:rPr>
          <w:rFonts w:ascii="宋体" w:hAnsi="宋体"/>
          <w:snapToGrid w:val="0"/>
          <w:kern w:val="0"/>
          <w:sz w:val="28"/>
          <w:szCs w:val="28"/>
        </w:rPr>
        <w:t>)</w:t>
      </w:r>
      <w:r>
        <w:rPr>
          <w:rFonts w:hint="eastAsia" w:ascii="宋体" w:hAnsi="宋体"/>
          <w:snapToGrid w:val="0"/>
          <w:kern w:val="0"/>
          <w:sz w:val="28"/>
          <w:szCs w:val="28"/>
        </w:rPr>
        <w:t>所引起。</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火灾可能发生在空压机房、机修车间、综合材料库、变压器等用电部位。</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火灾事故的主要后果是造成人员伤亡和财产损失。</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55" w:name="_Toc359225364"/>
      <w:bookmarkStart w:id="156" w:name="_Toc413834088"/>
      <w:bookmarkStart w:id="157" w:name="_Toc1126"/>
      <w:bookmarkStart w:id="158" w:name="_Toc496016651"/>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w:t>
      </w:r>
      <w:r>
        <w:rPr>
          <w:rFonts w:hint="eastAsia" w:ascii="宋体" w:hAnsi="宋体"/>
          <w:b/>
          <w:snapToGrid w:val="0"/>
          <w:kern w:val="0"/>
          <w:sz w:val="28"/>
          <w:szCs w:val="28"/>
          <w:lang w:val="en-US" w:eastAsia="zh-CN"/>
        </w:rPr>
        <w:t>7 坍塌</w:t>
      </w:r>
      <w:bookmarkEnd w:id="155"/>
      <w:bookmarkEnd w:id="156"/>
      <w:bookmarkEnd w:id="157"/>
      <w:bookmarkEnd w:id="158"/>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坍塌事故产生的主要原因有：①确定的边坡角不合理；②地质因素对边坡的影响；③岩体中的地下水；④人为因素；⑤风化作用；⑥地震等。坍塌是</w:t>
      </w:r>
      <w:r>
        <w:rPr>
          <w:rFonts w:hint="eastAsia" w:ascii="宋体" w:hAnsi="宋体" w:cs="宋体"/>
          <w:color w:val="auto"/>
          <w:sz w:val="28"/>
          <w:szCs w:val="28"/>
          <w:lang w:eastAsia="zh-CN"/>
        </w:rPr>
        <w:t>砖厂页岩开采</w:t>
      </w:r>
      <w:r>
        <w:rPr>
          <w:rFonts w:hint="eastAsia" w:ascii="宋体" w:hAnsi="宋体" w:cs="宋体"/>
          <w:color w:val="auto"/>
          <w:sz w:val="28"/>
          <w:szCs w:val="28"/>
        </w:rPr>
        <w:t>的主要危险因素之一，发生事故的后果是造成重大人员伤亡和设备、设施损坏，对生产企业造成重大经济损失。</w:t>
      </w:r>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本项目存在原料堆放、砖坯堆码、成品堆垛等工序。如原料打堆过高，由于料堆松软，有可能造成运输机械侧翻、被掩埋的潜在危险，同时现场作业人员或外来人员有被压埋的潜在危险。工作人员在窑内码坯和成品堆垛过程中，由于砖坯堆放不稳，堆放过高或地基不稳，堆垛码放不符合要求，都可能会引起坯（砖）垛倒塌，发生倒塌伤人、损物等事故。</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59" w:name="_Toc1070"/>
      <w:r>
        <w:rPr>
          <w:rFonts w:hint="eastAsia" w:ascii="宋体" w:hAnsi="宋体"/>
          <w:b/>
          <w:snapToGrid w:val="0"/>
          <w:kern w:val="0"/>
          <w:sz w:val="28"/>
          <w:szCs w:val="28"/>
          <w:lang w:val="en-US" w:eastAsia="zh-CN"/>
        </w:rPr>
        <w:t>3.5.8中毒窒息</w:t>
      </w:r>
      <w:bookmarkEnd w:id="159"/>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lang w:val="en-US" w:eastAsia="zh-CN"/>
        </w:rPr>
        <w:t>中毒窒息</w:t>
      </w:r>
      <w:r>
        <w:rPr>
          <w:rFonts w:hint="eastAsia" w:ascii="宋体" w:hAnsi="宋体"/>
          <w:snapToGrid w:val="0"/>
          <w:kern w:val="0"/>
          <w:sz w:val="28"/>
          <w:szCs w:val="28"/>
        </w:rPr>
        <w:t>产生的主要原因：①出窑作业未按规定通风；②烧窑过程燃烧不充分产生有毒气体; ③人员违反规定进入受限空间作业;④窑台边缘安全防护措施未落实,未设警示标识,人员误操作或能见度低引发高空坠落事故。</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可能存在的</w:t>
      </w:r>
      <w:r>
        <w:rPr>
          <w:rFonts w:hint="eastAsia" w:ascii="宋体" w:hAnsi="宋体"/>
          <w:snapToGrid w:val="0"/>
          <w:kern w:val="0"/>
          <w:sz w:val="28"/>
          <w:szCs w:val="28"/>
          <w:lang w:val="en-US" w:eastAsia="zh-CN"/>
        </w:rPr>
        <w:t>中毒窒息</w:t>
      </w:r>
      <w:r>
        <w:rPr>
          <w:rFonts w:hint="eastAsia" w:ascii="宋体" w:hAnsi="宋体"/>
          <w:snapToGrid w:val="0"/>
          <w:kern w:val="0"/>
          <w:sz w:val="28"/>
          <w:szCs w:val="28"/>
        </w:rPr>
        <w:t>场所有:砖窑</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lang w:val="en-US" w:eastAsia="zh-CN"/>
        </w:rPr>
        <w:t>中毒窒息</w:t>
      </w:r>
      <w:r>
        <w:rPr>
          <w:rFonts w:hint="eastAsia" w:ascii="宋体" w:hAnsi="宋体"/>
          <w:snapToGrid w:val="0"/>
          <w:kern w:val="0"/>
          <w:sz w:val="28"/>
          <w:szCs w:val="28"/>
        </w:rPr>
        <w:t>的主要后果是中毒窒息、高处坠落造成人员死亡、人身伤害、经济损失等。事故多发生生产旺季。</w:t>
      </w:r>
    </w:p>
    <w:p>
      <w:pPr>
        <w:pStyle w:val="8"/>
        <w:spacing w:line="360" w:lineRule="auto"/>
        <w:ind w:firstLine="0" w:firstLineChars="0"/>
        <w:outlineLvl w:val="2"/>
        <w:rPr>
          <w:rFonts w:hint="eastAsia" w:ascii="宋体" w:hAnsi="宋体"/>
          <w:b/>
          <w:snapToGrid w:val="0"/>
          <w:color w:val="FF0000"/>
          <w:kern w:val="0"/>
          <w:sz w:val="28"/>
          <w:szCs w:val="28"/>
          <w:lang w:val="en-US" w:eastAsia="zh-CN"/>
        </w:rPr>
      </w:pPr>
      <w:bookmarkStart w:id="160" w:name="_Toc481870967"/>
      <w:bookmarkStart w:id="161" w:name="_Toc332350852"/>
      <w:bookmarkStart w:id="162" w:name="_Toc16031"/>
      <w:bookmarkStart w:id="163" w:name="_Toc499478606"/>
      <w:bookmarkStart w:id="164" w:name="_Toc511994834"/>
      <w:bookmarkStart w:id="165" w:name="_Toc515659445"/>
      <w:r>
        <w:rPr>
          <w:rFonts w:hint="eastAsia" w:ascii="宋体" w:hAnsi="宋体"/>
          <w:b/>
          <w:snapToGrid w:val="0"/>
          <w:color w:val="FF0000"/>
          <w:kern w:val="0"/>
          <w:sz w:val="28"/>
          <w:szCs w:val="28"/>
          <w:lang w:val="en-US" w:eastAsia="zh-CN"/>
        </w:rPr>
        <w:t>3.5.9高温</w:t>
      </w:r>
      <w:bookmarkEnd w:id="160"/>
      <w:bookmarkEnd w:id="161"/>
      <w:r>
        <w:rPr>
          <w:rFonts w:hint="eastAsia" w:ascii="宋体" w:hAnsi="宋体"/>
          <w:b/>
          <w:snapToGrid w:val="0"/>
          <w:color w:val="FF0000"/>
          <w:kern w:val="0"/>
          <w:sz w:val="28"/>
          <w:szCs w:val="28"/>
          <w:lang w:val="en-US" w:eastAsia="zh-CN"/>
        </w:rPr>
        <w:t>灼烫</w:t>
      </w:r>
      <w:bookmarkEnd w:id="162"/>
      <w:bookmarkEnd w:id="163"/>
      <w:bookmarkEnd w:id="164"/>
      <w:bookmarkEnd w:id="165"/>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在生产工艺中存在烘干窑、隧道窑及高温产品等高温作业环境，作业人员在工作过程中由于劳保用品穿戴不好，违章操作、设备设施故障泄漏或保温失效、检修过程中防护不当以及其它突发事故等原因，均可导致作业人员发生高温烫伤伤害。在烧结时，窑体加煤烧制、成品砖出窑过程中，温度较高，如窑体保温密封不良会产生较强的热辐射，作业人员长期在此环境中易受到高温中暑危害。</w:t>
      </w:r>
    </w:p>
    <w:p>
      <w:pPr>
        <w:pStyle w:val="8"/>
        <w:spacing w:line="360" w:lineRule="auto"/>
        <w:ind w:firstLine="0" w:firstLineChars="0"/>
        <w:outlineLvl w:val="2"/>
        <w:rPr>
          <w:rFonts w:hint="eastAsia" w:ascii="宋体" w:hAnsi="宋体"/>
          <w:b/>
          <w:snapToGrid w:val="0"/>
          <w:color w:val="FF0000"/>
          <w:kern w:val="0"/>
          <w:sz w:val="28"/>
          <w:szCs w:val="28"/>
          <w:lang w:val="en-US" w:eastAsia="zh-CN"/>
        </w:rPr>
      </w:pPr>
      <w:bookmarkStart w:id="166" w:name="_Toc468870614"/>
      <w:bookmarkStart w:id="167" w:name="_Toc511994833"/>
      <w:bookmarkStart w:id="168" w:name="_Toc515659444"/>
      <w:bookmarkStart w:id="169" w:name="_Toc19234"/>
      <w:r>
        <w:rPr>
          <w:rFonts w:hint="eastAsia" w:ascii="宋体" w:hAnsi="宋体"/>
          <w:b/>
          <w:snapToGrid w:val="0"/>
          <w:color w:val="FF0000"/>
          <w:kern w:val="0"/>
          <w:sz w:val="28"/>
          <w:szCs w:val="28"/>
          <w:lang w:val="en-US" w:eastAsia="zh-CN"/>
        </w:rPr>
        <w:t>3.5.10容器爆炸</w:t>
      </w:r>
      <w:bookmarkEnd w:id="166"/>
      <w:bookmarkEnd w:id="167"/>
      <w:bookmarkEnd w:id="168"/>
      <w:bookmarkEnd w:id="169"/>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公司使用的空压设备配套有压缩空气罐，压缩空气罐属于普通的一类压力容器，压力容器在使用过程中存在压力容器爆炸危险，发生容器爆炸事故的主要原因有：</w:t>
      </w:r>
    </w:p>
    <w:p>
      <w:pPr>
        <w:spacing w:line="360" w:lineRule="auto"/>
        <w:ind w:firstLine="560" w:firstLineChars="200"/>
        <w:rPr>
          <w:rFonts w:hint="eastAsia" w:ascii="宋体" w:hAnsi="宋体"/>
          <w:snapToGrid w:val="0"/>
          <w:kern w:val="0"/>
          <w:sz w:val="28"/>
          <w:szCs w:val="28"/>
          <w:lang w:eastAsia="zh-CN"/>
        </w:rPr>
      </w:pPr>
      <w:r>
        <w:rPr>
          <w:rFonts w:hint="eastAsia" w:ascii="宋体" w:hAnsi="宋体"/>
          <w:snapToGrid w:val="0"/>
          <w:kern w:val="0"/>
          <w:sz w:val="28"/>
          <w:szCs w:val="28"/>
          <w:lang w:eastAsia="zh-CN"/>
        </w:rPr>
        <w:t>(1) 由于设计制造不当造成设备的质量不符合有关规范要求，在运行时发生爆裂，其爆裂的形式有：</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1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①</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韧性爆裂：是压力容器在内部压力下，器壁上产生的应力达到材料强度的极限而断裂的一种破坏形式。引起韧性爆裂的原因大多是：磨损、腐蚀、壁厚减薄、强度不足仍继续运行所致。</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2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②</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脆性爆裂：是容器承受的压力并不高，负荷产生的应力远小于材料屈服极限及明显的变形而突然发生爆裂，其原因是由于温度、应力集中、冲击荷载作用等因素使材料的塑性和韧性下降、材料变脆不能抑制裂纹的结果。</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3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③</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疲劳爆裂：是容器在反复的加压、卸压后，壳体材料长期受到交变载荷的作用，如反复的加压和卸压，开停车或负荷波动幅度大如吸附和再生作业时，导致操作压力波动幅度较大及工作温度周期性的变化的作用而出现的金属疲劳，从而产生的一种爆裂形式。</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4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④</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腐蚀爆裂：是容器壳体由于受到腐蚀介质作用而产生的均匀腐蚀、点腐蚀、晶间腐蚀、应力腐蚀、疲劳腐蚀而引起的爆裂。</w:t>
      </w:r>
    </w:p>
    <w:p>
      <w:pPr>
        <w:spacing w:line="360" w:lineRule="auto"/>
        <w:ind w:firstLine="560" w:firstLineChars="200"/>
        <w:rPr>
          <w:rFonts w:hint="eastAsia" w:ascii="宋体" w:hAnsi="宋体"/>
          <w:snapToGrid w:val="0"/>
          <w:kern w:val="0"/>
          <w:sz w:val="28"/>
          <w:szCs w:val="28"/>
          <w:lang w:eastAsia="zh-CN"/>
        </w:rPr>
      </w:pPr>
      <w:r>
        <w:rPr>
          <w:rFonts w:hint="eastAsia" w:ascii="宋体" w:hAnsi="宋体"/>
          <w:snapToGrid w:val="0"/>
          <w:kern w:val="0"/>
          <w:sz w:val="28"/>
          <w:szCs w:val="28"/>
          <w:lang w:eastAsia="zh-CN"/>
        </w:rPr>
        <w:t xml:space="preserve">(2) 在使用过程中，若违反操作规程或因年久腐蚀严重又未按国家规定进行检测，在超压运行状态下，而安全阀又未动作时，罐体承受不住内部气压或液压时，将发生爆裂或爆炸。 </w:t>
      </w:r>
    </w:p>
    <w:p>
      <w:pPr>
        <w:spacing w:line="360" w:lineRule="auto"/>
        <w:ind w:firstLine="560" w:firstLineChars="200"/>
        <w:rPr>
          <w:rFonts w:hint="eastAsia" w:ascii="宋体" w:hAnsi="宋体"/>
          <w:snapToGrid w:val="0"/>
          <w:kern w:val="0"/>
          <w:sz w:val="28"/>
          <w:szCs w:val="28"/>
          <w:lang w:eastAsia="zh-CN"/>
        </w:rPr>
      </w:pPr>
      <w:r>
        <w:rPr>
          <w:rFonts w:hint="eastAsia" w:ascii="宋体" w:hAnsi="宋体"/>
          <w:snapToGrid w:val="0"/>
          <w:kern w:val="0"/>
          <w:sz w:val="28"/>
          <w:szCs w:val="28"/>
          <w:lang w:eastAsia="zh-CN"/>
        </w:rPr>
        <w:t>(3) 由于压力容器的安全阀、压力表等未定期检验或损坏失灵，致不能正确显示和及时泄放，容器超压也可能引起爆炸。</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70" w:name="_Toc515657141"/>
      <w:bookmarkStart w:id="171" w:name="_Toc515659448"/>
      <w:bookmarkStart w:id="172" w:name="_Toc30340"/>
      <w:bookmarkStart w:id="173" w:name="_Toc511994836"/>
      <w:r>
        <w:rPr>
          <w:rFonts w:hint="eastAsia" w:ascii="宋体" w:hAnsi="宋体"/>
          <w:b/>
          <w:snapToGrid w:val="0"/>
          <w:kern w:val="0"/>
          <w:sz w:val="28"/>
          <w:szCs w:val="28"/>
          <w:lang w:val="en-US" w:eastAsia="zh-CN"/>
        </w:rPr>
        <w:t>3.5.11有限空间作业</w:t>
      </w:r>
      <w:bookmarkEnd w:id="170"/>
      <w:bookmarkEnd w:id="171"/>
      <w:bookmarkEnd w:id="172"/>
      <w:bookmarkEnd w:id="173"/>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本项目的各类储罐容器、脱硫塔、窑炉炉膛、砖坯烘干室、设备地下坑道、烟道等设施、设备和场所，在日常维护和检测时会进行有限空间作业。</w:t>
      </w:r>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有限空间内作业，如管理稍有不慎，极易导致火灾、爆炸、中毒、窒息等人身伤害事故，给作业人员的安全带来严重安全隐患。研究表明很多致命的有限空间事故的发生都与所在空间内存在的种危险因素未得到重视有关，而这些危险因素既可能在员工进入有限空间之前就已存在，也可能是由于他们在其间的活动形成。因此，有限空间是一种作业风险比较高，应当引起人们高度重视的作业环境。</w:t>
      </w:r>
    </w:p>
    <w:p>
      <w:pPr>
        <w:pStyle w:val="8"/>
        <w:spacing w:line="360" w:lineRule="auto"/>
        <w:ind w:firstLine="0" w:firstLineChars="0"/>
        <w:outlineLvl w:val="2"/>
        <w:rPr>
          <w:rFonts w:hint="eastAsia" w:ascii="宋体" w:hAnsi="宋体"/>
          <w:b/>
          <w:snapToGrid w:val="0"/>
          <w:kern w:val="0"/>
          <w:sz w:val="28"/>
          <w:szCs w:val="28"/>
        </w:rPr>
      </w:pPr>
      <w:bookmarkStart w:id="174" w:name="_Toc13383"/>
      <w:bookmarkStart w:id="175" w:name="_Toc350781101"/>
      <w:bookmarkStart w:id="176" w:name="_Toc514342854"/>
      <w:bookmarkStart w:id="177" w:name="_Toc480804402"/>
      <w:bookmarkStart w:id="178" w:name="_Toc356401499"/>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w:t>
      </w:r>
      <w:r>
        <w:rPr>
          <w:rFonts w:ascii="宋体" w:hAnsi="宋体"/>
          <w:b/>
          <w:snapToGrid w:val="0"/>
          <w:kern w:val="0"/>
          <w:sz w:val="28"/>
          <w:szCs w:val="28"/>
        </w:rPr>
        <w:t>.</w:t>
      </w:r>
      <w:r>
        <w:rPr>
          <w:rFonts w:hint="eastAsia" w:ascii="宋体" w:hAnsi="宋体"/>
          <w:b/>
          <w:snapToGrid w:val="0"/>
          <w:kern w:val="0"/>
          <w:sz w:val="28"/>
          <w:szCs w:val="28"/>
          <w:lang w:val="en-US" w:eastAsia="zh-CN"/>
        </w:rPr>
        <w:t>12</w:t>
      </w:r>
      <w:r>
        <w:rPr>
          <w:rFonts w:ascii="宋体" w:hAnsi="宋体"/>
          <w:b/>
          <w:snapToGrid w:val="0"/>
          <w:kern w:val="0"/>
          <w:sz w:val="28"/>
          <w:szCs w:val="28"/>
        </w:rPr>
        <w:t xml:space="preserve"> </w:t>
      </w:r>
      <w:r>
        <w:rPr>
          <w:rFonts w:hint="eastAsia" w:ascii="宋体" w:hAnsi="宋体"/>
          <w:b/>
          <w:snapToGrid w:val="0"/>
          <w:kern w:val="0"/>
          <w:sz w:val="28"/>
          <w:szCs w:val="28"/>
        </w:rPr>
        <w:t>职业</w:t>
      </w:r>
      <w:r>
        <w:rPr>
          <w:rFonts w:ascii="宋体" w:hAnsi="宋体"/>
          <w:b/>
          <w:snapToGrid w:val="0"/>
          <w:kern w:val="0"/>
          <w:sz w:val="28"/>
          <w:szCs w:val="28"/>
        </w:rPr>
        <w:t>危害</w:t>
      </w:r>
      <w:r>
        <w:rPr>
          <w:rFonts w:hint="eastAsia" w:ascii="宋体" w:hAnsi="宋体"/>
          <w:b/>
          <w:snapToGrid w:val="0"/>
          <w:kern w:val="0"/>
          <w:sz w:val="28"/>
          <w:szCs w:val="28"/>
        </w:rPr>
        <w:t>因素</w:t>
      </w:r>
      <w:bookmarkEnd w:id="174"/>
      <w:bookmarkEnd w:id="175"/>
      <w:bookmarkEnd w:id="176"/>
      <w:bookmarkEnd w:id="177"/>
      <w:bookmarkEnd w:id="178"/>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.1 粉尘</w:t>
      </w:r>
    </w:p>
    <w:p>
      <w:pPr>
        <w:spacing w:line="360" w:lineRule="auto"/>
        <w:ind w:firstLine="560" w:firstLineChars="200"/>
        <w:rPr>
          <w:rFonts w:hint="eastAsia" w:ascii="宋体" w:hAnsi="宋体"/>
          <w:snapToGrid w:val="0"/>
          <w:color w:val="auto"/>
          <w:kern w:val="0"/>
          <w:sz w:val="28"/>
          <w:szCs w:val="28"/>
          <w:lang w:eastAsia="zh-CN"/>
        </w:rPr>
      </w:pPr>
      <w:r>
        <w:rPr>
          <w:rFonts w:hint="eastAsia" w:ascii="宋体" w:hAnsi="宋体" w:eastAsia="宋体" w:cstheme="minorBidi"/>
          <w:snapToGrid w:val="0"/>
          <w:color w:val="auto"/>
          <w:kern w:val="0"/>
          <w:sz w:val="28"/>
          <w:szCs w:val="28"/>
          <w:lang w:val="en-US" w:eastAsia="zh-CN" w:bidi="ar-SA"/>
        </w:rPr>
        <w:t>窑体在加煤烧制过程中窑顶部、出窑时窑洞中粉尘浓度较大，作</w:t>
      </w:r>
      <w:r>
        <w:rPr>
          <w:rFonts w:hint="eastAsia" w:ascii="宋体" w:hAnsi="宋体"/>
          <w:snapToGrid w:val="0"/>
          <w:color w:val="auto"/>
          <w:kern w:val="0"/>
          <w:sz w:val="28"/>
          <w:szCs w:val="28"/>
          <w:lang w:eastAsia="zh-CN"/>
        </w:rPr>
        <w:t>业人员在此环境中易受到粉尘危害。粉尘危害是砖厂生产作业中最大危害之一。粉尘是在生产过程中产生的细粒状矿物或岩石粉尘。</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产生粉尘的环节主要有原料装卸、破碎等生产过程。在上述生产作业中产生的细粒状矿物或岩石粉尘，直径大于50μm的尘粒，在重力作用下会很快从气流中分离出来，沉落于地面，此类矿尘称为落尘；直径在0.01～50μm范围内的尘粒，能长时间悬浮于空气中，此类矿尘叫做浮尘。浮尘对空气的污染和对人体健康具有重大影响。</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.2 烟气</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烧结自保温砌块的制造生产主要采用内燃烧成工艺，但有时也需要补充少量的外燃，其内燃热值一般为300～500cal/g，因此烟气成分复杂，废气中以无机污染物为主。燃烧过程中可逸出有害气体S02、HF、NOx、CO、HC1等，其主要污染物是S02气体，如不加以治理，将会对工作场所人员健康和环境造成影响。</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.3 噪声、振动</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噪声指声强和频率的变化都无规律、杂乱无章的声音。砖厂噪声具有强度大、声级高、噪声源多、干扰时间长以及连续噪声多等特点。</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噪声与振动主要来源于各种设备在运转过程中由于震动、摩擦、碰撞而产生的机械动力噪声和由风管排气、漏气而产生的气体动力噪声。</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产生噪声与振动的设备和场所：空压机和空压机泵房；制砖工作面；装载、挖掘设备驾驶室。</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噪声可以使人耳聋，还可能引起高血压、心脏病、神经官能症等疾病。噪声还污染环境，影响人们的正常生活和生产活动。</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.4 高温、低温</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高温、高湿环境会增加人员中暑机率，并会加速有毒物质吸收，会导致操作失误率升高，易发生事故，长期在高温、高湿环境下工作，可引发关节炎等疾病；高温、高湿环境会加速材料的腐蚀；过大的湿度会引起电气设备受潮、绝缘下降，引起触电事故；</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在烧结时，窑体加煤烧制、成品砖出窑过程中，温度较高，如窑体保温密封不良会产生较强的热辐射，作业人员在此环境中易受到高温危害。</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在低温环境下，人员操作功能随温度的下降而明显下降，注意力不集中，反应时间延长，作业失误率上升，且可能发生冻伤。</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79" w:name="_Toc496016659"/>
      <w:bookmarkStart w:id="180" w:name="_Toc413834096"/>
      <w:bookmarkStart w:id="181" w:name="_Toc359225372"/>
      <w:bookmarkStart w:id="182" w:name="_Toc25395"/>
      <w:r>
        <w:rPr>
          <w:rFonts w:hint="eastAsia" w:ascii="宋体" w:hAnsi="宋体"/>
          <w:b/>
          <w:snapToGrid w:val="0"/>
          <w:kern w:val="0"/>
          <w:sz w:val="28"/>
          <w:szCs w:val="28"/>
          <w:lang w:val="en-US" w:eastAsia="zh-CN"/>
        </w:rPr>
        <w:t>3.5.13 自然灾害</w:t>
      </w:r>
      <w:bookmarkEnd w:id="179"/>
      <w:bookmarkEnd w:id="180"/>
      <w:bookmarkEnd w:id="181"/>
      <w:bookmarkEnd w:id="182"/>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lang w:val="en-US" w:eastAsia="zh-CN"/>
        </w:rPr>
        <w:t>3.5.13</w:t>
      </w:r>
      <w:r>
        <w:rPr>
          <w:rFonts w:hint="eastAsia" w:ascii="宋体" w:hAnsi="宋体" w:cs="宋体"/>
          <w:color w:val="auto"/>
          <w:sz w:val="28"/>
          <w:szCs w:val="28"/>
        </w:rPr>
        <w:t>.1 地震灾害</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地震发生时，可能使建筑物倒塌，建筑设施结构破坏造成人员伤亡，也可能使电气系统短路导致火灾事故发生等。</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lang w:val="en-US" w:eastAsia="zh-CN"/>
        </w:rPr>
        <w:t>3.5.13</w:t>
      </w:r>
      <w:r>
        <w:rPr>
          <w:rFonts w:hint="eastAsia" w:ascii="宋体" w:hAnsi="宋体" w:cs="宋体"/>
          <w:color w:val="auto"/>
          <w:sz w:val="28"/>
          <w:szCs w:val="28"/>
        </w:rPr>
        <w:t>.2 雷击危害</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雷雨云对地放电形成直击雷。雷击发生时，强大的冲击电压和雷电流会毁坏各种电气设备，强烈的空气扰动会使建筑物和设备损坏，其热效应会引起火灾，还可能击中人员事故伤亡事故。除直击雷外，还有雷电感应、球型雷和雷电侵入波等都可造成危害，其中直击雷的危害最大，此外雷电还可通过静电感应或电磁感应产生破坏作用。</w:t>
      </w:r>
    </w:p>
    <w:p>
      <w:pPr>
        <w:pStyle w:val="8"/>
        <w:spacing w:line="360" w:lineRule="auto"/>
        <w:ind w:firstLine="0" w:firstLineChars="0"/>
        <w:outlineLvl w:val="1"/>
        <w:rPr>
          <w:rFonts w:hint="eastAsia" w:ascii="黑体" w:hAnsi="宋体" w:eastAsia="黑体"/>
          <w:b/>
          <w:snapToGrid w:val="0"/>
          <w:kern w:val="0"/>
          <w:sz w:val="32"/>
          <w:szCs w:val="32"/>
        </w:rPr>
      </w:pPr>
      <w:bookmarkStart w:id="183" w:name="_Toc484594602"/>
      <w:bookmarkStart w:id="184" w:name="_Toc26116"/>
      <w:bookmarkStart w:id="185" w:name="_Toc325528024"/>
      <w:bookmarkStart w:id="186" w:name="_Toc514342856"/>
      <w:bookmarkStart w:id="187" w:name="_Toc304291284"/>
      <w:bookmarkStart w:id="188" w:name="_Toc303340324"/>
      <w:r>
        <w:rPr>
          <w:rFonts w:hint="eastAsia" w:ascii="黑体" w:hAnsi="宋体" w:eastAsia="黑体"/>
          <w:b/>
          <w:snapToGrid w:val="0"/>
          <w:kern w:val="0"/>
          <w:sz w:val="32"/>
          <w:szCs w:val="32"/>
          <w:lang w:val="en-US" w:eastAsia="zh-CN"/>
        </w:rPr>
        <w:t>3</w:t>
      </w:r>
      <w:r>
        <w:rPr>
          <w:rFonts w:hint="eastAsia" w:ascii="黑体" w:hAnsi="宋体" w:eastAsia="黑体"/>
          <w:b/>
          <w:snapToGrid w:val="0"/>
          <w:kern w:val="0"/>
          <w:sz w:val="32"/>
          <w:szCs w:val="32"/>
          <w:lang w:eastAsia="zh-CN"/>
        </w:rPr>
        <w:t>.</w:t>
      </w:r>
      <w:r>
        <w:rPr>
          <w:rFonts w:hint="eastAsia" w:ascii="黑体" w:hAnsi="宋体" w:eastAsia="黑体"/>
          <w:b/>
          <w:snapToGrid w:val="0"/>
          <w:kern w:val="0"/>
          <w:sz w:val="32"/>
          <w:szCs w:val="32"/>
        </w:rPr>
        <w:t>6 厂址安全条件的危险、有害因素辨识与分析</w:t>
      </w:r>
      <w:bookmarkEnd w:id="183"/>
      <w:bookmarkEnd w:id="184"/>
      <w:bookmarkEnd w:id="185"/>
      <w:bookmarkEnd w:id="186"/>
      <w:bookmarkEnd w:id="187"/>
      <w:bookmarkEnd w:id="188"/>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工业企业若选址不当，厂址条件差，可能存在以下危险、有害因素：①厂址工程地质不良，厂址周围为陡坎或有河流、沟渠通过，容易造成厂内塌陷和周边垮塌，设备、设施损坏，造成有害物质泄漏，引发火灾爆炸和窒息事故。②厂址所在地地形地貌差，处于窝风地带，厂内有害气体得不到及时散放，其生产作业危险性就大。③厂址与周边居民区或企业，安全距离不够，相互间会产生不利影响。④厂址所在地水文、气象条件恶劣，易发生水灾、雷击灾害，影响企业的正常生产。⑤厂址周边交通运输条件不畅、消防配备设施不完善，会造成运输不便，增加运输风险。</w:t>
      </w:r>
    </w:p>
    <w:p>
      <w:pPr>
        <w:spacing w:line="360" w:lineRule="auto"/>
        <w:ind w:firstLine="560" w:firstLineChars="200"/>
        <w:rPr>
          <w:rFonts w:hint="eastAsia" w:ascii="宋体" w:hAnsi="宋体"/>
          <w:snapToGrid w:val="0"/>
          <w:kern w:val="0"/>
          <w:sz w:val="28"/>
          <w:szCs w:val="28"/>
        </w:rPr>
      </w:pPr>
      <w:r>
        <w:rPr>
          <w:rFonts w:ascii="宋体" w:hAnsi="宋体"/>
          <w:snapToGrid w:val="0"/>
          <w:kern w:val="0"/>
          <w:sz w:val="28"/>
          <w:szCs w:val="28"/>
        </w:rPr>
        <w:t>本工程厂址周围无大型重要公共建筑设施</w:t>
      </w:r>
      <w:r>
        <w:rPr>
          <w:rFonts w:hint="eastAsia" w:ascii="宋体" w:hAnsi="宋体"/>
          <w:snapToGrid w:val="0"/>
          <w:kern w:val="0"/>
          <w:sz w:val="28"/>
          <w:szCs w:val="28"/>
        </w:rPr>
        <w:t>，</w:t>
      </w:r>
      <w:r>
        <w:rPr>
          <w:rFonts w:ascii="宋体" w:hAnsi="宋体"/>
          <w:snapToGrid w:val="0"/>
          <w:kern w:val="0"/>
          <w:sz w:val="28"/>
          <w:szCs w:val="28"/>
        </w:rPr>
        <w:t>位于相对稳定地块，场地无不良地质现象，地基承载力较高，不受洪水威胁；地下水对混凝土结构和钢筋混凝土结构中的钢筋不具腐蚀性。厂址交通运输方便</w:t>
      </w:r>
      <w:r>
        <w:rPr>
          <w:rFonts w:hint="eastAsia" w:ascii="宋体" w:hAnsi="宋体"/>
          <w:snapToGrid w:val="0"/>
          <w:kern w:val="0"/>
          <w:sz w:val="28"/>
          <w:szCs w:val="28"/>
        </w:rPr>
        <w:t>，</w:t>
      </w:r>
      <w:r>
        <w:rPr>
          <w:rFonts w:ascii="宋体" w:hAnsi="宋体"/>
          <w:snapToGrid w:val="0"/>
          <w:kern w:val="0"/>
          <w:sz w:val="28"/>
          <w:szCs w:val="28"/>
        </w:rPr>
        <w:t>已取得政府相关部门的</w:t>
      </w:r>
      <w:r>
        <w:rPr>
          <w:rFonts w:hint="eastAsia" w:ascii="宋体" w:hAnsi="宋体"/>
          <w:snapToGrid w:val="0"/>
          <w:kern w:val="0"/>
          <w:sz w:val="28"/>
          <w:szCs w:val="28"/>
        </w:rPr>
        <w:t>技改</w:t>
      </w:r>
      <w:r>
        <w:rPr>
          <w:rFonts w:ascii="宋体" w:hAnsi="宋体"/>
          <w:snapToGrid w:val="0"/>
          <w:kern w:val="0"/>
          <w:sz w:val="28"/>
          <w:szCs w:val="28"/>
        </w:rPr>
        <w:t>批复。因此，该工程选址符合当地政府部门规划，选址符合厂址选择的技术要求。</w:t>
      </w:r>
    </w:p>
    <w:p>
      <w:pPr>
        <w:pStyle w:val="8"/>
        <w:spacing w:line="360" w:lineRule="auto"/>
        <w:ind w:firstLine="0" w:firstLineChars="0"/>
        <w:outlineLvl w:val="2"/>
        <w:rPr>
          <w:rFonts w:hint="eastAsia" w:ascii="宋体" w:hAnsi="宋体"/>
          <w:b/>
          <w:snapToGrid w:val="0"/>
          <w:kern w:val="0"/>
          <w:sz w:val="28"/>
          <w:szCs w:val="28"/>
        </w:rPr>
      </w:pPr>
      <w:bookmarkStart w:id="189" w:name="_Toc5702"/>
      <w:bookmarkStart w:id="190" w:name="_Toc484594603"/>
      <w:bookmarkStart w:id="191" w:name="_Toc458523590"/>
      <w:bookmarkStart w:id="192" w:name="_Toc514342857"/>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 xml:space="preserve">6.1 </w:t>
      </w:r>
      <w:r>
        <w:rPr>
          <w:rFonts w:hint="eastAsia" w:ascii="宋体" w:hAnsi="宋体"/>
          <w:b/>
          <w:snapToGrid w:val="0"/>
          <w:kern w:val="0"/>
          <w:sz w:val="28"/>
          <w:szCs w:val="28"/>
          <w:lang w:eastAsia="zh-CN"/>
        </w:rPr>
        <w:t>公司</w:t>
      </w:r>
      <w:r>
        <w:rPr>
          <w:rFonts w:hint="eastAsia" w:ascii="宋体" w:hAnsi="宋体"/>
          <w:b/>
          <w:snapToGrid w:val="0"/>
          <w:kern w:val="0"/>
          <w:sz w:val="28"/>
          <w:szCs w:val="28"/>
        </w:rPr>
        <w:t>对周边环境的影响分析</w:t>
      </w:r>
      <w:bookmarkEnd w:id="189"/>
      <w:bookmarkEnd w:id="190"/>
      <w:bookmarkEnd w:id="191"/>
      <w:bookmarkEnd w:id="192"/>
    </w:p>
    <w:p>
      <w:pPr>
        <w:tabs>
          <w:tab w:val="left" w:pos="8808"/>
        </w:tabs>
        <w:snapToGrid w:val="0"/>
        <w:spacing w:line="360" w:lineRule="auto"/>
        <w:ind w:firstLine="560" w:firstLineChars="200"/>
        <w:rPr>
          <w:rFonts w:hint="eastAsia" w:ascii="宋体" w:hAnsi="宋体" w:cs="宋体"/>
          <w:sz w:val="28"/>
          <w:szCs w:val="28"/>
        </w:rPr>
      </w:pPr>
      <w:bookmarkStart w:id="193" w:name="_Toc172963399"/>
      <w:bookmarkStart w:id="194" w:name="_Toc172964408"/>
      <w:bookmarkStart w:id="195" w:name="_Toc374385892"/>
      <w:bookmarkStart w:id="196" w:name="_Toc155775354"/>
      <w:bookmarkStart w:id="197" w:name="_Toc172964203"/>
      <w:r>
        <w:rPr>
          <w:rFonts w:hint="eastAsia" w:ascii="宋体" w:hAnsi="宋体" w:cs="宋体"/>
          <w:sz w:val="28"/>
          <w:szCs w:val="28"/>
          <w:lang w:eastAsia="zh-CN"/>
        </w:rPr>
        <w:t>厂</w:t>
      </w:r>
      <w:r>
        <w:rPr>
          <w:rFonts w:ascii="宋体" w:hAnsi="宋体" w:cs="宋体"/>
          <w:sz w:val="28"/>
          <w:szCs w:val="28"/>
        </w:rPr>
        <w:t>区内</w:t>
      </w:r>
      <w:r>
        <w:rPr>
          <w:rFonts w:hint="eastAsia" w:ascii="宋体" w:hAnsi="宋体" w:cs="宋体"/>
          <w:sz w:val="28"/>
          <w:szCs w:val="28"/>
        </w:rPr>
        <w:t>无高压电线敷设、无</w:t>
      </w:r>
      <w:r>
        <w:rPr>
          <w:rFonts w:ascii="宋体" w:hAnsi="宋体" w:cs="宋体"/>
          <w:sz w:val="28"/>
          <w:szCs w:val="28"/>
        </w:rPr>
        <w:t>国家规定的风景名胜区、革命历史古迹等文物保护对象，无集中式水源地等特殊保护对象</w:t>
      </w:r>
      <w:r>
        <w:rPr>
          <w:rFonts w:hint="eastAsia" w:ascii="宋体" w:hAnsi="宋体" w:cs="宋体"/>
          <w:sz w:val="28"/>
          <w:szCs w:val="28"/>
        </w:rPr>
        <w:t>；</w:t>
      </w:r>
      <w:r>
        <w:rPr>
          <w:rFonts w:ascii="宋体" w:hAnsi="宋体" w:cs="宋体"/>
          <w:sz w:val="28"/>
          <w:szCs w:val="28"/>
        </w:rPr>
        <w:t>区域内及附近无</w:t>
      </w:r>
      <w:r>
        <w:rPr>
          <w:rFonts w:hint="eastAsia" w:ascii="宋体" w:hAnsi="宋体" w:cs="宋体"/>
          <w:sz w:val="28"/>
          <w:szCs w:val="28"/>
        </w:rPr>
        <w:t>重大危险源监管单位、无</w:t>
      </w:r>
      <w:r>
        <w:rPr>
          <w:rFonts w:ascii="宋体" w:hAnsi="宋体" w:cs="宋体"/>
          <w:sz w:val="28"/>
          <w:szCs w:val="28"/>
        </w:rPr>
        <w:t>军事设施等保密单位，无军事国防通讯设施及其他通讯设施等敏感目标，地下未发现矿产资源</w:t>
      </w:r>
      <w:r>
        <w:rPr>
          <w:rFonts w:hint="eastAsia" w:ascii="宋体" w:hAnsi="宋体" w:cs="宋体"/>
          <w:sz w:val="28"/>
          <w:szCs w:val="28"/>
        </w:rPr>
        <w:t>，无长输天然气管道、输油管道敷设</w:t>
      </w:r>
      <w:r>
        <w:rPr>
          <w:rFonts w:ascii="宋体" w:hAnsi="宋体" w:cs="宋体"/>
          <w:sz w:val="28"/>
          <w:szCs w:val="28"/>
        </w:rPr>
        <w:t>。</w:t>
      </w:r>
      <w:r>
        <w:rPr>
          <w:rFonts w:hint="eastAsia" w:ascii="宋体" w:hAnsi="宋体" w:cs="宋体"/>
          <w:sz w:val="28"/>
          <w:szCs w:val="28"/>
          <w:lang w:eastAsia="zh-CN"/>
        </w:rPr>
        <w:t>公司</w:t>
      </w:r>
      <w:r>
        <w:rPr>
          <w:rFonts w:hint="eastAsia" w:ascii="宋体" w:hAnsi="宋体" w:cs="宋体"/>
          <w:sz w:val="28"/>
          <w:szCs w:val="28"/>
        </w:rPr>
        <w:t>在正常工况下废水、废气、废渣等经达标后排放，并与周边建构筑留有足够的防火间距，即</w:t>
      </w:r>
      <w:r>
        <w:rPr>
          <w:rFonts w:hint="eastAsia" w:ascii="宋体" w:hAnsi="宋体" w:cs="宋体"/>
          <w:sz w:val="28"/>
          <w:szCs w:val="28"/>
          <w:lang w:eastAsia="zh-CN"/>
        </w:rPr>
        <w:t>公司</w:t>
      </w:r>
      <w:r>
        <w:rPr>
          <w:rFonts w:hint="eastAsia" w:ascii="宋体" w:hAnsi="宋体" w:cs="宋体"/>
          <w:sz w:val="28"/>
          <w:szCs w:val="28"/>
        </w:rPr>
        <w:t>正常工况下不会对周边单位生产、经营活动或者居民生活造成影响。</w:t>
      </w:r>
    </w:p>
    <w:p>
      <w:pPr>
        <w:spacing w:line="360" w:lineRule="auto"/>
        <w:ind w:firstLine="560" w:firstLineChars="200"/>
        <w:rPr>
          <w:rFonts w:hint="eastAsia" w:ascii="宋体" w:hAnsi="宋体"/>
          <w:sz w:val="28"/>
          <w:szCs w:val="28"/>
        </w:rPr>
      </w:pPr>
      <w:r>
        <w:rPr>
          <w:rFonts w:ascii="宋体" w:hAnsi="宋体"/>
          <w:sz w:val="28"/>
          <w:szCs w:val="28"/>
        </w:rPr>
        <w:t>若三废处理不当可能会对周边环境、企业造成不良影响，因此本工程应切实做好三废的处理工作。</w:t>
      </w:r>
      <w:r>
        <w:rPr>
          <w:rFonts w:hint="eastAsia" w:ascii="宋体" w:hAnsi="宋体"/>
          <w:sz w:val="28"/>
          <w:szCs w:val="28"/>
          <w:lang w:eastAsia="zh-CN"/>
        </w:rPr>
        <w:t>公司</w:t>
      </w:r>
      <w:r>
        <w:rPr>
          <w:rFonts w:ascii="宋体" w:hAnsi="宋体"/>
          <w:sz w:val="28"/>
          <w:szCs w:val="28"/>
        </w:rPr>
        <w:t>在采取了可靠的安全、环保的防护措施之后，</w:t>
      </w:r>
      <w:r>
        <w:rPr>
          <w:rFonts w:hint="eastAsia" w:ascii="宋体" w:hAnsi="宋体" w:cs="宋体"/>
          <w:sz w:val="28"/>
          <w:szCs w:val="28"/>
        </w:rPr>
        <w:t>对周边环境的影响在可接受和可控制范围。</w:t>
      </w:r>
    </w:p>
    <w:bookmarkEnd w:id="193"/>
    <w:bookmarkEnd w:id="194"/>
    <w:bookmarkEnd w:id="195"/>
    <w:bookmarkEnd w:id="196"/>
    <w:bookmarkEnd w:id="197"/>
    <w:p>
      <w:pPr>
        <w:pStyle w:val="8"/>
        <w:spacing w:line="360" w:lineRule="auto"/>
        <w:ind w:firstLine="0" w:firstLineChars="0"/>
        <w:outlineLvl w:val="2"/>
        <w:rPr>
          <w:rFonts w:hint="eastAsia" w:ascii="宋体" w:hAnsi="宋体"/>
          <w:b/>
          <w:snapToGrid w:val="0"/>
          <w:kern w:val="0"/>
          <w:sz w:val="28"/>
          <w:szCs w:val="28"/>
        </w:rPr>
      </w:pPr>
      <w:bookmarkStart w:id="198" w:name="_Toc172964418"/>
      <w:bookmarkStart w:id="199" w:name="_Toc458523594"/>
      <w:bookmarkStart w:id="200" w:name="_Toc172964213"/>
      <w:bookmarkStart w:id="201" w:name="_Toc25868"/>
      <w:bookmarkStart w:id="202" w:name="_Toc172963410"/>
      <w:bookmarkStart w:id="203" w:name="_Toc155775365"/>
      <w:bookmarkStart w:id="204" w:name="_Toc514342858"/>
      <w:bookmarkStart w:id="205" w:name="_Toc484594604"/>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6.2 周边环境对</w:t>
      </w:r>
      <w:r>
        <w:rPr>
          <w:rFonts w:hint="eastAsia" w:ascii="宋体" w:hAnsi="宋体"/>
          <w:b/>
          <w:snapToGrid w:val="0"/>
          <w:kern w:val="0"/>
          <w:sz w:val="28"/>
          <w:szCs w:val="28"/>
          <w:lang w:eastAsia="zh-CN"/>
        </w:rPr>
        <w:t>公司</w:t>
      </w:r>
      <w:r>
        <w:rPr>
          <w:rFonts w:hint="eastAsia" w:ascii="宋体" w:hAnsi="宋体"/>
          <w:b/>
          <w:snapToGrid w:val="0"/>
          <w:kern w:val="0"/>
          <w:sz w:val="28"/>
          <w:szCs w:val="28"/>
        </w:rPr>
        <w:t>的影响分析</w:t>
      </w:r>
      <w:bookmarkEnd w:id="198"/>
      <w:bookmarkEnd w:id="199"/>
      <w:bookmarkEnd w:id="200"/>
      <w:bookmarkEnd w:id="201"/>
      <w:bookmarkEnd w:id="202"/>
      <w:bookmarkEnd w:id="203"/>
      <w:bookmarkEnd w:id="204"/>
      <w:bookmarkEnd w:id="205"/>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zh-CN" w:eastAsia="zh-CN"/>
        </w:rPr>
        <w:t>公司</w:t>
      </w:r>
      <w:r>
        <w:rPr>
          <w:rFonts w:hint="eastAsia" w:ascii="宋体" w:hAnsi="宋体" w:cs="宋体"/>
          <w:color w:val="auto"/>
          <w:sz w:val="28"/>
          <w:szCs w:val="28"/>
          <w:lang w:val="en-US" w:eastAsia="zh-CN"/>
        </w:rPr>
        <w:t>矿山开采登记范围不存在矿权重叠与边界纠纷问题，矿区附近谷地及缓坡平地为农业耕作区，斜坡以上大部分为荒坡，少量林木分布。矿区周围大多为农田，矿山范围内人类工程主要以农耕地为主。</w:t>
      </w:r>
    </w:p>
    <w:p>
      <w:pPr>
        <w:spacing w:line="360" w:lineRule="auto"/>
        <w:ind w:firstLine="560" w:firstLineChars="200"/>
        <w:rPr>
          <w:rFonts w:hint="eastAsia" w:ascii="宋体" w:hAnsi="宋体" w:cs="宋体"/>
          <w:color w:val="auto"/>
          <w:sz w:val="28"/>
          <w:szCs w:val="28"/>
          <w:lang w:val="en-US" w:eastAsia="en-US"/>
        </w:rPr>
      </w:pPr>
      <w:r>
        <w:rPr>
          <w:rFonts w:hint="eastAsia" w:ascii="宋体" w:hAnsi="宋体" w:cs="宋体"/>
          <w:color w:val="auto"/>
          <w:sz w:val="28"/>
          <w:szCs w:val="28"/>
          <w:lang w:val="en-US" w:eastAsia="zh-CN"/>
        </w:rPr>
        <w:t>砖厂朝向近似座北朝东，</w:t>
      </w:r>
      <w:r>
        <w:rPr>
          <w:rFonts w:hint="eastAsia" w:ascii="宋体" w:hAnsi="宋体" w:cs="宋体"/>
          <w:color w:val="auto"/>
          <w:sz w:val="28"/>
          <w:szCs w:val="28"/>
          <w:lang w:val="zh-CN" w:eastAsia="zh-CN"/>
        </w:rPr>
        <w:t>地处农村环境，外环境简单，具体情况如下：厂区周边主要为山坡地，植被为杂草、灌木丛及农作物，不存在珍稀植物。根据现场勘查，公司生产区周边主要为耕地、农户。公司大门位于东面，东面紧邻进厂道路，道路 两侧为农田；公司北面和西面为农田；东南面为本公司矿山页岩开采区；开采区以东为丘陵。</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周边200米范围内的零散居民住户与公司的防火间距均大于50米。公司周边环境条件良好，周边环境不会对公司形成制约影响因素。</w:t>
      </w:r>
    </w:p>
    <w:p>
      <w:pPr>
        <w:pStyle w:val="8"/>
        <w:spacing w:line="360" w:lineRule="auto"/>
        <w:ind w:firstLine="0" w:firstLineChars="0"/>
        <w:outlineLvl w:val="1"/>
        <w:rPr>
          <w:rFonts w:hint="eastAsia" w:ascii="黑体" w:eastAsia="黑体"/>
          <w:b/>
          <w:snapToGrid w:val="0"/>
          <w:kern w:val="0"/>
          <w:sz w:val="32"/>
          <w:szCs w:val="32"/>
        </w:rPr>
      </w:pPr>
      <w:bookmarkStart w:id="206" w:name="_Toc514342863"/>
      <w:bookmarkStart w:id="207" w:name="_Toc350781107"/>
      <w:bookmarkStart w:id="208" w:name="_Toc480804413"/>
      <w:bookmarkStart w:id="209" w:name="_Toc356401505"/>
      <w:bookmarkStart w:id="210" w:name="_Toc32007"/>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lang w:val="en-US" w:eastAsia="zh-CN"/>
        </w:rPr>
        <w:t>7</w:t>
      </w:r>
      <w:r>
        <w:rPr>
          <w:rFonts w:hint="eastAsia" w:ascii="黑体" w:eastAsia="黑体"/>
          <w:b/>
          <w:snapToGrid w:val="0"/>
          <w:kern w:val="0"/>
          <w:sz w:val="32"/>
          <w:szCs w:val="32"/>
        </w:rPr>
        <w:t xml:space="preserve"> 重大危险源辨识</w:t>
      </w:r>
      <w:bookmarkEnd w:id="206"/>
      <w:bookmarkEnd w:id="207"/>
      <w:bookmarkEnd w:id="208"/>
      <w:bookmarkEnd w:id="209"/>
      <w:bookmarkEnd w:id="210"/>
    </w:p>
    <w:p>
      <w:pPr>
        <w:pStyle w:val="8"/>
        <w:spacing w:line="360" w:lineRule="auto"/>
        <w:ind w:firstLine="0" w:firstLineChars="0"/>
        <w:outlineLvl w:val="2"/>
        <w:rPr>
          <w:rFonts w:hint="eastAsia" w:ascii="宋体" w:hAnsi="宋体"/>
          <w:b/>
          <w:snapToGrid w:val="0"/>
          <w:kern w:val="0"/>
          <w:sz w:val="28"/>
          <w:szCs w:val="28"/>
        </w:rPr>
      </w:pPr>
      <w:bookmarkStart w:id="211" w:name="_Toc514342864"/>
      <w:bookmarkStart w:id="212" w:name="_Toc356401506"/>
      <w:bookmarkStart w:id="213" w:name="_Toc480804414"/>
      <w:bookmarkStart w:id="214" w:name="_Toc351125383"/>
      <w:bookmarkStart w:id="215" w:name="_Toc32610"/>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lang w:val="en-US" w:eastAsia="zh-CN"/>
        </w:rPr>
        <w:t>7</w:t>
      </w:r>
      <w:r>
        <w:rPr>
          <w:rFonts w:hint="eastAsia" w:ascii="宋体" w:hAnsi="宋体"/>
          <w:b/>
          <w:snapToGrid w:val="0"/>
          <w:kern w:val="0"/>
          <w:sz w:val="28"/>
          <w:szCs w:val="28"/>
        </w:rPr>
        <w:t>.1 辨识依据</w:t>
      </w:r>
      <w:bookmarkEnd w:id="211"/>
      <w:bookmarkEnd w:id="212"/>
      <w:bookmarkEnd w:id="213"/>
      <w:bookmarkEnd w:id="214"/>
      <w:bookmarkEnd w:id="215"/>
    </w:p>
    <w:p>
      <w:pPr>
        <w:tabs>
          <w:tab w:val="right" w:leader="hyphen" w:pos="8343"/>
        </w:tabs>
        <w:spacing w:line="360" w:lineRule="auto"/>
        <w:ind w:firstLine="560" w:firstLineChars="200"/>
        <w:rPr>
          <w:rFonts w:hint="eastAsia" w:ascii="宋体" w:hAnsi="宋体"/>
          <w:sz w:val="28"/>
          <w:szCs w:val="28"/>
        </w:rPr>
      </w:pPr>
      <w:r>
        <w:rPr>
          <w:rFonts w:hint="eastAsia" w:ascii="宋体" w:hAnsi="宋体"/>
          <w:sz w:val="28"/>
          <w:szCs w:val="28"/>
        </w:rPr>
        <w:t>根据《中华人民共和国安全生产法》、《危险化学品重大危险源辨识》（</w:t>
      </w:r>
      <w:r>
        <w:rPr>
          <w:rFonts w:hint="eastAsia" w:ascii="宋体" w:hAnsi="宋体"/>
          <w:sz w:val="28"/>
          <w:szCs w:val="28"/>
          <w:lang w:eastAsia="zh-CN"/>
        </w:rPr>
        <w:t>GB18218-2018</w:t>
      </w:r>
      <w:r>
        <w:rPr>
          <w:rFonts w:hint="eastAsia" w:ascii="宋体" w:hAnsi="宋体"/>
          <w:sz w:val="28"/>
          <w:szCs w:val="28"/>
        </w:rPr>
        <w:t>）的有关规定，重大危险源是指长期地或者临时地生产、加工、搬运、使用或储存危险物品，且危险物品的数量等于或超过临界量的场所和设施，以及其他存在危险能量等于或超过临界量的场所和设施。</w:t>
      </w:r>
    </w:p>
    <w:p>
      <w:pPr>
        <w:pStyle w:val="8"/>
        <w:spacing w:line="360" w:lineRule="auto"/>
        <w:ind w:firstLine="0" w:firstLineChars="0"/>
        <w:outlineLvl w:val="2"/>
        <w:rPr>
          <w:rFonts w:hint="eastAsia" w:ascii="宋体" w:hAnsi="宋体"/>
          <w:b/>
          <w:snapToGrid w:val="0"/>
          <w:kern w:val="0"/>
          <w:sz w:val="28"/>
          <w:szCs w:val="28"/>
        </w:rPr>
      </w:pPr>
      <w:bookmarkStart w:id="216" w:name="_Toc514342865"/>
      <w:bookmarkStart w:id="217" w:name="_Toc21470"/>
      <w:bookmarkStart w:id="218" w:name="_Toc356401507"/>
      <w:bookmarkStart w:id="219" w:name="_Toc480804415"/>
      <w:bookmarkStart w:id="220" w:name="_Toc351125385"/>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lang w:val="en-US" w:eastAsia="zh-CN"/>
        </w:rPr>
        <w:t>7</w:t>
      </w:r>
      <w:r>
        <w:rPr>
          <w:rFonts w:hint="eastAsia" w:ascii="宋体" w:hAnsi="宋体"/>
          <w:b/>
          <w:snapToGrid w:val="0"/>
          <w:kern w:val="0"/>
          <w:sz w:val="28"/>
          <w:szCs w:val="28"/>
        </w:rPr>
        <w:t>.2 辨识结果</w:t>
      </w:r>
      <w:bookmarkEnd w:id="216"/>
      <w:bookmarkEnd w:id="217"/>
      <w:bookmarkEnd w:id="218"/>
      <w:bookmarkEnd w:id="219"/>
      <w:bookmarkEnd w:id="220"/>
    </w:p>
    <w:p>
      <w:pPr>
        <w:spacing w:line="360" w:lineRule="auto"/>
        <w:ind w:firstLine="560" w:firstLineChars="200"/>
        <w:rPr>
          <w:rFonts w:hint="eastAsia" w:ascii="宋体" w:hAnsi="宋体"/>
          <w:sz w:val="28"/>
          <w:szCs w:val="28"/>
        </w:rPr>
      </w:pPr>
      <w:r>
        <w:rPr>
          <w:rFonts w:hint="eastAsia"/>
          <w:sz w:val="28"/>
          <w:szCs w:val="28"/>
          <w:lang w:eastAsia="zh-CN"/>
        </w:rPr>
        <w:t>公司</w:t>
      </w:r>
      <w:r>
        <w:rPr>
          <w:rFonts w:hint="eastAsia"/>
          <w:sz w:val="28"/>
          <w:szCs w:val="28"/>
        </w:rPr>
        <w:t>生产过程中的原料、辅料、中间品、产品除柴油外其余均未列入《重大危险源辨识》中，</w:t>
      </w:r>
      <w:r>
        <w:rPr>
          <w:rFonts w:hint="eastAsia"/>
          <w:sz w:val="28"/>
          <w:szCs w:val="28"/>
          <w:lang w:eastAsia="zh-CN"/>
        </w:rPr>
        <w:t>厂区</w:t>
      </w:r>
      <w:r>
        <w:rPr>
          <w:rFonts w:hint="eastAsia"/>
          <w:sz w:val="28"/>
          <w:szCs w:val="28"/>
        </w:rPr>
        <w:t>使用柴油仅做为点火燃料使用，用量少（仅备用1桶，约200L），使用频率低，</w:t>
      </w:r>
      <w:r>
        <w:rPr>
          <w:rFonts w:hint="eastAsia" w:ascii="宋体" w:hAnsi="宋体"/>
          <w:sz w:val="28"/>
          <w:szCs w:val="28"/>
        </w:rPr>
        <w:t>其临界量和拟存放量见下表：</w:t>
      </w:r>
    </w:p>
    <w:p>
      <w:pPr>
        <w:spacing w:line="360" w:lineRule="auto"/>
        <w:jc w:val="center"/>
        <w:rPr>
          <w:rFonts w:hint="eastAsia" w:ascii="黑体" w:eastAsia="黑体"/>
          <w:b/>
          <w:sz w:val="24"/>
        </w:rPr>
      </w:pPr>
      <w:r>
        <w:rPr>
          <w:rFonts w:hint="eastAsia" w:ascii="黑体" w:eastAsia="黑体"/>
          <w:b/>
          <w:sz w:val="24"/>
        </w:rPr>
        <w:t>表</w:t>
      </w:r>
      <w:r>
        <w:rPr>
          <w:rFonts w:hint="eastAsia" w:ascii="黑体" w:eastAsia="黑体"/>
          <w:b/>
          <w:sz w:val="24"/>
          <w:lang w:val="en-US" w:eastAsia="zh-CN"/>
        </w:rPr>
        <w:t>3</w:t>
      </w:r>
      <w:r>
        <w:rPr>
          <w:rFonts w:hint="eastAsia" w:ascii="黑体" w:eastAsia="黑体"/>
          <w:b/>
          <w:sz w:val="24"/>
          <w:lang w:eastAsia="zh-CN"/>
        </w:rPr>
        <w:t>-</w:t>
      </w:r>
      <w:r>
        <w:rPr>
          <w:rFonts w:hint="eastAsia" w:ascii="黑体" w:eastAsia="黑体"/>
          <w:b/>
          <w:sz w:val="24"/>
          <w:lang w:val="en-US" w:eastAsia="zh-CN"/>
        </w:rPr>
        <w:t>4</w:t>
      </w:r>
      <w:r>
        <w:rPr>
          <w:rFonts w:hint="eastAsia" w:ascii="黑体" w:eastAsia="黑体"/>
          <w:b/>
          <w:sz w:val="24"/>
        </w:rPr>
        <w:t>危险化学品名称及其临界量</w:t>
      </w:r>
    </w:p>
    <w:tbl>
      <w:tblPr>
        <w:tblStyle w:val="19"/>
        <w:tblW w:w="8711" w:type="dxa"/>
        <w:jc w:val="center"/>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3526"/>
        <w:gridCol w:w="1855"/>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8" w:hRule="atLeast"/>
          <w:jc w:val="center"/>
        </w:trPr>
        <w:tc>
          <w:tcPr>
            <w:tcW w:w="1503" w:type="dxa"/>
            <w:noWrap w:val="0"/>
            <w:vAlign w:val="center"/>
          </w:tcPr>
          <w:p>
            <w:pPr>
              <w:pStyle w:val="25"/>
              <w:tabs>
                <w:tab w:val="left" w:pos="0"/>
              </w:tabs>
              <w:spacing w:before="0" w:after="0"/>
              <w:rPr>
                <w:rFonts w:hint="eastAsia" w:hAnsi="宋体"/>
                <w:b/>
                <w:spacing w:val="10"/>
                <w:sz w:val="24"/>
                <w:szCs w:val="24"/>
              </w:rPr>
            </w:pPr>
            <w:r>
              <w:rPr>
                <w:rFonts w:hint="eastAsia" w:hAnsi="宋体"/>
                <w:b/>
                <w:spacing w:val="10"/>
                <w:sz w:val="24"/>
                <w:szCs w:val="24"/>
              </w:rPr>
              <w:t>物质名称</w:t>
            </w:r>
          </w:p>
        </w:tc>
        <w:tc>
          <w:tcPr>
            <w:tcW w:w="3526" w:type="dxa"/>
            <w:noWrap w:val="0"/>
            <w:vAlign w:val="center"/>
          </w:tcPr>
          <w:p>
            <w:pPr>
              <w:tabs>
                <w:tab w:val="left" w:pos="0"/>
              </w:tabs>
              <w:jc w:val="center"/>
              <w:rPr>
                <w:rFonts w:hint="eastAsia" w:ascii="宋体" w:hAnsi="宋体"/>
                <w:b/>
                <w:spacing w:val="10"/>
                <w:sz w:val="24"/>
              </w:rPr>
            </w:pPr>
            <w:r>
              <w:rPr>
                <w:rFonts w:hint="eastAsia" w:ascii="宋体" w:hAnsi="宋体"/>
                <w:b/>
                <w:spacing w:val="10"/>
                <w:sz w:val="24"/>
              </w:rPr>
              <w:t>类别</w:t>
            </w:r>
          </w:p>
        </w:tc>
        <w:tc>
          <w:tcPr>
            <w:tcW w:w="1855" w:type="dxa"/>
            <w:noWrap w:val="0"/>
            <w:vAlign w:val="center"/>
          </w:tcPr>
          <w:p>
            <w:pPr>
              <w:tabs>
                <w:tab w:val="left" w:pos="0"/>
              </w:tabs>
              <w:jc w:val="center"/>
              <w:rPr>
                <w:rFonts w:hint="eastAsia" w:ascii="宋体" w:hAnsi="宋体"/>
                <w:b/>
                <w:spacing w:val="10"/>
                <w:sz w:val="24"/>
              </w:rPr>
            </w:pPr>
            <w:r>
              <w:rPr>
                <w:rFonts w:hint="eastAsia" w:ascii="宋体" w:hAnsi="宋体"/>
                <w:b/>
                <w:spacing w:val="10"/>
                <w:sz w:val="24"/>
              </w:rPr>
              <w:t>临界量/t</w:t>
            </w:r>
          </w:p>
        </w:tc>
        <w:tc>
          <w:tcPr>
            <w:tcW w:w="1827" w:type="dxa"/>
            <w:noWrap w:val="0"/>
            <w:vAlign w:val="center"/>
          </w:tcPr>
          <w:p>
            <w:pPr>
              <w:tabs>
                <w:tab w:val="left" w:pos="0"/>
              </w:tabs>
              <w:jc w:val="center"/>
              <w:rPr>
                <w:rFonts w:hint="eastAsia" w:ascii="宋体" w:hAnsi="宋体"/>
                <w:b/>
                <w:spacing w:val="10"/>
                <w:sz w:val="24"/>
              </w:rPr>
            </w:pPr>
            <w:r>
              <w:rPr>
                <w:rFonts w:hint="eastAsia" w:ascii="宋体" w:hAnsi="宋体"/>
                <w:b/>
                <w:spacing w:val="10"/>
                <w:sz w:val="24"/>
              </w:rPr>
              <w:t>实际量/t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1503"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柴油</w:t>
            </w:r>
          </w:p>
        </w:tc>
        <w:tc>
          <w:tcPr>
            <w:tcW w:w="3526"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易燃液体（23℃&lt;闪点&lt;61℃）</w:t>
            </w:r>
          </w:p>
        </w:tc>
        <w:tc>
          <w:tcPr>
            <w:tcW w:w="1855"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5000</w:t>
            </w:r>
          </w:p>
        </w:tc>
        <w:tc>
          <w:tcPr>
            <w:tcW w:w="1827"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0.17</w:t>
            </w:r>
          </w:p>
        </w:tc>
      </w:tr>
    </w:tbl>
    <w:p>
      <w:pPr>
        <w:ind w:firstLine="420" w:firstLineChars="200"/>
        <w:rPr>
          <w:rFonts w:hint="eastAsia"/>
          <w:szCs w:val="28"/>
        </w:rPr>
      </w:pPr>
    </w:p>
    <w:p>
      <w:pPr>
        <w:spacing w:line="360" w:lineRule="auto"/>
        <w:ind w:firstLine="560" w:firstLineChars="200"/>
        <w:rPr>
          <w:rFonts w:hint="eastAsia" w:ascii="宋体" w:hAnsi="宋体"/>
          <w:kern w:val="0"/>
          <w:sz w:val="28"/>
          <w:szCs w:val="28"/>
        </w:rPr>
      </w:pPr>
      <w:r>
        <w:rPr>
          <w:rFonts w:hint="eastAsia" w:ascii="宋体" w:hAnsi="宋体"/>
          <w:sz w:val="28"/>
          <w:szCs w:val="28"/>
          <w:lang w:eastAsia="zh-CN"/>
        </w:rPr>
        <w:t>公司</w:t>
      </w:r>
      <w:r>
        <w:rPr>
          <w:rFonts w:hint="eastAsia" w:ascii="宋体" w:hAnsi="宋体"/>
          <w:sz w:val="28"/>
          <w:szCs w:val="28"/>
        </w:rPr>
        <w:t>有柴油储量1桶（200升），柴油密度0.85t/m</w:t>
      </w:r>
      <w:r>
        <w:rPr>
          <w:rFonts w:hint="eastAsia" w:ascii="宋体" w:hAnsi="宋体"/>
          <w:sz w:val="28"/>
          <w:szCs w:val="28"/>
          <w:vertAlign w:val="superscript"/>
        </w:rPr>
        <w:t>3</w:t>
      </w:r>
      <w:r>
        <w:rPr>
          <w:rFonts w:hint="eastAsia" w:ascii="宋体" w:hAnsi="宋体"/>
          <w:sz w:val="28"/>
          <w:szCs w:val="28"/>
        </w:rPr>
        <w:t>，合计0.17t。</w:t>
      </w:r>
    </w:p>
    <w:p>
      <w:pPr>
        <w:spacing w:line="360" w:lineRule="auto"/>
        <w:ind w:firstLine="560" w:firstLineChars="200"/>
        <w:rPr>
          <w:rFonts w:hint="eastAsia" w:ascii="宋体" w:hAnsi="宋体"/>
          <w:sz w:val="28"/>
          <w:szCs w:val="28"/>
          <w:lang w:eastAsia="zh-CN"/>
        </w:rPr>
      </w:pPr>
      <w:r>
        <w:rPr>
          <w:rFonts w:hint="eastAsia" w:ascii="宋体" w:hAnsi="宋体"/>
          <w:sz w:val="28"/>
          <w:szCs w:val="28"/>
          <w:lang w:eastAsia="zh-CN"/>
        </w:rPr>
        <w:t>则：0.17/5000=0.000034＜1</w:t>
      </w:r>
    </w:p>
    <w:bookmarkEnd w:id="42"/>
    <w:p>
      <w:pPr>
        <w:spacing w:line="360" w:lineRule="auto"/>
        <w:ind w:firstLine="560" w:firstLineChars="200"/>
        <w:rPr>
          <w:rFonts w:hint="eastAsia" w:ascii="宋体" w:hAnsi="宋体"/>
          <w:sz w:val="28"/>
          <w:szCs w:val="28"/>
          <w:lang w:eastAsia="zh-CN"/>
        </w:rPr>
      </w:pPr>
      <w:bookmarkStart w:id="221" w:name="_Toc10261"/>
      <w:bookmarkStart w:id="222" w:name="_Toc21054"/>
      <w:r>
        <w:rPr>
          <w:rFonts w:hint="eastAsia" w:ascii="宋体" w:hAnsi="宋体"/>
          <w:sz w:val="28"/>
          <w:szCs w:val="28"/>
          <w:lang w:eastAsia="zh-CN"/>
        </w:rPr>
        <w:t>综上所述，根据《危险化学品重大危险源辨识》(GB18218-20</w:t>
      </w:r>
      <w:r>
        <w:rPr>
          <w:rFonts w:hint="eastAsia" w:ascii="宋体" w:hAnsi="宋体"/>
          <w:sz w:val="28"/>
          <w:szCs w:val="28"/>
          <w:lang w:val="en-US" w:eastAsia="zh-CN"/>
        </w:rPr>
        <w:t>18</w:t>
      </w:r>
      <w:r>
        <w:rPr>
          <w:rFonts w:hint="eastAsia" w:ascii="宋体" w:hAnsi="宋体"/>
          <w:sz w:val="28"/>
          <w:szCs w:val="28"/>
          <w:lang w:eastAsia="zh-CN"/>
        </w:rPr>
        <w:t>)，本公司危险化学品的使用和储存均不构成危险化学品重大危险源。即，仪陇县义路镇正强页岩砖厂不构成危险化学品重大危险源。</w:t>
      </w:r>
    </w:p>
    <w:p>
      <w:pPr>
        <w:pStyle w:val="8"/>
        <w:spacing w:line="360" w:lineRule="auto"/>
        <w:ind w:firstLine="0" w:firstLineChars="0"/>
        <w:outlineLvl w:val="1"/>
        <w:rPr>
          <w:rFonts w:hint="eastAsia" w:ascii="黑体" w:eastAsia="黑体"/>
          <w:b/>
          <w:snapToGrid w:val="0"/>
          <w:kern w:val="0"/>
          <w:sz w:val="32"/>
          <w:szCs w:val="32"/>
          <w:lang w:val="en-US" w:eastAsia="zh-CN"/>
        </w:rPr>
      </w:pPr>
      <w:bookmarkStart w:id="223" w:name="_Toc21620"/>
      <w:r>
        <w:rPr>
          <w:rFonts w:hint="eastAsia" w:ascii="黑体" w:eastAsia="黑体"/>
          <w:b/>
          <w:snapToGrid w:val="0"/>
          <w:kern w:val="0"/>
          <w:sz w:val="32"/>
          <w:szCs w:val="32"/>
          <w:lang w:val="en-US" w:eastAsia="zh-CN"/>
        </w:rPr>
        <w:t>3.8小结</w:t>
      </w:r>
      <w:bookmarkEnd w:id="221"/>
      <w:bookmarkEnd w:id="222"/>
      <w:bookmarkEnd w:id="223"/>
    </w:p>
    <w:p>
      <w:pPr>
        <w:spacing w:line="360" w:lineRule="auto"/>
        <w:jc w:val="center"/>
        <w:rPr>
          <w:rFonts w:hint="eastAsia" w:ascii="黑体" w:eastAsia="黑体"/>
          <w:b/>
          <w:sz w:val="24"/>
        </w:rPr>
      </w:pPr>
      <w:r>
        <w:rPr>
          <w:rFonts w:hint="eastAsia" w:ascii="黑体" w:eastAsia="黑体"/>
          <w:b/>
          <w:sz w:val="24"/>
        </w:rPr>
        <w:t>表</w:t>
      </w:r>
      <w:r>
        <w:rPr>
          <w:rFonts w:hint="eastAsia" w:ascii="黑体" w:eastAsia="黑体"/>
          <w:b/>
          <w:sz w:val="24"/>
          <w:lang w:val="en-US" w:eastAsia="zh-CN"/>
        </w:rPr>
        <w:t>3</w:t>
      </w:r>
      <w:r>
        <w:rPr>
          <w:rFonts w:ascii="黑体" w:eastAsia="黑体"/>
          <w:b/>
          <w:sz w:val="24"/>
        </w:rPr>
        <w:t>-</w:t>
      </w:r>
      <w:r>
        <w:rPr>
          <w:rFonts w:hint="eastAsia" w:ascii="黑体" w:eastAsia="黑体"/>
          <w:b/>
          <w:sz w:val="24"/>
          <w:lang w:val="en-US" w:eastAsia="zh-CN"/>
        </w:rPr>
        <w:t>5</w:t>
      </w:r>
      <w:r>
        <w:rPr>
          <w:rFonts w:ascii="黑体" w:eastAsia="黑体"/>
          <w:b/>
          <w:sz w:val="24"/>
        </w:rPr>
        <w:t xml:space="preserve">  </w:t>
      </w:r>
      <w:r>
        <w:rPr>
          <w:rFonts w:hint="eastAsia" w:ascii="黑体" w:eastAsia="黑体"/>
          <w:b/>
          <w:sz w:val="24"/>
        </w:rPr>
        <w:t>危险、有害因素汇总表</w:t>
      </w:r>
    </w:p>
    <w:tbl>
      <w:tblPr>
        <w:tblStyle w:val="19"/>
        <w:tblpPr w:leftFromText="180" w:rightFromText="180" w:vertAnchor="text" w:horzAnchor="page" w:tblpX="1249" w:tblpY="447"/>
        <w:tblOverlap w:val="never"/>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594"/>
        <w:gridCol w:w="2148"/>
        <w:gridCol w:w="5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bookmarkStart w:id="224" w:name="_Toc29398"/>
            <w:bookmarkStart w:id="225" w:name="_Toc10334"/>
            <w:r>
              <w:rPr>
                <w:rFonts w:hint="eastAsia" w:ascii="宋体" w:hAnsi="宋体" w:cs="宋体"/>
                <w:color w:val="auto"/>
                <w:sz w:val="24"/>
              </w:rPr>
              <w:t>序号</w:t>
            </w:r>
          </w:p>
        </w:tc>
        <w:tc>
          <w:tcPr>
            <w:tcW w:w="1594"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活动/工序/地点</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项 目</w:t>
            </w:r>
          </w:p>
        </w:tc>
        <w:tc>
          <w:tcPr>
            <w:tcW w:w="524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主要危险、危害简要分析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进入工作场所人员</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进场安全教育</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为严格按规定内容教育，造成多种伤害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2</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特殊工种及特种作业人员培训</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作业人员培训效果不好，造成多种伤害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3</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现场作业人员教育</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安全意识不强，发生高处坠落和物体打击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4</w:t>
            </w:r>
          </w:p>
        </w:tc>
        <w:tc>
          <w:tcPr>
            <w:tcW w:w="1594"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 xml:space="preserve"> 原材料、辅料储存和运输</w:t>
            </w:r>
          </w:p>
        </w:tc>
        <w:tc>
          <w:tcPr>
            <w:tcW w:w="2148"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lang w:eastAsia="zh-CN"/>
              </w:rPr>
              <w:t>页岩矿、煤、砖</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在装卸、</w:t>
            </w:r>
            <w:r>
              <w:rPr>
                <w:rFonts w:hint="eastAsia" w:ascii="宋体" w:hAnsi="宋体" w:cs="宋体"/>
                <w:color w:val="auto"/>
                <w:sz w:val="24"/>
                <w:lang w:eastAsia="zh-CN"/>
              </w:rPr>
              <w:t>破碎</w:t>
            </w:r>
            <w:r>
              <w:rPr>
                <w:rFonts w:hint="eastAsia" w:ascii="宋体" w:hAnsi="宋体" w:cs="宋体"/>
                <w:color w:val="auto"/>
                <w:sz w:val="24"/>
              </w:rPr>
              <w:t>、</w:t>
            </w:r>
            <w:r>
              <w:rPr>
                <w:rFonts w:hint="eastAsia" w:ascii="宋体" w:hAnsi="宋体" w:cs="宋体"/>
                <w:color w:val="auto"/>
                <w:sz w:val="24"/>
                <w:lang w:eastAsia="zh-CN"/>
              </w:rPr>
              <w:t>制砖、上煤、</w:t>
            </w:r>
            <w:r>
              <w:rPr>
                <w:rFonts w:hint="eastAsia" w:ascii="宋体" w:hAnsi="宋体" w:cs="宋体"/>
                <w:color w:val="auto"/>
                <w:sz w:val="24"/>
              </w:rPr>
              <w:t>搅拌过程中主要存在粉尘危害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5</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生产</w:t>
            </w:r>
          </w:p>
          <w:p>
            <w:pPr>
              <w:spacing w:line="240" w:lineRule="auto"/>
              <w:jc w:val="center"/>
              <w:rPr>
                <w:rFonts w:hint="eastAsia" w:ascii="宋体" w:hAnsi="宋体" w:cs="宋体"/>
                <w:color w:val="auto"/>
                <w:sz w:val="24"/>
              </w:rPr>
            </w:pPr>
            <w:r>
              <w:rPr>
                <w:rFonts w:hint="eastAsia" w:ascii="宋体" w:hAnsi="宋体" w:cs="宋体"/>
                <w:color w:val="auto"/>
                <w:sz w:val="24"/>
              </w:rPr>
              <w:t>过程</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凿岩作业</w:t>
            </w:r>
            <w:r>
              <w:rPr>
                <w:rFonts w:hint="eastAsia" w:ascii="宋体" w:hAnsi="宋体" w:cs="宋体"/>
                <w:color w:val="auto"/>
                <w:sz w:val="24"/>
                <w:lang w:eastAsia="zh-CN"/>
              </w:rPr>
              <w:t>和</w:t>
            </w:r>
            <w:r>
              <w:rPr>
                <w:rFonts w:hint="eastAsia" w:ascii="宋体" w:hAnsi="宋体" w:cs="宋体"/>
                <w:color w:val="auto"/>
                <w:sz w:val="24"/>
              </w:rPr>
              <w:t>砖窑</w:t>
            </w:r>
            <w:r>
              <w:rPr>
                <w:rFonts w:hint="eastAsia" w:ascii="宋体" w:hAnsi="宋体" w:cs="宋体"/>
                <w:color w:val="auto"/>
                <w:sz w:val="24"/>
                <w:lang w:eastAsia="zh-CN"/>
              </w:rPr>
              <w:t>等</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造成物体打击及高处坠落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640" w:type="dxa"/>
            <w:noWrap w:val="0"/>
            <w:vAlign w:val="center"/>
          </w:tcPr>
          <w:p>
            <w:pPr>
              <w:spacing w:line="240" w:lineRule="auto"/>
              <w:jc w:val="center"/>
              <w:rPr>
                <w:rFonts w:hint="eastAsia" w:ascii="宋体" w:hAnsi="宋体" w:cs="宋体"/>
                <w:color w:val="auto"/>
                <w:sz w:val="24"/>
              </w:rPr>
            </w:pP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eastAsia="zh-CN"/>
              </w:rPr>
              <w:t>破碎区上料口、上砖</w:t>
            </w:r>
            <w:r>
              <w:rPr>
                <w:rFonts w:hint="eastAsia" w:ascii="宋体" w:hAnsi="宋体" w:cs="宋体"/>
                <w:color w:val="auto"/>
                <w:sz w:val="24"/>
              </w:rPr>
              <w:t>作业场所</w:t>
            </w:r>
            <w:r>
              <w:rPr>
                <w:rFonts w:hint="eastAsia" w:ascii="宋体" w:hAnsi="宋体" w:cs="宋体"/>
                <w:color w:val="auto"/>
                <w:sz w:val="24"/>
                <w:lang w:eastAsia="zh-CN"/>
              </w:rPr>
              <w:t>和</w:t>
            </w:r>
            <w:r>
              <w:rPr>
                <w:rFonts w:hint="eastAsia" w:ascii="宋体" w:hAnsi="宋体" w:cs="宋体"/>
                <w:color w:val="auto"/>
                <w:sz w:val="24"/>
              </w:rPr>
              <w:t>运输途中</w:t>
            </w:r>
          </w:p>
        </w:tc>
        <w:tc>
          <w:tcPr>
            <w:tcW w:w="5246" w:type="dxa"/>
            <w:noWrap w:val="0"/>
            <w:vAlign w:val="center"/>
          </w:tcPr>
          <w:p>
            <w:pPr>
              <w:spacing w:line="240" w:lineRule="auto"/>
              <w:jc w:val="left"/>
              <w:rPr>
                <w:rFonts w:hint="eastAsia" w:ascii="宋体" w:hAnsi="宋体" w:eastAsia="宋体" w:cs="宋体"/>
                <w:color w:val="auto"/>
                <w:sz w:val="24"/>
                <w:lang w:val="en-US" w:eastAsia="zh-CN"/>
              </w:rPr>
            </w:pPr>
            <w:r>
              <w:rPr>
                <w:rFonts w:hint="eastAsia" w:ascii="宋体" w:hAnsi="宋体" w:cs="宋体"/>
                <w:color w:val="auto"/>
                <w:sz w:val="24"/>
              </w:rPr>
              <w:t>造成</w:t>
            </w:r>
            <w:r>
              <w:rPr>
                <w:rFonts w:hint="eastAsia" w:ascii="宋体" w:hAnsi="宋体" w:cs="宋体"/>
                <w:color w:val="auto"/>
                <w:sz w:val="24"/>
                <w:lang w:eastAsia="zh-CN"/>
              </w:rPr>
              <w:t>车辆伤害、机械伤害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6</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lang w:eastAsia="zh-CN"/>
              </w:rPr>
            </w:pPr>
            <w:r>
              <w:rPr>
                <w:rFonts w:hint="eastAsia" w:ascii="宋体" w:hAnsi="宋体" w:cs="宋体"/>
                <w:color w:val="auto"/>
                <w:sz w:val="24"/>
                <w:lang w:eastAsia="zh-CN"/>
              </w:rPr>
              <w:t>堆土场坍塌和成品区坍塌</w:t>
            </w:r>
          </w:p>
        </w:tc>
        <w:tc>
          <w:tcPr>
            <w:tcW w:w="5246" w:type="dxa"/>
            <w:noWrap w:val="0"/>
            <w:vAlign w:val="center"/>
          </w:tcPr>
          <w:p>
            <w:pPr>
              <w:spacing w:line="240" w:lineRule="auto"/>
              <w:jc w:val="left"/>
              <w:rPr>
                <w:rFonts w:hint="eastAsia" w:ascii="宋体" w:hAnsi="宋体" w:cs="宋体"/>
                <w:color w:val="auto"/>
                <w:sz w:val="24"/>
                <w:lang w:eastAsia="zh-CN"/>
              </w:rPr>
            </w:pPr>
            <w:r>
              <w:rPr>
                <w:rFonts w:hint="eastAsia" w:ascii="宋体" w:hAnsi="宋体" w:cs="宋体"/>
                <w:color w:val="auto"/>
                <w:sz w:val="24"/>
                <w:lang w:eastAsia="zh-CN"/>
              </w:rPr>
              <w:t>造成坍塌事故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0" w:type="dxa"/>
            <w:noWrap w:val="0"/>
            <w:vAlign w:val="center"/>
          </w:tcPr>
          <w:p>
            <w:pPr>
              <w:spacing w:line="240" w:lineRule="auto"/>
              <w:jc w:val="center"/>
              <w:rPr>
                <w:rFonts w:hint="eastAsia" w:ascii="宋体" w:hAnsi="宋体" w:cs="宋体"/>
                <w:color w:val="auto"/>
                <w:sz w:val="24"/>
              </w:rPr>
            </w:pP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lang w:eastAsia="zh-CN"/>
              </w:rPr>
            </w:pPr>
            <w:r>
              <w:rPr>
                <w:rFonts w:hint="eastAsia" w:ascii="宋体" w:hAnsi="宋体" w:cs="宋体"/>
                <w:color w:val="auto"/>
                <w:sz w:val="24"/>
                <w:lang w:eastAsia="zh-CN"/>
              </w:rPr>
              <w:t>烧窑过程中</w:t>
            </w:r>
          </w:p>
        </w:tc>
        <w:tc>
          <w:tcPr>
            <w:tcW w:w="5246" w:type="dxa"/>
            <w:noWrap w:val="0"/>
            <w:vAlign w:val="center"/>
          </w:tcPr>
          <w:p>
            <w:pPr>
              <w:spacing w:line="240" w:lineRule="auto"/>
              <w:jc w:val="left"/>
              <w:rPr>
                <w:rFonts w:hint="eastAsia" w:ascii="宋体" w:hAnsi="宋体" w:cs="宋体"/>
                <w:color w:val="auto"/>
                <w:sz w:val="24"/>
                <w:lang w:eastAsia="zh-CN"/>
              </w:rPr>
            </w:pPr>
            <w:r>
              <w:rPr>
                <w:rFonts w:hint="eastAsia" w:ascii="宋体" w:hAnsi="宋体" w:cs="宋体"/>
                <w:color w:val="auto"/>
                <w:sz w:val="24"/>
                <w:lang w:eastAsia="zh-CN"/>
              </w:rPr>
              <w:t>造成中毒窒息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7</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生产管理</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指挥错误造成多种伤害。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8</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电工作业</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违章操作用电造成触电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9</w:t>
            </w:r>
          </w:p>
        </w:tc>
        <w:tc>
          <w:tcPr>
            <w:tcW w:w="1594" w:type="dxa"/>
            <w:vMerge w:val="restart"/>
            <w:noWrap w:val="0"/>
            <w:vAlign w:val="center"/>
          </w:tcPr>
          <w:p>
            <w:pPr>
              <w:spacing w:line="240" w:lineRule="auto"/>
              <w:jc w:val="center"/>
              <w:rPr>
                <w:rFonts w:hint="eastAsia" w:ascii="宋体" w:hAnsi="宋体" w:cs="宋体"/>
                <w:color w:val="auto"/>
                <w:sz w:val="24"/>
              </w:rPr>
            </w:pPr>
          </w:p>
          <w:p>
            <w:pPr>
              <w:spacing w:line="240" w:lineRule="auto"/>
              <w:jc w:val="center"/>
              <w:rPr>
                <w:rFonts w:hint="eastAsia" w:ascii="宋体" w:hAnsi="宋体" w:cs="宋体"/>
                <w:color w:val="auto"/>
                <w:sz w:val="24"/>
              </w:rPr>
            </w:pPr>
            <w:r>
              <w:rPr>
                <w:rFonts w:hint="eastAsia" w:ascii="宋体" w:hAnsi="宋体" w:cs="宋体"/>
                <w:color w:val="auto"/>
                <w:sz w:val="24"/>
              </w:rPr>
              <w:t>设备运行、维护和保养</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机动车辆驾驶(包括装载机)</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作业环境不良，违章驾驶造成机械伤害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10</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焊接(切割)作业</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紫外线、电危害粉尘等金属烟尘，造成中毒、尘肺、触电烧烫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1</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eastAsia="zh-CN"/>
              </w:rPr>
              <w:t>制砖</w:t>
            </w:r>
            <w:r>
              <w:rPr>
                <w:rFonts w:hint="eastAsia" w:ascii="宋体" w:hAnsi="宋体" w:cs="宋体"/>
                <w:color w:val="auto"/>
                <w:sz w:val="24"/>
              </w:rPr>
              <w:t>设备</w:t>
            </w:r>
            <w:r>
              <w:rPr>
                <w:rFonts w:hint="eastAsia" w:ascii="宋体" w:hAnsi="宋体" w:cs="宋体"/>
                <w:color w:val="auto"/>
                <w:sz w:val="24"/>
                <w:lang w:eastAsia="zh-CN"/>
              </w:rPr>
              <w:t>、破碎设备</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结构庞大、设备复杂，结构暴露部位多，且作业时需多人配合，极易发生</w:t>
            </w:r>
            <w:r>
              <w:rPr>
                <w:rFonts w:hint="eastAsia" w:ascii="宋体" w:hAnsi="宋体" w:cs="宋体"/>
                <w:color w:val="auto"/>
                <w:sz w:val="24"/>
                <w:lang w:eastAsia="zh-CN"/>
              </w:rPr>
              <w:t>机械伤害</w:t>
            </w:r>
            <w:r>
              <w:rPr>
                <w:rFonts w:hint="eastAsia" w:ascii="宋体" w:hAnsi="宋体" w:cs="宋体"/>
                <w:color w:val="auto"/>
                <w:sz w:val="24"/>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2</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其它辅助活动</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档案、资料管理</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明火、照明线路不良等造成火灾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3</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办  公</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地面、楼梯存水及障碍物其他伤害摔伤、撞伤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4</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办公照明用电</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违章操作触电</w:t>
            </w:r>
          </w:p>
        </w:tc>
      </w:tr>
    </w:tbl>
    <w:p>
      <w:pPr>
        <w:rPr>
          <w:rFonts w:hint="eastAsia" w:ascii="黑体" w:hAnsi="宋体" w:eastAsia="黑体"/>
          <w:b/>
          <w:sz w:val="32"/>
          <w:szCs w:val="32"/>
          <w:lang w:val="en-US" w:eastAsia="zh-CN"/>
        </w:rPr>
      </w:pPr>
      <w:r>
        <w:rPr>
          <w:rFonts w:hint="eastAsia" w:ascii="黑体" w:hAnsi="宋体" w:eastAsia="黑体"/>
          <w:b/>
          <w:sz w:val="32"/>
          <w:szCs w:val="32"/>
          <w:lang w:val="en-US" w:eastAsia="zh-CN"/>
        </w:rPr>
        <w:br w:type="page"/>
      </w:r>
    </w:p>
    <w:p>
      <w:pPr>
        <w:numPr>
          <w:ilvl w:val="0"/>
          <w:numId w:val="0"/>
        </w:numPr>
        <w:spacing w:line="360" w:lineRule="auto"/>
        <w:jc w:val="center"/>
        <w:outlineLvl w:val="0"/>
        <w:rPr>
          <w:rFonts w:hint="eastAsia" w:ascii="黑体" w:hAnsi="宋体" w:eastAsia="黑体"/>
          <w:b/>
          <w:sz w:val="32"/>
          <w:szCs w:val="32"/>
        </w:rPr>
      </w:pPr>
      <w:bookmarkStart w:id="226" w:name="_Toc26241"/>
      <w:r>
        <w:rPr>
          <w:rFonts w:hint="eastAsia" w:ascii="黑体" w:hAnsi="宋体" w:eastAsia="黑体"/>
          <w:b/>
          <w:sz w:val="32"/>
          <w:szCs w:val="32"/>
          <w:lang w:val="en-US" w:eastAsia="zh-CN"/>
        </w:rPr>
        <w:t>4</w:t>
      </w:r>
      <w:r>
        <w:rPr>
          <w:rFonts w:hint="eastAsia" w:ascii="黑体" w:hAnsi="宋体" w:eastAsia="黑体"/>
          <w:b/>
          <w:sz w:val="32"/>
          <w:szCs w:val="32"/>
        </w:rPr>
        <w:t>评估结论与建议</w:t>
      </w:r>
      <w:bookmarkEnd w:id="224"/>
      <w:bookmarkEnd w:id="226"/>
    </w:p>
    <w:p>
      <w:pPr>
        <w:pStyle w:val="5"/>
        <w:autoSpaceDN w:val="0"/>
        <w:spacing w:before="0" w:after="0" w:line="360" w:lineRule="auto"/>
        <w:jc w:val="left"/>
        <w:rPr>
          <w:rFonts w:hint="eastAsia" w:ascii="黑体" w:hAnsi="黑体"/>
          <w:sz w:val="28"/>
          <w:szCs w:val="28"/>
          <w:lang w:val="en-US" w:eastAsia="zh-CN"/>
        </w:rPr>
      </w:pPr>
      <w:bookmarkStart w:id="227" w:name="_Toc2842"/>
      <w:r>
        <w:rPr>
          <w:rFonts w:hint="eastAsia" w:ascii="黑体" w:hAnsi="黑体"/>
          <w:sz w:val="28"/>
          <w:szCs w:val="28"/>
          <w:lang w:val="en-US" w:eastAsia="zh-CN"/>
        </w:rPr>
        <w:t>4.1总体评价结论</w:t>
      </w:r>
      <w:bookmarkEnd w:id="225"/>
      <w:bookmarkEnd w:id="227"/>
    </w:p>
    <w:p>
      <w:pPr>
        <w:spacing w:line="360" w:lineRule="auto"/>
        <w:ind w:firstLine="560" w:firstLineChars="200"/>
        <w:rPr>
          <w:rFonts w:hint="eastAsia" w:ascii="宋体" w:hAnsi="宋体" w:cs="宋体"/>
          <w:color w:val="auto"/>
          <w:sz w:val="28"/>
          <w:szCs w:val="28"/>
          <w:lang w:eastAsia="zh-CN"/>
        </w:rPr>
      </w:pPr>
      <w:r>
        <w:rPr>
          <w:rFonts w:hint="eastAsia" w:ascii="宋体" w:hAnsi="宋体" w:cs="宋体"/>
          <w:color w:val="auto"/>
          <w:sz w:val="28"/>
          <w:szCs w:val="28"/>
          <w:lang w:eastAsia="zh-CN"/>
        </w:rPr>
        <w:t>通过对仪陇县义路镇正强页岩砖厂周边环境、总平面布置及建构筑物、生产设施与设备安全、生产工艺控制、危险化学品储存使用、公辅工程、安全管理等方面的综合评价，本公司各类危险源均处在动态监控中，在日常生产过程中发现隐患问题，能够及时得到整改，加强员工教育，杜绝“三违”现象，就能够做到事故可防可控。本公司《生产安全事故应急救援预案》内容具有可操作性，对事故应急总的处置方案和具体岗位的应急操作流程进行了详细规定，通过对应急救援机构、应急救援队伍、应急救援装备、应急救援物质储备、应急救援医疗保障的调查，与实际情况相符。</w:t>
      </w:r>
    </w:p>
    <w:p>
      <w:pPr>
        <w:pStyle w:val="5"/>
        <w:autoSpaceDN w:val="0"/>
        <w:spacing w:before="0" w:after="0" w:line="360" w:lineRule="auto"/>
        <w:jc w:val="left"/>
        <w:rPr>
          <w:rFonts w:hint="eastAsia" w:ascii="黑体" w:hAnsi="黑体"/>
          <w:sz w:val="28"/>
          <w:szCs w:val="28"/>
        </w:rPr>
      </w:pPr>
      <w:bookmarkStart w:id="228" w:name="_Toc5799"/>
      <w:bookmarkStart w:id="229" w:name="_Toc2685"/>
      <w:bookmarkStart w:id="230" w:name="_Toc22214"/>
      <w:r>
        <w:rPr>
          <w:rFonts w:hint="eastAsia" w:ascii="黑体" w:hAnsi="黑体"/>
          <w:sz w:val="28"/>
          <w:szCs w:val="28"/>
          <w:lang w:val="en-US" w:eastAsia="zh-CN"/>
        </w:rPr>
        <w:t>4</w:t>
      </w:r>
      <w:r>
        <w:rPr>
          <w:rFonts w:hint="eastAsia" w:ascii="黑体" w:hAnsi="黑体"/>
          <w:sz w:val="28"/>
          <w:szCs w:val="28"/>
        </w:rPr>
        <w:t>.</w:t>
      </w:r>
      <w:r>
        <w:rPr>
          <w:rFonts w:hint="eastAsia" w:ascii="黑体" w:hAnsi="黑体"/>
          <w:sz w:val="28"/>
          <w:szCs w:val="28"/>
          <w:lang w:val="en-US" w:eastAsia="zh-CN"/>
        </w:rPr>
        <w:t>2</w:t>
      </w:r>
      <w:r>
        <w:rPr>
          <w:rFonts w:hint="eastAsia" w:ascii="黑体" w:hAnsi="黑体"/>
          <w:sz w:val="28"/>
          <w:szCs w:val="28"/>
        </w:rPr>
        <w:t>建议</w:t>
      </w:r>
      <w:bookmarkEnd w:id="228"/>
      <w:bookmarkEnd w:id="229"/>
      <w:bookmarkEnd w:id="230"/>
    </w:p>
    <w:p>
      <w:pPr>
        <w:spacing w:line="360" w:lineRule="auto"/>
        <w:ind w:firstLine="560" w:firstLineChars="200"/>
        <w:rPr>
          <w:sz w:val="28"/>
          <w:szCs w:val="28"/>
        </w:rPr>
      </w:pPr>
      <w:r>
        <w:rPr>
          <w:sz w:val="28"/>
          <w:szCs w:val="28"/>
        </w:rPr>
        <w:t>（1）应加强对现有安全措施及消防装置的维护检查，确保安全设施及消防措施的可靠性，在发生险情时能有效地发挥其作用。对损坏、失效的消防设备设施要作到及时修复和更换。</w:t>
      </w:r>
    </w:p>
    <w:p>
      <w:pPr>
        <w:spacing w:line="360" w:lineRule="auto"/>
        <w:ind w:firstLine="560" w:firstLineChars="200"/>
        <w:rPr>
          <w:sz w:val="28"/>
          <w:szCs w:val="28"/>
        </w:rPr>
      </w:pPr>
      <w:r>
        <w:rPr>
          <w:sz w:val="28"/>
          <w:szCs w:val="28"/>
        </w:rPr>
        <w:t>（2）应增加应急救援器材，确保事故发生或作业人员发生人身伤害时，能够及时采取有效救援措施，减轻伤害程度，控制事故的发展。</w:t>
      </w:r>
    </w:p>
    <w:p>
      <w:pPr>
        <w:rPr>
          <w:rFonts w:hint="eastAsia"/>
          <w:lang w:val="en-US" w:eastAsia="zh-CN"/>
        </w:rPr>
      </w:pP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仿宋简体">
    <w:altName w:val="宋体"/>
    <w:panose1 w:val="02010601030101010101"/>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PMingLiU">
    <w:altName w:val="PMingLiU-ExtB"/>
    <w:panose1 w:val="02020500000000000000"/>
    <w:charset w:val="78"/>
    <w:family w:val="auto"/>
    <w:pitch w:val="default"/>
    <w:sig w:usb0="00000000" w:usb1="00000000" w:usb2="00000016" w:usb3="00000000" w:csb0="0010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emoQ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ZnpqEEwIAABUEAAAOAAAAAAAAAAEA&#10;IAAAAB8BAABkcnMvZTJvRG9jLnhtbFBLBQYAAAAABgAGAFkBAACkBQ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F723BC"/>
    <w:rsid w:val="00324365"/>
    <w:rsid w:val="005247D8"/>
    <w:rsid w:val="005D60C3"/>
    <w:rsid w:val="00B44381"/>
    <w:rsid w:val="01B34626"/>
    <w:rsid w:val="01D26CA9"/>
    <w:rsid w:val="02EB4D5F"/>
    <w:rsid w:val="03D37A5F"/>
    <w:rsid w:val="047007AE"/>
    <w:rsid w:val="059A7F41"/>
    <w:rsid w:val="06330342"/>
    <w:rsid w:val="06867417"/>
    <w:rsid w:val="069D7701"/>
    <w:rsid w:val="07024A58"/>
    <w:rsid w:val="0731706A"/>
    <w:rsid w:val="07835CC2"/>
    <w:rsid w:val="07A44FA0"/>
    <w:rsid w:val="07B56C35"/>
    <w:rsid w:val="07E323AA"/>
    <w:rsid w:val="07F26DF4"/>
    <w:rsid w:val="0808585B"/>
    <w:rsid w:val="0814262C"/>
    <w:rsid w:val="08B53812"/>
    <w:rsid w:val="08FB3207"/>
    <w:rsid w:val="0A1B12D6"/>
    <w:rsid w:val="0A54055C"/>
    <w:rsid w:val="0A5621CC"/>
    <w:rsid w:val="0AE45EDA"/>
    <w:rsid w:val="0AF829E5"/>
    <w:rsid w:val="0C18342B"/>
    <w:rsid w:val="0CA8623A"/>
    <w:rsid w:val="0D066290"/>
    <w:rsid w:val="0D3B3E73"/>
    <w:rsid w:val="0DE0620E"/>
    <w:rsid w:val="0E061150"/>
    <w:rsid w:val="0E6D3139"/>
    <w:rsid w:val="0EB95D58"/>
    <w:rsid w:val="0ECB0C27"/>
    <w:rsid w:val="0F25281E"/>
    <w:rsid w:val="0F77136B"/>
    <w:rsid w:val="0F842DC8"/>
    <w:rsid w:val="0F9227C9"/>
    <w:rsid w:val="0FE50957"/>
    <w:rsid w:val="112E4204"/>
    <w:rsid w:val="11385FCD"/>
    <w:rsid w:val="11C747FB"/>
    <w:rsid w:val="11D61819"/>
    <w:rsid w:val="11F65369"/>
    <w:rsid w:val="12651DAC"/>
    <w:rsid w:val="128342A7"/>
    <w:rsid w:val="12CA5EC1"/>
    <w:rsid w:val="13174795"/>
    <w:rsid w:val="134B441C"/>
    <w:rsid w:val="136C6E71"/>
    <w:rsid w:val="13C77420"/>
    <w:rsid w:val="140B1FB2"/>
    <w:rsid w:val="143B6186"/>
    <w:rsid w:val="14694763"/>
    <w:rsid w:val="14742777"/>
    <w:rsid w:val="149039AD"/>
    <w:rsid w:val="14B414F7"/>
    <w:rsid w:val="15570D21"/>
    <w:rsid w:val="155E39C3"/>
    <w:rsid w:val="158733A6"/>
    <w:rsid w:val="15A14830"/>
    <w:rsid w:val="15E72303"/>
    <w:rsid w:val="165B5ABE"/>
    <w:rsid w:val="16ED61B4"/>
    <w:rsid w:val="170B2C2B"/>
    <w:rsid w:val="172C1FB3"/>
    <w:rsid w:val="173B5FB4"/>
    <w:rsid w:val="17D8718E"/>
    <w:rsid w:val="18A56828"/>
    <w:rsid w:val="18E72215"/>
    <w:rsid w:val="18E80829"/>
    <w:rsid w:val="19837993"/>
    <w:rsid w:val="19D37E9F"/>
    <w:rsid w:val="1A4F49A7"/>
    <w:rsid w:val="1AAC026F"/>
    <w:rsid w:val="1AF723BC"/>
    <w:rsid w:val="1B584D22"/>
    <w:rsid w:val="1B7B5998"/>
    <w:rsid w:val="1BB675E2"/>
    <w:rsid w:val="1BCF066F"/>
    <w:rsid w:val="1BD90D39"/>
    <w:rsid w:val="1BEC385B"/>
    <w:rsid w:val="1C0A5497"/>
    <w:rsid w:val="1CA40039"/>
    <w:rsid w:val="1D752B45"/>
    <w:rsid w:val="1D85003A"/>
    <w:rsid w:val="1DC712A8"/>
    <w:rsid w:val="1DD34EC9"/>
    <w:rsid w:val="1DEB3E64"/>
    <w:rsid w:val="1E165C3D"/>
    <w:rsid w:val="1E220183"/>
    <w:rsid w:val="1E8E35FC"/>
    <w:rsid w:val="1F2F4931"/>
    <w:rsid w:val="1F3805F9"/>
    <w:rsid w:val="1F4340AC"/>
    <w:rsid w:val="1F48275D"/>
    <w:rsid w:val="1F647F1F"/>
    <w:rsid w:val="1F7A37C8"/>
    <w:rsid w:val="1F8D03F9"/>
    <w:rsid w:val="1F8E5F41"/>
    <w:rsid w:val="1FB86C9B"/>
    <w:rsid w:val="1FC13459"/>
    <w:rsid w:val="1FE208B9"/>
    <w:rsid w:val="208858FB"/>
    <w:rsid w:val="20BE35EE"/>
    <w:rsid w:val="21A05E53"/>
    <w:rsid w:val="22627230"/>
    <w:rsid w:val="22C3776E"/>
    <w:rsid w:val="22D832A8"/>
    <w:rsid w:val="22E40C74"/>
    <w:rsid w:val="22E759E4"/>
    <w:rsid w:val="23032879"/>
    <w:rsid w:val="239931F2"/>
    <w:rsid w:val="23D97413"/>
    <w:rsid w:val="240D3547"/>
    <w:rsid w:val="2439225C"/>
    <w:rsid w:val="24450122"/>
    <w:rsid w:val="244C16C4"/>
    <w:rsid w:val="245A3C4E"/>
    <w:rsid w:val="24FB56BC"/>
    <w:rsid w:val="25AF1A07"/>
    <w:rsid w:val="25F57BEE"/>
    <w:rsid w:val="26524A71"/>
    <w:rsid w:val="26A96685"/>
    <w:rsid w:val="26E103D1"/>
    <w:rsid w:val="27614997"/>
    <w:rsid w:val="27641F1A"/>
    <w:rsid w:val="277D73A1"/>
    <w:rsid w:val="2793442C"/>
    <w:rsid w:val="27C206E8"/>
    <w:rsid w:val="28982FE2"/>
    <w:rsid w:val="28B83BFF"/>
    <w:rsid w:val="28F41F09"/>
    <w:rsid w:val="290F2046"/>
    <w:rsid w:val="2923409D"/>
    <w:rsid w:val="294C2435"/>
    <w:rsid w:val="298C52F0"/>
    <w:rsid w:val="29925E1A"/>
    <w:rsid w:val="2997713A"/>
    <w:rsid w:val="2A1D0F47"/>
    <w:rsid w:val="2A5B6A09"/>
    <w:rsid w:val="2B040F9D"/>
    <w:rsid w:val="2B34415E"/>
    <w:rsid w:val="2B3C65FF"/>
    <w:rsid w:val="2BDD5569"/>
    <w:rsid w:val="2C0870D6"/>
    <w:rsid w:val="2C5A6C5D"/>
    <w:rsid w:val="2C955142"/>
    <w:rsid w:val="2CB53128"/>
    <w:rsid w:val="2CD176A6"/>
    <w:rsid w:val="2CE03705"/>
    <w:rsid w:val="2CE5756B"/>
    <w:rsid w:val="2D17630C"/>
    <w:rsid w:val="2D2D3B92"/>
    <w:rsid w:val="2D980C0B"/>
    <w:rsid w:val="2DA36ECA"/>
    <w:rsid w:val="2DFE08A6"/>
    <w:rsid w:val="2E313DDB"/>
    <w:rsid w:val="2EB87CC0"/>
    <w:rsid w:val="2EC16023"/>
    <w:rsid w:val="2ED80F4B"/>
    <w:rsid w:val="2F1B7849"/>
    <w:rsid w:val="2F8D64C0"/>
    <w:rsid w:val="300251B5"/>
    <w:rsid w:val="305C4346"/>
    <w:rsid w:val="310028DA"/>
    <w:rsid w:val="313177DD"/>
    <w:rsid w:val="31DB3B81"/>
    <w:rsid w:val="32240BF8"/>
    <w:rsid w:val="322A0AE4"/>
    <w:rsid w:val="3235563A"/>
    <w:rsid w:val="32683B2D"/>
    <w:rsid w:val="327E3643"/>
    <w:rsid w:val="32AF5AD2"/>
    <w:rsid w:val="32C563AD"/>
    <w:rsid w:val="32FE496E"/>
    <w:rsid w:val="330C362C"/>
    <w:rsid w:val="335A7005"/>
    <w:rsid w:val="33956D13"/>
    <w:rsid w:val="339D79F1"/>
    <w:rsid w:val="33A20370"/>
    <w:rsid w:val="33B37D8A"/>
    <w:rsid w:val="33BB103D"/>
    <w:rsid w:val="34383A5B"/>
    <w:rsid w:val="343E683F"/>
    <w:rsid w:val="34554F53"/>
    <w:rsid w:val="34662EA6"/>
    <w:rsid w:val="347F25F8"/>
    <w:rsid w:val="35532903"/>
    <w:rsid w:val="37095278"/>
    <w:rsid w:val="37260A87"/>
    <w:rsid w:val="376A4991"/>
    <w:rsid w:val="37F5632A"/>
    <w:rsid w:val="388958CC"/>
    <w:rsid w:val="39102AC2"/>
    <w:rsid w:val="393A7B4C"/>
    <w:rsid w:val="397E59D9"/>
    <w:rsid w:val="39A80794"/>
    <w:rsid w:val="39CB2810"/>
    <w:rsid w:val="39EF57AC"/>
    <w:rsid w:val="3A5F15D0"/>
    <w:rsid w:val="3A7A59C2"/>
    <w:rsid w:val="3A8A5198"/>
    <w:rsid w:val="3AB647BD"/>
    <w:rsid w:val="3B3E3E45"/>
    <w:rsid w:val="3CA77EE1"/>
    <w:rsid w:val="3CE4144F"/>
    <w:rsid w:val="3D294EE0"/>
    <w:rsid w:val="3DAE5076"/>
    <w:rsid w:val="3DE73B46"/>
    <w:rsid w:val="3DE83AD0"/>
    <w:rsid w:val="3E9F6159"/>
    <w:rsid w:val="3FBC7E4E"/>
    <w:rsid w:val="3FDC1A36"/>
    <w:rsid w:val="3FDD2101"/>
    <w:rsid w:val="3FEA6A42"/>
    <w:rsid w:val="409F3EEA"/>
    <w:rsid w:val="40A21DB4"/>
    <w:rsid w:val="40B7729C"/>
    <w:rsid w:val="411F7579"/>
    <w:rsid w:val="41355E93"/>
    <w:rsid w:val="41730BF7"/>
    <w:rsid w:val="428B2341"/>
    <w:rsid w:val="433507F9"/>
    <w:rsid w:val="441915F5"/>
    <w:rsid w:val="45622A19"/>
    <w:rsid w:val="45770186"/>
    <w:rsid w:val="459F7826"/>
    <w:rsid w:val="46147654"/>
    <w:rsid w:val="464A1410"/>
    <w:rsid w:val="46F66BD7"/>
    <w:rsid w:val="47341022"/>
    <w:rsid w:val="477E3CE3"/>
    <w:rsid w:val="48184499"/>
    <w:rsid w:val="483B34B0"/>
    <w:rsid w:val="48FD757B"/>
    <w:rsid w:val="491C391B"/>
    <w:rsid w:val="492B09D8"/>
    <w:rsid w:val="498E082D"/>
    <w:rsid w:val="4A3D268D"/>
    <w:rsid w:val="4A720B65"/>
    <w:rsid w:val="4AAF0090"/>
    <w:rsid w:val="4B064935"/>
    <w:rsid w:val="4B090AF7"/>
    <w:rsid w:val="4B220275"/>
    <w:rsid w:val="4B483AD9"/>
    <w:rsid w:val="4B6768D2"/>
    <w:rsid w:val="4BFC05F5"/>
    <w:rsid w:val="4C0F77AD"/>
    <w:rsid w:val="4C6D0410"/>
    <w:rsid w:val="4C8611D9"/>
    <w:rsid w:val="4D02687F"/>
    <w:rsid w:val="4D071D1B"/>
    <w:rsid w:val="4D453DC9"/>
    <w:rsid w:val="4D8D0BEB"/>
    <w:rsid w:val="4DB8268A"/>
    <w:rsid w:val="4DF07C13"/>
    <w:rsid w:val="4E426085"/>
    <w:rsid w:val="4E8B327B"/>
    <w:rsid w:val="4ED74A31"/>
    <w:rsid w:val="4EFD13C2"/>
    <w:rsid w:val="4EFE4FA4"/>
    <w:rsid w:val="4F886CE6"/>
    <w:rsid w:val="50993D59"/>
    <w:rsid w:val="515512D0"/>
    <w:rsid w:val="516E3E1E"/>
    <w:rsid w:val="51770C66"/>
    <w:rsid w:val="51C92B72"/>
    <w:rsid w:val="51F47B43"/>
    <w:rsid w:val="525C2381"/>
    <w:rsid w:val="52622A40"/>
    <w:rsid w:val="52755F2A"/>
    <w:rsid w:val="527A20EE"/>
    <w:rsid w:val="532B27D1"/>
    <w:rsid w:val="53A07D90"/>
    <w:rsid w:val="53C43072"/>
    <w:rsid w:val="53EA2B27"/>
    <w:rsid w:val="540B4142"/>
    <w:rsid w:val="5455526C"/>
    <w:rsid w:val="54D21C50"/>
    <w:rsid w:val="55FD3636"/>
    <w:rsid w:val="564C147E"/>
    <w:rsid w:val="56775B43"/>
    <w:rsid w:val="5681710C"/>
    <w:rsid w:val="571950BC"/>
    <w:rsid w:val="57D309C6"/>
    <w:rsid w:val="58B72C33"/>
    <w:rsid w:val="590B70B3"/>
    <w:rsid w:val="592F0C5C"/>
    <w:rsid w:val="59336AE3"/>
    <w:rsid w:val="59A421BC"/>
    <w:rsid w:val="59E15F92"/>
    <w:rsid w:val="59ED3977"/>
    <w:rsid w:val="5A0C0B47"/>
    <w:rsid w:val="5AE86358"/>
    <w:rsid w:val="5B8C578C"/>
    <w:rsid w:val="5B942AB1"/>
    <w:rsid w:val="5BA27CFF"/>
    <w:rsid w:val="5BE34BD9"/>
    <w:rsid w:val="5BEC5827"/>
    <w:rsid w:val="5C2E219B"/>
    <w:rsid w:val="5C6F0596"/>
    <w:rsid w:val="5CB37775"/>
    <w:rsid w:val="5CBB6250"/>
    <w:rsid w:val="5DDA2367"/>
    <w:rsid w:val="5E373F89"/>
    <w:rsid w:val="5E5068C1"/>
    <w:rsid w:val="5E9B5A1F"/>
    <w:rsid w:val="5EFD55DF"/>
    <w:rsid w:val="5F053AC2"/>
    <w:rsid w:val="5F0B5C76"/>
    <w:rsid w:val="5F16731B"/>
    <w:rsid w:val="5F1C71B2"/>
    <w:rsid w:val="5F1D225B"/>
    <w:rsid w:val="5F21657F"/>
    <w:rsid w:val="5F4A1C91"/>
    <w:rsid w:val="5FCA3D8D"/>
    <w:rsid w:val="600C3449"/>
    <w:rsid w:val="60377224"/>
    <w:rsid w:val="607D49FD"/>
    <w:rsid w:val="60E67C6D"/>
    <w:rsid w:val="61043818"/>
    <w:rsid w:val="612E1200"/>
    <w:rsid w:val="613618D5"/>
    <w:rsid w:val="61E37CF9"/>
    <w:rsid w:val="61EF4BAD"/>
    <w:rsid w:val="622E630D"/>
    <w:rsid w:val="62742DCD"/>
    <w:rsid w:val="62B91BA7"/>
    <w:rsid w:val="62D7527A"/>
    <w:rsid w:val="63156E86"/>
    <w:rsid w:val="6395494B"/>
    <w:rsid w:val="639A41C4"/>
    <w:rsid w:val="63AD0D00"/>
    <w:rsid w:val="63CF1848"/>
    <w:rsid w:val="63E37986"/>
    <w:rsid w:val="64360ADF"/>
    <w:rsid w:val="64F03451"/>
    <w:rsid w:val="64FB6E9F"/>
    <w:rsid w:val="654C0C6E"/>
    <w:rsid w:val="65B43BEA"/>
    <w:rsid w:val="65C409EA"/>
    <w:rsid w:val="663A3EB4"/>
    <w:rsid w:val="66E17464"/>
    <w:rsid w:val="67D414E5"/>
    <w:rsid w:val="69A5229A"/>
    <w:rsid w:val="69A97278"/>
    <w:rsid w:val="69F554D1"/>
    <w:rsid w:val="6BBC26DD"/>
    <w:rsid w:val="6BF603B0"/>
    <w:rsid w:val="6C290D26"/>
    <w:rsid w:val="6C2D1542"/>
    <w:rsid w:val="6C4912EE"/>
    <w:rsid w:val="6C800B14"/>
    <w:rsid w:val="6CDC19EB"/>
    <w:rsid w:val="6D11498F"/>
    <w:rsid w:val="6D2B0FBF"/>
    <w:rsid w:val="6D476F7F"/>
    <w:rsid w:val="6D684322"/>
    <w:rsid w:val="6DBA0093"/>
    <w:rsid w:val="6E7B4731"/>
    <w:rsid w:val="6E800EDE"/>
    <w:rsid w:val="6E927F94"/>
    <w:rsid w:val="6EEF6407"/>
    <w:rsid w:val="6F555EF3"/>
    <w:rsid w:val="6FAA56EB"/>
    <w:rsid w:val="6FED25A3"/>
    <w:rsid w:val="704A3031"/>
    <w:rsid w:val="70554E01"/>
    <w:rsid w:val="70601362"/>
    <w:rsid w:val="70AD3F02"/>
    <w:rsid w:val="70EA511B"/>
    <w:rsid w:val="716D7957"/>
    <w:rsid w:val="71E473EF"/>
    <w:rsid w:val="72251606"/>
    <w:rsid w:val="723C4E0C"/>
    <w:rsid w:val="72421DD8"/>
    <w:rsid w:val="727017CD"/>
    <w:rsid w:val="730D354D"/>
    <w:rsid w:val="734E2F8F"/>
    <w:rsid w:val="7386403F"/>
    <w:rsid w:val="73A236AA"/>
    <w:rsid w:val="73AA2E25"/>
    <w:rsid w:val="73B257D5"/>
    <w:rsid w:val="73C66834"/>
    <w:rsid w:val="74034CD0"/>
    <w:rsid w:val="74B623B5"/>
    <w:rsid w:val="74FC7F63"/>
    <w:rsid w:val="75494092"/>
    <w:rsid w:val="759E0303"/>
    <w:rsid w:val="75AD4B40"/>
    <w:rsid w:val="75FE1A6B"/>
    <w:rsid w:val="767D74C7"/>
    <w:rsid w:val="76820B04"/>
    <w:rsid w:val="76DA4889"/>
    <w:rsid w:val="76E47588"/>
    <w:rsid w:val="77354976"/>
    <w:rsid w:val="776A67F8"/>
    <w:rsid w:val="7780493D"/>
    <w:rsid w:val="77D136E2"/>
    <w:rsid w:val="77DF6978"/>
    <w:rsid w:val="78046151"/>
    <w:rsid w:val="783311DF"/>
    <w:rsid w:val="784F6630"/>
    <w:rsid w:val="78507FEF"/>
    <w:rsid w:val="78B03D86"/>
    <w:rsid w:val="78EA49E2"/>
    <w:rsid w:val="79260D6C"/>
    <w:rsid w:val="79F66BAF"/>
    <w:rsid w:val="7A2F46E7"/>
    <w:rsid w:val="7A343D0F"/>
    <w:rsid w:val="7A4F1784"/>
    <w:rsid w:val="7A5245F9"/>
    <w:rsid w:val="7AF95BE7"/>
    <w:rsid w:val="7B70248C"/>
    <w:rsid w:val="7B932C66"/>
    <w:rsid w:val="7BB02559"/>
    <w:rsid w:val="7BF0782B"/>
    <w:rsid w:val="7C05359C"/>
    <w:rsid w:val="7CF11279"/>
    <w:rsid w:val="7D0275D8"/>
    <w:rsid w:val="7DB96803"/>
    <w:rsid w:val="7E2852A2"/>
    <w:rsid w:val="7E605563"/>
    <w:rsid w:val="7EAA408B"/>
    <w:rsid w:val="7EC478BA"/>
    <w:rsid w:val="7EDF4571"/>
    <w:rsid w:val="7F114FA7"/>
    <w:rsid w:val="7F1F28DF"/>
    <w:rsid w:val="7F280353"/>
    <w:rsid w:val="7F350E03"/>
    <w:rsid w:val="7F666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宋体" w:asciiTheme="minorHAnsi" w:hAnsiTheme="minorHAnsi" w:cstheme="minorBidi"/>
      <w:kern w:val="2"/>
      <w:sz w:val="21"/>
      <w:szCs w:val="24"/>
      <w:lang w:val="en-US" w:eastAsia="zh-CN" w:bidi="ar-SA"/>
    </w:rPr>
  </w:style>
  <w:style w:type="paragraph" w:styleId="4">
    <w:name w:val="heading 1"/>
    <w:basedOn w:val="1"/>
    <w:next w:val="1"/>
    <w:qFormat/>
    <w:uiPriority w:val="0"/>
    <w:pPr>
      <w:widowControl/>
      <w:adjustRightInd w:val="0"/>
      <w:snapToGrid w:val="0"/>
      <w:spacing w:line="640" w:lineRule="exact"/>
      <w:jc w:val="center"/>
      <w:outlineLvl w:val="0"/>
    </w:pPr>
    <w:rPr>
      <w:rFonts w:ascii="黑体" w:eastAsia="黑体"/>
      <w:b/>
      <w:kern w:val="0"/>
      <w:sz w:val="28"/>
      <w:szCs w:val="28"/>
    </w:rPr>
  </w:style>
  <w:style w:type="paragraph" w:styleId="5">
    <w:name w:val="heading 2"/>
    <w:basedOn w:val="1"/>
    <w:next w:val="1"/>
    <w:unhideWhenUsed/>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6">
    <w:name w:val="heading 3"/>
    <w:basedOn w:val="1"/>
    <w:next w:val="1"/>
    <w:unhideWhenUsed/>
    <w:qFormat/>
    <w:uiPriority w:val="0"/>
    <w:pPr>
      <w:keepNext/>
      <w:keepLines/>
      <w:spacing w:before="260" w:after="260" w:line="413" w:lineRule="auto"/>
      <w:outlineLvl w:val="2"/>
    </w:pPr>
    <w:rPr>
      <w:b/>
      <w:bCs/>
      <w:sz w:val="32"/>
      <w:szCs w:val="32"/>
    </w:rPr>
  </w:style>
  <w:style w:type="paragraph" w:styleId="7">
    <w:name w:val="heading 4"/>
    <w:basedOn w:val="1"/>
    <w:next w:val="1"/>
    <w:qFormat/>
    <w:uiPriority w:val="0"/>
    <w:pPr>
      <w:keepNext/>
      <w:widowControl w:val="0"/>
      <w:ind w:firstLine="600" w:firstLineChars="600"/>
      <w:outlineLvl w:val="3"/>
    </w:pPr>
    <w:rPr>
      <w:rFonts w:ascii="宋体"/>
      <w:sz w:val="28"/>
    </w:rPr>
  </w:style>
  <w:style w:type="character" w:default="1" w:styleId="21">
    <w:name w:val="Default Paragraph Font"/>
    <w:link w:val="22"/>
    <w:semiHidden/>
    <w:qFormat/>
    <w:uiPriority w:val="0"/>
    <w:rPr>
      <w:rFonts w:eastAsia="方正仿宋简体"/>
      <w:sz w:val="32"/>
      <w:szCs w:val="21"/>
    </w:rPr>
  </w:style>
  <w:style w:type="table" w:default="1" w:styleId="19">
    <w:name w:val="Normal Table"/>
    <w:semiHidden/>
    <w:qFormat/>
    <w:uiPriority w:val="0"/>
    <w:tblPr>
      <w:tblLayout w:type="fixed"/>
      <w:tblCellMar>
        <w:top w:w="0" w:type="dxa"/>
        <w:left w:w="108" w:type="dxa"/>
        <w:bottom w:w="0" w:type="dxa"/>
        <w:right w:w="108" w:type="dxa"/>
      </w:tblCellMar>
    </w:tblPr>
  </w:style>
  <w:style w:type="paragraph" w:styleId="2">
    <w:name w:val="Body Text First Indent"/>
    <w:basedOn w:val="3"/>
    <w:qFormat/>
    <w:uiPriority w:val="0"/>
    <w:pPr>
      <w:autoSpaceDE/>
      <w:autoSpaceDN/>
      <w:adjustRightInd/>
      <w:spacing w:after="120" w:line="240" w:lineRule="auto"/>
      <w:ind w:firstLine="420" w:firstLineChars="100"/>
      <w:jc w:val="both"/>
      <w:textAlignment w:val="auto"/>
    </w:pPr>
    <w:rPr>
      <w:rFonts w:ascii="Times New Roman"/>
      <w:color w:val="auto"/>
      <w:kern w:val="2"/>
      <w:sz w:val="21"/>
      <w:szCs w:val="24"/>
    </w:rPr>
  </w:style>
  <w:style w:type="paragraph" w:styleId="3">
    <w:name w:val="Body Text"/>
    <w:basedOn w:val="1"/>
    <w:qFormat/>
    <w:uiPriority w:val="0"/>
    <w:pPr>
      <w:spacing w:line="400" w:lineRule="exact"/>
    </w:pPr>
    <w:rPr>
      <w:sz w:val="28"/>
    </w:rPr>
  </w:style>
  <w:style w:type="paragraph" w:styleId="8">
    <w:name w:val="Normal Indent"/>
    <w:basedOn w:val="1"/>
    <w:qFormat/>
    <w:uiPriority w:val="0"/>
    <w:pPr>
      <w:ind w:firstLine="420"/>
    </w:pPr>
  </w:style>
  <w:style w:type="paragraph" w:styleId="9">
    <w:name w:val="caption"/>
    <w:basedOn w:val="1"/>
    <w:next w:val="1"/>
    <w:semiHidden/>
    <w:qFormat/>
    <w:uiPriority w:val="0"/>
    <w:pPr>
      <w:spacing w:before="152" w:after="160"/>
    </w:pPr>
    <w:rPr>
      <w:rFonts w:ascii="Arial" w:hAnsi="Arial" w:eastAsia="黑体" w:cs="Arial"/>
      <w:sz w:val="20"/>
    </w:rPr>
  </w:style>
  <w:style w:type="paragraph" w:styleId="10">
    <w:name w:val="Body Text Indent"/>
    <w:basedOn w:val="1"/>
    <w:qFormat/>
    <w:uiPriority w:val="0"/>
    <w:pPr>
      <w:ind w:firstLine="480"/>
    </w:pPr>
    <w:rPr>
      <w:rFonts w:ascii="宋体"/>
      <w:sz w:val="24"/>
    </w:rPr>
  </w:style>
  <w:style w:type="paragraph" w:styleId="11">
    <w:name w:val="toc 3"/>
    <w:basedOn w:val="1"/>
    <w:next w:val="1"/>
    <w:qFormat/>
    <w:uiPriority w:val="0"/>
    <w:pPr>
      <w:ind w:left="840" w:leftChars="400"/>
    </w:pPr>
  </w:style>
  <w:style w:type="paragraph" w:styleId="12">
    <w:name w:val="Plain Text"/>
    <w:basedOn w:val="1"/>
    <w:qFormat/>
    <w:uiPriority w:val="0"/>
    <w:pPr>
      <w:spacing w:line="360" w:lineRule="auto"/>
      <w:ind w:firstLine="200" w:firstLineChars="200"/>
    </w:pPr>
    <w:rPr>
      <w:rFonts w:ascii="宋体" w:hAnsi="Courier New" w:cs="Courier New"/>
      <w:sz w:val="28"/>
      <w:szCs w:val="21"/>
    </w:rPr>
  </w:style>
  <w:style w:type="paragraph" w:styleId="13">
    <w:name w:val="footer"/>
    <w:basedOn w:val="1"/>
    <w:link w:val="3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Body Text Indent 3"/>
    <w:basedOn w:val="1"/>
    <w:qFormat/>
    <w:uiPriority w:val="0"/>
    <w:pPr>
      <w:tabs>
        <w:tab w:val="left" w:pos="1050"/>
      </w:tabs>
      <w:spacing w:before="120" w:line="360" w:lineRule="auto"/>
      <w:ind w:firstLine="420" w:firstLineChars="150"/>
    </w:pPr>
    <w:rPr>
      <w:rFonts w:ascii="宋体"/>
      <w:spacing w:val="20"/>
      <w:sz w:val="24"/>
    </w:rPr>
  </w:style>
  <w:style w:type="paragraph" w:styleId="17">
    <w:name w:val="toc 2"/>
    <w:basedOn w:val="1"/>
    <w:next w:val="1"/>
    <w:qFormat/>
    <w:uiPriority w:val="0"/>
    <w:pPr>
      <w:ind w:left="420" w:leftChars="200"/>
    </w:pPr>
  </w:style>
  <w:style w:type="paragraph" w:styleId="18">
    <w:name w:val="Normal (Web)"/>
    <w:basedOn w:val="1"/>
    <w:qFormat/>
    <w:uiPriority w:val="0"/>
    <w:pPr>
      <w:widowControl/>
      <w:spacing w:before="100" w:beforeLines="0" w:beforeAutospacing="1" w:after="100" w:afterLines="0" w:afterAutospacing="1" w:line="360" w:lineRule="auto"/>
      <w:jc w:val="left"/>
    </w:pPr>
    <w:rPr>
      <w:rFonts w:ascii="宋体" w:hAnsi="宋体"/>
      <w:kern w:val="0"/>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2">
    <w:name w:val="Char"/>
    <w:basedOn w:val="1"/>
    <w:link w:val="21"/>
    <w:qFormat/>
    <w:uiPriority w:val="0"/>
    <w:rPr>
      <w:rFonts w:eastAsia="方正仿宋简体"/>
      <w:sz w:val="32"/>
      <w:szCs w:val="21"/>
    </w:rPr>
  </w:style>
  <w:style w:type="character" w:styleId="23">
    <w:name w:val="annotation reference"/>
    <w:basedOn w:val="21"/>
    <w:semiHidden/>
    <w:qFormat/>
    <w:uiPriority w:val="0"/>
    <w:rPr>
      <w:sz w:val="21"/>
      <w:szCs w:val="21"/>
    </w:rPr>
  </w:style>
  <w:style w:type="paragraph" w:customStyle="1" w:styleId="24">
    <w:name w:val="xl53"/>
    <w:basedOn w:val="1"/>
    <w:qFormat/>
    <w:uiPriority w:val="0"/>
    <w:pPr>
      <w:widowControl/>
      <w:pBdr>
        <w:bottom w:val="single" w:color="auto" w:sz="4" w:space="0"/>
      </w:pBdr>
      <w:spacing w:before="100" w:beforeAutospacing="1" w:after="100" w:afterAutospacing="1"/>
      <w:jc w:val="center"/>
      <w:textAlignment w:val="center"/>
    </w:pPr>
    <w:rPr>
      <w:rFonts w:ascii="Arial Unicode MS" w:hAnsi="Arial Unicode MS"/>
      <w:kern w:val="0"/>
      <w:sz w:val="28"/>
      <w:szCs w:val="28"/>
    </w:rPr>
  </w:style>
  <w:style w:type="paragraph" w:customStyle="1" w:styleId="25">
    <w:name w:val="表格"/>
    <w:basedOn w:val="1"/>
    <w:qFormat/>
    <w:uiPriority w:val="0"/>
    <w:pPr>
      <w:widowControl/>
      <w:snapToGrid w:val="0"/>
      <w:jc w:val="center"/>
    </w:pPr>
    <w:rPr>
      <w:kern w:val="0"/>
    </w:rPr>
  </w:style>
  <w:style w:type="paragraph" w:customStyle="1" w:styleId="26">
    <w:name w:val="简单回函地址"/>
    <w:basedOn w:val="1"/>
    <w:qFormat/>
    <w:uiPriority w:val="0"/>
  </w:style>
  <w:style w:type="paragraph" w:customStyle="1" w:styleId="27">
    <w:name w:val="居中"/>
    <w:basedOn w:val="1"/>
    <w:qFormat/>
    <w:uiPriority w:val="0"/>
    <w:pPr>
      <w:jc w:val="center"/>
    </w:pPr>
    <w:rPr>
      <w:rFonts w:ascii="宋体" w:hAnsi="宋体"/>
      <w:color w:val="000000"/>
      <w:sz w:val="21"/>
    </w:rPr>
  </w:style>
  <w:style w:type="character" w:customStyle="1" w:styleId="28">
    <w:name w:val="zw1"/>
    <w:basedOn w:val="21"/>
    <w:qFormat/>
    <w:uiPriority w:val="0"/>
    <w:rPr>
      <w:rFonts w:hint="eastAsia" w:ascii="宋体" w:hAnsi="宋体" w:eastAsia="宋体"/>
      <w:sz w:val="22"/>
      <w:szCs w:val="22"/>
    </w:rPr>
  </w:style>
  <w:style w:type="character" w:customStyle="1" w:styleId="29">
    <w:name w:val="正文1"/>
    <w:basedOn w:val="21"/>
    <w:qFormat/>
    <w:uiPriority w:val="0"/>
    <w:rPr>
      <w:rFonts w:hint="eastAsia" w:ascii="宋体" w:hAnsi="宋体" w:eastAsia="宋体"/>
      <w:sz w:val="22"/>
      <w:szCs w:val="22"/>
    </w:rPr>
  </w:style>
  <w:style w:type="paragraph" w:customStyle="1" w:styleId="30">
    <w:name w:val="Body text|2"/>
    <w:basedOn w:val="1"/>
    <w:qFormat/>
    <w:uiPriority w:val="0"/>
    <w:pPr>
      <w:widowControl w:val="0"/>
      <w:shd w:val="clear" w:color="auto" w:fill="FFFFFF"/>
      <w:spacing w:line="242" w:lineRule="exact"/>
    </w:pPr>
    <w:rPr>
      <w:rFonts w:ascii="PMingLiU" w:hAnsi="PMingLiU" w:eastAsia="PMingLiU" w:cs="PMingLiU"/>
      <w:sz w:val="13"/>
      <w:szCs w:val="13"/>
      <w:u w:val="none"/>
    </w:rPr>
  </w:style>
  <w:style w:type="character" w:customStyle="1" w:styleId="31">
    <w:name w:val="页脚 Char"/>
    <w:link w:val="13"/>
    <w:qFormat/>
    <w:uiPriority w:val="99"/>
    <w:rPr>
      <w:sz w:val="18"/>
    </w:rPr>
  </w:style>
  <w:style w:type="paragraph" w:customStyle="1" w:styleId="32">
    <w:name w:val="【表头】"/>
    <w:basedOn w:val="1"/>
    <w:qFormat/>
    <w:uiPriority w:val="0"/>
    <w:pPr>
      <w:spacing w:line="360" w:lineRule="auto"/>
      <w:jc w:val="center"/>
    </w:pPr>
    <w:rPr>
      <w:b/>
      <w:kern w:val="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2018-03-12T10:48:00Z</dcterms:created>
  <dc:creator>1111</dc:creator>
  <cp:lastModifiedBy>1111</cp:lastModifiedBy>
  <cp:lastPrinted>2019-05-14T01:57:00Z</cp:lastPrinted>
  <dcterms:modified xsi:type="dcterms:W3CDTF">2019-05-25T04:06:22Z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