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ind w:firstLine="1044"/>
        <w:jc w:val="right"/>
        <w:rPr>
          <w:rFonts w:hint="eastAsia"/>
          <w:b/>
          <w:color w:val="auto"/>
          <w:sz w:val="28"/>
          <w:szCs w:val="28"/>
        </w:rPr>
      </w:pPr>
      <w:bookmarkStart w:id="0" w:name="_Toc19720"/>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spacing w:line="360" w:lineRule="auto"/>
        <w:jc w:val="center"/>
        <w:rPr>
          <w:rFonts w:hint="eastAsia" w:ascii="宋体" w:hAnsi="宋体" w:eastAsia="宋体"/>
          <w:b/>
          <w:bCs/>
          <w:caps/>
          <w:color w:val="auto"/>
          <w:sz w:val="48"/>
          <w:szCs w:val="48"/>
          <w:lang w:eastAsia="zh-CN"/>
        </w:rPr>
      </w:pPr>
      <w:r>
        <w:rPr>
          <w:rFonts w:hint="eastAsia" w:ascii="宋体" w:hAnsi="宋体"/>
          <w:b/>
          <w:bCs/>
          <w:caps/>
          <w:color w:val="auto"/>
          <w:sz w:val="48"/>
          <w:szCs w:val="48"/>
          <w:lang w:eastAsia="zh-CN"/>
        </w:rPr>
        <w:t>仪陇县瓦子镇宏发页岩砖厂</w:t>
      </w:r>
    </w:p>
    <w:p>
      <w:pPr>
        <w:spacing w:line="360" w:lineRule="auto"/>
        <w:jc w:val="center"/>
        <w:rPr>
          <w:rFonts w:hint="eastAsia" w:ascii="宋体" w:hAnsi="宋体"/>
          <w:b/>
          <w:bCs/>
          <w:caps/>
          <w:color w:val="auto"/>
          <w:sz w:val="48"/>
          <w:szCs w:val="48"/>
        </w:rPr>
      </w:pPr>
    </w:p>
    <w:p>
      <w:pPr>
        <w:spacing w:line="360" w:lineRule="auto"/>
        <w:jc w:val="center"/>
        <w:rPr>
          <w:rFonts w:hint="eastAsia" w:ascii="宋体" w:hAnsi="宋体"/>
          <w:b/>
          <w:bCs/>
          <w:caps/>
          <w:color w:val="auto"/>
          <w:sz w:val="48"/>
          <w:szCs w:val="48"/>
          <w:lang w:eastAsia="zh-CN"/>
        </w:rPr>
      </w:pPr>
      <w:r>
        <w:rPr>
          <w:rFonts w:hint="eastAsia" w:ascii="宋体" w:hAnsi="宋体"/>
          <w:b/>
          <w:bCs/>
          <w:caps/>
          <w:color w:val="auto"/>
          <w:sz w:val="48"/>
          <w:szCs w:val="48"/>
          <w:lang w:eastAsia="zh-CN"/>
        </w:rPr>
        <w:tab/>
      </w:r>
      <w:r>
        <w:rPr>
          <w:rFonts w:hint="eastAsia" w:ascii="宋体" w:hAnsi="宋体"/>
          <w:b/>
          <w:bCs/>
          <w:caps/>
          <w:color w:val="auto"/>
          <w:sz w:val="48"/>
          <w:szCs w:val="48"/>
          <w:lang w:eastAsia="zh-CN"/>
        </w:rPr>
        <w:t>事故风险评估报告</w:t>
      </w:r>
      <w:r>
        <w:rPr>
          <w:rFonts w:hint="eastAsia" w:ascii="宋体" w:hAnsi="宋体"/>
          <w:b/>
          <w:bCs/>
          <w:caps/>
          <w:color w:val="auto"/>
          <w:sz w:val="48"/>
          <w:szCs w:val="48"/>
          <w:lang w:eastAsia="zh-CN"/>
        </w:rPr>
        <w:tab/>
      </w:r>
    </w:p>
    <w:p>
      <w:pPr>
        <w:jc w:val="center"/>
        <w:rPr>
          <w:rFonts w:hint="eastAsia"/>
          <w:color w:val="auto"/>
          <w:sz w:val="32"/>
          <w:szCs w:val="32"/>
        </w:rPr>
      </w:pPr>
    </w:p>
    <w:p>
      <w:pPr>
        <w:jc w:val="center"/>
        <w:rPr>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bookmarkStart w:id="270" w:name="_GoBack"/>
      <w:bookmarkEnd w:id="270"/>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tbl>
      <w:tblPr>
        <w:tblStyle w:val="19"/>
        <w:tblW w:w="8137" w:type="dxa"/>
        <w:jc w:val="center"/>
        <w:tblInd w:w="0" w:type="dxa"/>
        <w:tblLayout w:type="fixed"/>
        <w:tblCellMar>
          <w:top w:w="0" w:type="dxa"/>
          <w:left w:w="108" w:type="dxa"/>
          <w:bottom w:w="0" w:type="dxa"/>
          <w:right w:w="108" w:type="dxa"/>
        </w:tblCellMar>
      </w:tblPr>
      <w:tblGrid>
        <w:gridCol w:w="8137"/>
      </w:tblGrid>
      <w:tr>
        <w:tblPrEx>
          <w:tblLayout w:type="fixed"/>
        </w:tblPrEx>
        <w:trPr>
          <w:jc w:val="center"/>
        </w:trPr>
        <w:tc>
          <w:tcPr>
            <w:tcW w:w="8137" w:type="dxa"/>
            <w:vAlign w:val="center"/>
          </w:tcPr>
          <w:p>
            <w:pPr>
              <w:jc w:val="center"/>
              <w:rPr>
                <w:rFonts w:hint="eastAsia"/>
                <w:color w:val="auto"/>
                <w:sz w:val="36"/>
                <w:szCs w:val="36"/>
              </w:rPr>
            </w:pPr>
            <w:r>
              <w:rPr>
                <w:rFonts w:hint="eastAsia" w:eastAsia="黑体"/>
                <w:bCs/>
                <w:color w:val="auto"/>
                <w:sz w:val="36"/>
                <w:szCs w:val="36"/>
              </w:rPr>
              <w:t>编制单位：</w:t>
            </w:r>
            <w:r>
              <w:rPr>
                <w:rFonts w:hint="eastAsia" w:eastAsia="黑体"/>
                <w:b/>
                <w:bCs/>
                <w:color w:val="auto"/>
                <w:sz w:val="36"/>
                <w:szCs w:val="36"/>
                <w:lang w:eastAsia="zh-CN"/>
              </w:rPr>
              <w:t>仪陇县瓦子镇宏发页岩砖厂</w:t>
            </w:r>
          </w:p>
        </w:tc>
      </w:tr>
      <w:tr>
        <w:tblPrEx>
          <w:tblLayout w:type="fixed"/>
          <w:tblCellMar>
            <w:top w:w="0" w:type="dxa"/>
            <w:left w:w="108" w:type="dxa"/>
            <w:bottom w:w="0" w:type="dxa"/>
            <w:right w:w="108" w:type="dxa"/>
          </w:tblCellMar>
        </w:tblPrEx>
        <w:trPr>
          <w:jc w:val="center"/>
        </w:trPr>
        <w:tc>
          <w:tcPr>
            <w:tcW w:w="8137" w:type="dxa"/>
            <w:vAlign w:val="center"/>
          </w:tcPr>
          <w:p>
            <w:pPr>
              <w:ind w:firstLine="720"/>
              <w:rPr>
                <w:rFonts w:hint="eastAsia" w:eastAsia="黑体"/>
                <w:bCs/>
                <w:color w:val="auto"/>
                <w:sz w:val="36"/>
                <w:szCs w:val="36"/>
              </w:rPr>
            </w:pPr>
          </w:p>
        </w:tc>
      </w:tr>
      <w:tr>
        <w:tblPrEx>
          <w:tblLayout w:type="fixed"/>
        </w:tblPrEx>
        <w:trPr>
          <w:jc w:val="center"/>
        </w:trPr>
        <w:tc>
          <w:tcPr>
            <w:tcW w:w="8137" w:type="dxa"/>
            <w:vAlign w:val="center"/>
          </w:tcPr>
          <w:p>
            <w:pPr>
              <w:jc w:val="center"/>
              <w:rPr>
                <w:rFonts w:hint="eastAsia"/>
                <w:color w:val="auto"/>
                <w:sz w:val="36"/>
                <w:szCs w:val="36"/>
              </w:rPr>
            </w:pPr>
            <w:r>
              <w:rPr>
                <w:rFonts w:hint="eastAsia" w:eastAsia="黑体"/>
                <w:bCs/>
                <w:color w:val="auto"/>
                <w:sz w:val="36"/>
                <w:szCs w:val="36"/>
              </w:rPr>
              <w:t>编制时间：201</w:t>
            </w:r>
            <w:r>
              <w:rPr>
                <w:rFonts w:hint="eastAsia" w:eastAsia="黑体"/>
                <w:bCs/>
                <w:color w:val="auto"/>
                <w:sz w:val="36"/>
                <w:szCs w:val="36"/>
                <w:lang w:val="en-US" w:eastAsia="zh-CN"/>
              </w:rPr>
              <w:t>9</w:t>
            </w:r>
            <w:r>
              <w:rPr>
                <w:rFonts w:hint="eastAsia" w:eastAsia="黑体"/>
                <w:bCs/>
                <w:color w:val="auto"/>
                <w:sz w:val="36"/>
                <w:szCs w:val="36"/>
              </w:rPr>
              <w:t>年</w:t>
            </w:r>
            <w:r>
              <w:rPr>
                <w:rFonts w:hint="eastAsia" w:eastAsia="黑体"/>
                <w:bCs/>
                <w:color w:val="auto"/>
                <w:sz w:val="36"/>
                <w:szCs w:val="36"/>
                <w:lang w:val="en-US" w:eastAsia="zh-CN"/>
              </w:rPr>
              <w:t>04</w:t>
            </w:r>
            <w:r>
              <w:rPr>
                <w:rFonts w:hint="eastAsia" w:eastAsia="黑体"/>
                <w:bCs/>
                <w:color w:val="auto"/>
                <w:sz w:val="36"/>
                <w:szCs w:val="36"/>
              </w:rPr>
              <w:t>月</w:t>
            </w:r>
            <w:r>
              <w:rPr>
                <w:rFonts w:hint="eastAsia" w:eastAsia="黑体"/>
                <w:bCs/>
                <w:color w:val="auto"/>
                <w:sz w:val="36"/>
                <w:szCs w:val="36"/>
                <w:lang w:val="en-US" w:eastAsia="zh-CN"/>
              </w:rPr>
              <w:t>25</w:t>
            </w:r>
            <w:r>
              <w:rPr>
                <w:rFonts w:hint="eastAsia" w:eastAsia="黑体"/>
                <w:bCs/>
                <w:color w:val="auto"/>
                <w:sz w:val="36"/>
                <w:szCs w:val="36"/>
              </w:rPr>
              <w:t>日</w:t>
            </w:r>
          </w:p>
        </w:tc>
      </w:tr>
    </w:tbl>
    <w:p>
      <w:pPr>
        <w:jc w:val="center"/>
        <w:rPr>
          <w:rFonts w:hint="eastAsia"/>
          <w:color w:val="auto"/>
          <w:sz w:val="32"/>
          <w:szCs w:val="32"/>
        </w:rPr>
      </w:pPr>
    </w:p>
    <w:p>
      <w:pPr>
        <w:widowControl/>
        <w:spacing w:line="560" w:lineRule="exact"/>
        <w:jc w:val="left"/>
        <w:outlineLvl w:val="2"/>
        <w:rPr>
          <w:rFonts w:hint="eastAsia" w:ascii="宋体" w:hAnsi="宋体" w:cs="宋体"/>
          <w:b/>
          <w:bCs/>
          <w:color w:val="auto"/>
          <w:kern w:val="0"/>
          <w:sz w:val="28"/>
          <w:szCs w:val="28"/>
        </w:rPr>
      </w:pPr>
    </w:p>
    <w:p>
      <w:pPr>
        <w:rPr>
          <w:rFonts w:hint="eastAsia"/>
          <w:color w:val="auto"/>
        </w:rPr>
      </w:pPr>
      <w:bookmarkStart w:id="1" w:name="_Toc490472469"/>
      <w:bookmarkStart w:id="2" w:name="_Toc1966"/>
      <w:bookmarkStart w:id="3" w:name="_Toc486865993"/>
      <w:bookmarkStart w:id="4" w:name="_Toc481937753"/>
      <w:bookmarkStart w:id="5" w:name="_Toc489891867"/>
      <w:r>
        <w:rPr>
          <w:rFonts w:hint="eastAsia"/>
          <w:color w:val="auto"/>
        </w:rPr>
        <w:br w:type="page"/>
      </w:r>
    </w:p>
    <w:p>
      <w:pPr>
        <w:pStyle w:val="4"/>
        <w:spacing w:line="360" w:lineRule="auto"/>
        <w:rPr>
          <w:rFonts w:hint="eastAsia"/>
          <w:color w:val="auto"/>
        </w:rPr>
      </w:pPr>
      <w:bookmarkStart w:id="6" w:name="_Toc32726"/>
      <w:bookmarkStart w:id="7" w:name="_Toc30139"/>
      <w:bookmarkStart w:id="8" w:name="_Toc10859"/>
      <w:bookmarkStart w:id="9" w:name="_Toc2372"/>
      <w:bookmarkStart w:id="10" w:name="_Toc5540"/>
      <w:bookmarkStart w:id="11" w:name="_Toc27937"/>
      <w:bookmarkStart w:id="12" w:name="_Toc7658"/>
      <w:bookmarkStart w:id="13" w:name="_Toc28211"/>
      <w:bookmarkStart w:id="14" w:name="_Toc6757"/>
      <w:bookmarkStart w:id="15" w:name="_Toc29638"/>
      <w:bookmarkStart w:id="16" w:name="_Toc21634"/>
      <w:bookmarkStart w:id="17" w:name="_Toc17105"/>
      <w:bookmarkStart w:id="18" w:name="_Toc19563"/>
      <w:r>
        <w:rPr>
          <w:rFonts w:hint="eastAsia"/>
          <w:color w:val="auto"/>
        </w:rPr>
        <w:t>目</w:t>
      </w:r>
      <w:r>
        <w:rPr>
          <w:rFonts w:hint="eastAsia"/>
          <w:color w:val="auto"/>
          <w:lang w:val="en-US" w:eastAsia="zh-CN"/>
        </w:rPr>
        <w:t xml:space="preserve">  </w:t>
      </w:r>
      <w:r>
        <w:rPr>
          <w:rFonts w:hint="eastAsia"/>
          <w:color w:val="auto"/>
        </w:rPr>
        <w:t>录</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pPr>
        <w:pStyle w:val="15"/>
        <w:tabs>
          <w:tab w:val="right" w:leader="dot" w:pos="9638"/>
        </w:tabs>
        <w:spacing w:line="360" w:lineRule="auto"/>
        <w:rPr>
          <w:rFonts w:ascii="宋体" w:hAnsi="宋体"/>
          <w:color w:val="auto"/>
          <w:sz w:val="24"/>
        </w:rPr>
      </w:pPr>
    </w:p>
    <w:p>
      <w:pPr>
        <w:pStyle w:val="15"/>
        <w:tabs>
          <w:tab w:val="right" w:leader="dot" w:pos="8306"/>
        </w:tabs>
      </w:pPr>
      <w:r>
        <w:rPr>
          <w:rFonts w:hint="eastAsia" w:asciiTheme="minorEastAsia" w:hAnsiTheme="minorEastAsia" w:eastAsiaTheme="minorEastAsia" w:cstheme="minorEastAsia"/>
          <w:color w:val="auto"/>
          <w:sz w:val="21"/>
          <w:szCs w:val="21"/>
        </w:rPr>
        <w:fldChar w:fldCharType="begin"/>
      </w:r>
      <w:r>
        <w:rPr>
          <w:rFonts w:hint="eastAsia" w:asciiTheme="minorEastAsia" w:hAnsiTheme="minorEastAsia" w:eastAsiaTheme="minorEastAsia" w:cstheme="minorEastAsia"/>
          <w:color w:val="auto"/>
          <w:sz w:val="21"/>
          <w:szCs w:val="21"/>
        </w:rPr>
        <w:instrText xml:space="preserve"> TOC \o "1-3" \h \z \u </w:instrText>
      </w:r>
      <w:r>
        <w:rPr>
          <w:rFonts w:hint="eastAsia" w:asciiTheme="minorEastAsia" w:hAnsiTheme="minorEastAsia" w:eastAsiaTheme="minorEastAsia" w:cstheme="minorEastAsia"/>
          <w:color w:val="auto"/>
          <w:sz w:val="21"/>
          <w:szCs w:val="21"/>
        </w:rPr>
        <w:fldChar w:fldCharType="separate"/>
      </w: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_Toc26613 </w:instrText>
      </w:r>
      <w:r>
        <w:rPr>
          <w:rFonts w:hint="eastAsia" w:asciiTheme="minorEastAsia" w:hAnsiTheme="minorEastAsia" w:eastAsiaTheme="minorEastAsia" w:cstheme="minorEastAsia"/>
          <w:szCs w:val="21"/>
        </w:rPr>
        <w:fldChar w:fldCharType="separate"/>
      </w:r>
      <w:r>
        <w:rPr>
          <w:rFonts w:hint="eastAsia" w:ascii="黑体" w:hAnsi="宋体" w:eastAsia="黑体"/>
          <w:szCs w:val="32"/>
        </w:rPr>
        <w:t>1概述</w:t>
      </w:r>
      <w:r>
        <w:tab/>
      </w:r>
      <w:r>
        <w:fldChar w:fldCharType="begin"/>
      </w:r>
      <w:r>
        <w:instrText xml:space="preserve"> PAGEREF _Toc26613 </w:instrText>
      </w:r>
      <w:r>
        <w:fldChar w:fldCharType="separate"/>
      </w:r>
      <w:r>
        <w:t>1</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_Toc21640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rPr>
        <w:t>1.1评估的主要依据</w:t>
      </w:r>
      <w:r>
        <w:tab/>
      </w:r>
      <w:r>
        <w:fldChar w:fldCharType="begin"/>
      </w:r>
      <w:r>
        <w:instrText xml:space="preserve"> PAGEREF _Toc21640 </w:instrText>
      </w:r>
      <w:r>
        <w:fldChar w:fldCharType="separate"/>
      </w:r>
      <w:r>
        <w:t>1</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_Toc26479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lang w:val="en-US" w:eastAsia="zh-CN"/>
        </w:rPr>
        <w:t>1.2评估目的</w:t>
      </w:r>
      <w:r>
        <w:tab/>
      </w:r>
      <w:r>
        <w:fldChar w:fldCharType="begin"/>
      </w:r>
      <w:r>
        <w:instrText xml:space="preserve"> PAGEREF _Toc26479 </w:instrText>
      </w:r>
      <w:r>
        <w:fldChar w:fldCharType="separate"/>
      </w:r>
      <w:r>
        <w:t>3</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_Toc8775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lang w:val="en-US" w:eastAsia="zh-CN"/>
        </w:rPr>
        <w:t>1.3风险评估范围</w:t>
      </w:r>
      <w:r>
        <w:tab/>
      </w:r>
      <w:r>
        <w:fldChar w:fldCharType="begin"/>
      </w:r>
      <w:r>
        <w:instrText xml:space="preserve"> PAGEREF _Toc8775 </w:instrText>
      </w:r>
      <w:r>
        <w:fldChar w:fldCharType="separate"/>
      </w:r>
      <w:r>
        <w:t>3</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_Toc24260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rPr>
        <w:t>1.4评估程序</w:t>
      </w:r>
      <w:r>
        <w:tab/>
      </w:r>
      <w:r>
        <w:fldChar w:fldCharType="begin"/>
      </w:r>
      <w:r>
        <w:instrText xml:space="preserve"> PAGEREF _Toc24260 </w:instrText>
      </w:r>
      <w:r>
        <w:fldChar w:fldCharType="separate"/>
      </w:r>
      <w:r>
        <w:t>3</w:t>
      </w:r>
      <w:r>
        <w:fldChar w:fldCharType="end"/>
      </w:r>
      <w:r>
        <w:rPr>
          <w:rFonts w:hint="eastAsia" w:asciiTheme="minorEastAsia" w:hAnsiTheme="minorEastAsia" w:eastAsiaTheme="minorEastAsia" w:cstheme="minorEastAsia"/>
          <w:color w:val="auto"/>
          <w:szCs w:val="21"/>
        </w:rPr>
        <w:fldChar w:fldCharType="end"/>
      </w:r>
    </w:p>
    <w:p>
      <w:pPr>
        <w:pStyle w:val="15"/>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_Toc19245 </w:instrText>
      </w:r>
      <w:r>
        <w:rPr>
          <w:rFonts w:hint="eastAsia" w:asciiTheme="minorEastAsia" w:hAnsiTheme="minorEastAsia" w:eastAsiaTheme="minorEastAsia" w:cstheme="minorEastAsia"/>
          <w:szCs w:val="21"/>
        </w:rPr>
        <w:fldChar w:fldCharType="separate"/>
      </w:r>
      <w:r>
        <w:rPr>
          <w:rFonts w:hint="eastAsia" w:ascii="黑体" w:hAnsi="宋体" w:eastAsia="黑体"/>
          <w:szCs w:val="32"/>
          <w:lang w:val="en-US" w:eastAsia="zh-CN"/>
        </w:rPr>
        <w:t>2</w:t>
      </w:r>
      <w:r>
        <w:rPr>
          <w:rFonts w:hint="eastAsia" w:ascii="黑体" w:hAnsi="宋体" w:eastAsia="黑体"/>
          <w:szCs w:val="32"/>
        </w:rPr>
        <w:t>公司概况</w:t>
      </w:r>
      <w:r>
        <w:tab/>
      </w:r>
      <w:r>
        <w:fldChar w:fldCharType="begin"/>
      </w:r>
      <w:r>
        <w:instrText xml:space="preserve"> PAGEREF _Toc19245 </w:instrText>
      </w:r>
      <w:r>
        <w:fldChar w:fldCharType="separate"/>
      </w:r>
      <w:r>
        <w:t>4</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_Toc9604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rPr>
        <w:t>2.1 公司概况</w:t>
      </w:r>
      <w:r>
        <w:tab/>
      </w:r>
      <w:r>
        <w:fldChar w:fldCharType="begin"/>
      </w:r>
      <w:r>
        <w:instrText xml:space="preserve"> PAGEREF _Toc9604 </w:instrText>
      </w:r>
      <w:r>
        <w:fldChar w:fldCharType="separate"/>
      </w:r>
      <w:r>
        <w:t>4</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_Toc26682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rPr>
        <w:t>2.</w:t>
      </w:r>
      <w:r>
        <w:rPr>
          <w:rFonts w:hint="eastAsia" w:ascii="宋体" w:hAnsi="宋体" w:eastAsia="宋体" w:cs="宋体"/>
          <w:szCs w:val="28"/>
          <w:lang w:val="en-US" w:eastAsia="zh-CN"/>
        </w:rPr>
        <w:t>1.1</w:t>
      </w:r>
      <w:r>
        <w:rPr>
          <w:rFonts w:hint="eastAsia" w:ascii="宋体" w:hAnsi="宋体" w:eastAsia="宋体" w:cs="宋体"/>
          <w:szCs w:val="28"/>
        </w:rPr>
        <w:t>公司地理位置及环境等情况</w:t>
      </w:r>
      <w:r>
        <w:tab/>
      </w:r>
      <w:r>
        <w:fldChar w:fldCharType="begin"/>
      </w:r>
      <w:r>
        <w:instrText xml:space="preserve"> PAGEREF _Toc26682 </w:instrText>
      </w:r>
      <w:r>
        <w:fldChar w:fldCharType="separate"/>
      </w:r>
      <w:r>
        <w:t>4</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_Toc22934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lang w:val="zh-CN"/>
        </w:rPr>
        <w:t>2.1.</w:t>
      </w:r>
      <w:r>
        <w:rPr>
          <w:rFonts w:hint="eastAsia" w:ascii="宋体" w:hAnsi="宋体" w:eastAsia="宋体" w:cs="宋体"/>
          <w:szCs w:val="28"/>
          <w:lang w:val="en-US" w:eastAsia="zh-CN"/>
        </w:rPr>
        <w:t>2</w:t>
      </w:r>
      <w:r>
        <w:rPr>
          <w:rFonts w:hint="eastAsia" w:ascii="宋体" w:hAnsi="宋体" w:eastAsia="宋体" w:cs="宋体"/>
          <w:szCs w:val="28"/>
          <w:lang w:val="zh-CN"/>
        </w:rPr>
        <w:t>总体布置</w:t>
      </w:r>
      <w:r>
        <w:tab/>
      </w:r>
      <w:r>
        <w:fldChar w:fldCharType="begin"/>
      </w:r>
      <w:r>
        <w:instrText xml:space="preserve"> PAGEREF _Toc22934 </w:instrText>
      </w:r>
      <w:r>
        <w:fldChar w:fldCharType="separate"/>
      </w:r>
      <w:r>
        <w:t>5</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_Toc3325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lang w:val="zh-CN"/>
        </w:rPr>
        <w:t>2.</w:t>
      </w:r>
      <w:r>
        <w:rPr>
          <w:rFonts w:hint="eastAsia" w:ascii="宋体" w:hAnsi="宋体" w:eastAsia="宋体" w:cs="宋体"/>
          <w:szCs w:val="28"/>
        </w:rPr>
        <w:t>1.</w:t>
      </w:r>
      <w:r>
        <w:rPr>
          <w:rFonts w:hint="eastAsia" w:ascii="宋体" w:hAnsi="宋体" w:eastAsia="宋体" w:cs="宋体"/>
          <w:szCs w:val="28"/>
          <w:lang w:val="en-US" w:eastAsia="zh-CN"/>
        </w:rPr>
        <w:t>3</w:t>
      </w:r>
      <w:r>
        <w:rPr>
          <w:rFonts w:hint="eastAsia" w:ascii="宋体" w:hAnsi="宋体" w:eastAsia="宋体" w:cs="宋体"/>
          <w:szCs w:val="28"/>
          <w:lang w:val="zh-CN"/>
        </w:rPr>
        <w:t>周边环境</w:t>
      </w:r>
      <w:r>
        <w:tab/>
      </w:r>
      <w:r>
        <w:fldChar w:fldCharType="begin"/>
      </w:r>
      <w:r>
        <w:instrText xml:space="preserve"> PAGEREF _Toc3325 </w:instrText>
      </w:r>
      <w:r>
        <w:fldChar w:fldCharType="separate"/>
      </w:r>
      <w:r>
        <w:t>6</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_Toc134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lang w:val="zh-CN"/>
        </w:rPr>
        <w:t>2.1.</w:t>
      </w:r>
      <w:r>
        <w:rPr>
          <w:rFonts w:hint="eastAsia" w:ascii="宋体" w:hAnsi="宋体" w:eastAsia="宋体" w:cs="宋体"/>
          <w:szCs w:val="28"/>
          <w:lang w:val="en-US" w:eastAsia="zh-CN"/>
        </w:rPr>
        <w:t>4</w:t>
      </w:r>
      <w:r>
        <w:rPr>
          <w:rFonts w:hint="eastAsia" w:ascii="宋体" w:hAnsi="宋体" w:eastAsia="宋体" w:cs="宋体"/>
          <w:szCs w:val="28"/>
          <w:lang w:val="zh-CN"/>
        </w:rPr>
        <w:t>工艺流程</w:t>
      </w:r>
      <w:r>
        <w:tab/>
      </w:r>
      <w:r>
        <w:fldChar w:fldCharType="begin"/>
      </w:r>
      <w:r>
        <w:instrText xml:space="preserve"> PAGEREF _Toc134 </w:instrText>
      </w:r>
      <w:r>
        <w:fldChar w:fldCharType="separate"/>
      </w:r>
      <w:r>
        <w:t>7</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_Toc20511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lang w:val="zh-CN"/>
        </w:rPr>
        <w:t>2.1.</w:t>
      </w:r>
      <w:r>
        <w:rPr>
          <w:rFonts w:hint="eastAsia" w:ascii="宋体" w:hAnsi="宋体" w:eastAsia="宋体" w:cs="宋体"/>
          <w:szCs w:val="28"/>
          <w:lang w:val="en-US" w:eastAsia="zh-CN"/>
        </w:rPr>
        <w:t>5</w:t>
      </w:r>
      <w:r>
        <w:rPr>
          <w:rFonts w:hint="eastAsia" w:ascii="宋体" w:hAnsi="宋体" w:eastAsia="宋体" w:cs="宋体"/>
          <w:bCs/>
          <w:i w:val="0"/>
          <w:iCs w:val="0"/>
          <w:szCs w:val="28"/>
        </w:rPr>
        <w:t>主要生产设备情况</w:t>
      </w:r>
      <w:r>
        <w:tab/>
      </w:r>
      <w:r>
        <w:fldChar w:fldCharType="begin"/>
      </w:r>
      <w:r>
        <w:instrText xml:space="preserve"> PAGEREF _Toc20511 </w:instrText>
      </w:r>
      <w:r>
        <w:fldChar w:fldCharType="separate"/>
      </w:r>
      <w:r>
        <w:t>9</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_Toc10341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rPr>
        <w:t>2.</w:t>
      </w:r>
      <w:r>
        <w:rPr>
          <w:rFonts w:hint="eastAsia" w:ascii="宋体" w:hAnsi="宋体" w:eastAsia="宋体" w:cs="宋体"/>
          <w:szCs w:val="28"/>
          <w:lang w:val="en-US" w:eastAsia="zh-CN"/>
        </w:rPr>
        <w:t>2</w:t>
      </w:r>
      <w:r>
        <w:rPr>
          <w:rFonts w:hint="eastAsia" w:ascii="宋体" w:hAnsi="宋体" w:eastAsia="宋体" w:cs="宋体"/>
          <w:szCs w:val="28"/>
        </w:rPr>
        <w:t>各方应急力量有关基本情况</w:t>
      </w:r>
      <w:r>
        <w:tab/>
      </w:r>
      <w:r>
        <w:fldChar w:fldCharType="begin"/>
      </w:r>
      <w:r>
        <w:instrText xml:space="preserve"> PAGEREF _Toc10341 </w:instrText>
      </w:r>
      <w:r>
        <w:fldChar w:fldCharType="separate"/>
      </w:r>
      <w:r>
        <w:t>9</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_Toc14676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lang w:val="zh-CN"/>
        </w:rPr>
        <w:t>2.</w:t>
      </w:r>
      <w:r>
        <w:rPr>
          <w:rFonts w:hint="eastAsia" w:ascii="宋体" w:hAnsi="宋体" w:eastAsia="宋体" w:cs="宋体"/>
          <w:szCs w:val="28"/>
          <w:lang w:val="en-US" w:eastAsia="zh-CN"/>
        </w:rPr>
        <w:t>2</w:t>
      </w:r>
      <w:r>
        <w:rPr>
          <w:rFonts w:hint="eastAsia" w:ascii="宋体" w:hAnsi="宋体" w:eastAsia="宋体" w:cs="宋体"/>
          <w:szCs w:val="28"/>
          <w:lang w:val="zh-CN"/>
        </w:rPr>
        <w:t>.1内部应急力量</w:t>
      </w:r>
      <w:r>
        <w:tab/>
      </w:r>
      <w:r>
        <w:fldChar w:fldCharType="begin"/>
      </w:r>
      <w:r>
        <w:instrText xml:space="preserve"> PAGEREF _Toc14676 </w:instrText>
      </w:r>
      <w:r>
        <w:fldChar w:fldCharType="separate"/>
      </w:r>
      <w:r>
        <w:t>9</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_Toc11374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lang w:val="zh-CN"/>
        </w:rPr>
        <w:t>2.</w:t>
      </w:r>
      <w:r>
        <w:rPr>
          <w:rFonts w:hint="eastAsia" w:ascii="宋体" w:hAnsi="宋体" w:eastAsia="宋体" w:cs="宋体"/>
          <w:szCs w:val="28"/>
          <w:lang w:val="en-US" w:eastAsia="zh-CN"/>
        </w:rPr>
        <w:t>2</w:t>
      </w:r>
      <w:r>
        <w:rPr>
          <w:rFonts w:hint="eastAsia" w:ascii="宋体" w:hAnsi="宋体" w:eastAsia="宋体" w:cs="宋体"/>
          <w:szCs w:val="28"/>
          <w:lang w:val="zh-CN"/>
        </w:rPr>
        <w:t>.</w:t>
      </w:r>
      <w:r>
        <w:rPr>
          <w:rFonts w:hint="eastAsia" w:ascii="宋体" w:hAnsi="宋体" w:eastAsia="宋体" w:cs="宋体"/>
          <w:szCs w:val="28"/>
          <w:lang w:val="en-US" w:eastAsia="zh-CN"/>
        </w:rPr>
        <w:t>2</w:t>
      </w:r>
      <w:r>
        <w:rPr>
          <w:rFonts w:hint="eastAsia" w:ascii="宋体" w:hAnsi="宋体" w:eastAsia="宋体" w:cs="宋体"/>
          <w:szCs w:val="28"/>
          <w:lang w:val="zh-CN"/>
        </w:rPr>
        <w:t>外部应急力量</w:t>
      </w:r>
      <w:r>
        <w:tab/>
      </w:r>
      <w:r>
        <w:fldChar w:fldCharType="begin"/>
      </w:r>
      <w:r>
        <w:instrText xml:space="preserve"> PAGEREF _Toc11374 </w:instrText>
      </w:r>
      <w:r>
        <w:fldChar w:fldCharType="separate"/>
      </w:r>
      <w:r>
        <w:t>10</w:t>
      </w:r>
      <w:r>
        <w:fldChar w:fldCharType="end"/>
      </w:r>
      <w:r>
        <w:rPr>
          <w:rFonts w:hint="eastAsia" w:asciiTheme="minorEastAsia" w:hAnsiTheme="minorEastAsia" w:eastAsiaTheme="minorEastAsia" w:cstheme="minorEastAsia"/>
          <w:color w:val="auto"/>
          <w:szCs w:val="21"/>
        </w:rPr>
        <w:fldChar w:fldCharType="end"/>
      </w:r>
    </w:p>
    <w:p>
      <w:pPr>
        <w:pStyle w:val="15"/>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_Toc18397 </w:instrText>
      </w:r>
      <w:r>
        <w:rPr>
          <w:rFonts w:hint="eastAsia" w:asciiTheme="minorEastAsia" w:hAnsiTheme="minorEastAsia" w:eastAsiaTheme="minorEastAsia" w:cstheme="minorEastAsia"/>
          <w:szCs w:val="21"/>
        </w:rPr>
        <w:fldChar w:fldCharType="separate"/>
      </w:r>
      <w:r>
        <w:rPr>
          <w:rFonts w:hint="eastAsia" w:ascii="黑体" w:hAnsi="宋体" w:eastAsia="黑体"/>
          <w:szCs w:val="32"/>
          <w:lang w:val="en-US" w:eastAsia="zh-CN"/>
        </w:rPr>
        <w:t>3危险、有害因素辨识</w:t>
      </w:r>
      <w:r>
        <w:tab/>
      </w:r>
      <w:r>
        <w:fldChar w:fldCharType="begin"/>
      </w:r>
      <w:r>
        <w:instrText xml:space="preserve"> PAGEREF _Toc18397 </w:instrText>
      </w:r>
      <w:r>
        <w:fldChar w:fldCharType="separate"/>
      </w:r>
      <w:r>
        <w:t>12</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_Toc9228 </w:instrText>
      </w:r>
      <w:r>
        <w:rPr>
          <w:rFonts w:hint="eastAsia" w:asciiTheme="minorEastAsia" w:hAnsiTheme="minorEastAsia" w:eastAsiaTheme="minorEastAsia" w:cstheme="minorEastAsia"/>
          <w:szCs w:val="21"/>
        </w:rPr>
        <w:fldChar w:fldCharType="separate"/>
      </w:r>
      <w:r>
        <w:rPr>
          <w:rFonts w:hint="eastAsia" w:ascii="黑体" w:eastAsia="黑体"/>
          <w:snapToGrid w:val="0"/>
          <w:kern w:val="0"/>
          <w:szCs w:val="32"/>
          <w:lang w:val="en-US" w:eastAsia="zh-CN"/>
        </w:rPr>
        <w:t>3</w:t>
      </w:r>
      <w:r>
        <w:rPr>
          <w:rFonts w:hint="eastAsia" w:ascii="黑体" w:eastAsia="黑体"/>
          <w:snapToGrid w:val="0"/>
          <w:kern w:val="0"/>
          <w:szCs w:val="32"/>
          <w:lang w:eastAsia="zh-CN"/>
        </w:rPr>
        <w:t>.</w:t>
      </w:r>
      <w:r>
        <w:rPr>
          <w:rFonts w:hint="eastAsia" w:ascii="黑体" w:eastAsia="黑体"/>
          <w:snapToGrid w:val="0"/>
          <w:kern w:val="0"/>
          <w:szCs w:val="32"/>
        </w:rPr>
        <w:t>1 危险、有害因素辨识的目的</w:t>
      </w:r>
      <w:r>
        <w:tab/>
      </w:r>
      <w:r>
        <w:fldChar w:fldCharType="begin"/>
      </w:r>
      <w:r>
        <w:instrText xml:space="preserve"> PAGEREF _Toc9228 </w:instrText>
      </w:r>
      <w:r>
        <w:fldChar w:fldCharType="separate"/>
      </w:r>
      <w:r>
        <w:t>12</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_Toc7671 </w:instrText>
      </w:r>
      <w:r>
        <w:rPr>
          <w:rFonts w:hint="eastAsia" w:asciiTheme="minorEastAsia" w:hAnsiTheme="minorEastAsia" w:eastAsiaTheme="minorEastAsia" w:cstheme="minorEastAsia"/>
          <w:szCs w:val="21"/>
        </w:rPr>
        <w:fldChar w:fldCharType="separate"/>
      </w:r>
      <w:r>
        <w:rPr>
          <w:rFonts w:hint="eastAsia" w:ascii="黑体" w:eastAsia="黑体"/>
          <w:snapToGrid w:val="0"/>
          <w:kern w:val="0"/>
          <w:szCs w:val="32"/>
          <w:lang w:val="en-US" w:eastAsia="zh-CN"/>
        </w:rPr>
        <w:t>3</w:t>
      </w:r>
      <w:r>
        <w:rPr>
          <w:rFonts w:hint="eastAsia" w:ascii="黑体" w:eastAsia="黑体"/>
          <w:snapToGrid w:val="0"/>
          <w:kern w:val="0"/>
          <w:szCs w:val="32"/>
          <w:lang w:eastAsia="zh-CN"/>
        </w:rPr>
        <w:t>.</w:t>
      </w:r>
      <w:r>
        <w:rPr>
          <w:rFonts w:hint="eastAsia" w:ascii="黑体" w:eastAsia="黑体"/>
          <w:snapToGrid w:val="0"/>
          <w:kern w:val="0"/>
          <w:szCs w:val="32"/>
        </w:rPr>
        <w:t>2 危险、有害因素辨识的依据</w:t>
      </w:r>
      <w:r>
        <w:tab/>
      </w:r>
      <w:r>
        <w:fldChar w:fldCharType="begin"/>
      </w:r>
      <w:r>
        <w:instrText xml:space="preserve"> PAGEREF _Toc7671 </w:instrText>
      </w:r>
      <w:r>
        <w:fldChar w:fldCharType="separate"/>
      </w:r>
      <w:r>
        <w:t>12</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_Toc30466 </w:instrText>
      </w:r>
      <w:r>
        <w:rPr>
          <w:rFonts w:hint="eastAsia" w:asciiTheme="minorEastAsia" w:hAnsiTheme="minorEastAsia" w:eastAsiaTheme="minorEastAsia" w:cstheme="minorEastAsia"/>
          <w:szCs w:val="21"/>
        </w:rPr>
        <w:fldChar w:fldCharType="separate"/>
      </w:r>
      <w:r>
        <w:rPr>
          <w:rFonts w:hint="eastAsia" w:ascii="黑体" w:eastAsia="黑体"/>
          <w:snapToGrid w:val="0"/>
          <w:kern w:val="0"/>
          <w:szCs w:val="32"/>
          <w:lang w:val="en-US" w:eastAsia="zh-CN"/>
        </w:rPr>
        <w:t>3</w:t>
      </w:r>
      <w:r>
        <w:rPr>
          <w:rFonts w:hint="eastAsia" w:ascii="黑体" w:eastAsia="黑体"/>
          <w:snapToGrid w:val="0"/>
          <w:kern w:val="0"/>
          <w:szCs w:val="32"/>
          <w:lang w:eastAsia="zh-CN"/>
        </w:rPr>
        <w:t>.</w:t>
      </w:r>
      <w:r>
        <w:rPr>
          <w:rFonts w:hint="eastAsia" w:ascii="黑体" w:eastAsia="黑体"/>
          <w:snapToGrid w:val="0"/>
          <w:kern w:val="0"/>
          <w:szCs w:val="32"/>
        </w:rPr>
        <w:t>3 危险、有害因素辨识的方法</w:t>
      </w:r>
      <w:r>
        <w:tab/>
      </w:r>
      <w:r>
        <w:fldChar w:fldCharType="begin"/>
      </w:r>
      <w:r>
        <w:instrText xml:space="preserve"> PAGEREF _Toc30466 </w:instrText>
      </w:r>
      <w:r>
        <w:fldChar w:fldCharType="separate"/>
      </w:r>
      <w:r>
        <w:t>12</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_Toc237 </w:instrText>
      </w:r>
      <w:r>
        <w:rPr>
          <w:rFonts w:hint="eastAsia" w:asciiTheme="minorEastAsia" w:hAnsiTheme="minorEastAsia" w:eastAsiaTheme="minorEastAsia" w:cstheme="minorEastAsia"/>
          <w:szCs w:val="21"/>
        </w:rPr>
        <w:fldChar w:fldCharType="separate"/>
      </w:r>
      <w:r>
        <w:rPr>
          <w:rFonts w:hint="eastAsia" w:ascii="黑体" w:eastAsia="黑体"/>
          <w:snapToGrid w:val="0"/>
          <w:kern w:val="0"/>
          <w:szCs w:val="32"/>
          <w:lang w:val="en-US" w:eastAsia="zh-CN"/>
        </w:rPr>
        <w:t>3</w:t>
      </w:r>
      <w:r>
        <w:rPr>
          <w:rFonts w:hint="eastAsia" w:ascii="黑体" w:eastAsia="黑体"/>
          <w:snapToGrid w:val="0"/>
          <w:kern w:val="0"/>
          <w:szCs w:val="32"/>
          <w:lang w:eastAsia="zh-CN"/>
        </w:rPr>
        <w:t>.</w:t>
      </w:r>
      <w:r>
        <w:rPr>
          <w:rFonts w:hint="eastAsia" w:ascii="黑体" w:eastAsia="黑体"/>
          <w:snapToGrid w:val="0"/>
          <w:kern w:val="0"/>
          <w:szCs w:val="32"/>
        </w:rPr>
        <w:t>4 主要危险、有害物质特性分析</w:t>
      </w:r>
      <w:r>
        <w:tab/>
      </w:r>
      <w:r>
        <w:fldChar w:fldCharType="begin"/>
      </w:r>
      <w:r>
        <w:instrText xml:space="preserve"> PAGEREF _Toc237 </w:instrText>
      </w:r>
      <w:r>
        <w:fldChar w:fldCharType="separate"/>
      </w:r>
      <w:r>
        <w:t>13</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_Toc10166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4.1 煤</w:t>
      </w:r>
      <w:r>
        <w:tab/>
      </w:r>
      <w:r>
        <w:fldChar w:fldCharType="begin"/>
      </w:r>
      <w:r>
        <w:instrText xml:space="preserve"> PAGEREF _Toc10166 </w:instrText>
      </w:r>
      <w:r>
        <w:fldChar w:fldCharType="separate"/>
      </w:r>
      <w:r>
        <w:t>13</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_Toc6831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4.2 柴油</w:t>
      </w:r>
      <w:r>
        <w:tab/>
      </w:r>
      <w:r>
        <w:fldChar w:fldCharType="begin"/>
      </w:r>
      <w:r>
        <w:instrText xml:space="preserve"> PAGEREF _Toc6831 </w:instrText>
      </w:r>
      <w:r>
        <w:fldChar w:fldCharType="separate"/>
      </w:r>
      <w:r>
        <w:t>14</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_Toc11505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4.3 一氧化碳</w:t>
      </w:r>
      <w:r>
        <w:tab/>
      </w:r>
      <w:r>
        <w:fldChar w:fldCharType="begin"/>
      </w:r>
      <w:r>
        <w:instrText xml:space="preserve"> PAGEREF _Toc11505 </w:instrText>
      </w:r>
      <w:r>
        <w:fldChar w:fldCharType="separate"/>
      </w:r>
      <w:r>
        <w:t>14</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_Toc4374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4.4 二氧化碳</w:t>
      </w:r>
      <w:r>
        <w:tab/>
      </w:r>
      <w:r>
        <w:fldChar w:fldCharType="begin"/>
      </w:r>
      <w:r>
        <w:instrText xml:space="preserve"> PAGEREF _Toc4374 </w:instrText>
      </w:r>
      <w:r>
        <w:fldChar w:fldCharType="separate"/>
      </w:r>
      <w:r>
        <w:t>15</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_Toc16023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4.5 二氧化硫（三氧化硫参考）</w:t>
      </w:r>
      <w:r>
        <w:tab/>
      </w:r>
      <w:r>
        <w:fldChar w:fldCharType="begin"/>
      </w:r>
      <w:r>
        <w:instrText xml:space="preserve"> PAGEREF _Toc16023 </w:instrText>
      </w:r>
      <w:r>
        <w:fldChar w:fldCharType="separate"/>
      </w:r>
      <w:r>
        <w:t>15</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_Toc26679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3.4.6 柴油安全数据表</w:t>
      </w:r>
      <w:r>
        <w:tab/>
      </w:r>
      <w:r>
        <w:fldChar w:fldCharType="begin"/>
      </w:r>
      <w:r>
        <w:instrText xml:space="preserve"> PAGEREF _Toc26679 </w:instrText>
      </w:r>
      <w:r>
        <w:fldChar w:fldCharType="separate"/>
      </w:r>
      <w:r>
        <w:t>16</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_Toc21791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3.4.7 氧气安全数据表</w:t>
      </w:r>
      <w:r>
        <w:tab/>
      </w:r>
      <w:r>
        <w:fldChar w:fldCharType="begin"/>
      </w:r>
      <w:r>
        <w:instrText xml:space="preserve"> PAGEREF _Toc21791 </w:instrText>
      </w:r>
      <w:r>
        <w:fldChar w:fldCharType="separate"/>
      </w:r>
      <w:r>
        <w:t>17</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_Toc4219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3.4.8 乙炔安全数据表</w:t>
      </w:r>
      <w:r>
        <w:tab/>
      </w:r>
      <w:r>
        <w:fldChar w:fldCharType="begin"/>
      </w:r>
      <w:r>
        <w:instrText xml:space="preserve"> PAGEREF _Toc4219 </w:instrText>
      </w:r>
      <w:r>
        <w:fldChar w:fldCharType="separate"/>
      </w:r>
      <w:r>
        <w:t>18</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_Toc23002 </w:instrText>
      </w:r>
      <w:r>
        <w:rPr>
          <w:rFonts w:hint="eastAsia" w:asciiTheme="minorEastAsia" w:hAnsiTheme="minorEastAsia" w:eastAsiaTheme="minorEastAsia" w:cstheme="minorEastAsia"/>
          <w:szCs w:val="21"/>
        </w:rPr>
        <w:fldChar w:fldCharType="separate"/>
      </w:r>
      <w:r>
        <w:rPr>
          <w:rFonts w:hint="eastAsia" w:ascii="黑体" w:eastAsia="黑体"/>
          <w:snapToGrid w:val="0"/>
          <w:kern w:val="0"/>
          <w:szCs w:val="32"/>
        </w:rPr>
        <w:t>3.5 生产过程危险有害因素分析和辨识</w:t>
      </w:r>
      <w:r>
        <w:tab/>
      </w:r>
      <w:r>
        <w:fldChar w:fldCharType="begin"/>
      </w:r>
      <w:r>
        <w:instrText xml:space="preserve"> PAGEREF _Toc23002 </w:instrText>
      </w:r>
      <w:r>
        <w:fldChar w:fldCharType="separate"/>
      </w:r>
      <w:r>
        <w:t>20</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_Toc18008 </w:instrText>
      </w:r>
      <w:r>
        <w:rPr>
          <w:rFonts w:hint="eastAsia" w:asciiTheme="minorEastAsia" w:hAnsiTheme="minorEastAsia" w:eastAsiaTheme="minorEastAsia" w:cstheme="minorEastAsia"/>
          <w:szCs w:val="21"/>
        </w:rPr>
        <w:fldChar w:fldCharType="separate"/>
      </w:r>
      <w:r>
        <w:rPr>
          <w:rFonts w:hint="eastAsia" w:ascii="黑体" w:eastAsia="黑体"/>
          <w:snapToGrid w:val="0"/>
          <w:kern w:val="0"/>
          <w:szCs w:val="32"/>
          <w:lang w:val="en-US" w:eastAsia="zh-CN"/>
        </w:rPr>
        <w:t>3</w:t>
      </w:r>
      <w:r>
        <w:rPr>
          <w:rFonts w:hint="eastAsia" w:ascii="黑体" w:eastAsia="黑体"/>
          <w:snapToGrid w:val="0"/>
          <w:kern w:val="0"/>
          <w:szCs w:val="32"/>
          <w:lang w:eastAsia="zh-CN"/>
        </w:rPr>
        <w:t>.</w:t>
      </w:r>
      <w:r>
        <w:rPr>
          <w:rFonts w:hint="eastAsia" w:ascii="黑体" w:eastAsia="黑体"/>
          <w:snapToGrid w:val="0"/>
          <w:kern w:val="0"/>
          <w:szCs w:val="32"/>
        </w:rPr>
        <w:t>5 生产过程危险有害因素分析和辨识</w:t>
      </w:r>
      <w:r>
        <w:tab/>
      </w:r>
      <w:r>
        <w:fldChar w:fldCharType="begin"/>
      </w:r>
      <w:r>
        <w:instrText xml:space="preserve"> PAGEREF _Toc18008 </w:instrText>
      </w:r>
      <w:r>
        <w:fldChar w:fldCharType="separate"/>
      </w:r>
      <w:r>
        <w:t>20</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_Toc13886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5.1 车辆事故</w:t>
      </w:r>
      <w:r>
        <w:tab/>
      </w:r>
      <w:r>
        <w:fldChar w:fldCharType="begin"/>
      </w:r>
      <w:r>
        <w:instrText xml:space="preserve"> PAGEREF _Toc13886 </w:instrText>
      </w:r>
      <w:r>
        <w:fldChar w:fldCharType="separate"/>
      </w:r>
      <w:r>
        <w:t>20</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_Toc22744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5.2 机械伤害</w:t>
      </w:r>
      <w:r>
        <w:tab/>
      </w:r>
      <w:r>
        <w:fldChar w:fldCharType="begin"/>
      </w:r>
      <w:r>
        <w:instrText xml:space="preserve"> PAGEREF _Toc22744 </w:instrText>
      </w:r>
      <w:r>
        <w:fldChar w:fldCharType="separate"/>
      </w:r>
      <w:r>
        <w:t>21</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_Toc8922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5.3</w:t>
      </w:r>
      <w:r>
        <w:rPr>
          <w:rFonts w:ascii="宋体" w:hAnsi="宋体"/>
          <w:snapToGrid w:val="0"/>
          <w:kern w:val="0"/>
          <w:szCs w:val="28"/>
        </w:rPr>
        <w:t xml:space="preserve"> 触电</w:t>
      </w:r>
      <w:r>
        <w:rPr>
          <w:rFonts w:hint="eastAsia" w:ascii="宋体" w:hAnsi="宋体"/>
          <w:snapToGrid w:val="0"/>
          <w:kern w:val="0"/>
          <w:szCs w:val="28"/>
        </w:rPr>
        <w:t>事故</w:t>
      </w:r>
      <w:r>
        <w:tab/>
      </w:r>
      <w:r>
        <w:fldChar w:fldCharType="begin"/>
      </w:r>
      <w:r>
        <w:instrText xml:space="preserve"> PAGEREF _Toc8922 </w:instrText>
      </w:r>
      <w:r>
        <w:fldChar w:fldCharType="separate"/>
      </w:r>
      <w:r>
        <w:t>22</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_Toc21843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5.4 高处坠落</w:t>
      </w:r>
      <w:r>
        <w:tab/>
      </w:r>
      <w:r>
        <w:fldChar w:fldCharType="begin"/>
      </w:r>
      <w:r>
        <w:instrText xml:space="preserve"> PAGEREF _Toc21843 </w:instrText>
      </w:r>
      <w:r>
        <w:fldChar w:fldCharType="separate"/>
      </w:r>
      <w:r>
        <w:t>22</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_Toc23198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5</w:t>
      </w:r>
      <w:r>
        <w:rPr>
          <w:rFonts w:ascii="宋体" w:hAnsi="宋体"/>
          <w:snapToGrid w:val="0"/>
          <w:kern w:val="0"/>
          <w:szCs w:val="28"/>
        </w:rPr>
        <w:t>.</w:t>
      </w:r>
      <w:r>
        <w:rPr>
          <w:rFonts w:hint="eastAsia" w:ascii="宋体" w:hAnsi="宋体"/>
          <w:snapToGrid w:val="0"/>
          <w:kern w:val="0"/>
          <w:szCs w:val="28"/>
        </w:rPr>
        <w:t>5</w:t>
      </w:r>
      <w:r>
        <w:rPr>
          <w:rFonts w:ascii="宋体" w:hAnsi="宋体"/>
          <w:snapToGrid w:val="0"/>
          <w:kern w:val="0"/>
          <w:szCs w:val="28"/>
        </w:rPr>
        <w:t xml:space="preserve"> 物体打击</w:t>
      </w:r>
      <w:r>
        <w:tab/>
      </w:r>
      <w:r>
        <w:fldChar w:fldCharType="begin"/>
      </w:r>
      <w:r>
        <w:instrText xml:space="preserve"> PAGEREF _Toc23198 </w:instrText>
      </w:r>
      <w:r>
        <w:fldChar w:fldCharType="separate"/>
      </w:r>
      <w:r>
        <w:t>23</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_Toc18953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5.6 火灾事故</w:t>
      </w:r>
      <w:r>
        <w:tab/>
      </w:r>
      <w:r>
        <w:fldChar w:fldCharType="begin"/>
      </w:r>
      <w:r>
        <w:instrText xml:space="preserve"> PAGEREF _Toc18953 </w:instrText>
      </w:r>
      <w:r>
        <w:fldChar w:fldCharType="separate"/>
      </w:r>
      <w:r>
        <w:t>24</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_Toc15764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5.</w:t>
      </w:r>
      <w:r>
        <w:rPr>
          <w:rFonts w:hint="eastAsia" w:ascii="宋体" w:hAnsi="宋体"/>
          <w:snapToGrid w:val="0"/>
          <w:kern w:val="0"/>
          <w:szCs w:val="28"/>
          <w:lang w:val="en-US" w:eastAsia="zh-CN"/>
        </w:rPr>
        <w:t>7 坍塌</w:t>
      </w:r>
      <w:r>
        <w:tab/>
      </w:r>
      <w:r>
        <w:fldChar w:fldCharType="begin"/>
      </w:r>
      <w:r>
        <w:instrText xml:space="preserve"> PAGEREF _Toc15764 </w:instrText>
      </w:r>
      <w:r>
        <w:fldChar w:fldCharType="separate"/>
      </w:r>
      <w:r>
        <w:t>24</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_Toc7807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3.5.8中毒窒息</w:t>
      </w:r>
      <w:r>
        <w:tab/>
      </w:r>
      <w:r>
        <w:fldChar w:fldCharType="begin"/>
      </w:r>
      <w:r>
        <w:instrText xml:space="preserve"> PAGEREF _Toc7807 </w:instrText>
      </w:r>
      <w:r>
        <w:fldChar w:fldCharType="separate"/>
      </w:r>
      <w:r>
        <w:t>25</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_Toc1606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3.5.9高温灼烫</w:t>
      </w:r>
      <w:r>
        <w:tab/>
      </w:r>
      <w:r>
        <w:fldChar w:fldCharType="begin"/>
      </w:r>
      <w:r>
        <w:instrText xml:space="preserve"> PAGEREF _Toc1606 </w:instrText>
      </w:r>
      <w:r>
        <w:fldChar w:fldCharType="separate"/>
      </w:r>
      <w:r>
        <w:t>25</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_Toc14284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3.5.10容器爆炸</w:t>
      </w:r>
      <w:r>
        <w:tab/>
      </w:r>
      <w:r>
        <w:fldChar w:fldCharType="begin"/>
      </w:r>
      <w:r>
        <w:instrText xml:space="preserve"> PAGEREF _Toc14284 </w:instrText>
      </w:r>
      <w:r>
        <w:fldChar w:fldCharType="separate"/>
      </w:r>
      <w:r>
        <w:t>25</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_Toc3933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3.5.11有限空间作业</w:t>
      </w:r>
      <w:r>
        <w:tab/>
      </w:r>
      <w:r>
        <w:fldChar w:fldCharType="begin"/>
      </w:r>
      <w:r>
        <w:instrText xml:space="preserve"> PAGEREF _Toc3933 </w:instrText>
      </w:r>
      <w:r>
        <w:fldChar w:fldCharType="separate"/>
      </w:r>
      <w:r>
        <w:t>26</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_Toc4147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5</w:t>
      </w:r>
      <w:r>
        <w:rPr>
          <w:rFonts w:ascii="宋体" w:hAnsi="宋体"/>
          <w:snapToGrid w:val="0"/>
          <w:kern w:val="0"/>
          <w:szCs w:val="28"/>
        </w:rPr>
        <w:t>.</w:t>
      </w:r>
      <w:r>
        <w:rPr>
          <w:rFonts w:hint="eastAsia" w:ascii="宋体" w:hAnsi="宋体"/>
          <w:snapToGrid w:val="0"/>
          <w:kern w:val="0"/>
          <w:szCs w:val="28"/>
          <w:lang w:val="en-US" w:eastAsia="zh-CN"/>
        </w:rPr>
        <w:t>12</w:t>
      </w:r>
      <w:r>
        <w:rPr>
          <w:rFonts w:ascii="宋体" w:hAnsi="宋体"/>
          <w:snapToGrid w:val="0"/>
          <w:kern w:val="0"/>
          <w:szCs w:val="28"/>
        </w:rPr>
        <w:t xml:space="preserve"> </w:t>
      </w:r>
      <w:r>
        <w:rPr>
          <w:rFonts w:hint="eastAsia" w:ascii="宋体" w:hAnsi="宋体"/>
          <w:snapToGrid w:val="0"/>
          <w:kern w:val="0"/>
          <w:szCs w:val="28"/>
        </w:rPr>
        <w:t>职业</w:t>
      </w:r>
      <w:r>
        <w:rPr>
          <w:rFonts w:ascii="宋体" w:hAnsi="宋体"/>
          <w:snapToGrid w:val="0"/>
          <w:kern w:val="0"/>
          <w:szCs w:val="28"/>
        </w:rPr>
        <w:t>危害</w:t>
      </w:r>
      <w:r>
        <w:rPr>
          <w:rFonts w:hint="eastAsia" w:ascii="宋体" w:hAnsi="宋体"/>
          <w:snapToGrid w:val="0"/>
          <w:kern w:val="0"/>
          <w:szCs w:val="28"/>
        </w:rPr>
        <w:t>因素</w:t>
      </w:r>
      <w:r>
        <w:tab/>
      </w:r>
      <w:r>
        <w:fldChar w:fldCharType="begin"/>
      </w:r>
      <w:r>
        <w:instrText xml:space="preserve"> PAGEREF _Toc4147 </w:instrText>
      </w:r>
      <w:r>
        <w:fldChar w:fldCharType="separate"/>
      </w:r>
      <w:r>
        <w:t>27</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_Toc21315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3.5.13 自然灾害</w:t>
      </w:r>
      <w:r>
        <w:tab/>
      </w:r>
      <w:r>
        <w:fldChar w:fldCharType="begin"/>
      </w:r>
      <w:r>
        <w:instrText xml:space="preserve"> PAGEREF _Toc21315 </w:instrText>
      </w:r>
      <w:r>
        <w:fldChar w:fldCharType="separate"/>
      </w:r>
      <w:r>
        <w:t>28</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_Toc25799 </w:instrText>
      </w:r>
      <w:r>
        <w:rPr>
          <w:rFonts w:hint="eastAsia" w:asciiTheme="minorEastAsia" w:hAnsiTheme="minorEastAsia" w:eastAsiaTheme="minorEastAsia" w:cstheme="minorEastAsia"/>
          <w:szCs w:val="21"/>
        </w:rPr>
        <w:fldChar w:fldCharType="separate"/>
      </w:r>
      <w:r>
        <w:rPr>
          <w:rFonts w:hint="eastAsia" w:ascii="黑体" w:hAnsi="宋体" w:eastAsia="黑体"/>
          <w:snapToGrid w:val="0"/>
          <w:kern w:val="0"/>
          <w:szCs w:val="32"/>
          <w:lang w:val="en-US" w:eastAsia="zh-CN"/>
        </w:rPr>
        <w:t>3</w:t>
      </w:r>
      <w:r>
        <w:rPr>
          <w:rFonts w:hint="eastAsia" w:ascii="黑体" w:hAnsi="宋体" w:eastAsia="黑体"/>
          <w:snapToGrid w:val="0"/>
          <w:kern w:val="0"/>
          <w:szCs w:val="32"/>
          <w:lang w:eastAsia="zh-CN"/>
        </w:rPr>
        <w:t>.</w:t>
      </w:r>
      <w:r>
        <w:rPr>
          <w:rFonts w:hint="eastAsia" w:ascii="黑体" w:hAnsi="宋体" w:eastAsia="黑体"/>
          <w:snapToGrid w:val="0"/>
          <w:kern w:val="0"/>
          <w:szCs w:val="32"/>
        </w:rPr>
        <w:t>6 厂址安全条件的危险、有害因素辨识与分析</w:t>
      </w:r>
      <w:r>
        <w:tab/>
      </w:r>
      <w:r>
        <w:fldChar w:fldCharType="begin"/>
      </w:r>
      <w:r>
        <w:instrText xml:space="preserve"> PAGEREF _Toc25799 </w:instrText>
      </w:r>
      <w:r>
        <w:fldChar w:fldCharType="separate"/>
      </w:r>
      <w:r>
        <w:t>29</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_Toc24016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 xml:space="preserve">6.1 </w:t>
      </w:r>
      <w:r>
        <w:rPr>
          <w:rFonts w:hint="eastAsia" w:ascii="宋体" w:hAnsi="宋体"/>
          <w:snapToGrid w:val="0"/>
          <w:kern w:val="0"/>
          <w:szCs w:val="28"/>
          <w:lang w:eastAsia="zh-CN"/>
        </w:rPr>
        <w:t>公司</w:t>
      </w:r>
      <w:r>
        <w:rPr>
          <w:rFonts w:hint="eastAsia" w:ascii="宋体" w:hAnsi="宋体"/>
          <w:snapToGrid w:val="0"/>
          <w:kern w:val="0"/>
          <w:szCs w:val="28"/>
        </w:rPr>
        <w:t>对周边环境的影响分析</w:t>
      </w:r>
      <w:r>
        <w:tab/>
      </w:r>
      <w:r>
        <w:fldChar w:fldCharType="begin"/>
      </w:r>
      <w:r>
        <w:instrText xml:space="preserve"> PAGEREF _Toc24016 </w:instrText>
      </w:r>
      <w:r>
        <w:fldChar w:fldCharType="separate"/>
      </w:r>
      <w:r>
        <w:t>30</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_Toc28902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6.2 周边环境对</w:t>
      </w:r>
      <w:r>
        <w:rPr>
          <w:rFonts w:hint="eastAsia" w:ascii="宋体" w:hAnsi="宋体"/>
          <w:snapToGrid w:val="0"/>
          <w:kern w:val="0"/>
          <w:szCs w:val="28"/>
          <w:lang w:eastAsia="zh-CN"/>
        </w:rPr>
        <w:t>公司</w:t>
      </w:r>
      <w:r>
        <w:rPr>
          <w:rFonts w:hint="eastAsia" w:ascii="宋体" w:hAnsi="宋体"/>
          <w:snapToGrid w:val="0"/>
          <w:kern w:val="0"/>
          <w:szCs w:val="28"/>
        </w:rPr>
        <w:t>的影响分析</w:t>
      </w:r>
      <w:r>
        <w:tab/>
      </w:r>
      <w:r>
        <w:fldChar w:fldCharType="begin"/>
      </w:r>
      <w:r>
        <w:instrText xml:space="preserve"> PAGEREF _Toc28902 </w:instrText>
      </w:r>
      <w:r>
        <w:fldChar w:fldCharType="separate"/>
      </w:r>
      <w:r>
        <w:t>30</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_Toc26688 </w:instrText>
      </w:r>
      <w:r>
        <w:rPr>
          <w:rFonts w:hint="eastAsia" w:asciiTheme="minorEastAsia" w:hAnsiTheme="minorEastAsia" w:eastAsiaTheme="minorEastAsia" w:cstheme="minorEastAsia"/>
          <w:szCs w:val="21"/>
        </w:rPr>
        <w:fldChar w:fldCharType="separate"/>
      </w:r>
      <w:r>
        <w:rPr>
          <w:rFonts w:hint="eastAsia" w:ascii="黑体" w:eastAsia="黑体"/>
          <w:snapToGrid w:val="0"/>
          <w:kern w:val="0"/>
          <w:szCs w:val="32"/>
          <w:lang w:val="en-US" w:eastAsia="zh-CN"/>
        </w:rPr>
        <w:t>3</w:t>
      </w:r>
      <w:r>
        <w:rPr>
          <w:rFonts w:hint="eastAsia" w:ascii="黑体" w:eastAsia="黑体"/>
          <w:snapToGrid w:val="0"/>
          <w:kern w:val="0"/>
          <w:szCs w:val="32"/>
          <w:lang w:eastAsia="zh-CN"/>
        </w:rPr>
        <w:t>.</w:t>
      </w:r>
      <w:r>
        <w:rPr>
          <w:rFonts w:hint="eastAsia" w:ascii="黑体" w:eastAsia="黑体"/>
          <w:snapToGrid w:val="0"/>
          <w:kern w:val="0"/>
          <w:szCs w:val="32"/>
          <w:lang w:val="en-US" w:eastAsia="zh-CN"/>
        </w:rPr>
        <w:t>7</w:t>
      </w:r>
      <w:r>
        <w:rPr>
          <w:rFonts w:hint="eastAsia" w:ascii="黑体" w:eastAsia="黑体"/>
          <w:snapToGrid w:val="0"/>
          <w:kern w:val="0"/>
          <w:szCs w:val="32"/>
        </w:rPr>
        <w:t xml:space="preserve"> 重大危险源辨识</w:t>
      </w:r>
      <w:r>
        <w:tab/>
      </w:r>
      <w:r>
        <w:fldChar w:fldCharType="begin"/>
      </w:r>
      <w:r>
        <w:instrText xml:space="preserve"> PAGEREF _Toc26688 </w:instrText>
      </w:r>
      <w:r>
        <w:fldChar w:fldCharType="separate"/>
      </w:r>
      <w:r>
        <w:t>31</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_Toc11981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lang w:val="en-US" w:eastAsia="zh-CN"/>
        </w:rPr>
        <w:t>7</w:t>
      </w:r>
      <w:r>
        <w:rPr>
          <w:rFonts w:hint="eastAsia" w:ascii="宋体" w:hAnsi="宋体"/>
          <w:snapToGrid w:val="0"/>
          <w:kern w:val="0"/>
          <w:szCs w:val="28"/>
        </w:rPr>
        <w:t>.1 辨识依据</w:t>
      </w:r>
      <w:r>
        <w:tab/>
      </w:r>
      <w:r>
        <w:fldChar w:fldCharType="begin"/>
      </w:r>
      <w:r>
        <w:instrText xml:space="preserve"> PAGEREF _Toc11981 </w:instrText>
      </w:r>
      <w:r>
        <w:fldChar w:fldCharType="separate"/>
      </w:r>
      <w:r>
        <w:t>31</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_Toc23051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lang w:val="en-US" w:eastAsia="zh-CN"/>
        </w:rPr>
        <w:t>7</w:t>
      </w:r>
      <w:r>
        <w:rPr>
          <w:rFonts w:hint="eastAsia" w:ascii="宋体" w:hAnsi="宋体"/>
          <w:snapToGrid w:val="0"/>
          <w:kern w:val="0"/>
          <w:szCs w:val="28"/>
        </w:rPr>
        <w:t>.2 辨识结果</w:t>
      </w:r>
      <w:r>
        <w:tab/>
      </w:r>
      <w:r>
        <w:fldChar w:fldCharType="begin"/>
      </w:r>
      <w:r>
        <w:instrText xml:space="preserve"> PAGEREF _Toc23051 </w:instrText>
      </w:r>
      <w:r>
        <w:fldChar w:fldCharType="separate"/>
      </w:r>
      <w:r>
        <w:t>31</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_Toc3477 </w:instrText>
      </w:r>
      <w:r>
        <w:rPr>
          <w:rFonts w:hint="eastAsia" w:asciiTheme="minorEastAsia" w:hAnsiTheme="minorEastAsia" w:eastAsiaTheme="minorEastAsia" w:cstheme="minorEastAsia"/>
          <w:szCs w:val="21"/>
        </w:rPr>
        <w:fldChar w:fldCharType="separate"/>
      </w:r>
      <w:r>
        <w:rPr>
          <w:rFonts w:hint="eastAsia" w:ascii="黑体" w:eastAsia="黑体"/>
          <w:snapToGrid w:val="0"/>
          <w:kern w:val="0"/>
          <w:szCs w:val="32"/>
          <w:lang w:val="en-US" w:eastAsia="zh-CN"/>
        </w:rPr>
        <w:t>3.8小结</w:t>
      </w:r>
      <w:r>
        <w:tab/>
      </w:r>
      <w:r>
        <w:fldChar w:fldCharType="begin"/>
      </w:r>
      <w:r>
        <w:instrText xml:space="preserve"> PAGEREF _Toc3477 </w:instrText>
      </w:r>
      <w:r>
        <w:fldChar w:fldCharType="separate"/>
      </w:r>
      <w:r>
        <w:t>31</w:t>
      </w:r>
      <w:r>
        <w:fldChar w:fldCharType="end"/>
      </w:r>
      <w:r>
        <w:rPr>
          <w:rFonts w:hint="eastAsia" w:asciiTheme="minorEastAsia" w:hAnsiTheme="minorEastAsia" w:eastAsiaTheme="minorEastAsia" w:cstheme="minorEastAsia"/>
          <w:color w:val="auto"/>
          <w:szCs w:val="21"/>
        </w:rPr>
        <w:fldChar w:fldCharType="end"/>
      </w:r>
    </w:p>
    <w:p>
      <w:pPr>
        <w:pStyle w:val="15"/>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_Toc32087 </w:instrText>
      </w:r>
      <w:r>
        <w:rPr>
          <w:rFonts w:hint="eastAsia" w:asciiTheme="minorEastAsia" w:hAnsiTheme="minorEastAsia" w:eastAsiaTheme="minorEastAsia" w:cstheme="minorEastAsia"/>
          <w:szCs w:val="21"/>
        </w:rPr>
        <w:fldChar w:fldCharType="separate"/>
      </w:r>
      <w:r>
        <w:rPr>
          <w:rFonts w:hint="eastAsia" w:ascii="黑体" w:hAnsi="宋体" w:eastAsia="黑体"/>
          <w:szCs w:val="32"/>
          <w:lang w:val="en-US" w:eastAsia="zh-CN"/>
        </w:rPr>
        <w:t>4</w:t>
      </w:r>
      <w:r>
        <w:rPr>
          <w:rFonts w:hint="eastAsia" w:ascii="黑体" w:hAnsi="宋体" w:eastAsia="黑体"/>
          <w:szCs w:val="32"/>
        </w:rPr>
        <w:t>评估结论与建议</w:t>
      </w:r>
      <w:r>
        <w:tab/>
      </w:r>
      <w:r>
        <w:fldChar w:fldCharType="begin"/>
      </w:r>
      <w:r>
        <w:instrText xml:space="preserve"> PAGEREF _Toc32087 </w:instrText>
      </w:r>
      <w:r>
        <w:fldChar w:fldCharType="separate"/>
      </w:r>
      <w:r>
        <w:t>33</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_Toc20573 </w:instrText>
      </w:r>
      <w:r>
        <w:rPr>
          <w:rFonts w:hint="eastAsia" w:asciiTheme="minorEastAsia" w:hAnsiTheme="minorEastAsia" w:eastAsiaTheme="minorEastAsia" w:cstheme="minorEastAsia"/>
          <w:szCs w:val="21"/>
        </w:rPr>
        <w:fldChar w:fldCharType="separate"/>
      </w:r>
      <w:r>
        <w:rPr>
          <w:rFonts w:hint="eastAsia" w:ascii="黑体" w:hAnsi="黑体"/>
          <w:szCs w:val="28"/>
          <w:lang w:val="en-US" w:eastAsia="zh-CN"/>
        </w:rPr>
        <w:t>4.1总体评价结论</w:t>
      </w:r>
      <w:r>
        <w:tab/>
      </w:r>
      <w:r>
        <w:fldChar w:fldCharType="begin"/>
      </w:r>
      <w:r>
        <w:instrText xml:space="preserve"> PAGEREF _Toc20573 </w:instrText>
      </w:r>
      <w:r>
        <w:fldChar w:fldCharType="separate"/>
      </w:r>
      <w:r>
        <w:t>33</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_Toc27675 </w:instrText>
      </w:r>
      <w:r>
        <w:rPr>
          <w:rFonts w:hint="eastAsia" w:asciiTheme="minorEastAsia" w:hAnsiTheme="minorEastAsia" w:eastAsiaTheme="minorEastAsia" w:cstheme="minorEastAsia"/>
          <w:szCs w:val="21"/>
        </w:rPr>
        <w:fldChar w:fldCharType="separate"/>
      </w:r>
      <w:r>
        <w:rPr>
          <w:rFonts w:hint="eastAsia" w:ascii="黑体" w:hAnsi="黑体"/>
          <w:szCs w:val="28"/>
          <w:lang w:val="en-US" w:eastAsia="zh-CN"/>
        </w:rPr>
        <w:t>4</w:t>
      </w:r>
      <w:r>
        <w:rPr>
          <w:rFonts w:hint="eastAsia" w:ascii="黑体" w:hAnsi="黑体"/>
          <w:szCs w:val="28"/>
        </w:rPr>
        <w:t>.</w:t>
      </w:r>
      <w:r>
        <w:rPr>
          <w:rFonts w:hint="eastAsia" w:ascii="黑体" w:hAnsi="黑体"/>
          <w:szCs w:val="28"/>
          <w:lang w:val="en-US" w:eastAsia="zh-CN"/>
        </w:rPr>
        <w:t>2</w:t>
      </w:r>
      <w:r>
        <w:rPr>
          <w:rFonts w:hint="eastAsia" w:ascii="黑体" w:hAnsi="黑体"/>
          <w:szCs w:val="28"/>
        </w:rPr>
        <w:t>建议</w:t>
      </w:r>
      <w:r>
        <w:tab/>
      </w:r>
      <w:r>
        <w:fldChar w:fldCharType="begin"/>
      </w:r>
      <w:r>
        <w:instrText xml:space="preserve"> PAGEREF _Toc27675 </w:instrText>
      </w:r>
      <w:r>
        <w:fldChar w:fldCharType="separate"/>
      </w:r>
      <w:r>
        <w:t>33</w:t>
      </w:r>
      <w:r>
        <w:fldChar w:fldCharType="end"/>
      </w:r>
      <w:r>
        <w:rPr>
          <w:rFonts w:hint="eastAsia" w:asciiTheme="minorEastAsia" w:hAnsiTheme="minorEastAsia" w:eastAsiaTheme="minorEastAsia" w:cstheme="minorEastAsia"/>
          <w:color w:val="auto"/>
          <w:szCs w:val="21"/>
        </w:rPr>
        <w:fldChar w:fldCharType="end"/>
      </w:r>
    </w:p>
    <w:p>
      <w:pPr>
        <w:widowControl/>
        <w:spacing w:line="360" w:lineRule="auto"/>
        <w:jc w:val="left"/>
        <w:outlineLvl w:val="2"/>
        <w:rPr>
          <w:rFonts w:hint="eastAsia" w:ascii="宋体" w:hAnsi="宋体" w:cs="宋体"/>
          <w:b/>
          <w:bCs/>
          <w:color w:val="auto"/>
          <w:kern w:val="0"/>
          <w:sz w:val="28"/>
          <w:szCs w:val="28"/>
        </w:rPr>
      </w:pPr>
      <w:r>
        <w:rPr>
          <w:rFonts w:hint="eastAsia" w:asciiTheme="minorEastAsia" w:hAnsiTheme="minorEastAsia" w:eastAsiaTheme="minorEastAsia" w:cstheme="minorEastAsia"/>
          <w:color w:val="auto"/>
          <w:szCs w:val="21"/>
        </w:rPr>
        <w:fldChar w:fldCharType="end"/>
      </w:r>
    </w:p>
    <w:p>
      <w:pPr>
        <w:numPr>
          <w:ilvl w:val="0"/>
          <w:numId w:val="0"/>
        </w:numPr>
        <w:spacing w:line="360" w:lineRule="auto"/>
        <w:jc w:val="center"/>
        <w:outlineLvl w:val="0"/>
        <w:rPr>
          <w:rFonts w:hint="eastAsia" w:ascii="黑体" w:hAnsi="宋体" w:eastAsia="黑体"/>
          <w:b/>
          <w:color w:val="auto"/>
          <w:sz w:val="32"/>
          <w:szCs w:val="32"/>
          <w:lang w:val="en-US" w:eastAsia="zh-CN"/>
        </w:rPr>
        <w:sectPr>
          <w:pgSz w:w="11906" w:h="16838"/>
          <w:pgMar w:top="1440" w:right="1800" w:bottom="1440" w:left="1800" w:header="851" w:footer="992" w:gutter="0"/>
          <w:pgNumType w:fmt="decimal" w:start="1"/>
          <w:cols w:space="425" w:num="1"/>
          <w:docGrid w:type="lines" w:linePitch="312" w:charSpace="0"/>
        </w:sectPr>
      </w:pPr>
    </w:p>
    <w:p>
      <w:pPr>
        <w:spacing w:line="360" w:lineRule="auto"/>
        <w:jc w:val="center"/>
        <w:outlineLvl w:val="0"/>
        <w:rPr>
          <w:rFonts w:hint="eastAsia" w:ascii="黑体" w:hAnsi="宋体" w:eastAsia="黑体"/>
          <w:b/>
          <w:sz w:val="32"/>
          <w:szCs w:val="32"/>
        </w:rPr>
      </w:pPr>
      <w:bookmarkStart w:id="19" w:name="_Toc1621"/>
      <w:bookmarkStart w:id="20" w:name="_Toc97"/>
      <w:bookmarkStart w:id="21" w:name="_Toc26613"/>
      <w:r>
        <w:rPr>
          <w:rFonts w:hint="eastAsia" w:ascii="黑体" w:hAnsi="宋体" w:eastAsia="黑体"/>
          <w:b/>
          <w:sz w:val="32"/>
          <w:szCs w:val="32"/>
        </w:rPr>
        <w:t>1概述</w:t>
      </w:r>
      <w:bookmarkEnd w:id="19"/>
      <w:bookmarkEnd w:id="20"/>
      <w:bookmarkEnd w:id="21"/>
    </w:p>
    <w:p>
      <w:pPr>
        <w:pStyle w:val="5"/>
        <w:spacing w:line="360" w:lineRule="auto"/>
        <w:rPr>
          <w:rFonts w:hint="eastAsia" w:ascii="宋体" w:hAnsi="宋体" w:eastAsia="宋体" w:cs="宋体"/>
          <w:sz w:val="28"/>
          <w:szCs w:val="28"/>
        </w:rPr>
      </w:pPr>
      <w:bookmarkStart w:id="22" w:name="_Toc13902"/>
      <w:bookmarkStart w:id="23" w:name="_Toc10102"/>
      <w:bookmarkStart w:id="24" w:name="_Toc21640"/>
      <w:r>
        <w:rPr>
          <w:rFonts w:hint="eastAsia" w:ascii="宋体" w:hAnsi="宋体" w:eastAsia="宋体" w:cs="宋体"/>
          <w:sz w:val="28"/>
          <w:szCs w:val="28"/>
        </w:rPr>
        <w:t>1.1评估的主要依据</w:t>
      </w:r>
      <w:bookmarkEnd w:id="22"/>
      <w:bookmarkEnd w:id="23"/>
      <w:bookmarkEnd w:id="24"/>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（1）《中华人民共和国安全生产法》（中华人民共和国主席令第13号，自2014年12月1日起施行）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（2）《中华人民共和国劳动法》（中华人民共和国主席令第28号，自1995年1月1日起施行，2009年8月27日修订）</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（3）《中华人民共和国职业病防治法》(中华人民共和国主席令第24号，2018年12月29日修订)</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（4）《中华人民共和国消防法》（中华人民共和国主席令第6号，自20</w:t>
      </w:r>
      <w:r>
        <w:rPr>
          <w:rFonts w:hint="eastAsia" w:ascii="宋体" w:hAnsi="宋体" w:cs="宋体"/>
          <w:color w:val="auto"/>
          <w:sz w:val="28"/>
          <w:szCs w:val="28"/>
          <w:lang w:val="en-US" w:eastAsia="zh-CN"/>
        </w:rPr>
        <w:t>1</w:t>
      </w:r>
      <w:r>
        <w:rPr>
          <w:rFonts w:hint="eastAsia" w:ascii="宋体" w:hAnsi="宋体" w:cs="宋体"/>
          <w:color w:val="auto"/>
          <w:sz w:val="28"/>
          <w:szCs w:val="28"/>
          <w:lang w:val="zh-CN" w:eastAsia="zh-CN"/>
        </w:rPr>
        <w:t>9年</w:t>
      </w:r>
      <w:r>
        <w:rPr>
          <w:rFonts w:hint="eastAsia" w:ascii="宋体" w:hAnsi="宋体" w:cs="宋体"/>
          <w:color w:val="auto"/>
          <w:sz w:val="28"/>
          <w:szCs w:val="28"/>
          <w:lang w:val="en-US" w:eastAsia="zh-CN"/>
        </w:rPr>
        <w:t>4</w:t>
      </w:r>
      <w:r>
        <w:rPr>
          <w:rFonts w:hint="eastAsia" w:ascii="宋体" w:hAnsi="宋体" w:cs="宋体"/>
          <w:color w:val="auto"/>
          <w:sz w:val="28"/>
          <w:szCs w:val="28"/>
          <w:lang w:val="zh-CN" w:eastAsia="zh-CN"/>
        </w:rPr>
        <w:t>月</w:t>
      </w:r>
      <w:r>
        <w:rPr>
          <w:rFonts w:hint="eastAsia" w:ascii="宋体" w:hAnsi="宋体" w:cs="宋体"/>
          <w:color w:val="auto"/>
          <w:sz w:val="28"/>
          <w:szCs w:val="28"/>
          <w:lang w:val="en-US" w:eastAsia="zh-CN"/>
        </w:rPr>
        <w:t>23</w:t>
      </w:r>
      <w:r>
        <w:rPr>
          <w:rFonts w:hint="eastAsia" w:ascii="宋体" w:hAnsi="宋体" w:cs="宋体"/>
          <w:color w:val="auto"/>
          <w:sz w:val="28"/>
          <w:szCs w:val="28"/>
          <w:lang w:val="zh-CN" w:eastAsia="zh-CN"/>
        </w:rPr>
        <w:t>日起修订）</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（5）《中华人民共和国突发事件应对法》（中华人民共和国主席令第69号，自2007年11月1日起施行）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（6）《中华人民共和国劳动合同法》（主席令第73号，自2013年7月1日起施行）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（7）《中华人民共和国环境保护法》（主席令第9号，自2015年1月1日起施行）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（8）《中华人民共和国特种设备安全法》（主席令第4号，2014年1月1日起实施）；</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（9）《中华人民共和国防震减灾法》（国家主席令第7号，自2009年5月1日起施行）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（10）《工伤保险条例》（国务院第586号令）</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（11）《机关、团体、企业事业单位消防安全管理规定》（公安部第61号令）</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（12）《有限空间安全作业五条规定》（国家安监总局令[2014]第69号）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（13）《企业安全生产风险公告六条规定》（国家安监总局令[2014]第70号）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（14）《企业安全生产应急管理九条规定》（国家安监总局令[2015]第74号）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（15）《国家安全监管总局办公厅关于印发用人单位劳动防护用品管理规范的通知》（安监总厅安健〔2015〕124号）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（16）《工作场所职业卫生监督管理规定》（国家安监总局令第47号）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（17）《生产安全事故应急预案管理办法》（国家安全生产监督管理总局令第88号）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（18）《生产经营单位生产安全事故应急预案编制导则》（GB/T29639-2013）</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（19）《生产安全事故应急条例》（国令第708号，2019年4月1日起施行）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（20）《生产安全事故应急演练评估规范》（AQ/T9009-2015）</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（21）《生产安全事故应急演练指南》（AQ/T 9007-2011）</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w:t>
      </w:r>
      <w:r>
        <w:rPr>
          <w:rFonts w:hint="eastAsia" w:ascii="宋体" w:hAnsi="宋体" w:cs="宋体"/>
          <w:color w:val="auto"/>
          <w:sz w:val="28"/>
          <w:szCs w:val="28"/>
          <w:lang w:val="en-US" w:eastAsia="zh-CN"/>
        </w:rPr>
        <w:t>22</w:t>
      </w:r>
      <w:r>
        <w:rPr>
          <w:rFonts w:hint="eastAsia" w:ascii="宋体" w:hAnsi="宋体" w:cs="宋体"/>
          <w:color w:val="auto"/>
          <w:sz w:val="28"/>
          <w:szCs w:val="28"/>
          <w:lang w:val="zh-CN" w:eastAsia="zh-CN"/>
        </w:rPr>
        <w:t>）《危险化学品重大危险源辨识》（GB18218-20</w:t>
      </w:r>
      <w:r>
        <w:rPr>
          <w:rFonts w:hint="eastAsia" w:ascii="宋体" w:hAnsi="宋体" w:cs="宋体"/>
          <w:color w:val="auto"/>
          <w:sz w:val="28"/>
          <w:szCs w:val="28"/>
          <w:lang w:val="en-US" w:eastAsia="zh-CN"/>
        </w:rPr>
        <w:t>18</w:t>
      </w:r>
      <w:r>
        <w:rPr>
          <w:rFonts w:hint="eastAsia" w:ascii="宋体" w:hAnsi="宋体" w:cs="宋体"/>
          <w:color w:val="auto"/>
          <w:sz w:val="28"/>
          <w:szCs w:val="28"/>
          <w:lang w:val="zh-CN" w:eastAsia="zh-CN"/>
        </w:rPr>
        <w:t>）</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3</w:t>
      </w:r>
      <w:r>
        <w:rPr>
          <w:rFonts w:hint="eastAsia" w:ascii="宋体" w:hAnsi="宋体" w:cs="宋体"/>
          <w:color w:val="auto"/>
          <w:sz w:val="28"/>
          <w:szCs w:val="28"/>
          <w:lang w:val="zh-CN" w:eastAsia="zh-CN"/>
        </w:rPr>
        <w:t>）《四川省安全生产条例》（2006年11月30日四川省第十届人大常委会第二十四次会议通过）</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4</w:t>
      </w:r>
      <w:r>
        <w:rPr>
          <w:rFonts w:hint="eastAsia" w:ascii="宋体" w:hAnsi="宋体" w:cs="宋体"/>
          <w:color w:val="auto"/>
          <w:sz w:val="28"/>
          <w:szCs w:val="28"/>
          <w:lang w:val="zh-CN" w:eastAsia="zh-CN"/>
        </w:rPr>
        <w:t>）《危险化学品目录》（2015年版）</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5</w:t>
      </w:r>
      <w:r>
        <w:rPr>
          <w:rFonts w:hint="eastAsia" w:ascii="宋体" w:hAnsi="宋体" w:cs="宋体"/>
          <w:color w:val="auto"/>
          <w:sz w:val="28"/>
          <w:szCs w:val="28"/>
          <w:lang w:val="zh-CN" w:eastAsia="zh-CN"/>
        </w:rPr>
        <w:t>）《易燃易爆性商品储存养护技术条件》（GB17914-2013）</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6</w:t>
      </w:r>
      <w:r>
        <w:rPr>
          <w:rFonts w:hint="eastAsia" w:ascii="宋体" w:hAnsi="宋体" w:cs="宋体"/>
          <w:color w:val="auto"/>
          <w:sz w:val="28"/>
          <w:szCs w:val="28"/>
          <w:lang w:val="zh-CN" w:eastAsia="zh-CN"/>
        </w:rPr>
        <w:t>）《四川省生产安全事故应急预案管理实施细则》（川安监〔2018〕43号）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7</w:t>
      </w:r>
      <w:r>
        <w:rPr>
          <w:rFonts w:hint="eastAsia" w:ascii="宋体" w:hAnsi="宋体" w:cs="宋体"/>
          <w:color w:val="auto"/>
          <w:sz w:val="28"/>
          <w:szCs w:val="28"/>
          <w:lang w:val="zh-CN" w:eastAsia="zh-CN"/>
        </w:rPr>
        <w:t>）《成都市安全生产监督管理局关于规范生产安全事故应急预案评审备案工作的通知》成安监函〔2018〕9号</w:t>
      </w:r>
    </w:p>
    <w:p>
      <w:pPr>
        <w:pStyle w:val="5"/>
        <w:spacing w:before="0" w:after="0" w:line="360" w:lineRule="auto"/>
        <w:rPr>
          <w:rFonts w:hint="eastAsia" w:ascii="宋体" w:hAnsi="宋体" w:eastAsia="宋体" w:cs="宋体"/>
          <w:color w:val="auto"/>
          <w:sz w:val="28"/>
          <w:szCs w:val="28"/>
          <w:lang w:val="en-US" w:eastAsia="zh-CN"/>
        </w:rPr>
      </w:pPr>
      <w:bookmarkStart w:id="25" w:name="_Toc25561"/>
      <w:bookmarkStart w:id="26" w:name="_Toc16426"/>
      <w:bookmarkStart w:id="27" w:name="_Toc26479"/>
      <w:r>
        <w:rPr>
          <w:rFonts w:hint="eastAsia" w:ascii="宋体" w:hAnsi="宋体" w:eastAsia="宋体" w:cs="宋体"/>
          <w:color w:val="auto"/>
          <w:sz w:val="28"/>
          <w:szCs w:val="28"/>
          <w:lang w:val="en-US" w:eastAsia="zh-CN"/>
        </w:rPr>
        <w:t>1.2评估目的</w:t>
      </w:r>
      <w:bookmarkEnd w:id="25"/>
      <w:bookmarkEnd w:id="26"/>
      <w:bookmarkEnd w:id="27"/>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为规范</w:t>
      </w:r>
      <w:r>
        <w:rPr>
          <w:rFonts w:hint="eastAsia" w:hAnsi="宋体"/>
          <w:sz w:val="28"/>
          <w:szCs w:val="28"/>
          <w:lang w:eastAsia="zh-CN"/>
        </w:rPr>
        <w:t>公司</w:t>
      </w:r>
      <w:r>
        <w:rPr>
          <w:rFonts w:hint="eastAsia" w:hAnsi="宋体"/>
          <w:sz w:val="28"/>
          <w:szCs w:val="28"/>
        </w:rPr>
        <w:t>风险管理工作，识别和分析生产安全作业中的危险有害因素，消除或减少事故危害，确保安全作业，由</w:t>
      </w:r>
      <w:r>
        <w:rPr>
          <w:rFonts w:hint="eastAsia" w:hAnsi="宋体"/>
          <w:sz w:val="28"/>
          <w:szCs w:val="28"/>
          <w:lang w:eastAsia="zh-CN"/>
        </w:rPr>
        <w:t>公司</w:t>
      </w:r>
      <w:r>
        <w:rPr>
          <w:rFonts w:hint="eastAsia" w:hAnsi="宋体"/>
          <w:sz w:val="28"/>
          <w:szCs w:val="28"/>
        </w:rPr>
        <w:t>风险评价小组进行风险评估。</w:t>
      </w:r>
    </w:p>
    <w:p>
      <w:pPr>
        <w:pStyle w:val="5"/>
        <w:spacing w:before="0" w:after="0" w:line="360" w:lineRule="auto"/>
        <w:rPr>
          <w:rFonts w:hint="eastAsia" w:ascii="宋体" w:hAnsi="宋体" w:eastAsia="宋体" w:cs="宋体"/>
          <w:color w:val="auto"/>
          <w:sz w:val="28"/>
          <w:szCs w:val="28"/>
          <w:lang w:val="en-US" w:eastAsia="zh-CN"/>
        </w:rPr>
      </w:pPr>
      <w:bookmarkStart w:id="28" w:name="_Toc19499"/>
      <w:bookmarkStart w:id="29" w:name="_Toc12578"/>
      <w:bookmarkStart w:id="30" w:name="_Toc8775"/>
      <w:r>
        <w:rPr>
          <w:rFonts w:hint="eastAsia" w:ascii="宋体" w:hAnsi="宋体" w:eastAsia="宋体" w:cs="宋体"/>
          <w:color w:val="auto"/>
          <w:sz w:val="28"/>
          <w:szCs w:val="28"/>
          <w:lang w:val="en-US" w:eastAsia="zh-CN"/>
        </w:rPr>
        <w:t>1.3风险评估范围</w:t>
      </w:r>
      <w:bookmarkEnd w:id="28"/>
      <w:bookmarkEnd w:id="29"/>
      <w:bookmarkEnd w:id="30"/>
      <w:r>
        <w:rPr>
          <w:rFonts w:hint="eastAsia" w:ascii="宋体" w:hAnsi="宋体" w:eastAsia="宋体" w:cs="宋体"/>
          <w:color w:val="auto"/>
          <w:sz w:val="28"/>
          <w:szCs w:val="28"/>
          <w:lang w:val="en-US" w:eastAsia="zh-CN"/>
        </w:rPr>
        <w:t xml:space="preserve">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评估范围主要围绕生产经营活动开展，主要包括</w:t>
      </w:r>
      <w:r>
        <w:rPr>
          <w:rFonts w:hint="eastAsia" w:hAnsi="宋体"/>
          <w:sz w:val="28"/>
          <w:szCs w:val="28"/>
          <w:lang w:eastAsia="zh-CN"/>
        </w:rPr>
        <w:t>公司</w:t>
      </w:r>
      <w:r>
        <w:rPr>
          <w:rFonts w:hint="eastAsia" w:hAnsi="宋体"/>
          <w:sz w:val="28"/>
          <w:szCs w:val="28"/>
        </w:rPr>
        <w:t>在生产经营过程的生产工艺装置和储存设施以及配套的公用工程系统的风险性识别和分析。</w:t>
      </w:r>
    </w:p>
    <w:p>
      <w:pPr>
        <w:pStyle w:val="5"/>
        <w:spacing w:before="0" w:after="0" w:line="360" w:lineRule="auto"/>
        <w:rPr>
          <w:rFonts w:hint="eastAsia" w:ascii="宋体" w:hAnsi="宋体" w:eastAsia="宋体" w:cs="宋体"/>
          <w:sz w:val="28"/>
          <w:szCs w:val="28"/>
        </w:rPr>
      </w:pPr>
      <w:bookmarkStart w:id="31" w:name="_Toc23032"/>
      <w:bookmarkStart w:id="32" w:name="_Toc15923"/>
      <w:bookmarkStart w:id="33" w:name="_Toc24260"/>
      <w:r>
        <w:rPr>
          <w:rFonts w:hint="eastAsia" w:ascii="宋体" w:hAnsi="宋体" w:eastAsia="宋体" w:cs="宋体"/>
          <w:sz w:val="28"/>
          <w:szCs w:val="28"/>
        </w:rPr>
        <w:t>1.4评估程序</w:t>
      </w:r>
      <w:bookmarkEnd w:id="31"/>
      <w:bookmarkEnd w:id="32"/>
      <w:bookmarkEnd w:id="33"/>
      <w:r>
        <w:rPr>
          <w:rFonts w:hint="eastAsia" w:ascii="宋体" w:hAnsi="宋体" w:eastAsia="宋体" w:cs="宋体"/>
          <w:sz w:val="28"/>
          <w:szCs w:val="28"/>
        </w:rPr>
        <w:t xml:space="preserve">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 xml:space="preserve">1、成立风险评估小组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 xml:space="preserve">2、收集分析资料、现场勘察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 xml:space="preserve">3、组织进行风险识别和评估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4、评估汇总交</w:t>
      </w:r>
      <w:r>
        <w:rPr>
          <w:rFonts w:hint="eastAsia" w:hAnsi="宋体"/>
          <w:sz w:val="28"/>
          <w:szCs w:val="28"/>
          <w:lang w:eastAsia="zh-CN"/>
        </w:rPr>
        <w:t>公司</w:t>
      </w:r>
      <w:r>
        <w:rPr>
          <w:rFonts w:hint="eastAsia" w:hAnsi="宋体"/>
          <w:sz w:val="28"/>
          <w:szCs w:val="28"/>
        </w:rPr>
        <w:t xml:space="preserve">主要负责人批准 </w:t>
      </w:r>
    </w:p>
    <w:p>
      <w:pPr>
        <w:rPr>
          <w:rFonts w:hint="eastAsia" w:ascii="黑体" w:hAnsi="宋体" w:eastAsia="黑体"/>
          <w:b/>
          <w:color w:val="auto"/>
          <w:sz w:val="32"/>
          <w:szCs w:val="32"/>
          <w:lang w:val="en-US" w:eastAsia="zh-CN"/>
        </w:rPr>
      </w:pPr>
      <w:r>
        <w:rPr>
          <w:rFonts w:hint="eastAsia" w:ascii="黑体" w:hAnsi="宋体" w:eastAsia="黑体"/>
          <w:b/>
          <w:color w:val="auto"/>
          <w:sz w:val="32"/>
          <w:szCs w:val="32"/>
          <w:lang w:val="en-US" w:eastAsia="zh-CN"/>
        </w:rPr>
        <w:br w:type="page"/>
      </w:r>
    </w:p>
    <w:p>
      <w:pPr>
        <w:numPr>
          <w:ilvl w:val="0"/>
          <w:numId w:val="0"/>
        </w:numPr>
        <w:spacing w:line="360" w:lineRule="auto"/>
        <w:jc w:val="center"/>
        <w:outlineLvl w:val="0"/>
        <w:rPr>
          <w:rFonts w:hint="eastAsia" w:ascii="黑体" w:hAnsi="宋体" w:eastAsia="黑体"/>
          <w:b/>
          <w:color w:val="auto"/>
          <w:sz w:val="32"/>
          <w:szCs w:val="32"/>
        </w:rPr>
      </w:pPr>
      <w:bookmarkStart w:id="34" w:name="_Toc19245"/>
      <w:r>
        <w:rPr>
          <w:rFonts w:hint="eastAsia" w:ascii="黑体" w:hAnsi="宋体" w:eastAsia="黑体"/>
          <w:b/>
          <w:color w:val="auto"/>
          <w:sz w:val="32"/>
          <w:szCs w:val="32"/>
          <w:lang w:val="en-US" w:eastAsia="zh-CN"/>
        </w:rPr>
        <w:t>2</w:t>
      </w:r>
      <w:r>
        <w:rPr>
          <w:rFonts w:hint="eastAsia" w:ascii="黑体" w:hAnsi="宋体" w:eastAsia="黑体"/>
          <w:b/>
          <w:color w:val="auto"/>
          <w:sz w:val="32"/>
          <w:szCs w:val="32"/>
        </w:rPr>
        <w:t>公司概况</w:t>
      </w:r>
      <w:bookmarkEnd w:id="0"/>
      <w:bookmarkEnd w:id="34"/>
    </w:p>
    <w:p>
      <w:pPr>
        <w:pStyle w:val="5"/>
        <w:spacing w:before="0" w:after="0" w:line="360" w:lineRule="auto"/>
        <w:rPr>
          <w:rFonts w:hint="eastAsia" w:ascii="宋体" w:hAnsi="宋体" w:eastAsia="宋体" w:cs="宋体"/>
          <w:color w:val="auto"/>
          <w:sz w:val="28"/>
          <w:szCs w:val="28"/>
        </w:rPr>
      </w:pPr>
      <w:bookmarkStart w:id="35" w:name="_Toc4724"/>
      <w:bookmarkStart w:id="36" w:name="_Toc9604"/>
      <w:bookmarkStart w:id="37" w:name="_Toc13200"/>
      <w:bookmarkStart w:id="38" w:name="_Toc332285103"/>
      <w:bookmarkStart w:id="39" w:name="_Toc176022617"/>
      <w:bookmarkStart w:id="40" w:name="_Toc480804386"/>
      <w:bookmarkStart w:id="41" w:name="_Toc514342838"/>
      <w:bookmarkStart w:id="42" w:name="_Toc485656588"/>
      <w:r>
        <w:rPr>
          <w:rFonts w:hint="eastAsia" w:ascii="宋体" w:hAnsi="宋体" w:eastAsia="宋体" w:cs="宋体"/>
          <w:color w:val="auto"/>
          <w:sz w:val="28"/>
          <w:szCs w:val="28"/>
        </w:rPr>
        <w:t>2.1 公司概况</w:t>
      </w:r>
      <w:bookmarkEnd w:id="35"/>
      <w:bookmarkEnd w:id="36"/>
    </w:p>
    <w:tbl>
      <w:tblPr>
        <w:tblStyle w:val="20"/>
        <w:tblW w:w="92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6"/>
        <w:gridCol w:w="1907"/>
        <w:gridCol w:w="1643"/>
        <w:gridCol w:w="366"/>
        <w:gridCol w:w="1134"/>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单位</w:t>
            </w:r>
            <w:r>
              <w:rPr>
                <w:rFonts w:hint="eastAsia" w:hAnsi="宋体" w:eastAsia="Times New Roman" w:cs="宋体"/>
                <w:color w:val="auto"/>
                <w:kern w:val="2"/>
                <w:sz w:val="28"/>
                <w:szCs w:val="28"/>
                <w:lang w:val="zh-CN" w:eastAsia="zh-CN" w:bidi="ar-SA"/>
              </w:rPr>
              <w:t>名称</w:t>
            </w:r>
          </w:p>
        </w:tc>
        <w:tc>
          <w:tcPr>
            <w:tcW w:w="7012" w:type="dxa"/>
            <w:gridSpan w:val="5"/>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仪陇县瓦子镇宏发页岩砖厂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法人代表</w:t>
            </w:r>
          </w:p>
        </w:tc>
        <w:tc>
          <w:tcPr>
            <w:tcW w:w="1907"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何春妙</w:t>
            </w:r>
          </w:p>
        </w:tc>
        <w:tc>
          <w:tcPr>
            <w:tcW w:w="2009" w:type="dxa"/>
            <w:gridSpan w:val="2"/>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联系电话</w:t>
            </w:r>
          </w:p>
        </w:tc>
        <w:tc>
          <w:tcPr>
            <w:tcW w:w="3096" w:type="dxa"/>
            <w:gridSpan w:val="2"/>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hAnsi="宋体" w:eastAsia="Times New Roman" w:cs="宋体"/>
                <w:color w:val="auto"/>
                <w:kern w:val="2"/>
                <w:sz w:val="28"/>
                <w:szCs w:val="28"/>
                <w:lang w:val="en-US" w:eastAsia="zh-CN" w:bidi="ar-SA"/>
              </w:rPr>
            </w:pPr>
            <w:r>
              <w:rPr>
                <w:rFonts w:hint="eastAsia" w:hAnsi="宋体" w:eastAsia="Times New Roman" w:cs="宋体"/>
                <w:color w:val="auto"/>
                <w:kern w:val="2"/>
                <w:sz w:val="28"/>
                <w:szCs w:val="28"/>
                <w:lang w:val="en-US" w:eastAsia="zh-CN" w:bidi="ar-SA"/>
              </w:rPr>
              <w:t>13890783011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联系人</w:t>
            </w:r>
          </w:p>
        </w:tc>
        <w:tc>
          <w:tcPr>
            <w:tcW w:w="1907"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刘维江</w:t>
            </w:r>
          </w:p>
        </w:tc>
        <w:tc>
          <w:tcPr>
            <w:tcW w:w="2009" w:type="dxa"/>
            <w:gridSpan w:val="2"/>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成立时间</w:t>
            </w:r>
          </w:p>
        </w:tc>
        <w:tc>
          <w:tcPr>
            <w:tcW w:w="3096" w:type="dxa"/>
            <w:gridSpan w:val="2"/>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hAnsi="宋体" w:eastAsia="Times New Roman" w:cs="宋体"/>
                <w:color w:val="auto"/>
                <w:kern w:val="2"/>
                <w:sz w:val="28"/>
                <w:szCs w:val="28"/>
                <w:lang w:val="en-US" w:eastAsia="zh-CN" w:bidi="ar-SA"/>
              </w:rPr>
            </w:pPr>
            <w:r>
              <w:rPr>
                <w:rFonts w:hint="eastAsia" w:hAnsi="宋体" w:eastAsia="Times New Roman" w:cs="宋体"/>
                <w:color w:val="auto"/>
                <w:kern w:val="2"/>
                <w:sz w:val="28"/>
                <w:szCs w:val="28"/>
                <w:lang w:val="en-US" w:eastAsia="zh-CN" w:bidi="ar-SA"/>
              </w:rPr>
              <w:t>2017年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企业性质</w:t>
            </w:r>
          </w:p>
        </w:tc>
        <w:tc>
          <w:tcPr>
            <w:tcW w:w="1907"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auto"/>
                <w:kern w:val="2"/>
                <w:sz w:val="28"/>
                <w:szCs w:val="28"/>
                <w:lang w:val="en-US" w:eastAsia="zh-CN" w:bidi="ar-SA"/>
              </w:rPr>
            </w:pPr>
            <w:r>
              <w:rPr>
                <w:rFonts w:hint="eastAsia" w:hAnsi="宋体" w:eastAsia="Times New Roman" w:cs="宋体"/>
                <w:color w:val="auto"/>
                <w:kern w:val="2"/>
                <w:sz w:val="28"/>
                <w:szCs w:val="28"/>
                <w:lang w:val="en-US" w:eastAsia="zh-CN" w:bidi="ar-SA"/>
              </w:rPr>
              <w:t>个体工商户</w:t>
            </w:r>
          </w:p>
        </w:tc>
        <w:tc>
          <w:tcPr>
            <w:tcW w:w="2009" w:type="dxa"/>
            <w:gridSpan w:val="2"/>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en-US" w:eastAsia="zh-CN" w:bidi="ar-SA"/>
              </w:rPr>
              <w:t>注册号</w:t>
            </w:r>
          </w:p>
        </w:tc>
        <w:tc>
          <w:tcPr>
            <w:tcW w:w="3096" w:type="dxa"/>
            <w:gridSpan w:val="2"/>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Courier New"/>
                <w:snapToGrid w:val="0"/>
                <w:color w:val="auto"/>
                <w:kern w:val="0"/>
                <w:sz w:val="28"/>
                <w:szCs w:val="28"/>
                <w:lang w:val="zh-CN" w:eastAsia="zh-CN"/>
              </w:rPr>
            </w:pPr>
            <w:r>
              <w:rPr>
                <w:rFonts w:hint="eastAsia" w:ascii="仿宋_GB2312" w:hAnsi="Courier New"/>
                <w:snapToGrid w:val="0"/>
                <w:color w:val="auto"/>
                <w:kern w:val="0"/>
                <w:sz w:val="28"/>
                <w:szCs w:val="28"/>
                <w:lang w:val="en-US" w:eastAsia="zh-CN"/>
              </w:rPr>
              <w:t>92511324MA63P66G21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通讯地址</w:t>
            </w:r>
          </w:p>
        </w:tc>
        <w:tc>
          <w:tcPr>
            <w:tcW w:w="7012" w:type="dxa"/>
            <w:gridSpan w:val="5"/>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仪陇县瓦子镇双龙庙村五社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行业类别及代码</w:t>
            </w:r>
          </w:p>
        </w:tc>
        <w:tc>
          <w:tcPr>
            <w:tcW w:w="7012" w:type="dxa"/>
            <w:gridSpan w:val="5"/>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auto"/>
                <w:kern w:val="2"/>
                <w:sz w:val="28"/>
                <w:szCs w:val="28"/>
                <w:lang w:val="en-US" w:eastAsia="zh-CN" w:bidi="ar-SA"/>
              </w:rPr>
            </w:pPr>
            <w:r>
              <w:rPr>
                <w:rFonts w:hint="eastAsia" w:hAnsi="宋体" w:eastAsia="Times New Roman" w:cs="宋体"/>
                <w:color w:val="auto"/>
                <w:kern w:val="2"/>
                <w:sz w:val="28"/>
                <w:szCs w:val="28"/>
                <w:lang w:val="zh-CN" w:eastAsia="zh-CN" w:bidi="ar-SA"/>
              </w:rPr>
              <w:t>C</w:t>
            </w:r>
            <w:r>
              <w:rPr>
                <w:rFonts w:hint="eastAsia" w:hAnsi="宋体" w:eastAsia="Times New Roman" w:cs="宋体"/>
                <w:color w:val="auto"/>
                <w:kern w:val="2"/>
                <w:sz w:val="28"/>
                <w:szCs w:val="28"/>
                <w:lang w:val="en-US" w:eastAsia="en-US" w:bidi="ar-SA"/>
              </w:rPr>
              <w:t>3031</w:t>
            </w:r>
            <w:r>
              <w:rPr>
                <w:rFonts w:hint="eastAsia" w:hAnsi="宋体" w:eastAsia="Times New Roman" w:cs="宋体"/>
                <w:color w:val="auto"/>
                <w:kern w:val="2"/>
                <w:sz w:val="28"/>
                <w:szCs w:val="28"/>
                <w:lang w:val="zh-CN" w:eastAsia="zh-CN" w:bidi="ar-SA"/>
              </w:rPr>
              <w:t>粘土砖瓦及建筑砌块制造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企业规模</w:t>
            </w:r>
          </w:p>
        </w:tc>
        <w:tc>
          <w:tcPr>
            <w:tcW w:w="3550" w:type="dxa"/>
            <w:gridSpan w:val="2"/>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en-US" w:eastAsia="zh-CN" w:bidi="ar-SA"/>
              </w:rPr>
            </w:pPr>
            <w:r>
              <w:rPr>
                <w:rFonts w:hint="eastAsia" w:hAnsi="宋体" w:cs="宋体"/>
                <w:lang w:val="en-US" w:eastAsia="zh-CN"/>
              </w:rPr>
              <w:t>35</w:t>
            </w:r>
            <w:r>
              <w:rPr>
                <w:rFonts w:hint="eastAsia" w:ascii="宋体" w:hAnsi="宋体" w:eastAsia="宋体" w:cs="宋体"/>
              </w:rPr>
              <w:t>00万标砖/年</w:t>
            </w:r>
          </w:p>
        </w:tc>
        <w:tc>
          <w:tcPr>
            <w:tcW w:w="1500" w:type="dxa"/>
            <w:gridSpan w:val="2"/>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占地面积</w:t>
            </w:r>
          </w:p>
        </w:tc>
        <w:tc>
          <w:tcPr>
            <w:tcW w:w="1962"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hAnsi="宋体" w:cs="宋体"/>
                <w:lang w:val="en-US" w:eastAsia="zh-CN"/>
              </w:rPr>
              <w:t>10000</w:t>
            </w:r>
            <w:r>
              <w:rPr>
                <w:rFonts w:hint="eastAsia" w:ascii="宋体" w:hAnsi="宋体" w:eastAsia="宋体" w:cs="宋体"/>
              </w:rPr>
              <w:t>m</w:t>
            </w:r>
            <w:r>
              <w:rPr>
                <w:rFonts w:hint="eastAsia" w:ascii="宋体" w:hAnsi="宋体" w:eastAsia="宋体" w:cs="宋体"/>
                <w:vertAlign w:val="superscript"/>
              </w:rPr>
              <w:t>2</w:t>
            </w:r>
          </w:p>
        </w:tc>
      </w:tr>
    </w:tbl>
    <w:p>
      <w:pPr>
        <w:pStyle w:val="12"/>
        <w:spacing w:line="240" w:lineRule="auto"/>
        <w:ind w:firstLine="482" w:firstLineChars="200"/>
        <w:jc w:val="center"/>
        <w:rPr>
          <w:rFonts w:hint="eastAsia" w:ascii="黑体" w:hAnsi="Courier New" w:eastAsia="黑体"/>
          <w:b/>
          <w:color w:val="auto"/>
          <w:sz w:val="24"/>
        </w:rPr>
      </w:pPr>
      <w:bookmarkStart w:id="43" w:name="_Toc332285104"/>
      <w:r>
        <w:rPr>
          <w:rFonts w:hint="eastAsia" w:ascii="黑体" w:hAnsi="Courier New" w:eastAsia="黑体"/>
          <w:b/>
          <w:color w:val="auto"/>
          <w:sz w:val="24"/>
        </w:rPr>
        <w:t>表2-1 单位基本情况一览表</w:t>
      </w:r>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仪陇县瓦子镇宏发页岩砖厂于2017年成立，位于仪陇县瓦子镇双龙庙村五社。现有18人，安全生产管理人员由于总经理何春妙、厂长刘维江、安全员林雪松、叶济群、杜凯亭组成。公司生产规模：年产3500万匹页岩砖。</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年生产工作日为3</w:t>
      </w:r>
      <w:r>
        <w:rPr>
          <w:rFonts w:hint="eastAsia" w:ascii="宋体" w:hAnsi="宋体" w:cs="宋体"/>
          <w:color w:val="auto"/>
          <w:sz w:val="28"/>
          <w:szCs w:val="28"/>
          <w:lang w:val="en-US" w:eastAsia="zh-CN"/>
        </w:rPr>
        <w:t>00</w:t>
      </w:r>
      <w:r>
        <w:rPr>
          <w:rFonts w:hint="eastAsia" w:ascii="宋体" w:hAnsi="宋体" w:cs="宋体"/>
          <w:color w:val="auto"/>
          <w:sz w:val="28"/>
          <w:szCs w:val="28"/>
          <w:lang w:val="zh-CN" w:eastAsia="zh-CN"/>
        </w:rPr>
        <w:t>天。焙烧窑24小时燃烧，员工采取二班倒工作制（每班工作8小时）。</w:t>
      </w:r>
    </w:p>
    <w:p>
      <w:pPr>
        <w:pStyle w:val="5"/>
        <w:spacing w:before="0" w:after="0" w:line="360" w:lineRule="auto"/>
        <w:rPr>
          <w:rFonts w:hint="eastAsia" w:ascii="宋体" w:hAnsi="宋体" w:eastAsia="宋体" w:cs="宋体"/>
          <w:color w:val="0000FF"/>
          <w:sz w:val="28"/>
          <w:szCs w:val="28"/>
        </w:rPr>
      </w:pPr>
      <w:bookmarkStart w:id="44" w:name="_Toc23447"/>
      <w:bookmarkStart w:id="45" w:name="_Toc26682"/>
      <w:r>
        <w:rPr>
          <w:rFonts w:hint="eastAsia" w:ascii="宋体" w:hAnsi="宋体" w:eastAsia="宋体" w:cs="宋体"/>
          <w:color w:val="0000FF"/>
          <w:sz w:val="28"/>
          <w:szCs w:val="28"/>
        </w:rPr>
        <w:t>2.</w:t>
      </w:r>
      <w:r>
        <w:rPr>
          <w:rFonts w:hint="eastAsia" w:ascii="宋体" w:hAnsi="宋体" w:eastAsia="宋体" w:cs="宋体"/>
          <w:color w:val="0000FF"/>
          <w:sz w:val="28"/>
          <w:szCs w:val="28"/>
          <w:lang w:val="en-US" w:eastAsia="zh-CN"/>
        </w:rPr>
        <w:t>1.1</w:t>
      </w:r>
      <w:r>
        <w:rPr>
          <w:rFonts w:hint="eastAsia" w:ascii="宋体" w:hAnsi="宋体" w:eastAsia="宋体" w:cs="宋体"/>
          <w:color w:val="0000FF"/>
          <w:sz w:val="28"/>
          <w:szCs w:val="28"/>
        </w:rPr>
        <w:t>公司地理位置及环境等情况</w:t>
      </w:r>
      <w:bookmarkEnd w:id="43"/>
      <w:bookmarkEnd w:id="44"/>
      <w:bookmarkEnd w:id="45"/>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en-US" w:eastAsia="zh-CN"/>
        </w:rPr>
        <w:t>仪陇县瓦子镇宏发页岩砖厂</w:t>
      </w:r>
      <w:r>
        <w:rPr>
          <w:rFonts w:hint="eastAsia" w:ascii="宋体" w:hAnsi="宋体" w:cs="宋体"/>
          <w:color w:val="auto"/>
          <w:sz w:val="28"/>
          <w:szCs w:val="28"/>
          <w:lang w:val="zh-CN" w:eastAsia="zh-CN"/>
        </w:rPr>
        <w:t>行政区划隶属仪陇县瓦子镇双龙庙村五社，瓦子镇位于四川省仪陇县东北部。位于县境东北部，距县城39公里。地处仪（陇）、巴（中）、平（昌）三县市交界地区，东靠平昌县南丰乡，南接立山镇，西临思德、秋垭乡，北与巴中市凤溪乡接壤，距县城90公里，辖11个村72个村民小组，1个居委会、2个居民小组。总户数3214户，总人口12111人。面积36.9平方公里，人口1.6万。辖双龙庙、靛池沟、阎王坡、解放、凉泉、赵奎梁、梓潼山、天院寺、摇铃山、板凳垭、武魁岩、钟鼓楼、炮台、大田坝、金土地、沙坎子16个村委会和瓦子街1个居委会。境内交通发达，市场繁荣。</w:t>
      </w:r>
    </w:p>
    <w:p>
      <w:pPr>
        <w:pStyle w:val="2"/>
        <w:ind w:left="0" w:leftChars="0" w:firstLine="0" w:firstLineChars="0"/>
        <w:rPr>
          <w:rFonts w:hint="eastAsia"/>
          <w:lang w:val="zh-CN" w:eastAsia="zh-CN"/>
        </w:rPr>
      </w:pPr>
      <w:r>
        <w:rPr>
          <w:color w:val="0000FF"/>
          <w:sz w:val="72"/>
        </w:rPr>
        <mc:AlternateContent>
          <mc:Choice Requires="wps">
            <w:drawing>
              <wp:anchor distT="0" distB="0" distL="114300" distR="114300" simplePos="0" relativeHeight="251718656" behindDoc="0" locked="0" layoutInCell="1" allowOverlap="1">
                <wp:simplePos x="0" y="0"/>
                <wp:positionH relativeFrom="column">
                  <wp:posOffset>2375535</wp:posOffset>
                </wp:positionH>
                <wp:positionV relativeFrom="paragraph">
                  <wp:posOffset>2042795</wp:posOffset>
                </wp:positionV>
                <wp:extent cx="1728470" cy="256540"/>
                <wp:effectExtent l="4445" t="125730" r="172085" b="13970"/>
                <wp:wrapNone/>
                <wp:docPr id="5" name="圆角矩形标注 5"/>
                <wp:cNvGraphicFramePr/>
                <a:graphic xmlns:a="http://schemas.openxmlformats.org/drawingml/2006/main">
                  <a:graphicData uri="http://schemas.microsoft.com/office/word/2010/wordprocessingShape">
                    <wps:wsp>
                      <wps:cNvSpPr/>
                      <wps:spPr>
                        <a:xfrm flipH="1" flipV="1">
                          <a:off x="0" y="0"/>
                          <a:ext cx="1728470" cy="256540"/>
                        </a:xfrm>
                        <a:prstGeom prst="wedgeRoundRectCallout">
                          <a:avLst>
                            <a:gd name="adj1" fmla="val -57491"/>
                            <a:gd name="adj2" fmla="val 95208"/>
                            <a:gd name="adj3" fmla="val 16667"/>
                          </a:avLst>
                        </a:prstGeom>
                        <a:noFill/>
                        <a:ln w="9525" cap="flat" cmpd="sng">
                          <a:solidFill>
                            <a:srgbClr val="000000"/>
                          </a:solidFill>
                          <a:prstDash val="solid"/>
                          <a:miter/>
                          <a:headEnd type="none" w="med" len="med"/>
                          <a:tailEnd type="none" w="med" len="med"/>
                        </a:ln>
                      </wps:spPr>
                      <wps:txbx>
                        <w:txbxContent>
                          <w:p>
                            <w:pPr>
                              <w:rPr>
                                <w:color w:val="FF0000"/>
                                <w:sz w:val="18"/>
                                <w:szCs w:val="18"/>
                              </w:rPr>
                            </w:pPr>
                            <w:r>
                              <w:rPr>
                                <w:rFonts w:hint="eastAsia" w:ascii="宋体" w:hAnsi="宋体" w:cs="宋体"/>
                                <w:color w:val="FF0000"/>
                                <w:sz w:val="18"/>
                                <w:szCs w:val="18"/>
                                <w:lang w:val="zh-CN" w:eastAsia="zh-CN"/>
                              </w:rPr>
                              <w:t>仪陇县瓦子镇宏发页岩砖厂</w:t>
                            </w:r>
                          </w:p>
                        </w:txbxContent>
                      </wps:txbx>
                      <wps:bodyPr upright="1"/>
                    </wps:wsp>
                  </a:graphicData>
                </a:graphic>
              </wp:anchor>
            </w:drawing>
          </mc:Choice>
          <mc:Fallback>
            <w:pict>
              <v:shape id="_x0000_s1026" o:spid="_x0000_s1026" o:spt="62" type="#_x0000_t62" style="position:absolute;left:0pt;flip:x y;margin-left:187.05pt;margin-top:160.85pt;height:20.2pt;width:136.1pt;z-index:251718656;mso-width-relative:page;mso-height-relative:page;" filled="f" stroked="t" coordsize="21600,21600" o:gfxdata="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&#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ysYOLaAAAACwEAAA8AAAAAAAAAAQAgAAAAIgAAAGRy&#10;cy9kb3ducmV2LnhtbFBLAQIUABQAAAAIAIdO4kB/10KYPAIAAFkEAAAOAAAAAAAAAAEAIAAAACkB&#10;AABkcnMvZTJvRG9jLnhtbFBLBQYAAAAABgAGAFkBAADXBQAAAAA=&#10;" adj="-1618,31365,14400">
                <v:fill on="f" focussize="0,0"/>
                <v:stroke color="#000000" joinstyle="miter"/>
                <v:imagedata o:title=""/>
                <o:lock v:ext="edit" aspectratio="f"/>
                <v:textbox>
                  <w:txbxContent>
                    <w:p>
                      <w:pPr>
                        <w:rPr>
                          <w:color w:val="FF0000"/>
                          <w:sz w:val="18"/>
                          <w:szCs w:val="18"/>
                        </w:rPr>
                      </w:pPr>
                      <w:r>
                        <w:rPr>
                          <w:rFonts w:hint="eastAsia" w:ascii="宋体" w:hAnsi="宋体" w:cs="宋体"/>
                          <w:color w:val="FF0000"/>
                          <w:sz w:val="18"/>
                          <w:szCs w:val="18"/>
                          <w:lang w:val="zh-CN" w:eastAsia="zh-CN"/>
                        </w:rPr>
                        <w:t>仪陇县瓦子镇宏发页岩砖厂</w:t>
                      </w:r>
                    </w:p>
                  </w:txbxContent>
                </v:textbox>
              </v:shape>
            </w:pict>
          </mc:Fallback>
        </mc:AlternateContent>
      </w:r>
      <w:r>
        <w:drawing>
          <wp:inline distT="0" distB="0" distL="114300" distR="114300">
            <wp:extent cx="5972810" cy="2922905"/>
            <wp:effectExtent l="0" t="0" r="1270"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5972810" cy="2922905"/>
                    </a:xfrm>
                    <a:prstGeom prst="rect">
                      <a:avLst/>
                    </a:prstGeom>
                    <a:noFill/>
                    <a:ln>
                      <a:noFill/>
                    </a:ln>
                  </pic:spPr>
                </pic:pic>
              </a:graphicData>
            </a:graphic>
          </wp:inline>
        </w:drawing>
      </w:r>
    </w:p>
    <w:p>
      <w:pPr>
        <w:pStyle w:val="12"/>
        <w:spacing w:line="240" w:lineRule="auto"/>
        <w:ind w:firstLine="482" w:firstLineChars="200"/>
        <w:jc w:val="center"/>
        <w:rPr>
          <w:rFonts w:hint="eastAsia" w:ascii="黑体" w:hAnsi="Courier New" w:eastAsia="黑体"/>
          <w:b/>
          <w:color w:val="auto"/>
          <w:sz w:val="24"/>
          <w:lang w:eastAsia="zh-CN"/>
        </w:rPr>
      </w:pPr>
      <w:bookmarkStart w:id="46" w:name="_Toc26359"/>
      <w:bookmarkStart w:id="47" w:name="_Toc332285105"/>
      <w:r>
        <w:rPr>
          <w:rFonts w:hint="eastAsia" w:ascii="黑体" w:hAnsi="Courier New" w:eastAsia="黑体"/>
          <w:b/>
          <w:color w:val="auto"/>
          <w:sz w:val="24"/>
          <w:lang w:eastAsia="zh-CN"/>
        </w:rPr>
        <w:t>图2-1 地理位置图</w:t>
      </w:r>
      <w:bookmarkEnd w:id="46"/>
    </w:p>
    <w:p>
      <w:pPr>
        <w:pStyle w:val="5"/>
        <w:spacing w:before="0" w:after="0" w:line="360" w:lineRule="auto"/>
        <w:rPr>
          <w:rFonts w:hint="eastAsia" w:ascii="宋体" w:hAnsi="宋体" w:eastAsia="宋体" w:cs="宋体"/>
          <w:color w:val="0000FF"/>
          <w:sz w:val="28"/>
          <w:szCs w:val="28"/>
          <w:lang w:val="en-US" w:eastAsia="zh-CN"/>
        </w:rPr>
      </w:pPr>
      <w:bookmarkStart w:id="48" w:name="_Toc29661"/>
      <w:bookmarkStart w:id="49" w:name="_Toc22934"/>
      <w:r>
        <w:rPr>
          <w:rFonts w:hint="eastAsia" w:ascii="宋体" w:hAnsi="宋体" w:eastAsia="宋体" w:cs="宋体"/>
          <w:color w:val="0000FF"/>
          <w:sz w:val="28"/>
          <w:szCs w:val="28"/>
          <w:lang w:val="zh-CN"/>
        </w:rPr>
        <w:t>2.1.</w:t>
      </w:r>
      <w:r>
        <w:rPr>
          <w:rFonts w:hint="eastAsia" w:ascii="宋体" w:hAnsi="宋体" w:eastAsia="宋体" w:cs="宋体"/>
          <w:color w:val="0000FF"/>
          <w:sz w:val="28"/>
          <w:szCs w:val="28"/>
          <w:lang w:val="en-US" w:eastAsia="zh-CN"/>
        </w:rPr>
        <w:t>2</w:t>
      </w:r>
      <w:r>
        <w:rPr>
          <w:rFonts w:hint="eastAsia" w:ascii="宋体" w:hAnsi="宋体" w:eastAsia="宋体" w:cs="宋体"/>
          <w:color w:val="0000FF"/>
          <w:sz w:val="28"/>
          <w:szCs w:val="28"/>
          <w:lang w:val="zh-CN"/>
        </w:rPr>
        <w:t>总体布置</w:t>
      </w:r>
      <w:bookmarkEnd w:id="48"/>
      <w:bookmarkEnd w:id="49"/>
    </w:p>
    <w:p>
      <w:pPr>
        <w:spacing w:line="360" w:lineRule="auto"/>
        <w:ind w:firstLine="562" w:firstLineChars="200"/>
        <w:rPr>
          <w:rFonts w:hint="eastAsia" w:ascii="宋体"/>
          <w:b/>
          <w:bCs/>
          <w:snapToGrid w:val="0"/>
          <w:color w:val="0000FF"/>
          <w:kern w:val="0"/>
          <w:sz w:val="28"/>
          <w:szCs w:val="28"/>
          <w:lang w:val="en-US" w:eastAsia="en-US"/>
        </w:rPr>
      </w:pPr>
      <w:r>
        <w:rPr>
          <w:rFonts w:hint="eastAsia" w:ascii="宋体" w:eastAsia="宋体"/>
          <w:b/>
          <w:bCs/>
          <w:snapToGrid w:val="0"/>
          <w:color w:val="0000FF"/>
          <w:kern w:val="0"/>
          <w:sz w:val="28"/>
          <w:szCs w:val="28"/>
          <w:lang w:val="en-US" w:eastAsia="zh-CN"/>
        </w:rPr>
        <w:t>1、</w:t>
      </w:r>
      <w:r>
        <w:rPr>
          <w:rFonts w:hint="eastAsia" w:ascii="宋体"/>
          <w:b/>
          <w:bCs/>
          <w:snapToGrid w:val="0"/>
          <w:color w:val="0000FF"/>
          <w:kern w:val="0"/>
          <w:sz w:val="28"/>
          <w:szCs w:val="28"/>
          <w:lang w:val="zh-CN" w:eastAsia="zh-CN"/>
        </w:rPr>
        <w:t>总平面布置</w:t>
      </w:r>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砖厂</w:t>
      </w:r>
      <w:r>
        <w:rPr>
          <w:rFonts w:hint="eastAsia" w:ascii="宋体" w:hAnsi="宋体" w:cs="宋体"/>
          <w:color w:val="auto"/>
          <w:sz w:val="28"/>
          <w:szCs w:val="28"/>
          <w:lang w:val="zh-CN" w:eastAsia="zh-CN"/>
        </w:rPr>
        <w:t>占地面积为</w:t>
      </w:r>
      <w:r>
        <w:rPr>
          <w:rFonts w:hint="eastAsia" w:ascii="宋体" w:hAnsi="宋体" w:cs="宋体"/>
          <w:color w:val="auto"/>
          <w:sz w:val="28"/>
          <w:szCs w:val="28"/>
          <w:lang w:val="en-US" w:eastAsia="en-US"/>
        </w:rPr>
        <w:t>10000m</w:t>
      </w:r>
      <w:r>
        <w:rPr>
          <w:rFonts w:hint="eastAsia" w:ascii="宋体" w:hAnsi="宋体" w:cs="宋体"/>
          <w:color w:val="auto"/>
          <w:sz w:val="28"/>
          <w:szCs w:val="28"/>
          <w:vertAlign w:val="superscript"/>
          <w:lang w:val="en-US" w:eastAsia="en-US"/>
        </w:rPr>
        <w:t>2</w:t>
      </w:r>
      <w:r>
        <w:rPr>
          <w:rFonts w:hint="eastAsia" w:ascii="宋体" w:hAnsi="宋体" w:cs="宋体"/>
          <w:color w:val="auto"/>
          <w:sz w:val="28"/>
          <w:szCs w:val="28"/>
          <w:lang w:val="en-US" w:eastAsia="en-US"/>
        </w:rPr>
        <w:t>,</w:t>
      </w:r>
      <w:r>
        <w:rPr>
          <w:rFonts w:hint="eastAsia" w:ascii="宋体" w:hAnsi="宋体" w:cs="宋体"/>
          <w:color w:val="auto"/>
          <w:sz w:val="28"/>
          <w:szCs w:val="28"/>
          <w:lang w:val="zh-CN" w:eastAsia="zh-CN"/>
        </w:rPr>
        <w:t>建筑面积</w:t>
      </w:r>
      <w:r>
        <w:rPr>
          <w:rFonts w:hint="eastAsia" w:ascii="宋体" w:hAnsi="宋体" w:cs="宋体"/>
          <w:color w:val="auto"/>
          <w:sz w:val="28"/>
          <w:szCs w:val="28"/>
          <w:lang w:val="en-US" w:eastAsia="en-US"/>
        </w:rPr>
        <w:t>15</w:t>
      </w:r>
      <w:r>
        <w:rPr>
          <w:rFonts w:hint="eastAsia" w:ascii="宋体" w:hAnsi="宋体" w:cs="宋体"/>
          <w:color w:val="auto"/>
          <w:sz w:val="28"/>
          <w:szCs w:val="28"/>
          <w:lang w:val="en-US" w:eastAsia="zh-CN"/>
        </w:rPr>
        <w:t>000</w:t>
      </w:r>
      <w:r>
        <w:rPr>
          <w:rFonts w:hint="eastAsia" w:ascii="宋体" w:hAnsi="宋体" w:cs="宋体"/>
          <w:color w:val="auto"/>
          <w:sz w:val="28"/>
          <w:szCs w:val="28"/>
          <w:lang w:val="en-US" w:eastAsia="en-US"/>
        </w:rPr>
        <w:t>m</w:t>
      </w:r>
      <w:r>
        <w:rPr>
          <w:rFonts w:hint="eastAsia" w:ascii="宋体" w:hAnsi="宋体" w:cs="宋体"/>
          <w:color w:val="auto"/>
          <w:sz w:val="28"/>
          <w:szCs w:val="28"/>
          <w:vertAlign w:val="superscript"/>
          <w:lang w:val="en-US" w:eastAsia="zh-CN"/>
        </w:rPr>
        <w:t>2</w:t>
      </w:r>
      <w:r>
        <w:rPr>
          <w:rFonts w:hint="eastAsia" w:ascii="宋体" w:hAnsi="宋体" w:cs="宋体"/>
          <w:color w:val="auto"/>
          <w:sz w:val="28"/>
          <w:szCs w:val="28"/>
          <w:lang w:val="zh-CN" w:eastAsia="zh-CN"/>
        </w:rPr>
        <w:t>，</w:t>
      </w:r>
      <w:r>
        <w:rPr>
          <w:rFonts w:hint="eastAsia" w:ascii="宋体" w:hAnsi="宋体" w:cs="宋体"/>
          <w:color w:val="auto"/>
          <w:sz w:val="28"/>
          <w:szCs w:val="28"/>
          <w:lang w:val="en-US" w:eastAsia="zh-CN"/>
        </w:rPr>
        <w:t>厂区用地按功能用途分为办公生活区、生产区，并将生产区与办公生活区分开布置。</w:t>
      </w:r>
      <w:r>
        <w:rPr>
          <w:rFonts w:hint="eastAsia" w:ascii="宋体" w:hAnsi="宋体" w:cs="宋体"/>
          <w:color w:val="auto"/>
          <w:sz w:val="28"/>
          <w:szCs w:val="28"/>
          <w:lang w:val="zh-CN" w:eastAsia="zh-CN"/>
        </w:rPr>
        <w:t>开设</w:t>
      </w:r>
      <w:r>
        <w:rPr>
          <w:rFonts w:hint="eastAsia" w:ascii="宋体" w:hAnsi="宋体" w:cs="宋体"/>
          <w:color w:val="auto"/>
          <w:sz w:val="28"/>
          <w:szCs w:val="28"/>
          <w:lang w:val="en-US" w:eastAsia="zh-CN"/>
        </w:rPr>
        <w:t>1</w:t>
      </w:r>
      <w:r>
        <w:rPr>
          <w:rFonts w:hint="eastAsia" w:ascii="宋体" w:hAnsi="宋体" w:cs="宋体"/>
          <w:color w:val="auto"/>
          <w:sz w:val="28"/>
          <w:szCs w:val="28"/>
          <w:lang w:val="zh-CN" w:eastAsia="zh-CN"/>
        </w:rPr>
        <w:t>个制砖车间，</w:t>
      </w:r>
      <w:r>
        <w:rPr>
          <w:rFonts w:hint="eastAsia" w:ascii="宋体" w:hAnsi="宋体" w:cs="宋体"/>
          <w:color w:val="auto"/>
          <w:sz w:val="28"/>
          <w:szCs w:val="28"/>
          <w:lang w:val="en-US" w:eastAsia="zh-CN"/>
        </w:rPr>
        <w:t>1</w:t>
      </w:r>
      <w:r>
        <w:rPr>
          <w:rFonts w:hint="eastAsia" w:ascii="宋体" w:hAnsi="宋体" w:cs="宋体"/>
          <w:color w:val="auto"/>
          <w:sz w:val="28"/>
          <w:szCs w:val="28"/>
          <w:lang w:val="zh-CN" w:eastAsia="zh-CN"/>
        </w:rPr>
        <w:t>条页岩空心砖生产线，生产能力达到3500万匹/标砖。主体工程：</w:t>
      </w:r>
      <w:r>
        <w:rPr>
          <w:rFonts w:hint="eastAsia" w:ascii="宋体" w:hAnsi="宋体" w:cs="宋体"/>
          <w:color w:val="auto"/>
          <w:sz w:val="28"/>
          <w:szCs w:val="28"/>
          <w:lang w:val="en-US" w:eastAsia="zh-CN"/>
        </w:rPr>
        <w:t>1</w:t>
      </w:r>
      <w:r>
        <w:rPr>
          <w:rFonts w:hint="eastAsia" w:ascii="宋体" w:hAnsi="宋体" w:cs="宋体"/>
          <w:color w:val="auto"/>
          <w:sz w:val="28"/>
          <w:szCs w:val="28"/>
          <w:lang w:val="zh-CN" w:eastAsia="zh-CN"/>
        </w:rPr>
        <w:t>个联合车间，</w:t>
      </w:r>
      <w:r>
        <w:rPr>
          <w:rFonts w:hint="eastAsia" w:ascii="宋体" w:hAnsi="宋体" w:cs="宋体"/>
          <w:color w:val="auto"/>
          <w:sz w:val="28"/>
          <w:szCs w:val="28"/>
          <w:lang w:val="en-US" w:eastAsia="zh-CN"/>
        </w:rPr>
        <w:t>1</w:t>
      </w:r>
      <w:r>
        <w:rPr>
          <w:rFonts w:hint="eastAsia" w:ascii="宋体" w:hAnsi="宋体" w:cs="宋体"/>
          <w:color w:val="auto"/>
          <w:sz w:val="28"/>
          <w:szCs w:val="28"/>
          <w:lang w:val="zh-CN" w:eastAsia="zh-CN"/>
        </w:rPr>
        <w:t>座隧道焙烧窑，1座隧道干燥室，辅助用房，公用工程：原料棚、成品堆场、绿化、道路及硬化工程等，以及相应环保工程等，</w:t>
      </w:r>
      <w:r>
        <w:rPr>
          <w:rFonts w:hint="eastAsia" w:ascii="宋体" w:hAnsi="宋体" w:cs="宋体"/>
          <w:color w:val="auto"/>
          <w:sz w:val="28"/>
          <w:szCs w:val="28"/>
          <w:lang w:val="en-US" w:eastAsia="zh-CN"/>
        </w:rPr>
        <w:t>其余工序按破碎—筛选―搅拌—陈化—切坯―码坯—干燥—焙烧工序依次设置，布局紧凑，工作方便。详情如图2-2所示</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综上，厂内各生产工序有机结合，有利于生产活动的开展，各地块利用功能集中且合理清楚，总平面布置较合理。</w:t>
      </w:r>
    </w:p>
    <w:p>
      <w:pPr>
        <w:pStyle w:val="2"/>
        <w:jc w:val="center"/>
        <w:rPr>
          <w:rFonts w:hint="eastAsia"/>
          <w:lang w:val="zh-CN" w:eastAsia="zh-CN"/>
        </w:rPr>
      </w:pPr>
      <w:r>
        <w:drawing>
          <wp:inline distT="0" distB="0" distL="114300" distR="114300">
            <wp:extent cx="2679700" cy="4255135"/>
            <wp:effectExtent l="0" t="0" r="1206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rcRect t="8463"/>
                    <a:stretch>
                      <a:fillRect/>
                    </a:stretch>
                  </pic:blipFill>
                  <pic:spPr>
                    <a:xfrm rot="5400000">
                      <a:off x="0" y="0"/>
                      <a:ext cx="2679700" cy="4255135"/>
                    </a:xfrm>
                    <a:prstGeom prst="rect">
                      <a:avLst/>
                    </a:prstGeom>
                    <a:noFill/>
                    <a:ln>
                      <a:noFill/>
                    </a:ln>
                  </pic:spPr>
                </pic:pic>
              </a:graphicData>
            </a:graphic>
          </wp:inline>
        </w:drawing>
      </w:r>
    </w:p>
    <w:p>
      <w:pPr>
        <w:pStyle w:val="12"/>
        <w:spacing w:line="240" w:lineRule="auto"/>
        <w:ind w:firstLine="482" w:firstLineChars="200"/>
        <w:jc w:val="center"/>
        <w:rPr>
          <w:rFonts w:hint="default" w:ascii="黑体" w:hAnsi="Courier New" w:eastAsia="黑体"/>
          <w:b/>
          <w:color w:val="auto"/>
          <w:sz w:val="24"/>
          <w:lang w:val="en-US"/>
        </w:rPr>
      </w:pPr>
      <w:r>
        <w:rPr>
          <w:rFonts w:hint="eastAsia" w:ascii="黑体" w:hAnsi="Courier New" w:eastAsia="黑体"/>
          <w:b/>
          <w:color w:val="auto"/>
          <w:sz w:val="24"/>
          <w:lang w:eastAsia="zh-CN"/>
        </w:rPr>
        <w:t>图</w:t>
      </w:r>
      <w:r>
        <w:rPr>
          <w:rFonts w:hint="eastAsia" w:ascii="黑体" w:hAnsi="Courier New" w:eastAsia="黑体"/>
          <w:b/>
          <w:color w:val="auto"/>
          <w:sz w:val="24"/>
          <w:lang w:val="en-US" w:eastAsia="zh-CN"/>
        </w:rPr>
        <w:t>2-2  总平面布局示意图</w:t>
      </w:r>
    </w:p>
    <w:p>
      <w:pPr>
        <w:pStyle w:val="5"/>
        <w:spacing w:before="0" w:after="0" w:line="360" w:lineRule="auto"/>
        <w:rPr>
          <w:rFonts w:hint="eastAsia" w:ascii="宋体" w:hAnsi="宋体" w:eastAsia="宋体" w:cs="宋体"/>
          <w:color w:val="auto"/>
          <w:sz w:val="28"/>
          <w:szCs w:val="28"/>
          <w:lang w:val="zh-CN"/>
        </w:rPr>
      </w:pPr>
      <w:bookmarkStart w:id="50" w:name="_Toc30828"/>
      <w:bookmarkStart w:id="51" w:name="_Toc440539582"/>
      <w:bookmarkStart w:id="52" w:name="_Toc18802"/>
      <w:bookmarkStart w:id="53" w:name="_Toc3325"/>
      <w:r>
        <w:rPr>
          <w:rFonts w:hint="eastAsia" w:ascii="宋体" w:hAnsi="宋体" w:eastAsia="宋体" w:cs="宋体"/>
          <w:color w:val="auto"/>
          <w:sz w:val="28"/>
          <w:szCs w:val="28"/>
          <w:lang w:val="zh-CN"/>
        </w:rPr>
        <w:t>2.</w:t>
      </w:r>
      <w:r>
        <w:rPr>
          <w:rFonts w:hint="eastAsia" w:ascii="宋体" w:hAnsi="宋体" w:eastAsia="宋体" w:cs="宋体"/>
          <w:color w:val="auto"/>
          <w:sz w:val="28"/>
          <w:szCs w:val="28"/>
        </w:rPr>
        <w:t>1.</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val="zh-CN"/>
        </w:rPr>
        <w:t>周边环境</w:t>
      </w:r>
      <w:bookmarkEnd w:id="50"/>
      <w:bookmarkEnd w:id="51"/>
      <w:bookmarkEnd w:id="52"/>
      <w:bookmarkEnd w:id="53"/>
    </w:p>
    <w:p>
      <w:pPr>
        <w:spacing w:line="360" w:lineRule="auto"/>
        <w:ind w:firstLine="560" w:firstLineChars="200"/>
        <w:rPr>
          <w:rFonts w:hint="eastAsia" w:ascii="宋体" w:hAnsi="宋体"/>
          <w:sz w:val="28"/>
          <w:szCs w:val="28"/>
          <w:lang w:val="en-US" w:eastAsia="zh-CN"/>
        </w:rPr>
      </w:pPr>
      <w:r>
        <w:rPr>
          <w:rFonts w:hint="eastAsia" w:ascii="宋体" w:hAnsi="宋体"/>
          <w:sz w:val="28"/>
          <w:szCs w:val="28"/>
          <w:lang w:val="zh-CN" w:eastAsia="zh-CN"/>
        </w:rPr>
        <w:t>仪陇县瓦子镇宏发页岩砖厂位于仪陇县瓦子镇双龙庙村五社，场地紧邻配套矿山</w:t>
      </w:r>
      <w:r>
        <w:rPr>
          <w:rFonts w:hint="eastAsia" w:ascii="宋体" w:hAnsi="宋体"/>
          <w:sz w:val="28"/>
          <w:szCs w:val="28"/>
          <w:lang w:val="en-US" w:eastAsia="zh-CN"/>
        </w:rPr>
        <w:t>。</w:t>
      </w:r>
      <w:r>
        <w:rPr>
          <w:rFonts w:hint="eastAsia" w:ascii="宋体" w:hAnsi="宋体"/>
          <w:sz w:val="28"/>
          <w:szCs w:val="28"/>
          <w:lang w:val="zh-CN" w:eastAsia="zh-CN"/>
        </w:rPr>
        <w:t>西南侧紧邻孔瓦路；厂区红线东南面存在5户住户(距离砖厂隧道窑最近距离</w:t>
      </w:r>
      <w:r>
        <w:rPr>
          <w:rFonts w:hint="eastAsia" w:ascii="宋体" w:hAnsi="宋体"/>
          <w:sz w:val="28"/>
          <w:szCs w:val="28"/>
          <w:lang w:val="en-US" w:eastAsia="en-US"/>
        </w:rPr>
        <w:t>250m</w:t>
      </w:r>
      <w:r>
        <w:rPr>
          <w:rFonts w:hint="eastAsia" w:ascii="宋体" w:hAnsi="宋体"/>
          <w:sz w:val="28"/>
          <w:szCs w:val="28"/>
          <w:lang w:val="en-US" w:eastAsia="zh-CN"/>
        </w:rPr>
        <w:t>）</w:t>
      </w:r>
      <w:r>
        <w:rPr>
          <w:rFonts w:hint="eastAsia" w:ascii="宋体" w:hAnsi="宋体"/>
          <w:sz w:val="28"/>
          <w:szCs w:val="28"/>
          <w:lang w:val="zh-CN" w:eastAsia="zh-CN"/>
        </w:rPr>
        <w:t>；砖厂东北面</w:t>
      </w:r>
      <w:r>
        <w:rPr>
          <w:rFonts w:hint="eastAsia" w:ascii="宋体" w:hAnsi="宋体"/>
          <w:sz w:val="28"/>
          <w:szCs w:val="28"/>
          <w:lang w:val="en-US" w:eastAsia="zh-CN"/>
        </w:rPr>
        <w:t>200m</w:t>
      </w:r>
      <w:r>
        <w:rPr>
          <w:rFonts w:hint="eastAsia" w:ascii="宋体" w:hAnsi="宋体"/>
          <w:sz w:val="28"/>
          <w:szCs w:val="28"/>
          <w:lang w:val="zh-CN" w:eastAsia="zh-CN"/>
        </w:rPr>
        <w:t>处有一户农户；砖厂西北面</w:t>
      </w:r>
      <w:r>
        <w:rPr>
          <w:rFonts w:hint="eastAsia" w:ascii="宋体" w:hAnsi="宋体"/>
          <w:sz w:val="28"/>
          <w:szCs w:val="28"/>
          <w:lang w:val="en-US" w:eastAsia="en-US"/>
        </w:rPr>
        <w:t>750m</w:t>
      </w:r>
      <w:r>
        <w:rPr>
          <w:rFonts w:hint="eastAsia" w:ascii="宋体" w:hAnsi="宋体"/>
          <w:sz w:val="28"/>
          <w:szCs w:val="28"/>
          <w:lang w:val="zh-CN" w:eastAsia="zh-CN"/>
        </w:rPr>
        <w:t>处为瓦子镇，瓦子镇人民政府在砖厂的西北面769米处；砖厂北侧邻近配套矿山，矿山以北为山林。南侧为荒山</w:t>
      </w:r>
      <w:r>
        <w:rPr>
          <w:rFonts w:hint="eastAsia" w:ascii="宋体" w:hAnsi="宋体"/>
          <w:sz w:val="28"/>
          <w:szCs w:val="28"/>
          <w:lang w:val="en-US" w:eastAsia="zh-CN"/>
        </w:rPr>
        <w:t>。</w:t>
      </w:r>
    </w:p>
    <w:p>
      <w:pPr>
        <w:pStyle w:val="2"/>
        <w:ind w:left="0" w:leftChars="0" w:firstLine="0" w:firstLineChars="0"/>
        <w:rPr>
          <w:rFonts w:hint="eastAsia"/>
          <w:lang w:val="zh-CN" w:eastAsia="zh-CN"/>
        </w:rPr>
      </w:pPr>
      <w:r>
        <w:rPr>
          <w:sz w:val="21"/>
        </w:rPr>
        <mc:AlternateContent>
          <mc:Choice Requires="wps">
            <w:drawing>
              <wp:anchor distT="0" distB="0" distL="114300" distR="114300" simplePos="0" relativeHeight="251725824" behindDoc="0" locked="0" layoutInCell="1" allowOverlap="1">
                <wp:simplePos x="0" y="0"/>
                <wp:positionH relativeFrom="column">
                  <wp:posOffset>2395855</wp:posOffset>
                </wp:positionH>
                <wp:positionV relativeFrom="paragraph">
                  <wp:posOffset>1157605</wp:posOffset>
                </wp:positionV>
                <wp:extent cx="1175385" cy="458470"/>
                <wp:effectExtent l="0" t="0" r="0" b="0"/>
                <wp:wrapNone/>
                <wp:docPr id="6" name="矩形 6"/>
                <wp:cNvGraphicFramePr/>
                <a:graphic xmlns:a="http://schemas.openxmlformats.org/drawingml/2006/main">
                  <a:graphicData uri="http://schemas.microsoft.com/office/word/2010/wordprocessingShape">
                    <wps:wsp>
                      <wps:cNvSpPr/>
                      <wps:spPr>
                        <a:xfrm>
                          <a:off x="0" y="0"/>
                          <a:ext cx="1175385" cy="458470"/>
                        </a:xfrm>
                        <a:prstGeom prst="rect">
                          <a:avLst/>
                        </a:prstGeom>
                        <a:noFill/>
                        <a:ln>
                          <a:noFill/>
                        </a:ln>
                      </wps:spPr>
                      <wps:txbx>
                        <w:txbxContent>
                          <w:p>
                            <w:pPr>
                              <w:rPr>
                                <w:b/>
                                <w:bCs/>
                                <w:color w:val="FF0000"/>
                                <w:sz w:val="18"/>
                                <w:szCs w:val="18"/>
                              </w:rPr>
                            </w:pPr>
                            <w:r>
                              <w:rPr>
                                <w:rFonts w:hint="eastAsia" w:ascii="宋体" w:hAnsi="宋体" w:cs="宋体"/>
                                <w:b/>
                                <w:bCs/>
                                <w:color w:val="FF0000"/>
                                <w:sz w:val="18"/>
                                <w:szCs w:val="18"/>
                                <w:lang w:val="zh-CN" w:eastAsia="zh-CN"/>
                              </w:rPr>
                              <w:t>仪陇县瓦子镇宏发页岩砖厂</w:t>
                            </w:r>
                          </w:p>
                          <w:p>
                            <w:pPr>
                              <w:rPr>
                                <w:b/>
                                <w:bCs/>
                              </w:rPr>
                            </w:pPr>
                          </w:p>
                        </w:txbxContent>
                      </wps:txbx>
                      <wps:bodyPr upright="1"/>
                    </wps:wsp>
                  </a:graphicData>
                </a:graphic>
              </wp:anchor>
            </w:drawing>
          </mc:Choice>
          <mc:Fallback>
            <w:pict>
              <v:rect id="_x0000_s1026" o:spid="_x0000_s1026" o:spt="1" style="position:absolute;left:0pt;margin-left:188.65pt;margin-top:91.15pt;height:36.1pt;width:92.55pt;z-index:251725824;mso-width-relative:page;mso-height-relative:page;" filled="f" stroked="f" coordsize="21600,21600" o:gfxdata="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ZkE45dwAAAALAQAADwAAAAAAAAABACAAAAAiAAAAZHJzL2Rvd25yZXYu&#10;eG1sUEsBAhQAFAAAAAgAh07iQEtcbk6FAQAA8wIAAA4AAAAAAAAAAQAgAAAAKwEAAGRycy9lMm9E&#10;b2MueG1sUEsFBgAAAAAGAAYAWQEAACIFAAAAAA==&#10;">
                <v:fill on="f" focussize="0,0"/>
                <v:stroke on="f"/>
                <v:imagedata o:title=""/>
                <o:lock v:ext="edit" aspectratio="f"/>
                <v:textbox>
                  <w:txbxContent>
                    <w:p>
                      <w:pPr>
                        <w:rPr>
                          <w:b/>
                          <w:bCs/>
                          <w:color w:val="FF0000"/>
                          <w:sz w:val="18"/>
                          <w:szCs w:val="18"/>
                        </w:rPr>
                      </w:pPr>
                      <w:r>
                        <w:rPr>
                          <w:rFonts w:hint="eastAsia" w:ascii="宋体" w:hAnsi="宋体" w:cs="宋体"/>
                          <w:b/>
                          <w:bCs/>
                          <w:color w:val="FF0000"/>
                          <w:sz w:val="18"/>
                          <w:szCs w:val="18"/>
                          <w:lang w:val="zh-CN" w:eastAsia="zh-CN"/>
                        </w:rPr>
                        <w:t>仪陇县瓦子镇宏发页岩砖厂</w:t>
                      </w:r>
                    </w:p>
                    <w:p>
                      <w:pPr>
                        <w:rPr>
                          <w:b/>
                          <w:bCs/>
                        </w:rPr>
                      </w:pPr>
                    </w:p>
                  </w:txbxContent>
                </v:textbox>
              </v:rect>
            </w:pict>
          </mc:Fallback>
        </mc:AlternateContent>
      </w:r>
      <w:r>
        <w:drawing>
          <wp:inline distT="0" distB="0" distL="114300" distR="114300">
            <wp:extent cx="6036310" cy="3338195"/>
            <wp:effectExtent l="0" t="0" r="13970" b="1460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7"/>
                    <a:stretch>
                      <a:fillRect/>
                    </a:stretch>
                  </pic:blipFill>
                  <pic:spPr>
                    <a:xfrm>
                      <a:off x="0" y="0"/>
                      <a:ext cx="6036310" cy="3338195"/>
                    </a:xfrm>
                    <a:prstGeom prst="rect">
                      <a:avLst/>
                    </a:prstGeom>
                    <a:noFill/>
                    <a:ln>
                      <a:noFill/>
                    </a:ln>
                  </pic:spPr>
                </pic:pic>
              </a:graphicData>
            </a:graphic>
          </wp:inline>
        </w:drawing>
      </w:r>
    </w:p>
    <w:p>
      <w:pPr>
        <w:pStyle w:val="2"/>
        <w:jc w:val="center"/>
        <w:rPr>
          <w:rFonts w:hint="eastAsia"/>
          <w:b/>
          <w:bCs/>
          <w:lang w:val="en-US" w:eastAsia="zh-CN"/>
        </w:rPr>
      </w:pPr>
      <w:r>
        <w:rPr>
          <w:rFonts w:hint="eastAsia"/>
          <w:b/>
          <w:bCs/>
          <w:lang w:val="en-US" w:eastAsia="zh-CN"/>
        </w:rPr>
        <w:t>图2-3  周边环境示意图</w:t>
      </w:r>
    </w:p>
    <w:p>
      <w:pPr>
        <w:pStyle w:val="5"/>
        <w:spacing w:before="0" w:after="0" w:line="360" w:lineRule="auto"/>
        <w:rPr>
          <w:rFonts w:hint="eastAsia" w:ascii="宋体" w:hAnsi="宋体" w:eastAsia="宋体" w:cs="宋体"/>
          <w:color w:val="FF0000"/>
          <w:sz w:val="28"/>
          <w:szCs w:val="28"/>
          <w:lang w:val="zh-CN"/>
        </w:rPr>
      </w:pPr>
      <w:bookmarkStart w:id="54" w:name="_Toc18761"/>
      <w:bookmarkStart w:id="55" w:name="_Toc440539584"/>
      <w:bookmarkStart w:id="56" w:name="_Toc25723"/>
      <w:bookmarkStart w:id="57" w:name="_Toc134"/>
      <w:r>
        <w:rPr>
          <w:rFonts w:hint="eastAsia" w:ascii="宋体" w:hAnsi="宋体" w:eastAsia="宋体" w:cs="宋体"/>
          <w:color w:val="FF0000"/>
          <w:sz w:val="28"/>
          <w:szCs w:val="28"/>
          <w:lang w:val="zh-CN"/>
        </w:rPr>
        <w:t>2.1.</w:t>
      </w:r>
      <w:r>
        <w:rPr>
          <w:rFonts w:hint="eastAsia" w:ascii="宋体" w:hAnsi="宋体" w:eastAsia="宋体" w:cs="宋体"/>
          <w:color w:val="FF0000"/>
          <w:sz w:val="28"/>
          <w:szCs w:val="28"/>
          <w:lang w:val="en-US" w:eastAsia="zh-CN"/>
        </w:rPr>
        <w:t>4</w:t>
      </w:r>
      <w:r>
        <w:rPr>
          <w:rFonts w:hint="eastAsia" w:ascii="宋体" w:hAnsi="宋体" w:eastAsia="宋体" w:cs="宋体"/>
          <w:color w:val="FF0000"/>
          <w:sz w:val="28"/>
          <w:szCs w:val="28"/>
          <w:lang w:val="zh-CN"/>
        </w:rPr>
        <w:t>工艺流程</w:t>
      </w:r>
      <w:bookmarkEnd w:id="54"/>
      <w:bookmarkEnd w:id="55"/>
      <w:bookmarkEnd w:id="56"/>
      <w:bookmarkEnd w:id="57"/>
    </w:p>
    <w:p>
      <w:pPr>
        <w:spacing w:line="360" w:lineRule="auto"/>
        <w:ind w:firstLine="562" w:firstLineChars="200"/>
        <w:rPr>
          <w:rFonts w:hint="eastAsia" w:ascii="宋体"/>
          <w:b/>
          <w:bCs/>
          <w:snapToGrid w:val="0"/>
          <w:color w:val="FF0000"/>
          <w:kern w:val="0"/>
          <w:sz w:val="28"/>
          <w:szCs w:val="28"/>
          <w:lang w:val="en-US" w:eastAsia="zh-CN"/>
        </w:rPr>
      </w:pPr>
      <w:bookmarkStart w:id="58" w:name="_Toc515872918"/>
      <w:bookmarkStart w:id="59" w:name="_Toc356380956"/>
      <w:bookmarkStart w:id="60" w:name="_Toc356401465"/>
      <w:bookmarkStart w:id="61" w:name="_Toc480804369"/>
      <w:bookmarkStart w:id="62" w:name="_Toc356401466"/>
      <w:bookmarkStart w:id="63" w:name="_Toc480804370"/>
      <w:bookmarkStart w:id="64" w:name="_Toc356380957"/>
      <w:bookmarkStart w:id="65" w:name="_Toc515872919"/>
      <w:r>
        <w:rPr>
          <w:rFonts w:hint="eastAsia" w:ascii="宋体"/>
          <w:b/>
          <w:bCs/>
          <w:snapToGrid w:val="0"/>
          <w:color w:val="FF0000"/>
          <w:kern w:val="0"/>
          <w:sz w:val="28"/>
          <w:szCs w:val="28"/>
          <w:lang w:val="en-US" w:eastAsia="zh-CN"/>
        </w:rPr>
        <w:t>1、生产工艺流程图</w:t>
      </w:r>
      <w:bookmarkEnd w:id="58"/>
      <w:bookmarkEnd w:id="59"/>
      <w:bookmarkEnd w:id="60"/>
      <w:bookmarkEnd w:id="61"/>
    </w:p>
    <w:p>
      <w:pPr>
        <w:spacing w:line="360" w:lineRule="auto"/>
        <w:ind w:firstLine="560" w:firstLineChars="200"/>
        <w:rPr>
          <w:rFonts w:hint="eastAsia" w:ascii="宋体"/>
          <w:snapToGrid w:val="0"/>
          <w:color w:val="FF0000"/>
          <w:kern w:val="0"/>
          <w:sz w:val="28"/>
          <w:szCs w:val="28"/>
          <w:lang w:val="zh-CN" w:eastAsia="zh-CN"/>
        </w:rPr>
      </w:pPr>
      <w:r>
        <w:rPr>
          <w:rFonts w:hint="eastAsia" w:ascii="宋体"/>
          <w:snapToGrid w:val="0"/>
          <w:color w:val="FF0000"/>
          <w:kern w:val="0"/>
          <w:sz w:val="28"/>
          <w:szCs w:val="28"/>
          <w:lang w:val="zh-CN" w:eastAsia="zh-CN"/>
        </w:rPr>
        <w:t>标砖生产主要包括采矿、破碎、筛分、搅拌、制胚、进胚、烧窑、装车8大工序，各工序按照工艺流程布置在各自区域内。公司隧道窑采用环保节能式的隧道窑，首次烧结采用精煤助燃，顺利开窑后可利用标砖中含有的煤自燃热量进行烧结，待自然冷却后装车装车外售。生产工艺流程如图：</w:t>
      </w:r>
    </w:p>
    <w:p>
      <w:pPr>
        <w:spacing w:line="360" w:lineRule="auto"/>
        <w:ind w:firstLine="560" w:firstLineChars="200"/>
        <w:rPr>
          <w:rFonts w:hint="eastAsia" w:ascii="宋体"/>
          <w:snapToGrid w:val="0"/>
          <w:color w:val="auto"/>
          <w:kern w:val="0"/>
          <w:sz w:val="28"/>
          <w:szCs w:val="28"/>
        </w:rPr>
      </w:pPr>
      <w:r>
        <w:rPr>
          <w:rFonts w:hint="eastAsia" w:ascii="宋体"/>
          <w:color w:val="FF0000"/>
          <w:kern w:val="0"/>
          <w:sz w:val="28"/>
          <w:szCs w:val="28"/>
        </w:rPr>
        <mc:AlternateContent>
          <mc:Choice Requires="wpg">
            <w:drawing>
              <wp:anchor distT="0" distB="0" distL="114300" distR="114300" simplePos="0" relativeHeight="251724800" behindDoc="0" locked="0" layoutInCell="1" allowOverlap="1">
                <wp:simplePos x="0" y="0"/>
                <wp:positionH relativeFrom="column">
                  <wp:posOffset>18415</wp:posOffset>
                </wp:positionH>
                <wp:positionV relativeFrom="paragraph">
                  <wp:posOffset>635</wp:posOffset>
                </wp:positionV>
                <wp:extent cx="5632450" cy="2017395"/>
                <wp:effectExtent l="5080" t="4445" r="16510" b="5080"/>
                <wp:wrapNone/>
                <wp:docPr id="39" name="组合 39"/>
                <wp:cNvGraphicFramePr/>
                <a:graphic xmlns:a="http://schemas.openxmlformats.org/drawingml/2006/main">
                  <a:graphicData uri="http://schemas.microsoft.com/office/word/2010/wordprocessingGroup">
                    <wpg:wgp>
                      <wpg:cNvGrpSpPr/>
                      <wpg:grpSpPr>
                        <a:xfrm>
                          <a:off x="0" y="0"/>
                          <a:ext cx="5632450" cy="2017395"/>
                          <a:chOff x="2310" y="7530"/>
                          <a:chExt cx="7665" cy="4815"/>
                        </a:xfrm>
                      </wpg:grpSpPr>
                      <wps:wsp>
                        <wps:cNvPr id="7" name="矩形 7"/>
                        <wps:cNvSpPr/>
                        <wps:spPr>
                          <a:xfrm>
                            <a:off x="2310" y="753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煤矸石、页岩</w:t>
                              </w:r>
                            </w:p>
                          </w:txbxContent>
                        </wps:txbx>
                        <wps:bodyPr upright="1"/>
                      </wps:wsp>
                      <wps:wsp>
                        <wps:cNvPr id="8" name="直接箭头连接符 8"/>
                        <wps:cNvCnPr/>
                        <wps:spPr>
                          <a:xfrm>
                            <a:off x="3930" y="7860"/>
                            <a:ext cx="390" cy="0"/>
                          </a:xfrm>
                          <a:prstGeom prst="straightConnector1">
                            <a:avLst/>
                          </a:prstGeom>
                          <a:ln w="9525" cap="flat" cmpd="sng">
                            <a:solidFill>
                              <a:srgbClr val="000000"/>
                            </a:solidFill>
                            <a:prstDash val="solid"/>
                            <a:headEnd type="none" w="med" len="med"/>
                            <a:tailEnd type="triangle" w="med" len="med"/>
                          </a:ln>
                        </wps:spPr>
                        <wps:bodyPr/>
                      </wps:wsp>
                      <wps:wsp>
                        <wps:cNvPr id="9" name="矩形 9"/>
                        <wps:cNvSpPr/>
                        <wps:spPr>
                          <a:xfrm>
                            <a:off x="4320" y="753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板式给料机</w:t>
                              </w:r>
                            </w:p>
                          </w:txbxContent>
                        </wps:txbx>
                        <wps:bodyPr upright="1"/>
                      </wps:wsp>
                      <wps:wsp>
                        <wps:cNvPr id="10" name="直接箭头连接符 10"/>
                        <wps:cNvCnPr/>
                        <wps:spPr>
                          <a:xfrm>
                            <a:off x="3060" y="9525"/>
                            <a:ext cx="0" cy="825"/>
                          </a:xfrm>
                          <a:prstGeom prst="straightConnector1">
                            <a:avLst/>
                          </a:prstGeom>
                          <a:ln w="9525" cap="flat" cmpd="sng">
                            <a:solidFill>
                              <a:srgbClr val="000000"/>
                            </a:solidFill>
                            <a:prstDash val="solid"/>
                            <a:headEnd type="none" w="med" len="med"/>
                            <a:tailEnd type="triangle" w="med" len="med"/>
                          </a:ln>
                        </wps:spPr>
                        <wps:bodyPr/>
                      </wps:wsp>
                      <wps:wsp>
                        <wps:cNvPr id="11" name="直接箭头连接符 11"/>
                        <wps:cNvCnPr/>
                        <wps:spPr>
                          <a:xfrm>
                            <a:off x="5940" y="7845"/>
                            <a:ext cx="390" cy="0"/>
                          </a:xfrm>
                          <a:prstGeom prst="straightConnector1">
                            <a:avLst/>
                          </a:prstGeom>
                          <a:ln w="9525" cap="flat" cmpd="sng">
                            <a:solidFill>
                              <a:srgbClr val="000000"/>
                            </a:solidFill>
                            <a:prstDash val="solid"/>
                            <a:headEnd type="none" w="med" len="med"/>
                            <a:tailEnd type="triangle" w="med" len="med"/>
                          </a:ln>
                        </wps:spPr>
                        <wps:bodyPr/>
                      </wps:wsp>
                      <wps:wsp>
                        <wps:cNvPr id="12" name="矩形 12"/>
                        <wps:cNvSpPr/>
                        <wps:spPr>
                          <a:xfrm>
                            <a:off x="6330" y="753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鄂破机</w:t>
                              </w:r>
                            </w:p>
                          </w:txbxContent>
                        </wps:txbx>
                        <wps:bodyPr upright="1"/>
                      </wps:wsp>
                      <wps:wsp>
                        <wps:cNvPr id="13" name="直接箭头连接符 13"/>
                        <wps:cNvCnPr/>
                        <wps:spPr>
                          <a:xfrm>
                            <a:off x="7950" y="7845"/>
                            <a:ext cx="390" cy="0"/>
                          </a:xfrm>
                          <a:prstGeom prst="straightConnector1">
                            <a:avLst/>
                          </a:prstGeom>
                          <a:ln w="9525" cap="flat" cmpd="sng">
                            <a:solidFill>
                              <a:srgbClr val="000000"/>
                            </a:solidFill>
                            <a:prstDash val="solid"/>
                            <a:headEnd type="none" w="med" len="med"/>
                            <a:tailEnd type="triangle" w="med" len="med"/>
                          </a:ln>
                        </wps:spPr>
                        <wps:bodyPr/>
                      </wps:wsp>
                      <wps:wsp>
                        <wps:cNvPr id="14" name="矩形 14"/>
                        <wps:cNvSpPr/>
                        <wps:spPr>
                          <a:xfrm>
                            <a:off x="8340" y="753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细破机</w:t>
                              </w:r>
                            </w:p>
                          </w:txbxContent>
                        </wps:txbx>
                        <wps:bodyPr upright="1"/>
                      </wps:wsp>
                      <wps:wsp>
                        <wps:cNvPr id="15" name="矩形 15"/>
                        <wps:cNvSpPr/>
                        <wps:spPr>
                          <a:xfrm>
                            <a:off x="8340" y="894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双轴搅拌机</w:t>
                              </w:r>
                            </w:p>
                          </w:txbxContent>
                        </wps:txbx>
                        <wps:bodyPr upright="1"/>
                      </wps:wsp>
                      <wps:wsp>
                        <wps:cNvPr id="16" name="矩形 16"/>
                        <wps:cNvSpPr/>
                        <wps:spPr>
                          <a:xfrm>
                            <a:off x="6330" y="894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液压多斗挖掘</w:t>
                              </w:r>
                            </w:p>
                          </w:txbxContent>
                        </wps:txbx>
                        <wps:bodyPr upright="1"/>
                      </wps:wsp>
                      <wps:wsp>
                        <wps:cNvPr id="17" name="矩形 17"/>
                        <wps:cNvSpPr/>
                        <wps:spPr>
                          <a:xfrm>
                            <a:off x="4320" y="894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箱式给料机</w:t>
                              </w:r>
                            </w:p>
                          </w:txbxContent>
                        </wps:txbx>
                        <wps:bodyPr upright="1"/>
                      </wps:wsp>
                      <wps:wsp>
                        <wps:cNvPr id="19" name="矩形 19"/>
                        <wps:cNvSpPr/>
                        <wps:spPr>
                          <a:xfrm>
                            <a:off x="2310" y="894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挤泥机</w:t>
                              </w:r>
                            </w:p>
                          </w:txbxContent>
                        </wps:txbx>
                        <wps:bodyPr upright="1"/>
                      </wps:wsp>
                      <wps:wsp>
                        <wps:cNvPr id="20" name="直接箭头连接符 20"/>
                        <wps:cNvCnPr/>
                        <wps:spPr>
                          <a:xfrm flipH="1">
                            <a:off x="7935" y="9240"/>
                            <a:ext cx="405" cy="0"/>
                          </a:xfrm>
                          <a:prstGeom prst="straightConnector1">
                            <a:avLst/>
                          </a:prstGeom>
                          <a:ln w="9525" cap="flat" cmpd="sng">
                            <a:solidFill>
                              <a:srgbClr val="000000"/>
                            </a:solidFill>
                            <a:prstDash val="solid"/>
                            <a:headEnd type="none" w="med" len="med"/>
                            <a:tailEnd type="triangle" w="med" len="med"/>
                          </a:ln>
                        </wps:spPr>
                        <wps:bodyPr/>
                      </wps:wsp>
                      <wps:wsp>
                        <wps:cNvPr id="21" name="直接箭头连接符 21"/>
                        <wps:cNvCnPr/>
                        <wps:spPr>
                          <a:xfrm flipH="1">
                            <a:off x="5940" y="9240"/>
                            <a:ext cx="405" cy="0"/>
                          </a:xfrm>
                          <a:prstGeom prst="straightConnector1">
                            <a:avLst/>
                          </a:prstGeom>
                          <a:ln w="9525" cap="flat" cmpd="sng">
                            <a:solidFill>
                              <a:srgbClr val="000000"/>
                            </a:solidFill>
                            <a:prstDash val="solid"/>
                            <a:headEnd type="none" w="med" len="med"/>
                            <a:tailEnd type="triangle" w="med" len="med"/>
                          </a:ln>
                        </wps:spPr>
                        <wps:bodyPr/>
                      </wps:wsp>
                      <wps:wsp>
                        <wps:cNvPr id="22" name="直接箭头连接符 22"/>
                        <wps:cNvCnPr/>
                        <wps:spPr>
                          <a:xfrm flipH="1">
                            <a:off x="3915" y="9240"/>
                            <a:ext cx="405" cy="0"/>
                          </a:xfrm>
                          <a:prstGeom prst="straightConnector1">
                            <a:avLst/>
                          </a:prstGeom>
                          <a:ln w="9525" cap="flat" cmpd="sng">
                            <a:solidFill>
                              <a:srgbClr val="000000"/>
                            </a:solidFill>
                            <a:prstDash val="solid"/>
                            <a:headEnd type="none" w="med" len="med"/>
                            <a:tailEnd type="triangle" w="med" len="med"/>
                          </a:ln>
                        </wps:spPr>
                        <wps:bodyPr/>
                      </wps:wsp>
                      <wps:wsp>
                        <wps:cNvPr id="23" name="矩形 23"/>
                        <wps:cNvSpPr/>
                        <wps:spPr>
                          <a:xfrm>
                            <a:off x="2310" y="1035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切条、切坏机</w:t>
                              </w:r>
                            </w:p>
                          </w:txbxContent>
                        </wps:txbx>
                        <wps:bodyPr upright="1"/>
                      </wps:wsp>
                      <wps:wsp>
                        <wps:cNvPr id="24" name="直接箭头连接符 24"/>
                        <wps:cNvCnPr/>
                        <wps:spPr>
                          <a:xfrm>
                            <a:off x="3930" y="10680"/>
                            <a:ext cx="390" cy="0"/>
                          </a:xfrm>
                          <a:prstGeom prst="straightConnector1">
                            <a:avLst/>
                          </a:prstGeom>
                          <a:ln w="9525" cap="flat" cmpd="sng">
                            <a:solidFill>
                              <a:srgbClr val="000000"/>
                            </a:solidFill>
                            <a:prstDash val="solid"/>
                            <a:headEnd type="none" w="med" len="med"/>
                            <a:tailEnd type="triangle" w="med" len="med"/>
                          </a:ln>
                        </wps:spPr>
                        <wps:bodyPr/>
                      </wps:wsp>
                      <wps:wsp>
                        <wps:cNvPr id="25" name="矩形 25"/>
                        <wps:cNvSpPr/>
                        <wps:spPr>
                          <a:xfrm>
                            <a:off x="4320" y="1035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自动编码</w:t>
                              </w:r>
                            </w:p>
                          </w:txbxContent>
                        </wps:txbx>
                        <wps:bodyPr upright="1"/>
                      </wps:wsp>
                      <wps:wsp>
                        <wps:cNvPr id="26" name="直接箭头连接符 26"/>
                        <wps:cNvCnPr/>
                        <wps:spPr>
                          <a:xfrm>
                            <a:off x="9180" y="10935"/>
                            <a:ext cx="0" cy="825"/>
                          </a:xfrm>
                          <a:prstGeom prst="straightConnector1">
                            <a:avLst/>
                          </a:prstGeom>
                          <a:ln w="9525" cap="flat" cmpd="sng">
                            <a:solidFill>
                              <a:srgbClr val="000000"/>
                            </a:solidFill>
                            <a:prstDash val="solid"/>
                            <a:headEnd type="none" w="med" len="med"/>
                            <a:tailEnd type="triangle" w="med" len="med"/>
                          </a:ln>
                        </wps:spPr>
                        <wps:bodyPr/>
                      </wps:wsp>
                      <wps:wsp>
                        <wps:cNvPr id="27" name="直接箭头连接符 27"/>
                        <wps:cNvCnPr/>
                        <wps:spPr>
                          <a:xfrm>
                            <a:off x="5940" y="10665"/>
                            <a:ext cx="390" cy="0"/>
                          </a:xfrm>
                          <a:prstGeom prst="straightConnector1">
                            <a:avLst/>
                          </a:prstGeom>
                          <a:ln w="9525" cap="flat" cmpd="sng">
                            <a:solidFill>
                              <a:srgbClr val="000000"/>
                            </a:solidFill>
                            <a:prstDash val="solid"/>
                            <a:headEnd type="none" w="med" len="med"/>
                            <a:tailEnd type="triangle" w="med" len="med"/>
                          </a:ln>
                        </wps:spPr>
                        <wps:bodyPr/>
                      </wps:wsp>
                      <wps:wsp>
                        <wps:cNvPr id="28" name="矩形 28"/>
                        <wps:cNvSpPr/>
                        <wps:spPr>
                          <a:xfrm>
                            <a:off x="6330" y="1035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自动码坯机</w:t>
                              </w:r>
                            </w:p>
                          </w:txbxContent>
                        </wps:txbx>
                        <wps:bodyPr upright="1"/>
                      </wps:wsp>
                      <wps:wsp>
                        <wps:cNvPr id="29" name="直接箭头连接符 29"/>
                        <wps:cNvCnPr/>
                        <wps:spPr>
                          <a:xfrm>
                            <a:off x="7950" y="10665"/>
                            <a:ext cx="390" cy="0"/>
                          </a:xfrm>
                          <a:prstGeom prst="straightConnector1">
                            <a:avLst/>
                          </a:prstGeom>
                          <a:ln w="9525" cap="flat" cmpd="sng">
                            <a:solidFill>
                              <a:srgbClr val="000000"/>
                            </a:solidFill>
                            <a:prstDash val="solid"/>
                            <a:headEnd type="none" w="med" len="med"/>
                            <a:tailEnd type="triangle" w="med" len="med"/>
                          </a:ln>
                        </wps:spPr>
                        <wps:bodyPr/>
                      </wps:wsp>
                      <wps:wsp>
                        <wps:cNvPr id="30" name="矩形 30"/>
                        <wps:cNvSpPr/>
                        <wps:spPr>
                          <a:xfrm>
                            <a:off x="8340" y="1035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窑车</w:t>
                              </w:r>
                            </w:p>
                          </w:txbxContent>
                        </wps:txbx>
                        <wps:bodyPr upright="1"/>
                      </wps:wsp>
                      <wps:wsp>
                        <wps:cNvPr id="31" name="直接箭头连接符 31"/>
                        <wps:cNvCnPr/>
                        <wps:spPr>
                          <a:xfrm>
                            <a:off x="9180" y="8115"/>
                            <a:ext cx="0" cy="825"/>
                          </a:xfrm>
                          <a:prstGeom prst="straightConnector1">
                            <a:avLst/>
                          </a:prstGeom>
                          <a:ln w="9525" cap="flat" cmpd="sng">
                            <a:solidFill>
                              <a:srgbClr val="000000"/>
                            </a:solidFill>
                            <a:prstDash val="solid"/>
                            <a:headEnd type="none" w="med" len="med"/>
                            <a:tailEnd type="triangle" w="med" len="med"/>
                          </a:ln>
                        </wps:spPr>
                        <wps:bodyPr/>
                      </wps:wsp>
                      <wps:wsp>
                        <wps:cNvPr id="32" name="矩形 32"/>
                        <wps:cNvSpPr/>
                        <wps:spPr>
                          <a:xfrm>
                            <a:off x="8355" y="1176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存坯线</w:t>
                              </w:r>
                            </w:p>
                          </w:txbxContent>
                        </wps:txbx>
                        <wps:bodyPr upright="1"/>
                      </wps:wsp>
                      <wps:wsp>
                        <wps:cNvPr id="33" name="矩形 33"/>
                        <wps:cNvSpPr/>
                        <wps:spPr>
                          <a:xfrm>
                            <a:off x="6345" y="1176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干燥窑</w:t>
                              </w:r>
                            </w:p>
                          </w:txbxContent>
                        </wps:txbx>
                        <wps:bodyPr upright="1"/>
                      </wps:wsp>
                      <wps:wsp>
                        <wps:cNvPr id="34" name="矩形 34"/>
                        <wps:cNvSpPr/>
                        <wps:spPr>
                          <a:xfrm>
                            <a:off x="4335" y="1176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焙烧窑</w:t>
                              </w:r>
                            </w:p>
                          </w:txbxContent>
                        </wps:txbx>
                        <wps:bodyPr upright="1"/>
                      </wps:wsp>
                      <wps:wsp>
                        <wps:cNvPr id="35" name="矩形 35"/>
                        <wps:cNvSpPr/>
                        <wps:spPr>
                          <a:xfrm>
                            <a:off x="2325" y="1176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成品装车</w:t>
                              </w:r>
                            </w:p>
                          </w:txbxContent>
                        </wps:txbx>
                        <wps:bodyPr upright="1"/>
                      </wps:wsp>
                      <wps:wsp>
                        <wps:cNvPr id="36" name="直接箭头连接符 36"/>
                        <wps:cNvCnPr/>
                        <wps:spPr>
                          <a:xfrm flipH="1">
                            <a:off x="7950" y="12060"/>
                            <a:ext cx="405" cy="0"/>
                          </a:xfrm>
                          <a:prstGeom prst="straightConnector1">
                            <a:avLst/>
                          </a:prstGeom>
                          <a:ln w="9525" cap="flat" cmpd="sng">
                            <a:solidFill>
                              <a:srgbClr val="000000"/>
                            </a:solidFill>
                            <a:prstDash val="solid"/>
                            <a:headEnd type="none" w="med" len="med"/>
                            <a:tailEnd type="triangle" w="med" len="med"/>
                          </a:ln>
                        </wps:spPr>
                        <wps:bodyPr/>
                      </wps:wsp>
                      <wps:wsp>
                        <wps:cNvPr id="37" name="直接箭头连接符 37"/>
                        <wps:cNvCnPr/>
                        <wps:spPr>
                          <a:xfrm flipH="1">
                            <a:off x="5955" y="12060"/>
                            <a:ext cx="405" cy="0"/>
                          </a:xfrm>
                          <a:prstGeom prst="straightConnector1">
                            <a:avLst/>
                          </a:prstGeom>
                          <a:ln w="9525" cap="flat" cmpd="sng">
                            <a:solidFill>
                              <a:srgbClr val="000000"/>
                            </a:solidFill>
                            <a:prstDash val="solid"/>
                            <a:headEnd type="none" w="med" len="med"/>
                            <a:tailEnd type="triangle" w="med" len="med"/>
                          </a:ln>
                        </wps:spPr>
                        <wps:bodyPr/>
                      </wps:wsp>
                      <wps:wsp>
                        <wps:cNvPr id="38" name="直接箭头连接符 38"/>
                        <wps:cNvCnPr/>
                        <wps:spPr>
                          <a:xfrm flipH="1">
                            <a:off x="3930" y="12060"/>
                            <a:ext cx="405" cy="0"/>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45pt;margin-top:0.05pt;height:158.85pt;width:443.5pt;z-index:251724800;mso-width-relative:page;mso-height-relative:page;" coordorigin="2310,7530" coordsize="7665,4815" o:gfxdata="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">
                <o:lock v:ext="edit" aspectratio="f"/>
                <v:rect id="_x0000_s1026" o:spid="_x0000_s1026" o:spt="1" style="position:absolute;left:2310;top:7530;height:585;width:1620;" fillcolor="#FFFFFF" filled="t" stroked="t" coordsize="21600,21600" o:gfxdata="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xaGm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rPr>
                          <w:t>煤矸石、页岩</w:t>
                        </w:r>
                      </w:p>
                    </w:txbxContent>
                  </v:textbox>
                </v:rect>
                <v:shape id="_x0000_s1026" o:spid="_x0000_s1026" o:spt="32" type="#_x0000_t32" style="position:absolute;left:3930;top:7860;height:0;width:390;" filled="f" stroked="t" coordsize="21600,21600" o:gfxdata="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k0dEi5AAAA2gAA&#10;AA8AAAAAAAAAAQAgAAAAIgAAAGRycy9kb3ducmV2LnhtbFBLAQIUABQAAAAIAIdO4kAzLwWeOwAA&#10;ADkAAAAQAAAAAAAAAAEAIAAAAAgBAABkcnMvc2hhcGV4bWwueG1sUEsFBgAAAAAGAAYAWwEAALID&#10;AAAAAA==&#10;">
                  <v:fill on="f" focussize="0,0"/>
                  <v:stroke color="#000000" joinstyle="round" endarrow="block"/>
                  <v:imagedata o:title=""/>
                  <o:lock v:ext="edit" aspectratio="f"/>
                </v:shape>
                <v:rect id="_x0000_s1026" o:spid="_x0000_s1026" o:spt="1" style="position:absolute;left:4320;top:7530;height:585;width:1620;" fillcolor="#FFFFFF" filled="t" stroked="t" coordsize="21600,21600" o:gfxdata="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WkE+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板式给料机</w:t>
                        </w:r>
                      </w:p>
                    </w:txbxContent>
                  </v:textbox>
                </v:rect>
                <v:shape id="_x0000_s1026" o:spid="_x0000_s1026" o:spt="32" type="#_x0000_t32" style="position:absolute;left:3060;top:9525;height:825;width:0;" filled="f" stroked="t" coordsize="21600,21600" o:gfxdata="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zp+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5940;top:7845;height:0;width:390;" filled="f" stroked="t" coordsize="21600,21600" o:gfxdata="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MBMY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_x0000_s1026" o:spid="_x0000_s1026" o:spt="1" style="position:absolute;left:6330;top:7530;height:585;width:1620;" fillcolor="#FFFFFF" filled="t" stroked="t" coordsize="21600,21600" o:gfxdata="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Ilf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pPr>
                        <w:r>
                          <w:rPr>
                            <w:rFonts w:hint="eastAsia"/>
                          </w:rPr>
                          <w:t>鄂破机</w:t>
                        </w:r>
                      </w:p>
                    </w:txbxContent>
                  </v:textbox>
                </v:rect>
                <v:shape id="_x0000_s1026" o:spid="_x0000_s1026" o:spt="32" type="#_x0000_t32" style="position:absolute;left:7950;top:7845;height:0;width:390;" filled="f" stroked="t" coordsize="21600,21600" o:gfxdata="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153j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_x0000_s1026" o:spid="_x0000_s1026" o:spt="1" style="position:absolute;left:8340;top:7530;height:585;width:1620;" fillcolor="#FFFFFF" filled="t" stroked="t" coordsize="21600,21600" o:gfxdata="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pxiS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细破机</w:t>
                        </w:r>
                      </w:p>
                    </w:txbxContent>
                  </v:textbox>
                </v:rect>
                <v:rect id="_x0000_s1026" o:spid="_x0000_s1026" o:spt="1" style="position:absolute;left:8340;top:8940;height:585;width:1620;" fillcolor="#FFFFFF" filled="t" stroked="t" coordsize="21600,21600" o:gfxdata="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670J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双轴搅拌机</w:t>
                        </w:r>
                      </w:p>
                    </w:txbxContent>
                  </v:textbox>
                </v:rect>
                <v:rect id="_x0000_s1026" o:spid="_x0000_s1026" o:spt="1" style="position:absolute;left:6330;top:8940;height:585;width:1620;" fillcolor="#FFFFFF" filled="t" stroked="t" coordsize="21600,21600" o:gfxdata="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OSN+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液压多斗挖掘</w:t>
                        </w:r>
                      </w:p>
                    </w:txbxContent>
                  </v:textbox>
                </v:rect>
                <v:rect id="_x0000_s1026" o:spid="_x0000_s1026" o:spt="1" style="position:absolute;left:4320;top:8940;height:585;width:1620;" fillcolor="#FFFFFF" filled="t" stroked="t" coordsize="21600,21600" o:gfxdata="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dYbl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箱式给料机</w:t>
                        </w:r>
                      </w:p>
                    </w:txbxContent>
                  </v:textbox>
                </v:rect>
                <v:rect id="_x0000_s1026" o:spid="_x0000_s1026" o:spt="1" style="position:absolute;left:2310;top:8940;height:585;width:1620;" fillcolor="#FFFFFF" filled="t" stroked="t" coordsize="21600,21600" o:gfxdata="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a3D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pPr>
                        <w:r>
                          <w:rPr>
                            <w:rFonts w:hint="eastAsia"/>
                          </w:rPr>
                          <w:t>挤泥机</w:t>
                        </w:r>
                      </w:p>
                    </w:txbxContent>
                  </v:textbox>
                </v:rect>
                <v:shape id="_x0000_s1026" o:spid="_x0000_s1026" o:spt="32" type="#_x0000_t32" style="position:absolute;left:7935;top:9240;flip:x;height:0;width:405;" filled="f" stroked="t" coordsize="21600,21600" o:gfxdata="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ZF26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5940;top:9240;flip:x;height:0;width:405;" filled="f" stroked="t" coordsize="21600,21600" o:gfxdata="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3dNy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3915;top:9240;flip:x;height:0;width:405;" filled="f" stroked="t" coordsize="21600,21600" o:gfxdata="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9NB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2310;top:10350;height:585;width:1620;" fillcolor="#FFFFFF" filled="t" stroked="t" coordsize="21600,21600" o:gfxdata="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iSlu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切条、切坏机</w:t>
                        </w:r>
                      </w:p>
                    </w:txbxContent>
                  </v:textbox>
                </v:rect>
                <v:shape id="_x0000_s1026" o:spid="_x0000_s1026" o:spt="32" type="#_x0000_t32" style="position:absolute;left:3930;top:10680;height:0;width:390;" filled="f" stroked="t" coordsize="21600,21600" o:gfxdata="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slR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4320;top:10350;height:585;width:1620;" fillcolor="#FFFFFF" filled="t" stroked="t" coordsize="21600,21600" o:gfxdata="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h3e0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自动编码</w:t>
                        </w:r>
                      </w:p>
                    </w:txbxContent>
                  </v:textbox>
                </v:rect>
                <v:shape id="_x0000_s1026" o:spid="_x0000_s1026" o:spt="32" type="#_x0000_t32" style="position:absolute;left:9180;top:10935;height:825;width:0;" filled="f" stroked="t" coordsize="21600,21600" o:gfxdata="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RR6o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5940;top:10665;height:0;width:390;" filled="f" stroked="t" coordsize="21600,21600" o:gfxdata="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m7M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6330;top:10350;height:585;width:1620;" fillcolor="#FFFFFF" filled="t" stroked="t" coordsize="21600,21600" o:gfxdata="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htgq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自动码坯机</w:t>
                        </w:r>
                      </w:p>
                    </w:txbxContent>
                  </v:textbox>
                </v:rect>
                <v:shape id="_x0000_s1026" o:spid="_x0000_s1026" o:spt="32" type="#_x0000_t32" style="position:absolute;left:7950;top:10665;height:0;width:390;" filled="f" stroked="t" coordsize="21600,21600" o:gfxdata="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qK2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8340;top:10350;height:585;width:1620;" fillcolor="#FFFFFF" filled="t" stroked="t" coordsize="21600,21600" o:gfxdata="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lC8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pPr>
                        <w:r>
                          <w:rPr>
                            <w:rFonts w:hint="eastAsia"/>
                          </w:rPr>
                          <w:t>窑车</w:t>
                        </w:r>
                      </w:p>
                    </w:txbxContent>
                  </v:textbox>
                </v:rect>
                <v:shape id="_x0000_s1026" o:spid="_x0000_s1026" o:spt="32" type="#_x0000_t32" style="position:absolute;left:9180;top:8115;height:825;width:0;" filled="f" stroked="t" coordsize="21600,21600" o:gfxdata="UEsDBAoAAAAAAIdO4kAAAAAAAAAAAAAAAAAEAAAAZHJzL1BLAwQUAAAACACHTuJAO3UQAb4AAADb&#10;AAAADwAAAGRycy9kb3ducmV2LnhtbEWPT2sCMRTE7wW/Q3hCbzW7FpZ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UQA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8355;top:11760;height:585;width:1620;" fillcolor="#FFFFFF" filled="t" stroked="t" coordsize="21600,21600" o:gfxdata="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3eR2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存坯线</w:t>
                        </w:r>
                      </w:p>
                    </w:txbxContent>
                  </v:textbox>
                </v:rect>
                <v:rect id="_x0000_s1026" o:spid="_x0000_s1026" o:spt="1" style="position:absolute;left:6345;top:11760;height:585;width:1620;" fillcolor="#FFFFFF" filled="t" stroked="t" coordsize="21600,21600" o:gfxdata="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73I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干燥窑</w:t>
                        </w:r>
                      </w:p>
                    </w:txbxContent>
                  </v:textbox>
                </v:rect>
                <v:rect id="_x0000_s1026" o:spid="_x0000_s1026" o:spt="1" style="position:absolute;left:4335;top:11760;height:585;width:1620;" fillcolor="#FFFFFF" filled="t" stroked="t" coordsize="21600,21600" o:gfxdata="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EkTy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焙烧窑</w:t>
                        </w:r>
                      </w:p>
                    </w:txbxContent>
                  </v:textbox>
                </v:rect>
                <v:rect id="_x0000_s1026" o:spid="_x0000_s1026" o:spt="1" style="position:absolute;left:2325;top:11760;height:585;width:1620;" fillcolor="#FFFFFF" filled="t" stroked="t" coordsize="21600,21600" o:gfxdata="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e4Wm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成品装车</w:t>
                        </w:r>
                      </w:p>
                    </w:txbxContent>
                  </v:textbox>
                </v:rect>
                <v:shape id="_x0000_s1026" o:spid="_x0000_s1026" o:spt="32" type="#_x0000_t32" style="position:absolute;left:7950;top:12060;flip:x;height:0;width:405;" filled="f" stroked="t" coordsize="21600,21600" o:gfxdata="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t3d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5955;top:12060;flip:x;height:0;width:405;" filled="f" stroked="t" coordsize="21600,21600" o:gfxdata="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F4Q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3930;top:12060;flip:x;height:0;width:405;" filled="f" stroked="t" coordsize="21600,21600" o:gfxdata="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j7sM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w:pict>
          </mc:Fallback>
        </mc:AlternateContent>
      </w:r>
    </w:p>
    <w:p>
      <w:pPr>
        <w:spacing w:line="360" w:lineRule="auto"/>
        <w:ind w:firstLine="560" w:firstLineChars="200"/>
        <w:rPr>
          <w:rFonts w:hint="eastAsia" w:ascii="宋体"/>
          <w:snapToGrid w:val="0"/>
          <w:color w:val="auto"/>
          <w:kern w:val="0"/>
          <w:sz w:val="28"/>
          <w:szCs w:val="28"/>
        </w:rPr>
      </w:pP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r>
        <w:rPr>
          <w:rFonts w:hint="eastAsia" w:ascii="黑体" w:hAnsi="黑体" w:eastAsia="黑体"/>
          <w:b/>
          <w:snapToGrid w:val="0"/>
          <w:color w:val="auto"/>
          <w:kern w:val="0"/>
          <w:sz w:val="24"/>
          <w:lang w:eastAsia="zh-CN"/>
        </w:rPr>
        <w:t>图</w:t>
      </w:r>
      <w:r>
        <w:rPr>
          <w:rFonts w:hint="eastAsia" w:ascii="黑体" w:hAnsi="黑体" w:eastAsia="黑体"/>
          <w:b/>
          <w:snapToGrid w:val="0"/>
          <w:color w:val="auto"/>
          <w:kern w:val="0"/>
          <w:sz w:val="24"/>
          <w:lang w:val="en-US" w:eastAsia="zh-CN"/>
        </w:rPr>
        <w:t>2</w:t>
      </w:r>
      <w:r>
        <w:rPr>
          <w:rFonts w:hint="eastAsia" w:ascii="黑体" w:hAnsi="黑体" w:eastAsia="黑体"/>
          <w:b/>
          <w:snapToGrid w:val="0"/>
          <w:color w:val="auto"/>
          <w:kern w:val="0"/>
          <w:sz w:val="24"/>
          <w:lang w:eastAsia="zh-CN"/>
        </w:rPr>
        <w:t>-</w:t>
      </w:r>
      <w:r>
        <w:rPr>
          <w:rFonts w:hint="eastAsia" w:ascii="黑体" w:hAnsi="黑体" w:eastAsia="黑体"/>
          <w:b/>
          <w:snapToGrid w:val="0"/>
          <w:color w:val="auto"/>
          <w:kern w:val="0"/>
          <w:sz w:val="24"/>
          <w:lang w:val="en-US" w:eastAsia="zh-CN"/>
        </w:rPr>
        <w:t>4</w:t>
      </w:r>
      <w:r>
        <w:rPr>
          <w:rFonts w:hint="eastAsia" w:ascii="黑体" w:hAnsi="黑体" w:eastAsia="黑体"/>
          <w:b/>
          <w:snapToGrid w:val="0"/>
          <w:color w:val="auto"/>
          <w:kern w:val="0"/>
          <w:sz w:val="24"/>
          <w:lang w:eastAsia="zh-CN"/>
        </w:rPr>
        <w:t xml:space="preserve"> 页岩砖生产工艺流程示意图</w:t>
      </w:r>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2、原料制备</w:t>
      </w:r>
      <w:bookmarkEnd w:id="62"/>
      <w:bookmarkEnd w:id="63"/>
      <w:bookmarkEnd w:id="64"/>
      <w:bookmarkEnd w:id="65"/>
    </w:p>
    <w:p>
      <w:pPr>
        <w:spacing w:line="360" w:lineRule="auto"/>
        <w:ind w:firstLine="560" w:firstLineChars="200"/>
        <w:rPr>
          <w:rFonts w:hint="eastAsia" w:ascii="宋体"/>
          <w:snapToGrid w:val="0"/>
          <w:color w:val="auto"/>
          <w:kern w:val="0"/>
          <w:sz w:val="28"/>
          <w:szCs w:val="28"/>
        </w:rPr>
      </w:pPr>
      <w:bookmarkStart w:id="66" w:name="_Toc480804371"/>
      <w:bookmarkStart w:id="67" w:name="_Toc356380958"/>
      <w:bookmarkStart w:id="68" w:name="_Toc515872920"/>
      <w:bookmarkStart w:id="69" w:name="_Toc356401467"/>
      <w:r>
        <w:rPr>
          <w:rFonts w:hint="eastAsia" w:ascii="宋体"/>
          <w:snapToGrid w:val="0"/>
          <w:color w:val="auto"/>
          <w:kern w:val="0"/>
          <w:sz w:val="28"/>
          <w:szCs w:val="28"/>
        </w:rPr>
        <w:t>制砖主要原料煤外购运到厂内，自卸到板式给料机中。经板式给料机定量装到胶带输送机上，运到颚式破碎机处进行粗破，通过刮板给料机、圆盘给料机均匀喂料，至锤式破碎机进行粉碎，粉碎后物料颗粒组成情况为：</w:t>
      </w:r>
    </w:p>
    <w:tbl>
      <w:tblPr>
        <w:tblStyle w:val="19"/>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2539"/>
        <w:gridCol w:w="3074"/>
        <w:gridCol w:w="2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9"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1～3mm</w:t>
            </w:r>
          </w:p>
        </w:tc>
        <w:tc>
          <w:tcPr>
            <w:tcW w:w="2539"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0.5～1mm</w:t>
            </w:r>
          </w:p>
        </w:tc>
        <w:tc>
          <w:tcPr>
            <w:tcW w:w="3074"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0.2～0.5mm</w:t>
            </w:r>
          </w:p>
        </w:tc>
        <w:tc>
          <w:tcPr>
            <w:tcW w:w="2006"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&lt;0.2mm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9"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&lt;3%</w:t>
            </w:r>
          </w:p>
        </w:tc>
        <w:tc>
          <w:tcPr>
            <w:tcW w:w="2539"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30%</w:t>
            </w:r>
          </w:p>
        </w:tc>
        <w:tc>
          <w:tcPr>
            <w:tcW w:w="3074"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33%</w:t>
            </w:r>
          </w:p>
        </w:tc>
        <w:tc>
          <w:tcPr>
            <w:tcW w:w="2006"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&gt;34%</w:t>
            </w:r>
          </w:p>
        </w:tc>
      </w:tr>
    </w:tbl>
    <w:p>
      <w:pPr>
        <w:spacing w:line="360" w:lineRule="auto"/>
        <w:ind w:firstLine="560" w:firstLineChars="200"/>
        <w:rPr>
          <w:rFonts w:hint="eastAsia" w:ascii="宋体"/>
          <w:snapToGrid w:val="0"/>
          <w:color w:val="auto"/>
          <w:kern w:val="0"/>
          <w:sz w:val="28"/>
          <w:szCs w:val="28"/>
        </w:rPr>
      </w:pPr>
      <w:r>
        <w:rPr>
          <w:rFonts w:hint="eastAsia" w:ascii="宋体"/>
          <w:snapToGrid w:val="0"/>
          <w:color w:val="auto"/>
          <w:kern w:val="0"/>
          <w:sz w:val="28"/>
          <w:szCs w:val="28"/>
        </w:rPr>
        <w:t>煤按配合比(</w:t>
      </w:r>
      <w:r>
        <w:rPr>
          <w:rFonts w:hint="eastAsia" w:ascii="宋体" w:hAnsi="宋体"/>
          <w:color w:val="auto"/>
          <w:sz w:val="28"/>
          <w:szCs w:val="28"/>
        </w:rPr>
        <w:t>页岩、煤矸石=7:3)</w:t>
      </w:r>
      <w:r>
        <w:rPr>
          <w:rFonts w:hint="eastAsia" w:ascii="宋体"/>
          <w:snapToGrid w:val="0"/>
          <w:color w:val="auto"/>
          <w:kern w:val="0"/>
          <w:sz w:val="28"/>
          <w:szCs w:val="28"/>
        </w:rPr>
        <w:t>要求经箱式给料机定量给料到胶带输送机上，</w:t>
      </w:r>
      <w:r>
        <w:rPr>
          <w:rFonts w:hint="eastAsia" w:ascii="宋体" w:hAnsi="宋体"/>
          <w:color w:val="auto"/>
          <w:sz w:val="28"/>
          <w:szCs w:val="28"/>
        </w:rPr>
        <w:t>页岩</w:t>
      </w:r>
      <w:r>
        <w:rPr>
          <w:rFonts w:hint="eastAsia" w:ascii="宋体"/>
          <w:snapToGrid w:val="0"/>
          <w:color w:val="auto"/>
          <w:kern w:val="0"/>
          <w:sz w:val="28"/>
          <w:szCs w:val="28"/>
        </w:rPr>
        <w:t>共同进行粗碎、细碎处理。粉碎后的</w:t>
      </w:r>
      <w:r>
        <w:rPr>
          <w:rFonts w:hint="eastAsia" w:ascii="宋体" w:hAnsi="宋体"/>
          <w:color w:val="auto"/>
          <w:sz w:val="28"/>
          <w:szCs w:val="28"/>
        </w:rPr>
        <w:t>页岩</w:t>
      </w:r>
      <w:r>
        <w:rPr>
          <w:rFonts w:hint="eastAsia" w:ascii="宋体"/>
          <w:snapToGrid w:val="0"/>
          <w:color w:val="auto"/>
          <w:kern w:val="0"/>
          <w:sz w:val="28"/>
          <w:szCs w:val="28"/>
        </w:rPr>
        <w:t>、煤粉经强力搅拌机加水搅拌混合。</w:t>
      </w:r>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3、原料陈化处理</w:t>
      </w:r>
      <w:bookmarkEnd w:id="66"/>
      <w:bookmarkEnd w:id="67"/>
      <w:bookmarkEnd w:id="68"/>
      <w:bookmarkEnd w:id="69"/>
    </w:p>
    <w:p>
      <w:pPr>
        <w:spacing w:line="360" w:lineRule="auto"/>
        <w:ind w:firstLine="560" w:firstLineChars="200"/>
        <w:rPr>
          <w:rFonts w:hint="eastAsia" w:ascii="宋体"/>
          <w:snapToGrid w:val="0"/>
          <w:color w:val="auto"/>
          <w:kern w:val="0"/>
          <w:sz w:val="28"/>
          <w:szCs w:val="28"/>
        </w:rPr>
      </w:pPr>
      <w:r>
        <w:rPr>
          <w:rFonts w:hint="eastAsia" w:ascii="宋体"/>
          <w:snapToGrid w:val="0"/>
          <w:color w:val="auto"/>
          <w:kern w:val="0"/>
          <w:sz w:val="28"/>
          <w:szCs w:val="28"/>
        </w:rPr>
        <w:t>经强力搅拌机处理后的混合料再通过胶带输送机运到陈化库顶部的可逆移动配仓布料机上，将混合料按一定规律均匀的堆存到陈化库中，混合料陈化时间不得小于3小时。陈化的作用是使原料中水分均匀化程度提高，使原料颗粒表面和内部性能更加的均匀，更趋一致，使颗粒变得容易疏解，使混合料的成型性能得到提高。</w:t>
      </w:r>
    </w:p>
    <w:p>
      <w:pPr>
        <w:spacing w:line="360" w:lineRule="auto"/>
        <w:ind w:firstLine="562" w:firstLineChars="200"/>
        <w:rPr>
          <w:rFonts w:hint="eastAsia" w:ascii="宋体"/>
          <w:b/>
          <w:bCs/>
          <w:snapToGrid w:val="0"/>
          <w:color w:val="auto"/>
          <w:kern w:val="0"/>
          <w:sz w:val="28"/>
          <w:szCs w:val="28"/>
          <w:lang w:val="en-US" w:eastAsia="zh-CN"/>
        </w:rPr>
      </w:pPr>
      <w:bookmarkStart w:id="70" w:name="_Toc356401468"/>
      <w:bookmarkStart w:id="71" w:name="_Toc480804372"/>
      <w:bookmarkStart w:id="72" w:name="_Toc515872921"/>
      <w:bookmarkStart w:id="73" w:name="_Toc356380959"/>
      <w:r>
        <w:rPr>
          <w:rFonts w:hint="eastAsia" w:ascii="宋体"/>
          <w:b/>
          <w:bCs/>
          <w:snapToGrid w:val="0"/>
          <w:color w:val="auto"/>
          <w:kern w:val="0"/>
          <w:sz w:val="28"/>
          <w:szCs w:val="28"/>
          <w:lang w:val="en-US" w:eastAsia="zh-CN"/>
        </w:rPr>
        <w:t>4、挤出成型</w:t>
      </w:r>
      <w:bookmarkEnd w:id="70"/>
      <w:bookmarkEnd w:id="71"/>
      <w:bookmarkEnd w:id="72"/>
      <w:bookmarkEnd w:id="73"/>
    </w:p>
    <w:p>
      <w:pPr>
        <w:spacing w:line="360" w:lineRule="auto"/>
        <w:ind w:firstLine="560" w:firstLineChars="200"/>
        <w:rPr>
          <w:rFonts w:hint="eastAsia" w:ascii="宋体"/>
          <w:snapToGrid w:val="0"/>
          <w:color w:val="auto"/>
          <w:kern w:val="0"/>
          <w:sz w:val="28"/>
          <w:szCs w:val="28"/>
        </w:rPr>
      </w:pPr>
      <w:r>
        <w:rPr>
          <w:rFonts w:hint="eastAsia" w:ascii="宋体"/>
          <w:snapToGrid w:val="0"/>
          <w:color w:val="auto"/>
          <w:kern w:val="0"/>
          <w:sz w:val="28"/>
          <w:szCs w:val="28"/>
        </w:rPr>
        <w:t>经过陈化的混合料有装运到胶带输送机上运到成型车间的箱式给料机处定量向强力搅拌机给料。原料通过这次加水搅拌，使其成型水分达到16～17%。搅拌后的物料再经过湿式轮碾机进一步碾练均化处理，使混合料性能满足成型需要。挤出成型采用高挤出压力、高真空度的双极真空挤出机，许用挤出压力达到3.8mpa，真空度达到≤-0.092mpa。挤出的泥条经自动切条机、切坯机割成需要规格的砖坯，再经码坯将砖坯放到窑车上。</w:t>
      </w:r>
    </w:p>
    <w:p>
      <w:pPr>
        <w:spacing w:line="360" w:lineRule="auto"/>
        <w:ind w:firstLine="562" w:firstLineChars="200"/>
        <w:rPr>
          <w:rFonts w:hint="eastAsia" w:ascii="宋体"/>
          <w:b/>
          <w:bCs/>
          <w:snapToGrid w:val="0"/>
          <w:color w:val="auto"/>
          <w:kern w:val="0"/>
          <w:sz w:val="28"/>
          <w:szCs w:val="28"/>
          <w:lang w:val="en-US" w:eastAsia="zh-CN"/>
        </w:rPr>
      </w:pPr>
      <w:bookmarkStart w:id="74" w:name="_Toc480804373"/>
      <w:bookmarkStart w:id="75" w:name="_Toc356401469"/>
      <w:bookmarkStart w:id="76" w:name="_Toc515872922"/>
      <w:bookmarkStart w:id="77" w:name="_Toc356380960"/>
      <w:r>
        <w:rPr>
          <w:rFonts w:hint="eastAsia" w:ascii="宋体"/>
          <w:b/>
          <w:bCs/>
          <w:snapToGrid w:val="0"/>
          <w:color w:val="auto"/>
          <w:kern w:val="0"/>
          <w:sz w:val="28"/>
          <w:szCs w:val="28"/>
          <w:lang w:val="en-US" w:eastAsia="zh-CN"/>
        </w:rPr>
        <w:t>5、干燥、焙烧</w:t>
      </w:r>
      <w:bookmarkEnd w:id="74"/>
      <w:bookmarkEnd w:id="75"/>
      <w:bookmarkEnd w:id="76"/>
      <w:bookmarkEnd w:id="77"/>
    </w:p>
    <w:p>
      <w:pPr>
        <w:spacing w:line="360" w:lineRule="auto"/>
        <w:ind w:firstLine="560" w:firstLineChars="200"/>
        <w:rPr>
          <w:rFonts w:hint="eastAsia" w:ascii="宋体"/>
          <w:snapToGrid w:val="0"/>
          <w:color w:val="auto"/>
          <w:kern w:val="0"/>
          <w:sz w:val="28"/>
          <w:szCs w:val="28"/>
          <w:lang w:val="en-US" w:eastAsia="zh-CN"/>
        </w:rPr>
      </w:pPr>
      <w:r>
        <w:rPr>
          <w:rFonts w:hint="eastAsia" w:ascii="宋体"/>
          <w:snapToGrid w:val="0"/>
          <w:color w:val="auto"/>
          <w:kern w:val="0"/>
          <w:sz w:val="28"/>
          <w:szCs w:val="28"/>
          <w:lang w:val="en-US" w:eastAsia="zh-CN"/>
        </w:rPr>
        <w:t>码有砖坯的窑车通过窑车运转系统完成窑车在贮存段、干燥室、焙烧窑的运行。由于成型工段在市场淡季有可能是二班生产，干燥室、焙烧窑是三班生产，因此必须设置码有砖坯的窑车贮存段，用于贮存夜班进窑的窑车，本项目共设250辆窑车。</w:t>
      </w:r>
    </w:p>
    <w:p>
      <w:pPr>
        <w:spacing w:line="360" w:lineRule="auto"/>
        <w:ind w:firstLine="560" w:firstLineChars="200"/>
        <w:rPr>
          <w:rFonts w:hint="eastAsia" w:ascii="宋体"/>
          <w:snapToGrid w:val="0"/>
          <w:color w:val="auto"/>
          <w:kern w:val="0"/>
          <w:sz w:val="28"/>
          <w:szCs w:val="28"/>
          <w:lang w:val="en-US" w:eastAsia="zh-CN"/>
        </w:rPr>
      </w:pPr>
      <w:r>
        <w:rPr>
          <w:rFonts w:hint="eastAsia" w:ascii="宋体"/>
          <w:snapToGrid w:val="0"/>
          <w:color w:val="auto"/>
          <w:kern w:val="0"/>
          <w:sz w:val="28"/>
          <w:szCs w:val="28"/>
          <w:lang w:val="en-US" w:eastAsia="zh-CN"/>
        </w:rPr>
        <w:t>装有砖坯的窑车经过贮存后运送到进车端摆渡车上，通过液压顶车机将窑车送入干燥室内，本项目采用一次码烧工艺，26门轮窑生产线1条（1座</w:t>
      </w:r>
      <w:r>
        <w:rPr>
          <w:rFonts w:hint="eastAsia" w:ascii="宋体"/>
          <w:snapToGrid w:val="0"/>
          <w:color w:val="FF0000"/>
          <w:kern w:val="0"/>
          <w:sz w:val="28"/>
          <w:szCs w:val="28"/>
          <w:lang w:val="en-US" w:eastAsia="zh-CN"/>
        </w:rPr>
        <w:t>干燥窑，1座焙烧窑</w:t>
      </w:r>
      <w:r>
        <w:rPr>
          <w:rFonts w:hint="eastAsia" w:ascii="宋体"/>
          <w:snapToGrid w:val="0"/>
          <w:color w:val="auto"/>
          <w:kern w:val="0"/>
          <w:sz w:val="28"/>
          <w:szCs w:val="28"/>
          <w:lang w:val="en-US" w:eastAsia="zh-CN"/>
        </w:rPr>
        <w:t>）</w:t>
      </w:r>
      <w:r>
        <w:rPr>
          <w:rFonts w:hint="eastAsia" w:ascii="宋体"/>
          <w:snapToGrid w:val="0"/>
          <w:color w:val="FF0000"/>
          <w:kern w:val="0"/>
          <w:sz w:val="28"/>
          <w:szCs w:val="28"/>
          <w:lang w:val="en-US" w:eastAsia="zh-CN"/>
        </w:rPr>
        <w:t>。</w:t>
      </w:r>
      <w:r>
        <w:rPr>
          <w:rFonts w:hint="eastAsia" w:ascii="宋体"/>
          <w:snapToGrid w:val="0"/>
          <w:color w:val="auto"/>
          <w:kern w:val="0"/>
          <w:sz w:val="28"/>
          <w:szCs w:val="28"/>
          <w:lang w:val="en-US" w:eastAsia="zh-CN"/>
        </w:rPr>
        <w:t>干燥热源来自焙烧窑余热。干燥好的砖坯通过干燥室出口拉引机、焙烧窑液压顶车机将窑车送入焙烧窑。</w:t>
      </w:r>
    </w:p>
    <w:p>
      <w:pPr>
        <w:pStyle w:val="5"/>
        <w:spacing w:before="0" w:after="0" w:line="360" w:lineRule="auto"/>
        <w:rPr>
          <w:rFonts w:hint="eastAsia" w:ascii="宋体" w:hAnsi="宋体" w:eastAsia="宋体" w:cs="宋体"/>
          <w:color w:val="auto"/>
          <w:sz w:val="28"/>
          <w:szCs w:val="28"/>
          <w:lang w:val="zh-CN"/>
        </w:rPr>
      </w:pPr>
      <w:bookmarkStart w:id="78" w:name="_Toc9989"/>
      <w:bookmarkStart w:id="79" w:name="_Toc20511"/>
      <w:r>
        <w:rPr>
          <w:rFonts w:hint="eastAsia" w:ascii="宋体" w:hAnsi="宋体" w:eastAsia="宋体" w:cs="宋体"/>
          <w:color w:val="auto"/>
          <w:sz w:val="28"/>
          <w:szCs w:val="28"/>
          <w:lang w:val="zh-CN"/>
        </w:rPr>
        <w:t>2.1.</w:t>
      </w:r>
      <w:r>
        <w:rPr>
          <w:rFonts w:hint="eastAsia" w:ascii="宋体" w:hAnsi="宋体" w:eastAsia="宋体" w:cs="宋体"/>
          <w:color w:val="auto"/>
          <w:sz w:val="28"/>
          <w:szCs w:val="28"/>
          <w:lang w:val="en-US" w:eastAsia="zh-CN"/>
        </w:rPr>
        <w:t>5</w:t>
      </w:r>
      <w:r>
        <w:rPr>
          <w:rFonts w:hint="eastAsia" w:ascii="宋体" w:hAnsi="宋体" w:eastAsia="宋体" w:cs="宋体"/>
          <w:b/>
          <w:bCs/>
          <w:i w:val="0"/>
          <w:iCs w:val="0"/>
          <w:color w:val="auto"/>
          <w:sz w:val="28"/>
          <w:szCs w:val="28"/>
        </w:rPr>
        <w:t>主要生产设备情况</w:t>
      </w:r>
      <w:bookmarkEnd w:id="78"/>
      <w:bookmarkEnd w:id="79"/>
    </w:p>
    <w:p>
      <w:pPr>
        <w:spacing w:line="360" w:lineRule="auto"/>
        <w:ind w:firstLine="560" w:firstLineChars="200"/>
        <w:rPr>
          <w:rFonts w:hint="eastAsia" w:ascii="宋体" w:hAnsi="宋体" w:cs="宋体"/>
          <w:i w:val="0"/>
          <w:iCs w:val="0"/>
          <w:color w:val="auto"/>
          <w:sz w:val="28"/>
          <w:szCs w:val="28"/>
        </w:rPr>
      </w:pPr>
      <w:r>
        <w:rPr>
          <w:rFonts w:hint="eastAsia" w:ascii="宋体" w:hAnsi="宋体" w:cs="宋体"/>
          <w:i w:val="0"/>
          <w:iCs w:val="0"/>
          <w:color w:val="auto"/>
          <w:sz w:val="28"/>
          <w:szCs w:val="28"/>
          <w:lang w:eastAsia="zh-CN"/>
        </w:rPr>
        <w:t>仪陇县瓦子镇宏发页岩砖厂</w:t>
      </w:r>
      <w:r>
        <w:rPr>
          <w:rFonts w:hint="eastAsia" w:ascii="宋体" w:hAnsi="宋体" w:cs="宋体"/>
          <w:i w:val="0"/>
          <w:iCs w:val="0"/>
          <w:color w:val="auto"/>
          <w:sz w:val="28"/>
          <w:szCs w:val="28"/>
        </w:rPr>
        <w:t>主要设备清单见表</w:t>
      </w:r>
      <w:r>
        <w:rPr>
          <w:rFonts w:hint="eastAsia" w:ascii="宋体" w:hAnsi="宋体" w:eastAsia="宋体" w:cs="宋体"/>
          <w:i w:val="0"/>
          <w:iCs w:val="0"/>
          <w:color w:val="auto"/>
          <w:sz w:val="28"/>
          <w:szCs w:val="28"/>
          <w:lang w:val="en-US" w:eastAsia="zh-CN"/>
        </w:rPr>
        <w:t>2</w:t>
      </w:r>
      <w:r>
        <w:rPr>
          <w:rFonts w:hint="eastAsia" w:ascii="宋体" w:hAnsi="宋体" w:cs="宋体"/>
          <w:i w:val="0"/>
          <w:iCs w:val="0"/>
          <w:color w:val="auto"/>
          <w:sz w:val="28"/>
          <w:szCs w:val="28"/>
        </w:rPr>
        <w:t>-</w:t>
      </w:r>
      <w:r>
        <w:rPr>
          <w:rFonts w:hint="eastAsia" w:ascii="宋体" w:hAnsi="宋体" w:cs="宋体"/>
          <w:i w:val="0"/>
          <w:iCs w:val="0"/>
          <w:color w:val="auto"/>
          <w:sz w:val="28"/>
          <w:szCs w:val="28"/>
          <w:lang w:val="en-US" w:eastAsia="zh-CN"/>
        </w:rPr>
        <w:t>2</w:t>
      </w:r>
      <w:r>
        <w:rPr>
          <w:rFonts w:hint="eastAsia" w:ascii="宋体" w:hAnsi="宋体" w:cs="宋体"/>
          <w:i w:val="0"/>
          <w:iCs w:val="0"/>
          <w:color w:val="auto"/>
          <w:sz w:val="28"/>
          <w:szCs w:val="28"/>
        </w:rPr>
        <w:t>所示。</w:t>
      </w:r>
    </w:p>
    <w:tbl>
      <w:tblPr>
        <w:tblStyle w:val="19"/>
        <w:tblW w:w="90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632"/>
        <w:gridCol w:w="3715"/>
        <w:gridCol w:w="1445"/>
        <w:gridCol w:w="2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37" w:hRule="atLeast"/>
          <w:jc w:val="center"/>
        </w:trPr>
        <w:tc>
          <w:tcPr>
            <w:tcW w:w="1632" w:type="dxa"/>
            <w:tcBorders>
              <w:tl2br w:val="nil"/>
              <w:tr2bl w:val="nil"/>
            </w:tcBorders>
            <w:shd w:val="clear" w:color="auto" w:fill="FFFFFF"/>
            <w:noWrap w:val="0"/>
            <w:vAlign w:val="bottom"/>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序号</w:t>
            </w:r>
          </w:p>
        </w:tc>
        <w:tc>
          <w:tcPr>
            <w:tcW w:w="3715" w:type="dxa"/>
            <w:tcBorders>
              <w:tl2br w:val="nil"/>
              <w:tr2bl w:val="nil"/>
            </w:tcBorders>
            <w:shd w:val="clear" w:color="auto" w:fill="FFFFFF"/>
            <w:noWrap w:val="0"/>
            <w:vAlign w:val="bottom"/>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名称</w:t>
            </w:r>
          </w:p>
        </w:tc>
        <w:tc>
          <w:tcPr>
            <w:tcW w:w="1445" w:type="dxa"/>
            <w:tcBorders>
              <w:tl2br w:val="nil"/>
              <w:tr2bl w:val="nil"/>
            </w:tcBorders>
            <w:shd w:val="clear" w:color="auto" w:fill="FFFFFF"/>
            <w:noWrap w:val="0"/>
            <w:vAlign w:val="bottom"/>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型号</w:t>
            </w:r>
          </w:p>
        </w:tc>
        <w:tc>
          <w:tcPr>
            <w:tcW w:w="2300" w:type="dxa"/>
            <w:tcBorders>
              <w:tl2br w:val="nil"/>
              <w:tr2bl w:val="nil"/>
            </w:tcBorders>
            <w:shd w:val="clear" w:color="auto" w:fill="FFFFFF"/>
            <w:noWrap w:val="0"/>
            <w:vAlign w:val="bottom"/>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数世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37" w:hRule="atLeast"/>
          <w:jc w:val="center"/>
        </w:trPr>
        <w:tc>
          <w:tcPr>
            <w:tcW w:w="1632" w:type="dxa"/>
            <w:tcBorders>
              <w:tl2br w:val="nil"/>
              <w:tr2bl w:val="nil"/>
            </w:tcBorders>
            <w:shd w:val="clear" w:color="auto" w:fill="FFFFFF"/>
            <w:noWrap w:val="0"/>
            <w:vAlign w:val="bottom"/>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1</w:t>
            </w:r>
          </w:p>
        </w:tc>
        <w:tc>
          <w:tcPr>
            <w:tcW w:w="3715"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lang w:val="zh-CN" w:eastAsia="zh-CN"/>
              </w:rPr>
              <w:t>破碎机</w:t>
            </w:r>
          </w:p>
        </w:tc>
        <w:tc>
          <w:tcPr>
            <w:tcW w:w="1445" w:type="dxa"/>
            <w:tcBorders>
              <w:tl2br w:val="nil"/>
              <w:tr2bl w:val="nil"/>
            </w:tcBorders>
            <w:shd w:val="clear" w:color="auto" w:fill="FFFFFF"/>
            <w:noWrap w:val="0"/>
            <w:vAlign w:val="top"/>
          </w:tcPr>
          <w:p>
            <w:pPr>
              <w:jc w:val="center"/>
              <w:rPr>
                <w:rFonts w:hint="eastAsia" w:ascii="宋体" w:hAnsi="宋体" w:eastAsia="宋体" w:cs="宋体"/>
                <w:vertAlign w:val="baseline"/>
                <w:lang w:val="zh-CN" w:eastAsia="zh-CN"/>
              </w:rPr>
            </w:pPr>
            <w:r>
              <w:rPr>
                <w:rFonts w:hint="eastAsia" w:ascii="宋体" w:hAnsi="宋体" w:eastAsia="宋体" w:cs="宋体"/>
                <w:lang w:val="zh-CN" w:eastAsia="zh-CN"/>
              </w:rPr>
              <w:t>/</w:t>
            </w:r>
          </w:p>
        </w:tc>
        <w:tc>
          <w:tcPr>
            <w:tcW w:w="2300"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lang w:val="zh-CN"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37" w:hRule="atLeast"/>
          <w:jc w:val="center"/>
        </w:trPr>
        <w:tc>
          <w:tcPr>
            <w:tcW w:w="1632"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2</w:t>
            </w:r>
          </w:p>
        </w:tc>
        <w:tc>
          <w:tcPr>
            <w:tcW w:w="3715"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lang w:val="zh-CN" w:eastAsia="zh-CN"/>
              </w:rPr>
              <w:t>滚动褅</w:t>
            </w:r>
          </w:p>
        </w:tc>
        <w:tc>
          <w:tcPr>
            <w:tcW w:w="1445"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lang w:val="zh-CN" w:eastAsia="zh-CN"/>
              </w:rPr>
              <w:t>/</w:t>
            </w:r>
          </w:p>
        </w:tc>
        <w:tc>
          <w:tcPr>
            <w:tcW w:w="2300" w:type="dxa"/>
            <w:tcBorders>
              <w:tl2br w:val="nil"/>
              <w:tr2bl w:val="nil"/>
            </w:tcBorders>
            <w:shd w:val="clear" w:color="auto" w:fill="FFFFFF"/>
            <w:noWrap w:val="0"/>
            <w:vAlign w:val="bottom"/>
          </w:tcPr>
          <w:p>
            <w:pPr>
              <w:jc w:val="center"/>
              <w:rPr>
                <w:rFonts w:hint="eastAsia" w:ascii="宋体" w:hAnsi="宋体" w:eastAsia="宋体" w:cs="宋体"/>
                <w:vertAlign w:val="baseline"/>
                <w:lang w:val="zh-CN" w:eastAsia="zh-CN"/>
              </w:rPr>
            </w:pPr>
            <w:r>
              <w:rPr>
                <w:rFonts w:hint="eastAsia" w:ascii="宋体" w:hAnsi="宋体" w:eastAsia="宋体" w:cs="宋体"/>
                <w:lang w:val="zh-CN"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37" w:hRule="atLeast"/>
          <w:jc w:val="center"/>
        </w:trPr>
        <w:tc>
          <w:tcPr>
            <w:tcW w:w="1632" w:type="dxa"/>
            <w:tcBorders>
              <w:tl2br w:val="nil"/>
              <w:tr2bl w:val="nil"/>
            </w:tcBorders>
            <w:shd w:val="clear" w:color="auto" w:fill="FFFFFF"/>
            <w:noWrap w:val="0"/>
            <w:vAlign w:val="top"/>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3</w:t>
            </w:r>
          </w:p>
        </w:tc>
        <w:tc>
          <w:tcPr>
            <w:tcW w:w="3715"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lang w:val="zh-CN" w:eastAsia="zh-CN"/>
              </w:rPr>
              <w:t>双轴搅拌机</w:t>
            </w:r>
          </w:p>
        </w:tc>
        <w:tc>
          <w:tcPr>
            <w:tcW w:w="1445" w:type="dxa"/>
            <w:tcBorders>
              <w:tl2br w:val="nil"/>
              <w:tr2bl w:val="nil"/>
            </w:tcBorders>
            <w:shd w:val="clear" w:color="auto" w:fill="FFFFFF"/>
            <w:noWrap w:val="0"/>
            <w:vAlign w:val="top"/>
          </w:tcPr>
          <w:p>
            <w:pPr>
              <w:jc w:val="center"/>
              <w:rPr>
                <w:rFonts w:hint="eastAsia" w:ascii="宋体" w:hAnsi="宋体" w:eastAsia="宋体" w:cs="宋体"/>
                <w:vertAlign w:val="baseline"/>
                <w:lang w:val="zh-CN" w:eastAsia="zh-CN"/>
              </w:rPr>
            </w:pPr>
            <w:r>
              <w:rPr>
                <w:rFonts w:hint="eastAsia" w:ascii="宋体" w:hAnsi="宋体" w:eastAsia="宋体" w:cs="宋体"/>
                <w:lang w:val="zh-CN" w:eastAsia="zh-CN"/>
              </w:rPr>
              <w:t>/</w:t>
            </w:r>
          </w:p>
        </w:tc>
        <w:tc>
          <w:tcPr>
            <w:tcW w:w="2300" w:type="dxa"/>
            <w:tcBorders>
              <w:tl2br w:val="nil"/>
              <w:tr2bl w:val="nil"/>
            </w:tcBorders>
            <w:shd w:val="clear" w:color="auto" w:fill="FFFFFF"/>
            <w:noWrap w:val="0"/>
            <w:vAlign w:val="bottom"/>
          </w:tcPr>
          <w:p>
            <w:pPr>
              <w:jc w:val="center"/>
              <w:rPr>
                <w:rFonts w:hint="eastAsia" w:ascii="宋体" w:hAnsi="宋体" w:eastAsia="宋体" w:cs="宋体"/>
                <w:vertAlign w:val="baseline"/>
                <w:lang w:val="zh-CN" w:eastAsia="zh-CN"/>
              </w:rPr>
            </w:pPr>
            <w:r>
              <w:rPr>
                <w:rFonts w:hint="eastAsia" w:ascii="宋体" w:hAnsi="宋体" w:eastAsia="宋体" w:cs="宋体"/>
                <w:lang w:val="zh-CN"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37" w:hRule="atLeast"/>
          <w:jc w:val="center"/>
        </w:trPr>
        <w:tc>
          <w:tcPr>
            <w:tcW w:w="1632" w:type="dxa"/>
            <w:tcBorders>
              <w:tl2br w:val="nil"/>
              <w:tr2bl w:val="nil"/>
            </w:tcBorders>
            <w:shd w:val="clear" w:color="auto" w:fill="FFFFFF"/>
            <w:noWrap w:val="0"/>
            <w:vAlign w:val="top"/>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4</w:t>
            </w:r>
          </w:p>
        </w:tc>
        <w:tc>
          <w:tcPr>
            <w:tcW w:w="3715"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lang w:val="zh-CN" w:eastAsia="zh-CN"/>
              </w:rPr>
              <w:t>双级挤出机</w:t>
            </w:r>
          </w:p>
        </w:tc>
        <w:tc>
          <w:tcPr>
            <w:tcW w:w="1445" w:type="dxa"/>
            <w:tcBorders>
              <w:tl2br w:val="nil"/>
              <w:tr2bl w:val="nil"/>
            </w:tcBorders>
            <w:shd w:val="clear" w:color="auto" w:fill="FFFFFF"/>
            <w:noWrap w:val="0"/>
            <w:vAlign w:val="top"/>
          </w:tcPr>
          <w:p>
            <w:pPr>
              <w:jc w:val="center"/>
              <w:rPr>
                <w:rFonts w:hint="eastAsia" w:ascii="宋体" w:hAnsi="宋体" w:eastAsia="宋体" w:cs="宋体"/>
                <w:vertAlign w:val="baseline"/>
                <w:lang w:val="zh-CN" w:eastAsia="zh-CN"/>
              </w:rPr>
            </w:pPr>
            <w:r>
              <w:rPr>
                <w:rFonts w:hint="eastAsia" w:ascii="宋体" w:hAnsi="宋体" w:eastAsia="宋体" w:cs="宋体"/>
                <w:lang w:val="zh-CN" w:eastAsia="zh-CN"/>
              </w:rPr>
              <w:t>/</w:t>
            </w:r>
          </w:p>
        </w:tc>
        <w:tc>
          <w:tcPr>
            <w:tcW w:w="2300" w:type="dxa"/>
            <w:tcBorders>
              <w:tl2br w:val="nil"/>
              <w:tr2bl w:val="nil"/>
            </w:tcBorders>
            <w:shd w:val="clear" w:color="auto" w:fill="FFFFFF"/>
            <w:noWrap w:val="0"/>
            <w:vAlign w:val="bottom"/>
          </w:tcPr>
          <w:p>
            <w:pPr>
              <w:jc w:val="center"/>
              <w:rPr>
                <w:rFonts w:hint="eastAsia" w:ascii="宋体" w:hAnsi="宋体" w:eastAsia="宋体" w:cs="宋体"/>
                <w:vertAlign w:val="baseline"/>
                <w:lang w:val="zh-CN" w:eastAsia="zh-CN"/>
              </w:rPr>
            </w:pPr>
            <w:r>
              <w:rPr>
                <w:rFonts w:hint="eastAsia" w:ascii="宋体" w:hAnsi="宋体" w:eastAsia="宋体" w:cs="宋体"/>
                <w:lang w:val="zh-CN"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37" w:hRule="atLeast"/>
          <w:jc w:val="center"/>
        </w:trPr>
        <w:tc>
          <w:tcPr>
            <w:tcW w:w="1632" w:type="dxa"/>
            <w:tcBorders>
              <w:tl2br w:val="nil"/>
              <w:tr2bl w:val="nil"/>
            </w:tcBorders>
            <w:shd w:val="clear" w:color="auto" w:fill="FFFFFF"/>
            <w:noWrap w:val="0"/>
            <w:vAlign w:val="bottom"/>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5</w:t>
            </w:r>
          </w:p>
        </w:tc>
        <w:tc>
          <w:tcPr>
            <w:tcW w:w="3715"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lang w:val="zh-CN" w:eastAsia="zh-CN"/>
              </w:rPr>
              <w:t>切砖机</w:t>
            </w:r>
          </w:p>
        </w:tc>
        <w:tc>
          <w:tcPr>
            <w:tcW w:w="1445" w:type="dxa"/>
            <w:tcBorders>
              <w:tl2br w:val="nil"/>
              <w:tr2bl w:val="nil"/>
            </w:tcBorders>
            <w:shd w:val="clear" w:color="auto" w:fill="FFFFFF"/>
            <w:noWrap w:val="0"/>
            <w:vAlign w:val="bottom"/>
          </w:tcPr>
          <w:p>
            <w:pPr>
              <w:jc w:val="center"/>
              <w:rPr>
                <w:rFonts w:hint="eastAsia" w:ascii="宋体" w:hAnsi="宋体" w:eastAsia="宋体" w:cs="宋体"/>
                <w:vertAlign w:val="baseline"/>
                <w:lang w:val="zh-CN" w:eastAsia="zh-CN"/>
              </w:rPr>
            </w:pPr>
            <w:r>
              <w:rPr>
                <w:rFonts w:hint="eastAsia" w:ascii="宋体" w:hAnsi="宋体" w:eastAsia="宋体" w:cs="宋体"/>
                <w:lang w:val="zh-CN" w:eastAsia="zh-CN"/>
              </w:rPr>
              <w:t>/</w:t>
            </w:r>
          </w:p>
        </w:tc>
        <w:tc>
          <w:tcPr>
            <w:tcW w:w="2300" w:type="dxa"/>
            <w:tcBorders>
              <w:tl2br w:val="nil"/>
              <w:tr2bl w:val="nil"/>
            </w:tcBorders>
            <w:shd w:val="clear" w:color="auto" w:fill="FFFFFF"/>
            <w:noWrap w:val="0"/>
            <w:vAlign w:val="bottom"/>
          </w:tcPr>
          <w:p>
            <w:pPr>
              <w:jc w:val="center"/>
              <w:rPr>
                <w:rFonts w:hint="eastAsia" w:ascii="宋体" w:hAnsi="宋体" w:eastAsia="宋体" w:cs="宋体"/>
                <w:vertAlign w:val="baseline"/>
                <w:lang w:val="zh-CN" w:eastAsia="zh-CN"/>
              </w:rPr>
            </w:pPr>
            <w:r>
              <w:rPr>
                <w:rFonts w:hint="eastAsia" w:ascii="宋体" w:hAnsi="宋体" w:eastAsia="宋体" w:cs="宋体"/>
                <w:lang w:val="zh-CN"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37" w:hRule="atLeast"/>
          <w:jc w:val="center"/>
        </w:trPr>
        <w:tc>
          <w:tcPr>
            <w:tcW w:w="1632"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6</w:t>
            </w:r>
          </w:p>
        </w:tc>
        <w:tc>
          <w:tcPr>
            <w:tcW w:w="3715"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lang w:val="zh-CN" w:eastAsia="zh-CN"/>
              </w:rPr>
              <w:t>自动切条机</w:t>
            </w:r>
          </w:p>
        </w:tc>
        <w:tc>
          <w:tcPr>
            <w:tcW w:w="1445"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lang w:val="zh-CN" w:eastAsia="zh-CN"/>
              </w:rPr>
              <w:t>/</w:t>
            </w:r>
          </w:p>
        </w:tc>
        <w:tc>
          <w:tcPr>
            <w:tcW w:w="2300"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lang w:val="en-US" w:eastAsia="zh-CN"/>
              </w:rPr>
              <w:t>1</w:t>
            </w:r>
            <w:r>
              <w:rPr>
                <w:rFonts w:hint="eastAsia" w:ascii="宋体" w:hAnsi="宋体" w:eastAsia="宋体" w:cs="宋体"/>
                <w:lang w:val="zh-CN"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37" w:hRule="atLeast"/>
          <w:jc w:val="center"/>
        </w:trPr>
        <w:tc>
          <w:tcPr>
            <w:tcW w:w="1632"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7</w:t>
            </w:r>
          </w:p>
        </w:tc>
        <w:tc>
          <w:tcPr>
            <w:tcW w:w="3715"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lang w:val="zh-CN" w:eastAsia="zh-CN"/>
              </w:rPr>
              <w:t>装裁机</w:t>
            </w:r>
          </w:p>
        </w:tc>
        <w:tc>
          <w:tcPr>
            <w:tcW w:w="1445"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lang w:val="zh-CN" w:eastAsia="zh-CN"/>
              </w:rPr>
              <w:t>/</w:t>
            </w:r>
          </w:p>
        </w:tc>
        <w:tc>
          <w:tcPr>
            <w:tcW w:w="2300" w:type="dxa"/>
            <w:tcBorders>
              <w:tl2br w:val="nil"/>
              <w:tr2bl w:val="nil"/>
            </w:tcBorders>
            <w:shd w:val="clear" w:color="auto" w:fill="FFFFFF"/>
            <w:noWrap w:val="0"/>
            <w:vAlign w:val="bottom"/>
          </w:tcPr>
          <w:p>
            <w:pPr>
              <w:jc w:val="center"/>
              <w:rPr>
                <w:rFonts w:hint="eastAsia" w:ascii="宋体" w:hAnsi="宋体" w:eastAsia="宋体" w:cs="宋体"/>
                <w:vertAlign w:val="baseline"/>
                <w:lang w:val="zh-CN" w:eastAsia="zh-CN"/>
              </w:rPr>
            </w:pPr>
            <w:r>
              <w:rPr>
                <w:rFonts w:hint="eastAsia" w:ascii="宋体" w:hAnsi="宋体" w:eastAsia="宋体" w:cs="宋体"/>
                <w:lang w:val="zh-CN"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37" w:hRule="atLeast"/>
          <w:jc w:val="center"/>
        </w:trPr>
        <w:tc>
          <w:tcPr>
            <w:tcW w:w="1632"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8</w:t>
            </w:r>
          </w:p>
        </w:tc>
        <w:tc>
          <w:tcPr>
            <w:tcW w:w="3715"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lang w:val="zh-CN" w:eastAsia="zh-CN"/>
              </w:rPr>
              <w:t>风机</w:t>
            </w:r>
          </w:p>
        </w:tc>
        <w:tc>
          <w:tcPr>
            <w:tcW w:w="1445"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lang w:val="zh-CN" w:eastAsia="zh-CN"/>
              </w:rPr>
              <w:t>/</w:t>
            </w:r>
          </w:p>
        </w:tc>
        <w:tc>
          <w:tcPr>
            <w:tcW w:w="2300" w:type="dxa"/>
            <w:tcBorders>
              <w:tl2br w:val="nil"/>
              <w:tr2bl w:val="nil"/>
            </w:tcBorders>
            <w:shd w:val="clear" w:color="auto" w:fill="FFFFFF"/>
            <w:noWrap w:val="0"/>
            <w:vAlign w:val="bottom"/>
          </w:tcPr>
          <w:p>
            <w:pPr>
              <w:jc w:val="center"/>
              <w:rPr>
                <w:rFonts w:hint="eastAsia" w:ascii="宋体" w:hAnsi="宋体" w:eastAsia="宋体" w:cs="宋体"/>
                <w:vertAlign w:val="baseline"/>
                <w:lang w:val="zh-CN" w:eastAsia="zh-CN"/>
              </w:rPr>
            </w:pPr>
            <w:r>
              <w:rPr>
                <w:rFonts w:hint="eastAsia" w:ascii="宋体" w:hAnsi="宋体" w:eastAsia="宋体" w:cs="宋体"/>
                <w:lang w:val="zh-CN"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37" w:hRule="atLeast"/>
          <w:jc w:val="center"/>
        </w:trPr>
        <w:tc>
          <w:tcPr>
            <w:tcW w:w="1632" w:type="dxa"/>
            <w:tcBorders>
              <w:tl2br w:val="nil"/>
              <w:tr2bl w:val="nil"/>
            </w:tcBorders>
            <w:shd w:val="clear" w:color="auto" w:fill="FFFFFF"/>
            <w:noWrap w:val="0"/>
            <w:vAlign w:val="bottom"/>
          </w:tcPr>
          <w:p>
            <w:pPr>
              <w:jc w:val="center"/>
              <w:rPr>
                <w:rFonts w:hint="eastAsia" w:ascii="宋体" w:hAnsi="宋体" w:eastAsia="宋体" w:cs="宋体"/>
                <w:vertAlign w:val="baseline"/>
                <w:lang w:val="zh-CN" w:eastAsia="zh-CN"/>
              </w:rPr>
            </w:pPr>
            <w:r>
              <w:rPr>
                <w:rFonts w:hint="eastAsia" w:ascii="宋体" w:hAnsi="宋体" w:eastAsia="宋体" w:cs="宋体"/>
                <w:vertAlign w:val="baseline"/>
                <w:lang w:val="zh-CN" w:eastAsia="zh-CN"/>
              </w:rPr>
              <w:t>9</w:t>
            </w:r>
          </w:p>
        </w:tc>
        <w:tc>
          <w:tcPr>
            <w:tcW w:w="3715" w:type="dxa"/>
            <w:tcBorders>
              <w:tl2br w:val="nil"/>
              <w:tr2bl w:val="nil"/>
            </w:tcBorders>
            <w:shd w:val="clear" w:color="auto" w:fill="FFFFFF"/>
            <w:noWrap w:val="0"/>
            <w:vAlign w:val="top"/>
          </w:tcPr>
          <w:p>
            <w:pPr>
              <w:jc w:val="center"/>
              <w:rPr>
                <w:rFonts w:hint="eastAsia" w:ascii="宋体" w:hAnsi="宋体" w:eastAsia="宋体" w:cs="宋体"/>
                <w:vertAlign w:val="baseline"/>
                <w:lang w:val="zh-CN" w:eastAsia="zh-CN"/>
              </w:rPr>
            </w:pPr>
            <w:r>
              <w:rPr>
                <w:rFonts w:hint="eastAsia" w:ascii="宋体" w:hAnsi="宋体" w:eastAsia="宋体" w:cs="宋体"/>
                <w:lang w:val="zh-CN" w:eastAsia="zh-CN"/>
              </w:rPr>
              <w:t>发电机</w:t>
            </w:r>
          </w:p>
        </w:tc>
        <w:tc>
          <w:tcPr>
            <w:tcW w:w="1445" w:type="dxa"/>
            <w:tcBorders>
              <w:tl2br w:val="nil"/>
              <w:tr2bl w:val="nil"/>
            </w:tcBorders>
            <w:shd w:val="clear" w:color="auto" w:fill="FFFFFF"/>
            <w:noWrap w:val="0"/>
            <w:vAlign w:val="bottom"/>
          </w:tcPr>
          <w:p>
            <w:pPr>
              <w:jc w:val="center"/>
              <w:rPr>
                <w:rFonts w:hint="eastAsia" w:ascii="宋体" w:hAnsi="宋体" w:eastAsia="宋体" w:cs="宋体"/>
                <w:vertAlign w:val="baseline"/>
                <w:lang w:val="zh-CN" w:eastAsia="zh-CN"/>
              </w:rPr>
            </w:pPr>
            <w:r>
              <w:rPr>
                <w:rFonts w:hint="eastAsia" w:ascii="宋体" w:hAnsi="宋体" w:eastAsia="宋体" w:cs="宋体"/>
                <w:lang w:val="zh-CN" w:eastAsia="zh-CN"/>
              </w:rPr>
              <w:t>/</w:t>
            </w:r>
          </w:p>
        </w:tc>
        <w:tc>
          <w:tcPr>
            <w:tcW w:w="2300" w:type="dxa"/>
            <w:tcBorders>
              <w:tl2br w:val="nil"/>
              <w:tr2bl w:val="nil"/>
            </w:tcBorders>
            <w:shd w:val="clear" w:color="auto" w:fill="FFFFFF"/>
            <w:noWrap w:val="0"/>
            <w:vAlign w:val="center"/>
          </w:tcPr>
          <w:p>
            <w:pPr>
              <w:jc w:val="center"/>
              <w:rPr>
                <w:rFonts w:hint="eastAsia" w:ascii="宋体" w:hAnsi="宋体" w:eastAsia="宋体" w:cs="宋体"/>
                <w:vertAlign w:val="baseline"/>
                <w:lang w:val="zh-CN" w:eastAsia="zh-CN"/>
              </w:rPr>
            </w:pPr>
            <w:r>
              <w:rPr>
                <w:rFonts w:hint="eastAsia" w:ascii="宋体" w:hAnsi="宋体" w:eastAsia="宋体" w:cs="宋体"/>
                <w:lang w:val="zh-CN" w:eastAsia="zh-CN"/>
              </w:rPr>
              <w:t>1台</w:t>
            </w:r>
          </w:p>
        </w:tc>
      </w:tr>
    </w:tbl>
    <w:p>
      <w:pPr>
        <w:pStyle w:val="12"/>
        <w:spacing w:line="240" w:lineRule="auto"/>
        <w:ind w:firstLine="482" w:firstLineChars="200"/>
        <w:jc w:val="center"/>
        <w:rPr>
          <w:rFonts w:hint="eastAsia" w:ascii="黑体" w:hAnsi="Courier New" w:eastAsia="黑体"/>
          <w:b/>
          <w:color w:val="auto"/>
          <w:sz w:val="24"/>
          <w:lang w:eastAsia="zh-CN"/>
        </w:rPr>
      </w:pPr>
      <w:bookmarkStart w:id="80" w:name="_Toc16275"/>
      <w:bookmarkStart w:id="81" w:name="_Toc18643"/>
      <w:r>
        <w:rPr>
          <w:rFonts w:hint="eastAsia" w:ascii="黑体" w:hAnsi="Courier New" w:eastAsia="黑体"/>
          <w:b/>
          <w:color w:val="auto"/>
          <w:sz w:val="24"/>
          <w:lang w:eastAsia="zh-CN"/>
        </w:rPr>
        <w:t>表</w:t>
      </w:r>
      <w:r>
        <w:rPr>
          <w:rFonts w:hint="eastAsia" w:ascii="黑体" w:hAnsi="Courier New" w:eastAsia="黑体"/>
          <w:b/>
          <w:color w:val="auto"/>
          <w:sz w:val="24"/>
          <w:lang w:val="en-US" w:eastAsia="zh-CN"/>
        </w:rPr>
        <w:t>2</w:t>
      </w:r>
      <w:r>
        <w:rPr>
          <w:rFonts w:hint="eastAsia" w:ascii="黑体" w:hAnsi="Courier New" w:eastAsia="黑体"/>
          <w:b/>
          <w:color w:val="auto"/>
          <w:sz w:val="24"/>
          <w:lang w:eastAsia="zh-CN"/>
        </w:rPr>
        <w:t>-</w:t>
      </w:r>
      <w:r>
        <w:rPr>
          <w:rFonts w:hint="eastAsia" w:ascii="黑体" w:hAnsi="Courier New" w:eastAsia="黑体"/>
          <w:b/>
          <w:color w:val="auto"/>
          <w:sz w:val="24"/>
          <w:lang w:val="en-US" w:eastAsia="zh-CN"/>
        </w:rPr>
        <w:t>2</w:t>
      </w:r>
      <w:r>
        <w:rPr>
          <w:rFonts w:hint="eastAsia" w:ascii="黑体" w:hAnsi="Courier New" w:eastAsia="黑体"/>
          <w:b/>
          <w:color w:val="auto"/>
          <w:sz w:val="24"/>
          <w:lang w:eastAsia="zh-CN"/>
        </w:rPr>
        <w:t xml:space="preserve"> 主要设备清单</w:t>
      </w:r>
    </w:p>
    <w:p>
      <w:pPr>
        <w:pStyle w:val="5"/>
        <w:spacing w:before="0" w:after="0" w:line="360" w:lineRule="auto"/>
        <w:rPr>
          <w:rFonts w:hint="eastAsia" w:ascii="宋体" w:hAnsi="宋体" w:eastAsia="宋体" w:cs="宋体"/>
          <w:color w:val="auto"/>
          <w:sz w:val="28"/>
          <w:szCs w:val="28"/>
        </w:rPr>
      </w:pPr>
      <w:bookmarkStart w:id="82" w:name="_Toc6413"/>
      <w:bookmarkStart w:id="83" w:name="_Toc10341"/>
      <w:r>
        <w:rPr>
          <w:rFonts w:hint="eastAsia" w:ascii="宋体" w:hAnsi="宋体" w:eastAsia="宋体" w:cs="宋体"/>
          <w:color w:val="auto"/>
          <w:sz w:val="28"/>
          <w:szCs w:val="28"/>
        </w:rPr>
        <w:t>2.</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rPr>
        <w:t>各方应急力量有关基本情况</w:t>
      </w:r>
      <w:bookmarkEnd w:id="80"/>
      <w:bookmarkEnd w:id="81"/>
      <w:bookmarkEnd w:id="82"/>
      <w:bookmarkEnd w:id="83"/>
    </w:p>
    <w:p>
      <w:pPr>
        <w:pStyle w:val="5"/>
        <w:spacing w:before="0" w:after="0" w:line="360" w:lineRule="auto"/>
        <w:rPr>
          <w:rFonts w:hint="eastAsia" w:ascii="宋体" w:hAnsi="宋体" w:eastAsia="宋体" w:cs="宋体"/>
          <w:color w:val="auto"/>
          <w:sz w:val="28"/>
          <w:szCs w:val="28"/>
          <w:lang w:val="zh-CN"/>
        </w:rPr>
      </w:pPr>
      <w:bookmarkStart w:id="84" w:name="_Toc27824"/>
      <w:bookmarkStart w:id="85" w:name="_Toc18478"/>
      <w:bookmarkStart w:id="86" w:name="_Toc14676"/>
      <w:r>
        <w:rPr>
          <w:rFonts w:hint="eastAsia" w:ascii="宋体" w:hAnsi="宋体" w:eastAsia="宋体" w:cs="宋体"/>
          <w:color w:val="auto"/>
          <w:sz w:val="28"/>
          <w:szCs w:val="28"/>
          <w:lang w:val="zh-CN"/>
        </w:rPr>
        <w:t>2.</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zh-CN"/>
        </w:rPr>
        <w:t>.1内部应急力量</w:t>
      </w:r>
      <w:bookmarkEnd w:id="84"/>
      <w:bookmarkEnd w:id="85"/>
      <w:bookmarkEnd w:id="86"/>
    </w:p>
    <w:p>
      <w:pPr>
        <w:spacing w:line="360" w:lineRule="auto"/>
        <w:ind w:firstLine="560" w:firstLineChars="200"/>
        <w:rPr>
          <w:rFonts w:hint="eastAsia" w:ascii="宋体" w:hAnsi="宋体" w:cs="宋体"/>
          <w:i w:val="0"/>
          <w:iCs w:val="0"/>
          <w:color w:val="FF0000"/>
          <w:sz w:val="28"/>
          <w:szCs w:val="28"/>
        </w:rPr>
      </w:pPr>
      <w:r>
        <w:rPr>
          <w:rFonts w:hint="eastAsia" w:ascii="宋体" w:hAnsi="宋体" w:cs="宋体"/>
          <w:i w:val="0"/>
          <w:iCs w:val="0"/>
          <w:color w:val="FF0000"/>
          <w:sz w:val="28"/>
          <w:szCs w:val="28"/>
        </w:rPr>
        <w:t>公司成立有以总经理</w:t>
      </w:r>
      <w:r>
        <w:rPr>
          <w:rFonts w:hint="eastAsia" w:ascii="宋体" w:hAnsi="宋体" w:cs="宋体"/>
          <w:i w:val="0"/>
          <w:iCs w:val="0"/>
          <w:color w:val="FF0000"/>
          <w:sz w:val="28"/>
          <w:szCs w:val="28"/>
          <w:lang w:val="en-US" w:eastAsia="zh-CN"/>
        </w:rPr>
        <w:t>何春妙</w:t>
      </w:r>
      <w:r>
        <w:rPr>
          <w:rFonts w:hint="eastAsia" w:ascii="宋体" w:hAnsi="宋体" w:cs="宋体"/>
          <w:i w:val="0"/>
          <w:iCs w:val="0"/>
          <w:color w:val="FF0000"/>
          <w:sz w:val="28"/>
          <w:szCs w:val="28"/>
        </w:rPr>
        <w:t>为组长的应急抢险救援领导小组，副组长由公司</w:t>
      </w:r>
      <w:r>
        <w:rPr>
          <w:rFonts w:hint="eastAsia" w:ascii="宋体" w:hAnsi="宋体" w:eastAsia="宋体" w:cs="宋体"/>
          <w:i w:val="0"/>
          <w:iCs w:val="0"/>
          <w:color w:val="FF0000"/>
          <w:sz w:val="28"/>
          <w:szCs w:val="28"/>
          <w:lang w:eastAsia="zh-CN"/>
        </w:rPr>
        <w:t>厂长</w:t>
      </w:r>
      <w:r>
        <w:rPr>
          <w:rFonts w:hint="eastAsia" w:ascii="宋体" w:hAnsi="宋体" w:eastAsia="宋体" w:cs="宋体"/>
          <w:i w:val="0"/>
          <w:iCs w:val="0"/>
          <w:color w:val="FF0000"/>
          <w:sz w:val="28"/>
          <w:szCs w:val="28"/>
          <w:lang w:val="en-US" w:eastAsia="zh-CN"/>
        </w:rPr>
        <w:t>刘维江</w:t>
      </w:r>
      <w:r>
        <w:rPr>
          <w:rFonts w:hint="eastAsia" w:ascii="宋体" w:hAnsi="宋体" w:eastAsia="宋体" w:cs="宋体"/>
          <w:i w:val="0"/>
          <w:iCs w:val="0"/>
          <w:color w:val="FF0000"/>
          <w:sz w:val="28"/>
          <w:szCs w:val="28"/>
          <w:lang w:eastAsia="zh-CN"/>
        </w:rPr>
        <w:t>、林雪松</w:t>
      </w:r>
      <w:r>
        <w:rPr>
          <w:rFonts w:hint="eastAsia" w:ascii="宋体" w:hAnsi="宋体" w:cs="宋体"/>
          <w:i w:val="0"/>
          <w:iCs w:val="0"/>
          <w:color w:val="FF0000"/>
          <w:sz w:val="28"/>
          <w:szCs w:val="28"/>
        </w:rPr>
        <w:t>担任。成员由其他</w:t>
      </w:r>
      <w:r>
        <w:rPr>
          <w:rFonts w:hint="eastAsia" w:ascii="宋体" w:hAnsi="宋体" w:cs="宋体"/>
          <w:i w:val="0"/>
          <w:iCs w:val="0"/>
          <w:color w:val="FF0000"/>
          <w:sz w:val="28"/>
          <w:szCs w:val="28"/>
          <w:lang w:eastAsia="zh-CN"/>
        </w:rPr>
        <w:t>现场负责人</w:t>
      </w:r>
      <w:r>
        <w:rPr>
          <w:rFonts w:hint="eastAsia" w:ascii="宋体" w:hAnsi="宋体" w:cs="宋体"/>
          <w:i w:val="0"/>
          <w:iCs w:val="0"/>
          <w:color w:val="FF0000"/>
          <w:sz w:val="28"/>
          <w:szCs w:val="28"/>
        </w:rPr>
        <w:t>、车间主管及</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成员组成。并设</w:t>
      </w:r>
      <w:r>
        <w:rPr>
          <w:rFonts w:hint="eastAsia" w:ascii="宋体" w:hAnsi="宋体" w:cs="宋体"/>
          <w:i w:val="0"/>
          <w:iCs w:val="0"/>
          <w:color w:val="FF0000"/>
          <w:sz w:val="28"/>
          <w:szCs w:val="28"/>
          <w:lang w:eastAsia="zh-CN"/>
        </w:rPr>
        <w:t>安全管理员</w:t>
      </w:r>
      <w:r>
        <w:rPr>
          <w:rFonts w:hint="eastAsia" w:ascii="宋体" w:hAnsi="宋体" w:cs="宋体"/>
          <w:i w:val="0"/>
          <w:iCs w:val="0"/>
          <w:color w:val="FF0000"/>
          <w:sz w:val="28"/>
          <w:szCs w:val="28"/>
        </w:rPr>
        <w:t>作为独立的日常安全、环保管理专职人员，应急抢险救援领导小组下设有下设抢险救援组、</w:t>
      </w:r>
      <w:r>
        <w:rPr>
          <w:rFonts w:hint="eastAsia" w:ascii="宋体" w:hAnsi="宋体" w:cs="宋体"/>
          <w:i w:val="0"/>
          <w:iCs w:val="0"/>
          <w:color w:val="FF0000"/>
          <w:sz w:val="28"/>
          <w:szCs w:val="28"/>
          <w:lang w:eastAsia="zh-CN"/>
        </w:rPr>
        <w:t>疏散联络组</w:t>
      </w:r>
      <w:r>
        <w:rPr>
          <w:rFonts w:hint="eastAsia" w:ascii="宋体" w:hAnsi="宋体" w:cs="宋体"/>
          <w:i w:val="0"/>
          <w:iCs w:val="0"/>
          <w:color w:val="FF0000"/>
          <w:sz w:val="28"/>
          <w:szCs w:val="28"/>
        </w:rPr>
        <w:t>、后勤保障组、医疗救护组</w:t>
      </w:r>
      <w:r>
        <w:rPr>
          <w:rFonts w:hint="eastAsia" w:ascii="宋体" w:hAnsi="宋体" w:eastAsia="宋体" w:cs="宋体"/>
          <w:i w:val="0"/>
          <w:iCs w:val="0"/>
          <w:color w:val="FF0000"/>
          <w:sz w:val="28"/>
          <w:szCs w:val="28"/>
          <w:lang w:eastAsia="zh-CN"/>
        </w:rPr>
        <w:t>、</w:t>
      </w:r>
      <w:r>
        <w:rPr>
          <w:rFonts w:hint="eastAsia" w:ascii="宋体" w:hAnsi="宋体" w:cs="宋体"/>
          <w:i w:val="0"/>
          <w:iCs w:val="0"/>
          <w:color w:val="FF0000"/>
          <w:sz w:val="28"/>
          <w:szCs w:val="28"/>
          <w:lang w:eastAsia="zh-CN"/>
        </w:rPr>
        <w:t>事故调查善后组、</w:t>
      </w:r>
      <w:r>
        <w:rPr>
          <w:rFonts w:hint="eastAsia" w:ascii="宋体" w:hAnsi="宋体" w:cs="宋体"/>
          <w:i w:val="0"/>
          <w:iCs w:val="0"/>
          <w:color w:val="FF0000"/>
          <w:sz w:val="28"/>
          <w:szCs w:val="28"/>
        </w:rPr>
        <w:t>负责处理应急救援事宜。领导小组办公室常设在</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，日常工作由</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主管</w:t>
      </w:r>
      <w:r>
        <w:rPr>
          <w:rFonts w:hint="eastAsia" w:ascii="宋体" w:hAnsi="宋体" w:cs="宋体"/>
          <w:i w:val="0"/>
          <w:iCs w:val="0"/>
          <w:color w:val="FF0000"/>
          <w:sz w:val="28"/>
          <w:szCs w:val="28"/>
          <w:lang w:eastAsia="zh-CN"/>
        </w:rPr>
        <w:t>负责</w:t>
      </w:r>
      <w:r>
        <w:rPr>
          <w:rFonts w:hint="eastAsia" w:ascii="宋体" w:hAnsi="宋体" w:cs="宋体"/>
          <w:i w:val="0"/>
          <w:iCs w:val="0"/>
          <w:color w:val="FF0000"/>
          <w:sz w:val="28"/>
          <w:szCs w:val="28"/>
        </w:rPr>
        <w:t>。其它下设的各小组组长由公司指派部门负责人担任。重大事故发生时，由总经理任应急领导组长，领导小组副组长任副应急领导组长，负责组织和指挥应急抢险救护工作。应急领导小组一般设在</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。如果应急领导组长或副组长均不在公司时，则由在公司</w:t>
      </w:r>
      <w:r>
        <w:rPr>
          <w:rFonts w:hint="eastAsia" w:ascii="宋体" w:hAnsi="宋体" w:cs="宋体"/>
          <w:i w:val="0"/>
          <w:iCs w:val="0"/>
          <w:color w:val="FF0000"/>
          <w:sz w:val="28"/>
          <w:szCs w:val="28"/>
          <w:lang w:eastAsia="zh-CN"/>
        </w:rPr>
        <w:t>厂长</w:t>
      </w:r>
      <w:r>
        <w:rPr>
          <w:rFonts w:hint="eastAsia" w:ascii="宋体" w:hAnsi="宋体" w:cs="宋体"/>
          <w:i w:val="0"/>
          <w:iCs w:val="0"/>
          <w:color w:val="FF0000"/>
          <w:sz w:val="28"/>
          <w:szCs w:val="28"/>
        </w:rPr>
        <w:t>与</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负责人为临时应急领导组长，全权负责应急抢险及救护工作。</w:t>
      </w:r>
    </w:p>
    <w:p>
      <w:pPr>
        <w:pStyle w:val="5"/>
        <w:spacing w:before="0" w:after="0" w:line="360" w:lineRule="auto"/>
        <w:rPr>
          <w:rFonts w:hint="eastAsia" w:ascii="宋体" w:hAnsi="宋体" w:eastAsia="宋体" w:cs="宋体"/>
          <w:color w:val="auto"/>
          <w:sz w:val="28"/>
          <w:szCs w:val="28"/>
          <w:lang w:val="zh-CN"/>
        </w:rPr>
      </w:pPr>
      <w:bookmarkStart w:id="87" w:name="_Toc19588"/>
      <w:bookmarkStart w:id="88" w:name="_Toc21058"/>
      <w:bookmarkStart w:id="89" w:name="_Toc11374"/>
      <w:r>
        <w:rPr>
          <w:rFonts w:hint="eastAsia" w:ascii="宋体" w:hAnsi="宋体" w:eastAsia="宋体" w:cs="宋体"/>
          <w:color w:val="auto"/>
          <w:sz w:val="28"/>
          <w:szCs w:val="28"/>
          <w:lang w:val="zh-CN"/>
        </w:rPr>
        <w:t>2.</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zh-CN"/>
        </w:rPr>
        <w:t>外部应急力量</w:t>
      </w:r>
      <w:bookmarkEnd w:id="87"/>
      <w:bookmarkEnd w:id="88"/>
      <w:bookmarkEnd w:id="89"/>
    </w:p>
    <w:p>
      <w:pPr>
        <w:spacing w:line="360" w:lineRule="auto"/>
        <w:ind w:firstLine="560" w:firstLineChars="200"/>
        <w:rPr>
          <w:rFonts w:hint="eastAsia" w:ascii="宋体" w:hAnsi="宋体" w:cs="宋体"/>
          <w:i w:val="0"/>
          <w:iCs w:val="0"/>
          <w:color w:val="auto"/>
          <w:sz w:val="28"/>
          <w:szCs w:val="28"/>
        </w:rPr>
      </w:pPr>
      <w:r>
        <w:rPr>
          <w:rFonts w:hint="eastAsia" w:ascii="宋体" w:hAnsi="宋体" w:cs="宋体"/>
          <w:i w:val="0"/>
          <w:iCs w:val="0"/>
          <w:color w:val="auto"/>
          <w:sz w:val="28"/>
          <w:szCs w:val="28"/>
        </w:rPr>
        <w:t>公司能借用的外部力量包括</w:t>
      </w:r>
      <w:r>
        <w:rPr>
          <w:rFonts w:hint="eastAsia" w:ascii="宋体" w:hAnsi="宋体" w:cs="宋体"/>
          <w:i w:val="0"/>
          <w:iCs w:val="0"/>
          <w:color w:val="auto"/>
          <w:sz w:val="28"/>
          <w:szCs w:val="28"/>
          <w:lang w:eastAsia="zh-CN"/>
        </w:rPr>
        <w:t>仪陇县</w:t>
      </w:r>
      <w:r>
        <w:rPr>
          <w:rFonts w:hint="eastAsia" w:ascii="宋体" w:hAnsi="宋体" w:cs="宋体"/>
          <w:i w:val="0"/>
          <w:iCs w:val="0"/>
          <w:color w:val="auto"/>
          <w:sz w:val="28"/>
          <w:szCs w:val="28"/>
        </w:rPr>
        <w:t>人民政府、</w:t>
      </w:r>
      <w:r>
        <w:rPr>
          <w:rFonts w:hint="eastAsia" w:ascii="宋体" w:hAnsi="宋体" w:cs="宋体"/>
          <w:i w:val="0"/>
          <w:iCs w:val="0"/>
          <w:color w:val="auto"/>
          <w:sz w:val="28"/>
          <w:szCs w:val="28"/>
          <w:lang w:eastAsia="zh-CN"/>
        </w:rPr>
        <w:t>仪陇县</w:t>
      </w:r>
      <w:r>
        <w:rPr>
          <w:rFonts w:hint="eastAsia" w:ascii="宋体" w:hAnsi="宋体" w:cs="宋体"/>
          <w:i w:val="0"/>
          <w:iCs w:val="0"/>
          <w:color w:val="auto"/>
          <w:sz w:val="28"/>
          <w:szCs w:val="28"/>
        </w:rPr>
        <w:t>应急管理局、</w:t>
      </w:r>
      <w:r>
        <w:rPr>
          <w:rFonts w:hint="eastAsia" w:ascii="宋体" w:hAnsi="宋体" w:cs="宋体"/>
          <w:i w:val="0"/>
          <w:iCs w:val="0"/>
          <w:color w:val="auto"/>
          <w:sz w:val="28"/>
          <w:szCs w:val="28"/>
          <w:lang w:eastAsia="zh-CN"/>
        </w:rPr>
        <w:t>仪陇县消防救援局</w:t>
      </w:r>
      <w:r>
        <w:rPr>
          <w:rFonts w:hint="eastAsia" w:ascii="宋体" w:hAnsi="宋体" w:cs="宋体"/>
          <w:i w:val="0"/>
          <w:iCs w:val="0"/>
          <w:color w:val="auto"/>
          <w:sz w:val="28"/>
          <w:szCs w:val="28"/>
        </w:rPr>
        <w:t>、</w:t>
      </w:r>
      <w:r>
        <w:rPr>
          <w:rFonts w:hint="eastAsia" w:ascii="宋体" w:hAnsi="宋体" w:cs="宋体"/>
          <w:i w:val="0"/>
          <w:iCs w:val="0"/>
          <w:color w:val="auto"/>
          <w:sz w:val="28"/>
          <w:szCs w:val="28"/>
          <w:lang w:eastAsia="zh-CN"/>
        </w:rPr>
        <w:t>仪陇县瓦子镇</w:t>
      </w:r>
      <w:r>
        <w:rPr>
          <w:rFonts w:hint="eastAsia" w:ascii="宋体" w:hAnsi="宋体" w:cs="宋体"/>
          <w:i w:val="0"/>
          <w:iCs w:val="0"/>
          <w:color w:val="auto"/>
          <w:sz w:val="28"/>
          <w:szCs w:val="28"/>
          <w:lang w:val="zh-CN" w:eastAsia="zh-CN"/>
        </w:rPr>
        <w:t>政府</w:t>
      </w:r>
      <w:r>
        <w:rPr>
          <w:rFonts w:hint="eastAsia" w:ascii="宋体" w:hAnsi="宋体" w:cs="宋体"/>
          <w:i w:val="0"/>
          <w:iCs w:val="0"/>
          <w:color w:val="auto"/>
          <w:sz w:val="28"/>
          <w:szCs w:val="28"/>
        </w:rPr>
        <w:t>、</w:t>
      </w:r>
      <w:r>
        <w:rPr>
          <w:rFonts w:hint="eastAsia" w:ascii="宋体" w:hAnsi="宋体" w:cs="宋体"/>
          <w:i w:val="0"/>
          <w:iCs w:val="0"/>
          <w:color w:val="auto"/>
          <w:sz w:val="28"/>
          <w:szCs w:val="28"/>
          <w:lang w:eastAsia="zh-CN"/>
        </w:rPr>
        <w:t>仪陇县瓦子镇卫生院</w:t>
      </w:r>
      <w:r>
        <w:rPr>
          <w:rFonts w:hint="eastAsia" w:ascii="宋体" w:hAnsi="宋体" w:cs="宋体"/>
          <w:i w:val="0"/>
          <w:iCs w:val="0"/>
          <w:color w:val="auto"/>
          <w:sz w:val="28"/>
          <w:szCs w:val="28"/>
        </w:rPr>
        <w:t>、</w:t>
      </w:r>
      <w:r>
        <w:rPr>
          <w:rFonts w:hint="eastAsia" w:ascii="宋体" w:hAnsi="宋体" w:cs="宋体"/>
          <w:i w:val="0"/>
          <w:iCs w:val="0"/>
          <w:color w:val="auto"/>
          <w:sz w:val="28"/>
          <w:szCs w:val="28"/>
          <w:lang w:eastAsia="zh-CN"/>
        </w:rPr>
        <w:t>仪陇县人民医院</w:t>
      </w:r>
      <w:r>
        <w:rPr>
          <w:rFonts w:hint="eastAsia" w:ascii="宋体" w:hAnsi="宋体" w:cs="宋体"/>
          <w:i w:val="0"/>
          <w:iCs w:val="0"/>
          <w:color w:val="auto"/>
          <w:sz w:val="28"/>
          <w:szCs w:val="28"/>
        </w:rPr>
        <w:t>以及周边企业应急救援物质。</w:t>
      </w:r>
    </w:p>
    <w:p>
      <w:pPr>
        <w:spacing w:line="360" w:lineRule="auto"/>
        <w:ind w:firstLine="560" w:firstLineChars="200"/>
        <w:rPr>
          <w:rFonts w:hint="eastAsia" w:ascii="宋体" w:hAnsi="宋体" w:cs="宋体"/>
          <w:i w:val="0"/>
          <w:iCs w:val="0"/>
          <w:color w:val="FF0000"/>
          <w:sz w:val="28"/>
          <w:szCs w:val="28"/>
        </w:rPr>
      </w:pPr>
      <w:r>
        <w:rPr>
          <w:rFonts w:hint="eastAsia" w:ascii="宋体" w:hAnsi="宋体" w:cs="宋体"/>
          <w:i w:val="0"/>
          <w:iCs w:val="0"/>
          <w:color w:val="FF0000"/>
          <w:sz w:val="28"/>
          <w:szCs w:val="28"/>
          <w:lang w:eastAsia="zh-CN"/>
        </w:rPr>
        <w:t>仪陇县瓦子镇卫生院</w:t>
      </w:r>
      <w:r>
        <w:rPr>
          <w:rFonts w:hint="eastAsia" w:ascii="宋体" w:hAnsi="宋体" w:cs="宋体"/>
          <w:i w:val="0"/>
          <w:iCs w:val="0"/>
          <w:color w:val="FF0000"/>
          <w:sz w:val="28"/>
          <w:szCs w:val="28"/>
        </w:rPr>
        <w:t>距企业距离约</w:t>
      </w:r>
      <w:r>
        <w:rPr>
          <w:rFonts w:hint="eastAsia" w:ascii="宋体" w:hAnsi="宋体" w:eastAsia="宋体" w:cs="宋体"/>
          <w:i w:val="0"/>
          <w:iCs w:val="0"/>
          <w:color w:val="FF0000"/>
          <w:sz w:val="28"/>
          <w:szCs w:val="28"/>
          <w:lang w:val="en-US" w:eastAsia="zh-CN"/>
        </w:rPr>
        <w:t>1</w:t>
      </w:r>
      <w:r>
        <w:rPr>
          <w:rFonts w:hint="eastAsia" w:ascii="宋体" w:hAnsi="宋体" w:cs="宋体"/>
          <w:i w:val="0"/>
          <w:iCs w:val="0"/>
          <w:color w:val="FF0000"/>
          <w:sz w:val="28"/>
          <w:szCs w:val="28"/>
        </w:rPr>
        <w:t>km，发生事故时</w:t>
      </w:r>
      <w:r>
        <w:rPr>
          <w:rFonts w:hint="eastAsia" w:ascii="宋体" w:hAnsi="宋体" w:eastAsia="宋体" w:cs="宋体"/>
          <w:i w:val="0"/>
          <w:iCs w:val="0"/>
          <w:color w:val="FF0000"/>
          <w:sz w:val="28"/>
          <w:szCs w:val="28"/>
          <w:lang w:val="en-US" w:eastAsia="zh-CN"/>
        </w:rPr>
        <w:t>5</w:t>
      </w:r>
      <w:r>
        <w:rPr>
          <w:rFonts w:hint="eastAsia" w:ascii="宋体" w:hAnsi="宋体" w:cs="宋体"/>
          <w:i w:val="0"/>
          <w:iCs w:val="0"/>
          <w:color w:val="FF0000"/>
          <w:sz w:val="28"/>
          <w:szCs w:val="28"/>
        </w:rPr>
        <w:t>分钟内能到达现场</w:t>
      </w:r>
      <w:r>
        <w:rPr>
          <w:rFonts w:hint="eastAsia" w:ascii="宋体" w:hAnsi="宋体" w:eastAsia="宋体" w:cs="宋体"/>
          <w:i w:val="0"/>
          <w:iCs w:val="0"/>
          <w:color w:val="FF0000"/>
          <w:sz w:val="28"/>
          <w:szCs w:val="28"/>
          <w:lang w:eastAsia="zh-CN"/>
        </w:rPr>
        <w:t>；</w:t>
      </w:r>
      <w:r>
        <w:rPr>
          <w:rFonts w:hint="eastAsia" w:ascii="宋体" w:hAnsi="宋体" w:cs="宋体"/>
          <w:i w:val="0"/>
          <w:iCs w:val="0"/>
          <w:color w:val="FF0000"/>
          <w:sz w:val="28"/>
          <w:szCs w:val="28"/>
          <w:lang w:eastAsia="zh-CN"/>
        </w:rPr>
        <w:t>仪陇县人民医院</w:t>
      </w:r>
      <w:r>
        <w:rPr>
          <w:rFonts w:hint="eastAsia" w:ascii="宋体" w:hAnsi="宋体" w:cs="宋体"/>
          <w:i w:val="0"/>
          <w:iCs w:val="0"/>
          <w:color w:val="FF0000"/>
          <w:sz w:val="28"/>
          <w:szCs w:val="28"/>
        </w:rPr>
        <w:t>距企业距离约</w:t>
      </w:r>
      <w:r>
        <w:rPr>
          <w:rFonts w:hint="eastAsia" w:ascii="宋体" w:hAnsi="宋体" w:eastAsia="宋体" w:cs="宋体"/>
          <w:i w:val="0"/>
          <w:iCs w:val="0"/>
          <w:color w:val="FF0000"/>
          <w:sz w:val="28"/>
          <w:szCs w:val="28"/>
          <w:lang w:val="en-US" w:eastAsia="zh-CN"/>
        </w:rPr>
        <w:t>66.5</w:t>
      </w:r>
      <w:r>
        <w:rPr>
          <w:rFonts w:hint="eastAsia" w:ascii="宋体" w:hAnsi="宋体" w:cs="宋体"/>
          <w:i w:val="0"/>
          <w:iCs w:val="0"/>
          <w:color w:val="FF0000"/>
          <w:sz w:val="28"/>
          <w:szCs w:val="28"/>
        </w:rPr>
        <w:t>km，发生事故时</w:t>
      </w:r>
      <w:r>
        <w:rPr>
          <w:rFonts w:hint="eastAsia" w:ascii="宋体" w:hAnsi="宋体" w:eastAsia="宋体" w:cs="宋体"/>
          <w:i w:val="0"/>
          <w:iCs w:val="0"/>
          <w:color w:val="FF0000"/>
          <w:sz w:val="28"/>
          <w:szCs w:val="28"/>
          <w:lang w:val="en-US" w:eastAsia="zh-CN"/>
        </w:rPr>
        <w:t>1.5小时</w:t>
      </w:r>
      <w:r>
        <w:rPr>
          <w:rFonts w:hint="eastAsia" w:ascii="宋体" w:hAnsi="宋体" w:cs="宋体"/>
          <w:i w:val="0"/>
          <w:iCs w:val="0"/>
          <w:color w:val="FF0000"/>
          <w:sz w:val="28"/>
          <w:szCs w:val="28"/>
        </w:rPr>
        <w:t>内能到达现场。</w:t>
      </w:r>
    </w:p>
    <w:p>
      <w:pPr>
        <w:spacing w:line="360" w:lineRule="auto"/>
        <w:ind w:firstLine="560" w:firstLineChars="200"/>
        <w:rPr>
          <w:rFonts w:hint="eastAsia" w:ascii="宋体" w:hAnsi="宋体" w:cs="宋体"/>
          <w:i w:val="0"/>
          <w:iCs w:val="0"/>
          <w:color w:val="FF0000"/>
          <w:sz w:val="28"/>
          <w:szCs w:val="28"/>
          <w:lang w:eastAsia="zh-CN"/>
        </w:rPr>
      </w:pPr>
      <w:r>
        <w:rPr>
          <w:rFonts w:hint="eastAsia" w:ascii="宋体" w:hAnsi="宋体" w:cs="宋体"/>
          <w:i w:val="0"/>
          <w:iCs w:val="0"/>
          <w:color w:val="FF0000"/>
          <w:sz w:val="28"/>
          <w:szCs w:val="28"/>
          <w:lang w:eastAsia="zh-CN"/>
        </w:rPr>
        <w:t>仪陇县瓦子镇</w:t>
      </w:r>
      <w:r>
        <w:rPr>
          <w:rFonts w:hint="eastAsia" w:ascii="宋体" w:hAnsi="宋体" w:cs="宋体"/>
          <w:i w:val="0"/>
          <w:iCs w:val="0"/>
          <w:color w:val="FF0000"/>
          <w:sz w:val="28"/>
          <w:szCs w:val="28"/>
          <w:lang w:val="zh-CN" w:eastAsia="zh-CN"/>
        </w:rPr>
        <w:t>政府</w:t>
      </w:r>
      <w:r>
        <w:rPr>
          <w:rFonts w:hint="eastAsia" w:ascii="宋体" w:hAnsi="宋体" w:cs="宋体"/>
          <w:i w:val="0"/>
          <w:iCs w:val="0"/>
          <w:color w:val="FF0000"/>
          <w:sz w:val="28"/>
          <w:szCs w:val="28"/>
        </w:rPr>
        <w:t>距企业距离约</w:t>
      </w:r>
      <w:r>
        <w:rPr>
          <w:rFonts w:hint="eastAsia" w:ascii="宋体" w:hAnsi="宋体" w:eastAsia="宋体" w:cs="宋体"/>
          <w:i w:val="0"/>
          <w:iCs w:val="0"/>
          <w:color w:val="FF0000"/>
          <w:sz w:val="28"/>
          <w:szCs w:val="28"/>
          <w:lang w:val="en-US" w:eastAsia="zh-CN"/>
        </w:rPr>
        <w:t>860</w:t>
      </w:r>
      <w:r>
        <w:rPr>
          <w:rFonts w:hint="eastAsia" w:ascii="宋体" w:hAnsi="宋体" w:cs="宋体"/>
          <w:i w:val="0"/>
          <w:iCs w:val="0"/>
          <w:color w:val="FF0000"/>
          <w:sz w:val="28"/>
          <w:szCs w:val="28"/>
        </w:rPr>
        <w:t>m，发生事故时</w:t>
      </w:r>
      <w:r>
        <w:rPr>
          <w:rFonts w:hint="eastAsia" w:ascii="宋体" w:hAnsi="宋体" w:eastAsia="宋体" w:cs="宋体"/>
          <w:i w:val="0"/>
          <w:iCs w:val="0"/>
          <w:color w:val="FF0000"/>
          <w:sz w:val="28"/>
          <w:szCs w:val="28"/>
          <w:lang w:val="en-US" w:eastAsia="zh-CN"/>
        </w:rPr>
        <w:t>5</w:t>
      </w:r>
      <w:r>
        <w:rPr>
          <w:rFonts w:hint="eastAsia" w:ascii="宋体" w:hAnsi="宋体" w:cs="宋体"/>
          <w:i w:val="0"/>
          <w:iCs w:val="0"/>
          <w:color w:val="FF0000"/>
          <w:sz w:val="28"/>
          <w:szCs w:val="28"/>
        </w:rPr>
        <w:t>分钟内能到达现场</w:t>
      </w:r>
      <w:r>
        <w:rPr>
          <w:rFonts w:hint="eastAsia" w:ascii="宋体" w:hAnsi="宋体" w:eastAsia="宋体" w:cs="宋体"/>
          <w:i w:val="0"/>
          <w:iCs w:val="0"/>
          <w:color w:val="FF0000"/>
          <w:sz w:val="28"/>
          <w:szCs w:val="28"/>
          <w:lang w:eastAsia="zh-CN"/>
        </w:rPr>
        <w:t>；</w:t>
      </w:r>
      <w:r>
        <w:rPr>
          <w:rFonts w:hint="eastAsia" w:ascii="宋体" w:hAnsi="宋体" w:cs="宋体"/>
          <w:i w:val="0"/>
          <w:iCs w:val="0"/>
          <w:color w:val="FF0000"/>
          <w:sz w:val="28"/>
          <w:szCs w:val="28"/>
          <w:lang w:eastAsia="zh-CN"/>
        </w:rPr>
        <w:t>仪陇县金城消防中队距企业距离约</w:t>
      </w:r>
      <w:r>
        <w:rPr>
          <w:rFonts w:hint="eastAsia" w:ascii="宋体" w:hAnsi="宋体" w:cs="宋体"/>
          <w:i w:val="0"/>
          <w:iCs w:val="0"/>
          <w:color w:val="FF0000"/>
          <w:sz w:val="28"/>
          <w:szCs w:val="28"/>
          <w:lang w:val="en-US" w:eastAsia="zh-CN"/>
        </w:rPr>
        <w:t>67</w:t>
      </w:r>
      <w:r>
        <w:rPr>
          <w:rFonts w:hint="eastAsia" w:ascii="宋体" w:hAnsi="宋体" w:cs="宋体"/>
          <w:i w:val="0"/>
          <w:iCs w:val="0"/>
          <w:color w:val="FF0000"/>
          <w:sz w:val="28"/>
          <w:szCs w:val="28"/>
          <w:lang w:eastAsia="zh-CN"/>
        </w:rPr>
        <w:t>km，发生事故时</w:t>
      </w:r>
      <w:r>
        <w:rPr>
          <w:rFonts w:hint="eastAsia" w:ascii="宋体" w:hAnsi="宋体" w:eastAsia="宋体" w:cs="宋体"/>
          <w:i w:val="0"/>
          <w:iCs w:val="0"/>
          <w:color w:val="FF0000"/>
          <w:sz w:val="28"/>
          <w:szCs w:val="28"/>
          <w:lang w:val="en-US" w:eastAsia="zh-CN"/>
        </w:rPr>
        <w:t>1.5小时</w:t>
      </w:r>
      <w:r>
        <w:rPr>
          <w:rFonts w:hint="eastAsia" w:ascii="宋体" w:hAnsi="宋体" w:cs="宋体"/>
          <w:i w:val="0"/>
          <w:iCs w:val="0"/>
          <w:color w:val="FF0000"/>
          <w:sz w:val="28"/>
          <w:szCs w:val="28"/>
          <w:lang w:eastAsia="zh-CN"/>
        </w:rPr>
        <w:t>内能到达现场；仪陇县消防救援局距企业距离约</w:t>
      </w:r>
      <w:r>
        <w:rPr>
          <w:rFonts w:hint="eastAsia" w:ascii="宋体" w:hAnsi="宋体" w:cs="宋体"/>
          <w:i w:val="0"/>
          <w:iCs w:val="0"/>
          <w:color w:val="FF0000"/>
          <w:sz w:val="28"/>
          <w:szCs w:val="28"/>
          <w:lang w:val="en-US" w:eastAsia="zh-CN"/>
        </w:rPr>
        <w:t>80</w:t>
      </w:r>
      <w:r>
        <w:rPr>
          <w:rFonts w:hint="eastAsia" w:ascii="宋体" w:hAnsi="宋体" w:cs="宋体"/>
          <w:i w:val="0"/>
          <w:iCs w:val="0"/>
          <w:color w:val="FF0000"/>
          <w:sz w:val="28"/>
          <w:szCs w:val="28"/>
          <w:lang w:eastAsia="zh-CN"/>
        </w:rPr>
        <w:t>km，发生事故时</w:t>
      </w:r>
      <w:r>
        <w:rPr>
          <w:rFonts w:hint="eastAsia" w:ascii="宋体" w:hAnsi="宋体" w:eastAsia="宋体" w:cs="宋体"/>
          <w:i w:val="0"/>
          <w:iCs w:val="0"/>
          <w:color w:val="FF0000"/>
          <w:sz w:val="28"/>
          <w:szCs w:val="28"/>
          <w:lang w:val="en-US" w:eastAsia="zh-CN"/>
        </w:rPr>
        <w:t>2小时</w:t>
      </w:r>
      <w:r>
        <w:rPr>
          <w:rFonts w:hint="eastAsia" w:ascii="宋体" w:hAnsi="宋体" w:cs="宋体"/>
          <w:i w:val="0"/>
          <w:iCs w:val="0"/>
          <w:color w:val="FF0000"/>
          <w:sz w:val="28"/>
          <w:szCs w:val="28"/>
        </w:rPr>
        <w:t>内</w:t>
      </w:r>
      <w:r>
        <w:rPr>
          <w:rFonts w:hint="eastAsia" w:ascii="宋体" w:hAnsi="宋体" w:cs="宋体"/>
          <w:i w:val="0"/>
          <w:iCs w:val="0"/>
          <w:color w:val="FF0000"/>
          <w:sz w:val="28"/>
          <w:szCs w:val="28"/>
          <w:lang w:eastAsia="zh-CN"/>
        </w:rPr>
        <w:t>内能到达现场。</w:t>
      </w:r>
    </w:p>
    <w:p>
      <w:pPr>
        <w:spacing w:line="360" w:lineRule="auto"/>
        <w:ind w:firstLine="560" w:firstLineChars="200"/>
        <w:rPr>
          <w:rFonts w:ascii="宋体" w:hAnsi="宋体"/>
          <w:i w:val="0"/>
          <w:iCs w:val="0"/>
          <w:color w:val="auto"/>
          <w:sz w:val="28"/>
          <w:szCs w:val="28"/>
        </w:rPr>
      </w:pPr>
      <w:r>
        <w:rPr>
          <w:rFonts w:hint="eastAsia" w:ascii="宋体" w:hAnsi="宋体"/>
          <w:i w:val="0"/>
          <w:iCs w:val="0"/>
          <w:color w:val="auto"/>
          <w:sz w:val="28"/>
          <w:szCs w:val="28"/>
        </w:rPr>
        <w:t>外部救援工作具体由指挥部负责，指挥部门负责与外部救援单位及时取得联系，并将具体地点、路线、发生事故的情况，救援所需器材的种类与外部救援单位讲清楚，同时应安排专人去接应并引路。</w:t>
      </w:r>
    </w:p>
    <w:p>
      <w:pPr>
        <w:spacing w:line="360" w:lineRule="auto"/>
        <w:jc w:val="center"/>
        <w:rPr>
          <w:rFonts w:hint="eastAsia" w:ascii="黑体" w:hAnsi="宋体" w:eastAsia="黑体"/>
          <w:b/>
          <w:bCs/>
          <w:i w:val="0"/>
          <w:iCs w:val="0"/>
          <w:color w:val="auto"/>
          <w:sz w:val="24"/>
        </w:rPr>
      </w:pPr>
      <w:r>
        <w:rPr>
          <w:rFonts w:hint="eastAsia" w:ascii="黑体" w:hAnsi="宋体" w:eastAsia="黑体"/>
          <w:b/>
          <w:bCs/>
          <w:i w:val="0"/>
          <w:iCs w:val="0"/>
          <w:color w:val="auto"/>
          <w:sz w:val="24"/>
        </w:rPr>
        <w:t>表2-</w:t>
      </w:r>
      <w:r>
        <w:rPr>
          <w:rFonts w:hint="eastAsia" w:ascii="黑体" w:hAnsi="宋体" w:eastAsia="黑体"/>
          <w:b/>
          <w:bCs/>
          <w:i w:val="0"/>
          <w:iCs w:val="0"/>
          <w:color w:val="auto"/>
          <w:sz w:val="24"/>
          <w:lang w:val="en-US" w:eastAsia="zh-CN"/>
        </w:rPr>
        <w:t>3</w:t>
      </w:r>
      <w:r>
        <w:rPr>
          <w:rFonts w:hint="eastAsia" w:ascii="黑体" w:hAnsi="宋体" w:eastAsia="黑体"/>
          <w:b/>
          <w:bCs/>
          <w:i w:val="0"/>
          <w:iCs w:val="0"/>
          <w:color w:val="auto"/>
          <w:sz w:val="24"/>
        </w:rPr>
        <w:t xml:space="preserve"> 外部应急支援一览表</w:t>
      </w:r>
    </w:p>
    <w:tbl>
      <w:tblPr>
        <w:tblStyle w:val="19"/>
        <w:tblW w:w="93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742"/>
        <w:gridCol w:w="765"/>
        <w:gridCol w:w="780"/>
        <w:gridCol w:w="4216"/>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序号</w:t>
            </w:r>
          </w:p>
        </w:tc>
        <w:tc>
          <w:tcPr>
            <w:tcW w:w="1742"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物资和装备名称</w:t>
            </w:r>
          </w:p>
        </w:tc>
        <w:tc>
          <w:tcPr>
            <w:tcW w:w="765"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数量</w:t>
            </w:r>
          </w:p>
        </w:tc>
        <w:tc>
          <w:tcPr>
            <w:tcW w:w="780"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单位</w:t>
            </w:r>
          </w:p>
        </w:tc>
        <w:tc>
          <w:tcPr>
            <w:tcW w:w="4216"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单位名称</w:t>
            </w:r>
          </w:p>
        </w:tc>
        <w:tc>
          <w:tcPr>
            <w:tcW w:w="1084" w:type="dxa"/>
            <w:noWrap w:val="0"/>
            <w:vAlign w:val="center"/>
          </w:tcPr>
          <w:p>
            <w:pPr>
              <w:spacing w:line="460" w:lineRule="exact"/>
              <w:jc w:val="center"/>
              <w:rPr>
                <w:rFonts w:hint="eastAsia" w:ascii="宋体" w:hAnsi="宋体"/>
                <w:b/>
                <w:bCs/>
                <w:i w:val="0"/>
                <w:iCs w:val="0"/>
                <w:color w:val="auto"/>
                <w:szCs w:val="21"/>
              </w:rPr>
            </w:pPr>
            <w:r>
              <w:rPr>
                <w:rFonts w:hint="eastAsia" w:ascii="宋体" w:hAnsi="宋体"/>
                <w:b/>
                <w:bCs/>
                <w:i w:val="0"/>
                <w:iCs w:val="0"/>
                <w:color w:val="auto"/>
                <w:szCs w:val="21"/>
              </w:rPr>
              <w:t>联络人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rPr>
              <w:t xml:space="preserve"> 1）</w:t>
            </w:r>
          </w:p>
        </w:tc>
        <w:tc>
          <w:tcPr>
            <w:tcW w:w="1742" w:type="dxa"/>
            <w:noWrap w:val="0"/>
            <w:vAlign w:val="top"/>
          </w:tcPr>
          <w:p>
            <w:pPr>
              <w:spacing w:line="440" w:lineRule="exact"/>
              <w:ind w:firstLine="105" w:firstLineChars="50"/>
              <w:rPr>
                <w:rFonts w:hint="eastAsia" w:ascii="宋体" w:hAnsi="宋体" w:eastAsia="宋体"/>
                <w:i w:val="0"/>
                <w:iCs w:val="0"/>
                <w:color w:val="auto"/>
                <w:szCs w:val="21"/>
                <w:lang w:eastAsia="zh-CN"/>
              </w:rPr>
            </w:pPr>
            <w:r>
              <w:rPr>
                <w:rFonts w:hint="eastAsia" w:ascii="宋体" w:hAnsi="宋体"/>
                <w:i w:val="0"/>
                <w:iCs w:val="0"/>
                <w:color w:val="auto"/>
                <w:szCs w:val="21"/>
              </w:rPr>
              <w:t>消防</w:t>
            </w:r>
            <w:r>
              <w:rPr>
                <w:rFonts w:hint="eastAsia" w:ascii="宋体" w:hAnsi="宋体" w:eastAsia="宋体"/>
                <w:i w:val="0"/>
                <w:iCs w:val="0"/>
                <w:color w:val="auto"/>
                <w:szCs w:val="21"/>
                <w:lang w:eastAsia="zh-CN"/>
              </w:rPr>
              <w:t>用水</w:t>
            </w:r>
          </w:p>
        </w:tc>
        <w:tc>
          <w:tcPr>
            <w:tcW w:w="765" w:type="dxa"/>
            <w:noWrap w:val="0"/>
            <w:vAlign w:val="top"/>
          </w:tcPr>
          <w:p>
            <w:pPr>
              <w:spacing w:line="440" w:lineRule="exact"/>
              <w:ind w:firstLine="105" w:firstLineChars="50"/>
              <w:jc w:val="center"/>
              <w:rPr>
                <w:rFonts w:hint="eastAsia" w:ascii="宋体" w:hAnsi="宋体" w:eastAsia="宋体"/>
                <w:i w:val="0"/>
                <w:iCs w:val="0"/>
                <w:color w:val="auto"/>
                <w:szCs w:val="21"/>
                <w:lang w:eastAsia="zh-CN"/>
              </w:rPr>
            </w:pPr>
            <w:r>
              <w:rPr>
                <w:rFonts w:hint="eastAsia" w:ascii="宋体" w:hAnsi="宋体" w:eastAsia="宋体"/>
                <w:i w:val="0"/>
                <w:iCs w:val="0"/>
                <w:color w:val="auto"/>
                <w:szCs w:val="21"/>
                <w:lang w:val="en-US" w:eastAsia="zh-CN"/>
              </w:rPr>
              <w:t>1</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个</w:t>
            </w:r>
          </w:p>
        </w:tc>
        <w:tc>
          <w:tcPr>
            <w:tcW w:w="4216" w:type="dxa"/>
            <w:noWrap w:val="0"/>
            <w:vAlign w:val="top"/>
          </w:tcPr>
          <w:p>
            <w:pPr>
              <w:spacing w:line="440" w:lineRule="exact"/>
              <w:ind w:firstLine="105" w:firstLineChars="50"/>
              <w:rPr>
                <w:rFonts w:hint="eastAsia" w:ascii="宋体" w:hAnsi="宋体" w:eastAsia="宋体"/>
                <w:i w:val="0"/>
                <w:iCs w:val="0"/>
                <w:color w:val="auto"/>
                <w:szCs w:val="21"/>
                <w:lang w:eastAsia="zh-CN"/>
              </w:rPr>
            </w:pPr>
            <w:r>
              <w:rPr>
                <w:rFonts w:hint="eastAsia" w:ascii="宋体" w:hAnsi="宋体"/>
                <w:i w:val="0"/>
                <w:iCs w:val="0"/>
                <w:color w:val="auto"/>
                <w:szCs w:val="21"/>
              </w:rPr>
              <w:t>企业</w:t>
            </w:r>
            <w:r>
              <w:rPr>
                <w:rFonts w:hint="eastAsia" w:ascii="宋体" w:hAnsi="宋体" w:eastAsia="宋体"/>
                <w:i w:val="0"/>
                <w:iCs w:val="0"/>
                <w:color w:val="auto"/>
                <w:szCs w:val="21"/>
                <w:lang w:eastAsia="zh-CN"/>
              </w:rPr>
              <w:t>内水池（</w:t>
            </w:r>
            <w:r>
              <w:rPr>
                <w:rFonts w:hint="eastAsia" w:ascii="宋体" w:hAnsi="宋体" w:eastAsia="宋体"/>
                <w:i w:val="0"/>
                <w:iCs w:val="0"/>
                <w:color w:val="auto"/>
                <w:szCs w:val="21"/>
                <w:lang w:val="en-US" w:eastAsia="zh-CN"/>
              </w:rPr>
              <w:t>20m</w:t>
            </w:r>
            <w:r>
              <w:rPr>
                <w:rFonts w:hint="eastAsia" w:ascii="宋体" w:hAnsi="宋体" w:eastAsia="宋体"/>
                <w:i w:val="0"/>
                <w:iCs w:val="0"/>
                <w:color w:val="auto"/>
                <w:szCs w:val="21"/>
                <w:vertAlign w:val="superscript"/>
                <w:lang w:val="en-US" w:eastAsia="zh-CN"/>
              </w:rPr>
              <w:t>3</w:t>
            </w:r>
            <w:r>
              <w:rPr>
                <w:rFonts w:hint="eastAsia" w:ascii="宋体" w:hAnsi="宋体" w:eastAsia="宋体"/>
                <w:i w:val="0"/>
                <w:iCs w:val="0"/>
                <w:color w:val="auto"/>
                <w:szCs w:val="21"/>
                <w:lang w:eastAsia="zh-CN"/>
              </w:rPr>
              <w:t>）</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林雪松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7" w:type="dxa"/>
            <w:noWrap w:val="0"/>
            <w:vAlign w:val="center"/>
          </w:tcPr>
          <w:p>
            <w:pPr>
              <w:spacing w:line="440" w:lineRule="exact"/>
              <w:ind w:firstLine="105" w:firstLineChars="50"/>
              <w:rPr>
                <w:rFonts w:hint="eastAsia" w:ascii="宋体" w:hAnsi="宋体"/>
                <w:i w:val="0"/>
                <w:iCs w:val="0"/>
                <w:color w:val="auto"/>
                <w:szCs w:val="21"/>
              </w:rPr>
            </w:pPr>
            <w:r>
              <w:rPr>
                <w:rFonts w:hint="eastAsia" w:ascii="宋体" w:hAnsi="宋体"/>
                <w:i w:val="0"/>
                <w:iCs w:val="0"/>
                <w:color w:val="auto"/>
                <w:szCs w:val="21"/>
              </w:rPr>
              <w:t xml:space="preserve"> 2）</w:t>
            </w:r>
          </w:p>
        </w:tc>
        <w:tc>
          <w:tcPr>
            <w:tcW w:w="1742" w:type="dxa"/>
            <w:noWrap w:val="0"/>
            <w:vAlign w:val="top"/>
          </w:tcPr>
          <w:p>
            <w:pPr>
              <w:spacing w:line="440" w:lineRule="exact"/>
              <w:ind w:firstLine="105" w:firstLineChars="50"/>
              <w:rPr>
                <w:rFonts w:hint="eastAsia" w:ascii="宋体" w:hAnsi="宋体"/>
                <w:i w:val="0"/>
                <w:iCs w:val="0"/>
                <w:color w:val="auto"/>
                <w:szCs w:val="21"/>
              </w:rPr>
            </w:pPr>
            <w:r>
              <w:rPr>
                <w:rFonts w:hint="eastAsia" w:ascii="宋体" w:hAnsi="宋体"/>
                <w:color w:val="auto"/>
                <w:szCs w:val="21"/>
              </w:rPr>
              <w:t>消防栓</w:t>
            </w:r>
          </w:p>
        </w:tc>
        <w:tc>
          <w:tcPr>
            <w:tcW w:w="765" w:type="dxa"/>
            <w:noWrap w:val="0"/>
            <w:vAlign w:val="top"/>
          </w:tcPr>
          <w:p>
            <w:pPr>
              <w:spacing w:line="440" w:lineRule="exact"/>
              <w:ind w:firstLine="105" w:firstLineChars="50"/>
              <w:jc w:val="center"/>
              <w:rPr>
                <w:rFonts w:hint="eastAsia" w:ascii="宋体" w:hAnsi="宋体"/>
                <w:i w:val="0"/>
                <w:iCs w:val="0"/>
                <w:color w:val="auto"/>
                <w:szCs w:val="21"/>
                <w:lang w:eastAsia="zh-CN"/>
              </w:rPr>
            </w:pPr>
            <w:r>
              <w:rPr>
                <w:rFonts w:hint="eastAsia" w:ascii="宋体" w:hAnsi="宋体"/>
                <w:color w:val="auto"/>
                <w:szCs w:val="21"/>
                <w:lang w:val="en-US" w:eastAsia="zh-CN"/>
              </w:rPr>
              <w:t>10</w:t>
            </w:r>
          </w:p>
        </w:tc>
        <w:tc>
          <w:tcPr>
            <w:tcW w:w="780" w:type="dxa"/>
            <w:noWrap w:val="0"/>
            <w:vAlign w:val="center"/>
          </w:tcPr>
          <w:p>
            <w:pPr>
              <w:spacing w:line="460" w:lineRule="exact"/>
              <w:jc w:val="center"/>
              <w:rPr>
                <w:rFonts w:hint="eastAsia" w:ascii="宋体" w:hAnsi="宋体"/>
                <w:i w:val="0"/>
                <w:iCs w:val="0"/>
                <w:color w:val="auto"/>
                <w:szCs w:val="21"/>
              </w:rPr>
            </w:pPr>
            <w:r>
              <w:rPr>
                <w:rFonts w:hint="eastAsia" w:ascii="宋体" w:hAnsi="宋体"/>
                <w:color w:val="auto"/>
                <w:szCs w:val="21"/>
              </w:rPr>
              <w:t>个</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40" w:lineRule="exact"/>
              <w:jc w:val="center"/>
              <w:rPr>
                <w:rFonts w:hint="eastAsia" w:ascii="宋体" w:hAnsi="宋体"/>
                <w:i w:val="0"/>
                <w:iCs w:val="0"/>
                <w:color w:val="auto"/>
                <w:szCs w:val="21"/>
              </w:rPr>
            </w:pPr>
            <w:r>
              <w:rPr>
                <w:rFonts w:hint="eastAsia" w:ascii="宋体" w:hAnsi="宋体"/>
                <w:i w:val="0"/>
                <w:iCs w:val="0"/>
                <w:color w:val="auto"/>
                <w:szCs w:val="21"/>
                <w:lang w:eastAsia="zh-CN"/>
              </w:rPr>
              <w:t>林雪松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rPr>
              <w:t xml:space="preserve"> 3）</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color w:val="auto"/>
                <w:szCs w:val="21"/>
              </w:rPr>
              <w:t>干粉灭火器</w:t>
            </w:r>
          </w:p>
        </w:tc>
        <w:tc>
          <w:tcPr>
            <w:tcW w:w="765" w:type="dxa"/>
            <w:noWrap w:val="0"/>
            <w:vAlign w:val="top"/>
          </w:tcPr>
          <w:p>
            <w:pPr>
              <w:spacing w:line="440" w:lineRule="exact"/>
              <w:ind w:firstLine="105" w:firstLineChars="50"/>
              <w:jc w:val="center"/>
              <w:rPr>
                <w:rFonts w:hint="eastAsia" w:ascii="宋体" w:hAnsi="宋体"/>
                <w:i w:val="0"/>
                <w:iCs w:val="0"/>
                <w:color w:val="auto"/>
                <w:szCs w:val="21"/>
              </w:rPr>
            </w:pPr>
            <w:r>
              <w:rPr>
                <w:rFonts w:hint="eastAsia" w:ascii="宋体" w:hAnsi="宋体"/>
                <w:color w:val="auto"/>
                <w:szCs w:val="21"/>
              </w:rPr>
              <w:t>若干</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color w:val="auto"/>
                <w:szCs w:val="21"/>
              </w:rPr>
              <w:t>个</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林雪松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4）</w:t>
            </w:r>
          </w:p>
        </w:tc>
        <w:tc>
          <w:tcPr>
            <w:tcW w:w="1742" w:type="dxa"/>
            <w:noWrap w:val="0"/>
            <w:vAlign w:val="top"/>
          </w:tcPr>
          <w:p>
            <w:pPr>
              <w:spacing w:line="440" w:lineRule="exact"/>
              <w:ind w:firstLine="105" w:firstLineChars="50"/>
              <w:rPr>
                <w:rFonts w:hint="eastAsia" w:ascii="宋体" w:hAnsi="宋体"/>
                <w:i w:val="0"/>
                <w:iCs w:val="0"/>
                <w:color w:val="auto"/>
                <w:szCs w:val="21"/>
              </w:rPr>
            </w:pPr>
            <w:r>
              <w:rPr>
                <w:rFonts w:hint="eastAsia" w:ascii="宋体" w:hAnsi="宋体"/>
                <w:color w:val="auto"/>
                <w:szCs w:val="21"/>
              </w:rPr>
              <w:t>急救箱</w:t>
            </w:r>
          </w:p>
        </w:tc>
        <w:tc>
          <w:tcPr>
            <w:tcW w:w="765" w:type="dxa"/>
            <w:noWrap w:val="0"/>
            <w:vAlign w:val="top"/>
          </w:tcPr>
          <w:p>
            <w:pPr>
              <w:spacing w:line="440" w:lineRule="exact"/>
              <w:ind w:firstLine="105" w:firstLineChars="50"/>
              <w:jc w:val="center"/>
              <w:rPr>
                <w:rFonts w:hint="default" w:ascii="宋体" w:hAnsi="宋体"/>
                <w:i w:val="0"/>
                <w:iCs w:val="0"/>
                <w:color w:val="auto"/>
                <w:szCs w:val="21"/>
                <w:lang w:val="en-US" w:eastAsia="zh-CN"/>
              </w:rPr>
            </w:pPr>
            <w:r>
              <w:rPr>
                <w:rFonts w:hint="eastAsia" w:ascii="宋体" w:hAnsi="宋体"/>
                <w:color w:val="auto"/>
                <w:szCs w:val="21"/>
              </w:rPr>
              <w:t>5</w:t>
            </w:r>
          </w:p>
        </w:tc>
        <w:tc>
          <w:tcPr>
            <w:tcW w:w="780" w:type="dxa"/>
            <w:noWrap w:val="0"/>
            <w:vAlign w:val="center"/>
          </w:tcPr>
          <w:p>
            <w:pPr>
              <w:spacing w:line="460" w:lineRule="exact"/>
              <w:jc w:val="center"/>
              <w:rPr>
                <w:rFonts w:hint="eastAsia" w:ascii="宋体" w:hAnsi="宋体"/>
                <w:i w:val="0"/>
                <w:iCs w:val="0"/>
                <w:color w:val="auto"/>
                <w:szCs w:val="21"/>
              </w:rPr>
            </w:pPr>
            <w:r>
              <w:rPr>
                <w:rFonts w:hint="eastAsia" w:ascii="宋体" w:hAnsi="宋体"/>
                <w:color w:val="auto"/>
                <w:szCs w:val="21"/>
              </w:rPr>
              <w:t>个</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林雪松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5）</w:t>
            </w:r>
          </w:p>
        </w:tc>
        <w:tc>
          <w:tcPr>
            <w:tcW w:w="1742"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color w:val="auto"/>
                <w:szCs w:val="21"/>
              </w:rPr>
              <w:t>消防车</w:t>
            </w:r>
          </w:p>
        </w:tc>
        <w:tc>
          <w:tcPr>
            <w:tcW w:w="765" w:type="dxa"/>
            <w:noWrap w:val="0"/>
            <w:vAlign w:val="top"/>
          </w:tcPr>
          <w:p>
            <w:pPr>
              <w:spacing w:line="440" w:lineRule="exact"/>
              <w:ind w:firstLine="105" w:firstLineChars="50"/>
              <w:jc w:val="center"/>
              <w:rPr>
                <w:rFonts w:hint="eastAsia" w:ascii="宋体" w:hAnsi="宋体"/>
                <w:i w:val="0"/>
                <w:iCs w:val="0"/>
                <w:color w:val="auto"/>
                <w:szCs w:val="21"/>
                <w:lang w:val="en-US" w:eastAsia="zh-CN"/>
              </w:rPr>
            </w:pPr>
            <w:r>
              <w:rPr>
                <w:rFonts w:hint="eastAsia" w:ascii="宋体" w:hAnsi="宋体"/>
                <w:color w:val="auto"/>
                <w:szCs w:val="21"/>
              </w:rPr>
              <w:t>10</w:t>
            </w:r>
          </w:p>
        </w:tc>
        <w:tc>
          <w:tcPr>
            <w:tcW w:w="780" w:type="dxa"/>
            <w:noWrap w:val="0"/>
            <w:vAlign w:val="center"/>
          </w:tcPr>
          <w:p>
            <w:pPr>
              <w:spacing w:line="460" w:lineRule="exact"/>
              <w:jc w:val="center"/>
              <w:rPr>
                <w:rFonts w:hint="eastAsia" w:ascii="宋体" w:hAnsi="宋体"/>
                <w:i w:val="0"/>
                <w:iCs w:val="0"/>
                <w:color w:val="auto"/>
                <w:szCs w:val="21"/>
                <w:lang w:val="en-US" w:eastAsia="zh-CN"/>
              </w:rPr>
            </w:pPr>
            <w:r>
              <w:rPr>
                <w:rFonts w:hint="eastAsia" w:ascii="宋体" w:hAnsi="宋体"/>
                <w:color w:val="auto"/>
                <w:szCs w:val="21"/>
              </w:rPr>
              <w:t>辆</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林雪松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6）</w:t>
            </w:r>
          </w:p>
        </w:tc>
        <w:tc>
          <w:tcPr>
            <w:tcW w:w="1742"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color w:val="auto"/>
                <w:szCs w:val="21"/>
              </w:rPr>
              <w:t>消防人员</w:t>
            </w:r>
          </w:p>
        </w:tc>
        <w:tc>
          <w:tcPr>
            <w:tcW w:w="765" w:type="dxa"/>
            <w:noWrap w:val="0"/>
            <w:vAlign w:val="top"/>
          </w:tcPr>
          <w:p>
            <w:pPr>
              <w:spacing w:line="440" w:lineRule="exact"/>
              <w:ind w:firstLine="105" w:firstLineChars="50"/>
              <w:jc w:val="center"/>
              <w:rPr>
                <w:rFonts w:hint="eastAsia" w:ascii="宋体" w:hAnsi="宋体"/>
                <w:i w:val="0"/>
                <w:iCs w:val="0"/>
                <w:color w:val="auto"/>
                <w:szCs w:val="21"/>
                <w:lang w:val="en-US" w:eastAsia="zh-CN"/>
              </w:rPr>
            </w:pPr>
            <w:r>
              <w:rPr>
                <w:rFonts w:hint="eastAsia" w:ascii="宋体" w:hAnsi="宋体"/>
                <w:color w:val="auto"/>
                <w:szCs w:val="21"/>
                <w:lang w:val="en-US" w:eastAsia="zh-CN"/>
              </w:rPr>
              <w:t>10</w:t>
            </w:r>
          </w:p>
        </w:tc>
        <w:tc>
          <w:tcPr>
            <w:tcW w:w="780" w:type="dxa"/>
            <w:noWrap w:val="0"/>
            <w:vAlign w:val="center"/>
          </w:tcPr>
          <w:p>
            <w:pPr>
              <w:spacing w:line="460" w:lineRule="exact"/>
              <w:jc w:val="center"/>
              <w:rPr>
                <w:rFonts w:hint="eastAsia" w:ascii="宋体" w:hAnsi="宋体"/>
                <w:i w:val="0"/>
                <w:iCs w:val="0"/>
                <w:color w:val="auto"/>
                <w:szCs w:val="21"/>
                <w:lang w:val="en-US" w:eastAsia="zh-CN"/>
              </w:rPr>
            </w:pPr>
            <w:r>
              <w:rPr>
                <w:rFonts w:hint="eastAsia" w:ascii="宋体" w:hAnsi="宋体"/>
                <w:color w:val="auto"/>
                <w:szCs w:val="21"/>
              </w:rPr>
              <w:t>人</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林雪松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7）</w:t>
            </w:r>
          </w:p>
        </w:tc>
        <w:tc>
          <w:tcPr>
            <w:tcW w:w="1742"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rPr>
              <w:t>急救车</w:t>
            </w:r>
          </w:p>
        </w:tc>
        <w:tc>
          <w:tcPr>
            <w:tcW w:w="765" w:type="dxa"/>
            <w:noWrap w:val="0"/>
            <w:vAlign w:val="top"/>
          </w:tcPr>
          <w:p>
            <w:pPr>
              <w:spacing w:line="440" w:lineRule="exact"/>
              <w:ind w:firstLine="105" w:firstLineChars="50"/>
              <w:jc w:val="center"/>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1</w:t>
            </w:r>
          </w:p>
        </w:tc>
        <w:tc>
          <w:tcPr>
            <w:tcW w:w="780" w:type="dxa"/>
            <w:noWrap w:val="0"/>
            <w:vAlign w:val="center"/>
          </w:tcPr>
          <w:p>
            <w:pPr>
              <w:spacing w:line="460" w:lineRule="exact"/>
              <w:jc w:val="center"/>
              <w:rPr>
                <w:rFonts w:hint="eastAsia" w:ascii="宋体" w:hAnsi="宋体"/>
                <w:i w:val="0"/>
                <w:iCs w:val="0"/>
                <w:color w:val="auto"/>
                <w:szCs w:val="21"/>
                <w:lang w:val="en-US" w:eastAsia="zh-CN"/>
              </w:rPr>
            </w:pPr>
            <w:r>
              <w:rPr>
                <w:rFonts w:hint="eastAsia" w:ascii="宋体" w:hAnsi="宋体"/>
                <w:i w:val="0"/>
                <w:iCs w:val="0"/>
                <w:color w:val="auto"/>
                <w:szCs w:val="21"/>
              </w:rPr>
              <w:t>辆</w:t>
            </w:r>
          </w:p>
        </w:tc>
        <w:tc>
          <w:tcPr>
            <w:tcW w:w="4216" w:type="dxa"/>
            <w:noWrap w:val="0"/>
            <w:vAlign w:val="center"/>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仪陇县人民医院、仪陇县瓦子镇卫生院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林雪松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w:t>
            </w:r>
            <w:r>
              <w:rPr>
                <w:rFonts w:hint="eastAsia" w:ascii="宋体" w:hAnsi="宋体"/>
                <w:i w:val="0"/>
                <w:iCs w:val="0"/>
                <w:color w:val="auto"/>
                <w:szCs w:val="21"/>
                <w:lang w:val="en-US" w:eastAsia="zh-CN"/>
              </w:rPr>
              <w:t>8</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rPr>
              <w:t>担架</w:t>
            </w:r>
          </w:p>
        </w:tc>
        <w:tc>
          <w:tcPr>
            <w:tcW w:w="765" w:type="dxa"/>
            <w:noWrap w:val="0"/>
            <w:vAlign w:val="top"/>
          </w:tcPr>
          <w:p>
            <w:pPr>
              <w:spacing w:line="440" w:lineRule="exact"/>
              <w:ind w:firstLine="105" w:firstLineChars="50"/>
              <w:jc w:val="center"/>
              <w:rPr>
                <w:rFonts w:hint="eastAsia" w:ascii="宋体" w:hAnsi="宋体"/>
                <w:i w:val="0"/>
                <w:iCs w:val="0"/>
                <w:color w:val="auto"/>
                <w:szCs w:val="21"/>
                <w:lang w:val="en-US" w:eastAsia="zh-CN"/>
              </w:rPr>
            </w:pPr>
            <w:r>
              <w:rPr>
                <w:rFonts w:hint="eastAsia" w:ascii="宋体" w:hAnsi="宋体" w:eastAsia="宋体"/>
                <w:i w:val="0"/>
                <w:iCs w:val="0"/>
                <w:color w:val="auto"/>
                <w:szCs w:val="21"/>
                <w:lang w:val="en-US" w:eastAsia="zh-CN"/>
              </w:rPr>
              <w:t>2</w:t>
            </w:r>
          </w:p>
        </w:tc>
        <w:tc>
          <w:tcPr>
            <w:tcW w:w="780" w:type="dxa"/>
            <w:noWrap w:val="0"/>
            <w:vAlign w:val="center"/>
          </w:tcPr>
          <w:p>
            <w:pPr>
              <w:spacing w:line="460" w:lineRule="exact"/>
              <w:jc w:val="center"/>
              <w:rPr>
                <w:rFonts w:hint="eastAsia" w:ascii="宋体" w:hAnsi="宋体"/>
                <w:i w:val="0"/>
                <w:iCs w:val="0"/>
                <w:color w:val="auto"/>
                <w:szCs w:val="21"/>
                <w:lang w:val="en-US" w:eastAsia="zh-CN"/>
              </w:rPr>
            </w:pPr>
            <w:r>
              <w:rPr>
                <w:rFonts w:hint="eastAsia" w:ascii="宋体" w:hAnsi="宋体"/>
                <w:i w:val="0"/>
                <w:iCs w:val="0"/>
                <w:color w:val="auto"/>
                <w:szCs w:val="21"/>
              </w:rPr>
              <w:t>个</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仪陇县人民医院、仪陇县瓦子镇卫生院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林雪松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rPr>
              <w:t xml:space="preserve"> </w:t>
            </w:r>
            <w:r>
              <w:rPr>
                <w:rFonts w:hint="eastAsia" w:ascii="宋体" w:hAnsi="宋体"/>
                <w:i w:val="0"/>
                <w:iCs w:val="0"/>
                <w:color w:val="auto"/>
                <w:szCs w:val="21"/>
                <w:lang w:val="en-US" w:eastAsia="zh-CN"/>
              </w:rPr>
              <w:t>9</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应急床位</w:t>
            </w:r>
          </w:p>
        </w:tc>
        <w:tc>
          <w:tcPr>
            <w:tcW w:w="765" w:type="dxa"/>
            <w:noWrap w:val="0"/>
            <w:vAlign w:val="top"/>
          </w:tcPr>
          <w:p>
            <w:pPr>
              <w:spacing w:line="440" w:lineRule="exact"/>
              <w:ind w:firstLine="105" w:firstLineChars="50"/>
              <w:jc w:val="center"/>
              <w:rPr>
                <w:rFonts w:hint="eastAsia" w:ascii="宋体" w:hAnsi="宋体" w:eastAsia="宋体"/>
                <w:i w:val="0"/>
                <w:iCs w:val="0"/>
                <w:color w:val="auto"/>
                <w:szCs w:val="21"/>
                <w:lang w:eastAsia="zh-CN"/>
              </w:rPr>
            </w:pPr>
            <w:r>
              <w:rPr>
                <w:rFonts w:hint="eastAsia" w:ascii="宋体" w:hAnsi="宋体"/>
                <w:i w:val="0"/>
                <w:iCs w:val="0"/>
                <w:color w:val="auto"/>
                <w:szCs w:val="21"/>
                <w:lang w:val="en-US" w:eastAsia="zh-CN"/>
              </w:rPr>
              <w:t>6</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个</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仪陇县人民医院、仪陇县瓦子镇卫生院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林雪松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lang w:val="en-US" w:eastAsia="zh-CN"/>
              </w:rPr>
              <w:t>10</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急救医生</w:t>
            </w:r>
          </w:p>
        </w:tc>
        <w:tc>
          <w:tcPr>
            <w:tcW w:w="765" w:type="dxa"/>
            <w:noWrap w:val="0"/>
            <w:vAlign w:val="top"/>
          </w:tcPr>
          <w:p>
            <w:pPr>
              <w:spacing w:line="440" w:lineRule="exact"/>
              <w:ind w:firstLine="105" w:firstLineChars="50"/>
              <w:jc w:val="center"/>
              <w:rPr>
                <w:rFonts w:hint="eastAsia" w:ascii="宋体" w:hAnsi="宋体" w:eastAsia="宋体"/>
                <w:i w:val="0"/>
                <w:iCs w:val="0"/>
                <w:color w:val="auto"/>
                <w:szCs w:val="21"/>
                <w:lang w:eastAsia="zh-CN"/>
              </w:rPr>
            </w:pPr>
            <w:r>
              <w:rPr>
                <w:rFonts w:hint="eastAsia" w:ascii="宋体" w:hAnsi="宋体" w:eastAsia="宋体"/>
                <w:i w:val="0"/>
                <w:iCs w:val="0"/>
                <w:color w:val="auto"/>
                <w:szCs w:val="21"/>
                <w:lang w:val="en-US" w:eastAsia="zh-CN"/>
              </w:rPr>
              <w:t>4</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人</w:t>
            </w:r>
          </w:p>
        </w:tc>
        <w:tc>
          <w:tcPr>
            <w:tcW w:w="4216" w:type="dxa"/>
            <w:noWrap w:val="0"/>
            <w:vAlign w:val="center"/>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仪陇县人民医院、仪陇县瓦子镇卫生院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林雪松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lang w:val="en-US" w:eastAsia="zh-CN"/>
              </w:rPr>
              <w:t>11</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急救护士</w:t>
            </w:r>
          </w:p>
        </w:tc>
        <w:tc>
          <w:tcPr>
            <w:tcW w:w="765" w:type="dxa"/>
            <w:noWrap w:val="0"/>
            <w:vAlign w:val="top"/>
          </w:tcPr>
          <w:p>
            <w:pPr>
              <w:spacing w:line="440" w:lineRule="exact"/>
              <w:ind w:firstLine="105" w:firstLineChars="50"/>
              <w:jc w:val="center"/>
              <w:rPr>
                <w:rFonts w:hint="default" w:ascii="宋体" w:hAnsi="宋体" w:eastAsia="宋体"/>
                <w:i w:val="0"/>
                <w:iCs w:val="0"/>
                <w:color w:val="auto"/>
                <w:szCs w:val="21"/>
                <w:lang w:val="en-US" w:eastAsia="zh-CN"/>
              </w:rPr>
            </w:pPr>
            <w:r>
              <w:rPr>
                <w:rFonts w:hint="eastAsia" w:ascii="宋体" w:hAnsi="宋体" w:eastAsia="宋体"/>
                <w:i w:val="0"/>
                <w:iCs w:val="0"/>
                <w:color w:val="auto"/>
                <w:szCs w:val="21"/>
                <w:lang w:val="en-US" w:eastAsia="zh-CN"/>
              </w:rPr>
              <w:t>4</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人</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仪陇县人民医院、仪陇县瓦子镇卫生院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林雪松</w:t>
            </w:r>
          </w:p>
        </w:tc>
      </w:tr>
      <w:bookmarkEnd w:id="37"/>
      <w:bookmarkEnd w:id="38"/>
      <w:bookmarkEnd w:id="39"/>
      <w:bookmarkEnd w:id="47"/>
    </w:tbl>
    <w:p>
      <w:pPr>
        <w:rPr>
          <w:rFonts w:hint="eastAsia" w:ascii="黑体" w:hAnsi="宋体" w:eastAsia="黑体"/>
          <w:b/>
          <w:sz w:val="32"/>
          <w:szCs w:val="32"/>
          <w:lang w:val="en-US" w:eastAsia="zh-CN"/>
        </w:rPr>
      </w:pPr>
      <w:r>
        <w:rPr>
          <w:rFonts w:hint="eastAsia" w:ascii="黑体" w:hAnsi="宋体" w:eastAsia="黑体"/>
          <w:b/>
          <w:sz w:val="32"/>
          <w:szCs w:val="32"/>
          <w:lang w:val="en-US" w:eastAsia="zh-CN"/>
        </w:rPr>
        <w:br w:type="page"/>
      </w:r>
    </w:p>
    <w:p>
      <w:pPr>
        <w:spacing w:line="360" w:lineRule="auto"/>
        <w:jc w:val="center"/>
        <w:outlineLvl w:val="0"/>
        <w:rPr>
          <w:rFonts w:hint="eastAsia" w:ascii="黑体" w:hAnsi="宋体" w:eastAsia="黑体"/>
          <w:b/>
          <w:sz w:val="32"/>
          <w:szCs w:val="32"/>
          <w:lang w:val="en-US" w:eastAsia="zh-CN"/>
        </w:rPr>
      </w:pPr>
      <w:bookmarkStart w:id="90" w:name="_Toc18397"/>
      <w:r>
        <w:rPr>
          <w:rFonts w:hint="eastAsia" w:ascii="黑体" w:hAnsi="宋体" w:eastAsia="黑体"/>
          <w:b/>
          <w:sz w:val="32"/>
          <w:szCs w:val="32"/>
          <w:lang w:val="en-US" w:eastAsia="zh-CN"/>
        </w:rPr>
        <w:t>3危险、有害因素辨识</w:t>
      </w:r>
      <w:bookmarkEnd w:id="90"/>
    </w:p>
    <w:p>
      <w:pPr>
        <w:pStyle w:val="8"/>
        <w:spacing w:line="360" w:lineRule="auto"/>
        <w:ind w:firstLine="0" w:firstLineChars="0"/>
        <w:outlineLvl w:val="1"/>
        <w:rPr>
          <w:rFonts w:hint="eastAsia" w:ascii="黑体" w:eastAsia="黑体"/>
          <w:b/>
          <w:snapToGrid w:val="0"/>
          <w:kern w:val="0"/>
          <w:sz w:val="32"/>
          <w:szCs w:val="32"/>
        </w:rPr>
      </w:pPr>
      <w:bookmarkStart w:id="91" w:name="_Toc9228"/>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1 危险、有害因素辨识的目的</w:t>
      </w:r>
      <w:bookmarkEnd w:id="40"/>
      <w:bookmarkEnd w:id="41"/>
      <w:bookmarkEnd w:id="91"/>
    </w:p>
    <w:p>
      <w:pPr>
        <w:autoSpaceDE w:val="0"/>
        <w:autoSpaceDN w:val="0"/>
        <w:adjustRightInd w:val="0"/>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危险、有害因素是指能造成人员伤亡或影响人体健康、导致疾病和对物造成突发性或慢性损坏的因素。充分识别并掌握</w:t>
      </w:r>
      <w:r>
        <w:rPr>
          <w:rFonts w:hint="eastAsia" w:ascii="宋体" w:hAnsi="宋体"/>
          <w:snapToGrid w:val="0"/>
          <w:kern w:val="0"/>
          <w:sz w:val="28"/>
          <w:szCs w:val="28"/>
          <w:lang w:eastAsia="zh-CN"/>
        </w:rPr>
        <w:t>公司</w:t>
      </w:r>
      <w:r>
        <w:rPr>
          <w:rFonts w:hint="eastAsia" w:ascii="宋体" w:hAnsi="宋体"/>
          <w:snapToGrid w:val="0"/>
          <w:kern w:val="0"/>
          <w:sz w:val="28"/>
          <w:szCs w:val="28"/>
        </w:rPr>
        <w:t>生产系统中的危险有害因素，为企业有效减少人员伤亡和财产损失，确保生产安全具有重要意义；为企业</w:t>
      </w:r>
      <w:r>
        <w:rPr>
          <w:rFonts w:ascii="宋体" w:hAnsi="宋体"/>
          <w:snapToGrid w:val="0"/>
          <w:kern w:val="0"/>
          <w:sz w:val="28"/>
          <w:szCs w:val="28"/>
        </w:rPr>
        <w:t>在</w:t>
      </w:r>
      <w:r>
        <w:rPr>
          <w:rFonts w:hint="eastAsia" w:ascii="宋体" w:hAnsi="宋体"/>
          <w:snapToGrid w:val="0"/>
          <w:kern w:val="0"/>
          <w:sz w:val="28"/>
          <w:szCs w:val="28"/>
        </w:rPr>
        <w:t>实际生产中查找事故隐患并制定整改措施、制定事故应急救援预案</w:t>
      </w:r>
      <w:r>
        <w:rPr>
          <w:rFonts w:ascii="宋体" w:hAnsi="宋体"/>
          <w:snapToGrid w:val="0"/>
          <w:kern w:val="0"/>
          <w:sz w:val="28"/>
          <w:szCs w:val="28"/>
        </w:rPr>
        <w:t>指明方向。</w:t>
      </w:r>
    </w:p>
    <w:p>
      <w:pPr>
        <w:pStyle w:val="8"/>
        <w:spacing w:line="360" w:lineRule="auto"/>
        <w:ind w:firstLine="0" w:firstLineChars="0"/>
        <w:outlineLvl w:val="1"/>
        <w:rPr>
          <w:rFonts w:ascii="黑体" w:eastAsia="黑体"/>
          <w:b/>
          <w:snapToGrid w:val="0"/>
          <w:kern w:val="0"/>
          <w:sz w:val="32"/>
          <w:szCs w:val="32"/>
        </w:rPr>
      </w:pPr>
      <w:bookmarkStart w:id="92" w:name="_Toc480804387"/>
      <w:bookmarkStart w:id="93" w:name="_Toc356401484"/>
      <w:bookmarkStart w:id="94" w:name="_Toc514342839"/>
      <w:bookmarkStart w:id="95" w:name="_Toc350781091"/>
      <w:bookmarkStart w:id="96" w:name="_Toc7671"/>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2 危险、有害因素辨识的依据</w:t>
      </w:r>
      <w:bookmarkEnd w:id="92"/>
      <w:bookmarkEnd w:id="93"/>
      <w:bookmarkEnd w:id="94"/>
      <w:bookmarkEnd w:id="95"/>
      <w:bookmarkEnd w:id="96"/>
    </w:p>
    <w:p>
      <w:pPr>
        <w:adjustRightInd w:val="0"/>
        <w:snapToGrid w:val="0"/>
        <w:spacing w:line="360" w:lineRule="auto"/>
        <w:ind w:firstLine="560" w:firstLineChars="200"/>
        <w:rPr>
          <w:rFonts w:ascii="宋体" w:hAnsi="宋体"/>
          <w:snapToGrid w:val="0"/>
          <w:kern w:val="0"/>
          <w:sz w:val="28"/>
          <w:szCs w:val="28"/>
        </w:rPr>
      </w:pPr>
      <w:r>
        <w:rPr>
          <w:rFonts w:ascii="宋体" w:hAnsi="宋体"/>
          <w:snapToGrid w:val="0"/>
          <w:kern w:val="0"/>
          <w:sz w:val="28"/>
          <w:szCs w:val="28"/>
        </w:rPr>
        <w:t>（1）按照《危险化学品名录（20</w:t>
      </w:r>
      <w:r>
        <w:rPr>
          <w:rFonts w:hint="eastAsia" w:ascii="宋体" w:hAnsi="宋体"/>
          <w:snapToGrid w:val="0"/>
          <w:kern w:val="0"/>
          <w:sz w:val="28"/>
          <w:szCs w:val="28"/>
        </w:rPr>
        <w:t>1</w:t>
      </w:r>
      <w:r>
        <w:rPr>
          <w:rFonts w:hint="eastAsia" w:ascii="宋体" w:hAnsi="宋体"/>
          <w:snapToGrid w:val="0"/>
          <w:kern w:val="0"/>
          <w:sz w:val="28"/>
          <w:szCs w:val="28"/>
          <w:lang w:val="en-US" w:eastAsia="zh-CN"/>
        </w:rPr>
        <w:t>8</w:t>
      </w:r>
      <w:r>
        <w:rPr>
          <w:rFonts w:ascii="宋体" w:hAnsi="宋体"/>
          <w:snapToGrid w:val="0"/>
          <w:kern w:val="0"/>
          <w:sz w:val="28"/>
          <w:szCs w:val="28"/>
        </w:rPr>
        <w:t>版）》将有害物质分为爆炸品、压缩气体和液化气体、易燃液体、易燃固体、自燃物品和遇湿易燃物品、氧化剂和有机过氧化物、毒害品和感染性物品、腐蚀品8大类，对系统中使用的物质及产品进行辨识与分析。</w:t>
      </w:r>
    </w:p>
    <w:p>
      <w:pPr>
        <w:adjustRightInd w:val="0"/>
        <w:snapToGrid w:val="0"/>
        <w:spacing w:line="360" w:lineRule="auto"/>
        <w:ind w:firstLine="560" w:firstLineChars="200"/>
        <w:rPr>
          <w:rFonts w:ascii="宋体" w:hAnsi="宋体"/>
          <w:snapToGrid w:val="0"/>
          <w:kern w:val="0"/>
          <w:sz w:val="28"/>
          <w:szCs w:val="28"/>
        </w:rPr>
      </w:pPr>
      <w:r>
        <w:rPr>
          <w:rFonts w:ascii="宋体" w:hAnsi="宋体"/>
          <w:snapToGrid w:val="0"/>
          <w:kern w:val="0"/>
          <w:sz w:val="28"/>
          <w:szCs w:val="28"/>
        </w:rPr>
        <w:t>（2）根据《危险化学品重大危险源辨识》（</w:t>
      </w:r>
      <w:r>
        <w:rPr>
          <w:rFonts w:hint="eastAsia" w:ascii="宋体" w:hAnsi="宋体"/>
          <w:snapToGrid w:val="0"/>
          <w:kern w:val="0"/>
          <w:sz w:val="28"/>
          <w:szCs w:val="28"/>
          <w:lang w:eastAsia="zh-CN"/>
        </w:rPr>
        <w:t>GB18218-2018</w:t>
      </w:r>
      <w:r>
        <w:rPr>
          <w:rFonts w:ascii="宋体" w:hAnsi="宋体"/>
          <w:snapToGrid w:val="0"/>
          <w:kern w:val="0"/>
          <w:sz w:val="28"/>
          <w:szCs w:val="28"/>
        </w:rPr>
        <w:t>），对</w:t>
      </w:r>
      <w:r>
        <w:rPr>
          <w:rFonts w:hint="eastAsia" w:ascii="宋体" w:hAnsi="宋体"/>
          <w:snapToGrid w:val="0"/>
          <w:kern w:val="0"/>
          <w:sz w:val="28"/>
          <w:szCs w:val="28"/>
          <w:lang w:eastAsia="zh-CN"/>
        </w:rPr>
        <w:t>厂区</w:t>
      </w:r>
      <w:r>
        <w:rPr>
          <w:rFonts w:ascii="宋体" w:hAnsi="宋体"/>
          <w:snapToGrid w:val="0"/>
          <w:kern w:val="0"/>
          <w:sz w:val="28"/>
          <w:szCs w:val="28"/>
        </w:rPr>
        <w:t>中使用到的各种物质进行重大危险源的计算与辨识。</w:t>
      </w:r>
    </w:p>
    <w:p>
      <w:pPr>
        <w:adjustRightInd w:val="0"/>
        <w:snapToGrid w:val="0"/>
        <w:spacing w:line="360" w:lineRule="auto"/>
        <w:ind w:firstLine="560" w:firstLineChars="200"/>
        <w:rPr>
          <w:rFonts w:ascii="宋体" w:hAnsi="宋体"/>
          <w:snapToGrid w:val="0"/>
          <w:kern w:val="0"/>
          <w:sz w:val="28"/>
          <w:szCs w:val="28"/>
        </w:rPr>
      </w:pPr>
      <w:r>
        <w:rPr>
          <w:rFonts w:ascii="宋体" w:hAnsi="宋体"/>
          <w:snapToGrid w:val="0"/>
          <w:kern w:val="0"/>
          <w:sz w:val="28"/>
          <w:szCs w:val="28"/>
        </w:rPr>
        <w:t>（3）参照《企业职工伤亡事故分类》（GB6441-1986），综合考虑起因物、引发事故的诱导性原因、致害物、伤害方式等，将事故分为物体打击、车辆伤害、机械伤害、起重伤害、触电等20类，对系统中作业场所按照事故类型进行辨识与分析。</w:t>
      </w:r>
    </w:p>
    <w:p>
      <w:pPr>
        <w:adjustRightInd w:val="0"/>
        <w:snapToGrid w:val="0"/>
        <w:spacing w:line="360" w:lineRule="auto"/>
        <w:ind w:firstLine="560" w:firstLineChars="200"/>
        <w:rPr>
          <w:rFonts w:ascii="宋体" w:hAnsi="宋体"/>
          <w:snapToGrid w:val="0"/>
          <w:kern w:val="0"/>
          <w:sz w:val="28"/>
          <w:szCs w:val="28"/>
        </w:rPr>
      </w:pPr>
      <w:r>
        <w:rPr>
          <w:rFonts w:ascii="宋体" w:hAnsi="宋体"/>
          <w:snapToGrid w:val="0"/>
          <w:kern w:val="0"/>
          <w:sz w:val="28"/>
          <w:szCs w:val="28"/>
        </w:rPr>
        <w:t>（4）根据《生产过程危险和危害因素分类与代码》（GB/T13861-2009）对</w:t>
      </w:r>
      <w:r>
        <w:rPr>
          <w:rFonts w:hint="eastAsia" w:ascii="宋体" w:hAnsi="宋体"/>
          <w:snapToGrid w:val="0"/>
          <w:kern w:val="0"/>
          <w:sz w:val="28"/>
          <w:szCs w:val="28"/>
          <w:lang w:eastAsia="zh-CN"/>
        </w:rPr>
        <w:t>厂区</w:t>
      </w:r>
      <w:r>
        <w:rPr>
          <w:rFonts w:ascii="宋体" w:hAnsi="宋体"/>
          <w:snapToGrid w:val="0"/>
          <w:kern w:val="0"/>
          <w:sz w:val="28"/>
          <w:szCs w:val="28"/>
        </w:rPr>
        <w:t>生产过程中的危险、有害因素进行辨识与分析。</w:t>
      </w:r>
    </w:p>
    <w:p>
      <w:pPr>
        <w:spacing w:line="360" w:lineRule="auto"/>
        <w:ind w:firstLine="560" w:firstLineChars="200"/>
        <w:textAlignment w:val="baseline"/>
        <w:rPr>
          <w:rFonts w:hint="eastAsia" w:ascii="宋体" w:hAnsi="宋体"/>
          <w:sz w:val="28"/>
          <w:szCs w:val="28"/>
        </w:rPr>
      </w:pPr>
      <w:bookmarkStart w:id="97" w:name="_Toc356401485"/>
      <w:bookmarkStart w:id="98" w:name="_Toc480804388"/>
      <w:bookmarkStart w:id="99" w:name="_Toc350781092"/>
      <w:r>
        <w:rPr>
          <w:rFonts w:hint="eastAsia" w:ascii="宋体" w:hAnsi="宋体"/>
          <w:sz w:val="28"/>
          <w:szCs w:val="28"/>
        </w:rPr>
        <w:t>（5）参照</w:t>
      </w:r>
      <w:r>
        <w:rPr>
          <w:rFonts w:hint="eastAsia" w:ascii="宋体" w:hAnsi="宋体"/>
          <w:bCs/>
          <w:sz w:val="28"/>
          <w:szCs w:val="28"/>
        </w:rPr>
        <w:t>《职业病危害因素分类》（</w:t>
      </w:r>
      <w:r>
        <w:rPr>
          <w:rFonts w:ascii="宋体" w:hAnsi="宋体"/>
          <w:bCs/>
          <w:sz w:val="28"/>
          <w:szCs w:val="28"/>
        </w:rPr>
        <w:t>国卫疾控发〔201</w:t>
      </w:r>
      <w:r>
        <w:rPr>
          <w:rFonts w:hint="eastAsia" w:ascii="宋体" w:hAnsi="宋体"/>
          <w:bCs/>
          <w:sz w:val="28"/>
          <w:szCs w:val="28"/>
        </w:rPr>
        <w:t>5</w:t>
      </w:r>
      <w:r>
        <w:rPr>
          <w:rFonts w:ascii="宋体" w:hAnsi="宋体"/>
          <w:bCs/>
          <w:sz w:val="28"/>
          <w:szCs w:val="28"/>
        </w:rPr>
        <w:t>〕</w:t>
      </w:r>
      <w:r>
        <w:rPr>
          <w:rFonts w:hint="eastAsia" w:ascii="宋体" w:hAnsi="宋体"/>
          <w:bCs/>
          <w:sz w:val="28"/>
          <w:szCs w:val="28"/>
        </w:rPr>
        <w:t>92</w:t>
      </w:r>
      <w:r>
        <w:rPr>
          <w:rFonts w:ascii="宋体" w:hAnsi="宋体"/>
          <w:bCs/>
          <w:sz w:val="28"/>
          <w:szCs w:val="28"/>
        </w:rPr>
        <w:t>号</w:t>
      </w:r>
      <w:r>
        <w:rPr>
          <w:rFonts w:hint="eastAsia" w:ascii="宋体" w:hAnsi="宋体"/>
          <w:bCs/>
          <w:sz w:val="28"/>
          <w:szCs w:val="28"/>
        </w:rPr>
        <w:t>）</w:t>
      </w:r>
      <w:r>
        <w:rPr>
          <w:rFonts w:hint="eastAsia" w:ascii="宋体" w:hAnsi="宋体"/>
          <w:sz w:val="28"/>
          <w:szCs w:val="28"/>
        </w:rPr>
        <w:t>对作业环境进行职业危害辨识与分析。</w:t>
      </w:r>
    </w:p>
    <w:p>
      <w:pPr>
        <w:pStyle w:val="8"/>
        <w:spacing w:line="360" w:lineRule="auto"/>
        <w:ind w:firstLine="0" w:firstLineChars="0"/>
        <w:outlineLvl w:val="1"/>
        <w:rPr>
          <w:rFonts w:hint="eastAsia" w:ascii="黑体" w:eastAsia="黑体"/>
          <w:b/>
          <w:snapToGrid w:val="0"/>
          <w:kern w:val="0"/>
          <w:sz w:val="32"/>
          <w:szCs w:val="32"/>
        </w:rPr>
      </w:pPr>
      <w:bookmarkStart w:id="100" w:name="_Toc514342840"/>
      <w:bookmarkStart w:id="101" w:name="_Toc30466"/>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3 危险、有害因素辨识的方法</w:t>
      </w:r>
      <w:bookmarkEnd w:id="97"/>
      <w:bookmarkEnd w:id="98"/>
      <w:bookmarkEnd w:id="99"/>
      <w:bookmarkEnd w:id="100"/>
      <w:bookmarkEnd w:id="101"/>
    </w:p>
    <w:p>
      <w:pPr>
        <w:spacing w:line="360" w:lineRule="auto"/>
        <w:ind w:firstLine="560" w:firstLineChars="200"/>
        <w:textAlignment w:val="baseline"/>
        <w:rPr>
          <w:rFonts w:ascii="宋体" w:hAnsi="宋体"/>
          <w:sz w:val="28"/>
          <w:szCs w:val="28"/>
        </w:rPr>
      </w:pPr>
      <w:r>
        <w:rPr>
          <w:rFonts w:hint="eastAsia" w:ascii="宋体" w:hAnsi="宋体"/>
          <w:sz w:val="28"/>
          <w:szCs w:val="28"/>
          <w:lang w:eastAsia="zh-CN"/>
        </w:rPr>
        <w:t>公司</w:t>
      </w:r>
      <w:r>
        <w:rPr>
          <w:rFonts w:ascii="宋体" w:hAnsi="宋体"/>
          <w:sz w:val="28"/>
          <w:szCs w:val="28"/>
        </w:rPr>
        <w:t>生产过程复杂，生产条件多变，涉及的危险、有害因素较多。必须选择适当的方法识别分析危险和有害因素，为制定相关的防范措施奠定基础。本次安全评价选用对照分析法和专家评议法对生产过程中主要危险、有害因素进行辨识。</w:t>
      </w:r>
    </w:p>
    <w:p>
      <w:pPr>
        <w:spacing w:line="360" w:lineRule="auto"/>
        <w:ind w:firstLine="560" w:firstLineChars="200"/>
        <w:rPr>
          <w:rFonts w:ascii="宋体" w:hAnsi="宋体"/>
          <w:snapToGrid w:val="0"/>
          <w:kern w:val="0"/>
          <w:sz w:val="28"/>
          <w:szCs w:val="28"/>
        </w:rPr>
      </w:pPr>
      <w:r>
        <w:rPr>
          <w:rFonts w:ascii="宋体" w:hAnsi="宋体"/>
          <w:snapToGrid w:val="0"/>
          <w:kern w:val="0"/>
          <w:sz w:val="28"/>
          <w:szCs w:val="28"/>
        </w:rPr>
        <w:t>⑴ 对照分析法</w:t>
      </w:r>
    </w:p>
    <w:p>
      <w:pPr>
        <w:spacing w:line="360" w:lineRule="auto"/>
        <w:ind w:firstLine="560" w:firstLineChars="200"/>
        <w:rPr>
          <w:rFonts w:ascii="宋体" w:hAnsi="宋体"/>
          <w:snapToGrid w:val="0"/>
          <w:kern w:val="0"/>
          <w:sz w:val="28"/>
          <w:szCs w:val="28"/>
        </w:rPr>
      </w:pPr>
      <w:r>
        <w:rPr>
          <w:rFonts w:ascii="宋体" w:hAnsi="宋体"/>
          <w:snapToGrid w:val="0"/>
          <w:kern w:val="0"/>
          <w:sz w:val="28"/>
          <w:szCs w:val="28"/>
        </w:rPr>
        <w:t>对照分析法是对照有关标准、规范、规程、法规或依靠分析人员的观察能力，借助其经验和判断能力，直观地对评价对象的危险因素进行分析的方法。</w:t>
      </w:r>
    </w:p>
    <w:p>
      <w:pPr>
        <w:spacing w:line="360" w:lineRule="auto"/>
        <w:ind w:firstLine="560" w:firstLineChars="200"/>
        <w:rPr>
          <w:rFonts w:ascii="宋体" w:hAnsi="宋体"/>
          <w:snapToGrid w:val="0"/>
          <w:kern w:val="0"/>
          <w:sz w:val="28"/>
          <w:szCs w:val="28"/>
        </w:rPr>
      </w:pPr>
      <w:r>
        <w:rPr>
          <w:rFonts w:ascii="宋体" w:hAnsi="宋体"/>
          <w:snapToGrid w:val="0"/>
          <w:kern w:val="0"/>
          <w:sz w:val="28"/>
          <w:szCs w:val="28"/>
        </w:rPr>
        <w:t>⑵ 专家评议法</w:t>
      </w:r>
    </w:p>
    <w:p>
      <w:pPr>
        <w:pStyle w:val="8"/>
        <w:spacing w:line="360" w:lineRule="auto"/>
        <w:ind w:firstLine="560"/>
        <w:rPr>
          <w:rFonts w:hint="eastAsia" w:ascii="宋体" w:hAnsi="宋体"/>
          <w:snapToGrid w:val="0"/>
          <w:kern w:val="0"/>
          <w:sz w:val="28"/>
          <w:szCs w:val="28"/>
        </w:rPr>
      </w:pPr>
      <w:r>
        <w:rPr>
          <w:rFonts w:ascii="宋体" w:hAnsi="宋体"/>
          <w:snapToGrid w:val="0"/>
          <w:kern w:val="0"/>
          <w:sz w:val="28"/>
          <w:szCs w:val="28"/>
        </w:rPr>
        <w:t>专家评议法是一种吸收专家参加，根据事物过去、现在及发展趋势，进行积极思维活动，对事物的未来进行分析、预测的方法。其实质是集</w:t>
      </w:r>
      <w:r>
        <w:rPr>
          <w:rFonts w:hint="eastAsia" w:ascii="宋体" w:hAnsi="宋体"/>
          <w:snapToGrid w:val="0"/>
          <w:kern w:val="0"/>
          <w:sz w:val="28"/>
          <w:szCs w:val="28"/>
        </w:rPr>
        <w:t>中技术</w:t>
      </w:r>
      <w:r>
        <w:rPr>
          <w:rFonts w:ascii="宋体" w:hAnsi="宋体"/>
          <w:snapToGrid w:val="0"/>
          <w:kern w:val="0"/>
          <w:sz w:val="28"/>
          <w:szCs w:val="28"/>
        </w:rPr>
        <w:t>专家的经验、知识和分析、推断能力来分析、识别危险、有害因素。</w:t>
      </w:r>
    </w:p>
    <w:p>
      <w:pPr>
        <w:pStyle w:val="8"/>
        <w:spacing w:line="360" w:lineRule="auto"/>
        <w:ind w:firstLine="0" w:firstLineChars="0"/>
        <w:outlineLvl w:val="1"/>
        <w:rPr>
          <w:rFonts w:hint="eastAsia" w:ascii="黑体" w:eastAsia="黑体"/>
          <w:b/>
          <w:snapToGrid w:val="0"/>
          <w:kern w:val="0"/>
          <w:sz w:val="32"/>
          <w:szCs w:val="32"/>
        </w:rPr>
      </w:pPr>
      <w:bookmarkStart w:id="102" w:name="_Toc345593159"/>
      <w:bookmarkStart w:id="103" w:name="_Toc356401486"/>
      <w:bookmarkStart w:id="104" w:name="_Toc356380973"/>
      <w:bookmarkStart w:id="105" w:name="_Toc480804389"/>
      <w:bookmarkStart w:id="106" w:name="_Toc514342841"/>
      <w:bookmarkStart w:id="107" w:name="_Toc332350845"/>
      <w:bookmarkStart w:id="108" w:name="_Toc237"/>
      <w:bookmarkStart w:id="109" w:name="_Toc350781094"/>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4 主要危险、有害物质特性分析</w:t>
      </w:r>
      <w:bookmarkEnd w:id="102"/>
      <w:bookmarkEnd w:id="103"/>
      <w:bookmarkEnd w:id="104"/>
      <w:bookmarkEnd w:id="105"/>
      <w:bookmarkEnd w:id="106"/>
      <w:bookmarkEnd w:id="107"/>
      <w:bookmarkEnd w:id="108"/>
    </w:p>
    <w:p>
      <w:pPr>
        <w:pStyle w:val="8"/>
        <w:spacing w:line="360" w:lineRule="auto"/>
        <w:ind w:firstLine="560"/>
        <w:rPr>
          <w:rFonts w:hint="eastAsia" w:ascii="宋体" w:hAnsi="宋体"/>
          <w:snapToGrid w:val="0"/>
          <w:kern w:val="0"/>
          <w:sz w:val="28"/>
          <w:szCs w:val="28"/>
        </w:rPr>
      </w:pPr>
      <w:r>
        <w:rPr>
          <w:rFonts w:hint="eastAsia" w:ascii="宋体" w:hAnsi="宋体"/>
          <w:snapToGrid w:val="0"/>
          <w:kern w:val="0"/>
          <w:sz w:val="28"/>
          <w:szCs w:val="28"/>
        </w:rPr>
        <w:t>本系统主要使用煤炭作为燃料，点火时使用柴油。煤炭、柴油等物质在燃烧过程中，产生一氧化碳、二氧化碳及硫（磷）氧化物等危险、有害物质，对人体及周边环境造成影响。</w:t>
      </w:r>
    </w:p>
    <w:p>
      <w:pPr>
        <w:pStyle w:val="8"/>
        <w:spacing w:line="360" w:lineRule="auto"/>
        <w:ind w:firstLine="0" w:firstLineChars="0"/>
        <w:outlineLvl w:val="2"/>
        <w:rPr>
          <w:rFonts w:ascii="宋体" w:hAnsi="宋体"/>
          <w:b/>
          <w:snapToGrid w:val="0"/>
          <w:kern w:val="0"/>
          <w:sz w:val="28"/>
          <w:szCs w:val="28"/>
        </w:rPr>
      </w:pPr>
      <w:bookmarkStart w:id="110" w:name="_Toc356380974"/>
      <w:bookmarkStart w:id="111" w:name="_Toc480804390"/>
      <w:bookmarkStart w:id="112" w:name="_Toc332350846"/>
      <w:bookmarkStart w:id="113" w:name="_Toc514342842"/>
      <w:bookmarkStart w:id="114" w:name="_Toc356401487"/>
      <w:bookmarkStart w:id="115" w:name="_Toc10166"/>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4.1 煤</w:t>
      </w:r>
      <w:bookmarkEnd w:id="110"/>
      <w:bookmarkEnd w:id="111"/>
      <w:bookmarkEnd w:id="112"/>
      <w:bookmarkEnd w:id="113"/>
      <w:bookmarkEnd w:id="114"/>
      <w:bookmarkEnd w:id="115"/>
    </w:p>
    <w:p>
      <w:pPr>
        <w:spacing w:line="360" w:lineRule="auto"/>
        <w:ind w:firstLine="560" w:firstLineChars="200"/>
        <w:rPr>
          <w:rFonts w:hint="eastAsia" w:ascii="宋体" w:hAnsi="宋体"/>
          <w:sz w:val="28"/>
          <w:szCs w:val="28"/>
        </w:rPr>
      </w:pPr>
      <w:r>
        <w:rPr>
          <w:rFonts w:hint="eastAsia" w:ascii="宋体" w:hAnsi="宋体"/>
          <w:sz w:val="28"/>
          <w:szCs w:val="28"/>
        </w:rPr>
        <w:t>煤的主要元素是碳，其次是氢，并含有少量的氧、氮、硫。碳和氢是煤的主要可燃元素；氧是煤中的一种有害物质，因为它和碳、氢等可燃元素构成氧化物而使它们推动了进行燃烧的可能性；氮在一般情况下不参加燃烧反应，是燃料中的惰性元素，但在高温条件下，氮和氧形成NOX，这是一种对大气有严重污染作用的有害气体；硫是一种极有害的物质，因为燃烧后生产二氧化硫和三氧化硫，能危害人体健康和造成大气污染。煤炭的储存也很重要，主要是防火灾危险，因为各种煤有不同程度的自燃能力，再加上煤内水分的影响、空气湿度的影响、氧化影响、粒度大小的影响等等，也影响了自燃能力的大小。</w:t>
      </w:r>
    </w:p>
    <w:p>
      <w:pPr>
        <w:pStyle w:val="8"/>
        <w:spacing w:line="360" w:lineRule="auto"/>
        <w:ind w:firstLine="0" w:firstLineChars="0"/>
        <w:outlineLvl w:val="2"/>
        <w:rPr>
          <w:rFonts w:ascii="宋体" w:hAnsi="宋体"/>
          <w:b/>
          <w:snapToGrid w:val="0"/>
          <w:kern w:val="0"/>
          <w:sz w:val="28"/>
          <w:szCs w:val="28"/>
        </w:rPr>
      </w:pPr>
      <w:bookmarkStart w:id="116" w:name="_Toc514342843"/>
      <w:bookmarkStart w:id="117" w:name="_Toc356380975"/>
      <w:bookmarkStart w:id="118" w:name="_Toc480804391"/>
      <w:bookmarkStart w:id="119" w:name="_Toc332350847"/>
      <w:bookmarkStart w:id="120" w:name="_Toc356401488"/>
      <w:bookmarkStart w:id="121" w:name="_Toc6831"/>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4.2 柴油</w:t>
      </w:r>
      <w:bookmarkEnd w:id="116"/>
      <w:bookmarkEnd w:id="117"/>
      <w:bookmarkEnd w:id="118"/>
      <w:bookmarkEnd w:id="119"/>
      <w:bookmarkEnd w:id="120"/>
      <w:bookmarkEnd w:id="121"/>
    </w:p>
    <w:p>
      <w:pPr>
        <w:adjustRightInd w:val="0"/>
        <w:snapToGrid w:val="0"/>
        <w:spacing w:line="360" w:lineRule="auto"/>
        <w:ind w:firstLine="560" w:firstLineChars="200"/>
        <w:rPr>
          <w:rFonts w:hint="eastAsia"/>
          <w:sz w:val="28"/>
          <w:szCs w:val="28"/>
        </w:rPr>
      </w:pPr>
      <w:r>
        <w:rPr>
          <w:rFonts w:hint="eastAsia"/>
          <w:sz w:val="28"/>
          <w:szCs w:val="28"/>
        </w:rPr>
        <w:t>柴油主要是由烷烃、烯烃、芳香烃、多环芳烃与少量硫（2~60</w:t>
      </w:r>
      <w:r>
        <w:rPr>
          <w:sz w:val="28"/>
          <w:szCs w:val="28"/>
        </w:rPr>
        <w:t>g/Kg</w:t>
      </w:r>
      <w:r>
        <w:rPr>
          <w:rFonts w:hint="eastAsia"/>
          <w:sz w:val="28"/>
          <w:szCs w:val="28"/>
        </w:rPr>
        <w:t>）、氮（＜1</w:t>
      </w:r>
      <w:r>
        <w:rPr>
          <w:sz w:val="28"/>
          <w:szCs w:val="28"/>
        </w:rPr>
        <w:t xml:space="preserve"> g/Kg</w:t>
      </w:r>
      <w:r>
        <w:rPr>
          <w:rFonts w:hint="eastAsia"/>
          <w:sz w:val="28"/>
          <w:szCs w:val="28"/>
        </w:rPr>
        <w:t>）及添加剂组成的混合物。以燃料油为例：白色或淡黄色液体，相对密度0.85；熔点</w:t>
      </w:r>
      <w:r>
        <w:rPr>
          <w:sz w:val="28"/>
          <w:szCs w:val="28"/>
        </w:rPr>
        <w:t>--</w:t>
      </w:r>
      <w:r>
        <w:rPr>
          <w:rFonts w:hint="eastAsia"/>
          <w:sz w:val="28"/>
          <w:szCs w:val="28"/>
        </w:rPr>
        <w:t>29.56℃，沸点180~370℃，闪点40℃，蒸气密度4，蒸气压4.0</w:t>
      </w:r>
      <w:r>
        <w:rPr>
          <w:sz w:val="28"/>
          <w:szCs w:val="28"/>
        </w:rPr>
        <w:t>Kpa</w:t>
      </w:r>
      <w:r>
        <w:rPr>
          <w:rFonts w:hint="eastAsia"/>
          <w:sz w:val="28"/>
          <w:szCs w:val="28"/>
        </w:rPr>
        <w:t>。</w:t>
      </w:r>
    </w:p>
    <w:p>
      <w:pPr>
        <w:adjustRightInd w:val="0"/>
        <w:snapToGrid w:val="0"/>
        <w:spacing w:line="360" w:lineRule="auto"/>
        <w:ind w:firstLine="560" w:firstLineChars="200"/>
        <w:rPr>
          <w:rFonts w:hint="eastAsia"/>
          <w:sz w:val="28"/>
          <w:szCs w:val="28"/>
        </w:rPr>
      </w:pPr>
      <w:r>
        <w:rPr>
          <w:rFonts w:hint="eastAsia"/>
          <w:sz w:val="28"/>
          <w:szCs w:val="28"/>
        </w:rPr>
        <w:t>危险性：蒸气与空气混合物可燃限0.7~5.0%；不溶于水；遇热、火花、明火易燃，可蓄积静电，引起电火花；分解和燃烧产物为一氧化化碳、二氧化碳和硫氧化物；避免接触氧化剂。</w:t>
      </w:r>
    </w:p>
    <w:p>
      <w:pPr>
        <w:adjustRightInd w:val="0"/>
        <w:snapToGrid w:val="0"/>
        <w:spacing w:line="360" w:lineRule="auto"/>
        <w:ind w:firstLine="560" w:firstLineChars="200"/>
        <w:rPr>
          <w:rFonts w:hint="eastAsia"/>
          <w:sz w:val="28"/>
          <w:szCs w:val="28"/>
        </w:rPr>
      </w:pPr>
      <w:r>
        <w:rPr>
          <w:rFonts w:hint="eastAsia"/>
          <w:sz w:val="28"/>
          <w:szCs w:val="28"/>
        </w:rPr>
        <w:t>危害性：皮肤大量接触后，个别人可能发生肾脏损害；皮肤接触后，可发生接触性皮炎，表现为红斑、水疱、丘疹。</w:t>
      </w:r>
    </w:p>
    <w:p>
      <w:pPr>
        <w:adjustRightInd w:val="0"/>
        <w:snapToGrid w:val="0"/>
        <w:spacing w:line="360" w:lineRule="auto"/>
        <w:ind w:firstLine="560" w:firstLineChars="200"/>
        <w:rPr>
          <w:rFonts w:hint="eastAsia"/>
          <w:sz w:val="28"/>
          <w:szCs w:val="28"/>
        </w:rPr>
      </w:pPr>
      <w:r>
        <w:rPr>
          <w:rFonts w:hint="eastAsia"/>
          <w:sz w:val="28"/>
          <w:szCs w:val="28"/>
        </w:rPr>
        <w:t>灭火剂：泡沫、干粉、二氧化碳、砂土。</w:t>
      </w:r>
    </w:p>
    <w:p>
      <w:pPr>
        <w:adjustRightInd w:val="0"/>
        <w:snapToGrid w:val="0"/>
        <w:spacing w:line="360" w:lineRule="auto"/>
        <w:ind w:firstLine="560" w:firstLineChars="200"/>
        <w:rPr>
          <w:rFonts w:hint="eastAsia"/>
          <w:sz w:val="28"/>
          <w:szCs w:val="28"/>
        </w:rPr>
      </w:pPr>
      <w:r>
        <w:rPr>
          <w:rFonts w:hint="eastAsia"/>
          <w:sz w:val="28"/>
          <w:szCs w:val="28"/>
        </w:rPr>
        <w:t>着火性、流动性和凝点是柴油性能的重要指标。</w:t>
      </w:r>
    </w:p>
    <w:p>
      <w:pPr>
        <w:pStyle w:val="8"/>
        <w:spacing w:line="360" w:lineRule="auto"/>
        <w:ind w:firstLine="0" w:firstLineChars="0"/>
        <w:outlineLvl w:val="2"/>
        <w:rPr>
          <w:rFonts w:hint="eastAsia" w:ascii="宋体" w:hAnsi="宋体"/>
          <w:b/>
          <w:snapToGrid w:val="0"/>
          <w:kern w:val="0"/>
          <w:sz w:val="28"/>
          <w:szCs w:val="28"/>
        </w:rPr>
      </w:pPr>
      <w:bookmarkStart w:id="122" w:name="_Toc332350848"/>
      <w:bookmarkStart w:id="123" w:name="_Toc514342844"/>
      <w:bookmarkStart w:id="124" w:name="_Toc356380976"/>
      <w:bookmarkStart w:id="125" w:name="_Toc356401489"/>
      <w:bookmarkStart w:id="126" w:name="_Toc480804392"/>
      <w:bookmarkStart w:id="127" w:name="_Toc11505"/>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4.3 一氧化碳</w:t>
      </w:r>
      <w:bookmarkEnd w:id="122"/>
      <w:bookmarkEnd w:id="123"/>
      <w:bookmarkEnd w:id="124"/>
      <w:bookmarkEnd w:id="125"/>
      <w:bookmarkEnd w:id="126"/>
      <w:bookmarkEnd w:id="127"/>
    </w:p>
    <w:p>
      <w:pPr>
        <w:adjustRightInd w:val="0"/>
        <w:snapToGrid w:val="0"/>
        <w:spacing w:line="360" w:lineRule="auto"/>
        <w:ind w:firstLine="560" w:firstLineChars="200"/>
        <w:rPr>
          <w:rFonts w:hint="eastAsia"/>
          <w:sz w:val="28"/>
          <w:szCs w:val="28"/>
        </w:rPr>
      </w:pPr>
      <w:r>
        <w:rPr>
          <w:rFonts w:hint="eastAsia"/>
          <w:sz w:val="28"/>
          <w:szCs w:val="28"/>
        </w:rPr>
        <w:t xml:space="preserve">英文名：Carbon  Monoxide               分子式：CO   </w:t>
      </w:r>
    </w:p>
    <w:p>
      <w:pPr>
        <w:adjustRightInd w:val="0"/>
        <w:snapToGrid w:val="0"/>
        <w:spacing w:line="360" w:lineRule="auto"/>
        <w:ind w:firstLine="560" w:firstLineChars="200"/>
        <w:rPr>
          <w:rFonts w:hint="eastAsia"/>
          <w:sz w:val="28"/>
          <w:szCs w:val="28"/>
        </w:rPr>
      </w:pPr>
      <w:r>
        <w:rPr>
          <w:rFonts w:hint="eastAsia"/>
          <w:sz w:val="28"/>
          <w:szCs w:val="28"/>
        </w:rPr>
        <w:t xml:space="preserve">性状：无色、无味气体；                 熔点：-199．1℃   </w:t>
      </w:r>
    </w:p>
    <w:p>
      <w:pPr>
        <w:adjustRightInd w:val="0"/>
        <w:snapToGrid w:val="0"/>
        <w:spacing w:line="360" w:lineRule="auto"/>
        <w:ind w:firstLine="560" w:firstLineChars="200"/>
        <w:rPr>
          <w:rFonts w:hint="eastAsia"/>
          <w:sz w:val="28"/>
          <w:szCs w:val="28"/>
        </w:rPr>
      </w:pPr>
      <w:r>
        <w:rPr>
          <w:rFonts w:hint="eastAsia"/>
          <w:sz w:val="28"/>
          <w:szCs w:val="28"/>
        </w:rPr>
        <w:t xml:space="preserve">沸点：-192℃                           相对密度：0．97   </w:t>
      </w:r>
    </w:p>
    <w:p>
      <w:pPr>
        <w:adjustRightInd w:val="0"/>
        <w:snapToGrid w:val="0"/>
        <w:spacing w:line="360" w:lineRule="auto"/>
        <w:ind w:firstLine="560" w:firstLineChars="200"/>
        <w:rPr>
          <w:rFonts w:hint="eastAsia"/>
          <w:sz w:val="28"/>
          <w:szCs w:val="28"/>
        </w:rPr>
      </w:pPr>
      <w:r>
        <w:rPr>
          <w:rFonts w:hint="eastAsia"/>
          <w:sz w:val="28"/>
          <w:szCs w:val="28"/>
        </w:rPr>
        <w:t>危险性类别：第2.易燃气体               危编号：21005</w:t>
      </w:r>
    </w:p>
    <w:p>
      <w:pPr>
        <w:adjustRightInd w:val="0"/>
        <w:snapToGrid w:val="0"/>
        <w:spacing w:line="360" w:lineRule="auto"/>
        <w:ind w:firstLine="560" w:firstLineChars="200"/>
        <w:rPr>
          <w:rFonts w:hint="eastAsia"/>
          <w:sz w:val="28"/>
          <w:szCs w:val="28"/>
        </w:rPr>
      </w:pPr>
      <w:r>
        <w:rPr>
          <w:rFonts w:hint="eastAsia"/>
          <w:sz w:val="28"/>
          <w:szCs w:val="28"/>
        </w:rPr>
        <w:t>un：1016(气体)                     爆炸极限：12</w:t>
      </w:r>
      <w:r>
        <w:rPr>
          <w:sz w:val="28"/>
          <w:szCs w:val="28"/>
        </w:rPr>
        <w:t>.</w:t>
      </w:r>
      <w:r>
        <w:rPr>
          <w:rFonts w:hint="eastAsia"/>
          <w:sz w:val="28"/>
          <w:szCs w:val="28"/>
        </w:rPr>
        <w:t>5~74％（V）</w:t>
      </w:r>
    </w:p>
    <w:p>
      <w:pPr>
        <w:adjustRightInd w:val="0"/>
        <w:snapToGrid w:val="0"/>
        <w:spacing w:line="360" w:lineRule="auto"/>
        <w:ind w:firstLine="560" w:firstLineChars="200"/>
        <w:rPr>
          <w:rFonts w:hint="eastAsia"/>
          <w:sz w:val="28"/>
          <w:szCs w:val="28"/>
        </w:rPr>
      </w:pPr>
      <w:r>
        <w:rPr>
          <w:rFonts w:hint="eastAsia"/>
          <w:sz w:val="28"/>
          <w:szCs w:val="28"/>
        </w:rPr>
        <w:t>最高容许浓度：30mg／m³(按职业性接触毒物危害程度分级为Ⅱ级，高度危害物质)。</w:t>
      </w:r>
    </w:p>
    <w:p>
      <w:pPr>
        <w:adjustRightInd w:val="0"/>
        <w:snapToGrid w:val="0"/>
        <w:spacing w:line="360" w:lineRule="auto"/>
        <w:ind w:firstLine="560" w:firstLineChars="200"/>
        <w:rPr>
          <w:rFonts w:hint="eastAsia"/>
          <w:sz w:val="28"/>
          <w:szCs w:val="28"/>
        </w:rPr>
      </w:pPr>
      <w:r>
        <w:rPr>
          <w:rFonts w:hint="eastAsia"/>
          <w:sz w:val="28"/>
          <w:szCs w:val="28"/>
        </w:rPr>
        <w:t>健康危害：一氧化碳在血液中与血红蛋白结合而造成组织缺氧。</w:t>
      </w:r>
    </w:p>
    <w:p>
      <w:pPr>
        <w:adjustRightInd w:val="0"/>
        <w:snapToGrid w:val="0"/>
        <w:spacing w:line="360" w:lineRule="auto"/>
        <w:ind w:firstLine="560" w:firstLineChars="200"/>
        <w:rPr>
          <w:rFonts w:hint="eastAsia"/>
          <w:sz w:val="28"/>
          <w:szCs w:val="28"/>
        </w:rPr>
      </w:pPr>
      <w:r>
        <w:rPr>
          <w:rFonts w:hint="eastAsia"/>
          <w:sz w:val="28"/>
          <w:szCs w:val="28"/>
        </w:rPr>
        <w:t>急性中毒：轻度中毒出现头痛、头晕、耳鸣、心悸、恶心、呕吐、无力；中度中毒除出现上述症状外还有皮肤粘膜呈樱红色、脉快、烦躁、步态不稳；重度患者深度昏迷、瞳孔扩大、肌张力增强，频繁抽搐、大小便失禁、休克、肺水肿、严重心肌损害等。</w:t>
      </w:r>
    </w:p>
    <w:p>
      <w:pPr>
        <w:pStyle w:val="8"/>
        <w:spacing w:line="360" w:lineRule="auto"/>
        <w:ind w:firstLine="0" w:firstLineChars="0"/>
        <w:outlineLvl w:val="2"/>
        <w:rPr>
          <w:rFonts w:hint="eastAsia" w:ascii="宋体" w:hAnsi="宋体"/>
          <w:b/>
          <w:snapToGrid w:val="0"/>
          <w:kern w:val="0"/>
          <w:sz w:val="28"/>
          <w:szCs w:val="28"/>
        </w:rPr>
      </w:pPr>
      <w:bookmarkStart w:id="128" w:name="_Toc332350849"/>
      <w:bookmarkStart w:id="129" w:name="_Toc480804393"/>
      <w:bookmarkStart w:id="130" w:name="_Toc356401490"/>
      <w:bookmarkStart w:id="131" w:name="_Toc514342845"/>
      <w:bookmarkStart w:id="132" w:name="_Toc356380977"/>
      <w:bookmarkStart w:id="133" w:name="_Toc4374"/>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4.4 二氧化碳</w:t>
      </w:r>
      <w:bookmarkEnd w:id="128"/>
      <w:bookmarkEnd w:id="129"/>
      <w:bookmarkEnd w:id="130"/>
      <w:bookmarkEnd w:id="131"/>
      <w:bookmarkEnd w:id="132"/>
      <w:bookmarkEnd w:id="133"/>
      <w:r>
        <w:rPr>
          <w:rFonts w:hint="eastAsia" w:ascii="宋体" w:hAnsi="宋体"/>
          <w:b/>
          <w:snapToGrid w:val="0"/>
          <w:kern w:val="0"/>
          <w:sz w:val="28"/>
          <w:szCs w:val="28"/>
        </w:rPr>
        <w:t xml:space="preserve"> </w:t>
      </w:r>
    </w:p>
    <w:p>
      <w:pPr>
        <w:adjustRightInd w:val="0"/>
        <w:snapToGrid w:val="0"/>
        <w:spacing w:line="360" w:lineRule="auto"/>
        <w:ind w:firstLine="560" w:firstLineChars="200"/>
        <w:rPr>
          <w:rFonts w:hint="eastAsia"/>
          <w:sz w:val="28"/>
          <w:szCs w:val="28"/>
        </w:rPr>
      </w:pPr>
      <w:r>
        <w:rPr>
          <w:rFonts w:hint="eastAsia"/>
          <w:sz w:val="28"/>
          <w:szCs w:val="28"/>
        </w:rPr>
        <w:t xml:space="preserve">英文名：Carbon  Dioxide             分子式：C02   </w:t>
      </w:r>
    </w:p>
    <w:p>
      <w:pPr>
        <w:adjustRightInd w:val="0"/>
        <w:snapToGrid w:val="0"/>
        <w:spacing w:line="360" w:lineRule="auto"/>
        <w:ind w:firstLine="560" w:firstLineChars="200"/>
        <w:rPr>
          <w:rFonts w:hint="eastAsia"/>
          <w:sz w:val="28"/>
          <w:szCs w:val="28"/>
        </w:rPr>
      </w:pPr>
      <w:r>
        <w:rPr>
          <w:rFonts w:hint="eastAsia"/>
          <w:sz w:val="28"/>
          <w:szCs w:val="28"/>
        </w:rPr>
        <w:t xml:space="preserve">性状：无色、无味、不燃的气体        熔点：-56．6℃   </w:t>
      </w:r>
    </w:p>
    <w:p>
      <w:pPr>
        <w:adjustRightInd w:val="0"/>
        <w:snapToGrid w:val="0"/>
        <w:spacing w:line="360" w:lineRule="auto"/>
        <w:ind w:firstLine="560" w:firstLineChars="200"/>
        <w:rPr>
          <w:rFonts w:hint="eastAsia"/>
          <w:sz w:val="28"/>
          <w:szCs w:val="28"/>
        </w:rPr>
      </w:pPr>
      <w:r>
        <w:rPr>
          <w:rFonts w:hint="eastAsia"/>
          <w:sz w:val="28"/>
          <w:szCs w:val="28"/>
        </w:rPr>
        <w:t>沸点：-78．5℃(升华)           危险性类别：第2.2不燃气体</w:t>
      </w:r>
    </w:p>
    <w:p>
      <w:pPr>
        <w:adjustRightInd w:val="0"/>
        <w:snapToGrid w:val="0"/>
        <w:spacing w:line="360" w:lineRule="auto"/>
        <w:ind w:firstLine="560" w:firstLineChars="200"/>
        <w:rPr>
          <w:rFonts w:hint="eastAsia"/>
          <w:sz w:val="28"/>
          <w:szCs w:val="28"/>
        </w:rPr>
      </w:pPr>
      <w:r>
        <w:rPr>
          <w:rFonts w:hint="eastAsia"/>
          <w:sz w:val="28"/>
          <w:szCs w:val="28"/>
        </w:rPr>
        <w:t>危编号：22019                        un：1013（气体）</w:t>
      </w:r>
    </w:p>
    <w:p>
      <w:pPr>
        <w:adjustRightInd w:val="0"/>
        <w:snapToGrid w:val="0"/>
        <w:spacing w:line="360" w:lineRule="auto"/>
        <w:ind w:firstLine="560" w:firstLineChars="200"/>
        <w:rPr>
          <w:rFonts w:hint="eastAsia"/>
          <w:sz w:val="28"/>
          <w:szCs w:val="28"/>
        </w:rPr>
      </w:pPr>
      <w:r>
        <w:rPr>
          <w:rFonts w:hint="eastAsia"/>
          <w:sz w:val="28"/>
          <w:szCs w:val="28"/>
        </w:rPr>
        <w:t>健康危害：在低浓度时，对呼吸中枢呈兴奋作用，高浓度时则产生抑制甚至麻痹作用。中毒机制中还兼有缺氧的因素。</w:t>
      </w:r>
    </w:p>
    <w:p>
      <w:pPr>
        <w:adjustRightInd w:val="0"/>
        <w:snapToGrid w:val="0"/>
        <w:spacing w:line="360" w:lineRule="auto"/>
        <w:ind w:firstLine="560" w:firstLineChars="200"/>
        <w:rPr>
          <w:rFonts w:hint="eastAsia"/>
          <w:sz w:val="28"/>
          <w:szCs w:val="28"/>
        </w:rPr>
      </w:pPr>
      <w:r>
        <w:rPr>
          <w:rFonts w:hint="eastAsia"/>
          <w:sz w:val="28"/>
          <w:szCs w:val="28"/>
        </w:rPr>
        <w:t>急性中毒：人进入高浓度二氧化碳环境，在几秒钟迅速昏迷倒下，反射消失、瞳孔扩大或缩小、大小便失禁、呕吐等，更严重者出现呼吸停止及休克，甚至死亡。</w:t>
      </w:r>
    </w:p>
    <w:p>
      <w:pPr>
        <w:adjustRightInd w:val="0"/>
        <w:snapToGrid w:val="0"/>
        <w:spacing w:line="360" w:lineRule="auto"/>
        <w:ind w:firstLine="560" w:firstLineChars="200"/>
        <w:rPr>
          <w:rFonts w:hint="eastAsia"/>
          <w:sz w:val="28"/>
          <w:szCs w:val="28"/>
        </w:rPr>
      </w:pPr>
      <w:r>
        <w:rPr>
          <w:rFonts w:hint="eastAsia"/>
          <w:sz w:val="28"/>
          <w:szCs w:val="28"/>
        </w:rPr>
        <w:t>慢性影响：经常接触较高的二氧化碳者，会有头晕、头痛、失眠、易兴奋、无力等神经功能紊乱等主诉。</w:t>
      </w:r>
    </w:p>
    <w:p>
      <w:pPr>
        <w:adjustRightInd w:val="0"/>
        <w:snapToGrid w:val="0"/>
        <w:spacing w:line="360" w:lineRule="auto"/>
        <w:ind w:firstLine="560" w:firstLineChars="200"/>
        <w:rPr>
          <w:rFonts w:hint="eastAsia"/>
          <w:sz w:val="28"/>
          <w:szCs w:val="28"/>
        </w:rPr>
      </w:pPr>
      <w:r>
        <w:rPr>
          <w:rFonts w:hint="eastAsia"/>
          <w:sz w:val="28"/>
          <w:szCs w:val="28"/>
        </w:rPr>
        <w:t>防护措施：呼吸系统防护：一般不需特殊防护，高浓度接触时可佩戴空气呼吸器；眼睛防护：一般不需特殊防护；身体防护：穿一般作业工作服；手防护：戴一般作业防护手套；其它：避免高浓度吸入。</w:t>
      </w:r>
    </w:p>
    <w:p>
      <w:pPr>
        <w:pStyle w:val="8"/>
        <w:spacing w:line="360" w:lineRule="auto"/>
        <w:ind w:firstLine="0" w:firstLineChars="0"/>
        <w:outlineLvl w:val="2"/>
        <w:rPr>
          <w:rFonts w:hint="eastAsia" w:ascii="宋体" w:hAnsi="宋体"/>
          <w:b/>
          <w:snapToGrid w:val="0"/>
          <w:kern w:val="0"/>
          <w:sz w:val="28"/>
          <w:szCs w:val="28"/>
        </w:rPr>
      </w:pPr>
      <w:bookmarkStart w:id="134" w:name="_Toc332350850"/>
      <w:bookmarkStart w:id="135" w:name="_Toc480804394"/>
      <w:bookmarkStart w:id="136" w:name="_Toc514342846"/>
      <w:bookmarkStart w:id="137" w:name="_Toc356401491"/>
      <w:bookmarkStart w:id="138" w:name="_Toc356380978"/>
      <w:bookmarkStart w:id="139" w:name="_Toc16023"/>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4.5 二氧化硫（三氧化硫参考）</w:t>
      </w:r>
      <w:bookmarkEnd w:id="134"/>
      <w:bookmarkEnd w:id="135"/>
      <w:bookmarkEnd w:id="136"/>
      <w:bookmarkEnd w:id="137"/>
      <w:bookmarkEnd w:id="138"/>
      <w:bookmarkEnd w:id="139"/>
    </w:p>
    <w:p>
      <w:pPr>
        <w:adjustRightInd w:val="0"/>
        <w:snapToGrid w:val="0"/>
        <w:spacing w:line="360" w:lineRule="auto"/>
        <w:ind w:firstLine="560" w:firstLineChars="200"/>
        <w:rPr>
          <w:rFonts w:hint="eastAsia"/>
          <w:sz w:val="28"/>
          <w:szCs w:val="28"/>
        </w:rPr>
      </w:pPr>
      <w:r>
        <w:rPr>
          <w:rFonts w:hint="eastAsia"/>
          <w:sz w:val="28"/>
          <w:szCs w:val="28"/>
        </w:rPr>
        <w:t>英文名：（S</w:t>
      </w:r>
      <w:r>
        <w:rPr>
          <w:sz w:val="28"/>
          <w:szCs w:val="28"/>
        </w:rPr>
        <w:t xml:space="preserve">ulfur  </w:t>
      </w:r>
      <w:r>
        <w:rPr>
          <w:rFonts w:hint="eastAsia"/>
          <w:sz w:val="28"/>
          <w:szCs w:val="28"/>
        </w:rPr>
        <w:t>D</w:t>
      </w:r>
      <w:r>
        <w:rPr>
          <w:sz w:val="28"/>
          <w:szCs w:val="28"/>
        </w:rPr>
        <w:t>ioxide</w:t>
      </w:r>
      <w:r>
        <w:rPr>
          <w:rFonts w:hint="eastAsia"/>
          <w:sz w:val="28"/>
          <w:szCs w:val="28"/>
        </w:rPr>
        <w:t>）           分子式：</w:t>
      </w:r>
      <w:r>
        <w:rPr>
          <w:sz w:val="28"/>
          <w:szCs w:val="28"/>
        </w:rPr>
        <w:t>SO2</w:t>
      </w:r>
      <w:r>
        <w:rPr>
          <w:rFonts w:hint="eastAsia"/>
          <w:sz w:val="28"/>
          <w:szCs w:val="28"/>
        </w:rPr>
        <w:t xml:space="preserve">     </w:t>
      </w:r>
    </w:p>
    <w:p>
      <w:pPr>
        <w:adjustRightInd w:val="0"/>
        <w:snapToGrid w:val="0"/>
        <w:spacing w:line="360" w:lineRule="auto"/>
        <w:ind w:firstLine="560" w:firstLineChars="200"/>
        <w:rPr>
          <w:rFonts w:hint="eastAsia"/>
          <w:sz w:val="28"/>
          <w:szCs w:val="28"/>
        </w:rPr>
      </w:pPr>
      <w:r>
        <w:rPr>
          <w:rFonts w:hint="eastAsia"/>
          <w:sz w:val="28"/>
          <w:szCs w:val="28"/>
        </w:rPr>
        <w:t xml:space="preserve">外观及性状：无色气体，室温下具有强烈刺激气味，可溶于水及有机溶剂 </w:t>
      </w:r>
    </w:p>
    <w:p>
      <w:pPr>
        <w:adjustRightInd w:val="0"/>
        <w:snapToGrid w:val="0"/>
        <w:spacing w:line="360" w:lineRule="auto"/>
        <w:ind w:firstLine="560" w:firstLineChars="200"/>
        <w:rPr>
          <w:rFonts w:hint="eastAsia"/>
          <w:sz w:val="28"/>
          <w:szCs w:val="28"/>
        </w:rPr>
      </w:pPr>
      <w:r>
        <w:rPr>
          <w:rFonts w:hint="eastAsia"/>
          <w:sz w:val="28"/>
          <w:szCs w:val="28"/>
        </w:rPr>
        <w:t>熔点：</w:t>
      </w:r>
      <w:r>
        <w:rPr>
          <w:sz w:val="28"/>
          <w:szCs w:val="28"/>
        </w:rPr>
        <w:t>-75.5</w:t>
      </w:r>
      <w:r>
        <w:rPr>
          <w:rFonts w:hint="eastAsia"/>
          <w:sz w:val="28"/>
          <w:szCs w:val="28"/>
        </w:rPr>
        <w:t xml:space="preserve"> ℃                       沸点：</w:t>
      </w:r>
      <w:r>
        <w:rPr>
          <w:sz w:val="28"/>
          <w:szCs w:val="28"/>
        </w:rPr>
        <w:t>-10</w:t>
      </w:r>
      <w:r>
        <w:rPr>
          <w:rFonts w:hint="eastAsia"/>
          <w:sz w:val="28"/>
          <w:szCs w:val="28"/>
        </w:rPr>
        <w:t xml:space="preserve"> ℃  </w:t>
      </w:r>
    </w:p>
    <w:p>
      <w:pPr>
        <w:adjustRightInd w:val="0"/>
        <w:snapToGrid w:val="0"/>
        <w:spacing w:line="360" w:lineRule="auto"/>
        <w:ind w:firstLine="560" w:firstLineChars="200"/>
        <w:rPr>
          <w:rFonts w:hint="eastAsia"/>
          <w:sz w:val="28"/>
          <w:szCs w:val="28"/>
        </w:rPr>
      </w:pPr>
      <w:r>
        <w:rPr>
          <w:rFonts w:hint="eastAsia"/>
          <w:sz w:val="28"/>
          <w:szCs w:val="28"/>
        </w:rPr>
        <w:t xml:space="preserve">危险性类别：第2.3有毒气体           危编号： </w:t>
      </w:r>
      <w:r>
        <w:rPr>
          <w:sz w:val="28"/>
          <w:szCs w:val="28"/>
        </w:rPr>
        <w:t>23013</w:t>
      </w:r>
    </w:p>
    <w:p>
      <w:pPr>
        <w:adjustRightInd w:val="0"/>
        <w:snapToGrid w:val="0"/>
        <w:spacing w:line="360" w:lineRule="auto"/>
        <w:ind w:firstLine="560" w:firstLineChars="200"/>
        <w:rPr>
          <w:rFonts w:hint="eastAsia"/>
          <w:sz w:val="28"/>
          <w:szCs w:val="28"/>
        </w:rPr>
      </w:pPr>
      <w:r>
        <w:rPr>
          <w:sz w:val="28"/>
          <w:szCs w:val="28"/>
        </w:rPr>
        <w:t>UN</w:t>
      </w:r>
      <w:r>
        <w:rPr>
          <w:rFonts w:hint="eastAsia"/>
          <w:sz w:val="28"/>
          <w:szCs w:val="28"/>
        </w:rPr>
        <w:t>：1079                    相对密度：</w:t>
      </w:r>
      <w:r>
        <w:rPr>
          <w:sz w:val="28"/>
          <w:szCs w:val="28"/>
        </w:rPr>
        <w:t>1.43</w:t>
      </w:r>
      <w:r>
        <w:rPr>
          <w:rFonts w:hint="eastAsia"/>
          <w:sz w:val="28"/>
          <w:szCs w:val="28"/>
        </w:rPr>
        <w:t>（液化）；</w:t>
      </w:r>
      <w:r>
        <w:rPr>
          <w:sz w:val="28"/>
          <w:szCs w:val="28"/>
        </w:rPr>
        <w:t>2.26</w:t>
      </w:r>
      <w:r>
        <w:rPr>
          <w:rFonts w:hint="eastAsia"/>
          <w:sz w:val="28"/>
          <w:szCs w:val="28"/>
        </w:rPr>
        <w:t>（气）</w:t>
      </w:r>
    </w:p>
    <w:p>
      <w:pPr>
        <w:adjustRightInd w:val="0"/>
        <w:snapToGrid w:val="0"/>
        <w:spacing w:line="360" w:lineRule="auto"/>
        <w:ind w:firstLine="560" w:firstLineChars="200"/>
        <w:rPr>
          <w:sz w:val="28"/>
          <w:szCs w:val="28"/>
        </w:rPr>
      </w:pPr>
      <w:r>
        <w:rPr>
          <w:rFonts w:hint="eastAsia"/>
          <w:sz w:val="28"/>
          <w:szCs w:val="28"/>
        </w:rPr>
        <w:t>空气中允许极限：中国</w:t>
      </w:r>
      <w:r>
        <w:rPr>
          <w:sz w:val="28"/>
          <w:szCs w:val="28"/>
        </w:rPr>
        <w:t>MAC</w:t>
      </w:r>
      <w:r>
        <w:rPr>
          <w:rFonts w:hint="eastAsia"/>
          <w:sz w:val="28"/>
          <w:szCs w:val="28"/>
        </w:rPr>
        <w:t>：</w:t>
      </w:r>
      <w:r>
        <w:rPr>
          <w:sz w:val="28"/>
          <w:szCs w:val="28"/>
        </w:rPr>
        <w:t>15mg/m3</w:t>
      </w:r>
    </w:p>
    <w:p>
      <w:pPr>
        <w:adjustRightInd w:val="0"/>
        <w:snapToGrid w:val="0"/>
        <w:spacing w:line="360" w:lineRule="auto"/>
        <w:ind w:firstLine="560" w:firstLineChars="200"/>
        <w:rPr>
          <w:sz w:val="28"/>
          <w:szCs w:val="28"/>
        </w:rPr>
      </w:pPr>
      <w:r>
        <w:rPr>
          <w:rFonts w:hint="eastAsia"/>
          <w:sz w:val="28"/>
          <w:szCs w:val="28"/>
        </w:rPr>
        <w:t>健康危害：短期暴露：吸入刺激鼻、咽喉，出现流涕、呼吸困难、气阻、咳嗽、肺水肿、喘鸣、胸闷、肺炎，直至死亡；刺激皮肤，尤其湿润皮肤；接触液体可致冻伤和化学烧伤、紫绀；还可刺激眼，造成冻伤、失明；食入会引起口腔冻伤、化学烧伤、恶心、呕吐、腹疼；长期暴露，刺激咽喉和肺，出现鼻出血，对哮喘、肺功能不正常、心血管病人更危险。</w:t>
      </w:r>
    </w:p>
    <w:p>
      <w:pPr>
        <w:adjustRightInd w:val="0"/>
        <w:snapToGrid w:val="0"/>
        <w:spacing w:line="360" w:lineRule="auto"/>
        <w:ind w:firstLine="560" w:firstLineChars="200"/>
        <w:rPr>
          <w:sz w:val="28"/>
          <w:szCs w:val="28"/>
        </w:rPr>
      </w:pPr>
      <w:r>
        <w:rPr>
          <w:rFonts w:hint="eastAsia"/>
          <w:sz w:val="28"/>
          <w:szCs w:val="28"/>
        </w:rPr>
        <w:t>急救措施：眼接触：立即清洗。皮肤接触：立即用大量水清洗。吸入：将患者移至新鲜空气处，施行人工呼吸。</w:t>
      </w:r>
    </w:p>
    <w:p>
      <w:pPr>
        <w:adjustRightInd w:val="0"/>
        <w:snapToGrid w:val="0"/>
        <w:spacing w:line="360" w:lineRule="auto"/>
        <w:ind w:firstLine="560" w:firstLineChars="200"/>
        <w:rPr>
          <w:rFonts w:hint="eastAsia"/>
          <w:sz w:val="28"/>
          <w:szCs w:val="28"/>
        </w:rPr>
      </w:pPr>
      <w:r>
        <w:rPr>
          <w:rFonts w:hint="eastAsia"/>
          <w:sz w:val="28"/>
          <w:szCs w:val="28"/>
        </w:rPr>
        <w:t xml:space="preserve">防护措施：戴护目镜，穿防护服；选用适当呼吸器；提供应急眼药水；定期检查皮肤、眼睛及呼吸系统 </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140" w:name="_Toc515659433"/>
      <w:bookmarkStart w:id="141" w:name="_Toc26679"/>
      <w:r>
        <w:rPr>
          <w:rFonts w:hint="eastAsia" w:ascii="宋体" w:hAnsi="宋体"/>
          <w:b/>
          <w:snapToGrid w:val="0"/>
          <w:kern w:val="0"/>
          <w:sz w:val="28"/>
          <w:szCs w:val="28"/>
          <w:lang w:val="en-US" w:eastAsia="zh-CN"/>
        </w:rPr>
        <w:t>3.4.6 柴油安全数据表</w:t>
      </w:r>
      <w:bookmarkEnd w:id="140"/>
      <w:bookmarkEnd w:id="141"/>
    </w:p>
    <w:p>
      <w:pPr>
        <w:jc w:val="center"/>
        <w:rPr>
          <w:rFonts w:ascii="黑体" w:hAnsi="黑体" w:eastAsia="黑体"/>
          <w:b/>
          <w:sz w:val="24"/>
        </w:rPr>
      </w:pPr>
      <w:r>
        <w:rPr>
          <w:rFonts w:ascii="黑体" w:hAnsi="黑体" w:eastAsia="黑体"/>
          <w:b/>
          <w:sz w:val="24"/>
        </w:rPr>
        <w:t>表3-</w:t>
      </w:r>
      <w:r>
        <w:rPr>
          <w:rFonts w:hint="eastAsia" w:ascii="黑体" w:hAnsi="黑体" w:eastAsia="黑体"/>
          <w:b/>
          <w:sz w:val="24"/>
        </w:rPr>
        <w:t>1 柴油物料安全数据表</w:t>
      </w:r>
    </w:p>
    <w:tbl>
      <w:tblPr>
        <w:tblStyle w:val="19"/>
        <w:tblW w:w="8522" w:type="dxa"/>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568"/>
        <w:gridCol w:w="7954"/>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left"/>
              <w:rPr>
                <w:rFonts w:ascii="宋体" w:hAnsi="宋体"/>
                <w:b/>
                <w:bCs/>
                <w:szCs w:val="21"/>
              </w:rPr>
            </w:pPr>
            <w:r>
              <w:rPr>
                <w:rFonts w:ascii="宋体" w:hAnsi="宋体"/>
                <w:b/>
                <w:bCs/>
                <w:szCs w:val="21"/>
              </w:rPr>
              <w:t>标</w:t>
            </w:r>
          </w:p>
          <w:p>
            <w:pPr>
              <w:adjustRightInd w:val="0"/>
              <w:snapToGrid w:val="0"/>
              <w:jc w:val="left"/>
              <w:rPr>
                <w:rFonts w:ascii="宋体" w:hAnsi="宋体"/>
                <w:szCs w:val="21"/>
              </w:rPr>
            </w:pPr>
            <w:r>
              <w:rPr>
                <w:rFonts w:ascii="宋体" w:hAnsi="宋体"/>
                <w:b/>
                <w:bCs/>
                <w:szCs w:val="21"/>
              </w:rPr>
              <w:t>识</w:t>
            </w:r>
          </w:p>
        </w:tc>
        <w:tc>
          <w:tcPr>
            <w:tcW w:w="7954" w:type="dxa"/>
            <w:noWrap w:val="0"/>
            <w:vAlign w:val="center"/>
          </w:tcPr>
          <w:p>
            <w:pPr>
              <w:adjustRightInd w:val="0"/>
              <w:snapToGrid w:val="0"/>
              <w:jc w:val="left"/>
              <w:rPr>
                <w:rFonts w:ascii="宋体" w:hAnsi="宋体"/>
                <w:szCs w:val="21"/>
              </w:rPr>
            </w:pPr>
            <w:r>
              <w:rPr>
                <w:rFonts w:ascii="宋体" w:hAnsi="宋体"/>
                <w:b/>
                <w:bCs/>
                <w:szCs w:val="21"/>
              </w:rPr>
              <w:t>中文名：</w:t>
            </w:r>
            <w:r>
              <w:rPr>
                <w:rFonts w:ascii="宋体" w:hAnsi="宋体"/>
                <w:szCs w:val="21"/>
              </w:rPr>
              <w:t xml:space="preserve">柴油              </w:t>
            </w:r>
            <w:r>
              <w:rPr>
                <w:rFonts w:ascii="宋体" w:hAnsi="宋体"/>
                <w:b/>
                <w:bCs/>
                <w:szCs w:val="21"/>
              </w:rPr>
              <w:t>英文名：</w:t>
            </w:r>
            <w:r>
              <w:rPr>
                <w:rFonts w:ascii="宋体" w:hAnsi="宋体"/>
                <w:szCs w:val="21"/>
              </w:rPr>
              <w:t>Diesel oil</w:t>
            </w:r>
          </w:p>
          <w:p>
            <w:pPr>
              <w:adjustRightInd w:val="0"/>
              <w:snapToGrid w:val="0"/>
              <w:jc w:val="left"/>
              <w:rPr>
                <w:rFonts w:hint="eastAsia" w:ascii="宋体" w:hAnsi="宋体"/>
                <w:szCs w:val="21"/>
              </w:rPr>
            </w:pPr>
            <w:r>
              <w:rPr>
                <w:rFonts w:ascii="宋体" w:hAnsi="宋体"/>
                <w:b/>
                <w:bCs/>
                <w:szCs w:val="21"/>
              </w:rPr>
              <w:t>CAS号：</w:t>
            </w:r>
            <w:r>
              <w:rPr>
                <w:rFonts w:hint="eastAsia" w:ascii="宋体" w:hAnsi="宋体"/>
                <w:szCs w:val="21"/>
              </w:rPr>
              <w:t>68334-30-5</w:t>
            </w:r>
            <w:r>
              <w:rPr>
                <w:rFonts w:ascii="宋体" w:hAnsi="宋体"/>
                <w:szCs w:val="21"/>
              </w:rPr>
              <w:t xml:space="preserve">            </w:t>
            </w:r>
            <w:r>
              <w:rPr>
                <w:rFonts w:ascii="宋体" w:hAnsi="宋体"/>
                <w:b/>
                <w:bCs/>
                <w:szCs w:val="21"/>
              </w:rPr>
              <w:t>UN号：</w:t>
            </w:r>
            <w:r>
              <w:rPr>
                <w:rFonts w:hint="eastAsia" w:ascii="宋体" w:hAnsi="宋体"/>
                <w:szCs w:val="21"/>
              </w:rPr>
              <w:t>1202        危规编号：1674</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left"/>
              <w:rPr>
                <w:rFonts w:ascii="宋体" w:hAnsi="宋体"/>
                <w:b/>
                <w:bCs/>
                <w:szCs w:val="21"/>
              </w:rPr>
            </w:pPr>
            <w:r>
              <w:rPr>
                <w:rFonts w:ascii="宋体" w:hAnsi="宋体"/>
                <w:b/>
                <w:bCs/>
                <w:szCs w:val="21"/>
              </w:rPr>
              <w:t>理</w:t>
            </w:r>
          </w:p>
          <w:p>
            <w:pPr>
              <w:adjustRightInd w:val="0"/>
              <w:snapToGrid w:val="0"/>
              <w:jc w:val="left"/>
              <w:rPr>
                <w:rFonts w:ascii="宋体" w:hAnsi="宋体"/>
                <w:b/>
                <w:bCs/>
                <w:szCs w:val="21"/>
              </w:rPr>
            </w:pPr>
            <w:r>
              <w:rPr>
                <w:rFonts w:ascii="宋体" w:hAnsi="宋体"/>
                <w:b/>
                <w:bCs/>
                <w:szCs w:val="21"/>
              </w:rPr>
              <w:t>化</w:t>
            </w:r>
          </w:p>
          <w:p>
            <w:pPr>
              <w:adjustRightInd w:val="0"/>
              <w:snapToGrid w:val="0"/>
              <w:jc w:val="left"/>
              <w:rPr>
                <w:rFonts w:ascii="宋体" w:hAnsi="宋体"/>
                <w:b/>
                <w:bCs/>
                <w:szCs w:val="21"/>
              </w:rPr>
            </w:pPr>
            <w:r>
              <w:rPr>
                <w:rFonts w:ascii="宋体" w:hAnsi="宋体"/>
                <w:b/>
                <w:bCs/>
                <w:szCs w:val="21"/>
              </w:rPr>
              <w:t>性</w:t>
            </w:r>
          </w:p>
          <w:p>
            <w:pPr>
              <w:adjustRightInd w:val="0"/>
              <w:snapToGrid w:val="0"/>
              <w:jc w:val="left"/>
              <w:rPr>
                <w:rFonts w:ascii="宋体" w:hAnsi="宋体"/>
                <w:szCs w:val="21"/>
              </w:rPr>
            </w:pPr>
            <w:r>
              <w:rPr>
                <w:rFonts w:ascii="宋体" w:hAnsi="宋体"/>
                <w:b/>
                <w:bCs/>
                <w:szCs w:val="21"/>
              </w:rPr>
              <w:t>质</w:t>
            </w:r>
          </w:p>
        </w:tc>
        <w:tc>
          <w:tcPr>
            <w:tcW w:w="7954" w:type="dxa"/>
            <w:noWrap w:val="0"/>
            <w:vAlign w:val="center"/>
          </w:tcPr>
          <w:p>
            <w:pPr>
              <w:adjustRightInd w:val="0"/>
              <w:snapToGrid w:val="0"/>
              <w:jc w:val="left"/>
              <w:rPr>
                <w:rFonts w:ascii="宋体" w:hAnsi="宋体"/>
                <w:szCs w:val="21"/>
              </w:rPr>
            </w:pPr>
            <w:r>
              <w:rPr>
                <w:rFonts w:ascii="宋体" w:hAnsi="宋体"/>
                <w:b/>
                <w:bCs/>
                <w:szCs w:val="21"/>
              </w:rPr>
              <w:t>外观与性状：</w:t>
            </w:r>
            <w:r>
              <w:rPr>
                <w:rFonts w:ascii="宋体" w:hAnsi="宋体"/>
                <w:szCs w:val="21"/>
              </w:rPr>
              <w:t>稍有粘性的浅黄至棕色液体。</w:t>
            </w:r>
          </w:p>
          <w:p>
            <w:pPr>
              <w:adjustRightInd w:val="0"/>
              <w:snapToGrid w:val="0"/>
              <w:jc w:val="left"/>
              <w:rPr>
                <w:rFonts w:ascii="宋体" w:hAnsi="宋体"/>
                <w:szCs w:val="21"/>
              </w:rPr>
            </w:pPr>
            <w:r>
              <w:rPr>
                <w:rFonts w:ascii="宋体" w:hAnsi="宋体"/>
                <w:b/>
                <w:bCs/>
                <w:szCs w:val="21"/>
              </w:rPr>
              <w:t>熔点(℃)：</w:t>
            </w:r>
            <w:r>
              <w:rPr>
                <w:rFonts w:ascii="宋体" w:hAnsi="宋体"/>
                <w:szCs w:val="21"/>
              </w:rPr>
              <w:t xml:space="preserve">-35～20          </w:t>
            </w:r>
            <w:r>
              <w:rPr>
                <w:rFonts w:ascii="宋体" w:hAnsi="宋体"/>
                <w:b/>
                <w:bCs/>
                <w:szCs w:val="21"/>
              </w:rPr>
              <w:t>相对密度（水=1.0）：</w:t>
            </w:r>
            <w:r>
              <w:rPr>
                <w:rFonts w:ascii="宋体" w:hAnsi="宋体"/>
                <w:szCs w:val="21"/>
              </w:rPr>
              <w:t>0.87～0.9</w:t>
            </w:r>
          </w:p>
          <w:p>
            <w:pPr>
              <w:adjustRightInd w:val="0"/>
              <w:snapToGrid w:val="0"/>
              <w:jc w:val="left"/>
              <w:rPr>
                <w:rFonts w:ascii="宋体" w:hAnsi="宋体"/>
                <w:szCs w:val="21"/>
              </w:rPr>
            </w:pPr>
            <w:r>
              <w:rPr>
                <w:rFonts w:ascii="宋体" w:hAnsi="宋体"/>
                <w:b/>
                <w:bCs/>
                <w:szCs w:val="21"/>
              </w:rPr>
              <w:t>沸程(℃)：</w:t>
            </w:r>
            <w:r>
              <w:rPr>
                <w:rFonts w:ascii="宋体" w:hAnsi="宋体"/>
                <w:szCs w:val="21"/>
              </w:rPr>
              <w:t xml:space="preserve">282～338         </w:t>
            </w:r>
            <w:r>
              <w:rPr>
                <w:rFonts w:ascii="宋体" w:hAnsi="宋体"/>
                <w:b/>
                <w:bCs/>
                <w:szCs w:val="21"/>
              </w:rPr>
              <w:t>相对密度(空气=1):</w:t>
            </w:r>
            <w:r>
              <w:rPr>
                <w:rFonts w:ascii="宋体" w:hAnsi="宋体"/>
                <w:szCs w:val="21"/>
              </w:rPr>
              <w:t xml:space="preserve"> 无资料</w:t>
            </w:r>
          </w:p>
          <w:p>
            <w:pPr>
              <w:adjustRightInd w:val="0"/>
              <w:snapToGrid w:val="0"/>
              <w:jc w:val="left"/>
              <w:rPr>
                <w:rFonts w:ascii="宋体" w:hAnsi="宋体"/>
                <w:szCs w:val="21"/>
              </w:rPr>
            </w:pPr>
            <w:r>
              <w:rPr>
                <w:rFonts w:ascii="宋体" w:hAnsi="宋体"/>
                <w:b/>
                <w:bCs/>
                <w:szCs w:val="21"/>
              </w:rPr>
              <w:t xml:space="preserve">闪点(℃): </w:t>
            </w:r>
            <w:r>
              <w:rPr>
                <w:rFonts w:ascii="宋体" w:hAnsi="宋体"/>
                <w:bCs/>
                <w:szCs w:val="21"/>
              </w:rPr>
              <w:t>&gt;55</w:t>
            </w:r>
            <w:r>
              <w:rPr>
                <w:rFonts w:ascii="宋体" w:hAnsi="宋体"/>
                <w:szCs w:val="21"/>
              </w:rPr>
              <w:t xml:space="preserve">              </w:t>
            </w:r>
            <w:r>
              <w:rPr>
                <w:rFonts w:ascii="宋体" w:hAnsi="宋体"/>
                <w:b/>
                <w:bCs/>
                <w:szCs w:val="21"/>
              </w:rPr>
              <w:t>引燃温度(℃)：</w:t>
            </w:r>
            <w:r>
              <w:rPr>
                <w:rFonts w:ascii="宋体" w:hAnsi="宋体"/>
                <w:szCs w:val="21"/>
              </w:rPr>
              <w:t>257</w:t>
            </w:r>
          </w:p>
          <w:p>
            <w:pPr>
              <w:adjustRightInd w:val="0"/>
              <w:snapToGrid w:val="0"/>
              <w:jc w:val="left"/>
              <w:rPr>
                <w:rFonts w:ascii="宋体" w:hAnsi="宋体"/>
                <w:szCs w:val="21"/>
              </w:rPr>
            </w:pPr>
            <w:r>
              <w:rPr>
                <w:rFonts w:ascii="宋体" w:hAnsi="宋体"/>
                <w:b/>
                <w:bCs/>
                <w:szCs w:val="21"/>
              </w:rPr>
              <w:t>爆炸下限[%(V/V)]:</w:t>
            </w:r>
            <w:r>
              <w:rPr>
                <w:rFonts w:ascii="宋体" w:hAnsi="宋体"/>
                <w:szCs w:val="21"/>
              </w:rPr>
              <w:t xml:space="preserve"> </w:t>
            </w:r>
            <w:r>
              <w:rPr>
                <w:rFonts w:hint="eastAsia" w:ascii="宋体" w:hAnsi="宋体"/>
                <w:szCs w:val="21"/>
              </w:rPr>
              <w:t>0.5</w:t>
            </w:r>
            <w:r>
              <w:rPr>
                <w:rFonts w:ascii="宋体" w:hAnsi="宋体"/>
                <w:szCs w:val="21"/>
              </w:rPr>
              <w:t xml:space="preserve">   </w:t>
            </w:r>
            <w:r>
              <w:rPr>
                <w:rFonts w:ascii="宋体" w:hAnsi="宋体"/>
                <w:b/>
                <w:bCs/>
                <w:szCs w:val="21"/>
              </w:rPr>
              <w:t>最小点火能(mJ):</w:t>
            </w:r>
            <w:r>
              <w:rPr>
                <w:rFonts w:ascii="宋体" w:hAnsi="宋体"/>
                <w:szCs w:val="21"/>
              </w:rPr>
              <w:t>无资料</w:t>
            </w:r>
          </w:p>
          <w:p>
            <w:pPr>
              <w:adjustRightInd w:val="0"/>
              <w:snapToGrid w:val="0"/>
              <w:jc w:val="left"/>
              <w:rPr>
                <w:rFonts w:ascii="宋体" w:hAnsi="宋体"/>
                <w:szCs w:val="21"/>
              </w:rPr>
            </w:pPr>
            <w:r>
              <w:rPr>
                <w:rFonts w:ascii="宋体" w:hAnsi="宋体"/>
                <w:b/>
                <w:bCs/>
                <w:szCs w:val="21"/>
              </w:rPr>
              <w:t>爆炸上限[%(V/V)]:</w:t>
            </w:r>
            <w:r>
              <w:rPr>
                <w:rFonts w:ascii="宋体" w:hAnsi="宋体"/>
                <w:szCs w:val="21"/>
              </w:rPr>
              <w:t xml:space="preserve"> </w:t>
            </w:r>
            <w:r>
              <w:rPr>
                <w:rFonts w:hint="eastAsia" w:ascii="宋体" w:hAnsi="宋体"/>
                <w:szCs w:val="21"/>
              </w:rPr>
              <w:t>4.5</w:t>
            </w:r>
            <w:r>
              <w:rPr>
                <w:rFonts w:ascii="宋体" w:hAnsi="宋体"/>
                <w:szCs w:val="21"/>
              </w:rPr>
              <w:t xml:space="preserve">   </w:t>
            </w:r>
            <w:r>
              <w:rPr>
                <w:rFonts w:ascii="宋体" w:hAnsi="宋体"/>
                <w:b/>
                <w:bCs/>
                <w:szCs w:val="21"/>
              </w:rPr>
              <w:t>最大爆炸压力(MPa):</w:t>
            </w:r>
            <w:r>
              <w:rPr>
                <w:rFonts w:ascii="宋体" w:hAnsi="宋体"/>
                <w:szCs w:val="21"/>
              </w:rPr>
              <w:t xml:space="preserve"> 无资料</w:t>
            </w:r>
          </w:p>
          <w:p>
            <w:pPr>
              <w:adjustRightInd w:val="0"/>
              <w:snapToGrid w:val="0"/>
              <w:jc w:val="left"/>
              <w:rPr>
                <w:rFonts w:ascii="宋体" w:hAnsi="宋体"/>
                <w:szCs w:val="21"/>
              </w:rPr>
            </w:pPr>
            <w:r>
              <w:rPr>
                <w:rFonts w:ascii="宋体" w:hAnsi="宋体"/>
                <w:b/>
                <w:bCs/>
                <w:szCs w:val="21"/>
              </w:rPr>
              <w:t>溶 解 性：</w:t>
            </w:r>
            <w:r>
              <w:rPr>
                <w:rFonts w:ascii="宋体" w:hAnsi="宋体"/>
                <w:szCs w:val="21"/>
              </w:rPr>
              <w:t>不溶于水,易溶于苯、二硫化碳、醇、脂肪。</w:t>
            </w:r>
          </w:p>
          <w:p>
            <w:pPr>
              <w:adjustRightInd w:val="0"/>
              <w:snapToGrid w:val="0"/>
              <w:jc w:val="left"/>
              <w:rPr>
                <w:rFonts w:ascii="宋体" w:hAnsi="宋体"/>
                <w:szCs w:val="21"/>
              </w:rPr>
            </w:pPr>
            <w:r>
              <w:rPr>
                <w:rFonts w:ascii="宋体" w:hAnsi="宋体"/>
                <w:b/>
                <w:bCs/>
                <w:szCs w:val="21"/>
              </w:rPr>
              <w:t>主要用途：</w:t>
            </w:r>
            <w:r>
              <w:rPr>
                <w:rFonts w:ascii="宋体" w:hAnsi="宋体"/>
                <w:szCs w:val="21"/>
              </w:rPr>
              <w:t xml:space="preserve">主要用作柴油机的燃料。 </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left"/>
              <w:rPr>
                <w:rFonts w:ascii="宋体" w:hAnsi="宋体"/>
                <w:b/>
                <w:bCs/>
                <w:szCs w:val="21"/>
              </w:rPr>
            </w:pPr>
            <w:r>
              <w:rPr>
                <w:rFonts w:ascii="宋体" w:hAnsi="宋体"/>
                <w:b/>
                <w:bCs/>
                <w:szCs w:val="21"/>
              </w:rPr>
              <w:t>燃</w:t>
            </w:r>
          </w:p>
          <w:p>
            <w:pPr>
              <w:adjustRightInd w:val="0"/>
              <w:snapToGrid w:val="0"/>
              <w:jc w:val="left"/>
              <w:rPr>
                <w:rFonts w:ascii="宋体" w:hAnsi="宋体"/>
                <w:szCs w:val="21"/>
              </w:rPr>
            </w:pPr>
            <w:r>
              <w:rPr>
                <w:rFonts w:ascii="宋体" w:hAnsi="宋体"/>
                <w:b/>
                <w:bCs/>
                <w:szCs w:val="21"/>
              </w:rPr>
              <w:t>烧</w:t>
            </w:r>
          </w:p>
          <w:p>
            <w:pPr>
              <w:adjustRightInd w:val="0"/>
              <w:snapToGrid w:val="0"/>
              <w:jc w:val="left"/>
              <w:rPr>
                <w:rFonts w:ascii="宋体" w:hAnsi="宋体"/>
                <w:b/>
                <w:bCs/>
                <w:szCs w:val="21"/>
              </w:rPr>
            </w:pPr>
            <w:r>
              <w:rPr>
                <w:rFonts w:ascii="宋体" w:hAnsi="宋体"/>
                <w:b/>
                <w:bCs/>
                <w:szCs w:val="21"/>
              </w:rPr>
              <w:t>爆</w:t>
            </w:r>
          </w:p>
          <w:p>
            <w:pPr>
              <w:adjustRightInd w:val="0"/>
              <w:snapToGrid w:val="0"/>
              <w:jc w:val="left"/>
              <w:rPr>
                <w:rFonts w:ascii="宋体" w:hAnsi="宋体"/>
                <w:b/>
                <w:bCs/>
                <w:szCs w:val="21"/>
              </w:rPr>
            </w:pPr>
            <w:r>
              <w:rPr>
                <w:rFonts w:ascii="宋体" w:hAnsi="宋体"/>
                <w:b/>
                <w:bCs/>
                <w:szCs w:val="21"/>
              </w:rPr>
              <w:t>炸</w:t>
            </w:r>
          </w:p>
          <w:p>
            <w:pPr>
              <w:adjustRightInd w:val="0"/>
              <w:snapToGrid w:val="0"/>
              <w:jc w:val="left"/>
              <w:rPr>
                <w:rFonts w:ascii="宋体" w:hAnsi="宋体"/>
                <w:b/>
                <w:bCs/>
                <w:szCs w:val="21"/>
              </w:rPr>
            </w:pPr>
            <w:r>
              <w:rPr>
                <w:rFonts w:ascii="宋体" w:hAnsi="宋体"/>
                <w:b/>
                <w:bCs/>
                <w:szCs w:val="21"/>
              </w:rPr>
              <w:t>危</w:t>
            </w:r>
          </w:p>
          <w:p>
            <w:pPr>
              <w:adjustRightInd w:val="0"/>
              <w:snapToGrid w:val="0"/>
              <w:jc w:val="left"/>
              <w:rPr>
                <w:rFonts w:ascii="宋体" w:hAnsi="宋体"/>
                <w:b/>
                <w:bCs/>
                <w:szCs w:val="21"/>
              </w:rPr>
            </w:pPr>
            <w:r>
              <w:rPr>
                <w:rFonts w:ascii="宋体" w:hAnsi="宋体"/>
                <w:b/>
                <w:bCs/>
                <w:szCs w:val="21"/>
              </w:rPr>
              <w:t>险</w:t>
            </w:r>
          </w:p>
          <w:p>
            <w:pPr>
              <w:adjustRightInd w:val="0"/>
              <w:snapToGrid w:val="0"/>
              <w:jc w:val="left"/>
              <w:rPr>
                <w:rFonts w:ascii="宋体" w:hAnsi="宋体"/>
                <w:szCs w:val="21"/>
              </w:rPr>
            </w:pPr>
            <w:r>
              <w:rPr>
                <w:rFonts w:ascii="宋体" w:hAnsi="宋体"/>
                <w:b/>
                <w:bCs/>
                <w:szCs w:val="21"/>
              </w:rPr>
              <w:t>性</w:t>
            </w:r>
          </w:p>
        </w:tc>
        <w:tc>
          <w:tcPr>
            <w:tcW w:w="7954" w:type="dxa"/>
            <w:noWrap w:val="0"/>
            <w:vAlign w:val="center"/>
          </w:tcPr>
          <w:p>
            <w:pPr>
              <w:adjustRightInd w:val="0"/>
              <w:snapToGrid w:val="0"/>
              <w:jc w:val="left"/>
              <w:rPr>
                <w:rFonts w:ascii="宋体" w:hAnsi="宋体"/>
                <w:szCs w:val="21"/>
              </w:rPr>
            </w:pPr>
            <w:r>
              <w:rPr>
                <w:rFonts w:ascii="宋体" w:hAnsi="宋体"/>
                <w:b/>
                <w:bCs/>
                <w:szCs w:val="21"/>
              </w:rPr>
              <w:t>燃 烧 性：</w:t>
            </w:r>
            <w:r>
              <w:rPr>
                <w:rFonts w:ascii="宋体" w:hAnsi="宋体"/>
                <w:szCs w:val="21"/>
              </w:rPr>
              <w:t>易燃。</w:t>
            </w:r>
          </w:p>
          <w:p>
            <w:pPr>
              <w:pStyle w:val="10"/>
              <w:ind w:left="420"/>
              <w:jc w:val="left"/>
              <w:rPr>
                <w:rFonts w:ascii="宋体" w:hAnsi="宋体"/>
                <w:szCs w:val="21"/>
              </w:rPr>
            </w:pPr>
            <w:r>
              <w:rPr>
                <w:rFonts w:ascii="宋体" w:hAnsi="宋体"/>
                <w:b/>
                <w:bCs/>
                <w:szCs w:val="21"/>
              </w:rPr>
              <w:t>危险特性：</w:t>
            </w:r>
            <w:r>
              <w:rPr>
                <w:rFonts w:ascii="宋体" w:hAnsi="宋体"/>
                <w:szCs w:val="21"/>
              </w:rPr>
              <w:t>遇明火、高热或与氧化剂接触,有引起燃烧爆炸的危险。若遇高热，容器内压力增大，有开裂和爆炸的危险。</w:t>
            </w:r>
          </w:p>
          <w:p>
            <w:pPr>
              <w:pStyle w:val="10"/>
              <w:ind w:left="420"/>
              <w:jc w:val="left"/>
              <w:rPr>
                <w:rFonts w:ascii="宋体" w:hAnsi="宋体"/>
                <w:szCs w:val="21"/>
              </w:rPr>
            </w:pPr>
            <w:r>
              <w:rPr>
                <w:rFonts w:ascii="宋体" w:hAnsi="宋体"/>
                <w:b/>
                <w:bCs/>
                <w:szCs w:val="21"/>
              </w:rPr>
              <w:t>有害燃烧产物：</w:t>
            </w:r>
            <w:r>
              <w:rPr>
                <w:rFonts w:ascii="宋体" w:hAnsi="宋体"/>
                <w:szCs w:val="21"/>
              </w:rPr>
              <w:t>一氧化碳、二氧化碳。</w:t>
            </w:r>
          </w:p>
          <w:p>
            <w:pPr>
              <w:adjustRightInd w:val="0"/>
              <w:snapToGrid w:val="0"/>
              <w:jc w:val="left"/>
              <w:rPr>
                <w:rFonts w:ascii="宋体" w:hAnsi="宋体"/>
                <w:szCs w:val="21"/>
              </w:rPr>
            </w:pPr>
            <w:r>
              <w:rPr>
                <w:rFonts w:ascii="宋体" w:hAnsi="宋体"/>
                <w:b/>
                <w:bCs/>
                <w:szCs w:val="21"/>
              </w:rPr>
              <w:t>稳 定 性：</w:t>
            </w:r>
            <w:r>
              <w:rPr>
                <w:rFonts w:ascii="宋体" w:hAnsi="宋体"/>
                <w:szCs w:val="21"/>
              </w:rPr>
              <w:t xml:space="preserve">稳定。           </w:t>
            </w:r>
            <w:r>
              <w:rPr>
                <w:rFonts w:ascii="宋体" w:hAnsi="宋体"/>
                <w:b/>
                <w:bCs/>
                <w:szCs w:val="21"/>
              </w:rPr>
              <w:t>聚合危害：</w:t>
            </w:r>
            <w:r>
              <w:rPr>
                <w:rFonts w:ascii="宋体" w:hAnsi="宋体"/>
                <w:szCs w:val="21"/>
              </w:rPr>
              <w:t>不聚合。</w:t>
            </w:r>
          </w:p>
          <w:p>
            <w:pPr>
              <w:adjustRightInd w:val="0"/>
              <w:snapToGrid w:val="0"/>
              <w:jc w:val="left"/>
              <w:rPr>
                <w:rFonts w:ascii="宋体" w:hAnsi="宋体"/>
                <w:szCs w:val="21"/>
              </w:rPr>
            </w:pPr>
            <w:r>
              <w:rPr>
                <w:rFonts w:ascii="宋体" w:hAnsi="宋体"/>
                <w:b/>
                <w:bCs/>
                <w:szCs w:val="21"/>
              </w:rPr>
              <w:t>禁 配 物：</w:t>
            </w:r>
            <w:r>
              <w:rPr>
                <w:rFonts w:ascii="宋体" w:hAnsi="宋体"/>
                <w:szCs w:val="21"/>
              </w:rPr>
              <w:t>强氧化剂、卤素。</w:t>
            </w:r>
          </w:p>
          <w:p>
            <w:pPr>
              <w:adjustRightInd w:val="0"/>
              <w:snapToGrid w:val="0"/>
              <w:jc w:val="left"/>
              <w:rPr>
                <w:rFonts w:ascii="宋体" w:hAnsi="宋体"/>
                <w:szCs w:val="21"/>
              </w:rPr>
            </w:pPr>
            <w:r>
              <w:rPr>
                <w:rFonts w:ascii="宋体" w:hAnsi="宋体"/>
                <w:b/>
                <w:bCs/>
                <w:szCs w:val="21"/>
              </w:rPr>
              <w:t>灭火方法：</w:t>
            </w:r>
            <w:r>
              <w:rPr>
                <w:rFonts w:ascii="宋体" w:hAnsi="宋体"/>
                <w:szCs w:val="21"/>
              </w:rPr>
              <w:t>消防人员须配戴防毒面具、穿全身消防服,在上风向灭火。尽可能将容器从火场移至空旷处，喷水保持容器冷却，直至灭火结束。处在火场中的容器若已变色或从安全泄压装置中产生声音，必须马上撤离。</w:t>
            </w:r>
          </w:p>
          <w:p>
            <w:pPr>
              <w:adjustRightInd w:val="0"/>
              <w:snapToGrid w:val="0"/>
              <w:jc w:val="left"/>
              <w:rPr>
                <w:rFonts w:ascii="宋体" w:hAnsi="宋体"/>
                <w:szCs w:val="21"/>
              </w:rPr>
            </w:pPr>
            <w:r>
              <w:rPr>
                <w:rFonts w:ascii="宋体" w:hAnsi="宋体"/>
                <w:b/>
                <w:bCs/>
                <w:szCs w:val="21"/>
              </w:rPr>
              <w:t>灭 火 剂：</w:t>
            </w:r>
            <w:r>
              <w:rPr>
                <w:rFonts w:ascii="宋体" w:hAnsi="宋体"/>
                <w:szCs w:val="21"/>
              </w:rPr>
              <w:t>泡沫、干粉、二氧化碳、砂土。用水灭火无效。</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rPr>
        <w:tc>
          <w:tcPr>
            <w:tcW w:w="568" w:type="dxa"/>
            <w:noWrap w:val="0"/>
            <w:vAlign w:val="center"/>
          </w:tcPr>
          <w:p>
            <w:pPr>
              <w:adjustRightInd w:val="0"/>
              <w:snapToGrid w:val="0"/>
              <w:rPr>
                <w:rFonts w:ascii="宋体" w:hAnsi="宋体"/>
                <w:b/>
                <w:bCs/>
                <w:szCs w:val="21"/>
              </w:rPr>
            </w:pPr>
            <w:r>
              <w:rPr>
                <w:rFonts w:ascii="宋体" w:hAnsi="宋体"/>
                <w:b/>
                <w:bCs/>
                <w:szCs w:val="21"/>
              </w:rPr>
              <w:t>包</w:t>
            </w:r>
          </w:p>
          <w:p>
            <w:pPr>
              <w:adjustRightInd w:val="0"/>
              <w:snapToGrid w:val="0"/>
              <w:rPr>
                <w:rFonts w:ascii="宋体" w:hAnsi="宋体"/>
                <w:b/>
                <w:bCs/>
                <w:szCs w:val="21"/>
              </w:rPr>
            </w:pPr>
            <w:r>
              <w:rPr>
                <w:rFonts w:ascii="宋体" w:hAnsi="宋体"/>
                <w:b/>
                <w:bCs/>
                <w:szCs w:val="21"/>
              </w:rPr>
              <w:t>装</w:t>
            </w:r>
          </w:p>
          <w:p>
            <w:pPr>
              <w:adjustRightInd w:val="0"/>
              <w:snapToGrid w:val="0"/>
              <w:rPr>
                <w:rFonts w:ascii="宋体" w:hAnsi="宋体"/>
                <w:b/>
                <w:bCs/>
                <w:szCs w:val="21"/>
              </w:rPr>
            </w:pPr>
            <w:r>
              <w:rPr>
                <w:rFonts w:ascii="宋体" w:hAnsi="宋体"/>
                <w:b/>
                <w:bCs/>
                <w:szCs w:val="21"/>
              </w:rPr>
              <w:t>与</w:t>
            </w:r>
          </w:p>
          <w:p>
            <w:pPr>
              <w:adjustRightInd w:val="0"/>
              <w:snapToGrid w:val="0"/>
              <w:rPr>
                <w:rFonts w:ascii="宋体" w:hAnsi="宋体"/>
                <w:b/>
                <w:bCs/>
                <w:szCs w:val="21"/>
              </w:rPr>
            </w:pPr>
            <w:r>
              <w:rPr>
                <w:rFonts w:ascii="宋体" w:hAnsi="宋体"/>
                <w:b/>
                <w:bCs/>
                <w:szCs w:val="21"/>
              </w:rPr>
              <w:t>储</w:t>
            </w:r>
          </w:p>
          <w:p>
            <w:pPr>
              <w:adjustRightInd w:val="0"/>
              <w:snapToGrid w:val="0"/>
              <w:jc w:val="left"/>
              <w:rPr>
                <w:rFonts w:ascii="宋体" w:hAnsi="宋体"/>
                <w:b/>
                <w:bCs/>
                <w:szCs w:val="21"/>
              </w:rPr>
            </w:pPr>
            <w:r>
              <w:rPr>
                <w:rFonts w:ascii="宋体" w:hAnsi="宋体"/>
                <w:b/>
                <w:bCs/>
                <w:szCs w:val="21"/>
              </w:rPr>
              <w:t>运</w:t>
            </w:r>
          </w:p>
        </w:tc>
        <w:tc>
          <w:tcPr>
            <w:tcW w:w="7954" w:type="dxa"/>
            <w:noWrap w:val="0"/>
            <w:vAlign w:val="center"/>
          </w:tcPr>
          <w:p>
            <w:pPr>
              <w:adjustRightInd w:val="0"/>
              <w:snapToGrid w:val="0"/>
              <w:rPr>
                <w:rFonts w:ascii="宋体" w:hAnsi="宋体"/>
                <w:szCs w:val="21"/>
              </w:rPr>
            </w:pPr>
            <w:r>
              <w:rPr>
                <w:rFonts w:ascii="宋体" w:hAnsi="宋体"/>
                <w:b/>
                <w:bCs/>
                <w:szCs w:val="21"/>
              </w:rPr>
              <w:t>安全标志：</w:t>
            </w:r>
            <w:r>
              <w:rPr>
                <w:rFonts w:ascii="宋体" w:hAnsi="宋体"/>
                <w:szCs w:val="21"/>
              </w:rPr>
              <w:t xml:space="preserve">易燃液体        </w:t>
            </w:r>
            <w:r>
              <w:rPr>
                <w:rFonts w:ascii="宋体" w:hAnsi="宋体"/>
                <w:b/>
                <w:bCs/>
                <w:szCs w:val="21"/>
              </w:rPr>
              <w:t>包装类别：Ⅲ</w:t>
            </w:r>
            <w:r>
              <w:rPr>
                <w:rFonts w:ascii="宋体" w:hAnsi="宋体"/>
                <w:szCs w:val="21"/>
              </w:rPr>
              <w:t>类包装</w:t>
            </w:r>
          </w:p>
          <w:p>
            <w:pPr>
              <w:adjustRightInd w:val="0"/>
              <w:snapToGrid w:val="0"/>
              <w:rPr>
                <w:rFonts w:ascii="宋体" w:hAnsi="宋体"/>
                <w:szCs w:val="21"/>
              </w:rPr>
            </w:pPr>
            <w:r>
              <w:rPr>
                <w:rFonts w:ascii="宋体" w:hAnsi="宋体"/>
                <w:b/>
                <w:bCs/>
                <w:szCs w:val="21"/>
              </w:rPr>
              <w:t>储存注意事项：</w:t>
            </w:r>
            <w:r>
              <w:rPr>
                <w:rFonts w:ascii="宋体" w:hAnsi="宋体"/>
                <w:szCs w:val="21"/>
              </w:rPr>
              <w:t>储存于阴凉、通风的库房 。远离火种、热源。应与氧化剂、卤素分开存放,切忌混储。储存间内的照明、通风等设施应采用防爆型，开关设在库房外。禁止使用易产生火花的机械设备和工具。储备区应有泄漏应急处理设备和合适的收容材料</w:t>
            </w:r>
          </w:p>
          <w:p>
            <w:pPr>
              <w:adjustRightInd w:val="0"/>
              <w:snapToGrid w:val="0"/>
              <w:jc w:val="left"/>
              <w:rPr>
                <w:rFonts w:ascii="宋体" w:hAnsi="宋体"/>
                <w:b/>
                <w:bCs/>
                <w:szCs w:val="21"/>
              </w:rPr>
            </w:pPr>
            <w:r>
              <w:rPr>
                <w:rFonts w:ascii="宋体" w:hAnsi="宋体"/>
                <w:b/>
                <w:bCs/>
                <w:szCs w:val="21"/>
              </w:rPr>
              <w:t>运输注意事项：</w:t>
            </w:r>
            <w:r>
              <w:rPr>
                <w:rFonts w:ascii="宋体" w:hAnsi="宋体"/>
                <w:szCs w:val="21"/>
              </w:rPr>
              <w:t>运输前应先检查包装容器是否完整、密封，运输过程中要确保容器不泄漏、不倒塌、不坠落、不损坏。运输时车辆应配备相应品种和数量的消防器材及泄漏应急处理设备。夏季最好早晚运输。运输时所用的槽（罐）车应有接地链，槽内可设孔隔板以减少震荡产生静电。严禁与氧化剂、卤素、食用化学品等混装混运。运输途中应防曝晒、雨淋，防高温。中途停留时应远离火种、热源、高温区。装运该物品的车辆排气管必须配备阻火装置，禁止使用易产生火花的机械设备和工具装卸。运输车船必须彻底清洗、消毒，否则不得装运其它物品。船运时，配装位置应远离卧室、厨房，并与机舱、电源、火源等部位隔离。公路运输时要按规定路线行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szCs w:val="21"/>
              </w:rPr>
            </w:pPr>
            <w:r>
              <w:rPr>
                <w:rFonts w:ascii="宋体" w:hAnsi="宋体"/>
                <w:b/>
                <w:bCs/>
                <w:szCs w:val="21"/>
              </w:rPr>
              <w:t>毒</w:t>
            </w:r>
          </w:p>
          <w:p>
            <w:pPr>
              <w:adjustRightInd w:val="0"/>
              <w:snapToGrid w:val="0"/>
              <w:jc w:val="center"/>
              <w:rPr>
                <w:rFonts w:ascii="宋体" w:hAnsi="宋体"/>
                <w:b/>
                <w:bCs/>
                <w:szCs w:val="21"/>
              </w:rPr>
            </w:pPr>
            <w:r>
              <w:rPr>
                <w:rFonts w:ascii="宋体" w:hAnsi="宋体"/>
                <w:b/>
                <w:bCs/>
                <w:szCs w:val="21"/>
              </w:rPr>
              <w:t>性</w:t>
            </w:r>
          </w:p>
          <w:p>
            <w:pPr>
              <w:adjustRightInd w:val="0"/>
              <w:snapToGrid w:val="0"/>
              <w:jc w:val="center"/>
              <w:rPr>
                <w:rFonts w:ascii="宋体" w:hAnsi="宋体"/>
                <w:b/>
                <w:bCs/>
                <w:szCs w:val="21"/>
              </w:rPr>
            </w:pPr>
            <w:r>
              <w:rPr>
                <w:rFonts w:ascii="宋体" w:hAnsi="宋体"/>
                <w:b/>
                <w:bCs/>
                <w:szCs w:val="21"/>
              </w:rPr>
              <w:t>及</w:t>
            </w:r>
          </w:p>
          <w:p>
            <w:pPr>
              <w:adjustRightInd w:val="0"/>
              <w:snapToGrid w:val="0"/>
              <w:jc w:val="center"/>
              <w:rPr>
                <w:rFonts w:ascii="宋体" w:hAnsi="宋体"/>
                <w:b/>
                <w:bCs/>
                <w:szCs w:val="21"/>
              </w:rPr>
            </w:pPr>
            <w:r>
              <w:rPr>
                <w:rFonts w:ascii="宋体" w:hAnsi="宋体"/>
                <w:b/>
                <w:bCs/>
                <w:szCs w:val="21"/>
              </w:rPr>
              <w:t>健</w:t>
            </w:r>
          </w:p>
          <w:p>
            <w:pPr>
              <w:adjustRightInd w:val="0"/>
              <w:snapToGrid w:val="0"/>
              <w:jc w:val="center"/>
              <w:rPr>
                <w:rFonts w:ascii="宋体" w:hAnsi="宋体"/>
                <w:b/>
                <w:bCs/>
                <w:szCs w:val="21"/>
              </w:rPr>
            </w:pPr>
            <w:r>
              <w:rPr>
                <w:rFonts w:ascii="宋体" w:hAnsi="宋体"/>
                <w:b/>
                <w:bCs/>
                <w:szCs w:val="21"/>
              </w:rPr>
              <w:t>康</w:t>
            </w:r>
          </w:p>
          <w:p>
            <w:pPr>
              <w:adjustRightInd w:val="0"/>
              <w:snapToGrid w:val="0"/>
              <w:jc w:val="center"/>
              <w:rPr>
                <w:rFonts w:ascii="宋体" w:hAnsi="宋体"/>
                <w:b/>
                <w:bCs/>
                <w:szCs w:val="21"/>
              </w:rPr>
            </w:pPr>
            <w:r>
              <w:rPr>
                <w:rFonts w:ascii="宋体" w:hAnsi="宋体"/>
                <w:b/>
                <w:bCs/>
                <w:szCs w:val="21"/>
              </w:rPr>
              <w:t>危</w:t>
            </w:r>
          </w:p>
          <w:p>
            <w:pPr>
              <w:adjustRightInd w:val="0"/>
              <w:snapToGrid w:val="0"/>
              <w:jc w:val="center"/>
              <w:rPr>
                <w:rFonts w:ascii="宋体" w:hAnsi="宋体"/>
                <w:b/>
                <w:bCs/>
                <w:szCs w:val="21"/>
              </w:rPr>
            </w:pPr>
            <w:r>
              <w:rPr>
                <w:rFonts w:ascii="宋体" w:hAnsi="宋体"/>
                <w:b/>
                <w:bCs/>
                <w:szCs w:val="21"/>
              </w:rPr>
              <w:t>害</w:t>
            </w:r>
          </w:p>
          <w:p>
            <w:pPr>
              <w:adjustRightInd w:val="0"/>
              <w:snapToGrid w:val="0"/>
              <w:jc w:val="center"/>
              <w:rPr>
                <w:rFonts w:ascii="宋体" w:hAnsi="宋体"/>
                <w:szCs w:val="21"/>
              </w:rPr>
            </w:pPr>
            <w:r>
              <w:rPr>
                <w:rFonts w:ascii="宋体" w:hAnsi="宋体"/>
                <w:b/>
                <w:bCs/>
                <w:szCs w:val="21"/>
              </w:rPr>
              <w:t>性</w:t>
            </w:r>
          </w:p>
        </w:tc>
        <w:tc>
          <w:tcPr>
            <w:tcW w:w="7954" w:type="dxa"/>
            <w:noWrap w:val="0"/>
            <w:vAlign w:val="center"/>
          </w:tcPr>
          <w:p>
            <w:pPr>
              <w:adjustRightInd w:val="0"/>
              <w:snapToGrid w:val="0"/>
              <w:rPr>
                <w:rFonts w:ascii="宋体" w:hAnsi="宋体"/>
                <w:szCs w:val="21"/>
              </w:rPr>
            </w:pPr>
            <w:r>
              <w:rPr>
                <w:rFonts w:ascii="宋体" w:hAnsi="宋体"/>
                <w:b/>
                <w:bCs/>
                <w:szCs w:val="21"/>
              </w:rPr>
              <w:t>接触限值：</w:t>
            </w:r>
            <w:r>
              <w:rPr>
                <w:rFonts w:ascii="宋体" w:hAnsi="宋体"/>
                <w:szCs w:val="21"/>
              </w:rPr>
              <w:t>中国MAC（mg/m</w:t>
            </w:r>
            <w:r>
              <w:rPr>
                <w:rFonts w:ascii="宋体" w:hAnsi="宋体"/>
                <w:szCs w:val="21"/>
                <w:vertAlign w:val="superscript"/>
              </w:rPr>
              <w:t>3</w:t>
            </w:r>
            <w:r>
              <w:rPr>
                <w:rFonts w:ascii="宋体" w:hAnsi="宋体"/>
                <w:szCs w:val="21"/>
              </w:rPr>
              <w:t>）：无资料。</w:t>
            </w:r>
          </w:p>
          <w:p>
            <w:pPr>
              <w:adjustRightInd w:val="0"/>
              <w:snapToGrid w:val="0"/>
              <w:rPr>
                <w:rFonts w:ascii="宋体" w:hAnsi="宋体"/>
                <w:szCs w:val="21"/>
              </w:rPr>
            </w:pPr>
            <w:r>
              <w:rPr>
                <w:rFonts w:ascii="宋体" w:hAnsi="宋体"/>
                <w:b/>
                <w:bCs/>
                <w:szCs w:val="21"/>
              </w:rPr>
              <w:t>侵入途径：</w:t>
            </w:r>
            <w:r>
              <w:rPr>
                <w:rFonts w:ascii="宋体" w:hAnsi="宋体"/>
                <w:szCs w:val="21"/>
              </w:rPr>
              <w:t>吸入、食入、经皮肤吸收。</w:t>
            </w:r>
          </w:p>
          <w:p>
            <w:pPr>
              <w:adjustRightInd w:val="0"/>
              <w:snapToGrid w:val="0"/>
              <w:rPr>
                <w:rFonts w:ascii="宋体" w:hAnsi="宋体"/>
                <w:szCs w:val="21"/>
              </w:rPr>
            </w:pPr>
            <w:r>
              <w:rPr>
                <w:rFonts w:ascii="宋体" w:hAnsi="宋体"/>
                <w:b/>
                <w:bCs/>
                <w:szCs w:val="21"/>
              </w:rPr>
              <w:t>急性毒性：</w:t>
            </w:r>
            <w:r>
              <w:rPr>
                <w:rFonts w:ascii="宋体" w:hAnsi="宋体"/>
                <w:szCs w:val="21"/>
              </w:rPr>
              <w:t>LD</w:t>
            </w:r>
            <w:r>
              <w:rPr>
                <w:rFonts w:ascii="宋体" w:hAnsi="宋体"/>
                <w:szCs w:val="21"/>
                <w:vertAlign w:val="subscript"/>
              </w:rPr>
              <w:t>50</w:t>
            </w:r>
            <w:r>
              <w:rPr>
                <w:rFonts w:ascii="宋体" w:hAnsi="宋体"/>
                <w:szCs w:val="21"/>
              </w:rPr>
              <w:t xml:space="preserve">：无资料 </w:t>
            </w:r>
          </w:p>
          <w:p>
            <w:pPr>
              <w:adjustRightInd w:val="0"/>
              <w:snapToGrid w:val="0"/>
              <w:rPr>
                <w:rFonts w:ascii="宋体" w:hAnsi="宋体"/>
                <w:szCs w:val="21"/>
              </w:rPr>
            </w:pPr>
            <w:r>
              <w:rPr>
                <w:rFonts w:ascii="宋体" w:hAnsi="宋体"/>
                <w:b/>
                <w:bCs/>
                <w:szCs w:val="21"/>
              </w:rPr>
              <w:t>健康危害：</w:t>
            </w:r>
            <w:r>
              <w:rPr>
                <w:rFonts w:ascii="宋体" w:hAnsi="宋体"/>
                <w:szCs w:val="21"/>
              </w:rPr>
              <w:t>皮肤接触可为主要吸收途径，可致急性肾脏损害。柴油可引起接触性皮炎、油性痤疮。吸入其雾滴或液体呛入可引起吸入性肺炎。能经胎盘进入胎儿血液中。柴油废气可引起眼、鼻刺激症状,头晕及头痛。</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szCs w:val="21"/>
              </w:rPr>
            </w:pPr>
            <w:r>
              <w:rPr>
                <w:rFonts w:ascii="宋体" w:hAnsi="宋体"/>
                <w:b/>
                <w:bCs/>
                <w:szCs w:val="21"/>
              </w:rPr>
              <w:t>急</w:t>
            </w:r>
          </w:p>
          <w:p>
            <w:pPr>
              <w:adjustRightInd w:val="0"/>
              <w:snapToGrid w:val="0"/>
              <w:jc w:val="center"/>
              <w:rPr>
                <w:rFonts w:ascii="宋体" w:hAnsi="宋体"/>
                <w:b/>
                <w:bCs/>
                <w:szCs w:val="21"/>
              </w:rPr>
            </w:pPr>
            <w:r>
              <w:rPr>
                <w:rFonts w:ascii="宋体" w:hAnsi="宋体"/>
                <w:b/>
                <w:bCs/>
                <w:szCs w:val="21"/>
              </w:rPr>
              <w:t>救</w:t>
            </w:r>
          </w:p>
          <w:p>
            <w:pPr>
              <w:adjustRightInd w:val="0"/>
              <w:snapToGrid w:val="0"/>
              <w:jc w:val="center"/>
              <w:rPr>
                <w:rFonts w:ascii="宋体" w:hAnsi="宋体"/>
                <w:b/>
                <w:bCs/>
                <w:szCs w:val="21"/>
              </w:rPr>
            </w:pPr>
            <w:r>
              <w:rPr>
                <w:rFonts w:ascii="宋体" w:hAnsi="宋体"/>
                <w:b/>
                <w:bCs/>
                <w:szCs w:val="21"/>
              </w:rPr>
              <w:t>措</w:t>
            </w:r>
          </w:p>
          <w:p>
            <w:pPr>
              <w:adjustRightInd w:val="0"/>
              <w:snapToGrid w:val="0"/>
              <w:jc w:val="center"/>
              <w:rPr>
                <w:rFonts w:ascii="宋体" w:hAnsi="宋体"/>
                <w:szCs w:val="21"/>
              </w:rPr>
            </w:pPr>
            <w:r>
              <w:rPr>
                <w:rFonts w:ascii="宋体" w:hAnsi="宋体"/>
                <w:b/>
                <w:bCs/>
                <w:szCs w:val="21"/>
              </w:rPr>
              <w:t>施</w:t>
            </w:r>
          </w:p>
        </w:tc>
        <w:tc>
          <w:tcPr>
            <w:tcW w:w="7954" w:type="dxa"/>
            <w:noWrap w:val="0"/>
            <w:vAlign w:val="center"/>
          </w:tcPr>
          <w:p>
            <w:pPr>
              <w:adjustRightInd w:val="0"/>
              <w:snapToGrid w:val="0"/>
              <w:rPr>
                <w:rFonts w:ascii="宋体" w:hAnsi="宋体"/>
                <w:szCs w:val="21"/>
              </w:rPr>
            </w:pPr>
            <w:r>
              <w:rPr>
                <w:rFonts w:ascii="宋体" w:hAnsi="宋体"/>
                <w:b/>
                <w:bCs/>
                <w:szCs w:val="21"/>
              </w:rPr>
              <w:t>皮肤接触：</w:t>
            </w:r>
            <w:r>
              <w:rPr>
                <w:rFonts w:ascii="宋体" w:hAnsi="宋体"/>
                <w:szCs w:val="21"/>
              </w:rPr>
              <w:t>立即脱去被污染的衣着，用肥皂水和清水彻底冲洗皮肤。就医。</w:t>
            </w:r>
          </w:p>
          <w:p>
            <w:pPr>
              <w:adjustRightInd w:val="0"/>
              <w:snapToGrid w:val="0"/>
              <w:rPr>
                <w:rFonts w:ascii="宋体" w:hAnsi="宋体"/>
                <w:szCs w:val="21"/>
              </w:rPr>
            </w:pPr>
            <w:r>
              <w:rPr>
                <w:rFonts w:ascii="宋体" w:hAnsi="宋体"/>
                <w:b/>
                <w:bCs/>
                <w:szCs w:val="21"/>
              </w:rPr>
              <w:t>眼睛接触：</w:t>
            </w:r>
            <w:r>
              <w:rPr>
                <w:rFonts w:ascii="宋体" w:hAnsi="宋体"/>
                <w:szCs w:val="21"/>
              </w:rPr>
              <w:t>立即提起眼睑，用大量流动清水或生理盐水彻底冲洗至少15分钟。就医。</w:t>
            </w:r>
          </w:p>
          <w:p>
            <w:pPr>
              <w:adjustRightInd w:val="0"/>
              <w:snapToGrid w:val="0"/>
              <w:rPr>
                <w:rFonts w:ascii="宋体" w:hAnsi="宋体"/>
                <w:szCs w:val="21"/>
              </w:rPr>
            </w:pPr>
            <w:r>
              <w:rPr>
                <w:rFonts w:ascii="宋体" w:hAnsi="宋体"/>
                <w:b/>
                <w:bCs/>
                <w:szCs w:val="21"/>
              </w:rPr>
              <w:t>吸入：</w:t>
            </w:r>
            <w:r>
              <w:rPr>
                <w:rFonts w:ascii="宋体" w:hAnsi="宋体"/>
                <w:szCs w:val="21"/>
              </w:rPr>
              <w:t>迅速脱离现场至空气新鲜处。保持呼吸道通畅。如呼吸困难，给输氧。如呼吸停止，立即进行人工呼吸。就医。</w:t>
            </w:r>
          </w:p>
          <w:p>
            <w:pPr>
              <w:adjustRightInd w:val="0"/>
              <w:snapToGrid w:val="0"/>
              <w:rPr>
                <w:rFonts w:ascii="宋体" w:hAnsi="宋体"/>
                <w:szCs w:val="21"/>
              </w:rPr>
            </w:pPr>
            <w:r>
              <w:rPr>
                <w:rFonts w:ascii="宋体" w:hAnsi="宋体"/>
                <w:b/>
                <w:bCs/>
                <w:szCs w:val="21"/>
              </w:rPr>
              <w:t>食入：</w:t>
            </w:r>
            <w:r>
              <w:rPr>
                <w:rFonts w:ascii="宋体" w:hAnsi="宋体"/>
                <w:szCs w:val="21"/>
              </w:rPr>
              <w:t>给饮牛奶或用植物油洗胃和灌肠。就医。</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szCs w:val="21"/>
              </w:rPr>
            </w:pPr>
            <w:r>
              <w:rPr>
                <w:rFonts w:ascii="宋体" w:hAnsi="宋体"/>
                <w:b/>
                <w:bCs/>
                <w:szCs w:val="21"/>
              </w:rPr>
              <w:t>防</w:t>
            </w:r>
          </w:p>
          <w:p>
            <w:pPr>
              <w:adjustRightInd w:val="0"/>
              <w:snapToGrid w:val="0"/>
              <w:jc w:val="center"/>
              <w:rPr>
                <w:rFonts w:ascii="宋体" w:hAnsi="宋体"/>
                <w:b/>
                <w:bCs/>
                <w:szCs w:val="21"/>
              </w:rPr>
            </w:pPr>
            <w:r>
              <w:rPr>
                <w:rFonts w:ascii="宋体" w:hAnsi="宋体"/>
                <w:b/>
                <w:bCs/>
                <w:szCs w:val="21"/>
              </w:rPr>
              <w:t>护</w:t>
            </w:r>
          </w:p>
          <w:p>
            <w:pPr>
              <w:adjustRightInd w:val="0"/>
              <w:snapToGrid w:val="0"/>
              <w:jc w:val="center"/>
              <w:rPr>
                <w:rFonts w:ascii="宋体" w:hAnsi="宋体"/>
                <w:b/>
                <w:bCs/>
                <w:szCs w:val="21"/>
              </w:rPr>
            </w:pPr>
            <w:r>
              <w:rPr>
                <w:rFonts w:ascii="宋体" w:hAnsi="宋体"/>
                <w:b/>
                <w:bCs/>
                <w:szCs w:val="21"/>
              </w:rPr>
              <w:t>措</w:t>
            </w:r>
          </w:p>
          <w:p>
            <w:pPr>
              <w:adjustRightInd w:val="0"/>
              <w:snapToGrid w:val="0"/>
              <w:jc w:val="center"/>
              <w:rPr>
                <w:rFonts w:ascii="宋体" w:hAnsi="宋体"/>
                <w:szCs w:val="21"/>
              </w:rPr>
            </w:pPr>
            <w:r>
              <w:rPr>
                <w:rFonts w:ascii="宋体" w:hAnsi="宋体"/>
                <w:b/>
                <w:bCs/>
                <w:szCs w:val="21"/>
              </w:rPr>
              <w:t>施</w:t>
            </w:r>
          </w:p>
        </w:tc>
        <w:tc>
          <w:tcPr>
            <w:tcW w:w="7954" w:type="dxa"/>
            <w:noWrap w:val="0"/>
            <w:vAlign w:val="center"/>
          </w:tcPr>
          <w:p>
            <w:pPr>
              <w:adjustRightInd w:val="0"/>
              <w:snapToGrid w:val="0"/>
              <w:rPr>
                <w:rFonts w:ascii="宋体" w:hAnsi="宋体"/>
                <w:szCs w:val="21"/>
              </w:rPr>
            </w:pPr>
            <w:r>
              <w:rPr>
                <w:rFonts w:ascii="宋体" w:hAnsi="宋体"/>
                <w:b/>
                <w:bCs/>
                <w:szCs w:val="21"/>
              </w:rPr>
              <w:t>工程控制：</w:t>
            </w:r>
            <w:r>
              <w:rPr>
                <w:rFonts w:ascii="宋体" w:hAnsi="宋体"/>
                <w:szCs w:val="21"/>
              </w:rPr>
              <w:t>生产过程密闭操作，注意通风。</w:t>
            </w:r>
          </w:p>
          <w:p>
            <w:pPr>
              <w:adjustRightInd w:val="0"/>
              <w:snapToGrid w:val="0"/>
              <w:rPr>
                <w:rFonts w:ascii="宋体" w:hAnsi="宋体"/>
                <w:szCs w:val="21"/>
              </w:rPr>
            </w:pPr>
            <w:r>
              <w:rPr>
                <w:rFonts w:ascii="宋体" w:hAnsi="宋体"/>
                <w:b/>
                <w:bCs/>
                <w:szCs w:val="21"/>
              </w:rPr>
              <w:t>呼吸系统防护：</w:t>
            </w:r>
            <w:r>
              <w:rPr>
                <w:rFonts w:ascii="宋体" w:hAnsi="宋体"/>
                <w:szCs w:val="21"/>
              </w:rPr>
              <w:t>空气中浓度超标时，建议佩戴自吸过滤式防毒面具(半面罩)。紧急事态抢救或撤离时,应佩戴空气呼吸器。</w:t>
            </w:r>
          </w:p>
          <w:p>
            <w:pPr>
              <w:adjustRightInd w:val="0"/>
              <w:snapToGrid w:val="0"/>
              <w:rPr>
                <w:rFonts w:ascii="宋体" w:hAnsi="宋体"/>
                <w:szCs w:val="21"/>
              </w:rPr>
            </w:pPr>
            <w:r>
              <w:rPr>
                <w:rFonts w:ascii="宋体" w:hAnsi="宋体"/>
                <w:b/>
                <w:bCs/>
                <w:szCs w:val="21"/>
              </w:rPr>
              <w:t>眼睛防护：</w:t>
            </w:r>
            <w:r>
              <w:rPr>
                <w:rFonts w:ascii="宋体" w:hAnsi="宋体"/>
                <w:szCs w:val="21"/>
              </w:rPr>
              <w:t>必要时戴化学安全防护眼镜。</w:t>
            </w:r>
          </w:p>
          <w:p>
            <w:pPr>
              <w:adjustRightInd w:val="0"/>
              <w:snapToGrid w:val="0"/>
              <w:rPr>
                <w:rFonts w:ascii="宋体" w:hAnsi="宋体"/>
                <w:szCs w:val="21"/>
              </w:rPr>
            </w:pPr>
            <w:r>
              <w:rPr>
                <w:rFonts w:ascii="宋体" w:hAnsi="宋体"/>
                <w:b/>
                <w:bCs/>
                <w:szCs w:val="21"/>
              </w:rPr>
              <w:t>身体防护：</w:t>
            </w:r>
            <w:r>
              <w:rPr>
                <w:rFonts w:ascii="宋体" w:hAnsi="宋体"/>
                <w:szCs w:val="21"/>
              </w:rPr>
              <w:t>穿一般作业工作服。</w:t>
            </w:r>
          </w:p>
          <w:p>
            <w:pPr>
              <w:adjustRightInd w:val="0"/>
              <w:snapToGrid w:val="0"/>
              <w:rPr>
                <w:rFonts w:ascii="宋体" w:hAnsi="宋体"/>
                <w:szCs w:val="21"/>
              </w:rPr>
            </w:pPr>
            <w:r>
              <w:rPr>
                <w:rFonts w:ascii="宋体" w:hAnsi="宋体"/>
                <w:b/>
                <w:bCs/>
                <w:szCs w:val="21"/>
              </w:rPr>
              <w:t>手 防 护：</w:t>
            </w:r>
            <w:r>
              <w:rPr>
                <w:rFonts w:ascii="宋体" w:hAnsi="宋体"/>
                <w:szCs w:val="21"/>
              </w:rPr>
              <w:t>戴橡胶耐油手套。</w:t>
            </w:r>
          </w:p>
          <w:p>
            <w:pPr>
              <w:adjustRightInd w:val="0"/>
              <w:snapToGrid w:val="0"/>
              <w:rPr>
                <w:rFonts w:ascii="宋体" w:hAnsi="宋体"/>
                <w:szCs w:val="21"/>
              </w:rPr>
            </w:pPr>
            <w:r>
              <w:rPr>
                <w:rFonts w:ascii="宋体" w:hAnsi="宋体"/>
                <w:b/>
                <w:bCs/>
                <w:szCs w:val="21"/>
              </w:rPr>
              <w:t>其它防护：</w:t>
            </w:r>
            <w:r>
              <w:rPr>
                <w:rFonts w:ascii="宋体" w:hAnsi="宋体"/>
                <w:szCs w:val="21"/>
              </w:rPr>
              <w:t>工作现场禁止吸烟。避免长期反复接触。</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szCs w:val="21"/>
              </w:rPr>
            </w:pPr>
            <w:r>
              <w:rPr>
                <w:rFonts w:ascii="宋体" w:hAnsi="宋体"/>
                <w:b/>
                <w:bCs/>
                <w:szCs w:val="21"/>
              </w:rPr>
              <w:t>泄</w:t>
            </w:r>
          </w:p>
          <w:p>
            <w:pPr>
              <w:adjustRightInd w:val="0"/>
              <w:snapToGrid w:val="0"/>
              <w:jc w:val="center"/>
              <w:rPr>
                <w:rFonts w:ascii="宋体" w:hAnsi="宋体"/>
                <w:b/>
                <w:bCs/>
                <w:szCs w:val="21"/>
              </w:rPr>
            </w:pPr>
            <w:r>
              <w:rPr>
                <w:rFonts w:ascii="宋体" w:hAnsi="宋体"/>
                <w:b/>
                <w:bCs/>
                <w:szCs w:val="21"/>
              </w:rPr>
              <w:t>漏</w:t>
            </w:r>
          </w:p>
          <w:p>
            <w:pPr>
              <w:adjustRightInd w:val="0"/>
              <w:snapToGrid w:val="0"/>
              <w:jc w:val="center"/>
              <w:rPr>
                <w:rFonts w:ascii="宋体" w:hAnsi="宋体"/>
                <w:b/>
                <w:bCs/>
                <w:szCs w:val="21"/>
              </w:rPr>
            </w:pPr>
            <w:r>
              <w:rPr>
                <w:rFonts w:ascii="宋体" w:hAnsi="宋体"/>
                <w:b/>
                <w:bCs/>
                <w:szCs w:val="21"/>
              </w:rPr>
              <w:t>处</w:t>
            </w:r>
          </w:p>
          <w:p>
            <w:pPr>
              <w:adjustRightInd w:val="0"/>
              <w:snapToGrid w:val="0"/>
              <w:jc w:val="center"/>
              <w:rPr>
                <w:rFonts w:ascii="宋体" w:hAnsi="宋体"/>
                <w:szCs w:val="21"/>
              </w:rPr>
            </w:pPr>
            <w:r>
              <w:rPr>
                <w:rFonts w:ascii="宋体" w:hAnsi="宋体"/>
                <w:b/>
                <w:bCs/>
                <w:szCs w:val="21"/>
              </w:rPr>
              <w:t>理</w:t>
            </w:r>
          </w:p>
        </w:tc>
        <w:tc>
          <w:tcPr>
            <w:tcW w:w="7954" w:type="dxa"/>
            <w:noWrap w:val="0"/>
            <w:vAlign w:val="center"/>
          </w:tcPr>
          <w:p>
            <w:pPr>
              <w:adjustRightInd w:val="0"/>
              <w:snapToGrid w:val="0"/>
              <w:rPr>
                <w:rFonts w:ascii="宋体" w:hAnsi="宋体"/>
                <w:szCs w:val="21"/>
              </w:rPr>
            </w:pPr>
            <w:r>
              <w:rPr>
                <w:rFonts w:ascii="宋体" w:hAnsi="宋体"/>
                <w:b/>
                <w:bCs/>
                <w:szCs w:val="21"/>
              </w:rPr>
              <w:t>应急行动：</w:t>
            </w:r>
            <w:r>
              <w:rPr>
                <w:rFonts w:ascii="宋体" w:hAnsi="宋体"/>
                <w:szCs w:val="21"/>
              </w:rPr>
              <w:t>迅速撤离泄漏污染区人员至安全区，并进行隔离，严格限制出入。切断火源。建议应急处理人员戴自给正压式呼吸器，穿一般作业工作服。尽可能切断泄漏源。防止流入下水道、排洪沟等限制性空间。小量泄漏：用活性炭或其它惰性材料吸收。大量泄漏：构筑围堤或挖坑收容。用防爆泵转移至槽车或专用收集容器内，回收或运至废物处理场所处置。</w:t>
            </w:r>
          </w:p>
        </w:tc>
      </w:tr>
    </w:tbl>
    <w:p>
      <w:pPr>
        <w:adjustRightInd w:val="0"/>
        <w:snapToGrid w:val="0"/>
        <w:spacing w:line="360" w:lineRule="auto"/>
        <w:ind w:firstLine="560" w:firstLineChars="200"/>
        <w:rPr>
          <w:rFonts w:hint="eastAsia"/>
          <w:sz w:val="28"/>
          <w:szCs w:val="28"/>
        </w:rPr>
      </w:pPr>
    </w:p>
    <w:p>
      <w:pPr>
        <w:pStyle w:val="8"/>
        <w:spacing w:line="360" w:lineRule="auto"/>
        <w:ind w:firstLine="0" w:firstLineChars="0"/>
        <w:outlineLvl w:val="2"/>
        <w:rPr>
          <w:rFonts w:hint="eastAsia" w:ascii="宋体" w:hAnsi="宋体"/>
          <w:b/>
          <w:snapToGrid w:val="0"/>
          <w:kern w:val="0"/>
          <w:sz w:val="28"/>
          <w:szCs w:val="28"/>
          <w:lang w:val="en-US" w:eastAsia="zh-CN"/>
        </w:rPr>
      </w:pPr>
      <w:bookmarkStart w:id="142" w:name="_Toc475363997"/>
      <w:bookmarkStart w:id="143" w:name="_Toc513735551"/>
      <w:bookmarkStart w:id="144" w:name="_Toc515659434"/>
      <w:bookmarkStart w:id="145" w:name="_Toc21791"/>
      <w:bookmarkStart w:id="146" w:name="_Toc511994825"/>
      <w:r>
        <w:rPr>
          <w:rFonts w:hint="eastAsia" w:ascii="宋体" w:hAnsi="宋体"/>
          <w:b/>
          <w:snapToGrid w:val="0"/>
          <w:kern w:val="0"/>
          <w:sz w:val="28"/>
          <w:szCs w:val="28"/>
          <w:lang w:val="en-US" w:eastAsia="zh-CN"/>
        </w:rPr>
        <w:t>3.4.7 氧气安全数据表</w:t>
      </w:r>
      <w:bookmarkEnd w:id="142"/>
      <w:bookmarkEnd w:id="143"/>
      <w:bookmarkEnd w:id="144"/>
      <w:bookmarkEnd w:id="145"/>
    </w:p>
    <w:p>
      <w:pPr>
        <w:pStyle w:val="32"/>
        <w:rPr>
          <w:rFonts w:eastAsia="黑体"/>
          <w:sz w:val="24"/>
          <w:szCs w:val="24"/>
        </w:rPr>
      </w:pPr>
      <w:r>
        <w:rPr>
          <w:rFonts w:eastAsia="黑体"/>
          <w:sz w:val="24"/>
          <w:szCs w:val="24"/>
        </w:rPr>
        <w:t>表3-</w:t>
      </w:r>
      <w:r>
        <w:rPr>
          <w:rFonts w:hint="eastAsia" w:eastAsia="黑体"/>
          <w:sz w:val="24"/>
          <w:szCs w:val="24"/>
        </w:rPr>
        <w:t>2</w:t>
      </w:r>
      <w:r>
        <w:rPr>
          <w:rFonts w:eastAsia="黑体"/>
          <w:sz w:val="24"/>
          <w:szCs w:val="24"/>
        </w:rPr>
        <w:t xml:space="preserve"> 氧气安全数据表</w:t>
      </w:r>
    </w:p>
    <w:tbl>
      <w:tblPr>
        <w:tblStyle w:val="19"/>
        <w:tblW w:w="8336"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76"/>
        <w:gridCol w:w="1947"/>
        <w:gridCol w:w="531"/>
        <w:gridCol w:w="788"/>
        <w:gridCol w:w="255"/>
        <w:gridCol w:w="43"/>
        <w:gridCol w:w="220"/>
        <w:gridCol w:w="436"/>
        <w:gridCol w:w="967"/>
        <w:gridCol w:w="229"/>
        <w:gridCol w:w="408"/>
        <w:gridCol w:w="203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标识</w:t>
            </w: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中文名：氧气</w:t>
            </w:r>
          </w:p>
        </w:tc>
        <w:tc>
          <w:tcPr>
            <w:tcW w:w="5382" w:type="dxa"/>
            <w:gridSpan w:val="9"/>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英文名：oxygen</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CAS号：7782-44-7</w:t>
            </w:r>
          </w:p>
        </w:tc>
        <w:tc>
          <w:tcPr>
            <w:tcW w:w="3346" w:type="dxa"/>
            <w:gridSpan w:val="8"/>
            <w:noWrap w:val="0"/>
            <w:tcMar>
              <w:top w:w="15" w:type="dxa"/>
              <w:left w:w="15" w:type="dxa"/>
              <w:bottom w:w="15" w:type="dxa"/>
              <w:right w:w="15" w:type="dxa"/>
            </w:tcMar>
            <w:vAlign w:val="center"/>
          </w:tcPr>
          <w:p>
            <w:pPr>
              <w:spacing w:line="260" w:lineRule="exact"/>
              <w:rPr>
                <w:rFonts w:ascii="宋体" w:hAnsi="宋体"/>
                <w:szCs w:val="21"/>
              </w:rPr>
            </w:pPr>
            <w:r>
              <w:rPr>
                <w:rFonts w:hint="eastAsia" w:ascii="宋体" w:hAnsi="宋体"/>
                <w:szCs w:val="21"/>
              </w:rPr>
              <w:t>危规</w:t>
            </w:r>
            <w:r>
              <w:rPr>
                <w:rFonts w:ascii="宋体" w:hAnsi="宋体"/>
                <w:szCs w:val="21"/>
              </w:rPr>
              <w:t>编号：</w:t>
            </w:r>
            <w:r>
              <w:rPr>
                <w:rFonts w:hint="eastAsia" w:ascii="宋体" w:hAnsi="宋体"/>
                <w:szCs w:val="21"/>
              </w:rPr>
              <w:t>2528</w:t>
            </w:r>
          </w:p>
        </w:tc>
        <w:tc>
          <w:tcPr>
            <w:tcW w:w="2036"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危险货物编号：22001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理化性质</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性状：无色无臭气体。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主要用途：用于切割、焊接金属，制造医药、染料、炸药等。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相对密度(水=1)：</w:t>
            </w:r>
          </w:p>
          <w:p>
            <w:pPr>
              <w:spacing w:line="260" w:lineRule="exact"/>
              <w:rPr>
                <w:rFonts w:ascii="宋体" w:hAnsi="宋体"/>
                <w:szCs w:val="21"/>
              </w:rPr>
            </w:pPr>
            <w:r>
              <w:rPr>
                <w:rFonts w:ascii="宋体" w:hAnsi="宋体"/>
                <w:szCs w:val="21"/>
              </w:rPr>
              <w:t>1.14（-183℃）</w:t>
            </w:r>
          </w:p>
        </w:tc>
        <w:tc>
          <w:tcPr>
            <w:tcW w:w="2938"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饱和蒸汽压(kPa)：506.62（-164℃）</w:t>
            </w:r>
          </w:p>
        </w:tc>
        <w:tc>
          <w:tcPr>
            <w:tcW w:w="2444"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临界温度(℃)：-118.4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相对密度(空气=1): 1.43</w:t>
            </w:r>
          </w:p>
        </w:tc>
        <w:tc>
          <w:tcPr>
            <w:tcW w:w="2938"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闪点(℃)：不适用</w:t>
            </w:r>
          </w:p>
        </w:tc>
        <w:tc>
          <w:tcPr>
            <w:tcW w:w="2444"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临界压力(MPa)：5.08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34" w:hRule="atLeast"/>
        </w:trPr>
        <w:tc>
          <w:tcPr>
            <w:tcW w:w="476" w:type="dxa"/>
            <w:vMerge w:val="continue"/>
            <w:noWrap w:val="0"/>
            <w:vAlign w:val="center"/>
          </w:tcPr>
          <w:p>
            <w:pPr>
              <w:spacing w:line="260" w:lineRule="exact"/>
              <w:rPr>
                <w:rFonts w:ascii="宋体" w:hAnsi="宋体"/>
                <w:szCs w:val="21"/>
              </w:rPr>
            </w:pPr>
          </w:p>
        </w:tc>
        <w:tc>
          <w:tcPr>
            <w:tcW w:w="3784" w:type="dxa"/>
            <w:gridSpan w:val="6"/>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熔点：-218.8</w:t>
            </w:r>
          </w:p>
        </w:tc>
        <w:tc>
          <w:tcPr>
            <w:tcW w:w="4076" w:type="dxa"/>
            <w:gridSpan w:val="5"/>
            <w:noWrap w:val="0"/>
            <w:vAlign w:val="center"/>
          </w:tcPr>
          <w:p>
            <w:pPr>
              <w:spacing w:line="260" w:lineRule="exact"/>
              <w:rPr>
                <w:rFonts w:ascii="宋体" w:hAnsi="宋体"/>
                <w:szCs w:val="21"/>
              </w:rPr>
            </w:pPr>
            <w:r>
              <w:rPr>
                <w:rFonts w:ascii="宋体" w:hAnsi="宋体"/>
                <w:szCs w:val="21"/>
              </w:rPr>
              <w:t>沸点：-183.1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19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溶解性：溶于水、乙醇。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危险特性：是易燃物、可燃物燃烧爆炸的基本要素之一, 能氧化大多数活性物质。与易燃物（如乙炔、甲烷等）形成有爆炸性的混合物。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1947"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燃烧分解产物：无数据</w:t>
            </w:r>
          </w:p>
        </w:tc>
        <w:tc>
          <w:tcPr>
            <w:tcW w:w="1319"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稳定性：无数据</w:t>
            </w:r>
          </w:p>
        </w:tc>
        <w:tc>
          <w:tcPr>
            <w:tcW w:w="1921" w:type="dxa"/>
            <w:gridSpan w:val="5"/>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聚合危害：无数据</w:t>
            </w:r>
          </w:p>
        </w:tc>
        <w:tc>
          <w:tcPr>
            <w:tcW w:w="2673" w:type="dxa"/>
            <w:gridSpan w:val="3"/>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禁忌物：易燃或可燃物、活性金属粉末、乙炔。</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6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灭火方法：用水保持容器冷却，以防受热爆炸，急剧助长火势。迅速切断气源，用水喷淋保护切断气源的人员，然后根据着火原因选择适当灭火剂灭火。</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危害</w:t>
            </w:r>
          </w:p>
        </w:tc>
        <w:tc>
          <w:tcPr>
            <w:tcW w:w="3521" w:type="dxa"/>
            <w:gridSpan w:val="4"/>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危险性类别：第2.2类 不燃气体</w:t>
            </w:r>
          </w:p>
        </w:tc>
        <w:tc>
          <w:tcPr>
            <w:tcW w:w="4339" w:type="dxa"/>
            <w:gridSpan w:val="7"/>
            <w:noWrap w:val="0"/>
            <w:vAlign w:val="center"/>
          </w:tcPr>
          <w:p>
            <w:pPr>
              <w:spacing w:line="260" w:lineRule="exact"/>
              <w:rPr>
                <w:rFonts w:ascii="宋体" w:hAnsi="宋体"/>
                <w:szCs w:val="21"/>
              </w:rPr>
            </w:pPr>
            <w:r>
              <w:rPr>
                <w:rFonts w:ascii="宋体" w:hAnsi="宋体"/>
                <w:szCs w:val="21"/>
              </w:rPr>
              <w:t>侵入途径：无数据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健康危害：常压下，当氧的浓度超过40％时，有可能发生氧中毒。吸入40％～60％的氧时，出现胸骨后不适感、轻咳，进而胸闷、胸骨后烧灼感和呼吸困难，咳嗽加剧；严重时可发生肺水肿，甚至出现呼吸窘迫综合征。吸入氧浓度在80％以上时，出现面部肌肉抽动、面色苍白、眩晕、心动过速、虚脱，继而全身强直性抽搐、昏迷、呼吸衰竭而死亡。长期处于氧分压为60～100kPa（相当于吸入氧浓度40％左右）的条件下可发生眼损害，严重者可失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75"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燃爆危险：本品助燃。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69"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包装与储运</w:t>
            </w:r>
          </w:p>
        </w:tc>
        <w:tc>
          <w:tcPr>
            <w:tcW w:w="3564" w:type="dxa"/>
            <w:gridSpan w:val="5"/>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危险货物包装标志：无数据</w:t>
            </w:r>
          </w:p>
        </w:tc>
        <w:tc>
          <w:tcPr>
            <w:tcW w:w="4296" w:type="dxa"/>
            <w:gridSpan w:val="6"/>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包装类别：O53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7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钢质气瓶包装。氧气钢瓶不得沾污油脂。采用刚瓶运输时必须戴好钢瓶上的安全帽。钢瓶一般平放，并应将瓶口朝同一方向，不可交叉；高度不得超过车辆的防护栏板，并用三角木垫卡牢，防止滚动。严禁与易燃物或可燃物、活性金属粉末等混装混运。夏季应早晚运输，防止日光曝晒。铁路运输时要禁止溜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急救措施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眼睛接触：无数据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皮肤接触：无数据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食入：无数据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吸入：迅速脱离现场至空气新鲜处。保持呼吸道通畅。如呼吸停止，立即进行人工呼吸。就医。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防护措施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工程控制：密闭操作。提供良好的自然通风条件。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眼睛防护：一般不需特殊防护。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呼吸系统防护：一般不需特殊防护。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4220"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身体防护：穿一般作业工作服。</w:t>
            </w:r>
          </w:p>
        </w:tc>
        <w:tc>
          <w:tcPr>
            <w:tcW w:w="3640" w:type="dxa"/>
            <w:gridSpan w:val="4"/>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手防护：戴一般作业防护手套。</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其它防护：避免高浓度吸入。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59" w:hRule="atLeast"/>
        </w:trPr>
        <w:tc>
          <w:tcPr>
            <w:tcW w:w="476"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泄漏处理</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迅速撤离泄漏污染区人员至上风处，并进行隔离，严格限制出入。切断火源。建议应急处理人员戴自给正压式呼吸器，穿一般作业工作服。避免与可燃物或易燃物接触。尽可能切断泄漏源。合理通风，加速扩散。漏气容器要妥善处理，修复、检验后再用。</w:t>
            </w:r>
          </w:p>
        </w:tc>
      </w:tr>
    </w:tbl>
    <w:p>
      <w:bookmarkStart w:id="147" w:name="_Toc321298550"/>
    </w:p>
    <w:p>
      <w:pPr>
        <w:pStyle w:val="8"/>
        <w:spacing w:line="360" w:lineRule="auto"/>
        <w:ind w:firstLine="0" w:firstLineChars="0"/>
        <w:outlineLvl w:val="2"/>
        <w:rPr>
          <w:rFonts w:hint="eastAsia" w:ascii="宋体" w:hAnsi="宋体"/>
          <w:b/>
          <w:snapToGrid w:val="0"/>
          <w:kern w:val="0"/>
          <w:sz w:val="28"/>
          <w:szCs w:val="28"/>
          <w:lang w:val="en-US" w:eastAsia="zh-CN"/>
        </w:rPr>
      </w:pPr>
      <w:bookmarkStart w:id="148" w:name="_Toc513735552"/>
      <w:bookmarkStart w:id="149" w:name="_Toc515659435"/>
      <w:bookmarkStart w:id="150" w:name="_Toc475363998"/>
      <w:bookmarkStart w:id="151" w:name="_Toc4219"/>
      <w:r>
        <w:rPr>
          <w:rFonts w:hint="eastAsia" w:ascii="宋体" w:hAnsi="宋体"/>
          <w:b/>
          <w:snapToGrid w:val="0"/>
          <w:kern w:val="0"/>
          <w:sz w:val="28"/>
          <w:szCs w:val="28"/>
          <w:lang w:val="en-US" w:eastAsia="zh-CN"/>
        </w:rPr>
        <w:t>3.4.8 乙炔安全数据表</w:t>
      </w:r>
      <w:bookmarkEnd w:id="147"/>
      <w:bookmarkEnd w:id="148"/>
      <w:bookmarkEnd w:id="149"/>
      <w:bookmarkEnd w:id="150"/>
      <w:bookmarkEnd w:id="151"/>
    </w:p>
    <w:p>
      <w:pPr>
        <w:pStyle w:val="32"/>
        <w:rPr>
          <w:rFonts w:eastAsia="黑体"/>
          <w:sz w:val="24"/>
          <w:szCs w:val="24"/>
        </w:rPr>
      </w:pPr>
      <w:r>
        <w:rPr>
          <w:rFonts w:hint="eastAsia" w:eastAsia="黑体"/>
          <w:sz w:val="24"/>
          <w:szCs w:val="24"/>
        </w:rPr>
        <w:t>表</w:t>
      </w:r>
      <w:r>
        <w:rPr>
          <w:rFonts w:eastAsia="黑体"/>
          <w:sz w:val="24"/>
          <w:szCs w:val="24"/>
        </w:rPr>
        <w:t>3-</w:t>
      </w:r>
      <w:r>
        <w:rPr>
          <w:rFonts w:hint="eastAsia" w:eastAsia="黑体"/>
          <w:sz w:val="24"/>
          <w:szCs w:val="24"/>
        </w:rPr>
        <w:t>3</w:t>
      </w:r>
      <w:r>
        <w:rPr>
          <w:rFonts w:eastAsia="黑体"/>
          <w:sz w:val="24"/>
          <w:szCs w:val="24"/>
        </w:rPr>
        <w:t xml:space="preserve"> 乙炔安全数据表</w:t>
      </w:r>
    </w:p>
    <w:tbl>
      <w:tblPr>
        <w:tblStyle w:val="19"/>
        <w:tblW w:w="8336"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76"/>
        <w:gridCol w:w="1947"/>
        <w:gridCol w:w="531"/>
        <w:gridCol w:w="788"/>
        <w:gridCol w:w="255"/>
        <w:gridCol w:w="43"/>
        <w:gridCol w:w="220"/>
        <w:gridCol w:w="436"/>
        <w:gridCol w:w="967"/>
        <w:gridCol w:w="229"/>
        <w:gridCol w:w="408"/>
        <w:gridCol w:w="203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标 识</w:t>
            </w: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中文名：乙炔</w:t>
            </w:r>
          </w:p>
        </w:tc>
        <w:tc>
          <w:tcPr>
            <w:tcW w:w="5382" w:type="dxa"/>
            <w:gridSpan w:val="9"/>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英文名：acetylene</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CAS号：74-86-2</w:t>
            </w:r>
          </w:p>
        </w:tc>
        <w:tc>
          <w:tcPr>
            <w:tcW w:w="3346" w:type="dxa"/>
            <w:gridSpan w:val="8"/>
            <w:noWrap w:val="0"/>
            <w:tcMar>
              <w:top w:w="15" w:type="dxa"/>
              <w:left w:w="15" w:type="dxa"/>
              <w:bottom w:w="15" w:type="dxa"/>
              <w:right w:w="15" w:type="dxa"/>
            </w:tcMar>
            <w:vAlign w:val="center"/>
          </w:tcPr>
          <w:p>
            <w:pPr>
              <w:spacing w:line="260" w:lineRule="exact"/>
              <w:rPr>
                <w:rFonts w:ascii="宋体" w:hAnsi="宋体"/>
                <w:szCs w:val="21"/>
              </w:rPr>
            </w:pPr>
            <w:r>
              <w:rPr>
                <w:rFonts w:hint="eastAsia" w:ascii="宋体" w:hAnsi="宋体"/>
                <w:szCs w:val="21"/>
              </w:rPr>
              <w:t>危规</w:t>
            </w:r>
            <w:r>
              <w:rPr>
                <w:rFonts w:ascii="宋体" w:hAnsi="宋体"/>
                <w:szCs w:val="21"/>
              </w:rPr>
              <w:t>编号：</w:t>
            </w:r>
            <w:r>
              <w:rPr>
                <w:rFonts w:hint="eastAsia" w:ascii="宋体" w:hAnsi="宋体"/>
                <w:szCs w:val="21"/>
              </w:rPr>
              <w:t>2629</w:t>
            </w:r>
          </w:p>
        </w:tc>
        <w:tc>
          <w:tcPr>
            <w:tcW w:w="2036"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危险货物编号：21024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理化性质</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性状：无色无臭气体，工业品有使人不愉快的大蒜气味。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主要用途：是有机合成的重要原料之一。亦是合成橡胶、合成纤维和塑料的单体，也用于氧炔焊割。</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相对密度(水=1)：0.62</w:t>
            </w:r>
          </w:p>
        </w:tc>
        <w:tc>
          <w:tcPr>
            <w:tcW w:w="2938"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饱和蒸汽压(kPa)：4053（16.8℃）</w:t>
            </w:r>
          </w:p>
        </w:tc>
        <w:tc>
          <w:tcPr>
            <w:tcW w:w="2444"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临界温度(℃)：35.2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相对密度(空气=1): 0.91</w:t>
            </w:r>
          </w:p>
        </w:tc>
        <w:tc>
          <w:tcPr>
            <w:tcW w:w="2938"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闪点(℃)：不适用</w:t>
            </w:r>
          </w:p>
        </w:tc>
        <w:tc>
          <w:tcPr>
            <w:tcW w:w="2444"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临界压力(MPa)：6.14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34" w:hRule="atLeast"/>
        </w:trPr>
        <w:tc>
          <w:tcPr>
            <w:tcW w:w="476" w:type="dxa"/>
            <w:vMerge w:val="continue"/>
            <w:noWrap w:val="0"/>
            <w:vAlign w:val="center"/>
          </w:tcPr>
          <w:p>
            <w:pPr>
              <w:spacing w:line="260" w:lineRule="exact"/>
              <w:rPr>
                <w:rFonts w:ascii="宋体" w:hAnsi="宋体"/>
                <w:szCs w:val="21"/>
              </w:rPr>
            </w:pPr>
          </w:p>
        </w:tc>
        <w:tc>
          <w:tcPr>
            <w:tcW w:w="3784" w:type="dxa"/>
            <w:gridSpan w:val="6"/>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熔点：-81.8（119kPa）</w:t>
            </w:r>
          </w:p>
        </w:tc>
        <w:tc>
          <w:tcPr>
            <w:tcW w:w="4076" w:type="dxa"/>
            <w:gridSpan w:val="5"/>
            <w:noWrap w:val="0"/>
            <w:vAlign w:val="center"/>
          </w:tcPr>
          <w:p>
            <w:pPr>
              <w:spacing w:line="260" w:lineRule="exact"/>
              <w:rPr>
                <w:rFonts w:ascii="宋体" w:hAnsi="宋体"/>
                <w:szCs w:val="21"/>
              </w:rPr>
            </w:pPr>
            <w:r>
              <w:rPr>
                <w:rFonts w:ascii="宋体" w:hAnsi="宋体"/>
                <w:szCs w:val="21"/>
              </w:rPr>
              <w:t>沸点：-83.8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19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溶解性：微溶于水、乙醇，溶于丙酮、氯仿、苯。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危险特性：极易燃烧爆炸。与空气混合能形成爆炸性混合物，遇明火、高热能引起燃烧爆炸。与氧化剂接触猛烈反应。与氟、氯等接触会发生剧烈的化学反应。能与铜、银、汞等的化合物生成爆炸性物质。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1947"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燃烧分解产物：一氧化碳、二氧化碳。</w:t>
            </w:r>
          </w:p>
        </w:tc>
        <w:tc>
          <w:tcPr>
            <w:tcW w:w="1319"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稳定性：稳定</w:t>
            </w:r>
          </w:p>
        </w:tc>
        <w:tc>
          <w:tcPr>
            <w:tcW w:w="1921" w:type="dxa"/>
            <w:gridSpan w:val="5"/>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聚合危害：</w:t>
            </w:r>
          </w:p>
        </w:tc>
        <w:tc>
          <w:tcPr>
            <w:tcW w:w="2673" w:type="dxa"/>
            <w:gridSpan w:val="3"/>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禁忌物：强氧化剂、强酸、卤素。</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6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灭火方法：切断气源。若不能切断气源，则不允许熄灭泄漏处的火焰。喷水冷却容器，可能的话将容器从火场移至空旷处。灭火剂：雾状水、泡沫、二氧化碳、干粉。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危害</w:t>
            </w:r>
          </w:p>
        </w:tc>
        <w:tc>
          <w:tcPr>
            <w:tcW w:w="3521" w:type="dxa"/>
            <w:gridSpan w:val="4"/>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危险性类别：第2.1类 易燃气体</w:t>
            </w:r>
          </w:p>
        </w:tc>
        <w:tc>
          <w:tcPr>
            <w:tcW w:w="4339" w:type="dxa"/>
            <w:gridSpan w:val="7"/>
            <w:noWrap w:val="0"/>
            <w:vAlign w:val="center"/>
          </w:tcPr>
          <w:p>
            <w:pPr>
              <w:spacing w:line="260" w:lineRule="exact"/>
              <w:rPr>
                <w:rFonts w:ascii="宋体" w:hAnsi="宋体"/>
                <w:szCs w:val="21"/>
              </w:rPr>
            </w:pPr>
            <w:r>
              <w:rPr>
                <w:rFonts w:ascii="宋体" w:hAnsi="宋体"/>
                <w:szCs w:val="21"/>
              </w:rPr>
              <w:t>侵入途径：吸入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39"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健康危害：具有弱麻醉作用。高浓度吸入可引起单纯窒息。 急性中毒：暴露于20％浓度时，出现明显缺氧症状；吸入高浓度，初期兴奋、多语、哭笑不安，后出现眩晕、头痛、恶心、呕吐、共济失调、嗜睡；严重者昏迷、紫绀、瞳孔对光反应消失、脉弱而不齐。当混有磷化氢、硫化氢时，毒性增大，应予以注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75"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燃爆危险：本品易燃，具窒息性。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包装与储运</w:t>
            </w:r>
          </w:p>
        </w:tc>
        <w:tc>
          <w:tcPr>
            <w:tcW w:w="3564" w:type="dxa"/>
            <w:gridSpan w:val="5"/>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危险货物包装标志：易燃气体</w:t>
            </w:r>
          </w:p>
        </w:tc>
        <w:tc>
          <w:tcPr>
            <w:tcW w:w="4296" w:type="dxa"/>
            <w:gridSpan w:val="6"/>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包装类别：O52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7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乙炔的包装法通常是溶解在溶剂及多孔物中, 装入钢瓶内。储存于阴凉、通风的库房。远离火种、热源。库温不宜超过30℃。应与氧化剂、酸类、卤素分开存放，切忌混储。采用防爆型照明、通风设施。禁止使用易产生火花的机械设备和工具。储区应备有泄漏应急处理设备。</w:t>
            </w:r>
          </w:p>
          <w:p>
            <w:pPr>
              <w:spacing w:line="260" w:lineRule="exact"/>
              <w:rPr>
                <w:rFonts w:ascii="宋体" w:hAnsi="宋体"/>
                <w:szCs w:val="21"/>
              </w:rPr>
            </w:pPr>
            <w:r>
              <w:rPr>
                <w:rFonts w:ascii="宋体" w:hAnsi="宋体"/>
                <w:szCs w:val="21"/>
              </w:rPr>
              <w:t>采用刚瓶运输时必须戴好钢瓶上的安全帽。钢瓶一般平放，并应将瓶口朝同一方向，不可交叉；高度不得超过车辆的防护栏板，并用三角木垫卡牢，防止滚动。运输时运输车辆应配备相应品种和数量的消防器材。装运该物品的车辆排气管必须配备阻火装置，禁止使用易产生火花的机械设备和工具装卸。严禁与氧化剂、酸类、卤素等混装混运。夏季应早晚运输，防止日光曝晒。中途停留时应远离火种、热源。公路运输时要按规定路线行驶，勿在居民区和人口稠密区停留。铁路运输时要禁止溜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急救措施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眼睛接触：无数据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皮肤接触：无数据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食入：无数据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吸入：迅速脱离现场至空气新鲜处。保持呼吸道通畅。如呼吸困难，给输氧。如呼吸停止，立即进行人工呼吸。就医。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防护措施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工程控制：生产过程密闭，全面通风。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眼睛防护：一般不需特殊防护。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呼吸系统防护：一般不需要特殊防护，但建议特殊情况下，佩戴自吸过滤式防毒面具（半面罩）。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4220"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身体防护：穿防静电工作服。</w:t>
            </w:r>
          </w:p>
        </w:tc>
        <w:tc>
          <w:tcPr>
            <w:tcW w:w="3640" w:type="dxa"/>
            <w:gridSpan w:val="4"/>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手防护：戴一般作业防护手套。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其它防护：无数据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59" w:hRule="atLeast"/>
        </w:trPr>
        <w:tc>
          <w:tcPr>
            <w:tcW w:w="476"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泄漏处理</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迅速撤离泄漏污染区人员至上风处，并进行隔离，严格限制出入。切断火源。建议应急处理人员戴自给正压式呼吸器，穿防静电工作服。尽可能切断泄漏源。合理通风，加速扩散。喷雾状水稀释、溶解。构筑围堤或挖坑收容产生的大量废水。如有可能，将漏出气用排风机送至空旷地方或装设适当喷头烧掉。漏气容器要妥善处理，修复、检验后再用。</w:t>
            </w:r>
          </w:p>
        </w:tc>
      </w:tr>
    </w:tbl>
    <w:p/>
    <w:p>
      <w:pPr>
        <w:pStyle w:val="8"/>
        <w:spacing w:line="360" w:lineRule="auto"/>
        <w:ind w:firstLine="0" w:firstLineChars="0"/>
        <w:outlineLvl w:val="1"/>
        <w:rPr>
          <w:rFonts w:hint="eastAsia" w:ascii="黑体" w:eastAsia="黑体"/>
          <w:b/>
          <w:snapToGrid w:val="0"/>
          <w:kern w:val="0"/>
          <w:sz w:val="32"/>
          <w:szCs w:val="32"/>
        </w:rPr>
      </w:pPr>
      <w:bookmarkStart w:id="152" w:name="_Toc515659436"/>
      <w:bookmarkStart w:id="153" w:name="_Toc23002"/>
      <w:r>
        <w:rPr>
          <w:rFonts w:hint="eastAsia" w:ascii="黑体" w:eastAsia="黑体"/>
          <w:b/>
          <w:snapToGrid w:val="0"/>
          <w:kern w:val="0"/>
          <w:sz w:val="32"/>
          <w:szCs w:val="32"/>
        </w:rPr>
        <w:t>3.5 生产过程危险有害因素分析和辨识</w:t>
      </w:r>
      <w:bookmarkEnd w:id="146"/>
      <w:bookmarkEnd w:id="152"/>
      <w:bookmarkEnd w:id="153"/>
    </w:p>
    <w:p>
      <w:pPr>
        <w:pStyle w:val="2"/>
      </w:pPr>
    </w:p>
    <w:p>
      <w:pPr>
        <w:pStyle w:val="8"/>
        <w:spacing w:line="360" w:lineRule="auto"/>
        <w:ind w:firstLine="0" w:firstLineChars="0"/>
        <w:outlineLvl w:val="1"/>
        <w:rPr>
          <w:rFonts w:hint="eastAsia" w:ascii="黑体" w:eastAsia="黑体"/>
          <w:b/>
          <w:snapToGrid w:val="0"/>
          <w:kern w:val="0"/>
          <w:sz w:val="32"/>
          <w:szCs w:val="32"/>
        </w:rPr>
      </w:pPr>
      <w:bookmarkStart w:id="154" w:name="_Toc356401492"/>
      <w:bookmarkStart w:id="155" w:name="_Toc356380979"/>
      <w:bookmarkStart w:id="156" w:name="_Toc514342847"/>
      <w:bookmarkStart w:id="157" w:name="_Toc332350851"/>
      <w:bookmarkStart w:id="158" w:name="_Toc345593160"/>
      <w:bookmarkStart w:id="159" w:name="_Toc480804395"/>
      <w:bookmarkStart w:id="160" w:name="_Toc18008"/>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5 生产过程危险有害因素分析和辨识</w:t>
      </w:r>
      <w:bookmarkEnd w:id="154"/>
      <w:bookmarkEnd w:id="155"/>
      <w:bookmarkEnd w:id="156"/>
      <w:bookmarkEnd w:id="157"/>
      <w:bookmarkEnd w:id="158"/>
      <w:bookmarkEnd w:id="159"/>
      <w:bookmarkEnd w:id="160"/>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根据现场检查及工艺过程分析，生产过程中危险有害因素分为：</w:t>
      </w:r>
    </w:p>
    <w:p>
      <w:pPr>
        <w:pStyle w:val="8"/>
        <w:spacing w:line="360" w:lineRule="auto"/>
        <w:ind w:firstLine="0" w:firstLineChars="0"/>
        <w:outlineLvl w:val="2"/>
        <w:rPr>
          <w:rFonts w:hint="eastAsia" w:ascii="宋体" w:hAnsi="宋体"/>
          <w:b/>
          <w:snapToGrid w:val="0"/>
          <w:kern w:val="0"/>
          <w:sz w:val="28"/>
          <w:szCs w:val="28"/>
        </w:rPr>
      </w:pPr>
      <w:bookmarkStart w:id="161" w:name="_Toc480804396"/>
      <w:bookmarkStart w:id="162" w:name="_Toc356380982"/>
      <w:bookmarkStart w:id="163" w:name="_Toc514342848"/>
      <w:bookmarkStart w:id="164" w:name="_Toc332350854"/>
      <w:bookmarkStart w:id="165" w:name="_Toc356401493"/>
      <w:bookmarkStart w:id="166" w:name="_Toc13886"/>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5.1 车辆事故</w:t>
      </w:r>
      <w:bookmarkEnd w:id="161"/>
      <w:bookmarkEnd w:id="162"/>
      <w:bookmarkEnd w:id="163"/>
      <w:bookmarkEnd w:id="164"/>
      <w:bookmarkEnd w:id="165"/>
      <w:bookmarkEnd w:id="166"/>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车辆伤害事故指企业机动车辆在行驶中引起的人体坠落和物体倒塌、坠落、挤压伤亡事故。</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车辆伤害事故的主要原因有</w:t>
      </w:r>
      <w:r>
        <w:rPr>
          <w:rFonts w:ascii="宋体" w:hAnsi="宋体"/>
          <w:snapToGrid w:val="0"/>
          <w:kern w:val="0"/>
          <w:sz w:val="28"/>
          <w:szCs w:val="28"/>
        </w:rPr>
        <w:t>:</w:t>
      </w:r>
      <w:r>
        <w:rPr>
          <w:rFonts w:hint="eastAsia" w:ascii="宋体" w:hAnsi="宋体"/>
          <w:snapToGrid w:val="0"/>
          <w:kern w:val="0"/>
          <w:sz w:val="28"/>
          <w:szCs w:val="28"/>
        </w:rPr>
        <w:t>①违章驾车：如酒后驾车、疲劳驾车、非驾驶员驾车、超速行驶、争道抢行、违章超车和超载等；②疏忽大意：如情绪急躁、精神分散、心理烦乱、身体不适等；③车况不好：如安全装置不齐全、工作装置工作不可靠、安全防护装置工作不可靠、车辆维护修理不及时、带“病”行驶等；④道路环境：如道路条件差、视线不良、在恶劣的气候条件下行驶等；⑤管理因素：如车辆安全行驶制度不落实、管理规章制度或操作规程不健全、车辆维修不及时、交通信号、标志、设施缺陷等。</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企业可能发生的车辆伤害事故：矿车行驶中撞击或挤压到人员；人员从行驶中的车辆上坠落；挖掘设备给矿车装过大的大块或矿车装料时由于停放处坑洼不平等造成矿车翻倒事故；交叉路口或超车或会车时发生车辆相撞事故；矿车倒车排废时由于车上的大块卡住车斗或操作不当或发生滑坡、塌方造成矿车翻下山；矿车行驶中轮胎</w:t>
      </w:r>
      <w:r>
        <w:rPr>
          <w:rFonts w:ascii="宋体" w:hAnsi="宋体"/>
          <w:snapToGrid w:val="0"/>
          <w:kern w:val="0"/>
          <w:sz w:val="28"/>
          <w:szCs w:val="28"/>
        </w:rPr>
        <w:t>"</w:t>
      </w:r>
      <w:r>
        <w:rPr>
          <w:rFonts w:hint="eastAsia" w:ascii="宋体" w:hAnsi="宋体"/>
          <w:snapToGrid w:val="0"/>
          <w:kern w:val="0"/>
          <w:sz w:val="28"/>
          <w:szCs w:val="28"/>
        </w:rPr>
        <w:t>突爆</w:t>
      </w:r>
      <w:r>
        <w:rPr>
          <w:rFonts w:ascii="宋体" w:hAnsi="宋体"/>
          <w:snapToGrid w:val="0"/>
          <w:kern w:val="0"/>
          <w:sz w:val="28"/>
          <w:szCs w:val="28"/>
        </w:rPr>
        <w:t>"</w:t>
      </w:r>
      <w:r>
        <w:rPr>
          <w:rFonts w:hint="eastAsia" w:ascii="宋体" w:hAnsi="宋体"/>
          <w:snapToGrid w:val="0"/>
          <w:kern w:val="0"/>
          <w:sz w:val="28"/>
          <w:szCs w:val="28"/>
        </w:rPr>
        <w:t>造成翻车等事故的发生；挖掘设备上下坡或在坡上作业时发生倾倒事故；挖掘设备回转过程中或卸料时铲斗碰到矿车驾驶室或其它部位造成事故。</w:t>
      </w:r>
    </w:p>
    <w:p>
      <w:pPr>
        <w:spacing w:line="360" w:lineRule="auto"/>
        <w:ind w:firstLine="560" w:firstLineChars="200"/>
        <w:rPr>
          <w:rFonts w:hint="eastAsia"/>
          <w:sz w:val="28"/>
          <w:szCs w:val="28"/>
        </w:rPr>
      </w:pPr>
      <w:r>
        <w:rPr>
          <w:rFonts w:hint="eastAsia"/>
          <w:sz w:val="28"/>
          <w:szCs w:val="28"/>
        </w:rPr>
        <w:t>砖瓦厂在原料（泥土、煤渣）运输堆积、半成品及成品砖运输等过程中，各种车辆来往频繁。车辆的装载和驾驶、车辆及驾驶员的管理等方面的缺陷均可能引发车辆伤害事故。</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车辆伤害后果是人员的伤亡和设备物品的损毁。</w:t>
      </w:r>
    </w:p>
    <w:p>
      <w:pPr>
        <w:pStyle w:val="8"/>
        <w:spacing w:line="360" w:lineRule="auto"/>
        <w:ind w:firstLine="0" w:firstLineChars="0"/>
        <w:outlineLvl w:val="2"/>
        <w:rPr>
          <w:rFonts w:hint="eastAsia" w:ascii="宋体" w:hAnsi="宋体"/>
          <w:b/>
          <w:snapToGrid w:val="0"/>
          <w:kern w:val="0"/>
          <w:sz w:val="28"/>
          <w:szCs w:val="28"/>
        </w:rPr>
      </w:pPr>
      <w:bookmarkStart w:id="167" w:name="_Toc356380983"/>
      <w:bookmarkStart w:id="168" w:name="_Toc332350855"/>
      <w:bookmarkStart w:id="169" w:name="_Toc480804397"/>
      <w:bookmarkStart w:id="170" w:name="_Toc514342849"/>
      <w:bookmarkStart w:id="171" w:name="_Toc356401494"/>
      <w:bookmarkStart w:id="172" w:name="_Toc22744"/>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5.2 机械</w:t>
      </w:r>
      <w:bookmarkEnd w:id="167"/>
      <w:bookmarkEnd w:id="168"/>
      <w:r>
        <w:rPr>
          <w:rFonts w:hint="eastAsia" w:ascii="宋体" w:hAnsi="宋体"/>
          <w:b/>
          <w:snapToGrid w:val="0"/>
          <w:kern w:val="0"/>
          <w:sz w:val="28"/>
          <w:szCs w:val="28"/>
        </w:rPr>
        <w:t>伤害</w:t>
      </w:r>
      <w:bookmarkEnd w:id="169"/>
      <w:bookmarkEnd w:id="170"/>
      <w:bookmarkEnd w:id="171"/>
      <w:bookmarkEnd w:id="172"/>
    </w:p>
    <w:p>
      <w:pPr>
        <w:spacing w:line="360" w:lineRule="auto"/>
        <w:ind w:firstLine="515" w:firstLineChars="184"/>
        <w:rPr>
          <w:rFonts w:ascii="宋体" w:hAnsi="宋体"/>
          <w:snapToGrid w:val="0"/>
          <w:kern w:val="0"/>
          <w:sz w:val="28"/>
          <w:szCs w:val="28"/>
        </w:rPr>
      </w:pPr>
      <w:r>
        <w:rPr>
          <w:rFonts w:hint="eastAsia" w:ascii="宋体" w:hAnsi="宋体"/>
          <w:snapToGrid w:val="0"/>
          <w:kern w:val="0"/>
          <w:sz w:val="28"/>
          <w:szCs w:val="28"/>
        </w:rPr>
        <w:t>机械伤害事故是指机械设备运动</w:t>
      </w:r>
      <w:r>
        <w:rPr>
          <w:rFonts w:ascii="宋体" w:hAnsi="宋体"/>
          <w:snapToGrid w:val="0"/>
          <w:kern w:val="0"/>
          <w:sz w:val="28"/>
          <w:szCs w:val="28"/>
        </w:rPr>
        <w:t>(</w:t>
      </w:r>
      <w:r>
        <w:rPr>
          <w:rFonts w:hint="eastAsia" w:ascii="宋体" w:hAnsi="宋体"/>
          <w:snapToGrid w:val="0"/>
          <w:kern w:val="0"/>
          <w:sz w:val="28"/>
          <w:szCs w:val="28"/>
        </w:rPr>
        <w:t>静止</w:t>
      </w:r>
      <w:r>
        <w:rPr>
          <w:rFonts w:ascii="宋体" w:hAnsi="宋体"/>
          <w:snapToGrid w:val="0"/>
          <w:kern w:val="0"/>
          <w:sz w:val="28"/>
          <w:szCs w:val="28"/>
        </w:rPr>
        <w:t>)</w:t>
      </w:r>
      <w:r>
        <w:rPr>
          <w:rFonts w:hint="eastAsia" w:ascii="宋体" w:hAnsi="宋体"/>
          <w:snapToGrid w:val="0"/>
          <w:kern w:val="0"/>
          <w:sz w:val="28"/>
          <w:szCs w:val="28"/>
        </w:rPr>
        <w:t>部件、工具、加工件直接与人体接触引起的夹击、碰撞、剪切、卷人、绞、碾、割、刺等伤害，不包括车辆、起重机械引起的机械伤害。</w:t>
      </w:r>
    </w:p>
    <w:p>
      <w:pPr>
        <w:spacing w:line="360" w:lineRule="auto"/>
        <w:ind w:firstLine="515" w:firstLineChars="184"/>
        <w:rPr>
          <w:rFonts w:ascii="宋体" w:hAnsi="宋体"/>
          <w:snapToGrid w:val="0"/>
          <w:kern w:val="0"/>
          <w:sz w:val="28"/>
          <w:szCs w:val="28"/>
        </w:rPr>
      </w:pPr>
      <w:r>
        <w:rPr>
          <w:rFonts w:hint="eastAsia" w:ascii="宋体" w:hAnsi="宋体"/>
          <w:snapToGrid w:val="0"/>
          <w:kern w:val="0"/>
          <w:sz w:val="28"/>
          <w:szCs w:val="28"/>
        </w:rPr>
        <w:t>机械伤害事故产生的主要原因</w:t>
      </w:r>
      <w:r>
        <w:rPr>
          <w:rFonts w:ascii="宋体" w:hAnsi="宋体"/>
          <w:snapToGrid w:val="0"/>
          <w:kern w:val="0"/>
          <w:sz w:val="28"/>
          <w:szCs w:val="28"/>
        </w:rPr>
        <w:t>:</w:t>
      </w:r>
      <w:r>
        <w:rPr>
          <w:rFonts w:hint="eastAsia" w:ascii="宋体" w:hAnsi="宋体"/>
          <w:snapToGrid w:val="0"/>
          <w:kern w:val="0"/>
          <w:sz w:val="28"/>
          <w:szCs w:val="28"/>
        </w:rPr>
        <w:t>①指挥人员违章指挥，操作人员违章操作；②机械设备安全防护装置缺乏或防护装置失效等，导致事故发生；③安全管理上存在不足；④场地及运输道路缺陷；⑤意外因素影响</w:t>
      </w:r>
      <w:r>
        <w:rPr>
          <w:rFonts w:ascii="宋体" w:hAnsi="宋体"/>
          <w:snapToGrid w:val="0"/>
          <w:kern w:val="0"/>
          <w:sz w:val="28"/>
          <w:szCs w:val="28"/>
        </w:rPr>
        <w:t>:</w:t>
      </w:r>
      <w:r>
        <w:rPr>
          <w:rFonts w:hint="eastAsia" w:ascii="宋体" w:hAnsi="宋体"/>
          <w:snapToGrid w:val="0"/>
          <w:kern w:val="0"/>
          <w:sz w:val="28"/>
          <w:szCs w:val="28"/>
        </w:rPr>
        <w:t>如在检修和正常工作时，机器突然被别人随意启动，导致事故发生；⑥在不安全的机械上停留、休息，导致事故发生等。</w:t>
      </w:r>
    </w:p>
    <w:p>
      <w:pPr>
        <w:spacing w:line="360" w:lineRule="auto"/>
        <w:ind w:firstLine="515" w:firstLineChars="184"/>
        <w:rPr>
          <w:rFonts w:hint="eastAsia" w:ascii="宋体" w:hAnsi="宋体"/>
          <w:bCs/>
          <w:snapToGrid w:val="0"/>
          <w:kern w:val="0"/>
          <w:sz w:val="28"/>
          <w:szCs w:val="28"/>
        </w:rPr>
      </w:pPr>
      <w:r>
        <w:rPr>
          <w:rFonts w:hint="eastAsia" w:ascii="宋体" w:hAnsi="宋体"/>
          <w:snapToGrid w:val="0"/>
          <w:kern w:val="0"/>
          <w:sz w:val="28"/>
          <w:szCs w:val="28"/>
        </w:rPr>
        <w:t>机械伤害的主要后果是造成人员伤亡，其次是对物件的损坏。</w:t>
      </w:r>
      <w:r>
        <w:rPr>
          <w:rFonts w:ascii="宋体" w:hAnsi="宋体"/>
          <w:bCs/>
          <w:snapToGrid w:val="0"/>
          <w:kern w:val="0"/>
          <w:sz w:val="28"/>
          <w:szCs w:val="28"/>
        </w:rPr>
        <w:t>因此，加强生产作业中的安全防护是防止机械伤害事故的关键，即保持安全防护设施的完好，按规定使用安全防护用品等。同时加强安全管理力度，禁止违章作业和冒险接触机械危险部位，操作时集中精力，防止非操作人员随意开机，做好正常检修设备时的安全防护措施等对于预防机械事故的发生也很重要。</w:t>
      </w:r>
    </w:p>
    <w:p>
      <w:pPr>
        <w:spacing w:line="360" w:lineRule="auto"/>
        <w:ind w:firstLine="515" w:firstLineChars="184"/>
        <w:rPr>
          <w:rFonts w:hint="eastAsia" w:ascii="宋体" w:hAnsi="宋体"/>
          <w:snapToGrid w:val="0"/>
          <w:kern w:val="0"/>
          <w:sz w:val="28"/>
          <w:szCs w:val="28"/>
        </w:rPr>
      </w:pPr>
      <w:r>
        <w:rPr>
          <w:rFonts w:hint="eastAsia" w:ascii="宋体" w:hAnsi="宋体"/>
          <w:snapToGrid w:val="0"/>
          <w:kern w:val="0"/>
          <w:sz w:val="28"/>
          <w:szCs w:val="28"/>
        </w:rPr>
        <w:t>砖瓦厂在泥土破碎、运输、搅拌、挤压成型、截条、切条等过程中涉及到机械设备，某些设备的转动部件、移动部件等若缺乏良好的防护设施或防护设施有缺陷、操作错误等，均可能造成人身伤害。若没有配备或正确穿戴必需的劳动防护用品时，也可能造成机械伤害。</w:t>
      </w:r>
    </w:p>
    <w:p>
      <w:pPr>
        <w:pStyle w:val="8"/>
        <w:spacing w:line="360" w:lineRule="auto"/>
        <w:ind w:firstLine="0" w:firstLineChars="0"/>
        <w:outlineLvl w:val="2"/>
        <w:rPr>
          <w:rFonts w:hint="eastAsia" w:ascii="宋体" w:hAnsi="宋体"/>
          <w:b/>
          <w:snapToGrid w:val="0"/>
          <w:kern w:val="0"/>
          <w:sz w:val="28"/>
          <w:szCs w:val="28"/>
        </w:rPr>
      </w:pPr>
      <w:bookmarkStart w:id="173" w:name="_Toc514342850"/>
      <w:bookmarkStart w:id="174" w:name="_Toc480804398"/>
      <w:bookmarkStart w:id="175" w:name="_Toc356401495"/>
      <w:bookmarkStart w:id="176" w:name="_Toc350781098"/>
      <w:bookmarkStart w:id="177" w:name="_Toc8922"/>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5.3</w:t>
      </w:r>
      <w:r>
        <w:rPr>
          <w:rFonts w:ascii="宋体" w:hAnsi="宋体"/>
          <w:b/>
          <w:snapToGrid w:val="0"/>
          <w:kern w:val="0"/>
          <w:sz w:val="28"/>
          <w:szCs w:val="28"/>
        </w:rPr>
        <w:t xml:space="preserve"> 触电</w:t>
      </w:r>
      <w:r>
        <w:rPr>
          <w:rFonts w:hint="eastAsia" w:ascii="宋体" w:hAnsi="宋体"/>
          <w:b/>
          <w:snapToGrid w:val="0"/>
          <w:kern w:val="0"/>
          <w:sz w:val="28"/>
          <w:szCs w:val="28"/>
        </w:rPr>
        <w:t>事故</w:t>
      </w:r>
      <w:bookmarkEnd w:id="173"/>
      <w:bookmarkEnd w:id="174"/>
      <w:bookmarkEnd w:id="175"/>
      <w:bookmarkEnd w:id="176"/>
      <w:bookmarkEnd w:id="177"/>
    </w:p>
    <w:p>
      <w:pPr>
        <w:spacing w:line="360" w:lineRule="auto"/>
        <w:ind w:firstLine="560" w:firstLineChars="200"/>
        <w:rPr>
          <w:rFonts w:ascii="宋体" w:hAnsi="宋体"/>
          <w:bCs/>
          <w:snapToGrid w:val="0"/>
          <w:kern w:val="0"/>
          <w:sz w:val="28"/>
          <w:szCs w:val="28"/>
        </w:rPr>
      </w:pPr>
      <w:r>
        <w:rPr>
          <w:rFonts w:hint="eastAsia" w:ascii="宋体" w:hAnsi="宋体"/>
          <w:bCs/>
          <w:snapToGrid w:val="0"/>
          <w:kern w:val="0"/>
          <w:sz w:val="28"/>
          <w:szCs w:val="28"/>
        </w:rPr>
        <w:t>触电事故是指由于电流流经人体导致的生理伤害，包括雷击伤亡事故。</w:t>
      </w:r>
    </w:p>
    <w:p>
      <w:pPr>
        <w:spacing w:line="360" w:lineRule="auto"/>
        <w:ind w:firstLine="560" w:firstLineChars="200"/>
        <w:rPr>
          <w:rFonts w:ascii="宋体" w:hAnsi="宋体"/>
          <w:bCs/>
          <w:snapToGrid w:val="0"/>
          <w:kern w:val="0"/>
          <w:sz w:val="28"/>
          <w:szCs w:val="28"/>
        </w:rPr>
      </w:pPr>
      <w:r>
        <w:rPr>
          <w:rFonts w:hint="eastAsia" w:ascii="宋体" w:hAnsi="宋体"/>
          <w:bCs/>
          <w:snapToGrid w:val="0"/>
          <w:kern w:val="0"/>
          <w:sz w:val="28"/>
          <w:szCs w:val="28"/>
        </w:rPr>
        <w:t>触电伤害产生的主要原因：①电气线路或电气设备在设计、安装上存在缺陷，或在运行中缺乏必要的检修维护；②没有设置必要的安全技术措施</w:t>
      </w:r>
      <w:r>
        <w:rPr>
          <w:rFonts w:ascii="宋体" w:hAnsi="宋体"/>
          <w:bCs/>
          <w:snapToGrid w:val="0"/>
          <w:kern w:val="0"/>
          <w:sz w:val="28"/>
          <w:szCs w:val="28"/>
        </w:rPr>
        <w:t>(</w:t>
      </w:r>
      <w:r>
        <w:rPr>
          <w:rFonts w:hint="eastAsia" w:ascii="宋体" w:hAnsi="宋体"/>
          <w:bCs/>
          <w:snapToGrid w:val="0"/>
          <w:kern w:val="0"/>
          <w:sz w:val="28"/>
          <w:szCs w:val="28"/>
        </w:rPr>
        <w:t>如保护接零、漏电保护、安全电压等</w:t>
      </w:r>
      <w:r>
        <w:rPr>
          <w:rFonts w:ascii="宋体" w:hAnsi="宋体"/>
          <w:bCs/>
          <w:snapToGrid w:val="0"/>
          <w:kern w:val="0"/>
          <w:sz w:val="28"/>
          <w:szCs w:val="28"/>
        </w:rPr>
        <w:t>)</w:t>
      </w:r>
      <w:r>
        <w:rPr>
          <w:rFonts w:hint="eastAsia" w:ascii="宋体" w:hAnsi="宋体"/>
          <w:bCs/>
          <w:snapToGrid w:val="0"/>
          <w:kern w:val="0"/>
          <w:sz w:val="28"/>
          <w:szCs w:val="28"/>
        </w:rPr>
        <w:t>，或安全措施失效；③电气设备运行管理不当，安全管理制度不完善；④专业电工或机电设备操作人员操作失误，或违章作业等；⑤非专业电工人员私自进行检修、接线等专业工作；⑥电气安全管理工作存在漏洞；⑦在规定地点没有使用安全电压；⑧违章指挥等。</w:t>
      </w:r>
    </w:p>
    <w:p>
      <w:pPr>
        <w:spacing w:line="360" w:lineRule="auto"/>
        <w:ind w:firstLine="560" w:firstLineChars="200"/>
        <w:rPr>
          <w:rFonts w:ascii="宋体" w:hAnsi="宋体"/>
          <w:bCs/>
          <w:snapToGrid w:val="0"/>
          <w:kern w:val="0"/>
          <w:sz w:val="28"/>
          <w:szCs w:val="28"/>
        </w:rPr>
      </w:pPr>
      <w:r>
        <w:rPr>
          <w:rFonts w:hint="eastAsia" w:ascii="宋体" w:hAnsi="宋体"/>
          <w:bCs/>
          <w:snapToGrid w:val="0"/>
          <w:kern w:val="0"/>
          <w:sz w:val="28"/>
          <w:szCs w:val="28"/>
        </w:rPr>
        <w:t>可能存在的触电场所有</w:t>
      </w:r>
      <w:r>
        <w:rPr>
          <w:rFonts w:ascii="宋体" w:hAnsi="宋体"/>
          <w:bCs/>
          <w:snapToGrid w:val="0"/>
          <w:kern w:val="0"/>
          <w:sz w:val="28"/>
          <w:szCs w:val="28"/>
        </w:rPr>
        <w:t>:</w:t>
      </w:r>
      <w:r>
        <w:rPr>
          <w:rFonts w:hint="eastAsia" w:ascii="宋体" w:hAnsi="宋体"/>
          <w:bCs/>
          <w:snapToGrid w:val="0"/>
          <w:kern w:val="0"/>
          <w:sz w:val="28"/>
          <w:szCs w:val="28"/>
        </w:rPr>
        <w:t>地面变压器、配电线路以及在生产过程中使用的各种电气设备、动力设备采用闸刀直接起动的设备、手持电动设备、照明线路及照明器具等。</w:t>
      </w:r>
    </w:p>
    <w:p>
      <w:pPr>
        <w:spacing w:line="360" w:lineRule="auto"/>
        <w:ind w:firstLine="560" w:firstLineChars="200"/>
        <w:rPr>
          <w:rFonts w:hint="eastAsia" w:ascii="宋体" w:hAnsi="宋体"/>
          <w:bCs/>
          <w:snapToGrid w:val="0"/>
          <w:kern w:val="0"/>
          <w:sz w:val="28"/>
          <w:szCs w:val="28"/>
        </w:rPr>
      </w:pPr>
      <w:r>
        <w:rPr>
          <w:rFonts w:hint="eastAsia" w:ascii="宋体" w:hAnsi="宋体"/>
          <w:bCs/>
          <w:snapToGrid w:val="0"/>
          <w:kern w:val="0"/>
          <w:sz w:val="28"/>
          <w:szCs w:val="28"/>
        </w:rPr>
        <w:t>触电伤害的后果是直接造成人员伤亡事故。</w:t>
      </w:r>
    </w:p>
    <w:p>
      <w:pPr>
        <w:pStyle w:val="8"/>
        <w:spacing w:line="360" w:lineRule="auto"/>
        <w:ind w:firstLine="0" w:firstLineChars="0"/>
        <w:outlineLvl w:val="2"/>
        <w:rPr>
          <w:rFonts w:hint="eastAsia" w:ascii="宋体" w:hAnsi="宋体"/>
          <w:b/>
          <w:snapToGrid w:val="0"/>
          <w:kern w:val="0"/>
          <w:sz w:val="28"/>
          <w:szCs w:val="28"/>
        </w:rPr>
      </w:pPr>
      <w:bookmarkStart w:id="178" w:name="_Toc514342851"/>
      <w:bookmarkStart w:id="179" w:name="_Toc480804399"/>
      <w:bookmarkStart w:id="180" w:name="_Toc356380985"/>
      <w:bookmarkStart w:id="181" w:name="_Toc332350857"/>
      <w:bookmarkStart w:id="182" w:name="_Toc356401496"/>
      <w:bookmarkStart w:id="183" w:name="_Toc21843"/>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5.4 高处坠落</w:t>
      </w:r>
      <w:bookmarkEnd w:id="178"/>
      <w:bookmarkEnd w:id="179"/>
      <w:bookmarkEnd w:id="180"/>
      <w:bookmarkEnd w:id="181"/>
      <w:bookmarkEnd w:id="182"/>
      <w:bookmarkEnd w:id="183"/>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高处坠落指在高处作业中发生坠落造成的伤亡事故，不包括触电坠落事故。</w:t>
      </w:r>
      <w:r>
        <w:rPr>
          <w:rFonts w:ascii="宋体" w:hAnsi="宋体"/>
          <w:bCs/>
          <w:snapToGrid w:val="0"/>
          <w:kern w:val="0"/>
          <w:sz w:val="28"/>
          <w:szCs w:val="28"/>
        </w:rPr>
        <w:t>高处坠落主要包括：采场顶部的高处坠落，检修安装设备时的高处坠落，人员行进中的意外滑倒等，增加防护装置是预防事故发生的重要措施。</w:t>
      </w:r>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造成高处坠落的主要原因有：①没有按要求使用安全带、安全索；②没有按要求穿防滑性能良好的软底鞋；③高处作业时安全防护设施不完善或损坏；④工作责任心不强，主观判断失误；⑤使用安全保护装置不完善或缺乏的设备、设施进行作业；⑥作业人员疏忽大意，疲劳作业；⑦高处作业无专人负责指挥，安全管理不到位；⑧作业场所狭小，不符合安全要求。</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阴雨、积雪可引起料堆、砖坯堆垛坍方；料场土堆高3米，在堆料、喂料过程中土堆可能发生坍塌；料场打堆车道宽6米、坡度25°，在往高处打堆时，由于料堆松软，有可能造成运输机械侧翻、被掩埋的潜在危险，同时现场作业人员或外来人员有被压埋的潜在危险。同时，窑炉和烟囱在进行相关作业时，也存在坍塌和高处坠落的危险。</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高处坠落造成的事故的后果是人员伤亡和设备损坏。</w:t>
      </w:r>
    </w:p>
    <w:bookmarkEnd w:id="109"/>
    <w:p>
      <w:pPr>
        <w:pStyle w:val="8"/>
        <w:spacing w:line="360" w:lineRule="auto"/>
        <w:ind w:firstLine="0" w:firstLineChars="0"/>
        <w:outlineLvl w:val="2"/>
        <w:rPr>
          <w:rFonts w:ascii="宋体" w:hAnsi="宋体"/>
          <w:b/>
          <w:snapToGrid w:val="0"/>
          <w:kern w:val="0"/>
          <w:sz w:val="28"/>
          <w:szCs w:val="28"/>
        </w:rPr>
      </w:pPr>
      <w:bookmarkStart w:id="184" w:name="_Toc356401497"/>
      <w:bookmarkStart w:id="185" w:name="_Toc350781096"/>
      <w:bookmarkStart w:id="186" w:name="_Toc480804400"/>
      <w:bookmarkStart w:id="187" w:name="_Toc514342852"/>
      <w:bookmarkStart w:id="188" w:name="_Toc23198"/>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w:t>
      </w:r>
      <w:r>
        <w:rPr>
          <w:rFonts w:ascii="宋体" w:hAnsi="宋体"/>
          <w:b/>
          <w:snapToGrid w:val="0"/>
          <w:kern w:val="0"/>
          <w:sz w:val="28"/>
          <w:szCs w:val="28"/>
        </w:rPr>
        <w:t>.</w:t>
      </w:r>
      <w:r>
        <w:rPr>
          <w:rFonts w:hint="eastAsia" w:ascii="宋体" w:hAnsi="宋体"/>
          <w:b/>
          <w:snapToGrid w:val="0"/>
          <w:kern w:val="0"/>
          <w:sz w:val="28"/>
          <w:szCs w:val="28"/>
        </w:rPr>
        <w:t>5</w:t>
      </w:r>
      <w:r>
        <w:rPr>
          <w:rFonts w:ascii="宋体" w:hAnsi="宋体"/>
          <w:b/>
          <w:snapToGrid w:val="0"/>
          <w:kern w:val="0"/>
          <w:sz w:val="28"/>
          <w:szCs w:val="28"/>
        </w:rPr>
        <w:t xml:space="preserve"> 物体打击</w:t>
      </w:r>
      <w:bookmarkEnd w:id="184"/>
      <w:bookmarkEnd w:id="185"/>
      <w:bookmarkEnd w:id="186"/>
      <w:bookmarkEnd w:id="187"/>
      <w:bookmarkEnd w:id="188"/>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物体打击事故是指物体在重力或其它外力的作用下产生运动，打击人体造成人身伤亡事故，不包括因机械设备、车辆、起重机械、坍塌等引发的物体打击。</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造成物体打击的主要原因有</w:t>
      </w:r>
      <w:r>
        <w:rPr>
          <w:rFonts w:ascii="宋体" w:hAnsi="宋体"/>
          <w:snapToGrid w:val="0"/>
          <w:kern w:val="0"/>
          <w:sz w:val="28"/>
          <w:szCs w:val="28"/>
        </w:rPr>
        <w:t>:</w:t>
      </w:r>
      <w:r>
        <w:rPr>
          <w:rFonts w:hint="eastAsia" w:ascii="宋体" w:hAnsi="宋体"/>
          <w:snapToGrid w:val="0"/>
          <w:kern w:val="0"/>
          <w:sz w:val="28"/>
          <w:szCs w:val="28"/>
        </w:rPr>
        <w:t>①工作场所狭小，缺乏躲避空间，上下同时作业；②没有排险工具或排险工具有缺陷等；③工作时精力不集中，对出现的险情不能及时做出反应；④安全帽等劳保用品穿戴不规范、不齐全；⑤传递工具物件方法不当等</w:t>
      </w:r>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可能发生的物体打击事故：拆卸设备部件时敲打工具造成工具强出伤人；高空作业时，由于工具、托辊、零件、砖瓦、木块等物不慎从高处掉落伤人或乱扔废物、杂物击中他人；</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一旦遭受物体打击其后果是人员的伤亡和物品的损毁。</w:t>
      </w:r>
    </w:p>
    <w:p>
      <w:pPr>
        <w:pStyle w:val="8"/>
        <w:spacing w:line="360" w:lineRule="auto"/>
        <w:ind w:firstLine="0" w:firstLineChars="0"/>
        <w:outlineLvl w:val="2"/>
        <w:rPr>
          <w:rFonts w:hint="eastAsia" w:ascii="宋体" w:hAnsi="宋体"/>
          <w:b/>
          <w:snapToGrid w:val="0"/>
          <w:kern w:val="0"/>
          <w:sz w:val="28"/>
          <w:szCs w:val="28"/>
        </w:rPr>
      </w:pPr>
      <w:bookmarkStart w:id="189" w:name="_Toc350781100"/>
      <w:bookmarkStart w:id="190" w:name="_Toc480804401"/>
      <w:bookmarkStart w:id="191" w:name="_Toc356401498"/>
      <w:bookmarkStart w:id="192" w:name="_Toc514342853"/>
      <w:bookmarkStart w:id="193" w:name="_Toc18953"/>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5.6 火灾</w:t>
      </w:r>
      <w:bookmarkEnd w:id="189"/>
      <w:r>
        <w:rPr>
          <w:rFonts w:hint="eastAsia" w:ascii="宋体" w:hAnsi="宋体"/>
          <w:b/>
          <w:snapToGrid w:val="0"/>
          <w:kern w:val="0"/>
          <w:sz w:val="28"/>
          <w:szCs w:val="28"/>
        </w:rPr>
        <w:t>事故</w:t>
      </w:r>
      <w:bookmarkEnd w:id="190"/>
      <w:bookmarkEnd w:id="191"/>
      <w:bookmarkEnd w:id="192"/>
      <w:bookmarkEnd w:id="193"/>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火灾是指企业内所发生的火灾。</w:t>
      </w:r>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火灾事故产生的主要原因</w:t>
      </w:r>
      <w:r>
        <w:rPr>
          <w:rFonts w:ascii="宋体" w:hAnsi="宋体"/>
          <w:snapToGrid w:val="0"/>
          <w:kern w:val="0"/>
          <w:sz w:val="28"/>
          <w:szCs w:val="28"/>
        </w:rPr>
        <w:t>:</w:t>
      </w:r>
      <w:r>
        <w:rPr>
          <w:rFonts w:hint="eastAsia" w:ascii="宋体" w:hAnsi="宋体"/>
          <w:snapToGrid w:val="0"/>
          <w:kern w:val="0"/>
          <w:sz w:val="28"/>
          <w:szCs w:val="28"/>
        </w:rPr>
        <w:t>①明火</w:t>
      </w:r>
      <w:r>
        <w:rPr>
          <w:rFonts w:ascii="宋体" w:hAnsi="宋体"/>
          <w:snapToGrid w:val="0"/>
          <w:kern w:val="0"/>
          <w:sz w:val="28"/>
          <w:szCs w:val="28"/>
        </w:rPr>
        <w:t>(</w:t>
      </w:r>
      <w:r>
        <w:rPr>
          <w:rFonts w:hint="eastAsia" w:ascii="宋体" w:hAnsi="宋体"/>
          <w:snapToGrid w:val="0"/>
          <w:kern w:val="0"/>
          <w:sz w:val="28"/>
          <w:szCs w:val="28"/>
        </w:rPr>
        <w:t>包括火柴点火、吸烟、电焊、气焊、明火灯等</w:t>
      </w:r>
      <w:r>
        <w:rPr>
          <w:rFonts w:ascii="宋体" w:hAnsi="宋体"/>
          <w:snapToGrid w:val="0"/>
          <w:kern w:val="0"/>
          <w:sz w:val="28"/>
          <w:szCs w:val="28"/>
        </w:rPr>
        <w:t>)</w:t>
      </w:r>
      <w:r>
        <w:rPr>
          <w:rFonts w:hint="eastAsia" w:ascii="宋体" w:hAnsi="宋体"/>
          <w:snapToGrid w:val="0"/>
          <w:kern w:val="0"/>
          <w:sz w:val="28"/>
          <w:szCs w:val="28"/>
        </w:rPr>
        <w:t>所引燃；②油料</w:t>
      </w:r>
      <w:r>
        <w:rPr>
          <w:rFonts w:ascii="宋体" w:hAnsi="宋体"/>
          <w:snapToGrid w:val="0"/>
          <w:kern w:val="0"/>
          <w:sz w:val="28"/>
          <w:szCs w:val="28"/>
        </w:rPr>
        <w:t>(</w:t>
      </w:r>
      <w:r>
        <w:rPr>
          <w:rFonts w:hint="eastAsia" w:ascii="宋体" w:hAnsi="宋体"/>
          <w:snapToGrid w:val="0"/>
          <w:kern w:val="0"/>
          <w:sz w:val="28"/>
          <w:szCs w:val="28"/>
        </w:rPr>
        <w:t>润滑油、变压器油、液压设备用油、柴油设备用油、维修设备用油等</w:t>
      </w:r>
      <w:r>
        <w:rPr>
          <w:rFonts w:ascii="宋体" w:hAnsi="宋体"/>
          <w:snapToGrid w:val="0"/>
          <w:kern w:val="0"/>
          <w:sz w:val="28"/>
          <w:szCs w:val="28"/>
        </w:rPr>
        <w:t>)</w:t>
      </w:r>
      <w:r>
        <w:rPr>
          <w:rFonts w:hint="eastAsia" w:ascii="宋体" w:hAnsi="宋体"/>
          <w:snapToGrid w:val="0"/>
          <w:kern w:val="0"/>
          <w:sz w:val="28"/>
          <w:szCs w:val="28"/>
        </w:rPr>
        <w:t>保管、运输和使用不当；③电缆、电线、电动机、电钻等电器设备绝缘损坏及性能不良产生的电弧、电火花、漏电、失爆、短路或超负荷运行引起火灾；④保险丝</w:t>
      </w:r>
      <w:r>
        <w:rPr>
          <w:rFonts w:ascii="宋体" w:hAnsi="宋体"/>
          <w:snapToGrid w:val="0"/>
          <w:kern w:val="0"/>
          <w:sz w:val="28"/>
          <w:szCs w:val="28"/>
        </w:rPr>
        <w:t>(</w:t>
      </w:r>
      <w:r>
        <w:rPr>
          <w:rFonts w:hint="eastAsia" w:ascii="宋体" w:hAnsi="宋体"/>
          <w:snapToGrid w:val="0"/>
          <w:kern w:val="0"/>
          <w:sz w:val="28"/>
          <w:szCs w:val="28"/>
        </w:rPr>
        <w:t>片</w:t>
      </w:r>
      <w:r>
        <w:rPr>
          <w:rFonts w:ascii="宋体" w:hAnsi="宋体"/>
          <w:snapToGrid w:val="0"/>
          <w:kern w:val="0"/>
          <w:sz w:val="28"/>
          <w:szCs w:val="28"/>
        </w:rPr>
        <w:t>)</w:t>
      </w:r>
      <w:r>
        <w:rPr>
          <w:rFonts w:hint="eastAsia" w:ascii="宋体" w:hAnsi="宋体"/>
          <w:snapToGrid w:val="0"/>
          <w:kern w:val="0"/>
          <w:sz w:val="28"/>
          <w:szCs w:val="28"/>
        </w:rPr>
        <w:t>选用不当，使用铜丝、铝线代替保险丝；⑤油开关及配电箱内油料着火</w:t>
      </w:r>
      <w:r>
        <w:rPr>
          <w:rFonts w:ascii="宋体" w:hAnsi="宋体"/>
          <w:snapToGrid w:val="0"/>
          <w:kern w:val="0"/>
          <w:sz w:val="28"/>
          <w:szCs w:val="28"/>
        </w:rPr>
        <w:t>;</w:t>
      </w:r>
      <w:r>
        <w:rPr>
          <w:rFonts w:hint="eastAsia" w:ascii="宋体" w:hAnsi="宋体"/>
          <w:snapToGrid w:val="0"/>
          <w:kern w:val="0"/>
          <w:sz w:val="28"/>
          <w:szCs w:val="28"/>
        </w:rPr>
        <w:t>⑥机械作用</w:t>
      </w:r>
      <w:r>
        <w:rPr>
          <w:rFonts w:ascii="宋体" w:hAnsi="宋体"/>
          <w:snapToGrid w:val="0"/>
          <w:kern w:val="0"/>
          <w:sz w:val="28"/>
          <w:szCs w:val="28"/>
        </w:rPr>
        <w:t>(</w:t>
      </w:r>
      <w:r>
        <w:rPr>
          <w:rFonts w:hint="eastAsia" w:ascii="宋体" w:hAnsi="宋体"/>
          <w:snapToGrid w:val="0"/>
          <w:kern w:val="0"/>
          <w:sz w:val="28"/>
          <w:szCs w:val="28"/>
        </w:rPr>
        <w:t>包括摩擦、震动冲击等</w:t>
      </w:r>
      <w:r>
        <w:rPr>
          <w:rFonts w:ascii="宋体" w:hAnsi="宋体"/>
          <w:snapToGrid w:val="0"/>
          <w:kern w:val="0"/>
          <w:sz w:val="28"/>
          <w:szCs w:val="28"/>
        </w:rPr>
        <w:t>)</w:t>
      </w:r>
      <w:r>
        <w:rPr>
          <w:rFonts w:hint="eastAsia" w:ascii="宋体" w:hAnsi="宋体"/>
          <w:snapToGrid w:val="0"/>
          <w:kern w:val="0"/>
          <w:sz w:val="28"/>
          <w:szCs w:val="28"/>
        </w:rPr>
        <w:t>所引起。</w:t>
      </w:r>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火灾可能发生在空压机房、机修车间、综合材料库、变压器等用电部位。</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火灾事故的主要后果是造成人员伤亡和财产损失。</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194" w:name="_Toc496016651"/>
      <w:bookmarkStart w:id="195" w:name="_Toc359225364"/>
      <w:bookmarkStart w:id="196" w:name="_Toc413834088"/>
      <w:bookmarkStart w:id="197" w:name="_Toc15764"/>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w:t>
      </w:r>
      <w:r>
        <w:rPr>
          <w:rFonts w:hint="eastAsia" w:ascii="宋体" w:hAnsi="宋体"/>
          <w:b/>
          <w:snapToGrid w:val="0"/>
          <w:kern w:val="0"/>
          <w:sz w:val="28"/>
          <w:szCs w:val="28"/>
          <w:lang w:val="en-US" w:eastAsia="zh-CN"/>
        </w:rPr>
        <w:t>7 坍塌</w:t>
      </w:r>
      <w:bookmarkEnd w:id="194"/>
      <w:bookmarkEnd w:id="195"/>
      <w:bookmarkEnd w:id="196"/>
      <w:bookmarkEnd w:id="197"/>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rPr>
        <w:t>坍塌事故产生的主要原因有：①确定的边坡角不合理；②地质因素对边坡的影响；③岩体中的地下水；④人为因素；⑤风化作用；⑥地震等。坍塌是</w:t>
      </w:r>
      <w:r>
        <w:rPr>
          <w:rFonts w:hint="eastAsia" w:ascii="宋体" w:hAnsi="宋体" w:cs="宋体"/>
          <w:color w:val="auto"/>
          <w:sz w:val="28"/>
          <w:szCs w:val="28"/>
          <w:lang w:eastAsia="zh-CN"/>
        </w:rPr>
        <w:t>砖厂页岩开采</w:t>
      </w:r>
      <w:r>
        <w:rPr>
          <w:rFonts w:hint="eastAsia" w:ascii="宋体" w:hAnsi="宋体" w:cs="宋体"/>
          <w:color w:val="auto"/>
          <w:sz w:val="28"/>
          <w:szCs w:val="28"/>
        </w:rPr>
        <w:t>的主要危险因素之一，发生事故的后果是造成重大人员伤亡和设备、设施损坏，对生产企业造成重大经济损失。</w:t>
      </w:r>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本项目存在原料堆放、砖坯堆码、成品堆垛等工序。如原料打堆过高，由于料堆松软，有可能造成运输机械侧翻、被掩埋的潜在危险，同时现场作业人员或外来人员有被压埋的潜在危险。工作人员在窑内码坯和成品堆垛过程中，由于砖坯堆放不稳，堆放过高或地基不稳，堆垛码放不符合要求，都可能会引起坯（砖）垛倒塌，发生倒塌伤人、损物等事故。</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198" w:name="_Toc7807"/>
      <w:r>
        <w:rPr>
          <w:rFonts w:hint="eastAsia" w:ascii="宋体" w:hAnsi="宋体"/>
          <w:b/>
          <w:snapToGrid w:val="0"/>
          <w:kern w:val="0"/>
          <w:sz w:val="28"/>
          <w:szCs w:val="28"/>
          <w:lang w:val="en-US" w:eastAsia="zh-CN"/>
        </w:rPr>
        <w:t>3.5.8中毒窒息</w:t>
      </w:r>
      <w:bookmarkEnd w:id="198"/>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lang w:val="en-US" w:eastAsia="zh-CN"/>
        </w:rPr>
        <w:t>中毒窒息</w:t>
      </w:r>
      <w:r>
        <w:rPr>
          <w:rFonts w:hint="eastAsia" w:ascii="宋体" w:hAnsi="宋体"/>
          <w:snapToGrid w:val="0"/>
          <w:kern w:val="0"/>
          <w:sz w:val="28"/>
          <w:szCs w:val="28"/>
        </w:rPr>
        <w:t>产生的主要原因：①出窑作业未按规定通风；②烧窑过程燃烧不充分产生有毒气体; ③人员违反规定进入受限空间作业;④窑台边缘安全防护措施未落实,未设警示标识,人员误操作或能见度低引发高空坠落事故。</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可能存在的</w:t>
      </w:r>
      <w:r>
        <w:rPr>
          <w:rFonts w:hint="eastAsia" w:ascii="宋体" w:hAnsi="宋体"/>
          <w:snapToGrid w:val="0"/>
          <w:kern w:val="0"/>
          <w:sz w:val="28"/>
          <w:szCs w:val="28"/>
          <w:lang w:val="en-US" w:eastAsia="zh-CN"/>
        </w:rPr>
        <w:t>中毒窒息</w:t>
      </w:r>
      <w:r>
        <w:rPr>
          <w:rFonts w:hint="eastAsia" w:ascii="宋体" w:hAnsi="宋体"/>
          <w:snapToGrid w:val="0"/>
          <w:kern w:val="0"/>
          <w:sz w:val="28"/>
          <w:szCs w:val="28"/>
        </w:rPr>
        <w:t>场所有:砖窑</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lang w:val="en-US" w:eastAsia="zh-CN"/>
        </w:rPr>
        <w:t>中毒窒息</w:t>
      </w:r>
      <w:r>
        <w:rPr>
          <w:rFonts w:hint="eastAsia" w:ascii="宋体" w:hAnsi="宋体"/>
          <w:snapToGrid w:val="0"/>
          <w:kern w:val="0"/>
          <w:sz w:val="28"/>
          <w:szCs w:val="28"/>
        </w:rPr>
        <w:t>的主要后果是中毒窒息、高处坠落造成人员死亡、人身伤害、经济损失等。事故多发生生产旺季。</w:t>
      </w:r>
    </w:p>
    <w:p>
      <w:pPr>
        <w:pStyle w:val="8"/>
        <w:spacing w:line="360" w:lineRule="auto"/>
        <w:ind w:firstLine="0" w:firstLineChars="0"/>
        <w:outlineLvl w:val="2"/>
        <w:rPr>
          <w:rFonts w:hint="eastAsia" w:ascii="宋体" w:hAnsi="宋体"/>
          <w:b/>
          <w:snapToGrid w:val="0"/>
          <w:color w:val="FF0000"/>
          <w:kern w:val="0"/>
          <w:sz w:val="28"/>
          <w:szCs w:val="28"/>
          <w:lang w:val="en-US" w:eastAsia="zh-CN"/>
        </w:rPr>
      </w:pPr>
      <w:bookmarkStart w:id="199" w:name="_Toc481870967"/>
      <w:bookmarkStart w:id="200" w:name="_Toc332350852"/>
      <w:bookmarkStart w:id="201" w:name="_Toc515659445"/>
      <w:bookmarkStart w:id="202" w:name="_Toc499478606"/>
      <w:bookmarkStart w:id="203" w:name="_Toc511994834"/>
      <w:bookmarkStart w:id="204" w:name="_Toc1606"/>
      <w:r>
        <w:rPr>
          <w:rFonts w:hint="eastAsia" w:ascii="宋体" w:hAnsi="宋体"/>
          <w:b/>
          <w:snapToGrid w:val="0"/>
          <w:color w:val="FF0000"/>
          <w:kern w:val="0"/>
          <w:sz w:val="28"/>
          <w:szCs w:val="28"/>
          <w:lang w:val="en-US" w:eastAsia="zh-CN"/>
        </w:rPr>
        <w:t>3.5.9高温</w:t>
      </w:r>
      <w:bookmarkEnd w:id="199"/>
      <w:bookmarkEnd w:id="200"/>
      <w:r>
        <w:rPr>
          <w:rFonts w:hint="eastAsia" w:ascii="宋体" w:hAnsi="宋体"/>
          <w:b/>
          <w:snapToGrid w:val="0"/>
          <w:color w:val="FF0000"/>
          <w:kern w:val="0"/>
          <w:sz w:val="28"/>
          <w:szCs w:val="28"/>
          <w:lang w:val="en-US" w:eastAsia="zh-CN"/>
        </w:rPr>
        <w:t>灼烫</w:t>
      </w:r>
      <w:bookmarkEnd w:id="201"/>
      <w:bookmarkEnd w:id="202"/>
      <w:bookmarkEnd w:id="203"/>
      <w:bookmarkEnd w:id="204"/>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在生产工艺中存在烘干窑、隧道窑及高温产品等高温作业环境，作业人员在工作过程中由于劳保用品穿戴不好，违章操作、设备设施故障泄漏或保温失效、检修过程中防护不当以及其它突发事故等原因，均可导致作业人员发生高温烫伤伤害。在烧结时，窑体加煤烧制、成品砖出窑过程中，温度较高，如窑体保温密封不良会产生较强的热辐射，作业人员长期在此环境中易受到高温中暑危害。</w:t>
      </w:r>
    </w:p>
    <w:p>
      <w:pPr>
        <w:pStyle w:val="8"/>
        <w:spacing w:line="360" w:lineRule="auto"/>
        <w:ind w:firstLine="0" w:firstLineChars="0"/>
        <w:outlineLvl w:val="2"/>
        <w:rPr>
          <w:rFonts w:hint="eastAsia" w:ascii="宋体" w:hAnsi="宋体"/>
          <w:b/>
          <w:snapToGrid w:val="0"/>
          <w:color w:val="FF0000"/>
          <w:kern w:val="0"/>
          <w:sz w:val="28"/>
          <w:szCs w:val="28"/>
          <w:lang w:val="en-US" w:eastAsia="zh-CN"/>
        </w:rPr>
      </w:pPr>
      <w:bookmarkStart w:id="205" w:name="_Toc511994833"/>
      <w:bookmarkStart w:id="206" w:name="_Toc515659444"/>
      <w:bookmarkStart w:id="207" w:name="_Toc468870614"/>
      <w:bookmarkStart w:id="208" w:name="_Toc14284"/>
      <w:r>
        <w:rPr>
          <w:rFonts w:hint="eastAsia" w:ascii="宋体" w:hAnsi="宋体"/>
          <w:b/>
          <w:snapToGrid w:val="0"/>
          <w:color w:val="FF0000"/>
          <w:kern w:val="0"/>
          <w:sz w:val="28"/>
          <w:szCs w:val="28"/>
          <w:lang w:val="en-US" w:eastAsia="zh-CN"/>
        </w:rPr>
        <w:t>3.5.10容器爆炸</w:t>
      </w:r>
      <w:bookmarkEnd w:id="205"/>
      <w:bookmarkEnd w:id="206"/>
      <w:bookmarkEnd w:id="207"/>
      <w:bookmarkEnd w:id="208"/>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公司使用的空压设备配套有压缩空气罐，压缩空气罐属于普通的一类压力容器，压力容器在使用过程中存在压力容器爆炸危险，发生容器爆炸事故的主要原因有：</w:t>
      </w:r>
    </w:p>
    <w:p>
      <w:pPr>
        <w:spacing w:line="360" w:lineRule="auto"/>
        <w:ind w:firstLine="560" w:firstLineChars="200"/>
        <w:rPr>
          <w:rFonts w:hint="eastAsia" w:ascii="宋体" w:hAnsi="宋体"/>
          <w:snapToGrid w:val="0"/>
          <w:kern w:val="0"/>
          <w:sz w:val="28"/>
          <w:szCs w:val="28"/>
          <w:lang w:eastAsia="zh-CN"/>
        </w:rPr>
      </w:pPr>
      <w:r>
        <w:rPr>
          <w:rFonts w:hint="eastAsia" w:ascii="宋体" w:hAnsi="宋体"/>
          <w:snapToGrid w:val="0"/>
          <w:kern w:val="0"/>
          <w:sz w:val="28"/>
          <w:szCs w:val="28"/>
          <w:lang w:eastAsia="zh-CN"/>
        </w:rPr>
        <w:t>(1) 由于设计制造不当造成设备的质量不符合有关规范要求，在运行时发生爆裂，其爆裂的形式有：</w:t>
      </w:r>
      <w:r>
        <w:rPr>
          <w:rFonts w:hint="eastAsia" w:ascii="宋体" w:hAnsi="宋体"/>
          <w:snapToGrid w:val="0"/>
          <w:kern w:val="0"/>
          <w:sz w:val="28"/>
          <w:szCs w:val="28"/>
          <w:lang w:eastAsia="zh-CN"/>
        </w:rPr>
        <w:fldChar w:fldCharType="begin"/>
      </w:r>
      <w:r>
        <w:rPr>
          <w:rFonts w:hint="eastAsia" w:ascii="宋体" w:hAnsi="宋体"/>
          <w:snapToGrid w:val="0"/>
          <w:kern w:val="0"/>
          <w:sz w:val="28"/>
          <w:szCs w:val="28"/>
          <w:lang w:eastAsia="zh-CN"/>
        </w:rPr>
        <w:instrText xml:space="preserve"> = 1 \* GB3 </w:instrText>
      </w:r>
      <w:r>
        <w:rPr>
          <w:rFonts w:hint="eastAsia" w:ascii="宋体" w:hAnsi="宋体"/>
          <w:snapToGrid w:val="0"/>
          <w:kern w:val="0"/>
          <w:sz w:val="28"/>
          <w:szCs w:val="28"/>
          <w:lang w:eastAsia="zh-CN"/>
        </w:rPr>
        <w:fldChar w:fldCharType="separate"/>
      </w:r>
      <w:r>
        <w:rPr>
          <w:rFonts w:hint="eastAsia" w:ascii="宋体" w:hAnsi="宋体"/>
          <w:snapToGrid w:val="0"/>
          <w:kern w:val="0"/>
          <w:sz w:val="28"/>
          <w:szCs w:val="28"/>
          <w:lang w:eastAsia="zh-CN"/>
        </w:rPr>
        <w:t>①</w:t>
      </w:r>
      <w:r>
        <w:rPr>
          <w:rFonts w:hint="eastAsia" w:ascii="宋体" w:hAnsi="宋体"/>
          <w:snapToGrid w:val="0"/>
          <w:kern w:val="0"/>
          <w:sz w:val="28"/>
          <w:szCs w:val="28"/>
          <w:lang w:eastAsia="zh-CN"/>
        </w:rPr>
        <w:fldChar w:fldCharType="end"/>
      </w:r>
      <w:r>
        <w:rPr>
          <w:rFonts w:hint="eastAsia" w:ascii="宋体" w:hAnsi="宋体"/>
          <w:snapToGrid w:val="0"/>
          <w:kern w:val="0"/>
          <w:sz w:val="28"/>
          <w:szCs w:val="28"/>
          <w:lang w:eastAsia="zh-CN"/>
        </w:rPr>
        <w:t>韧性爆裂：是压力容器在内部压力下，器壁上产生的应力达到材料强度的极限而断裂的一种破坏形式。引起韧性爆裂的原因大多是：磨损、腐蚀、壁厚减薄、强度不足仍继续运行所致。</w:t>
      </w:r>
      <w:r>
        <w:rPr>
          <w:rFonts w:hint="eastAsia" w:ascii="宋体" w:hAnsi="宋体"/>
          <w:snapToGrid w:val="0"/>
          <w:kern w:val="0"/>
          <w:sz w:val="28"/>
          <w:szCs w:val="28"/>
          <w:lang w:eastAsia="zh-CN"/>
        </w:rPr>
        <w:fldChar w:fldCharType="begin"/>
      </w:r>
      <w:r>
        <w:rPr>
          <w:rFonts w:hint="eastAsia" w:ascii="宋体" w:hAnsi="宋体"/>
          <w:snapToGrid w:val="0"/>
          <w:kern w:val="0"/>
          <w:sz w:val="28"/>
          <w:szCs w:val="28"/>
          <w:lang w:eastAsia="zh-CN"/>
        </w:rPr>
        <w:instrText xml:space="preserve"> = 2 \* GB3 </w:instrText>
      </w:r>
      <w:r>
        <w:rPr>
          <w:rFonts w:hint="eastAsia" w:ascii="宋体" w:hAnsi="宋体"/>
          <w:snapToGrid w:val="0"/>
          <w:kern w:val="0"/>
          <w:sz w:val="28"/>
          <w:szCs w:val="28"/>
          <w:lang w:eastAsia="zh-CN"/>
        </w:rPr>
        <w:fldChar w:fldCharType="separate"/>
      </w:r>
      <w:r>
        <w:rPr>
          <w:rFonts w:hint="eastAsia" w:ascii="宋体" w:hAnsi="宋体"/>
          <w:snapToGrid w:val="0"/>
          <w:kern w:val="0"/>
          <w:sz w:val="28"/>
          <w:szCs w:val="28"/>
          <w:lang w:eastAsia="zh-CN"/>
        </w:rPr>
        <w:t>②</w:t>
      </w:r>
      <w:r>
        <w:rPr>
          <w:rFonts w:hint="eastAsia" w:ascii="宋体" w:hAnsi="宋体"/>
          <w:snapToGrid w:val="0"/>
          <w:kern w:val="0"/>
          <w:sz w:val="28"/>
          <w:szCs w:val="28"/>
          <w:lang w:eastAsia="zh-CN"/>
        </w:rPr>
        <w:fldChar w:fldCharType="end"/>
      </w:r>
      <w:r>
        <w:rPr>
          <w:rFonts w:hint="eastAsia" w:ascii="宋体" w:hAnsi="宋体"/>
          <w:snapToGrid w:val="0"/>
          <w:kern w:val="0"/>
          <w:sz w:val="28"/>
          <w:szCs w:val="28"/>
          <w:lang w:eastAsia="zh-CN"/>
        </w:rPr>
        <w:t>脆性爆裂：是容器承受的压力并不高，负荷产生的应力远小于材料屈服极限及明显的变形而突然发生爆裂，其原因是由于温度、应力集中、冲击荷载作用等因素使材料的塑性和韧性下降、材料变脆不能抑制裂纹的结果。</w:t>
      </w:r>
      <w:r>
        <w:rPr>
          <w:rFonts w:hint="eastAsia" w:ascii="宋体" w:hAnsi="宋体"/>
          <w:snapToGrid w:val="0"/>
          <w:kern w:val="0"/>
          <w:sz w:val="28"/>
          <w:szCs w:val="28"/>
          <w:lang w:eastAsia="zh-CN"/>
        </w:rPr>
        <w:fldChar w:fldCharType="begin"/>
      </w:r>
      <w:r>
        <w:rPr>
          <w:rFonts w:hint="eastAsia" w:ascii="宋体" w:hAnsi="宋体"/>
          <w:snapToGrid w:val="0"/>
          <w:kern w:val="0"/>
          <w:sz w:val="28"/>
          <w:szCs w:val="28"/>
          <w:lang w:eastAsia="zh-CN"/>
        </w:rPr>
        <w:instrText xml:space="preserve"> = 3 \* GB3 </w:instrText>
      </w:r>
      <w:r>
        <w:rPr>
          <w:rFonts w:hint="eastAsia" w:ascii="宋体" w:hAnsi="宋体"/>
          <w:snapToGrid w:val="0"/>
          <w:kern w:val="0"/>
          <w:sz w:val="28"/>
          <w:szCs w:val="28"/>
          <w:lang w:eastAsia="zh-CN"/>
        </w:rPr>
        <w:fldChar w:fldCharType="separate"/>
      </w:r>
      <w:r>
        <w:rPr>
          <w:rFonts w:hint="eastAsia" w:ascii="宋体" w:hAnsi="宋体"/>
          <w:snapToGrid w:val="0"/>
          <w:kern w:val="0"/>
          <w:sz w:val="28"/>
          <w:szCs w:val="28"/>
          <w:lang w:eastAsia="zh-CN"/>
        </w:rPr>
        <w:t>③</w:t>
      </w:r>
      <w:r>
        <w:rPr>
          <w:rFonts w:hint="eastAsia" w:ascii="宋体" w:hAnsi="宋体"/>
          <w:snapToGrid w:val="0"/>
          <w:kern w:val="0"/>
          <w:sz w:val="28"/>
          <w:szCs w:val="28"/>
          <w:lang w:eastAsia="zh-CN"/>
        </w:rPr>
        <w:fldChar w:fldCharType="end"/>
      </w:r>
      <w:r>
        <w:rPr>
          <w:rFonts w:hint="eastAsia" w:ascii="宋体" w:hAnsi="宋体"/>
          <w:snapToGrid w:val="0"/>
          <w:kern w:val="0"/>
          <w:sz w:val="28"/>
          <w:szCs w:val="28"/>
          <w:lang w:eastAsia="zh-CN"/>
        </w:rPr>
        <w:t>疲劳爆裂：是容器在反复的加压、卸压后，壳体材料长期受到交变载荷的作用，如反复的加压和卸压，开停车或负荷波动幅度大如吸附和再生作业时，导致操作压力波动幅度较大及工作温度周期性的变化的作用而出现的金属疲劳，从而产生的一种爆裂形式。</w:t>
      </w:r>
      <w:r>
        <w:rPr>
          <w:rFonts w:hint="eastAsia" w:ascii="宋体" w:hAnsi="宋体"/>
          <w:snapToGrid w:val="0"/>
          <w:kern w:val="0"/>
          <w:sz w:val="28"/>
          <w:szCs w:val="28"/>
          <w:lang w:eastAsia="zh-CN"/>
        </w:rPr>
        <w:fldChar w:fldCharType="begin"/>
      </w:r>
      <w:r>
        <w:rPr>
          <w:rFonts w:hint="eastAsia" w:ascii="宋体" w:hAnsi="宋体"/>
          <w:snapToGrid w:val="0"/>
          <w:kern w:val="0"/>
          <w:sz w:val="28"/>
          <w:szCs w:val="28"/>
          <w:lang w:eastAsia="zh-CN"/>
        </w:rPr>
        <w:instrText xml:space="preserve"> = 4 \* GB3 </w:instrText>
      </w:r>
      <w:r>
        <w:rPr>
          <w:rFonts w:hint="eastAsia" w:ascii="宋体" w:hAnsi="宋体"/>
          <w:snapToGrid w:val="0"/>
          <w:kern w:val="0"/>
          <w:sz w:val="28"/>
          <w:szCs w:val="28"/>
          <w:lang w:eastAsia="zh-CN"/>
        </w:rPr>
        <w:fldChar w:fldCharType="separate"/>
      </w:r>
      <w:r>
        <w:rPr>
          <w:rFonts w:hint="eastAsia" w:ascii="宋体" w:hAnsi="宋体"/>
          <w:snapToGrid w:val="0"/>
          <w:kern w:val="0"/>
          <w:sz w:val="28"/>
          <w:szCs w:val="28"/>
          <w:lang w:eastAsia="zh-CN"/>
        </w:rPr>
        <w:t>④</w:t>
      </w:r>
      <w:r>
        <w:rPr>
          <w:rFonts w:hint="eastAsia" w:ascii="宋体" w:hAnsi="宋体"/>
          <w:snapToGrid w:val="0"/>
          <w:kern w:val="0"/>
          <w:sz w:val="28"/>
          <w:szCs w:val="28"/>
          <w:lang w:eastAsia="zh-CN"/>
        </w:rPr>
        <w:fldChar w:fldCharType="end"/>
      </w:r>
      <w:r>
        <w:rPr>
          <w:rFonts w:hint="eastAsia" w:ascii="宋体" w:hAnsi="宋体"/>
          <w:snapToGrid w:val="0"/>
          <w:kern w:val="0"/>
          <w:sz w:val="28"/>
          <w:szCs w:val="28"/>
          <w:lang w:eastAsia="zh-CN"/>
        </w:rPr>
        <w:t>腐蚀爆裂：是容器壳体由于受到腐蚀介质作用而产生的均匀腐蚀、点腐蚀、晶间腐蚀、应力腐蚀、疲劳腐蚀而引起的爆裂。</w:t>
      </w:r>
    </w:p>
    <w:p>
      <w:pPr>
        <w:spacing w:line="360" w:lineRule="auto"/>
        <w:ind w:firstLine="560" w:firstLineChars="200"/>
        <w:rPr>
          <w:rFonts w:hint="eastAsia" w:ascii="宋体" w:hAnsi="宋体"/>
          <w:snapToGrid w:val="0"/>
          <w:kern w:val="0"/>
          <w:sz w:val="28"/>
          <w:szCs w:val="28"/>
          <w:lang w:eastAsia="zh-CN"/>
        </w:rPr>
      </w:pPr>
      <w:r>
        <w:rPr>
          <w:rFonts w:hint="eastAsia" w:ascii="宋体" w:hAnsi="宋体"/>
          <w:snapToGrid w:val="0"/>
          <w:kern w:val="0"/>
          <w:sz w:val="28"/>
          <w:szCs w:val="28"/>
          <w:lang w:eastAsia="zh-CN"/>
        </w:rPr>
        <w:t xml:space="preserve">(2) 在使用过程中，若违反操作规程或因年久腐蚀严重又未按国家规定进行检测，在超压运行状态下，而安全阀又未动作时，罐体承受不住内部气压或液压时，将发生爆裂或爆炸。 </w:t>
      </w:r>
    </w:p>
    <w:p>
      <w:pPr>
        <w:spacing w:line="360" w:lineRule="auto"/>
        <w:ind w:firstLine="560" w:firstLineChars="200"/>
        <w:rPr>
          <w:rFonts w:hint="eastAsia" w:ascii="宋体" w:hAnsi="宋体"/>
          <w:snapToGrid w:val="0"/>
          <w:kern w:val="0"/>
          <w:sz w:val="28"/>
          <w:szCs w:val="28"/>
          <w:lang w:eastAsia="zh-CN"/>
        </w:rPr>
      </w:pPr>
      <w:r>
        <w:rPr>
          <w:rFonts w:hint="eastAsia" w:ascii="宋体" w:hAnsi="宋体"/>
          <w:snapToGrid w:val="0"/>
          <w:kern w:val="0"/>
          <w:sz w:val="28"/>
          <w:szCs w:val="28"/>
          <w:lang w:eastAsia="zh-CN"/>
        </w:rPr>
        <w:t>(3) 由于压力容器的安全阀、压力表等未定期检验或损坏失灵，致不能正确显示和及时泄放，容器超压也可能引起爆炸。</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209" w:name="_Toc511994836"/>
      <w:bookmarkStart w:id="210" w:name="_Toc515657141"/>
      <w:bookmarkStart w:id="211" w:name="_Toc515659448"/>
      <w:bookmarkStart w:id="212" w:name="_Toc3933"/>
      <w:r>
        <w:rPr>
          <w:rFonts w:hint="eastAsia" w:ascii="宋体" w:hAnsi="宋体"/>
          <w:b/>
          <w:snapToGrid w:val="0"/>
          <w:kern w:val="0"/>
          <w:sz w:val="28"/>
          <w:szCs w:val="28"/>
          <w:lang w:val="en-US" w:eastAsia="zh-CN"/>
        </w:rPr>
        <w:t>3.5.11有限空间作业</w:t>
      </w:r>
      <w:bookmarkEnd w:id="209"/>
      <w:bookmarkEnd w:id="210"/>
      <w:bookmarkEnd w:id="211"/>
      <w:bookmarkEnd w:id="212"/>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本项目的各类储罐容器、脱硫塔、窑炉炉膛、砖坯烘干室、设备地下坑道、烟道等设施、设备和场所，在日常维护和检测时会进行有限空间作业。</w:t>
      </w:r>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有限空间内作业，如管理稍有不慎，极易导致火灾、爆炸、中毒、窒息等人身伤害事故，给作业人员的安全带来严重安全隐患。研究表明很多致命的有限空间事故的发生都与所在空间内存在的种危险因素未得到重视有关，而这些危险因素既可能在员工进入有限空间之前就已存在，也可能是由于他们在其间的活动形成。因此，有限空间是一种作业风险比较高，应当引起人们高度重视的作业环境。</w:t>
      </w:r>
    </w:p>
    <w:p>
      <w:pPr>
        <w:pStyle w:val="8"/>
        <w:spacing w:line="360" w:lineRule="auto"/>
        <w:ind w:firstLine="0" w:firstLineChars="0"/>
        <w:outlineLvl w:val="2"/>
        <w:rPr>
          <w:rFonts w:hint="eastAsia" w:ascii="宋体" w:hAnsi="宋体"/>
          <w:b/>
          <w:snapToGrid w:val="0"/>
          <w:kern w:val="0"/>
          <w:sz w:val="28"/>
          <w:szCs w:val="28"/>
        </w:rPr>
      </w:pPr>
      <w:bookmarkStart w:id="213" w:name="_Toc356401499"/>
      <w:bookmarkStart w:id="214" w:name="_Toc480804402"/>
      <w:bookmarkStart w:id="215" w:name="_Toc514342854"/>
      <w:bookmarkStart w:id="216" w:name="_Toc350781101"/>
      <w:bookmarkStart w:id="217" w:name="_Toc4147"/>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w:t>
      </w:r>
      <w:r>
        <w:rPr>
          <w:rFonts w:ascii="宋体" w:hAnsi="宋体"/>
          <w:b/>
          <w:snapToGrid w:val="0"/>
          <w:kern w:val="0"/>
          <w:sz w:val="28"/>
          <w:szCs w:val="28"/>
        </w:rPr>
        <w:t>.</w:t>
      </w:r>
      <w:r>
        <w:rPr>
          <w:rFonts w:hint="eastAsia" w:ascii="宋体" w:hAnsi="宋体"/>
          <w:b/>
          <w:snapToGrid w:val="0"/>
          <w:kern w:val="0"/>
          <w:sz w:val="28"/>
          <w:szCs w:val="28"/>
          <w:lang w:val="en-US" w:eastAsia="zh-CN"/>
        </w:rPr>
        <w:t>12</w:t>
      </w:r>
      <w:r>
        <w:rPr>
          <w:rFonts w:ascii="宋体" w:hAnsi="宋体"/>
          <w:b/>
          <w:snapToGrid w:val="0"/>
          <w:kern w:val="0"/>
          <w:sz w:val="28"/>
          <w:szCs w:val="28"/>
        </w:rPr>
        <w:t xml:space="preserve"> </w:t>
      </w:r>
      <w:r>
        <w:rPr>
          <w:rFonts w:hint="eastAsia" w:ascii="宋体" w:hAnsi="宋体"/>
          <w:b/>
          <w:snapToGrid w:val="0"/>
          <w:kern w:val="0"/>
          <w:sz w:val="28"/>
          <w:szCs w:val="28"/>
        </w:rPr>
        <w:t>职业</w:t>
      </w:r>
      <w:r>
        <w:rPr>
          <w:rFonts w:ascii="宋体" w:hAnsi="宋体"/>
          <w:b/>
          <w:snapToGrid w:val="0"/>
          <w:kern w:val="0"/>
          <w:sz w:val="28"/>
          <w:szCs w:val="28"/>
        </w:rPr>
        <w:t>危害</w:t>
      </w:r>
      <w:r>
        <w:rPr>
          <w:rFonts w:hint="eastAsia" w:ascii="宋体" w:hAnsi="宋体"/>
          <w:b/>
          <w:snapToGrid w:val="0"/>
          <w:kern w:val="0"/>
          <w:sz w:val="28"/>
          <w:szCs w:val="28"/>
        </w:rPr>
        <w:t>因素</w:t>
      </w:r>
      <w:bookmarkEnd w:id="213"/>
      <w:bookmarkEnd w:id="214"/>
      <w:bookmarkEnd w:id="215"/>
      <w:bookmarkEnd w:id="216"/>
      <w:bookmarkEnd w:id="217"/>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3.5.</w:t>
      </w:r>
      <w:r>
        <w:rPr>
          <w:rFonts w:hint="eastAsia" w:ascii="宋体" w:hAnsi="宋体" w:cstheme="minorBidi"/>
          <w:snapToGrid w:val="0"/>
          <w:color w:val="auto"/>
          <w:kern w:val="0"/>
          <w:sz w:val="28"/>
          <w:szCs w:val="28"/>
          <w:lang w:val="en-US" w:eastAsia="zh-CN" w:bidi="ar-SA"/>
        </w:rPr>
        <w:t>12</w:t>
      </w:r>
      <w:r>
        <w:rPr>
          <w:rFonts w:hint="eastAsia" w:ascii="宋体" w:hAnsi="宋体" w:eastAsia="宋体" w:cstheme="minorBidi"/>
          <w:snapToGrid w:val="0"/>
          <w:color w:val="auto"/>
          <w:kern w:val="0"/>
          <w:sz w:val="28"/>
          <w:szCs w:val="28"/>
          <w:lang w:val="en-US" w:eastAsia="zh-CN" w:bidi="ar-SA"/>
        </w:rPr>
        <w:t>.1 粉尘</w:t>
      </w:r>
    </w:p>
    <w:p>
      <w:pPr>
        <w:spacing w:line="360" w:lineRule="auto"/>
        <w:ind w:firstLine="560" w:firstLineChars="200"/>
        <w:rPr>
          <w:rFonts w:hint="eastAsia" w:ascii="宋体" w:hAnsi="宋体"/>
          <w:snapToGrid w:val="0"/>
          <w:color w:val="auto"/>
          <w:kern w:val="0"/>
          <w:sz w:val="28"/>
          <w:szCs w:val="28"/>
          <w:lang w:eastAsia="zh-CN"/>
        </w:rPr>
      </w:pPr>
      <w:r>
        <w:rPr>
          <w:rFonts w:hint="eastAsia" w:ascii="宋体" w:hAnsi="宋体" w:eastAsia="宋体" w:cstheme="minorBidi"/>
          <w:snapToGrid w:val="0"/>
          <w:color w:val="auto"/>
          <w:kern w:val="0"/>
          <w:sz w:val="28"/>
          <w:szCs w:val="28"/>
          <w:lang w:val="en-US" w:eastAsia="zh-CN" w:bidi="ar-SA"/>
        </w:rPr>
        <w:t>窑体在加煤烧制过程中窑顶部、出窑时窑洞中粉尘浓度较大，作</w:t>
      </w:r>
      <w:r>
        <w:rPr>
          <w:rFonts w:hint="eastAsia" w:ascii="宋体" w:hAnsi="宋体"/>
          <w:snapToGrid w:val="0"/>
          <w:color w:val="auto"/>
          <w:kern w:val="0"/>
          <w:sz w:val="28"/>
          <w:szCs w:val="28"/>
          <w:lang w:eastAsia="zh-CN"/>
        </w:rPr>
        <w:t>业人员在此环境中易受到粉尘危害。粉尘危害是砖厂生产作业中最大危害之一。粉尘是在生产过程中产生的细粒状矿物或岩石粉尘。</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产生粉尘的环节主要有原料装卸、破碎等生产过程。在上述生产作业中产生的细粒状矿物或岩石粉尘，直径大于50μm的尘粒，在重力作用下会很快从气流中分离出来，沉落于地面，此类矿尘称为落尘；直径在0.01～50μm范围内的尘粒，能长时间悬浮于空气中，此类矿尘叫做浮尘。浮尘对空气的污染和对人体健康具有重大影响。</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3.5.</w:t>
      </w:r>
      <w:r>
        <w:rPr>
          <w:rFonts w:hint="eastAsia" w:ascii="宋体" w:hAnsi="宋体" w:cstheme="minorBidi"/>
          <w:snapToGrid w:val="0"/>
          <w:color w:val="auto"/>
          <w:kern w:val="0"/>
          <w:sz w:val="28"/>
          <w:szCs w:val="28"/>
          <w:lang w:val="en-US" w:eastAsia="zh-CN" w:bidi="ar-SA"/>
        </w:rPr>
        <w:t>12</w:t>
      </w:r>
      <w:r>
        <w:rPr>
          <w:rFonts w:hint="eastAsia" w:ascii="宋体" w:hAnsi="宋体" w:eastAsia="宋体" w:cstheme="minorBidi"/>
          <w:snapToGrid w:val="0"/>
          <w:color w:val="auto"/>
          <w:kern w:val="0"/>
          <w:sz w:val="28"/>
          <w:szCs w:val="28"/>
          <w:lang w:val="en-US" w:eastAsia="zh-CN" w:bidi="ar-SA"/>
        </w:rPr>
        <w:t>.2 烟气</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烧结自保温砌块的制造生产主要采用内燃烧成工艺，但有时也需要补充少量的外燃，其内燃热值一般为300～500cal/g，因此烟气成分复杂，废气中以无机污染物为主。燃烧过程中可逸出有害气体S02、HF、NOx、CO、HC1等，其主要污染物是S02气体，如不加以治理，将会对工作场所人员健康和环境造成影响。</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3.5.</w:t>
      </w:r>
      <w:r>
        <w:rPr>
          <w:rFonts w:hint="eastAsia" w:ascii="宋体" w:hAnsi="宋体" w:cstheme="minorBidi"/>
          <w:snapToGrid w:val="0"/>
          <w:color w:val="auto"/>
          <w:kern w:val="0"/>
          <w:sz w:val="28"/>
          <w:szCs w:val="28"/>
          <w:lang w:val="en-US" w:eastAsia="zh-CN" w:bidi="ar-SA"/>
        </w:rPr>
        <w:t>12</w:t>
      </w:r>
      <w:r>
        <w:rPr>
          <w:rFonts w:hint="eastAsia" w:ascii="宋体" w:hAnsi="宋体" w:eastAsia="宋体" w:cstheme="minorBidi"/>
          <w:snapToGrid w:val="0"/>
          <w:color w:val="auto"/>
          <w:kern w:val="0"/>
          <w:sz w:val="28"/>
          <w:szCs w:val="28"/>
          <w:lang w:val="en-US" w:eastAsia="zh-CN" w:bidi="ar-SA"/>
        </w:rPr>
        <w:t>.3 噪声、振动</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噪声指声强和频率的变化都无规律、杂乱无章的声音。砖厂噪声具有强度大、声级高、噪声源多、干扰时间长以及连续噪声多等特点。</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噪声与振动主要来源于各种设备在运转过程中由于震动、摩擦、碰撞而产生的机械动力噪声和由风管排气、漏气而产生的气体动力噪声。</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产生噪声与振动的设备和场所：空压机和空压机泵房；制砖工作面；装载、挖掘设备驾驶室。</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噪声可以使人耳聋，还可能引起高血压、心脏病、神经官能症等疾病。噪声还污染环境，影响人们的正常生活和生产活动。</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3.5.</w:t>
      </w:r>
      <w:r>
        <w:rPr>
          <w:rFonts w:hint="eastAsia" w:ascii="宋体" w:hAnsi="宋体" w:cstheme="minorBidi"/>
          <w:snapToGrid w:val="0"/>
          <w:color w:val="auto"/>
          <w:kern w:val="0"/>
          <w:sz w:val="28"/>
          <w:szCs w:val="28"/>
          <w:lang w:val="en-US" w:eastAsia="zh-CN" w:bidi="ar-SA"/>
        </w:rPr>
        <w:t>12</w:t>
      </w:r>
      <w:r>
        <w:rPr>
          <w:rFonts w:hint="eastAsia" w:ascii="宋体" w:hAnsi="宋体" w:eastAsia="宋体" w:cstheme="minorBidi"/>
          <w:snapToGrid w:val="0"/>
          <w:color w:val="auto"/>
          <w:kern w:val="0"/>
          <w:sz w:val="28"/>
          <w:szCs w:val="28"/>
          <w:lang w:val="en-US" w:eastAsia="zh-CN" w:bidi="ar-SA"/>
        </w:rPr>
        <w:t>.4 高温、低温</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高温、高湿环境会增加人员中暑机率，并会加速有毒物质吸收，会导致操作失误率升高，易发生事故，长期在高温、高湿环境下工作，可引发关节炎等疾病；高温、高湿环境会加速材料的腐蚀；过大的湿度会引起电气设备受潮、绝缘下降，引起触电事故；</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在烧结时，窑体加煤烧制、成品砖出窑过程中，温度较高，如窑体保温密封不良会产生较强的热辐射，作业人员在此环境中易受到高温危害。</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在低温环境下，人员操作功能随温度的下降而明显下降，注意力不集中，反应时间延长，作业失误率上升，且可能发生冻伤。</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218" w:name="_Toc413834096"/>
      <w:bookmarkStart w:id="219" w:name="_Toc359225372"/>
      <w:bookmarkStart w:id="220" w:name="_Toc496016659"/>
      <w:bookmarkStart w:id="221" w:name="_Toc21315"/>
      <w:r>
        <w:rPr>
          <w:rFonts w:hint="eastAsia" w:ascii="宋体" w:hAnsi="宋体"/>
          <w:b/>
          <w:snapToGrid w:val="0"/>
          <w:kern w:val="0"/>
          <w:sz w:val="28"/>
          <w:szCs w:val="28"/>
          <w:lang w:val="en-US" w:eastAsia="zh-CN"/>
        </w:rPr>
        <w:t>3.5.13 自然灾害</w:t>
      </w:r>
      <w:bookmarkEnd w:id="218"/>
      <w:bookmarkEnd w:id="219"/>
      <w:bookmarkEnd w:id="220"/>
      <w:bookmarkEnd w:id="221"/>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lang w:val="en-US" w:eastAsia="zh-CN"/>
        </w:rPr>
        <w:t>3.5.13</w:t>
      </w:r>
      <w:r>
        <w:rPr>
          <w:rFonts w:hint="eastAsia" w:ascii="宋体" w:hAnsi="宋体" w:cs="宋体"/>
          <w:color w:val="auto"/>
          <w:sz w:val="28"/>
          <w:szCs w:val="28"/>
        </w:rPr>
        <w:t>.1 地震灾害</w:t>
      </w:r>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rPr>
        <w:t>地震发生时，可能使建筑物倒塌，建筑设施结构破坏造成人员伤亡，也可能使电气系统短路导致火灾事故发生等。</w:t>
      </w:r>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lang w:val="en-US" w:eastAsia="zh-CN"/>
        </w:rPr>
        <w:t>3.5.13</w:t>
      </w:r>
      <w:r>
        <w:rPr>
          <w:rFonts w:hint="eastAsia" w:ascii="宋体" w:hAnsi="宋体" w:cs="宋体"/>
          <w:color w:val="auto"/>
          <w:sz w:val="28"/>
          <w:szCs w:val="28"/>
        </w:rPr>
        <w:t>.2 雷击危害</w:t>
      </w:r>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rPr>
        <w:t>雷雨云对地放电形成直击雷。雷击发生时，强大的冲击电压和雷电流会毁坏各种电气设备，强烈的空气扰动会使建筑物和设备损坏，其热效应会引起火灾，还可能击中人员事故伤亡事故。除直击雷外，还有雷电感应、球型雷和雷电侵入波等都可造成危害，其中直击雷的危害最大，此外雷电还可通过静电感应或电磁感应产生破坏作用。</w:t>
      </w:r>
    </w:p>
    <w:p>
      <w:pPr>
        <w:pStyle w:val="8"/>
        <w:spacing w:line="360" w:lineRule="auto"/>
        <w:ind w:firstLine="0" w:firstLineChars="0"/>
        <w:outlineLvl w:val="1"/>
        <w:rPr>
          <w:rFonts w:hint="eastAsia" w:ascii="黑体" w:hAnsi="宋体" w:eastAsia="黑体"/>
          <w:b/>
          <w:snapToGrid w:val="0"/>
          <w:kern w:val="0"/>
          <w:sz w:val="32"/>
          <w:szCs w:val="32"/>
        </w:rPr>
      </w:pPr>
      <w:bookmarkStart w:id="222" w:name="_Toc325528024"/>
      <w:bookmarkStart w:id="223" w:name="_Toc484594602"/>
      <w:bookmarkStart w:id="224" w:name="_Toc303340324"/>
      <w:bookmarkStart w:id="225" w:name="_Toc514342856"/>
      <w:bookmarkStart w:id="226" w:name="_Toc304291284"/>
      <w:bookmarkStart w:id="227" w:name="_Toc25799"/>
      <w:r>
        <w:rPr>
          <w:rFonts w:hint="eastAsia" w:ascii="黑体" w:hAnsi="宋体" w:eastAsia="黑体"/>
          <w:b/>
          <w:snapToGrid w:val="0"/>
          <w:kern w:val="0"/>
          <w:sz w:val="32"/>
          <w:szCs w:val="32"/>
          <w:lang w:val="en-US" w:eastAsia="zh-CN"/>
        </w:rPr>
        <w:t>3</w:t>
      </w:r>
      <w:r>
        <w:rPr>
          <w:rFonts w:hint="eastAsia" w:ascii="黑体" w:hAnsi="宋体" w:eastAsia="黑体"/>
          <w:b/>
          <w:snapToGrid w:val="0"/>
          <w:kern w:val="0"/>
          <w:sz w:val="32"/>
          <w:szCs w:val="32"/>
          <w:lang w:eastAsia="zh-CN"/>
        </w:rPr>
        <w:t>.</w:t>
      </w:r>
      <w:r>
        <w:rPr>
          <w:rFonts w:hint="eastAsia" w:ascii="黑体" w:hAnsi="宋体" w:eastAsia="黑体"/>
          <w:b/>
          <w:snapToGrid w:val="0"/>
          <w:kern w:val="0"/>
          <w:sz w:val="32"/>
          <w:szCs w:val="32"/>
        </w:rPr>
        <w:t>6 厂址安全条件的危险、有害因素辨识与分析</w:t>
      </w:r>
      <w:bookmarkEnd w:id="222"/>
      <w:bookmarkEnd w:id="223"/>
      <w:bookmarkEnd w:id="224"/>
      <w:bookmarkEnd w:id="225"/>
      <w:bookmarkEnd w:id="226"/>
      <w:bookmarkEnd w:id="227"/>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工业企业若选址不当，厂址条件差，可能存在以下危险、有害因素：①厂址工程地质不良，厂址周围为陡坎或有河流、沟渠通过，容易造成厂内塌陷和周边垮塌，设备、设施损坏，造成有害物质泄漏，引发火灾爆炸和窒息事故。②厂址所在地地形地貌差，处于窝风地带，厂内有害气体得不到及时散放，其生产作业危险性就大。③厂址与周边居民区或企业，安全距离不够，相互间会产生不利影响。④厂址所在地水文、气象条件恶劣，易发生水灾、雷击灾害，影响企业的正常生产。⑤厂址周边交通运输条件不畅、消防配备设施不完善，会造成运输不便，增加运输风险。</w:t>
      </w:r>
    </w:p>
    <w:p>
      <w:pPr>
        <w:spacing w:line="360" w:lineRule="auto"/>
        <w:ind w:firstLine="560" w:firstLineChars="200"/>
        <w:rPr>
          <w:rFonts w:hint="eastAsia" w:ascii="宋体" w:hAnsi="宋体"/>
          <w:snapToGrid w:val="0"/>
          <w:kern w:val="0"/>
          <w:sz w:val="28"/>
          <w:szCs w:val="28"/>
        </w:rPr>
      </w:pPr>
      <w:r>
        <w:rPr>
          <w:rFonts w:ascii="宋体" w:hAnsi="宋体"/>
          <w:snapToGrid w:val="0"/>
          <w:kern w:val="0"/>
          <w:sz w:val="28"/>
          <w:szCs w:val="28"/>
        </w:rPr>
        <w:t>本工程厂址周围无大型重要公共建筑设施</w:t>
      </w:r>
      <w:r>
        <w:rPr>
          <w:rFonts w:hint="eastAsia" w:ascii="宋体" w:hAnsi="宋体"/>
          <w:snapToGrid w:val="0"/>
          <w:kern w:val="0"/>
          <w:sz w:val="28"/>
          <w:szCs w:val="28"/>
        </w:rPr>
        <w:t>，</w:t>
      </w:r>
      <w:r>
        <w:rPr>
          <w:rFonts w:ascii="宋体" w:hAnsi="宋体"/>
          <w:snapToGrid w:val="0"/>
          <w:kern w:val="0"/>
          <w:sz w:val="28"/>
          <w:szCs w:val="28"/>
        </w:rPr>
        <w:t>位于相对稳定地块，场地无不良地质现象，地基承载力较高，不受洪水威胁；地下水对混凝土结构和钢筋混凝土结构中的钢筋不具腐蚀性。厂址交通运输方便</w:t>
      </w:r>
      <w:r>
        <w:rPr>
          <w:rFonts w:hint="eastAsia" w:ascii="宋体" w:hAnsi="宋体"/>
          <w:snapToGrid w:val="0"/>
          <w:kern w:val="0"/>
          <w:sz w:val="28"/>
          <w:szCs w:val="28"/>
        </w:rPr>
        <w:t>，</w:t>
      </w:r>
      <w:r>
        <w:rPr>
          <w:rFonts w:ascii="宋体" w:hAnsi="宋体"/>
          <w:snapToGrid w:val="0"/>
          <w:kern w:val="0"/>
          <w:sz w:val="28"/>
          <w:szCs w:val="28"/>
        </w:rPr>
        <w:t>已取得政府相关部门的</w:t>
      </w:r>
      <w:r>
        <w:rPr>
          <w:rFonts w:hint="eastAsia" w:ascii="宋体" w:hAnsi="宋体"/>
          <w:snapToGrid w:val="0"/>
          <w:kern w:val="0"/>
          <w:sz w:val="28"/>
          <w:szCs w:val="28"/>
        </w:rPr>
        <w:t>技改</w:t>
      </w:r>
      <w:r>
        <w:rPr>
          <w:rFonts w:ascii="宋体" w:hAnsi="宋体"/>
          <w:snapToGrid w:val="0"/>
          <w:kern w:val="0"/>
          <w:sz w:val="28"/>
          <w:szCs w:val="28"/>
        </w:rPr>
        <w:t>批复。因此，该工程选址符合当地政府部门规划，选址符合厂址选择的技术要求。</w:t>
      </w:r>
    </w:p>
    <w:p>
      <w:pPr>
        <w:pStyle w:val="8"/>
        <w:spacing w:line="360" w:lineRule="auto"/>
        <w:ind w:firstLine="0" w:firstLineChars="0"/>
        <w:outlineLvl w:val="2"/>
        <w:rPr>
          <w:rFonts w:hint="eastAsia" w:ascii="宋体" w:hAnsi="宋体"/>
          <w:b/>
          <w:snapToGrid w:val="0"/>
          <w:kern w:val="0"/>
          <w:sz w:val="28"/>
          <w:szCs w:val="28"/>
        </w:rPr>
      </w:pPr>
      <w:bookmarkStart w:id="228" w:name="_Toc484594603"/>
      <w:bookmarkStart w:id="229" w:name="_Toc514342857"/>
      <w:bookmarkStart w:id="230" w:name="_Toc458523590"/>
      <w:bookmarkStart w:id="231" w:name="_Toc24016"/>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 xml:space="preserve">6.1 </w:t>
      </w:r>
      <w:r>
        <w:rPr>
          <w:rFonts w:hint="eastAsia" w:ascii="宋体" w:hAnsi="宋体"/>
          <w:b/>
          <w:snapToGrid w:val="0"/>
          <w:kern w:val="0"/>
          <w:sz w:val="28"/>
          <w:szCs w:val="28"/>
          <w:lang w:eastAsia="zh-CN"/>
        </w:rPr>
        <w:t>公司</w:t>
      </w:r>
      <w:r>
        <w:rPr>
          <w:rFonts w:hint="eastAsia" w:ascii="宋体" w:hAnsi="宋体"/>
          <w:b/>
          <w:snapToGrid w:val="0"/>
          <w:kern w:val="0"/>
          <w:sz w:val="28"/>
          <w:szCs w:val="28"/>
        </w:rPr>
        <w:t>对周边环境的影响分析</w:t>
      </w:r>
      <w:bookmarkEnd w:id="228"/>
      <w:bookmarkEnd w:id="229"/>
      <w:bookmarkEnd w:id="230"/>
      <w:bookmarkEnd w:id="231"/>
    </w:p>
    <w:p>
      <w:pPr>
        <w:tabs>
          <w:tab w:val="left" w:pos="8808"/>
        </w:tabs>
        <w:snapToGrid w:val="0"/>
        <w:spacing w:line="360" w:lineRule="auto"/>
        <w:ind w:firstLine="560" w:firstLineChars="200"/>
        <w:rPr>
          <w:rFonts w:hint="eastAsia" w:ascii="宋体" w:hAnsi="宋体" w:cs="宋体"/>
          <w:sz w:val="28"/>
          <w:szCs w:val="28"/>
        </w:rPr>
      </w:pPr>
      <w:bookmarkStart w:id="232" w:name="_Toc172963399"/>
      <w:bookmarkStart w:id="233" w:name="_Toc172964408"/>
      <w:bookmarkStart w:id="234" w:name="_Toc374385892"/>
      <w:bookmarkStart w:id="235" w:name="_Toc155775354"/>
      <w:bookmarkStart w:id="236" w:name="_Toc172964203"/>
      <w:r>
        <w:rPr>
          <w:rFonts w:hint="eastAsia" w:ascii="宋体" w:hAnsi="宋体" w:cs="宋体"/>
          <w:sz w:val="28"/>
          <w:szCs w:val="28"/>
          <w:lang w:eastAsia="zh-CN"/>
        </w:rPr>
        <w:t>厂</w:t>
      </w:r>
      <w:r>
        <w:rPr>
          <w:rFonts w:ascii="宋体" w:hAnsi="宋体" w:cs="宋体"/>
          <w:sz w:val="28"/>
          <w:szCs w:val="28"/>
        </w:rPr>
        <w:t>区内</w:t>
      </w:r>
      <w:r>
        <w:rPr>
          <w:rFonts w:hint="eastAsia" w:ascii="宋体" w:hAnsi="宋体" w:cs="宋体"/>
          <w:sz w:val="28"/>
          <w:szCs w:val="28"/>
        </w:rPr>
        <w:t>无高压电线敷设、无</w:t>
      </w:r>
      <w:r>
        <w:rPr>
          <w:rFonts w:ascii="宋体" w:hAnsi="宋体" w:cs="宋体"/>
          <w:sz w:val="28"/>
          <w:szCs w:val="28"/>
        </w:rPr>
        <w:t>国家规定的风景名胜区、革命历史古迹等文物保护对象，无集中式水源地等特殊保护对象</w:t>
      </w:r>
      <w:r>
        <w:rPr>
          <w:rFonts w:hint="eastAsia" w:ascii="宋体" w:hAnsi="宋体" w:cs="宋体"/>
          <w:sz w:val="28"/>
          <w:szCs w:val="28"/>
        </w:rPr>
        <w:t>；</w:t>
      </w:r>
      <w:r>
        <w:rPr>
          <w:rFonts w:ascii="宋体" w:hAnsi="宋体" w:cs="宋体"/>
          <w:sz w:val="28"/>
          <w:szCs w:val="28"/>
        </w:rPr>
        <w:t>区域内及附近无</w:t>
      </w:r>
      <w:r>
        <w:rPr>
          <w:rFonts w:hint="eastAsia" w:ascii="宋体" w:hAnsi="宋体" w:cs="宋体"/>
          <w:sz w:val="28"/>
          <w:szCs w:val="28"/>
        </w:rPr>
        <w:t>重大危险源监管单位、无</w:t>
      </w:r>
      <w:r>
        <w:rPr>
          <w:rFonts w:ascii="宋体" w:hAnsi="宋体" w:cs="宋体"/>
          <w:sz w:val="28"/>
          <w:szCs w:val="28"/>
        </w:rPr>
        <w:t>军事设施等保密单位，无军事国防通讯设施及其他通讯设施等敏感目标，地下未发现矿产资源</w:t>
      </w:r>
      <w:r>
        <w:rPr>
          <w:rFonts w:hint="eastAsia" w:ascii="宋体" w:hAnsi="宋体" w:cs="宋体"/>
          <w:sz w:val="28"/>
          <w:szCs w:val="28"/>
        </w:rPr>
        <w:t>，无长输天然气管道、输油管道敷设</w:t>
      </w:r>
      <w:r>
        <w:rPr>
          <w:rFonts w:ascii="宋体" w:hAnsi="宋体" w:cs="宋体"/>
          <w:sz w:val="28"/>
          <w:szCs w:val="28"/>
        </w:rPr>
        <w:t>。</w:t>
      </w:r>
      <w:r>
        <w:rPr>
          <w:rFonts w:hint="eastAsia" w:ascii="宋体" w:hAnsi="宋体" w:cs="宋体"/>
          <w:sz w:val="28"/>
          <w:szCs w:val="28"/>
          <w:lang w:eastAsia="zh-CN"/>
        </w:rPr>
        <w:t>公司</w:t>
      </w:r>
      <w:r>
        <w:rPr>
          <w:rFonts w:hint="eastAsia" w:ascii="宋体" w:hAnsi="宋体" w:cs="宋体"/>
          <w:sz w:val="28"/>
          <w:szCs w:val="28"/>
        </w:rPr>
        <w:t>在正常工况下废水、废气、废渣等经达标后排放，并与周边建构筑留有足够的防火间距，即</w:t>
      </w:r>
      <w:r>
        <w:rPr>
          <w:rFonts w:hint="eastAsia" w:ascii="宋体" w:hAnsi="宋体" w:cs="宋体"/>
          <w:sz w:val="28"/>
          <w:szCs w:val="28"/>
          <w:lang w:eastAsia="zh-CN"/>
        </w:rPr>
        <w:t>公司</w:t>
      </w:r>
      <w:r>
        <w:rPr>
          <w:rFonts w:hint="eastAsia" w:ascii="宋体" w:hAnsi="宋体" w:cs="宋体"/>
          <w:sz w:val="28"/>
          <w:szCs w:val="28"/>
        </w:rPr>
        <w:t>正常工况下不会对周边单位生产、经营活动或者居民生活造成影响。</w:t>
      </w:r>
    </w:p>
    <w:p>
      <w:pPr>
        <w:spacing w:line="360" w:lineRule="auto"/>
        <w:ind w:firstLine="560" w:firstLineChars="200"/>
        <w:rPr>
          <w:rFonts w:hint="eastAsia" w:ascii="宋体" w:hAnsi="宋体"/>
          <w:sz w:val="28"/>
          <w:szCs w:val="28"/>
        </w:rPr>
      </w:pPr>
      <w:r>
        <w:rPr>
          <w:rFonts w:ascii="宋体" w:hAnsi="宋体"/>
          <w:sz w:val="28"/>
          <w:szCs w:val="28"/>
        </w:rPr>
        <w:t>若三废处理不当可能会对周边环境、企业造成不良影响，因此本工程应切实做好三废的处理工作。</w:t>
      </w:r>
      <w:r>
        <w:rPr>
          <w:rFonts w:hint="eastAsia" w:ascii="宋体" w:hAnsi="宋体"/>
          <w:sz w:val="28"/>
          <w:szCs w:val="28"/>
          <w:lang w:eastAsia="zh-CN"/>
        </w:rPr>
        <w:t>公司</w:t>
      </w:r>
      <w:r>
        <w:rPr>
          <w:rFonts w:ascii="宋体" w:hAnsi="宋体"/>
          <w:sz w:val="28"/>
          <w:szCs w:val="28"/>
        </w:rPr>
        <w:t>在采取了可靠的安全、环保的防护措施之后，</w:t>
      </w:r>
      <w:r>
        <w:rPr>
          <w:rFonts w:hint="eastAsia" w:ascii="宋体" w:hAnsi="宋体" w:cs="宋体"/>
          <w:sz w:val="28"/>
          <w:szCs w:val="28"/>
        </w:rPr>
        <w:t>对周边环境的影响在可接受和可控制范围。</w:t>
      </w:r>
    </w:p>
    <w:bookmarkEnd w:id="232"/>
    <w:bookmarkEnd w:id="233"/>
    <w:bookmarkEnd w:id="234"/>
    <w:bookmarkEnd w:id="235"/>
    <w:bookmarkEnd w:id="236"/>
    <w:p>
      <w:pPr>
        <w:pStyle w:val="8"/>
        <w:spacing w:line="360" w:lineRule="auto"/>
        <w:ind w:firstLine="0" w:firstLineChars="0"/>
        <w:outlineLvl w:val="2"/>
        <w:rPr>
          <w:rFonts w:hint="eastAsia" w:ascii="宋体" w:hAnsi="宋体"/>
          <w:b/>
          <w:snapToGrid w:val="0"/>
          <w:kern w:val="0"/>
          <w:sz w:val="28"/>
          <w:szCs w:val="28"/>
        </w:rPr>
      </w:pPr>
      <w:bookmarkStart w:id="237" w:name="_Toc514342858"/>
      <w:bookmarkStart w:id="238" w:name="_Toc155775365"/>
      <w:bookmarkStart w:id="239" w:name="_Toc458523594"/>
      <w:bookmarkStart w:id="240" w:name="_Toc172963410"/>
      <w:bookmarkStart w:id="241" w:name="_Toc172964213"/>
      <w:bookmarkStart w:id="242" w:name="_Toc172964418"/>
      <w:bookmarkStart w:id="243" w:name="_Toc484594604"/>
      <w:bookmarkStart w:id="244" w:name="_Toc28902"/>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6.2 周边环境对</w:t>
      </w:r>
      <w:r>
        <w:rPr>
          <w:rFonts w:hint="eastAsia" w:ascii="宋体" w:hAnsi="宋体"/>
          <w:b/>
          <w:snapToGrid w:val="0"/>
          <w:kern w:val="0"/>
          <w:sz w:val="28"/>
          <w:szCs w:val="28"/>
          <w:lang w:eastAsia="zh-CN"/>
        </w:rPr>
        <w:t>公司</w:t>
      </w:r>
      <w:r>
        <w:rPr>
          <w:rFonts w:hint="eastAsia" w:ascii="宋体" w:hAnsi="宋体"/>
          <w:b/>
          <w:snapToGrid w:val="0"/>
          <w:kern w:val="0"/>
          <w:sz w:val="28"/>
          <w:szCs w:val="28"/>
        </w:rPr>
        <w:t>的影响分析</w:t>
      </w:r>
      <w:bookmarkEnd w:id="237"/>
      <w:bookmarkEnd w:id="238"/>
      <w:bookmarkEnd w:id="239"/>
      <w:bookmarkEnd w:id="240"/>
      <w:bookmarkEnd w:id="241"/>
      <w:bookmarkEnd w:id="242"/>
      <w:bookmarkEnd w:id="243"/>
      <w:bookmarkEnd w:id="244"/>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zh-CN" w:eastAsia="zh-CN"/>
        </w:rPr>
        <w:t>公司</w:t>
      </w:r>
      <w:r>
        <w:rPr>
          <w:rFonts w:hint="eastAsia" w:ascii="宋体" w:hAnsi="宋体" w:cs="宋体"/>
          <w:color w:val="auto"/>
          <w:sz w:val="28"/>
          <w:szCs w:val="28"/>
          <w:lang w:val="en-US" w:eastAsia="zh-CN"/>
        </w:rPr>
        <w:t>矿山开采登记范围不存在矿权重叠与边界纠纷问题，矿区附近谷地及缓坡平地为农业耕作区，斜坡以上大部分为荒坡，少量林木分布。矿区周围大多为农田，矿山范围内人类工程主要以农耕地为主。</w:t>
      </w:r>
    </w:p>
    <w:p>
      <w:pPr>
        <w:spacing w:line="360" w:lineRule="auto"/>
        <w:ind w:firstLine="560" w:firstLineChars="200"/>
        <w:rPr>
          <w:rFonts w:hint="eastAsia" w:ascii="宋体" w:hAnsi="宋体" w:cs="宋体"/>
          <w:color w:val="auto"/>
          <w:sz w:val="28"/>
          <w:szCs w:val="28"/>
          <w:lang w:val="en-US" w:eastAsia="en-US"/>
        </w:rPr>
      </w:pPr>
      <w:r>
        <w:rPr>
          <w:rFonts w:hint="eastAsia" w:ascii="宋体" w:hAnsi="宋体" w:cs="宋体"/>
          <w:color w:val="auto"/>
          <w:sz w:val="28"/>
          <w:szCs w:val="28"/>
          <w:lang w:val="en-US" w:eastAsia="zh-CN"/>
        </w:rPr>
        <w:t>砖厂朝向近似座北朝东，</w:t>
      </w:r>
      <w:r>
        <w:rPr>
          <w:rFonts w:hint="eastAsia" w:ascii="宋体" w:hAnsi="宋体" w:cs="宋体"/>
          <w:color w:val="auto"/>
          <w:sz w:val="28"/>
          <w:szCs w:val="28"/>
          <w:lang w:val="zh-CN" w:eastAsia="zh-CN"/>
        </w:rPr>
        <w:t>地处农村环境，外环境简单，具体情况如下：厂区周边主要为山坡地，植被为杂草、灌木丛及农作物，不存在珍稀植物。根据现场勘查，公司生产区周边主要为耕地、农户。公司大门位于东面，东面紧邻进厂道路，道路 两侧为农田；公司北面和西面为农田；东南面为本公司矿山页岩开采区；开采区以东为丘陵。</w:t>
      </w:r>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周边200米范围内的零散居民住户与公司的防火间距均大于50米。公司周边环境条件良好，周边环境不会对公司形成制约影响因素。</w:t>
      </w:r>
    </w:p>
    <w:p>
      <w:pPr>
        <w:pStyle w:val="8"/>
        <w:spacing w:line="360" w:lineRule="auto"/>
        <w:ind w:firstLine="0" w:firstLineChars="0"/>
        <w:outlineLvl w:val="1"/>
        <w:rPr>
          <w:rFonts w:hint="eastAsia" w:ascii="黑体" w:eastAsia="黑体"/>
          <w:b/>
          <w:snapToGrid w:val="0"/>
          <w:kern w:val="0"/>
          <w:sz w:val="32"/>
          <w:szCs w:val="32"/>
        </w:rPr>
      </w:pPr>
      <w:bookmarkStart w:id="245" w:name="_Toc480804413"/>
      <w:bookmarkStart w:id="246" w:name="_Toc350781107"/>
      <w:bookmarkStart w:id="247" w:name="_Toc514342863"/>
      <w:bookmarkStart w:id="248" w:name="_Toc356401505"/>
      <w:bookmarkStart w:id="249" w:name="_Toc26688"/>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lang w:val="en-US" w:eastAsia="zh-CN"/>
        </w:rPr>
        <w:t>7</w:t>
      </w:r>
      <w:r>
        <w:rPr>
          <w:rFonts w:hint="eastAsia" w:ascii="黑体" w:eastAsia="黑体"/>
          <w:b/>
          <w:snapToGrid w:val="0"/>
          <w:kern w:val="0"/>
          <w:sz w:val="32"/>
          <w:szCs w:val="32"/>
        </w:rPr>
        <w:t xml:space="preserve"> 重大危险源辨识</w:t>
      </w:r>
      <w:bookmarkEnd w:id="245"/>
      <w:bookmarkEnd w:id="246"/>
      <w:bookmarkEnd w:id="247"/>
      <w:bookmarkEnd w:id="248"/>
      <w:bookmarkEnd w:id="249"/>
    </w:p>
    <w:p>
      <w:pPr>
        <w:pStyle w:val="8"/>
        <w:spacing w:line="360" w:lineRule="auto"/>
        <w:ind w:firstLine="0" w:firstLineChars="0"/>
        <w:outlineLvl w:val="2"/>
        <w:rPr>
          <w:rFonts w:hint="eastAsia" w:ascii="宋体" w:hAnsi="宋体"/>
          <w:b/>
          <w:snapToGrid w:val="0"/>
          <w:kern w:val="0"/>
          <w:sz w:val="28"/>
          <w:szCs w:val="28"/>
        </w:rPr>
      </w:pPr>
      <w:bookmarkStart w:id="250" w:name="_Toc351125383"/>
      <w:bookmarkStart w:id="251" w:name="_Toc480804414"/>
      <w:bookmarkStart w:id="252" w:name="_Toc514342864"/>
      <w:bookmarkStart w:id="253" w:name="_Toc356401506"/>
      <w:bookmarkStart w:id="254" w:name="_Toc11981"/>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lang w:val="en-US" w:eastAsia="zh-CN"/>
        </w:rPr>
        <w:t>7</w:t>
      </w:r>
      <w:r>
        <w:rPr>
          <w:rFonts w:hint="eastAsia" w:ascii="宋体" w:hAnsi="宋体"/>
          <w:b/>
          <w:snapToGrid w:val="0"/>
          <w:kern w:val="0"/>
          <w:sz w:val="28"/>
          <w:szCs w:val="28"/>
        </w:rPr>
        <w:t>.1 辨识依据</w:t>
      </w:r>
      <w:bookmarkEnd w:id="250"/>
      <w:bookmarkEnd w:id="251"/>
      <w:bookmarkEnd w:id="252"/>
      <w:bookmarkEnd w:id="253"/>
      <w:bookmarkEnd w:id="254"/>
    </w:p>
    <w:p>
      <w:pPr>
        <w:tabs>
          <w:tab w:val="right" w:leader="hyphen" w:pos="8343"/>
        </w:tabs>
        <w:spacing w:line="360" w:lineRule="auto"/>
        <w:ind w:firstLine="560" w:firstLineChars="200"/>
        <w:rPr>
          <w:rFonts w:hint="eastAsia" w:ascii="宋体" w:hAnsi="宋体"/>
          <w:sz w:val="28"/>
          <w:szCs w:val="28"/>
        </w:rPr>
      </w:pPr>
      <w:r>
        <w:rPr>
          <w:rFonts w:hint="eastAsia" w:ascii="宋体" w:hAnsi="宋体"/>
          <w:sz w:val="28"/>
          <w:szCs w:val="28"/>
        </w:rPr>
        <w:t>根据《中华人民共和国安全生产法》、《危险化学品重大危险源辨识》（</w:t>
      </w:r>
      <w:r>
        <w:rPr>
          <w:rFonts w:hint="eastAsia" w:ascii="宋体" w:hAnsi="宋体"/>
          <w:sz w:val="28"/>
          <w:szCs w:val="28"/>
          <w:lang w:eastAsia="zh-CN"/>
        </w:rPr>
        <w:t>GB18218-2018</w:t>
      </w:r>
      <w:r>
        <w:rPr>
          <w:rFonts w:hint="eastAsia" w:ascii="宋体" w:hAnsi="宋体"/>
          <w:sz w:val="28"/>
          <w:szCs w:val="28"/>
        </w:rPr>
        <w:t>）的有关规定，重大危险源是指长期地或者临时地生产、加工、搬运、使用或储存危险物品，且危险物品的数量等于或超过临界量的场所和设施，以及其他存在危险能量等于或超过临界量的场所和设施。</w:t>
      </w:r>
    </w:p>
    <w:p>
      <w:pPr>
        <w:pStyle w:val="8"/>
        <w:spacing w:line="360" w:lineRule="auto"/>
        <w:ind w:firstLine="0" w:firstLineChars="0"/>
        <w:outlineLvl w:val="2"/>
        <w:rPr>
          <w:rFonts w:hint="eastAsia" w:ascii="宋体" w:hAnsi="宋体"/>
          <w:b/>
          <w:snapToGrid w:val="0"/>
          <w:kern w:val="0"/>
          <w:sz w:val="28"/>
          <w:szCs w:val="28"/>
        </w:rPr>
      </w:pPr>
      <w:bookmarkStart w:id="255" w:name="_Toc356401507"/>
      <w:bookmarkStart w:id="256" w:name="_Toc514342865"/>
      <w:bookmarkStart w:id="257" w:name="_Toc480804415"/>
      <w:bookmarkStart w:id="258" w:name="_Toc351125385"/>
      <w:bookmarkStart w:id="259" w:name="_Toc23051"/>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lang w:val="en-US" w:eastAsia="zh-CN"/>
        </w:rPr>
        <w:t>7</w:t>
      </w:r>
      <w:r>
        <w:rPr>
          <w:rFonts w:hint="eastAsia" w:ascii="宋体" w:hAnsi="宋体"/>
          <w:b/>
          <w:snapToGrid w:val="0"/>
          <w:kern w:val="0"/>
          <w:sz w:val="28"/>
          <w:szCs w:val="28"/>
        </w:rPr>
        <w:t>.2 辨识结果</w:t>
      </w:r>
      <w:bookmarkEnd w:id="255"/>
      <w:bookmarkEnd w:id="256"/>
      <w:bookmarkEnd w:id="257"/>
      <w:bookmarkEnd w:id="258"/>
      <w:bookmarkEnd w:id="259"/>
    </w:p>
    <w:p>
      <w:pPr>
        <w:spacing w:line="360" w:lineRule="auto"/>
        <w:ind w:firstLine="560" w:firstLineChars="200"/>
        <w:rPr>
          <w:rFonts w:hint="eastAsia" w:ascii="宋体" w:hAnsi="宋体"/>
          <w:sz w:val="28"/>
          <w:szCs w:val="28"/>
        </w:rPr>
      </w:pPr>
      <w:r>
        <w:rPr>
          <w:rFonts w:hint="eastAsia"/>
          <w:sz w:val="28"/>
          <w:szCs w:val="28"/>
          <w:lang w:eastAsia="zh-CN"/>
        </w:rPr>
        <w:t>公司</w:t>
      </w:r>
      <w:r>
        <w:rPr>
          <w:rFonts w:hint="eastAsia"/>
          <w:sz w:val="28"/>
          <w:szCs w:val="28"/>
        </w:rPr>
        <w:t>生产过程中的原料、辅料、中间品、产品除柴油外其余均未列入《重大危险源辨识》中，</w:t>
      </w:r>
      <w:r>
        <w:rPr>
          <w:rFonts w:hint="eastAsia"/>
          <w:sz w:val="28"/>
          <w:szCs w:val="28"/>
          <w:lang w:eastAsia="zh-CN"/>
        </w:rPr>
        <w:t>厂区</w:t>
      </w:r>
      <w:r>
        <w:rPr>
          <w:rFonts w:hint="eastAsia"/>
          <w:sz w:val="28"/>
          <w:szCs w:val="28"/>
        </w:rPr>
        <w:t>使用柴油仅做为点火燃料使用，用量少（仅备用1桶，约200L），使用频率低，</w:t>
      </w:r>
      <w:r>
        <w:rPr>
          <w:rFonts w:hint="eastAsia" w:ascii="宋体" w:hAnsi="宋体"/>
          <w:sz w:val="28"/>
          <w:szCs w:val="28"/>
        </w:rPr>
        <w:t>其临界量和拟存放量见下表：</w:t>
      </w:r>
    </w:p>
    <w:p>
      <w:pPr>
        <w:spacing w:line="360" w:lineRule="auto"/>
        <w:jc w:val="center"/>
        <w:rPr>
          <w:rFonts w:hint="eastAsia" w:ascii="黑体" w:eastAsia="黑体"/>
          <w:b/>
          <w:sz w:val="24"/>
        </w:rPr>
      </w:pPr>
      <w:r>
        <w:rPr>
          <w:rFonts w:hint="eastAsia" w:ascii="黑体" w:eastAsia="黑体"/>
          <w:b/>
          <w:sz w:val="24"/>
        </w:rPr>
        <w:t>表</w:t>
      </w:r>
      <w:r>
        <w:rPr>
          <w:rFonts w:hint="eastAsia" w:ascii="黑体" w:eastAsia="黑体"/>
          <w:b/>
          <w:sz w:val="24"/>
          <w:lang w:val="en-US" w:eastAsia="zh-CN"/>
        </w:rPr>
        <w:t>3</w:t>
      </w:r>
      <w:r>
        <w:rPr>
          <w:rFonts w:hint="eastAsia" w:ascii="黑体" w:eastAsia="黑体"/>
          <w:b/>
          <w:sz w:val="24"/>
          <w:lang w:eastAsia="zh-CN"/>
        </w:rPr>
        <w:t>-</w:t>
      </w:r>
      <w:r>
        <w:rPr>
          <w:rFonts w:hint="eastAsia" w:ascii="黑体" w:eastAsia="黑体"/>
          <w:b/>
          <w:sz w:val="24"/>
          <w:lang w:val="en-US" w:eastAsia="zh-CN"/>
        </w:rPr>
        <w:t>4</w:t>
      </w:r>
      <w:r>
        <w:rPr>
          <w:rFonts w:hint="eastAsia" w:ascii="黑体" w:eastAsia="黑体"/>
          <w:b/>
          <w:sz w:val="24"/>
        </w:rPr>
        <w:t>危险化学品名称及其临界量</w:t>
      </w:r>
    </w:p>
    <w:tbl>
      <w:tblPr>
        <w:tblStyle w:val="19"/>
        <w:tblW w:w="8711" w:type="dxa"/>
        <w:jc w:val="center"/>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3526"/>
        <w:gridCol w:w="1855"/>
        <w:gridCol w:w="1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8" w:hRule="atLeast"/>
          <w:jc w:val="center"/>
        </w:trPr>
        <w:tc>
          <w:tcPr>
            <w:tcW w:w="1503" w:type="dxa"/>
            <w:noWrap w:val="0"/>
            <w:vAlign w:val="center"/>
          </w:tcPr>
          <w:p>
            <w:pPr>
              <w:pStyle w:val="25"/>
              <w:tabs>
                <w:tab w:val="left" w:pos="0"/>
              </w:tabs>
              <w:spacing w:before="0" w:after="0"/>
              <w:rPr>
                <w:rFonts w:hint="eastAsia" w:hAnsi="宋体"/>
                <w:b/>
                <w:spacing w:val="10"/>
                <w:sz w:val="24"/>
                <w:szCs w:val="24"/>
              </w:rPr>
            </w:pPr>
            <w:r>
              <w:rPr>
                <w:rFonts w:hint="eastAsia" w:hAnsi="宋体"/>
                <w:b/>
                <w:spacing w:val="10"/>
                <w:sz w:val="24"/>
                <w:szCs w:val="24"/>
              </w:rPr>
              <w:t>物质名称</w:t>
            </w:r>
          </w:p>
        </w:tc>
        <w:tc>
          <w:tcPr>
            <w:tcW w:w="3526" w:type="dxa"/>
            <w:noWrap w:val="0"/>
            <w:vAlign w:val="center"/>
          </w:tcPr>
          <w:p>
            <w:pPr>
              <w:tabs>
                <w:tab w:val="left" w:pos="0"/>
              </w:tabs>
              <w:jc w:val="center"/>
              <w:rPr>
                <w:rFonts w:hint="eastAsia" w:ascii="宋体" w:hAnsi="宋体"/>
                <w:b/>
                <w:spacing w:val="10"/>
                <w:sz w:val="24"/>
              </w:rPr>
            </w:pPr>
            <w:r>
              <w:rPr>
                <w:rFonts w:hint="eastAsia" w:ascii="宋体" w:hAnsi="宋体"/>
                <w:b/>
                <w:spacing w:val="10"/>
                <w:sz w:val="24"/>
              </w:rPr>
              <w:t>类别</w:t>
            </w:r>
          </w:p>
        </w:tc>
        <w:tc>
          <w:tcPr>
            <w:tcW w:w="1855" w:type="dxa"/>
            <w:noWrap w:val="0"/>
            <w:vAlign w:val="center"/>
          </w:tcPr>
          <w:p>
            <w:pPr>
              <w:tabs>
                <w:tab w:val="left" w:pos="0"/>
              </w:tabs>
              <w:jc w:val="center"/>
              <w:rPr>
                <w:rFonts w:hint="eastAsia" w:ascii="宋体" w:hAnsi="宋体"/>
                <w:b/>
                <w:spacing w:val="10"/>
                <w:sz w:val="24"/>
              </w:rPr>
            </w:pPr>
            <w:r>
              <w:rPr>
                <w:rFonts w:hint="eastAsia" w:ascii="宋体" w:hAnsi="宋体"/>
                <w:b/>
                <w:spacing w:val="10"/>
                <w:sz w:val="24"/>
              </w:rPr>
              <w:t>临界量/t</w:t>
            </w:r>
          </w:p>
        </w:tc>
        <w:tc>
          <w:tcPr>
            <w:tcW w:w="1827" w:type="dxa"/>
            <w:noWrap w:val="0"/>
            <w:vAlign w:val="center"/>
          </w:tcPr>
          <w:p>
            <w:pPr>
              <w:tabs>
                <w:tab w:val="left" w:pos="0"/>
              </w:tabs>
              <w:jc w:val="center"/>
              <w:rPr>
                <w:rFonts w:hint="eastAsia" w:ascii="宋体" w:hAnsi="宋体"/>
                <w:b/>
                <w:spacing w:val="10"/>
                <w:sz w:val="24"/>
              </w:rPr>
            </w:pPr>
            <w:r>
              <w:rPr>
                <w:rFonts w:hint="eastAsia" w:ascii="宋体" w:hAnsi="宋体"/>
                <w:b/>
                <w:spacing w:val="10"/>
                <w:sz w:val="24"/>
              </w:rPr>
              <w:t>实际量/t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1503" w:type="dxa"/>
            <w:noWrap w:val="0"/>
            <w:vAlign w:val="center"/>
          </w:tcPr>
          <w:p>
            <w:pPr>
              <w:tabs>
                <w:tab w:val="left" w:pos="0"/>
              </w:tabs>
              <w:spacing w:before="100" w:beforeAutospacing="1" w:after="100" w:afterAutospacing="1"/>
              <w:jc w:val="center"/>
              <w:rPr>
                <w:rFonts w:hint="eastAsia" w:ascii="宋体" w:hAnsi="宋体"/>
                <w:spacing w:val="10"/>
                <w:sz w:val="24"/>
              </w:rPr>
            </w:pPr>
            <w:r>
              <w:rPr>
                <w:rFonts w:hint="eastAsia" w:ascii="宋体" w:hAnsi="宋体"/>
                <w:spacing w:val="10"/>
                <w:sz w:val="24"/>
              </w:rPr>
              <w:t>柴油</w:t>
            </w:r>
          </w:p>
        </w:tc>
        <w:tc>
          <w:tcPr>
            <w:tcW w:w="3526" w:type="dxa"/>
            <w:noWrap w:val="0"/>
            <w:vAlign w:val="center"/>
          </w:tcPr>
          <w:p>
            <w:pPr>
              <w:tabs>
                <w:tab w:val="left" w:pos="0"/>
              </w:tabs>
              <w:spacing w:before="100" w:beforeAutospacing="1" w:after="100" w:afterAutospacing="1"/>
              <w:jc w:val="center"/>
              <w:rPr>
                <w:rFonts w:hint="eastAsia" w:ascii="宋体" w:hAnsi="宋体"/>
                <w:spacing w:val="10"/>
                <w:sz w:val="24"/>
              </w:rPr>
            </w:pPr>
            <w:r>
              <w:rPr>
                <w:rFonts w:hint="eastAsia" w:ascii="宋体" w:hAnsi="宋体"/>
                <w:spacing w:val="10"/>
                <w:sz w:val="24"/>
              </w:rPr>
              <w:t>易燃液体（23℃&lt;闪点&lt;61℃）</w:t>
            </w:r>
          </w:p>
        </w:tc>
        <w:tc>
          <w:tcPr>
            <w:tcW w:w="1855" w:type="dxa"/>
            <w:noWrap w:val="0"/>
            <w:vAlign w:val="center"/>
          </w:tcPr>
          <w:p>
            <w:pPr>
              <w:tabs>
                <w:tab w:val="left" w:pos="0"/>
              </w:tabs>
              <w:spacing w:before="100" w:beforeAutospacing="1" w:after="100" w:afterAutospacing="1"/>
              <w:jc w:val="center"/>
              <w:rPr>
                <w:rFonts w:hint="eastAsia" w:ascii="宋体" w:hAnsi="宋体"/>
                <w:spacing w:val="10"/>
                <w:sz w:val="24"/>
              </w:rPr>
            </w:pPr>
            <w:r>
              <w:rPr>
                <w:rFonts w:hint="eastAsia" w:ascii="宋体" w:hAnsi="宋体"/>
                <w:spacing w:val="10"/>
                <w:sz w:val="24"/>
              </w:rPr>
              <w:t>5000</w:t>
            </w:r>
          </w:p>
        </w:tc>
        <w:tc>
          <w:tcPr>
            <w:tcW w:w="1827" w:type="dxa"/>
            <w:noWrap w:val="0"/>
            <w:vAlign w:val="center"/>
          </w:tcPr>
          <w:p>
            <w:pPr>
              <w:tabs>
                <w:tab w:val="left" w:pos="0"/>
              </w:tabs>
              <w:spacing w:before="100" w:beforeAutospacing="1" w:after="100" w:afterAutospacing="1"/>
              <w:jc w:val="center"/>
              <w:rPr>
                <w:rFonts w:hint="eastAsia" w:ascii="宋体" w:hAnsi="宋体"/>
                <w:spacing w:val="10"/>
                <w:sz w:val="24"/>
              </w:rPr>
            </w:pPr>
            <w:r>
              <w:rPr>
                <w:rFonts w:hint="eastAsia" w:ascii="宋体" w:hAnsi="宋体"/>
                <w:spacing w:val="10"/>
                <w:sz w:val="24"/>
              </w:rPr>
              <w:t>0.17</w:t>
            </w:r>
          </w:p>
        </w:tc>
      </w:tr>
    </w:tbl>
    <w:p>
      <w:pPr>
        <w:ind w:firstLine="420" w:firstLineChars="200"/>
        <w:rPr>
          <w:rFonts w:hint="eastAsia"/>
          <w:szCs w:val="28"/>
        </w:rPr>
      </w:pPr>
    </w:p>
    <w:p>
      <w:pPr>
        <w:spacing w:line="360" w:lineRule="auto"/>
        <w:ind w:firstLine="560" w:firstLineChars="200"/>
        <w:rPr>
          <w:rFonts w:hint="eastAsia" w:ascii="宋体" w:hAnsi="宋体"/>
          <w:kern w:val="0"/>
          <w:sz w:val="28"/>
          <w:szCs w:val="28"/>
        </w:rPr>
      </w:pPr>
      <w:r>
        <w:rPr>
          <w:rFonts w:hint="eastAsia" w:ascii="宋体" w:hAnsi="宋体"/>
          <w:sz w:val="28"/>
          <w:szCs w:val="28"/>
          <w:lang w:eastAsia="zh-CN"/>
        </w:rPr>
        <w:t>公司</w:t>
      </w:r>
      <w:r>
        <w:rPr>
          <w:rFonts w:hint="eastAsia" w:ascii="宋体" w:hAnsi="宋体"/>
          <w:sz w:val="28"/>
          <w:szCs w:val="28"/>
        </w:rPr>
        <w:t>有柴油储量1桶（200升），柴油密度0.85t/m</w:t>
      </w:r>
      <w:r>
        <w:rPr>
          <w:rFonts w:hint="eastAsia" w:ascii="宋体" w:hAnsi="宋体"/>
          <w:sz w:val="28"/>
          <w:szCs w:val="28"/>
          <w:vertAlign w:val="superscript"/>
        </w:rPr>
        <w:t>3</w:t>
      </w:r>
      <w:r>
        <w:rPr>
          <w:rFonts w:hint="eastAsia" w:ascii="宋体" w:hAnsi="宋体"/>
          <w:sz w:val="28"/>
          <w:szCs w:val="28"/>
        </w:rPr>
        <w:t>，合计0.17t。</w:t>
      </w:r>
    </w:p>
    <w:p>
      <w:pPr>
        <w:spacing w:line="360" w:lineRule="auto"/>
        <w:ind w:firstLine="560" w:firstLineChars="200"/>
        <w:rPr>
          <w:rFonts w:hint="eastAsia" w:ascii="宋体" w:hAnsi="宋体"/>
          <w:sz w:val="28"/>
          <w:szCs w:val="28"/>
          <w:lang w:eastAsia="zh-CN"/>
        </w:rPr>
      </w:pPr>
      <w:r>
        <w:rPr>
          <w:rFonts w:hint="eastAsia" w:ascii="宋体" w:hAnsi="宋体"/>
          <w:sz w:val="28"/>
          <w:szCs w:val="28"/>
          <w:lang w:eastAsia="zh-CN"/>
        </w:rPr>
        <w:t>则：0.17/5000=0.000034＜1</w:t>
      </w:r>
    </w:p>
    <w:bookmarkEnd w:id="42"/>
    <w:p>
      <w:pPr>
        <w:spacing w:line="360" w:lineRule="auto"/>
        <w:ind w:firstLine="560" w:firstLineChars="200"/>
        <w:rPr>
          <w:rFonts w:hint="eastAsia" w:ascii="宋体" w:hAnsi="宋体"/>
          <w:sz w:val="28"/>
          <w:szCs w:val="28"/>
          <w:lang w:eastAsia="zh-CN"/>
        </w:rPr>
      </w:pPr>
      <w:bookmarkStart w:id="260" w:name="_Toc10261"/>
      <w:bookmarkStart w:id="261" w:name="_Toc21054"/>
      <w:r>
        <w:rPr>
          <w:rFonts w:hint="eastAsia" w:ascii="宋体" w:hAnsi="宋体"/>
          <w:sz w:val="28"/>
          <w:szCs w:val="28"/>
          <w:lang w:eastAsia="zh-CN"/>
        </w:rPr>
        <w:t>综上所述，根据《危险化学品重大危险源辨识》(GB18218-20</w:t>
      </w:r>
      <w:r>
        <w:rPr>
          <w:rFonts w:hint="eastAsia" w:ascii="宋体" w:hAnsi="宋体"/>
          <w:sz w:val="28"/>
          <w:szCs w:val="28"/>
          <w:lang w:val="en-US" w:eastAsia="zh-CN"/>
        </w:rPr>
        <w:t>18</w:t>
      </w:r>
      <w:r>
        <w:rPr>
          <w:rFonts w:hint="eastAsia" w:ascii="宋体" w:hAnsi="宋体"/>
          <w:sz w:val="28"/>
          <w:szCs w:val="28"/>
          <w:lang w:eastAsia="zh-CN"/>
        </w:rPr>
        <w:t>)，本公司危险化学品的使用和储存均不构成危险化学品重大危险源。即，仪陇县瓦子镇宏发页岩砖厂不构成危险化学品重大危险源。</w:t>
      </w:r>
    </w:p>
    <w:p>
      <w:pPr>
        <w:pStyle w:val="8"/>
        <w:spacing w:line="360" w:lineRule="auto"/>
        <w:ind w:firstLine="0" w:firstLineChars="0"/>
        <w:outlineLvl w:val="1"/>
        <w:rPr>
          <w:rFonts w:hint="eastAsia" w:ascii="黑体" w:eastAsia="黑体"/>
          <w:b/>
          <w:snapToGrid w:val="0"/>
          <w:kern w:val="0"/>
          <w:sz w:val="32"/>
          <w:szCs w:val="32"/>
          <w:lang w:val="en-US" w:eastAsia="zh-CN"/>
        </w:rPr>
      </w:pPr>
      <w:bookmarkStart w:id="262" w:name="_Toc3477"/>
      <w:r>
        <w:rPr>
          <w:rFonts w:hint="eastAsia" w:ascii="黑体" w:eastAsia="黑体"/>
          <w:b/>
          <w:snapToGrid w:val="0"/>
          <w:kern w:val="0"/>
          <w:sz w:val="32"/>
          <w:szCs w:val="32"/>
          <w:lang w:val="en-US" w:eastAsia="zh-CN"/>
        </w:rPr>
        <w:t>3.8小结</w:t>
      </w:r>
      <w:bookmarkEnd w:id="260"/>
      <w:bookmarkEnd w:id="261"/>
      <w:bookmarkEnd w:id="262"/>
    </w:p>
    <w:p>
      <w:pPr>
        <w:spacing w:line="360" w:lineRule="auto"/>
        <w:jc w:val="center"/>
        <w:rPr>
          <w:rFonts w:hint="eastAsia" w:ascii="黑体" w:eastAsia="黑体"/>
          <w:b/>
          <w:sz w:val="24"/>
        </w:rPr>
      </w:pPr>
      <w:r>
        <w:rPr>
          <w:rFonts w:hint="eastAsia" w:ascii="黑体" w:eastAsia="黑体"/>
          <w:b/>
          <w:sz w:val="24"/>
        </w:rPr>
        <w:t>表</w:t>
      </w:r>
      <w:r>
        <w:rPr>
          <w:rFonts w:hint="eastAsia" w:ascii="黑体" w:eastAsia="黑体"/>
          <w:b/>
          <w:sz w:val="24"/>
          <w:lang w:val="en-US" w:eastAsia="zh-CN"/>
        </w:rPr>
        <w:t>3</w:t>
      </w:r>
      <w:r>
        <w:rPr>
          <w:rFonts w:ascii="黑体" w:eastAsia="黑体"/>
          <w:b/>
          <w:sz w:val="24"/>
        </w:rPr>
        <w:t>-</w:t>
      </w:r>
      <w:r>
        <w:rPr>
          <w:rFonts w:hint="eastAsia" w:ascii="黑体" w:eastAsia="黑体"/>
          <w:b/>
          <w:sz w:val="24"/>
          <w:lang w:val="en-US" w:eastAsia="zh-CN"/>
        </w:rPr>
        <w:t>5</w:t>
      </w:r>
      <w:r>
        <w:rPr>
          <w:rFonts w:ascii="黑体" w:eastAsia="黑体"/>
          <w:b/>
          <w:sz w:val="24"/>
        </w:rPr>
        <w:t xml:space="preserve">  </w:t>
      </w:r>
      <w:r>
        <w:rPr>
          <w:rFonts w:hint="eastAsia" w:ascii="黑体" w:eastAsia="黑体"/>
          <w:b/>
          <w:sz w:val="24"/>
        </w:rPr>
        <w:t>危险、有害因素汇总表</w:t>
      </w:r>
    </w:p>
    <w:tbl>
      <w:tblPr>
        <w:tblStyle w:val="19"/>
        <w:tblpPr w:leftFromText="180" w:rightFromText="180" w:vertAnchor="text" w:horzAnchor="page" w:tblpX="1249" w:tblpY="447"/>
        <w:tblOverlap w:val="never"/>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594"/>
        <w:gridCol w:w="2148"/>
        <w:gridCol w:w="5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640" w:type="dxa"/>
            <w:noWrap w:val="0"/>
            <w:vAlign w:val="center"/>
          </w:tcPr>
          <w:p>
            <w:pPr>
              <w:spacing w:line="240" w:lineRule="auto"/>
              <w:jc w:val="center"/>
              <w:rPr>
                <w:rFonts w:hint="eastAsia" w:ascii="宋体" w:hAnsi="宋体" w:cs="宋体"/>
                <w:color w:val="auto"/>
                <w:sz w:val="24"/>
              </w:rPr>
            </w:pPr>
            <w:bookmarkStart w:id="263" w:name="_Toc29398"/>
            <w:bookmarkStart w:id="264" w:name="_Toc10334"/>
            <w:r>
              <w:rPr>
                <w:rFonts w:hint="eastAsia" w:ascii="宋体" w:hAnsi="宋体" w:cs="宋体"/>
                <w:color w:val="auto"/>
                <w:sz w:val="24"/>
              </w:rPr>
              <w:t>序号</w:t>
            </w:r>
          </w:p>
        </w:tc>
        <w:tc>
          <w:tcPr>
            <w:tcW w:w="1594"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活动/工序/地点</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项 目</w:t>
            </w:r>
          </w:p>
        </w:tc>
        <w:tc>
          <w:tcPr>
            <w:tcW w:w="5246"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主要危险、危害简要分析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p>
        </w:tc>
        <w:tc>
          <w:tcPr>
            <w:tcW w:w="1594" w:type="dxa"/>
            <w:vMerge w:val="restart"/>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进入工作场所人员</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进场安全教育</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为严格按规定内容教育，造成多种伤害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2</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特殊工种及特种作业人员培训</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作业人员培训效果不好，造成多种伤害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3</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现场作业人员教育</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安全意识不强，发生高处坠落和物体打击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4</w:t>
            </w:r>
          </w:p>
        </w:tc>
        <w:tc>
          <w:tcPr>
            <w:tcW w:w="1594"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 xml:space="preserve"> 原材料、辅料储存和运输</w:t>
            </w:r>
          </w:p>
        </w:tc>
        <w:tc>
          <w:tcPr>
            <w:tcW w:w="2148"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lang w:eastAsia="zh-CN"/>
              </w:rPr>
              <w:t>页岩矿、煤、砖</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在装卸、</w:t>
            </w:r>
            <w:r>
              <w:rPr>
                <w:rFonts w:hint="eastAsia" w:ascii="宋体" w:hAnsi="宋体" w:cs="宋体"/>
                <w:color w:val="auto"/>
                <w:sz w:val="24"/>
                <w:lang w:eastAsia="zh-CN"/>
              </w:rPr>
              <w:t>破碎</w:t>
            </w:r>
            <w:r>
              <w:rPr>
                <w:rFonts w:hint="eastAsia" w:ascii="宋体" w:hAnsi="宋体" w:cs="宋体"/>
                <w:color w:val="auto"/>
                <w:sz w:val="24"/>
              </w:rPr>
              <w:t>、</w:t>
            </w:r>
            <w:r>
              <w:rPr>
                <w:rFonts w:hint="eastAsia" w:ascii="宋体" w:hAnsi="宋体" w:cs="宋体"/>
                <w:color w:val="auto"/>
                <w:sz w:val="24"/>
                <w:lang w:eastAsia="zh-CN"/>
              </w:rPr>
              <w:t>制砖、上煤、</w:t>
            </w:r>
            <w:r>
              <w:rPr>
                <w:rFonts w:hint="eastAsia" w:ascii="宋体" w:hAnsi="宋体" w:cs="宋体"/>
                <w:color w:val="auto"/>
                <w:sz w:val="24"/>
              </w:rPr>
              <w:t>搅拌过程中主要存在粉尘危害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trPr>
        <w:tc>
          <w:tcPr>
            <w:tcW w:w="640"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rPr>
              <w:t>5</w:t>
            </w:r>
          </w:p>
        </w:tc>
        <w:tc>
          <w:tcPr>
            <w:tcW w:w="1594" w:type="dxa"/>
            <w:vMerge w:val="restart"/>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生产</w:t>
            </w:r>
          </w:p>
          <w:p>
            <w:pPr>
              <w:spacing w:line="240" w:lineRule="auto"/>
              <w:jc w:val="center"/>
              <w:rPr>
                <w:rFonts w:hint="eastAsia" w:ascii="宋体" w:hAnsi="宋体" w:cs="宋体"/>
                <w:color w:val="auto"/>
                <w:sz w:val="24"/>
              </w:rPr>
            </w:pPr>
            <w:r>
              <w:rPr>
                <w:rFonts w:hint="eastAsia" w:ascii="宋体" w:hAnsi="宋体" w:cs="宋体"/>
                <w:color w:val="auto"/>
                <w:sz w:val="24"/>
              </w:rPr>
              <w:t>过程</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凿岩作业</w:t>
            </w:r>
            <w:r>
              <w:rPr>
                <w:rFonts w:hint="eastAsia" w:ascii="宋体" w:hAnsi="宋体" w:cs="宋体"/>
                <w:color w:val="auto"/>
                <w:sz w:val="24"/>
                <w:lang w:eastAsia="zh-CN"/>
              </w:rPr>
              <w:t>和</w:t>
            </w:r>
            <w:r>
              <w:rPr>
                <w:rFonts w:hint="eastAsia" w:ascii="宋体" w:hAnsi="宋体" w:cs="宋体"/>
                <w:color w:val="auto"/>
                <w:sz w:val="24"/>
              </w:rPr>
              <w:t>砖窑</w:t>
            </w:r>
            <w:r>
              <w:rPr>
                <w:rFonts w:hint="eastAsia" w:ascii="宋体" w:hAnsi="宋体" w:cs="宋体"/>
                <w:color w:val="auto"/>
                <w:sz w:val="24"/>
                <w:lang w:eastAsia="zh-CN"/>
              </w:rPr>
              <w:t>等</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造成物体打击及高处坠落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trPr>
        <w:tc>
          <w:tcPr>
            <w:tcW w:w="640" w:type="dxa"/>
            <w:noWrap w:val="0"/>
            <w:vAlign w:val="center"/>
          </w:tcPr>
          <w:p>
            <w:pPr>
              <w:spacing w:line="240" w:lineRule="auto"/>
              <w:jc w:val="center"/>
              <w:rPr>
                <w:rFonts w:hint="eastAsia" w:ascii="宋体" w:hAnsi="宋体" w:cs="宋体"/>
                <w:color w:val="auto"/>
                <w:sz w:val="24"/>
              </w:rPr>
            </w:pP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eastAsia="zh-CN"/>
              </w:rPr>
              <w:t>破碎区上料口、上砖</w:t>
            </w:r>
            <w:r>
              <w:rPr>
                <w:rFonts w:hint="eastAsia" w:ascii="宋体" w:hAnsi="宋体" w:cs="宋体"/>
                <w:color w:val="auto"/>
                <w:sz w:val="24"/>
              </w:rPr>
              <w:t>作业场所</w:t>
            </w:r>
            <w:r>
              <w:rPr>
                <w:rFonts w:hint="eastAsia" w:ascii="宋体" w:hAnsi="宋体" w:cs="宋体"/>
                <w:color w:val="auto"/>
                <w:sz w:val="24"/>
                <w:lang w:eastAsia="zh-CN"/>
              </w:rPr>
              <w:t>和</w:t>
            </w:r>
            <w:r>
              <w:rPr>
                <w:rFonts w:hint="eastAsia" w:ascii="宋体" w:hAnsi="宋体" w:cs="宋体"/>
                <w:color w:val="auto"/>
                <w:sz w:val="24"/>
              </w:rPr>
              <w:t>运输途中</w:t>
            </w:r>
          </w:p>
        </w:tc>
        <w:tc>
          <w:tcPr>
            <w:tcW w:w="5246" w:type="dxa"/>
            <w:noWrap w:val="0"/>
            <w:vAlign w:val="center"/>
          </w:tcPr>
          <w:p>
            <w:pPr>
              <w:spacing w:line="240" w:lineRule="auto"/>
              <w:jc w:val="left"/>
              <w:rPr>
                <w:rFonts w:hint="eastAsia" w:ascii="宋体" w:hAnsi="宋体" w:eastAsia="宋体" w:cs="宋体"/>
                <w:color w:val="auto"/>
                <w:sz w:val="24"/>
                <w:lang w:val="en-US" w:eastAsia="zh-CN"/>
              </w:rPr>
            </w:pPr>
            <w:r>
              <w:rPr>
                <w:rFonts w:hint="eastAsia" w:ascii="宋体" w:hAnsi="宋体" w:cs="宋体"/>
                <w:color w:val="auto"/>
                <w:sz w:val="24"/>
              </w:rPr>
              <w:t>造成</w:t>
            </w:r>
            <w:r>
              <w:rPr>
                <w:rFonts w:hint="eastAsia" w:ascii="宋体" w:hAnsi="宋体" w:cs="宋体"/>
                <w:color w:val="auto"/>
                <w:sz w:val="24"/>
                <w:lang w:eastAsia="zh-CN"/>
              </w:rPr>
              <w:t>车辆伤害、机械伤害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0"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rPr>
              <w:t>6</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lang w:eastAsia="zh-CN"/>
              </w:rPr>
            </w:pPr>
            <w:r>
              <w:rPr>
                <w:rFonts w:hint="eastAsia" w:ascii="宋体" w:hAnsi="宋体" w:cs="宋体"/>
                <w:color w:val="auto"/>
                <w:sz w:val="24"/>
                <w:lang w:eastAsia="zh-CN"/>
              </w:rPr>
              <w:t>堆土场坍塌和成品区坍塌</w:t>
            </w:r>
          </w:p>
        </w:tc>
        <w:tc>
          <w:tcPr>
            <w:tcW w:w="5246" w:type="dxa"/>
            <w:noWrap w:val="0"/>
            <w:vAlign w:val="center"/>
          </w:tcPr>
          <w:p>
            <w:pPr>
              <w:spacing w:line="240" w:lineRule="auto"/>
              <w:jc w:val="left"/>
              <w:rPr>
                <w:rFonts w:hint="eastAsia" w:ascii="宋体" w:hAnsi="宋体" w:cs="宋体"/>
                <w:color w:val="auto"/>
                <w:sz w:val="24"/>
                <w:lang w:eastAsia="zh-CN"/>
              </w:rPr>
            </w:pPr>
            <w:r>
              <w:rPr>
                <w:rFonts w:hint="eastAsia" w:ascii="宋体" w:hAnsi="宋体" w:cs="宋体"/>
                <w:color w:val="auto"/>
                <w:sz w:val="24"/>
                <w:lang w:eastAsia="zh-CN"/>
              </w:rPr>
              <w:t>造成坍塌事故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0" w:type="dxa"/>
            <w:noWrap w:val="0"/>
            <w:vAlign w:val="center"/>
          </w:tcPr>
          <w:p>
            <w:pPr>
              <w:spacing w:line="240" w:lineRule="auto"/>
              <w:jc w:val="center"/>
              <w:rPr>
                <w:rFonts w:hint="eastAsia" w:ascii="宋体" w:hAnsi="宋体" w:cs="宋体"/>
                <w:color w:val="auto"/>
                <w:sz w:val="24"/>
              </w:rPr>
            </w:pP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lang w:eastAsia="zh-CN"/>
              </w:rPr>
            </w:pPr>
            <w:r>
              <w:rPr>
                <w:rFonts w:hint="eastAsia" w:ascii="宋体" w:hAnsi="宋体" w:cs="宋体"/>
                <w:color w:val="auto"/>
                <w:sz w:val="24"/>
                <w:lang w:eastAsia="zh-CN"/>
              </w:rPr>
              <w:t>烧窑过程中</w:t>
            </w:r>
          </w:p>
        </w:tc>
        <w:tc>
          <w:tcPr>
            <w:tcW w:w="5246" w:type="dxa"/>
            <w:noWrap w:val="0"/>
            <w:vAlign w:val="center"/>
          </w:tcPr>
          <w:p>
            <w:pPr>
              <w:spacing w:line="240" w:lineRule="auto"/>
              <w:jc w:val="left"/>
              <w:rPr>
                <w:rFonts w:hint="eastAsia" w:ascii="宋体" w:hAnsi="宋体" w:cs="宋体"/>
                <w:color w:val="auto"/>
                <w:sz w:val="24"/>
                <w:lang w:eastAsia="zh-CN"/>
              </w:rPr>
            </w:pPr>
            <w:r>
              <w:rPr>
                <w:rFonts w:hint="eastAsia" w:ascii="宋体" w:hAnsi="宋体" w:cs="宋体"/>
                <w:color w:val="auto"/>
                <w:sz w:val="24"/>
                <w:lang w:eastAsia="zh-CN"/>
              </w:rPr>
              <w:t>造成中毒窒息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640"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rPr>
              <w:t>7</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生产管理</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指挥错误造成多种伤害。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val="en-US" w:eastAsia="zh-CN"/>
              </w:rPr>
              <w:t>8</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电工作业</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违章操作用电造成触电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6"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val="en-US" w:eastAsia="zh-CN"/>
              </w:rPr>
              <w:t>9</w:t>
            </w:r>
          </w:p>
        </w:tc>
        <w:tc>
          <w:tcPr>
            <w:tcW w:w="1594" w:type="dxa"/>
            <w:vMerge w:val="restart"/>
            <w:noWrap w:val="0"/>
            <w:vAlign w:val="center"/>
          </w:tcPr>
          <w:p>
            <w:pPr>
              <w:spacing w:line="240" w:lineRule="auto"/>
              <w:jc w:val="center"/>
              <w:rPr>
                <w:rFonts w:hint="eastAsia" w:ascii="宋体" w:hAnsi="宋体" w:cs="宋体"/>
                <w:color w:val="auto"/>
                <w:sz w:val="24"/>
              </w:rPr>
            </w:pPr>
          </w:p>
          <w:p>
            <w:pPr>
              <w:spacing w:line="240" w:lineRule="auto"/>
              <w:jc w:val="center"/>
              <w:rPr>
                <w:rFonts w:hint="eastAsia" w:ascii="宋体" w:hAnsi="宋体" w:cs="宋体"/>
                <w:color w:val="auto"/>
                <w:sz w:val="24"/>
              </w:rPr>
            </w:pPr>
            <w:r>
              <w:rPr>
                <w:rFonts w:hint="eastAsia" w:ascii="宋体" w:hAnsi="宋体" w:cs="宋体"/>
                <w:color w:val="auto"/>
                <w:sz w:val="24"/>
              </w:rPr>
              <w:t>设备运行、维护和保养</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机动车辆驾驶(包括装载机)</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作业环境不良，违章驾驶造成机械伤害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1"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val="en-US" w:eastAsia="zh-CN"/>
              </w:rPr>
              <w:t>10</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焊接(切割)作业</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紫外线、电危害粉尘等金属烟尘，造成中毒、尘肺、触电烧烫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2"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1</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eastAsia="zh-CN"/>
              </w:rPr>
              <w:t>制砖</w:t>
            </w:r>
            <w:r>
              <w:rPr>
                <w:rFonts w:hint="eastAsia" w:ascii="宋体" w:hAnsi="宋体" w:cs="宋体"/>
                <w:color w:val="auto"/>
                <w:sz w:val="24"/>
              </w:rPr>
              <w:t>设备</w:t>
            </w:r>
            <w:r>
              <w:rPr>
                <w:rFonts w:hint="eastAsia" w:ascii="宋体" w:hAnsi="宋体" w:cs="宋体"/>
                <w:color w:val="auto"/>
                <w:sz w:val="24"/>
                <w:lang w:eastAsia="zh-CN"/>
              </w:rPr>
              <w:t>、破碎设备</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结构庞大、设备复杂，结构暴露部位多，且作业时需多人配合，极易发生</w:t>
            </w:r>
            <w:r>
              <w:rPr>
                <w:rFonts w:hint="eastAsia" w:ascii="宋体" w:hAnsi="宋体" w:cs="宋体"/>
                <w:color w:val="auto"/>
                <w:sz w:val="24"/>
                <w:lang w:eastAsia="zh-CN"/>
              </w:rPr>
              <w:t>机械伤害</w:t>
            </w:r>
            <w:r>
              <w:rPr>
                <w:rFonts w:hint="eastAsia" w:ascii="宋体" w:hAnsi="宋体" w:cs="宋体"/>
                <w:color w:val="auto"/>
                <w:sz w:val="24"/>
              </w:rPr>
              <w:t>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2</w:t>
            </w:r>
          </w:p>
        </w:tc>
        <w:tc>
          <w:tcPr>
            <w:tcW w:w="1594" w:type="dxa"/>
            <w:vMerge w:val="restart"/>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其它辅助活动</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档案、资料管理</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明火、照明线路不良等造成火灾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3</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办  公</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地面、楼梯存水及障碍物其他伤害摔伤、撞伤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4</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办公照明用电</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违章操作触电</w:t>
            </w:r>
          </w:p>
        </w:tc>
      </w:tr>
    </w:tbl>
    <w:p>
      <w:pPr>
        <w:rPr>
          <w:rFonts w:hint="eastAsia" w:ascii="黑体" w:hAnsi="宋体" w:eastAsia="黑体"/>
          <w:b/>
          <w:sz w:val="32"/>
          <w:szCs w:val="32"/>
          <w:lang w:val="en-US" w:eastAsia="zh-CN"/>
        </w:rPr>
      </w:pPr>
      <w:r>
        <w:rPr>
          <w:rFonts w:hint="eastAsia" w:ascii="黑体" w:hAnsi="宋体" w:eastAsia="黑体"/>
          <w:b/>
          <w:sz w:val="32"/>
          <w:szCs w:val="32"/>
          <w:lang w:val="en-US" w:eastAsia="zh-CN"/>
        </w:rPr>
        <w:br w:type="page"/>
      </w:r>
    </w:p>
    <w:p>
      <w:pPr>
        <w:numPr>
          <w:ilvl w:val="0"/>
          <w:numId w:val="0"/>
        </w:numPr>
        <w:spacing w:line="360" w:lineRule="auto"/>
        <w:jc w:val="center"/>
        <w:outlineLvl w:val="0"/>
        <w:rPr>
          <w:rFonts w:hint="eastAsia" w:ascii="黑体" w:hAnsi="宋体" w:eastAsia="黑体"/>
          <w:b/>
          <w:sz w:val="32"/>
          <w:szCs w:val="32"/>
        </w:rPr>
      </w:pPr>
      <w:bookmarkStart w:id="265" w:name="_Toc32087"/>
      <w:r>
        <w:rPr>
          <w:rFonts w:hint="eastAsia" w:ascii="黑体" w:hAnsi="宋体" w:eastAsia="黑体"/>
          <w:b/>
          <w:sz w:val="32"/>
          <w:szCs w:val="32"/>
          <w:lang w:val="en-US" w:eastAsia="zh-CN"/>
        </w:rPr>
        <w:t>4</w:t>
      </w:r>
      <w:r>
        <w:rPr>
          <w:rFonts w:hint="eastAsia" w:ascii="黑体" w:hAnsi="宋体" w:eastAsia="黑体"/>
          <w:b/>
          <w:sz w:val="32"/>
          <w:szCs w:val="32"/>
        </w:rPr>
        <w:t>评估结论与建议</w:t>
      </w:r>
      <w:bookmarkEnd w:id="263"/>
      <w:bookmarkEnd w:id="265"/>
    </w:p>
    <w:p>
      <w:pPr>
        <w:pStyle w:val="5"/>
        <w:autoSpaceDN w:val="0"/>
        <w:spacing w:before="0" w:after="0" w:line="360" w:lineRule="auto"/>
        <w:jc w:val="left"/>
        <w:rPr>
          <w:rFonts w:hint="eastAsia" w:ascii="黑体" w:hAnsi="黑体"/>
          <w:sz w:val="28"/>
          <w:szCs w:val="28"/>
          <w:lang w:val="en-US" w:eastAsia="zh-CN"/>
        </w:rPr>
      </w:pPr>
      <w:bookmarkStart w:id="266" w:name="_Toc20573"/>
      <w:r>
        <w:rPr>
          <w:rFonts w:hint="eastAsia" w:ascii="黑体" w:hAnsi="黑体"/>
          <w:sz w:val="28"/>
          <w:szCs w:val="28"/>
          <w:lang w:val="en-US" w:eastAsia="zh-CN"/>
        </w:rPr>
        <w:t>4.1总体评价结论</w:t>
      </w:r>
      <w:bookmarkEnd w:id="264"/>
      <w:bookmarkEnd w:id="266"/>
    </w:p>
    <w:p>
      <w:pPr>
        <w:spacing w:line="360" w:lineRule="auto"/>
        <w:ind w:firstLine="560" w:firstLineChars="200"/>
        <w:rPr>
          <w:rFonts w:hint="eastAsia" w:ascii="宋体" w:hAnsi="宋体" w:cs="宋体"/>
          <w:color w:val="auto"/>
          <w:sz w:val="28"/>
          <w:szCs w:val="28"/>
          <w:lang w:eastAsia="zh-CN"/>
        </w:rPr>
      </w:pPr>
      <w:r>
        <w:rPr>
          <w:rFonts w:hint="eastAsia" w:ascii="宋体" w:hAnsi="宋体" w:cs="宋体"/>
          <w:color w:val="auto"/>
          <w:sz w:val="28"/>
          <w:szCs w:val="28"/>
          <w:lang w:eastAsia="zh-CN"/>
        </w:rPr>
        <w:t>通过对仪陇县瓦子镇宏发页岩砖厂周边环境、总平面布置及建构筑物、生产设施与设备安全、生产工艺控制、危险化学品储存使用、公辅工程、安全管理等方面的综合评价，本公司各类危险源均处在动态监控中，在日常生产过程中发现隐患问题，能够及时得到整改，加强员工教育，杜绝“三违”现象，就能够做到事故可防可控。本公司《生产安全事故应急救援预案》内容具有可操作性，对事故应急总的处置方案和具体岗位的应急操作流程进行了详细规定，通过对应急救援机构、应急救援队伍、应急救援装备、应急救援物质储备、应急救援医疗保障的调查，与实际情况相符。</w:t>
      </w:r>
    </w:p>
    <w:p>
      <w:pPr>
        <w:pStyle w:val="5"/>
        <w:autoSpaceDN w:val="0"/>
        <w:spacing w:before="0" w:after="0" w:line="360" w:lineRule="auto"/>
        <w:jc w:val="left"/>
        <w:rPr>
          <w:rFonts w:hint="eastAsia" w:ascii="黑体" w:hAnsi="黑体"/>
          <w:sz w:val="28"/>
          <w:szCs w:val="28"/>
        </w:rPr>
      </w:pPr>
      <w:bookmarkStart w:id="267" w:name="_Toc5799"/>
      <w:bookmarkStart w:id="268" w:name="_Toc22214"/>
      <w:bookmarkStart w:id="269" w:name="_Toc27675"/>
      <w:r>
        <w:rPr>
          <w:rFonts w:hint="eastAsia" w:ascii="黑体" w:hAnsi="黑体"/>
          <w:sz w:val="28"/>
          <w:szCs w:val="28"/>
          <w:lang w:val="en-US" w:eastAsia="zh-CN"/>
        </w:rPr>
        <w:t>4</w:t>
      </w:r>
      <w:r>
        <w:rPr>
          <w:rFonts w:hint="eastAsia" w:ascii="黑体" w:hAnsi="黑体"/>
          <w:sz w:val="28"/>
          <w:szCs w:val="28"/>
        </w:rPr>
        <w:t>.</w:t>
      </w:r>
      <w:r>
        <w:rPr>
          <w:rFonts w:hint="eastAsia" w:ascii="黑体" w:hAnsi="黑体"/>
          <w:sz w:val="28"/>
          <w:szCs w:val="28"/>
          <w:lang w:val="en-US" w:eastAsia="zh-CN"/>
        </w:rPr>
        <w:t>2</w:t>
      </w:r>
      <w:r>
        <w:rPr>
          <w:rFonts w:hint="eastAsia" w:ascii="黑体" w:hAnsi="黑体"/>
          <w:sz w:val="28"/>
          <w:szCs w:val="28"/>
        </w:rPr>
        <w:t>建议</w:t>
      </w:r>
      <w:bookmarkEnd w:id="267"/>
      <w:bookmarkEnd w:id="268"/>
      <w:bookmarkEnd w:id="269"/>
    </w:p>
    <w:p>
      <w:pPr>
        <w:spacing w:line="360" w:lineRule="auto"/>
        <w:ind w:firstLine="560" w:firstLineChars="200"/>
        <w:rPr>
          <w:sz w:val="28"/>
          <w:szCs w:val="28"/>
        </w:rPr>
      </w:pPr>
      <w:r>
        <w:rPr>
          <w:sz w:val="28"/>
          <w:szCs w:val="28"/>
        </w:rPr>
        <w:t>（1）应加强对现有安全措施及消防装置的维护检查，确保安全设施及消防措施的可靠性，在发生险情时能有效地发挥其作用。对损坏、失效的消防设备设施要作到及时修复和更换。</w:t>
      </w:r>
    </w:p>
    <w:p>
      <w:pPr>
        <w:spacing w:line="360" w:lineRule="auto"/>
        <w:ind w:firstLine="560" w:firstLineChars="200"/>
        <w:rPr>
          <w:sz w:val="28"/>
          <w:szCs w:val="28"/>
        </w:rPr>
      </w:pPr>
      <w:r>
        <w:rPr>
          <w:sz w:val="28"/>
          <w:szCs w:val="28"/>
        </w:rPr>
        <w:t>（2）应增加应急救援器材，确保事故发生或作业人员发生人身伤害时，能够及时采取有效救援措施，减轻伤害程度，控制事故的发展。</w:t>
      </w:r>
    </w:p>
    <w:p>
      <w:pPr>
        <w:rPr>
          <w:rFonts w:hint="eastAsia"/>
          <w:lang w:val="en-US" w:eastAsia="zh-CN"/>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仿宋简体">
    <w:altName w:val="宋体"/>
    <w:panose1 w:val="02010601030101010101"/>
    <w:charset w:val="86"/>
    <w:family w:val="auto"/>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PMingLiU">
    <w:altName w:val="PMingLiU-ExtB"/>
    <w:panose1 w:val="02020500000000000000"/>
    <w:charset w:val="78"/>
    <w:family w:val="auto"/>
    <w:pitch w:val="default"/>
    <w:sig w:usb0="00000000" w:usb1="00000000" w:usb2="00000016" w:usb3="00000000" w:csb0="0010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F723BC"/>
    <w:rsid w:val="00324365"/>
    <w:rsid w:val="005247D8"/>
    <w:rsid w:val="005D60C3"/>
    <w:rsid w:val="00B44381"/>
    <w:rsid w:val="01B34626"/>
    <w:rsid w:val="01D26CA9"/>
    <w:rsid w:val="02EB4D5F"/>
    <w:rsid w:val="03D37A5F"/>
    <w:rsid w:val="047007AE"/>
    <w:rsid w:val="059A7F41"/>
    <w:rsid w:val="06330342"/>
    <w:rsid w:val="06867417"/>
    <w:rsid w:val="069D7701"/>
    <w:rsid w:val="07024A58"/>
    <w:rsid w:val="0731706A"/>
    <w:rsid w:val="07835CC2"/>
    <w:rsid w:val="07A44FA0"/>
    <w:rsid w:val="07B56C35"/>
    <w:rsid w:val="07E323AA"/>
    <w:rsid w:val="07F26DF4"/>
    <w:rsid w:val="0808585B"/>
    <w:rsid w:val="0814262C"/>
    <w:rsid w:val="08FB3207"/>
    <w:rsid w:val="0A1B12D6"/>
    <w:rsid w:val="0A54055C"/>
    <w:rsid w:val="0A5621CC"/>
    <w:rsid w:val="0AE45EDA"/>
    <w:rsid w:val="0AF829E5"/>
    <w:rsid w:val="0C18342B"/>
    <w:rsid w:val="0CA8623A"/>
    <w:rsid w:val="0D066290"/>
    <w:rsid w:val="0D3B3E73"/>
    <w:rsid w:val="0DE0620E"/>
    <w:rsid w:val="0E6D3139"/>
    <w:rsid w:val="0EB95D58"/>
    <w:rsid w:val="0ECB0C27"/>
    <w:rsid w:val="0F25281E"/>
    <w:rsid w:val="0F77136B"/>
    <w:rsid w:val="0F842DC8"/>
    <w:rsid w:val="0F9227C9"/>
    <w:rsid w:val="0FE50957"/>
    <w:rsid w:val="112E4204"/>
    <w:rsid w:val="11385FCD"/>
    <w:rsid w:val="11C747FB"/>
    <w:rsid w:val="11D61819"/>
    <w:rsid w:val="11F65369"/>
    <w:rsid w:val="12651DAC"/>
    <w:rsid w:val="128342A7"/>
    <w:rsid w:val="12CA5EC1"/>
    <w:rsid w:val="13174795"/>
    <w:rsid w:val="134B441C"/>
    <w:rsid w:val="136C6E71"/>
    <w:rsid w:val="13C77420"/>
    <w:rsid w:val="140B1FB2"/>
    <w:rsid w:val="143B6186"/>
    <w:rsid w:val="14694763"/>
    <w:rsid w:val="14742777"/>
    <w:rsid w:val="149039AD"/>
    <w:rsid w:val="14B414F7"/>
    <w:rsid w:val="15570D21"/>
    <w:rsid w:val="155E39C3"/>
    <w:rsid w:val="158733A6"/>
    <w:rsid w:val="15A14830"/>
    <w:rsid w:val="15E72303"/>
    <w:rsid w:val="165B5ABE"/>
    <w:rsid w:val="16ED61B4"/>
    <w:rsid w:val="170B2C2B"/>
    <w:rsid w:val="172C1FB3"/>
    <w:rsid w:val="173B5FB4"/>
    <w:rsid w:val="17D8718E"/>
    <w:rsid w:val="18A56828"/>
    <w:rsid w:val="18E72215"/>
    <w:rsid w:val="18E80829"/>
    <w:rsid w:val="19837993"/>
    <w:rsid w:val="19D37E9F"/>
    <w:rsid w:val="1A4F49A7"/>
    <w:rsid w:val="1AAC026F"/>
    <w:rsid w:val="1AF723BC"/>
    <w:rsid w:val="1B584D22"/>
    <w:rsid w:val="1B7B5998"/>
    <w:rsid w:val="1BB675E2"/>
    <w:rsid w:val="1BCF066F"/>
    <w:rsid w:val="1BD90D39"/>
    <w:rsid w:val="1BEC385B"/>
    <w:rsid w:val="1C0A5497"/>
    <w:rsid w:val="1D752B45"/>
    <w:rsid w:val="1D85003A"/>
    <w:rsid w:val="1DC712A8"/>
    <w:rsid w:val="1DD34EC9"/>
    <w:rsid w:val="1DEB3E64"/>
    <w:rsid w:val="1E165C3D"/>
    <w:rsid w:val="1E220183"/>
    <w:rsid w:val="1E8E35FC"/>
    <w:rsid w:val="1F2F4931"/>
    <w:rsid w:val="1F3805F9"/>
    <w:rsid w:val="1F4340AC"/>
    <w:rsid w:val="1F48275D"/>
    <w:rsid w:val="1F647F1F"/>
    <w:rsid w:val="1F7A37C8"/>
    <w:rsid w:val="1F8D03F9"/>
    <w:rsid w:val="1F8E5F41"/>
    <w:rsid w:val="1FB86C9B"/>
    <w:rsid w:val="1FC13459"/>
    <w:rsid w:val="1FE208B9"/>
    <w:rsid w:val="208858FB"/>
    <w:rsid w:val="20BE35EE"/>
    <w:rsid w:val="21A05E53"/>
    <w:rsid w:val="22627230"/>
    <w:rsid w:val="22C3776E"/>
    <w:rsid w:val="22D832A8"/>
    <w:rsid w:val="22E40C74"/>
    <w:rsid w:val="22E759E4"/>
    <w:rsid w:val="23032879"/>
    <w:rsid w:val="239931F2"/>
    <w:rsid w:val="23D97413"/>
    <w:rsid w:val="240D3547"/>
    <w:rsid w:val="2439225C"/>
    <w:rsid w:val="24450122"/>
    <w:rsid w:val="244C16C4"/>
    <w:rsid w:val="245A3C4E"/>
    <w:rsid w:val="24FB56BC"/>
    <w:rsid w:val="25AF1A07"/>
    <w:rsid w:val="25F57BEE"/>
    <w:rsid w:val="26524A71"/>
    <w:rsid w:val="26A96685"/>
    <w:rsid w:val="26E103D1"/>
    <w:rsid w:val="27614997"/>
    <w:rsid w:val="277D73A1"/>
    <w:rsid w:val="2793442C"/>
    <w:rsid w:val="27C206E8"/>
    <w:rsid w:val="28982FE2"/>
    <w:rsid w:val="28B83BFF"/>
    <w:rsid w:val="290F2046"/>
    <w:rsid w:val="2923409D"/>
    <w:rsid w:val="294C2435"/>
    <w:rsid w:val="298C52F0"/>
    <w:rsid w:val="29925E1A"/>
    <w:rsid w:val="2997713A"/>
    <w:rsid w:val="2A1D0F47"/>
    <w:rsid w:val="2A5B6A09"/>
    <w:rsid w:val="2A621F24"/>
    <w:rsid w:val="2B040F9D"/>
    <w:rsid w:val="2B34415E"/>
    <w:rsid w:val="2B3C65FF"/>
    <w:rsid w:val="2BDD5569"/>
    <w:rsid w:val="2C0870D6"/>
    <w:rsid w:val="2C5A6C5D"/>
    <w:rsid w:val="2C955142"/>
    <w:rsid w:val="2CB53128"/>
    <w:rsid w:val="2CD176A6"/>
    <w:rsid w:val="2CE03705"/>
    <w:rsid w:val="2CE5756B"/>
    <w:rsid w:val="2D17630C"/>
    <w:rsid w:val="2D2D3B92"/>
    <w:rsid w:val="2D980C0B"/>
    <w:rsid w:val="2DA36ECA"/>
    <w:rsid w:val="2DFE08A6"/>
    <w:rsid w:val="2E313DDB"/>
    <w:rsid w:val="2EB87CC0"/>
    <w:rsid w:val="2EC16023"/>
    <w:rsid w:val="2ED80F4B"/>
    <w:rsid w:val="2F1B7849"/>
    <w:rsid w:val="2F8D64C0"/>
    <w:rsid w:val="300251B5"/>
    <w:rsid w:val="305C4346"/>
    <w:rsid w:val="310028DA"/>
    <w:rsid w:val="313177DD"/>
    <w:rsid w:val="32240BF8"/>
    <w:rsid w:val="322A0AE4"/>
    <w:rsid w:val="3235563A"/>
    <w:rsid w:val="32683B2D"/>
    <w:rsid w:val="327E3643"/>
    <w:rsid w:val="32AF5AD2"/>
    <w:rsid w:val="32C563AD"/>
    <w:rsid w:val="32FE496E"/>
    <w:rsid w:val="330C362C"/>
    <w:rsid w:val="335A7005"/>
    <w:rsid w:val="33956D13"/>
    <w:rsid w:val="339D79F1"/>
    <w:rsid w:val="33A20370"/>
    <w:rsid w:val="33B37D8A"/>
    <w:rsid w:val="33BB103D"/>
    <w:rsid w:val="34383A5B"/>
    <w:rsid w:val="343E683F"/>
    <w:rsid w:val="34554F53"/>
    <w:rsid w:val="34662EA6"/>
    <w:rsid w:val="347F25F8"/>
    <w:rsid w:val="34F77C1F"/>
    <w:rsid w:val="35532903"/>
    <w:rsid w:val="37095278"/>
    <w:rsid w:val="37260A87"/>
    <w:rsid w:val="376A4991"/>
    <w:rsid w:val="37F5632A"/>
    <w:rsid w:val="388958CC"/>
    <w:rsid w:val="39102AC2"/>
    <w:rsid w:val="393A7B4C"/>
    <w:rsid w:val="397E59D9"/>
    <w:rsid w:val="39A80794"/>
    <w:rsid w:val="39CB2810"/>
    <w:rsid w:val="39EF57AC"/>
    <w:rsid w:val="3A5F15D0"/>
    <w:rsid w:val="3A7A59C2"/>
    <w:rsid w:val="3A8A5198"/>
    <w:rsid w:val="3AB647BD"/>
    <w:rsid w:val="3B3E3E45"/>
    <w:rsid w:val="3CA77EE1"/>
    <w:rsid w:val="3CE4144F"/>
    <w:rsid w:val="3D294EE0"/>
    <w:rsid w:val="3DAE5076"/>
    <w:rsid w:val="3DE73B46"/>
    <w:rsid w:val="3DE83AD0"/>
    <w:rsid w:val="3E9F6159"/>
    <w:rsid w:val="3FBC7E4E"/>
    <w:rsid w:val="3FDC1A36"/>
    <w:rsid w:val="3FDD2101"/>
    <w:rsid w:val="3FEA6A42"/>
    <w:rsid w:val="409F3EEA"/>
    <w:rsid w:val="40A21DB4"/>
    <w:rsid w:val="40B7729C"/>
    <w:rsid w:val="411F7579"/>
    <w:rsid w:val="41355E93"/>
    <w:rsid w:val="41730BF7"/>
    <w:rsid w:val="428B2341"/>
    <w:rsid w:val="433507F9"/>
    <w:rsid w:val="441915F5"/>
    <w:rsid w:val="45622A19"/>
    <w:rsid w:val="45770186"/>
    <w:rsid w:val="459F7826"/>
    <w:rsid w:val="464A1410"/>
    <w:rsid w:val="46F66BD7"/>
    <w:rsid w:val="47341022"/>
    <w:rsid w:val="477E3CE3"/>
    <w:rsid w:val="48184499"/>
    <w:rsid w:val="483B34B0"/>
    <w:rsid w:val="48FD757B"/>
    <w:rsid w:val="491C391B"/>
    <w:rsid w:val="492B09D8"/>
    <w:rsid w:val="498E082D"/>
    <w:rsid w:val="4A3D268D"/>
    <w:rsid w:val="4A720B65"/>
    <w:rsid w:val="4AAF0090"/>
    <w:rsid w:val="4B064935"/>
    <w:rsid w:val="4B090AF7"/>
    <w:rsid w:val="4B220275"/>
    <w:rsid w:val="4B483AD9"/>
    <w:rsid w:val="4B6768D2"/>
    <w:rsid w:val="4BFC05F5"/>
    <w:rsid w:val="4C0F77AD"/>
    <w:rsid w:val="4C6D0410"/>
    <w:rsid w:val="4C8611D9"/>
    <w:rsid w:val="4D02687F"/>
    <w:rsid w:val="4D453DC9"/>
    <w:rsid w:val="4D8D0BEB"/>
    <w:rsid w:val="4DB8268A"/>
    <w:rsid w:val="4DF07C13"/>
    <w:rsid w:val="4E426085"/>
    <w:rsid w:val="4E8B327B"/>
    <w:rsid w:val="4ED74A31"/>
    <w:rsid w:val="4EFD13C2"/>
    <w:rsid w:val="4EFE4FA4"/>
    <w:rsid w:val="4F886CE6"/>
    <w:rsid w:val="50993D59"/>
    <w:rsid w:val="515512D0"/>
    <w:rsid w:val="516E3E1E"/>
    <w:rsid w:val="51770C66"/>
    <w:rsid w:val="51C92B72"/>
    <w:rsid w:val="51F47B43"/>
    <w:rsid w:val="525C2381"/>
    <w:rsid w:val="52622A40"/>
    <w:rsid w:val="52755F2A"/>
    <w:rsid w:val="527A20EE"/>
    <w:rsid w:val="532B27D1"/>
    <w:rsid w:val="53A07D90"/>
    <w:rsid w:val="53C43072"/>
    <w:rsid w:val="53EA2B27"/>
    <w:rsid w:val="540B4142"/>
    <w:rsid w:val="5455526C"/>
    <w:rsid w:val="54D21C50"/>
    <w:rsid w:val="55FD3636"/>
    <w:rsid w:val="564C147E"/>
    <w:rsid w:val="56775B43"/>
    <w:rsid w:val="5681710C"/>
    <w:rsid w:val="571950BC"/>
    <w:rsid w:val="57D309C6"/>
    <w:rsid w:val="58B72C33"/>
    <w:rsid w:val="590B70B3"/>
    <w:rsid w:val="592F0C5C"/>
    <w:rsid w:val="59336AE3"/>
    <w:rsid w:val="59A421BC"/>
    <w:rsid w:val="59E15F92"/>
    <w:rsid w:val="59ED3977"/>
    <w:rsid w:val="5A0C0B47"/>
    <w:rsid w:val="5AD436AA"/>
    <w:rsid w:val="5AE86358"/>
    <w:rsid w:val="5B8C578C"/>
    <w:rsid w:val="5B942AB1"/>
    <w:rsid w:val="5BA27CFF"/>
    <w:rsid w:val="5BE34BD9"/>
    <w:rsid w:val="5BEC5827"/>
    <w:rsid w:val="5C2E219B"/>
    <w:rsid w:val="5C6F0596"/>
    <w:rsid w:val="5CB37775"/>
    <w:rsid w:val="5DDA2367"/>
    <w:rsid w:val="5E373F89"/>
    <w:rsid w:val="5E5068C1"/>
    <w:rsid w:val="5E9B5A1F"/>
    <w:rsid w:val="5EFD55DF"/>
    <w:rsid w:val="5F053AC2"/>
    <w:rsid w:val="5F0B5C76"/>
    <w:rsid w:val="5F16731B"/>
    <w:rsid w:val="5F1C71B2"/>
    <w:rsid w:val="5F1D225B"/>
    <w:rsid w:val="5F21657F"/>
    <w:rsid w:val="5F4A1C91"/>
    <w:rsid w:val="5FCA3D8D"/>
    <w:rsid w:val="60377224"/>
    <w:rsid w:val="607D49FD"/>
    <w:rsid w:val="60E67C6D"/>
    <w:rsid w:val="61043818"/>
    <w:rsid w:val="612E1200"/>
    <w:rsid w:val="613618D5"/>
    <w:rsid w:val="61E37CF9"/>
    <w:rsid w:val="61EF4BAD"/>
    <w:rsid w:val="622E630D"/>
    <w:rsid w:val="62742DCD"/>
    <w:rsid w:val="62B91BA7"/>
    <w:rsid w:val="62D7527A"/>
    <w:rsid w:val="63156E86"/>
    <w:rsid w:val="6395494B"/>
    <w:rsid w:val="639A41C4"/>
    <w:rsid w:val="63AD0D00"/>
    <w:rsid w:val="63CF1848"/>
    <w:rsid w:val="63E37986"/>
    <w:rsid w:val="64360ADF"/>
    <w:rsid w:val="64F03451"/>
    <w:rsid w:val="64FB6E9F"/>
    <w:rsid w:val="654C0C6E"/>
    <w:rsid w:val="65B43BEA"/>
    <w:rsid w:val="65C409EA"/>
    <w:rsid w:val="663A3EB4"/>
    <w:rsid w:val="66E17464"/>
    <w:rsid w:val="67D414E5"/>
    <w:rsid w:val="69A5229A"/>
    <w:rsid w:val="69A97278"/>
    <w:rsid w:val="69F554D1"/>
    <w:rsid w:val="6BBC26DD"/>
    <w:rsid w:val="6BF603B0"/>
    <w:rsid w:val="6C290D26"/>
    <w:rsid w:val="6C2D1542"/>
    <w:rsid w:val="6C4912EE"/>
    <w:rsid w:val="6C800B14"/>
    <w:rsid w:val="6CDC19EB"/>
    <w:rsid w:val="6D11498F"/>
    <w:rsid w:val="6D476F7F"/>
    <w:rsid w:val="6D684322"/>
    <w:rsid w:val="6DBA0093"/>
    <w:rsid w:val="6E7B4731"/>
    <w:rsid w:val="6E927F94"/>
    <w:rsid w:val="6EEF6407"/>
    <w:rsid w:val="6F555EF3"/>
    <w:rsid w:val="6FAA56EB"/>
    <w:rsid w:val="6FED25A3"/>
    <w:rsid w:val="704A3031"/>
    <w:rsid w:val="70554E01"/>
    <w:rsid w:val="70601362"/>
    <w:rsid w:val="70AD3F02"/>
    <w:rsid w:val="70EA511B"/>
    <w:rsid w:val="716D7957"/>
    <w:rsid w:val="71E473EF"/>
    <w:rsid w:val="72251606"/>
    <w:rsid w:val="723C4E0C"/>
    <w:rsid w:val="72421DD8"/>
    <w:rsid w:val="727017CD"/>
    <w:rsid w:val="730D354D"/>
    <w:rsid w:val="734E2F8F"/>
    <w:rsid w:val="7386403F"/>
    <w:rsid w:val="73A236AA"/>
    <w:rsid w:val="73AA2E25"/>
    <w:rsid w:val="73B257D5"/>
    <w:rsid w:val="73C66834"/>
    <w:rsid w:val="74034CD0"/>
    <w:rsid w:val="74B623B5"/>
    <w:rsid w:val="74FC7F63"/>
    <w:rsid w:val="75494092"/>
    <w:rsid w:val="759E0303"/>
    <w:rsid w:val="75AD4B40"/>
    <w:rsid w:val="75FE1A6B"/>
    <w:rsid w:val="767D74C7"/>
    <w:rsid w:val="76820B04"/>
    <w:rsid w:val="76DA4889"/>
    <w:rsid w:val="76E47588"/>
    <w:rsid w:val="77354976"/>
    <w:rsid w:val="776A67F8"/>
    <w:rsid w:val="7780493D"/>
    <w:rsid w:val="77DF6978"/>
    <w:rsid w:val="78046151"/>
    <w:rsid w:val="783311DF"/>
    <w:rsid w:val="784F6630"/>
    <w:rsid w:val="78507FEF"/>
    <w:rsid w:val="78B03D86"/>
    <w:rsid w:val="78EA49E2"/>
    <w:rsid w:val="79260D6C"/>
    <w:rsid w:val="79F66BAF"/>
    <w:rsid w:val="7A2F46E7"/>
    <w:rsid w:val="7A4F1784"/>
    <w:rsid w:val="7A5245F9"/>
    <w:rsid w:val="7AF95BE7"/>
    <w:rsid w:val="7B70248C"/>
    <w:rsid w:val="7B932C66"/>
    <w:rsid w:val="7BB02559"/>
    <w:rsid w:val="7BF0782B"/>
    <w:rsid w:val="7C05359C"/>
    <w:rsid w:val="7CF11279"/>
    <w:rsid w:val="7D0275D8"/>
    <w:rsid w:val="7DB96803"/>
    <w:rsid w:val="7E2852A2"/>
    <w:rsid w:val="7E605563"/>
    <w:rsid w:val="7EAA408B"/>
    <w:rsid w:val="7EC478BA"/>
    <w:rsid w:val="7EDF4571"/>
    <w:rsid w:val="7F114FA7"/>
    <w:rsid w:val="7F1F28DF"/>
    <w:rsid w:val="7F280353"/>
    <w:rsid w:val="7F350E03"/>
    <w:rsid w:val="7F6668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宋体" w:asciiTheme="minorHAnsi" w:hAnsiTheme="minorHAnsi" w:cstheme="minorBidi"/>
      <w:kern w:val="2"/>
      <w:sz w:val="21"/>
      <w:szCs w:val="24"/>
      <w:lang w:val="en-US" w:eastAsia="zh-CN" w:bidi="ar-SA"/>
    </w:rPr>
  </w:style>
  <w:style w:type="paragraph" w:styleId="4">
    <w:name w:val="heading 1"/>
    <w:basedOn w:val="1"/>
    <w:next w:val="1"/>
    <w:qFormat/>
    <w:uiPriority w:val="0"/>
    <w:pPr>
      <w:widowControl/>
      <w:adjustRightInd w:val="0"/>
      <w:snapToGrid w:val="0"/>
      <w:spacing w:line="640" w:lineRule="exact"/>
      <w:jc w:val="center"/>
      <w:outlineLvl w:val="0"/>
    </w:pPr>
    <w:rPr>
      <w:rFonts w:ascii="黑体" w:eastAsia="黑体"/>
      <w:b/>
      <w:kern w:val="0"/>
      <w:sz w:val="28"/>
      <w:szCs w:val="28"/>
    </w:rPr>
  </w:style>
  <w:style w:type="paragraph" w:styleId="5">
    <w:name w:val="heading 2"/>
    <w:basedOn w:val="1"/>
    <w:next w:val="1"/>
    <w:unhideWhenUsed/>
    <w:qFormat/>
    <w:uiPriority w:val="0"/>
    <w:pPr>
      <w:keepNext/>
      <w:keepLines/>
      <w:spacing w:before="260" w:beforeLines="0" w:after="260" w:afterLines="0" w:line="413" w:lineRule="auto"/>
      <w:outlineLvl w:val="1"/>
    </w:pPr>
    <w:rPr>
      <w:rFonts w:ascii="Arial" w:hAnsi="Arial" w:eastAsia="黑体"/>
      <w:b/>
      <w:bCs/>
      <w:sz w:val="32"/>
      <w:szCs w:val="32"/>
    </w:rPr>
  </w:style>
  <w:style w:type="paragraph" w:styleId="6">
    <w:name w:val="heading 3"/>
    <w:basedOn w:val="1"/>
    <w:next w:val="1"/>
    <w:unhideWhenUsed/>
    <w:qFormat/>
    <w:uiPriority w:val="0"/>
    <w:pPr>
      <w:keepNext/>
      <w:keepLines/>
      <w:spacing w:before="260" w:after="260" w:line="413" w:lineRule="auto"/>
      <w:outlineLvl w:val="2"/>
    </w:pPr>
    <w:rPr>
      <w:b/>
      <w:bCs/>
      <w:sz w:val="32"/>
      <w:szCs w:val="32"/>
    </w:rPr>
  </w:style>
  <w:style w:type="paragraph" w:styleId="7">
    <w:name w:val="heading 4"/>
    <w:basedOn w:val="1"/>
    <w:next w:val="1"/>
    <w:qFormat/>
    <w:uiPriority w:val="0"/>
    <w:pPr>
      <w:keepNext/>
      <w:widowControl w:val="0"/>
      <w:ind w:firstLine="600" w:firstLineChars="600"/>
      <w:outlineLvl w:val="3"/>
    </w:pPr>
    <w:rPr>
      <w:rFonts w:ascii="宋体"/>
      <w:sz w:val="28"/>
    </w:rPr>
  </w:style>
  <w:style w:type="character" w:default="1" w:styleId="21">
    <w:name w:val="Default Paragraph Font"/>
    <w:link w:val="22"/>
    <w:semiHidden/>
    <w:qFormat/>
    <w:uiPriority w:val="0"/>
    <w:rPr>
      <w:rFonts w:eastAsia="方正仿宋简体"/>
      <w:sz w:val="32"/>
      <w:szCs w:val="21"/>
    </w:rPr>
  </w:style>
  <w:style w:type="table" w:default="1" w:styleId="19">
    <w:name w:val="Normal Table"/>
    <w:semiHidden/>
    <w:qFormat/>
    <w:uiPriority w:val="0"/>
    <w:tblPr>
      <w:tblLayout w:type="fixed"/>
      <w:tblCellMar>
        <w:top w:w="0" w:type="dxa"/>
        <w:left w:w="108" w:type="dxa"/>
        <w:bottom w:w="0" w:type="dxa"/>
        <w:right w:w="108" w:type="dxa"/>
      </w:tblCellMar>
    </w:tblPr>
  </w:style>
  <w:style w:type="paragraph" w:styleId="2">
    <w:name w:val="Body Text First Indent"/>
    <w:basedOn w:val="3"/>
    <w:qFormat/>
    <w:uiPriority w:val="0"/>
    <w:pPr>
      <w:autoSpaceDE/>
      <w:autoSpaceDN/>
      <w:adjustRightInd/>
      <w:spacing w:after="120" w:line="240" w:lineRule="auto"/>
      <w:ind w:firstLine="420" w:firstLineChars="100"/>
      <w:jc w:val="both"/>
      <w:textAlignment w:val="auto"/>
    </w:pPr>
    <w:rPr>
      <w:rFonts w:ascii="Times New Roman"/>
      <w:color w:val="auto"/>
      <w:kern w:val="2"/>
      <w:sz w:val="21"/>
      <w:szCs w:val="24"/>
    </w:rPr>
  </w:style>
  <w:style w:type="paragraph" w:styleId="3">
    <w:name w:val="Body Text"/>
    <w:basedOn w:val="1"/>
    <w:qFormat/>
    <w:uiPriority w:val="0"/>
    <w:pPr>
      <w:spacing w:line="400" w:lineRule="exact"/>
    </w:pPr>
    <w:rPr>
      <w:sz w:val="28"/>
    </w:rPr>
  </w:style>
  <w:style w:type="paragraph" w:styleId="8">
    <w:name w:val="Normal Indent"/>
    <w:basedOn w:val="1"/>
    <w:qFormat/>
    <w:uiPriority w:val="0"/>
    <w:pPr>
      <w:ind w:firstLine="420"/>
    </w:pPr>
  </w:style>
  <w:style w:type="paragraph" w:styleId="9">
    <w:name w:val="caption"/>
    <w:basedOn w:val="1"/>
    <w:next w:val="1"/>
    <w:semiHidden/>
    <w:qFormat/>
    <w:uiPriority w:val="0"/>
    <w:pPr>
      <w:spacing w:before="152" w:after="160"/>
    </w:pPr>
    <w:rPr>
      <w:rFonts w:ascii="Arial" w:hAnsi="Arial" w:eastAsia="黑体" w:cs="Arial"/>
      <w:sz w:val="20"/>
    </w:rPr>
  </w:style>
  <w:style w:type="paragraph" w:styleId="10">
    <w:name w:val="Body Text Indent"/>
    <w:basedOn w:val="1"/>
    <w:qFormat/>
    <w:uiPriority w:val="0"/>
    <w:pPr>
      <w:ind w:firstLine="480"/>
    </w:pPr>
    <w:rPr>
      <w:rFonts w:ascii="宋体"/>
      <w:sz w:val="24"/>
    </w:rPr>
  </w:style>
  <w:style w:type="paragraph" w:styleId="11">
    <w:name w:val="toc 3"/>
    <w:basedOn w:val="1"/>
    <w:next w:val="1"/>
    <w:qFormat/>
    <w:uiPriority w:val="0"/>
    <w:pPr>
      <w:ind w:left="840" w:leftChars="400"/>
    </w:pPr>
  </w:style>
  <w:style w:type="paragraph" w:styleId="12">
    <w:name w:val="Plain Text"/>
    <w:basedOn w:val="1"/>
    <w:qFormat/>
    <w:uiPriority w:val="0"/>
    <w:pPr>
      <w:spacing w:line="360" w:lineRule="auto"/>
      <w:ind w:firstLine="200" w:firstLineChars="200"/>
    </w:pPr>
    <w:rPr>
      <w:rFonts w:ascii="宋体" w:hAnsi="Courier New" w:cs="Courier New"/>
      <w:sz w:val="28"/>
      <w:szCs w:val="21"/>
    </w:rPr>
  </w:style>
  <w:style w:type="paragraph" w:styleId="13">
    <w:name w:val="footer"/>
    <w:basedOn w:val="1"/>
    <w:link w:val="3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Body Text Indent 3"/>
    <w:basedOn w:val="1"/>
    <w:qFormat/>
    <w:uiPriority w:val="0"/>
    <w:pPr>
      <w:tabs>
        <w:tab w:val="left" w:pos="1050"/>
      </w:tabs>
      <w:spacing w:before="120" w:line="360" w:lineRule="auto"/>
      <w:ind w:firstLine="420" w:firstLineChars="150"/>
    </w:pPr>
    <w:rPr>
      <w:rFonts w:ascii="宋体"/>
      <w:spacing w:val="20"/>
      <w:sz w:val="24"/>
    </w:rPr>
  </w:style>
  <w:style w:type="paragraph" w:styleId="17">
    <w:name w:val="toc 2"/>
    <w:basedOn w:val="1"/>
    <w:next w:val="1"/>
    <w:qFormat/>
    <w:uiPriority w:val="0"/>
    <w:pPr>
      <w:ind w:left="420" w:leftChars="200"/>
    </w:pPr>
  </w:style>
  <w:style w:type="paragraph" w:styleId="18">
    <w:name w:val="Normal (Web)"/>
    <w:basedOn w:val="1"/>
    <w:qFormat/>
    <w:uiPriority w:val="0"/>
    <w:pPr>
      <w:widowControl/>
      <w:spacing w:before="100" w:beforeLines="0" w:beforeAutospacing="1" w:after="100" w:afterLines="0" w:afterAutospacing="1" w:line="360" w:lineRule="auto"/>
      <w:jc w:val="left"/>
    </w:pPr>
    <w:rPr>
      <w:rFonts w:ascii="宋体" w:hAnsi="宋体"/>
      <w:kern w:val="0"/>
      <w:sz w:val="24"/>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2">
    <w:name w:val="Char"/>
    <w:basedOn w:val="1"/>
    <w:link w:val="21"/>
    <w:qFormat/>
    <w:uiPriority w:val="0"/>
    <w:rPr>
      <w:rFonts w:eastAsia="方正仿宋简体"/>
      <w:sz w:val="32"/>
      <w:szCs w:val="21"/>
    </w:rPr>
  </w:style>
  <w:style w:type="character" w:styleId="23">
    <w:name w:val="annotation reference"/>
    <w:basedOn w:val="21"/>
    <w:semiHidden/>
    <w:qFormat/>
    <w:uiPriority w:val="0"/>
    <w:rPr>
      <w:sz w:val="21"/>
      <w:szCs w:val="21"/>
    </w:rPr>
  </w:style>
  <w:style w:type="paragraph" w:customStyle="1" w:styleId="24">
    <w:name w:val="xl53"/>
    <w:basedOn w:val="1"/>
    <w:qFormat/>
    <w:uiPriority w:val="0"/>
    <w:pPr>
      <w:widowControl/>
      <w:pBdr>
        <w:bottom w:val="single" w:color="auto" w:sz="4" w:space="0"/>
      </w:pBdr>
      <w:spacing w:before="100" w:beforeAutospacing="1" w:after="100" w:afterAutospacing="1"/>
      <w:jc w:val="center"/>
      <w:textAlignment w:val="center"/>
    </w:pPr>
    <w:rPr>
      <w:rFonts w:ascii="Arial Unicode MS" w:hAnsi="Arial Unicode MS"/>
      <w:kern w:val="0"/>
      <w:sz w:val="28"/>
      <w:szCs w:val="28"/>
    </w:rPr>
  </w:style>
  <w:style w:type="paragraph" w:customStyle="1" w:styleId="25">
    <w:name w:val="表格"/>
    <w:basedOn w:val="1"/>
    <w:qFormat/>
    <w:uiPriority w:val="0"/>
    <w:pPr>
      <w:widowControl/>
      <w:snapToGrid w:val="0"/>
      <w:jc w:val="center"/>
    </w:pPr>
    <w:rPr>
      <w:kern w:val="0"/>
    </w:rPr>
  </w:style>
  <w:style w:type="paragraph" w:customStyle="1" w:styleId="26">
    <w:name w:val="简单回函地址"/>
    <w:basedOn w:val="1"/>
    <w:qFormat/>
    <w:uiPriority w:val="0"/>
  </w:style>
  <w:style w:type="paragraph" w:customStyle="1" w:styleId="27">
    <w:name w:val="居中"/>
    <w:basedOn w:val="1"/>
    <w:qFormat/>
    <w:uiPriority w:val="0"/>
    <w:pPr>
      <w:jc w:val="center"/>
    </w:pPr>
    <w:rPr>
      <w:rFonts w:ascii="宋体" w:hAnsi="宋体"/>
      <w:color w:val="000000"/>
      <w:sz w:val="21"/>
    </w:rPr>
  </w:style>
  <w:style w:type="character" w:customStyle="1" w:styleId="28">
    <w:name w:val="zw1"/>
    <w:basedOn w:val="21"/>
    <w:qFormat/>
    <w:uiPriority w:val="0"/>
    <w:rPr>
      <w:rFonts w:hint="eastAsia" w:ascii="宋体" w:hAnsi="宋体" w:eastAsia="宋体"/>
      <w:sz w:val="22"/>
      <w:szCs w:val="22"/>
    </w:rPr>
  </w:style>
  <w:style w:type="character" w:customStyle="1" w:styleId="29">
    <w:name w:val="正文1"/>
    <w:basedOn w:val="21"/>
    <w:qFormat/>
    <w:uiPriority w:val="0"/>
    <w:rPr>
      <w:rFonts w:hint="eastAsia" w:ascii="宋体" w:hAnsi="宋体" w:eastAsia="宋体"/>
      <w:sz w:val="22"/>
      <w:szCs w:val="22"/>
    </w:rPr>
  </w:style>
  <w:style w:type="paragraph" w:customStyle="1" w:styleId="30">
    <w:name w:val="Body text|2"/>
    <w:basedOn w:val="1"/>
    <w:qFormat/>
    <w:uiPriority w:val="0"/>
    <w:pPr>
      <w:widowControl w:val="0"/>
      <w:shd w:val="clear" w:color="auto" w:fill="FFFFFF"/>
      <w:spacing w:line="242" w:lineRule="exact"/>
    </w:pPr>
    <w:rPr>
      <w:rFonts w:ascii="PMingLiU" w:hAnsi="PMingLiU" w:eastAsia="PMingLiU" w:cs="PMingLiU"/>
      <w:sz w:val="13"/>
      <w:szCs w:val="13"/>
      <w:u w:val="none"/>
    </w:rPr>
  </w:style>
  <w:style w:type="character" w:customStyle="1" w:styleId="31">
    <w:name w:val="页脚 Char"/>
    <w:link w:val="13"/>
    <w:qFormat/>
    <w:uiPriority w:val="99"/>
    <w:rPr>
      <w:sz w:val="18"/>
    </w:rPr>
  </w:style>
  <w:style w:type="paragraph" w:customStyle="1" w:styleId="32">
    <w:name w:val="【表头】"/>
    <w:basedOn w:val="1"/>
    <w:qFormat/>
    <w:uiPriority w:val="0"/>
    <w:pPr>
      <w:spacing w:line="360" w:lineRule="auto"/>
      <w:jc w:val="center"/>
    </w:pPr>
    <w:rPr>
      <w:b/>
      <w:kern w:val="0"/>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2018-03-12T10:48:00Z</dcterms:created>
  <dc:creator>1111</dc:creator>
  <cp:lastModifiedBy>1111</cp:lastModifiedBy>
  <cp:lastPrinted>2019-05-24T10:33:18Z</cp:lastPrinted>
  <dcterms:modified xsi:type="dcterms:W3CDTF">2019-05-24T10:34:21Z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