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firstLine="1044"/>
        <w:jc w:val="right"/>
        <w:rPr>
          <w:rFonts w:hint="eastAsia"/>
          <w:b/>
          <w:color w:val="auto"/>
          <w:sz w:val="28"/>
          <w:szCs w:val="28"/>
        </w:rPr>
      </w:pPr>
      <w:bookmarkStart w:id="0" w:name="_Toc19720"/>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spacing w:line="360" w:lineRule="auto"/>
        <w:jc w:val="center"/>
        <w:rPr>
          <w:rFonts w:hint="eastAsia" w:ascii="宋体" w:hAnsi="宋体" w:eastAsia="宋体"/>
          <w:b/>
          <w:bCs/>
          <w:caps/>
          <w:color w:val="auto"/>
          <w:sz w:val="48"/>
          <w:szCs w:val="48"/>
          <w:lang w:eastAsia="zh-CN"/>
        </w:rPr>
      </w:pPr>
      <w:r>
        <w:rPr>
          <w:rFonts w:hint="eastAsia" w:ascii="宋体" w:hAnsi="宋体"/>
          <w:b/>
          <w:bCs/>
          <w:caps/>
          <w:color w:val="auto"/>
          <w:sz w:val="48"/>
          <w:szCs w:val="48"/>
          <w:lang w:eastAsia="zh-CN"/>
        </w:rPr>
        <w:t xml:space="preserve"> 仪陇县光华旺隆页岩砖厂</w:t>
      </w:r>
    </w:p>
    <w:p>
      <w:pPr>
        <w:spacing w:line="360" w:lineRule="auto"/>
        <w:jc w:val="center"/>
        <w:rPr>
          <w:rFonts w:hint="eastAsia" w:ascii="宋体" w:hAnsi="宋体"/>
          <w:b/>
          <w:bCs/>
          <w:caps/>
          <w:color w:val="auto"/>
          <w:sz w:val="48"/>
          <w:szCs w:val="48"/>
        </w:rPr>
      </w:pPr>
    </w:p>
    <w:p>
      <w:pPr>
        <w:spacing w:line="360" w:lineRule="auto"/>
        <w:jc w:val="center"/>
        <w:rPr>
          <w:rFonts w:hint="eastAsia" w:ascii="宋体" w:hAnsi="宋体"/>
          <w:b/>
          <w:bCs/>
          <w:caps/>
          <w:color w:val="auto"/>
          <w:sz w:val="48"/>
          <w:szCs w:val="48"/>
          <w:lang w:eastAsia="zh-CN"/>
        </w:rPr>
      </w:pPr>
      <w:r>
        <w:rPr>
          <w:rFonts w:hint="eastAsia" w:ascii="宋体" w:hAnsi="宋体"/>
          <w:b/>
          <w:bCs/>
          <w:caps/>
          <w:color w:val="auto"/>
          <w:sz w:val="48"/>
          <w:szCs w:val="48"/>
          <w:lang w:eastAsia="zh-CN"/>
        </w:rPr>
        <w:tab/>
      </w:r>
      <w:r>
        <w:rPr>
          <w:rFonts w:hint="eastAsia" w:ascii="宋体" w:hAnsi="宋体"/>
          <w:b/>
          <w:bCs/>
          <w:caps/>
          <w:color w:val="auto"/>
          <w:sz w:val="48"/>
          <w:szCs w:val="48"/>
          <w:lang w:eastAsia="zh-CN"/>
        </w:rPr>
        <w:t>事故风险评估报告</w:t>
      </w:r>
      <w:r>
        <w:rPr>
          <w:rFonts w:hint="eastAsia" w:ascii="宋体" w:hAnsi="宋体"/>
          <w:b/>
          <w:bCs/>
          <w:caps/>
          <w:color w:val="auto"/>
          <w:sz w:val="48"/>
          <w:szCs w:val="48"/>
          <w:lang w:eastAsia="zh-CN"/>
        </w:rPr>
        <w:tab/>
      </w:r>
    </w:p>
    <w:p>
      <w:pPr>
        <w:jc w:val="center"/>
        <w:rPr>
          <w:rFonts w:hint="eastAsia"/>
          <w:color w:val="auto"/>
          <w:sz w:val="32"/>
          <w:szCs w:val="32"/>
        </w:rPr>
      </w:pPr>
    </w:p>
    <w:p>
      <w:pPr>
        <w:jc w:val="center"/>
        <w:rPr>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p>
    <w:p>
      <w:pPr>
        <w:jc w:val="center"/>
        <w:rPr>
          <w:rFonts w:hint="eastAsia"/>
          <w:color w:val="auto"/>
          <w:sz w:val="32"/>
          <w:szCs w:val="32"/>
        </w:rPr>
      </w:pPr>
      <w:bookmarkStart w:id="231" w:name="_GoBack"/>
      <w:bookmarkEnd w:id="231"/>
    </w:p>
    <w:p>
      <w:pPr>
        <w:jc w:val="center"/>
        <w:rPr>
          <w:rFonts w:hint="eastAsia"/>
          <w:color w:val="auto"/>
          <w:sz w:val="32"/>
          <w:szCs w:val="32"/>
        </w:rPr>
      </w:pPr>
    </w:p>
    <w:p>
      <w:pPr>
        <w:jc w:val="center"/>
        <w:rPr>
          <w:rFonts w:hint="eastAsia"/>
          <w:color w:val="auto"/>
          <w:sz w:val="32"/>
          <w:szCs w:val="32"/>
        </w:rPr>
      </w:pPr>
    </w:p>
    <w:tbl>
      <w:tblPr>
        <w:tblStyle w:val="19"/>
        <w:tblW w:w="8137" w:type="dxa"/>
        <w:jc w:val="center"/>
        <w:tblInd w:w="0" w:type="dxa"/>
        <w:tblLayout w:type="fixed"/>
        <w:tblCellMar>
          <w:top w:w="0" w:type="dxa"/>
          <w:left w:w="108" w:type="dxa"/>
          <w:bottom w:w="0" w:type="dxa"/>
          <w:right w:w="108" w:type="dxa"/>
        </w:tblCellMar>
      </w:tblPr>
      <w:tblGrid>
        <w:gridCol w:w="8137"/>
      </w:tblGrid>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编制单位：</w:t>
            </w:r>
            <w:r>
              <w:rPr>
                <w:rFonts w:hint="eastAsia" w:eastAsia="黑体"/>
                <w:b/>
                <w:bCs/>
                <w:color w:val="auto"/>
                <w:sz w:val="36"/>
                <w:szCs w:val="36"/>
                <w:lang w:eastAsia="zh-CN"/>
              </w:rPr>
              <w:t xml:space="preserve"> 仪陇县光华旺隆页岩砖厂</w:t>
            </w:r>
          </w:p>
        </w:tc>
      </w:tr>
      <w:tr>
        <w:tblPrEx>
          <w:tblLayout w:type="fixed"/>
          <w:tblCellMar>
            <w:top w:w="0" w:type="dxa"/>
            <w:left w:w="108" w:type="dxa"/>
            <w:bottom w:w="0" w:type="dxa"/>
            <w:right w:w="108" w:type="dxa"/>
          </w:tblCellMar>
        </w:tblPrEx>
        <w:trPr>
          <w:jc w:val="center"/>
        </w:trPr>
        <w:tc>
          <w:tcPr>
            <w:tcW w:w="8137" w:type="dxa"/>
            <w:vAlign w:val="center"/>
          </w:tcPr>
          <w:p>
            <w:pPr>
              <w:ind w:firstLine="720"/>
              <w:rPr>
                <w:rFonts w:hint="eastAsia" w:eastAsia="黑体"/>
                <w:bCs/>
                <w:color w:val="auto"/>
                <w:sz w:val="36"/>
                <w:szCs w:val="36"/>
              </w:rPr>
            </w:pPr>
          </w:p>
        </w:tc>
      </w:tr>
      <w:tr>
        <w:tblPrEx>
          <w:tblLayout w:type="fixed"/>
          <w:tblCellMar>
            <w:top w:w="0" w:type="dxa"/>
            <w:left w:w="108" w:type="dxa"/>
            <w:bottom w:w="0" w:type="dxa"/>
            <w:right w:w="108" w:type="dxa"/>
          </w:tblCellMar>
        </w:tblPrEx>
        <w:trPr>
          <w:jc w:val="center"/>
        </w:trPr>
        <w:tc>
          <w:tcPr>
            <w:tcW w:w="8137" w:type="dxa"/>
            <w:vAlign w:val="center"/>
          </w:tcPr>
          <w:p>
            <w:pPr>
              <w:jc w:val="center"/>
              <w:rPr>
                <w:rFonts w:hint="eastAsia"/>
                <w:color w:val="auto"/>
                <w:sz w:val="36"/>
                <w:szCs w:val="36"/>
              </w:rPr>
            </w:pPr>
            <w:r>
              <w:rPr>
                <w:rFonts w:hint="eastAsia" w:eastAsia="黑体"/>
                <w:bCs/>
                <w:color w:val="auto"/>
                <w:sz w:val="36"/>
                <w:szCs w:val="36"/>
              </w:rPr>
              <w:t>编制时间：201</w:t>
            </w:r>
            <w:r>
              <w:rPr>
                <w:rFonts w:hint="eastAsia" w:eastAsia="黑体"/>
                <w:bCs/>
                <w:color w:val="auto"/>
                <w:sz w:val="36"/>
                <w:szCs w:val="36"/>
                <w:lang w:val="en-US" w:eastAsia="zh-CN"/>
              </w:rPr>
              <w:t>9</w:t>
            </w:r>
            <w:r>
              <w:rPr>
                <w:rFonts w:hint="eastAsia" w:eastAsia="黑体"/>
                <w:bCs/>
                <w:color w:val="auto"/>
                <w:sz w:val="36"/>
                <w:szCs w:val="36"/>
              </w:rPr>
              <w:t>年</w:t>
            </w:r>
            <w:r>
              <w:rPr>
                <w:rFonts w:hint="eastAsia" w:eastAsia="黑体"/>
                <w:bCs/>
                <w:color w:val="auto"/>
                <w:sz w:val="36"/>
                <w:szCs w:val="36"/>
                <w:lang w:val="en-US" w:eastAsia="zh-CN"/>
              </w:rPr>
              <w:t>04</w:t>
            </w:r>
            <w:r>
              <w:rPr>
                <w:rFonts w:hint="eastAsia" w:eastAsia="黑体"/>
                <w:bCs/>
                <w:color w:val="auto"/>
                <w:sz w:val="36"/>
                <w:szCs w:val="36"/>
              </w:rPr>
              <w:t>月</w:t>
            </w:r>
            <w:r>
              <w:rPr>
                <w:rFonts w:hint="eastAsia" w:eastAsia="黑体"/>
                <w:bCs/>
                <w:color w:val="auto"/>
                <w:sz w:val="36"/>
                <w:szCs w:val="36"/>
                <w:lang w:val="en-US" w:eastAsia="zh-CN"/>
              </w:rPr>
              <w:t>25</w:t>
            </w:r>
            <w:r>
              <w:rPr>
                <w:rFonts w:hint="eastAsia" w:eastAsia="黑体"/>
                <w:bCs/>
                <w:color w:val="auto"/>
                <w:sz w:val="36"/>
                <w:szCs w:val="36"/>
              </w:rPr>
              <w:t>日</w:t>
            </w:r>
          </w:p>
        </w:tc>
      </w:tr>
    </w:tbl>
    <w:p>
      <w:pPr>
        <w:jc w:val="center"/>
        <w:rPr>
          <w:rFonts w:hint="eastAsia"/>
          <w:color w:val="auto"/>
          <w:sz w:val="32"/>
          <w:szCs w:val="32"/>
        </w:rPr>
      </w:pPr>
    </w:p>
    <w:p>
      <w:pPr>
        <w:widowControl/>
        <w:spacing w:line="560" w:lineRule="exact"/>
        <w:jc w:val="left"/>
        <w:outlineLvl w:val="2"/>
        <w:rPr>
          <w:rFonts w:hint="eastAsia" w:ascii="宋体" w:hAnsi="宋体" w:cs="宋体"/>
          <w:b/>
          <w:bCs/>
          <w:color w:val="auto"/>
          <w:kern w:val="0"/>
          <w:sz w:val="28"/>
          <w:szCs w:val="28"/>
        </w:rPr>
      </w:pPr>
    </w:p>
    <w:p>
      <w:pPr>
        <w:rPr>
          <w:rFonts w:hint="eastAsia"/>
          <w:color w:val="auto"/>
        </w:rPr>
      </w:pPr>
      <w:bookmarkStart w:id="1" w:name="_Toc490472469"/>
      <w:bookmarkStart w:id="2" w:name="_Toc486865993"/>
      <w:bookmarkStart w:id="3" w:name="_Toc1966"/>
      <w:bookmarkStart w:id="4" w:name="_Toc489891867"/>
      <w:bookmarkStart w:id="5" w:name="_Toc481937753"/>
      <w:r>
        <w:rPr>
          <w:rFonts w:hint="eastAsia"/>
          <w:color w:val="auto"/>
        </w:rPr>
        <w:br w:type="page"/>
      </w:r>
    </w:p>
    <w:p>
      <w:pPr>
        <w:pStyle w:val="4"/>
        <w:spacing w:line="360" w:lineRule="auto"/>
        <w:rPr>
          <w:rFonts w:hint="eastAsia"/>
          <w:color w:val="auto"/>
        </w:rPr>
      </w:pPr>
      <w:bookmarkStart w:id="6" w:name="_Toc28211"/>
      <w:bookmarkStart w:id="7" w:name="_Toc6757"/>
      <w:bookmarkStart w:id="8" w:name="_Toc7658"/>
      <w:bookmarkStart w:id="9" w:name="_Toc2372"/>
      <w:bookmarkStart w:id="10" w:name="_Toc27937"/>
      <w:bookmarkStart w:id="11" w:name="_Toc5540"/>
      <w:bookmarkStart w:id="12" w:name="_Toc10859"/>
      <w:bookmarkStart w:id="13" w:name="_Toc21634"/>
      <w:bookmarkStart w:id="14" w:name="_Toc30139"/>
      <w:bookmarkStart w:id="15" w:name="_Toc29638"/>
      <w:bookmarkStart w:id="16" w:name="_Toc17105"/>
      <w:bookmarkStart w:id="17" w:name="_Toc32726"/>
      <w:bookmarkStart w:id="18" w:name="_Toc31044"/>
      <w:r>
        <w:rPr>
          <w:rFonts w:hint="eastAsia"/>
          <w:color w:val="auto"/>
        </w:rPr>
        <w:t>目</w:t>
      </w:r>
      <w:r>
        <w:rPr>
          <w:rFonts w:hint="eastAsia"/>
          <w:color w:val="auto"/>
          <w:lang w:val="en-US" w:eastAsia="zh-CN"/>
        </w:rPr>
        <w:t xml:space="preserve">  </w:t>
      </w:r>
      <w:r>
        <w:rPr>
          <w:rFonts w:hint="eastAsia"/>
          <w:color w:val="auto"/>
        </w:rPr>
        <w:t>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15"/>
        <w:tabs>
          <w:tab w:val="right" w:leader="dot" w:pos="9638"/>
        </w:tabs>
        <w:spacing w:line="360" w:lineRule="auto"/>
        <w:rPr>
          <w:rFonts w:ascii="宋体" w:hAnsi="宋体"/>
          <w:color w:val="auto"/>
          <w:sz w:val="24"/>
        </w:rPr>
      </w:pP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TOC \o "1-3" \h \z \u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_Toc9494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rPr>
        <w:t>1概述</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_Toc9494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_Toc19278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1.1评估的主要依据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_Toc19278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_Toc19726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1.2评估目的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_Toc19726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_Toc22088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1.3风险评估范围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_Toc22088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_Toc3097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1.4评估程序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_Toc16212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lang w:val="en-US" w:eastAsia="zh-CN"/>
        </w:rPr>
        <w:t>2</w:t>
      </w:r>
      <w:r>
        <w:rPr>
          <w:rFonts w:hint="eastAsia" w:asciiTheme="minorEastAsia" w:hAnsiTheme="minorEastAsia" w:eastAsiaTheme="minorEastAsia" w:cstheme="minorEastAsia"/>
          <w:szCs w:val="32"/>
        </w:rPr>
        <w:t>公司概况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_Toc16212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_Toc3081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2.1 公司概况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_Toc1387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2.</w:t>
      </w:r>
      <w:r>
        <w:rPr>
          <w:rFonts w:hint="eastAsia" w:asciiTheme="minorEastAsia" w:hAnsiTheme="minorEastAsia" w:eastAsiaTheme="minorEastAsia" w:cstheme="minorEastAsia"/>
          <w:szCs w:val="28"/>
          <w:lang w:val="en-US" w:eastAsia="zh-CN"/>
        </w:rPr>
        <w:t>1.1</w:t>
      </w:r>
      <w:r>
        <w:rPr>
          <w:rFonts w:hint="eastAsia" w:asciiTheme="minorEastAsia" w:hAnsiTheme="minorEastAsia" w:eastAsiaTheme="minorEastAsia" w:cstheme="minorEastAsia"/>
          <w:szCs w:val="28"/>
        </w:rPr>
        <w:t>公司地理位置及环境等情况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_Toc1387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_Toc690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2.1.</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总体布置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_Toc690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_Toc30409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w:t>
      </w:r>
      <w:r>
        <w:rPr>
          <w:rFonts w:hint="eastAsia" w:asciiTheme="minorEastAsia" w:hAnsiTheme="minorEastAsia" w:eastAsiaTheme="minorEastAsia" w:cstheme="minorEastAsia"/>
          <w:szCs w:val="28"/>
        </w:rPr>
        <w:t>1.</w:t>
      </w:r>
      <w:r>
        <w:rPr>
          <w:rFonts w:hint="eastAsia" w:asciiTheme="minorEastAsia" w:hAnsiTheme="minorEastAsia" w:eastAsiaTheme="minorEastAsia" w:cstheme="minorEastAsia"/>
          <w:szCs w:val="28"/>
          <w:lang w:val="en-US" w:eastAsia="zh-CN"/>
        </w:rPr>
        <w:t>3</w:t>
      </w:r>
      <w:r>
        <w:rPr>
          <w:rFonts w:hint="eastAsia" w:asciiTheme="minorEastAsia" w:hAnsiTheme="minorEastAsia" w:eastAsiaTheme="minorEastAsia" w:cstheme="minorEastAsia"/>
          <w:szCs w:val="28"/>
          <w:lang w:val="zh-CN"/>
        </w:rPr>
        <w:t>周边环境</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_Toc30409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_Toc7728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2.1.</w:t>
      </w:r>
      <w:r>
        <w:rPr>
          <w:rFonts w:hint="eastAsia" w:asciiTheme="minorEastAsia" w:hAnsiTheme="minorEastAsia" w:eastAsiaTheme="minorEastAsia" w:cstheme="minorEastAsia"/>
          <w:szCs w:val="28"/>
          <w:lang w:val="en-US" w:eastAsia="zh-CN"/>
        </w:rPr>
        <w:t>4</w:t>
      </w:r>
      <w:r>
        <w:rPr>
          <w:rFonts w:hint="eastAsia" w:asciiTheme="minorEastAsia" w:hAnsiTheme="minorEastAsia" w:eastAsiaTheme="minorEastAsia" w:cstheme="minorEastAsia"/>
          <w:szCs w:val="28"/>
          <w:lang w:val="zh-CN"/>
        </w:rPr>
        <w:t>工艺流程</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_Toc7728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_Toc1695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2.1.</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bCs/>
          <w:i w:val="0"/>
          <w:iCs w:val="0"/>
          <w:szCs w:val="28"/>
        </w:rPr>
        <w:t>主要生产设备情况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_Toc1695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_Toc13399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rPr>
        <w:t>2.</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rPr>
        <w:t>各方应急力量有关基本情况</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_Toc13399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_Toc11605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.1内部应急力量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_Toc11605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_Toc22110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zh-CN"/>
        </w:rPr>
        <w:t>2.</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lang w:val="zh-CN"/>
        </w:rPr>
        <w:t>外部应急力量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_Toc22110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_Toc4070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lang w:val="en-US" w:eastAsia="zh-CN"/>
        </w:rPr>
        <w:t>3危险、有害因素辨识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_Toc4070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_Toc13142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1 危险、有害因素辨识的目的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_Toc13142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_Toc20254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2 危险、有害因素辨识的依据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_Toc20254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_Toc18155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3 危险、有害因素辨识的方法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_Toc18155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_Toc9666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4 主要危险、有害物质特性分析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_Toc9666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_Toc32631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4.1 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_Toc32631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_Toc29921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4.2 柴油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_Toc29921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_Toc7542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4.3 一氧化碳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_Toc7542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_Toc6124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4.4 二氧化碳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_Toc6124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_Toc24540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4.5 二氧化硫（三氧化硫参考）</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_Toc24540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_Toc26177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3.4.6 柴油安全数据表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_Toc26177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_Toc27617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3.4.7 氧气安全数据表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_Toc27617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_Toc13896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3.4.8 乙炔安全数据表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_Toc13896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_Toc5165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rPr>
        <w:t>3.5 生产过程危险有害因素分析和辨识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_Toc5165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_Toc5727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5 生产过程危险有害因素分析和辨识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_Toc5727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_Toc668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5.1 车辆事故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_Toc21017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5.2 机械伤害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_Toc21017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_Toc8434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5.3 触电事故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_Toc8434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_Toc20138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5.4 高处坠落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_Toc20138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_Toc16423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5.5 物体打击</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_Toc16423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_Toc24434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5.6 火灾事故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_Toc24434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_Toc15168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w:t>
      </w:r>
      <w:r>
        <w:rPr>
          <w:rFonts w:hint="eastAsia" w:asciiTheme="minorEastAsia" w:hAnsiTheme="minorEastAsia" w:eastAsiaTheme="minorEastAsia" w:cstheme="minorEastAsia"/>
          <w:snapToGrid w:val="0"/>
          <w:kern w:val="0"/>
          <w:szCs w:val="28"/>
          <w:lang w:val="en-US" w:eastAsia="zh-CN"/>
        </w:rPr>
        <w:t>7 坍塌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_Toc15168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_Toc31737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3.5.8中毒窒息</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_Toc31737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_Toc31186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3.5.9高温灼烫</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_Toc31186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_Toc19181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3.5.10容器爆炸</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_Toc19181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_Toc6040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3.5.11有限空间作业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_Toc6040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_Toc20951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5.</w:t>
      </w:r>
      <w:r>
        <w:rPr>
          <w:rFonts w:hint="eastAsia" w:asciiTheme="minorEastAsia" w:hAnsiTheme="minorEastAsia" w:eastAsiaTheme="minorEastAsia" w:cstheme="minorEastAsia"/>
          <w:snapToGrid w:val="0"/>
          <w:kern w:val="0"/>
          <w:szCs w:val="28"/>
          <w:lang w:val="en-US" w:eastAsia="zh-CN"/>
        </w:rPr>
        <w:t>12</w:t>
      </w:r>
      <w:r>
        <w:rPr>
          <w:rFonts w:hint="eastAsia" w:asciiTheme="minorEastAsia" w:hAnsiTheme="minorEastAsia" w:eastAsiaTheme="minorEastAsia" w:cstheme="minorEastAsia"/>
          <w:snapToGrid w:val="0"/>
          <w:kern w:val="0"/>
          <w:szCs w:val="28"/>
        </w:rPr>
        <w:t xml:space="preserve"> 职业危害因素</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_Toc20951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_Toc25032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3.5.13 自然灾害</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_Toc25032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_Toc22430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rPr>
        <w:t>6 厂址安全条件的危险、有害因素辨识与分析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_Toc22430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_Toc8204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 xml:space="preserve">6.1 </w:t>
      </w:r>
      <w:r>
        <w:rPr>
          <w:rFonts w:hint="eastAsia" w:asciiTheme="minorEastAsia" w:hAnsiTheme="minorEastAsia" w:eastAsiaTheme="minorEastAsia" w:cstheme="minorEastAsia"/>
          <w:snapToGrid w:val="0"/>
          <w:kern w:val="0"/>
          <w:szCs w:val="28"/>
          <w:lang w:eastAsia="zh-CN"/>
        </w:rPr>
        <w:t>公司</w:t>
      </w:r>
      <w:r>
        <w:rPr>
          <w:rFonts w:hint="eastAsia" w:asciiTheme="minorEastAsia" w:hAnsiTheme="minorEastAsia" w:eastAsiaTheme="minorEastAsia" w:cstheme="minorEastAsia"/>
          <w:snapToGrid w:val="0"/>
          <w:kern w:val="0"/>
          <w:szCs w:val="28"/>
        </w:rPr>
        <w:t>对周边环境的影响分析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_Toc8204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_Toc14365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rPr>
        <w:t>6.2 周边环境对</w:t>
      </w:r>
      <w:r>
        <w:rPr>
          <w:rFonts w:hint="eastAsia" w:asciiTheme="minorEastAsia" w:hAnsiTheme="minorEastAsia" w:eastAsiaTheme="minorEastAsia" w:cstheme="minorEastAsia"/>
          <w:snapToGrid w:val="0"/>
          <w:kern w:val="0"/>
          <w:szCs w:val="28"/>
          <w:lang w:eastAsia="zh-CN"/>
        </w:rPr>
        <w:t>公司</w:t>
      </w:r>
      <w:r>
        <w:rPr>
          <w:rFonts w:hint="eastAsia" w:asciiTheme="minorEastAsia" w:hAnsiTheme="minorEastAsia" w:eastAsiaTheme="minorEastAsia" w:cstheme="minorEastAsia"/>
          <w:snapToGrid w:val="0"/>
          <w:kern w:val="0"/>
          <w:szCs w:val="28"/>
        </w:rPr>
        <w:t>的影响分析</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_Toc14365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_Toc3659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w:t>
      </w:r>
      <w:r>
        <w:rPr>
          <w:rFonts w:hint="eastAsia" w:asciiTheme="minorEastAsia" w:hAnsiTheme="minorEastAsia" w:eastAsiaTheme="minorEastAsia" w:cstheme="minorEastAsia"/>
          <w:snapToGrid w:val="0"/>
          <w:kern w:val="0"/>
          <w:szCs w:val="32"/>
          <w:lang w:eastAsia="zh-CN"/>
        </w:rPr>
        <w:t>.</w:t>
      </w:r>
      <w:r>
        <w:rPr>
          <w:rFonts w:hint="eastAsia" w:asciiTheme="minorEastAsia" w:hAnsiTheme="minorEastAsia" w:eastAsiaTheme="minorEastAsia" w:cstheme="minorEastAsia"/>
          <w:snapToGrid w:val="0"/>
          <w:kern w:val="0"/>
          <w:szCs w:val="32"/>
          <w:lang w:val="en-US" w:eastAsia="zh-CN"/>
        </w:rPr>
        <w:t>7</w:t>
      </w:r>
      <w:r>
        <w:rPr>
          <w:rFonts w:hint="eastAsia" w:asciiTheme="minorEastAsia" w:hAnsiTheme="minorEastAsia" w:eastAsiaTheme="minorEastAsia" w:cstheme="minorEastAsia"/>
          <w:snapToGrid w:val="0"/>
          <w:kern w:val="0"/>
          <w:szCs w:val="32"/>
        </w:rPr>
        <w:t xml:space="preserve"> 重大危险源辨识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_Toc3659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_Toc6474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lang w:val="en-US" w:eastAsia="zh-CN"/>
        </w:rPr>
        <w:t>7</w:t>
      </w:r>
      <w:r>
        <w:rPr>
          <w:rFonts w:hint="eastAsia" w:asciiTheme="minorEastAsia" w:hAnsiTheme="minorEastAsia" w:eastAsiaTheme="minorEastAsia" w:cstheme="minorEastAsia"/>
          <w:snapToGrid w:val="0"/>
          <w:kern w:val="0"/>
          <w:szCs w:val="28"/>
        </w:rPr>
        <w:t>.1 辨识依据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_Toc6474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1"/>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_Toc21923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28"/>
          <w:lang w:val="en-US" w:eastAsia="zh-CN"/>
        </w:rPr>
        <w:t>3</w:t>
      </w:r>
      <w:r>
        <w:rPr>
          <w:rFonts w:hint="eastAsia" w:asciiTheme="minorEastAsia" w:hAnsiTheme="minorEastAsia" w:eastAsiaTheme="minorEastAsia" w:cstheme="minorEastAsia"/>
          <w:snapToGrid w:val="0"/>
          <w:kern w:val="0"/>
          <w:szCs w:val="28"/>
          <w:lang w:eastAsia="zh-CN"/>
        </w:rPr>
        <w:t>.</w:t>
      </w:r>
      <w:r>
        <w:rPr>
          <w:rFonts w:hint="eastAsia" w:asciiTheme="minorEastAsia" w:hAnsiTheme="minorEastAsia" w:eastAsiaTheme="minorEastAsia" w:cstheme="minorEastAsia"/>
          <w:snapToGrid w:val="0"/>
          <w:kern w:val="0"/>
          <w:szCs w:val="28"/>
          <w:lang w:val="en-US" w:eastAsia="zh-CN"/>
        </w:rPr>
        <w:t>7</w:t>
      </w:r>
      <w:r>
        <w:rPr>
          <w:rFonts w:hint="eastAsia" w:asciiTheme="minorEastAsia" w:hAnsiTheme="minorEastAsia" w:eastAsiaTheme="minorEastAsia" w:cstheme="minorEastAsia"/>
          <w:snapToGrid w:val="0"/>
          <w:kern w:val="0"/>
          <w:szCs w:val="28"/>
        </w:rPr>
        <w:t>.2 辨识结果</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_Toc21923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_Toc14023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napToGrid w:val="0"/>
          <w:kern w:val="0"/>
          <w:szCs w:val="32"/>
          <w:lang w:val="en-US" w:eastAsia="zh-CN"/>
        </w:rPr>
        <w:t>3.8小结</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_Toc14023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5"/>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_Toc1601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32"/>
          <w:lang w:val="en-US" w:eastAsia="zh-CN"/>
        </w:rPr>
        <w:t>4</w:t>
      </w:r>
      <w:r>
        <w:rPr>
          <w:rFonts w:hint="eastAsia" w:asciiTheme="minorEastAsia" w:hAnsiTheme="minorEastAsia" w:eastAsiaTheme="minorEastAsia" w:cstheme="minorEastAsia"/>
          <w:szCs w:val="32"/>
        </w:rPr>
        <w:t>评估结论与建议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_Toc24277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4.1总体评价结论</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_Toc24277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pStyle w:val="17"/>
        <w:tabs>
          <w:tab w:val="right" w:leader="dot" w:pos="8306"/>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1"/>
        </w:rPr>
        <w:fldChar w:fldCharType="begin"/>
      </w:r>
      <w:r>
        <w:rPr>
          <w:rFonts w:hint="eastAsia" w:asciiTheme="minorEastAsia" w:hAnsiTheme="minorEastAsia" w:eastAsiaTheme="minorEastAsia" w:cstheme="minorEastAsia"/>
          <w:szCs w:val="21"/>
        </w:rPr>
        <w:instrText xml:space="preserve"> HYPERLINK \l _Toc24831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8"/>
          <w:lang w:val="en-US" w:eastAsia="zh-CN"/>
        </w:rPr>
        <w:t>4</w:t>
      </w:r>
      <w:r>
        <w:rPr>
          <w:rFonts w:hint="eastAsia" w:asciiTheme="minorEastAsia" w:hAnsiTheme="minorEastAsia" w:eastAsiaTheme="minorEastAsia" w:cstheme="minorEastAsia"/>
          <w:szCs w:val="28"/>
        </w:rPr>
        <w:t>.</w:t>
      </w:r>
      <w:r>
        <w:rPr>
          <w:rFonts w:hint="eastAsia" w:asciiTheme="minorEastAsia" w:hAnsiTheme="minorEastAsia" w:eastAsiaTheme="minorEastAsia" w:cstheme="minorEastAsia"/>
          <w:szCs w:val="28"/>
          <w:lang w:val="en-US" w:eastAsia="zh-CN"/>
        </w:rPr>
        <w:t>2</w:t>
      </w:r>
      <w:r>
        <w:rPr>
          <w:rFonts w:hint="eastAsia" w:asciiTheme="minorEastAsia" w:hAnsiTheme="minorEastAsia" w:eastAsiaTheme="minorEastAsia" w:cstheme="minorEastAsia"/>
          <w:szCs w:val="28"/>
        </w:rPr>
        <w:t>建议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_Toc24831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1"/>
        </w:rPr>
        <w:fldChar w:fldCharType="end"/>
      </w:r>
    </w:p>
    <w:p>
      <w:pPr>
        <w:widowControl/>
        <w:spacing w:line="360" w:lineRule="auto"/>
        <w:jc w:val="left"/>
        <w:outlineLvl w:val="2"/>
        <w:rPr>
          <w:rFonts w:hint="eastAsia" w:ascii="宋体" w:hAnsi="宋体" w:cs="宋体"/>
          <w:b/>
          <w:bCs/>
          <w:color w:val="auto"/>
          <w:kern w:val="0"/>
          <w:sz w:val="28"/>
          <w:szCs w:val="28"/>
        </w:rPr>
      </w:pPr>
      <w:r>
        <w:rPr>
          <w:rFonts w:hint="eastAsia" w:asciiTheme="minorEastAsia" w:hAnsiTheme="minorEastAsia" w:eastAsiaTheme="minorEastAsia" w:cstheme="minorEastAsia"/>
          <w:color w:val="auto"/>
          <w:szCs w:val="21"/>
        </w:rPr>
        <w:fldChar w:fldCharType="end"/>
      </w:r>
    </w:p>
    <w:p>
      <w:pPr>
        <w:numPr>
          <w:ilvl w:val="0"/>
          <w:numId w:val="0"/>
        </w:numPr>
        <w:spacing w:line="360" w:lineRule="auto"/>
        <w:jc w:val="center"/>
        <w:outlineLvl w:val="0"/>
        <w:rPr>
          <w:rFonts w:hint="eastAsia" w:ascii="黑体" w:hAnsi="宋体" w:eastAsia="黑体"/>
          <w:b/>
          <w:color w:val="auto"/>
          <w:sz w:val="32"/>
          <w:szCs w:val="32"/>
          <w:lang w:val="en-US" w:eastAsia="zh-CN"/>
        </w:rPr>
        <w:sectPr>
          <w:pgSz w:w="11906" w:h="16838"/>
          <w:pgMar w:top="1440" w:right="1800" w:bottom="1440" w:left="1800" w:header="851" w:footer="992" w:gutter="0"/>
          <w:pgNumType w:fmt="decimal" w:start="1"/>
          <w:cols w:space="425" w:num="1"/>
          <w:docGrid w:type="lines" w:linePitch="312" w:charSpace="0"/>
        </w:sectPr>
      </w:pPr>
    </w:p>
    <w:p>
      <w:pPr>
        <w:spacing w:line="360" w:lineRule="auto"/>
        <w:jc w:val="center"/>
        <w:outlineLvl w:val="0"/>
        <w:rPr>
          <w:rFonts w:hint="eastAsia" w:ascii="黑体" w:hAnsi="宋体" w:eastAsia="黑体"/>
          <w:b/>
          <w:sz w:val="32"/>
          <w:szCs w:val="32"/>
        </w:rPr>
      </w:pPr>
      <w:bookmarkStart w:id="19" w:name="_Toc97"/>
      <w:bookmarkStart w:id="20" w:name="_Toc9494"/>
      <w:bookmarkStart w:id="21" w:name="_Toc1621"/>
      <w:r>
        <w:rPr>
          <w:rFonts w:hint="eastAsia" w:ascii="黑体" w:hAnsi="宋体" w:eastAsia="黑体"/>
          <w:b/>
          <w:sz w:val="32"/>
          <w:szCs w:val="32"/>
        </w:rPr>
        <w:t>1概述</w:t>
      </w:r>
      <w:bookmarkEnd w:id="19"/>
      <w:bookmarkEnd w:id="20"/>
      <w:bookmarkEnd w:id="21"/>
    </w:p>
    <w:p>
      <w:pPr>
        <w:pStyle w:val="5"/>
        <w:spacing w:line="360" w:lineRule="auto"/>
        <w:rPr>
          <w:rFonts w:hint="eastAsia" w:ascii="宋体" w:hAnsi="宋体" w:eastAsia="宋体" w:cs="宋体"/>
          <w:sz w:val="28"/>
          <w:szCs w:val="28"/>
        </w:rPr>
      </w:pPr>
      <w:bookmarkStart w:id="22" w:name="_Toc10102"/>
      <w:bookmarkStart w:id="23" w:name="_Toc13902"/>
      <w:bookmarkStart w:id="24" w:name="_Toc19278"/>
      <w:r>
        <w:rPr>
          <w:rFonts w:hint="eastAsia" w:ascii="宋体" w:hAnsi="宋体" w:eastAsia="宋体" w:cs="宋体"/>
          <w:sz w:val="28"/>
          <w:szCs w:val="28"/>
        </w:rPr>
        <w:t>1.1评估的主要依据</w:t>
      </w:r>
      <w:bookmarkEnd w:id="22"/>
      <w:bookmarkEnd w:id="23"/>
      <w:bookmarkEnd w:id="24"/>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（1）《中华人民共和国安全生产法》（中华人民共和国主席令第13号，自2014年12月1日起施行）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（2）《中华人民共和国劳动法》（中华人民共和国主席令第28号，自1995年1月1日起施行，2009年8月27日修订）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（3）《中华人民共和国职业病防治法》(中华人民共和国主席令第24号，2018年12月29日修订)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（4）《中华人民共和国消防法》（中华人民共和国主席令第6号，自20</w:t>
      </w:r>
      <w:r>
        <w:rPr>
          <w:rFonts w:hint="eastAsia" w:ascii="宋体" w:hAnsi="宋体" w:cs="宋体"/>
          <w:color w:val="auto"/>
          <w:sz w:val="28"/>
          <w:szCs w:val="28"/>
          <w:lang w:val="en-US" w:eastAsia="zh-CN"/>
        </w:rPr>
        <w:t>1</w:t>
      </w:r>
      <w:r>
        <w:rPr>
          <w:rFonts w:hint="eastAsia" w:ascii="宋体" w:hAnsi="宋体" w:cs="宋体"/>
          <w:color w:val="auto"/>
          <w:sz w:val="28"/>
          <w:szCs w:val="28"/>
          <w:lang w:val="zh-CN" w:eastAsia="zh-CN"/>
        </w:rPr>
        <w:t>9年</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月</w:t>
      </w:r>
      <w:r>
        <w:rPr>
          <w:rFonts w:hint="eastAsia" w:ascii="宋体" w:hAnsi="宋体" w:cs="宋体"/>
          <w:color w:val="auto"/>
          <w:sz w:val="28"/>
          <w:szCs w:val="28"/>
          <w:lang w:val="en-US" w:eastAsia="zh-CN"/>
        </w:rPr>
        <w:t>23</w:t>
      </w:r>
      <w:r>
        <w:rPr>
          <w:rFonts w:hint="eastAsia" w:ascii="宋体" w:hAnsi="宋体" w:cs="宋体"/>
          <w:color w:val="auto"/>
          <w:sz w:val="28"/>
          <w:szCs w:val="28"/>
          <w:lang w:val="zh-CN" w:eastAsia="zh-CN"/>
        </w:rPr>
        <w:t>日起修订）</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（5）《中华人民共和国突发事件应对法》（中华人民共和国主席令第69号，自2007年11月1日起施行）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（6）《中华人民共和国劳动合同法》（主席令第73号，自2013年7月1日起施行）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（7）《中华人民共和国环境保护法》（主席令第9号，自2015年1月1日起施行）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（8）《中华人民共和国特种设备安全法》（主席令第4号，2014年1月1日起实施）；</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（9）《中华人民共和国防震减灾法》（国家主席令第7号，自2009年5月1日起施行）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（10）《工伤保险条例》（国务院第586号令）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（11）《机关、团体、企业事业单位消防安全管理规定》（公安部第61号令）</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（12）《有限空间安全作业五条规定》（国家安监总局令[2014]第69号）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（13）《企业安全生产风险公告六条规定》（国家安监总局令[2014]第70号）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（14）《企业安全生产应急管理九条规定》（国家安监总局令[2015]第74号）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（15）《国家安全监管总局办公厅关于印发用人单位劳动防护用品管理规范的通知》（安监总厅安健〔2015〕124号）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（16）《工作场所职业卫生监督管理规定》（国家安监总局令第47号）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（17）《生产安全事故应急预案管理办法》（国家安全生产监督管理总局令第88号）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（18）《生产经营单位生产安全事故应急预案编制导则》（GB/T29639-2013）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（19）《生产安全事故应急条例》（国令第708号，2019年4月1日起施行）</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（20）《生产安全事故应急演练评估规范》（AQ/T9009-2015）</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（21）《生产安全事故应急演练指南》（AQ/T 9007-2011）</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w:t>
      </w:r>
      <w:r>
        <w:rPr>
          <w:rFonts w:hint="eastAsia" w:ascii="宋体" w:hAnsi="宋体" w:cs="宋体"/>
          <w:color w:val="auto"/>
          <w:sz w:val="28"/>
          <w:szCs w:val="28"/>
          <w:lang w:val="en-US" w:eastAsia="zh-CN"/>
        </w:rPr>
        <w:t>22</w:t>
      </w:r>
      <w:r>
        <w:rPr>
          <w:rFonts w:hint="eastAsia" w:ascii="宋体" w:hAnsi="宋体" w:cs="宋体"/>
          <w:color w:val="auto"/>
          <w:sz w:val="28"/>
          <w:szCs w:val="28"/>
          <w:lang w:val="zh-CN" w:eastAsia="zh-CN"/>
        </w:rPr>
        <w:t>）《危险化学品重大危险源辨识》（GB18218-20</w:t>
      </w:r>
      <w:r>
        <w:rPr>
          <w:rFonts w:hint="eastAsia" w:ascii="宋体" w:hAnsi="宋体" w:cs="宋体"/>
          <w:color w:val="auto"/>
          <w:sz w:val="28"/>
          <w:szCs w:val="28"/>
          <w:lang w:val="en-US" w:eastAsia="zh-CN"/>
        </w:rPr>
        <w:t>18</w:t>
      </w:r>
      <w:r>
        <w:rPr>
          <w:rFonts w:hint="eastAsia" w:ascii="宋体" w:hAnsi="宋体" w:cs="宋体"/>
          <w:color w:val="auto"/>
          <w:sz w:val="28"/>
          <w:szCs w:val="28"/>
          <w:lang w:val="zh-CN" w:eastAsia="zh-CN"/>
        </w:rPr>
        <w:t>）</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3</w:t>
      </w:r>
      <w:r>
        <w:rPr>
          <w:rFonts w:hint="eastAsia" w:ascii="宋体" w:hAnsi="宋体" w:cs="宋体"/>
          <w:color w:val="auto"/>
          <w:sz w:val="28"/>
          <w:szCs w:val="28"/>
          <w:lang w:val="zh-CN" w:eastAsia="zh-CN"/>
        </w:rPr>
        <w:t>）《四川省安全生产条例》（2006年11月30日四川省第十届人大常委会第二十四次会议通过）</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4</w:t>
      </w:r>
      <w:r>
        <w:rPr>
          <w:rFonts w:hint="eastAsia" w:ascii="宋体" w:hAnsi="宋体" w:cs="宋体"/>
          <w:color w:val="auto"/>
          <w:sz w:val="28"/>
          <w:szCs w:val="28"/>
          <w:lang w:val="zh-CN" w:eastAsia="zh-CN"/>
        </w:rPr>
        <w:t>）《危险化学品目录》（2015年版）</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5</w:t>
      </w:r>
      <w:r>
        <w:rPr>
          <w:rFonts w:hint="eastAsia" w:ascii="宋体" w:hAnsi="宋体" w:cs="宋体"/>
          <w:color w:val="auto"/>
          <w:sz w:val="28"/>
          <w:szCs w:val="28"/>
          <w:lang w:val="zh-CN" w:eastAsia="zh-CN"/>
        </w:rPr>
        <w:t>）《易燃易爆性商品储存养护技术条件》（GB17914-2013）</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6</w:t>
      </w:r>
      <w:r>
        <w:rPr>
          <w:rFonts w:hint="eastAsia" w:ascii="宋体" w:hAnsi="宋体" w:cs="宋体"/>
          <w:color w:val="auto"/>
          <w:sz w:val="28"/>
          <w:szCs w:val="28"/>
          <w:lang w:val="zh-CN" w:eastAsia="zh-CN"/>
        </w:rPr>
        <w:t>）《四川省生产安全事故应急预案管理实施细则》（川安监〔2018〕43号）</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w:t>
      </w:r>
      <w:r>
        <w:rPr>
          <w:rFonts w:hint="eastAsia" w:ascii="宋体" w:hAnsi="宋体" w:cs="宋体"/>
          <w:color w:val="auto"/>
          <w:sz w:val="28"/>
          <w:szCs w:val="28"/>
          <w:lang w:val="en-US" w:eastAsia="zh-CN"/>
        </w:rPr>
        <w:t>7</w:t>
      </w:r>
      <w:r>
        <w:rPr>
          <w:rFonts w:hint="eastAsia" w:ascii="宋体" w:hAnsi="宋体" w:cs="宋体"/>
          <w:color w:val="auto"/>
          <w:sz w:val="28"/>
          <w:szCs w:val="28"/>
          <w:lang w:val="zh-CN" w:eastAsia="zh-CN"/>
        </w:rPr>
        <w:t>）《成都市安全生产监督管理局关于规范生产安全事故应急预案评审备案工作的通知》成安监函〔2018〕9号</w:t>
      </w:r>
    </w:p>
    <w:p>
      <w:pPr>
        <w:pStyle w:val="5"/>
        <w:spacing w:before="0" w:after="0" w:line="360" w:lineRule="auto"/>
        <w:rPr>
          <w:rFonts w:hint="eastAsia" w:ascii="宋体" w:hAnsi="宋体" w:eastAsia="宋体" w:cs="宋体"/>
          <w:color w:val="auto"/>
          <w:sz w:val="28"/>
          <w:szCs w:val="28"/>
          <w:lang w:val="en-US" w:eastAsia="zh-CN"/>
        </w:rPr>
      </w:pPr>
      <w:bookmarkStart w:id="25" w:name="_Toc16426"/>
      <w:bookmarkStart w:id="26" w:name="_Toc25561"/>
      <w:bookmarkStart w:id="27" w:name="_Toc19726"/>
      <w:r>
        <w:rPr>
          <w:rFonts w:hint="eastAsia" w:ascii="宋体" w:hAnsi="宋体" w:eastAsia="宋体" w:cs="宋体"/>
          <w:color w:val="auto"/>
          <w:sz w:val="28"/>
          <w:szCs w:val="28"/>
          <w:lang w:val="en-US" w:eastAsia="zh-CN"/>
        </w:rPr>
        <w:t>1.2评估目的</w:t>
      </w:r>
      <w:bookmarkEnd w:id="25"/>
      <w:bookmarkEnd w:id="26"/>
      <w:bookmarkEnd w:id="27"/>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为规范</w:t>
      </w:r>
      <w:r>
        <w:rPr>
          <w:rFonts w:hint="eastAsia" w:hAnsi="宋体"/>
          <w:sz w:val="28"/>
          <w:szCs w:val="28"/>
          <w:lang w:eastAsia="zh-CN"/>
        </w:rPr>
        <w:t>公司</w:t>
      </w:r>
      <w:r>
        <w:rPr>
          <w:rFonts w:hint="eastAsia" w:hAnsi="宋体"/>
          <w:sz w:val="28"/>
          <w:szCs w:val="28"/>
        </w:rPr>
        <w:t>风险管理工作，识别和分析生产安全作业中的危险有害因素，消除或减少事故危害，确保安全作业，由</w:t>
      </w:r>
      <w:r>
        <w:rPr>
          <w:rFonts w:hint="eastAsia" w:hAnsi="宋体"/>
          <w:sz w:val="28"/>
          <w:szCs w:val="28"/>
          <w:lang w:eastAsia="zh-CN"/>
        </w:rPr>
        <w:t>公司</w:t>
      </w:r>
      <w:r>
        <w:rPr>
          <w:rFonts w:hint="eastAsia" w:hAnsi="宋体"/>
          <w:sz w:val="28"/>
          <w:szCs w:val="28"/>
        </w:rPr>
        <w:t>风险评价小组进行风险评估。</w:t>
      </w:r>
    </w:p>
    <w:p>
      <w:pPr>
        <w:pStyle w:val="5"/>
        <w:spacing w:before="0" w:after="0" w:line="360" w:lineRule="auto"/>
        <w:rPr>
          <w:rFonts w:hint="eastAsia" w:ascii="宋体" w:hAnsi="宋体" w:eastAsia="宋体" w:cs="宋体"/>
          <w:color w:val="auto"/>
          <w:sz w:val="28"/>
          <w:szCs w:val="28"/>
          <w:lang w:val="en-US" w:eastAsia="zh-CN"/>
        </w:rPr>
      </w:pPr>
      <w:bookmarkStart w:id="28" w:name="_Toc19499"/>
      <w:bookmarkStart w:id="29" w:name="_Toc22088"/>
      <w:bookmarkStart w:id="30" w:name="_Toc12578"/>
      <w:r>
        <w:rPr>
          <w:rFonts w:hint="eastAsia" w:ascii="宋体" w:hAnsi="宋体" w:eastAsia="宋体" w:cs="宋体"/>
          <w:color w:val="auto"/>
          <w:sz w:val="28"/>
          <w:szCs w:val="28"/>
          <w:lang w:val="en-US" w:eastAsia="zh-CN"/>
        </w:rPr>
        <w:t>1.3风险评估范围</w:t>
      </w:r>
      <w:bookmarkEnd w:id="28"/>
      <w:bookmarkEnd w:id="29"/>
      <w:bookmarkEnd w:id="30"/>
      <w:r>
        <w:rPr>
          <w:rFonts w:hint="eastAsia" w:ascii="宋体" w:hAnsi="宋体" w:eastAsia="宋体" w:cs="宋体"/>
          <w:color w:val="auto"/>
          <w:sz w:val="28"/>
          <w:szCs w:val="28"/>
          <w:lang w:val="en-US" w:eastAsia="zh-CN"/>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评估范围主要围绕生产经营活动开展，主要包括</w:t>
      </w:r>
      <w:r>
        <w:rPr>
          <w:rFonts w:hint="eastAsia" w:hAnsi="宋体"/>
          <w:sz w:val="28"/>
          <w:szCs w:val="28"/>
          <w:lang w:eastAsia="zh-CN"/>
        </w:rPr>
        <w:t>公司</w:t>
      </w:r>
      <w:r>
        <w:rPr>
          <w:rFonts w:hint="eastAsia" w:hAnsi="宋体"/>
          <w:sz w:val="28"/>
          <w:szCs w:val="28"/>
        </w:rPr>
        <w:t>在生产经营过程的生产工艺装置和储存设施以及配套的公用工程系统的风险性识别和分析。</w:t>
      </w:r>
    </w:p>
    <w:p>
      <w:pPr>
        <w:pStyle w:val="5"/>
        <w:spacing w:before="0" w:after="0" w:line="360" w:lineRule="auto"/>
        <w:rPr>
          <w:rFonts w:hint="eastAsia" w:ascii="宋体" w:hAnsi="宋体" w:eastAsia="宋体" w:cs="宋体"/>
          <w:sz w:val="28"/>
          <w:szCs w:val="28"/>
        </w:rPr>
      </w:pPr>
      <w:bookmarkStart w:id="31" w:name="_Toc15923"/>
      <w:bookmarkStart w:id="32" w:name="_Toc3097"/>
      <w:bookmarkStart w:id="33" w:name="_Toc23032"/>
      <w:r>
        <w:rPr>
          <w:rFonts w:hint="eastAsia" w:ascii="宋体" w:hAnsi="宋体" w:eastAsia="宋体" w:cs="宋体"/>
          <w:sz w:val="28"/>
          <w:szCs w:val="28"/>
        </w:rPr>
        <w:t>1.4评估程序</w:t>
      </w:r>
      <w:bookmarkEnd w:id="31"/>
      <w:bookmarkEnd w:id="32"/>
      <w:bookmarkEnd w:id="33"/>
      <w:r>
        <w:rPr>
          <w:rFonts w:hint="eastAsia" w:ascii="宋体" w:hAnsi="宋体" w:eastAsia="宋体" w:cs="宋体"/>
          <w:sz w:val="28"/>
          <w:szCs w:val="28"/>
        </w:rPr>
        <w:t xml:space="preserve">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1、成立风险评估小组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2、收集分析资料、现场勘察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 xml:space="preserve">3、组织进行风险识别和评估 </w:t>
      </w:r>
    </w:p>
    <w:p>
      <w:pPr>
        <w:autoSpaceDE w:val="0"/>
        <w:autoSpaceDN w:val="0"/>
        <w:adjustRightInd w:val="0"/>
        <w:spacing w:line="360" w:lineRule="auto"/>
        <w:ind w:firstLine="560" w:firstLineChars="200"/>
        <w:rPr>
          <w:rFonts w:hint="eastAsia" w:hAnsi="宋体"/>
          <w:sz w:val="28"/>
          <w:szCs w:val="28"/>
        </w:rPr>
      </w:pPr>
      <w:r>
        <w:rPr>
          <w:rFonts w:hint="eastAsia" w:hAnsi="宋体"/>
          <w:sz w:val="28"/>
          <w:szCs w:val="28"/>
        </w:rPr>
        <w:t>4、评估汇总交</w:t>
      </w:r>
      <w:r>
        <w:rPr>
          <w:rFonts w:hint="eastAsia" w:hAnsi="宋体"/>
          <w:sz w:val="28"/>
          <w:szCs w:val="28"/>
          <w:lang w:eastAsia="zh-CN"/>
        </w:rPr>
        <w:t>公司</w:t>
      </w:r>
      <w:r>
        <w:rPr>
          <w:rFonts w:hint="eastAsia" w:hAnsi="宋体"/>
          <w:sz w:val="28"/>
          <w:szCs w:val="28"/>
        </w:rPr>
        <w:t xml:space="preserve">主要负责人批准 </w:t>
      </w:r>
    </w:p>
    <w:p>
      <w:pPr>
        <w:rPr>
          <w:rFonts w:hint="eastAsia" w:ascii="黑体" w:hAnsi="宋体" w:eastAsia="黑体"/>
          <w:b/>
          <w:color w:val="auto"/>
          <w:sz w:val="32"/>
          <w:szCs w:val="32"/>
          <w:lang w:val="en-US" w:eastAsia="zh-CN"/>
        </w:rPr>
      </w:pPr>
      <w:r>
        <w:rPr>
          <w:rFonts w:hint="eastAsia" w:ascii="黑体" w:hAnsi="宋体" w:eastAsia="黑体"/>
          <w:b/>
          <w:color w:val="auto"/>
          <w:sz w:val="32"/>
          <w:szCs w:val="32"/>
          <w:lang w:val="en-US" w:eastAsia="zh-CN"/>
        </w:rPr>
        <w:br w:type="page"/>
      </w:r>
    </w:p>
    <w:p>
      <w:pPr>
        <w:numPr>
          <w:ilvl w:val="0"/>
          <w:numId w:val="0"/>
        </w:numPr>
        <w:spacing w:line="360" w:lineRule="auto"/>
        <w:jc w:val="center"/>
        <w:outlineLvl w:val="0"/>
        <w:rPr>
          <w:rFonts w:hint="eastAsia" w:ascii="黑体" w:hAnsi="宋体" w:eastAsia="黑体"/>
          <w:b/>
          <w:color w:val="auto"/>
          <w:sz w:val="32"/>
          <w:szCs w:val="32"/>
        </w:rPr>
      </w:pPr>
      <w:bookmarkStart w:id="34" w:name="_Toc16212"/>
      <w:r>
        <w:rPr>
          <w:rFonts w:hint="eastAsia" w:ascii="黑体" w:hAnsi="宋体" w:eastAsia="黑体"/>
          <w:b/>
          <w:color w:val="auto"/>
          <w:sz w:val="32"/>
          <w:szCs w:val="32"/>
          <w:lang w:val="en-US" w:eastAsia="zh-CN"/>
        </w:rPr>
        <w:t>2</w:t>
      </w:r>
      <w:r>
        <w:rPr>
          <w:rFonts w:hint="eastAsia" w:ascii="黑体" w:hAnsi="宋体" w:eastAsia="黑体"/>
          <w:b/>
          <w:color w:val="auto"/>
          <w:sz w:val="32"/>
          <w:szCs w:val="32"/>
        </w:rPr>
        <w:t>公司概况</w:t>
      </w:r>
      <w:bookmarkEnd w:id="0"/>
      <w:bookmarkEnd w:id="34"/>
    </w:p>
    <w:p>
      <w:pPr>
        <w:pStyle w:val="5"/>
        <w:spacing w:before="0" w:after="0" w:line="360" w:lineRule="auto"/>
        <w:rPr>
          <w:rFonts w:hint="eastAsia" w:ascii="宋体" w:hAnsi="宋体" w:eastAsia="宋体" w:cs="宋体"/>
          <w:color w:val="auto"/>
          <w:sz w:val="28"/>
          <w:szCs w:val="28"/>
        </w:rPr>
      </w:pPr>
      <w:bookmarkStart w:id="35" w:name="_Toc3081"/>
      <w:bookmarkStart w:id="36" w:name="_Toc4724"/>
      <w:bookmarkStart w:id="37" w:name="_Toc176022617"/>
      <w:bookmarkStart w:id="38" w:name="_Toc13200"/>
      <w:bookmarkStart w:id="39" w:name="_Toc332285103"/>
      <w:bookmarkStart w:id="40" w:name="_Toc480804386"/>
      <w:bookmarkStart w:id="41" w:name="_Toc514342838"/>
      <w:bookmarkStart w:id="42" w:name="_Toc485656588"/>
      <w:r>
        <w:rPr>
          <w:rFonts w:hint="eastAsia" w:ascii="宋体" w:hAnsi="宋体" w:eastAsia="宋体" w:cs="宋体"/>
          <w:color w:val="auto"/>
          <w:sz w:val="28"/>
          <w:szCs w:val="28"/>
        </w:rPr>
        <w:t>2.1 公司概况</w:t>
      </w:r>
      <w:bookmarkEnd w:id="35"/>
    </w:p>
    <w:tbl>
      <w:tblPr>
        <w:tblStyle w:val="2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1907"/>
        <w:gridCol w:w="1643"/>
        <w:gridCol w:w="366"/>
        <w:gridCol w:w="113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单位</w:t>
            </w:r>
            <w:r>
              <w:rPr>
                <w:rFonts w:hint="eastAsia" w:hAnsi="宋体" w:eastAsia="Times New Roman" w:cs="宋体"/>
                <w:color w:val="auto"/>
                <w:kern w:val="2"/>
                <w:sz w:val="28"/>
                <w:szCs w:val="28"/>
                <w:lang w:val="zh-CN" w:eastAsia="zh-CN" w:bidi="ar-SA"/>
              </w:rPr>
              <w:t>名称</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 xml:space="preserve"> 仪陇县光华旺隆页岩砖厂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法人代表</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兰庆武</w:t>
            </w:r>
          </w:p>
        </w:tc>
        <w:tc>
          <w:tcPr>
            <w:tcW w:w="2009"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联系电话</w:t>
            </w:r>
          </w:p>
        </w:tc>
        <w:tc>
          <w:tcPr>
            <w:tcW w:w="3096"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17778663390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联系人</w:t>
            </w:r>
          </w:p>
        </w:tc>
        <w:tc>
          <w:tcPr>
            <w:tcW w:w="1907"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兰庆武</w:t>
            </w:r>
          </w:p>
        </w:tc>
        <w:tc>
          <w:tcPr>
            <w:tcW w:w="2009"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成立时间</w:t>
            </w:r>
          </w:p>
        </w:tc>
        <w:tc>
          <w:tcPr>
            <w:tcW w:w="3096"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企业性质</w:t>
            </w:r>
          </w:p>
        </w:tc>
        <w:tc>
          <w:tcPr>
            <w:tcW w:w="1907"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en-US" w:eastAsia="zh-CN" w:bidi="ar-SA"/>
              </w:rPr>
              <w:t>个体工商户</w:t>
            </w:r>
          </w:p>
        </w:tc>
        <w:tc>
          <w:tcPr>
            <w:tcW w:w="2009"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en-US" w:eastAsia="zh-CN" w:bidi="ar-SA"/>
              </w:rPr>
              <w:t>注册号</w:t>
            </w:r>
          </w:p>
        </w:tc>
        <w:tc>
          <w:tcPr>
            <w:tcW w:w="3096"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Courier New"/>
                <w:snapToGrid w:val="0"/>
                <w:color w:val="auto"/>
                <w:kern w:val="0"/>
                <w:sz w:val="28"/>
                <w:szCs w:val="28"/>
                <w:lang w:val="zh-CN" w:eastAsia="zh-CN"/>
              </w:rPr>
            </w:pPr>
            <w:r>
              <w:rPr>
                <w:rFonts w:hint="eastAsia" w:ascii="宋体" w:hAnsi="宋体"/>
                <w:szCs w:val="21"/>
              </w:rPr>
              <w:t>915113245752603801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通讯地址</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zh-CN" w:eastAsia="zh-CN" w:bidi="ar-SA"/>
              </w:rPr>
            </w:pPr>
            <w:r>
              <w:rPr>
                <w:rFonts w:hint="eastAsia" w:hAnsi="宋体" w:eastAsia="Times New Roman" w:cs="宋体"/>
                <w:color w:val="auto"/>
                <w:kern w:val="2"/>
                <w:sz w:val="28"/>
                <w:szCs w:val="28"/>
                <w:lang w:val="zh-CN" w:eastAsia="zh-CN" w:bidi="ar-SA"/>
              </w:rPr>
              <w:t>仪陇县光华乡枣子沟村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行业类别及代码</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eastAsia="Times New Roman" w:cs="宋体"/>
                <w:color w:val="auto"/>
                <w:kern w:val="2"/>
                <w:sz w:val="28"/>
                <w:szCs w:val="28"/>
                <w:lang w:val="en-US" w:eastAsia="zh-CN" w:bidi="ar-SA"/>
              </w:rPr>
            </w:pPr>
            <w:r>
              <w:rPr>
                <w:rFonts w:hint="eastAsia" w:hAnsi="宋体" w:eastAsia="Times New Roman" w:cs="宋体"/>
                <w:color w:val="auto"/>
                <w:kern w:val="2"/>
                <w:sz w:val="28"/>
                <w:szCs w:val="28"/>
                <w:lang w:val="zh-CN" w:eastAsia="zh-CN" w:bidi="ar-SA"/>
              </w:rPr>
              <w:t>C</w:t>
            </w:r>
            <w:r>
              <w:rPr>
                <w:rFonts w:hint="eastAsia" w:hAnsi="宋体" w:eastAsia="Times New Roman" w:cs="宋体"/>
                <w:color w:val="auto"/>
                <w:kern w:val="2"/>
                <w:sz w:val="28"/>
                <w:szCs w:val="28"/>
                <w:lang w:val="en-US" w:eastAsia="en-US" w:bidi="ar-SA"/>
              </w:rPr>
              <w:t>3031</w:t>
            </w:r>
            <w:r>
              <w:rPr>
                <w:rFonts w:hint="eastAsia" w:hAnsi="宋体" w:eastAsia="Times New Roman" w:cs="宋体"/>
                <w:color w:val="auto"/>
                <w:kern w:val="2"/>
                <w:sz w:val="28"/>
                <w:szCs w:val="28"/>
                <w:lang w:val="zh-CN" w:eastAsia="zh-CN" w:bidi="ar-SA"/>
              </w:rPr>
              <w:t>粘土砖瓦及建筑砌块制造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企业规模</w:t>
            </w:r>
          </w:p>
        </w:tc>
        <w:tc>
          <w:tcPr>
            <w:tcW w:w="3550" w:type="dxa"/>
            <w:gridSpan w:val="2"/>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en-US" w:eastAsia="zh-CN" w:bidi="ar-SA"/>
              </w:rPr>
            </w:pPr>
            <w:r>
              <w:rPr>
                <w:rFonts w:hint="eastAsia" w:hAnsi="宋体" w:cs="宋体"/>
                <w:lang w:val="en-US" w:eastAsia="zh-CN"/>
              </w:rPr>
              <w:t>30</w:t>
            </w:r>
            <w:r>
              <w:rPr>
                <w:rFonts w:hint="eastAsia" w:ascii="宋体" w:hAnsi="宋体" w:eastAsia="宋体" w:cs="宋体"/>
              </w:rPr>
              <w:t>00万标砖/年</w:t>
            </w:r>
          </w:p>
        </w:tc>
        <w:tc>
          <w:tcPr>
            <w:tcW w:w="1500" w:type="dxa"/>
            <w:gridSpan w:val="2"/>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占地面积</w:t>
            </w:r>
          </w:p>
        </w:tc>
        <w:tc>
          <w:tcPr>
            <w:tcW w:w="19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sz w:val="28"/>
                <w:szCs w:val="28"/>
              </w:rPr>
              <w:t>20.5亩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6" w:type="dxa"/>
            <w:noWrap w:val="0"/>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采矿许可证</w:t>
            </w:r>
          </w:p>
        </w:tc>
        <w:tc>
          <w:tcPr>
            <w:tcW w:w="7012"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证号：C511321200908713003637</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发证单位：仪陇县国土资源局</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Times New Roman" w:cs="宋体"/>
                <w:color w:val="auto"/>
                <w:kern w:val="2"/>
                <w:sz w:val="28"/>
                <w:szCs w:val="28"/>
                <w:lang w:val="zh-CN" w:eastAsia="zh-CN" w:bidi="ar-SA"/>
              </w:rPr>
            </w:pPr>
            <w:r>
              <w:rPr>
                <w:rFonts w:hint="eastAsia" w:ascii="宋体" w:hAnsi="宋体" w:eastAsia="Times New Roman" w:cs="宋体"/>
                <w:color w:val="auto"/>
                <w:kern w:val="2"/>
                <w:sz w:val="28"/>
                <w:szCs w:val="28"/>
                <w:lang w:val="zh-CN" w:eastAsia="zh-CN" w:bidi="ar-SA"/>
              </w:rPr>
              <w:t>开采矿种：砖瓦用页岩    开采方式：露天开采</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Times New Roman" w:cs="宋体"/>
                <w:color w:val="auto"/>
                <w:kern w:val="2"/>
                <w:sz w:val="28"/>
                <w:szCs w:val="28"/>
                <w:lang w:val="en-US" w:eastAsia="zh-CN" w:bidi="ar-SA"/>
              </w:rPr>
            </w:pPr>
            <w:r>
              <w:rPr>
                <w:rFonts w:hint="eastAsia" w:ascii="宋体" w:hAnsi="宋体" w:eastAsia="Times New Roman" w:cs="宋体"/>
                <w:color w:val="auto"/>
                <w:kern w:val="2"/>
                <w:sz w:val="28"/>
                <w:szCs w:val="28"/>
                <w:lang w:val="zh-CN" w:eastAsia="zh-CN" w:bidi="ar-SA"/>
              </w:rPr>
              <w:t>生产规模：2.5万吨/年    矿区面积：0.0056平方公里</w:t>
            </w:r>
          </w:p>
        </w:tc>
      </w:tr>
    </w:tbl>
    <w:p>
      <w:pPr>
        <w:pStyle w:val="12"/>
        <w:spacing w:line="240" w:lineRule="auto"/>
        <w:ind w:firstLine="482" w:firstLineChars="200"/>
        <w:jc w:val="center"/>
        <w:rPr>
          <w:rFonts w:hint="eastAsia" w:ascii="黑体" w:hAnsi="Courier New" w:eastAsia="黑体"/>
          <w:b/>
          <w:color w:val="auto"/>
          <w:sz w:val="24"/>
        </w:rPr>
      </w:pPr>
      <w:r>
        <w:rPr>
          <w:rFonts w:hint="eastAsia" w:ascii="黑体" w:hAnsi="Courier New" w:eastAsia="黑体"/>
          <w:b/>
          <w:color w:val="auto"/>
          <w:sz w:val="24"/>
        </w:rPr>
        <w:t>表2-1 单位基本情况一览表</w:t>
      </w:r>
    </w:p>
    <w:p>
      <w:pPr>
        <w:pStyle w:val="12"/>
        <w:spacing w:line="240" w:lineRule="auto"/>
        <w:ind w:firstLine="482" w:firstLineChars="200"/>
        <w:jc w:val="center"/>
        <w:rPr>
          <w:rFonts w:hint="eastAsia" w:ascii="黑体" w:hAnsi="Courier New" w:eastAsia="黑体"/>
          <w:b/>
          <w:color w:val="auto"/>
          <w:sz w:val="24"/>
        </w:rPr>
      </w:pP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 旺隆建材是一家专业从事建筑材料研发、生产、销售为一体的企业。成立于2011年4月26日。厂区设在仪陇县光华枣子沟村，企业现有各类专业人才近20人。安全生产管理人员由于总经理兰庆武、厂长兰庆武、安全员杨胜刚、叶济群、杜凯亭组成。公司生产规模：年产3500万匹页岩砖。</w:t>
      </w:r>
    </w:p>
    <w:p>
      <w:pPr>
        <w:pStyle w:val="5"/>
        <w:spacing w:before="0" w:after="0" w:line="360" w:lineRule="auto"/>
        <w:rPr>
          <w:rFonts w:hint="eastAsia" w:ascii="宋体" w:hAnsi="宋体" w:eastAsia="宋体" w:cs="宋体"/>
          <w:color w:val="0000FF"/>
          <w:sz w:val="28"/>
          <w:szCs w:val="28"/>
        </w:rPr>
      </w:pPr>
      <w:bookmarkStart w:id="43" w:name="_Toc1387"/>
      <w:r>
        <w:rPr>
          <w:rFonts w:hint="eastAsia" w:ascii="宋体" w:hAnsi="宋体" w:eastAsia="宋体" w:cs="宋体"/>
          <w:color w:val="0000FF"/>
          <w:sz w:val="28"/>
          <w:szCs w:val="28"/>
        </w:rPr>
        <w:t>2.</w:t>
      </w:r>
      <w:r>
        <w:rPr>
          <w:rFonts w:hint="eastAsia" w:ascii="宋体" w:hAnsi="宋体" w:eastAsia="宋体" w:cs="宋体"/>
          <w:color w:val="0000FF"/>
          <w:sz w:val="28"/>
          <w:szCs w:val="28"/>
          <w:lang w:val="en-US" w:eastAsia="zh-CN"/>
        </w:rPr>
        <w:t>1.1</w:t>
      </w:r>
      <w:r>
        <w:rPr>
          <w:rFonts w:hint="eastAsia" w:ascii="宋体" w:hAnsi="宋体" w:eastAsia="宋体" w:cs="宋体"/>
          <w:color w:val="0000FF"/>
          <w:sz w:val="28"/>
          <w:szCs w:val="28"/>
        </w:rPr>
        <w:t>公司地理位置及环境等情况</w:t>
      </w:r>
      <w:bookmarkEnd w:id="43"/>
    </w:p>
    <w:p>
      <w:pPr>
        <w:spacing w:line="360" w:lineRule="auto"/>
        <w:ind w:firstLine="560" w:firstLineChars="200"/>
        <w:rPr>
          <w:rFonts w:hint="eastAsia" w:ascii="宋体" w:hAnsi="宋体" w:eastAsia="Times New Roman"/>
          <w:sz w:val="28"/>
          <w:szCs w:val="28"/>
          <w:lang w:eastAsia="zh-CN"/>
        </w:rPr>
      </w:pPr>
      <w:r>
        <w:rPr>
          <w:rFonts w:hint="eastAsia" w:ascii="宋体" w:hAnsi="宋体" w:cs="宋体"/>
          <w:color w:val="auto"/>
          <w:sz w:val="28"/>
          <w:szCs w:val="28"/>
          <w:lang w:val="en-US" w:eastAsia="zh-CN"/>
        </w:rPr>
        <w:t xml:space="preserve"> 仪陇县光华旺隆页岩砖厂</w:t>
      </w:r>
      <w:r>
        <w:rPr>
          <w:rFonts w:hint="eastAsia" w:ascii="宋体" w:hAnsi="宋体" w:cs="宋体"/>
          <w:color w:val="auto"/>
          <w:sz w:val="28"/>
          <w:szCs w:val="28"/>
          <w:lang w:val="zh-CN" w:eastAsia="zh-CN"/>
        </w:rPr>
        <w:t>行政区划隶属仪陇县光华乡枣子沟村，光华乡位于四川省仪陇县西南方向，</w:t>
      </w:r>
      <w:r>
        <w:rPr>
          <w:rFonts w:hint="eastAsia"/>
          <w:sz w:val="28"/>
          <w:szCs w:val="28"/>
        </w:rPr>
        <w:t>距离仪陇县人民政府约</w:t>
      </w:r>
      <w:r>
        <w:rPr>
          <w:sz w:val="28"/>
          <w:szCs w:val="28"/>
        </w:rPr>
        <w:t>13.6</w:t>
      </w:r>
      <w:r>
        <w:rPr>
          <w:rFonts w:hint="eastAsia"/>
          <w:sz w:val="28"/>
          <w:szCs w:val="28"/>
        </w:rPr>
        <w:t>公里</w:t>
      </w:r>
      <w:r>
        <w:rPr>
          <w:rFonts w:hint="eastAsia" w:ascii="宋体" w:hAnsi="宋体" w:cs="宋体"/>
          <w:color w:val="auto"/>
          <w:sz w:val="28"/>
          <w:szCs w:val="28"/>
          <w:lang w:val="zh-CN" w:eastAsia="zh-CN"/>
        </w:rPr>
        <w:t>。东南与富利镇隔江相望、西接碧龙乡、北靠仪陇县新县城新政镇。潆新公路连接辖内5个村和场镇。属亚热带季风气候，四季分明。地貌以丘陵为主，多页岩丘陵。土壤尤以水稻土、红石谷子分布最广，面积最大。全乡幅员面积28平方公里，耕地面积 8119亩，辖10个村，65个村民小组，2267户，总人口8455人，人均耕地0.96亩。</w:t>
      </w:r>
      <w:r>
        <w:rPr>
          <w:rFonts w:hint="eastAsia"/>
          <w:sz w:val="28"/>
          <w:szCs w:val="28"/>
        </w:rPr>
        <w:t>砖厂建有约</w:t>
      </w:r>
      <w:r>
        <w:rPr>
          <w:sz w:val="28"/>
          <w:szCs w:val="28"/>
        </w:rPr>
        <w:t>50</w:t>
      </w:r>
      <w:r>
        <w:rPr>
          <w:rFonts w:hint="eastAsia"/>
          <w:sz w:val="28"/>
          <w:szCs w:val="28"/>
        </w:rPr>
        <w:t>m的碎石路与村公路相接，村路系统较为健全，</w:t>
      </w:r>
      <w:r>
        <w:rPr>
          <w:rFonts w:hint="eastAsia" w:ascii="宋体" w:hAnsi="宋体" w:cs="宋体"/>
          <w:snapToGrid w:val="0"/>
          <w:kern w:val="0"/>
          <w:sz w:val="28"/>
          <w:szCs w:val="28"/>
        </w:rPr>
        <w:t>全程为水泥路面，</w:t>
      </w:r>
      <w:r>
        <w:rPr>
          <w:rFonts w:ascii="宋体" w:hAnsi="宋体"/>
          <w:sz w:val="28"/>
          <w:szCs w:val="28"/>
        </w:rPr>
        <w:t>路况较</w:t>
      </w:r>
      <w:r>
        <w:rPr>
          <w:rFonts w:hint="eastAsia" w:ascii="宋体" w:hAnsi="宋体"/>
          <w:sz w:val="28"/>
          <w:szCs w:val="28"/>
        </w:rPr>
        <w:t>好，交通方便</w:t>
      </w:r>
      <w:r>
        <w:rPr>
          <w:rFonts w:ascii="宋体" w:hAnsi="宋体"/>
          <w:sz w:val="28"/>
          <w:szCs w:val="28"/>
        </w:rPr>
        <w:t>。</w:t>
      </w:r>
    </w:p>
    <w:p>
      <w:pPr>
        <w:pStyle w:val="2"/>
        <w:ind w:left="0" w:leftChars="0" w:firstLine="0" w:firstLineChars="0"/>
        <w:rPr>
          <w:rFonts w:hint="eastAsia"/>
          <w:lang w:val="zh-CN" w:eastAsia="zh-CN"/>
        </w:rPr>
      </w:pPr>
      <w:r>
        <w:rPr>
          <w:color w:val="0000FF"/>
          <w:sz w:val="72"/>
        </w:rPr>
        <mc:AlternateContent>
          <mc:Choice Requires="wps">
            <w:drawing>
              <wp:anchor distT="0" distB="0" distL="114300" distR="114300" simplePos="0" relativeHeight="251731968" behindDoc="0" locked="0" layoutInCell="1" allowOverlap="1">
                <wp:simplePos x="0" y="0"/>
                <wp:positionH relativeFrom="column">
                  <wp:posOffset>1261110</wp:posOffset>
                </wp:positionH>
                <wp:positionV relativeFrom="paragraph">
                  <wp:posOffset>2294255</wp:posOffset>
                </wp:positionV>
                <wp:extent cx="1927860" cy="294640"/>
                <wp:effectExtent l="4445" t="154940" r="18415" b="7620"/>
                <wp:wrapNone/>
                <wp:docPr id="42" name="圆角矩形标注 42"/>
                <wp:cNvGraphicFramePr/>
                <a:graphic xmlns:a="http://schemas.openxmlformats.org/drawingml/2006/main">
                  <a:graphicData uri="http://schemas.microsoft.com/office/word/2010/wordprocessingShape">
                    <wps:wsp>
                      <wps:cNvSpPr/>
                      <wps:spPr>
                        <a:xfrm flipH="1" flipV="1">
                          <a:off x="0" y="0"/>
                          <a:ext cx="1927860" cy="294640"/>
                        </a:xfrm>
                        <a:prstGeom prst="wedgeRoundRectCallout">
                          <a:avLst>
                            <a:gd name="adj1" fmla="val -46574"/>
                            <a:gd name="adj2" fmla="val 99009"/>
                            <a:gd name="adj3" fmla="val 16667"/>
                          </a:avLst>
                        </a:prstGeom>
                        <a:noFill/>
                        <a:ln w="9525" cap="flat" cmpd="sng">
                          <a:solidFill>
                            <a:srgbClr val="000000"/>
                          </a:solidFill>
                          <a:prstDash val="solid"/>
                          <a:miter/>
                          <a:headEnd type="none" w="med" len="med"/>
                          <a:tailEnd type="none" w="med" len="med"/>
                        </a:ln>
                      </wps:spPr>
                      <wps:txbx>
                        <w:txbxContent>
                          <w:p>
                            <w:pPr>
                              <w:rPr>
                                <w:color w:val="FF0000"/>
                                <w:sz w:val="18"/>
                                <w:szCs w:val="18"/>
                              </w:rPr>
                            </w:pPr>
                            <w:r>
                              <w:rPr>
                                <w:rFonts w:hint="eastAsia" w:ascii="宋体" w:hAnsi="宋体" w:cs="宋体"/>
                                <w:color w:val="FF0000"/>
                                <w:sz w:val="18"/>
                                <w:szCs w:val="18"/>
                                <w:lang w:val="zh-CN" w:eastAsia="zh-CN"/>
                              </w:rPr>
                              <w:t xml:space="preserve"> 仪陇县光华旺隆页岩砖厂</w:t>
                            </w:r>
                          </w:p>
                        </w:txbxContent>
                      </wps:txbx>
                      <wps:bodyPr upright="1"/>
                    </wps:wsp>
                  </a:graphicData>
                </a:graphic>
              </wp:anchor>
            </w:drawing>
          </mc:Choice>
          <mc:Fallback>
            <w:pict>
              <v:shape id="_x0000_s1026" o:spid="_x0000_s1026" o:spt="62" type="#_x0000_t62" style="position:absolute;left:0pt;flip:x y;margin-left:99.3pt;margin-top:180.65pt;height:23.2pt;width:151.8pt;z-index:251731968;mso-width-relative:page;mso-height-relative:page;" filled="f" stroked="t" coordsize="21600,21600" o:gfxdata="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rHm202gAAAAsBAAAPAAAAAAAAAAEAIAAAACIA&#10;AABkcnMvZG93bnJldi54bWxQSwECFAAUAAAACACHTuJAxikMG0ACAABbBAAADgAAAAAAAAABACAA&#10;AAApAQAAZHJzL2Uyb0RvYy54bWxQSwUGAAAAAAYABgBZAQAA2wUAAAAA&#10;" adj="740,32186,14400">
                <v:fill on="f" focussize="0,0"/>
                <v:stroke color="#000000" joinstyle="miter"/>
                <v:imagedata o:title=""/>
                <o:lock v:ext="edit" aspectratio="f"/>
                <v:textbox>
                  <w:txbxContent>
                    <w:p>
                      <w:pPr>
                        <w:rPr>
                          <w:color w:val="FF0000"/>
                          <w:sz w:val="18"/>
                          <w:szCs w:val="18"/>
                        </w:rPr>
                      </w:pPr>
                      <w:r>
                        <w:rPr>
                          <w:rFonts w:hint="eastAsia" w:ascii="宋体" w:hAnsi="宋体" w:cs="宋体"/>
                          <w:color w:val="FF0000"/>
                          <w:sz w:val="18"/>
                          <w:szCs w:val="18"/>
                          <w:lang w:val="zh-CN" w:eastAsia="zh-CN"/>
                        </w:rPr>
                        <w:t xml:space="preserve"> 仪陇县光华旺隆页岩砖厂</w:t>
                      </w:r>
                    </w:p>
                  </w:txbxContent>
                </v:textbox>
              </v:shape>
            </w:pict>
          </mc:Fallback>
        </mc:AlternateContent>
      </w:r>
      <w:r>
        <w:drawing>
          <wp:inline distT="0" distB="0" distL="114300" distR="114300">
            <wp:extent cx="5969635" cy="3463925"/>
            <wp:effectExtent l="0" t="0" r="4445" b="10795"/>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5"/>
                    <a:stretch>
                      <a:fillRect/>
                    </a:stretch>
                  </pic:blipFill>
                  <pic:spPr>
                    <a:xfrm>
                      <a:off x="0" y="0"/>
                      <a:ext cx="5969635" cy="3463925"/>
                    </a:xfrm>
                    <a:prstGeom prst="rect">
                      <a:avLst/>
                    </a:prstGeom>
                    <a:noFill/>
                    <a:ln>
                      <a:noFill/>
                    </a:ln>
                  </pic:spPr>
                </pic:pic>
              </a:graphicData>
            </a:graphic>
          </wp:inline>
        </w:drawing>
      </w:r>
    </w:p>
    <w:p>
      <w:pPr>
        <w:pStyle w:val="2"/>
        <w:ind w:left="0" w:leftChars="0" w:firstLine="0" w:firstLineChars="0"/>
        <w:rPr>
          <w:rFonts w:hint="eastAsia"/>
          <w:lang w:val="zh-CN" w:eastAsia="zh-CN"/>
        </w:rPr>
      </w:pPr>
    </w:p>
    <w:p>
      <w:pPr>
        <w:pStyle w:val="12"/>
        <w:spacing w:line="240" w:lineRule="auto"/>
        <w:ind w:firstLine="482" w:firstLineChars="200"/>
        <w:jc w:val="center"/>
        <w:rPr>
          <w:rFonts w:hint="eastAsia" w:ascii="黑体" w:hAnsi="Courier New" w:eastAsia="黑体"/>
          <w:b/>
          <w:color w:val="auto"/>
          <w:sz w:val="24"/>
          <w:lang w:eastAsia="zh-CN"/>
        </w:rPr>
      </w:pPr>
      <w:r>
        <w:rPr>
          <w:rFonts w:hint="eastAsia" w:ascii="黑体" w:hAnsi="Courier New" w:eastAsia="黑体"/>
          <w:b/>
          <w:color w:val="auto"/>
          <w:sz w:val="24"/>
          <w:lang w:eastAsia="zh-CN"/>
        </w:rPr>
        <w:t>图2-1 地理位置图</w:t>
      </w:r>
    </w:p>
    <w:p>
      <w:pPr>
        <w:pStyle w:val="5"/>
        <w:spacing w:before="0" w:after="0" w:line="360" w:lineRule="auto"/>
        <w:rPr>
          <w:rFonts w:hint="eastAsia" w:ascii="宋体" w:hAnsi="宋体" w:eastAsia="宋体" w:cs="宋体"/>
          <w:color w:val="0000FF"/>
          <w:sz w:val="28"/>
          <w:szCs w:val="28"/>
          <w:lang w:val="en-US" w:eastAsia="zh-CN"/>
        </w:rPr>
      </w:pPr>
      <w:bookmarkStart w:id="44" w:name="_Toc690"/>
      <w:r>
        <w:rPr>
          <w:rFonts w:hint="eastAsia" w:ascii="宋体" w:hAnsi="宋体" w:eastAsia="宋体" w:cs="宋体"/>
          <w:color w:val="0000FF"/>
          <w:sz w:val="28"/>
          <w:szCs w:val="28"/>
          <w:lang w:val="zh-CN"/>
        </w:rPr>
        <w:t>2.1.</w:t>
      </w:r>
      <w:r>
        <w:rPr>
          <w:rFonts w:hint="eastAsia" w:ascii="宋体" w:hAnsi="宋体" w:eastAsia="宋体" w:cs="宋体"/>
          <w:color w:val="0000FF"/>
          <w:sz w:val="28"/>
          <w:szCs w:val="28"/>
          <w:lang w:val="en-US" w:eastAsia="zh-CN"/>
        </w:rPr>
        <w:t>2</w:t>
      </w:r>
      <w:r>
        <w:rPr>
          <w:rFonts w:hint="eastAsia" w:ascii="宋体" w:hAnsi="宋体" w:eastAsia="宋体" w:cs="宋体"/>
          <w:color w:val="0000FF"/>
          <w:sz w:val="28"/>
          <w:szCs w:val="28"/>
          <w:lang w:val="zh-CN"/>
        </w:rPr>
        <w:t>总体布置</w:t>
      </w:r>
      <w:bookmarkEnd w:id="44"/>
    </w:p>
    <w:p>
      <w:pPr>
        <w:spacing w:line="360" w:lineRule="auto"/>
        <w:ind w:firstLine="562" w:firstLineChars="200"/>
        <w:rPr>
          <w:rFonts w:hint="eastAsia" w:ascii="宋体"/>
          <w:b/>
          <w:bCs/>
          <w:snapToGrid w:val="0"/>
          <w:color w:val="0000FF"/>
          <w:kern w:val="0"/>
          <w:sz w:val="28"/>
          <w:szCs w:val="28"/>
          <w:lang w:val="en-US" w:eastAsia="en-US"/>
        </w:rPr>
      </w:pPr>
      <w:r>
        <w:rPr>
          <w:rFonts w:hint="eastAsia" w:ascii="宋体" w:eastAsia="宋体"/>
          <w:b/>
          <w:bCs/>
          <w:snapToGrid w:val="0"/>
          <w:color w:val="0000FF"/>
          <w:kern w:val="0"/>
          <w:sz w:val="28"/>
          <w:szCs w:val="28"/>
          <w:lang w:val="en-US" w:eastAsia="zh-CN"/>
        </w:rPr>
        <w:t>1、</w:t>
      </w:r>
      <w:r>
        <w:rPr>
          <w:rFonts w:hint="eastAsia" w:ascii="宋体"/>
          <w:b/>
          <w:bCs/>
          <w:snapToGrid w:val="0"/>
          <w:color w:val="0000FF"/>
          <w:kern w:val="0"/>
          <w:sz w:val="28"/>
          <w:szCs w:val="28"/>
          <w:lang w:val="zh-CN" w:eastAsia="zh-CN"/>
        </w:rPr>
        <w:t>总平面布置</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砖厂总平面布置较为简单，厂区用地按功能用途分为办公生活区、生产区、辅助生产区，并将生产区、辅助生产区与办公生活区分开布置。办公室位于厂区的东侧与隧道窑间距约25米，为砖混建筑，建筑面积约220m</w:t>
      </w:r>
      <w:r>
        <w:rPr>
          <w:rFonts w:hint="eastAsia" w:ascii="宋体" w:hAnsi="宋体" w:cs="宋体"/>
          <w:color w:val="auto"/>
          <w:sz w:val="28"/>
          <w:szCs w:val="28"/>
          <w:vertAlign w:val="superscript"/>
          <w:lang w:val="en-US" w:eastAsia="zh-CN"/>
        </w:rPr>
        <w:t>2</w:t>
      </w:r>
      <w:r>
        <w:rPr>
          <w:rFonts w:hint="eastAsia" w:ascii="宋体" w:hAnsi="宋体" w:cs="宋体"/>
          <w:color w:val="auto"/>
          <w:sz w:val="28"/>
          <w:szCs w:val="28"/>
          <w:lang w:val="en-US" w:eastAsia="zh-CN"/>
        </w:rPr>
        <w:t>。员工宿舍位于厂址西侧，隧道窑间距约40米，建筑面积约280m</w:t>
      </w:r>
      <w:r>
        <w:rPr>
          <w:rFonts w:hint="eastAsia" w:ascii="宋体" w:hAnsi="宋体" w:cs="宋体"/>
          <w:color w:val="auto"/>
          <w:sz w:val="28"/>
          <w:szCs w:val="28"/>
          <w:vertAlign w:val="superscript"/>
          <w:lang w:val="en-US" w:eastAsia="zh-CN"/>
        </w:rPr>
        <w:t>2</w:t>
      </w:r>
      <w:r>
        <w:rPr>
          <w:rFonts w:hint="eastAsia" w:ascii="宋体" w:hAnsi="宋体" w:cs="宋体"/>
          <w:color w:val="auto"/>
          <w:sz w:val="28"/>
          <w:szCs w:val="28"/>
          <w:lang w:val="en-US" w:eastAsia="zh-CN"/>
        </w:rPr>
        <w:t>。生产区位于厂址中部，主要由2条90米隧道窑（一烧一烘）、窑车摆渡区域、环保脱硫装置、装车区域、硬化回车场地等组成。辅助生产区位于窑体北侧（隧道窑与间距约15米），主要有破碎车间、生产车间。其余工序按破碎—筛选―搅拌—陈化—切坯―码坯—干燥—焙烧工序依次设置，布局紧凑，工作方便。详情如图2-2所示</w:t>
      </w:r>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综上，厂内各生产工序有机结合，有利于生产活动的开展，各地块利用功能集中且合理清楚，总平面布置较合理。</w:t>
      </w:r>
    </w:p>
    <w:p>
      <w:pPr>
        <w:pStyle w:val="2"/>
        <w:ind w:left="0" w:leftChars="0" w:firstLine="0" w:firstLineChars="0"/>
        <w:jc w:val="both"/>
        <w:rPr>
          <w:rFonts w:hint="eastAsia"/>
          <w:lang w:val="zh-CN" w:eastAsia="zh-CN"/>
        </w:rPr>
      </w:pPr>
      <w:r>
        <w:drawing>
          <wp:inline distT="0" distB="0" distL="114300" distR="114300">
            <wp:extent cx="6202680" cy="3987165"/>
            <wp:effectExtent l="0" t="0" r="0" b="5715"/>
            <wp:docPr id="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pic:cNvPicPr>
                      <a:picLocks noChangeAspect="1"/>
                    </pic:cNvPicPr>
                  </pic:nvPicPr>
                  <pic:blipFill>
                    <a:blip r:embed="rId6"/>
                    <a:stretch>
                      <a:fillRect/>
                    </a:stretch>
                  </pic:blipFill>
                  <pic:spPr>
                    <a:xfrm>
                      <a:off x="0" y="0"/>
                      <a:ext cx="6202680" cy="3987165"/>
                    </a:xfrm>
                    <a:prstGeom prst="rect">
                      <a:avLst/>
                    </a:prstGeom>
                    <a:noFill/>
                    <a:ln>
                      <a:noFill/>
                    </a:ln>
                  </pic:spPr>
                </pic:pic>
              </a:graphicData>
            </a:graphic>
          </wp:inline>
        </w:drawing>
      </w:r>
    </w:p>
    <w:p>
      <w:pPr>
        <w:pStyle w:val="12"/>
        <w:spacing w:line="240" w:lineRule="auto"/>
        <w:ind w:firstLine="482" w:firstLineChars="200"/>
        <w:jc w:val="center"/>
        <w:rPr>
          <w:rFonts w:hint="default" w:ascii="黑体" w:hAnsi="Courier New" w:eastAsia="黑体"/>
          <w:b/>
          <w:color w:val="auto"/>
          <w:sz w:val="24"/>
          <w:lang w:val="en-US"/>
        </w:rPr>
      </w:pPr>
      <w:r>
        <w:rPr>
          <w:rFonts w:hint="eastAsia" w:ascii="黑体" w:hAnsi="Courier New" w:eastAsia="黑体"/>
          <w:b/>
          <w:color w:val="auto"/>
          <w:sz w:val="24"/>
          <w:lang w:eastAsia="zh-CN"/>
        </w:rPr>
        <w:t>图</w:t>
      </w:r>
      <w:r>
        <w:rPr>
          <w:rFonts w:hint="eastAsia" w:ascii="黑体" w:hAnsi="Courier New" w:eastAsia="黑体"/>
          <w:b/>
          <w:color w:val="auto"/>
          <w:sz w:val="24"/>
          <w:lang w:val="en-US" w:eastAsia="zh-CN"/>
        </w:rPr>
        <w:t>2-2  总平面布局示意图</w:t>
      </w:r>
    </w:p>
    <w:p>
      <w:pPr>
        <w:pStyle w:val="5"/>
        <w:spacing w:before="0" w:after="0" w:line="360" w:lineRule="auto"/>
        <w:rPr>
          <w:rFonts w:hint="eastAsia" w:ascii="宋体" w:hAnsi="宋体" w:eastAsia="宋体" w:cs="宋体"/>
          <w:color w:val="auto"/>
          <w:sz w:val="28"/>
          <w:szCs w:val="28"/>
          <w:lang w:val="zh-CN"/>
        </w:rPr>
      </w:pPr>
      <w:bookmarkStart w:id="45" w:name="_Toc30409"/>
      <w:r>
        <w:rPr>
          <w:rFonts w:hint="eastAsia" w:ascii="宋体" w:hAnsi="宋体" w:eastAsia="宋体" w:cs="宋体"/>
          <w:color w:val="auto"/>
          <w:sz w:val="28"/>
          <w:szCs w:val="28"/>
          <w:lang w:val="zh-CN"/>
        </w:rPr>
        <w:t>2.</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rPr>
        <w:t>周边环境</w:t>
      </w:r>
      <w:bookmarkEnd w:id="45"/>
    </w:p>
    <w:p>
      <w:pPr>
        <w:spacing w:line="360" w:lineRule="auto"/>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 xml:space="preserve"> 砖厂朝向近似座西朝东，北面为页岩矿山；南面为农田，东面与村路相连；西面也为农田，除此外厂区四周200m安全警戒范围内，无其它矿山（包括闭坑矿山）、尾矿库、铁路、河流、居民区、风景区、重要工农业设施、名胜古迹以及其他需要保护的对象。厂址周边环境良好，无相互制约因素。详见表（2-2）与图（2-</w:t>
      </w:r>
      <w:r>
        <w:rPr>
          <w:rFonts w:hint="eastAsia" w:ascii="宋体" w:hAnsi="宋体" w:cs="宋体"/>
          <w:color w:val="auto"/>
          <w:sz w:val="28"/>
          <w:szCs w:val="28"/>
          <w:lang w:val="en-US" w:eastAsia="zh-CN"/>
        </w:rPr>
        <w:t>3</w:t>
      </w:r>
      <w:r>
        <w:rPr>
          <w:rFonts w:hint="eastAsia" w:ascii="宋体" w:hAnsi="宋体" w:cs="宋体"/>
          <w:color w:val="auto"/>
          <w:sz w:val="28"/>
          <w:szCs w:val="28"/>
          <w:lang w:val="zh-CN" w:eastAsia="zh-CN"/>
        </w:rPr>
        <w:t>）：</w:t>
      </w:r>
    </w:p>
    <w:tbl>
      <w:tblPr>
        <w:tblStyle w:val="1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4905"/>
        <w:gridCol w:w="2395"/>
      </w:tblGrid>
      <w:tr>
        <w:tblPrEx>
          <w:tblLayout w:type="fixed"/>
          <w:tblCellMar>
            <w:top w:w="0" w:type="dxa"/>
            <w:left w:w="108" w:type="dxa"/>
            <w:bottom w:w="0" w:type="dxa"/>
            <w:right w:w="108" w:type="dxa"/>
          </w:tblCellMar>
        </w:tblPrEx>
        <w:trPr>
          <w:trHeight w:val="235" w:hRule="atLeast"/>
          <w:tblHeader/>
          <w:jc w:val="center"/>
        </w:trPr>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szCs w:val="21"/>
              </w:rPr>
            </w:pPr>
            <w:r>
              <w:rPr>
                <w:rFonts w:hint="eastAsia" w:ascii="宋体" w:hAnsi="宋体"/>
                <w:b/>
                <w:szCs w:val="21"/>
              </w:rPr>
              <w:t>方位</w:t>
            </w:r>
          </w:p>
        </w:tc>
        <w:tc>
          <w:tcPr>
            <w:tcW w:w="490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b/>
                <w:szCs w:val="21"/>
              </w:rPr>
            </w:pPr>
            <w:r>
              <w:rPr>
                <w:rFonts w:hint="eastAsia" w:ascii="宋体" w:hAnsi="宋体"/>
                <w:b/>
                <w:szCs w:val="21"/>
              </w:rPr>
              <w:t>周边环境</w:t>
            </w:r>
          </w:p>
        </w:tc>
        <w:tc>
          <w:tcPr>
            <w:tcW w:w="23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b/>
                <w:szCs w:val="21"/>
              </w:rPr>
            </w:pPr>
            <w:r>
              <w:rPr>
                <w:rFonts w:hint="eastAsia" w:ascii="宋体" w:hAnsi="宋体"/>
                <w:b/>
                <w:szCs w:val="21"/>
              </w:rPr>
              <w:t xml:space="preserve">离厂界距离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厂址以东</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村路</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厂址以南</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农田</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厂址以北</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页岩矿山</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厂址以西</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农田</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20m</w:t>
            </w:r>
          </w:p>
        </w:tc>
      </w:tr>
    </w:tbl>
    <w:p>
      <w:pPr>
        <w:pStyle w:val="12"/>
        <w:spacing w:line="240" w:lineRule="auto"/>
        <w:ind w:firstLine="482" w:firstLineChars="200"/>
        <w:jc w:val="center"/>
        <w:rPr>
          <w:rFonts w:hint="eastAsia" w:ascii="黑体" w:hAnsi="Courier New" w:eastAsia="黑体"/>
          <w:b/>
          <w:color w:val="auto"/>
          <w:sz w:val="24"/>
          <w:lang w:val="en-US" w:eastAsia="zh-CN"/>
        </w:rPr>
      </w:pPr>
      <w:r>
        <w:rPr>
          <w:rFonts w:hint="eastAsia" w:ascii="黑体" w:hAnsi="Courier New" w:eastAsia="黑体"/>
          <w:b/>
          <w:color w:val="auto"/>
          <w:sz w:val="24"/>
          <w:lang w:val="en-US" w:eastAsia="zh-CN"/>
        </w:rPr>
        <w:t>表2-2 周边环境关系表</w:t>
      </w:r>
    </w:p>
    <w:p>
      <w:pPr>
        <w:snapToGrid w:val="0"/>
        <w:spacing w:line="360" w:lineRule="auto"/>
        <w:jc w:val="center"/>
      </w:pPr>
      <w:r>
        <w:drawing>
          <wp:inline distT="0" distB="0" distL="114300" distR="114300">
            <wp:extent cx="6069330" cy="3557270"/>
            <wp:effectExtent l="0" t="0" r="11430" b="8890"/>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pic:cNvPicPr>
                      <a:picLocks noChangeAspect="1"/>
                    </pic:cNvPicPr>
                  </pic:nvPicPr>
                  <pic:blipFill>
                    <a:blip r:embed="rId7"/>
                    <a:stretch>
                      <a:fillRect/>
                    </a:stretch>
                  </pic:blipFill>
                  <pic:spPr>
                    <a:xfrm>
                      <a:off x="0" y="0"/>
                      <a:ext cx="6069330" cy="3557270"/>
                    </a:xfrm>
                    <a:prstGeom prst="rect">
                      <a:avLst/>
                    </a:prstGeom>
                    <a:noFill/>
                    <a:ln>
                      <a:noFill/>
                    </a:ln>
                  </pic:spPr>
                </pic:pic>
              </a:graphicData>
            </a:graphic>
          </wp:inline>
        </w:drawing>
      </w:r>
    </w:p>
    <w:p>
      <w:pPr>
        <w:pStyle w:val="2"/>
        <w:jc w:val="center"/>
        <w:rPr>
          <w:rFonts w:hint="eastAsia"/>
          <w:b/>
          <w:bCs/>
          <w:lang w:val="en-US" w:eastAsia="zh-CN"/>
        </w:rPr>
      </w:pPr>
      <w:r>
        <w:rPr>
          <w:rFonts w:hint="eastAsia"/>
          <w:b/>
          <w:bCs/>
          <w:lang w:val="en-US" w:eastAsia="zh-CN"/>
        </w:rPr>
        <w:t>图2-3  周边环境示意图</w:t>
      </w:r>
    </w:p>
    <w:p>
      <w:pPr>
        <w:pStyle w:val="5"/>
        <w:spacing w:before="0" w:after="0" w:line="360" w:lineRule="auto"/>
        <w:rPr>
          <w:rFonts w:hint="eastAsia" w:ascii="宋体" w:hAnsi="宋体" w:eastAsia="宋体" w:cs="宋体"/>
          <w:color w:val="FF0000"/>
          <w:sz w:val="28"/>
          <w:szCs w:val="28"/>
          <w:lang w:val="zh-CN"/>
        </w:rPr>
      </w:pPr>
      <w:bookmarkStart w:id="46" w:name="_Toc7728"/>
      <w:r>
        <w:rPr>
          <w:rFonts w:hint="eastAsia" w:ascii="宋体" w:hAnsi="宋体" w:eastAsia="宋体" w:cs="宋体"/>
          <w:color w:val="FF0000"/>
          <w:sz w:val="28"/>
          <w:szCs w:val="28"/>
          <w:lang w:val="zh-CN"/>
        </w:rPr>
        <w:t>2.1.</w:t>
      </w:r>
      <w:r>
        <w:rPr>
          <w:rFonts w:hint="eastAsia" w:ascii="宋体" w:hAnsi="宋体" w:eastAsia="宋体" w:cs="宋体"/>
          <w:color w:val="FF0000"/>
          <w:sz w:val="28"/>
          <w:szCs w:val="28"/>
          <w:lang w:val="en-US" w:eastAsia="zh-CN"/>
        </w:rPr>
        <w:t>4</w:t>
      </w:r>
      <w:r>
        <w:rPr>
          <w:rFonts w:hint="eastAsia" w:ascii="宋体" w:hAnsi="宋体" w:eastAsia="宋体" w:cs="宋体"/>
          <w:color w:val="FF0000"/>
          <w:sz w:val="28"/>
          <w:szCs w:val="28"/>
          <w:lang w:val="zh-CN"/>
        </w:rPr>
        <w:t>工艺流程</w:t>
      </w:r>
      <w:bookmarkEnd w:id="46"/>
    </w:p>
    <w:p>
      <w:pPr>
        <w:spacing w:line="360" w:lineRule="auto"/>
        <w:ind w:firstLine="562" w:firstLineChars="200"/>
        <w:rPr>
          <w:rFonts w:hint="eastAsia" w:ascii="宋体"/>
          <w:b/>
          <w:bCs/>
          <w:snapToGrid w:val="0"/>
          <w:color w:val="FF0000"/>
          <w:kern w:val="0"/>
          <w:sz w:val="28"/>
          <w:szCs w:val="28"/>
          <w:lang w:val="en-US" w:eastAsia="zh-CN"/>
        </w:rPr>
      </w:pPr>
      <w:r>
        <w:rPr>
          <w:rFonts w:hint="eastAsia" w:ascii="宋体"/>
          <w:b/>
          <w:bCs/>
          <w:snapToGrid w:val="0"/>
          <w:color w:val="FF0000"/>
          <w:kern w:val="0"/>
          <w:sz w:val="28"/>
          <w:szCs w:val="28"/>
          <w:lang w:val="en-US" w:eastAsia="zh-CN"/>
        </w:rPr>
        <w:t>1、生产工艺流程图</w:t>
      </w:r>
    </w:p>
    <w:p>
      <w:pPr>
        <w:spacing w:line="360" w:lineRule="auto"/>
        <w:ind w:firstLine="560" w:firstLineChars="200"/>
        <w:rPr>
          <w:rFonts w:hint="eastAsia" w:ascii="宋体"/>
          <w:snapToGrid w:val="0"/>
          <w:color w:val="FF0000"/>
          <w:kern w:val="0"/>
          <w:sz w:val="28"/>
          <w:szCs w:val="28"/>
          <w:lang w:val="zh-CN" w:eastAsia="zh-CN"/>
        </w:rPr>
      </w:pPr>
      <w:r>
        <w:rPr>
          <w:rFonts w:hint="eastAsia" w:ascii="宋体"/>
          <w:snapToGrid w:val="0"/>
          <w:color w:val="FF0000"/>
          <w:kern w:val="0"/>
          <w:sz w:val="28"/>
          <w:szCs w:val="28"/>
          <w:lang w:val="zh-CN" w:eastAsia="zh-CN"/>
        </w:rPr>
        <w:t>标砖生产主要包括采矿、破碎、筛分、搅拌、制胚、进胚、烧窑、装车8大工序，各工序按照工艺流程布置在各自区域内。公司隧道窑采用环保节能式的隧道窑，首次烧结采用精煤助燃，顺利开窑后可利用标砖中含有的煤自燃热量进行烧结，待自然冷却后装车装车外售。生产工艺流程如图：</w:t>
      </w:r>
    </w:p>
    <w:p>
      <w:pPr>
        <w:spacing w:line="360" w:lineRule="auto"/>
        <w:ind w:firstLine="560" w:firstLineChars="200"/>
        <w:rPr>
          <w:rFonts w:hint="eastAsia" w:ascii="宋体"/>
          <w:snapToGrid w:val="0"/>
          <w:color w:val="auto"/>
          <w:kern w:val="0"/>
          <w:sz w:val="28"/>
          <w:szCs w:val="28"/>
        </w:rPr>
      </w:pPr>
      <w:r>
        <w:rPr>
          <w:rFonts w:hint="eastAsia" w:ascii="宋体"/>
          <w:color w:val="FF0000"/>
          <w:kern w:val="0"/>
          <w:sz w:val="28"/>
          <w:szCs w:val="28"/>
        </w:rPr>
        <mc:AlternateContent>
          <mc:Choice Requires="wpg">
            <w:drawing>
              <wp:anchor distT="0" distB="0" distL="114300" distR="114300" simplePos="0" relativeHeight="251738112" behindDoc="0" locked="0" layoutInCell="1" allowOverlap="1">
                <wp:simplePos x="0" y="0"/>
                <wp:positionH relativeFrom="column">
                  <wp:posOffset>18415</wp:posOffset>
                </wp:positionH>
                <wp:positionV relativeFrom="paragraph">
                  <wp:posOffset>635</wp:posOffset>
                </wp:positionV>
                <wp:extent cx="5632450" cy="2017395"/>
                <wp:effectExtent l="5080" t="4445" r="16510" b="5080"/>
                <wp:wrapNone/>
                <wp:docPr id="75" name="组合 75"/>
                <wp:cNvGraphicFramePr/>
                <a:graphic xmlns:a="http://schemas.openxmlformats.org/drawingml/2006/main">
                  <a:graphicData uri="http://schemas.microsoft.com/office/word/2010/wordprocessingGroup">
                    <wpg:wgp>
                      <wpg:cNvGrpSpPr/>
                      <wpg:grpSpPr>
                        <a:xfrm>
                          <a:off x="0" y="0"/>
                          <a:ext cx="5632450" cy="2017395"/>
                          <a:chOff x="2310" y="7530"/>
                          <a:chExt cx="7665" cy="4815"/>
                        </a:xfrm>
                      </wpg:grpSpPr>
                      <wps:wsp>
                        <wps:cNvPr id="44" name="矩形 44"/>
                        <wps:cNvSpPr/>
                        <wps:spPr>
                          <a:xfrm>
                            <a:off x="231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煤矸石、页岩</w:t>
                              </w:r>
                            </w:p>
                          </w:txbxContent>
                        </wps:txbx>
                        <wps:bodyPr upright="1"/>
                      </wps:wsp>
                      <wps:wsp>
                        <wps:cNvPr id="45" name="直接箭头连接符 45"/>
                        <wps:cNvCnPr/>
                        <wps:spPr>
                          <a:xfrm>
                            <a:off x="3930" y="7860"/>
                            <a:ext cx="390" cy="0"/>
                          </a:xfrm>
                          <a:prstGeom prst="straightConnector1">
                            <a:avLst/>
                          </a:prstGeom>
                          <a:ln w="9525" cap="flat" cmpd="sng">
                            <a:solidFill>
                              <a:srgbClr val="000000"/>
                            </a:solidFill>
                            <a:prstDash val="solid"/>
                            <a:headEnd type="none" w="med" len="med"/>
                            <a:tailEnd type="triangle" w="med" len="med"/>
                          </a:ln>
                        </wps:spPr>
                        <wps:bodyPr/>
                      </wps:wsp>
                      <wps:wsp>
                        <wps:cNvPr id="46" name="矩形 46"/>
                        <wps:cNvSpPr/>
                        <wps:spPr>
                          <a:xfrm>
                            <a:off x="432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板式给料机</w:t>
                              </w:r>
                            </w:p>
                          </w:txbxContent>
                        </wps:txbx>
                        <wps:bodyPr upright="1"/>
                      </wps:wsp>
                      <wps:wsp>
                        <wps:cNvPr id="47" name="直接箭头连接符 47"/>
                        <wps:cNvCnPr/>
                        <wps:spPr>
                          <a:xfrm>
                            <a:off x="3060" y="9525"/>
                            <a:ext cx="0" cy="825"/>
                          </a:xfrm>
                          <a:prstGeom prst="straightConnector1">
                            <a:avLst/>
                          </a:prstGeom>
                          <a:ln w="9525" cap="flat" cmpd="sng">
                            <a:solidFill>
                              <a:srgbClr val="000000"/>
                            </a:solidFill>
                            <a:prstDash val="solid"/>
                            <a:headEnd type="none" w="med" len="med"/>
                            <a:tailEnd type="triangle" w="med" len="med"/>
                          </a:ln>
                        </wps:spPr>
                        <wps:bodyPr/>
                      </wps:wsp>
                      <wps:wsp>
                        <wps:cNvPr id="48" name="直接箭头连接符 48"/>
                        <wps:cNvCnPr/>
                        <wps:spPr>
                          <a:xfrm>
                            <a:off x="5940" y="7845"/>
                            <a:ext cx="390" cy="0"/>
                          </a:xfrm>
                          <a:prstGeom prst="straightConnector1">
                            <a:avLst/>
                          </a:prstGeom>
                          <a:ln w="9525" cap="flat" cmpd="sng">
                            <a:solidFill>
                              <a:srgbClr val="000000"/>
                            </a:solidFill>
                            <a:prstDash val="solid"/>
                            <a:headEnd type="none" w="med" len="med"/>
                            <a:tailEnd type="triangle" w="med" len="med"/>
                          </a:ln>
                        </wps:spPr>
                        <wps:bodyPr/>
                      </wps:wsp>
                      <wps:wsp>
                        <wps:cNvPr id="49" name="矩形 49"/>
                        <wps:cNvSpPr/>
                        <wps:spPr>
                          <a:xfrm>
                            <a:off x="633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鄂破机</w:t>
                              </w:r>
                            </w:p>
                          </w:txbxContent>
                        </wps:txbx>
                        <wps:bodyPr upright="1"/>
                      </wps:wsp>
                      <wps:wsp>
                        <wps:cNvPr id="50" name="直接箭头连接符 50"/>
                        <wps:cNvCnPr/>
                        <wps:spPr>
                          <a:xfrm>
                            <a:off x="7950" y="7845"/>
                            <a:ext cx="390" cy="0"/>
                          </a:xfrm>
                          <a:prstGeom prst="straightConnector1">
                            <a:avLst/>
                          </a:prstGeom>
                          <a:ln w="9525" cap="flat" cmpd="sng">
                            <a:solidFill>
                              <a:srgbClr val="000000"/>
                            </a:solidFill>
                            <a:prstDash val="solid"/>
                            <a:headEnd type="none" w="med" len="med"/>
                            <a:tailEnd type="triangle" w="med" len="med"/>
                          </a:ln>
                        </wps:spPr>
                        <wps:bodyPr/>
                      </wps:wsp>
                      <wps:wsp>
                        <wps:cNvPr id="51" name="矩形 51"/>
                        <wps:cNvSpPr/>
                        <wps:spPr>
                          <a:xfrm>
                            <a:off x="8340" y="753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细破机</w:t>
                              </w:r>
                            </w:p>
                          </w:txbxContent>
                        </wps:txbx>
                        <wps:bodyPr upright="1"/>
                      </wps:wsp>
                      <wps:wsp>
                        <wps:cNvPr id="52" name="矩形 52"/>
                        <wps:cNvSpPr/>
                        <wps:spPr>
                          <a:xfrm>
                            <a:off x="834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双轴搅拌机</w:t>
                              </w:r>
                            </w:p>
                          </w:txbxContent>
                        </wps:txbx>
                        <wps:bodyPr upright="1"/>
                      </wps:wsp>
                      <wps:wsp>
                        <wps:cNvPr id="53" name="矩形 53"/>
                        <wps:cNvSpPr/>
                        <wps:spPr>
                          <a:xfrm>
                            <a:off x="633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液压多斗挖掘</w:t>
                              </w:r>
                            </w:p>
                          </w:txbxContent>
                        </wps:txbx>
                        <wps:bodyPr upright="1"/>
                      </wps:wsp>
                      <wps:wsp>
                        <wps:cNvPr id="54" name="矩形 54"/>
                        <wps:cNvSpPr/>
                        <wps:spPr>
                          <a:xfrm>
                            <a:off x="432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箱式给料机</w:t>
                              </w:r>
                            </w:p>
                          </w:txbxContent>
                        </wps:txbx>
                        <wps:bodyPr upright="1"/>
                      </wps:wsp>
                      <wps:wsp>
                        <wps:cNvPr id="55" name="矩形 55"/>
                        <wps:cNvSpPr/>
                        <wps:spPr>
                          <a:xfrm>
                            <a:off x="2310" y="894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挤泥机</w:t>
                              </w:r>
                            </w:p>
                          </w:txbxContent>
                        </wps:txbx>
                        <wps:bodyPr upright="1"/>
                      </wps:wsp>
                      <wps:wsp>
                        <wps:cNvPr id="56" name="直接箭头连接符 56"/>
                        <wps:cNvCnPr/>
                        <wps:spPr>
                          <a:xfrm flipH="1">
                            <a:off x="7935" y="9240"/>
                            <a:ext cx="405" cy="0"/>
                          </a:xfrm>
                          <a:prstGeom prst="straightConnector1">
                            <a:avLst/>
                          </a:prstGeom>
                          <a:ln w="9525" cap="flat" cmpd="sng">
                            <a:solidFill>
                              <a:srgbClr val="000000"/>
                            </a:solidFill>
                            <a:prstDash val="solid"/>
                            <a:headEnd type="none" w="med" len="med"/>
                            <a:tailEnd type="triangle" w="med" len="med"/>
                          </a:ln>
                        </wps:spPr>
                        <wps:bodyPr/>
                      </wps:wsp>
                      <wps:wsp>
                        <wps:cNvPr id="57" name="直接箭头连接符 57"/>
                        <wps:cNvCnPr/>
                        <wps:spPr>
                          <a:xfrm flipH="1">
                            <a:off x="5940" y="9240"/>
                            <a:ext cx="405" cy="0"/>
                          </a:xfrm>
                          <a:prstGeom prst="straightConnector1">
                            <a:avLst/>
                          </a:prstGeom>
                          <a:ln w="9525" cap="flat" cmpd="sng">
                            <a:solidFill>
                              <a:srgbClr val="000000"/>
                            </a:solidFill>
                            <a:prstDash val="solid"/>
                            <a:headEnd type="none" w="med" len="med"/>
                            <a:tailEnd type="triangle" w="med" len="med"/>
                          </a:ln>
                        </wps:spPr>
                        <wps:bodyPr/>
                      </wps:wsp>
                      <wps:wsp>
                        <wps:cNvPr id="58" name="直接箭头连接符 58"/>
                        <wps:cNvCnPr/>
                        <wps:spPr>
                          <a:xfrm flipH="1">
                            <a:off x="3915" y="9240"/>
                            <a:ext cx="405" cy="0"/>
                          </a:xfrm>
                          <a:prstGeom prst="straightConnector1">
                            <a:avLst/>
                          </a:prstGeom>
                          <a:ln w="9525" cap="flat" cmpd="sng">
                            <a:solidFill>
                              <a:srgbClr val="000000"/>
                            </a:solidFill>
                            <a:prstDash val="solid"/>
                            <a:headEnd type="none" w="med" len="med"/>
                            <a:tailEnd type="triangle" w="med" len="med"/>
                          </a:ln>
                        </wps:spPr>
                        <wps:bodyPr/>
                      </wps:wsp>
                      <wps:wsp>
                        <wps:cNvPr id="59" name="矩形 59"/>
                        <wps:cNvSpPr/>
                        <wps:spPr>
                          <a:xfrm>
                            <a:off x="231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切条、切坏机</w:t>
                              </w:r>
                            </w:p>
                          </w:txbxContent>
                        </wps:txbx>
                        <wps:bodyPr upright="1"/>
                      </wps:wsp>
                      <wps:wsp>
                        <wps:cNvPr id="60" name="直接箭头连接符 60"/>
                        <wps:cNvCnPr/>
                        <wps:spPr>
                          <a:xfrm>
                            <a:off x="3930" y="10680"/>
                            <a:ext cx="390" cy="0"/>
                          </a:xfrm>
                          <a:prstGeom prst="straightConnector1">
                            <a:avLst/>
                          </a:prstGeom>
                          <a:ln w="9525" cap="flat" cmpd="sng">
                            <a:solidFill>
                              <a:srgbClr val="000000"/>
                            </a:solidFill>
                            <a:prstDash val="solid"/>
                            <a:headEnd type="none" w="med" len="med"/>
                            <a:tailEnd type="triangle" w="med" len="med"/>
                          </a:ln>
                        </wps:spPr>
                        <wps:bodyPr/>
                      </wps:wsp>
                      <wps:wsp>
                        <wps:cNvPr id="61" name="矩形 61"/>
                        <wps:cNvSpPr/>
                        <wps:spPr>
                          <a:xfrm>
                            <a:off x="432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自动编码</w:t>
                              </w:r>
                            </w:p>
                          </w:txbxContent>
                        </wps:txbx>
                        <wps:bodyPr upright="1"/>
                      </wps:wsp>
                      <wps:wsp>
                        <wps:cNvPr id="62" name="直接箭头连接符 62"/>
                        <wps:cNvCnPr/>
                        <wps:spPr>
                          <a:xfrm>
                            <a:off x="9180" y="10935"/>
                            <a:ext cx="0" cy="825"/>
                          </a:xfrm>
                          <a:prstGeom prst="straightConnector1">
                            <a:avLst/>
                          </a:prstGeom>
                          <a:ln w="9525" cap="flat" cmpd="sng">
                            <a:solidFill>
                              <a:srgbClr val="000000"/>
                            </a:solidFill>
                            <a:prstDash val="solid"/>
                            <a:headEnd type="none" w="med" len="med"/>
                            <a:tailEnd type="triangle" w="med" len="med"/>
                          </a:ln>
                        </wps:spPr>
                        <wps:bodyPr/>
                      </wps:wsp>
                      <wps:wsp>
                        <wps:cNvPr id="63" name="直接箭头连接符 63"/>
                        <wps:cNvCnPr/>
                        <wps:spPr>
                          <a:xfrm>
                            <a:off x="5940" y="10665"/>
                            <a:ext cx="390" cy="0"/>
                          </a:xfrm>
                          <a:prstGeom prst="straightConnector1">
                            <a:avLst/>
                          </a:prstGeom>
                          <a:ln w="9525" cap="flat" cmpd="sng">
                            <a:solidFill>
                              <a:srgbClr val="000000"/>
                            </a:solidFill>
                            <a:prstDash val="solid"/>
                            <a:headEnd type="none" w="med" len="med"/>
                            <a:tailEnd type="triangle" w="med" len="med"/>
                          </a:ln>
                        </wps:spPr>
                        <wps:bodyPr/>
                      </wps:wsp>
                      <wps:wsp>
                        <wps:cNvPr id="64" name="矩形 64"/>
                        <wps:cNvSpPr/>
                        <wps:spPr>
                          <a:xfrm>
                            <a:off x="633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自动码坯机</w:t>
                              </w:r>
                            </w:p>
                          </w:txbxContent>
                        </wps:txbx>
                        <wps:bodyPr upright="1"/>
                      </wps:wsp>
                      <wps:wsp>
                        <wps:cNvPr id="65" name="直接箭头连接符 65"/>
                        <wps:cNvCnPr/>
                        <wps:spPr>
                          <a:xfrm>
                            <a:off x="7950" y="10665"/>
                            <a:ext cx="390" cy="0"/>
                          </a:xfrm>
                          <a:prstGeom prst="straightConnector1">
                            <a:avLst/>
                          </a:prstGeom>
                          <a:ln w="9525" cap="flat" cmpd="sng">
                            <a:solidFill>
                              <a:srgbClr val="000000"/>
                            </a:solidFill>
                            <a:prstDash val="solid"/>
                            <a:headEnd type="none" w="med" len="med"/>
                            <a:tailEnd type="triangle" w="med" len="med"/>
                          </a:ln>
                        </wps:spPr>
                        <wps:bodyPr/>
                      </wps:wsp>
                      <wps:wsp>
                        <wps:cNvPr id="66" name="矩形 66"/>
                        <wps:cNvSpPr/>
                        <wps:spPr>
                          <a:xfrm>
                            <a:off x="8340" y="1035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窑车</w:t>
                              </w:r>
                            </w:p>
                          </w:txbxContent>
                        </wps:txbx>
                        <wps:bodyPr upright="1"/>
                      </wps:wsp>
                      <wps:wsp>
                        <wps:cNvPr id="67" name="直接箭头连接符 67"/>
                        <wps:cNvCnPr/>
                        <wps:spPr>
                          <a:xfrm>
                            <a:off x="9180" y="8115"/>
                            <a:ext cx="0" cy="825"/>
                          </a:xfrm>
                          <a:prstGeom prst="straightConnector1">
                            <a:avLst/>
                          </a:prstGeom>
                          <a:ln w="9525" cap="flat" cmpd="sng">
                            <a:solidFill>
                              <a:srgbClr val="000000"/>
                            </a:solidFill>
                            <a:prstDash val="solid"/>
                            <a:headEnd type="none" w="med" len="med"/>
                            <a:tailEnd type="triangle" w="med" len="med"/>
                          </a:ln>
                        </wps:spPr>
                        <wps:bodyPr/>
                      </wps:wsp>
                      <wps:wsp>
                        <wps:cNvPr id="68" name="矩形 68"/>
                        <wps:cNvSpPr/>
                        <wps:spPr>
                          <a:xfrm>
                            <a:off x="835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存坯线</w:t>
                              </w:r>
                            </w:p>
                          </w:txbxContent>
                        </wps:txbx>
                        <wps:bodyPr upright="1"/>
                      </wps:wsp>
                      <wps:wsp>
                        <wps:cNvPr id="69" name="矩形 69"/>
                        <wps:cNvSpPr/>
                        <wps:spPr>
                          <a:xfrm>
                            <a:off x="634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干燥窑</w:t>
                              </w:r>
                            </w:p>
                          </w:txbxContent>
                        </wps:txbx>
                        <wps:bodyPr upright="1"/>
                      </wps:wsp>
                      <wps:wsp>
                        <wps:cNvPr id="70" name="矩形 70"/>
                        <wps:cNvSpPr/>
                        <wps:spPr>
                          <a:xfrm>
                            <a:off x="433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焙烧窑</w:t>
                              </w:r>
                            </w:p>
                          </w:txbxContent>
                        </wps:txbx>
                        <wps:bodyPr upright="1"/>
                      </wps:wsp>
                      <wps:wsp>
                        <wps:cNvPr id="71" name="矩形 71"/>
                        <wps:cNvSpPr/>
                        <wps:spPr>
                          <a:xfrm>
                            <a:off x="2325" y="11760"/>
                            <a:ext cx="162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成品装车</w:t>
                              </w:r>
                            </w:p>
                          </w:txbxContent>
                        </wps:txbx>
                        <wps:bodyPr upright="1"/>
                      </wps:wsp>
                      <wps:wsp>
                        <wps:cNvPr id="72" name="直接箭头连接符 72"/>
                        <wps:cNvCnPr/>
                        <wps:spPr>
                          <a:xfrm flipH="1">
                            <a:off x="7950" y="12060"/>
                            <a:ext cx="405" cy="0"/>
                          </a:xfrm>
                          <a:prstGeom prst="straightConnector1">
                            <a:avLst/>
                          </a:prstGeom>
                          <a:ln w="9525" cap="flat" cmpd="sng">
                            <a:solidFill>
                              <a:srgbClr val="000000"/>
                            </a:solidFill>
                            <a:prstDash val="solid"/>
                            <a:headEnd type="none" w="med" len="med"/>
                            <a:tailEnd type="triangle" w="med" len="med"/>
                          </a:ln>
                        </wps:spPr>
                        <wps:bodyPr/>
                      </wps:wsp>
                      <wps:wsp>
                        <wps:cNvPr id="73" name="直接箭头连接符 73"/>
                        <wps:cNvCnPr/>
                        <wps:spPr>
                          <a:xfrm flipH="1">
                            <a:off x="5955" y="12060"/>
                            <a:ext cx="405" cy="0"/>
                          </a:xfrm>
                          <a:prstGeom prst="straightConnector1">
                            <a:avLst/>
                          </a:prstGeom>
                          <a:ln w="9525" cap="flat" cmpd="sng">
                            <a:solidFill>
                              <a:srgbClr val="000000"/>
                            </a:solidFill>
                            <a:prstDash val="solid"/>
                            <a:headEnd type="none" w="med" len="med"/>
                            <a:tailEnd type="triangle" w="med" len="med"/>
                          </a:ln>
                        </wps:spPr>
                        <wps:bodyPr/>
                      </wps:wsp>
                      <wps:wsp>
                        <wps:cNvPr id="74" name="直接箭头连接符 74"/>
                        <wps:cNvCnPr/>
                        <wps:spPr>
                          <a:xfrm flipH="1">
                            <a:off x="3930" y="12060"/>
                            <a:ext cx="405"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1.45pt;margin-top:0.05pt;height:158.85pt;width:443.5pt;z-index:251738112;mso-width-relative:page;mso-height-relative:page;" coordorigin="2310,7530" coordsize="7665,4815" o:gfxdata="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">
                <o:lock v:ext="edit" aspectratio="f"/>
                <v:rect id="_x0000_s1026" o:spid="_x0000_s1026" o:spt="1" style="position:absolute;left:2310;top:7530;height:585;width:1620;"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煤矸石、页岩</w:t>
                        </w:r>
                      </w:p>
                    </w:txbxContent>
                  </v:textbox>
                </v:rect>
                <v:shape id="_x0000_s1026" o:spid="_x0000_s1026" o:spt="32" type="#_x0000_t32" style="position:absolute;left:3930;top:7860;height:0;width:390;"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4320;top:7530;height:585;width:1620;"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板式给料机</w:t>
                        </w:r>
                      </w:p>
                    </w:txbxContent>
                  </v:textbox>
                </v:rect>
                <v:shape id="_x0000_s1026" o:spid="_x0000_s1026" o:spt="32" type="#_x0000_t32" style="position:absolute;left:3060;top:9525;height:825;width:0;"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940;top:7845;height:0;width:390;"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6330;top:7530;height:585;width:1620;"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鄂破机</w:t>
                        </w:r>
                      </w:p>
                    </w:txbxContent>
                  </v:textbox>
                </v:rect>
                <v:shape id="_x0000_s1026" o:spid="_x0000_s1026" o:spt="32" type="#_x0000_t32" style="position:absolute;left:7950;top:7845;height:0;width:390;"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8340;top:7530;height:585;width:1620;" fillcolor="#FFFFFF" filled="t" stroked="t"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细破机</w:t>
                        </w:r>
                      </w:p>
                    </w:txbxContent>
                  </v:textbox>
                </v:rect>
                <v:rect id="_x0000_s1026" o:spid="_x0000_s1026" o:spt="1" style="position:absolute;left:8340;top:8940;height:585;width:1620;" fillcolor="#FFFFFF" filled="t" stroked="t"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双轴搅拌机</w:t>
                        </w:r>
                      </w:p>
                    </w:txbxContent>
                  </v:textbox>
                </v:rect>
                <v:rect id="_x0000_s1026" o:spid="_x0000_s1026" o:spt="1" style="position:absolute;left:6330;top:8940;height:585;width:1620;"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液压多斗挖掘</w:t>
                        </w:r>
                      </w:p>
                    </w:txbxContent>
                  </v:textbox>
                </v:rect>
                <v:rect id="_x0000_s1026" o:spid="_x0000_s1026" o:spt="1" style="position:absolute;left:4320;top:8940;height:585;width:1620;" fillcolor="#FFFFFF" filled="t" stroked="t" coordsize="21600,21600"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箱式给料机</w:t>
                        </w:r>
                      </w:p>
                    </w:txbxContent>
                  </v:textbox>
                </v:rect>
                <v:rect id="_x0000_s1026" o:spid="_x0000_s1026" o:spt="1" style="position:absolute;left:2310;top:8940;height:585;width:1620;"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挤泥机</w:t>
                        </w:r>
                      </w:p>
                    </w:txbxContent>
                  </v:textbox>
                </v:rect>
                <v:shape id="_x0000_s1026" o:spid="_x0000_s1026" o:spt="32" type="#_x0000_t32" style="position:absolute;left:7935;top:9240;flip:x;height:0;width:405;" filled="f" stroked="t" coordsize="21600,21600" o:gfxdata="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4e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940;top:9240;flip:x;height:0;width:405;" filled="f" stroked="t" coordsize="21600,21600" o:gfxdata="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p3g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3915;top:9240;flip:x;height:0;width:405;" filled="f" stroked="t" coordsize="21600,21600" o:gfxdata="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EJk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_x0000_s1026" o:spid="_x0000_s1026" o:spt="1" style="position:absolute;left:2310;top:10350;height:585;width:1620;" fillcolor="#FFFFFF" filled="t" stroked="t" coordsize="21600,21600" o:gfxdata="UEsDBAoAAAAAAIdO4kAAAAAAAAAAAAAAAAAEAAAAZHJzL1BLAwQUAAAACACHTuJAgswOzL4AAADb&#10;AAAADwAAAGRycy9kb3ducmV2LnhtbEWPzW7CMBCE70h9B2sr9QY2VEU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wOz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切条、切坏机</w:t>
                        </w:r>
                      </w:p>
                    </w:txbxContent>
                  </v:textbox>
                </v:rect>
                <v:shape id="_x0000_s1026" o:spid="_x0000_s1026" o:spt="32" type="#_x0000_t32" style="position:absolute;left:3930;top:10680;height:0;width:390;" filled="f" stroked="t" coordsize="21600,21600" o:gfxdata="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pqH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rect id="_x0000_s1026" o:spid="_x0000_s1026" o:spt="1" style="position:absolute;left:4320;top:10350;height:585;width:1620;" fillcolor="#FFFFFF" filled="t" stroked="t"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自动编码</w:t>
                        </w:r>
                      </w:p>
                    </w:txbxContent>
                  </v:textbox>
                </v:rect>
                <v:shape id="_x0000_s1026" o:spid="_x0000_s1026" o:spt="32" type="#_x0000_t32" style="position:absolute;left:9180;top:10935;height:825;width:0;" filled="f" stroked="t" coordsize="21600,21600" o:gfxdata="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FKF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5940;top:10665;height:0;width:390;" filled="f" stroked="t" coordsize="21600,21600" o:gfxdata="UEsDBAoAAAAAAIdO4kAAAAAAAAAAAAAAAAAEAAAAZHJzL1BLAwQUAAAACACHTuJAt1gE8L8AAADb&#10;AAAADwAAAGRycy9kb3ducmV2LnhtbEWPzWrDMBCE74G8g9hAb4nsF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YBP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6330;top:10350;height:585;width:1620;" fillcolor="#FFFFFF" filled="t" stroked="t"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自动码坯机</w:t>
                        </w:r>
                      </w:p>
                    </w:txbxContent>
                  </v:textbox>
                </v:rect>
                <v:shape id="_x0000_s1026" o:spid="_x0000_s1026" o:spt="32" type="#_x0000_t32" style="position:absolute;left:7950;top:10665;height:0;width:390;" filled="f" stroked="t" coordsize="21600,21600" o:gfxdata="UEsDBAoAAAAAAIdO4kAAAAAAAAAAAAAAAAAEAAAAZHJzL1BLAwQUAAAACACHTuJAV/05H78AAADb&#10;AAAADwAAAGRycy9kb3ducmV2LnhtbEWPzWrDMBCE74G8g9hAb4nsQE3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9O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8340;top:10350;height:585;width:1620;" fillcolor="#FFFFFF" filled="t" stroked="t"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窑车</w:t>
                        </w:r>
                      </w:p>
                    </w:txbxContent>
                  </v:textbox>
                </v:rect>
                <v:shape id="_x0000_s1026" o:spid="_x0000_s1026" o:spt="32" type="#_x0000_t32" style="position:absolute;left:9180;top:8115;height:825;width:0;" filled="f" stroked="t" coordsize="21600,21600" o:gfxdata="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jAv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8355;top:11760;height:585;width:1620;"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pPr>
                        <w:r>
                          <w:rPr>
                            <w:rFonts w:hint="eastAsia"/>
                          </w:rPr>
                          <w:t>存坯线</w:t>
                        </w:r>
                      </w:p>
                    </w:txbxContent>
                  </v:textbox>
                </v:rect>
                <v:rect id="_x0000_s1026" o:spid="_x0000_s1026" o:spt="1" style="position:absolute;left:6345;top:11760;height:585;width:1620;"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干燥窑</w:t>
                        </w:r>
                      </w:p>
                    </w:txbxContent>
                  </v:textbox>
                </v:rect>
                <v:rect id="_x0000_s1026" o:spid="_x0000_s1026" o:spt="1" style="position:absolute;left:4335;top:11760;height:585;width:1620;"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rPr>
                          <w:t>焙烧窑</w:t>
                        </w:r>
                      </w:p>
                    </w:txbxContent>
                  </v:textbox>
                </v:rect>
                <v:rect id="_x0000_s1026" o:spid="_x0000_s1026" o:spt="1" style="position:absolute;left:2325;top:11760;height:585;width:1620;" fillcolor="#FFFFFF" filled="t" stroked="t" coordsize="21600,21600" o:gfxdata="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D16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成品装车</w:t>
                        </w:r>
                      </w:p>
                    </w:txbxContent>
                  </v:textbox>
                </v:rect>
                <v:shape id="_x0000_s1026" o:spid="_x0000_s1026" o:spt="32" type="#_x0000_t32" style="position:absolute;left:7950;top:12060;flip:x;height:0;width:405;" filled="f" stroked="t" coordsize="21600,21600" o:gfxdata="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GI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5955;top:12060;flip:x;height:0;width:405;" filled="f" stroked="t" coordsize="21600,21600" o:gfxdata="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DHg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930;top:12060;flip:x;height:0;width:405;" filled="f" stroked="t" coordsize="21600,21600" o:gfxdata="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lf9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spacing w:line="360" w:lineRule="auto"/>
        <w:ind w:firstLine="560" w:firstLineChars="200"/>
        <w:rPr>
          <w:rFonts w:hint="eastAsia" w:ascii="宋体"/>
          <w:snapToGrid w:val="0"/>
          <w:color w:val="auto"/>
          <w:kern w:val="0"/>
          <w:sz w:val="28"/>
          <w:szCs w:val="28"/>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p>
    <w:p>
      <w:pPr>
        <w:tabs>
          <w:tab w:val="left" w:pos="180"/>
          <w:tab w:val="left" w:pos="1800"/>
          <w:tab w:val="left" w:pos="1980"/>
          <w:tab w:val="left" w:pos="2520"/>
          <w:tab w:val="left" w:pos="2700"/>
          <w:tab w:val="left" w:pos="2880"/>
          <w:tab w:val="left" w:pos="4140"/>
          <w:tab w:val="left" w:pos="4680"/>
        </w:tabs>
        <w:spacing w:line="360" w:lineRule="auto"/>
        <w:jc w:val="center"/>
        <w:rPr>
          <w:rFonts w:hint="eastAsia" w:ascii="黑体" w:hAnsi="黑体" w:eastAsia="黑体"/>
          <w:b/>
          <w:snapToGrid w:val="0"/>
          <w:color w:val="auto"/>
          <w:kern w:val="0"/>
          <w:sz w:val="24"/>
          <w:lang w:eastAsia="zh-CN"/>
        </w:rPr>
      </w:pPr>
      <w:r>
        <w:rPr>
          <w:rFonts w:hint="eastAsia" w:ascii="黑体" w:hAnsi="黑体" w:eastAsia="黑体"/>
          <w:b/>
          <w:snapToGrid w:val="0"/>
          <w:color w:val="auto"/>
          <w:kern w:val="0"/>
          <w:sz w:val="24"/>
          <w:lang w:eastAsia="zh-CN"/>
        </w:rPr>
        <w:t>图</w:t>
      </w:r>
      <w:r>
        <w:rPr>
          <w:rFonts w:hint="eastAsia" w:ascii="黑体" w:hAnsi="黑体" w:eastAsia="黑体"/>
          <w:b/>
          <w:snapToGrid w:val="0"/>
          <w:color w:val="auto"/>
          <w:kern w:val="0"/>
          <w:sz w:val="24"/>
          <w:lang w:val="en-US" w:eastAsia="zh-CN"/>
        </w:rPr>
        <w:t>2</w:t>
      </w:r>
      <w:r>
        <w:rPr>
          <w:rFonts w:hint="eastAsia" w:ascii="黑体" w:hAnsi="黑体" w:eastAsia="黑体"/>
          <w:b/>
          <w:snapToGrid w:val="0"/>
          <w:color w:val="auto"/>
          <w:kern w:val="0"/>
          <w:sz w:val="24"/>
          <w:lang w:eastAsia="zh-CN"/>
        </w:rPr>
        <w:t>-</w:t>
      </w:r>
      <w:r>
        <w:rPr>
          <w:rFonts w:hint="eastAsia" w:ascii="黑体" w:hAnsi="黑体" w:eastAsia="黑体"/>
          <w:b/>
          <w:snapToGrid w:val="0"/>
          <w:color w:val="auto"/>
          <w:kern w:val="0"/>
          <w:sz w:val="24"/>
          <w:lang w:val="en-US" w:eastAsia="zh-CN"/>
        </w:rPr>
        <w:t>4</w:t>
      </w:r>
      <w:r>
        <w:rPr>
          <w:rFonts w:hint="eastAsia" w:ascii="黑体" w:hAnsi="黑体" w:eastAsia="黑体"/>
          <w:b/>
          <w:snapToGrid w:val="0"/>
          <w:color w:val="auto"/>
          <w:kern w:val="0"/>
          <w:sz w:val="24"/>
          <w:lang w:eastAsia="zh-CN"/>
        </w:rPr>
        <w:t xml:space="preserve"> 页岩砖生产工艺流程示意图</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2、原料制备</w:t>
      </w:r>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制砖主要原料煤外购运到厂内，自卸到板式给料机中。经板式给料机定量装到胶带输送机上，运到颚式破碎机处进行粗破，通过刮板给料机、圆盘给料机均匀喂料，至锤式破碎机进行粉碎，粉碎后物料颗粒组成情况为：</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539"/>
        <w:gridCol w:w="3074"/>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1～3mm</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0.5～1mm</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0.2～0.5mm</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&lt;3%</w:t>
            </w:r>
          </w:p>
        </w:tc>
        <w:tc>
          <w:tcPr>
            <w:tcW w:w="2539"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30%</w:t>
            </w:r>
          </w:p>
        </w:tc>
        <w:tc>
          <w:tcPr>
            <w:tcW w:w="3074"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33%</w:t>
            </w:r>
          </w:p>
        </w:tc>
        <w:tc>
          <w:tcPr>
            <w:tcW w:w="2006" w:type="dxa"/>
            <w:noWrap w:val="0"/>
            <w:vAlign w:val="top"/>
          </w:tcPr>
          <w:p>
            <w:pPr>
              <w:spacing w:line="360" w:lineRule="auto"/>
              <w:rPr>
                <w:rFonts w:hint="eastAsia" w:ascii="宋体"/>
                <w:snapToGrid w:val="0"/>
                <w:color w:val="auto"/>
                <w:kern w:val="0"/>
                <w:szCs w:val="21"/>
              </w:rPr>
            </w:pPr>
            <w:r>
              <w:rPr>
                <w:rFonts w:hint="eastAsia" w:ascii="宋体"/>
                <w:snapToGrid w:val="0"/>
                <w:color w:val="auto"/>
                <w:kern w:val="0"/>
                <w:szCs w:val="21"/>
              </w:rPr>
              <w:t>&gt;34%</w:t>
            </w:r>
          </w:p>
        </w:tc>
      </w:tr>
    </w:tbl>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煤按配合比(</w:t>
      </w:r>
      <w:r>
        <w:rPr>
          <w:rFonts w:hint="eastAsia" w:ascii="宋体" w:hAnsi="宋体"/>
          <w:color w:val="auto"/>
          <w:sz w:val="28"/>
          <w:szCs w:val="28"/>
        </w:rPr>
        <w:t>页岩、煤矸石=7:3)</w:t>
      </w:r>
      <w:r>
        <w:rPr>
          <w:rFonts w:hint="eastAsia" w:ascii="宋体"/>
          <w:snapToGrid w:val="0"/>
          <w:color w:val="auto"/>
          <w:kern w:val="0"/>
          <w:sz w:val="28"/>
          <w:szCs w:val="28"/>
        </w:rPr>
        <w:t>要求经箱式给料机定量给料到胶带输送机上，</w:t>
      </w:r>
      <w:r>
        <w:rPr>
          <w:rFonts w:hint="eastAsia" w:ascii="宋体" w:hAnsi="宋体"/>
          <w:color w:val="auto"/>
          <w:sz w:val="28"/>
          <w:szCs w:val="28"/>
        </w:rPr>
        <w:t>页岩</w:t>
      </w:r>
      <w:r>
        <w:rPr>
          <w:rFonts w:hint="eastAsia" w:ascii="宋体"/>
          <w:snapToGrid w:val="0"/>
          <w:color w:val="auto"/>
          <w:kern w:val="0"/>
          <w:sz w:val="28"/>
          <w:szCs w:val="28"/>
        </w:rPr>
        <w:t>共同进行粗碎、细碎处理。粉碎后的</w:t>
      </w:r>
      <w:r>
        <w:rPr>
          <w:rFonts w:hint="eastAsia" w:ascii="宋体" w:hAnsi="宋体"/>
          <w:color w:val="auto"/>
          <w:sz w:val="28"/>
          <w:szCs w:val="28"/>
        </w:rPr>
        <w:t>页岩</w:t>
      </w:r>
      <w:r>
        <w:rPr>
          <w:rFonts w:hint="eastAsia" w:ascii="宋体"/>
          <w:snapToGrid w:val="0"/>
          <w:color w:val="auto"/>
          <w:kern w:val="0"/>
          <w:sz w:val="28"/>
          <w:szCs w:val="28"/>
        </w:rPr>
        <w:t>、煤粉经强力搅拌机加水搅拌混合。</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3、原料陈化处理</w:t>
      </w:r>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强力搅拌机处理后的混合料再通过胶带输送机运到陈化库顶部的可逆移动配仓布料机上，将混合料按一定规律均匀的堆存到陈化库中，混合料陈化时间不得小于3小时。陈化的作用是使原料中水分均匀化程度提高，使原料颗粒表面和内部性能更加的均匀，更趋一致，使颗粒变得容易疏解，使混合料的成型性能得到提高。</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4、挤出成型</w:t>
      </w:r>
    </w:p>
    <w:p>
      <w:pPr>
        <w:spacing w:line="360" w:lineRule="auto"/>
        <w:ind w:firstLine="560" w:firstLineChars="200"/>
        <w:rPr>
          <w:rFonts w:hint="eastAsia" w:ascii="宋体"/>
          <w:snapToGrid w:val="0"/>
          <w:color w:val="auto"/>
          <w:kern w:val="0"/>
          <w:sz w:val="28"/>
          <w:szCs w:val="28"/>
        </w:rPr>
      </w:pPr>
      <w:r>
        <w:rPr>
          <w:rFonts w:hint="eastAsia" w:ascii="宋体"/>
          <w:snapToGrid w:val="0"/>
          <w:color w:val="auto"/>
          <w:kern w:val="0"/>
          <w:sz w:val="28"/>
          <w:szCs w:val="28"/>
        </w:rPr>
        <w:t>经过陈化的混合料有装运到胶带输送机上运到成型车间的箱式给料机处定量向强力搅拌机给料。原料通过这次加水搅拌，使其成型水分达到16～17%。搅拌后的物料再经过湿式轮碾机进一步碾练均化处理，使混合料性能满足成型需要。挤出成型采用高挤出压力、高真空度的双极真空挤出机，许用挤出压力达到3.8mpa，真空度达到≤-0.092mpa。挤出的泥条经自动切条机、切坯机割成需要规格的砖坯，再经码坯将砖坯放到窑车上。</w:t>
      </w:r>
    </w:p>
    <w:p>
      <w:pPr>
        <w:spacing w:line="360" w:lineRule="auto"/>
        <w:ind w:firstLine="562" w:firstLineChars="200"/>
        <w:rPr>
          <w:rFonts w:hint="eastAsia" w:ascii="宋体"/>
          <w:b/>
          <w:bCs/>
          <w:snapToGrid w:val="0"/>
          <w:color w:val="auto"/>
          <w:kern w:val="0"/>
          <w:sz w:val="28"/>
          <w:szCs w:val="28"/>
          <w:lang w:val="en-US" w:eastAsia="zh-CN"/>
        </w:rPr>
      </w:pPr>
      <w:r>
        <w:rPr>
          <w:rFonts w:hint="eastAsia" w:ascii="宋体"/>
          <w:b/>
          <w:bCs/>
          <w:snapToGrid w:val="0"/>
          <w:color w:val="auto"/>
          <w:kern w:val="0"/>
          <w:sz w:val="28"/>
          <w:szCs w:val="28"/>
          <w:lang w:val="en-US" w:eastAsia="zh-CN"/>
        </w:rPr>
        <w:t>5、干燥、焙烧</w:t>
      </w:r>
    </w:p>
    <w:p>
      <w:pPr>
        <w:spacing w:line="360" w:lineRule="auto"/>
        <w:ind w:firstLine="560" w:firstLineChars="200"/>
        <w:rPr>
          <w:rFonts w:hint="eastAsia" w:ascii="宋体"/>
          <w:snapToGrid w:val="0"/>
          <w:kern w:val="0"/>
          <w:sz w:val="28"/>
          <w:szCs w:val="28"/>
        </w:rPr>
      </w:pPr>
      <w:r>
        <w:rPr>
          <w:rFonts w:hint="eastAsia" w:ascii="宋体"/>
          <w:snapToGrid w:val="0"/>
          <w:kern w:val="0"/>
          <w:sz w:val="28"/>
          <w:szCs w:val="28"/>
        </w:rPr>
        <w:t>码有砖坯的窑车通过窑车运转系统完成窑车在贮存段、干燥室、焙烧窑的运行。由于成型工段在市场淡季有可能是二班生产，干燥室、焙烧窑是三班生产，因此必须设置码有砖坯的窑车贮存段，用于贮存夜班进窑的窑车，该厂现有18辆窑车。</w:t>
      </w:r>
    </w:p>
    <w:p>
      <w:pPr>
        <w:spacing w:line="360" w:lineRule="auto"/>
        <w:ind w:firstLine="560" w:firstLineChars="200"/>
        <w:rPr>
          <w:rFonts w:hint="eastAsia" w:ascii="宋体"/>
          <w:snapToGrid w:val="0"/>
          <w:kern w:val="0"/>
          <w:sz w:val="28"/>
          <w:szCs w:val="28"/>
        </w:rPr>
      </w:pPr>
      <w:r>
        <w:rPr>
          <w:rFonts w:hint="eastAsia" w:ascii="宋体"/>
          <w:snapToGrid w:val="0"/>
          <w:kern w:val="0"/>
          <w:sz w:val="28"/>
          <w:szCs w:val="28"/>
        </w:rPr>
        <w:t>装有砖坯的窑车经过贮存后运送到进车端摆渡车上，通过液压顶车机将窑车送入干燥室内，本项目采用一次码烧工艺，干燥室断面尺寸和焙烧窑相同，净宽为3.</w:t>
      </w:r>
      <w:r>
        <w:rPr>
          <w:rFonts w:ascii="宋体"/>
          <w:snapToGrid w:val="0"/>
          <w:kern w:val="0"/>
          <w:sz w:val="28"/>
          <w:szCs w:val="28"/>
        </w:rPr>
        <w:t>6</w:t>
      </w:r>
      <w:r>
        <w:rPr>
          <w:rFonts w:hint="eastAsia" w:ascii="宋体"/>
          <w:snapToGrid w:val="0"/>
          <w:kern w:val="0"/>
          <w:sz w:val="28"/>
          <w:szCs w:val="28"/>
        </w:rPr>
        <w:t>米，有效高度3.3米，长90米。干燥热源来自焙烧窑余热。干燥好的砖坯通过干燥室出口拉引机、焙烧窑液压顶车机将窑车送入焙烧窑。</w:t>
      </w:r>
    </w:p>
    <w:p>
      <w:pPr>
        <w:pStyle w:val="5"/>
        <w:spacing w:before="0" w:after="0" w:line="360" w:lineRule="auto"/>
        <w:rPr>
          <w:rFonts w:hint="eastAsia" w:ascii="宋体" w:hAnsi="宋体" w:eastAsia="宋体" w:cs="宋体"/>
          <w:color w:val="auto"/>
          <w:sz w:val="28"/>
          <w:szCs w:val="28"/>
          <w:lang w:val="zh-CN"/>
        </w:rPr>
      </w:pPr>
      <w:bookmarkStart w:id="47" w:name="_Toc1695"/>
      <w:r>
        <w:rPr>
          <w:rFonts w:hint="eastAsia" w:ascii="宋体" w:hAnsi="宋体" w:eastAsia="宋体" w:cs="宋体"/>
          <w:color w:val="auto"/>
          <w:sz w:val="28"/>
          <w:szCs w:val="28"/>
          <w:lang w:val="zh-CN"/>
        </w:rPr>
        <w:t>2.1.</w:t>
      </w:r>
      <w:r>
        <w:rPr>
          <w:rFonts w:hint="eastAsia" w:ascii="宋体" w:hAnsi="宋体" w:eastAsia="宋体" w:cs="宋体"/>
          <w:color w:val="auto"/>
          <w:sz w:val="28"/>
          <w:szCs w:val="28"/>
          <w:lang w:val="en-US" w:eastAsia="zh-CN"/>
        </w:rPr>
        <w:t>5</w:t>
      </w:r>
      <w:r>
        <w:rPr>
          <w:rFonts w:hint="eastAsia" w:ascii="宋体" w:hAnsi="宋体" w:eastAsia="宋体" w:cs="宋体"/>
          <w:b/>
          <w:bCs/>
          <w:i w:val="0"/>
          <w:iCs w:val="0"/>
          <w:color w:val="auto"/>
          <w:sz w:val="28"/>
          <w:szCs w:val="28"/>
        </w:rPr>
        <w:t>主要生产设备情况</w:t>
      </w:r>
      <w:bookmarkEnd w:id="47"/>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lang w:eastAsia="zh-CN"/>
        </w:rPr>
        <w:t xml:space="preserve"> 仪陇县光华旺隆页岩砖厂</w:t>
      </w:r>
      <w:r>
        <w:rPr>
          <w:rFonts w:hint="eastAsia" w:ascii="宋体" w:hAnsi="宋体" w:cs="宋体"/>
          <w:i w:val="0"/>
          <w:iCs w:val="0"/>
          <w:color w:val="auto"/>
          <w:sz w:val="28"/>
          <w:szCs w:val="28"/>
        </w:rPr>
        <w:t>主要设备清单见表</w:t>
      </w:r>
      <w:r>
        <w:rPr>
          <w:rFonts w:hint="eastAsia" w:ascii="宋体" w:hAnsi="宋体" w:eastAsia="宋体" w:cs="宋体"/>
          <w:i w:val="0"/>
          <w:iCs w:val="0"/>
          <w:color w:val="auto"/>
          <w:sz w:val="28"/>
          <w:szCs w:val="28"/>
          <w:lang w:val="en-US" w:eastAsia="zh-CN"/>
        </w:rPr>
        <w:t>2</w:t>
      </w:r>
      <w:r>
        <w:rPr>
          <w:rFonts w:hint="eastAsia" w:ascii="宋体" w:hAnsi="宋体" w:cs="宋体"/>
          <w:i w:val="0"/>
          <w:iCs w:val="0"/>
          <w:color w:val="auto"/>
          <w:sz w:val="28"/>
          <w:szCs w:val="28"/>
        </w:rPr>
        <w:t>-</w:t>
      </w:r>
      <w:r>
        <w:rPr>
          <w:rFonts w:hint="eastAsia" w:ascii="宋体" w:hAnsi="宋体" w:cs="宋体"/>
          <w:i w:val="0"/>
          <w:iCs w:val="0"/>
          <w:color w:val="auto"/>
          <w:sz w:val="28"/>
          <w:szCs w:val="28"/>
          <w:lang w:val="en-US" w:eastAsia="zh-CN"/>
        </w:rPr>
        <w:t>2</w:t>
      </w:r>
      <w:r>
        <w:rPr>
          <w:rFonts w:hint="eastAsia" w:ascii="宋体" w:hAnsi="宋体" w:cs="宋体"/>
          <w:i w:val="0"/>
          <w:iCs w:val="0"/>
          <w:color w:val="auto"/>
          <w:sz w:val="28"/>
          <w:szCs w:val="28"/>
        </w:rPr>
        <w:t>所示。</w:t>
      </w:r>
    </w:p>
    <w:tbl>
      <w:tblPr>
        <w:tblStyle w:val="1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28"/>
        <w:gridCol w:w="3876"/>
        <w:gridCol w:w="708"/>
        <w:gridCol w:w="816"/>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blHeader/>
          <w:jc w:val="center"/>
        </w:trPr>
        <w:tc>
          <w:tcPr>
            <w:tcW w:w="729" w:type="dxa"/>
            <w:noWrap w:val="0"/>
            <w:vAlign w:val="center"/>
          </w:tcPr>
          <w:p>
            <w:pPr>
              <w:jc w:val="center"/>
              <w:rPr>
                <w:b/>
                <w:szCs w:val="21"/>
              </w:rPr>
            </w:pPr>
            <w:r>
              <w:rPr>
                <w:b/>
                <w:szCs w:val="21"/>
              </w:rPr>
              <w:t>序号</w:t>
            </w:r>
          </w:p>
        </w:tc>
        <w:tc>
          <w:tcPr>
            <w:tcW w:w="2328" w:type="dxa"/>
            <w:noWrap w:val="0"/>
            <w:vAlign w:val="center"/>
          </w:tcPr>
          <w:p>
            <w:pPr>
              <w:jc w:val="center"/>
              <w:rPr>
                <w:b/>
                <w:szCs w:val="21"/>
              </w:rPr>
            </w:pPr>
            <w:r>
              <w:rPr>
                <w:b/>
                <w:szCs w:val="21"/>
              </w:rPr>
              <w:t>设备名称</w:t>
            </w:r>
          </w:p>
        </w:tc>
        <w:tc>
          <w:tcPr>
            <w:tcW w:w="3876" w:type="dxa"/>
            <w:noWrap w:val="0"/>
            <w:vAlign w:val="center"/>
          </w:tcPr>
          <w:p>
            <w:pPr>
              <w:jc w:val="center"/>
              <w:rPr>
                <w:b/>
                <w:szCs w:val="21"/>
              </w:rPr>
            </w:pPr>
            <w:r>
              <w:rPr>
                <w:b/>
                <w:szCs w:val="21"/>
              </w:rPr>
              <w:t>类型及规格</w:t>
            </w:r>
          </w:p>
        </w:tc>
        <w:tc>
          <w:tcPr>
            <w:tcW w:w="708" w:type="dxa"/>
            <w:noWrap w:val="0"/>
            <w:vAlign w:val="center"/>
          </w:tcPr>
          <w:p>
            <w:pPr>
              <w:jc w:val="center"/>
              <w:rPr>
                <w:b/>
                <w:szCs w:val="21"/>
              </w:rPr>
            </w:pPr>
            <w:r>
              <w:rPr>
                <w:b/>
                <w:szCs w:val="21"/>
              </w:rPr>
              <w:t>单位</w:t>
            </w:r>
          </w:p>
        </w:tc>
        <w:tc>
          <w:tcPr>
            <w:tcW w:w="816" w:type="dxa"/>
            <w:noWrap w:val="0"/>
            <w:vAlign w:val="center"/>
          </w:tcPr>
          <w:p>
            <w:pPr>
              <w:jc w:val="center"/>
              <w:rPr>
                <w:b/>
                <w:szCs w:val="21"/>
              </w:rPr>
            </w:pPr>
            <w:r>
              <w:rPr>
                <w:b/>
                <w:szCs w:val="21"/>
              </w:rPr>
              <w:t>数量</w:t>
            </w:r>
          </w:p>
        </w:tc>
        <w:tc>
          <w:tcPr>
            <w:tcW w:w="1171" w:type="dxa"/>
            <w:noWrap w:val="0"/>
            <w:vAlign w:val="center"/>
          </w:tcPr>
          <w:p>
            <w:pPr>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bottom"/>
          </w:tcPr>
          <w:p>
            <w:pPr>
              <w:jc w:val="center"/>
              <w:rPr>
                <w:rFonts w:hint="eastAsia"/>
                <w:szCs w:val="21"/>
              </w:rPr>
            </w:pPr>
            <w:r>
              <w:rPr>
                <w:rFonts w:hint="eastAsia" w:ascii="宋体" w:hAnsi="宋体" w:eastAsia="宋体" w:cs="宋体"/>
                <w:vertAlign w:val="baseline"/>
                <w:lang w:val="zh-CN" w:eastAsia="zh-CN"/>
              </w:rPr>
              <w:t>1</w:t>
            </w:r>
          </w:p>
        </w:tc>
        <w:tc>
          <w:tcPr>
            <w:tcW w:w="2328" w:type="dxa"/>
            <w:noWrap w:val="0"/>
            <w:vAlign w:val="center"/>
          </w:tcPr>
          <w:p>
            <w:pPr>
              <w:jc w:val="center"/>
              <w:rPr>
                <w:rFonts w:hint="eastAsia"/>
                <w:szCs w:val="21"/>
              </w:rPr>
            </w:pPr>
            <w:r>
              <w:rPr>
                <w:rFonts w:hint="eastAsia"/>
                <w:szCs w:val="21"/>
              </w:rPr>
              <w:t>码坯机</w:t>
            </w:r>
          </w:p>
        </w:tc>
        <w:tc>
          <w:tcPr>
            <w:tcW w:w="3876" w:type="dxa"/>
            <w:noWrap w:val="0"/>
            <w:vAlign w:val="center"/>
          </w:tcPr>
          <w:p>
            <w:pPr>
              <w:jc w:val="center"/>
              <w:rPr>
                <w:rFonts w:hint="eastAsia"/>
                <w:szCs w:val="21"/>
              </w:rPr>
            </w:pPr>
            <w:r>
              <w:rPr>
                <w:rFonts w:hint="eastAsia"/>
                <w:szCs w:val="21"/>
              </w:rPr>
              <w:t>MPA</w:t>
            </w:r>
          </w:p>
        </w:tc>
        <w:tc>
          <w:tcPr>
            <w:tcW w:w="708" w:type="dxa"/>
            <w:noWrap w:val="0"/>
            <w:vAlign w:val="center"/>
          </w:tcPr>
          <w:p>
            <w:pPr>
              <w:jc w:val="center"/>
              <w:rPr>
                <w:rFonts w:hint="eastAsia"/>
                <w:szCs w:val="21"/>
              </w:rPr>
            </w:pPr>
            <w:r>
              <w:rPr>
                <w:rFonts w:hint="eastAsia"/>
                <w:szCs w:val="21"/>
              </w:rPr>
              <w:t>台</w:t>
            </w:r>
          </w:p>
        </w:tc>
        <w:tc>
          <w:tcPr>
            <w:tcW w:w="816" w:type="dxa"/>
            <w:noWrap w:val="0"/>
            <w:vAlign w:val="center"/>
          </w:tcPr>
          <w:p>
            <w:pPr>
              <w:jc w:val="center"/>
              <w:rPr>
                <w:rFonts w:hint="eastAsia"/>
                <w:szCs w:val="21"/>
              </w:rPr>
            </w:pPr>
            <w:r>
              <w:rPr>
                <w:rFonts w:hint="eastAsia"/>
                <w:szCs w:val="21"/>
              </w:rPr>
              <w:t>1</w:t>
            </w:r>
          </w:p>
        </w:tc>
        <w:tc>
          <w:tcPr>
            <w:tcW w:w="117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center"/>
          </w:tcPr>
          <w:p>
            <w:pPr>
              <w:jc w:val="center"/>
              <w:rPr>
                <w:rFonts w:hint="eastAsia"/>
                <w:szCs w:val="21"/>
              </w:rPr>
            </w:pPr>
            <w:r>
              <w:rPr>
                <w:rFonts w:hint="eastAsia" w:ascii="宋体" w:hAnsi="宋体" w:eastAsia="宋体" w:cs="宋体"/>
                <w:vertAlign w:val="baseline"/>
                <w:lang w:val="zh-CN" w:eastAsia="zh-CN"/>
              </w:rPr>
              <w:t>2</w:t>
            </w:r>
          </w:p>
        </w:tc>
        <w:tc>
          <w:tcPr>
            <w:tcW w:w="2328" w:type="dxa"/>
            <w:noWrap w:val="0"/>
            <w:vAlign w:val="center"/>
          </w:tcPr>
          <w:p>
            <w:pPr>
              <w:jc w:val="center"/>
              <w:rPr>
                <w:rFonts w:hint="eastAsia"/>
                <w:szCs w:val="21"/>
              </w:rPr>
            </w:pPr>
            <w:r>
              <w:rPr>
                <w:rFonts w:hint="eastAsia"/>
                <w:szCs w:val="21"/>
              </w:rPr>
              <w:t>机器人+布坯机</w:t>
            </w:r>
          </w:p>
        </w:tc>
        <w:tc>
          <w:tcPr>
            <w:tcW w:w="3876" w:type="dxa"/>
            <w:noWrap w:val="0"/>
            <w:vAlign w:val="center"/>
          </w:tcPr>
          <w:p>
            <w:pPr>
              <w:jc w:val="center"/>
              <w:rPr>
                <w:rFonts w:hint="eastAsia"/>
                <w:szCs w:val="21"/>
              </w:rPr>
            </w:pPr>
            <w:r>
              <w:rPr>
                <w:rFonts w:hint="eastAsia"/>
                <w:szCs w:val="21"/>
              </w:rPr>
              <w:t>MPL/ZD/IRB+BPD/BPE</w:t>
            </w:r>
          </w:p>
        </w:tc>
        <w:tc>
          <w:tcPr>
            <w:tcW w:w="708" w:type="dxa"/>
            <w:noWrap w:val="0"/>
            <w:vAlign w:val="center"/>
          </w:tcPr>
          <w:p>
            <w:pPr>
              <w:jc w:val="center"/>
              <w:rPr>
                <w:rFonts w:hint="eastAsia"/>
                <w:szCs w:val="21"/>
              </w:rPr>
            </w:pPr>
            <w:r>
              <w:rPr>
                <w:rFonts w:hint="eastAsia"/>
                <w:szCs w:val="21"/>
              </w:rPr>
              <w:t>套</w:t>
            </w:r>
          </w:p>
        </w:tc>
        <w:tc>
          <w:tcPr>
            <w:tcW w:w="816" w:type="dxa"/>
            <w:noWrap w:val="0"/>
            <w:vAlign w:val="center"/>
          </w:tcPr>
          <w:p>
            <w:pPr>
              <w:jc w:val="center"/>
              <w:rPr>
                <w:rFonts w:hint="eastAsia"/>
                <w:szCs w:val="21"/>
              </w:rPr>
            </w:pPr>
            <w:r>
              <w:rPr>
                <w:rFonts w:hint="eastAsia"/>
                <w:szCs w:val="21"/>
              </w:rPr>
              <w:t>1</w:t>
            </w:r>
          </w:p>
        </w:tc>
        <w:tc>
          <w:tcPr>
            <w:tcW w:w="117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top"/>
          </w:tcPr>
          <w:p>
            <w:pPr>
              <w:jc w:val="center"/>
              <w:rPr>
                <w:rFonts w:hint="eastAsia"/>
                <w:szCs w:val="21"/>
              </w:rPr>
            </w:pPr>
            <w:r>
              <w:rPr>
                <w:rFonts w:hint="eastAsia" w:ascii="宋体" w:hAnsi="宋体" w:eastAsia="宋体" w:cs="宋体"/>
                <w:vertAlign w:val="baseline"/>
                <w:lang w:val="zh-CN" w:eastAsia="zh-CN"/>
              </w:rPr>
              <w:t>3</w:t>
            </w:r>
          </w:p>
        </w:tc>
        <w:tc>
          <w:tcPr>
            <w:tcW w:w="2328" w:type="dxa"/>
            <w:noWrap w:val="0"/>
            <w:vAlign w:val="center"/>
          </w:tcPr>
          <w:p>
            <w:pPr>
              <w:jc w:val="center"/>
              <w:rPr>
                <w:rFonts w:hint="eastAsia"/>
                <w:szCs w:val="21"/>
              </w:rPr>
            </w:pPr>
            <w:r>
              <w:rPr>
                <w:rFonts w:hint="eastAsia"/>
                <w:szCs w:val="21"/>
              </w:rPr>
              <w:t>机器人2+布坯机</w:t>
            </w:r>
          </w:p>
        </w:tc>
        <w:tc>
          <w:tcPr>
            <w:tcW w:w="3876" w:type="dxa"/>
            <w:noWrap w:val="0"/>
            <w:vAlign w:val="center"/>
          </w:tcPr>
          <w:p>
            <w:pPr>
              <w:jc w:val="center"/>
              <w:rPr>
                <w:rFonts w:hint="eastAsia"/>
                <w:szCs w:val="21"/>
              </w:rPr>
            </w:pPr>
            <w:r>
              <w:rPr>
                <w:rFonts w:hint="eastAsia"/>
                <w:szCs w:val="21"/>
              </w:rPr>
              <w:t>MPL/ZD/IRB+BPD/BPE</w:t>
            </w:r>
          </w:p>
        </w:tc>
        <w:tc>
          <w:tcPr>
            <w:tcW w:w="708" w:type="dxa"/>
            <w:noWrap w:val="0"/>
            <w:vAlign w:val="center"/>
          </w:tcPr>
          <w:p>
            <w:pPr>
              <w:jc w:val="center"/>
              <w:rPr>
                <w:rFonts w:hint="eastAsia"/>
                <w:szCs w:val="21"/>
              </w:rPr>
            </w:pPr>
            <w:r>
              <w:rPr>
                <w:rFonts w:hint="eastAsia"/>
                <w:szCs w:val="21"/>
              </w:rPr>
              <w:t>套</w:t>
            </w:r>
          </w:p>
        </w:tc>
        <w:tc>
          <w:tcPr>
            <w:tcW w:w="816" w:type="dxa"/>
            <w:noWrap w:val="0"/>
            <w:vAlign w:val="center"/>
          </w:tcPr>
          <w:p>
            <w:pPr>
              <w:jc w:val="center"/>
              <w:rPr>
                <w:rFonts w:hint="eastAsia"/>
                <w:szCs w:val="21"/>
              </w:rPr>
            </w:pPr>
            <w:r>
              <w:rPr>
                <w:rFonts w:hint="eastAsia"/>
                <w:szCs w:val="21"/>
              </w:rPr>
              <w:t>1</w:t>
            </w:r>
          </w:p>
        </w:tc>
        <w:tc>
          <w:tcPr>
            <w:tcW w:w="117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top"/>
          </w:tcPr>
          <w:p>
            <w:pPr>
              <w:jc w:val="center"/>
              <w:rPr>
                <w:rFonts w:hint="eastAsia"/>
                <w:szCs w:val="21"/>
              </w:rPr>
            </w:pPr>
            <w:r>
              <w:rPr>
                <w:rFonts w:hint="eastAsia" w:ascii="宋体" w:hAnsi="宋体" w:eastAsia="宋体" w:cs="宋体"/>
                <w:vertAlign w:val="baseline"/>
                <w:lang w:val="zh-CN" w:eastAsia="zh-CN"/>
              </w:rPr>
              <w:t>4</w:t>
            </w:r>
          </w:p>
        </w:tc>
        <w:tc>
          <w:tcPr>
            <w:tcW w:w="2328" w:type="dxa"/>
            <w:noWrap w:val="0"/>
            <w:vAlign w:val="center"/>
          </w:tcPr>
          <w:p>
            <w:pPr>
              <w:jc w:val="center"/>
              <w:rPr>
                <w:rFonts w:hint="eastAsia"/>
                <w:szCs w:val="21"/>
              </w:rPr>
            </w:pPr>
            <w:r>
              <w:rPr>
                <w:rFonts w:hint="eastAsia"/>
                <w:szCs w:val="21"/>
              </w:rPr>
              <w:t>机器人2+布坯机2+中（小）螳螂+移动平台</w:t>
            </w:r>
          </w:p>
        </w:tc>
        <w:tc>
          <w:tcPr>
            <w:tcW w:w="3876" w:type="dxa"/>
            <w:noWrap w:val="0"/>
            <w:vAlign w:val="center"/>
          </w:tcPr>
          <w:p>
            <w:pPr>
              <w:jc w:val="center"/>
              <w:rPr>
                <w:rFonts w:hint="eastAsia"/>
                <w:szCs w:val="21"/>
              </w:rPr>
            </w:pPr>
            <w:r>
              <w:rPr>
                <w:rFonts w:hint="eastAsia"/>
                <w:szCs w:val="21"/>
              </w:rPr>
              <w:t>MPL/ZD/IRB+BPD/BPE/BPF+TBR+PTB</w:t>
            </w:r>
          </w:p>
        </w:tc>
        <w:tc>
          <w:tcPr>
            <w:tcW w:w="708" w:type="dxa"/>
            <w:noWrap w:val="0"/>
            <w:vAlign w:val="center"/>
          </w:tcPr>
          <w:p>
            <w:pPr>
              <w:jc w:val="center"/>
              <w:rPr>
                <w:rFonts w:hint="eastAsia"/>
                <w:szCs w:val="21"/>
              </w:rPr>
            </w:pPr>
            <w:r>
              <w:rPr>
                <w:rFonts w:hint="eastAsia"/>
                <w:szCs w:val="21"/>
              </w:rPr>
              <w:t>套</w:t>
            </w:r>
          </w:p>
        </w:tc>
        <w:tc>
          <w:tcPr>
            <w:tcW w:w="816" w:type="dxa"/>
            <w:noWrap w:val="0"/>
            <w:vAlign w:val="center"/>
          </w:tcPr>
          <w:p>
            <w:pPr>
              <w:jc w:val="center"/>
              <w:rPr>
                <w:rFonts w:hint="eastAsia"/>
                <w:szCs w:val="21"/>
              </w:rPr>
            </w:pPr>
            <w:r>
              <w:rPr>
                <w:rFonts w:hint="eastAsia"/>
                <w:szCs w:val="21"/>
              </w:rPr>
              <w:t>1</w:t>
            </w:r>
          </w:p>
        </w:tc>
        <w:tc>
          <w:tcPr>
            <w:tcW w:w="117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bottom"/>
          </w:tcPr>
          <w:p>
            <w:pPr>
              <w:jc w:val="center"/>
              <w:rPr>
                <w:rFonts w:hint="eastAsia"/>
                <w:szCs w:val="21"/>
              </w:rPr>
            </w:pPr>
            <w:r>
              <w:rPr>
                <w:rFonts w:hint="eastAsia" w:ascii="宋体" w:hAnsi="宋体" w:eastAsia="宋体" w:cs="宋体"/>
                <w:vertAlign w:val="baseline"/>
                <w:lang w:val="zh-CN" w:eastAsia="zh-CN"/>
              </w:rPr>
              <w:t>5</w:t>
            </w:r>
          </w:p>
        </w:tc>
        <w:tc>
          <w:tcPr>
            <w:tcW w:w="2328" w:type="dxa"/>
            <w:noWrap w:val="0"/>
            <w:vAlign w:val="center"/>
          </w:tcPr>
          <w:p>
            <w:pPr>
              <w:jc w:val="center"/>
              <w:rPr>
                <w:rFonts w:hint="eastAsia"/>
                <w:szCs w:val="21"/>
              </w:rPr>
            </w:pPr>
            <w:r>
              <w:rPr>
                <w:rFonts w:hint="eastAsia"/>
                <w:szCs w:val="21"/>
              </w:rPr>
              <w:t>翻坯整理机</w:t>
            </w:r>
          </w:p>
        </w:tc>
        <w:tc>
          <w:tcPr>
            <w:tcW w:w="3876" w:type="dxa"/>
            <w:noWrap w:val="0"/>
            <w:vAlign w:val="center"/>
          </w:tcPr>
          <w:p>
            <w:pPr>
              <w:jc w:val="center"/>
              <w:rPr>
                <w:rFonts w:hint="eastAsia"/>
                <w:szCs w:val="21"/>
              </w:rPr>
            </w:pPr>
            <w:r>
              <w:rPr>
                <w:rFonts w:hint="eastAsia"/>
                <w:szCs w:val="21"/>
              </w:rPr>
              <w:t>ZLA</w:t>
            </w:r>
          </w:p>
        </w:tc>
        <w:tc>
          <w:tcPr>
            <w:tcW w:w="708" w:type="dxa"/>
            <w:noWrap w:val="0"/>
            <w:vAlign w:val="center"/>
          </w:tcPr>
          <w:p>
            <w:pPr>
              <w:jc w:val="center"/>
              <w:rPr>
                <w:rFonts w:hint="eastAsia"/>
                <w:szCs w:val="21"/>
              </w:rPr>
            </w:pPr>
            <w:r>
              <w:rPr>
                <w:rFonts w:hint="eastAsia"/>
                <w:szCs w:val="21"/>
              </w:rPr>
              <w:t>台</w:t>
            </w:r>
          </w:p>
        </w:tc>
        <w:tc>
          <w:tcPr>
            <w:tcW w:w="816" w:type="dxa"/>
            <w:noWrap w:val="0"/>
            <w:vAlign w:val="center"/>
          </w:tcPr>
          <w:p>
            <w:pPr>
              <w:jc w:val="center"/>
              <w:rPr>
                <w:rFonts w:hint="eastAsia"/>
                <w:szCs w:val="21"/>
              </w:rPr>
            </w:pPr>
            <w:r>
              <w:rPr>
                <w:rFonts w:hint="eastAsia"/>
                <w:szCs w:val="21"/>
              </w:rPr>
              <w:t>1</w:t>
            </w:r>
          </w:p>
        </w:tc>
        <w:tc>
          <w:tcPr>
            <w:tcW w:w="117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center"/>
          </w:tcPr>
          <w:p>
            <w:pPr>
              <w:jc w:val="center"/>
              <w:rPr>
                <w:rFonts w:hint="eastAsia"/>
                <w:szCs w:val="21"/>
              </w:rPr>
            </w:pPr>
            <w:r>
              <w:rPr>
                <w:rFonts w:hint="eastAsia" w:ascii="宋体" w:hAnsi="宋体" w:eastAsia="宋体" w:cs="宋体"/>
                <w:vertAlign w:val="baseline"/>
                <w:lang w:val="zh-CN" w:eastAsia="zh-CN"/>
              </w:rPr>
              <w:t>6</w:t>
            </w:r>
          </w:p>
        </w:tc>
        <w:tc>
          <w:tcPr>
            <w:tcW w:w="2328" w:type="dxa"/>
            <w:noWrap w:val="0"/>
            <w:vAlign w:val="center"/>
          </w:tcPr>
          <w:p>
            <w:pPr>
              <w:jc w:val="center"/>
              <w:rPr>
                <w:rFonts w:hint="eastAsia"/>
                <w:szCs w:val="21"/>
              </w:rPr>
            </w:pPr>
            <w:r>
              <w:rPr>
                <w:rFonts w:hint="eastAsia"/>
                <w:szCs w:val="21"/>
              </w:rPr>
              <w:t>窑车定位机</w:t>
            </w:r>
          </w:p>
        </w:tc>
        <w:tc>
          <w:tcPr>
            <w:tcW w:w="3876" w:type="dxa"/>
            <w:noWrap w:val="0"/>
            <w:vAlign w:val="center"/>
          </w:tcPr>
          <w:p>
            <w:pPr>
              <w:jc w:val="center"/>
              <w:rPr>
                <w:rFonts w:hint="eastAsia"/>
                <w:szCs w:val="21"/>
              </w:rPr>
            </w:pPr>
            <w:r>
              <w:rPr>
                <w:rFonts w:hint="eastAsia"/>
                <w:szCs w:val="21"/>
              </w:rPr>
              <w:t>BJA</w:t>
            </w:r>
          </w:p>
        </w:tc>
        <w:tc>
          <w:tcPr>
            <w:tcW w:w="708" w:type="dxa"/>
            <w:noWrap w:val="0"/>
            <w:vAlign w:val="center"/>
          </w:tcPr>
          <w:p>
            <w:pPr>
              <w:jc w:val="center"/>
              <w:rPr>
                <w:rFonts w:hint="eastAsia"/>
                <w:szCs w:val="21"/>
              </w:rPr>
            </w:pPr>
            <w:r>
              <w:rPr>
                <w:rFonts w:hint="eastAsia"/>
                <w:szCs w:val="21"/>
              </w:rPr>
              <w:t>台</w:t>
            </w:r>
          </w:p>
        </w:tc>
        <w:tc>
          <w:tcPr>
            <w:tcW w:w="816" w:type="dxa"/>
            <w:noWrap w:val="0"/>
            <w:vAlign w:val="center"/>
          </w:tcPr>
          <w:p>
            <w:pPr>
              <w:jc w:val="center"/>
              <w:rPr>
                <w:rFonts w:hint="eastAsia"/>
                <w:szCs w:val="21"/>
              </w:rPr>
            </w:pPr>
            <w:r>
              <w:rPr>
                <w:rFonts w:hint="eastAsia"/>
                <w:szCs w:val="21"/>
              </w:rPr>
              <w:t>2</w:t>
            </w:r>
          </w:p>
        </w:tc>
        <w:tc>
          <w:tcPr>
            <w:tcW w:w="117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center"/>
          </w:tcPr>
          <w:p>
            <w:pPr>
              <w:jc w:val="center"/>
              <w:rPr>
                <w:rFonts w:hint="eastAsia"/>
                <w:szCs w:val="21"/>
              </w:rPr>
            </w:pPr>
            <w:r>
              <w:rPr>
                <w:rFonts w:hint="eastAsia" w:ascii="宋体" w:hAnsi="宋体" w:eastAsia="宋体" w:cs="宋体"/>
                <w:vertAlign w:val="baseline"/>
                <w:lang w:val="zh-CN" w:eastAsia="zh-CN"/>
              </w:rPr>
              <w:t>7</w:t>
            </w:r>
          </w:p>
        </w:tc>
        <w:tc>
          <w:tcPr>
            <w:tcW w:w="2328" w:type="dxa"/>
            <w:noWrap w:val="0"/>
            <w:vAlign w:val="center"/>
          </w:tcPr>
          <w:p>
            <w:pPr>
              <w:jc w:val="center"/>
              <w:rPr>
                <w:rFonts w:hint="eastAsia"/>
                <w:szCs w:val="21"/>
              </w:rPr>
            </w:pPr>
            <w:r>
              <w:rPr>
                <w:rFonts w:hint="eastAsia"/>
                <w:szCs w:val="21"/>
              </w:rPr>
              <w:t>切条机</w:t>
            </w:r>
          </w:p>
        </w:tc>
        <w:tc>
          <w:tcPr>
            <w:tcW w:w="3876" w:type="dxa"/>
            <w:noWrap w:val="0"/>
            <w:vAlign w:val="center"/>
          </w:tcPr>
          <w:p>
            <w:pPr>
              <w:ind w:firstLine="630" w:firstLineChars="300"/>
              <w:jc w:val="center"/>
              <w:rPr>
                <w:rFonts w:hint="eastAsia"/>
                <w:szCs w:val="21"/>
              </w:rPr>
            </w:pPr>
            <w:r>
              <w:rPr>
                <w:rFonts w:hint="eastAsia"/>
                <w:szCs w:val="21"/>
              </w:rPr>
              <w:t>QTQB</w:t>
            </w:r>
          </w:p>
        </w:tc>
        <w:tc>
          <w:tcPr>
            <w:tcW w:w="708" w:type="dxa"/>
            <w:noWrap w:val="0"/>
            <w:vAlign w:val="center"/>
          </w:tcPr>
          <w:p>
            <w:pPr>
              <w:jc w:val="center"/>
              <w:rPr>
                <w:rFonts w:hint="eastAsia"/>
                <w:szCs w:val="21"/>
              </w:rPr>
            </w:pPr>
            <w:r>
              <w:rPr>
                <w:rFonts w:hint="eastAsia"/>
                <w:szCs w:val="21"/>
              </w:rPr>
              <w:t>台</w:t>
            </w:r>
          </w:p>
        </w:tc>
        <w:tc>
          <w:tcPr>
            <w:tcW w:w="816" w:type="dxa"/>
            <w:noWrap w:val="0"/>
            <w:vAlign w:val="center"/>
          </w:tcPr>
          <w:p>
            <w:pPr>
              <w:jc w:val="center"/>
              <w:rPr>
                <w:rFonts w:hint="eastAsia"/>
                <w:szCs w:val="21"/>
              </w:rPr>
            </w:pPr>
            <w:r>
              <w:rPr>
                <w:rFonts w:hint="eastAsia"/>
                <w:szCs w:val="21"/>
              </w:rPr>
              <w:t>1</w:t>
            </w:r>
          </w:p>
        </w:tc>
        <w:tc>
          <w:tcPr>
            <w:tcW w:w="117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center"/>
          </w:tcPr>
          <w:p>
            <w:pPr>
              <w:jc w:val="center"/>
              <w:rPr>
                <w:rFonts w:hint="eastAsia"/>
                <w:szCs w:val="21"/>
              </w:rPr>
            </w:pPr>
            <w:r>
              <w:rPr>
                <w:rFonts w:hint="eastAsia" w:ascii="宋体" w:hAnsi="宋体" w:eastAsia="宋体" w:cs="宋体"/>
                <w:vertAlign w:val="baseline"/>
                <w:lang w:val="zh-CN" w:eastAsia="zh-CN"/>
              </w:rPr>
              <w:t>8</w:t>
            </w:r>
          </w:p>
        </w:tc>
        <w:tc>
          <w:tcPr>
            <w:tcW w:w="2328" w:type="dxa"/>
            <w:noWrap w:val="0"/>
            <w:vAlign w:val="center"/>
          </w:tcPr>
          <w:p>
            <w:pPr>
              <w:jc w:val="center"/>
              <w:rPr>
                <w:rFonts w:hint="eastAsia"/>
                <w:szCs w:val="21"/>
              </w:rPr>
            </w:pPr>
            <w:r>
              <w:rPr>
                <w:rFonts w:hint="eastAsia"/>
                <w:szCs w:val="21"/>
              </w:rPr>
              <w:t>切条机</w:t>
            </w:r>
          </w:p>
        </w:tc>
        <w:tc>
          <w:tcPr>
            <w:tcW w:w="3876" w:type="dxa"/>
            <w:noWrap w:val="0"/>
            <w:vAlign w:val="center"/>
          </w:tcPr>
          <w:p>
            <w:pPr>
              <w:jc w:val="center"/>
              <w:rPr>
                <w:rFonts w:hint="eastAsia"/>
                <w:szCs w:val="21"/>
              </w:rPr>
            </w:pPr>
            <w:r>
              <w:rPr>
                <w:rFonts w:hint="eastAsia"/>
                <w:szCs w:val="21"/>
              </w:rPr>
              <w:t>QPA2</w:t>
            </w:r>
          </w:p>
        </w:tc>
        <w:tc>
          <w:tcPr>
            <w:tcW w:w="708" w:type="dxa"/>
            <w:noWrap w:val="0"/>
            <w:vAlign w:val="center"/>
          </w:tcPr>
          <w:p>
            <w:pPr>
              <w:jc w:val="center"/>
              <w:rPr>
                <w:rFonts w:hint="eastAsia"/>
                <w:szCs w:val="21"/>
              </w:rPr>
            </w:pPr>
            <w:r>
              <w:rPr>
                <w:rFonts w:hint="eastAsia"/>
                <w:szCs w:val="21"/>
              </w:rPr>
              <w:t>台</w:t>
            </w:r>
          </w:p>
        </w:tc>
        <w:tc>
          <w:tcPr>
            <w:tcW w:w="816" w:type="dxa"/>
            <w:noWrap w:val="0"/>
            <w:vAlign w:val="center"/>
          </w:tcPr>
          <w:p>
            <w:pPr>
              <w:jc w:val="center"/>
              <w:rPr>
                <w:rFonts w:hint="eastAsia"/>
                <w:szCs w:val="21"/>
              </w:rPr>
            </w:pPr>
            <w:r>
              <w:rPr>
                <w:rFonts w:hint="eastAsia"/>
                <w:szCs w:val="21"/>
              </w:rPr>
              <w:t>1</w:t>
            </w:r>
          </w:p>
        </w:tc>
        <w:tc>
          <w:tcPr>
            <w:tcW w:w="117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bottom"/>
          </w:tcPr>
          <w:p>
            <w:pPr>
              <w:jc w:val="center"/>
              <w:rPr>
                <w:rFonts w:hint="eastAsia"/>
                <w:szCs w:val="21"/>
              </w:rPr>
            </w:pPr>
            <w:r>
              <w:rPr>
                <w:rFonts w:hint="eastAsia" w:ascii="宋体" w:hAnsi="宋体" w:eastAsia="宋体" w:cs="宋体"/>
                <w:vertAlign w:val="baseline"/>
                <w:lang w:val="zh-CN" w:eastAsia="zh-CN"/>
              </w:rPr>
              <w:t>9</w:t>
            </w:r>
          </w:p>
        </w:tc>
        <w:tc>
          <w:tcPr>
            <w:tcW w:w="2328" w:type="dxa"/>
            <w:noWrap w:val="0"/>
            <w:vAlign w:val="center"/>
          </w:tcPr>
          <w:p>
            <w:pPr>
              <w:jc w:val="center"/>
              <w:rPr>
                <w:rFonts w:hint="eastAsia"/>
                <w:szCs w:val="21"/>
              </w:rPr>
            </w:pPr>
            <w:r>
              <w:rPr>
                <w:rFonts w:hint="eastAsia"/>
                <w:szCs w:val="21"/>
              </w:rPr>
              <w:t>切条切坯系统</w:t>
            </w:r>
          </w:p>
        </w:tc>
        <w:tc>
          <w:tcPr>
            <w:tcW w:w="3876" w:type="dxa"/>
            <w:noWrap w:val="0"/>
            <w:vAlign w:val="center"/>
          </w:tcPr>
          <w:p>
            <w:pPr>
              <w:jc w:val="center"/>
              <w:rPr>
                <w:rFonts w:hint="eastAsia"/>
                <w:szCs w:val="21"/>
              </w:rPr>
            </w:pPr>
            <w:r>
              <w:rPr>
                <w:rFonts w:hint="eastAsia"/>
                <w:szCs w:val="21"/>
              </w:rPr>
              <w:t>QTQB+QPA2</w:t>
            </w:r>
          </w:p>
        </w:tc>
        <w:tc>
          <w:tcPr>
            <w:tcW w:w="708" w:type="dxa"/>
            <w:noWrap w:val="0"/>
            <w:vAlign w:val="center"/>
          </w:tcPr>
          <w:p>
            <w:pPr>
              <w:jc w:val="center"/>
              <w:rPr>
                <w:rFonts w:hint="eastAsia"/>
                <w:szCs w:val="21"/>
              </w:rPr>
            </w:pPr>
            <w:r>
              <w:rPr>
                <w:rFonts w:hint="eastAsia"/>
                <w:szCs w:val="21"/>
              </w:rPr>
              <w:t>套</w:t>
            </w:r>
          </w:p>
        </w:tc>
        <w:tc>
          <w:tcPr>
            <w:tcW w:w="816" w:type="dxa"/>
            <w:noWrap w:val="0"/>
            <w:vAlign w:val="center"/>
          </w:tcPr>
          <w:p>
            <w:pPr>
              <w:jc w:val="center"/>
              <w:rPr>
                <w:rFonts w:hint="eastAsia"/>
                <w:szCs w:val="21"/>
              </w:rPr>
            </w:pPr>
            <w:r>
              <w:rPr>
                <w:rFonts w:hint="eastAsia"/>
                <w:szCs w:val="21"/>
              </w:rPr>
              <w:t>1</w:t>
            </w:r>
          </w:p>
        </w:tc>
        <w:tc>
          <w:tcPr>
            <w:tcW w:w="117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2328" w:type="dxa"/>
            <w:noWrap w:val="0"/>
            <w:vAlign w:val="center"/>
          </w:tcPr>
          <w:p>
            <w:pPr>
              <w:jc w:val="center"/>
              <w:rPr>
                <w:rFonts w:hint="eastAsia"/>
                <w:szCs w:val="21"/>
              </w:rPr>
            </w:pPr>
            <w:r>
              <w:rPr>
                <w:rFonts w:hint="eastAsia"/>
                <w:szCs w:val="21"/>
              </w:rPr>
              <w:t>砌块切割机</w:t>
            </w:r>
          </w:p>
        </w:tc>
        <w:tc>
          <w:tcPr>
            <w:tcW w:w="3876" w:type="dxa"/>
            <w:noWrap w:val="0"/>
            <w:vAlign w:val="center"/>
          </w:tcPr>
          <w:p>
            <w:pPr>
              <w:jc w:val="center"/>
              <w:rPr>
                <w:rFonts w:hint="eastAsia"/>
                <w:szCs w:val="21"/>
              </w:rPr>
            </w:pPr>
            <w:r>
              <w:rPr>
                <w:rFonts w:hint="eastAsia"/>
                <w:szCs w:val="21"/>
              </w:rPr>
              <w:t>SKA/SKB/SKC</w:t>
            </w:r>
          </w:p>
        </w:tc>
        <w:tc>
          <w:tcPr>
            <w:tcW w:w="708" w:type="dxa"/>
            <w:noWrap w:val="0"/>
            <w:vAlign w:val="center"/>
          </w:tcPr>
          <w:p>
            <w:pPr>
              <w:jc w:val="center"/>
              <w:rPr>
                <w:rFonts w:hint="eastAsia"/>
                <w:szCs w:val="21"/>
              </w:rPr>
            </w:pPr>
            <w:r>
              <w:rPr>
                <w:rFonts w:hint="eastAsia"/>
                <w:szCs w:val="21"/>
              </w:rPr>
              <w:t>套</w:t>
            </w:r>
          </w:p>
        </w:tc>
        <w:tc>
          <w:tcPr>
            <w:tcW w:w="816" w:type="dxa"/>
            <w:noWrap w:val="0"/>
            <w:vAlign w:val="center"/>
          </w:tcPr>
          <w:p>
            <w:pPr>
              <w:jc w:val="center"/>
              <w:rPr>
                <w:rFonts w:hint="eastAsia"/>
                <w:szCs w:val="21"/>
              </w:rPr>
            </w:pPr>
            <w:r>
              <w:rPr>
                <w:rFonts w:hint="eastAsia"/>
                <w:szCs w:val="21"/>
              </w:rPr>
              <w:t>1</w:t>
            </w:r>
          </w:p>
        </w:tc>
        <w:tc>
          <w:tcPr>
            <w:tcW w:w="117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2328" w:type="dxa"/>
            <w:noWrap w:val="0"/>
            <w:vAlign w:val="center"/>
          </w:tcPr>
          <w:p>
            <w:pPr>
              <w:jc w:val="center"/>
              <w:rPr>
                <w:rFonts w:hint="eastAsia"/>
                <w:szCs w:val="21"/>
              </w:rPr>
            </w:pPr>
            <w:r>
              <w:rPr>
                <w:rFonts w:hint="eastAsia"/>
                <w:szCs w:val="21"/>
              </w:rPr>
              <w:t>配料机+配水机</w:t>
            </w:r>
          </w:p>
        </w:tc>
        <w:tc>
          <w:tcPr>
            <w:tcW w:w="3876" w:type="dxa"/>
            <w:noWrap w:val="0"/>
            <w:vAlign w:val="center"/>
          </w:tcPr>
          <w:p>
            <w:pPr>
              <w:jc w:val="center"/>
              <w:rPr>
                <w:rFonts w:hint="eastAsia"/>
                <w:szCs w:val="21"/>
              </w:rPr>
            </w:pPr>
            <w:r>
              <w:rPr>
                <w:rFonts w:hint="eastAsia"/>
                <w:szCs w:val="21"/>
              </w:rPr>
              <w:t>PZW+PZS</w:t>
            </w:r>
          </w:p>
        </w:tc>
        <w:tc>
          <w:tcPr>
            <w:tcW w:w="708" w:type="dxa"/>
            <w:noWrap w:val="0"/>
            <w:vAlign w:val="center"/>
          </w:tcPr>
          <w:p>
            <w:pPr>
              <w:jc w:val="center"/>
              <w:rPr>
                <w:rFonts w:hint="eastAsia"/>
                <w:szCs w:val="21"/>
              </w:rPr>
            </w:pPr>
            <w:r>
              <w:rPr>
                <w:rFonts w:hint="eastAsia"/>
                <w:szCs w:val="21"/>
              </w:rPr>
              <w:t>套</w:t>
            </w:r>
          </w:p>
        </w:tc>
        <w:tc>
          <w:tcPr>
            <w:tcW w:w="816" w:type="dxa"/>
            <w:noWrap w:val="0"/>
            <w:vAlign w:val="center"/>
          </w:tcPr>
          <w:p>
            <w:pPr>
              <w:jc w:val="center"/>
              <w:rPr>
                <w:rFonts w:hint="eastAsia"/>
                <w:szCs w:val="21"/>
              </w:rPr>
            </w:pPr>
            <w:r>
              <w:rPr>
                <w:rFonts w:hint="eastAsia"/>
                <w:szCs w:val="21"/>
              </w:rPr>
              <w:t>1</w:t>
            </w:r>
          </w:p>
        </w:tc>
        <w:tc>
          <w:tcPr>
            <w:tcW w:w="1171"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9" w:type="dxa"/>
            <w:noWrap w:val="0"/>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w:t>
            </w:r>
          </w:p>
        </w:tc>
        <w:tc>
          <w:tcPr>
            <w:tcW w:w="2328" w:type="dxa"/>
            <w:noWrap w:val="0"/>
            <w:vAlign w:val="center"/>
          </w:tcPr>
          <w:p>
            <w:pPr>
              <w:jc w:val="center"/>
              <w:rPr>
                <w:rFonts w:hint="eastAsia"/>
                <w:szCs w:val="21"/>
              </w:rPr>
            </w:pPr>
            <w:r>
              <w:rPr>
                <w:rFonts w:hint="eastAsia"/>
                <w:szCs w:val="21"/>
              </w:rPr>
              <w:t>挤出机保护器</w:t>
            </w:r>
          </w:p>
        </w:tc>
        <w:tc>
          <w:tcPr>
            <w:tcW w:w="3876" w:type="dxa"/>
            <w:noWrap w:val="0"/>
            <w:vAlign w:val="center"/>
          </w:tcPr>
          <w:p>
            <w:pPr>
              <w:jc w:val="center"/>
              <w:rPr>
                <w:rFonts w:hint="eastAsia"/>
                <w:szCs w:val="21"/>
              </w:rPr>
            </w:pPr>
            <w:r>
              <w:rPr>
                <w:rFonts w:hint="eastAsia"/>
                <w:szCs w:val="21"/>
              </w:rPr>
              <w:t>ZKA</w:t>
            </w:r>
          </w:p>
        </w:tc>
        <w:tc>
          <w:tcPr>
            <w:tcW w:w="708" w:type="dxa"/>
            <w:noWrap w:val="0"/>
            <w:vAlign w:val="center"/>
          </w:tcPr>
          <w:p>
            <w:pPr>
              <w:jc w:val="center"/>
              <w:rPr>
                <w:rFonts w:hint="eastAsia"/>
                <w:szCs w:val="21"/>
              </w:rPr>
            </w:pPr>
            <w:r>
              <w:rPr>
                <w:rFonts w:hint="eastAsia"/>
                <w:szCs w:val="21"/>
              </w:rPr>
              <w:t>台</w:t>
            </w:r>
          </w:p>
        </w:tc>
        <w:tc>
          <w:tcPr>
            <w:tcW w:w="816" w:type="dxa"/>
            <w:noWrap w:val="0"/>
            <w:vAlign w:val="center"/>
          </w:tcPr>
          <w:p>
            <w:pPr>
              <w:jc w:val="center"/>
              <w:rPr>
                <w:rFonts w:hint="eastAsia"/>
                <w:szCs w:val="21"/>
              </w:rPr>
            </w:pPr>
            <w:r>
              <w:rPr>
                <w:rFonts w:hint="eastAsia"/>
                <w:szCs w:val="21"/>
              </w:rPr>
              <w:t>1</w:t>
            </w:r>
          </w:p>
        </w:tc>
        <w:tc>
          <w:tcPr>
            <w:tcW w:w="1171" w:type="dxa"/>
            <w:noWrap w:val="0"/>
            <w:vAlign w:val="center"/>
          </w:tcPr>
          <w:p>
            <w:pPr>
              <w:jc w:val="center"/>
              <w:rPr>
                <w:rFonts w:hint="eastAsia"/>
                <w:szCs w:val="21"/>
              </w:rPr>
            </w:pPr>
          </w:p>
        </w:tc>
      </w:tr>
    </w:tbl>
    <w:p>
      <w:pPr>
        <w:pStyle w:val="12"/>
        <w:spacing w:line="240" w:lineRule="auto"/>
        <w:ind w:firstLine="482" w:firstLineChars="200"/>
        <w:jc w:val="center"/>
        <w:rPr>
          <w:rFonts w:hint="eastAsia" w:ascii="黑体" w:hAnsi="Courier New" w:eastAsia="黑体"/>
          <w:b/>
          <w:color w:val="auto"/>
          <w:sz w:val="24"/>
          <w:lang w:eastAsia="zh-CN"/>
        </w:rPr>
      </w:pPr>
      <w:r>
        <w:rPr>
          <w:rFonts w:hint="eastAsia" w:ascii="黑体" w:hAnsi="Courier New" w:eastAsia="黑体"/>
          <w:b/>
          <w:color w:val="auto"/>
          <w:sz w:val="24"/>
          <w:lang w:eastAsia="zh-CN"/>
        </w:rPr>
        <w:t>表</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w:t>
      </w:r>
      <w:r>
        <w:rPr>
          <w:rFonts w:hint="eastAsia" w:ascii="黑体" w:hAnsi="Courier New" w:eastAsia="黑体"/>
          <w:b/>
          <w:color w:val="auto"/>
          <w:sz w:val="24"/>
          <w:lang w:val="en-US" w:eastAsia="zh-CN"/>
        </w:rPr>
        <w:t>2</w:t>
      </w:r>
      <w:r>
        <w:rPr>
          <w:rFonts w:hint="eastAsia" w:ascii="黑体" w:hAnsi="Courier New" w:eastAsia="黑体"/>
          <w:b/>
          <w:color w:val="auto"/>
          <w:sz w:val="24"/>
          <w:lang w:eastAsia="zh-CN"/>
        </w:rPr>
        <w:t xml:space="preserve"> 主要设备清单</w:t>
      </w:r>
    </w:p>
    <w:p>
      <w:pPr>
        <w:pStyle w:val="5"/>
        <w:spacing w:before="0" w:after="0" w:line="360" w:lineRule="auto"/>
        <w:rPr>
          <w:rFonts w:hint="eastAsia" w:ascii="宋体" w:hAnsi="宋体" w:eastAsia="宋体" w:cs="宋体"/>
          <w:color w:val="auto"/>
          <w:sz w:val="28"/>
          <w:szCs w:val="28"/>
        </w:rPr>
      </w:pPr>
      <w:bookmarkStart w:id="48" w:name="_Toc13399"/>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各方应急力量有关基本情况</w:t>
      </w:r>
      <w:bookmarkEnd w:id="48"/>
    </w:p>
    <w:p>
      <w:pPr>
        <w:pStyle w:val="5"/>
        <w:spacing w:before="0" w:after="0" w:line="360" w:lineRule="auto"/>
        <w:rPr>
          <w:rFonts w:hint="eastAsia" w:ascii="宋体" w:hAnsi="宋体" w:eastAsia="宋体" w:cs="宋体"/>
          <w:color w:val="auto"/>
          <w:sz w:val="28"/>
          <w:szCs w:val="28"/>
          <w:lang w:val="zh-CN"/>
        </w:rPr>
      </w:pPr>
      <w:bookmarkStart w:id="49" w:name="_Toc11605"/>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.1内部应急力量</w:t>
      </w:r>
      <w:bookmarkEnd w:id="49"/>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rPr>
        <w:t>公司成立有以总经理</w:t>
      </w:r>
      <w:r>
        <w:rPr>
          <w:rFonts w:hint="eastAsia" w:ascii="宋体" w:hAnsi="宋体" w:cs="宋体"/>
          <w:i w:val="0"/>
          <w:iCs w:val="0"/>
          <w:color w:val="FF0000"/>
          <w:sz w:val="28"/>
          <w:szCs w:val="28"/>
          <w:lang w:val="en-US" w:eastAsia="zh-CN"/>
        </w:rPr>
        <w:t>兰庆武</w:t>
      </w:r>
      <w:r>
        <w:rPr>
          <w:rFonts w:hint="eastAsia" w:ascii="宋体" w:hAnsi="宋体" w:cs="宋体"/>
          <w:i w:val="0"/>
          <w:iCs w:val="0"/>
          <w:color w:val="FF0000"/>
          <w:sz w:val="28"/>
          <w:szCs w:val="28"/>
        </w:rPr>
        <w:t>为组长的应急抢险救援领导小组，副组长由公司</w:t>
      </w:r>
      <w:r>
        <w:rPr>
          <w:rFonts w:hint="eastAsia" w:ascii="宋体" w:hAnsi="宋体" w:eastAsia="宋体" w:cs="宋体"/>
          <w:i w:val="0"/>
          <w:iCs w:val="0"/>
          <w:color w:val="FF0000"/>
          <w:sz w:val="28"/>
          <w:szCs w:val="28"/>
          <w:lang w:eastAsia="zh-CN"/>
        </w:rPr>
        <w:t>厂长</w:t>
      </w:r>
      <w:r>
        <w:rPr>
          <w:rFonts w:hint="eastAsia" w:ascii="宋体" w:hAnsi="宋体" w:eastAsia="宋体" w:cs="宋体"/>
          <w:i w:val="0"/>
          <w:iCs w:val="0"/>
          <w:color w:val="FF0000"/>
          <w:sz w:val="28"/>
          <w:szCs w:val="28"/>
          <w:lang w:val="en-US" w:eastAsia="zh-CN"/>
        </w:rPr>
        <w:t>杨胜刚</w:t>
      </w:r>
      <w:r>
        <w:rPr>
          <w:rFonts w:hint="eastAsia" w:ascii="宋体" w:hAnsi="宋体" w:cs="宋体"/>
          <w:i w:val="0"/>
          <w:iCs w:val="0"/>
          <w:color w:val="FF0000"/>
          <w:sz w:val="28"/>
          <w:szCs w:val="28"/>
        </w:rPr>
        <w:t>担任。成员由其他</w:t>
      </w:r>
      <w:r>
        <w:rPr>
          <w:rFonts w:hint="eastAsia" w:ascii="宋体" w:hAnsi="宋体" w:cs="宋体"/>
          <w:i w:val="0"/>
          <w:iCs w:val="0"/>
          <w:color w:val="FF0000"/>
          <w:sz w:val="28"/>
          <w:szCs w:val="28"/>
          <w:lang w:eastAsia="zh-CN"/>
        </w:rPr>
        <w:t>现场负责人</w:t>
      </w:r>
      <w:r>
        <w:rPr>
          <w:rFonts w:hint="eastAsia" w:ascii="宋体" w:hAnsi="宋体" w:cs="宋体"/>
          <w:i w:val="0"/>
          <w:iCs w:val="0"/>
          <w:color w:val="FF0000"/>
          <w:sz w:val="28"/>
          <w:szCs w:val="28"/>
        </w:rPr>
        <w:t>、车间主管及</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成员组成。并设</w:t>
      </w:r>
      <w:r>
        <w:rPr>
          <w:rFonts w:hint="eastAsia" w:ascii="宋体" w:hAnsi="宋体" w:cs="宋体"/>
          <w:i w:val="0"/>
          <w:iCs w:val="0"/>
          <w:color w:val="FF0000"/>
          <w:sz w:val="28"/>
          <w:szCs w:val="28"/>
          <w:lang w:eastAsia="zh-CN"/>
        </w:rPr>
        <w:t>安全管理员</w:t>
      </w:r>
      <w:r>
        <w:rPr>
          <w:rFonts w:hint="eastAsia" w:ascii="宋体" w:hAnsi="宋体" w:cs="宋体"/>
          <w:i w:val="0"/>
          <w:iCs w:val="0"/>
          <w:color w:val="FF0000"/>
          <w:sz w:val="28"/>
          <w:szCs w:val="28"/>
        </w:rPr>
        <w:t>作为独立的日常安全、环保管理专职人员，应急抢险救援领导小组下设有下设抢险救援组、</w:t>
      </w:r>
      <w:r>
        <w:rPr>
          <w:rFonts w:hint="eastAsia" w:ascii="宋体" w:hAnsi="宋体" w:cs="宋体"/>
          <w:i w:val="0"/>
          <w:iCs w:val="0"/>
          <w:color w:val="FF0000"/>
          <w:sz w:val="28"/>
          <w:szCs w:val="28"/>
          <w:lang w:eastAsia="zh-CN"/>
        </w:rPr>
        <w:t>疏散联络组</w:t>
      </w:r>
      <w:r>
        <w:rPr>
          <w:rFonts w:hint="eastAsia" w:ascii="宋体" w:hAnsi="宋体" w:cs="宋体"/>
          <w:i w:val="0"/>
          <w:iCs w:val="0"/>
          <w:color w:val="FF0000"/>
          <w:sz w:val="28"/>
          <w:szCs w:val="28"/>
        </w:rPr>
        <w:t>、后勤保障组、医疗救护组</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事故调查善后组、</w:t>
      </w:r>
      <w:r>
        <w:rPr>
          <w:rFonts w:hint="eastAsia" w:ascii="宋体" w:hAnsi="宋体" w:cs="宋体"/>
          <w:i w:val="0"/>
          <w:iCs w:val="0"/>
          <w:color w:val="FF0000"/>
          <w:sz w:val="28"/>
          <w:szCs w:val="28"/>
        </w:rPr>
        <w:t>负责处理应急救援事宜。领导小组办公室常设在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，日常工作由</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主管</w:t>
      </w:r>
      <w:r>
        <w:rPr>
          <w:rFonts w:hint="eastAsia" w:ascii="宋体" w:hAnsi="宋体" w:cs="宋体"/>
          <w:i w:val="0"/>
          <w:iCs w:val="0"/>
          <w:color w:val="FF0000"/>
          <w:sz w:val="28"/>
          <w:szCs w:val="28"/>
          <w:lang w:eastAsia="zh-CN"/>
        </w:rPr>
        <w:t>负责</w:t>
      </w:r>
      <w:r>
        <w:rPr>
          <w:rFonts w:hint="eastAsia" w:ascii="宋体" w:hAnsi="宋体" w:cs="宋体"/>
          <w:i w:val="0"/>
          <w:iCs w:val="0"/>
          <w:color w:val="FF0000"/>
          <w:sz w:val="28"/>
          <w:szCs w:val="28"/>
        </w:rPr>
        <w:t>。其它下设的各小组组长由公司指派部门负责人担任。重大事故发生时，由总经理任应急领导组长，领导小组副组长任副应急领导组长，负责组织和指挥应急抢险救护工作。应急领导小组一般设在</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。如果应急领导组长或副组长均不在公司时，则由在公司</w:t>
      </w:r>
      <w:r>
        <w:rPr>
          <w:rFonts w:hint="eastAsia" w:ascii="宋体" w:hAnsi="宋体" w:cs="宋体"/>
          <w:i w:val="0"/>
          <w:iCs w:val="0"/>
          <w:color w:val="FF0000"/>
          <w:sz w:val="28"/>
          <w:szCs w:val="28"/>
          <w:lang w:eastAsia="zh-CN"/>
        </w:rPr>
        <w:t>厂长</w:t>
      </w:r>
      <w:r>
        <w:rPr>
          <w:rFonts w:hint="eastAsia" w:ascii="宋体" w:hAnsi="宋体" w:cs="宋体"/>
          <w:i w:val="0"/>
          <w:iCs w:val="0"/>
          <w:color w:val="FF0000"/>
          <w:sz w:val="28"/>
          <w:szCs w:val="28"/>
        </w:rPr>
        <w:t>与</w:t>
      </w:r>
      <w:r>
        <w:rPr>
          <w:rFonts w:hint="eastAsia" w:ascii="宋体" w:hAnsi="宋体" w:cs="宋体"/>
          <w:i w:val="0"/>
          <w:iCs w:val="0"/>
          <w:color w:val="FF0000"/>
          <w:sz w:val="28"/>
          <w:szCs w:val="28"/>
          <w:lang w:eastAsia="zh-CN"/>
        </w:rPr>
        <w:t>行政部</w:t>
      </w:r>
      <w:r>
        <w:rPr>
          <w:rFonts w:hint="eastAsia" w:ascii="宋体" w:hAnsi="宋体" w:cs="宋体"/>
          <w:i w:val="0"/>
          <w:iCs w:val="0"/>
          <w:color w:val="FF0000"/>
          <w:sz w:val="28"/>
          <w:szCs w:val="28"/>
        </w:rPr>
        <w:t>负责人为临时应急领导组长，全权负责应急抢险及救护工作。</w:t>
      </w:r>
    </w:p>
    <w:p>
      <w:pPr>
        <w:pStyle w:val="5"/>
        <w:spacing w:before="0" w:after="0" w:line="360" w:lineRule="auto"/>
        <w:rPr>
          <w:rFonts w:hint="eastAsia" w:ascii="宋体" w:hAnsi="宋体" w:eastAsia="宋体" w:cs="宋体"/>
          <w:color w:val="auto"/>
          <w:sz w:val="28"/>
          <w:szCs w:val="28"/>
          <w:lang w:val="zh-CN"/>
        </w:rPr>
      </w:pPr>
      <w:bookmarkStart w:id="50" w:name="_Toc22110"/>
      <w:r>
        <w:rPr>
          <w:rFonts w:hint="eastAsia" w:ascii="宋体" w:hAnsi="宋体" w:eastAsia="宋体" w:cs="宋体"/>
          <w:color w:val="auto"/>
          <w:sz w:val="28"/>
          <w:szCs w:val="28"/>
          <w:lang w:val="zh-CN"/>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rPr>
        <w:t>外部应急力量</w:t>
      </w:r>
      <w:bookmarkEnd w:id="50"/>
    </w:p>
    <w:p>
      <w:pPr>
        <w:spacing w:line="360" w:lineRule="auto"/>
        <w:ind w:firstLine="560" w:firstLineChars="200"/>
        <w:rPr>
          <w:rFonts w:hint="eastAsia" w:ascii="宋体" w:hAnsi="宋体" w:cs="宋体"/>
          <w:i w:val="0"/>
          <w:iCs w:val="0"/>
          <w:color w:val="auto"/>
          <w:sz w:val="28"/>
          <w:szCs w:val="28"/>
        </w:rPr>
      </w:pPr>
      <w:r>
        <w:rPr>
          <w:rFonts w:hint="eastAsia" w:ascii="宋体" w:hAnsi="宋体" w:cs="宋体"/>
          <w:i w:val="0"/>
          <w:iCs w:val="0"/>
          <w:color w:val="auto"/>
          <w:sz w:val="28"/>
          <w:szCs w:val="28"/>
        </w:rPr>
        <w:t>公司能借用的外部力量包括</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人民政府、</w:t>
      </w:r>
      <w:r>
        <w:rPr>
          <w:rFonts w:hint="eastAsia" w:ascii="宋体" w:hAnsi="宋体" w:cs="宋体"/>
          <w:i w:val="0"/>
          <w:iCs w:val="0"/>
          <w:color w:val="auto"/>
          <w:sz w:val="28"/>
          <w:szCs w:val="28"/>
          <w:lang w:eastAsia="zh-CN"/>
        </w:rPr>
        <w:t>仪陇县</w:t>
      </w:r>
      <w:r>
        <w:rPr>
          <w:rFonts w:hint="eastAsia" w:ascii="宋体" w:hAnsi="宋体" w:cs="宋体"/>
          <w:i w:val="0"/>
          <w:iCs w:val="0"/>
          <w:color w:val="auto"/>
          <w:sz w:val="28"/>
          <w:szCs w:val="28"/>
        </w:rPr>
        <w:t>应急管理局、</w:t>
      </w:r>
      <w:r>
        <w:rPr>
          <w:rFonts w:hint="eastAsia" w:ascii="宋体" w:hAnsi="宋体" w:cs="宋体"/>
          <w:i w:val="0"/>
          <w:iCs w:val="0"/>
          <w:color w:val="auto"/>
          <w:sz w:val="28"/>
          <w:szCs w:val="28"/>
          <w:lang w:eastAsia="zh-CN"/>
        </w:rPr>
        <w:t>仪陇县消防救援局</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仪陇县光华乡</w:t>
      </w:r>
      <w:r>
        <w:rPr>
          <w:rFonts w:hint="eastAsia" w:ascii="宋体" w:hAnsi="宋体" w:cs="宋体"/>
          <w:i w:val="0"/>
          <w:iCs w:val="0"/>
          <w:color w:val="auto"/>
          <w:sz w:val="28"/>
          <w:szCs w:val="28"/>
          <w:lang w:val="zh-CN" w:eastAsia="zh-CN"/>
        </w:rPr>
        <w:t>政府</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仪陇县光华乡卫生院</w:t>
      </w:r>
      <w:r>
        <w:rPr>
          <w:rFonts w:hint="eastAsia" w:ascii="宋体" w:hAnsi="宋体" w:cs="宋体"/>
          <w:i w:val="0"/>
          <w:iCs w:val="0"/>
          <w:color w:val="auto"/>
          <w:sz w:val="28"/>
          <w:szCs w:val="28"/>
        </w:rPr>
        <w:t>、</w:t>
      </w:r>
      <w:r>
        <w:rPr>
          <w:rFonts w:hint="eastAsia" w:ascii="宋体" w:hAnsi="宋体" w:cs="宋体"/>
          <w:i w:val="0"/>
          <w:iCs w:val="0"/>
          <w:color w:val="auto"/>
          <w:sz w:val="28"/>
          <w:szCs w:val="28"/>
          <w:lang w:eastAsia="zh-CN"/>
        </w:rPr>
        <w:t>仪陇县人民医院</w:t>
      </w:r>
      <w:r>
        <w:rPr>
          <w:rFonts w:hint="eastAsia" w:ascii="宋体" w:hAnsi="宋体" w:cs="宋体"/>
          <w:i w:val="0"/>
          <w:iCs w:val="0"/>
          <w:color w:val="auto"/>
          <w:sz w:val="28"/>
          <w:szCs w:val="28"/>
        </w:rPr>
        <w:t>以及周边企业应急救援物质。</w:t>
      </w:r>
    </w:p>
    <w:p>
      <w:pPr>
        <w:spacing w:line="360" w:lineRule="auto"/>
        <w:ind w:firstLine="560" w:firstLineChars="200"/>
        <w:rPr>
          <w:rFonts w:hint="eastAsia" w:ascii="宋体" w:hAnsi="宋体" w:cs="宋体"/>
          <w:i w:val="0"/>
          <w:iCs w:val="0"/>
          <w:color w:val="FF0000"/>
          <w:sz w:val="28"/>
          <w:szCs w:val="28"/>
        </w:rPr>
      </w:pPr>
      <w:r>
        <w:rPr>
          <w:rFonts w:hint="eastAsia" w:ascii="宋体" w:hAnsi="宋体" w:cs="宋体"/>
          <w:i w:val="0"/>
          <w:iCs w:val="0"/>
          <w:color w:val="FF0000"/>
          <w:sz w:val="28"/>
          <w:szCs w:val="28"/>
          <w:lang w:eastAsia="zh-CN"/>
        </w:rPr>
        <w:t>仪陇县光华乡卫生院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2.6</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仪陇县人民医院</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10</w:t>
      </w:r>
      <w:r>
        <w:rPr>
          <w:rFonts w:hint="eastAsia" w:ascii="宋体" w:hAnsi="宋体" w:cs="宋体"/>
          <w:i w:val="0"/>
          <w:iCs w:val="0"/>
          <w:color w:val="FF0000"/>
          <w:sz w:val="28"/>
          <w:szCs w:val="28"/>
        </w:rPr>
        <w:t>km，发生事故时</w:t>
      </w:r>
      <w:r>
        <w:rPr>
          <w:rFonts w:hint="eastAsia" w:ascii="宋体" w:hAnsi="宋体" w:eastAsia="宋体" w:cs="宋体"/>
          <w:i w:val="0"/>
          <w:iCs w:val="0"/>
          <w:color w:val="FF0000"/>
          <w:sz w:val="28"/>
          <w:szCs w:val="28"/>
          <w:lang w:val="en-US" w:eastAsia="zh-CN"/>
        </w:rPr>
        <w:t>16分</w:t>
      </w:r>
      <w:r>
        <w:rPr>
          <w:rFonts w:hint="eastAsia" w:ascii="宋体" w:hAnsi="宋体" w:cs="宋体"/>
          <w:i w:val="0"/>
          <w:iCs w:val="0"/>
          <w:color w:val="FF0000"/>
          <w:sz w:val="28"/>
          <w:szCs w:val="28"/>
        </w:rPr>
        <w:t>内能到达现场。</w:t>
      </w:r>
    </w:p>
    <w:p>
      <w:pPr>
        <w:spacing w:line="360" w:lineRule="auto"/>
        <w:ind w:firstLine="560" w:firstLineChars="200"/>
        <w:rPr>
          <w:rFonts w:hint="eastAsia" w:ascii="宋体" w:hAnsi="宋体" w:cs="宋体"/>
          <w:i w:val="0"/>
          <w:iCs w:val="0"/>
          <w:color w:val="FF0000"/>
          <w:sz w:val="28"/>
          <w:szCs w:val="28"/>
          <w:lang w:eastAsia="zh-CN"/>
        </w:rPr>
      </w:pPr>
      <w:r>
        <w:rPr>
          <w:rFonts w:hint="eastAsia" w:ascii="宋体" w:hAnsi="宋体" w:cs="宋体"/>
          <w:i w:val="0"/>
          <w:iCs w:val="0"/>
          <w:color w:val="FF0000"/>
          <w:sz w:val="28"/>
          <w:szCs w:val="28"/>
          <w:lang w:eastAsia="zh-CN"/>
        </w:rPr>
        <w:t>仪陇县光华乡</w:t>
      </w:r>
      <w:r>
        <w:rPr>
          <w:rFonts w:hint="eastAsia" w:ascii="宋体" w:hAnsi="宋体" w:cs="宋体"/>
          <w:i w:val="0"/>
          <w:iCs w:val="0"/>
          <w:color w:val="FF0000"/>
          <w:sz w:val="28"/>
          <w:szCs w:val="28"/>
          <w:lang w:val="zh-CN" w:eastAsia="zh-CN"/>
        </w:rPr>
        <w:t>政府</w:t>
      </w:r>
      <w:r>
        <w:rPr>
          <w:rFonts w:hint="eastAsia" w:ascii="宋体" w:hAnsi="宋体" w:cs="宋体"/>
          <w:i w:val="0"/>
          <w:iCs w:val="0"/>
          <w:color w:val="FF0000"/>
          <w:sz w:val="28"/>
          <w:szCs w:val="28"/>
        </w:rPr>
        <w:t>距企业距离约</w:t>
      </w:r>
      <w:r>
        <w:rPr>
          <w:rFonts w:hint="eastAsia" w:ascii="宋体" w:hAnsi="宋体" w:eastAsia="宋体" w:cs="宋体"/>
          <w:i w:val="0"/>
          <w:iCs w:val="0"/>
          <w:color w:val="FF0000"/>
          <w:sz w:val="28"/>
          <w:szCs w:val="28"/>
          <w:lang w:val="en-US" w:eastAsia="zh-CN"/>
        </w:rPr>
        <w:t>2.2k</w:t>
      </w:r>
      <w:r>
        <w:rPr>
          <w:rFonts w:hint="eastAsia" w:ascii="宋体" w:hAnsi="宋体" w:cs="宋体"/>
          <w:i w:val="0"/>
          <w:iCs w:val="0"/>
          <w:color w:val="FF0000"/>
          <w:sz w:val="28"/>
          <w:szCs w:val="28"/>
        </w:rPr>
        <w:t>m，发生事故时</w:t>
      </w:r>
      <w:r>
        <w:rPr>
          <w:rFonts w:hint="eastAsia" w:ascii="宋体" w:hAnsi="宋体" w:eastAsia="宋体" w:cs="宋体"/>
          <w:i w:val="0"/>
          <w:iCs w:val="0"/>
          <w:color w:val="FF0000"/>
          <w:sz w:val="28"/>
          <w:szCs w:val="28"/>
          <w:lang w:val="en-US" w:eastAsia="zh-CN"/>
        </w:rPr>
        <w:t>5</w:t>
      </w:r>
      <w:r>
        <w:rPr>
          <w:rFonts w:hint="eastAsia" w:ascii="宋体" w:hAnsi="宋体" w:cs="宋体"/>
          <w:i w:val="0"/>
          <w:iCs w:val="0"/>
          <w:color w:val="FF0000"/>
          <w:sz w:val="28"/>
          <w:szCs w:val="28"/>
        </w:rPr>
        <w:t>分钟内能到达现场</w:t>
      </w:r>
      <w:r>
        <w:rPr>
          <w:rFonts w:hint="eastAsia" w:ascii="宋体" w:hAnsi="宋体" w:eastAsia="宋体" w:cs="宋体"/>
          <w:i w:val="0"/>
          <w:iCs w:val="0"/>
          <w:color w:val="FF0000"/>
          <w:sz w:val="28"/>
          <w:szCs w:val="28"/>
          <w:lang w:eastAsia="zh-CN"/>
        </w:rPr>
        <w:t>；</w:t>
      </w:r>
      <w:r>
        <w:rPr>
          <w:rFonts w:hint="eastAsia" w:ascii="宋体" w:hAnsi="宋体" w:cs="宋体"/>
          <w:i w:val="0"/>
          <w:iCs w:val="0"/>
          <w:color w:val="FF0000"/>
          <w:sz w:val="28"/>
          <w:szCs w:val="28"/>
          <w:lang w:eastAsia="zh-CN"/>
        </w:rPr>
        <w:t>仪陇县消防救援局距企业距离约</w:t>
      </w:r>
      <w:r>
        <w:rPr>
          <w:rFonts w:hint="eastAsia" w:ascii="宋体" w:hAnsi="宋体" w:cs="宋体"/>
          <w:i w:val="0"/>
          <w:iCs w:val="0"/>
          <w:color w:val="FF0000"/>
          <w:sz w:val="28"/>
          <w:szCs w:val="28"/>
          <w:lang w:val="en-US" w:eastAsia="zh-CN"/>
        </w:rPr>
        <w:t>10.6</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16分钟</w:t>
      </w:r>
      <w:r>
        <w:rPr>
          <w:rFonts w:hint="eastAsia" w:ascii="宋体" w:hAnsi="宋体" w:cs="宋体"/>
          <w:i w:val="0"/>
          <w:iCs w:val="0"/>
          <w:color w:val="FF0000"/>
          <w:sz w:val="28"/>
          <w:szCs w:val="28"/>
        </w:rPr>
        <w:t>内</w:t>
      </w:r>
      <w:r>
        <w:rPr>
          <w:rFonts w:hint="eastAsia" w:ascii="宋体" w:hAnsi="宋体" w:cs="宋体"/>
          <w:i w:val="0"/>
          <w:iCs w:val="0"/>
          <w:color w:val="FF0000"/>
          <w:sz w:val="28"/>
          <w:szCs w:val="28"/>
          <w:lang w:eastAsia="zh-CN"/>
        </w:rPr>
        <w:t>内能到达现场。仪陇县金城消防中队距企业距离约</w:t>
      </w:r>
      <w:r>
        <w:rPr>
          <w:rFonts w:hint="eastAsia" w:ascii="宋体" w:hAnsi="宋体" w:cs="宋体"/>
          <w:i w:val="0"/>
          <w:iCs w:val="0"/>
          <w:color w:val="FF0000"/>
          <w:sz w:val="28"/>
          <w:szCs w:val="28"/>
          <w:lang w:val="en-US" w:eastAsia="zh-CN"/>
        </w:rPr>
        <w:t>51</w:t>
      </w:r>
      <w:r>
        <w:rPr>
          <w:rFonts w:hint="eastAsia" w:ascii="宋体" w:hAnsi="宋体" w:cs="宋体"/>
          <w:i w:val="0"/>
          <w:iCs w:val="0"/>
          <w:color w:val="FF0000"/>
          <w:sz w:val="28"/>
          <w:szCs w:val="28"/>
          <w:lang w:eastAsia="zh-CN"/>
        </w:rPr>
        <w:t>km，发生事故时</w:t>
      </w:r>
      <w:r>
        <w:rPr>
          <w:rFonts w:hint="eastAsia" w:ascii="宋体" w:hAnsi="宋体" w:eastAsia="宋体" w:cs="宋体"/>
          <w:i w:val="0"/>
          <w:iCs w:val="0"/>
          <w:color w:val="FF0000"/>
          <w:sz w:val="28"/>
          <w:szCs w:val="28"/>
          <w:lang w:val="en-US" w:eastAsia="zh-CN"/>
        </w:rPr>
        <w:t>50分钟</w:t>
      </w:r>
      <w:r>
        <w:rPr>
          <w:rFonts w:hint="eastAsia" w:ascii="宋体" w:hAnsi="宋体" w:cs="宋体"/>
          <w:i w:val="0"/>
          <w:iCs w:val="0"/>
          <w:color w:val="FF0000"/>
          <w:sz w:val="28"/>
          <w:szCs w:val="28"/>
          <w:lang w:eastAsia="zh-CN"/>
        </w:rPr>
        <w:t>内能到达现场；</w:t>
      </w:r>
    </w:p>
    <w:p>
      <w:pPr>
        <w:spacing w:line="360" w:lineRule="auto"/>
        <w:ind w:firstLine="560" w:firstLineChars="200"/>
        <w:rPr>
          <w:rFonts w:ascii="宋体" w:hAnsi="宋体"/>
          <w:i w:val="0"/>
          <w:iCs w:val="0"/>
          <w:color w:val="auto"/>
          <w:sz w:val="28"/>
          <w:szCs w:val="28"/>
        </w:rPr>
      </w:pPr>
      <w:r>
        <w:rPr>
          <w:rFonts w:hint="eastAsia" w:ascii="宋体" w:hAnsi="宋体"/>
          <w:i w:val="0"/>
          <w:iCs w:val="0"/>
          <w:color w:val="auto"/>
          <w:sz w:val="28"/>
          <w:szCs w:val="28"/>
        </w:rPr>
        <w:t>外部救援工作具体由指挥部负责，指挥部门负责与外部救援单位及时取得联系，并将具体地点、路线、发生事故的情况，救援所需器材的种类与外部救援单位讲清楚，同时应安排专人去接应并引路。</w:t>
      </w:r>
    </w:p>
    <w:p>
      <w:pPr>
        <w:spacing w:line="360" w:lineRule="auto"/>
        <w:jc w:val="center"/>
        <w:rPr>
          <w:rFonts w:hint="eastAsia" w:ascii="黑体" w:hAnsi="宋体" w:eastAsia="黑体"/>
          <w:b/>
          <w:bCs/>
          <w:i w:val="0"/>
          <w:iCs w:val="0"/>
          <w:color w:val="auto"/>
          <w:sz w:val="24"/>
        </w:rPr>
      </w:pPr>
      <w:r>
        <w:rPr>
          <w:rFonts w:hint="eastAsia" w:ascii="黑体" w:hAnsi="宋体" w:eastAsia="黑体"/>
          <w:b/>
          <w:bCs/>
          <w:i w:val="0"/>
          <w:iCs w:val="0"/>
          <w:color w:val="auto"/>
          <w:sz w:val="24"/>
        </w:rPr>
        <w:t>表2-</w:t>
      </w:r>
      <w:r>
        <w:rPr>
          <w:rFonts w:hint="eastAsia" w:ascii="黑体" w:hAnsi="宋体" w:eastAsia="黑体"/>
          <w:b/>
          <w:bCs/>
          <w:i w:val="0"/>
          <w:iCs w:val="0"/>
          <w:color w:val="auto"/>
          <w:sz w:val="24"/>
          <w:lang w:val="en-US" w:eastAsia="zh-CN"/>
        </w:rPr>
        <w:t>3</w:t>
      </w:r>
      <w:r>
        <w:rPr>
          <w:rFonts w:hint="eastAsia" w:ascii="黑体" w:hAnsi="宋体" w:eastAsia="黑体"/>
          <w:b/>
          <w:bCs/>
          <w:i w:val="0"/>
          <w:iCs w:val="0"/>
          <w:color w:val="auto"/>
          <w:sz w:val="24"/>
        </w:rPr>
        <w:t xml:space="preserve"> 外部应急支援一览表</w:t>
      </w:r>
    </w:p>
    <w:tbl>
      <w:tblPr>
        <w:tblStyle w:val="19"/>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42"/>
        <w:gridCol w:w="765"/>
        <w:gridCol w:w="780"/>
        <w:gridCol w:w="42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序号</w:t>
            </w:r>
          </w:p>
        </w:tc>
        <w:tc>
          <w:tcPr>
            <w:tcW w:w="1742"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物资和装备名称</w:t>
            </w:r>
          </w:p>
        </w:tc>
        <w:tc>
          <w:tcPr>
            <w:tcW w:w="765"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数量</w:t>
            </w:r>
          </w:p>
        </w:tc>
        <w:tc>
          <w:tcPr>
            <w:tcW w:w="780"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w:t>
            </w:r>
          </w:p>
        </w:tc>
        <w:tc>
          <w:tcPr>
            <w:tcW w:w="4216" w:type="dxa"/>
            <w:noWrap w:val="0"/>
            <w:vAlign w:val="center"/>
          </w:tcPr>
          <w:p>
            <w:pPr>
              <w:spacing w:line="460" w:lineRule="exact"/>
              <w:jc w:val="center"/>
              <w:rPr>
                <w:rFonts w:ascii="宋体" w:hAnsi="宋体"/>
                <w:b/>
                <w:bCs/>
                <w:i w:val="0"/>
                <w:iCs w:val="0"/>
                <w:color w:val="auto"/>
                <w:szCs w:val="21"/>
              </w:rPr>
            </w:pPr>
            <w:r>
              <w:rPr>
                <w:rFonts w:hint="eastAsia" w:ascii="宋体" w:hAnsi="宋体"/>
                <w:b/>
                <w:bCs/>
                <w:i w:val="0"/>
                <w:iCs w:val="0"/>
                <w:color w:val="auto"/>
                <w:szCs w:val="21"/>
              </w:rPr>
              <w:t>单位名称</w:t>
            </w:r>
          </w:p>
        </w:tc>
        <w:tc>
          <w:tcPr>
            <w:tcW w:w="1084" w:type="dxa"/>
            <w:noWrap w:val="0"/>
            <w:vAlign w:val="center"/>
          </w:tcPr>
          <w:p>
            <w:pPr>
              <w:spacing w:line="460" w:lineRule="exact"/>
              <w:jc w:val="center"/>
              <w:rPr>
                <w:rFonts w:hint="eastAsia" w:ascii="宋体" w:hAnsi="宋体"/>
                <w:b/>
                <w:bCs/>
                <w:i w:val="0"/>
                <w:iCs w:val="0"/>
                <w:color w:val="auto"/>
                <w:szCs w:val="21"/>
              </w:rPr>
            </w:pPr>
            <w:r>
              <w:rPr>
                <w:rFonts w:hint="eastAsia" w:ascii="宋体" w:hAnsi="宋体"/>
                <w:b/>
                <w:bCs/>
                <w:i w:val="0"/>
                <w:iCs w:val="0"/>
                <w:color w:val="auto"/>
                <w:szCs w:val="21"/>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FF0000"/>
                <w:szCs w:val="21"/>
              </w:rPr>
            </w:pPr>
            <w:r>
              <w:rPr>
                <w:rFonts w:hint="eastAsia" w:ascii="宋体" w:hAnsi="宋体"/>
                <w:i w:val="0"/>
                <w:iCs w:val="0"/>
                <w:color w:val="FF0000"/>
                <w:szCs w:val="21"/>
              </w:rPr>
              <w:t xml:space="preserve"> 1）</w:t>
            </w:r>
          </w:p>
        </w:tc>
        <w:tc>
          <w:tcPr>
            <w:tcW w:w="1742" w:type="dxa"/>
            <w:noWrap w:val="0"/>
            <w:vAlign w:val="top"/>
          </w:tcPr>
          <w:p>
            <w:pPr>
              <w:spacing w:line="440" w:lineRule="exact"/>
              <w:ind w:firstLine="105" w:firstLineChars="50"/>
              <w:rPr>
                <w:rFonts w:hint="eastAsia" w:ascii="宋体" w:hAnsi="宋体" w:eastAsia="宋体"/>
                <w:i w:val="0"/>
                <w:iCs w:val="0"/>
                <w:color w:val="FF0000"/>
                <w:szCs w:val="21"/>
                <w:lang w:eastAsia="zh-CN"/>
              </w:rPr>
            </w:pPr>
            <w:r>
              <w:rPr>
                <w:rFonts w:hint="eastAsia" w:ascii="宋体" w:hAnsi="宋体"/>
                <w:i w:val="0"/>
                <w:iCs w:val="0"/>
                <w:color w:val="FF0000"/>
                <w:szCs w:val="21"/>
              </w:rPr>
              <w:t>消防</w:t>
            </w:r>
            <w:r>
              <w:rPr>
                <w:rFonts w:hint="eastAsia" w:ascii="宋体" w:hAnsi="宋体" w:eastAsia="宋体"/>
                <w:i w:val="0"/>
                <w:iCs w:val="0"/>
                <w:color w:val="FF0000"/>
                <w:szCs w:val="21"/>
                <w:lang w:eastAsia="zh-CN"/>
              </w:rPr>
              <w:t>用水</w:t>
            </w:r>
          </w:p>
        </w:tc>
        <w:tc>
          <w:tcPr>
            <w:tcW w:w="765" w:type="dxa"/>
            <w:noWrap w:val="0"/>
            <w:vAlign w:val="top"/>
          </w:tcPr>
          <w:p>
            <w:pPr>
              <w:spacing w:line="440" w:lineRule="exact"/>
              <w:ind w:firstLine="105" w:firstLineChars="50"/>
              <w:jc w:val="center"/>
              <w:rPr>
                <w:rFonts w:hint="eastAsia" w:ascii="宋体" w:hAnsi="宋体" w:eastAsia="宋体"/>
                <w:i w:val="0"/>
                <w:iCs w:val="0"/>
                <w:color w:val="FF0000"/>
                <w:szCs w:val="21"/>
                <w:lang w:eastAsia="zh-CN"/>
              </w:rPr>
            </w:pPr>
            <w:r>
              <w:rPr>
                <w:rFonts w:hint="eastAsia" w:ascii="宋体" w:hAnsi="宋体" w:eastAsia="宋体"/>
                <w:i w:val="0"/>
                <w:iCs w:val="0"/>
                <w:color w:val="FF0000"/>
                <w:szCs w:val="21"/>
                <w:lang w:val="en-US" w:eastAsia="zh-CN"/>
              </w:rPr>
              <w:t>1</w:t>
            </w:r>
          </w:p>
        </w:tc>
        <w:tc>
          <w:tcPr>
            <w:tcW w:w="780" w:type="dxa"/>
            <w:noWrap w:val="0"/>
            <w:vAlign w:val="center"/>
          </w:tcPr>
          <w:p>
            <w:pPr>
              <w:spacing w:line="460" w:lineRule="exact"/>
              <w:jc w:val="center"/>
              <w:rPr>
                <w:rFonts w:ascii="宋体" w:hAnsi="宋体"/>
                <w:i w:val="0"/>
                <w:iCs w:val="0"/>
                <w:color w:val="FF0000"/>
                <w:szCs w:val="21"/>
              </w:rPr>
            </w:pPr>
            <w:r>
              <w:rPr>
                <w:rFonts w:hint="eastAsia" w:ascii="宋体" w:hAnsi="宋体"/>
                <w:i w:val="0"/>
                <w:iCs w:val="0"/>
                <w:color w:val="FF0000"/>
                <w:szCs w:val="21"/>
              </w:rPr>
              <w:t>个</w:t>
            </w:r>
          </w:p>
        </w:tc>
        <w:tc>
          <w:tcPr>
            <w:tcW w:w="4216" w:type="dxa"/>
            <w:noWrap w:val="0"/>
            <w:vAlign w:val="top"/>
          </w:tcPr>
          <w:p>
            <w:pPr>
              <w:spacing w:line="440" w:lineRule="exact"/>
              <w:ind w:firstLine="105" w:firstLineChars="50"/>
              <w:rPr>
                <w:rFonts w:hint="eastAsia" w:ascii="宋体" w:hAnsi="宋体" w:eastAsia="宋体"/>
                <w:i w:val="0"/>
                <w:iCs w:val="0"/>
                <w:color w:val="FF0000"/>
                <w:szCs w:val="21"/>
                <w:lang w:eastAsia="zh-CN"/>
              </w:rPr>
            </w:pPr>
            <w:r>
              <w:rPr>
                <w:rFonts w:hint="eastAsia" w:ascii="宋体" w:hAnsi="宋体"/>
                <w:i w:val="0"/>
                <w:iCs w:val="0"/>
                <w:color w:val="FF0000"/>
                <w:szCs w:val="21"/>
              </w:rPr>
              <w:t>企业</w:t>
            </w:r>
            <w:r>
              <w:rPr>
                <w:rFonts w:hint="eastAsia" w:ascii="宋体" w:hAnsi="宋体" w:eastAsia="宋体"/>
                <w:i w:val="0"/>
                <w:iCs w:val="0"/>
                <w:color w:val="FF0000"/>
                <w:szCs w:val="21"/>
                <w:lang w:eastAsia="zh-CN"/>
              </w:rPr>
              <w:t>内水池（</w:t>
            </w:r>
            <w:r>
              <w:rPr>
                <w:rFonts w:hint="eastAsia" w:ascii="宋体" w:hAnsi="宋体" w:eastAsia="宋体"/>
                <w:i w:val="0"/>
                <w:iCs w:val="0"/>
                <w:color w:val="FF0000"/>
                <w:szCs w:val="21"/>
                <w:lang w:val="en-US" w:eastAsia="zh-CN"/>
              </w:rPr>
              <w:t>20m</w:t>
            </w:r>
            <w:r>
              <w:rPr>
                <w:rFonts w:hint="eastAsia" w:ascii="宋体" w:hAnsi="宋体" w:eastAsia="宋体"/>
                <w:i w:val="0"/>
                <w:iCs w:val="0"/>
                <w:color w:val="FF0000"/>
                <w:szCs w:val="21"/>
                <w:vertAlign w:val="superscript"/>
                <w:lang w:val="en-US" w:eastAsia="zh-CN"/>
              </w:rPr>
              <w:t>3</w:t>
            </w:r>
            <w:r>
              <w:rPr>
                <w:rFonts w:hint="eastAsia" w:ascii="宋体" w:hAnsi="宋体" w:eastAsia="宋体"/>
                <w:i w:val="0"/>
                <w:iCs w:val="0"/>
                <w:color w:val="FF0000"/>
                <w:szCs w:val="21"/>
                <w:lang w:eastAsia="zh-CN"/>
              </w:rPr>
              <w:t>）</w:t>
            </w:r>
          </w:p>
        </w:tc>
        <w:tc>
          <w:tcPr>
            <w:tcW w:w="1084" w:type="dxa"/>
            <w:noWrap w:val="0"/>
            <w:vAlign w:val="center"/>
          </w:tcPr>
          <w:p>
            <w:pPr>
              <w:spacing w:line="460" w:lineRule="exact"/>
              <w:jc w:val="center"/>
              <w:rPr>
                <w:rFonts w:hint="eastAsia" w:ascii="宋体" w:hAnsi="宋体" w:eastAsia="宋体"/>
                <w:i w:val="0"/>
                <w:iCs w:val="0"/>
                <w:color w:val="FF0000"/>
                <w:szCs w:val="21"/>
                <w:lang w:eastAsia="zh-CN"/>
              </w:rPr>
            </w:pPr>
            <w:r>
              <w:rPr>
                <w:rFonts w:hint="eastAsia" w:ascii="宋体" w:hAnsi="宋体" w:eastAsia="宋体"/>
                <w:i w:val="0"/>
                <w:iCs w:val="0"/>
                <w:color w:val="FF0000"/>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17"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 xml:space="preserve"> 2）</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消防车</w:t>
            </w:r>
          </w:p>
        </w:tc>
        <w:tc>
          <w:tcPr>
            <w:tcW w:w="765" w:type="dxa"/>
            <w:noWrap w:val="0"/>
            <w:vAlign w:val="top"/>
          </w:tcPr>
          <w:p>
            <w:pPr>
              <w:spacing w:line="440" w:lineRule="exact"/>
              <w:ind w:firstLine="105" w:firstLineChars="50"/>
              <w:jc w:val="center"/>
              <w:rPr>
                <w:rFonts w:hint="eastAsia" w:ascii="宋体" w:hAnsi="宋体"/>
                <w:i w:val="0"/>
                <w:iCs w:val="0"/>
                <w:color w:val="auto"/>
                <w:szCs w:val="21"/>
                <w:lang w:eastAsia="zh-CN"/>
              </w:rPr>
            </w:pPr>
            <w:r>
              <w:rPr>
                <w:rFonts w:hint="eastAsia" w:ascii="宋体" w:hAnsi="宋体"/>
                <w:i w:val="0"/>
                <w:iCs w:val="0"/>
                <w:color w:val="auto"/>
                <w:szCs w:val="21"/>
                <w:lang w:val="en-US" w:eastAsia="zh-CN"/>
              </w:rPr>
              <w:t>7</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rPr>
              <w:t>辆</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4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3）</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消防人员</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lang w:val="en-US" w:eastAsia="zh-CN"/>
              </w:rPr>
              <w:t>4</w:t>
            </w:r>
            <w:r>
              <w:rPr>
                <w:rFonts w:hint="eastAsia" w:ascii="宋体" w:hAnsi="宋体"/>
                <w:i w:val="0"/>
                <w:iCs w:val="0"/>
                <w:color w:val="auto"/>
                <w:szCs w:val="21"/>
              </w:rPr>
              <w:t>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4）</w:t>
            </w:r>
          </w:p>
        </w:tc>
        <w:tc>
          <w:tcPr>
            <w:tcW w:w="1742" w:type="dxa"/>
            <w:noWrap w:val="0"/>
            <w:vAlign w:val="top"/>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防护装备</w:t>
            </w:r>
          </w:p>
        </w:tc>
        <w:tc>
          <w:tcPr>
            <w:tcW w:w="765" w:type="dxa"/>
            <w:noWrap w:val="0"/>
            <w:vAlign w:val="top"/>
          </w:tcPr>
          <w:p>
            <w:pPr>
              <w:spacing w:line="440" w:lineRule="exact"/>
              <w:ind w:firstLine="105" w:firstLineChars="50"/>
              <w:rPr>
                <w:rFonts w:hint="default" w:ascii="宋体" w:hAnsi="宋体"/>
                <w:i w:val="0"/>
                <w:iCs w:val="0"/>
                <w:color w:val="auto"/>
                <w:szCs w:val="21"/>
                <w:lang w:val="en-US" w:eastAsia="zh-CN"/>
              </w:rPr>
            </w:pPr>
            <w:r>
              <w:rPr>
                <w:rFonts w:hint="eastAsia" w:ascii="宋体" w:hAnsi="宋体"/>
                <w:i w:val="0"/>
                <w:iCs w:val="0"/>
                <w:color w:val="auto"/>
                <w:szCs w:val="21"/>
                <w:lang w:val="en-US" w:eastAsia="zh-CN"/>
              </w:rPr>
              <w:t>500</w:t>
            </w:r>
          </w:p>
        </w:tc>
        <w:tc>
          <w:tcPr>
            <w:tcW w:w="780" w:type="dxa"/>
            <w:noWrap w:val="0"/>
            <w:vAlign w:val="center"/>
          </w:tcPr>
          <w:p>
            <w:pPr>
              <w:spacing w:line="440" w:lineRule="exact"/>
              <w:ind w:firstLine="105" w:firstLineChars="50"/>
              <w:rPr>
                <w:rFonts w:hint="eastAsia" w:ascii="宋体" w:hAnsi="宋体"/>
                <w:i w:val="0"/>
                <w:iCs w:val="0"/>
                <w:color w:val="auto"/>
                <w:szCs w:val="21"/>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5）</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射水器材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35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6）</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输水器材</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175</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7）</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抢险救援装备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171</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hint="eastAsia"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8</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其它器材装备</w:t>
            </w:r>
          </w:p>
        </w:tc>
        <w:tc>
          <w:tcPr>
            <w:tcW w:w="765"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116</w:t>
            </w:r>
          </w:p>
        </w:tc>
        <w:tc>
          <w:tcPr>
            <w:tcW w:w="780" w:type="dxa"/>
            <w:noWrap w:val="0"/>
            <w:vAlign w:val="center"/>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件</w:t>
            </w:r>
          </w:p>
        </w:tc>
        <w:tc>
          <w:tcPr>
            <w:tcW w:w="4216" w:type="dxa"/>
            <w:noWrap w:val="0"/>
            <w:vAlign w:val="top"/>
          </w:tcPr>
          <w:p>
            <w:pPr>
              <w:spacing w:line="440" w:lineRule="exact"/>
              <w:ind w:firstLine="105" w:firstLineChars="50"/>
              <w:rPr>
                <w:rFonts w:hint="eastAsia" w:ascii="宋体" w:hAnsi="宋体"/>
                <w:i w:val="0"/>
                <w:iCs w:val="0"/>
                <w:color w:val="auto"/>
                <w:szCs w:val="21"/>
                <w:lang w:val="en-US" w:eastAsia="zh-CN"/>
              </w:rPr>
            </w:pPr>
            <w:r>
              <w:rPr>
                <w:rFonts w:hint="eastAsia" w:ascii="宋体" w:hAnsi="宋体"/>
                <w:i w:val="0"/>
                <w:iCs w:val="0"/>
                <w:color w:val="auto"/>
                <w:szCs w:val="21"/>
                <w:lang w:val="en-US" w:eastAsia="zh-CN"/>
              </w:rPr>
              <w:t>仪陇县消防救援局、仪陇县金城消防中队</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rPr>
              <w:t xml:space="preserve"> </w:t>
            </w:r>
            <w:r>
              <w:rPr>
                <w:rFonts w:hint="eastAsia" w:ascii="宋体" w:hAnsi="宋体"/>
                <w:i w:val="0"/>
                <w:iCs w:val="0"/>
                <w:color w:val="auto"/>
                <w:szCs w:val="21"/>
                <w:lang w:val="en-US" w:eastAsia="zh-CN"/>
              </w:rPr>
              <w:t>9</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急救车</w:t>
            </w:r>
          </w:p>
        </w:tc>
        <w:tc>
          <w:tcPr>
            <w:tcW w:w="765" w:type="dxa"/>
            <w:noWrap w:val="0"/>
            <w:vAlign w:val="top"/>
          </w:tcPr>
          <w:p>
            <w:pPr>
              <w:spacing w:line="440" w:lineRule="exact"/>
              <w:ind w:firstLine="105" w:firstLineChars="50"/>
              <w:jc w:val="center"/>
              <w:rPr>
                <w:rFonts w:hint="eastAsia" w:ascii="宋体" w:hAnsi="宋体" w:eastAsia="宋体"/>
                <w:i w:val="0"/>
                <w:iCs w:val="0"/>
                <w:color w:val="auto"/>
                <w:szCs w:val="21"/>
                <w:lang w:eastAsia="zh-CN"/>
              </w:rPr>
            </w:pPr>
            <w:r>
              <w:rPr>
                <w:rFonts w:hint="eastAsia" w:ascii="宋体" w:hAnsi="宋体"/>
                <w:i w:val="0"/>
                <w:iCs w:val="0"/>
                <w:color w:val="auto"/>
                <w:szCs w:val="21"/>
                <w:lang w:val="en-US" w:eastAsia="zh-CN"/>
              </w:rPr>
              <w:t>3</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辆</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仪陇县人民医院、仪陇县光华乡卫生院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10</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担架</w:t>
            </w:r>
          </w:p>
        </w:tc>
        <w:tc>
          <w:tcPr>
            <w:tcW w:w="765" w:type="dxa"/>
            <w:noWrap w:val="0"/>
            <w:vAlign w:val="top"/>
          </w:tcPr>
          <w:p>
            <w:pPr>
              <w:spacing w:line="440" w:lineRule="exact"/>
              <w:ind w:firstLine="105" w:firstLineChars="50"/>
              <w:jc w:val="center"/>
              <w:rPr>
                <w:rFonts w:hint="eastAsia" w:ascii="宋体" w:hAnsi="宋体"/>
                <w:i w:val="0"/>
                <w:iCs w:val="0"/>
                <w:color w:val="auto"/>
                <w:szCs w:val="21"/>
              </w:rPr>
            </w:pPr>
            <w:r>
              <w:rPr>
                <w:rFonts w:hint="eastAsia" w:ascii="宋体" w:hAnsi="宋体"/>
                <w:i w:val="0"/>
                <w:iCs w:val="0"/>
                <w:color w:val="auto"/>
                <w:szCs w:val="21"/>
              </w:rPr>
              <w:t>5</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仪陇县人民医院、仪陇县光华乡卫生院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11</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应急床位</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i w:val="0"/>
                <w:iCs w:val="0"/>
                <w:color w:val="auto"/>
                <w:szCs w:val="21"/>
                <w:lang w:val="en-US" w:eastAsia="zh-CN"/>
              </w:rPr>
              <w:t>200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个</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仪陇县人民医院、仪陇县光华乡卫生院</w:t>
            </w:r>
          </w:p>
        </w:tc>
        <w:tc>
          <w:tcPr>
            <w:tcW w:w="1084" w:type="dxa"/>
            <w:noWrap w:val="0"/>
            <w:vAlign w:val="center"/>
          </w:tcPr>
          <w:p>
            <w:pPr>
              <w:spacing w:line="460" w:lineRule="exact"/>
              <w:jc w:val="center"/>
              <w:rPr>
                <w:rFonts w:hint="eastAsia" w:ascii="宋体" w:hAnsi="宋体" w:eastAsia="宋体"/>
                <w:i w:val="0"/>
                <w:iCs w:val="0"/>
                <w:color w:val="auto"/>
                <w:szCs w:val="21"/>
                <w:lang w:eastAsia="zh-CN"/>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17" w:type="dxa"/>
            <w:noWrap w:val="0"/>
            <w:vAlign w:val="center"/>
          </w:tcPr>
          <w:p>
            <w:pPr>
              <w:spacing w:line="460" w:lineRule="exact"/>
              <w:rPr>
                <w:rFonts w:ascii="宋体" w:hAnsi="宋体"/>
                <w:i w:val="0"/>
                <w:iCs w:val="0"/>
                <w:color w:val="auto"/>
                <w:szCs w:val="21"/>
              </w:rPr>
            </w:pPr>
            <w:r>
              <w:rPr>
                <w:rFonts w:hint="eastAsia" w:ascii="宋体" w:hAnsi="宋体"/>
                <w:i w:val="0"/>
                <w:iCs w:val="0"/>
                <w:color w:val="auto"/>
                <w:szCs w:val="21"/>
                <w:lang w:val="en-US" w:eastAsia="zh-CN"/>
              </w:rPr>
              <w:t>12</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急救医生</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20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center"/>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仪陇县人民医院、仪陇县光华乡卫生院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7" w:type="dxa"/>
            <w:noWrap w:val="0"/>
            <w:vAlign w:val="center"/>
          </w:tcPr>
          <w:p>
            <w:pPr>
              <w:numPr>
                <w:ilvl w:val="0"/>
                <w:numId w:val="0"/>
              </w:numPr>
              <w:tabs>
                <w:tab w:val="left" w:pos="360"/>
              </w:tabs>
              <w:spacing w:line="460" w:lineRule="exact"/>
              <w:ind w:leftChars="0"/>
              <w:jc w:val="both"/>
              <w:rPr>
                <w:rFonts w:ascii="宋体" w:hAnsi="宋体"/>
                <w:i w:val="0"/>
                <w:iCs w:val="0"/>
                <w:color w:val="auto"/>
                <w:szCs w:val="21"/>
              </w:rPr>
            </w:pPr>
            <w:r>
              <w:rPr>
                <w:rFonts w:hint="eastAsia" w:ascii="宋体" w:hAnsi="宋体"/>
                <w:i w:val="0"/>
                <w:iCs w:val="0"/>
                <w:color w:val="auto"/>
                <w:szCs w:val="21"/>
                <w:lang w:val="en-US" w:eastAsia="zh-CN"/>
              </w:rPr>
              <w:t>13</w:t>
            </w:r>
            <w:r>
              <w:rPr>
                <w:rFonts w:hint="eastAsia" w:ascii="宋体" w:hAnsi="宋体"/>
                <w:i w:val="0"/>
                <w:iCs w:val="0"/>
                <w:color w:val="auto"/>
                <w:szCs w:val="21"/>
              </w:rPr>
              <w:t>）</w:t>
            </w:r>
          </w:p>
        </w:tc>
        <w:tc>
          <w:tcPr>
            <w:tcW w:w="1742" w:type="dxa"/>
            <w:noWrap w:val="0"/>
            <w:vAlign w:val="top"/>
          </w:tcPr>
          <w:p>
            <w:pPr>
              <w:spacing w:line="440" w:lineRule="exact"/>
              <w:ind w:firstLine="105" w:firstLineChars="50"/>
              <w:rPr>
                <w:rFonts w:ascii="宋体" w:hAnsi="宋体"/>
                <w:i w:val="0"/>
                <w:iCs w:val="0"/>
                <w:color w:val="auto"/>
                <w:szCs w:val="21"/>
              </w:rPr>
            </w:pPr>
            <w:r>
              <w:rPr>
                <w:rFonts w:hint="eastAsia" w:ascii="宋体" w:hAnsi="宋体"/>
                <w:i w:val="0"/>
                <w:iCs w:val="0"/>
                <w:color w:val="auto"/>
                <w:szCs w:val="21"/>
              </w:rPr>
              <w:t>急救护士</w:t>
            </w:r>
          </w:p>
        </w:tc>
        <w:tc>
          <w:tcPr>
            <w:tcW w:w="765" w:type="dxa"/>
            <w:noWrap w:val="0"/>
            <w:vAlign w:val="top"/>
          </w:tcPr>
          <w:p>
            <w:pPr>
              <w:spacing w:line="440" w:lineRule="exact"/>
              <w:ind w:firstLine="105" w:firstLineChars="50"/>
              <w:jc w:val="center"/>
              <w:rPr>
                <w:rFonts w:hint="default" w:ascii="宋体" w:hAnsi="宋体" w:eastAsia="宋体"/>
                <w:i w:val="0"/>
                <w:iCs w:val="0"/>
                <w:color w:val="auto"/>
                <w:szCs w:val="21"/>
                <w:lang w:val="en-US" w:eastAsia="zh-CN"/>
              </w:rPr>
            </w:pPr>
            <w:r>
              <w:rPr>
                <w:rFonts w:hint="eastAsia" w:ascii="宋体" w:hAnsi="宋体" w:eastAsia="宋体"/>
                <w:i w:val="0"/>
                <w:iCs w:val="0"/>
                <w:color w:val="auto"/>
                <w:szCs w:val="21"/>
                <w:lang w:val="en-US" w:eastAsia="zh-CN"/>
              </w:rPr>
              <w:t>50</w:t>
            </w:r>
          </w:p>
        </w:tc>
        <w:tc>
          <w:tcPr>
            <w:tcW w:w="780" w:type="dxa"/>
            <w:noWrap w:val="0"/>
            <w:vAlign w:val="center"/>
          </w:tcPr>
          <w:p>
            <w:pPr>
              <w:spacing w:line="460" w:lineRule="exact"/>
              <w:jc w:val="center"/>
              <w:rPr>
                <w:rFonts w:ascii="宋体" w:hAnsi="宋体"/>
                <w:i w:val="0"/>
                <w:iCs w:val="0"/>
                <w:color w:val="auto"/>
                <w:szCs w:val="21"/>
              </w:rPr>
            </w:pPr>
            <w:r>
              <w:rPr>
                <w:rFonts w:hint="eastAsia" w:ascii="宋体" w:hAnsi="宋体"/>
                <w:i w:val="0"/>
                <w:iCs w:val="0"/>
                <w:color w:val="auto"/>
                <w:szCs w:val="21"/>
              </w:rPr>
              <w:t>人</w:t>
            </w:r>
          </w:p>
        </w:tc>
        <w:tc>
          <w:tcPr>
            <w:tcW w:w="4216" w:type="dxa"/>
            <w:noWrap w:val="0"/>
            <w:vAlign w:val="top"/>
          </w:tcPr>
          <w:p>
            <w:pPr>
              <w:rPr>
                <w:rFonts w:hint="eastAsia" w:ascii="宋体" w:hAnsi="宋体"/>
                <w:i w:val="0"/>
                <w:iCs w:val="0"/>
                <w:color w:val="auto"/>
                <w:szCs w:val="21"/>
              </w:rPr>
            </w:pPr>
            <w:r>
              <w:rPr>
                <w:rFonts w:hint="eastAsia" w:ascii="宋体" w:hAnsi="宋体"/>
                <w:i w:val="0"/>
                <w:iCs w:val="0"/>
                <w:color w:val="auto"/>
                <w:szCs w:val="21"/>
                <w:lang w:val="en-US" w:eastAsia="zh-CN"/>
              </w:rPr>
              <w:t>仪陇县人民医院、仪陇县光华乡卫生院</w:t>
            </w:r>
          </w:p>
        </w:tc>
        <w:tc>
          <w:tcPr>
            <w:tcW w:w="1084" w:type="dxa"/>
            <w:noWrap w:val="0"/>
            <w:vAlign w:val="center"/>
          </w:tcPr>
          <w:p>
            <w:pPr>
              <w:spacing w:line="460" w:lineRule="exact"/>
              <w:jc w:val="center"/>
              <w:rPr>
                <w:rFonts w:hint="eastAsia" w:ascii="宋体" w:hAnsi="宋体"/>
                <w:i w:val="0"/>
                <w:iCs w:val="0"/>
                <w:color w:val="auto"/>
                <w:szCs w:val="21"/>
              </w:rPr>
            </w:pPr>
            <w:r>
              <w:rPr>
                <w:rFonts w:hint="eastAsia" w:ascii="宋体" w:hAnsi="宋体" w:eastAsia="宋体"/>
                <w:i w:val="0"/>
                <w:iCs w:val="0"/>
                <w:color w:val="auto"/>
                <w:szCs w:val="21"/>
                <w:lang w:eastAsia="zh-CN"/>
              </w:rPr>
              <w:t>黎斌</w:t>
            </w:r>
          </w:p>
        </w:tc>
      </w:tr>
      <w:bookmarkEnd w:id="36"/>
      <w:bookmarkEnd w:id="37"/>
      <w:bookmarkEnd w:id="38"/>
      <w:bookmarkEnd w:id="39"/>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spacing w:line="360" w:lineRule="auto"/>
        <w:jc w:val="center"/>
        <w:outlineLvl w:val="0"/>
        <w:rPr>
          <w:rFonts w:hint="eastAsia" w:ascii="黑体" w:hAnsi="宋体" w:eastAsia="黑体"/>
          <w:b/>
          <w:sz w:val="32"/>
          <w:szCs w:val="32"/>
          <w:lang w:val="en-US" w:eastAsia="zh-CN"/>
        </w:rPr>
      </w:pPr>
      <w:bookmarkStart w:id="51" w:name="_Toc4070"/>
      <w:r>
        <w:rPr>
          <w:rFonts w:hint="eastAsia" w:ascii="黑体" w:hAnsi="宋体" w:eastAsia="黑体"/>
          <w:b/>
          <w:sz w:val="32"/>
          <w:szCs w:val="32"/>
          <w:lang w:val="en-US" w:eastAsia="zh-CN"/>
        </w:rPr>
        <w:t>3危险、有害因素辨识</w:t>
      </w:r>
      <w:bookmarkEnd w:id="51"/>
    </w:p>
    <w:p>
      <w:pPr>
        <w:pStyle w:val="8"/>
        <w:spacing w:line="360" w:lineRule="auto"/>
        <w:ind w:firstLine="0" w:firstLineChars="0"/>
        <w:outlineLvl w:val="1"/>
        <w:rPr>
          <w:rFonts w:hint="eastAsia" w:ascii="黑体" w:eastAsia="黑体"/>
          <w:b/>
          <w:snapToGrid w:val="0"/>
          <w:kern w:val="0"/>
          <w:sz w:val="32"/>
          <w:szCs w:val="32"/>
        </w:rPr>
      </w:pPr>
      <w:bookmarkStart w:id="52" w:name="_Toc13142"/>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1 危险、有害因素辨识的目的</w:t>
      </w:r>
      <w:bookmarkEnd w:id="40"/>
      <w:bookmarkEnd w:id="41"/>
      <w:bookmarkEnd w:id="52"/>
    </w:p>
    <w:p>
      <w:pPr>
        <w:autoSpaceDE w:val="0"/>
        <w:autoSpaceDN w:val="0"/>
        <w:adjustRightInd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危险、有害因素是指能造成人员伤亡或影响人体健康、导致疾病和对物造成突发性或慢性损坏的因素。充分识别并掌握</w:t>
      </w:r>
      <w:r>
        <w:rPr>
          <w:rFonts w:hint="eastAsia" w:ascii="宋体" w:hAnsi="宋体"/>
          <w:snapToGrid w:val="0"/>
          <w:kern w:val="0"/>
          <w:sz w:val="28"/>
          <w:szCs w:val="28"/>
          <w:lang w:eastAsia="zh-CN"/>
        </w:rPr>
        <w:t>公司</w:t>
      </w:r>
      <w:r>
        <w:rPr>
          <w:rFonts w:hint="eastAsia" w:ascii="宋体" w:hAnsi="宋体"/>
          <w:snapToGrid w:val="0"/>
          <w:kern w:val="0"/>
          <w:sz w:val="28"/>
          <w:szCs w:val="28"/>
        </w:rPr>
        <w:t>生产系统中的危险有害因素，为企业有效减少人员伤亡和财产损失，确保生产安全具有重要意义；为企业</w:t>
      </w:r>
      <w:r>
        <w:rPr>
          <w:rFonts w:ascii="宋体" w:hAnsi="宋体"/>
          <w:snapToGrid w:val="0"/>
          <w:kern w:val="0"/>
          <w:sz w:val="28"/>
          <w:szCs w:val="28"/>
        </w:rPr>
        <w:t>在</w:t>
      </w:r>
      <w:r>
        <w:rPr>
          <w:rFonts w:hint="eastAsia" w:ascii="宋体" w:hAnsi="宋体"/>
          <w:snapToGrid w:val="0"/>
          <w:kern w:val="0"/>
          <w:sz w:val="28"/>
          <w:szCs w:val="28"/>
        </w:rPr>
        <w:t>实际生产中查找事故隐患并制定整改措施、制定事故应急救援预案</w:t>
      </w:r>
      <w:r>
        <w:rPr>
          <w:rFonts w:ascii="宋体" w:hAnsi="宋体"/>
          <w:snapToGrid w:val="0"/>
          <w:kern w:val="0"/>
          <w:sz w:val="28"/>
          <w:szCs w:val="28"/>
        </w:rPr>
        <w:t>指明方向。</w:t>
      </w:r>
    </w:p>
    <w:p>
      <w:pPr>
        <w:pStyle w:val="8"/>
        <w:spacing w:line="360" w:lineRule="auto"/>
        <w:ind w:firstLine="0" w:firstLineChars="0"/>
        <w:outlineLvl w:val="1"/>
        <w:rPr>
          <w:rFonts w:ascii="黑体" w:eastAsia="黑体"/>
          <w:b/>
          <w:snapToGrid w:val="0"/>
          <w:kern w:val="0"/>
          <w:sz w:val="32"/>
          <w:szCs w:val="32"/>
        </w:rPr>
      </w:pPr>
      <w:bookmarkStart w:id="53" w:name="_Toc350781091"/>
      <w:bookmarkStart w:id="54" w:name="_Toc514342839"/>
      <w:bookmarkStart w:id="55" w:name="_Toc20254"/>
      <w:bookmarkStart w:id="56" w:name="_Toc480804387"/>
      <w:bookmarkStart w:id="57" w:name="_Toc356401484"/>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2 危险、有害因素辨识的依据</w:t>
      </w:r>
      <w:bookmarkEnd w:id="53"/>
      <w:bookmarkEnd w:id="54"/>
      <w:bookmarkEnd w:id="55"/>
      <w:bookmarkEnd w:id="56"/>
      <w:bookmarkEnd w:id="57"/>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（1）按照《危险化学品名录（20</w:t>
      </w:r>
      <w:r>
        <w:rPr>
          <w:rFonts w:hint="eastAsia" w:ascii="宋体" w:hAnsi="宋体"/>
          <w:snapToGrid w:val="0"/>
          <w:kern w:val="0"/>
          <w:sz w:val="28"/>
          <w:szCs w:val="28"/>
        </w:rPr>
        <w:t>1</w:t>
      </w:r>
      <w:r>
        <w:rPr>
          <w:rFonts w:hint="eastAsia" w:ascii="宋体" w:hAnsi="宋体"/>
          <w:snapToGrid w:val="0"/>
          <w:kern w:val="0"/>
          <w:sz w:val="28"/>
          <w:szCs w:val="28"/>
          <w:lang w:val="en-US" w:eastAsia="zh-CN"/>
        </w:rPr>
        <w:t>8</w:t>
      </w:r>
      <w:r>
        <w:rPr>
          <w:rFonts w:ascii="宋体" w:hAnsi="宋体"/>
          <w:snapToGrid w:val="0"/>
          <w:kern w:val="0"/>
          <w:sz w:val="28"/>
          <w:szCs w:val="28"/>
        </w:rPr>
        <w:t>版）》将有害物质分为爆炸品、压缩气体和液化气体、易燃液体、易燃固体、自燃物品和遇湿易燃物品、氧化剂和有机过氧化物、毒害品和感染性物品、腐蚀品8大类，对系统中使用的物质及产品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（2）根据《危险化学品重大危险源辨识》（</w:t>
      </w:r>
      <w:r>
        <w:rPr>
          <w:rFonts w:hint="eastAsia" w:ascii="宋体" w:hAnsi="宋体"/>
          <w:snapToGrid w:val="0"/>
          <w:kern w:val="0"/>
          <w:sz w:val="28"/>
          <w:szCs w:val="28"/>
          <w:lang w:eastAsia="zh-CN"/>
        </w:rPr>
        <w:t>GB18218-2018</w:t>
      </w:r>
      <w:r>
        <w:rPr>
          <w:rFonts w:ascii="宋体" w:hAnsi="宋体"/>
          <w:snapToGrid w:val="0"/>
          <w:kern w:val="0"/>
          <w:sz w:val="28"/>
          <w:szCs w:val="28"/>
        </w:rPr>
        <w:t>），对</w:t>
      </w:r>
      <w:r>
        <w:rPr>
          <w:rFonts w:hint="eastAsia" w:ascii="宋体" w:hAnsi="宋体"/>
          <w:snapToGrid w:val="0"/>
          <w:kern w:val="0"/>
          <w:sz w:val="28"/>
          <w:szCs w:val="28"/>
          <w:lang w:eastAsia="zh-CN"/>
        </w:rPr>
        <w:t>厂区</w:t>
      </w:r>
      <w:r>
        <w:rPr>
          <w:rFonts w:ascii="宋体" w:hAnsi="宋体"/>
          <w:snapToGrid w:val="0"/>
          <w:kern w:val="0"/>
          <w:sz w:val="28"/>
          <w:szCs w:val="28"/>
        </w:rPr>
        <w:t>中使用到的各种物质进行重大危险源的计算与辨识。</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3）参照《企业职工伤亡事故分类》（GB6441-1986），综合考虑起因物、引发事故的诱导性原因、致害物、伤害方式等，将事故分为物体打击、车辆伤害、机械伤害、起重伤害、触电等20类，对系统中作业场所按照事故类型进行辨识与分析。</w:t>
      </w:r>
    </w:p>
    <w:p>
      <w:pPr>
        <w:adjustRightInd w:val="0"/>
        <w:snapToGrid w:val="0"/>
        <w:spacing w:line="360" w:lineRule="auto"/>
        <w:ind w:firstLine="560" w:firstLineChars="200"/>
        <w:rPr>
          <w:rFonts w:ascii="宋体" w:hAnsi="宋体"/>
          <w:snapToGrid w:val="0"/>
          <w:kern w:val="0"/>
          <w:sz w:val="28"/>
          <w:szCs w:val="28"/>
        </w:rPr>
      </w:pPr>
      <w:r>
        <w:rPr>
          <w:rFonts w:ascii="宋体" w:hAnsi="宋体"/>
          <w:snapToGrid w:val="0"/>
          <w:kern w:val="0"/>
          <w:sz w:val="28"/>
          <w:szCs w:val="28"/>
        </w:rPr>
        <w:t>（4）根据《生产过程危险和危害因素分类与代码》（GB/T13861-2009）对</w:t>
      </w:r>
      <w:r>
        <w:rPr>
          <w:rFonts w:hint="eastAsia" w:ascii="宋体" w:hAnsi="宋体"/>
          <w:snapToGrid w:val="0"/>
          <w:kern w:val="0"/>
          <w:sz w:val="28"/>
          <w:szCs w:val="28"/>
          <w:lang w:eastAsia="zh-CN"/>
        </w:rPr>
        <w:t>厂区</w:t>
      </w:r>
      <w:r>
        <w:rPr>
          <w:rFonts w:ascii="宋体" w:hAnsi="宋体"/>
          <w:snapToGrid w:val="0"/>
          <w:kern w:val="0"/>
          <w:sz w:val="28"/>
          <w:szCs w:val="28"/>
        </w:rPr>
        <w:t>生产过程中的危险、有害因素进行辨识与分析。</w:t>
      </w:r>
    </w:p>
    <w:p>
      <w:pPr>
        <w:spacing w:line="360" w:lineRule="auto"/>
        <w:ind w:firstLine="560" w:firstLineChars="200"/>
        <w:textAlignment w:val="baseline"/>
        <w:rPr>
          <w:rFonts w:hint="eastAsia" w:ascii="宋体" w:hAnsi="宋体"/>
          <w:sz w:val="28"/>
          <w:szCs w:val="28"/>
        </w:rPr>
      </w:pPr>
      <w:bookmarkStart w:id="58" w:name="_Toc356401485"/>
      <w:bookmarkStart w:id="59" w:name="_Toc480804388"/>
      <w:bookmarkStart w:id="60" w:name="_Toc350781092"/>
      <w:r>
        <w:rPr>
          <w:rFonts w:hint="eastAsia" w:ascii="宋体" w:hAnsi="宋体"/>
          <w:sz w:val="28"/>
          <w:szCs w:val="28"/>
        </w:rPr>
        <w:t>（5）参照</w:t>
      </w:r>
      <w:r>
        <w:rPr>
          <w:rFonts w:hint="eastAsia" w:ascii="宋体" w:hAnsi="宋体"/>
          <w:bCs/>
          <w:sz w:val="28"/>
          <w:szCs w:val="28"/>
        </w:rPr>
        <w:t>《职业病危害因素分类》（</w:t>
      </w:r>
      <w:r>
        <w:rPr>
          <w:rFonts w:ascii="宋体" w:hAnsi="宋体"/>
          <w:bCs/>
          <w:sz w:val="28"/>
          <w:szCs w:val="28"/>
        </w:rPr>
        <w:t>国卫疾控发〔201</w:t>
      </w:r>
      <w:r>
        <w:rPr>
          <w:rFonts w:hint="eastAsia" w:ascii="宋体" w:hAnsi="宋体"/>
          <w:bCs/>
          <w:sz w:val="28"/>
          <w:szCs w:val="28"/>
        </w:rPr>
        <w:t>5</w:t>
      </w:r>
      <w:r>
        <w:rPr>
          <w:rFonts w:ascii="宋体" w:hAnsi="宋体"/>
          <w:bCs/>
          <w:sz w:val="28"/>
          <w:szCs w:val="28"/>
        </w:rPr>
        <w:t>〕</w:t>
      </w:r>
      <w:r>
        <w:rPr>
          <w:rFonts w:hint="eastAsia" w:ascii="宋体" w:hAnsi="宋体"/>
          <w:bCs/>
          <w:sz w:val="28"/>
          <w:szCs w:val="28"/>
        </w:rPr>
        <w:t>92</w:t>
      </w:r>
      <w:r>
        <w:rPr>
          <w:rFonts w:ascii="宋体" w:hAnsi="宋体"/>
          <w:bCs/>
          <w:sz w:val="28"/>
          <w:szCs w:val="28"/>
        </w:rPr>
        <w:t>号</w:t>
      </w:r>
      <w:r>
        <w:rPr>
          <w:rFonts w:hint="eastAsia" w:ascii="宋体" w:hAnsi="宋体"/>
          <w:bCs/>
          <w:sz w:val="28"/>
          <w:szCs w:val="28"/>
        </w:rPr>
        <w:t>）</w:t>
      </w:r>
      <w:r>
        <w:rPr>
          <w:rFonts w:hint="eastAsia" w:ascii="宋体" w:hAnsi="宋体"/>
          <w:sz w:val="28"/>
          <w:szCs w:val="28"/>
        </w:rPr>
        <w:t>对作业环境进行职业危害辨识与分析。</w:t>
      </w:r>
    </w:p>
    <w:p>
      <w:pPr>
        <w:pStyle w:val="8"/>
        <w:spacing w:line="360" w:lineRule="auto"/>
        <w:ind w:firstLine="0" w:firstLineChars="0"/>
        <w:outlineLvl w:val="1"/>
        <w:rPr>
          <w:rFonts w:hint="eastAsia" w:ascii="黑体" w:eastAsia="黑体"/>
          <w:b/>
          <w:snapToGrid w:val="0"/>
          <w:kern w:val="0"/>
          <w:sz w:val="32"/>
          <w:szCs w:val="32"/>
        </w:rPr>
      </w:pPr>
      <w:bookmarkStart w:id="61" w:name="_Toc514342840"/>
      <w:bookmarkStart w:id="62" w:name="_Toc18155"/>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3 危险、有害因素辨识的方法</w:t>
      </w:r>
      <w:bookmarkEnd w:id="58"/>
      <w:bookmarkEnd w:id="59"/>
      <w:bookmarkEnd w:id="60"/>
      <w:bookmarkEnd w:id="61"/>
      <w:bookmarkEnd w:id="62"/>
    </w:p>
    <w:p>
      <w:pPr>
        <w:spacing w:line="360" w:lineRule="auto"/>
        <w:ind w:firstLine="560" w:firstLineChars="200"/>
        <w:textAlignment w:val="baseline"/>
        <w:rPr>
          <w:rFonts w:ascii="宋体" w:hAnsi="宋体"/>
          <w:sz w:val="28"/>
          <w:szCs w:val="28"/>
        </w:rPr>
      </w:pPr>
      <w:r>
        <w:rPr>
          <w:rFonts w:hint="eastAsia" w:ascii="宋体" w:hAnsi="宋体"/>
          <w:sz w:val="28"/>
          <w:szCs w:val="28"/>
          <w:lang w:eastAsia="zh-CN"/>
        </w:rPr>
        <w:t>公司</w:t>
      </w:r>
      <w:r>
        <w:rPr>
          <w:rFonts w:ascii="宋体" w:hAnsi="宋体"/>
          <w:sz w:val="28"/>
          <w:szCs w:val="28"/>
        </w:rPr>
        <w:t>生产过程复杂，生产条件多变，涉及的危险、有害因素较多。必须选择适当的方法识别分析危险和有害因素，为制定相关的防范措施奠定基础。本次安全评价选用对照分析法和专家评议法对生产过程中主要危险、有害因素进行辨识。</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⑴ 对照分析法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对照分析法是对照有关标准、规范、规程、法规或依靠分析人员的观察能力，借助其经验和判断能力，直观地对评价对象的危险因素进行分析的方法。</w:t>
      </w:r>
    </w:p>
    <w:p>
      <w:pPr>
        <w:spacing w:line="360" w:lineRule="auto"/>
        <w:ind w:firstLine="560" w:firstLineChars="200"/>
        <w:rPr>
          <w:rFonts w:ascii="宋体" w:hAnsi="宋体"/>
          <w:snapToGrid w:val="0"/>
          <w:kern w:val="0"/>
          <w:sz w:val="28"/>
          <w:szCs w:val="28"/>
        </w:rPr>
      </w:pPr>
      <w:r>
        <w:rPr>
          <w:rFonts w:ascii="宋体" w:hAnsi="宋体"/>
          <w:snapToGrid w:val="0"/>
          <w:kern w:val="0"/>
          <w:sz w:val="28"/>
          <w:szCs w:val="28"/>
        </w:rPr>
        <w:t>⑵ 专家评议法</w:t>
      </w:r>
    </w:p>
    <w:p>
      <w:pPr>
        <w:pStyle w:val="8"/>
        <w:spacing w:line="360" w:lineRule="auto"/>
        <w:ind w:firstLine="560"/>
        <w:rPr>
          <w:rFonts w:hint="eastAsia" w:ascii="宋体" w:hAnsi="宋体"/>
          <w:snapToGrid w:val="0"/>
          <w:kern w:val="0"/>
          <w:sz w:val="28"/>
          <w:szCs w:val="28"/>
        </w:rPr>
      </w:pPr>
      <w:r>
        <w:rPr>
          <w:rFonts w:ascii="宋体" w:hAnsi="宋体"/>
          <w:snapToGrid w:val="0"/>
          <w:kern w:val="0"/>
          <w:sz w:val="28"/>
          <w:szCs w:val="28"/>
        </w:rPr>
        <w:t>专家评议法是一种吸收专家参加，根据事物过去、现在及发展趋势，进行积极思维活动，对事物的未来进行分析、预测的方法。其实质是集</w:t>
      </w:r>
      <w:r>
        <w:rPr>
          <w:rFonts w:hint="eastAsia" w:ascii="宋体" w:hAnsi="宋体"/>
          <w:snapToGrid w:val="0"/>
          <w:kern w:val="0"/>
          <w:sz w:val="28"/>
          <w:szCs w:val="28"/>
        </w:rPr>
        <w:t>中技术</w:t>
      </w:r>
      <w:r>
        <w:rPr>
          <w:rFonts w:ascii="宋体" w:hAnsi="宋体"/>
          <w:snapToGrid w:val="0"/>
          <w:kern w:val="0"/>
          <w:sz w:val="28"/>
          <w:szCs w:val="28"/>
        </w:rPr>
        <w:t>专家的经验、知识和分析、推断能力来分析、识别危险、有害因素。</w:t>
      </w:r>
    </w:p>
    <w:p>
      <w:pPr>
        <w:pStyle w:val="8"/>
        <w:spacing w:line="360" w:lineRule="auto"/>
        <w:ind w:firstLine="0" w:firstLineChars="0"/>
        <w:outlineLvl w:val="1"/>
        <w:rPr>
          <w:rFonts w:hint="eastAsia" w:ascii="黑体" w:eastAsia="黑体"/>
          <w:b/>
          <w:snapToGrid w:val="0"/>
          <w:kern w:val="0"/>
          <w:sz w:val="32"/>
          <w:szCs w:val="32"/>
        </w:rPr>
      </w:pPr>
      <w:bookmarkStart w:id="63" w:name="_Toc514342841"/>
      <w:bookmarkStart w:id="64" w:name="_Toc345593159"/>
      <w:bookmarkStart w:id="65" w:name="_Toc356401486"/>
      <w:bookmarkStart w:id="66" w:name="_Toc9666"/>
      <w:bookmarkStart w:id="67" w:name="_Toc332350845"/>
      <w:bookmarkStart w:id="68" w:name="_Toc480804389"/>
      <w:bookmarkStart w:id="69" w:name="_Toc356380973"/>
      <w:bookmarkStart w:id="70" w:name="_Toc350781094"/>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4 主要危险、有害物质特性分析</w:t>
      </w:r>
      <w:bookmarkEnd w:id="63"/>
      <w:bookmarkEnd w:id="64"/>
      <w:bookmarkEnd w:id="65"/>
      <w:bookmarkEnd w:id="66"/>
      <w:bookmarkEnd w:id="67"/>
      <w:bookmarkEnd w:id="68"/>
      <w:bookmarkEnd w:id="69"/>
    </w:p>
    <w:p>
      <w:pPr>
        <w:pStyle w:val="8"/>
        <w:spacing w:line="360" w:lineRule="auto"/>
        <w:ind w:firstLine="560"/>
        <w:rPr>
          <w:rFonts w:hint="eastAsia" w:ascii="宋体" w:hAnsi="宋体"/>
          <w:snapToGrid w:val="0"/>
          <w:kern w:val="0"/>
          <w:sz w:val="28"/>
          <w:szCs w:val="28"/>
        </w:rPr>
      </w:pPr>
      <w:r>
        <w:rPr>
          <w:rFonts w:hint="eastAsia" w:ascii="宋体" w:hAnsi="宋体"/>
          <w:snapToGrid w:val="0"/>
          <w:kern w:val="0"/>
          <w:sz w:val="28"/>
          <w:szCs w:val="28"/>
        </w:rPr>
        <w:t>本系统主要使用煤炭作为燃料，点火时使用柴油。煤炭、柴油等物质在燃烧过程中，产生一氧化碳、二氧化碳及硫（磷）氧化物等危险、有害物质，对人体及周边环境造成影响。</w:t>
      </w:r>
    </w:p>
    <w:p>
      <w:pPr>
        <w:pStyle w:val="8"/>
        <w:spacing w:line="360" w:lineRule="auto"/>
        <w:ind w:firstLine="0" w:firstLineChars="0"/>
        <w:outlineLvl w:val="2"/>
        <w:rPr>
          <w:rFonts w:ascii="宋体" w:hAnsi="宋体"/>
          <w:b/>
          <w:snapToGrid w:val="0"/>
          <w:kern w:val="0"/>
          <w:sz w:val="28"/>
          <w:szCs w:val="28"/>
        </w:rPr>
      </w:pPr>
      <w:bookmarkStart w:id="71" w:name="_Toc514342842"/>
      <w:bookmarkStart w:id="72" w:name="_Toc32631"/>
      <w:bookmarkStart w:id="73" w:name="_Toc356401487"/>
      <w:bookmarkStart w:id="74" w:name="_Toc356380974"/>
      <w:bookmarkStart w:id="75" w:name="_Toc480804390"/>
      <w:bookmarkStart w:id="76" w:name="_Toc332350846"/>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4.1 煤</w:t>
      </w:r>
      <w:bookmarkEnd w:id="71"/>
      <w:bookmarkEnd w:id="72"/>
      <w:bookmarkEnd w:id="73"/>
      <w:bookmarkEnd w:id="74"/>
      <w:bookmarkEnd w:id="75"/>
      <w:bookmarkEnd w:id="76"/>
    </w:p>
    <w:p>
      <w:pPr>
        <w:spacing w:line="360" w:lineRule="auto"/>
        <w:ind w:firstLine="560" w:firstLineChars="200"/>
        <w:rPr>
          <w:rFonts w:hint="eastAsia" w:ascii="宋体" w:hAnsi="宋体"/>
          <w:sz w:val="28"/>
          <w:szCs w:val="28"/>
        </w:rPr>
      </w:pPr>
      <w:r>
        <w:rPr>
          <w:rFonts w:hint="eastAsia" w:ascii="宋体" w:hAnsi="宋体"/>
          <w:sz w:val="28"/>
          <w:szCs w:val="28"/>
        </w:rPr>
        <w:t>煤的主要元素是碳，其次是氢，并含有少量的氧、氮、硫。碳和氢是煤的主要可燃元素；氧是煤中的一种有害物质，因为它和碳、氢等可燃元素构成氧化物而使它们推动了进行燃烧的可能性；氮在一般情况下不参加燃烧反应，是燃料中的惰性元素，但在高温条件下，氮和氧形成NOX，这是一种对大气有严重污染作用的有害气体；硫是一种极有害的物质，因为燃烧后生产二氧化硫和三氧化硫，能危害人体健康和造成大气污染。煤炭的储存也很重要，主要是防火灾危险，因为各种煤有不同程度的自燃能力，再加上煤内水分的影响、空气湿度的影响、氧化影响、粒度大小的影响等等，也影响了自燃能力的大小。</w:t>
      </w:r>
    </w:p>
    <w:p>
      <w:pPr>
        <w:pStyle w:val="8"/>
        <w:spacing w:line="360" w:lineRule="auto"/>
        <w:ind w:firstLine="0" w:firstLineChars="0"/>
        <w:outlineLvl w:val="2"/>
        <w:rPr>
          <w:rFonts w:ascii="宋体" w:hAnsi="宋体"/>
          <w:b/>
          <w:snapToGrid w:val="0"/>
          <w:kern w:val="0"/>
          <w:sz w:val="28"/>
          <w:szCs w:val="28"/>
        </w:rPr>
      </w:pPr>
      <w:bookmarkStart w:id="77" w:name="_Toc29921"/>
      <w:bookmarkStart w:id="78" w:name="_Toc356401488"/>
      <w:bookmarkStart w:id="79" w:name="_Toc514342843"/>
      <w:bookmarkStart w:id="80" w:name="_Toc332350847"/>
      <w:bookmarkStart w:id="81" w:name="_Toc480804391"/>
      <w:bookmarkStart w:id="82" w:name="_Toc356380975"/>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4.2 柴油</w:t>
      </w:r>
      <w:bookmarkEnd w:id="77"/>
      <w:bookmarkEnd w:id="78"/>
      <w:bookmarkEnd w:id="79"/>
      <w:bookmarkEnd w:id="80"/>
      <w:bookmarkEnd w:id="81"/>
      <w:bookmarkEnd w:id="82"/>
    </w:p>
    <w:p>
      <w:pPr>
        <w:adjustRightInd w:val="0"/>
        <w:snapToGrid w:val="0"/>
        <w:spacing w:line="360" w:lineRule="auto"/>
        <w:ind w:firstLine="560" w:firstLineChars="200"/>
        <w:rPr>
          <w:rFonts w:hint="eastAsia"/>
          <w:sz w:val="28"/>
          <w:szCs w:val="28"/>
        </w:rPr>
      </w:pPr>
      <w:r>
        <w:rPr>
          <w:rFonts w:hint="eastAsia"/>
          <w:sz w:val="28"/>
          <w:szCs w:val="28"/>
        </w:rPr>
        <w:t>柴油主要是由烷烃、烯烃、芳香烃、多环芳烃与少量硫（2~60</w:t>
      </w:r>
      <w:r>
        <w:rPr>
          <w:sz w:val="28"/>
          <w:szCs w:val="28"/>
        </w:rPr>
        <w:t>g/Kg</w:t>
      </w:r>
      <w:r>
        <w:rPr>
          <w:rFonts w:hint="eastAsia"/>
          <w:sz w:val="28"/>
          <w:szCs w:val="28"/>
        </w:rPr>
        <w:t>）、氮（＜1</w:t>
      </w:r>
      <w:r>
        <w:rPr>
          <w:sz w:val="28"/>
          <w:szCs w:val="28"/>
        </w:rPr>
        <w:t xml:space="preserve"> g/Kg</w:t>
      </w:r>
      <w:r>
        <w:rPr>
          <w:rFonts w:hint="eastAsia"/>
          <w:sz w:val="28"/>
          <w:szCs w:val="28"/>
        </w:rPr>
        <w:t>）及添加剂组成的混合物。以燃料油为例：白色或淡黄色液体，相对密度0.85；熔点</w:t>
      </w:r>
      <w:r>
        <w:rPr>
          <w:sz w:val="28"/>
          <w:szCs w:val="28"/>
        </w:rPr>
        <w:t>--</w:t>
      </w:r>
      <w:r>
        <w:rPr>
          <w:rFonts w:hint="eastAsia"/>
          <w:sz w:val="28"/>
          <w:szCs w:val="28"/>
        </w:rPr>
        <w:t>29.56℃，沸点180~370℃，闪点40℃，蒸气密度4，蒸气压4.0</w:t>
      </w:r>
      <w:r>
        <w:rPr>
          <w:sz w:val="28"/>
          <w:szCs w:val="28"/>
        </w:rPr>
        <w:t>Kpa</w:t>
      </w:r>
      <w:r>
        <w:rPr>
          <w:rFonts w:hint="eastAsia"/>
          <w:sz w:val="28"/>
          <w:szCs w:val="28"/>
        </w:rPr>
        <w:t>。</w:t>
      </w:r>
    </w:p>
    <w:p>
      <w:pPr>
        <w:adjustRightInd w:val="0"/>
        <w:snapToGrid w:val="0"/>
        <w:spacing w:line="360" w:lineRule="auto"/>
        <w:ind w:firstLine="560" w:firstLineChars="200"/>
        <w:rPr>
          <w:rFonts w:hint="eastAsia"/>
          <w:sz w:val="28"/>
          <w:szCs w:val="28"/>
        </w:rPr>
      </w:pPr>
      <w:r>
        <w:rPr>
          <w:rFonts w:hint="eastAsia"/>
          <w:sz w:val="28"/>
          <w:szCs w:val="28"/>
        </w:rPr>
        <w:t>危险性：蒸气与空气混合物可燃限0.7~5.0%；不溶于水；遇热、火花、明火易燃，可蓄积静电，引起电火花；分解和燃烧产物为一氧化化碳、二氧化碳和硫氧化物；避免接触氧化剂。</w:t>
      </w:r>
    </w:p>
    <w:p>
      <w:pPr>
        <w:adjustRightInd w:val="0"/>
        <w:snapToGrid w:val="0"/>
        <w:spacing w:line="360" w:lineRule="auto"/>
        <w:ind w:firstLine="560" w:firstLineChars="200"/>
        <w:rPr>
          <w:rFonts w:hint="eastAsia"/>
          <w:sz w:val="28"/>
          <w:szCs w:val="28"/>
        </w:rPr>
      </w:pPr>
      <w:r>
        <w:rPr>
          <w:rFonts w:hint="eastAsia"/>
          <w:sz w:val="28"/>
          <w:szCs w:val="28"/>
        </w:rPr>
        <w:t>危害性：皮肤大量接触后，个别人可能发生肾脏损害；皮肤接触后，可发生接触性皮炎，表现为红斑、水疱、丘疹。</w:t>
      </w:r>
    </w:p>
    <w:p>
      <w:pPr>
        <w:adjustRightInd w:val="0"/>
        <w:snapToGrid w:val="0"/>
        <w:spacing w:line="360" w:lineRule="auto"/>
        <w:ind w:firstLine="560" w:firstLineChars="200"/>
        <w:rPr>
          <w:rFonts w:hint="eastAsia"/>
          <w:sz w:val="28"/>
          <w:szCs w:val="28"/>
        </w:rPr>
      </w:pPr>
      <w:r>
        <w:rPr>
          <w:rFonts w:hint="eastAsia"/>
          <w:sz w:val="28"/>
          <w:szCs w:val="28"/>
        </w:rPr>
        <w:t>灭火剂：泡沫、干粉、二氧化碳、砂土。</w:t>
      </w:r>
    </w:p>
    <w:p>
      <w:pPr>
        <w:adjustRightInd w:val="0"/>
        <w:snapToGrid w:val="0"/>
        <w:spacing w:line="360" w:lineRule="auto"/>
        <w:ind w:firstLine="560" w:firstLineChars="200"/>
        <w:rPr>
          <w:rFonts w:hint="eastAsia"/>
          <w:sz w:val="28"/>
          <w:szCs w:val="28"/>
        </w:rPr>
      </w:pPr>
      <w:r>
        <w:rPr>
          <w:rFonts w:hint="eastAsia"/>
          <w:sz w:val="28"/>
          <w:szCs w:val="28"/>
        </w:rPr>
        <w:t>着火性、流动性和凝点是柴油性能的重要指标。</w:t>
      </w:r>
    </w:p>
    <w:p>
      <w:pPr>
        <w:pStyle w:val="8"/>
        <w:spacing w:line="360" w:lineRule="auto"/>
        <w:ind w:firstLine="0" w:firstLineChars="0"/>
        <w:outlineLvl w:val="2"/>
        <w:rPr>
          <w:rFonts w:hint="eastAsia" w:ascii="宋体" w:hAnsi="宋体"/>
          <w:b/>
          <w:snapToGrid w:val="0"/>
          <w:kern w:val="0"/>
          <w:sz w:val="28"/>
          <w:szCs w:val="28"/>
        </w:rPr>
      </w:pPr>
      <w:bookmarkStart w:id="83" w:name="_Toc356380976"/>
      <w:bookmarkStart w:id="84" w:name="_Toc332350848"/>
      <w:bookmarkStart w:id="85" w:name="_Toc7542"/>
      <w:bookmarkStart w:id="86" w:name="_Toc514342844"/>
      <w:bookmarkStart w:id="87" w:name="_Toc480804392"/>
      <w:bookmarkStart w:id="88" w:name="_Toc356401489"/>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4.3 一氧化碳</w:t>
      </w:r>
      <w:bookmarkEnd w:id="83"/>
      <w:bookmarkEnd w:id="84"/>
      <w:bookmarkEnd w:id="85"/>
      <w:bookmarkEnd w:id="86"/>
      <w:bookmarkEnd w:id="87"/>
      <w:bookmarkEnd w:id="88"/>
    </w:p>
    <w:p>
      <w:pPr>
        <w:adjustRightInd w:val="0"/>
        <w:snapToGrid w:val="0"/>
        <w:spacing w:line="360" w:lineRule="auto"/>
        <w:ind w:firstLine="560" w:firstLineChars="200"/>
        <w:rPr>
          <w:rFonts w:hint="eastAsia"/>
          <w:sz w:val="28"/>
          <w:szCs w:val="28"/>
        </w:rPr>
      </w:pPr>
      <w:r>
        <w:rPr>
          <w:rFonts w:hint="eastAsia"/>
          <w:sz w:val="28"/>
          <w:szCs w:val="28"/>
        </w:rPr>
        <w:t xml:space="preserve">英文名：Carbon  Monoxide               分子式：CO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性状：无色、无味气体；                 熔点：-199．1℃   </w:t>
      </w:r>
    </w:p>
    <w:p>
      <w:pPr>
        <w:adjustRightInd w:val="0"/>
        <w:snapToGrid w:val="0"/>
        <w:spacing w:line="360" w:lineRule="auto"/>
        <w:ind w:firstLine="560" w:firstLineChars="200"/>
        <w:rPr>
          <w:rFonts w:hint="eastAsia"/>
          <w:sz w:val="28"/>
          <w:szCs w:val="28"/>
        </w:rPr>
      </w:pPr>
      <w:r>
        <w:rPr>
          <w:rFonts w:hint="eastAsia"/>
          <w:sz w:val="28"/>
          <w:szCs w:val="28"/>
        </w:rPr>
        <w:t xml:space="preserve">沸点：-192℃                           相对密度：0．97   </w:t>
      </w:r>
    </w:p>
    <w:p>
      <w:pPr>
        <w:adjustRightInd w:val="0"/>
        <w:snapToGrid w:val="0"/>
        <w:spacing w:line="360" w:lineRule="auto"/>
        <w:ind w:firstLine="560" w:firstLineChars="200"/>
        <w:rPr>
          <w:rFonts w:hint="eastAsia"/>
          <w:sz w:val="28"/>
          <w:szCs w:val="28"/>
        </w:rPr>
      </w:pPr>
      <w:r>
        <w:rPr>
          <w:rFonts w:hint="eastAsia"/>
          <w:sz w:val="28"/>
          <w:szCs w:val="28"/>
        </w:rPr>
        <w:t>危险性类别：第2.易燃气体               危编号：21005</w:t>
      </w:r>
    </w:p>
    <w:p>
      <w:pPr>
        <w:adjustRightInd w:val="0"/>
        <w:snapToGrid w:val="0"/>
        <w:spacing w:line="360" w:lineRule="auto"/>
        <w:ind w:firstLine="560" w:firstLineChars="200"/>
        <w:rPr>
          <w:rFonts w:hint="eastAsia"/>
          <w:sz w:val="28"/>
          <w:szCs w:val="28"/>
        </w:rPr>
      </w:pPr>
      <w:r>
        <w:rPr>
          <w:rFonts w:hint="eastAsia"/>
          <w:sz w:val="28"/>
          <w:szCs w:val="28"/>
        </w:rPr>
        <w:t>un：1016(气体)                     爆炸极限：12</w:t>
      </w:r>
      <w:r>
        <w:rPr>
          <w:sz w:val="28"/>
          <w:szCs w:val="28"/>
        </w:rPr>
        <w:t>.</w:t>
      </w:r>
      <w:r>
        <w:rPr>
          <w:rFonts w:hint="eastAsia"/>
          <w:sz w:val="28"/>
          <w:szCs w:val="28"/>
        </w:rPr>
        <w:t>5~74％（V）</w:t>
      </w:r>
    </w:p>
    <w:p>
      <w:pPr>
        <w:adjustRightInd w:val="0"/>
        <w:snapToGrid w:val="0"/>
        <w:spacing w:line="360" w:lineRule="auto"/>
        <w:ind w:firstLine="560" w:firstLineChars="200"/>
        <w:rPr>
          <w:rFonts w:hint="eastAsia"/>
          <w:sz w:val="28"/>
          <w:szCs w:val="28"/>
        </w:rPr>
      </w:pPr>
      <w:r>
        <w:rPr>
          <w:rFonts w:hint="eastAsia"/>
          <w:sz w:val="28"/>
          <w:szCs w:val="28"/>
        </w:rPr>
        <w:t>最高容许浓度：30mg／m³(按职业性接触毒物危害程度分级为Ⅱ级，高度危害物质)。</w:t>
      </w:r>
    </w:p>
    <w:p>
      <w:pPr>
        <w:adjustRightInd w:val="0"/>
        <w:snapToGrid w:val="0"/>
        <w:spacing w:line="360" w:lineRule="auto"/>
        <w:ind w:firstLine="560" w:firstLineChars="200"/>
        <w:rPr>
          <w:rFonts w:hint="eastAsia"/>
          <w:sz w:val="28"/>
          <w:szCs w:val="28"/>
        </w:rPr>
      </w:pPr>
      <w:r>
        <w:rPr>
          <w:rFonts w:hint="eastAsia"/>
          <w:sz w:val="28"/>
          <w:szCs w:val="28"/>
        </w:rPr>
        <w:t>健康危害：一氧化碳在血液中与血红蛋白结合而造成组织缺氧。</w:t>
      </w:r>
    </w:p>
    <w:p>
      <w:pPr>
        <w:adjustRightInd w:val="0"/>
        <w:snapToGrid w:val="0"/>
        <w:spacing w:line="360" w:lineRule="auto"/>
        <w:ind w:firstLine="560" w:firstLineChars="200"/>
        <w:rPr>
          <w:rFonts w:hint="eastAsia"/>
          <w:sz w:val="28"/>
          <w:szCs w:val="28"/>
        </w:rPr>
      </w:pPr>
      <w:r>
        <w:rPr>
          <w:rFonts w:hint="eastAsia"/>
          <w:sz w:val="28"/>
          <w:szCs w:val="28"/>
        </w:rPr>
        <w:t>急性中毒：轻度中毒出现头痛、头晕、耳鸣、心悸、恶心、呕吐、无力；中度中毒除出现上述症状外还有皮肤粘膜呈樱红色、脉快、烦躁、步态不稳；重度患者深度昏迷、瞳孔扩大、肌张力增强，频繁抽搐、大小便失禁、休克、肺水肿、严重心肌损害等。</w:t>
      </w:r>
    </w:p>
    <w:p>
      <w:pPr>
        <w:pStyle w:val="8"/>
        <w:spacing w:line="360" w:lineRule="auto"/>
        <w:ind w:firstLine="0" w:firstLineChars="0"/>
        <w:outlineLvl w:val="2"/>
        <w:rPr>
          <w:rFonts w:hint="eastAsia" w:ascii="宋体" w:hAnsi="宋体"/>
          <w:b/>
          <w:snapToGrid w:val="0"/>
          <w:kern w:val="0"/>
          <w:sz w:val="28"/>
          <w:szCs w:val="28"/>
        </w:rPr>
      </w:pPr>
      <w:bookmarkStart w:id="89" w:name="_Toc356380977"/>
      <w:bookmarkStart w:id="90" w:name="_Toc356401490"/>
      <w:bookmarkStart w:id="91" w:name="_Toc514342845"/>
      <w:bookmarkStart w:id="92" w:name="_Toc480804393"/>
      <w:bookmarkStart w:id="93" w:name="_Toc6124"/>
      <w:bookmarkStart w:id="94" w:name="_Toc332350849"/>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4.4 二氧化碳</w:t>
      </w:r>
      <w:bookmarkEnd w:id="89"/>
      <w:bookmarkEnd w:id="90"/>
      <w:bookmarkEnd w:id="91"/>
      <w:bookmarkEnd w:id="92"/>
      <w:bookmarkEnd w:id="93"/>
      <w:bookmarkEnd w:id="94"/>
      <w:r>
        <w:rPr>
          <w:rFonts w:hint="eastAsia" w:ascii="宋体" w:hAnsi="宋体"/>
          <w:b/>
          <w:snapToGrid w:val="0"/>
          <w:kern w:val="0"/>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英文名：Carbon  Dioxide             分子式：C02   </w:t>
      </w:r>
    </w:p>
    <w:p>
      <w:pPr>
        <w:adjustRightInd w:val="0"/>
        <w:snapToGrid w:val="0"/>
        <w:spacing w:line="360" w:lineRule="auto"/>
        <w:ind w:firstLine="560" w:firstLineChars="200"/>
        <w:rPr>
          <w:rFonts w:hint="eastAsia"/>
          <w:sz w:val="28"/>
          <w:szCs w:val="28"/>
        </w:rPr>
      </w:pPr>
      <w:r>
        <w:rPr>
          <w:rFonts w:hint="eastAsia"/>
          <w:sz w:val="28"/>
          <w:szCs w:val="28"/>
        </w:rPr>
        <w:t xml:space="preserve">性状：无色、无味、不燃的气体        熔点：-56．6℃   </w:t>
      </w:r>
    </w:p>
    <w:p>
      <w:pPr>
        <w:adjustRightInd w:val="0"/>
        <w:snapToGrid w:val="0"/>
        <w:spacing w:line="360" w:lineRule="auto"/>
        <w:ind w:firstLine="560" w:firstLineChars="200"/>
        <w:rPr>
          <w:rFonts w:hint="eastAsia"/>
          <w:sz w:val="28"/>
          <w:szCs w:val="28"/>
        </w:rPr>
      </w:pPr>
      <w:r>
        <w:rPr>
          <w:rFonts w:hint="eastAsia"/>
          <w:sz w:val="28"/>
          <w:szCs w:val="28"/>
        </w:rPr>
        <w:t>沸点：-78．5℃(升华)           危险性类别：第2.2不燃气体</w:t>
      </w:r>
    </w:p>
    <w:p>
      <w:pPr>
        <w:adjustRightInd w:val="0"/>
        <w:snapToGrid w:val="0"/>
        <w:spacing w:line="360" w:lineRule="auto"/>
        <w:ind w:firstLine="560" w:firstLineChars="200"/>
        <w:rPr>
          <w:rFonts w:hint="eastAsia"/>
          <w:sz w:val="28"/>
          <w:szCs w:val="28"/>
        </w:rPr>
      </w:pPr>
      <w:r>
        <w:rPr>
          <w:rFonts w:hint="eastAsia"/>
          <w:sz w:val="28"/>
          <w:szCs w:val="28"/>
        </w:rPr>
        <w:t>危编号：22019                        un：1013（气体）</w:t>
      </w:r>
    </w:p>
    <w:p>
      <w:pPr>
        <w:adjustRightInd w:val="0"/>
        <w:snapToGrid w:val="0"/>
        <w:spacing w:line="360" w:lineRule="auto"/>
        <w:ind w:firstLine="560" w:firstLineChars="200"/>
        <w:rPr>
          <w:rFonts w:hint="eastAsia"/>
          <w:sz w:val="28"/>
          <w:szCs w:val="28"/>
        </w:rPr>
      </w:pPr>
      <w:r>
        <w:rPr>
          <w:rFonts w:hint="eastAsia"/>
          <w:sz w:val="28"/>
          <w:szCs w:val="28"/>
        </w:rPr>
        <w:t>健康危害：在低浓度时，对呼吸中枢呈兴奋作用，高浓度时则产生抑制甚至麻痹作用。中毒机制中还兼有缺氧的因素。</w:t>
      </w:r>
    </w:p>
    <w:p>
      <w:pPr>
        <w:adjustRightInd w:val="0"/>
        <w:snapToGrid w:val="0"/>
        <w:spacing w:line="360" w:lineRule="auto"/>
        <w:ind w:firstLine="560" w:firstLineChars="200"/>
        <w:rPr>
          <w:rFonts w:hint="eastAsia"/>
          <w:sz w:val="28"/>
          <w:szCs w:val="28"/>
        </w:rPr>
      </w:pPr>
      <w:r>
        <w:rPr>
          <w:rFonts w:hint="eastAsia"/>
          <w:sz w:val="28"/>
          <w:szCs w:val="28"/>
        </w:rPr>
        <w:t>急性中毒：人进入高浓度二氧化碳环境，在几秒钟迅速昏迷倒下，反射消失、瞳孔扩大或缩小、大小便失禁、呕吐等，更严重者出现呼吸停止及休克，甚至死亡。</w:t>
      </w:r>
    </w:p>
    <w:p>
      <w:pPr>
        <w:adjustRightInd w:val="0"/>
        <w:snapToGrid w:val="0"/>
        <w:spacing w:line="360" w:lineRule="auto"/>
        <w:ind w:firstLine="560" w:firstLineChars="200"/>
        <w:rPr>
          <w:rFonts w:hint="eastAsia"/>
          <w:sz w:val="28"/>
          <w:szCs w:val="28"/>
        </w:rPr>
      </w:pPr>
      <w:r>
        <w:rPr>
          <w:rFonts w:hint="eastAsia"/>
          <w:sz w:val="28"/>
          <w:szCs w:val="28"/>
        </w:rPr>
        <w:t>慢性影响：经常接触较高的二氧化碳者，会有头晕、头痛、失眠、易兴奋、无力等神经功能紊乱等主诉。</w:t>
      </w:r>
    </w:p>
    <w:p>
      <w:pPr>
        <w:adjustRightInd w:val="0"/>
        <w:snapToGrid w:val="0"/>
        <w:spacing w:line="360" w:lineRule="auto"/>
        <w:ind w:firstLine="560" w:firstLineChars="200"/>
        <w:rPr>
          <w:rFonts w:hint="eastAsia"/>
          <w:sz w:val="28"/>
          <w:szCs w:val="28"/>
        </w:rPr>
      </w:pPr>
      <w:r>
        <w:rPr>
          <w:rFonts w:hint="eastAsia"/>
          <w:sz w:val="28"/>
          <w:szCs w:val="28"/>
        </w:rPr>
        <w:t>防护措施：呼吸系统防护：一般不需特殊防护，高浓度接触时可佩戴空气呼吸器；眼睛防护：一般不需特殊防护；身体防护：穿一般作业工作服；手防护：戴一般作业防护手套；其它：避免高浓度吸入。</w:t>
      </w:r>
    </w:p>
    <w:p>
      <w:pPr>
        <w:pStyle w:val="8"/>
        <w:spacing w:line="360" w:lineRule="auto"/>
        <w:ind w:firstLine="0" w:firstLineChars="0"/>
        <w:outlineLvl w:val="2"/>
        <w:rPr>
          <w:rFonts w:hint="eastAsia" w:ascii="宋体" w:hAnsi="宋体"/>
          <w:b/>
          <w:snapToGrid w:val="0"/>
          <w:kern w:val="0"/>
          <w:sz w:val="28"/>
          <w:szCs w:val="28"/>
        </w:rPr>
      </w:pPr>
      <w:bookmarkStart w:id="95" w:name="_Toc332350850"/>
      <w:bookmarkStart w:id="96" w:name="_Toc480804394"/>
      <w:bookmarkStart w:id="97" w:name="_Toc24540"/>
      <w:bookmarkStart w:id="98" w:name="_Toc514342846"/>
      <w:bookmarkStart w:id="99" w:name="_Toc356401491"/>
      <w:bookmarkStart w:id="100" w:name="_Toc356380978"/>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4.5 二氧化硫（三氧化硫参考）</w:t>
      </w:r>
      <w:bookmarkEnd w:id="95"/>
      <w:bookmarkEnd w:id="96"/>
      <w:bookmarkEnd w:id="97"/>
      <w:bookmarkEnd w:id="98"/>
      <w:bookmarkEnd w:id="99"/>
      <w:bookmarkEnd w:id="100"/>
    </w:p>
    <w:p>
      <w:pPr>
        <w:adjustRightInd w:val="0"/>
        <w:snapToGrid w:val="0"/>
        <w:spacing w:line="360" w:lineRule="auto"/>
        <w:ind w:firstLine="560" w:firstLineChars="200"/>
        <w:rPr>
          <w:rFonts w:hint="eastAsia"/>
          <w:sz w:val="28"/>
          <w:szCs w:val="28"/>
        </w:rPr>
      </w:pPr>
      <w:r>
        <w:rPr>
          <w:rFonts w:hint="eastAsia"/>
          <w:sz w:val="28"/>
          <w:szCs w:val="28"/>
        </w:rPr>
        <w:t>英文名：（S</w:t>
      </w:r>
      <w:r>
        <w:rPr>
          <w:sz w:val="28"/>
          <w:szCs w:val="28"/>
        </w:rPr>
        <w:t xml:space="preserve">ulfur  </w:t>
      </w:r>
      <w:r>
        <w:rPr>
          <w:rFonts w:hint="eastAsia"/>
          <w:sz w:val="28"/>
          <w:szCs w:val="28"/>
        </w:rPr>
        <w:t>D</w:t>
      </w:r>
      <w:r>
        <w:rPr>
          <w:sz w:val="28"/>
          <w:szCs w:val="28"/>
        </w:rPr>
        <w:t>ioxide</w:t>
      </w:r>
      <w:r>
        <w:rPr>
          <w:rFonts w:hint="eastAsia"/>
          <w:sz w:val="28"/>
          <w:szCs w:val="28"/>
        </w:rPr>
        <w:t>）           分子式：</w:t>
      </w:r>
      <w:r>
        <w:rPr>
          <w:sz w:val="28"/>
          <w:szCs w:val="28"/>
        </w:rPr>
        <w:t>SO2</w:t>
      </w:r>
      <w:r>
        <w:rPr>
          <w:rFonts w:hint="eastAsia"/>
          <w:sz w:val="28"/>
          <w:szCs w:val="28"/>
        </w:rPr>
        <w:t xml:space="preserve">     </w:t>
      </w:r>
    </w:p>
    <w:p>
      <w:pPr>
        <w:adjustRightInd w:val="0"/>
        <w:snapToGrid w:val="0"/>
        <w:spacing w:line="360" w:lineRule="auto"/>
        <w:ind w:firstLine="560" w:firstLineChars="200"/>
        <w:rPr>
          <w:rFonts w:hint="eastAsia"/>
          <w:sz w:val="28"/>
          <w:szCs w:val="28"/>
        </w:rPr>
      </w:pPr>
      <w:r>
        <w:rPr>
          <w:rFonts w:hint="eastAsia"/>
          <w:sz w:val="28"/>
          <w:szCs w:val="28"/>
        </w:rPr>
        <w:t xml:space="preserve">外观及性状：无色气体，室温下具有强烈刺激气味，可溶于水及有机溶剂 </w:t>
      </w:r>
    </w:p>
    <w:p>
      <w:pPr>
        <w:adjustRightInd w:val="0"/>
        <w:snapToGrid w:val="0"/>
        <w:spacing w:line="360" w:lineRule="auto"/>
        <w:ind w:firstLine="560" w:firstLineChars="200"/>
        <w:rPr>
          <w:rFonts w:hint="eastAsia"/>
          <w:sz w:val="28"/>
          <w:szCs w:val="28"/>
        </w:rPr>
      </w:pPr>
      <w:r>
        <w:rPr>
          <w:rFonts w:hint="eastAsia"/>
          <w:sz w:val="28"/>
          <w:szCs w:val="28"/>
        </w:rPr>
        <w:t>熔点：</w:t>
      </w:r>
      <w:r>
        <w:rPr>
          <w:sz w:val="28"/>
          <w:szCs w:val="28"/>
        </w:rPr>
        <w:t>-75.5</w:t>
      </w:r>
      <w:r>
        <w:rPr>
          <w:rFonts w:hint="eastAsia"/>
          <w:sz w:val="28"/>
          <w:szCs w:val="28"/>
        </w:rPr>
        <w:t xml:space="preserve"> ℃                       沸点：</w:t>
      </w:r>
      <w:r>
        <w:rPr>
          <w:sz w:val="28"/>
          <w:szCs w:val="28"/>
        </w:rPr>
        <w:t>-10</w:t>
      </w:r>
      <w:r>
        <w:rPr>
          <w:rFonts w:hint="eastAsia"/>
          <w:sz w:val="28"/>
          <w:szCs w:val="28"/>
        </w:rPr>
        <w:t xml:space="preserve"> ℃  </w:t>
      </w:r>
    </w:p>
    <w:p>
      <w:pPr>
        <w:adjustRightInd w:val="0"/>
        <w:snapToGrid w:val="0"/>
        <w:spacing w:line="360" w:lineRule="auto"/>
        <w:ind w:firstLine="560" w:firstLineChars="200"/>
        <w:rPr>
          <w:rFonts w:hint="eastAsia"/>
          <w:sz w:val="28"/>
          <w:szCs w:val="28"/>
        </w:rPr>
      </w:pPr>
      <w:r>
        <w:rPr>
          <w:rFonts w:hint="eastAsia"/>
          <w:sz w:val="28"/>
          <w:szCs w:val="28"/>
        </w:rPr>
        <w:t xml:space="preserve">危险性类别：第2.3有毒气体           危编号： </w:t>
      </w:r>
      <w:r>
        <w:rPr>
          <w:sz w:val="28"/>
          <w:szCs w:val="28"/>
        </w:rPr>
        <w:t>23013</w:t>
      </w:r>
    </w:p>
    <w:p>
      <w:pPr>
        <w:adjustRightInd w:val="0"/>
        <w:snapToGrid w:val="0"/>
        <w:spacing w:line="360" w:lineRule="auto"/>
        <w:ind w:firstLine="560" w:firstLineChars="200"/>
        <w:rPr>
          <w:rFonts w:hint="eastAsia"/>
          <w:sz w:val="28"/>
          <w:szCs w:val="28"/>
        </w:rPr>
      </w:pPr>
      <w:r>
        <w:rPr>
          <w:sz w:val="28"/>
          <w:szCs w:val="28"/>
        </w:rPr>
        <w:t>UN</w:t>
      </w:r>
      <w:r>
        <w:rPr>
          <w:rFonts w:hint="eastAsia"/>
          <w:sz w:val="28"/>
          <w:szCs w:val="28"/>
        </w:rPr>
        <w:t>：1079                    相对密度：</w:t>
      </w:r>
      <w:r>
        <w:rPr>
          <w:sz w:val="28"/>
          <w:szCs w:val="28"/>
        </w:rPr>
        <w:t>1.43</w:t>
      </w:r>
      <w:r>
        <w:rPr>
          <w:rFonts w:hint="eastAsia"/>
          <w:sz w:val="28"/>
          <w:szCs w:val="28"/>
        </w:rPr>
        <w:t>（液化）；</w:t>
      </w:r>
      <w:r>
        <w:rPr>
          <w:sz w:val="28"/>
          <w:szCs w:val="28"/>
        </w:rPr>
        <w:t>2.26</w:t>
      </w:r>
      <w:r>
        <w:rPr>
          <w:rFonts w:hint="eastAsia"/>
          <w:sz w:val="28"/>
          <w:szCs w:val="28"/>
        </w:rPr>
        <w:t>（气）</w:t>
      </w:r>
    </w:p>
    <w:p>
      <w:pPr>
        <w:adjustRightInd w:val="0"/>
        <w:snapToGrid w:val="0"/>
        <w:spacing w:line="360" w:lineRule="auto"/>
        <w:ind w:firstLine="560" w:firstLineChars="200"/>
        <w:rPr>
          <w:sz w:val="28"/>
          <w:szCs w:val="28"/>
        </w:rPr>
      </w:pPr>
      <w:r>
        <w:rPr>
          <w:rFonts w:hint="eastAsia"/>
          <w:sz w:val="28"/>
          <w:szCs w:val="28"/>
        </w:rPr>
        <w:t>空气中允许极限：中国</w:t>
      </w:r>
      <w:r>
        <w:rPr>
          <w:sz w:val="28"/>
          <w:szCs w:val="28"/>
        </w:rPr>
        <w:t>MAC</w:t>
      </w:r>
      <w:r>
        <w:rPr>
          <w:rFonts w:hint="eastAsia"/>
          <w:sz w:val="28"/>
          <w:szCs w:val="28"/>
        </w:rPr>
        <w:t>：</w:t>
      </w:r>
      <w:r>
        <w:rPr>
          <w:sz w:val="28"/>
          <w:szCs w:val="28"/>
        </w:rPr>
        <w:t>15mg/m3</w:t>
      </w:r>
    </w:p>
    <w:p>
      <w:pPr>
        <w:adjustRightInd w:val="0"/>
        <w:snapToGrid w:val="0"/>
        <w:spacing w:line="360" w:lineRule="auto"/>
        <w:ind w:firstLine="560" w:firstLineChars="200"/>
        <w:rPr>
          <w:sz w:val="28"/>
          <w:szCs w:val="28"/>
        </w:rPr>
      </w:pPr>
      <w:r>
        <w:rPr>
          <w:rFonts w:hint="eastAsia"/>
          <w:sz w:val="28"/>
          <w:szCs w:val="28"/>
        </w:rPr>
        <w:t>健康危害：短期暴露：吸入刺激鼻、咽喉，出现流涕、呼吸困难、气阻、咳嗽、肺水肿、喘鸣、胸闷、肺炎，直至死亡；刺激皮肤，尤其湿润皮肤；接触液体可致冻伤和化学烧伤、紫绀；还可刺激眼，造成冻伤、失明；食入会引起口腔冻伤、化学烧伤、恶心、呕吐、腹疼；长期暴露，刺激咽喉和肺，出现鼻出血，对哮喘、肺功能不正常、心血管病人更危险。</w:t>
      </w:r>
    </w:p>
    <w:p>
      <w:pPr>
        <w:adjustRightInd w:val="0"/>
        <w:snapToGrid w:val="0"/>
        <w:spacing w:line="360" w:lineRule="auto"/>
        <w:ind w:firstLine="560" w:firstLineChars="200"/>
        <w:rPr>
          <w:sz w:val="28"/>
          <w:szCs w:val="28"/>
        </w:rPr>
      </w:pPr>
      <w:r>
        <w:rPr>
          <w:rFonts w:hint="eastAsia"/>
          <w:sz w:val="28"/>
          <w:szCs w:val="28"/>
        </w:rPr>
        <w:t>急救措施：眼接触：立即清洗。皮肤接触：立即用大量水清洗。吸入：将患者移至新鲜空气处，施行人工呼吸。</w:t>
      </w:r>
    </w:p>
    <w:p>
      <w:pPr>
        <w:adjustRightInd w:val="0"/>
        <w:snapToGrid w:val="0"/>
        <w:spacing w:line="360" w:lineRule="auto"/>
        <w:ind w:firstLine="560" w:firstLineChars="200"/>
        <w:rPr>
          <w:rFonts w:hint="eastAsia"/>
          <w:sz w:val="28"/>
          <w:szCs w:val="28"/>
        </w:rPr>
      </w:pPr>
      <w:r>
        <w:rPr>
          <w:rFonts w:hint="eastAsia"/>
          <w:sz w:val="28"/>
          <w:szCs w:val="28"/>
        </w:rPr>
        <w:t xml:space="preserve">防护措施：戴护目镜，穿防护服；选用适当呼吸器；提供应急眼药水；定期检查皮肤、眼睛及呼吸系统 </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01" w:name="_Toc515659433"/>
      <w:bookmarkStart w:id="102" w:name="_Toc26177"/>
      <w:r>
        <w:rPr>
          <w:rFonts w:hint="eastAsia" w:ascii="宋体" w:hAnsi="宋体"/>
          <w:b/>
          <w:snapToGrid w:val="0"/>
          <w:kern w:val="0"/>
          <w:sz w:val="28"/>
          <w:szCs w:val="28"/>
          <w:lang w:val="en-US" w:eastAsia="zh-CN"/>
        </w:rPr>
        <w:t>3.4.6 柴油安全数据表</w:t>
      </w:r>
      <w:bookmarkEnd w:id="101"/>
      <w:bookmarkEnd w:id="102"/>
    </w:p>
    <w:p>
      <w:pPr>
        <w:jc w:val="center"/>
        <w:rPr>
          <w:rFonts w:ascii="黑体" w:hAnsi="黑体" w:eastAsia="黑体"/>
          <w:b/>
          <w:sz w:val="24"/>
        </w:rPr>
      </w:pPr>
      <w:r>
        <w:rPr>
          <w:rFonts w:ascii="黑体" w:hAnsi="黑体" w:eastAsia="黑体"/>
          <w:b/>
          <w:sz w:val="24"/>
        </w:rPr>
        <w:t>表3-</w:t>
      </w:r>
      <w:r>
        <w:rPr>
          <w:rFonts w:hint="eastAsia" w:ascii="黑体" w:hAnsi="黑体" w:eastAsia="黑体"/>
          <w:b/>
          <w:sz w:val="24"/>
        </w:rPr>
        <w:t>1 柴油物料安全数据表</w:t>
      </w:r>
    </w:p>
    <w:tbl>
      <w:tblPr>
        <w:tblStyle w:val="19"/>
        <w:tblW w:w="852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9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标</w:t>
            </w:r>
          </w:p>
          <w:p>
            <w:pPr>
              <w:adjustRightInd w:val="0"/>
              <w:snapToGrid w:val="0"/>
              <w:jc w:val="left"/>
              <w:rPr>
                <w:rFonts w:ascii="宋体" w:hAnsi="宋体"/>
                <w:szCs w:val="21"/>
              </w:rPr>
            </w:pPr>
            <w:r>
              <w:rPr>
                <w:rFonts w:ascii="宋体" w:hAnsi="宋体"/>
                <w:b/>
                <w:bCs/>
                <w:szCs w:val="21"/>
              </w:rPr>
              <w:t>识</w:t>
            </w:r>
          </w:p>
        </w:tc>
        <w:tc>
          <w:tcPr>
            <w:tcW w:w="7954" w:type="dxa"/>
            <w:noWrap w:val="0"/>
            <w:vAlign w:val="center"/>
          </w:tcPr>
          <w:p>
            <w:pPr>
              <w:adjustRightInd w:val="0"/>
              <w:snapToGrid w:val="0"/>
              <w:jc w:val="left"/>
              <w:rPr>
                <w:rFonts w:ascii="宋体" w:hAnsi="宋体"/>
                <w:szCs w:val="21"/>
              </w:rPr>
            </w:pPr>
            <w:r>
              <w:rPr>
                <w:rFonts w:ascii="宋体" w:hAnsi="宋体"/>
                <w:b/>
                <w:bCs/>
                <w:szCs w:val="21"/>
              </w:rPr>
              <w:t>中文名：</w:t>
            </w:r>
            <w:r>
              <w:rPr>
                <w:rFonts w:ascii="宋体" w:hAnsi="宋体"/>
                <w:szCs w:val="21"/>
              </w:rPr>
              <w:t xml:space="preserve">柴油              </w:t>
            </w:r>
            <w:r>
              <w:rPr>
                <w:rFonts w:ascii="宋体" w:hAnsi="宋体"/>
                <w:b/>
                <w:bCs/>
                <w:szCs w:val="21"/>
              </w:rPr>
              <w:t>英文名：</w:t>
            </w:r>
            <w:r>
              <w:rPr>
                <w:rFonts w:ascii="宋体" w:hAnsi="宋体"/>
                <w:szCs w:val="21"/>
              </w:rPr>
              <w:t>Diesel oil</w:t>
            </w:r>
          </w:p>
          <w:p>
            <w:pPr>
              <w:adjustRightInd w:val="0"/>
              <w:snapToGrid w:val="0"/>
              <w:jc w:val="left"/>
              <w:rPr>
                <w:rFonts w:hint="eastAsia" w:ascii="宋体" w:hAnsi="宋体"/>
                <w:szCs w:val="21"/>
              </w:rPr>
            </w:pPr>
            <w:r>
              <w:rPr>
                <w:rFonts w:ascii="宋体" w:hAnsi="宋体"/>
                <w:b/>
                <w:bCs/>
                <w:szCs w:val="21"/>
              </w:rPr>
              <w:t>CAS号：</w:t>
            </w:r>
            <w:r>
              <w:rPr>
                <w:rFonts w:hint="eastAsia" w:ascii="宋体" w:hAnsi="宋体"/>
                <w:szCs w:val="21"/>
              </w:rPr>
              <w:t>68334-30-5</w:t>
            </w:r>
            <w:r>
              <w:rPr>
                <w:rFonts w:ascii="宋体" w:hAnsi="宋体"/>
                <w:szCs w:val="21"/>
              </w:rPr>
              <w:t xml:space="preserve">            </w:t>
            </w:r>
            <w:r>
              <w:rPr>
                <w:rFonts w:ascii="宋体" w:hAnsi="宋体"/>
                <w:b/>
                <w:bCs/>
                <w:szCs w:val="21"/>
              </w:rPr>
              <w:t>UN号：</w:t>
            </w:r>
            <w:r>
              <w:rPr>
                <w:rFonts w:hint="eastAsia" w:ascii="宋体" w:hAnsi="宋体"/>
                <w:szCs w:val="21"/>
              </w:rPr>
              <w:t>1202        危规编号：1674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理</w:t>
            </w:r>
          </w:p>
          <w:p>
            <w:pPr>
              <w:adjustRightInd w:val="0"/>
              <w:snapToGrid w:val="0"/>
              <w:jc w:val="left"/>
              <w:rPr>
                <w:rFonts w:ascii="宋体" w:hAnsi="宋体"/>
                <w:b/>
                <w:bCs/>
                <w:szCs w:val="21"/>
              </w:rPr>
            </w:pPr>
            <w:r>
              <w:rPr>
                <w:rFonts w:ascii="宋体" w:hAnsi="宋体"/>
                <w:b/>
                <w:bCs/>
                <w:szCs w:val="21"/>
              </w:rPr>
              <w:t>化</w:t>
            </w:r>
          </w:p>
          <w:p>
            <w:pPr>
              <w:adjustRightInd w:val="0"/>
              <w:snapToGrid w:val="0"/>
              <w:jc w:val="left"/>
              <w:rPr>
                <w:rFonts w:ascii="宋体" w:hAnsi="宋体"/>
                <w:b/>
                <w:bCs/>
                <w:szCs w:val="21"/>
              </w:rPr>
            </w:pPr>
            <w:r>
              <w:rPr>
                <w:rFonts w:ascii="宋体" w:hAnsi="宋体"/>
                <w:b/>
                <w:bCs/>
                <w:szCs w:val="21"/>
              </w:rPr>
              <w:t>性</w:t>
            </w:r>
          </w:p>
          <w:p>
            <w:pPr>
              <w:adjustRightInd w:val="0"/>
              <w:snapToGrid w:val="0"/>
              <w:jc w:val="left"/>
              <w:rPr>
                <w:rFonts w:ascii="宋体" w:hAnsi="宋体"/>
                <w:szCs w:val="21"/>
              </w:rPr>
            </w:pPr>
            <w:r>
              <w:rPr>
                <w:rFonts w:ascii="宋体" w:hAnsi="宋体"/>
                <w:b/>
                <w:bCs/>
                <w:szCs w:val="21"/>
              </w:rPr>
              <w:t>质</w:t>
            </w:r>
          </w:p>
        </w:tc>
        <w:tc>
          <w:tcPr>
            <w:tcW w:w="7954" w:type="dxa"/>
            <w:noWrap w:val="0"/>
            <w:vAlign w:val="center"/>
          </w:tcPr>
          <w:p>
            <w:pPr>
              <w:adjustRightInd w:val="0"/>
              <w:snapToGrid w:val="0"/>
              <w:jc w:val="left"/>
              <w:rPr>
                <w:rFonts w:ascii="宋体" w:hAnsi="宋体"/>
                <w:szCs w:val="21"/>
              </w:rPr>
            </w:pPr>
            <w:r>
              <w:rPr>
                <w:rFonts w:ascii="宋体" w:hAnsi="宋体"/>
                <w:b/>
                <w:bCs/>
                <w:szCs w:val="21"/>
              </w:rPr>
              <w:t>外观与性状：</w:t>
            </w:r>
            <w:r>
              <w:rPr>
                <w:rFonts w:ascii="宋体" w:hAnsi="宋体"/>
                <w:szCs w:val="21"/>
              </w:rPr>
              <w:t>稍有粘性的浅黄至棕色液体。</w:t>
            </w:r>
          </w:p>
          <w:p>
            <w:pPr>
              <w:adjustRightInd w:val="0"/>
              <w:snapToGrid w:val="0"/>
              <w:jc w:val="left"/>
              <w:rPr>
                <w:rFonts w:ascii="宋体" w:hAnsi="宋体"/>
                <w:szCs w:val="21"/>
              </w:rPr>
            </w:pPr>
            <w:r>
              <w:rPr>
                <w:rFonts w:ascii="宋体" w:hAnsi="宋体"/>
                <w:b/>
                <w:bCs/>
                <w:szCs w:val="21"/>
              </w:rPr>
              <w:t>熔点(℃)：</w:t>
            </w:r>
            <w:r>
              <w:rPr>
                <w:rFonts w:ascii="宋体" w:hAnsi="宋体"/>
                <w:szCs w:val="21"/>
              </w:rPr>
              <w:t xml:space="preserve">-35～20          </w:t>
            </w:r>
            <w:r>
              <w:rPr>
                <w:rFonts w:ascii="宋体" w:hAnsi="宋体"/>
                <w:b/>
                <w:bCs/>
                <w:szCs w:val="21"/>
              </w:rPr>
              <w:t>相对密度（水=1.0）：</w:t>
            </w:r>
            <w:r>
              <w:rPr>
                <w:rFonts w:ascii="宋体" w:hAnsi="宋体"/>
                <w:szCs w:val="21"/>
              </w:rPr>
              <w:t>0.87～0.9</w:t>
            </w:r>
          </w:p>
          <w:p>
            <w:pPr>
              <w:adjustRightInd w:val="0"/>
              <w:snapToGrid w:val="0"/>
              <w:jc w:val="left"/>
              <w:rPr>
                <w:rFonts w:ascii="宋体" w:hAnsi="宋体"/>
                <w:szCs w:val="21"/>
              </w:rPr>
            </w:pPr>
            <w:r>
              <w:rPr>
                <w:rFonts w:ascii="宋体" w:hAnsi="宋体"/>
                <w:b/>
                <w:bCs/>
                <w:szCs w:val="21"/>
              </w:rPr>
              <w:t>沸程(℃)：</w:t>
            </w:r>
            <w:r>
              <w:rPr>
                <w:rFonts w:ascii="宋体" w:hAnsi="宋体"/>
                <w:szCs w:val="21"/>
              </w:rPr>
              <w:t xml:space="preserve">282～338         </w:t>
            </w:r>
            <w:r>
              <w:rPr>
                <w:rFonts w:ascii="宋体" w:hAnsi="宋体"/>
                <w:b/>
                <w:bCs/>
                <w:szCs w:val="21"/>
              </w:rPr>
              <w:t>相对密度(空气=1):</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 xml:space="preserve">闪点(℃): </w:t>
            </w:r>
            <w:r>
              <w:rPr>
                <w:rFonts w:ascii="宋体" w:hAnsi="宋体"/>
                <w:bCs/>
                <w:szCs w:val="21"/>
              </w:rPr>
              <w:t>&gt;55</w:t>
            </w:r>
            <w:r>
              <w:rPr>
                <w:rFonts w:ascii="宋体" w:hAnsi="宋体"/>
                <w:szCs w:val="21"/>
              </w:rPr>
              <w:t xml:space="preserve">              </w:t>
            </w:r>
            <w:r>
              <w:rPr>
                <w:rFonts w:ascii="宋体" w:hAnsi="宋体"/>
                <w:b/>
                <w:bCs/>
                <w:szCs w:val="21"/>
              </w:rPr>
              <w:t>引燃温度(℃)：</w:t>
            </w:r>
            <w:r>
              <w:rPr>
                <w:rFonts w:ascii="宋体" w:hAnsi="宋体"/>
                <w:szCs w:val="21"/>
              </w:rPr>
              <w:t>257</w:t>
            </w:r>
          </w:p>
          <w:p>
            <w:pPr>
              <w:adjustRightInd w:val="0"/>
              <w:snapToGrid w:val="0"/>
              <w:jc w:val="left"/>
              <w:rPr>
                <w:rFonts w:ascii="宋体" w:hAnsi="宋体"/>
                <w:szCs w:val="21"/>
              </w:rPr>
            </w:pPr>
            <w:r>
              <w:rPr>
                <w:rFonts w:ascii="宋体" w:hAnsi="宋体"/>
                <w:b/>
                <w:bCs/>
                <w:szCs w:val="21"/>
              </w:rPr>
              <w:t>爆炸下限[%(V/V)]:</w:t>
            </w:r>
            <w:r>
              <w:rPr>
                <w:rFonts w:ascii="宋体" w:hAnsi="宋体"/>
                <w:szCs w:val="21"/>
              </w:rPr>
              <w:t xml:space="preserve"> </w:t>
            </w:r>
            <w:r>
              <w:rPr>
                <w:rFonts w:hint="eastAsia" w:ascii="宋体" w:hAnsi="宋体"/>
                <w:szCs w:val="21"/>
              </w:rPr>
              <w:t>0.5</w:t>
            </w:r>
            <w:r>
              <w:rPr>
                <w:rFonts w:ascii="宋体" w:hAnsi="宋体"/>
                <w:szCs w:val="21"/>
              </w:rPr>
              <w:t xml:space="preserve">   </w:t>
            </w:r>
            <w:r>
              <w:rPr>
                <w:rFonts w:ascii="宋体" w:hAnsi="宋体"/>
                <w:b/>
                <w:bCs/>
                <w:szCs w:val="21"/>
              </w:rPr>
              <w:t>最小点火能(mJ):</w:t>
            </w:r>
            <w:r>
              <w:rPr>
                <w:rFonts w:ascii="宋体" w:hAnsi="宋体"/>
                <w:szCs w:val="21"/>
              </w:rPr>
              <w:t>无资料</w:t>
            </w:r>
          </w:p>
          <w:p>
            <w:pPr>
              <w:adjustRightInd w:val="0"/>
              <w:snapToGrid w:val="0"/>
              <w:jc w:val="left"/>
              <w:rPr>
                <w:rFonts w:ascii="宋体" w:hAnsi="宋体"/>
                <w:szCs w:val="21"/>
              </w:rPr>
            </w:pPr>
            <w:r>
              <w:rPr>
                <w:rFonts w:ascii="宋体" w:hAnsi="宋体"/>
                <w:b/>
                <w:bCs/>
                <w:szCs w:val="21"/>
              </w:rPr>
              <w:t>爆炸上限[%(V/V)]:</w:t>
            </w:r>
            <w:r>
              <w:rPr>
                <w:rFonts w:ascii="宋体" w:hAnsi="宋体"/>
                <w:szCs w:val="21"/>
              </w:rPr>
              <w:t xml:space="preserve"> </w:t>
            </w:r>
            <w:r>
              <w:rPr>
                <w:rFonts w:hint="eastAsia" w:ascii="宋体" w:hAnsi="宋体"/>
                <w:szCs w:val="21"/>
              </w:rPr>
              <w:t>4.5</w:t>
            </w:r>
            <w:r>
              <w:rPr>
                <w:rFonts w:ascii="宋体" w:hAnsi="宋体"/>
                <w:szCs w:val="21"/>
              </w:rPr>
              <w:t xml:space="preserve">   </w:t>
            </w:r>
            <w:r>
              <w:rPr>
                <w:rFonts w:ascii="宋体" w:hAnsi="宋体"/>
                <w:b/>
                <w:bCs/>
                <w:szCs w:val="21"/>
              </w:rPr>
              <w:t>最大爆炸压力(MPa):</w:t>
            </w:r>
            <w:r>
              <w:rPr>
                <w:rFonts w:ascii="宋体" w:hAnsi="宋体"/>
                <w:szCs w:val="21"/>
              </w:rPr>
              <w:t xml:space="preserve"> 无资料</w:t>
            </w:r>
          </w:p>
          <w:p>
            <w:pPr>
              <w:adjustRightInd w:val="0"/>
              <w:snapToGrid w:val="0"/>
              <w:jc w:val="left"/>
              <w:rPr>
                <w:rFonts w:ascii="宋体" w:hAnsi="宋体"/>
                <w:szCs w:val="21"/>
              </w:rPr>
            </w:pPr>
            <w:r>
              <w:rPr>
                <w:rFonts w:ascii="宋体" w:hAnsi="宋体"/>
                <w:b/>
                <w:bCs/>
                <w:szCs w:val="21"/>
              </w:rPr>
              <w:t>溶 解 性：</w:t>
            </w:r>
            <w:r>
              <w:rPr>
                <w:rFonts w:ascii="宋体" w:hAnsi="宋体"/>
                <w:szCs w:val="21"/>
              </w:rPr>
              <w:t>不溶于水,易溶于苯、二硫化碳、醇、脂肪。</w:t>
            </w:r>
          </w:p>
          <w:p>
            <w:pPr>
              <w:adjustRightInd w:val="0"/>
              <w:snapToGrid w:val="0"/>
              <w:jc w:val="left"/>
              <w:rPr>
                <w:rFonts w:ascii="宋体" w:hAnsi="宋体"/>
                <w:szCs w:val="21"/>
              </w:rPr>
            </w:pPr>
            <w:r>
              <w:rPr>
                <w:rFonts w:ascii="宋体" w:hAnsi="宋体"/>
                <w:b/>
                <w:bCs/>
                <w:szCs w:val="21"/>
              </w:rPr>
              <w:t>主要用途：</w:t>
            </w:r>
            <w:r>
              <w:rPr>
                <w:rFonts w:ascii="宋体" w:hAnsi="宋体"/>
                <w:szCs w:val="21"/>
              </w:rPr>
              <w:t xml:space="preserve">主要用作柴油机的燃料。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left"/>
              <w:rPr>
                <w:rFonts w:ascii="宋体" w:hAnsi="宋体"/>
                <w:b/>
                <w:bCs/>
                <w:szCs w:val="21"/>
              </w:rPr>
            </w:pPr>
            <w:r>
              <w:rPr>
                <w:rFonts w:ascii="宋体" w:hAnsi="宋体"/>
                <w:b/>
                <w:bCs/>
                <w:szCs w:val="21"/>
              </w:rPr>
              <w:t>燃</w:t>
            </w:r>
          </w:p>
          <w:p>
            <w:pPr>
              <w:adjustRightInd w:val="0"/>
              <w:snapToGrid w:val="0"/>
              <w:jc w:val="left"/>
              <w:rPr>
                <w:rFonts w:ascii="宋体" w:hAnsi="宋体"/>
                <w:szCs w:val="21"/>
              </w:rPr>
            </w:pPr>
            <w:r>
              <w:rPr>
                <w:rFonts w:ascii="宋体" w:hAnsi="宋体"/>
                <w:b/>
                <w:bCs/>
                <w:szCs w:val="21"/>
              </w:rPr>
              <w:t>烧</w:t>
            </w:r>
          </w:p>
          <w:p>
            <w:pPr>
              <w:adjustRightInd w:val="0"/>
              <w:snapToGrid w:val="0"/>
              <w:jc w:val="left"/>
              <w:rPr>
                <w:rFonts w:ascii="宋体" w:hAnsi="宋体"/>
                <w:b/>
                <w:bCs/>
                <w:szCs w:val="21"/>
              </w:rPr>
            </w:pPr>
            <w:r>
              <w:rPr>
                <w:rFonts w:ascii="宋体" w:hAnsi="宋体"/>
                <w:b/>
                <w:bCs/>
                <w:szCs w:val="21"/>
              </w:rPr>
              <w:t>爆</w:t>
            </w:r>
          </w:p>
          <w:p>
            <w:pPr>
              <w:adjustRightInd w:val="0"/>
              <w:snapToGrid w:val="0"/>
              <w:jc w:val="left"/>
              <w:rPr>
                <w:rFonts w:ascii="宋体" w:hAnsi="宋体"/>
                <w:b/>
                <w:bCs/>
                <w:szCs w:val="21"/>
              </w:rPr>
            </w:pPr>
            <w:r>
              <w:rPr>
                <w:rFonts w:ascii="宋体" w:hAnsi="宋体"/>
                <w:b/>
                <w:bCs/>
                <w:szCs w:val="21"/>
              </w:rPr>
              <w:t>炸</w:t>
            </w:r>
          </w:p>
          <w:p>
            <w:pPr>
              <w:adjustRightInd w:val="0"/>
              <w:snapToGrid w:val="0"/>
              <w:jc w:val="left"/>
              <w:rPr>
                <w:rFonts w:ascii="宋体" w:hAnsi="宋体"/>
                <w:b/>
                <w:bCs/>
                <w:szCs w:val="21"/>
              </w:rPr>
            </w:pPr>
            <w:r>
              <w:rPr>
                <w:rFonts w:ascii="宋体" w:hAnsi="宋体"/>
                <w:b/>
                <w:bCs/>
                <w:szCs w:val="21"/>
              </w:rPr>
              <w:t>危</w:t>
            </w:r>
          </w:p>
          <w:p>
            <w:pPr>
              <w:adjustRightInd w:val="0"/>
              <w:snapToGrid w:val="0"/>
              <w:jc w:val="left"/>
              <w:rPr>
                <w:rFonts w:ascii="宋体" w:hAnsi="宋体"/>
                <w:b/>
                <w:bCs/>
                <w:szCs w:val="21"/>
              </w:rPr>
            </w:pPr>
            <w:r>
              <w:rPr>
                <w:rFonts w:ascii="宋体" w:hAnsi="宋体"/>
                <w:b/>
                <w:bCs/>
                <w:szCs w:val="21"/>
              </w:rPr>
              <w:t>险</w:t>
            </w:r>
          </w:p>
          <w:p>
            <w:pPr>
              <w:adjustRightInd w:val="0"/>
              <w:snapToGrid w:val="0"/>
              <w:jc w:val="left"/>
              <w:rPr>
                <w:rFonts w:ascii="宋体" w:hAnsi="宋体"/>
                <w:szCs w:val="21"/>
              </w:rPr>
            </w:pPr>
            <w:r>
              <w:rPr>
                <w:rFonts w:ascii="宋体" w:hAnsi="宋体"/>
                <w:b/>
                <w:bCs/>
                <w:szCs w:val="21"/>
              </w:rPr>
              <w:t>性</w:t>
            </w:r>
          </w:p>
        </w:tc>
        <w:tc>
          <w:tcPr>
            <w:tcW w:w="7954" w:type="dxa"/>
            <w:noWrap w:val="0"/>
            <w:vAlign w:val="center"/>
          </w:tcPr>
          <w:p>
            <w:pPr>
              <w:adjustRightInd w:val="0"/>
              <w:snapToGrid w:val="0"/>
              <w:jc w:val="left"/>
              <w:rPr>
                <w:rFonts w:ascii="宋体" w:hAnsi="宋体"/>
                <w:szCs w:val="21"/>
              </w:rPr>
            </w:pPr>
            <w:r>
              <w:rPr>
                <w:rFonts w:ascii="宋体" w:hAnsi="宋体"/>
                <w:b/>
                <w:bCs/>
                <w:szCs w:val="21"/>
              </w:rPr>
              <w:t>燃 烧 性：</w:t>
            </w:r>
            <w:r>
              <w:rPr>
                <w:rFonts w:ascii="宋体" w:hAnsi="宋体"/>
                <w:szCs w:val="21"/>
              </w:rPr>
              <w:t>易燃。</w:t>
            </w:r>
          </w:p>
          <w:p>
            <w:pPr>
              <w:pStyle w:val="10"/>
              <w:ind w:left="420"/>
              <w:jc w:val="left"/>
              <w:rPr>
                <w:rFonts w:ascii="宋体" w:hAnsi="宋体"/>
                <w:szCs w:val="21"/>
              </w:rPr>
            </w:pPr>
            <w:r>
              <w:rPr>
                <w:rFonts w:ascii="宋体" w:hAnsi="宋体"/>
                <w:b/>
                <w:bCs/>
                <w:szCs w:val="21"/>
              </w:rPr>
              <w:t>危险特性：</w:t>
            </w:r>
            <w:r>
              <w:rPr>
                <w:rFonts w:ascii="宋体" w:hAnsi="宋体"/>
                <w:szCs w:val="21"/>
              </w:rPr>
              <w:t>遇明火、高热或与氧化剂接触,有引起燃烧爆炸的危险。若遇高热，容器内压力增大，有开裂和爆炸的危险。</w:t>
            </w:r>
          </w:p>
          <w:p>
            <w:pPr>
              <w:pStyle w:val="10"/>
              <w:ind w:left="420"/>
              <w:jc w:val="left"/>
              <w:rPr>
                <w:rFonts w:ascii="宋体" w:hAnsi="宋体"/>
                <w:szCs w:val="21"/>
              </w:rPr>
            </w:pPr>
            <w:r>
              <w:rPr>
                <w:rFonts w:ascii="宋体" w:hAnsi="宋体"/>
                <w:b/>
                <w:bCs/>
                <w:szCs w:val="21"/>
              </w:rPr>
              <w:t>有害燃烧产物：</w:t>
            </w:r>
            <w:r>
              <w:rPr>
                <w:rFonts w:ascii="宋体" w:hAnsi="宋体"/>
                <w:szCs w:val="21"/>
              </w:rPr>
              <w:t>一氧化碳、二氧化碳。</w:t>
            </w:r>
          </w:p>
          <w:p>
            <w:pPr>
              <w:adjustRightInd w:val="0"/>
              <w:snapToGrid w:val="0"/>
              <w:jc w:val="left"/>
              <w:rPr>
                <w:rFonts w:ascii="宋体" w:hAnsi="宋体"/>
                <w:szCs w:val="21"/>
              </w:rPr>
            </w:pPr>
            <w:r>
              <w:rPr>
                <w:rFonts w:ascii="宋体" w:hAnsi="宋体"/>
                <w:b/>
                <w:bCs/>
                <w:szCs w:val="21"/>
              </w:rPr>
              <w:t>稳 定 性：</w:t>
            </w:r>
            <w:r>
              <w:rPr>
                <w:rFonts w:ascii="宋体" w:hAnsi="宋体"/>
                <w:szCs w:val="21"/>
              </w:rPr>
              <w:t xml:space="preserve">稳定。           </w:t>
            </w:r>
            <w:r>
              <w:rPr>
                <w:rFonts w:ascii="宋体" w:hAnsi="宋体"/>
                <w:b/>
                <w:bCs/>
                <w:szCs w:val="21"/>
              </w:rPr>
              <w:t>聚合危害：</w:t>
            </w:r>
            <w:r>
              <w:rPr>
                <w:rFonts w:ascii="宋体" w:hAnsi="宋体"/>
                <w:szCs w:val="21"/>
              </w:rPr>
              <w:t>不聚合。</w:t>
            </w:r>
          </w:p>
          <w:p>
            <w:pPr>
              <w:adjustRightInd w:val="0"/>
              <w:snapToGrid w:val="0"/>
              <w:jc w:val="left"/>
              <w:rPr>
                <w:rFonts w:ascii="宋体" w:hAnsi="宋体"/>
                <w:szCs w:val="21"/>
              </w:rPr>
            </w:pPr>
            <w:r>
              <w:rPr>
                <w:rFonts w:ascii="宋体" w:hAnsi="宋体"/>
                <w:b/>
                <w:bCs/>
                <w:szCs w:val="21"/>
              </w:rPr>
              <w:t>禁 配 物：</w:t>
            </w:r>
            <w:r>
              <w:rPr>
                <w:rFonts w:ascii="宋体" w:hAnsi="宋体"/>
                <w:szCs w:val="21"/>
              </w:rPr>
              <w:t>强氧化剂、卤素。</w:t>
            </w:r>
          </w:p>
          <w:p>
            <w:pPr>
              <w:adjustRightInd w:val="0"/>
              <w:snapToGrid w:val="0"/>
              <w:jc w:val="left"/>
              <w:rPr>
                <w:rFonts w:ascii="宋体" w:hAnsi="宋体"/>
                <w:szCs w:val="21"/>
              </w:rPr>
            </w:pPr>
            <w:r>
              <w:rPr>
                <w:rFonts w:ascii="宋体" w:hAnsi="宋体"/>
                <w:b/>
                <w:bCs/>
                <w:szCs w:val="21"/>
              </w:rPr>
              <w:t>灭火方法：</w:t>
            </w:r>
            <w:r>
              <w:rPr>
                <w:rFonts w:ascii="宋体" w:hAnsi="宋体"/>
                <w:szCs w:val="21"/>
              </w:rPr>
              <w:t>消防人员须配戴防毒面具、穿全身消防服,在上风向灭火。尽可能将容器从火场移至空旷处，喷水保持容器冷却，直至灭火结束。处在火场中的容器若已变色或从安全泄压装置中产生声音，必须马上撤离。</w:t>
            </w:r>
          </w:p>
          <w:p>
            <w:pPr>
              <w:adjustRightInd w:val="0"/>
              <w:snapToGrid w:val="0"/>
              <w:jc w:val="left"/>
              <w:rPr>
                <w:rFonts w:ascii="宋体" w:hAnsi="宋体"/>
                <w:szCs w:val="21"/>
              </w:rPr>
            </w:pPr>
            <w:r>
              <w:rPr>
                <w:rFonts w:ascii="宋体" w:hAnsi="宋体"/>
                <w:b/>
                <w:bCs/>
                <w:szCs w:val="21"/>
              </w:rPr>
              <w:t>灭 火 剂：</w:t>
            </w:r>
            <w:r>
              <w:rPr>
                <w:rFonts w:ascii="宋体" w:hAnsi="宋体"/>
                <w:szCs w:val="21"/>
              </w:rPr>
              <w:t>泡沫、干粉、二氧化碳、砂土。用水灭火无效。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568" w:type="dxa"/>
            <w:noWrap w:val="0"/>
            <w:vAlign w:val="center"/>
          </w:tcPr>
          <w:p>
            <w:pPr>
              <w:adjustRightInd w:val="0"/>
              <w:snapToGrid w:val="0"/>
              <w:rPr>
                <w:rFonts w:ascii="宋体" w:hAnsi="宋体"/>
                <w:b/>
                <w:bCs/>
                <w:szCs w:val="21"/>
              </w:rPr>
            </w:pPr>
            <w:r>
              <w:rPr>
                <w:rFonts w:ascii="宋体" w:hAnsi="宋体"/>
                <w:b/>
                <w:bCs/>
                <w:szCs w:val="21"/>
              </w:rPr>
              <w:t>包</w:t>
            </w:r>
          </w:p>
          <w:p>
            <w:pPr>
              <w:adjustRightInd w:val="0"/>
              <w:snapToGrid w:val="0"/>
              <w:rPr>
                <w:rFonts w:ascii="宋体" w:hAnsi="宋体"/>
                <w:b/>
                <w:bCs/>
                <w:szCs w:val="21"/>
              </w:rPr>
            </w:pPr>
            <w:r>
              <w:rPr>
                <w:rFonts w:ascii="宋体" w:hAnsi="宋体"/>
                <w:b/>
                <w:bCs/>
                <w:szCs w:val="21"/>
              </w:rPr>
              <w:t>装</w:t>
            </w:r>
          </w:p>
          <w:p>
            <w:pPr>
              <w:adjustRightInd w:val="0"/>
              <w:snapToGrid w:val="0"/>
              <w:rPr>
                <w:rFonts w:ascii="宋体" w:hAnsi="宋体"/>
                <w:b/>
                <w:bCs/>
                <w:szCs w:val="21"/>
              </w:rPr>
            </w:pPr>
            <w:r>
              <w:rPr>
                <w:rFonts w:ascii="宋体" w:hAnsi="宋体"/>
                <w:b/>
                <w:bCs/>
                <w:szCs w:val="21"/>
              </w:rPr>
              <w:t>与</w:t>
            </w:r>
          </w:p>
          <w:p>
            <w:pPr>
              <w:adjustRightInd w:val="0"/>
              <w:snapToGrid w:val="0"/>
              <w:rPr>
                <w:rFonts w:ascii="宋体" w:hAnsi="宋体"/>
                <w:b/>
                <w:bCs/>
                <w:szCs w:val="21"/>
              </w:rPr>
            </w:pPr>
            <w:r>
              <w:rPr>
                <w:rFonts w:ascii="宋体" w:hAnsi="宋体"/>
                <w:b/>
                <w:bCs/>
                <w:szCs w:val="21"/>
              </w:rPr>
              <w:t>储</w:t>
            </w:r>
          </w:p>
          <w:p>
            <w:pPr>
              <w:adjustRightInd w:val="0"/>
              <w:snapToGrid w:val="0"/>
              <w:jc w:val="left"/>
              <w:rPr>
                <w:rFonts w:ascii="宋体" w:hAnsi="宋体"/>
                <w:b/>
                <w:bCs/>
                <w:szCs w:val="21"/>
              </w:rPr>
            </w:pPr>
            <w:r>
              <w:rPr>
                <w:rFonts w:ascii="宋体" w:hAnsi="宋体"/>
                <w:b/>
                <w:bCs/>
                <w:szCs w:val="21"/>
              </w:rPr>
              <w:t>运</w:t>
            </w:r>
          </w:p>
        </w:tc>
        <w:tc>
          <w:tcPr>
            <w:tcW w:w="7954" w:type="dxa"/>
            <w:noWrap w:val="0"/>
            <w:vAlign w:val="center"/>
          </w:tcPr>
          <w:p>
            <w:pPr>
              <w:adjustRightInd w:val="0"/>
              <w:snapToGrid w:val="0"/>
              <w:rPr>
                <w:rFonts w:ascii="宋体" w:hAnsi="宋体"/>
                <w:szCs w:val="21"/>
              </w:rPr>
            </w:pPr>
            <w:r>
              <w:rPr>
                <w:rFonts w:ascii="宋体" w:hAnsi="宋体"/>
                <w:b/>
                <w:bCs/>
                <w:szCs w:val="21"/>
              </w:rPr>
              <w:t>安全标志：</w:t>
            </w:r>
            <w:r>
              <w:rPr>
                <w:rFonts w:ascii="宋体" w:hAnsi="宋体"/>
                <w:szCs w:val="21"/>
              </w:rPr>
              <w:t xml:space="preserve">易燃液体        </w:t>
            </w:r>
            <w:r>
              <w:rPr>
                <w:rFonts w:ascii="宋体" w:hAnsi="宋体"/>
                <w:b/>
                <w:bCs/>
                <w:szCs w:val="21"/>
              </w:rPr>
              <w:t>包装类别：Ⅲ</w:t>
            </w:r>
            <w:r>
              <w:rPr>
                <w:rFonts w:ascii="宋体" w:hAnsi="宋体"/>
                <w:szCs w:val="21"/>
              </w:rPr>
              <w:t>类包装</w:t>
            </w:r>
          </w:p>
          <w:p>
            <w:pPr>
              <w:adjustRightInd w:val="0"/>
              <w:snapToGrid w:val="0"/>
              <w:rPr>
                <w:rFonts w:ascii="宋体" w:hAnsi="宋体"/>
                <w:szCs w:val="21"/>
              </w:rPr>
            </w:pPr>
            <w:r>
              <w:rPr>
                <w:rFonts w:ascii="宋体" w:hAnsi="宋体"/>
                <w:b/>
                <w:bCs/>
                <w:szCs w:val="21"/>
              </w:rPr>
              <w:t>储存注意事项：</w:t>
            </w:r>
            <w:r>
              <w:rPr>
                <w:rFonts w:ascii="宋体" w:hAnsi="宋体"/>
                <w:szCs w:val="21"/>
              </w:rPr>
              <w:t>储存于阴凉、通风的库房 。远离火种、热源。应与氧化剂、卤素分开存放,切忌混储。储存间内的照明、通风等设施应采用防爆型，开关设在库房外。禁止使用易产生火花的机械设备和工具。储备区应有泄漏应急处理设备和合适的收容材料</w:t>
            </w:r>
          </w:p>
          <w:p>
            <w:pPr>
              <w:adjustRightInd w:val="0"/>
              <w:snapToGrid w:val="0"/>
              <w:jc w:val="left"/>
              <w:rPr>
                <w:rFonts w:ascii="宋体" w:hAnsi="宋体"/>
                <w:b/>
                <w:bCs/>
                <w:szCs w:val="21"/>
              </w:rPr>
            </w:pPr>
            <w:r>
              <w:rPr>
                <w:rFonts w:ascii="宋体" w:hAnsi="宋体"/>
                <w:b/>
                <w:bCs/>
                <w:szCs w:val="21"/>
              </w:rPr>
              <w:t>运输注意事项：</w:t>
            </w:r>
            <w:r>
              <w:rPr>
                <w:rFonts w:ascii="宋体" w:hAnsi="宋体"/>
                <w:szCs w:val="21"/>
              </w:rPr>
              <w:t>运输前应先检查包装容器是否完整、密封，运输过程中要确保容器不泄漏、不倒塌、不坠落、不损坏。运输时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毒</w:t>
            </w:r>
          </w:p>
          <w:p>
            <w:pPr>
              <w:adjustRightInd w:val="0"/>
              <w:snapToGrid w:val="0"/>
              <w:jc w:val="center"/>
              <w:rPr>
                <w:rFonts w:ascii="宋体" w:hAnsi="宋体"/>
                <w:b/>
                <w:bCs/>
                <w:szCs w:val="21"/>
              </w:rPr>
            </w:pPr>
            <w:r>
              <w:rPr>
                <w:rFonts w:ascii="宋体" w:hAnsi="宋体"/>
                <w:b/>
                <w:bCs/>
                <w:szCs w:val="21"/>
              </w:rPr>
              <w:t>性</w:t>
            </w:r>
          </w:p>
          <w:p>
            <w:pPr>
              <w:adjustRightInd w:val="0"/>
              <w:snapToGrid w:val="0"/>
              <w:jc w:val="center"/>
              <w:rPr>
                <w:rFonts w:ascii="宋体" w:hAnsi="宋体"/>
                <w:b/>
                <w:bCs/>
                <w:szCs w:val="21"/>
              </w:rPr>
            </w:pPr>
            <w:r>
              <w:rPr>
                <w:rFonts w:ascii="宋体" w:hAnsi="宋体"/>
                <w:b/>
                <w:bCs/>
                <w:szCs w:val="21"/>
              </w:rPr>
              <w:t>及</w:t>
            </w:r>
          </w:p>
          <w:p>
            <w:pPr>
              <w:adjustRightInd w:val="0"/>
              <w:snapToGrid w:val="0"/>
              <w:jc w:val="center"/>
              <w:rPr>
                <w:rFonts w:ascii="宋体" w:hAnsi="宋体"/>
                <w:b/>
                <w:bCs/>
                <w:szCs w:val="21"/>
              </w:rPr>
            </w:pPr>
            <w:r>
              <w:rPr>
                <w:rFonts w:ascii="宋体" w:hAnsi="宋体"/>
                <w:b/>
                <w:bCs/>
                <w:szCs w:val="21"/>
              </w:rPr>
              <w:t>健</w:t>
            </w:r>
          </w:p>
          <w:p>
            <w:pPr>
              <w:adjustRightInd w:val="0"/>
              <w:snapToGrid w:val="0"/>
              <w:jc w:val="center"/>
              <w:rPr>
                <w:rFonts w:ascii="宋体" w:hAnsi="宋体"/>
                <w:b/>
                <w:bCs/>
                <w:szCs w:val="21"/>
              </w:rPr>
            </w:pPr>
            <w:r>
              <w:rPr>
                <w:rFonts w:ascii="宋体" w:hAnsi="宋体"/>
                <w:b/>
                <w:bCs/>
                <w:szCs w:val="21"/>
              </w:rPr>
              <w:t>康</w:t>
            </w:r>
          </w:p>
          <w:p>
            <w:pPr>
              <w:adjustRightInd w:val="0"/>
              <w:snapToGrid w:val="0"/>
              <w:jc w:val="center"/>
              <w:rPr>
                <w:rFonts w:ascii="宋体" w:hAnsi="宋体"/>
                <w:b/>
                <w:bCs/>
                <w:szCs w:val="21"/>
              </w:rPr>
            </w:pPr>
            <w:r>
              <w:rPr>
                <w:rFonts w:ascii="宋体" w:hAnsi="宋体"/>
                <w:b/>
                <w:bCs/>
                <w:szCs w:val="21"/>
              </w:rPr>
              <w:t>危</w:t>
            </w:r>
          </w:p>
          <w:p>
            <w:pPr>
              <w:adjustRightInd w:val="0"/>
              <w:snapToGrid w:val="0"/>
              <w:jc w:val="center"/>
              <w:rPr>
                <w:rFonts w:ascii="宋体" w:hAnsi="宋体"/>
                <w:b/>
                <w:bCs/>
                <w:szCs w:val="21"/>
              </w:rPr>
            </w:pPr>
            <w:r>
              <w:rPr>
                <w:rFonts w:ascii="宋体" w:hAnsi="宋体"/>
                <w:b/>
                <w:bCs/>
                <w:szCs w:val="21"/>
              </w:rPr>
              <w:t>害</w:t>
            </w:r>
          </w:p>
          <w:p>
            <w:pPr>
              <w:adjustRightInd w:val="0"/>
              <w:snapToGrid w:val="0"/>
              <w:jc w:val="center"/>
              <w:rPr>
                <w:rFonts w:ascii="宋体" w:hAnsi="宋体"/>
                <w:szCs w:val="21"/>
              </w:rPr>
            </w:pPr>
            <w:r>
              <w:rPr>
                <w:rFonts w:ascii="宋体" w:hAnsi="宋体"/>
                <w:b/>
                <w:bCs/>
                <w:szCs w:val="21"/>
              </w:rPr>
              <w:t>性</w:t>
            </w:r>
          </w:p>
        </w:tc>
        <w:tc>
          <w:tcPr>
            <w:tcW w:w="7954" w:type="dxa"/>
            <w:noWrap w:val="0"/>
            <w:vAlign w:val="center"/>
          </w:tcPr>
          <w:p>
            <w:pPr>
              <w:adjustRightInd w:val="0"/>
              <w:snapToGrid w:val="0"/>
              <w:rPr>
                <w:rFonts w:ascii="宋体" w:hAnsi="宋体"/>
                <w:szCs w:val="21"/>
              </w:rPr>
            </w:pPr>
            <w:r>
              <w:rPr>
                <w:rFonts w:ascii="宋体" w:hAnsi="宋体"/>
                <w:b/>
                <w:bCs/>
                <w:szCs w:val="21"/>
              </w:rPr>
              <w:t>接触限值：</w:t>
            </w:r>
            <w:r>
              <w:rPr>
                <w:rFonts w:ascii="宋体" w:hAnsi="宋体"/>
                <w:szCs w:val="21"/>
              </w:rPr>
              <w:t>中国MAC（mg/m</w:t>
            </w:r>
            <w:r>
              <w:rPr>
                <w:rFonts w:ascii="宋体" w:hAnsi="宋体"/>
                <w:szCs w:val="21"/>
                <w:vertAlign w:val="superscript"/>
              </w:rPr>
              <w:t>3</w:t>
            </w:r>
            <w:r>
              <w:rPr>
                <w:rFonts w:ascii="宋体" w:hAnsi="宋体"/>
                <w:szCs w:val="21"/>
              </w:rPr>
              <w:t>）：无资料。</w:t>
            </w:r>
          </w:p>
          <w:p>
            <w:pPr>
              <w:adjustRightInd w:val="0"/>
              <w:snapToGrid w:val="0"/>
              <w:rPr>
                <w:rFonts w:ascii="宋体" w:hAnsi="宋体"/>
                <w:szCs w:val="21"/>
              </w:rPr>
            </w:pPr>
            <w:r>
              <w:rPr>
                <w:rFonts w:ascii="宋体" w:hAnsi="宋体"/>
                <w:b/>
                <w:bCs/>
                <w:szCs w:val="21"/>
              </w:rPr>
              <w:t>侵入途径：</w:t>
            </w:r>
            <w:r>
              <w:rPr>
                <w:rFonts w:ascii="宋体" w:hAnsi="宋体"/>
                <w:szCs w:val="21"/>
              </w:rPr>
              <w:t>吸入、食入、经皮肤吸收。</w:t>
            </w:r>
          </w:p>
          <w:p>
            <w:pPr>
              <w:adjustRightInd w:val="0"/>
              <w:snapToGrid w:val="0"/>
              <w:rPr>
                <w:rFonts w:ascii="宋体" w:hAnsi="宋体"/>
                <w:szCs w:val="21"/>
              </w:rPr>
            </w:pPr>
            <w:r>
              <w:rPr>
                <w:rFonts w:ascii="宋体" w:hAnsi="宋体"/>
                <w:b/>
                <w:bCs/>
                <w:szCs w:val="21"/>
              </w:rPr>
              <w:t>急性毒性：</w:t>
            </w:r>
            <w:r>
              <w:rPr>
                <w:rFonts w:ascii="宋体" w:hAnsi="宋体"/>
                <w:szCs w:val="21"/>
              </w:rPr>
              <w:t>LD</w:t>
            </w:r>
            <w:r>
              <w:rPr>
                <w:rFonts w:ascii="宋体" w:hAnsi="宋体"/>
                <w:szCs w:val="21"/>
                <w:vertAlign w:val="subscript"/>
              </w:rPr>
              <w:t>50</w:t>
            </w:r>
            <w:r>
              <w:rPr>
                <w:rFonts w:ascii="宋体" w:hAnsi="宋体"/>
                <w:szCs w:val="21"/>
              </w:rPr>
              <w:t xml:space="preserve">：无资料 </w:t>
            </w:r>
          </w:p>
          <w:p>
            <w:pPr>
              <w:adjustRightInd w:val="0"/>
              <w:snapToGrid w:val="0"/>
              <w:rPr>
                <w:rFonts w:ascii="宋体" w:hAnsi="宋体"/>
                <w:szCs w:val="21"/>
              </w:rPr>
            </w:pPr>
            <w:r>
              <w:rPr>
                <w:rFonts w:ascii="宋体" w:hAnsi="宋体"/>
                <w:b/>
                <w:bCs/>
                <w:szCs w:val="21"/>
              </w:rPr>
              <w:t>健康危害：</w:t>
            </w:r>
            <w:r>
              <w:rPr>
                <w:rFonts w:ascii="宋体" w:hAnsi="宋体"/>
                <w:szCs w:val="21"/>
              </w:rPr>
              <w:t>皮肤接触可为主要吸收途径，可致急性肾脏损害。柴油可引起接触性皮炎、油性痤疮。吸入其雾滴或液体呛入可引起吸入性肺炎。能经胎盘进入胎儿血液中。柴油废气可引起眼、鼻刺激症状,头晕及头痛。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急</w:t>
            </w:r>
          </w:p>
          <w:p>
            <w:pPr>
              <w:adjustRightInd w:val="0"/>
              <w:snapToGrid w:val="0"/>
              <w:jc w:val="center"/>
              <w:rPr>
                <w:rFonts w:ascii="宋体" w:hAnsi="宋体"/>
                <w:b/>
                <w:bCs/>
                <w:szCs w:val="21"/>
              </w:rPr>
            </w:pPr>
            <w:r>
              <w:rPr>
                <w:rFonts w:ascii="宋体" w:hAnsi="宋体"/>
                <w:b/>
                <w:bCs/>
                <w:szCs w:val="21"/>
              </w:rPr>
              <w:t>救</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皮肤接触：</w:t>
            </w:r>
            <w:r>
              <w:rPr>
                <w:rFonts w:ascii="宋体" w:hAnsi="宋体"/>
                <w:szCs w:val="21"/>
              </w:rPr>
              <w:t>立即脱去被污染的衣着，用肥皂水和清水彻底冲洗皮肤。就医。</w:t>
            </w:r>
          </w:p>
          <w:p>
            <w:pPr>
              <w:adjustRightInd w:val="0"/>
              <w:snapToGrid w:val="0"/>
              <w:rPr>
                <w:rFonts w:ascii="宋体" w:hAnsi="宋体"/>
                <w:szCs w:val="21"/>
              </w:rPr>
            </w:pPr>
            <w:r>
              <w:rPr>
                <w:rFonts w:ascii="宋体" w:hAnsi="宋体"/>
                <w:b/>
                <w:bCs/>
                <w:szCs w:val="21"/>
              </w:rPr>
              <w:t>眼睛接触：</w:t>
            </w:r>
            <w:r>
              <w:rPr>
                <w:rFonts w:ascii="宋体" w:hAnsi="宋体"/>
                <w:szCs w:val="21"/>
              </w:rPr>
              <w:t>立即提起眼睑，用大量流动清水或生理盐水彻底冲洗至少15分钟。就医。</w:t>
            </w:r>
          </w:p>
          <w:p>
            <w:pPr>
              <w:adjustRightInd w:val="0"/>
              <w:snapToGrid w:val="0"/>
              <w:rPr>
                <w:rFonts w:ascii="宋体" w:hAnsi="宋体"/>
                <w:szCs w:val="21"/>
              </w:rPr>
            </w:pPr>
            <w:r>
              <w:rPr>
                <w:rFonts w:ascii="宋体" w:hAnsi="宋体"/>
                <w:b/>
                <w:bCs/>
                <w:szCs w:val="21"/>
              </w:rPr>
              <w:t>吸入：</w:t>
            </w:r>
            <w:r>
              <w:rPr>
                <w:rFonts w:ascii="宋体" w:hAnsi="宋体"/>
                <w:szCs w:val="21"/>
              </w:rPr>
              <w:t>迅速脱离现场至空气新鲜处。保持呼吸道通畅。如呼吸困难，给输氧。如呼吸停止，立即进行人工呼吸。就医。</w:t>
            </w:r>
          </w:p>
          <w:p>
            <w:pPr>
              <w:adjustRightInd w:val="0"/>
              <w:snapToGrid w:val="0"/>
              <w:rPr>
                <w:rFonts w:ascii="宋体" w:hAnsi="宋体"/>
                <w:szCs w:val="21"/>
              </w:rPr>
            </w:pPr>
            <w:r>
              <w:rPr>
                <w:rFonts w:ascii="宋体" w:hAnsi="宋体"/>
                <w:b/>
                <w:bCs/>
                <w:szCs w:val="21"/>
              </w:rPr>
              <w:t>食入：</w:t>
            </w:r>
            <w:r>
              <w:rPr>
                <w:rFonts w:ascii="宋体" w:hAnsi="宋体"/>
                <w:szCs w:val="21"/>
              </w:rPr>
              <w:t>给饮牛奶或用植物油洗胃和灌肠。就医。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防</w:t>
            </w:r>
          </w:p>
          <w:p>
            <w:pPr>
              <w:adjustRightInd w:val="0"/>
              <w:snapToGrid w:val="0"/>
              <w:jc w:val="center"/>
              <w:rPr>
                <w:rFonts w:ascii="宋体" w:hAnsi="宋体"/>
                <w:b/>
                <w:bCs/>
                <w:szCs w:val="21"/>
              </w:rPr>
            </w:pPr>
            <w:r>
              <w:rPr>
                <w:rFonts w:ascii="宋体" w:hAnsi="宋体"/>
                <w:b/>
                <w:bCs/>
                <w:szCs w:val="21"/>
              </w:rPr>
              <w:t>护</w:t>
            </w:r>
          </w:p>
          <w:p>
            <w:pPr>
              <w:adjustRightInd w:val="0"/>
              <w:snapToGrid w:val="0"/>
              <w:jc w:val="center"/>
              <w:rPr>
                <w:rFonts w:ascii="宋体" w:hAnsi="宋体"/>
                <w:b/>
                <w:bCs/>
                <w:szCs w:val="21"/>
              </w:rPr>
            </w:pPr>
            <w:r>
              <w:rPr>
                <w:rFonts w:ascii="宋体" w:hAnsi="宋体"/>
                <w:b/>
                <w:bCs/>
                <w:szCs w:val="21"/>
              </w:rPr>
              <w:t>措</w:t>
            </w:r>
          </w:p>
          <w:p>
            <w:pPr>
              <w:adjustRightInd w:val="0"/>
              <w:snapToGrid w:val="0"/>
              <w:jc w:val="center"/>
              <w:rPr>
                <w:rFonts w:ascii="宋体" w:hAnsi="宋体"/>
                <w:szCs w:val="21"/>
              </w:rPr>
            </w:pPr>
            <w:r>
              <w:rPr>
                <w:rFonts w:ascii="宋体" w:hAnsi="宋体"/>
                <w:b/>
                <w:bCs/>
                <w:szCs w:val="21"/>
              </w:rPr>
              <w:t>施</w:t>
            </w:r>
          </w:p>
        </w:tc>
        <w:tc>
          <w:tcPr>
            <w:tcW w:w="7954" w:type="dxa"/>
            <w:noWrap w:val="0"/>
            <w:vAlign w:val="center"/>
          </w:tcPr>
          <w:p>
            <w:pPr>
              <w:adjustRightInd w:val="0"/>
              <w:snapToGrid w:val="0"/>
              <w:rPr>
                <w:rFonts w:ascii="宋体" w:hAnsi="宋体"/>
                <w:szCs w:val="21"/>
              </w:rPr>
            </w:pPr>
            <w:r>
              <w:rPr>
                <w:rFonts w:ascii="宋体" w:hAnsi="宋体"/>
                <w:b/>
                <w:bCs/>
                <w:szCs w:val="21"/>
              </w:rPr>
              <w:t>工程控制：</w:t>
            </w:r>
            <w:r>
              <w:rPr>
                <w:rFonts w:ascii="宋体" w:hAnsi="宋体"/>
                <w:szCs w:val="21"/>
              </w:rPr>
              <w:t>生产过程密闭操作，注意通风。</w:t>
            </w:r>
          </w:p>
          <w:p>
            <w:pPr>
              <w:adjustRightInd w:val="0"/>
              <w:snapToGrid w:val="0"/>
              <w:rPr>
                <w:rFonts w:ascii="宋体" w:hAnsi="宋体"/>
                <w:szCs w:val="21"/>
              </w:rPr>
            </w:pPr>
            <w:r>
              <w:rPr>
                <w:rFonts w:ascii="宋体" w:hAnsi="宋体"/>
                <w:b/>
                <w:bCs/>
                <w:szCs w:val="21"/>
              </w:rPr>
              <w:t>呼吸系统防护：</w:t>
            </w:r>
            <w:r>
              <w:rPr>
                <w:rFonts w:ascii="宋体" w:hAnsi="宋体"/>
                <w:szCs w:val="21"/>
              </w:rPr>
              <w:t>空气中浓度超标时，建议佩戴自吸过滤式防毒面具(半面罩)。紧急事态抢救或撤离时,应佩戴空气呼吸器。</w:t>
            </w:r>
          </w:p>
          <w:p>
            <w:pPr>
              <w:adjustRightInd w:val="0"/>
              <w:snapToGrid w:val="0"/>
              <w:rPr>
                <w:rFonts w:ascii="宋体" w:hAnsi="宋体"/>
                <w:szCs w:val="21"/>
              </w:rPr>
            </w:pPr>
            <w:r>
              <w:rPr>
                <w:rFonts w:ascii="宋体" w:hAnsi="宋体"/>
                <w:b/>
                <w:bCs/>
                <w:szCs w:val="21"/>
              </w:rPr>
              <w:t>眼睛防护：</w:t>
            </w:r>
            <w:r>
              <w:rPr>
                <w:rFonts w:ascii="宋体" w:hAnsi="宋体"/>
                <w:szCs w:val="21"/>
              </w:rPr>
              <w:t>必要时戴化学安全防护眼镜。</w:t>
            </w:r>
          </w:p>
          <w:p>
            <w:pPr>
              <w:adjustRightInd w:val="0"/>
              <w:snapToGrid w:val="0"/>
              <w:rPr>
                <w:rFonts w:ascii="宋体" w:hAnsi="宋体"/>
                <w:szCs w:val="21"/>
              </w:rPr>
            </w:pPr>
            <w:r>
              <w:rPr>
                <w:rFonts w:ascii="宋体" w:hAnsi="宋体"/>
                <w:b/>
                <w:bCs/>
                <w:szCs w:val="21"/>
              </w:rPr>
              <w:t>身体防护：</w:t>
            </w:r>
            <w:r>
              <w:rPr>
                <w:rFonts w:ascii="宋体" w:hAnsi="宋体"/>
                <w:szCs w:val="21"/>
              </w:rPr>
              <w:t>穿一般作业工作服。</w:t>
            </w:r>
          </w:p>
          <w:p>
            <w:pPr>
              <w:adjustRightInd w:val="0"/>
              <w:snapToGrid w:val="0"/>
              <w:rPr>
                <w:rFonts w:ascii="宋体" w:hAnsi="宋体"/>
                <w:szCs w:val="21"/>
              </w:rPr>
            </w:pPr>
            <w:r>
              <w:rPr>
                <w:rFonts w:ascii="宋体" w:hAnsi="宋体"/>
                <w:b/>
                <w:bCs/>
                <w:szCs w:val="21"/>
              </w:rPr>
              <w:t>手 防 护：</w:t>
            </w:r>
            <w:r>
              <w:rPr>
                <w:rFonts w:ascii="宋体" w:hAnsi="宋体"/>
                <w:szCs w:val="21"/>
              </w:rPr>
              <w:t>戴橡胶耐油手套。</w:t>
            </w:r>
          </w:p>
          <w:p>
            <w:pPr>
              <w:adjustRightInd w:val="0"/>
              <w:snapToGrid w:val="0"/>
              <w:rPr>
                <w:rFonts w:ascii="宋体" w:hAnsi="宋体"/>
                <w:szCs w:val="21"/>
              </w:rPr>
            </w:pPr>
            <w:r>
              <w:rPr>
                <w:rFonts w:ascii="宋体" w:hAnsi="宋体"/>
                <w:b/>
                <w:bCs/>
                <w:szCs w:val="21"/>
              </w:rPr>
              <w:t>其它防护：</w:t>
            </w:r>
            <w:r>
              <w:rPr>
                <w:rFonts w:ascii="宋体" w:hAnsi="宋体"/>
                <w:szCs w:val="21"/>
              </w:rPr>
              <w:t>工作现场禁止吸烟。避免长期反复接触。</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68" w:type="dxa"/>
            <w:noWrap w:val="0"/>
            <w:vAlign w:val="center"/>
          </w:tcPr>
          <w:p>
            <w:pPr>
              <w:adjustRightInd w:val="0"/>
              <w:snapToGrid w:val="0"/>
              <w:jc w:val="center"/>
              <w:rPr>
                <w:rFonts w:ascii="宋体" w:hAnsi="宋体"/>
                <w:b/>
                <w:bCs/>
                <w:szCs w:val="21"/>
              </w:rPr>
            </w:pPr>
            <w:r>
              <w:rPr>
                <w:rFonts w:ascii="宋体" w:hAnsi="宋体"/>
                <w:b/>
                <w:bCs/>
                <w:szCs w:val="21"/>
              </w:rPr>
              <w:t>泄</w:t>
            </w:r>
          </w:p>
          <w:p>
            <w:pPr>
              <w:adjustRightInd w:val="0"/>
              <w:snapToGrid w:val="0"/>
              <w:jc w:val="center"/>
              <w:rPr>
                <w:rFonts w:ascii="宋体" w:hAnsi="宋体"/>
                <w:b/>
                <w:bCs/>
                <w:szCs w:val="21"/>
              </w:rPr>
            </w:pPr>
            <w:r>
              <w:rPr>
                <w:rFonts w:ascii="宋体" w:hAnsi="宋体"/>
                <w:b/>
                <w:bCs/>
                <w:szCs w:val="21"/>
              </w:rPr>
              <w:t>漏</w:t>
            </w:r>
          </w:p>
          <w:p>
            <w:pPr>
              <w:adjustRightInd w:val="0"/>
              <w:snapToGrid w:val="0"/>
              <w:jc w:val="center"/>
              <w:rPr>
                <w:rFonts w:ascii="宋体" w:hAnsi="宋体"/>
                <w:b/>
                <w:bCs/>
                <w:szCs w:val="21"/>
              </w:rPr>
            </w:pPr>
            <w:r>
              <w:rPr>
                <w:rFonts w:ascii="宋体" w:hAnsi="宋体"/>
                <w:b/>
                <w:bCs/>
                <w:szCs w:val="21"/>
              </w:rPr>
              <w:t>处</w:t>
            </w:r>
          </w:p>
          <w:p>
            <w:pPr>
              <w:adjustRightInd w:val="0"/>
              <w:snapToGrid w:val="0"/>
              <w:jc w:val="center"/>
              <w:rPr>
                <w:rFonts w:ascii="宋体" w:hAnsi="宋体"/>
                <w:szCs w:val="21"/>
              </w:rPr>
            </w:pPr>
            <w:r>
              <w:rPr>
                <w:rFonts w:ascii="宋体" w:hAnsi="宋体"/>
                <w:b/>
                <w:bCs/>
                <w:szCs w:val="21"/>
              </w:rPr>
              <w:t>理</w:t>
            </w:r>
          </w:p>
        </w:tc>
        <w:tc>
          <w:tcPr>
            <w:tcW w:w="7954" w:type="dxa"/>
            <w:noWrap w:val="0"/>
            <w:vAlign w:val="center"/>
          </w:tcPr>
          <w:p>
            <w:pPr>
              <w:adjustRightInd w:val="0"/>
              <w:snapToGrid w:val="0"/>
              <w:rPr>
                <w:rFonts w:ascii="宋体" w:hAnsi="宋体"/>
                <w:szCs w:val="21"/>
              </w:rPr>
            </w:pPr>
            <w:r>
              <w:rPr>
                <w:rFonts w:ascii="宋体" w:hAnsi="宋体"/>
                <w:b/>
                <w:bCs/>
                <w:szCs w:val="21"/>
              </w:rPr>
              <w:t>应急行动：</w:t>
            </w:r>
            <w:r>
              <w:rPr>
                <w:rFonts w:ascii="宋体" w:hAnsi="宋体"/>
                <w:szCs w:val="21"/>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防爆泵转移至槽车或专用收集容器内，回收或运至废物处理场所处置。</w:t>
            </w:r>
          </w:p>
        </w:tc>
      </w:tr>
    </w:tbl>
    <w:p>
      <w:pPr>
        <w:adjustRightInd w:val="0"/>
        <w:snapToGrid w:val="0"/>
        <w:spacing w:line="360" w:lineRule="auto"/>
        <w:ind w:firstLine="560" w:firstLineChars="200"/>
        <w:rPr>
          <w:rFonts w:hint="eastAsia"/>
          <w:sz w:val="28"/>
          <w:szCs w:val="28"/>
        </w:rPr>
      </w:pPr>
    </w:p>
    <w:p>
      <w:pPr>
        <w:pStyle w:val="8"/>
        <w:spacing w:line="360" w:lineRule="auto"/>
        <w:ind w:firstLine="0" w:firstLineChars="0"/>
        <w:outlineLvl w:val="2"/>
        <w:rPr>
          <w:rFonts w:hint="eastAsia" w:ascii="宋体" w:hAnsi="宋体"/>
          <w:b/>
          <w:snapToGrid w:val="0"/>
          <w:kern w:val="0"/>
          <w:sz w:val="28"/>
          <w:szCs w:val="28"/>
          <w:lang w:val="en-US" w:eastAsia="zh-CN"/>
        </w:rPr>
      </w:pPr>
      <w:bookmarkStart w:id="103" w:name="_Toc513735551"/>
      <w:bookmarkStart w:id="104" w:name="_Toc515659434"/>
      <w:bookmarkStart w:id="105" w:name="_Toc27617"/>
      <w:bookmarkStart w:id="106" w:name="_Toc475363997"/>
      <w:bookmarkStart w:id="107" w:name="_Toc511994825"/>
      <w:r>
        <w:rPr>
          <w:rFonts w:hint="eastAsia" w:ascii="宋体" w:hAnsi="宋体"/>
          <w:b/>
          <w:snapToGrid w:val="0"/>
          <w:kern w:val="0"/>
          <w:sz w:val="28"/>
          <w:szCs w:val="28"/>
          <w:lang w:val="en-US" w:eastAsia="zh-CN"/>
        </w:rPr>
        <w:t>3.4.7 氧气安全数据表</w:t>
      </w:r>
      <w:bookmarkEnd w:id="103"/>
      <w:bookmarkEnd w:id="104"/>
      <w:bookmarkEnd w:id="105"/>
      <w:bookmarkEnd w:id="106"/>
    </w:p>
    <w:p>
      <w:pPr>
        <w:pStyle w:val="32"/>
        <w:rPr>
          <w:rFonts w:eastAsia="黑体"/>
          <w:sz w:val="24"/>
          <w:szCs w:val="24"/>
        </w:rPr>
      </w:pPr>
      <w:r>
        <w:rPr>
          <w:rFonts w:eastAsia="黑体"/>
          <w:sz w:val="24"/>
          <w:szCs w:val="24"/>
        </w:rPr>
        <w:t>表3-</w:t>
      </w:r>
      <w:r>
        <w:rPr>
          <w:rFonts w:hint="eastAsia" w:eastAsia="黑体"/>
          <w:sz w:val="24"/>
          <w:szCs w:val="24"/>
        </w:rPr>
        <w:t>2</w:t>
      </w:r>
      <w:r>
        <w:rPr>
          <w:rFonts w:eastAsia="黑体"/>
          <w:sz w:val="24"/>
          <w:szCs w:val="24"/>
        </w:rPr>
        <w:t xml:space="preserve"> 氧气安全数据表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中文名：氧气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英文名：oxygen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CAS号：7782-44-7</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2528</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危险货物编号：22001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主要用途：用于切割、焊接金属，制造医药、染料、炸药等。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w:t>
            </w:r>
          </w:p>
          <w:p>
            <w:pPr>
              <w:spacing w:line="260" w:lineRule="exact"/>
              <w:rPr>
                <w:rFonts w:ascii="宋体" w:hAnsi="宋体"/>
                <w:szCs w:val="21"/>
              </w:rPr>
            </w:pPr>
            <w:r>
              <w:rPr>
                <w:rFonts w:ascii="宋体" w:hAnsi="宋体"/>
                <w:szCs w:val="21"/>
              </w:rPr>
              <w:t>1.14（-183℃）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饱和蒸汽压(kPa)：506.62（-164℃）</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临界温度(℃)：-118.4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1.43</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临界压力(MPa)：5.08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熔点：-218.8</w:t>
            </w:r>
          </w:p>
        </w:tc>
        <w:tc>
          <w:tcPr>
            <w:tcW w:w="4076" w:type="dxa"/>
            <w:gridSpan w:val="5"/>
            <w:noWrap w:val="0"/>
            <w:vAlign w:val="center"/>
          </w:tcPr>
          <w:p>
            <w:pPr>
              <w:spacing w:line="260" w:lineRule="exact"/>
              <w:rPr>
                <w:rFonts w:ascii="宋体" w:hAnsi="宋体"/>
                <w:szCs w:val="21"/>
              </w:rPr>
            </w:pPr>
            <w:r>
              <w:rPr>
                <w:rFonts w:ascii="宋体" w:hAnsi="宋体"/>
                <w:szCs w:val="21"/>
              </w:rPr>
              <w:t>沸点：-183.1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溶解性：溶于水、乙醇。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危险特性：是易燃物、可燃物燃烧爆炸的基本要素之一, 能氧化大多数活性物质。与易燃物（如乙炔、甲烷等）形成有爆炸性的混合物。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燃烧分解产物：无数据</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稳定性：无数据</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聚合危害：无数据</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禁忌物：易燃或可燃物、活性金属粉末、乙炔。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灭火方法：用水保持容器冷却，以防受热爆炸，急剧助长火势。迅速切断气源，用水喷淋保护切断气源的人员，然后根据着火原因选择适当灭火剂灭火。</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危险性类别：第2.2类 不燃气体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常压下，当氧的浓度超过40％时，有可能发生氧中毒。吸入40％～60％的氧时，出现胸骨后不适感、轻咳，进而胸闷、胸骨后烧灼感和呼吸困难，咳嗽加剧；严重时可发生肺水肿，甚至出现呼吸窘迫综合征。吸入氧浓度在80％以上时，出现面部肌肉抽动、面色苍白、眩晕、心动过速、虚脱，继而全身强直性抽搐、昏迷、呼吸衰竭而死亡。长期处于氧分压为60～100kPa（相当于吸入氧浓度40％左右）的条件下可发生眼损害，严重者可失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燃爆危险：本品助燃。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危险货物包装标志：无数据</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钢质气瓶包装。氧气钢瓶不得沾污油脂。采用刚瓶运输时必须戴好钢瓶上的安全帽。钢瓶一般平放，并应将瓶口朝同一方向，不可交叉；高度不得超过车辆的防护栏板，并用三角木垫卡牢，防止滚动。严禁与易燃物或可燃物、活性金属粉末等混装混运。夏季应早晚运输，防止日光曝晒。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工程控制：密闭操作。提供良好的自然通风条件。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身体防护：穿一般作业工作服。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其它防护：避免高浓度吸入。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一般作业工作服。避免与可燃物或易燃物接触。尽可能切断泄漏源。合理通风，加速扩散。漏气容器要妥善处理，修复、检验后再用。</w:t>
            </w:r>
          </w:p>
        </w:tc>
      </w:tr>
    </w:tbl>
    <w:p>
      <w:bookmarkStart w:id="108" w:name="_Toc321298550"/>
    </w:p>
    <w:p>
      <w:pPr>
        <w:pStyle w:val="8"/>
        <w:spacing w:line="360" w:lineRule="auto"/>
        <w:ind w:firstLine="0" w:firstLineChars="0"/>
        <w:outlineLvl w:val="2"/>
        <w:rPr>
          <w:rFonts w:hint="eastAsia" w:ascii="宋体" w:hAnsi="宋体"/>
          <w:b/>
          <w:snapToGrid w:val="0"/>
          <w:kern w:val="0"/>
          <w:sz w:val="28"/>
          <w:szCs w:val="28"/>
          <w:lang w:val="en-US" w:eastAsia="zh-CN"/>
        </w:rPr>
      </w:pPr>
      <w:bookmarkStart w:id="109" w:name="_Toc515659435"/>
      <w:bookmarkStart w:id="110" w:name="_Toc513735552"/>
      <w:bookmarkStart w:id="111" w:name="_Toc475363998"/>
      <w:bookmarkStart w:id="112" w:name="_Toc13896"/>
      <w:r>
        <w:rPr>
          <w:rFonts w:hint="eastAsia" w:ascii="宋体" w:hAnsi="宋体"/>
          <w:b/>
          <w:snapToGrid w:val="0"/>
          <w:kern w:val="0"/>
          <w:sz w:val="28"/>
          <w:szCs w:val="28"/>
          <w:lang w:val="en-US" w:eastAsia="zh-CN"/>
        </w:rPr>
        <w:t>3.4.8 乙炔安全数据表</w:t>
      </w:r>
      <w:bookmarkEnd w:id="108"/>
      <w:bookmarkEnd w:id="109"/>
      <w:bookmarkEnd w:id="110"/>
      <w:bookmarkEnd w:id="111"/>
      <w:bookmarkEnd w:id="112"/>
    </w:p>
    <w:p>
      <w:pPr>
        <w:pStyle w:val="32"/>
        <w:rPr>
          <w:rFonts w:eastAsia="黑体"/>
          <w:sz w:val="24"/>
          <w:szCs w:val="24"/>
        </w:rPr>
      </w:pPr>
      <w:r>
        <w:rPr>
          <w:rFonts w:hint="eastAsia" w:eastAsia="黑体"/>
          <w:sz w:val="24"/>
          <w:szCs w:val="24"/>
        </w:rPr>
        <w:t>表</w:t>
      </w:r>
      <w:r>
        <w:rPr>
          <w:rFonts w:eastAsia="黑体"/>
          <w:sz w:val="24"/>
          <w:szCs w:val="24"/>
        </w:rPr>
        <w:t>3-</w:t>
      </w:r>
      <w:r>
        <w:rPr>
          <w:rFonts w:hint="eastAsia" w:eastAsia="黑体"/>
          <w:sz w:val="24"/>
          <w:szCs w:val="24"/>
        </w:rPr>
        <w:t>3</w:t>
      </w:r>
      <w:r>
        <w:rPr>
          <w:rFonts w:eastAsia="黑体"/>
          <w:sz w:val="24"/>
          <w:szCs w:val="24"/>
        </w:rPr>
        <w:t xml:space="preserve"> 乙炔安全数据表</w:t>
      </w:r>
    </w:p>
    <w:tbl>
      <w:tblPr>
        <w:tblStyle w:val="19"/>
        <w:tblW w:w="83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6"/>
        <w:gridCol w:w="1947"/>
        <w:gridCol w:w="531"/>
        <w:gridCol w:w="788"/>
        <w:gridCol w:w="255"/>
        <w:gridCol w:w="43"/>
        <w:gridCol w:w="220"/>
        <w:gridCol w:w="436"/>
        <w:gridCol w:w="967"/>
        <w:gridCol w:w="229"/>
        <w:gridCol w:w="408"/>
        <w:gridCol w:w="2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标 识</w:t>
            </w: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中文名：乙炔</w:t>
            </w:r>
          </w:p>
        </w:tc>
        <w:tc>
          <w:tcPr>
            <w:tcW w:w="5382" w:type="dxa"/>
            <w:gridSpan w:val="9"/>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英文名：acetylene</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CAS号：74-86-2</w:t>
            </w:r>
          </w:p>
        </w:tc>
        <w:tc>
          <w:tcPr>
            <w:tcW w:w="3346" w:type="dxa"/>
            <w:gridSpan w:val="8"/>
            <w:noWrap w:val="0"/>
            <w:tcMar>
              <w:top w:w="15" w:type="dxa"/>
              <w:left w:w="15" w:type="dxa"/>
              <w:bottom w:w="15" w:type="dxa"/>
              <w:right w:w="15" w:type="dxa"/>
            </w:tcMar>
            <w:vAlign w:val="center"/>
          </w:tcPr>
          <w:p>
            <w:pPr>
              <w:spacing w:line="260" w:lineRule="exact"/>
              <w:rPr>
                <w:rFonts w:ascii="宋体" w:hAnsi="宋体"/>
                <w:szCs w:val="21"/>
              </w:rPr>
            </w:pPr>
            <w:r>
              <w:rPr>
                <w:rFonts w:hint="eastAsia" w:ascii="宋体" w:hAnsi="宋体"/>
                <w:szCs w:val="21"/>
              </w:rPr>
              <w:t>危规</w:t>
            </w:r>
            <w:r>
              <w:rPr>
                <w:rFonts w:ascii="宋体" w:hAnsi="宋体"/>
                <w:szCs w:val="21"/>
              </w:rPr>
              <w:t>编号：</w:t>
            </w:r>
            <w:r>
              <w:rPr>
                <w:rFonts w:hint="eastAsia" w:ascii="宋体" w:hAnsi="宋体"/>
                <w:szCs w:val="21"/>
              </w:rPr>
              <w:t>2629</w:t>
            </w:r>
          </w:p>
        </w:tc>
        <w:tc>
          <w:tcPr>
            <w:tcW w:w="203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危险货物编号：21024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理化性质</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性状：无色无臭气体，工业品有使人不愉快的大蒜气味。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1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主要用途：是有机合成的重要原料之一。亦是合成橡胶、合成纤维和塑料的单体，也用于氧炔焊割。</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相对密度(水=1)：0.62</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饱和蒸汽压(kPa)：4053（16.8℃）</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临界温度(℃)：35.2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continue"/>
            <w:noWrap w:val="0"/>
            <w:vAlign w:val="center"/>
          </w:tcPr>
          <w:p>
            <w:pPr>
              <w:spacing w:line="260" w:lineRule="exact"/>
              <w:rPr>
                <w:rFonts w:ascii="宋体" w:hAnsi="宋体"/>
                <w:szCs w:val="21"/>
              </w:rPr>
            </w:pPr>
          </w:p>
        </w:tc>
        <w:tc>
          <w:tcPr>
            <w:tcW w:w="2478"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相对密度(空气=1): 0.91</w:t>
            </w:r>
          </w:p>
        </w:tc>
        <w:tc>
          <w:tcPr>
            <w:tcW w:w="2938"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闪点(℃)：不适用</w:t>
            </w:r>
          </w:p>
        </w:tc>
        <w:tc>
          <w:tcPr>
            <w:tcW w:w="2444"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临界压力(MPa)：6.14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4" w:hRule="atLeast"/>
        </w:trPr>
        <w:tc>
          <w:tcPr>
            <w:tcW w:w="476" w:type="dxa"/>
            <w:vMerge w:val="continue"/>
            <w:noWrap w:val="0"/>
            <w:vAlign w:val="center"/>
          </w:tcPr>
          <w:p>
            <w:pPr>
              <w:spacing w:line="260" w:lineRule="exact"/>
              <w:rPr>
                <w:rFonts w:ascii="宋体" w:hAnsi="宋体"/>
                <w:szCs w:val="21"/>
              </w:rPr>
            </w:pPr>
          </w:p>
        </w:tc>
        <w:tc>
          <w:tcPr>
            <w:tcW w:w="3784"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熔点：-81.8（119kPa）</w:t>
            </w:r>
          </w:p>
        </w:tc>
        <w:tc>
          <w:tcPr>
            <w:tcW w:w="4076" w:type="dxa"/>
            <w:gridSpan w:val="5"/>
            <w:noWrap w:val="0"/>
            <w:vAlign w:val="center"/>
          </w:tcPr>
          <w:p>
            <w:pPr>
              <w:spacing w:line="260" w:lineRule="exact"/>
              <w:rPr>
                <w:rFonts w:ascii="宋体" w:hAnsi="宋体"/>
                <w:szCs w:val="21"/>
              </w:rPr>
            </w:pPr>
            <w:r>
              <w:rPr>
                <w:rFonts w:ascii="宋体" w:hAnsi="宋体"/>
                <w:szCs w:val="21"/>
              </w:rPr>
              <w:t>沸点：-83.8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溶解性：微溶于水、乙醇，溶于丙酮、氯仿、苯。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危险特性：极易燃烧爆炸。与空气混合能形成爆炸性混合物，遇明火、高热能引起燃烧爆炸。与氧化剂接触猛烈反应。与氟、氯等接触会发生剧烈的化学反应。能与铜、银、汞等的化合物生成爆炸性物质。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1947"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燃烧分解产物：一氧化碳、二氧化碳。</w:t>
            </w:r>
          </w:p>
        </w:tc>
        <w:tc>
          <w:tcPr>
            <w:tcW w:w="1319" w:type="dxa"/>
            <w:gridSpan w:val="2"/>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稳定性：稳定</w:t>
            </w:r>
          </w:p>
        </w:tc>
        <w:tc>
          <w:tcPr>
            <w:tcW w:w="1921"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聚合危害：</w:t>
            </w:r>
          </w:p>
        </w:tc>
        <w:tc>
          <w:tcPr>
            <w:tcW w:w="2673" w:type="dxa"/>
            <w:gridSpan w:val="3"/>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禁忌物：强氧化剂、强酸、卤素。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灭火方法：切断气源。若不能切断气源，则不允许熄灭泄漏处的火焰。喷水冷却容器，可能的话将容器从火场移至空旷处。灭火剂：雾状水、泡沫、二氧化碳、干粉。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危害</w:t>
            </w:r>
          </w:p>
        </w:tc>
        <w:tc>
          <w:tcPr>
            <w:tcW w:w="3521"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危险性类别：第2.1类 易燃气体</w:t>
            </w:r>
          </w:p>
        </w:tc>
        <w:tc>
          <w:tcPr>
            <w:tcW w:w="4339" w:type="dxa"/>
            <w:gridSpan w:val="7"/>
            <w:noWrap w:val="0"/>
            <w:vAlign w:val="center"/>
          </w:tcPr>
          <w:p>
            <w:pPr>
              <w:spacing w:line="260" w:lineRule="exact"/>
              <w:rPr>
                <w:rFonts w:ascii="宋体" w:hAnsi="宋体"/>
                <w:szCs w:val="21"/>
              </w:rPr>
            </w:pPr>
            <w:r>
              <w:rPr>
                <w:rFonts w:ascii="宋体" w:hAnsi="宋体"/>
                <w:szCs w:val="21"/>
              </w:rPr>
              <w:t>侵入途径：吸入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9"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健康危害：具有弱麻醉作用。高浓度吸入可引起单纯窒息。 急性中毒：暴露于20％浓度时，出现明显缺氧症状；吸入高浓度，初期兴奋、多语、哭笑不安，后出现眩晕、头痛、恶心、呕吐、共济失调、嗜睡；严重者昏迷、紫绀、瞳孔对光反应消失、脉弱而不齐。当混有磷化氢、硫化氢时，毒性增大，应予以注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5"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燃爆危险：本品易燃，具窒息性。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包装与储运</w:t>
            </w:r>
          </w:p>
        </w:tc>
        <w:tc>
          <w:tcPr>
            <w:tcW w:w="3564" w:type="dxa"/>
            <w:gridSpan w:val="5"/>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危险货物包装标志：易燃气体</w:t>
            </w:r>
          </w:p>
        </w:tc>
        <w:tc>
          <w:tcPr>
            <w:tcW w:w="4296" w:type="dxa"/>
            <w:gridSpan w:val="6"/>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包装类别：O52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乙炔的包装法通常是溶解在溶剂及多孔物中, 装入钢瓶内。储存于阴凉、通风的库房。远离火种、热源。库温不宜超过30℃。应与氧化剂、酸类、卤素分开存放，切忌混储。采用防爆型照明、通风设施。禁止使用易产生火花的机械设备和工具。储区应备有泄漏应急处理设备。</w:t>
            </w:r>
          </w:p>
          <w:p>
            <w:pPr>
              <w:spacing w:line="260" w:lineRule="exact"/>
              <w:rPr>
                <w:rFonts w:ascii="宋体" w:hAnsi="宋体"/>
                <w:szCs w:val="21"/>
              </w:rPr>
            </w:pPr>
            <w:r>
              <w:rPr>
                <w:rFonts w:ascii="宋体" w:hAnsi="宋体"/>
                <w:szCs w:val="21"/>
              </w:rPr>
              <w:t>采用刚瓶运输时必须戴好钢瓶上的安全帽。钢瓶一般平放，并应将瓶口朝同一方向，不可交叉；高度不得超过车辆的防护栏板，并用三角木垫卡牢，防止滚动。运输时运输车辆应配备相应品种和数量的消防器材。装运该物品的车辆排气管必须配备阻火装置，禁止使用易产生火花的机械设备和工具装卸。严禁与氧化剂、酸类、卤素等混装混运。夏季应早晚运输，防止日光曝晒。中途停留时应远离火种、热源。公路运输时要按规定路线行驶，勿在居民区和人口稠密区停留。铁路运输时要禁止溜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急救措施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皮肤接触：无数据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食入：无数据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吸入：迅速脱离现场至空气新鲜处。保持呼吸道通畅。如呼吸困难，给输氧。如呼吸停止，立即进行人工呼吸。就医。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restart"/>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防护措施</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工程控制：生产过程密闭，全面通风。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眼睛防护：一般不需特殊防护。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呼吸系统防护：一般不需要特殊防护，但建议特殊情况下，佩戴自吸过滤式防毒面具（半面罩）。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4220" w:type="dxa"/>
            <w:gridSpan w:val="7"/>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身体防护：穿防静电工作服。</w:t>
            </w:r>
          </w:p>
        </w:tc>
        <w:tc>
          <w:tcPr>
            <w:tcW w:w="3640" w:type="dxa"/>
            <w:gridSpan w:val="4"/>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手防护：戴一般作业防护手套。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0" w:hRule="atLeast"/>
        </w:trPr>
        <w:tc>
          <w:tcPr>
            <w:tcW w:w="476" w:type="dxa"/>
            <w:vMerge w:val="continue"/>
            <w:noWrap w:val="0"/>
            <w:vAlign w:val="center"/>
          </w:tcPr>
          <w:p>
            <w:pPr>
              <w:spacing w:line="260" w:lineRule="exact"/>
              <w:rPr>
                <w:rFonts w:ascii="宋体" w:hAnsi="宋体"/>
                <w:szCs w:val="21"/>
              </w:rPr>
            </w:pP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其它防护：无数据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9" w:hRule="atLeast"/>
        </w:trPr>
        <w:tc>
          <w:tcPr>
            <w:tcW w:w="476" w:type="dxa"/>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泄漏处理</w:t>
            </w:r>
          </w:p>
        </w:tc>
        <w:tc>
          <w:tcPr>
            <w:tcW w:w="7860" w:type="dxa"/>
            <w:gridSpan w:val="11"/>
            <w:noWrap w:val="0"/>
            <w:tcMar>
              <w:top w:w="15" w:type="dxa"/>
              <w:left w:w="15" w:type="dxa"/>
              <w:bottom w:w="15" w:type="dxa"/>
              <w:right w:w="15" w:type="dxa"/>
            </w:tcMar>
            <w:vAlign w:val="center"/>
          </w:tcPr>
          <w:p>
            <w:pPr>
              <w:spacing w:line="260" w:lineRule="exact"/>
              <w:rPr>
                <w:rFonts w:ascii="宋体" w:hAnsi="宋体"/>
                <w:szCs w:val="21"/>
              </w:rPr>
            </w:pPr>
            <w:r>
              <w:rPr>
                <w:rFonts w:ascii="宋体" w:hAnsi="宋体"/>
                <w:szCs w:val="21"/>
              </w:rPr>
              <w:t>迅速撤离泄漏污染区人员至上风处，并进行隔离，严格限制出入。切断火源。建议应急处理人员戴自给正压式呼吸器，穿防静电工作服。尽可能切断泄漏源。合理通风，加速扩散。喷雾状水稀释、溶解。构筑围堤或挖坑收容产生的大量废水。如有可能，将漏出气用排风机送至空旷地方或装设适当喷头烧掉。漏气容器要妥善处理，修复、检验后再用。</w:t>
            </w:r>
          </w:p>
        </w:tc>
      </w:tr>
    </w:tbl>
    <w:p/>
    <w:p>
      <w:pPr>
        <w:pStyle w:val="8"/>
        <w:spacing w:line="360" w:lineRule="auto"/>
        <w:ind w:firstLine="0" w:firstLineChars="0"/>
        <w:outlineLvl w:val="1"/>
        <w:rPr>
          <w:rFonts w:hint="eastAsia" w:ascii="黑体" w:eastAsia="黑体"/>
          <w:b/>
          <w:snapToGrid w:val="0"/>
          <w:kern w:val="0"/>
          <w:sz w:val="32"/>
          <w:szCs w:val="32"/>
        </w:rPr>
      </w:pPr>
      <w:bookmarkStart w:id="113" w:name="_Toc5165"/>
      <w:bookmarkStart w:id="114" w:name="_Toc515659436"/>
      <w:r>
        <w:rPr>
          <w:rFonts w:hint="eastAsia" w:ascii="黑体" w:eastAsia="黑体"/>
          <w:b/>
          <w:snapToGrid w:val="0"/>
          <w:kern w:val="0"/>
          <w:sz w:val="32"/>
          <w:szCs w:val="32"/>
        </w:rPr>
        <w:t>3.5 生产过程危险有害因素分析和辨识</w:t>
      </w:r>
      <w:bookmarkEnd w:id="107"/>
      <w:bookmarkEnd w:id="113"/>
      <w:bookmarkEnd w:id="114"/>
    </w:p>
    <w:p>
      <w:pPr>
        <w:pStyle w:val="2"/>
      </w:pPr>
    </w:p>
    <w:p>
      <w:pPr>
        <w:pStyle w:val="8"/>
        <w:spacing w:line="360" w:lineRule="auto"/>
        <w:ind w:firstLine="0" w:firstLineChars="0"/>
        <w:outlineLvl w:val="1"/>
        <w:rPr>
          <w:rFonts w:hint="eastAsia" w:ascii="黑体" w:eastAsia="黑体"/>
          <w:b/>
          <w:snapToGrid w:val="0"/>
          <w:kern w:val="0"/>
          <w:sz w:val="32"/>
          <w:szCs w:val="32"/>
        </w:rPr>
      </w:pPr>
      <w:bookmarkStart w:id="115" w:name="_Toc356380979"/>
      <w:bookmarkStart w:id="116" w:name="_Toc480804395"/>
      <w:bookmarkStart w:id="117" w:name="_Toc345593160"/>
      <w:bookmarkStart w:id="118" w:name="_Toc332350851"/>
      <w:bookmarkStart w:id="119" w:name="_Toc514342847"/>
      <w:bookmarkStart w:id="120" w:name="_Toc5727"/>
      <w:bookmarkStart w:id="121" w:name="_Toc356401492"/>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rPr>
        <w:t>5 生产过程危险有害因素分析和辨识</w:t>
      </w:r>
      <w:bookmarkEnd w:id="115"/>
      <w:bookmarkEnd w:id="116"/>
      <w:bookmarkEnd w:id="117"/>
      <w:bookmarkEnd w:id="118"/>
      <w:bookmarkEnd w:id="119"/>
      <w:bookmarkEnd w:id="120"/>
      <w:bookmarkEnd w:id="121"/>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根据现场检查及工艺过程分析，生产过程中危险有害因素分为：</w:t>
      </w:r>
    </w:p>
    <w:p>
      <w:pPr>
        <w:pStyle w:val="8"/>
        <w:spacing w:line="360" w:lineRule="auto"/>
        <w:ind w:firstLine="0" w:firstLineChars="0"/>
        <w:outlineLvl w:val="2"/>
        <w:rPr>
          <w:rFonts w:hint="eastAsia" w:ascii="宋体" w:hAnsi="宋体"/>
          <w:b/>
          <w:snapToGrid w:val="0"/>
          <w:kern w:val="0"/>
          <w:sz w:val="28"/>
          <w:szCs w:val="28"/>
        </w:rPr>
      </w:pPr>
      <w:bookmarkStart w:id="122" w:name="_Toc356401493"/>
      <w:bookmarkStart w:id="123" w:name="_Toc668"/>
      <w:bookmarkStart w:id="124" w:name="_Toc356380982"/>
      <w:bookmarkStart w:id="125" w:name="_Toc332350854"/>
      <w:bookmarkStart w:id="126" w:name="_Toc514342848"/>
      <w:bookmarkStart w:id="127" w:name="_Toc480804396"/>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5.1 车辆事故</w:t>
      </w:r>
      <w:bookmarkEnd w:id="122"/>
      <w:bookmarkEnd w:id="123"/>
      <w:bookmarkEnd w:id="124"/>
      <w:bookmarkEnd w:id="125"/>
      <w:bookmarkEnd w:id="126"/>
      <w:bookmarkEnd w:id="127"/>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车辆伤害事故指企业机动车辆在行驶中引起的人体坠落和物体倒塌、坠落、挤压伤亡事故。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车辆伤害事故的主要原因有</w:t>
      </w:r>
      <w:r>
        <w:rPr>
          <w:rFonts w:ascii="宋体" w:hAnsi="宋体"/>
          <w:snapToGrid w:val="0"/>
          <w:kern w:val="0"/>
          <w:sz w:val="28"/>
          <w:szCs w:val="28"/>
        </w:rPr>
        <w:t>:</w:t>
      </w:r>
      <w:r>
        <w:rPr>
          <w:rFonts w:hint="eastAsia" w:ascii="宋体" w:hAnsi="宋体"/>
          <w:snapToGrid w:val="0"/>
          <w:kern w:val="0"/>
          <w:sz w:val="28"/>
          <w:szCs w:val="28"/>
        </w:rPr>
        <w:t>①违章驾车：如酒后驾车、疲劳驾车、非驾驶员驾车、超速行驶、争道抢行、违章超车和超载等；②疏忽大意：如情绪急躁、精神分散、心理烦乱、身体不适等；③车况不好：如安全装置不齐全、工作装置工作不可靠、安全防护装置工作不可靠、车辆维护修理不及时、带“病”行驶等；④道路环境：如道路条件差、视线不良、在恶劣的气候条件下行驶等；⑤管理因素：如车辆安全行驶制度不落实、管理规章制度或操作规程不健全、车辆维修不及时、交通信号、标志、设施缺陷等。</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企业可能发生的车辆伤害事故：矿车行驶中撞击或挤压到人员；人员从行驶中的车辆上坠落；挖掘设备给矿车装过大的大块或矿车装料时由于停放处坑洼不平等造成矿车翻倒事故；交叉路口或超车或会车时发生车辆相撞事故；矿车倒车排废时由于车上的大块卡住车斗或操作不当或发生滑坡、塌方造成矿车翻下山；矿车行驶中轮胎</w:t>
      </w:r>
      <w:r>
        <w:rPr>
          <w:rFonts w:ascii="宋体" w:hAnsi="宋体"/>
          <w:snapToGrid w:val="0"/>
          <w:kern w:val="0"/>
          <w:sz w:val="28"/>
          <w:szCs w:val="28"/>
        </w:rPr>
        <w:t>"</w:t>
      </w:r>
      <w:r>
        <w:rPr>
          <w:rFonts w:hint="eastAsia" w:ascii="宋体" w:hAnsi="宋体"/>
          <w:snapToGrid w:val="0"/>
          <w:kern w:val="0"/>
          <w:sz w:val="28"/>
          <w:szCs w:val="28"/>
        </w:rPr>
        <w:t>突爆</w:t>
      </w:r>
      <w:r>
        <w:rPr>
          <w:rFonts w:ascii="宋体" w:hAnsi="宋体"/>
          <w:snapToGrid w:val="0"/>
          <w:kern w:val="0"/>
          <w:sz w:val="28"/>
          <w:szCs w:val="28"/>
        </w:rPr>
        <w:t>"</w:t>
      </w:r>
      <w:r>
        <w:rPr>
          <w:rFonts w:hint="eastAsia" w:ascii="宋体" w:hAnsi="宋体"/>
          <w:snapToGrid w:val="0"/>
          <w:kern w:val="0"/>
          <w:sz w:val="28"/>
          <w:szCs w:val="28"/>
        </w:rPr>
        <w:t>造成翻车等事故的发生；挖掘设备上下坡或在坡上作业时发生倾倒事故；挖掘设备回转过程中或卸料时铲斗碰到矿车驾驶室或其它部位造成事故。</w:t>
      </w:r>
    </w:p>
    <w:p>
      <w:pPr>
        <w:spacing w:line="360" w:lineRule="auto"/>
        <w:ind w:firstLine="560" w:firstLineChars="200"/>
        <w:rPr>
          <w:rFonts w:hint="eastAsia"/>
          <w:sz w:val="28"/>
          <w:szCs w:val="28"/>
        </w:rPr>
      </w:pPr>
      <w:r>
        <w:rPr>
          <w:rFonts w:hint="eastAsia"/>
          <w:sz w:val="28"/>
          <w:szCs w:val="28"/>
        </w:rPr>
        <w:t>砖瓦厂在原料（泥土、煤渣）运输堆积、半成品及成品砖运输等过程中，各种车辆来往频繁。车辆的装载和驾驶、车辆及驾驶员的管理等方面的缺陷均可能引发车辆伤害事故。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车辆伤害后果是人员的伤亡和设备物品的损毁。</w:t>
      </w:r>
    </w:p>
    <w:p>
      <w:pPr>
        <w:pStyle w:val="8"/>
        <w:spacing w:line="360" w:lineRule="auto"/>
        <w:ind w:firstLine="0" w:firstLineChars="0"/>
        <w:outlineLvl w:val="2"/>
        <w:rPr>
          <w:rFonts w:hint="eastAsia" w:ascii="宋体" w:hAnsi="宋体"/>
          <w:b/>
          <w:snapToGrid w:val="0"/>
          <w:kern w:val="0"/>
          <w:sz w:val="28"/>
          <w:szCs w:val="28"/>
        </w:rPr>
      </w:pPr>
      <w:bookmarkStart w:id="128" w:name="_Toc356380983"/>
      <w:bookmarkStart w:id="129" w:name="_Toc332350855"/>
      <w:bookmarkStart w:id="130" w:name="_Toc514342849"/>
      <w:bookmarkStart w:id="131" w:name="_Toc480804397"/>
      <w:bookmarkStart w:id="132" w:name="_Toc21017"/>
      <w:bookmarkStart w:id="133" w:name="_Toc35640149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5.2 机械</w:t>
      </w:r>
      <w:bookmarkEnd w:id="128"/>
      <w:bookmarkEnd w:id="129"/>
      <w:r>
        <w:rPr>
          <w:rFonts w:hint="eastAsia" w:ascii="宋体" w:hAnsi="宋体"/>
          <w:b/>
          <w:snapToGrid w:val="0"/>
          <w:kern w:val="0"/>
          <w:sz w:val="28"/>
          <w:szCs w:val="28"/>
        </w:rPr>
        <w:t>伤害</w:t>
      </w:r>
      <w:bookmarkEnd w:id="130"/>
      <w:bookmarkEnd w:id="131"/>
      <w:bookmarkEnd w:id="132"/>
      <w:bookmarkEnd w:id="133"/>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机械伤害事故是指机械设备运动</w:t>
      </w:r>
      <w:r>
        <w:rPr>
          <w:rFonts w:ascii="宋体" w:hAnsi="宋体"/>
          <w:snapToGrid w:val="0"/>
          <w:kern w:val="0"/>
          <w:sz w:val="28"/>
          <w:szCs w:val="28"/>
        </w:rPr>
        <w:t>(</w:t>
      </w:r>
      <w:r>
        <w:rPr>
          <w:rFonts w:hint="eastAsia" w:ascii="宋体" w:hAnsi="宋体"/>
          <w:snapToGrid w:val="0"/>
          <w:kern w:val="0"/>
          <w:sz w:val="28"/>
          <w:szCs w:val="28"/>
        </w:rPr>
        <w:t>静止</w:t>
      </w:r>
      <w:r>
        <w:rPr>
          <w:rFonts w:ascii="宋体" w:hAnsi="宋体"/>
          <w:snapToGrid w:val="0"/>
          <w:kern w:val="0"/>
          <w:sz w:val="28"/>
          <w:szCs w:val="28"/>
        </w:rPr>
        <w:t>)</w:t>
      </w:r>
      <w:r>
        <w:rPr>
          <w:rFonts w:hint="eastAsia" w:ascii="宋体" w:hAnsi="宋体"/>
          <w:snapToGrid w:val="0"/>
          <w:kern w:val="0"/>
          <w:sz w:val="28"/>
          <w:szCs w:val="28"/>
        </w:rPr>
        <w:t>部件、工具、加工件直接与人体接触引起的夹击、碰撞、剪切、卷人、绞、碾、割、刺等伤害，不包括车辆、起重机械引起的机械伤害。</w:t>
      </w:r>
    </w:p>
    <w:p>
      <w:pPr>
        <w:spacing w:line="360" w:lineRule="auto"/>
        <w:ind w:firstLine="515" w:firstLineChars="184"/>
        <w:rPr>
          <w:rFonts w:ascii="宋体" w:hAnsi="宋体"/>
          <w:snapToGrid w:val="0"/>
          <w:kern w:val="0"/>
          <w:sz w:val="28"/>
          <w:szCs w:val="28"/>
        </w:rPr>
      </w:pPr>
      <w:r>
        <w:rPr>
          <w:rFonts w:hint="eastAsia" w:ascii="宋体" w:hAnsi="宋体"/>
          <w:snapToGrid w:val="0"/>
          <w:kern w:val="0"/>
          <w:sz w:val="28"/>
          <w:szCs w:val="28"/>
        </w:rPr>
        <w:t>机械伤害事故产生的主要原因</w:t>
      </w:r>
      <w:r>
        <w:rPr>
          <w:rFonts w:ascii="宋体" w:hAnsi="宋体"/>
          <w:snapToGrid w:val="0"/>
          <w:kern w:val="0"/>
          <w:sz w:val="28"/>
          <w:szCs w:val="28"/>
        </w:rPr>
        <w:t>:</w:t>
      </w:r>
      <w:r>
        <w:rPr>
          <w:rFonts w:hint="eastAsia" w:ascii="宋体" w:hAnsi="宋体"/>
          <w:snapToGrid w:val="0"/>
          <w:kern w:val="0"/>
          <w:sz w:val="28"/>
          <w:szCs w:val="28"/>
        </w:rPr>
        <w:t>①指挥人员违章指挥，操作人员违章操作；②机械设备安全防护装置缺乏或防护装置失效等，导致事故发生；③安全管理上存在不足；④场地及运输道路缺陷；⑤意外因素影响</w:t>
      </w:r>
      <w:r>
        <w:rPr>
          <w:rFonts w:ascii="宋体" w:hAnsi="宋体"/>
          <w:snapToGrid w:val="0"/>
          <w:kern w:val="0"/>
          <w:sz w:val="28"/>
          <w:szCs w:val="28"/>
        </w:rPr>
        <w:t>:</w:t>
      </w:r>
      <w:r>
        <w:rPr>
          <w:rFonts w:hint="eastAsia" w:ascii="宋体" w:hAnsi="宋体"/>
          <w:snapToGrid w:val="0"/>
          <w:kern w:val="0"/>
          <w:sz w:val="28"/>
          <w:szCs w:val="28"/>
        </w:rPr>
        <w:t>如在检修和正常工作时，机器突然被别人随意启动，导致事故发生；⑥在不安全的机械上停留、休息，导致事故发生等。</w:t>
      </w:r>
    </w:p>
    <w:p>
      <w:pPr>
        <w:spacing w:line="360" w:lineRule="auto"/>
        <w:ind w:firstLine="515" w:firstLineChars="184"/>
        <w:rPr>
          <w:rFonts w:hint="eastAsia" w:ascii="宋体" w:hAnsi="宋体"/>
          <w:bCs/>
          <w:snapToGrid w:val="0"/>
          <w:kern w:val="0"/>
          <w:sz w:val="28"/>
          <w:szCs w:val="28"/>
        </w:rPr>
      </w:pPr>
      <w:r>
        <w:rPr>
          <w:rFonts w:hint="eastAsia" w:ascii="宋体" w:hAnsi="宋体"/>
          <w:snapToGrid w:val="0"/>
          <w:kern w:val="0"/>
          <w:sz w:val="28"/>
          <w:szCs w:val="28"/>
        </w:rPr>
        <w:t>机械伤害的主要后果是造成人员伤亡，其次是对物件的损坏。</w:t>
      </w:r>
      <w:r>
        <w:rPr>
          <w:rFonts w:ascii="宋体" w:hAnsi="宋体"/>
          <w:bCs/>
          <w:snapToGrid w:val="0"/>
          <w:kern w:val="0"/>
          <w:sz w:val="28"/>
          <w:szCs w:val="28"/>
        </w:rPr>
        <w:t>因此，加强生产作业中的安全防护是防止机械伤害事故的关键，即保持安全防护设施的完好，按规定使用安全防护用品等。同时加强安全管理力度，禁止违章作业和冒险接触机械危险部位，操作时集中精力，防止非操作人员随意开机，做好正常检修设备时的安全防护措施等对于预防机械事故的发生也很重要。</w:t>
      </w:r>
    </w:p>
    <w:p>
      <w:pPr>
        <w:spacing w:line="360" w:lineRule="auto"/>
        <w:ind w:firstLine="515" w:firstLineChars="184"/>
        <w:rPr>
          <w:rFonts w:hint="eastAsia" w:ascii="宋体" w:hAnsi="宋体"/>
          <w:snapToGrid w:val="0"/>
          <w:kern w:val="0"/>
          <w:sz w:val="28"/>
          <w:szCs w:val="28"/>
        </w:rPr>
      </w:pPr>
      <w:r>
        <w:rPr>
          <w:rFonts w:hint="eastAsia" w:ascii="宋体" w:hAnsi="宋体"/>
          <w:snapToGrid w:val="0"/>
          <w:kern w:val="0"/>
          <w:sz w:val="28"/>
          <w:szCs w:val="28"/>
        </w:rPr>
        <w:t>砖瓦厂在泥土破碎、运输、搅拌、挤压成型、截条、切条等过程中涉及到机械设备，某些设备的转动部件、移动部件等若缺乏良好的防护设施或防护设施有缺陷、操作错误等，均可能造成人身伤害。若没有配备或正确穿戴必需的劳动防护用品时，也可能造成机械伤害。</w:t>
      </w:r>
    </w:p>
    <w:p>
      <w:pPr>
        <w:pStyle w:val="8"/>
        <w:spacing w:line="360" w:lineRule="auto"/>
        <w:ind w:firstLine="0" w:firstLineChars="0"/>
        <w:outlineLvl w:val="2"/>
        <w:rPr>
          <w:rFonts w:hint="eastAsia" w:ascii="宋体" w:hAnsi="宋体"/>
          <w:b/>
          <w:snapToGrid w:val="0"/>
          <w:kern w:val="0"/>
          <w:sz w:val="28"/>
          <w:szCs w:val="28"/>
        </w:rPr>
      </w:pPr>
      <w:bookmarkStart w:id="134" w:name="_Toc350781098"/>
      <w:bookmarkStart w:id="135" w:name="_Toc8434"/>
      <w:bookmarkStart w:id="136" w:name="_Toc356401495"/>
      <w:bookmarkStart w:id="137" w:name="_Toc514342850"/>
      <w:bookmarkStart w:id="138" w:name="_Toc480804398"/>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5.3</w:t>
      </w:r>
      <w:r>
        <w:rPr>
          <w:rFonts w:ascii="宋体" w:hAnsi="宋体"/>
          <w:b/>
          <w:snapToGrid w:val="0"/>
          <w:kern w:val="0"/>
          <w:sz w:val="28"/>
          <w:szCs w:val="28"/>
        </w:rPr>
        <w:t xml:space="preserve"> 触电</w:t>
      </w:r>
      <w:r>
        <w:rPr>
          <w:rFonts w:hint="eastAsia" w:ascii="宋体" w:hAnsi="宋体"/>
          <w:b/>
          <w:snapToGrid w:val="0"/>
          <w:kern w:val="0"/>
          <w:sz w:val="28"/>
          <w:szCs w:val="28"/>
        </w:rPr>
        <w:t>事故</w:t>
      </w:r>
      <w:bookmarkEnd w:id="134"/>
      <w:bookmarkEnd w:id="135"/>
      <w:bookmarkEnd w:id="136"/>
      <w:bookmarkEnd w:id="137"/>
      <w:bookmarkEnd w:id="138"/>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触电事故是指由于电流流经人体导致的生理伤害，包括雷击伤亡事故。</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触电伤害产生的主要原因：①电气线路或电气设备在设计、安装上存在缺陷，或在运行中缺乏必要的检修维护；②没有设置必要的安全技术措施</w:t>
      </w:r>
      <w:r>
        <w:rPr>
          <w:rFonts w:ascii="宋体" w:hAnsi="宋体"/>
          <w:bCs/>
          <w:snapToGrid w:val="0"/>
          <w:kern w:val="0"/>
          <w:sz w:val="28"/>
          <w:szCs w:val="28"/>
        </w:rPr>
        <w:t>(</w:t>
      </w:r>
      <w:r>
        <w:rPr>
          <w:rFonts w:hint="eastAsia" w:ascii="宋体" w:hAnsi="宋体"/>
          <w:bCs/>
          <w:snapToGrid w:val="0"/>
          <w:kern w:val="0"/>
          <w:sz w:val="28"/>
          <w:szCs w:val="28"/>
        </w:rPr>
        <w:t>如保护接零、漏电保护、安全电压等</w:t>
      </w:r>
      <w:r>
        <w:rPr>
          <w:rFonts w:ascii="宋体" w:hAnsi="宋体"/>
          <w:bCs/>
          <w:snapToGrid w:val="0"/>
          <w:kern w:val="0"/>
          <w:sz w:val="28"/>
          <w:szCs w:val="28"/>
        </w:rPr>
        <w:t>)</w:t>
      </w:r>
      <w:r>
        <w:rPr>
          <w:rFonts w:hint="eastAsia" w:ascii="宋体" w:hAnsi="宋体"/>
          <w:bCs/>
          <w:snapToGrid w:val="0"/>
          <w:kern w:val="0"/>
          <w:sz w:val="28"/>
          <w:szCs w:val="28"/>
        </w:rPr>
        <w:t>，或安全措施失效；③电气设备运行管理不当，安全管理制度不完善；④专业电工或机电设备操作人员操作失误，或违章作业等；⑤非专业电工人员私自进行检修、接线等专业工作；⑥电气安全管理工作存在漏洞；⑦在规定地点没有使用安全电压；⑧违章指挥等。</w:t>
      </w:r>
    </w:p>
    <w:p>
      <w:pPr>
        <w:spacing w:line="360" w:lineRule="auto"/>
        <w:ind w:firstLine="560" w:firstLineChars="200"/>
        <w:rPr>
          <w:rFonts w:ascii="宋体" w:hAnsi="宋体"/>
          <w:bCs/>
          <w:snapToGrid w:val="0"/>
          <w:kern w:val="0"/>
          <w:sz w:val="28"/>
          <w:szCs w:val="28"/>
        </w:rPr>
      </w:pPr>
      <w:r>
        <w:rPr>
          <w:rFonts w:hint="eastAsia" w:ascii="宋体" w:hAnsi="宋体"/>
          <w:bCs/>
          <w:snapToGrid w:val="0"/>
          <w:kern w:val="0"/>
          <w:sz w:val="28"/>
          <w:szCs w:val="28"/>
        </w:rPr>
        <w:t>可能存在的触电场所有</w:t>
      </w:r>
      <w:r>
        <w:rPr>
          <w:rFonts w:ascii="宋体" w:hAnsi="宋体"/>
          <w:bCs/>
          <w:snapToGrid w:val="0"/>
          <w:kern w:val="0"/>
          <w:sz w:val="28"/>
          <w:szCs w:val="28"/>
        </w:rPr>
        <w:t>:</w:t>
      </w:r>
      <w:r>
        <w:rPr>
          <w:rFonts w:hint="eastAsia" w:ascii="宋体" w:hAnsi="宋体"/>
          <w:bCs/>
          <w:snapToGrid w:val="0"/>
          <w:kern w:val="0"/>
          <w:sz w:val="28"/>
          <w:szCs w:val="28"/>
        </w:rPr>
        <w:t>地面变压器、配电线路以及在生产过程中使用的各种电气设备、动力设备采用闸刀直接起动的设备、手持电动设备、照明线路及照明器具等。</w:t>
      </w:r>
    </w:p>
    <w:p>
      <w:pPr>
        <w:spacing w:line="360" w:lineRule="auto"/>
        <w:ind w:firstLine="560" w:firstLineChars="200"/>
        <w:rPr>
          <w:rFonts w:hint="eastAsia" w:ascii="宋体" w:hAnsi="宋体"/>
          <w:bCs/>
          <w:snapToGrid w:val="0"/>
          <w:kern w:val="0"/>
          <w:sz w:val="28"/>
          <w:szCs w:val="28"/>
        </w:rPr>
      </w:pPr>
      <w:r>
        <w:rPr>
          <w:rFonts w:hint="eastAsia" w:ascii="宋体" w:hAnsi="宋体"/>
          <w:bCs/>
          <w:snapToGrid w:val="0"/>
          <w:kern w:val="0"/>
          <w:sz w:val="28"/>
          <w:szCs w:val="28"/>
        </w:rPr>
        <w:t>触电伤害的后果是直接造成人员伤亡事故。</w:t>
      </w:r>
    </w:p>
    <w:p>
      <w:pPr>
        <w:pStyle w:val="8"/>
        <w:spacing w:line="360" w:lineRule="auto"/>
        <w:ind w:firstLine="0" w:firstLineChars="0"/>
        <w:outlineLvl w:val="2"/>
        <w:rPr>
          <w:rFonts w:hint="eastAsia" w:ascii="宋体" w:hAnsi="宋体"/>
          <w:b/>
          <w:snapToGrid w:val="0"/>
          <w:kern w:val="0"/>
          <w:sz w:val="28"/>
          <w:szCs w:val="28"/>
        </w:rPr>
      </w:pPr>
      <w:bookmarkStart w:id="139" w:name="_Toc332350857"/>
      <w:bookmarkStart w:id="140" w:name="_Toc356380985"/>
      <w:bookmarkStart w:id="141" w:name="_Toc480804399"/>
      <w:bookmarkStart w:id="142" w:name="_Toc20138"/>
      <w:bookmarkStart w:id="143" w:name="_Toc514342851"/>
      <w:bookmarkStart w:id="144" w:name="_Toc356401496"/>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5.4 高处坠落</w:t>
      </w:r>
      <w:bookmarkEnd w:id="139"/>
      <w:bookmarkEnd w:id="140"/>
      <w:bookmarkEnd w:id="141"/>
      <w:bookmarkEnd w:id="142"/>
      <w:bookmarkEnd w:id="143"/>
      <w:bookmarkEnd w:id="144"/>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高处坠落指在高处作业中发生坠落造成的伤亡事故，不包括触电坠落事故。</w:t>
      </w:r>
      <w:r>
        <w:rPr>
          <w:rFonts w:ascii="宋体" w:hAnsi="宋体"/>
          <w:bCs/>
          <w:snapToGrid w:val="0"/>
          <w:kern w:val="0"/>
          <w:sz w:val="28"/>
          <w:szCs w:val="28"/>
        </w:rPr>
        <w:t>高处坠落主要包括：采场顶部的高处坠落，检修安装设备时的高处坠落，人员行进中的意外滑倒等，增加防护装置是预防事故发生的重要措施。</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造成高处坠落的主要原因有：①没有按要求使用安全带、安全索；②没有按要求穿防滑性能良好的软底鞋；③高处作业时安全防护设施不完善或损坏；④工作责任心不强，主观判断失误；⑤使用安全保护装置不完善或缺乏的设备、设施进行作业；⑥作业人员疏忽大意，疲劳作业；⑦高处作业无专人负责指挥，安全管理不到位；⑧作业场所狭小，不符合安全要求。</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阴雨、积雪可引起料堆、砖坯堆垛坍方；料场土堆高3米，在堆料、喂料过程中土堆可能发生坍塌；料场打堆车道宽6米、坡度25°，在往高处打堆时，由于料堆松软，有可能造成运输机械侧翻、被掩埋的潜在危险，同时现场作业人员或外来人员有被压埋的潜在危险。同时，窑炉和烟囱在进行相关作业时，也存在坍塌和高处坠落的危险。</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高处坠落造成的事故的后果是人员伤亡和设备损坏。</w:t>
      </w:r>
    </w:p>
    <w:bookmarkEnd w:id="70"/>
    <w:p>
      <w:pPr>
        <w:pStyle w:val="8"/>
        <w:spacing w:line="360" w:lineRule="auto"/>
        <w:ind w:firstLine="0" w:firstLineChars="0"/>
        <w:outlineLvl w:val="2"/>
        <w:rPr>
          <w:rFonts w:ascii="宋体" w:hAnsi="宋体"/>
          <w:b/>
          <w:snapToGrid w:val="0"/>
          <w:kern w:val="0"/>
          <w:sz w:val="28"/>
          <w:szCs w:val="28"/>
        </w:rPr>
      </w:pPr>
      <w:bookmarkStart w:id="145" w:name="_Toc356401497"/>
      <w:bookmarkStart w:id="146" w:name="_Toc480804400"/>
      <w:bookmarkStart w:id="147" w:name="_Toc350781096"/>
      <w:bookmarkStart w:id="148" w:name="_Toc16423"/>
      <w:bookmarkStart w:id="149" w:name="_Toc514342852"/>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rPr>
        <w:t>5</w:t>
      </w:r>
      <w:r>
        <w:rPr>
          <w:rFonts w:ascii="宋体" w:hAnsi="宋体"/>
          <w:b/>
          <w:snapToGrid w:val="0"/>
          <w:kern w:val="0"/>
          <w:sz w:val="28"/>
          <w:szCs w:val="28"/>
        </w:rPr>
        <w:t xml:space="preserve"> 物体打击</w:t>
      </w:r>
      <w:bookmarkEnd w:id="145"/>
      <w:bookmarkEnd w:id="146"/>
      <w:bookmarkEnd w:id="147"/>
      <w:bookmarkEnd w:id="148"/>
      <w:bookmarkEnd w:id="149"/>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物体打击事故是指物体在重力或其它外力的作用下产生运动，打击人体造成人身伤亡事故，不包括因机械设备、车辆、起重机械、坍塌等引发的物体打击。</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造成物体打击的主要原因有</w:t>
      </w:r>
      <w:r>
        <w:rPr>
          <w:rFonts w:ascii="宋体" w:hAnsi="宋体"/>
          <w:snapToGrid w:val="0"/>
          <w:kern w:val="0"/>
          <w:sz w:val="28"/>
          <w:szCs w:val="28"/>
        </w:rPr>
        <w:t>:</w:t>
      </w:r>
      <w:r>
        <w:rPr>
          <w:rFonts w:hint="eastAsia" w:ascii="宋体" w:hAnsi="宋体"/>
          <w:snapToGrid w:val="0"/>
          <w:kern w:val="0"/>
          <w:sz w:val="28"/>
          <w:szCs w:val="28"/>
        </w:rPr>
        <w:t>①工作场所狭小，缺乏躲避空间，上下同时作业；②没有排险工具或排险工具有缺陷等；③工作时精力不集中，对出现的险情不能及时做出反应；④安全帽等劳保用品穿戴不规范、不齐全；⑤传递工具物件方法不当等</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可能发生的物体打击事故：拆卸设备部件时敲打工具造成工具强出伤人；高空作业时，由于工具、托辊、零件、砖瓦、木块等物不慎从高处掉落伤人或乱扔废物、杂物击中他人；</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一旦遭受物体打击其后果是人员的伤亡和物品的损毁。</w:t>
      </w:r>
    </w:p>
    <w:p>
      <w:pPr>
        <w:pStyle w:val="8"/>
        <w:spacing w:line="360" w:lineRule="auto"/>
        <w:ind w:firstLine="0" w:firstLineChars="0"/>
        <w:outlineLvl w:val="2"/>
        <w:rPr>
          <w:rFonts w:hint="eastAsia" w:ascii="宋体" w:hAnsi="宋体"/>
          <w:b/>
          <w:snapToGrid w:val="0"/>
          <w:kern w:val="0"/>
          <w:sz w:val="28"/>
          <w:szCs w:val="28"/>
        </w:rPr>
      </w:pPr>
      <w:bookmarkStart w:id="150" w:name="_Toc350781100"/>
      <w:bookmarkStart w:id="151" w:name="_Toc514342853"/>
      <w:bookmarkStart w:id="152" w:name="_Toc480804401"/>
      <w:bookmarkStart w:id="153" w:name="_Toc356401498"/>
      <w:bookmarkStart w:id="154" w:name="_Toc2443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5.6 火灾</w:t>
      </w:r>
      <w:bookmarkEnd w:id="150"/>
      <w:r>
        <w:rPr>
          <w:rFonts w:hint="eastAsia" w:ascii="宋体" w:hAnsi="宋体"/>
          <w:b/>
          <w:snapToGrid w:val="0"/>
          <w:kern w:val="0"/>
          <w:sz w:val="28"/>
          <w:szCs w:val="28"/>
        </w:rPr>
        <w:t>事故</w:t>
      </w:r>
      <w:bookmarkEnd w:id="151"/>
      <w:bookmarkEnd w:id="152"/>
      <w:bookmarkEnd w:id="153"/>
      <w:bookmarkEnd w:id="154"/>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火灾是指企业内所发生的火灾。</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火灾事故产生的主要原因</w:t>
      </w:r>
      <w:r>
        <w:rPr>
          <w:rFonts w:ascii="宋体" w:hAnsi="宋体"/>
          <w:snapToGrid w:val="0"/>
          <w:kern w:val="0"/>
          <w:sz w:val="28"/>
          <w:szCs w:val="28"/>
        </w:rPr>
        <w:t>:</w:t>
      </w:r>
      <w:r>
        <w:rPr>
          <w:rFonts w:hint="eastAsia" w:ascii="宋体" w:hAnsi="宋体"/>
          <w:snapToGrid w:val="0"/>
          <w:kern w:val="0"/>
          <w:sz w:val="28"/>
          <w:szCs w:val="28"/>
        </w:rPr>
        <w:t>①明火</w:t>
      </w:r>
      <w:r>
        <w:rPr>
          <w:rFonts w:ascii="宋体" w:hAnsi="宋体"/>
          <w:snapToGrid w:val="0"/>
          <w:kern w:val="0"/>
          <w:sz w:val="28"/>
          <w:szCs w:val="28"/>
        </w:rPr>
        <w:t>(</w:t>
      </w:r>
      <w:r>
        <w:rPr>
          <w:rFonts w:hint="eastAsia" w:ascii="宋体" w:hAnsi="宋体"/>
          <w:snapToGrid w:val="0"/>
          <w:kern w:val="0"/>
          <w:sz w:val="28"/>
          <w:szCs w:val="28"/>
        </w:rPr>
        <w:t>包括火柴点火、吸烟、电焊、气焊、明火灯等</w:t>
      </w:r>
      <w:r>
        <w:rPr>
          <w:rFonts w:ascii="宋体" w:hAnsi="宋体"/>
          <w:snapToGrid w:val="0"/>
          <w:kern w:val="0"/>
          <w:sz w:val="28"/>
          <w:szCs w:val="28"/>
        </w:rPr>
        <w:t>)</w:t>
      </w:r>
      <w:r>
        <w:rPr>
          <w:rFonts w:hint="eastAsia" w:ascii="宋体" w:hAnsi="宋体"/>
          <w:snapToGrid w:val="0"/>
          <w:kern w:val="0"/>
          <w:sz w:val="28"/>
          <w:szCs w:val="28"/>
        </w:rPr>
        <w:t>所引燃；②油料</w:t>
      </w:r>
      <w:r>
        <w:rPr>
          <w:rFonts w:ascii="宋体" w:hAnsi="宋体"/>
          <w:snapToGrid w:val="0"/>
          <w:kern w:val="0"/>
          <w:sz w:val="28"/>
          <w:szCs w:val="28"/>
        </w:rPr>
        <w:t>(</w:t>
      </w:r>
      <w:r>
        <w:rPr>
          <w:rFonts w:hint="eastAsia" w:ascii="宋体" w:hAnsi="宋体"/>
          <w:snapToGrid w:val="0"/>
          <w:kern w:val="0"/>
          <w:sz w:val="28"/>
          <w:szCs w:val="28"/>
        </w:rPr>
        <w:t>润滑油、变压器油、液压设备用油、柴油设备用油、维修设备用油等</w:t>
      </w:r>
      <w:r>
        <w:rPr>
          <w:rFonts w:ascii="宋体" w:hAnsi="宋体"/>
          <w:snapToGrid w:val="0"/>
          <w:kern w:val="0"/>
          <w:sz w:val="28"/>
          <w:szCs w:val="28"/>
        </w:rPr>
        <w:t>)</w:t>
      </w:r>
      <w:r>
        <w:rPr>
          <w:rFonts w:hint="eastAsia" w:ascii="宋体" w:hAnsi="宋体"/>
          <w:snapToGrid w:val="0"/>
          <w:kern w:val="0"/>
          <w:sz w:val="28"/>
          <w:szCs w:val="28"/>
        </w:rPr>
        <w:t>保管、运输和使用不当；③电缆、电线、电动机、电钻等电器设备绝缘损坏及性能不良产生的电弧、电火花、漏电、失爆、短路或超负荷运行引起火灾；④保险丝</w:t>
      </w:r>
      <w:r>
        <w:rPr>
          <w:rFonts w:ascii="宋体" w:hAnsi="宋体"/>
          <w:snapToGrid w:val="0"/>
          <w:kern w:val="0"/>
          <w:sz w:val="28"/>
          <w:szCs w:val="28"/>
        </w:rPr>
        <w:t>(</w:t>
      </w:r>
      <w:r>
        <w:rPr>
          <w:rFonts w:hint="eastAsia" w:ascii="宋体" w:hAnsi="宋体"/>
          <w:snapToGrid w:val="0"/>
          <w:kern w:val="0"/>
          <w:sz w:val="28"/>
          <w:szCs w:val="28"/>
        </w:rPr>
        <w:t>片</w:t>
      </w:r>
      <w:r>
        <w:rPr>
          <w:rFonts w:ascii="宋体" w:hAnsi="宋体"/>
          <w:snapToGrid w:val="0"/>
          <w:kern w:val="0"/>
          <w:sz w:val="28"/>
          <w:szCs w:val="28"/>
        </w:rPr>
        <w:t>)</w:t>
      </w:r>
      <w:r>
        <w:rPr>
          <w:rFonts w:hint="eastAsia" w:ascii="宋体" w:hAnsi="宋体"/>
          <w:snapToGrid w:val="0"/>
          <w:kern w:val="0"/>
          <w:sz w:val="28"/>
          <w:szCs w:val="28"/>
        </w:rPr>
        <w:t>选用不当，使用铜丝、铝线代替保险丝；⑤油开关及配电箱内油料着火</w:t>
      </w:r>
      <w:r>
        <w:rPr>
          <w:rFonts w:ascii="宋体" w:hAnsi="宋体"/>
          <w:snapToGrid w:val="0"/>
          <w:kern w:val="0"/>
          <w:sz w:val="28"/>
          <w:szCs w:val="28"/>
        </w:rPr>
        <w:t>;</w:t>
      </w:r>
      <w:r>
        <w:rPr>
          <w:rFonts w:hint="eastAsia" w:ascii="宋体" w:hAnsi="宋体"/>
          <w:snapToGrid w:val="0"/>
          <w:kern w:val="0"/>
          <w:sz w:val="28"/>
          <w:szCs w:val="28"/>
        </w:rPr>
        <w:t>⑥机械作用</w:t>
      </w:r>
      <w:r>
        <w:rPr>
          <w:rFonts w:ascii="宋体" w:hAnsi="宋体"/>
          <w:snapToGrid w:val="0"/>
          <w:kern w:val="0"/>
          <w:sz w:val="28"/>
          <w:szCs w:val="28"/>
        </w:rPr>
        <w:t>(</w:t>
      </w:r>
      <w:r>
        <w:rPr>
          <w:rFonts w:hint="eastAsia" w:ascii="宋体" w:hAnsi="宋体"/>
          <w:snapToGrid w:val="0"/>
          <w:kern w:val="0"/>
          <w:sz w:val="28"/>
          <w:szCs w:val="28"/>
        </w:rPr>
        <w:t>包括摩擦、震动冲击等</w:t>
      </w:r>
      <w:r>
        <w:rPr>
          <w:rFonts w:ascii="宋体" w:hAnsi="宋体"/>
          <w:snapToGrid w:val="0"/>
          <w:kern w:val="0"/>
          <w:sz w:val="28"/>
          <w:szCs w:val="28"/>
        </w:rPr>
        <w:t>)</w:t>
      </w:r>
      <w:r>
        <w:rPr>
          <w:rFonts w:hint="eastAsia" w:ascii="宋体" w:hAnsi="宋体"/>
          <w:snapToGrid w:val="0"/>
          <w:kern w:val="0"/>
          <w:sz w:val="28"/>
          <w:szCs w:val="28"/>
        </w:rPr>
        <w:t>所引起。</w:t>
      </w:r>
    </w:p>
    <w:p>
      <w:pPr>
        <w:spacing w:line="360" w:lineRule="auto"/>
        <w:ind w:firstLine="560" w:firstLineChars="200"/>
        <w:rPr>
          <w:rFonts w:ascii="宋体" w:hAnsi="宋体"/>
          <w:snapToGrid w:val="0"/>
          <w:kern w:val="0"/>
          <w:sz w:val="28"/>
          <w:szCs w:val="28"/>
        </w:rPr>
      </w:pPr>
      <w:r>
        <w:rPr>
          <w:rFonts w:hint="eastAsia" w:ascii="宋体" w:hAnsi="宋体"/>
          <w:snapToGrid w:val="0"/>
          <w:kern w:val="0"/>
          <w:sz w:val="28"/>
          <w:szCs w:val="28"/>
        </w:rPr>
        <w:t>火灾可能发生在空压机房、机修车间、综合材料库、变压器等用电部位。</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火灾事故的主要后果是造成人员伤亡和财产损失。</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55" w:name="_Toc413834088"/>
      <w:bookmarkStart w:id="156" w:name="_Toc15168"/>
      <w:bookmarkStart w:id="157" w:name="_Toc359225364"/>
      <w:bookmarkStart w:id="158" w:name="_Toc496016651"/>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hint="eastAsia" w:ascii="宋体" w:hAnsi="宋体"/>
          <w:b/>
          <w:snapToGrid w:val="0"/>
          <w:kern w:val="0"/>
          <w:sz w:val="28"/>
          <w:szCs w:val="28"/>
          <w:lang w:val="en-US" w:eastAsia="zh-CN"/>
        </w:rPr>
        <w:t>7 坍塌</w:t>
      </w:r>
      <w:bookmarkEnd w:id="155"/>
      <w:bookmarkEnd w:id="156"/>
      <w:bookmarkEnd w:id="157"/>
      <w:bookmarkEnd w:id="158"/>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坍塌事故产生的主要原因有：①确定的边坡角不合理；②地质因素对边坡的影响；③岩体中的地下水；④人为因素；⑤风化作用；⑥地震等。坍塌是</w:t>
      </w:r>
      <w:r>
        <w:rPr>
          <w:rFonts w:hint="eastAsia" w:ascii="宋体" w:hAnsi="宋体" w:cs="宋体"/>
          <w:color w:val="auto"/>
          <w:sz w:val="28"/>
          <w:szCs w:val="28"/>
          <w:lang w:eastAsia="zh-CN"/>
        </w:rPr>
        <w:t>砖厂页岩开采</w:t>
      </w:r>
      <w:r>
        <w:rPr>
          <w:rFonts w:hint="eastAsia" w:ascii="宋体" w:hAnsi="宋体" w:cs="宋体"/>
          <w:color w:val="auto"/>
          <w:sz w:val="28"/>
          <w:szCs w:val="28"/>
        </w:rPr>
        <w:t>的主要危险因素之一，发生事故的后果是造成重大人员伤亡和设备、设施损坏，对生产企业造成重大经济损失。</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存在原料堆放、砖坯堆码、成品堆垛等工序。如原料打堆过高，由于料堆松软，有可能造成运输机械侧翻、被掩埋的潜在危险，同时现场作业人员或外来人员有被压埋的潜在危险。工作人员在窑内码坯和成品堆垛过程中，由于砖坯堆放不稳，堆放过高或地基不稳，堆垛码放不符合要求，都可能会引起坯（砖）垛倒塌，发生倒塌伤人、损物等事故。</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59" w:name="_Toc31737"/>
      <w:r>
        <w:rPr>
          <w:rFonts w:hint="eastAsia" w:ascii="宋体" w:hAnsi="宋体"/>
          <w:b/>
          <w:snapToGrid w:val="0"/>
          <w:kern w:val="0"/>
          <w:sz w:val="28"/>
          <w:szCs w:val="28"/>
          <w:lang w:val="en-US" w:eastAsia="zh-CN"/>
        </w:rPr>
        <w:t>3.5.8中毒窒息</w:t>
      </w:r>
      <w:bookmarkEnd w:id="159"/>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产生的主要原因：①出窑作业未按规定通风；②烧窑过程燃烧不充分产生有毒气体; ③人员违反规定进入受限空间作业;④窑台边缘安全防护措施未落实,未设警示标识,人员误操作或能见度低引发高空坠落事故。</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可能存在的</w:t>
      </w: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场所有:砖窑</w:t>
      </w:r>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lang w:val="en-US" w:eastAsia="zh-CN"/>
        </w:rPr>
        <w:t>中毒窒息</w:t>
      </w:r>
      <w:r>
        <w:rPr>
          <w:rFonts w:hint="eastAsia" w:ascii="宋体" w:hAnsi="宋体"/>
          <w:snapToGrid w:val="0"/>
          <w:kern w:val="0"/>
          <w:sz w:val="28"/>
          <w:szCs w:val="28"/>
        </w:rPr>
        <w:t>的主要后果是中毒窒息、高处坠落造成人员死亡、人身伤害、经济损失等。事故多发生生产旺季。</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160" w:name="_Toc481870967"/>
      <w:bookmarkStart w:id="161" w:name="_Toc332350852"/>
      <w:bookmarkStart w:id="162" w:name="_Toc511994834"/>
      <w:bookmarkStart w:id="163" w:name="_Toc31186"/>
      <w:bookmarkStart w:id="164" w:name="_Toc499478606"/>
      <w:bookmarkStart w:id="165" w:name="_Toc515659445"/>
      <w:r>
        <w:rPr>
          <w:rFonts w:hint="eastAsia" w:ascii="宋体" w:hAnsi="宋体"/>
          <w:b/>
          <w:snapToGrid w:val="0"/>
          <w:color w:val="FF0000"/>
          <w:kern w:val="0"/>
          <w:sz w:val="28"/>
          <w:szCs w:val="28"/>
          <w:lang w:val="en-US" w:eastAsia="zh-CN"/>
        </w:rPr>
        <w:t>3.5.9高温</w:t>
      </w:r>
      <w:bookmarkEnd w:id="160"/>
      <w:bookmarkEnd w:id="161"/>
      <w:r>
        <w:rPr>
          <w:rFonts w:hint="eastAsia" w:ascii="宋体" w:hAnsi="宋体"/>
          <w:b/>
          <w:snapToGrid w:val="0"/>
          <w:color w:val="FF0000"/>
          <w:kern w:val="0"/>
          <w:sz w:val="28"/>
          <w:szCs w:val="28"/>
          <w:lang w:val="en-US" w:eastAsia="zh-CN"/>
        </w:rPr>
        <w:t>灼烫</w:t>
      </w:r>
      <w:bookmarkEnd w:id="162"/>
      <w:bookmarkEnd w:id="163"/>
      <w:bookmarkEnd w:id="164"/>
      <w:bookmarkEnd w:id="165"/>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在生产工艺中存在烘干窑、隧道窑及高温产品等高温作业环境，作业人员在工作过程中由于劳保用品穿戴不好，违章操作、设备设施故障泄漏或保温失效、检修过程中防护不当以及其它突发事故等原因，均可导致作业人员发生高温烫伤伤害。在烧结时，窑体加煤烧制、成品砖出窑过程中，温度较高，如窑体保温密封不良会产生较强的热辐射，作业人员长期在此环境中易受到高温中暑危害。</w:t>
      </w:r>
    </w:p>
    <w:p>
      <w:pPr>
        <w:pStyle w:val="8"/>
        <w:spacing w:line="360" w:lineRule="auto"/>
        <w:ind w:firstLine="0" w:firstLineChars="0"/>
        <w:outlineLvl w:val="2"/>
        <w:rPr>
          <w:rFonts w:hint="eastAsia" w:ascii="宋体" w:hAnsi="宋体"/>
          <w:b/>
          <w:snapToGrid w:val="0"/>
          <w:color w:val="FF0000"/>
          <w:kern w:val="0"/>
          <w:sz w:val="28"/>
          <w:szCs w:val="28"/>
          <w:lang w:val="en-US" w:eastAsia="zh-CN"/>
        </w:rPr>
      </w:pPr>
      <w:bookmarkStart w:id="166" w:name="_Toc511994833"/>
      <w:bookmarkStart w:id="167" w:name="_Toc468870614"/>
      <w:bookmarkStart w:id="168" w:name="_Toc515659444"/>
      <w:bookmarkStart w:id="169" w:name="_Toc19181"/>
      <w:r>
        <w:rPr>
          <w:rFonts w:hint="eastAsia" w:ascii="宋体" w:hAnsi="宋体"/>
          <w:b/>
          <w:snapToGrid w:val="0"/>
          <w:color w:val="FF0000"/>
          <w:kern w:val="0"/>
          <w:sz w:val="28"/>
          <w:szCs w:val="28"/>
          <w:lang w:val="en-US" w:eastAsia="zh-CN"/>
        </w:rPr>
        <w:t>3.5.10容器爆炸</w:t>
      </w:r>
      <w:bookmarkEnd w:id="166"/>
      <w:bookmarkEnd w:id="167"/>
      <w:bookmarkEnd w:id="168"/>
      <w:bookmarkEnd w:id="169"/>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公司使用的空压设备配套有压缩空气罐，压缩空气罐属于普通的一类压力容器，压力容器在使用过程中存在压力容器爆炸危险，发生容器爆炸事故的主要原因有：</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(1) 由于设计制造不当造成设备的质量不符合有关规范要求，在运行时发生爆裂，其爆裂的形式有：</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1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①</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韧性爆裂：是压力容器在内部压力下，器壁上产生的应力达到材料强度的极限而断裂的一种破坏形式。引起韧性爆裂的原因大多是：磨损、腐蚀、壁厚减薄、强度不足仍继续运行所致。</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2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②</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脆性爆裂：是容器承受的压力并不高，负荷产生的应力远小于材料屈服极限及明显的变形而突然发生爆裂，其原因是由于温度、应力集中、冲击荷载作用等因素使材料的塑性和韧性下降、材料变脆不能抑制裂纹的结果。</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3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③</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疲劳爆裂：是容器在反复的加压、卸压后，壳体材料长期受到交变载荷的作用，如反复的加压和卸压，开停车或负荷波动幅度大如吸附和再生作业时，导致操作压力波动幅度较大及工作温度周期性的变化的作用而出现的金属疲劳，从而产生的一种爆裂形式。</w:t>
      </w:r>
      <w:r>
        <w:rPr>
          <w:rFonts w:hint="eastAsia" w:ascii="宋体" w:hAnsi="宋体"/>
          <w:snapToGrid w:val="0"/>
          <w:kern w:val="0"/>
          <w:sz w:val="28"/>
          <w:szCs w:val="28"/>
          <w:lang w:eastAsia="zh-CN"/>
        </w:rPr>
        <w:fldChar w:fldCharType="begin"/>
      </w:r>
      <w:r>
        <w:rPr>
          <w:rFonts w:hint="eastAsia" w:ascii="宋体" w:hAnsi="宋体"/>
          <w:snapToGrid w:val="0"/>
          <w:kern w:val="0"/>
          <w:sz w:val="28"/>
          <w:szCs w:val="28"/>
          <w:lang w:eastAsia="zh-CN"/>
        </w:rPr>
        <w:instrText xml:space="preserve"> = 4 \* GB3 </w:instrText>
      </w:r>
      <w:r>
        <w:rPr>
          <w:rFonts w:hint="eastAsia" w:ascii="宋体" w:hAnsi="宋体"/>
          <w:snapToGrid w:val="0"/>
          <w:kern w:val="0"/>
          <w:sz w:val="28"/>
          <w:szCs w:val="28"/>
          <w:lang w:eastAsia="zh-CN"/>
        </w:rPr>
        <w:fldChar w:fldCharType="separate"/>
      </w:r>
      <w:r>
        <w:rPr>
          <w:rFonts w:hint="eastAsia" w:ascii="宋体" w:hAnsi="宋体"/>
          <w:snapToGrid w:val="0"/>
          <w:kern w:val="0"/>
          <w:sz w:val="28"/>
          <w:szCs w:val="28"/>
          <w:lang w:eastAsia="zh-CN"/>
        </w:rPr>
        <w:t>④</w:t>
      </w:r>
      <w:r>
        <w:rPr>
          <w:rFonts w:hint="eastAsia" w:ascii="宋体" w:hAnsi="宋体"/>
          <w:snapToGrid w:val="0"/>
          <w:kern w:val="0"/>
          <w:sz w:val="28"/>
          <w:szCs w:val="28"/>
          <w:lang w:eastAsia="zh-CN"/>
        </w:rPr>
        <w:fldChar w:fldCharType="end"/>
      </w:r>
      <w:r>
        <w:rPr>
          <w:rFonts w:hint="eastAsia" w:ascii="宋体" w:hAnsi="宋体"/>
          <w:snapToGrid w:val="0"/>
          <w:kern w:val="0"/>
          <w:sz w:val="28"/>
          <w:szCs w:val="28"/>
          <w:lang w:eastAsia="zh-CN"/>
        </w:rPr>
        <w:t>腐蚀爆裂：是容器壳体由于受到腐蚀介质作用而产生的均匀腐蚀、点腐蚀、晶间腐蚀、应力腐蚀、疲劳腐蚀而引起的爆裂。</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 xml:space="preserve">(2) 在使用过程中，若违反操作规程或因年久腐蚀严重又未按国家规定进行检测，在超压运行状态下，而安全阀又未动作时，罐体承受不住内部气压或液压时，将发生爆裂或爆炸。 </w:t>
      </w:r>
    </w:p>
    <w:p>
      <w:pPr>
        <w:spacing w:line="360" w:lineRule="auto"/>
        <w:ind w:firstLine="560" w:firstLineChars="200"/>
        <w:rPr>
          <w:rFonts w:hint="eastAsia" w:ascii="宋体" w:hAnsi="宋体"/>
          <w:snapToGrid w:val="0"/>
          <w:kern w:val="0"/>
          <w:sz w:val="28"/>
          <w:szCs w:val="28"/>
          <w:lang w:eastAsia="zh-CN"/>
        </w:rPr>
      </w:pPr>
      <w:r>
        <w:rPr>
          <w:rFonts w:hint="eastAsia" w:ascii="宋体" w:hAnsi="宋体"/>
          <w:snapToGrid w:val="0"/>
          <w:kern w:val="0"/>
          <w:sz w:val="28"/>
          <w:szCs w:val="28"/>
          <w:lang w:eastAsia="zh-CN"/>
        </w:rPr>
        <w:t>(3) 由于压力容器的安全阀、压力表等未定期检验或损坏失灵，致不能正确显示和及时泄放，容器超压也可能引起爆炸。</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70" w:name="_Toc511994836"/>
      <w:bookmarkStart w:id="171" w:name="_Toc515659448"/>
      <w:bookmarkStart w:id="172" w:name="_Toc515657141"/>
      <w:bookmarkStart w:id="173" w:name="_Toc6040"/>
      <w:r>
        <w:rPr>
          <w:rFonts w:hint="eastAsia" w:ascii="宋体" w:hAnsi="宋体"/>
          <w:b/>
          <w:snapToGrid w:val="0"/>
          <w:kern w:val="0"/>
          <w:sz w:val="28"/>
          <w:szCs w:val="28"/>
          <w:lang w:val="en-US" w:eastAsia="zh-CN"/>
        </w:rPr>
        <w:t>3.5.11有限空间作业</w:t>
      </w:r>
      <w:bookmarkEnd w:id="170"/>
      <w:bookmarkEnd w:id="171"/>
      <w:bookmarkEnd w:id="172"/>
      <w:bookmarkEnd w:id="173"/>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本项目的各类储罐容器、脱硫塔、窑炉炉膛、砖坯烘干室、设备地下坑道、烟道等设施、设备和场所，在日常维护和检测时会进行有限空间作业。</w:t>
      </w:r>
    </w:p>
    <w:p>
      <w:pPr>
        <w:spacing w:line="360" w:lineRule="auto"/>
        <w:ind w:firstLine="560" w:firstLineChars="200"/>
        <w:rPr>
          <w:rFonts w:hint="eastAsia" w:ascii="宋体" w:hAnsi="宋体"/>
          <w:snapToGrid w:val="0"/>
          <w:color w:val="FF0000"/>
          <w:kern w:val="0"/>
          <w:sz w:val="28"/>
          <w:szCs w:val="28"/>
          <w:lang w:eastAsia="zh-CN"/>
        </w:rPr>
      </w:pPr>
      <w:r>
        <w:rPr>
          <w:rFonts w:hint="eastAsia" w:ascii="宋体" w:hAnsi="宋体"/>
          <w:snapToGrid w:val="0"/>
          <w:color w:val="FF0000"/>
          <w:kern w:val="0"/>
          <w:sz w:val="28"/>
          <w:szCs w:val="28"/>
          <w:lang w:eastAsia="zh-CN"/>
        </w:rPr>
        <w:t>有限空间内作业，如管理稍有不慎，极易导致火灾、爆炸、中毒、窒息等人身伤害事故，给作业人员的安全带来严重安全隐患。研究表明很多致命的有限空间事故的发生都与所在空间内存在的种危险因素未得到重视有关，而这些危险因素既可能在员工进入有限空间之前就已存在，也可能是由于他们在其间的活动形成。因此，有限空间是一种作业风险比较高，应当引起人们高度重视的作业环境。</w:t>
      </w:r>
    </w:p>
    <w:p>
      <w:pPr>
        <w:pStyle w:val="8"/>
        <w:spacing w:line="360" w:lineRule="auto"/>
        <w:ind w:firstLine="0" w:firstLineChars="0"/>
        <w:outlineLvl w:val="2"/>
        <w:rPr>
          <w:rFonts w:hint="eastAsia" w:ascii="宋体" w:hAnsi="宋体"/>
          <w:b/>
          <w:snapToGrid w:val="0"/>
          <w:kern w:val="0"/>
          <w:sz w:val="28"/>
          <w:szCs w:val="28"/>
        </w:rPr>
      </w:pPr>
      <w:bookmarkStart w:id="174" w:name="_Toc350781101"/>
      <w:bookmarkStart w:id="175" w:name="_Toc480804402"/>
      <w:bookmarkStart w:id="176" w:name="_Toc514342854"/>
      <w:bookmarkStart w:id="177" w:name="_Toc20951"/>
      <w:bookmarkStart w:id="178" w:name="_Toc356401499"/>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5</w:t>
      </w:r>
      <w:r>
        <w:rPr>
          <w:rFonts w:ascii="宋体" w:hAnsi="宋体"/>
          <w:b/>
          <w:snapToGrid w:val="0"/>
          <w:kern w:val="0"/>
          <w:sz w:val="28"/>
          <w:szCs w:val="28"/>
        </w:rPr>
        <w:t>.</w:t>
      </w:r>
      <w:r>
        <w:rPr>
          <w:rFonts w:hint="eastAsia" w:ascii="宋体" w:hAnsi="宋体"/>
          <w:b/>
          <w:snapToGrid w:val="0"/>
          <w:kern w:val="0"/>
          <w:sz w:val="28"/>
          <w:szCs w:val="28"/>
          <w:lang w:val="en-US" w:eastAsia="zh-CN"/>
        </w:rPr>
        <w:t>12</w:t>
      </w:r>
      <w:r>
        <w:rPr>
          <w:rFonts w:ascii="宋体" w:hAnsi="宋体"/>
          <w:b/>
          <w:snapToGrid w:val="0"/>
          <w:kern w:val="0"/>
          <w:sz w:val="28"/>
          <w:szCs w:val="28"/>
        </w:rPr>
        <w:t xml:space="preserve"> </w:t>
      </w:r>
      <w:r>
        <w:rPr>
          <w:rFonts w:hint="eastAsia" w:ascii="宋体" w:hAnsi="宋体"/>
          <w:b/>
          <w:snapToGrid w:val="0"/>
          <w:kern w:val="0"/>
          <w:sz w:val="28"/>
          <w:szCs w:val="28"/>
        </w:rPr>
        <w:t>职业</w:t>
      </w:r>
      <w:r>
        <w:rPr>
          <w:rFonts w:ascii="宋体" w:hAnsi="宋体"/>
          <w:b/>
          <w:snapToGrid w:val="0"/>
          <w:kern w:val="0"/>
          <w:sz w:val="28"/>
          <w:szCs w:val="28"/>
        </w:rPr>
        <w:t>危害</w:t>
      </w:r>
      <w:r>
        <w:rPr>
          <w:rFonts w:hint="eastAsia" w:ascii="宋体" w:hAnsi="宋体"/>
          <w:b/>
          <w:snapToGrid w:val="0"/>
          <w:kern w:val="0"/>
          <w:sz w:val="28"/>
          <w:szCs w:val="28"/>
        </w:rPr>
        <w:t>因素</w:t>
      </w:r>
      <w:bookmarkEnd w:id="174"/>
      <w:bookmarkEnd w:id="175"/>
      <w:bookmarkEnd w:id="176"/>
      <w:bookmarkEnd w:id="177"/>
      <w:bookmarkEnd w:id="178"/>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.1 粉尘</w:t>
      </w:r>
    </w:p>
    <w:p>
      <w:pPr>
        <w:spacing w:line="360" w:lineRule="auto"/>
        <w:ind w:firstLine="560" w:firstLineChars="200"/>
        <w:rPr>
          <w:rFonts w:hint="eastAsia" w:ascii="宋体" w:hAnsi="宋体"/>
          <w:snapToGrid w:val="0"/>
          <w:color w:val="auto"/>
          <w:kern w:val="0"/>
          <w:sz w:val="28"/>
          <w:szCs w:val="28"/>
          <w:lang w:eastAsia="zh-CN"/>
        </w:rPr>
      </w:pPr>
      <w:r>
        <w:rPr>
          <w:rFonts w:hint="eastAsia" w:ascii="宋体" w:hAnsi="宋体" w:eastAsia="宋体" w:cstheme="minorBidi"/>
          <w:snapToGrid w:val="0"/>
          <w:color w:val="auto"/>
          <w:kern w:val="0"/>
          <w:sz w:val="28"/>
          <w:szCs w:val="28"/>
          <w:lang w:val="en-US" w:eastAsia="zh-CN" w:bidi="ar-SA"/>
        </w:rPr>
        <w:t>窑体在加煤烧制过程中窑顶部、出窑时窑洞中粉尘浓度较大，作</w:t>
      </w:r>
      <w:r>
        <w:rPr>
          <w:rFonts w:hint="eastAsia" w:ascii="宋体" w:hAnsi="宋体"/>
          <w:snapToGrid w:val="0"/>
          <w:color w:val="auto"/>
          <w:kern w:val="0"/>
          <w:sz w:val="28"/>
          <w:szCs w:val="28"/>
          <w:lang w:eastAsia="zh-CN"/>
        </w:rPr>
        <w:t>业人员在此环境中易受到粉尘危害。粉尘危害是砖厂生产作业中最大危害之一。粉尘是在生产过程中产生的细粒状矿物或岩石粉尘。</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粉尘的环节主要有原料装卸、破碎等生产过程。在上述生产作业中产生的细粒状矿物或岩石粉尘，直径大于50μm的尘粒，在重力作用下会很快从气流中分离出来，沉落于地面，此类矿尘称为落尘；直径在0.01～50μm范围内的尘粒，能长时间悬浮于空气中，此类矿尘叫做浮尘。浮尘对空气的污染和对人体健康具有重大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.2 烟气</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烧结自保温砌块的制造生产主要采用内燃烧成工艺，但有时也需要补充少量的外燃，其内燃热值一般为300～500cal/g，因此烟气成分复杂，废气中以无机污染物为主。燃烧过程中可逸出有害气体S02、HF、NOx、CO、HC1等，其主要污染物是S02气体，如不加以治理，将会对工作场所人员健康和环境造成影响。</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.3 噪声、振动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噪声指声强和频率的变化都无规律、杂乱无章的声音。砖厂噪声具有强度大、声级高、噪声源多、干扰时间长以及连续噪声多等特点。</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噪声与振动主要来源于各种设备在运转过程中由于震动、摩擦、碰撞而产生的机械动力噪声和由风管排气、漏气而产生的气体动力噪声。</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产生噪声与振动的设备和场所：空压机和空压机泵房；制砖工作面；装载、挖掘设备驾驶室。</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噪声可以使人耳聋，还可能引起高血压、心脏病、神经官能症等疾病。噪声还污染环境，影响人们的正常生活和生产活动。</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3.5.</w:t>
      </w:r>
      <w:r>
        <w:rPr>
          <w:rFonts w:hint="eastAsia" w:ascii="宋体" w:hAnsi="宋体" w:cstheme="minorBidi"/>
          <w:snapToGrid w:val="0"/>
          <w:color w:val="auto"/>
          <w:kern w:val="0"/>
          <w:sz w:val="28"/>
          <w:szCs w:val="28"/>
          <w:lang w:val="en-US" w:eastAsia="zh-CN" w:bidi="ar-SA"/>
        </w:rPr>
        <w:t>12</w:t>
      </w:r>
      <w:r>
        <w:rPr>
          <w:rFonts w:hint="eastAsia" w:ascii="宋体" w:hAnsi="宋体" w:eastAsia="宋体" w:cstheme="minorBidi"/>
          <w:snapToGrid w:val="0"/>
          <w:color w:val="auto"/>
          <w:kern w:val="0"/>
          <w:sz w:val="28"/>
          <w:szCs w:val="28"/>
          <w:lang w:val="en-US" w:eastAsia="zh-CN" w:bidi="ar-SA"/>
        </w:rPr>
        <w:t>.4 高温、低温</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高温、高湿环境会增加人员中暑机率，并会加速有毒物质吸收，会导致操作失误率升高，易发生事故，长期在高温、高湿环境下工作，可引发关节炎等疾病；高温、高湿环境会加速材料的腐蚀；过大的湿度会引起电气设备受潮、绝缘下降，引起触电事故；</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在烧结时，窑体加煤烧制、成品砖出窑过程中，温度较高，如窑体保温密封不良会产生较强的热辐射，作业人员在此环境中易受到高温危害。</w:t>
      </w:r>
    </w:p>
    <w:p>
      <w:pPr>
        <w:spacing w:line="360" w:lineRule="auto"/>
        <w:ind w:firstLine="560" w:firstLineChars="200"/>
        <w:rPr>
          <w:rFonts w:hint="eastAsia" w:ascii="宋体" w:hAnsi="宋体" w:eastAsia="宋体" w:cstheme="minorBidi"/>
          <w:snapToGrid w:val="0"/>
          <w:color w:val="auto"/>
          <w:kern w:val="0"/>
          <w:sz w:val="28"/>
          <w:szCs w:val="28"/>
          <w:lang w:val="en-US" w:eastAsia="zh-CN" w:bidi="ar-SA"/>
        </w:rPr>
      </w:pPr>
      <w:r>
        <w:rPr>
          <w:rFonts w:hint="eastAsia" w:ascii="宋体" w:hAnsi="宋体" w:eastAsia="宋体" w:cstheme="minorBidi"/>
          <w:snapToGrid w:val="0"/>
          <w:color w:val="auto"/>
          <w:kern w:val="0"/>
          <w:sz w:val="28"/>
          <w:szCs w:val="28"/>
          <w:lang w:val="en-US" w:eastAsia="zh-CN" w:bidi="ar-SA"/>
        </w:rPr>
        <w:t>在低温环境下，人员操作功能随温度的下降而明显下降，注意力不集中，反应时间延长，作业失误率上升，且可能发生冻伤。</w:t>
      </w:r>
    </w:p>
    <w:p>
      <w:pPr>
        <w:pStyle w:val="8"/>
        <w:spacing w:line="360" w:lineRule="auto"/>
        <w:ind w:firstLine="0" w:firstLineChars="0"/>
        <w:outlineLvl w:val="2"/>
        <w:rPr>
          <w:rFonts w:hint="eastAsia" w:ascii="宋体" w:hAnsi="宋体"/>
          <w:b/>
          <w:snapToGrid w:val="0"/>
          <w:kern w:val="0"/>
          <w:sz w:val="28"/>
          <w:szCs w:val="28"/>
          <w:lang w:val="en-US" w:eastAsia="zh-CN"/>
        </w:rPr>
      </w:pPr>
      <w:bookmarkStart w:id="179" w:name="_Toc413834096"/>
      <w:bookmarkStart w:id="180" w:name="_Toc359225372"/>
      <w:bookmarkStart w:id="181" w:name="_Toc496016659"/>
      <w:bookmarkStart w:id="182" w:name="_Toc25032"/>
      <w:r>
        <w:rPr>
          <w:rFonts w:hint="eastAsia" w:ascii="宋体" w:hAnsi="宋体"/>
          <w:b/>
          <w:snapToGrid w:val="0"/>
          <w:kern w:val="0"/>
          <w:sz w:val="28"/>
          <w:szCs w:val="28"/>
          <w:lang w:val="en-US" w:eastAsia="zh-CN"/>
        </w:rPr>
        <w:t>3.5.13 自然灾害</w:t>
      </w:r>
      <w:bookmarkEnd w:id="179"/>
      <w:bookmarkEnd w:id="180"/>
      <w:bookmarkEnd w:id="181"/>
      <w:bookmarkEnd w:id="182"/>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.1 地震灾害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地震发生时，可能使建筑物倒塌，建筑设施结构破坏造成人员伤亡，也可能使电气系统短路导致火灾事故发生等。</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lang w:val="en-US" w:eastAsia="zh-CN"/>
        </w:rPr>
        <w:t>3.5.13</w:t>
      </w:r>
      <w:r>
        <w:rPr>
          <w:rFonts w:hint="eastAsia" w:ascii="宋体" w:hAnsi="宋体" w:cs="宋体"/>
          <w:color w:val="auto"/>
          <w:sz w:val="28"/>
          <w:szCs w:val="28"/>
        </w:rPr>
        <w:t>.2 雷击危害</w:t>
      </w:r>
    </w:p>
    <w:p>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雷雨云对地放电形成直击雷。雷击发生时，强大的冲击电压和雷电流会毁坏各种电气设备，强烈的空气扰动会使建筑物和设备损坏，其热效应会引起火灾，还可能击中人员事故伤亡事故。除直击雷外，还有雷电感应、球型雷和雷电侵入波等都可造成危害，其中直击雷的危害最大，此外雷电还可通过静电感应或电磁感应产生破坏作用。</w:t>
      </w:r>
    </w:p>
    <w:p>
      <w:pPr>
        <w:pStyle w:val="8"/>
        <w:spacing w:line="360" w:lineRule="auto"/>
        <w:ind w:firstLine="0" w:firstLineChars="0"/>
        <w:outlineLvl w:val="1"/>
        <w:rPr>
          <w:rFonts w:hint="eastAsia" w:ascii="黑体" w:hAnsi="宋体" w:eastAsia="黑体"/>
          <w:b/>
          <w:snapToGrid w:val="0"/>
          <w:kern w:val="0"/>
          <w:sz w:val="32"/>
          <w:szCs w:val="32"/>
        </w:rPr>
      </w:pPr>
      <w:bookmarkStart w:id="183" w:name="_Toc514342856"/>
      <w:bookmarkStart w:id="184" w:name="_Toc484594602"/>
      <w:bookmarkStart w:id="185" w:name="_Toc325528024"/>
      <w:bookmarkStart w:id="186" w:name="_Toc303340324"/>
      <w:bookmarkStart w:id="187" w:name="_Toc304291284"/>
      <w:bookmarkStart w:id="188" w:name="_Toc22430"/>
      <w:r>
        <w:rPr>
          <w:rFonts w:hint="eastAsia" w:ascii="黑体" w:hAnsi="宋体" w:eastAsia="黑体"/>
          <w:b/>
          <w:snapToGrid w:val="0"/>
          <w:kern w:val="0"/>
          <w:sz w:val="32"/>
          <w:szCs w:val="32"/>
          <w:lang w:val="en-US" w:eastAsia="zh-CN"/>
        </w:rPr>
        <w:t>3</w:t>
      </w:r>
      <w:r>
        <w:rPr>
          <w:rFonts w:hint="eastAsia" w:ascii="黑体" w:hAnsi="宋体" w:eastAsia="黑体"/>
          <w:b/>
          <w:snapToGrid w:val="0"/>
          <w:kern w:val="0"/>
          <w:sz w:val="32"/>
          <w:szCs w:val="32"/>
          <w:lang w:eastAsia="zh-CN"/>
        </w:rPr>
        <w:t>.</w:t>
      </w:r>
      <w:r>
        <w:rPr>
          <w:rFonts w:hint="eastAsia" w:ascii="黑体" w:hAnsi="宋体" w:eastAsia="黑体"/>
          <w:b/>
          <w:snapToGrid w:val="0"/>
          <w:kern w:val="0"/>
          <w:sz w:val="32"/>
          <w:szCs w:val="32"/>
        </w:rPr>
        <w:t>6 厂址安全条件的危险、有害因素辨识与分析</w:t>
      </w:r>
      <w:bookmarkEnd w:id="183"/>
      <w:bookmarkEnd w:id="184"/>
      <w:bookmarkEnd w:id="185"/>
      <w:bookmarkEnd w:id="186"/>
      <w:bookmarkEnd w:id="187"/>
      <w:bookmarkEnd w:id="188"/>
    </w:p>
    <w:p>
      <w:pPr>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工业企业若选址不当，厂址条件差，可能存在以下危险、有害因素：①厂址工程地质不良，厂址周围为陡坎或有河流、沟渠通过，容易造成厂内塌陷和周边垮塌，设备、设施损坏，造成有害物质泄漏，引发火灾爆炸和窒息事故。②厂址所在地地形地貌差，处于窝风地带，厂内有害气体得不到及时散放，其生产作业危险性就大。③厂址与周边居民区或企业，安全距离不够，相互间会产生不利影响。④厂址所在地水文、气象条件恶劣，易发生水灾、雷击灾害，影响企业的正常生产。⑤厂址周边交通运输条件不畅、消防配备设施不完善，会造成运输不便，增加运输风险。</w:t>
      </w:r>
    </w:p>
    <w:p>
      <w:pPr>
        <w:spacing w:line="360" w:lineRule="auto"/>
        <w:ind w:firstLine="560" w:firstLineChars="200"/>
        <w:rPr>
          <w:rFonts w:hint="eastAsia" w:ascii="宋体" w:hAnsi="宋体"/>
          <w:snapToGrid w:val="0"/>
          <w:kern w:val="0"/>
          <w:sz w:val="28"/>
          <w:szCs w:val="28"/>
        </w:rPr>
      </w:pPr>
      <w:r>
        <w:rPr>
          <w:rFonts w:ascii="宋体" w:hAnsi="宋体"/>
          <w:snapToGrid w:val="0"/>
          <w:kern w:val="0"/>
          <w:sz w:val="28"/>
          <w:szCs w:val="28"/>
        </w:rPr>
        <w:t>本工程厂址周围无大型重要公共建筑设施</w:t>
      </w:r>
      <w:r>
        <w:rPr>
          <w:rFonts w:hint="eastAsia" w:ascii="宋体" w:hAnsi="宋体"/>
          <w:snapToGrid w:val="0"/>
          <w:kern w:val="0"/>
          <w:sz w:val="28"/>
          <w:szCs w:val="28"/>
        </w:rPr>
        <w:t>，</w:t>
      </w:r>
      <w:r>
        <w:rPr>
          <w:rFonts w:ascii="宋体" w:hAnsi="宋体"/>
          <w:snapToGrid w:val="0"/>
          <w:kern w:val="0"/>
          <w:sz w:val="28"/>
          <w:szCs w:val="28"/>
        </w:rPr>
        <w:t>位于相对稳定地块，场地无不良地质现象，地基承载力较高，不受洪水威胁；地下水对混凝土结构和钢筋混凝土结构中的钢筋不具腐蚀性。厂址交通运输方便</w:t>
      </w:r>
      <w:r>
        <w:rPr>
          <w:rFonts w:hint="eastAsia" w:ascii="宋体" w:hAnsi="宋体"/>
          <w:snapToGrid w:val="0"/>
          <w:kern w:val="0"/>
          <w:sz w:val="28"/>
          <w:szCs w:val="28"/>
        </w:rPr>
        <w:t>，</w:t>
      </w:r>
      <w:r>
        <w:rPr>
          <w:rFonts w:ascii="宋体" w:hAnsi="宋体"/>
          <w:snapToGrid w:val="0"/>
          <w:kern w:val="0"/>
          <w:sz w:val="28"/>
          <w:szCs w:val="28"/>
        </w:rPr>
        <w:t>已取得政府相关部门的</w:t>
      </w:r>
      <w:r>
        <w:rPr>
          <w:rFonts w:hint="eastAsia" w:ascii="宋体" w:hAnsi="宋体"/>
          <w:snapToGrid w:val="0"/>
          <w:kern w:val="0"/>
          <w:sz w:val="28"/>
          <w:szCs w:val="28"/>
        </w:rPr>
        <w:t>技改</w:t>
      </w:r>
      <w:r>
        <w:rPr>
          <w:rFonts w:ascii="宋体" w:hAnsi="宋体"/>
          <w:snapToGrid w:val="0"/>
          <w:kern w:val="0"/>
          <w:sz w:val="28"/>
          <w:szCs w:val="28"/>
        </w:rPr>
        <w:t>批复。因此，该工程选址符合当地政府部门规划，选址符合厂址选择的技术要求。</w:t>
      </w:r>
    </w:p>
    <w:p>
      <w:pPr>
        <w:pStyle w:val="8"/>
        <w:spacing w:line="360" w:lineRule="auto"/>
        <w:ind w:firstLine="0" w:firstLineChars="0"/>
        <w:outlineLvl w:val="2"/>
        <w:rPr>
          <w:rFonts w:hint="eastAsia" w:ascii="宋体" w:hAnsi="宋体"/>
          <w:b/>
          <w:snapToGrid w:val="0"/>
          <w:kern w:val="0"/>
          <w:sz w:val="28"/>
          <w:szCs w:val="28"/>
        </w:rPr>
      </w:pPr>
      <w:bookmarkStart w:id="189" w:name="_Toc484594603"/>
      <w:bookmarkStart w:id="190" w:name="_Toc514342857"/>
      <w:bookmarkStart w:id="191" w:name="_Toc458523590"/>
      <w:bookmarkStart w:id="192" w:name="_Toc820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 xml:space="preserve">6.1 </w:t>
      </w:r>
      <w:r>
        <w:rPr>
          <w:rFonts w:hint="eastAsia" w:ascii="宋体" w:hAnsi="宋体"/>
          <w:b/>
          <w:snapToGrid w:val="0"/>
          <w:kern w:val="0"/>
          <w:sz w:val="28"/>
          <w:szCs w:val="28"/>
          <w:lang w:eastAsia="zh-CN"/>
        </w:rPr>
        <w:t>公司</w:t>
      </w:r>
      <w:r>
        <w:rPr>
          <w:rFonts w:hint="eastAsia" w:ascii="宋体" w:hAnsi="宋体"/>
          <w:b/>
          <w:snapToGrid w:val="0"/>
          <w:kern w:val="0"/>
          <w:sz w:val="28"/>
          <w:szCs w:val="28"/>
        </w:rPr>
        <w:t>对周边环境的影响分析</w:t>
      </w:r>
      <w:bookmarkEnd w:id="189"/>
      <w:bookmarkEnd w:id="190"/>
      <w:bookmarkEnd w:id="191"/>
      <w:bookmarkEnd w:id="192"/>
    </w:p>
    <w:p>
      <w:pPr>
        <w:tabs>
          <w:tab w:val="left" w:pos="8808"/>
        </w:tabs>
        <w:snapToGrid w:val="0"/>
        <w:spacing w:line="360" w:lineRule="auto"/>
        <w:ind w:firstLine="560" w:firstLineChars="200"/>
        <w:rPr>
          <w:rFonts w:hint="eastAsia" w:ascii="宋体" w:hAnsi="宋体" w:cs="宋体"/>
          <w:sz w:val="28"/>
          <w:szCs w:val="28"/>
        </w:rPr>
      </w:pPr>
      <w:bookmarkStart w:id="193" w:name="_Toc172964203"/>
      <w:bookmarkStart w:id="194" w:name="_Toc155775354"/>
      <w:bookmarkStart w:id="195" w:name="_Toc172964408"/>
      <w:bookmarkStart w:id="196" w:name="_Toc374385892"/>
      <w:bookmarkStart w:id="197" w:name="_Toc172963399"/>
      <w:r>
        <w:rPr>
          <w:rFonts w:hint="eastAsia" w:ascii="宋体" w:hAnsi="宋体" w:cs="宋体"/>
          <w:sz w:val="28"/>
          <w:szCs w:val="28"/>
          <w:lang w:eastAsia="zh-CN"/>
        </w:rPr>
        <w:t>厂</w:t>
      </w:r>
      <w:r>
        <w:rPr>
          <w:rFonts w:ascii="宋体" w:hAnsi="宋体" w:cs="宋体"/>
          <w:sz w:val="28"/>
          <w:szCs w:val="28"/>
        </w:rPr>
        <w:t>区内</w:t>
      </w:r>
      <w:r>
        <w:rPr>
          <w:rFonts w:hint="eastAsia" w:ascii="宋体" w:hAnsi="宋体" w:cs="宋体"/>
          <w:sz w:val="28"/>
          <w:szCs w:val="28"/>
        </w:rPr>
        <w:t>无高压电线敷设、无</w:t>
      </w:r>
      <w:r>
        <w:rPr>
          <w:rFonts w:ascii="宋体" w:hAnsi="宋体" w:cs="宋体"/>
          <w:sz w:val="28"/>
          <w:szCs w:val="28"/>
        </w:rPr>
        <w:t>国家规定的风景名胜区、革命历史古迹等文物保护对象，无集中式水源地等特殊保护对象</w:t>
      </w:r>
      <w:r>
        <w:rPr>
          <w:rFonts w:hint="eastAsia" w:ascii="宋体" w:hAnsi="宋体" w:cs="宋体"/>
          <w:sz w:val="28"/>
          <w:szCs w:val="28"/>
        </w:rPr>
        <w:t>；</w:t>
      </w:r>
      <w:r>
        <w:rPr>
          <w:rFonts w:ascii="宋体" w:hAnsi="宋体" w:cs="宋体"/>
          <w:sz w:val="28"/>
          <w:szCs w:val="28"/>
        </w:rPr>
        <w:t>区域内及附近无</w:t>
      </w:r>
      <w:r>
        <w:rPr>
          <w:rFonts w:hint="eastAsia" w:ascii="宋体" w:hAnsi="宋体" w:cs="宋体"/>
          <w:sz w:val="28"/>
          <w:szCs w:val="28"/>
        </w:rPr>
        <w:t>重大危险源监管单位、无</w:t>
      </w:r>
      <w:r>
        <w:rPr>
          <w:rFonts w:ascii="宋体" w:hAnsi="宋体" w:cs="宋体"/>
          <w:sz w:val="28"/>
          <w:szCs w:val="28"/>
        </w:rPr>
        <w:t>军事设施等保密单位，无军事国防通讯设施及其他通讯设施等敏感目标，地下未发现矿产资源</w:t>
      </w:r>
      <w:r>
        <w:rPr>
          <w:rFonts w:hint="eastAsia" w:ascii="宋体" w:hAnsi="宋体" w:cs="宋体"/>
          <w:sz w:val="28"/>
          <w:szCs w:val="28"/>
        </w:rPr>
        <w:t>，无长输天然气管道、输油管道敷设</w:t>
      </w:r>
      <w:r>
        <w:rPr>
          <w:rFonts w:ascii="宋体" w:hAnsi="宋体" w:cs="宋体"/>
          <w:sz w:val="28"/>
          <w:szCs w:val="28"/>
        </w:rPr>
        <w:t>。</w:t>
      </w:r>
      <w:r>
        <w:rPr>
          <w:rFonts w:hint="eastAsia" w:ascii="宋体" w:hAnsi="宋体" w:cs="宋体"/>
          <w:sz w:val="28"/>
          <w:szCs w:val="28"/>
          <w:lang w:eastAsia="zh-CN"/>
        </w:rPr>
        <w:t>公司</w:t>
      </w:r>
      <w:r>
        <w:rPr>
          <w:rFonts w:hint="eastAsia" w:ascii="宋体" w:hAnsi="宋体" w:cs="宋体"/>
          <w:sz w:val="28"/>
          <w:szCs w:val="28"/>
        </w:rPr>
        <w:t>在正常工况下废水、废气、废渣等经达标后排放，并与周边建构筑留有足够的防火间距，即</w:t>
      </w:r>
      <w:r>
        <w:rPr>
          <w:rFonts w:hint="eastAsia" w:ascii="宋体" w:hAnsi="宋体" w:cs="宋体"/>
          <w:sz w:val="28"/>
          <w:szCs w:val="28"/>
          <w:lang w:eastAsia="zh-CN"/>
        </w:rPr>
        <w:t>公司</w:t>
      </w:r>
      <w:r>
        <w:rPr>
          <w:rFonts w:hint="eastAsia" w:ascii="宋体" w:hAnsi="宋体" w:cs="宋体"/>
          <w:sz w:val="28"/>
          <w:szCs w:val="28"/>
        </w:rPr>
        <w:t>正常工况下不会对周边单位生产、经营活动或者居民生活造成影响。</w:t>
      </w:r>
    </w:p>
    <w:p>
      <w:pPr>
        <w:spacing w:line="360" w:lineRule="auto"/>
        <w:ind w:firstLine="560" w:firstLineChars="200"/>
        <w:rPr>
          <w:rFonts w:hint="eastAsia" w:ascii="宋体" w:hAnsi="宋体"/>
          <w:sz w:val="28"/>
          <w:szCs w:val="28"/>
        </w:rPr>
      </w:pPr>
      <w:r>
        <w:rPr>
          <w:rFonts w:ascii="宋体" w:hAnsi="宋体"/>
          <w:sz w:val="28"/>
          <w:szCs w:val="28"/>
        </w:rPr>
        <w:t>若三废处理不当可能会对周边环境、企业造成不良影响，因此本工程应切实做好三废的处理工作。</w:t>
      </w:r>
      <w:r>
        <w:rPr>
          <w:rFonts w:hint="eastAsia" w:ascii="宋体" w:hAnsi="宋体"/>
          <w:sz w:val="28"/>
          <w:szCs w:val="28"/>
          <w:lang w:eastAsia="zh-CN"/>
        </w:rPr>
        <w:t>公司</w:t>
      </w:r>
      <w:r>
        <w:rPr>
          <w:rFonts w:ascii="宋体" w:hAnsi="宋体"/>
          <w:sz w:val="28"/>
          <w:szCs w:val="28"/>
        </w:rPr>
        <w:t>在采取了可靠的安全、环保的防护措施之后，</w:t>
      </w:r>
      <w:r>
        <w:rPr>
          <w:rFonts w:hint="eastAsia" w:ascii="宋体" w:hAnsi="宋体" w:cs="宋体"/>
          <w:sz w:val="28"/>
          <w:szCs w:val="28"/>
        </w:rPr>
        <w:t>对周边环境的影响在可接受和可控制范围。</w:t>
      </w:r>
    </w:p>
    <w:bookmarkEnd w:id="193"/>
    <w:bookmarkEnd w:id="194"/>
    <w:bookmarkEnd w:id="195"/>
    <w:bookmarkEnd w:id="196"/>
    <w:bookmarkEnd w:id="197"/>
    <w:p>
      <w:pPr>
        <w:pStyle w:val="8"/>
        <w:spacing w:line="360" w:lineRule="auto"/>
        <w:ind w:firstLine="0" w:firstLineChars="0"/>
        <w:outlineLvl w:val="2"/>
        <w:rPr>
          <w:rFonts w:hint="eastAsia" w:ascii="宋体" w:hAnsi="宋体"/>
          <w:b/>
          <w:snapToGrid w:val="0"/>
          <w:kern w:val="0"/>
          <w:sz w:val="28"/>
          <w:szCs w:val="28"/>
        </w:rPr>
      </w:pPr>
      <w:bookmarkStart w:id="198" w:name="_Toc172964418"/>
      <w:bookmarkStart w:id="199" w:name="_Toc155775365"/>
      <w:bookmarkStart w:id="200" w:name="_Toc14365"/>
      <w:bookmarkStart w:id="201" w:name="_Toc172963410"/>
      <w:bookmarkStart w:id="202" w:name="_Toc172964213"/>
      <w:bookmarkStart w:id="203" w:name="_Toc514342858"/>
      <w:bookmarkStart w:id="204" w:name="_Toc484594604"/>
      <w:bookmarkStart w:id="205" w:name="_Toc45852359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rPr>
        <w:t>6.2 周边环境对</w:t>
      </w:r>
      <w:r>
        <w:rPr>
          <w:rFonts w:hint="eastAsia" w:ascii="宋体" w:hAnsi="宋体"/>
          <w:b/>
          <w:snapToGrid w:val="0"/>
          <w:kern w:val="0"/>
          <w:sz w:val="28"/>
          <w:szCs w:val="28"/>
          <w:lang w:eastAsia="zh-CN"/>
        </w:rPr>
        <w:t>公司</w:t>
      </w:r>
      <w:r>
        <w:rPr>
          <w:rFonts w:hint="eastAsia" w:ascii="宋体" w:hAnsi="宋体"/>
          <w:b/>
          <w:snapToGrid w:val="0"/>
          <w:kern w:val="0"/>
          <w:sz w:val="28"/>
          <w:szCs w:val="28"/>
        </w:rPr>
        <w:t>的影响分析</w:t>
      </w:r>
      <w:bookmarkEnd w:id="198"/>
      <w:bookmarkEnd w:id="199"/>
      <w:bookmarkEnd w:id="200"/>
      <w:bookmarkEnd w:id="201"/>
      <w:bookmarkEnd w:id="202"/>
      <w:bookmarkEnd w:id="203"/>
      <w:bookmarkEnd w:id="204"/>
      <w:bookmarkEnd w:id="205"/>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zh-CN" w:eastAsia="zh-CN"/>
        </w:rPr>
        <w:t>公司</w:t>
      </w:r>
      <w:r>
        <w:rPr>
          <w:rFonts w:hint="eastAsia" w:ascii="宋体" w:hAnsi="宋体" w:cs="宋体"/>
          <w:color w:val="auto"/>
          <w:sz w:val="28"/>
          <w:szCs w:val="28"/>
          <w:lang w:val="en-US" w:eastAsia="zh-CN"/>
        </w:rPr>
        <w:t>矿山开采登记范围不存在矿权重叠与边界纠纷问题，矿区附近谷地及缓坡平地为农业耕作区，斜坡以上大部分为荒坡，少量林木分布。矿区周围大多为农田，矿山范围内人类工程主要以农耕地为主。</w:t>
      </w:r>
    </w:p>
    <w:p>
      <w:pPr>
        <w:spacing w:line="360" w:lineRule="auto"/>
        <w:ind w:firstLine="560" w:firstLineChars="200"/>
        <w:rPr>
          <w:rFonts w:hint="eastAsia" w:ascii="宋体" w:hAnsi="宋体" w:cs="宋体"/>
          <w:color w:val="auto"/>
          <w:sz w:val="28"/>
          <w:szCs w:val="28"/>
          <w:lang w:val="en-US" w:eastAsia="en-US"/>
        </w:rPr>
      </w:pPr>
      <w:r>
        <w:rPr>
          <w:rFonts w:hint="eastAsia" w:ascii="宋体" w:hAnsi="宋体" w:cs="宋体"/>
          <w:color w:val="auto"/>
          <w:sz w:val="28"/>
          <w:szCs w:val="28"/>
          <w:lang w:val="en-US" w:eastAsia="zh-CN"/>
        </w:rPr>
        <w:t>砖厂朝向近似座北朝东，</w:t>
      </w:r>
      <w:r>
        <w:rPr>
          <w:rFonts w:hint="eastAsia" w:ascii="宋体" w:hAnsi="宋体" w:cs="宋体"/>
          <w:color w:val="auto"/>
          <w:sz w:val="28"/>
          <w:szCs w:val="28"/>
          <w:lang w:val="zh-CN" w:eastAsia="zh-CN"/>
        </w:rPr>
        <w:t>地处农村环境，外环境简单，具体情况如下：厂区周边主要为山坡地，植被为杂草、灌木丛及农作物，不存在珍稀植物。根据现场勘查，公司生产区周边主要为耕地、农户。公司大门位于东面，东面紧邻进厂道路，道路 两侧为农田；公司北面和西面为农田；东南面为本公司矿山页岩开采区；开采区以东为丘陵。</w:t>
      </w:r>
    </w:p>
    <w:p>
      <w:pPr>
        <w:spacing w:line="360" w:lineRule="auto"/>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周边200米范围内的零散居民住户与公司的防火间距均大于50米。公司周边环境条件良好，周边环境不会对公司形成制约影响因素。</w:t>
      </w:r>
    </w:p>
    <w:p>
      <w:pPr>
        <w:pStyle w:val="8"/>
        <w:spacing w:line="360" w:lineRule="auto"/>
        <w:ind w:firstLine="0" w:firstLineChars="0"/>
        <w:outlineLvl w:val="1"/>
        <w:rPr>
          <w:rFonts w:hint="eastAsia" w:ascii="黑体" w:eastAsia="黑体"/>
          <w:b/>
          <w:snapToGrid w:val="0"/>
          <w:kern w:val="0"/>
          <w:sz w:val="32"/>
          <w:szCs w:val="32"/>
        </w:rPr>
      </w:pPr>
      <w:bookmarkStart w:id="206" w:name="_Toc514342863"/>
      <w:bookmarkStart w:id="207" w:name="_Toc3659"/>
      <w:bookmarkStart w:id="208" w:name="_Toc480804413"/>
      <w:bookmarkStart w:id="209" w:name="_Toc356401505"/>
      <w:bookmarkStart w:id="210" w:name="_Toc350781107"/>
      <w:r>
        <w:rPr>
          <w:rFonts w:hint="eastAsia" w:ascii="黑体" w:eastAsia="黑体"/>
          <w:b/>
          <w:snapToGrid w:val="0"/>
          <w:kern w:val="0"/>
          <w:sz w:val="32"/>
          <w:szCs w:val="32"/>
          <w:lang w:val="en-US" w:eastAsia="zh-CN"/>
        </w:rPr>
        <w:t>3</w:t>
      </w:r>
      <w:r>
        <w:rPr>
          <w:rFonts w:hint="eastAsia" w:ascii="黑体" w:eastAsia="黑体"/>
          <w:b/>
          <w:snapToGrid w:val="0"/>
          <w:kern w:val="0"/>
          <w:sz w:val="32"/>
          <w:szCs w:val="32"/>
          <w:lang w:eastAsia="zh-CN"/>
        </w:rPr>
        <w:t>.</w:t>
      </w:r>
      <w:r>
        <w:rPr>
          <w:rFonts w:hint="eastAsia" w:ascii="黑体" w:eastAsia="黑体"/>
          <w:b/>
          <w:snapToGrid w:val="0"/>
          <w:kern w:val="0"/>
          <w:sz w:val="32"/>
          <w:szCs w:val="32"/>
          <w:lang w:val="en-US" w:eastAsia="zh-CN"/>
        </w:rPr>
        <w:t>7</w:t>
      </w:r>
      <w:r>
        <w:rPr>
          <w:rFonts w:hint="eastAsia" w:ascii="黑体" w:eastAsia="黑体"/>
          <w:b/>
          <w:snapToGrid w:val="0"/>
          <w:kern w:val="0"/>
          <w:sz w:val="32"/>
          <w:szCs w:val="32"/>
        </w:rPr>
        <w:t xml:space="preserve"> 重大危险源辨识</w:t>
      </w:r>
      <w:bookmarkEnd w:id="206"/>
      <w:bookmarkEnd w:id="207"/>
      <w:bookmarkEnd w:id="208"/>
      <w:bookmarkEnd w:id="209"/>
      <w:bookmarkEnd w:id="210"/>
    </w:p>
    <w:p>
      <w:pPr>
        <w:pStyle w:val="8"/>
        <w:spacing w:line="360" w:lineRule="auto"/>
        <w:ind w:firstLine="0" w:firstLineChars="0"/>
        <w:outlineLvl w:val="2"/>
        <w:rPr>
          <w:rFonts w:hint="eastAsia" w:ascii="宋体" w:hAnsi="宋体"/>
          <w:b/>
          <w:snapToGrid w:val="0"/>
          <w:kern w:val="0"/>
          <w:sz w:val="28"/>
          <w:szCs w:val="28"/>
        </w:rPr>
      </w:pPr>
      <w:bookmarkStart w:id="211" w:name="_Toc480804414"/>
      <w:bookmarkStart w:id="212" w:name="_Toc514342864"/>
      <w:bookmarkStart w:id="213" w:name="_Toc351125383"/>
      <w:bookmarkStart w:id="214" w:name="_Toc356401506"/>
      <w:bookmarkStart w:id="215" w:name="_Toc6474"/>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.1 辨识依据</w:t>
      </w:r>
      <w:bookmarkEnd w:id="211"/>
      <w:bookmarkEnd w:id="212"/>
      <w:bookmarkEnd w:id="213"/>
      <w:bookmarkEnd w:id="214"/>
      <w:bookmarkEnd w:id="215"/>
    </w:p>
    <w:p>
      <w:pPr>
        <w:tabs>
          <w:tab w:val="right" w:leader="hyphen" w:pos="8343"/>
        </w:tabs>
        <w:spacing w:line="360" w:lineRule="auto"/>
        <w:ind w:firstLine="560" w:firstLineChars="200"/>
        <w:rPr>
          <w:rFonts w:hint="eastAsia" w:ascii="宋体" w:hAnsi="宋体"/>
          <w:sz w:val="28"/>
          <w:szCs w:val="28"/>
        </w:rPr>
      </w:pPr>
      <w:r>
        <w:rPr>
          <w:rFonts w:hint="eastAsia" w:ascii="宋体" w:hAnsi="宋体"/>
          <w:sz w:val="28"/>
          <w:szCs w:val="28"/>
        </w:rPr>
        <w:t>根据《中华人民共和国安全生产法》、《危险化学品重大危险源辨识》（</w:t>
      </w:r>
      <w:r>
        <w:rPr>
          <w:rFonts w:hint="eastAsia" w:ascii="宋体" w:hAnsi="宋体"/>
          <w:sz w:val="28"/>
          <w:szCs w:val="28"/>
          <w:lang w:eastAsia="zh-CN"/>
        </w:rPr>
        <w:t>GB18218-2018</w:t>
      </w:r>
      <w:r>
        <w:rPr>
          <w:rFonts w:hint="eastAsia" w:ascii="宋体" w:hAnsi="宋体"/>
          <w:sz w:val="28"/>
          <w:szCs w:val="28"/>
        </w:rPr>
        <w:t>）的有关规定，重大危险源是指长期地或者临时地生产、加工、搬运、使用或储存危险物品，且危险物品的数量等于或超过临界量的场所和设施，以及其他存在危险能量等于或超过临界量的场所和设施。</w:t>
      </w:r>
    </w:p>
    <w:p>
      <w:pPr>
        <w:pStyle w:val="8"/>
        <w:spacing w:line="360" w:lineRule="auto"/>
        <w:ind w:firstLine="0" w:firstLineChars="0"/>
        <w:outlineLvl w:val="2"/>
        <w:rPr>
          <w:rFonts w:hint="eastAsia" w:ascii="宋体" w:hAnsi="宋体"/>
          <w:b/>
          <w:snapToGrid w:val="0"/>
          <w:kern w:val="0"/>
          <w:sz w:val="28"/>
          <w:szCs w:val="28"/>
        </w:rPr>
      </w:pPr>
      <w:bookmarkStart w:id="216" w:name="_Toc351125385"/>
      <w:bookmarkStart w:id="217" w:name="_Toc480804415"/>
      <w:bookmarkStart w:id="218" w:name="_Toc514342865"/>
      <w:bookmarkStart w:id="219" w:name="_Toc21923"/>
      <w:bookmarkStart w:id="220" w:name="_Toc356401507"/>
      <w:r>
        <w:rPr>
          <w:rFonts w:hint="eastAsia" w:ascii="宋体" w:hAnsi="宋体"/>
          <w:b/>
          <w:snapToGrid w:val="0"/>
          <w:kern w:val="0"/>
          <w:sz w:val="28"/>
          <w:szCs w:val="28"/>
          <w:lang w:val="en-US" w:eastAsia="zh-CN"/>
        </w:rPr>
        <w:t>3</w:t>
      </w:r>
      <w:r>
        <w:rPr>
          <w:rFonts w:hint="eastAsia" w:ascii="宋体" w:hAnsi="宋体"/>
          <w:b/>
          <w:snapToGrid w:val="0"/>
          <w:kern w:val="0"/>
          <w:sz w:val="28"/>
          <w:szCs w:val="28"/>
          <w:lang w:eastAsia="zh-CN"/>
        </w:rPr>
        <w:t>.</w:t>
      </w:r>
      <w:r>
        <w:rPr>
          <w:rFonts w:hint="eastAsia" w:ascii="宋体" w:hAnsi="宋体"/>
          <w:b/>
          <w:snapToGrid w:val="0"/>
          <w:kern w:val="0"/>
          <w:sz w:val="28"/>
          <w:szCs w:val="28"/>
          <w:lang w:val="en-US" w:eastAsia="zh-CN"/>
        </w:rPr>
        <w:t>7</w:t>
      </w:r>
      <w:r>
        <w:rPr>
          <w:rFonts w:hint="eastAsia" w:ascii="宋体" w:hAnsi="宋体"/>
          <w:b/>
          <w:snapToGrid w:val="0"/>
          <w:kern w:val="0"/>
          <w:sz w:val="28"/>
          <w:szCs w:val="28"/>
        </w:rPr>
        <w:t>.2 辨识结果</w:t>
      </w:r>
      <w:bookmarkEnd w:id="216"/>
      <w:bookmarkEnd w:id="217"/>
      <w:bookmarkEnd w:id="218"/>
      <w:bookmarkEnd w:id="219"/>
      <w:bookmarkEnd w:id="220"/>
    </w:p>
    <w:p>
      <w:pPr>
        <w:spacing w:line="360" w:lineRule="auto"/>
        <w:ind w:firstLine="560" w:firstLineChars="200"/>
        <w:rPr>
          <w:rFonts w:hint="eastAsia" w:ascii="宋体" w:hAnsi="宋体"/>
          <w:sz w:val="28"/>
          <w:szCs w:val="28"/>
        </w:rPr>
      </w:pPr>
      <w:r>
        <w:rPr>
          <w:rFonts w:hint="eastAsia"/>
          <w:sz w:val="28"/>
          <w:szCs w:val="28"/>
          <w:lang w:eastAsia="zh-CN"/>
        </w:rPr>
        <w:t>公司</w:t>
      </w:r>
      <w:r>
        <w:rPr>
          <w:rFonts w:hint="eastAsia"/>
          <w:sz w:val="28"/>
          <w:szCs w:val="28"/>
        </w:rPr>
        <w:t>生产过程中的原料、辅料、中间品、产品除柴油外其余均未列入《重大危险源辨识》中，</w:t>
      </w:r>
      <w:r>
        <w:rPr>
          <w:rFonts w:hint="eastAsia"/>
          <w:sz w:val="28"/>
          <w:szCs w:val="28"/>
          <w:lang w:eastAsia="zh-CN"/>
        </w:rPr>
        <w:t>厂区</w:t>
      </w:r>
      <w:r>
        <w:rPr>
          <w:rFonts w:hint="eastAsia"/>
          <w:sz w:val="28"/>
          <w:szCs w:val="28"/>
        </w:rPr>
        <w:t>使用柴油仅做为点火燃料使用，用量少（仅备用1桶，约200L），使用频率低，</w:t>
      </w:r>
      <w:r>
        <w:rPr>
          <w:rFonts w:hint="eastAsia" w:ascii="宋体" w:hAnsi="宋体"/>
          <w:sz w:val="28"/>
          <w:szCs w:val="28"/>
        </w:rPr>
        <w:t>其临界量和拟存放量见下表：</w:t>
      </w:r>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hint="eastAsia" w:ascii="黑体" w:eastAsia="黑体"/>
          <w:b/>
          <w:sz w:val="24"/>
          <w:lang w:eastAsia="zh-CN"/>
        </w:rPr>
        <w:t>-</w:t>
      </w:r>
      <w:r>
        <w:rPr>
          <w:rFonts w:hint="eastAsia" w:ascii="黑体" w:eastAsia="黑体"/>
          <w:b/>
          <w:sz w:val="24"/>
          <w:lang w:val="en-US" w:eastAsia="zh-CN"/>
        </w:rPr>
        <w:t>4</w:t>
      </w:r>
      <w:r>
        <w:rPr>
          <w:rFonts w:hint="eastAsia" w:ascii="黑体" w:eastAsia="黑体"/>
          <w:b/>
          <w:sz w:val="24"/>
        </w:rPr>
        <w:t>危险化学品名称及其临界量</w:t>
      </w:r>
    </w:p>
    <w:tbl>
      <w:tblPr>
        <w:tblStyle w:val="19"/>
        <w:tblW w:w="8711"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526"/>
        <w:gridCol w:w="185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503" w:type="dxa"/>
            <w:noWrap w:val="0"/>
            <w:vAlign w:val="center"/>
          </w:tcPr>
          <w:p>
            <w:pPr>
              <w:pStyle w:val="25"/>
              <w:tabs>
                <w:tab w:val="left" w:pos="0"/>
              </w:tabs>
              <w:spacing w:before="0" w:after="0"/>
              <w:rPr>
                <w:rFonts w:hint="eastAsia" w:hAnsi="宋体"/>
                <w:b/>
                <w:spacing w:val="10"/>
                <w:sz w:val="24"/>
                <w:szCs w:val="24"/>
              </w:rPr>
            </w:pPr>
            <w:r>
              <w:rPr>
                <w:rFonts w:hint="eastAsia" w:hAnsi="宋体"/>
                <w:b/>
                <w:spacing w:val="10"/>
                <w:sz w:val="24"/>
                <w:szCs w:val="24"/>
              </w:rPr>
              <w:t>物质名称</w:t>
            </w:r>
          </w:p>
        </w:tc>
        <w:tc>
          <w:tcPr>
            <w:tcW w:w="3526"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类别</w:t>
            </w:r>
          </w:p>
        </w:tc>
        <w:tc>
          <w:tcPr>
            <w:tcW w:w="1855"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临界量/t</w:t>
            </w:r>
          </w:p>
        </w:tc>
        <w:tc>
          <w:tcPr>
            <w:tcW w:w="1827" w:type="dxa"/>
            <w:noWrap w:val="0"/>
            <w:vAlign w:val="center"/>
          </w:tcPr>
          <w:p>
            <w:pPr>
              <w:tabs>
                <w:tab w:val="left" w:pos="0"/>
              </w:tabs>
              <w:jc w:val="center"/>
              <w:rPr>
                <w:rFonts w:hint="eastAsia" w:ascii="宋体" w:hAnsi="宋体"/>
                <w:b/>
                <w:spacing w:val="10"/>
                <w:sz w:val="24"/>
              </w:rPr>
            </w:pPr>
            <w:r>
              <w:rPr>
                <w:rFonts w:hint="eastAsia" w:ascii="宋体" w:hAnsi="宋体"/>
                <w:b/>
                <w:spacing w:val="10"/>
                <w:sz w:val="24"/>
              </w:rPr>
              <w:t>实际量/t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503"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柴油</w:t>
            </w:r>
          </w:p>
        </w:tc>
        <w:tc>
          <w:tcPr>
            <w:tcW w:w="3526"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易燃液体（23℃&lt;闪点&lt;61℃）</w:t>
            </w:r>
          </w:p>
        </w:tc>
        <w:tc>
          <w:tcPr>
            <w:tcW w:w="1855"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5000</w:t>
            </w:r>
          </w:p>
        </w:tc>
        <w:tc>
          <w:tcPr>
            <w:tcW w:w="1827" w:type="dxa"/>
            <w:noWrap w:val="0"/>
            <w:vAlign w:val="center"/>
          </w:tcPr>
          <w:p>
            <w:pPr>
              <w:tabs>
                <w:tab w:val="left" w:pos="0"/>
              </w:tabs>
              <w:spacing w:before="100" w:beforeAutospacing="1" w:after="100" w:afterAutospacing="1"/>
              <w:jc w:val="center"/>
              <w:rPr>
                <w:rFonts w:hint="eastAsia" w:ascii="宋体" w:hAnsi="宋体"/>
                <w:spacing w:val="10"/>
                <w:sz w:val="24"/>
              </w:rPr>
            </w:pPr>
            <w:r>
              <w:rPr>
                <w:rFonts w:hint="eastAsia" w:ascii="宋体" w:hAnsi="宋体"/>
                <w:spacing w:val="10"/>
                <w:sz w:val="24"/>
              </w:rPr>
              <w:t>0.17</w:t>
            </w:r>
          </w:p>
        </w:tc>
      </w:tr>
    </w:tbl>
    <w:p>
      <w:pPr>
        <w:ind w:firstLine="420" w:firstLineChars="200"/>
        <w:rPr>
          <w:rFonts w:hint="eastAsia"/>
          <w:szCs w:val="28"/>
        </w:rPr>
      </w:pPr>
    </w:p>
    <w:p>
      <w:pPr>
        <w:spacing w:line="360" w:lineRule="auto"/>
        <w:ind w:firstLine="560" w:firstLineChars="200"/>
        <w:rPr>
          <w:rFonts w:hint="eastAsia" w:ascii="宋体" w:hAnsi="宋体"/>
          <w:kern w:val="0"/>
          <w:sz w:val="28"/>
          <w:szCs w:val="28"/>
        </w:rPr>
      </w:pPr>
      <w:r>
        <w:rPr>
          <w:rFonts w:hint="eastAsia" w:ascii="宋体" w:hAnsi="宋体"/>
          <w:sz w:val="28"/>
          <w:szCs w:val="28"/>
          <w:lang w:eastAsia="zh-CN"/>
        </w:rPr>
        <w:t>公司</w:t>
      </w:r>
      <w:r>
        <w:rPr>
          <w:rFonts w:hint="eastAsia" w:ascii="宋体" w:hAnsi="宋体"/>
          <w:sz w:val="28"/>
          <w:szCs w:val="28"/>
        </w:rPr>
        <w:t>有柴油储量1桶（200升），柴油密度0.85t/m</w:t>
      </w:r>
      <w:r>
        <w:rPr>
          <w:rFonts w:hint="eastAsia" w:ascii="宋体" w:hAnsi="宋体"/>
          <w:sz w:val="28"/>
          <w:szCs w:val="28"/>
          <w:vertAlign w:val="superscript"/>
        </w:rPr>
        <w:t>3</w:t>
      </w:r>
      <w:r>
        <w:rPr>
          <w:rFonts w:hint="eastAsia" w:ascii="宋体" w:hAnsi="宋体"/>
          <w:sz w:val="28"/>
          <w:szCs w:val="28"/>
        </w:rPr>
        <w:t>，合计0.17t。</w:t>
      </w:r>
    </w:p>
    <w:p>
      <w:pPr>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则：0.17/5000=0.000034＜1</w:t>
      </w:r>
    </w:p>
    <w:bookmarkEnd w:id="42"/>
    <w:p>
      <w:pPr>
        <w:spacing w:line="360" w:lineRule="auto"/>
        <w:ind w:firstLine="560" w:firstLineChars="200"/>
        <w:rPr>
          <w:rFonts w:hint="eastAsia" w:ascii="宋体" w:hAnsi="宋体"/>
          <w:sz w:val="28"/>
          <w:szCs w:val="28"/>
          <w:lang w:eastAsia="zh-CN"/>
        </w:rPr>
      </w:pPr>
      <w:bookmarkStart w:id="221" w:name="_Toc21054"/>
      <w:bookmarkStart w:id="222" w:name="_Toc10261"/>
      <w:r>
        <w:rPr>
          <w:rFonts w:hint="eastAsia" w:ascii="宋体" w:hAnsi="宋体"/>
          <w:sz w:val="28"/>
          <w:szCs w:val="28"/>
          <w:lang w:eastAsia="zh-CN"/>
        </w:rPr>
        <w:t>综上所述，根据《危险化学品重大危险源辨识》(GB18218-20</w:t>
      </w:r>
      <w:r>
        <w:rPr>
          <w:rFonts w:hint="eastAsia" w:ascii="宋体" w:hAnsi="宋体"/>
          <w:sz w:val="28"/>
          <w:szCs w:val="28"/>
          <w:lang w:val="en-US" w:eastAsia="zh-CN"/>
        </w:rPr>
        <w:t>18</w:t>
      </w:r>
      <w:r>
        <w:rPr>
          <w:rFonts w:hint="eastAsia" w:ascii="宋体" w:hAnsi="宋体"/>
          <w:sz w:val="28"/>
          <w:szCs w:val="28"/>
          <w:lang w:eastAsia="zh-CN"/>
        </w:rPr>
        <w:t>)，本公司危险化学品的使用和储存均不构成危险化学品重大危险源。即， 仪陇县光华旺隆页岩砖厂不构成危险化学品重大危险源。</w:t>
      </w:r>
    </w:p>
    <w:p>
      <w:pPr>
        <w:pStyle w:val="8"/>
        <w:spacing w:line="360" w:lineRule="auto"/>
        <w:ind w:firstLine="0" w:firstLineChars="0"/>
        <w:outlineLvl w:val="1"/>
        <w:rPr>
          <w:rFonts w:hint="eastAsia" w:ascii="黑体" w:eastAsia="黑体"/>
          <w:b/>
          <w:snapToGrid w:val="0"/>
          <w:kern w:val="0"/>
          <w:sz w:val="32"/>
          <w:szCs w:val="32"/>
          <w:lang w:val="en-US" w:eastAsia="zh-CN"/>
        </w:rPr>
      </w:pPr>
      <w:bookmarkStart w:id="223" w:name="_Toc14023"/>
      <w:r>
        <w:rPr>
          <w:rFonts w:hint="eastAsia" w:ascii="黑体" w:eastAsia="黑体"/>
          <w:b/>
          <w:snapToGrid w:val="0"/>
          <w:kern w:val="0"/>
          <w:sz w:val="32"/>
          <w:szCs w:val="32"/>
          <w:lang w:val="en-US" w:eastAsia="zh-CN"/>
        </w:rPr>
        <w:t>3.8小结</w:t>
      </w:r>
      <w:bookmarkEnd w:id="221"/>
      <w:bookmarkEnd w:id="222"/>
      <w:bookmarkEnd w:id="223"/>
    </w:p>
    <w:p>
      <w:pPr>
        <w:spacing w:line="360" w:lineRule="auto"/>
        <w:jc w:val="center"/>
        <w:rPr>
          <w:rFonts w:hint="eastAsia" w:ascii="黑体" w:eastAsia="黑体"/>
          <w:b/>
          <w:sz w:val="24"/>
        </w:rPr>
      </w:pPr>
      <w:r>
        <w:rPr>
          <w:rFonts w:hint="eastAsia" w:ascii="黑体" w:eastAsia="黑体"/>
          <w:b/>
          <w:sz w:val="24"/>
        </w:rPr>
        <w:t>表</w:t>
      </w:r>
      <w:r>
        <w:rPr>
          <w:rFonts w:hint="eastAsia" w:ascii="黑体" w:eastAsia="黑体"/>
          <w:b/>
          <w:sz w:val="24"/>
          <w:lang w:val="en-US" w:eastAsia="zh-CN"/>
        </w:rPr>
        <w:t>3</w:t>
      </w:r>
      <w:r>
        <w:rPr>
          <w:rFonts w:ascii="黑体" w:eastAsia="黑体"/>
          <w:b/>
          <w:sz w:val="24"/>
        </w:rPr>
        <w:t>-</w:t>
      </w:r>
      <w:r>
        <w:rPr>
          <w:rFonts w:hint="eastAsia" w:ascii="黑体" w:eastAsia="黑体"/>
          <w:b/>
          <w:sz w:val="24"/>
          <w:lang w:val="en-US" w:eastAsia="zh-CN"/>
        </w:rPr>
        <w:t>5</w:t>
      </w:r>
      <w:r>
        <w:rPr>
          <w:rFonts w:ascii="黑体" w:eastAsia="黑体"/>
          <w:b/>
          <w:sz w:val="24"/>
        </w:rPr>
        <w:t xml:space="preserve">  </w:t>
      </w:r>
      <w:r>
        <w:rPr>
          <w:rFonts w:hint="eastAsia" w:ascii="黑体" w:eastAsia="黑体"/>
          <w:b/>
          <w:sz w:val="24"/>
        </w:rPr>
        <w:t>危险、有害因素汇总表</w:t>
      </w:r>
    </w:p>
    <w:tbl>
      <w:tblPr>
        <w:tblStyle w:val="19"/>
        <w:tblpPr w:leftFromText="180" w:rightFromText="180" w:vertAnchor="text" w:horzAnchor="page" w:tblpX="1249" w:tblpY="447"/>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94"/>
        <w:gridCol w:w="2148"/>
        <w:gridCol w:w="5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bookmarkStart w:id="224" w:name="_Toc29398"/>
            <w:bookmarkStart w:id="225" w:name="_Toc10334"/>
            <w:r>
              <w:rPr>
                <w:rFonts w:hint="eastAsia" w:ascii="宋体" w:hAnsi="宋体" w:cs="宋体"/>
                <w:color w:val="auto"/>
                <w:sz w:val="24"/>
              </w:rPr>
              <w:t>序号</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活动/工序/地点</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项 目</w:t>
            </w:r>
          </w:p>
        </w:tc>
        <w:tc>
          <w:tcPr>
            <w:tcW w:w="5246"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主要危险、危害简要分析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进入工作场所人员</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进场安全教育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为严格按规定内容教育，造成多种伤害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2</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特殊工种及特种作业人员培训</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作业人员培训效果不好，造成多种伤害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现场作业人员教育</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安全意识不强，发生高处坠落和物体打击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4</w:t>
            </w:r>
          </w:p>
        </w:tc>
        <w:tc>
          <w:tcPr>
            <w:tcW w:w="1594"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 xml:space="preserve"> 原材料、辅料储存和运输</w:t>
            </w:r>
          </w:p>
        </w:tc>
        <w:tc>
          <w:tcPr>
            <w:tcW w:w="2148"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页岩矿、煤、砖</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在装卸、</w:t>
            </w:r>
            <w:r>
              <w:rPr>
                <w:rFonts w:hint="eastAsia" w:ascii="宋体" w:hAnsi="宋体" w:cs="宋体"/>
                <w:color w:val="auto"/>
                <w:sz w:val="24"/>
                <w:lang w:eastAsia="zh-CN"/>
              </w:rPr>
              <w:t>破碎</w:t>
            </w:r>
            <w:r>
              <w:rPr>
                <w:rFonts w:hint="eastAsia" w:ascii="宋体" w:hAnsi="宋体" w:cs="宋体"/>
                <w:color w:val="auto"/>
                <w:sz w:val="24"/>
              </w:rPr>
              <w:t>、</w:t>
            </w:r>
            <w:r>
              <w:rPr>
                <w:rFonts w:hint="eastAsia" w:ascii="宋体" w:hAnsi="宋体" w:cs="宋体"/>
                <w:color w:val="auto"/>
                <w:sz w:val="24"/>
                <w:lang w:eastAsia="zh-CN"/>
              </w:rPr>
              <w:t>制砖、上煤、</w:t>
            </w:r>
            <w:r>
              <w:rPr>
                <w:rFonts w:hint="eastAsia" w:ascii="宋体" w:hAnsi="宋体" w:cs="宋体"/>
                <w:color w:val="auto"/>
                <w:sz w:val="24"/>
              </w:rPr>
              <w:t>搅拌过程中主要存在粉尘危害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5</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w:t>
            </w:r>
          </w:p>
          <w:p>
            <w:pPr>
              <w:spacing w:line="240" w:lineRule="auto"/>
              <w:jc w:val="center"/>
              <w:rPr>
                <w:rFonts w:hint="eastAsia" w:ascii="宋体" w:hAnsi="宋体" w:cs="宋体"/>
                <w:color w:val="auto"/>
                <w:sz w:val="24"/>
              </w:rPr>
            </w:pPr>
            <w:r>
              <w:rPr>
                <w:rFonts w:hint="eastAsia" w:ascii="宋体" w:hAnsi="宋体" w:cs="宋体"/>
                <w:color w:val="auto"/>
                <w:sz w:val="24"/>
              </w:rPr>
              <w:t>过程</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凿岩作业</w:t>
            </w:r>
            <w:r>
              <w:rPr>
                <w:rFonts w:hint="eastAsia" w:ascii="宋体" w:hAnsi="宋体" w:cs="宋体"/>
                <w:color w:val="auto"/>
                <w:sz w:val="24"/>
                <w:lang w:eastAsia="zh-CN"/>
              </w:rPr>
              <w:t>和</w:t>
            </w:r>
            <w:r>
              <w:rPr>
                <w:rFonts w:hint="eastAsia" w:ascii="宋体" w:hAnsi="宋体" w:cs="宋体"/>
                <w:color w:val="auto"/>
                <w:sz w:val="24"/>
              </w:rPr>
              <w:t>砖窑</w:t>
            </w:r>
            <w:r>
              <w:rPr>
                <w:rFonts w:hint="eastAsia" w:ascii="宋体" w:hAnsi="宋体" w:cs="宋体"/>
                <w:color w:val="auto"/>
                <w:sz w:val="24"/>
                <w:lang w:eastAsia="zh-CN"/>
              </w:rPr>
              <w:t>等</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造成物体打击及高处坠落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破碎区上料口、上砖</w:t>
            </w:r>
            <w:r>
              <w:rPr>
                <w:rFonts w:hint="eastAsia" w:ascii="宋体" w:hAnsi="宋体" w:cs="宋体"/>
                <w:color w:val="auto"/>
                <w:sz w:val="24"/>
              </w:rPr>
              <w:t>作业场所</w:t>
            </w:r>
            <w:r>
              <w:rPr>
                <w:rFonts w:hint="eastAsia" w:ascii="宋体" w:hAnsi="宋体" w:cs="宋体"/>
                <w:color w:val="auto"/>
                <w:sz w:val="24"/>
                <w:lang w:eastAsia="zh-CN"/>
              </w:rPr>
              <w:t>和</w:t>
            </w:r>
            <w:r>
              <w:rPr>
                <w:rFonts w:hint="eastAsia" w:ascii="宋体" w:hAnsi="宋体" w:cs="宋体"/>
                <w:color w:val="auto"/>
                <w:sz w:val="24"/>
              </w:rPr>
              <w:t>运输途中</w:t>
            </w:r>
          </w:p>
        </w:tc>
        <w:tc>
          <w:tcPr>
            <w:tcW w:w="5246" w:type="dxa"/>
            <w:noWrap w:val="0"/>
            <w:vAlign w:val="center"/>
          </w:tcPr>
          <w:p>
            <w:pPr>
              <w:spacing w:line="240" w:lineRule="auto"/>
              <w:jc w:val="left"/>
              <w:rPr>
                <w:rFonts w:hint="eastAsia" w:ascii="宋体" w:hAnsi="宋体" w:eastAsia="宋体" w:cs="宋体"/>
                <w:color w:val="auto"/>
                <w:sz w:val="24"/>
                <w:lang w:val="en-US" w:eastAsia="zh-CN"/>
              </w:rPr>
            </w:pPr>
            <w:r>
              <w:rPr>
                <w:rFonts w:hint="eastAsia" w:ascii="宋体" w:hAnsi="宋体" w:cs="宋体"/>
                <w:color w:val="auto"/>
                <w:sz w:val="24"/>
              </w:rPr>
              <w:t>造成</w:t>
            </w:r>
            <w:r>
              <w:rPr>
                <w:rFonts w:hint="eastAsia" w:ascii="宋体" w:hAnsi="宋体" w:cs="宋体"/>
                <w:color w:val="auto"/>
                <w:sz w:val="24"/>
                <w:lang w:eastAsia="zh-CN"/>
              </w:rPr>
              <w:t>车辆伤害、机械伤害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6</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堆土场坍塌和成品区坍塌</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造成坍塌事故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40" w:type="dxa"/>
            <w:noWrap w:val="0"/>
            <w:vAlign w:val="center"/>
          </w:tcPr>
          <w:p>
            <w:pPr>
              <w:spacing w:line="240" w:lineRule="auto"/>
              <w:jc w:val="center"/>
              <w:rPr>
                <w:rFonts w:hint="eastAsia" w:ascii="宋体" w:hAnsi="宋体" w:cs="宋体"/>
                <w:color w:val="auto"/>
                <w:sz w:val="24"/>
              </w:rPr>
            </w:pP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lang w:eastAsia="zh-CN"/>
              </w:rPr>
            </w:pPr>
            <w:r>
              <w:rPr>
                <w:rFonts w:hint="eastAsia" w:ascii="宋体" w:hAnsi="宋体" w:cs="宋体"/>
                <w:color w:val="auto"/>
                <w:sz w:val="24"/>
                <w:lang w:eastAsia="zh-CN"/>
              </w:rPr>
              <w:t>烧窑过程中</w:t>
            </w:r>
          </w:p>
        </w:tc>
        <w:tc>
          <w:tcPr>
            <w:tcW w:w="5246" w:type="dxa"/>
            <w:noWrap w:val="0"/>
            <w:vAlign w:val="center"/>
          </w:tcPr>
          <w:p>
            <w:pPr>
              <w:spacing w:line="240" w:lineRule="auto"/>
              <w:jc w:val="left"/>
              <w:rPr>
                <w:rFonts w:hint="eastAsia" w:ascii="宋体" w:hAnsi="宋体" w:cs="宋体"/>
                <w:color w:val="auto"/>
                <w:sz w:val="24"/>
                <w:lang w:eastAsia="zh-CN"/>
              </w:rPr>
            </w:pPr>
            <w:r>
              <w:rPr>
                <w:rFonts w:hint="eastAsia" w:ascii="宋体" w:hAnsi="宋体" w:cs="宋体"/>
                <w:color w:val="auto"/>
                <w:sz w:val="24"/>
                <w:lang w:eastAsia="zh-CN"/>
              </w:rPr>
              <w:t>造成中毒窒息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40" w:type="dxa"/>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7</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生产管理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指挥错误造成多种伤害。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8</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电工作业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违章操作用电造成触电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9</w:t>
            </w:r>
          </w:p>
        </w:tc>
        <w:tc>
          <w:tcPr>
            <w:tcW w:w="1594" w:type="dxa"/>
            <w:vMerge w:val="restart"/>
            <w:noWrap w:val="0"/>
            <w:vAlign w:val="center"/>
          </w:tcPr>
          <w:p>
            <w:pPr>
              <w:spacing w:line="240" w:lineRule="auto"/>
              <w:jc w:val="center"/>
              <w:rPr>
                <w:rFonts w:hint="eastAsia" w:ascii="宋体" w:hAnsi="宋体" w:cs="宋体"/>
                <w:color w:val="auto"/>
                <w:sz w:val="24"/>
              </w:rPr>
            </w:pPr>
          </w:p>
          <w:p>
            <w:pPr>
              <w:spacing w:line="240" w:lineRule="auto"/>
              <w:jc w:val="center"/>
              <w:rPr>
                <w:rFonts w:hint="eastAsia" w:ascii="宋体" w:hAnsi="宋体" w:cs="宋体"/>
                <w:color w:val="auto"/>
                <w:sz w:val="24"/>
              </w:rPr>
            </w:pPr>
            <w:r>
              <w:rPr>
                <w:rFonts w:hint="eastAsia" w:ascii="宋体" w:hAnsi="宋体" w:cs="宋体"/>
                <w:color w:val="auto"/>
                <w:sz w:val="24"/>
              </w:rPr>
              <w:t>设备运行、维护和保养</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机动车辆驾驶(包括装载机)</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作业环境不良，违章驾驶造成机械伤害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val="en-US" w:eastAsia="zh-CN"/>
              </w:rPr>
              <w:t>10</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焊接(切割)作业</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紫外线、电危害粉尘等金属烟尘，造成中毒、尘肺、触电烧烫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lang w:eastAsia="zh-CN"/>
              </w:rPr>
              <w:t>制砖</w:t>
            </w:r>
            <w:r>
              <w:rPr>
                <w:rFonts w:hint="eastAsia" w:ascii="宋体" w:hAnsi="宋体" w:cs="宋体"/>
                <w:color w:val="auto"/>
                <w:sz w:val="24"/>
              </w:rPr>
              <w:t>设备</w:t>
            </w:r>
            <w:r>
              <w:rPr>
                <w:rFonts w:hint="eastAsia" w:ascii="宋体" w:hAnsi="宋体" w:cs="宋体"/>
                <w:color w:val="auto"/>
                <w:sz w:val="24"/>
                <w:lang w:eastAsia="zh-CN"/>
              </w:rPr>
              <w:t>、破碎设备</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结构庞大、设备复杂，结构暴露部位多，且作业时需多人配合，极易发生</w:t>
            </w:r>
            <w:r>
              <w:rPr>
                <w:rFonts w:hint="eastAsia" w:ascii="宋体" w:hAnsi="宋体" w:cs="宋体"/>
                <w:color w:val="auto"/>
                <w:sz w:val="24"/>
                <w:lang w:eastAsia="zh-CN"/>
              </w:rPr>
              <w:t>机械伤害</w:t>
            </w:r>
            <w:r>
              <w:rPr>
                <w:rFonts w:hint="eastAsia" w:ascii="宋体" w:hAnsi="宋体" w:cs="宋体"/>
                <w:color w:val="auto"/>
                <w:sz w:val="24"/>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p>
        </w:tc>
        <w:tc>
          <w:tcPr>
            <w:tcW w:w="1594" w:type="dxa"/>
            <w:vMerge w:val="restart"/>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其它辅助活动</w:t>
            </w: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档案、资料管理</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明火、照明线路不良等造成火灾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  公</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地面、楼梯存水及障碍物其他伤害摔伤、撞伤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p>
        </w:tc>
        <w:tc>
          <w:tcPr>
            <w:tcW w:w="1594" w:type="dxa"/>
            <w:vMerge w:val="continue"/>
            <w:noWrap w:val="0"/>
            <w:vAlign w:val="center"/>
          </w:tcPr>
          <w:p>
            <w:pPr>
              <w:spacing w:line="240" w:lineRule="auto"/>
              <w:jc w:val="center"/>
              <w:rPr>
                <w:rFonts w:hint="eastAsia" w:ascii="宋体" w:hAnsi="宋体" w:cs="宋体"/>
                <w:color w:val="auto"/>
                <w:sz w:val="24"/>
              </w:rPr>
            </w:pPr>
          </w:p>
        </w:tc>
        <w:tc>
          <w:tcPr>
            <w:tcW w:w="2148" w:type="dxa"/>
            <w:noWrap w:val="0"/>
            <w:vAlign w:val="center"/>
          </w:tcPr>
          <w:p>
            <w:pPr>
              <w:spacing w:line="240" w:lineRule="auto"/>
              <w:jc w:val="center"/>
              <w:rPr>
                <w:rFonts w:hint="eastAsia" w:ascii="宋体" w:hAnsi="宋体" w:cs="宋体"/>
                <w:color w:val="auto"/>
                <w:sz w:val="24"/>
              </w:rPr>
            </w:pPr>
            <w:r>
              <w:rPr>
                <w:rFonts w:hint="eastAsia" w:ascii="宋体" w:hAnsi="宋体" w:cs="宋体"/>
                <w:color w:val="auto"/>
                <w:sz w:val="24"/>
              </w:rPr>
              <w:t>办公照明用电</w:t>
            </w:r>
          </w:p>
        </w:tc>
        <w:tc>
          <w:tcPr>
            <w:tcW w:w="5246" w:type="dxa"/>
            <w:noWrap w:val="0"/>
            <w:vAlign w:val="center"/>
          </w:tcPr>
          <w:p>
            <w:pPr>
              <w:spacing w:line="240" w:lineRule="auto"/>
              <w:jc w:val="left"/>
              <w:rPr>
                <w:rFonts w:hint="eastAsia" w:ascii="宋体" w:hAnsi="宋体" w:cs="宋体"/>
                <w:color w:val="auto"/>
                <w:sz w:val="24"/>
              </w:rPr>
            </w:pPr>
            <w:r>
              <w:rPr>
                <w:rFonts w:hint="eastAsia" w:ascii="宋体" w:hAnsi="宋体" w:cs="宋体"/>
                <w:color w:val="auto"/>
                <w:sz w:val="24"/>
              </w:rPr>
              <w:t>违章操作触电</w:t>
            </w:r>
          </w:p>
        </w:tc>
      </w:tr>
    </w:tbl>
    <w:p>
      <w:pPr>
        <w:rPr>
          <w:rFonts w:hint="eastAsia" w:ascii="黑体" w:hAnsi="宋体" w:eastAsia="黑体"/>
          <w:b/>
          <w:sz w:val="32"/>
          <w:szCs w:val="32"/>
          <w:lang w:val="en-US" w:eastAsia="zh-CN"/>
        </w:rPr>
      </w:pPr>
      <w:r>
        <w:rPr>
          <w:rFonts w:hint="eastAsia" w:ascii="黑体" w:hAnsi="宋体" w:eastAsia="黑体"/>
          <w:b/>
          <w:sz w:val="32"/>
          <w:szCs w:val="32"/>
          <w:lang w:val="en-US" w:eastAsia="zh-CN"/>
        </w:rPr>
        <w:br w:type="page"/>
      </w:r>
    </w:p>
    <w:p>
      <w:pPr>
        <w:numPr>
          <w:ilvl w:val="0"/>
          <w:numId w:val="0"/>
        </w:numPr>
        <w:spacing w:line="360" w:lineRule="auto"/>
        <w:jc w:val="center"/>
        <w:outlineLvl w:val="0"/>
        <w:rPr>
          <w:rFonts w:hint="eastAsia" w:ascii="黑体" w:hAnsi="宋体" w:eastAsia="黑体"/>
          <w:b/>
          <w:sz w:val="32"/>
          <w:szCs w:val="32"/>
        </w:rPr>
      </w:pPr>
      <w:bookmarkStart w:id="226" w:name="_Toc1601"/>
      <w:r>
        <w:rPr>
          <w:rFonts w:hint="eastAsia" w:ascii="黑体" w:hAnsi="宋体" w:eastAsia="黑体"/>
          <w:b/>
          <w:sz w:val="32"/>
          <w:szCs w:val="32"/>
          <w:lang w:val="en-US" w:eastAsia="zh-CN"/>
        </w:rPr>
        <w:t>4</w:t>
      </w:r>
      <w:r>
        <w:rPr>
          <w:rFonts w:hint="eastAsia" w:ascii="黑体" w:hAnsi="宋体" w:eastAsia="黑体"/>
          <w:b/>
          <w:sz w:val="32"/>
          <w:szCs w:val="32"/>
        </w:rPr>
        <w:t>评估结论与建议</w:t>
      </w:r>
      <w:bookmarkEnd w:id="224"/>
      <w:bookmarkEnd w:id="226"/>
    </w:p>
    <w:p>
      <w:pPr>
        <w:pStyle w:val="5"/>
        <w:autoSpaceDN w:val="0"/>
        <w:spacing w:before="0" w:after="0" w:line="360" w:lineRule="auto"/>
        <w:jc w:val="left"/>
        <w:rPr>
          <w:rFonts w:hint="eastAsia" w:ascii="黑体" w:hAnsi="黑体"/>
          <w:sz w:val="28"/>
          <w:szCs w:val="28"/>
          <w:lang w:val="en-US" w:eastAsia="zh-CN"/>
        </w:rPr>
      </w:pPr>
      <w:bookmarkStart w:id="227" w:name="_Toc24277"/>
      <w:r>
        <w:rPr>
          <w:rFonts w:hint="eastAsia" w:ascii="黑体" w:hAnsi="黑体"/>
          <w:sz w:val="28"/>
          <w:szCs w:val="28"/>
          <w:lang w:val="en-US" w:eastAsia="zh-CN"/>
        </w:rPr>
        <w:t>4.1总体评价结论</w:t>
      </w:r>
      <w:bookmarkEnd w:id="225"/>
      <w:bookmarkEnd w:id="227"/>
    </w:p>
    <w:p>
      <w:pPr>
        <w:spacing w:line="360" w:lineRule="auto"/>
        <w:ind w:firstLine="560" w:firstLineChars="200"/>
        <w:rPr>
          <w:rFonts w:hint="eastAsia" w:ascii="宋体" w:hAnsi="宋体" w:cs="宋体"/>
          <w:color w:val="auto"/>
          <w:sz w:val="28"/>
          <w:szCs w:val="28"/>
          <w:lang w:eastAsia="zh-CN"/>
        </w:rPr>
      </w:pPr>
      <w:r>
        <w:rPr>
          <w:rFonts w:hint="eastAsia" w:ascii="宋体" w:hAnsi="宋体" w:cs="宋体"/>
          <w:color w:val="auto"/>
          <w:sz w:val="28"/>
          <w:szCs w:val="28"/>
          <w:lang w:eastAsia="zh-CN"/>
        </w:rPr>
        <w:t>通过对 仪陇县光华旺隆页岩砖厂周边环境、总平面布置及建构筑物、生产设施与设备安全、生产工艺控制、危险化学品储存使用、公辅工程、安全管理等方面的综合评价，本公司各类危险源均处在动态监控中，在日常生产过程中发现隐患问题，能够及时得到整改，加强员工教育，杜绝“三违”现象，就能够做到事故可防可控。本公司《生产安全事故应急救援预案》内容具有可操作性，对事故应急总的处置方案和具体岗位的应急操作流程进行了详细规定，通过对应急救援机构、应急救援队伍、应急救援装备、应急救援物质储备、应急救援医疗保障的调查，与实际情况相符。</w:t>
      </w:r>
    </w:p>
    <w:p>
      <w:pPr>
        <w:pStyle w:val="5"/>
        <w:autoSpaceDN w:val="0"/>
        <w:spacing w:before="0" w:after="0" w:line="360" w:lineRule="auto"/>
        <w:jc w:val="left"/>
        <w:rPr>
          <w:rFonts w:hint="eastAsia" w:ascii="黑体" w:hAnsi="黑体"/>
          <w:sz w:val="28"/>
          <w:szCs w:val="28"/>
        </w:rPr>
      </w:pPr>
      <w:bookmarkStart w:id="228" w:name="_Toc5799"/>
      <w:bookmarkStart w:id="229" w:name="_Toc22214"/>
      <w:bookmarkStart w:id="230" w:name="_Toc24831"/>
      <w:r>
        <w:rPr>
          <w:rFonts w:hint="eastAsia" w:ascii="黑体" w:hAnsi="黑体"/>
          <w:sz w:val="28"/>
          <w:szCs w:val="28"/>
          <w:lang w:val="en-US" w:eastAsia="zh-CN"/>
        </w:rPr>
        <w:t>4</w:t>
      </w:r>
      <w:r>
        <w:rPr>
          <w:rFonts w:hint="eastAsia" w:ascii="黑体" w:hAnsi="黑体"/>
          <w:sz w:val="28"/>
          <w:szCs w:val="28"/>
        </w:rPr>
        <w:t>.</w:t>
      </w:r>
      <w:r>
        <w:rPr>
          <w:rFonts w:hint="eastAsia" w:ascii="黑体" w:hAnsi="黑体"/>
          <w:sz w:val="28"/>
          <w:szCs w:val="28"/>
          <w:lang w:val="en-US" w:eastAsia="zh-CN"/>
        </w:rPr>
        <w:t>2</w:t>
      </w:r>
      <w:r>
        <w:rPr>
          <w:rFonts w:hint="eastAsia" w:ascii="黑体" w:hAnsi="黑体"/>
          <w:sz w:val="28"/>
          <w:szCs w:val="28"/>
        </w:rPr>
        <w:t>建议</w:t>
      </w:r>
      <w:bookmarkEnd w:id="228"/>
      <w:bookmarkEnd w:id="229"/>
      <w:bookmarkEnd w:id="230"/>
    </w:p>
    <w:p>
      <w:pPr>
        <w:spacing w:line="360" w:lineRule="auto"/>
        <w:ind w:firstLine="560" w:firstLineChars="200"/>
        <w:rPr>
          <w:sz w:val="28"/>
          <w:szCs w:val="28"/>
        </w:rPr>
      </w:pPr>
      <w:r>
        <w:rPr>
          <w:sz w:val="28"/>
          <w:szCs w:val="28"/>
        </w:rPr>
        <w:t>（1）应加强对现有安全措施及消防装置的维护检查，确保安全设施及消防措施的可靠性，在发生险情时能有效地发挥其作用。对损坏、失效的消防设备设施要作到及时修复和更换。</w:t>
      </w:r>
    </w:p>
    <w:p>
      <w:pPr>
        <w:spacing w:line="360" w:lineRule="auto"/>
        <w:ind w:firstLine="560" w:firstLineChars="200"/>
        <w:rPr>
          <w:sz w:val="28"/>
          <w:szCs w:val="28"/>
        </w:rPr>
      </w:pPr>
      <w:r>
        <w:rPr>
          <w:sz w:val="28"/>
          <w:szCs w:val="28"/>
        </w:rPr>
        <w:t>（2）应增加应急救援器材，确保事故发生或作业人员发生人身伤害时，能够及时采取有效救援措施，减轻伤害程度，控制事故的发展。</w:t>
      </w:r>
    </w:p>
    <w:p>
      <w:pPr>
        <w:rPr>
          <w:rFonts w:hint="eastAsia"/>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宋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78"/>
    <w:family w:val="auto"/>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23BC"/>
    <w:rsid w:val="00221924"/>
    <w:rsid w:val="00324365"/>
    <w:rsid w:val="005247D8"/>
    <w:rsid w:val="005D60C3"/>
    <w:rsid w:val="00B44381"/>
    <w:rsid w:val="01B34626"/>
    <w:rsid w:val="01D26CA9"/>
    <w:rsid w:val="02EB4D5F"/>
    <w:rsid w:val="03D37A5F"/>
    <w:rsid w:val="047007AE"/>
    <w:rsid w:val="059A7F41"/>
    <w:rsid w:val="06330342"/>
    <w:rsid w:val="06867417"/>
    <w:rsid w:val="069D7701"/>
    <w:rsid w:val="07024A58"/>
    <w:rsid w:val="0731706A"/>
    <w:rsid w:val="07835CC2"/>
    <w:rsid w:val="07A44FA0"/>
    <w:rsid w:val="07B56C35"/>
    <w:rsid w:val="07E323AA"/>
    <w:rsid w:val="07F26DF4"/>
    <w:rsid w:val="0808585B"/>
    <w:rsid w:val="0814262C"/>
    <w:rsid w:val="08FB3207"/>
    <w:rsid w:val="0A1B12D6"/>
    <w:rsid w:val="0A54055C"/>
    <w:rsid w:val="0A5621CC"/>
    <w:rsid w:val="0AE45EDA"/>
    <w:rsid w:val="0AF829E5"/>
    <w:rsid w:val="0C18342B"/>
    <w:rsid w:val="0CA8623A"/>
    <w:rsid w:val="0D066290"/>
    <w:rsid w:val="0D3B3E73"/>
    <w:rsid w:val="0DB60730"/>
    <w:rsid w:val="0DE0620E"/>
    <w:rsid w:val="0E6D3139"/>
    <w:rsid w:val="0EB95D58"/>
    <w:rsid w:val="0ECB0C27"/>
    <w:rsid w:val="0F25281E"/>
    <w:rsid w:val="0F77136B"/>
    <w:rsid w:val="0F7F16EA"/>
    <w:rsid w:val="0F842DC8"/>
    <w:rsid w:val="0F9227C9"/>
    <w:rsid w:val="0FE50957"/>
    <w:rsid w:val="112E4204"/>
    <w:rsid w:val="11385FCD"/>
    <w:rsid w:val="11C747FB"/>
    <w:rsid w:val="11D61819"/>
    <w:rsid w:val="11F65369"/>
    <w:rsid w:val="12651DAC"/>
    <w:rsid w:val="128342A7"/>
    <w:rsid w:val="12CA5EC1"/>
    <w:rsid w:val="13174795"/>
    <w:rsid w:val="134B441C"/>
    <w:rsid w:val="136C6E71"/>
    <w:rsid w:val="13C77420"/>
    <w:rsid w:val="140B1FB2"/>
    <w:rsid w:val="143B6186"/>
    <w:rsid w:val="14694763"/>
    <w:rsid w:val="14742777"/>
    <w:rsid w:val="149039AD"/>
    <w:rsid w:val="14B414F7"/>
    <w:rsid w:val="15570D21"/>
    <w:rsid w:val="155E39C3"/>
    <w:rsid w:val="158733A6"/>
    <w:rsid w:val="15A14830"/>
    <w:rsid w:val="15E72303"/>
    <w:rsid w:val="165B5ABE"/>
    <w:rsid w:val="16ED61B4"/>
    <w:rsid w:val="170B2C2B"/>
    <w:rsid w:val="172C1FB3"/>
    <w:rsid w:val="173B5FB4"/>
    <w:rsid w:val="17D8718E"/>
    <w:rsid w:val="18A56828"/>
    <w:rsid w:val="18E72215"/>
    <w:rsid w:val="18E80829"/>
    <w:rsid w:val="19837993"/>
    <w:rsid w:val="19D37E9F"/>
    <w:rsid w:val="1A4F49A7"/>
    <w:rsid w:val="1AAC026F"/>
    <w:rsid w:val="1AF723BC"/>
    <w:rsid w:val="1B584D22"/>
    <w:rsid w:val="1B7B5998"/>
    <w:rsid w:val="1BB675E2"/>
    <w:rsid w:val="1BCF066F"/>
    <w:rsid w:val="1BD90D39"/>
    <w:rsid w:val="1BEC385B"/>
    <w:rsid w:val="1C0A5497"/>
    <w:rsid w:val="1D752B45"/>
    <w:rsid w:val="1D85003A"/>
    <w:rsid w:val="1DC712A8"/>
    <w:rsid w:val="1DD34EC9"/>
    <w:rsid w:val="1DEB3E64"/>
    <w:rsid w:val="1E165C3D"/>
    <w:rsid w:val="1E220183"/>
    <w:rsid w:val="1E8E35FC"/>
    <w:rsid w:val="1E9E5DE3"/>
    <w:rsid w:val="1EAB3C9D"/>
    <w:rsid w:val="1F2F4931"/>
    <w:rsid w:val="1F3805F9"/>
    <w:rsid w:val="1F4340AC"/>
    <w:rsid w:val="1F48275D"/>
    <w:rsid w:val="1F647F1F"/>
    <w:rsid w:val="1F7A37C8"/>
    <w:rsid w:val="1F8D03F9"/>
    <w:rsid w:val="1F8E5F41"/>
    <w:rsid w:val="1FB86C9B"/>
    <w:rsid w:val="1FC13459"/>
    <w:rsid w:val="1FE208B9"/>
    <w:rsid w:val="20066A44"/>
    <w:rsid w:val="208858FB"/>
    <w:rsid w:val="20BE35EE"/>
    <w:rsid w:val="217A5AFC"/>
    <w:rsid w:val="21A05E53"/>
    <w:rsid w:val="22627230"/>
    <w:rsid w:val="22C3776E"/>
    <w:rsid w:val="22D832A8"/>
    <w:rsid w:val="22E40C74"/>
    <w:rsid w:val="22E759E4"/>
    <w:rsid w:val="23032879"/>
    <w:rsid w:val="239931F2"/>
    <w:rsid w:val="23D97413"/>
    <w:rsid w:val="240D3547"/>
    <w:rsid w:val="2439225C"/>
    <w:rsid w:val="24450122"/>
    <w:rsid w:val="244C16C4"/>
    <w:rsid w:val="245A3C4E"/>
    <w:rsid w:val="24FB56BC"/>
    <w:rsid w:val="25AF1A07"/>
    <w:rsid w:val="25F57BEE"/>
    <w:rsid w:val="26524A71"/>
    <w:rsid w:val="26A96685"/>
    <w:rsid w:val="26E103D1"/>
    <w:rsid w:val="27614997"/>
    <w:rsid w:val="277D73A1"/>
    <w:rsid w:val="2793442C"/>
    <w:rsid w:val="27C206E8"/>
    <w:rsid w:val="28982FE2"/>
    <w:rsid w:val="28B83BFF"/>
    <w:rsid w:val="290F2046"/>
    <w:rsid w:val="2923409D"/>
    <w:rsid w:val="294C2435"/>
    <w:rsid w:val="298C52F0"/>
    <w:rsid w:val="29925E1A"/>
    <w:rsid w:val="2997713A"/>
    <w:rsid w:val="2A1D0F47"/>
    <w:rsid w:val="2A5B6A09"/>
    <w:rsid w:val="2B040F9D"/>
    <w:rsid w:val="2B34415E"/>
    <w:rsid w:val="2B3C65FF"/>
    <w:rsid w:val="2BDD5569"/>
    <w:rsid w:val="2C0870D6"/>
    <w:rsid w:val="2C5A6C5D"/>
    <w:rsid w:val="2C955142"/>
    <w:rsid w:val="2CB53128"/>
    <w:rsid w:val="2CD176A6"/>
    <w:rsid w:val="2CE03705"/>
    <w:rsid w:val="2CE5756B"/>
    <w:rsid w:val="2D17630C"/>
    <w:rsid w:val="2D2D3B92"/>
    <w:rsid w:val="2D980C0B"/>
    <w:rsid w:val="2DA36ECA"/>
    <w:rsid w:val="2DFA3611"/>
    <w:rsid w:val="2DFE08A6"/>
    <w:rsid w:val="2E313DDB"/>
    <w:rsid w:val="2EB87CC0"/>
    <w:rsid w:val="2EC16023"/>
    <w:rsid w:val="2ED80F4B"/>
    <w:rsid w:val="2F1B7849"/>
    <w:rsid w:val="2F8D64C0"/>
    <w:rsid w:val="2FEE2F80"/>
    <w:rsid w:val="300251B5"/>
    <w:rsid w:val="305C4346"/>
    <w:rsid w:val="310028DA"/>
    <w:rsid w:val="313177DD"/>
    <w:rsid w:val="32240BF8"/>
    <w:rsid w:val="322A0AE4"/>
    <w:rsid w:val="3235563A"/>
    <w:rsid w:val="32683B2D"/>
    <w:rsid w:val="327E3643"/>
    <w:rsid w:val="32AF5AD2"/>
    <w:rsid w:val="32C563AD"/>
    <w:rsid w:val="32FE496E"/>
    <w:rsid w:val="330C362C"/>
    <w:rsid w:val="335A7005"/>
    <w:rsid w:val="33956D13"/>
    <w:rsid w:val="339D79F1"/>
    <w:rsid w:val="33A20370"/>
    <w:rsid w:val="33B37D8A"/>
    <w:rsid w:val="33BB103D"/>
    <w:rsid w:val="34383A5B"/>
    <w:rsid w:val="343E683F"/>
    <w:rsid w:val="34554F53"/>
    <w:rsid w:val="34662EA6"/>
    <w:rsid w:val="347F25F8"/>
    <w:rsid w:val="35532903"/>
    <w:rsid w:val="37095278"/>
    <w:rsid w:val="37260A87"/>
    <w:rsid w:val="376A4991"/>
    <w:rsid w:val="37F5632A"/>
    <w:rsid w:val="388958CC"/>
    <w:rsid w:val="39102AC2"/>
    <w:rsid w:val="393A7B4C"/>
    <w:rsid w:val="397E59D9"/>
    <w:rsid w:val="39A80794"/>
    <w:rsid w:val="39CB2810"/>
    <w:rsid w:val="39EF57AC"/>
    <w:rsid w:val="3A5F15D0"/>
    <w:rsid w:val="3A7A59C2"/>
    <w:rsid w:val="3A8A5198"/>
    <w:rsid w:val="3AB647BD"/>
    <w:rsid w:val="3B3E3E45"/>
    <w:rsid w:val="3CA77EE1"/>
    <w:rsid w:val="3CE4144F"/>
    <w:rsid w:val="3D294EE0"/>
    <w:rsid w:val="3DAE5076"/>
    <w:rsid w:val="3DE73B46"/>
    <w:rsid w:val="3DE83AD0"/>
    <w:rsid w:val="3E9F6159"/>
    <w:rsid w:val="3FBC7E4E"/>
    <w:rsid w:val="3FDC1A36"/>
    <w:rsid w:val="3FDD2101"/>
    <w:rsid w:val="3FEA6A42"/>
    <w:rsid w:val="409F3EEA"/>
    <w:rsid w:val="40A21DB4"/>
    <w:rsid w:val="40B7729C"/>
    <w:rsid w:val="411F7579"/>
    <w:rsid w:val="41355E93"/>
    <w:rsid w:val="41730BF7"/>
    <w:rsid w:val="428B2341"/>
    <w:rsid w:val="433507F9"/>
    <w:rsid w:val="441915F5"/>
    <w:rsid w:val="45622A19"/>
    <w:rsid w:val="45770186"/>
    <w:rsid w:val="459F7826"/>
    <w:rsid w:val="464A1410"/>
    <w:rsid w:val="46F66BD7"/>
    <w:rsid w:val="47341022"/>
    <w:rsid w:val="477E3CE3"/>
    <w:rsid w:val="48184499"/>
    <w:rsid w:val="483B34B0"/>
    <w:rsid w:val="48FD757B"/>
    <w:rsid w:val="491C391B"/>
    <w:rsid w:val="492B09D8"/>
    <w:rsid w:val="498E082D"/>
    <w:rsid w:val="4A3D268D"/>
    <w:rsid w:val="4A720B65"/>
    <w:rsid w:val="4AAF0090"/>
    <w:rsid w:val="4B064935"/>
    <w:rsid w:val="4B090AF7"/>
    <w:rsid w:val="4B220275"/>
    <w:rsid w:val="4B483AD9"/>
    <w:rsid w:val="4B6768D2"/>
    <w:rsid w:val="4BFC05F5"/>
    <w:rsid w:val="4C0F77AD"/>
    <w:rsid w:val="4C6D0410"/>
    <w:rsid w:val="4C8611D9"/>
    <w:rsid w:val="4D02687F"/>
    <w:rsid w:val="4D453DC9"/>
    <w:rsid w:val="4D8D0BEB"/>
    <w:rsid w:val="4DB8268A"/>
    <w:rsid w:val="4DF07C13"/>
    <w:rsid w:val="4E426085"/>
    <w:rsid w:val="4E8B327B"/>
    <w:rsid w:val="4ED74A31"/>
    <w:rsid w:val="4EFD13C2"/>
    <w:rsid w:val="4EFE4FA4"/>
    <w:rsid w:val="4F886CE6"/>
    <w:rsid w:val="50993D59"/>
    <w:rsid w:val="50BA6FB2"/>
    <w:rsid w:val="515512D0"/>
    <w:rsid w:val="516E3E1E"/>
    <w:rsid w:val="51770C66"/>
    <w:rsid w:val="51C92B72"/>
    <w:rsid w:val="51F47B43"/>
    <w:rsid w:val="525C2381"/>
    <w:rsid w:val="52622A40"/>
    <w:rsid w:val="52755F2A"/>
    <w:rsid w:val="527A20EE"/>
    <w:rsid w:val="532B27D1"/>
    <w:rsid w:val="53A07D90"/>
    <w:rsid w:val="53C43072"/>
    <w:rsid w:val="53EA2B27"/>
    <w:rsid w:val="540B4142"/>
    <w:rsid w:val="5455526C"/>
    <w:rsid w:val="54D21C50"/>
    <w:rsid w:val="55FD3636"/>
    <w:rsid w:val="564C147E"/>
    <w:rsid w:val="56775B43"/>
    <w:rsid w:val="5681710C"/>
    <w:rsid w:val="571950BC"/>
    <w:rsid w:val="57D309C6"/>
    <w:rsid w:val="58B72C33"/>
    <w:rsid w:val="590B70B3"/>
    <w:rsid w:val="592F0C5C"/>
    <w:rsid w:val="59336AE3"/>
    <w:rsid w:val="59A421BC"/>
    <w:rsid w:val="59E15F92"/>
    <w:rsid w:val="59ED3977"/>
    <w:rsid w:val="5A0C0B47"/>
    <w:rsid w:val="5AE86358"/>
    <w:rsid w:val="5B8C578C"/>
    <w:rsid w:val="5B942AB1"/>
    <w:rsid w:val="5BA27CFF"/>
    <w:rsid w:val="5BE34BD9"/>
    <w:rsid w:val="5BEC5827"/>
    <w:rsid w:val="5C2E219B"/>
    <w:rsid w:val="5C6F0596"/>
    <w:rsid w:val="5CB37775"/>
    <w:rsid w:val="5DDA2367"/>
    <w:rsid w:val="5E373F89"/>
    <w:rsid w:val="5E5068C1"/>
    <w:rsid w:val="5E9B5A1F"/>
    <w:rsid w:val="5EFD55DF"/>
    <w:rsid w:val="5F053AC2"/>
    <w:rsid w:val="5F0B5C76"/>
    <w:rsid w:val="5F16731B"/>
    <w:rsid w:val="5F1C71B2"/>
    <w:rsid w:val="5F1D225B"/>
    <w:rsid w:val="5F21657F"/>
    <w:rsid w:val="5F4A1C91"/>
    <w:rsid w:val="5FCA3D8D"/>
    <w:rsid w:val="60377224"/>
    <w:rsid w:val="607D49FD"/>
    <w:rsid w:val="60E67C6D"/>
    <w:rsid w:val="61043818"/>
    <w:rsid w:val="612E1200"/>
    <w:rsid w:val="613618D5"/>
    <w:rsid w:val="61CC5913"/>
    <w:rsid w:val="61E37CF9"/>
    <w:rsid w:val="61EF4BAD"/>
    <w:rsid w:val="622E630D"/>
    <w:rsid w:val="62742DCD"/>
    <w:rsid w:val="62B91BA7"/>
    <w:rsid w:val="62D7527A"/>
    <w:rsid w:val="63156E86"/>
    <w:rsid w:val="6395494B"/>
    <w:rsid w:val="639A41C4"/>
    <w:rsid w:val="63AD0D00"/>
    <w:rsid w:val="63CF1848"/>
    <w:rsid w:val="63E37986"/>
    <w:rsid w:val="64360ADF"/>
    <w:rsid w:val="64F03451"/>
    <w:rsid w:val="64FB6E9F"/>
    <w:rsid w:val="654C0C6E"/>
    <w:rsid w:val="65B43BEA"/>
    <w:rsid w:val="65C409EA"/>
    <w:rsid w:val="663A3EB4"/>
    <w:rsid w:val="66E17464"/>
    <w:rsid w:val="67D414E5"/>
    <w:rsid w:val="69A5229A"/>
    <w:rsid w:val="69A97278"/>
    <w:rsid w:val="69F554D1"/>
    <w:rsid w:val="6BBC26DD"/>
    <w:rsid w:val="6BF603B0"/>
    <w:rsid w:val="6C290D26"/>
    <w:rsid w:val="6C2D1542"/>
    <w:rsid w:val="6C4912EE"/>
    <w:rsid w:val="6C800B14"/>
    <w:rsid w:val="6CDC19EB"/>
    <w:rsid w:val="6D11498F"/>
    <w:rsid w:val="6D476F7F"/>
    <w:rsid w:val="6D684322"/>
    <w:rsid w:val="6DBA0093"/>
    <w:rsid w:val="6E7B4731"/>
    <w:rsid w:val="6E927F94"/>
    <w:rsid w:val="6EEF6407"/>
    <w:rsid w:val="6F555EF3"/>
    <w:rsid w:val="6FAA56EB"/>
    <w:rsid w:val="6FED25A3"/>
    <w:rsid w:val="704A3031"/>
    <w:rsid w:val="70554E01"/>
    <w:rsid w:val="70601362"/>
    <w:rsid w:val="70AD3F02"/>
    <w:rsid w:val="70EA511B"/>
    <w:rsid w:val="716D7957"/>
    <w:rsid w:val="71E473EF"/>
    <w:rsid w:val="72251606"/>
    <w:rsid w:val="723C4E0C"/>
    <w:rsid w:val="72421DD8"/>
    <w:rsid w:val="727017CD"/>
    <w:rsid w:val="730D354D"/>
    <w:rsid w:val="734E2F8F"/>
    <w:rsid w:val="7386403F"/>
    <w:rsid w:val="73A236AA"/>
    <w:rsid w:val="73AA2E25"/>
    <w:rsid w:val="73B257D5"/>
    <w:rsid w:val="73C66834"/>
    <w:rsid w:val="74034CD0"/>
    <w:rsid w:val="74B623B5"/>
    <w:rsid w:val="74FC7F63"/>
    <w:rsid w:val="75494092"/>
    <w:rsid w:val="759E0303"/>
    <w:rsid w:val="75AD4B40"/>
    <w:rsid w:val="75FE1A6B"/>
    <w:rsid w:val="767D74C7"/>
    <w:rsid w:val="76820B04"/>
    <w:rsid w:val="76DA4889"/>
    <w:rsid w:val="76E47588"/>
    <w:rsid w:val="77354976"/>
    <w:rsid w:val="776A67F8"/>
    <w:rsid w:val="7780493D"/>
    <w:rsid w:val="77DF6978"/>
    <w:rsid w:val="78046151"/>
    <w:rsid w:val="783311DF"/>
    <w:rsid w:val="784F6630"/>
    <w:rsid w:val="78507FEF"/>
    <w:rsid w:val="78B03D86"/>
    <w:rsid w:val="78EA49E2"/>
    <w:rsid w:val="79260D6C"/>
    <w:rsid w:val="79F66BAF"/>
    <w:rsid w:val="7A2F46E7"/>
    <w:rsid w:val="7A4F1784"/>
    <w:rsid w:val="7A5245F9"/>
    <w:rsid w:val="7AF95BE7"/>
    <w:rsid w:val="7B70248C"/>
    <w:rsid w:val="7B932C66"/>
    <w:rsid w:val="7BB02559"/>
    <w:rsid w:val="7BF0782B"/>
    <w:rsid w:val="7C05359C"/>
    <w:rsid w:val="7CF11279"/>
    <w:rsid w:val="7D0275D8"/>
    <w:rsid w:val="7DB96803"/>
    <w:rsid w:val="7E2852A2"/>
    <w:rsid w:val="7E31256C"/>
    <w:rsid w:val="7E605563"/>
    <w:rsid w:val="7EAA408B"/>
    <w:rsid w:val="7EC478BA"/>
    <w:rsid w:val="7EDF4571"/>
    <w:rsid w:val="7F114FA7"/>
    <w:rsid w:val="7F1F28DF"/>
    <w:rsid w:val="7F280353"/>
    <w:rsid w:val="7F350E03"/>
    <w:rsid w:val="7F66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4">
    <w:name w:val="heading 1"/>
    <w:basedOn w:val="1"/>
    <w:next w:val="1"/>
    <w:qFormat/>
    <w:uiPriority w:val="0"/>
    <w:pPr>
      <w:widowControl/>
      <w:adjustRightInd w:val="0"/>
      <w:snapToGrid w:val="0"/>
      <w:spacing w:line="640" w:lineRule="exact"/>
      <w:jc w:val="center"/>
      <w:outlineLvl w:val="0"/>
    </w:pPr>
    <w:rPr>
      <w:rFonts w:ascii="黑体" w:eastAsia="黑体"/>
      <w:b/>
      <w:kern w:val="0"/>
      <w:sz w:val="28"/>
      <w:szCs w:val="28"/>
    </w:rPr>
  </w:style>
  <w:style w:type="paragraph" w:styleId="5">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widowControl w:val="0"/>
      <w:ind w:firstLine="600" w:firstLineChars="600"/>
      <w:outlineLvl w:val="3"/>
    </w:pPr>
    <w:rPr>
      <w:rFonts w:ascii="宋体"/>
      <w:sz w:val="28"/>
    </w:rPr>
  </w:style>
  <w:style w:type="character" w:default="1" w:styleId="21">
    <w:name w:val="Default Paragraph Font"/>
    <w:link w:val="22"/>
    <w:semiHidden/>
    <w:qFormat/>
    <w:uiPriority w:val="0"/>
    <w:rPr>
      <w:rFonts w:eastAsia="方正仿宋简体"/>
      <w:sz w:val="32"/>
      <w:szCs w:val="21"/>
    </w:rPr>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qFormat/>
    <w:uiPriority w:val="0"/>
    <w:pPr>
      <w:spacing w:line="400" w:lineRule="exact"/>
    </w:pPr>
    <w:rPr>
      <w:sz w:val="28"/>
    </w:rPr>
  </w:style>
  <w:style w:type="paragraph" w:styleId="8">
    <w:name w:val="Normal Indent"/>
    <w:basedOn w:val="1"/>
    <w:qFormat/>
    <w:uiPriority w:val="0"/>
    <w:pPr>
      <w:ind w:firstLine="420"/>
    </w:pPr>
  </w:style>
  <w:style w:type="paragraph" w:styleId="9">
    <w:name w:val="caption"/>
    <w:basedOn w:val="1"/>
    <w:next w:val="1"/>
    <w:semiHidden/>
    <w:qFormat/>
    <w:uiPriority w:val="0"/>
    <w:pPr>
      <w:spacing w:before="152" w:after="160"/>
    </w:pPr>
    <w:rPr>
      <w:rFonts w:ascii="Arial" w:hAnsi="Arial" w:eastAsia="黑体" w:cs="Arial"/>
      <w:sz w:val="20"/>
    </w:rPr>
  </w:style>
  <w:style w:type="paragraph" w:styleId="10">
    <w:name w:val="Body Text Indent"/>
    <w:basedOn w:val="1"/>
    <w:qFormat/>
    <w:uiPriority w:val="0"/>
    <w:pPr>
      <w:ind w:firstLine="480"/>
    </w:pPr>
    <w:rPr>
      <w:rFonts w:ascii="宋体"/>
      <w:sz w:val="24"/>
    </w:rPr>
  </w:style>
  <w:style w:type="paragraph" w:styleId="11">
    <w:name w:val="toc 3"/>
    <w:basedOn w:val="1"/>
    <w:next w:val="1"/>
    <w:qFormat/>
    <w:uiPriority w:val="0"/>
    <w:pPr>
      <w:ind w:left="840" w:leftChars="400"/>
    </w:pPr>
  </w:style>
  <w:style w:type="paragraph" w:styleId="12">
    <w:name w:val="Plain Text"/>
    <w:basedOn w:val="1"/>
    <w:qFormat/>
    <w:uiPriority w:val="0"/>
    <w:pPr>
      <w:spacing w:line="360" w:lineRule="auto"/>
      <w:ind w:firstLine="200" w:firstLineChars="200"/>
    </w:pPr>
    <w:rPr>
      <w:rFonts w:ascii="宋体" w:hAnsi="Courier New" w:cs="Courier New"/>
      <w:sz w:val="28"/>
      <w:szCs w:val="21"/>
    </w:rPr>
  </w:style>
  <w:style w:type="paragraph" w:styleId="13">
    <w:name w:val="footer"/>
    <w:basedOn w:val="1"/>
    <w:link w:val="3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Body Text Indent 3"/>
    <w:basedOn w:val="1"/>
    <w:qFormat/>
    <w:uiPriority w:val="0"/>
    <w:pPr>
      <w:tabs>
        <w:tab w:val="left" w:pos="1050"/>
      </w:tabs>
      <w:spacing w:before="120" w:line="360" w:lineRule="auto"/>
      <w:ind w:firstLine="420" w:firstLineChars="150"/>
    </w:pPr>
    <w:rPr>
      <w:rFonts w:ascii="宋体"/>
      <w:spacing w:val="20"/>
      <w:sz w:val="24"/>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Lines="0" w:beforeAutospacing="1" w:after="100" w:afterLines="0" w:afterAutospacing="1" w:line="360" w:lineRule="auto"/>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Char"/>
    <w:basedOn w:val="1"/>
    <w:link w:val="21"/>
    <w:qFormat/>
    <w:uiPriority w:val="0"/>
    <w:rPr>
      <w:rFonts w:eastAsia="方正仿宋简体"/>
      <w:sz w:val="32"/>
      <w:szCs w:val="21"/>
    </w:rPr>
  </w:style>
  <w:style w:type="character" w:styleId="23">
    <w:name w:val="annotation reference"/>
    <w:basedOn w:val="21"/>
    <w:semiHidden/>
    <w:qFormat/>
    <w:uiPriority w:val="0"/>
    <w:rPr>
      <w:sz w:val="21"/>
      <w:szCs w:val="21"/>
    </w:rPr>
  </w:style>
  <w:style w:type="paragraph" w:customStyle="1" w:styleId="24">
    <w:name w:val="xl53"/>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kern w:val="0"/>
      <w:sz w:val="28"/>
      <w:szCs w:val="28"/>
    </w:rPr>
  </w:style>
  <w:style w:type="paragraph" w:customStyle="1" w:styleId="25">
    <w:name w:val="表格"/>
    <w:basedOn w:val="1"/>
    <w:qFormat/>
    <w:uiPriority w:val="0"/>
    <w:pPr>
      <w:widowControl/>
      <w:snapToGrid w:val="0"/>
      <w:jc w:val="center"/>
    </w:pPr>
    <w:rPr>
      <w:kern w:val="0"/>
    </w:rPr>
  </w:style>
  <w:style w:type="paragraph" w:customStyle="1" w:styleId="26">
    <w:name w:val="简单回函地址"/>
    <w:basedOn w:val="1"/>
    <w:qFormat/>
    <w:uiPriority w:val="0"/>
  </w:style>
  <w:style w:type="paragraph" w:customStyle="1" w:styleId="27">
    <w:name w:val="居中"/>
    <w:basedOn w:val="1"/>
    <w:qFormat/>
    <w:uiPriority w:val="0"/>
    <w:pPr>
      <w:jc w:val="center"/>
    </w:pPr>
    <w:rPr>
      <w:rFonts w:ascii="宋体" w:hAnsi="宋体"/>
      <w:color w:val="000000"/>
      <w:sz w:val="21"/>
    </w:rPr>
  </w:style>
  <w:style w:type="character" w:customStyle="1" w:styleId="28">
    <w:name w:val="zw1"/>
    <w:basedOn w:val="21"/>
    <w:qFormat/>
    <w:uiPriority w:val="0"/>
    <w:rPr>
      <w:rFonts w:hint="eastAsia" w:ascii="宋体" w:hAnsi="宋体" w:eastAsia="宋体"/>
      <w:sz w:val="22"/>
      <w:szCs w:val="22"/>
    </w:rPr>
  </w:style>
  <w:style w:type="character" w:customStyle="1" w:styleId="29">
    <w:name w:val="正文1"/>
    <w:basedOn w:val="21"/>
    <w:qFormat/>
    <w:uiPriority w:val="0"/>
    <w:rPr>
      <w:rFonts w:hint="eastAsia" w:ascii="宋体" w:hAnsi="宋体" w:eastAsia="宋体"/>
      <w:sz w:val="22"/>
      <w:szCs w:val="22"/>
    </w:rPr>
  </w:style>
  <w:style w:type="paragraph" w:customStyle="1" w:styleId="30">
    <w:name w:val="Body text|2"/>
    <w:basedOn w:val="1"/>
    <w:qFormat/>
    <w:uiPriority w:val="0"/>
    <w:pPr>
      <w:widowControl w:val="0"/>
      <w:shd w:val="clear" w:color="auto" w:fill="FFFFFF"/>
      <w:spacing w:line="242" w:lineRule="exact"/>
    </w:pPr>
    <w:rPr>
      <w:rFonts w:ascii="PMingLiU" w:hAnsi="PMingLiU" w:eastAsia="PMingLiU" w:cs="PMingLiU"/>
      <w:sz w:val="13"/>
      <w:szCs w:val="13"/>
      <w:u w:val="none"/>
    </w:rPr>
  </w:style>
  <w:style w:type="character" w:customStyle="1" w:styleId="31">
    <w:name w:val="页脚 Char"/>
    <w:link w:val="13"/>
    <w:qFormat/>
    <w:uiPriority w:val="99"/>
    <w:rPr>
      <w:sz w:val="18"/>
    </w:rPr>
  </w:style>
  <w:style w:type="paragraph" w:customStyle="1" w:styleId="32">
    <w:name w:val="【表头】"/>
    <w:basedOn w:val="1"/>
    <w:qFormat/>
    <w:uiPriority w:val="0"/>
    <w:pPr>
      <w:spacing w:line="360" w:lineRule="auto"/>
      <w:jc w:val="center"/>
    </w:pPr>
    <w:rPr>
      <w:b/>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2018-03-12T10:48:00Z</dcterms:created>
  <dc:creator>1111</dc:creator>
  <cp:lastModifiedBy>1111</cp:lastModifiedBy>
  <cp:lastPrinted>2019-05-14T01:57:00Z</cp:lastPrinted>
  <dcterms:modified xsi:type="dcterms:W3CDTF">2019-05-25T03:26:04Z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