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rFonts w:hint="eastAsia"/>
          <w:b/>
          <w:color w:val="auto"/>
          <w:sz w:val="28"/>
          <w:szCs w:val="28"/>
        </w:rPr>
      </w:pPr>
      <w:bookmarkStart w:id="0" w:name="_Toc19720"/>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spacing w:line="360" w:lineRule="auto"/>
        <w:jc w:val="center"/>
        <w:rPr>
          <w:rFonts w:hint="eastAsia" w:ascii="宋体" w:hAnsi="宋体" w:eastAsia="宋体"/>
          <w:b/>
          <w:bCs/>
          <w:caps/>
          <w:color w:val="auto"/>
          <w:sz w:val="48"/>
          <w:szCs w:val="48"/>
          <w:lang w:eastAsia="zh-CN"/>
        </w:rPr>
      </w:pPr>
      <w:r>
        <w:rPr>
          <w:rFonts w:hint="eastAsia" w:ascii="宋体" w:hAnsi="宋体"/>
          <w:b/>
          <w:bCs/>
          <w:caps/>
          <w:color w:val="auto"/>
          <w:sz w:val="48"/>
          <w:szCs w:val="48"/>
          <w:lang w:eastAsia="zh-CN"/>
        </w:rPr>
        <w:t>仪陇县立山镇红旗页岩砖厂</w:t>
      </w:r>
    </w:p>
    <w:p>
      <w:pPr>
        <w:spacing w:line="360" w:lineRule="auto"/>
        <w:jc w:val="center"/>
        <w:rPr>
          <w:rFonts w:hint="eastAsia" w:ascii="宋体" w:hAnsi="宋体"/>
          <w:b/>
          <w:bCs/>
          <w:caps/>
          <w:color w:val="auto"/>
          <w:sz w:val="48"/>
          <w:szCs w:val="48"/>
        </w:rPr>
      </w:pPr>
    </w:p>
    <w:p>
      <w:pPr>
        <w:spacing w:line="360" w:lineRule="auto"/>
        <w:jc w:val="center"/>
        <w:rPr>
          <w:rFonts w:hint="eastAsia" w:ascii="宋体" w:hAnsi="宋体"/>
          <w:b/>
          <w:bCs/>
          <w:caps/>
          <w:color w:val="auto"/>
          <w:sz w:val="48"/>
          <w:szCs w:val="48"/>
          <w:lang w:eastAsia="zh-CN"/>
        </w:rPr>
      </w:pPr>
      <w:r>
        <w:rPr>
          <w:rFonts w:hint="eastAsia" w:ascii="宋体" w:hAnsi="宋体"/>
          <w:b/>
          <w:bCs/>
          <w:caps/>
          <w:color w:val="auto"/>
          <w:sz w:val="48"/>
          <w:szCs w:val="48"/>
          <w:lang w:eastAsia="zh-CN"/>
        </w:rPr>
        <w:tab/>
      </w:r>
      <w:r>
        <w:rPr>
          <w:rFonts w:hint="eastAsia" w:ascii="宋体" w:hAnsi="宋体"/>
          <w:b/>
          <w:bCs/>
          <w:caps/>
          <w:color w:val="auto"/>
          <w:sz w:val="48"/>
          <w:szCs w:val="48"/>
          <w:lang w:eastAsia="zh-CN"/>
        </w:rPr>
        <w:t>事故风险评估报告</w:t>
      </w:r>
      <w:r>
        <w:rPr>
          <w:rFonts w:hint="eastAsia" w:ascii="宋体" w:hAnsi="宋体"/>
          <w:b/>
          <w:bCs/>
          <w:caps/>
          <w:color w:val="auto"/>
          <w:sz w:val="48"/>
          <w:szCs w:val="48"/>
          <w:lang w:eastAsia="zh-CN"/>
        </w:rPr>
        <w:tab/>
      </w:r>
    </w:p>
    <w:p>
      <w:pPr>
        <w:jc w:val="center"/>
        <w:rPr>
          <w:rFonts w:hint="eastAsia"/>
          <w:color w:val="auto"/>
          <w:sz w:val="32"/>
          <w:szCs w:val="32"/>
        </w:rPr>
      </w:pPr>
    </w:p>
    <w:p>
      <w:pPr>
        <w:jc w:val="center"/>
        <w:rPr>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tbl>
      <w:tblPr>
        <w:tblStyle w:val="19"/>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仪陇县立山镇红旗页岩砖厂</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hint="eastAsia" w:eastAsia="黑体"/>
                <w:bCs/>
                <w:color w:val="auto"/>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编制时间：201</w:t>
            </w:r>
            <w:r>
              <w:rPr>
                <w:rFonts w:hint="eastAsia" w:eastAsia="黑体"/>
                <w:bCs/>
                <w:color w:val="auto"/>
                <w:sz w:val="36"/>
                <w:szCs w:val="36"/>
                <w:lang w:val="en-US" w:eastAsia="zh-CN"/>
              </w:rPr>
              <w:t>9</w:t>
            </w:r>
            <w:r>
              <w:rPr>
                <w:rFonts w:hint="eastAsia" w:eastAsia="黑体"/>
                <w:bCs/>
                <w:color w:val="auto"/>
                <w:sz w:val="36"/>
                <w:szCs w:val="36"/>
              </w:rPr>
              <w:t>年</w:t>
            </w:r>
            <w:r>
              <w:rPr>
                <w:rFonts w:hint="eastAsia" w:eastAsia="黑体"/>
                <w:bCs/>
                <w:color w:val="auto"/>
                <w:sz w:val="36"/>
                <w:szCs w:val="36"/>
                <w:lang w:val="en-US" w:eastAsia="zh-CN"/>
              </w:rPr>
              <w:t>04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color w:val="auto"/>
          <w:sz w:val="32"/>
          <w:szCs w:val="32"/>
        </w:rPr>
      </w:pPr>
    </w:p>
    <w:p>
      <w:pPr>
        <w:widowControl/>
        <w:spacing w:line="560" w:lineRule="exact"/>
        <w:jc w:val="left"/>
        <w:outlineLvl w:val="2"/>
        <w:rPr>
          <w:rFonts w:hint="eastAsia" w:ascii="宋体" w:hAnsi="宋体" w:cs="宋体"/>
          <w:b/>
          <w:bCs/>
          <w:color w:val="auto"/>
          <w:kern w:val="0"/>
          <w:sz w:val="28"/>
          <w:szCs w:val="28"/>
        </w:rPr>
      </w:pPr>
    </w:p>
    <w:p>
      <w:pPr>
        <w:pStyle w:val="4"/>
        <w:spacing w:line="360" w:lineRule="auto"/>
        <w:rPr>
          <w:rFonts w:hint="eastAsia"/>
          <w:color w:val="auto"/>
        </w:rPr>
        <w:sectPr>
          <w:pgSz w:w="11906" w:h="16838"/>
          <w:pgMar w:top="1440" w:right="1800" w:bottom="1440" w:left="1800" w:header="851" w:footer="992" w:gutter="0"/>
          <w:pgNumType w:fmt="decimal" w:start="1"/>
          <w:cols w:space="425" w:num="1"/>
          <w:docGrid w:type="lines" w:linePitch="312" w:charSpace="0"/>
        </w:sectPr>
      </w:pPr>
      <w:bookmarkStart w:id="1" w:name="_Toc481937753"/>
      <w:bookmarkStart w:id="2" w:name="_Toc489891867"/>
      <w:bookmarkStart w:id="3" w:name="_Toc490472469"/>
      <w:bookmarkStart w:id="4" w:name="_Toc1966"/>
      <w:bookmarkStart w:id="5" w:name="_Toc486865993"/>
      <w:bookmarkStart w:id="6" w:name="_Toc27937"/>
      <w:bookmarkStart w:id="7" w:name="_Toc29638"/>
      <w:bookmarkStart w:id="8" w:name="_Toc17105"/>
      <w:bookmarkStart w:id="9" w:name="_Toc16438"/>
      <w:bookmarkStart w:id="10" w:name="_Toc27599"/>
      <w:bookmarkStart w:id="11" w:name="_Toc6757"/>
      <w:bookmarkStart w:id="12" w:name="_Toc10859"/>
      <w:bookmarkStart w:id="13" w:name="_Toc2372"/>
      <w:bookmarkStart w:id="14" w:name="_Toc5540"/>
      <w:bookmarkStart w:id="15" w:name="_Toc32726"/>
      <w:bookmarkStart w:id="16" w:name="_Toc27726"/>
      <w:bookmarkStart w:id="17" w:name="_Toc30139"/>
      <w:bookmarkStart w:id="18" w:name="_Toc21634"/>
      <w:bookmarkStart w:id="19" w:name="_Toc28211"/>
      <w:bookmarkStart w:id="20" w:name="_Toc7658"/>
    </w:p>
    <w:p>
      <w:pPr>
        <w:pStyle w:val="4"/>
        <w:spacing w:line="360" w:lineRule="auto"/>
        <w:rPr>
          <w:rFonts w:hint="eastAsia"/>
          <w:color w:val="auto"/>
        </w:rPr>
      </w:pPr>
      <w:r>
        <w:rPr>
          <w:rFonts w:hint="eastAsia"/>
          <w:color w:val="auto"/>
        </w:rPr>
        <w:t>目</w:t>
      </w:r>
      <w:r>
        <w:rPr>
          <w:rFonts w:hint="eastAsia"/>
          <w:color w:val="auto"/>
          <w:lang w:val="en-US" w:eastAsia="zh-CN"/>
        </w:rPr>
        <w:t xml:space="preserve">  </w:t>
      </w:r>
      <w:r>
        <w:rPr>
          <w:rFonts w:hint="eastAsia"/>
          <w:color w:val="auto"/>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15"/>
        <w:tabs>
          <w:tab w:val="right" w:leader="dot" w:pos="9638"/>
        </w:tabs>
        <w:spacing w:line="360" w:lineRule="auto"/>
        <w:rPr>
          <w:rFonts w:ascii="宋体" w:hAnsi="宋体"/>
          <w:color w:val="auto"/>
          <w:sz w:val="24"/>
        </w:rPr>
      </w:pP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\u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_Toc5876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rPr>
        <w:t>1概述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_Toc5876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_Toc14361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1.1评估的主要依据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_Toc31742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1.2评估目的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_Toc31742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_Toc13318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1.3风险评估范围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_Toc13318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_Toc21429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1.4评估程序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_Toc21429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_Toc25728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2</w:t>
      </w:r>
      <w:r>
        <w:rPr>
          <w:rFonts w:hint="eastAsia" w:asciiTheme="minorEastAsia" w:hAnsiTheme="minorEastAsia" w:eastAsiaTheme="minorEastAsia" w:cstheme="minorEastAsia"/>
          <w:szCs w:val="32"/>
        </w:rPr>
        <w:t>公司概况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_Toc25728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_Toc17255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2.1 公司概况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_Toc17255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_Toc3668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en-US" w:eastAsia="zh-CN"/>
        </w:rPr>
        <w:t>1.1</w:t>
      </w:r>
      <w:r>
        <w:rPr>
          <w:rFonts w:hint="eastAsia" w:asciiTheme="minorEastAsia" w:hAnsiTheme="minorEastAsia" w:eastAsiaTheme="minorEastAsia" w:cstheme="minorEastAsia"/>
          <w:szCs w:val="28"/>
        </w:rPr>
        <w:t>公司地理位置及环境等情况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_Toc3668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_Toc10650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总体布置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_Toc10650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_Toc4371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lang w:val="zh-CN"/>
        </w:rPr>
        <w:t>周边环境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_Toc4371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_Toc26233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lang w:val="zh-CN"/>
        </w:rPr>
        <w:t>工艺流程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_Toc26233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_Toc23493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bCs/>
          <w:i w:val="0"/>
          <w:iCs w:val="0"/>
          <w:szCs w:val="28"/>
        </w:rPr>
        <w:t>主要生产设备情况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_Toc23493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_Toc4254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各方应急力量有关基本情况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_Toc4254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_Toc5194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.1内部应急力量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_Toc5194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_Toc16719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外部应急力量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_Toc16719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_Toc30230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3危险、有害因素辨识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_Toc30230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_Toc14444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1 危险、有害因素辨识的目的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_Toc14444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_Toc21210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2 危险、有害因素辨识的依据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_Toc21210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_Toc5355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3 危险、有害因素辨识的方法</w:t>
      </w:r>
      <w:bookmarkStart w:id="271" w:name="_GoBack"/>
      <w:bookmarkEnd w:id="271"/>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_Toc5355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_Toc14745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4 主要危险、有害物质特性分析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_Toc14745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_Toc28193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4.1 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_Toc28193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_Toc32577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4.2 柴油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_Toc32577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_Toc15465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4.3 一氧化碳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_Toc15465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_Toc32069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4.4 二氧化碳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_Toc32069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_Toc13288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4.5 二氧化硫（三氧化硫参考）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_Toc13288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_Toc15817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3.4.6 柴油安全数据表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_Toc15817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_Toc2682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3.4.7 氧气安全数据表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_Toc19034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3.4.8 乙炔安全数据表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_Toc19034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_Toc10771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rPr>
        <w:t>3.5 生产过程危险有害因素分析和辨识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_Toc10771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_Toc14671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5 生产过程危险有害因素分析和辨识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_Toc14671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_Toc6932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5.1 车辆事故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_Toc6932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_Toc14148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5.2 机械伤害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_Toc3690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5.3 触电事故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_Toc3690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_Toc30025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5.4 高处坠落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_Toc30025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_Toc28008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5.5 物体打击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_Toc28008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_Toc27074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5.6 火灾事故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_Toc27074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_Toc17858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w:t>
      </w:r>
      <w:r>
        <w:rPr>
          <w:rFonts w:hint="eastAsia" w:asciiTheme="minorEastAsia" w:hAnsiTheme="minorEastAsia" w:eastAsiaTheme="minorEastAsia" w:cstheme="minorEastAsia"/>
          <w:snapToGrid w:val="0"/>
          <w:kern w:val="0"/>
          <w:szCs w:val="28"/>
          <w:lang w:val="en-US" w:eastAsia="zh-CN"/>
        </w:rPr>
        <w:t>7 坍塌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_Toc17858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3.5.8中毒窒息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_Toc23061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3.5.9高温灼烫</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_Toc23061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_Toc1095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3.5.10容器爆炸</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_Toc9170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3.5.11有限空间作业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_Toc9170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_Toc28730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w:t>
      </w:r>
      <w:r>
        <w:rPr>
          <w:rFonts w:hint="eastAsia" w:asciiTheme="minorEastAsia" w:hAnsiTheme="minorEastAsia" w:eastAsiaTheme="minorEastAsia" w:cstheme="minorEastAsia"/>
          <w:snapToGrid w:val="0"/>
          <w:kern w:val="0"/>
          <w:szCs w:val="28"/>
          <w:lang w:val="en-US" w:eastAsia="zh-CN"/>
        </w:rPr>
        <w:t>12</w:t>
      </w:r>
      <w:r>
        <w:rPr>
          <w:rFonts w:hint="eastAsia" w:asciiTheme="minorEastAsia" w:hAnsiTheme="minorEastAsia" w:eastAsiaTheme="minorEastAsia" w:cstheme="minorEastAsia"/>
          <w:snapToGrid w:val="0"/>
          <w:kern w:val="0"/>
          <w:szCs w:val="28"/>
        </w:rPr>
        <w:t xml:space="preserve"> 职业危害因素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_Toc28730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_Toc14747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3.5.13 自然灾害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_Toc14747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_Toc673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6 厂址安全条件的危险、有害因素辨识与分析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_Toc25923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 xml:space="preserve">6.1 </w:t>
      </w:r>
      <w:r>
        <w:rPr>
          <w:rFonts w:hint="eastAsia" w:asciiTheme="minorEastAsia" w:hAnsiTheme="minorEastAsia" w:eastAsiaTheme="minorEastAsia" w:cstheme="minorEastAsia"/>
          <w:snapToGrid w:val="0"/>
          <w:kern w:val="0"/>
          <w:szCs w:val="28"/>
          <w:lang w:eastAsia="zh-CN"/>
        </w:rPr>
        <w:t>公司</w:t>
      </w:r>
      <w:r>
        <w:rPr>
          <w:rFonts w:hint="eastAsia" w:asciiTheme="minorEastAsia" w:hAnsiTheme="minorEastAsia" w:eastAsiaTheme="minorEastAsia" w:cstheme="minorEastAsia"/>
          <w:snapToGrid w:val="0"/>
          <w:kern w:val="0"/>
          <w:szCs w:val="28"/>
        </w:rPr>
        <w:t>对周边环境的影响分析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_Toc25923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_Toc15538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6.2 周边环境对</w:t>
      </w:r>
      <w:r>
        <w:rPr>
          <w:rFonts w:hint="eastAsia" w:asciiTheme="minorEastAsia" w:hAnsiTheme="minorEastAsia" w:eastAsiaTheme="minorEastAsia" w:cstheme="minorEastAsia"/>
          <w:snapToGrid w:val="0"/>
          <w:kern w:val="0"/>
          <w:szCs w:val="28"/>
          <w:lang w:eastAsia="zh-CN"/>
        </w:rPr>
        <w:t>公司</w:t>
      </w:r>
      <w:r>
        <w:rPr>
          <w:rFonts w:hint="eastAsia" w:asciiTheme="minorEastAsia" w:hAnsiTheme="minorEastAsia" w:eastAsiaTheme="minorEastAsia" w:cstheme="minorEastAsia"/>
          <w:snapToGrid w:val="0"/>
          <w:kern w:val="0"/>
          <w:szCs w:val="28"/>
        </w:rPr>
        <w:t>的影响分析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_Toc15538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_Toc20242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lang w:val="en-US" w:eastAsia="zh-CN"/>
        </w:rPr>
        <w:t>7</w:t>
      </w:r>
      <w:r>
        <w:rPr>
          <w:rFonts w:hint="eastAsia" w:asciiTheme="minorEastAsia" w:hAnsiTheme="minorEastAsia" w:eastAsiaTheme="minorEastAsia" w:cstheme="minorEastAsia"/>
          <w:snapToGrid w:val="0"/>
          <w:kern w:val="0"/>
          <w:szCs w:val="32"/>
        </w:rPr>
        <w:t xml:space="preserve"> 重大危险源辨识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_Toc20242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_Toc18904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lang w:val="en-US" w:eastAsia="zh-CN"/>
        </w:rPr>
        <w:t>7</w:t>
      </w:r>
      <w:r>
        <w:rPr>
          <w:rFonts w:hint="eastAsia" w:asciiTheme="minorEastAsia" w:hAnsiTheme="minorEastAsia" w:eastAsiaTheme="minorEastAsia" w:cstheme="minorEastAsia"/>
          <w:snapToGrid w:val="0"/>
          <w:kern w:val="0"/>
          <w:szCs w:val="28"/>
        </w:rPr>
        <w:t>.1 辨识依据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_Toc18904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_Toc4102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lang w:val="en-US" w:eastAsia="zh-CN"/>
        </w:rPr>
        <w:t>7</w:t>
      </w:r>
      <w:r>
        <w:rPr>
          <w:rFonts w:hint="eastAsia" w:asciiTheme="minorEastAsia" w:hAnsiTheme="minorEastAsia" w:eastAsiaTheme="minorEastAsia" w:cstheme="minorEastAsia"/>
          <w:snapToGrid w:val="0"/>
          <w:kern w:val="0"/>
          <w:szCs w:val="28"/>
        </w:rPr>
        <w:t>.2 辨识结果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_Toc4102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_Toc30060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3.8小结</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_Toc30060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_Toc19228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4</w:t>
      </w:r>
      <w:r>
        <w:rPr>
          <w:rFonts w:hint="eastAsia" w:asciiTheme="minorEastAsia" w:hAnsiTheme="minorEastAsia" w:eastAsiaTheme="minorEastAsia" w:cstheme="minorEastAsia"/>
          <w:szCs w:val="32"/>
        </w:rPr>
        <w:t>评估结论与建议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_Toc19228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_Toc28505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4.1总体评价结论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_Toc28505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_Toc11754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rPr>
        <w:t>.</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建议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_Toc11754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widowControl/>
        <w:spacing w:line="360" w:lineRule="auto"/>
        <w:jc w:val="left"/>
        <w:outlineLvl w:val="2"/>
        <w:rPr>
          <w:rFonts w:hint="eastAsia" w:ascii="宋体" w:hAnsi="宋体" w:cs="宋体"/>
          <w:b/>
          <w:bCs/>
          <w:color w:val="auto"/>
          <w:kern w:val="0"/>
          <w:sz w:val="28"/>
          <w:szCs w:val="28"/>
        </w:rPr>
      </w:pPr>
      <w:r>
        <w:rPr>
          <w:rFonts w:hint="eastAsia" w:asciiTheme="minorEastAsia" w:hAnsiTheme="minorEastAsia" w:eastAsiaTheme="minorEastAsia" w:cstheme="minorEastAsia"/>
          <w:color w:val="auto"/>
          <w:szCs w:val="21"/>
        </w:rPr>
        <w:fldChar w:fldCharType="end"/>
      </w:r>
    </w:p>
    <w:p>
      <w:pPr>
        <w:numPr>
          <w:ilvl w:val="0"/>
          <w:numId w:val="0"/>
        </w:numPr>
        <w:spacing w:line="360" w:lineRule="auto"/>
        <w:jc w:val="center"/>
        <w:outlineLvl w:val="0"/>
        <w:rPr>
          <w:rFonts w:hint="eastAsia" w:ascii="黑体" w:hAnsi="宋体" w:eastAsia="黑体"/>
          <w:b/>
          <w:color w:val="auto"/>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outlineLvl w:val="0"/>
        <w:rPr>
          <w:rFonts w:hint="eastAsia" w:ascii="黑体" w:hAnsi="宋体" w:eastAsia="黑体"/>
          <w:b/>
          <w:sz w:val="32"/>
          <w:szCs w:val="32"/>
        </w:rPr>
      </w:pPr>
      <w:bookmarkStart w:id="21" w:name="_Toc5876"/>
      <w:bookmarkStart w:id="22" w:name="_Toc97"/>
      <w:bookmarkStart w:id="23" w:name="_Toc1621"/>
      <w:r>
        <w:rPr>
          <w:rFonts w:hint="eastAsia" w:ascii="黑体" w:hAnsi="宋体" w:eastAsia="黑体"/>
          <w:b/>
          <w:sz w:val="32"/>
          <w:szCs w:val="32"/>
        </w:rPr>
        <w:t>1概述</w:t>
      </w:r>
      <w:bookmarkEnd w:id="21"/>
      <w:bookmarkEnd w:id="22"/>
      <w:bookmarkEnd w:id="23"/>
    </w:p>
    <w:p>
      <w:pPr>
        <w:pStyle w:val="5"/>
        <w:spacing w:line="360" w:lineRule="auto"/>
        <w:rPr>
          <w:rFonts w:hint="eastAsia" w:ascii="宋体" w:hAnsi="宋体" w:eastAsia="宋体" w:cs="宋体"/>
          <w:sz w:val="28"/>
          <w:szCs w:val="28"/>
        </w:rPr>
      </w:pPr>
      <w:bookmarkStart w:id="24" w:name="_Toc10102"/>
      <w:bookmarkStart w:id="25" w:name="_Toc13902"/>
      <w:bookmarkStart w:id="26" w:name="_Toc14361"/>
      <w:r>
        <w:rPr>
          <w:rFonts w:hint="eastAsia" w:ascii="宋体" w:hAnsi="宋体" w:eastAsia="宋体" w:cs="宋体"/>
          <w:sz w:val="28"/>
          <w:szCs w:val="28"/>
        </w:rPr>
        <w:t>1.1评估的主要依据</w:t>
      </w:r>
      <w:bookmarkEnd w:id="24"/>
      <w:bookmarkEnd w:id="25"/>
      <w:bookmarkEnd w:id="26"/>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（1）《中华人民共和国安全生产法》（中华人民共和国主席令第13号，自2014年12月1日起施行）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（2）《中华人民共和国劳动法》（中华人民共和国主席令第28号，自1995年1月1日起施行，2009年8月27日修订）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（3）《中华人民共和国职业病防治法》(中华人民共和国主席令第24号，2018年12月29日修订)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（4）《中华人民共和国消防法》（中华人民共和国主席令第6号，自20</w:t>
      </w:r>
      <w:r>
        <w:rPr>
          <w:rFonts w:hint="eastAsia" w:ascii="宋体" w:hAnsi="宋体" w:cs="宋体"/>
          <w:color w:val="auto"/>
          <w:sz w:val="28"/>
          <w:szCs w:val="28"/>
          <w:lang w:val="en-US" w:eastAsia="zh-CN"/>
        </w:rPr>
        <w:t>1</w:t>
      </w:r>
      <w:r>
        <w:rPr>
          <w:rFonts w:hint="eastAsia" w:ascii="宋体" w:hAnsi="宋体" w:cs="宋体"/>
          <w:color w:val="auto"/>
          <w:sz w:val="28"/>
          <w:szCs w:val="28"/>
          <w:lang w:val="zh-CN" w:eastAsia="zh-CN"/>
        </w:rPr>
        <w:t>9年</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月</w:t>
      </w:r>
      <w:r>
        <w:rPr>
          <w:rFonts w:hint="eastAsia" w:ascii="宋体" w:hAnsi="宋体" w:cs="宋体"/>
          <w:color w:val="auto"/>
          <w:sz w:val="28"/>
          <w:szCs w:val="28"/>
          <w:lang w:val="en-US" w:eastAsia="zh-CN"/>
        </w:rPr>
        <w:t>23</w:t>
      </w:r>
      <w:r>
        <w:rPr>
          <w:rFonts w:hint="eastAsia" w:ascii="宋体" w:hAnsi="宋体" w:cs="宋体"/>
          <w:color w:val="auto"/>
          <w:sz w:val="28"/>
          <w:szCs w:val="28"/>
          <w:lang w:val="zh-CN" w:eastAsia="zh-CN"/>
        </w:rPr>
        <w:t>日起修订）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（5）《中华人民共和国突发事件应对法》（中华人民共和国主席令第69号，自2007年11月1日起施行）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（6）《中华人民共和国劳动合同法》（主席令第73号，自2013年7月1日起施行）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（7）《中华人民共和国环境保护法》（主席令第9号，自2015年1月1日起施行）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（8）《中华人民共和国特种设备安全法》（主席令第4号，2014年1月1日起实施）；</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（9）《中华人民共和国防震减灾法》（国家主席令第7号，自2009年5月1日起施行）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（10）《工伤保险条例》（国务院第586号令）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（11）《机关、团体、企业事业单位消防安全管理规定》（公安部第61号令）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（12）《有限空间安全作业五条规定》（国家安监总局令[2014]第69号）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（13）《企业安全生产风险公告六条规定》（国家安监总局令[2014]第70号）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（14）《企业安全生产应急管理九条规定》（国家安监总局令[2015]第74号）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（15）《国家安全监管总局办公厅关于印发用人单位劳动防护用品管理规范的通知》（安监总厅安健〔2015〕124号）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（16）《工作场所职业卫生监督管理规定》（国家安监总局令第47号）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（17）《生产安全事故应急预案管理办法》（国家安全生产监督管理总局令第88号）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（18）《生产经营单位生产安全事故应急预案编制导则》（GB/T29639-2013）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（19）《生产安全事故应急条例》（国令第708号，2019年4月1日起施行）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（20）《生产安全事故应急演练评估规范》（AQ/T9009-2015）</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（21）《生产安全事故应急演练指南》（AQ/T 9007-2011）</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22</w:t>
      </w:r>
      <w:r>
        <w:rPr>
          <w:rFonts w:hint="eastAsia" w:ascii="宋体" w:hAnsi="宋体" w:cs="宋体"/>
          <w:color w:val="auto"/>
          <w:sz w:val="28"/>
          <w:szCs w:val="28"/>
          <w:lang w:val="zh-CN" w:eastAsia="zh-CN"/>
        </w:rPr>
        <w:t>）《危险化学品重大危险源辨识》（GB18218-20</w:t>
      </w:r>
      <w:r>
        <w:rPr>
          <w:rFonts w:hint="eastAsia" w:ascii="宋体" w:hAnsi="宋体" w:cs="宋体"/>
          <w:color w:val="auto"/>
          <w:sz w:val="28"/>
          <w:szCs w:val="28"/>
          <w:lang w:val="en-US" w:eastAsia="zh-CN"/>
        </w:rPr>
        <w:t>18</w:t>
      </w:r>
      <w:r>
        <w:rPr>
          <w:rFonts w:hint="eastAsia" w:ascii="宋体" w:hAnsi="宋体" w:cs="宋体"/>
          <w:color w:val="auto"/>
          <w:sz w:val="28"/>
          <w:szCs w:val="28"/>
          <w:lang w:val="zh-CN" w:eastAsia="zh-CN"/>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）《四川省安全生产条例》（2006年11月30日四川省第十届人大常委会第二十四次会议通过）</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）《危险化学品目录》（2015年版）</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5</w:t>
      </w:r>
      <w:r>
        <w:rPr>
          <w:rFonts w:hint="eastAsia" w:ascii="宋体" w:hAnsi="宋体" w:cs="宋体"/>
          <w:color w:val="auto"/>
          <w:sz w:val="28"/>
          <w:szCs w:val="28"/>
          <w:lang w:val="zh-CN" w:eastAsia="zh-CN"/>
        </w:rPr>
        <w:t>）《易燃易爆性商品储存养护技术条件》（GB17914-2013）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6</w:t>
      </w:r>
      <w:r>
        <w:rPr>
          <w:rFonts w:hint="eastAsia" w:ascii="宋体" w:hAnsi="宋体" w:cs="宋体"/>
          <w:color w:val="auto"/>
          <w:sz w:val="28"/>
          <w:szCs w:val="28"/>
          <w:lang w:val="zh-CN" w:eastAsia="zh-CN"/>
        </w:rPr>
        <w:t>）《四川省生产安全事故应急预案管理实施细则》（川安监〔2018〕43号）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7</w:t>
      </w:r>
      <w:r>
        <w:rPr>
          <w:rFonts w:hint="eastAsia" w:ascii="宋体" w:hAnsi="宋体" w:cs="宋体"/>
          <w:color w:val="auto"/>
          <w:sz w:val="28"/>
          <w:szCs w:val="28"/>
          <w:lang w:val="zh-CN" w:eastAsia="zh-CN"/>
        </w:rPr>
        <w:t>）《成都市安全生产监督管理局关于规范生产安全事故应急预案评审备案工作的通知》成安监函〔2018〕9号</w:t>
      </w:r>
    </w:p>
    <w:p>
      <w:pPr>
        <w:pStyle w:val="5"/>
        <w:spacing w:before="0" w:after="0" w:line="360" w:lineRule="auto"/>
        <w:rPr>
          <w:rFonts w:hint="eastAsia" w:ascii="宋体" w:hAnsi="宋体" w:eastAsia="宋体" w:cs="宋体"/>
          <w:color w:val="auto"/>
          <w:sz w:val="28"/>
          <w:szCs w:val="28"/>
          <w:lang w:val="en-US" w:eastAsia="zh-CN"/>
        </w:rPr>
      </w:pPr>
      <w:bookmarkStart w:id="27" w:name="_Toc31742"/>
      <w:bookmarkStart w:id="28" w:name="_Toc25561"/>
      <w:bookmarkStart w:id="29" w:name="_Toc16426"/>
      <w:r>
        <w:rPr>
          <w:rFonts w:hint="eastAsia" w:ascii="宋体" w:hAnsi="宋体" w:eastAsia="宋体" w:cs="宋体"/>
          <w:color w:val="auto"/>
          <w:sz w:val="28"/>
          <w:szCs w:val="28"/>
          <w:lang w:val="en-US" w:eastAsia="zh-CN"/>
        </w:rPr>
        <w:t>1.2评估目的</w:t>
      </w:r>
      <w:bookmarkEnd w:id="27"/>
      <w:bookmarkEnd w:id="28"/>
      <w:bookmarkEnd w:id="29"/>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为规范</w:t>
      </w:r>
      <w:r>
        <w:rPr>
          <w:rFonts w:hint="eastAsia" w:hAnsi="宋体"/>
          <w:sz w:val="28"/>
          <w:szCs w:val="28"/>
          <w:lang w:eastAsia="zh-CN"/>
        </w:rPr>
        <w:t>公司</w:t>
      </w:r>
      <w:r>
        <w:rPr>
          <w:rFonts w:hint="eastAsia" w:hAnsi="宋体"/>
          <w:sz w:val="28"/>
          <w:szCs w:val="28"/>
        </w:rPr>
        <w:t>风险管理工作，识别和分析生产安全作业中的危险有害因素，消除或减少事故危害，确保安全作业，由</w:t>
      </w:r>
      <w:r>
        <w:rPr>
          <w:rFonts w:hint="eastAsia" w:hAnsi="宋体"/>
          <w:sz w:val="28"/>
          <w:szCs w:val="28"/>
          <w:lang w:eastAsia="zh-CN"/>
        </w:rPr>
        <w:t>公司</w:t>
      </w:r>
      <w:r>
        <w:rPr>
          <w:rFonts w:hint="eastAsia" w:hAnsi="宋体"/>
          <w:sz w:val="28"/>
          <w:szCs w:val="28"/>
        </w:rPr>
        <w:t>风险评价小组进行风险评估。</w:t>
      </w:r>
    </w:p>
    <w:p>
      <w:pPr>
        <w:pStyle w:val="5"/>
        <w:spacing w:before="0" w:after="0" w:line="360" w:lineRule="auto"/>
        <w:rPr>
          <w:rFonts w:hint="eastAsia" w:ascii="宋体" w:hAnsi="宋体" w:eastAsia="宋体" w:cs="宋体"/>
          <w:color w:val="auto"/>
          <w:sz w:val="28"/>
          <w:szCs w:val="28"/>
          <w:lang w:val="en-US" w:eastAsia="zh-CN"/>
        </w:rPr>
      </w:pPr>
      <w:bookmarkStart w:id="30" w:name="_Toc19499"/>
      <w:bookmarkStart w:id="31" w:name="_Toc13318"/>
      <w:bookmarkStart w:id="32" w:name="_Toc12578"/>
      <w:r>
        <w:rPr>
          <w:rFonts w:hint="eastAsia" w:ascii="宋体" w:hAnsi="宋体" w:eastAsia="宋体" w:cs="宋体"/>
          <w:color w:val="auto"/>
          <w:sz w:val="28"/>
          <w:szCs w:val="28"/>
          <w:lang w:val="en-US" w:eastAsia="zh-CN"/>
        </w:rPr>
        <w:t>1.3风险评估范围</w:t>
      </w:r>
      <w:bookmarkEnd w:id="30"/>
      <w:bookmarkEnd w:id="31"/>
      <w:bookmarkEnd w:id="32"/>
      <w:r>
        <w:rPr>
          <w:rFonts w:hint="eastAsia" w:ascii="宋体" w:hAnsi="宋体" w:eastAsia="宋体" w:cs="宋体"/>
          <w:color w:val="auto"/>
          <w:sz w:val="28"/>
          <w:szCs w:val="28"/>
          <w:lang w:val="en-US" w:eastAsia="zh-CN"/>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评估范围主要围绕生产经营活动开展，主要包括</w:t>
      </w:r>
      <w:r>
        <w:rPr>
          <w:rFonts w:hint="eastAsia" w:hAnsi="宋体"/>
          <w:sz w:val="28"/>
          <w:szCs w:val="28"/>
          <w:lang w:eastAsia="zh-CN"/>
        </w:rPr>
        <w:t>公司</w:t>
      </w:r>
      <w:r>
        <w:rPr>
          <w:rFonts w:hint="eastAsia" w:hAnsi="宋体"/>
          <w:sz w:val="28"/>
          <w:szCs w:val="28"/>
        </w:rPr>
        <w:t>在生产经营过程的生产工艺装置和储存设施以及配套的公用工程系统的风险性识别和分析。</w:t>
      </w:r>
    </w:p>
    <w:p>
      <w:pPr>
        <w:pStyle w:val="5"/>
        <w:spacing w:before="0" w:after="0" w:line="360" w:lineRule="auto"/>
        <w:rPr>
          <w:rFonts w:hint="eastAsia" w:ascii="宋体" w:hAnsi="宋体" w:eastAsia="宋体" w:cs="宋体"/>
          <w:sz w:val="28"/>
          <w:szCs w:val="28"/>
        </w:rPr>
      </w:pPr>
      <w:bookmarkStart w:id="33" w:name="_Toc23032"/>
      <w:bookmarkStart w:id="34" w:name="_Toc15923"/>
      <w:bookmarkStart w:id="35" w:name="_Toc21429"/>
      <w:r>
        <w:rPr>
          <w:rFonts w:hint="eastAsia" w:ascii="宋体" w:hAnsi="宋体" w:eastAsia="宋体" w:cs="宋体"/>
          <w:sz w:val="28"/>
          <w:szCs w:val="28"/>
        </w:rPr>
        <w:t>1.4评估程序</w:t>
      </w:r>
      <w:bookmarkEnd w:id="33"/>
      <w:bookmarkEnd w:id="34"/>
      <w:bookmarkEnd w:id="35"/>
      <w:r>
        <w:rPr>
          <w:rFonts w:hint="eastAsia" w:ascii="宋体" w:hAnsi="宋体" w:eastAsia="宋体" w:cs="宋体"/>
          <w:sz w:val="28"/>
          <w:szCs w:val="28"/>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1、成立风险评估小组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2、收集分析资料、现场勘察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3、组织进行风险识别和评估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4、评估汇总交</w:t>
      </w:r>
      <w:r>
        <w:rPr>
          <w:rFonts w:hint="eastAsia" w:hAnsi="宋体"/>
          <w:sz w:val="28"/>
          <w:szCs w:val="28"/>
          <w:lang w:eastAsia="zh-CN"/>
        </w:rPr>
        <w:t>公司</w:t>
      </w:r>
      <w:r>
        <w:rPr>
          <w:rFonts w:hint="eastAsia" w:hAnsi="宋体"/>
          <w:sz w:val="28"/>
          <w:szCs w:val="28"/>
        </w:rPr>
        <w:t xml:space="preserve">主要负责人批准 </w:t>
      </w:r>
    </w:p>
    <w:p>
      <w:pPr>
        <w:rPr>
          <w:rFonts w:hint="eastAsia" w:ascii="黑体" w:hAnsi="宋体" w:eastAsia="黑体"/>
          <w:b/>
          <w:color w:val="auto"/>
          <w:sz w:val="32"/>
          <w:szCs w:val="32"/>
          <w:lang w:val="en-US" w:eastAsia="zh-CN"/>
        </w:rPr>
      </w:pPr>
      <w:r>
        <w:rPr>
          <w:rFonts w:hint="eastAsia" w:ascii="黑体" w:hAnsi="宋体" w:eastAsia="黑体"/>
          <w:b/>
          <w:color w:val="auto"/>
          <w:sz w:val="32"/>
          <w:szCs w:val="32"/>
          <w:lang w:val="en-US" w:eastAsia="zh-CN"/>
        </w:rPr>
        <w:br w:type="page"/>
      </w:r>
    </w:p>
    <w:p>
      <w:pPr>
        <w:numPr>
          <w:ilvl w:val="0"/>
          <w:numId w:val="0"/>
        </w:numPr>
        <w:spacing w:line="360" w:lineRule="auto"/>
        <w:jc w:val="center"/>
        <w:outlineLvl w:val="0"/>
        <w:rPr>
          <w:rFonts w:hint="eastAsia" w:ascii="黑体" w:hAnsi="宋体" w:eastAsia="黑体"/>
          <w:b/>
          <w:color w:val="auto"/>
          <w:sz w:val="32"/>
          <w:szCs w:val="32"/>
        </w:rPr>
      </w:pPr>
      <w:bookmarkStart w:id="36" w:name="_Toc25728"/>
      <w:r>
        <w:rPr>
          <w:rFonts w:hint="eastAsia" w:ascii="黑体" w:hAnsi="宋体" w:eastAsia="黑体"/>
          <w:b/>
          <w:color w:val="auto"/>
          <w:sz w:val="32"/>
          <w:szCs w:val="32"/>
          <w:lang w:val="en-US" w:eastAsia="zh-CN"/>
        </w:rPr>
        <w:t>2</w:t>
      </w:r>
      <w:r>
        <w:rPr>
          <w:rFonts w:hint="eastAsia" w:ascii="黑体" w:hAnsi="宋体" w:eastAsia="黑体"/>
          <w:b/>
          <w:color w:val="auto"/>
          <w:sz w:val="32"/>
          <w:szCs w:val="32"/>
        </w:rPr>
        <w:t>公司概况</w:t>
      </w:r>
      <w:bookmarkEnd w:id="0"/>
      <w:bookmarkEnd w:id="36"/>
    </w:p>
    <w:p>
      <w:pPr>
        <w:pStyle w:val="5"/>
        <w:spacing w:before="0" w:after="0" w:line="360" w:lineRule="auto"/>
        <w:rPr>
          <w:rFonts w:hint="eastAsia" w:ascii="宋体" w:hAnsi="宋体" w:eastAsia="宋体" w:cs="宋体"/>
          <w:color w:val="auto"/>
          <w:sz w:val="28"/>
          <w:szCs w:val="28"/>
        </w:rPr>
      </w:pPr>
      <w:bookmarkStart w:id="37" w:name="_Toc332285103"/>
      <w:bookmarkStart w:id="38" w:name="_Toc4724"/>
      <w:bookmarkStart w:id="39" w:name="_Toc176022617"/>
      <w:bookmarkStart w:id="40" w:name="_Toc17255"/>
      <w:bookmarkStart w:id="41" w:name="_Toc514342838"/>
      <w:bookmarkStart w:id="42" w:name="_Toc480804386"/>
      <w:bookmarkStart w:id="43" w:name="_Toc485656588"/>
      <w:r>
        <w:rPr>
          <w:rFonts w:hint="eastAsia" w:ascii="宋体" w:hAnsi="宋体" w:eastAsia="宋体" w:cs="宋体"/>
          <w:color w:val="auto"/>
          <w:sz w:val="28"/>
          <w:szCs w:val="28"/>
        </w:rPr>
        <w:t>2.1 公司概况</w:t>
      </w:r>
      <w:bookmarkEnd w:id="37"/>
      <w:bookmarkEnd w:id="38"/>
      <w:bookmarkEnd w:id="39"/>
      <w:bookmarkEnd w:id="40"/>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07"/>
        <w:gridCol w:w="1643"/>
        <w:gridCol w:w="366"/>
        <w:gridCol w:w="113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单位</w:t>
            </w:r>
            <w:r>
              <w:rPr>
                <w:rFonts w:hint="eastAsia" w:hAnsi="宋体" w:eastAsia="Times New Roman" w:cs="宋体"/>
                <w:color w:val="FF0000"/>
                <w:kern w:val="2"/>
                <w:sz w:val="28"/>
                <w:szCs w:val="28"/>
                <w:lang w:val="zh-CN" w:eastAsia="zh-CN" w:bidi="ar-SA"/>
              </w:rPr>
              <w:t>名称</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hAnsi="宋体" w:eastAsia="Times New Roman" w:cs="宋体"/>
                <w:color w:val="FF0000"/>
                <w:kern w:val="2"/>
                <w:sz w:val="28"/>
                <w:szCs w:val="28"/>
                <w:lang w:val="zh-CN" w:eastAsia="zh-CN" w:bidi="ar-SA"/>
              </w:rPr>
              <w:t>仪陇县立山镇红旗页岩砖厂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法人代表</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FF0000"/>
                <w:kern w:val="2"/>
                <w:sz w:val="28"/>
                <w:szCs w:val="28"/>
                <w:lang w:val="zh-CN" w:eastAsia="zh-CN" w:bidi="ar-SA"/>
              </w:rPr>
            </w:pPr>
            <w:r>
              <w:rPr>
                <w:rFonts w:hint="eastAsia" w:ascii="仿宋_GB2312"/>
                <w:snapToGrid w:val="0"/>
                <w:color w:val="FF0000"/>
                <w:kern w:val="0"/>
                <w:sz w:val="28"/>
                <w:szCs w:val="28"/>
                <w:lang w:val="en-US" w:eastAsia="zh-CN"/>
              </w:rPr>
              <w:t>邱亮</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联系电话</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FF0000"/>
                <w:kern w:val="2"/>
                <w:sz w:val="28"/>
                <w:szCs w:val="28"/>
                <w:lang w:val="en-US" w:eastAsia="zh-CN" w:bidi="ar-SA"/>
              </w:rPr>
            </w:pPr>
            <w:r>
              <w:rPr>
                <w:rFonts w:hint="eastAsia" w:hAnsi="宋体" w:eastAsia="Times New Roman" w:cs="宋体"/>
                <w:color w:val="FF0000"/>
                <w:kern w:val="2"/>
                <w:sz w:val="28"/>
                <w:szCs w:val="28"/>
                <w:lang w:val="en-US" w:eastAsia="zh-CN" w:bidi="ar-SA"/>
              </w:rPr>
              <w:t>13540588678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hAnsi="宋体" w:eastAsia="Times New Roman" w:cs="宋体"/>
                <w:color w:val="FF0000"/>
                <w:kern w:val="2"/>
                <w:sz w:val="28"/>
                <w:szCs w:val="28"/>
                <w:lang w:val="zh-CN" w:eastAsia="zh-CN" w:bidi="ar-SA"/>
              </w:rPr>
              <w:t>联系人</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FF0000"/>
                <w:kern w:val="2"/>
                <w:sz w:val="28"/>
                <w:szCs w:val="28"/>
                <w:lang w:val="zh-CN" w:eastAsia="zh-CN" w:bidi="ar-SA"/>
              </w:rPr>
            </w:pPr>
            <w:r>
              <w:rPr>
                <w:rFonts w:hint="eastAsia" w:hAnsi="宋体" w:eastAsia="Times New Roman" w:cs="宋体"/>
                <w:color w:val="FF0000"/>
                <w:kern w:val="2"/>
                <w:sz w:val="28"/>
                <w:szCs w:val="28"/>
                <w:lang w:val="zh-CN" w:eastAsia="zh-CN" w:bidi="ar-SA"/>
              </w:rPr>
              <w:t>邱亮</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成立时间</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FF0000"/>
                <w:kern w:val="2"/>
                <w:sz w:val="28"/>
                <w:szCs w:val="28"/>
                <w:lang w:val="en-US" w:eastAsia="zh-CN" w:bidi="ar-SA"/>
              </w:rPr>
            </w:pPr>
            <w:r>
              <w:rPr>
                <w:rFonts w:hint="eastAsia" w:hAnsi="宋体" w:eastAsia="Times New Roman" w:cs="宋体"/>
                <w:color w:val="FF0000"/>
                <w:kern w:val="2"/>
                <w:sz w:val="28"/>
                <w:szCs w:val="28"/>
                <w:lang w:val="en-US" w:eastAsia="zh-CN" w:bidi="ar-SA"/>
              </w:rPr>
              <w:t>2010年07月09日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企业性质</w:t>
            </w:r>
          </w:p>
        </w:tc>
        <w:tc>
          <w:tcPr>
            <w:tcW w:w="190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宋体" w:cs="宋体"/>
                <w:color w:val="FF0000"/>
                <w:kern w:val="2"/>
                <w:sz w:val="28"/>
                <w:szCs w:val="28"/>
                <w:lang w:val="en-US" w:eastAsia="zh-CN" w:bidi="ar-SA"/>
              </w:rPr>
            </w:pPr>
            <w:r>
              <w:rPr>
                <w:rFonts w:hint="eastAsia" w:hAnsi="宋体" w:eastAsia="Times New Roman" w:cs="宋体"/>
                <w:color w:val="FF0000"/>
                <w:kern w:val="2"/>
                <w:sz w:val="28"/>
                <w:szCs w:val="28"/>
                <w:lang w:val="en-US" w:eastAsia="zh-CN" w:bidi="ar-SA"/>
              </w:rPr>
              <w:t>个人</w:t>
            </w:r>
            <w:r>
              <w:rPr>
                <w:rFonts w:hint="eastAsia" w:hAnsi="宋体" w:cs="宋体"/>
                <w:color w:val="FF0000"/>
                <w:kern w:val="2"/>
                <w:sz w:val="28"/>
                <w:szCs w:val="28"/>
                <w:lang w:val="en-US" w:eastAsia="zh-CN" w:bidi="ar-SA"/>
              </w:rPr>
              <w:t>独资企业</w:t>
            </w:r>
          </w:p>
        </w:tc>
        <w:tc>
          <w:tcPr>
            <w:tcW w:w="2009"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FF0000"/>
                <w:kern w:val="2"/>
                <w:sz w:val="28"/>
                <w:szCs w:val="28"/>
                <w:lang w:val="zh-CN" w:eastAsia="zh-CN" w:bidi="ar-SA"/>
              </w:rPr>
            </w:pPr>
            <w:r>
              <w:rPr>
                <w:rFonts w:hint="eastAsia" w:hAnsi="宋体" w:eastAsia="Times New Roman" w:cs="宋体"/>
                <w:color w:val="FF0000"/>
                <w:kern w:val="2"/>
                <w:sz w:val="28"/>
                <w:szCs w:val="28"/>
                <w:lang w:val="en-US" w:eastAsia="zh-CN" w:bidi="ar-SA"/>
              </w:rPr>
              <w:t>注册号</w:t>
            </w:r>
          </w:p>
        </w:tc>
        <w:tc>
          <w:tcPr>
            <w:tcW w:w="3096"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ourier New"/>
                <w:snapToGrid w:val="0"/>
                <w:color w:val="FF0000"/>
                <w:kern w:val="0"/>
                <w:sz w:val="28"/>
                <w:szCs w:val="28"/>
                <w:lang w:val="zh-CN" w:eastAsia="zh-CN"/>
              </w:rPr>
            </w:pPr>
            <w:r>
              <w:rPr>
                <w:rFonts w:hint="eastAsia" w:ascii="仿宋_GB2312" w:hAnsi="Times New Roman" w:eastAsia="仿宋_GB2312"/>
                <w:snapToGrid w:val="0"/>
                <w:kern w:val="0"/>
                <w:sz w:val="28"/>
                <w:szCs w:val="28"/>
                <w:lang w:val="en-US" w:eastAsia="zh-CN" w:bidi="ar-SA"/>
              </w:rPr>
              <w:t>92511324</w:t>
            </w:r>
            <w:r>
              <w:rPr>
                <w:rFonts w:hint="eastAsia" w:ascii="仿宋_GB2312" w:hAnsi="Times New Roman"/>
                <w:snapToGrid w:val="0"/>
                <w:kern w:val="0"/>
                <w:sz w:val="28"/>
                <w:szCs w:val="28"/>
                <w:lang w:val="en-US" w:eastAsia="zh-CN" w:bidi="ar-SA"/>
              </w:rPr>
              <w:t>73484769XP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通讯地址</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FF0000"/>
                <w:kern w:val="2"/>
                <w:sz w:val="28"/>
                <w:szCs w:val="28"/>
                <w:lang w:val="zh-CN" w:eastAsia="zh-CN" w:bidi="ar-SA"/>
              </w:rPr>
            </w:pPr>
            <w:r>
              <w:rPr>
                <w:rFonts w:hint="eastAsia" w:ascii="仿宋_GB2312"/>
                <w:snapToGrid w:val="0"/>
                <w:kern w:val="0"/>
                <w:sz w:val="28"/>
                <w:szCs w:val="28"/>
                <w:lang w:val="en-US" w:eastAsia="zh-CN"/>
              </w:rPr>
              <w:t>仪陇县立山镇久阳山村六社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行业类别及代码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FF0000"/>
                <w:kern w:val="2"/>
                <w:sz w:val="28"/>
                <w:szCs w:val="28"/>
                <w:lang w:val="en-US" w:eastAsia="zh-CN" w:bidi="ar-SA"/>
              </w:rPr>
            </w:pPr>
            <w:r>
              <w:rPr>
                <w:rFonts w:hint="eastAsia" w:hAnsi="宋体" w:eastAsia="Times New Roman" w:cs="宋体"/>
                <w:color w:val="FF0000"/>
                <w:kern w:val="2"/>
                <w:sz w:val="28"/>
                <w:szCs w:val="28"/>
                <w:lang w:val="zh-CN" w:eastAsia="zh-CN" w:bidi="ar-SA"/>
              </w:rPr>
              <w:t>C</w:t>
            </w:r>
            <w:r>
              <w:rPr>
                <w:rFonts w:hint="eastAsia" w:hAnsi="宋体" w:eastAsia="Times New Roman" w:cs="宋体"/>
                <w:color w:val="FF0000"/>
                <w:kern w:val="2"/>
                <w:sz w:val="28"/>
                <w:szCs w:val="28"/>
                <w:lang w:val="en-US" w:eastAsia="en-US" w:bidi="ar-SA"/>
              </w:rPr>
              <w:t>3031</w:t>
            </w:r>
            <w:r>
              <w:rPr>
                <w:rFonts w:hint="eastAsia" w:hAnsi="宋体" w:eastAsia="Times New Roman" w:cs="宋体"/>
                <w:color w:val="FF0000"/>
                <w:kern w:val="2"/>
                <w:sz w:val="28"/>
                <w:szCs w:val="28"/>
                <w:lang w:val="zh-CN" w:eastAsia="zh-CN" w:bidi="ar-SA"/>
              </w:rPr>
              <w:t>粘土砖瓦及建筑砌块制造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企业规模</w:t>
            </w:r>
          </w:p>
        </w:tc>
        <w:tc>
          <w:tcPr>
            <w:tcW w:w="3550"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en-US" w:eastAsia="zh-CN" w:bidi="ar-SA"/>
              </w:rPr>
            </w:pPr>
            <w:r>
              <w:rPr>
                <w:rFonts w:hint="eastAsia" w:hAnsi="宋体" w:cs="宋体"/>
                <w:color w:val="FF0000"/>
                <w:lang w:val="en-US" w:eastAsia="zh-CN"/>
              </w:rPr>
              <w:t>30</w:t>
            </w:r>
            <w:r>
              <w:rPr>
                <w:rFonts w:hint="eastAsia" w:ascii="宋体" w:hAnsi="宋体" w:eastAsia="宋体" w:cs="宋体"/>
                <w:color w:val="FF0000"/>
              </w:rPr>
              <w:t>00万标砖/年</w:t>
            </w:r>
          </w:p>
        </w:tc>
        <w:tc>
          <w:tcPr>
            <w:tcW w:w="1500"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ascii="宋体" w:hAnsi="宋体" w:eastAsia="Times New Roman" w:cs="宋体"/>
                <w:color w:val="FF0000"/>
                <w:kern w:val="2"/>
                <w:sz w:val="28"/>
                <w:szCs w:val="28"/>
                <w:lang w:val="zh-CN" w:eastAsia="zh-CN" w:bidi="ar-SA"/>
              </w:rPr>
              <w:t>占地面积</w:t>
            </w:r>
          </w:p>
        </w:tc>
        <w:tc>
          <w:tcPr>
            <w:tcW w:w="19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FF0000"/>
                <w:kern w:val="2"/>
                <w:sz w:val="28"/>
                <w:szCs w:val="28"/>
                <w:lang w:val="zh-CN" w:eastAsia="zh-CN" w:bidi="ar-SA"/>
              </w:rPr>
            </w:pPr>
            <w:r>
              <w:rPr>
                <w:rFonts w:hint="eastAsia" w:hAnsi="宋体" w:cs="宋体"/>
                <w:color w:val="FF0000"/>
                <w:lang w:val="en-US" w:eastAsia="zh-CN"/>
              </w:rPr>
              <w:t>18000</w:t>
            </w:r>
            <w:r>
              <w:rPr>
                <w:rFonts w:hint="eastAsia" w:ascii="宋体" w:hAnsi="宋体" w:eastAsia="宋体" w:cs="宋体"/>
                <w:color w:val="FF0000"/>
              </w:rPr>
              <w:t>m</w:t>
            </w:r>
            <w:r>
              <w:rPr>
                <w:rFonts w:hint="eastAsia" w:ascii="宋体" w:hAnsi="宋体" w:eastAsia="宋体" w:cs="宋体"/>
                <w:color w:val="FF0000"/>
                <w:vertAlign w:val="superscript"/>
              </w:rPr>
              <w:t>2</w:t>
            </w:r>
          </w:p>
        </w:tc>
      </w:tr>
    </w:tbl>
    <w:p>
      <w:pPr>
        <w:pStyle w:val="12"/>
        <w:spacing w:line="240" w:lineRule="auto"/>
        <w:ind w:firstLine="482" w:firstLineChars="200"/>
        <w:jc w:val="center"/>
        <w:rPr>
          <w:rFonts w:hint="eastAsia" w:ascii="黑体" w:hAnsi="Courier New" w:eastAsia="黑体"/>
          <w:b/>
          <w:color w:val="auto"/>
          <w:sz w:val="24"/>
        </w:rPr>
      </w:pPr>
      <w:bookmarkStart w:id="44" w:name="_Toc332285104"/>
      <w:r>
        <w:rPr>
          <w:rFonts w:hint="eastAsia" w:ascii="黑体" w:hAnsi="Courier New" w:eastAsia="黑体"/>
          <w:b/>
          <w:color w:val="auto"/>
          <w:sz w:val="24"/>
        </w:rPr>
        <w:t>表2-1 单位基本情况一览表</w:t>
      </w:r>
    </w:p>
    <w:p>
      <w:pPr>
        <w:spacing w:line="360" w:lineRule="auto"/>
        <w:ind w:firstLine="560" w:firstLineChars="200"/>
        <w:rPr>
          <w:rFonts w:hint="eastAsia" w:ascii="仿宋_GB2312"/>
          <w:snapToGrid w:val="0"/>
          <w:kern w:val="0"/>
          <w:sz w:val="28"/>
          <w:szCs w:val="28"/>
          <w:lang w:val="en-US" w:eastAsia="zh-CN"/>
        </w:rPr>
      </w:pPr>
      <w:r>
        <w:rPr>
          <w:rFonts w:hint="eastAsia" w:ascii="仿宋_GB2312"/>
          <w:snapToGrid w:val="0"/>
          <w:kern w:val="0"/>
          <w:sz w:val="28"/>
          <w:szCs w:val="28"/>
          <w:lang w:val="en-US" w:eastAsia="zh-CN"/>
        </w:rPr>
        <w:t>仪陇县立山镇红旗页岩砖厂于2010年成立，位于仪陇县立山镇久阳山村六社。现有15人，安全生产管理人员由于总经理邱亮、厂长杨升华、吴佳琪、唐斌、王桂华等组成。公司生产规模：年产3000万匹页岩砖。</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年生产工作日为3</w:t>
      </w:r>
      <w:r>
        <w:rPr>
          <w:rFonts w:hint="eastAsia" w:ascii="宋体" w:hAnsi="宋体" w:cs="宋体"/>
          <w:color w:val="auto"/>
          <w:sz w:val="28"/>
          <w:szCs w:val="28"/>
          <w:lang w:val="en-US" w:eastAsia="zh-CN"/>
        </w:rPr>
        <w:t>30</w:t>
      </w:r>
      <w:r>
        <w:rPr>
          <w:rFonts w:hint="eastAsia" w:ascii="宋体" w:hAnsi="宋体" w:cs="宋体"/>
          <w:color w:val="auto"/>
          <w:sz w:val="28"/>
          <w:szCs w:val="28"/>
          <w:lang w:val="zh-CN" w:eastAsia="zh-CN"/>
        </w:rPr>
        <w:t>天。焙烧窑24小时燃烧，员工采取白班工作制（每班工作8小时）。</w:t>
      </w:r>
    </w:p>
    <w:p>
      <w:pPr>
        <w:pStyle w:val="5"/>
        <w:spacing w:before="0" w:after="0" w:line="360" w:lineRule="auto"/>
        <w:rPr>
          <w:rFonts w:hint="eastAsia" w:ascii="宋体" w:hAnsi="宋体" w:eastAsia="宋体" w:cs="宋体"/>
          <w:color w:val="000000"/>
          <w:sz w:val="28"/>
          <w:szCs w:val="28"/>
        </w:rPr>
      </w:pPr>
      <w:bookmarkStart w:id="45" w:name="_Toc23447"/>
      <w:bookmarkStart w:id="46" w:name="_Toc3668"/>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公司地理位置及环境等情况</w:t>
      </w:r>
      <w:bookmarkEnd w:id="44"/>
      <w:bookmarkEnd w:id="45"/>
      <w:bookmarkEnd w:id="46"/>
    </w:p>
    <w:p>
      <w:pPr>
        <w:spacing w:line="360" w:lineRule="auto"/>
        <w:ind w:firstLine="560" w:firstLineChars="200"/>
        <w:rPr>
          <w:rFonts w:hint="eastAsia" w:ascii="仿宋_GB2312"/>
          <w:snapToGrid w:val="0"/>
          <w:kern w:val="0"/>
          <w:sz w:val="28"/>
          <w:szCs w:val="28"/>
          <w:lang w:val="zh-CN" w:eastAsia="zh-CN"/>
        </w:rPr>
      </w:pPr>
      <w:r>
        <w:rPr>
          <w:rFonts w:hint="eastAsia" w:ascii="仿宋_GB2312"/>
          <w:snapToGrid w:val="0"/>
          <w:kern w:val="0"/>
          <w:sz w:val="28"/>
          <w:szCs w:val="28"/>
          <w:lang w:val="en-US" w:eastAsia="zh-CN"/>
        </w:rPr>
        <w:t>仪陇县立山镇红旗页岩砖厂</w:t>
      </w:r>
      <w:r>
        <w:rPr>
          <w:rFonts w:hint="eastAsia" w:ascii="仿宋_GB2312"/>
          <w:snapToGrid w:val="0"/>
          <w:kern w:val="0"/>
          <w:sz w:val="28"/>
          <w:szCs w:val="28"/>
          <w:lang w:val="zh-CN" w:eastAsia="zh-CN"/>
        </w:rPr>
        <w:t>行政区划隶属仪陇县立山镇，立山镇归属四川省南充市仪陇县管辖，位于东经106°45' 06"～106°52' 49"，北纬31°22' 31"～31°29' 45"。位于仪陇县东北部，西接龙桥乡，北连瓦子镇，东邻平昌县南风乡，南靠营山县柏林乡。距县城90公里，幅员面积8410公顷，最高海拔793米（立山寨，为县域内海拔最高地）。下辖39个行政村，238个村民小组，1个居委会。马（鞍）瓦（子）公路直穿境内。</w:t>
      </w:r>
    </w:p>
    <w:p>
      <w:pPr>
        <w:pStyle w:val="2"/>
        <w:ind w:left="0" w:leftChars="0" w:firstLine="0" w:firstLineChars="0"/>
        <w:rPr>
          <w:color w:val="000000"/>
        </w:rPr>
      </w:pPr>
      <w:r>
        <w:rPr>
          <w:color w:val="000000"/>
          <w:sz w:val="72"/>
        </w:rPr>
        <mc:AlternateContent>
          <mc:Choice Requires="wps">
            <w:drawing>
              <wp:anchor distT="0" distB="0" distL="114300" distR="114300" simplePos="0" relativeHeight="251663360" behindDoc="0" locked="0" layoutInCell="1" allowOverlap="1">
                <wp:simplePos x="0" y="0"/>
                <wp:positionH relativeFrom="column">
                  <wp:posOffset>2919730</wp:posOffset>
                </wp:positionH>
                <wp:positionV relativeFrom="paragraph">
                  <wp:posOffset>2083435</wp:posOffset>
                </wp:positionV>
                <wp:extent cx="1704975" cy="278130"/>
                <wp:effectExtent l="4445" t="5080" r="12700" b="143510"/>
                <wp:wrapNone/>
                <wp:docPr id="5" name="圆角矩形标注 5"/>
                <wp:cNvGraphicFramePr/>
                <a:graphic xmlns:a="http://schemas.openxmlformats.org/drawingml/2006/main">
                  <a:graphicData uri="http://schemas.microsoft.com/office/word/2010/wordprocessingShape">
                    <wps:wsp>
                      <wps:cNvSpPr/>
                      <wps:spPr>
                        <a:xfrm>
                          <a:off x="0" y="0"/>
                          <a:ext cx="1704975" cy="278130"/>
                        </a:xfrm>
                        <a:prstGeom prst="wedgeRoundRectCallout">
                          <a:avLst>
                            <a:gd name="adj1" fmla="val -48347"/>
                            <a:gd name="adj2" fmla="val 97718"/>
                            <a:gd name="adj3" fmla="val 16667"/>
                          </a:avLst>
                        </a:prstGeom>
                        <a:noFill/>
                        <a:ln w="9525" cap="flat" cmpd="sng">
                          <a:solidFill>
                            <a:srgbClr val="000000"/>
                          </a:solidFill>
                          <a:prstDash val="solid"/>
                          <a:miter/>
                          <a:headEnd type="none" w="med" len="med"/>
                          <a:tailEnd type="none" w="med" len="med"/>
                        </a:ln>
                      </wps:spPr>
                      <wps:txbx>
                        <w:txbxContent>
                          <w:p>
                            <w:pPr>
                              <w:rPr>
                                <w:color w:val="FF0000"/>
                                <w:sz w:val="18"/>
                                <w:szCs w:val="18"/>
                              </w:rPr>
                            </w:pPr>
                            <w:r>
                              <w:rPr>
                                <w:rFonts w:hint="eastAsia" w:ascii="宋体" w:hAnsi="宋体" w:cs="宋体"/>
                                <w:color w:val="FF0000"/>
                                <w:sz w:val="18"/>
                                <w:szCs w:val="18"/>
                                <w:lang w:val="zh-CN" w:eastAsia="zh-CN"/>
                              </w:rPr>
                              <w:t>仪陇县立山镇红旗页岩砖厂</w:t>
                            </w:r>
                          </w:p>
                        </w:txbxContent>
                      </wps:txbx>
                      <wps:bodyPr upright="1"/>
                    </wps:wsp>
                  </a:graphicData>
                </a:graphic>
              </wp:anchor>
            </w:drawing>
          </mc:Choice>
          <mc:Fallback>
            <w:pict>
              <v:shape id="_x0000_s1026" o:spid="_x0000_s1026" o:spt="62" type="#_x0000_t62" style="position:absolute;left:0pt;margin-left:229.9pt;margin-top:164.05pt;height:21.9pt;width:134.25pt;z-index:251663360;mso-width-relative:page;mso-height-relative:page;" filled="f" stroked="t" coordsize="21600,21600" o:gfxdata="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buj9sAAAALAQAADwAAAAAAAAABACAAAAAiAAAAZHJzL2Rvd25yZXYu&#10;eG1sUEsBAhQAFAAAAAgAh07iQLjEC7IxAgAARQQAAA4AAAAAAAAAAQAgAAAAKgEAAGRycy9lMm9E&#10;b2MueG1sUEsFBgAAAAAGAAYAWQEAAM0FAAAAAA==&#10;" adj="357,31907,14400">
                <v:fill on="f" focussize="0,0"/>
                <v:stroke color="#000000" joinstyle="miter"/>
                <v:imagedata o:title=""/>
                <o:lock v:ext="edit" aspectratio="f"/>
                <v:textbox>
                  <w:txbxContent>
                    <w:p>
                      <w:pPr>
                        <w:rPr>
                          <w:color w:val="FF0000"/>
                          <w:sz w:val="18"/>
                          <w:szCs w:val="18"/>
                        </w:rPr>
                      </w:pPr>
                      <w:r>
                        <w:rPr>
                          <w:rFonts w:hint="eastAsia" w:ascii="宋体" w:hAnsi="宋体" w:cs="宋体"/>
                          <w:color w:val="FF0000"/>
                          <w:sz w:val="18"/>
                          <w:szCs w:val="18"/>
                          <w:lang w:val="zh-CN" w:eastAsia="zh-CN"/>
                        </w:rPr>
                        <w:t>仪陇县立山镇红旗页岩砖厂</w:t>
                      </w:r>
                    </w:p>
                  </w:txbxContent>
                </v:textbox>
              </v:shape>
            </w:pict>
          </mc:Fallback>
        </mc:AlternateContent>
      </w:r>
      <w:r>
        <w:drawing>
          <wp:inline distT="0" distB="0" distL="114300" distR="114300">
            <wp:extent cx="5861050" cy="3821430"/>
            <wp:effectExtent l="0" t="0" r="6350" b="38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5861050" cy="3821430"/>
                    </a:xfrm>
                    <a:prstGeom prst="rect">
                      <a:avLst/>
                    </a:prstGeom>
                    <a:noFill/>
                    <a:ln>
                      <a:noFill/>
                    </a:ln>
                  </pic:spPr>
                </pic:pic>
              </a:graphicData>
            </a:graphic>
          </wp:inline>
        </w:drawing>
      </w:r>
    </w:p>
    <w:p>
      <w:pPr>
        <w:pStyle w:val="12"/>
        <w:spacing w:line="240" w:lineRule="auto"/>
        <w:ind w:firstLine="482" w:firstLineChars="200"/>
        <w:jc w:val="center"/>
        <w:rPr>
          <w:rFonts w:hint="eastAsia" w:ascii="黑体" w:hAnsi="Courier New" w:eastAsia="黑体"/>
          <w:b/>
          <w:color w:val="000000"/>
          <w:sz w:val="24"/>
          <w:lang w:eastAsia="zh-CN"/>
        </w:rPr>
      </w:pPr>
      <w:bookmarkStart w:id="47" w:name="_Toc26359"/>
      <w:bookmarkStart w:id="48" w:name="_Toc332285105"/>
      <w:r>
        <w:rPr>
          <w:rFonts w:hint="eastAsia" w:ascii="黑体" w:hAnsi="Courier New" w:eastAsia="黑体"/>
          <w:b/>
          <w:color w:val="000000"/>
          <w:sz w:val="24"/>
          <w:lang w:eastAsia="zh-CN"/>
        </w:rPr>
        <w:t>图2-1 地理位置图</w:t>
      </w:r>
      <w:bookmarkEnd w:id="47"/>
    </w:p>
    <w:p>
      <w:pPr>
        <w:pStyle w:val="5"/>
        <w:spacing w:before="0" w:after="0" w:line="360" w:lineRule="auto"/>
        <w:rPr>
          <w:rFonts w:hint="eastAsia" w:ascii="宋体" w:hAnsi="宋体" w:eastAsia="宋体" w:cs="宋体"/>
          <w:color w:val="000000"/>
          <w:sz w:val="28"/>
          <w:szCs w:val="28"/>
          <w:lang w:val="en-US" w:eastAsia="zh-CN"/>
        </w:rPr>
      </w:pPr>
      <w:bookmarkStart w:id="49" w:name="_Toc10650"/>
      <w:bookmarkStart w:id="50" w:name="_Toc29661"/>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val="zh-CN"/>
        </w:rPr>
        <w:t>总体布置</w:t>
      </w:r>
      <w:bookmarkEnd w:id="49"/>
      <w:bookmarkEnd w:id="50"/>
    </w:p>
    <w:p>
      <w:pPr>
        <w:spacing w:line="360" w:lineRule="auto"/>
        <w:ind w:firstLine="562" w:firstLineChars="200"/>
        <w:rPr>
          <w:rFonts w:hint="eastAsia" w:ascii="宋体"/>
          <w:b/>
          <w:bCs/>
          <w:snapToGrid w:val="0"/>
          <w:color w:val="000000"/>
          <w:kern w:val="0"/>
          <w:sz w:val="28"/>
          <w:szCs w:val="28"/>
          <w:lang w:val="en-US" w:eastAsia="en-US"/>
        </w:rPr>
      </w:pPr>
      <w:r>
        <w:rPr>
          <w:rFonts w:hint="eastAsia" w:ascii="宋体" w:eastAsia="宋体"/>
          <w:b/>
          <w:bCs/>
          <w:snapToGrid w:val="0"/>
          <w:color w:val="000000"/>
          <w:kern w:val="0"/>
          <w:sz w:val="28"/>
          <w:szCs w:val="28"/>
          <w:lang w:val="en-US" w:eastAsia="zh-CN"/>
        </w:rPr>
        <w:t>1、</w:t>
      </w:r>
      <w:r>
        <w:rPr>
          <w:rFonts w:hint="eastAsia" w:ascii="宋体"/>
          <w:b/>
          <w:bCs/>
          <w:snapToGrid w:val="0"/>
          <w:color w:val="000000"/>
          <w:kern w:val="0"/>
          <w:sz w:val="28"/>
          <w:szCs w:val="28"/>
          <w:lang w:val="zh-CN" w:eastAsia="zh-CN"/>
        </w:rPr>
        <w:t>总平面布置</w:t>
      </w:r>
    </w:p>
    <w:p>
      <w:pPr>
        <w:spacing w:line="360" w:lineRule="auto"/>
        <w:ind w:firstLine="560" w:firstLineChars="200"/>
        <w:rPr>
          <w:rFonts w:hint="eastAsia" w:ascii="宋体" w:hAnsi="宋体" w:cs="宋体"/>
          <w:color w:val="FF0000"/>
          <w:sz w:val="28"/>
          <w:szCs w:val="28"/>
          <w:lang w:val="zh-CN" w:eastAsia="zh-CN"/>
        </w:rPr>
      </w:pPr>
      <w:r>
        <w:rPr>
          <w:rFonts w:hint="eastAsia" w:ascii="宋体" w:hAnsi="宋体" w:cs="宋体"/>
          <w:color w:val="FF0000"/>
          <w:sz w:val="28"/>
          <w:szCs w:val="28"/>
          <w:lang w:val="en-US" w:eastAsia="zh-CN"/>
        </w:rPr>
        <w:t>本砖厂</w:t>
      </w:r>
      <w:r>
        <w:rPr>
          <w:rFonts w:hint="eastAsia" w:ascii="宋体" w:hAnsi="宋体" w:cs="宋体"/>
          <w:color w:val="FF0000"/>
          <w:sz w:val="28"/>
          <w:szCs w:val="28"/>
          <w:lang w:val="zh-CN" w:eastAsia="zh-CN"/>
        </w:rPr>
        <w:t>占地面积为</w:t>
      </w:r>
      <w:r>
        <w:rPr>
          <w:rFonts w:hint="eastAsia" w:ascii="宋体" w:hAnsi="宋体" w:cs="宋体"/>
          <w:color w:val="FF0000"/>
          <w:sz w:val="28"/>
          <w:szCs w:val="28"/>
          <w:lang w:val="en-US" w:eastAsia="zh-CN"/>
        </w:rPr>
        <w:t>180</w:t>
      </w:r>
      <w:r>
        <w:rPr>
          <w:rFonts w:hint="eastAsia" w:ascii="宋体" w:hAnsi="宋体" w:cs="宋体"/>
          <w:color w:val="FF0000"/>
          <w:sz w:val="28"/>
          <w:szCs w:val="28"/>
          <w:lang w:val="en-US" w:eastAsia="en-US"/>
        </w:rPr>
        <w:t>00m</w:t>
      </w:r>
      <w:r>
        <w:rPr>
          <w:rFonts w:hint="eastAsia" w:ascii="宋体" w:hAnsi="宋体" w:cs="宋体"/>
          <w:color w:val="FF0000"/>
          <w:sz w:val="28"/>
          <w:szCs w:val="28"/>
          <w:vertAlign w:val="superscript"/>
          <w:lang w:val="en-US" w:eastAsia="en-US"/>
        </w:rPr>
        <w:t>2</w:t>
      </w:r>
      <w:r>
        <w:rPr>
          <w:rFonts w:hint="eastAsia" w:ascii="宋体" w:hAnsi="宋体" w:cs="宋体"/>
          <w:color w:val="FF0000"/>
          <w:sz w:val="28"/>
          <w:szCs w:val="28"/>
          <w:lang w:val="en-US" w:eastAsia="en-US"/>
        </w:rPr>
        <w:t>,</w:t>
      </w:r>
      <w:r>
        <w:rPr>
          <w:rFonts w:hint="eastAsia" w:ascii="宋体" w:hAnsi="宋体" w:cs="宋体"/>
          <w:color w:val="FF0000"/>
          <w:sz w:val="28"/>
          <w:szCs w:val="28"/>
          <w:lang w:val="en-US" w:eastAsia="zh-CN"/>
        </w:rPr>
        <w:t>厂房及办公楼5000</w:t>
      </w:r>
      <w:r>
        <w:rPr>
          <w:rFonts w:hint="eastAsia" w:ascii="宋体" w:hAnsi="宋体" w:cs="宋体"/>
          <w:color w:val="FF0000"/>
          <w:sz w:val="28"/>
          <w:szCs w:val="28"/>
          <w:lang w:val="en-US" w:eastAsia="en-US"/>
        </w:rPr>
        <w:t>m</w:t>
      </w:r>
      <w:r>
        <w:rPr>
          <w:rFonts w:hint="eastAsia" w:ascii="宋体" w:hAnsi="宋体" w:cs="宋体"/>
          <w:color w:val="FF0000"/>
          <w:sz w:val="28"/>
          <w:szCs w:val="28"/>
          <w:vertAlign w:val="superscript"/>
          <w:lang w:val="en-US" w:eastAsia="en-US"/>
        </w:rPr>
        <w:t>2</w:t>
      </w:r>
      <w:r>
        <w:rPr>
          <w:rFonts w:hint="eastAsia" w:ascii="宋体" w:hAnsi="宋体" w:cs="宋体"/>
          <w:color w:val="FF0000"/>
          <w:sz w:val="28"/>
          <w:szCs w:val="28"/>
          <w:lang w:val="en-US" w:eastAsia="en-US"/>
        </w:rPr>
        <w:t>,</w:t>
      </w:r>
      <w:r>
        <w:rPr>
          <w:rFonts w:hint="eastAsia" w:ascii="宋体" w:hAnsi="宋体" w:cs="宋体"/>
          <w:color w:val="FF0000"/>
          <w:sz w:val="28"/>
          <w:szCs w:val="28"/>
          <w:lang w:val="en-US" w:eastAsia="zh-CN"/>
        </w:rPr>
        <w:t>页岩矿山位于厂区西面，占地面积4000</w:t>
      </w:r>
      <w:r>
        <w:rPr>
          <w:rFonts w:hint="eastAsia" w:ascii="宋体" w:hAnsi="宋体" w:cs="宋体"/>
          <w:color w:val="FF0000"/>
          <w:sz w:val="28"/>
          <w:szCs w:val="28"/>
          <w:lang w:val="en-US" w:eastAsia="en-US"/>
        </w:rPr>
        <w:t>m</w:t>
      </w:r>
      <w:r>
        <w:rPr>
          <w:rFonts w:hint="eastAsia" w:ascii="宋体" w:hAnsi="宋体" w:cs="宋体"/>
          <w:color w:val="FF0000"/>
          <w:sz w:val="28"/>
          <w:szCs w:val="28"/>
          <w:vertAlign w:val="superscript"/>
          <w:lang w:val="en-US" w:eastAsia="en-US"/>
        </w:rPr>
        <w:t>2</w:t>
      </w:r>
      <w:r>
        <w:rPr>
          <w:rFonts w:hint="eastAsia" w:ascii="宋体" w:hAnsi="宋体" w:cs="宋体"/>
          <w:color w:val="FF0000"/>
          <w:sz w:val="28"/>
          <w:szCs w:val="28"/>
          <w:vertAlign w:val="baseline"/>
          <w:lang w:val="en-US" w:eastAsia="zh-CN"/>
        </w:rPr>
        <w:t>；</w:t>
      </w:r>
      <w:r>
        <w:rPr>
          <w:rFonts w:hint="eastAsia" w:ascii="宋体" w:hAnsi="宋体" w:cs="宋体"/>
          <w:color w:val="FF0000"/>
          <w:sz w:val="28"/>
          <w:szCs w:val="28"/>
          <w:lang w:val="zh-CN" w:eastAsia="zh-CN"/>
        </w:rPr>
        <w:t>页岩粉碎车间布置于厂界中央西侧的位置，页岩通过就地开采直接存放于原料堆场进行粉碎，</w:t>
      </w:r>
      <w:r>
        <w:rPr>
          <w:rFonts w:hint="eastAsia" w:ascii="宋体" w:hAnsi="宋体" w:cs="宋体"/>
          <w:color w:val="FF0000"/>
          <w:sz w:val="28"/>
          <w:szCs w:val="28"/>
          <w:lang w:val="en-US" w:eastAsia="zh-CN"/>
        </w:rPr>
        <w:t>占地面积约300</w:t>
      </w:r>
      <w:r>
        <w:rPr>
          <w:rFonts w:hint="eastAsia" w:ascii="宋体" w:hAnsi="宋体" w:cs="宋体"/>
          <w:color w:val="FF0000"/>
          <w:sz w:val="28"/>
          <w:szCs w:val="28"/>
          <w:lang w:val="en-US" w:eastAsia="en-US"/>
        </w:rPr>
        <w:t>m</w:t>
      </w:r>
      <w:r>
        <w:rPr>
          <w:rFonts w:hint="eastAsia" w:ascii="宋体" w:hAnsi="宋体" w:cs="宋体"/>
          <w:color w:val="FF0000"/>
          <w:sz w:val="28"/>
          <w:szCs w:val="28"/>
          <w:vertAlign w:val="superscript"/>
          <w:lang w:val="en-US" w:eastAsia="en-US"/>
        </w:rPr>
        <w:t>2</w:t>
      </w:r>
      <w:r>
        <w:rPr>
          <w:rFonts w:hint="eastAsia" w:ascii="宋体" w:hAnsi="宋体" w:cs="宋体"/>
          <w:color w:val="FF0000"/>
          <w:sz w:val="28"/>
          <w:szCs w:val="28"/>
          <w:lang w:val="en-US" w:eastAsia="zh-CN"/>
        </w:rPr>
        <w:t>；制料区紧挨着</w:t>
      </w:r>
      <w:r>
        <w:rPr>
          <w:rFonts w:hint="eastAsia" w:ascii="宋体" w:hAnsi="宋体" w:cs="宋体"/>
          <w:color w:val="FF0000"/>
          <w:sz w:val="28"/>
          <w:szCs w:val="28"/>
          <w:lang w:val="zh-CN" w:eastAsia="zh-CN"/>
        </w:rPr>
        <w:t>粉碎车间，</w:t>
      </w:r>
      <w:r>
        <w:rPr>
          <w:rFonts w:hint="eastAsia" w:ascii="宋体" w:hAnsi="宋体" w:cs="宋体"/>
          <w:color w:val="FF0000"/>
          <w:sz w:val="28"/>
          <w:szCs w:val="28"/>
          <w:lang w:val="en-US" w:eastAsia="zh-CN"/>
        </w:rPr>
        <w:t>占地面积约300</w:t>
      </w:r>
      <w:r>
        <w:rPr>
          <w:rFonts w:hint="eastAsia" w:ascii="宋体" w:hAnsi="宋体" w:cs="宋体"/>
          <w:color w:val="FF0000"/>
          <w:sz w:val="28"/>
          <w:szCs w:val="28"/>
          <w:lang w:val="en-US" w:eastAsia="en-US"/>
        </w:rPr>
        <w:t>m</w:t>
      </w:r>
      <w:r>
        <w:rPr>
          <w:rFonts w:hint="eastAsia" w:ascii="宋体" w:hAnsi="宋体" w:cs="宋体"/>
          <w:color w:val="FF0000"/>
          <w:sz w:val="28"/>
          <w:szCs w:val="28"/>
          <w:vertAlign w:val="superscript"/>
          <w:lang w:val="en-US" w:eastAsia="en-US"/>
        </w:rPr>
        <w:t>2</w:t>
      </w:r>
      <w:r>
        <w:rPr>
          <w:rFonts w:hint="eastAsia" w:ascii="宋体" w:hAnsi="宋体" w:cs="宋体"/>
          <w:color w:val="FF0000"/>
          <w:sz w:val="28"/>
          <w:szCs w:val="28"/>
          <w:lang w:val="en-US" w:eastAsia="zh-CN"/>
        </w:rPr>
        <w:t>；25门轮窑生产线1条（1条干燥窑，1条焙烧窑）位于厂区南面，占地面积2300</w:t>
      </w:r>
      <w:r>
        <w:rPr>
          <w:rFonts w:hint="eastAsia" w:ascii="宋体" w:hAnsi="宋体" w:cs="宋体"/>
          <w:color w:val="FF0000"/>
          <w:sz w:val="28"/>
          <w:szCs w:val="28"/>
          <w:lang w:val="en-US" w:eastAsia="en-US"/>
        </w:rPr>
        <w:t>m</w:t>
      </w:r>
      <w:r>
        <w:rPr>
          <w:rFonts w:hint="eastAsia" w:ascii="宋体" w:hAnsi="宋体" w:cs="宋体"/>
          <w:color w:val="FF0000"/>
          <w:sz w:val="28"/>
          <w:szCs w:val="28"/>
          <w:vertAlign w:val="superscript"/>
          <w:lang w:val="en-US" w:eastAsia="en-US"/>
        </w:rPr>
        <w:t>2</w:t>
      </w:r>
      <w:r>
        <w:rPr>
          <w:rFonts w:hint="eastAsia" w:ascii="宋体" w:hAnsi="宋体" w:cs="宋体"/>
          <w:color w:val="FF0000"/>
          <w:sz w:val="28"/>
          <w:szCs w:val="28"/>
          <w:vertAlign w:val="baseline"/>
          <w:lang w:val="en-US" w:eastAsia="zh-CN"/>
        </w:rPr>
        <w:t>；成品堆场位于厂区北侧空地；</w:t>
      </w:r>
      <w:r>
        <w:rPr>
          <w:rFonts w:hint="eastAsia" w:ascii="宋体" w:hAnsi="宋体" w:cs="宋体"/>
          <w:color w:val="FF0000"/>
          <w:sz w:val="28"/>
          <w:szCs w:val="28"/>
          <w:lang w:val="zh-CN" w:eastAsia="zh-CN"/>
        </w:rPr>
        <w:t>便于砖坯就近进入窖内进行干燥、焙烧，减少运输环节。公用工程：原料棚、成品堆场、绿化、道路及硬化工程等，以及相应环保工程等，</w:t>
      </w:r>
      <w:r>
        <w:rPr>
          <w:rFonts w:hint="eastAsia" w:ascii="宋体" w:hAnsi="宋体" w:cs="宋体"/>
          <w:color w:val="FF0000"/>
          <w:sz w:val="28"/>
          <w:szCs w:val="28"/>
          <w:lang w:val="en-US" w:eastAsia="zh-CN"/>
        </w:rPr>
        <w:t>其余工序按破碎—筛选―搅拌—陈化—切坯―码坯—干燥—焙烧工序依次设置，布局紧凑，工作方便。办公区位于厂区南面和东南面。详情如图2-2所示</w:t>
      </w:r>
    </w:p>
    <w:p>
      <w:pPr>
        <w:pStyle w:val="2"/>
        <w:ind w:left="0" w:leftChars="0" w:firstLine="0" w:firstLineChars="0"/>
        <w:jc w:val="both"/>
        <w:rPr>
          <w:rFonts w:hint="eastAsia"/>
          <w:lang w:val="zh-CN" w:eastAsia="zh-CN"/>
        </w:rPr>
      </w:pPr>
      <w:r>
        <w:drawing>
          <wp:inline distT="0" distB="0" distL="114300" distR="114300">
            <wp:extent cx="5971540" cy="4173220"/>
            <wp:effectExtent l="0" t="0" r="2540" b="254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5971540" cy="4173220"/>
                    </a:xfrm>
                    <a:prstGeom prst="rect">
                      <a:avLst/>
                    </a:prstGeom>
                    <a:noFill/>
                    <a:ln>
                      <a:noFill/>
                    </a:ln>
                  </pic:spPr>
                </pic:pic>
              </a:graphicData>
            </a:graphic>
          </wp:inline>
        </w:drawing>
      </w:r>
    </w:p>
    <w:p>
      <w:pPr>
        <w:pStyle w:val="12"/>
        <w:spacing w:line="240" w:lineRule="auto"/>
        <w:ind w:firstLine="482" w:firstLineChars="200"/>
        <w:jc w:val="center"/>
        <w:rPr>
          <w:rFonts w:hint="default" w:ascii="黑体" w:hAnsi="Courier New" w:eastAsia="黑体"/>
          <w:b/>
          <w:color w:val="auto"/>
          <w:sz w:val="24"/>
          <w:lang w:val="en-US"/>
        </w:rPr>
      </w:pPr>
      <w:r>
        <w:rPr>
          <w:rFonts w:hint="eastAsia" w:ascii="黑体" w:hAnsi="Courier New" w:eastAsia="黑体"/>
          <w:b/>
          <w:color w:val="auto"/>
          <w:sz w:val="24"/>
          <w:lang w:eastAsia="zh-CN"/>
        </w:rPr>
        <w:t>图</w:t>
      </w:r>
      <w:r>
        <w:rPr>
          <w:rFonts w:hint="eastAsia" w:ascii="黑体" w:hAnsi="Courier New" w:eastAsia="黑体"/>
          <w:b/>
          <w:color w:val="auto"/>
          <w:sz w:val="24"/>
          <w:lang w:val="en-US" w:eastAsia="zh-CN"/>
        </w:rPr>
        <w:t>2-2  总平面布局示意图</w:t>
      </w:r>
    </w:p>
    <w:p>
      <w:pPr>
        <w:pStyle w:val="5"/>
        <w:spacing w:before="0" w:after="0" w:line="360" w:lineRule="auto"/>
        <w:rPr>
          <w:rFonts w:hint="eastAsia" w:ascii="宋体" w:hAnsi="宋体" w:eastAsia="宋体" w:cs="宋体"/>
          <w:color w:val="auto"/>
          <w:sz w:val="28"/>
          <w:szCs w:val="28"/>
          <w:lang w:val="zh-CN"/>
        </w:rPr>
      </w:pPr>
      <w:bookmarkStart w:id="51" w:name="_Toc30828"/>
      <w:bookmarkStart w:id="52" w:name="_Toc440539582"/>
      <w:bookmarkStart w:id="53" w:name="_Toc18802"/>
      <w:bookmarkStart w:id="54" w:name="_Toc4371"/>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周边环境</w:t>
      </w:r>
      <w:bookmarkEnd w:id="51"/>
      <w:bookmarkEnd w:id="52"/>
      <w:bookmarkEnd w:id="53"/>
      <w:bookmarkEnd w:id="54"/>
    </w:p>
    <w:p>
      <w:p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砖厂厂界东侧50米为立山镇久阳山村村民（3户，15人）；厂界南侧距离厂界30</w:t>
      </w:r>
      <w:r>
        <w:rPr>
          <w:rFonts w:hint="eastAsia" w:ascii="宋体" w:hAnsi="宋体" w:eastAsia="宋体" w:cs="宋体"/>
          <w:sz w:val="28"/>
          <w:szCs w:val="28"/>
          <w:lang w:val="en-US" w:eastAsia="zh-CN"/>
        </w:rPr>
        <w:t>～</w:t>
      </w:r>
      <w:r>
        <w:rPr>
          <w:rFonts w:hint="eastAsia" w:ascii="宋体" w:hAnsi="宋体"/>
          <w:sz w:val="28"/>
          <w:szCs w:val="28"/>
          <w:lang w:val="en-US" w:eastAsia="zh-CN"/>
        </w:rPr>
        <w:t>160米为久阳山村聚居区（10户，35人）；厂界西侧为耕地没有居民居住，北侧60米有农户（5户，15人）。厂区周围200m范围内以农田、山地和居民住户为主，周边的居民住户共35户，矿区四周300m安全警戒范围内，无重要公共建筑物或生产厂房，无高压输电线及通信线跨越矿区上空，远离人口密集区和商业区。</w:t>
      </w:r>
    </w:p>
    <w:p>
      <w:pPr>
        <w:pStyle w:val="2"/>
        <w:ind w:left="0" w:leftChars="0" w:firstLine="0" w:firstLineChars="0"/>
      </w:pPr>
      <w:r>
        <w:rPr>
          <w:sz w:val="21"/>
        </w:rPr>
        <w:drawing>
          <wp:inline distT="0" distB="0" distL="114300" distR="114300">
            <wp:extent cx="5130800" cy="3667125"/>
            <wp:effectExtent l="0" t="0" r="5080" b="5715"/>
            <wp:docPr id="8" name="图片 3" descr="新文档 2019-05-22 17.35.4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新文档 2019-05-22 17.35.48_10"/>
                    <pic:cNvPicPr>
                      <a:picLocks noChangeAspect="1"/>
                    </pic:cNvPicPr>
                  </pic:nvPicPr>
                  <pic:blipFill>
                    <a:blip r:embed="rId8"/>
                    <a:stretch>
                      <a:fillRect/>
                    </a:stretch>
                  </pic:blipFill>
                  <pic:spPr>
                    <a:xfrm>
                      <a:off x="0" y="0"/>
                      <a:ext cx="5130800" cy="3667125"/>
                    </a:xfrm>
                    <a:prstGeom prst="rect">
                      <a:avLst/>
                    </a:prstGeom>
                    <a:noFill/>
                    <a:ln>
                      <a:noFill/>
                    </a:ln>
                  </pic:spPr>
                </pic:pic>
              </a:graphicData>
            </a:graphic>
          </wp:inline>
        </w:drawing>
      </w:r>
      <w:r>
        <w:rPr>
          <w:sz w:val="21"/>
        </w:rPr>
        <mc:AlternateContent>
          <mc:Choice Requires="wps">
            <w:drawing>
              <wp:anchor distT="0" distB="0" distL="114300" distR="114300" simplePos="0" relativeHeight="251670528" behindDoc="0" locked="0" layoutInCell="1" allowOverlap="1">
                <wp:simplePos x="0" y="0"/>
                <wp:positionH relativeFrom="column">
                  <wp:posOffset>1776095</wp:posOffset>
                </wp:positionH>
                <wp:positionV relativeFrom="paragraph">
                  <wp:posOffset>1936750</wp:posOffset>
                </wp:positionV>
                <wp:extent cx="1240790" cy="523240"/>
                <wp:effectExtent l="0" t="0" r="0" b="0"/>
                <wp:wrapNone/>
                <wp:docPr id="9" name="矩形 9"/>
                <wp:cNvGraphicFramePr/>
                <a:graphic xmlns:a="http://schemas.openxmlformats.org/drawingml/2006/main">
                  <a:graphicData uri="http://schemas.microsoft.com/office/word/2010/wordprocessingShape">
                    <wps:wsp>
                      <wps:cNvSpPr/>
                      <wps:spPr>
                        <a:xfrm>
                          <a:off x="0" y="0"/>
                          <a:ext cx="1240790" cy="523240"/>
                        </a:xfrm>
                        <a:prstGeom prst="rect">
                          <a:avLst/>
                        </a:prstGeom>
                        <a:noFill/>
                        <a:ln>
                          <a:noFill/>
                        </a:ln>
                      </wps:spPr>
                      <wps:txbx>
                        <w:txbxContent>
                          <w:p>
                            <w:pPr>
                              <w:rPr>
                                <w:b/>
                                <w:bCs/>
                                <w:color w:val="FF0000"/>
                                <w:sz w:val="21"/>
                                <w:szCs w:val="21"/>
                              </w:rPr>
                            </w:pPr>
                            <w:r>
                              <w:rPr>
                                <w:rFonts w:hint="eastAsia" w:ascii="宋体" w:hAnsi="宋体" w:cs="宋体"/>
                                <w:b/>
                                <w:bCs/>
                                <w:color w:val="FF0000"/>
                                <w:sz w:val="21"/>
                                <w:szCs w:val="21"/>
                                <w:lang w:val="zh-CN" w:eastAsia="zh-CN"/>
                              </w:rPr>
                              <w:t>仪陇县立山镇红旗页岩砖厂</w:t>
                            </w:r>
                          </w:p>
                          <w:p>
                            <w:pPr>
                              <w:rPr>
                                <w:b/>
                                <w:bCs/>
                              </w:rPr>
                            </w:pPr>
                          </w:p>
                        </w:txbxContent>
                      </wps:txbx>
                      <wps:bodyPr upright="1"/>
                    </wps:wsp>
                  </a:graphicData>
                </a:graphic>
              </wp:anchor>
            </w:drawing>
          </mc:Choice>
          <mc:Fallback>
            <w:pict>
              <v:rect id="_x0000_s1026" o:spid="_x0000_s1026" o:spt="1" style="position:absolute;left:0pt;margin-left:139.85pt;margin-top:152.5pt;height:41.2pt;width:97.7pt;z-index:251670528;mso-width-relative:page;mso-height-relative:page;" filled="f" stroked="f" coordsize="21600,21600" o:gfxdata="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yfdRz9wAAAALAQAADwAAAAAAAAABACAAAAAiAAAAZHJzL2Rvd25yZXYueG1s&#10;UEsBAhQAFAAAAAgAh07iQDKSpiqCAQAA8wIAAA4AAAAAAAAAAQAgAAAAKwEAAGRycy9lMm9Eb2Mu&#10;eG1sUEsFBgAAAAAGAAYAWQEAAB8FAAAAAA==&#10;">
                <v:fill on="f" focussize="0,0"/>
                <v:stroke on="f"/>
                <v:imagedata o:title=""/>
                <o:lock v:ext="edit" aspectratio="f"/>
                <v:textbox>
                  <w:txbxContent>
                    <w:p>
                      <w:pPr>
                        <w:rPr>
                          <w:b/>
                          <w:bCs/>
                          <w:color w:val="FF0000"/>
                          <w:sz w:val="21"/>
                          <w:szCs w:val="21"/>
                        </w:rPr>
                      </w:pPr>
                      <w:r>
                        <w:rPr>
                          <w:rFonts w:hint="eastAsia" w:ascii="宋体" w:hAnsi="宋体" w:cs="宋体"/>
                          <w:b/>
                          <w:bCs/>
                          <w:color w:val="FF0000"/>
                          <w:sz w:val="21"/>
                          <w:szCs w:val="21"/>
                          <w:lang w:val="zh-CN" w:eastAsia="zh-CN"/>
                        </w:rPr>
                        <w:t>仪陇县立山镇红旗页岩砖厂</w:t>
                      </w:r>
                    </w:p>
                    <w:p>
                      <w:pPr>
                        <w:rPr>
                          <w:b/>
                          <w:bCs/>
                        </w:rPr>
                      </w:pPr>
                    </w:p>
                  </w:txbxContent>
                </v:textbox>
              </v:rect>
            </w:pict>
          </mc:Fallback>
        </mc:AlternateContent>
      </w:r>
    </w:p>
    <w:p>
      <w:pPr>
        <w:pStyle w:val="2"/>
        <w:jc w:val="center"/>
        <w:rPr>
          <w:rFonts w:hint="eastAsia"/>
          <w:b/>
          <w:bCs/>
          <w:lang w:val="en-US" w:eastAsia="zh-CN"/>
        </w:rPr>
      </w:pPr>
      <w:r>
        <w:rPr>
          <w:rFonts w:hint="eastAsia"/>
          <w:b/>
          <w:bCs/>
          <w:lang w:val="en-US" w:eastAsia="zh-CN"/>
        </w:rPr>
        <w:t>图2-3  周边环境示意图</w:t>
      </w:r>
    </w:p>
    <w:p>
      <w:pPr>
        <w:pStyle w:val="5"/>
        <w:spacing w:before="0" w:after="0" w:line="360" w:lineRule="auto"/>
        <w:rPr>
          <w:rFonts w:hint="eastAsia" w:ascii="宋体" w:hAnsi="宋体" w:eastAsia="宋体" w:cs="宋体"/>
          <w:color w:val="FF0000"/>
          <w:sz w:val="28"/>
          <w:szCs w:val="28"/>
          <w:lang w:val="zh-CN"/>
        </w:rPr>
      </w:pPr>
      <w:bookmarkStart w:id="55" w:name="_Toc25723"/>
      <w:bookmarkStart w:id="56" w:name="_Toc18761"/>
      <w:bookmarkStart w:id="57" w:name="_Toc440539584"/>
      <w:bookmarkStart w:id="58" w:name="_Toc26233"/>
      <w:r>
        <w:rPr>
          <w:rFonts w:hint="eastAsia" w:ascii="宋体" w:hAnsi="宋体" w:eastAsia="宋体" w:cs="宋体"/>
          <w:color w:val="FF0000"/>
          <w:sz w:val="28"/>
          <w:szCs w:val="28"/>
          <w:lang w:val="zh-CN"/>
        </w:rPr>
        <w:t>2.1.</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lang w:val="zh-CN"/>
        </w:rPr>
        <w:t>工艺流程</w:t>
      </w:r>
      <w:bookmarkEnd w:id="55"/>
      <w:bookmarkEnd w:id="56"/>
      <w:bookmarkEnd w:id="57"/>
      <w:bookmarkEnd w:id="58"/>
    </w:p>
    <w:p>
      <w:pPr>
        <w:spacing w:line="360" w:lineRule="auto"/>
        <w:ind w:firstLine="562" w:firstLineChars="200"/>
        <w:rPr>
          <w:rFonts w:hint="eastAsia" w:ascii="宋体"/>
          <w:b/>
          <w:bCs/>
          <w:snapToGrid w:val="0"/>
          <w:color w:val="FF0000"/>
          <w:kern w:val="0"/>
          <w:sz w:val="28"/>
          <w:szCs w:val="28"/>
          <w:lang w:val="en-US" w:eastAsia="zh-CN"/>
        </w:rPr>
      </w:pPr>
      <w:bookmarkStart w:id="59" w:name="_Toc515872918"/>
      <w:bookmarkStart w:id="60" w:name="_Toc356380956"/>
      <w:bookmarkStart w:id="61" w:name="_Toc480804369"/>
      <w:bookmarkStart w:id="62" w:name="_Toc356401465"/>
      <w:bookmarkStart w:id="63" w:name="_Toc480804370"/>
      <w:bookmarkStart w:id="64" w:name="_Toc356401466"/>
      <w:bookmarkStart w:id="65" w:name="_Toc356380957"/>
      <w:bookmarkStart w:id="66" w:name="_Toc515872919"/>
      <w:r>
        <w:rPr>
          <w:rFonts w:hint="eastAsia" w:ascii="宋体"/>
          <w:b/>
          <w:bCs/>
          <w:snapToGrid w:val="0"/>
          <w:color w:val="FF0000"/>
          <w:kern w:val="0"/>
          <w:sz w:val="28"/>
          <w:szCs w:val="28"/>
          <w:lang w:val="en-US" w:eastAsia="zh-CN"/>
        </w:rPr>
        <w:t>1、生产工艺流程图</w:t>
      </w:r>
      <w:bookmarkEnd w:id="59"/>
      <w:bookmarkEnd w:id="60"/>
      <w:bookmarkEnd w:id="61"/>
      <w:bookmarkEnd w:id="62"/>
    </w:p>
    <w:p>
      <w:pPr>
        <w:spacing w:line="360" w:lineRule="auto"/>
        <w:ind w:firstLine="560" w:firstLineChars="200"/>
        <w:rPr>
          <w:rFonts w:hint="eastAsia" w:ascii="宋体"/>
          <w:snapToGrid w:val="0"/>
          <w:color w:val="FF0000"/>
          <w:kern w:val="0"/>
          <w:sz w:val="28"/>
          <w:szCs w:val="28"/>
          <w:lang w:val="zh-CN" w:eastAsia="zh-CN"/>
        </w:rPr>
      </w:pPr>
      <w:r>
        <w:rPr>
          <w:rFonts w:hint="eastAsia" w:ascii="宋体"/>
          <w:snapToGrid w:val="0"/>
          <w:color w:val="FF0000"/>
          <w:kern w:val="0"/>
          <w:sz w:val="28"/>
          <w:szCs w:val="28"/>
          <w:lang w:val="zh-CN" w:eastAsia="zh-CN"/>
        </w:rPr>
        <w:t>标砖生产主要包括采矿、破碎、筛分、搅拌、制胚、进胚、烧窑、装车8大工序，各工序按照工艺流程布置在各自区域内。公司隧道窑采用环保节能式的隧道窑，首次烧结采用精煤助燃，顺利开窑后可利用标砖中含有的煤自燃热量进行烧结，待自然冷却后装车装车外售。生产工艺流程如图：</w:t>
      </w:r>
    </w:p>
    <w:p>
      <w:pPr>
        <w:spacing w:line="360" w:lineRule="auto"/>
        <w:ind w:firstLine="560" w:firstLineChars="200"/>
        <w:rPr>
          <w:rFonts w:hint="eastAsia" w:ascii="宋体"/>
          <w:snapToGrid w:val="0"/>
          <w:color w:val="auto"/>
          <w:kern w:val="0"/>
          <w:sz w:val="28"/>
          <w:szCs w:val="28"/>
        </w:rPr>
      </w:pPr>
      <w:r>
        <w:rPr>
          <w:rFonts w:hint="eastAsia" w:ascii="宋体"/>
          <w:color w:val="FF0000"/>
          <w:kern w:val="0"/>
          <w:sz w:val="28"/>
          <w:szCs w:val="28"/>
        </w:rPr>
        <mc:AlternateContent>
          <mc:Choice Requires="wpg">
            <w:drawing>
              <wp:anchor distT="0" distB="0" distL="114300" distR="114300" simplePos="0" relativeHeight="251669504" behindDoc="0" locked="0" layoutInCell="1" allowOverlap="1">
                <wp:simplePos x="0" y="0"/>
                <wp:positionH relativeFrom="column">
                  <wp:posOffset>18415</wp:posOffset>
                </wp:positionH>
                <wp:positionV relativeFrom="paragraph">
                  <wp:posOffset>635</wp:posOffset>
                </wp:positionV>
                <wp:extent cx="5632450" cy="2139950"/>
                <wp:effectExtent l="4445" t="4445" r="17145" b="19685"/>
                <wp:wrapNone/>
                <wp:docPr id="43" name="组合 43"/>
                <wp:cNvGraphicFramePr/>
                <a:graphic xmlns:a="http://schemas.openxmlformats.org/drawingml/2006/main">
                  <a:graphicData uri="http://schemas.microsoft.com/office/word/2010/wordprocessingGroup">
                    <wpg:wgp>
                      <wpg:cNvGrpSpPr/>
                      <wpg:grpSpPr>
                        <a:xfrm>
                          <a:off x="0" y="0"/>
                          <a:ext cx="5632450" cy="2139950"/>
                          <a:chOff x="2310" y="7530"/>
                          <a:chExt cx="7665" cy="4815"/>
                        </a:xfrm>
                      </wpg:grpSpPr>
                      <wps:wsp>
                        <wps:cNvPr id="10" name="矩形 10"/>
                        <wps:cNvSpPr/>
                        <wps:spPr>
                          <a:xfrm>
                            <a:off x="231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煤矸石、页岩</w:t>
                              </w:r>
                            </w:p>
                          </w:txbxContent>
                        </wps:txbx>
                        <wps:bodyPr upright="1"/>
                      </wps:wsp>
                      <wps:wsp>
                        <wps:cNvPr id="11" name="直接箭头连接符 11"/>
                        <wps:cNvCnPr/>
                        <wps:spPr>
                          <a:xfrm>
                            <a:off x="3930" y="7860"/>
                            <a:ext cx="390" cy="0"/>
                          </a:xfrm>
                          <a:prstGeom prst="straightConnector1">
                            <a:avLst/>
                          </a:prstGeom>
                          <a:ln w="9525" cap="flat" cmpd="sng">
                            <a:solidFill>
                              <a:srgbClr val="000000"/>
                            </a:solidFill>
                            <a:prstDash val="solid"/>
                            <a:headEnd type="none" w="med" len="med"/>
                            <a:tailEnd type="triangle" w="med" len="med"/>
                          </a:ln>
                        </wps:spPr>
                        <wps:bodyPr/>
                      </wps:wsp>
                      <wps:wsp>
                        <wps:cNvPr id="12" name="矩形 12"/>
                        <wps:cNvSpPr/>
                        <wps:spPr>
                          <a:xfrm>
                            <a:off x="432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板式给料机</w:t>
                              </w:r>
                            </w:p>
                          </w:txbxContent>
                        </wps:txbx>
                        <wps:bodyPr upright="1"/>
                      </wps:wsp>
                      <wps:wsp>
                        <wps:cNvPr id="13" name="直接箭头连接符 13"/>
                        <wps:cNvCnPr/>
                        <wps:spPr>
                          <a:xfrm>
                            <a:off x="3060" y="9525"/>
                            <a:ext cx="0" cy="825"/>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a:off x="5940" y="7845"/>
                            <a:ext cx="390" cy="0"/>
                          </a:xfrm>
                          <a:prstGeom prst="straightConnector1">
                            <a:avLst/>
                          </a:prstGeom>
                          <a:ln w="9525" cap="flat" cmpd="sng">
                            <a:solidFill>
                              <a:srgbClr val="000000"/>
                            </a:solidFill>
                            <a:prstDash val="solid"/>
                            <a:headEnd type="none" w="med" len="med"/>
                            <a:tailEnd type="triangle" w="med" len="med"/>
                          </a:ln>
                        </wps:spPr>
                        <wps:bodyPr/>
                      </wps:wsp>
                      <wps:wsp>
                        <wps:cNvPr id="15" name="矩形 15"/>
                        <wps:cNvSpPr/>
                        <wps:spPr>
                          <a:xfrm>
                            <a:off x="633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鄂破机</w:t>
                              </w:r>
                            </w:p>
                          </w:txbxContent>
                        </wps:txbx>
                        <wps:bodyPr upright="1"/>
                      </wps:wsp>
                      <wps:wsp>
                        <wps:cNvPr id="16" name="直接箭头连接符 16"/>
                        <wps:cNvCnPr/>
                        <wps:spPr>
                          <a:xfrm>
                            <a:off x="7950" y="7845"/>
                            <a:ext cx="390" cy="0"/>
                          </a:xfrm>
                          <a:prstGeom prst="straightConnector1">
                            <a:avLst/>
                          </a:prstGeom>
                          <a:ln w="9525" cap="flat" cmpd="sng">
                            <a:solidFill>
                              <a:srgbClr val="000000"/>
                            </a:solidFill>
                            <a:prstDash val="solid"/>
                            <a:headEnd type="none" w="med" len="med"/>
                            <a:tailEnd type="triangle" w="med" len="med"/>
                          </a:ln>
                        </wps:spPr>
                        <wps:bodyPr/>
                      </wps:wsp>
                      <wps:wsp>
                        <wps:cNvPr id="17" name="矩形 17"/>
                        <wps:cNvSpPr/>
                        <wps:spPr>
                          <a:xfrm>
                            <a:off x="834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细破机</w:t>
                              </w:r>
                            </w:p>
                          </w:txbxContent>
                        </wps:txbx>
                        <wps:bodyPr upright="1"/>
                      </wps:wsp>
                      <wps:wsp>
                        <wps:cNvPr id="19" name="矩形 19"/>
                        <wps:cNvSpPr/>
                        <wps:spPr>
                          <a:xfrm>
                            <a:off x="834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双轴搅拌机</w:t>
                              </w:r>
                            </w:p>
                          </w:txbxContent>
                        </wps:txbx>
                        <wps:bodyPr upright="1"/>
                      </wps:wsp>
                      <wps:wsp>
                        <wps:cNvPr id="20" name="矩形 20"/>
                        <wps:cNvSpPr/>
                        <wps:spPr>
                          <a:xfrm>
                            <a:off x="633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液压多斗挖掘</w:t>
                              </w:r>
                            </w:p>
                          </w:txbxContent>
                        </wps:txbx>
                        <wps:bodyPr upright="1"/>
                      </wps:wsp>
                      <wps:wsp>
                        <wps:cNvPr id="21" name="矩形 21"/>
                        <wps:cNvSpPr/>
                        <wps:spPr>
                          <a:xfrm>
                            <a:off x="432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箱式给料机</w:t>
                              </w:r>
                            </w:p>
                          </w:txbxContent>
                        </wps:txbx>
                        <wps:bodyPr upright="1"/>
                      </wps:wsp>
                      <wps:wsp>
                        <wps:cNvPr id="22" name="矩形 22"/>
                        <wps:cNvSpPr/>
                        <wps:spPr>
                          <a:xfrm>
                            <a:off x="231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挤泥机</w:t>
                              </w:r>
                            </w:p>
                          </w:txbxContent>
                        </wps:txbx>
                        <wps:bodyPr upright="1"/>
                      </wps:wsp>
                      <wps:wsp>
                        <wps:cNvPr id="23" name="直接箭头连接符 23"/>
                        <wps:cNvCnPr/>
                        <wps:spPr>
                          <a:xfrm flipH="1">
                            <a:off x="7935" y="9240"/>
                            <a:ext cx="405" cy="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flipH="1">
                            <a:off x="5940" y="9240"/>
                            <a:ext cx="405" cy="0"/>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flipH="1">
                            <a:off x="3915" y="9240"/>
                            <a:ext cx="405" cy="0"/>
                          </a:xfrm>
                          <a:prstGeom prst="straightConnector1">
                            <a:avLst/>
                          </a:prstGeom>
                          <a:ln w="9525" cap="flat" cmpd="sng">
                            <a:solidFill>
                              <a:srgbClr val="000000"/>
                            </a:solidFill>
                            <a:prstDash val="solid"/>
                            <a:headEnd type="none" w="med" len="med"/>
                            <a:tailEnd type="triangle" w="med" len="med"/>
                          </a:ln>
                        </wps:spPr>
                        <wps:bodyPr/>
                      </wps:wsp>
                      <wps:wsp>
                        <wps:cNvPr id="26" name="矩形 26"/>
                        <wps:cNvSpPr/>
                        <wps:spPr>
                          <a:xfrm>
                            <a:off x="231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切条、切坏机</w:t>
                              </w:r>
                            </w:p>
                          </w:txbxContent>
                        </wps:txbx>
                        <wps:bodyPr upright="1"/>
                      </wps:wsp>
                      <wps:wsp>
                        <wps:cNvPr id="27" name="直接箭头连接符 27"/>
                        <wps:cNvCnPr/>
                        <wps:spPr>
                          <a:xfrm>
                            <a:off x="3930" y="10680"/>
                            <a:ext cx="390" cy="0"/>
                          </a:xfrm>
                          <a:prstGeom prst="straightConnector1">
                            <a:avLst/>
                          </a:prstGeom>
                          <a:ln w="9525" cap="flat" cmpd="sng">
                            <a:solidFill>
                              <a:srgbClr val="000000"/>
                            </a:solidFill>
                            <a:prstDash val="solid"/>
                            <a:headEnd type="none" w="med" len="med"/>
                            <a:tailEnd type="triangle" w="med" len="med"/>
                          </a:ln>
                        </wps:spPr>
                        <wps:bodyPr/>
                      </wps:wsp>
                      <wps:wsp>
                        <wps:cNvPr id="28" name="矩形 28"/>
                        <wps:cNvSpPr/>
                        <wps:spPr>
                          <a:xfrm>
                            <a:off x="432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自动编码</w:t>
                              </w:r>
                            </w:p>
                          </w:txbxContent>
                        </wps:txbx>
                        <wps:bodyPr upright="1"/>
                      </wps:wsp>
                      <wps:wsp>
                        <wps:cNvPr id="29" name="直接箭头连接符 29"/>
                        <wps:cNvCnPr/>
                        <wps:spPr>
                          <a:xfrm>
                            <a:off x="9180" y="10935"/>
                            <a:ext cx="0" cy="825"/>
                          </a:xfrm>
                          <a:prstGeom prst="straightConnector1">
                            <a:avLst/>
                          </a:prstGeom>
                          <a:ln w="9525" cap="flat" cmpd="sng">
                            <a:solidFill>
                              <a:srgbClr val="000000"/>
                            </a:solidFill>
                            <a:prstDash val="solid"/>
                            <a:headEnd type="none" w="med" len="med"/>
                            <a:tailEnd type="triangle" w="med" len="med"/>
                          </a:ln>
                        </wps:spPr>
                        <wps:bodyPr/>
                      </wps:wsp>
                      <wps:wsp>
                        <wps:cNvPr id="30" name="直接箭头连接符 30"/>
                        <wps:cNvCnPr/>
                        <wps:spPr>
                          <a:xfrm>
                            <a:off x="5940" y="10665"/>
                            <a:ext cx="390" cy="0"/>
                          </a:xfrm>
                          <a:prstGeom prst="straightConnector1">
                            <a:avLst/>
                          </a:prstGeom>
                          <a:ln w="9525" cap="flat" cmpd="sng">
                            <a:solidFill>
                              <a:srgbClr val="000000"/>
                            </a:solidFill>
                            <a:prstDash val="solid"/>
                            <a:headEnd type="none" w="med" len="med"/>
                            <a:tailEnd type="triangle" w="med" len="med"/>
                          </a:ln>
                        </wps:spPr>
                        <wps:bodyPr/>
                      </wps:wsp>
                      <wps:wsp>
                        <wps:cNvPr id="31" name="矩形 31"/>
                        <wps:cNvSpPr/>
                        <wps:spPr>
                          <a:xfrm>
                            <a:off x="633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自动码坯机</w:t>
                              </w:r>
                            </w:p>
                          </w:txbxContent>
                        </wps:txbx>
                        <wps:bodyPr upright="1"/>
                      </wps:wsp>
                      <wps:wsp>
                        <wps:cNvPr id="32" name="直接箭头连接符 32"/>
                        <wps:cNvCnPr/>
                        <wps:spPr>
                          <a:xfrm>
                            <a:off x="7950" y="10665"/>
                            <a:ext cx="390" cy="0"/>
                          </a:xfrm>
                          <a:prstGeom prst="straightConnector1">
                            <a:avLst/>
                          </a:prstGeom>
                          <a:ln w="9525" cap="flat" cmpd="sng">
                            <a:solidFill>
                              <a:srgbClr val="000000"/>
                            </a:solidFill>
                            <a:prstDash val="solid"/>
                            <a:headEnd type="none" w="med" len="med"/>
                            <a:tailEnd type="triangle" w="med" len="med"/>
                          </a:ln>
                        </wps:spPr>
                        <wps:bodyPr/>
                      </wps:wsp>
                      <wps:wsp>
                        <wps:cNvPr id="33" name="矩形 33"/>
                        <wps:cNvSpPr/>
                        <wps:spPr>
                          <a:xfrm>
                            <a:off x="834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窑车</w:t>
                              </w:r>
                            </w:p>
                          </w:txbxContent>
                        </wps:txbx>
                        <wps:bodyPr upright="1"/>
                      </wps:wsp>
                      <wps:wsp>
                        <wps:cNvPr id="34" name="直接箭头连接符 34"/>
                        <wps:cNvCnPr/>
                        <wps:spPr>
                          <a:xfrm>
                            <a:off x="9180" y="8115"/>
                            <a:ext cx="0" cy="825"/>
                          </a:xfrm>
                          <a:prstGeom prst="straightConnector1">
                            <a:avLst/>
                          </a:prstGeom>
                          <a:ln w="9525" cap="flat" cmpd="sng">
                            <a:solidFill>
                              <a:srgbClr val="000000"/>
                            </a:solidFill>
                            <a:prstDash val="solid"/>
                            <a:headEnd type="none" w="med" len="med"/>
                            <a:tailEnd type="triangle" w="med" len="med"/>
                          </a:ln>
                        </wps:spPr>
                        <wps:bodyPr/>
                      </wps:wsp>
                      <wps:wsp>
                        <wps:cNvPr id="35" name="矩形 35"/>
                        <wps:cNvSpPr/>
                        <wps:spPr>
                          <a:xfrm>
                            <a:off x="835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存坯线</w:t>
                              </w:r>
                            </w:p>
                          </w:txbxContent>
                        </wps:txbx>
                        <wps:bodyPr upright="1"/>
                      </wps:wsp>
                      <wps:wsp>
                        <wps:cNvPr id="36" name="矩形 36"/>
                        <wps:cNvSpPr/>
                        <wps:spPr>
                          <a:xfrm>
                            <a:off x="634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干燥窑</w:t>
                              </w:r>
                            </w:p>
                          </w:txbxContent>
                        </wps:txbx>
                        <wps:bodyPr upright="1"/>
                      </wps:wsp>
                      <wps:wsp>
                        <wps:cNvPr id="37" name="矩形 37"/>
                        <wps:cNvSpPr/>
                        <wps:spPr>
                          <a:xfrm>
                            <a:off x="433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焙烧窑</w:t>
                              </w:r>
                            </w:p>
                          </w:txbxContent>
                        </wps:txbx>
                        <wps:bodyPr upright="1"/>
                      </wps:wsp>
                      <wps:wsp>
                        <wps:cNvPr id="38" name="矩形 38"/>
                        <wps:cNvSpPr/>
                        <wps:spPr>
                          <a:xfrm>
                            <a:off x="232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成品装车</w:t>
                              </w:r>
                            </w:p>
                          </w:txbxContent>
                        </wps:txbx>
                        <wps:bodyPr upright="1"/>
                      </wps:wsp>
                      <wps:wsp>
                        <wps:cNvPr id="39" name="直接箭头连接符 39"/>
                        <wps:cNvCnPr/>
                        <wps:spPr>
                          <a:xfrm flipH="1">
                            <a:off x="7950" y="12060"/>
                            <a:ext cx="405" cy="0"/>
                          </a:xfrm>
                          <a:prstGeom prst="straightConnector1">
                            <a:avLst/>
                          </a:prstGeom>
                          <a:ln w="9525" cap="flat" cmpd="sng">
                            <a:solidFill>
                              <a:srgbClr val="000000"/>
                            </a:solidFill>
                            <a:prstDash val="solid"/>
                            <a:headEnd type="none" w="med" len="med"/>
                            <a:tailEnd type="triangle" w="med" len="med"/>
                          </a:ln>
                        </wps:spPr>
                        <wps:bodyPr/>
                      </wps:wsp>
                      <wps:wsp>
                        <wps:cNvPr id="41" name="直接箭头连接符 41"/>
                        <wps:cNvCnPr/>
                        <wps:spPr>
                          <a:xfrm flipH="1">
                            <a:off x="5955" y="12060"/>
                            <a:ext cx="405" cy="0"/>
                          </a:xfrm>
                          <a:prstGeom prst="straightConnector1">
                            <a:avLst/>
                          </a:prstGeom>
                          <a:ln w="9525" cap="flat" cmpd="sng">
                            <a:solidFill>
                              <a:srgbClr val="000000"/>
                            </a:solidFill>
                            <a:prstDash val="solid"/>
                            <a:headEnd type="none" w="med" len="med"/>
                            <a:tailEnd type="triangle" w="med" len="med"/>
                          </a:ln>
                        </wps:spPr>
                        <wps:bodyPr/>
                      </wps:wsp>
                      <wps:wsp>
                        <wps:cNvPr id="42" name="直接箭头连接符 42"/>
                        <wps:cNvCnPr/>
                        <wps:spPr>
                          <a:xfrm flipH="1">
                            <a:off x="3930" y="12060"/>
                            <a:ext cx="405"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45pt;margin-top:0.05pt;height:168.5pt;width:443.5pt;z-index:251669504;mso-width-relative:page;mso-height-relative:page;" coordorigin="2310,7530" coordsize="7665,4815" o:gfxdata="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">
                <o:lock v:ext="edit" aspectratio="f"/>
                <v:rect id="_x0000_s1026" o:spid="_x0000_s1026" o:spt="1" style="position:absolute;left:2310;top:7530;height:585;width:162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煤矸石、页岩</w:t>
                        </w:r>
                      </w:p>
                    </w:txbxContent>
                  </v:textbox>
                </v:rect>
                <v:shape id="_x0000_s1026" o:spid="_x0000_s1026" o:spt="32" type="#_x0000_t32" style="position:absolute;left:3930;top:7860;height:0;width:39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4320;top:7530;height:585;width:162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板式给料机</w:t>
                        </w:r>
                      </w:p>
                    </w:txbxContent>
                  </v:textbox>
                </v:rect>
                <v:shape id="_x0000_s1026" o:spid="_x0000_s1026" o:spt="32" type="#_x0000_t32" style="position:absolute;left:3060;top:9525;height:825;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5940;top:7845;height:0;width:39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6330;top:7530;height:585;width:1620;"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鄂破机</w:t>
                        </w:r>
                      </w:p>
                    </w:txbxContent>
                  </v:textbox>
                </v:rect>
                <v:shape id="_x0000_s1026" o:spid="_x0000_s1026" o:spt="32" type="#_x0000_t32" style="position:absolute;left:7950;top:7845;height:0;width:390;"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40;top:7530;height:585;width:162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细破机</w:t>
                        </w:r>
                      </w:p>
                    </w:txbxContent>
                  </v:textbox>
                </v:rect>
                <v:rect id="_x0000_s1026" o:spid="_x0000_s1026" o:spt="1" style="position:absolute;left:8340;top:8940;height:585;width:162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双轴搅拌机</w:t>
                        </w:r>
                      </w:p>
                    </w:txbxContent>
                  </v:textbox>
                </v:rect>
                <v:rect id="_x0000_s1026" o:spid="_x0000_s1026" o:spt="1" style="position:absolute;left:6330;top:8940;height:585;width:162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液压多斗挖掘</w:t>
                        </w:r>
                      </w:p>
                    </w:txbxContent>
                  </v:textbox>
                </v:rect>
                <v:rect id="_x0000_s1026" o:spid="_x0000_s1026" o:spt="1" style="position:absolute;left:4320;top:8940;height:585;width:162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箱式给料机</w:t>
                        </w:r>
                      </w:p>
                    </w:txbxContent>
                  </v:textbox>
                </v:rect>
                <v:rect id="_x0000_s1026" o:spid="_x0000_s1026" o:spt="1" style="position:absolute;left:2310;top:8940;height:585;width:162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挤泥机</w:t>
                        </w:r>
                      </w:p>
                    </w:txbxContent>
                  </v:textbox>
                </v:rect>
                <v:shape id="_x0000_s1026" o:spid="_x0000_s1026" o:spt="32" type="#_x0000_t32" style="position:absolute;left:7935;top:9240;flip:x;height:0;width:405;" filled="f" stroked="t" coordsize="21600,21600" o:gfxdata="UEsDBAoAAAAAAIdO4kAAAAAAAAAAAAAAAAAEAAAAZHJzL1BLAwQUAAAACACHTuJAtUPonr0AAADb&#10;AAAADwAAAGRycy9kb3ducmV2LnhtbEWPQYvCMBSE7wv+h/AEL4umVla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i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940;top:9240;flip:x;height:0;width:405;" filled="f" stroked="t" coordsize="21600,21600" o:gfxdata="UEsDBAoAAAAAAIdO4kAAAAAAAAAAAAAAAAAEAAAAZHJzL1BLAwQUAAAACACHTuJAOqpw6r0AAADb&#10;AAAADwAAAGRycy9kb3ducmV2LnhtbEWPQYvCMBSE7wv+h/AEL4umFle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qnDq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915;top:9240;flip:x;height:0;width:405;"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2310;top:10350;height:585;width:162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切条、切坏机</w:t>
                        </w:r>
                      </w:p>
                    </w:txbxContent>
                  </v:textbox>
                </v:rect>
                <v:shape id="_x0000_s1026" o:spid="_x0000_s1026" o:spt="32" type="#_x0000_t32" style="position:absolute;left:3930;top:10680;height:0;width:39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320;top:10350;height:585;width:162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自动编码</w:t>
                        </w:r>
                      </w:p>
                    </w:txbxContent>
                  </v:textbox>
                </v:rect>
                <v:shape id="_x0000_s1026" o:spid="_x0000_s1026" o:spt="32" type="#_x0000_t32" style="position:absolute;left:9180;top:10935;height:825;width: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40;top:10665;height:0;width:39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6330;top:10350;height:585;width:1620;"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自动码坯机</w:t>
                        </w:r>
                      </w:p>
                    </w:txbxContent>
                  </v:textbox>
                </v:rect>
                <v:shape id="_x0000_s1026" o:spid="_x0000_s1026" o:spt="32" type="#_x0000_t32" style="position:absolute;left:7950;top:10665;height:0;width:39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40;top:10350;height:585;width:162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窑车</w:t>
                        </w:r>
                      </w:p>
                    </w:txbxContent>
                  </v:textbox>
                </v:rect>
                <v:shape id="_x0000_s1026" o:spid="_x0000_s1026" o:spt="32" type="#_x0000_t32" style="position:absolute;left:9180;top:8115;height:825;width:0;"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355;top:11760;height:585;width:162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存坯线</w:t>
                        </w:r>
                      </w:p>
                    </w:txbxContent>
                  </v:textbox>
                </v:rect>
                <v:rect id="_x0000_s1026" o:spid="_x0000_s1026" o:spt="1" style="position:absolute;left:6345;top:11760;height:585;width:162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干燥窑</w:t>
                        </w:r>
                      </w:p>
                    </w:txbxContent>
                  </v:textbox>
                </v:rect>
                <v:rect id="_x0000_s1026" o:spid="_x0000_s1026" o:spt="1" style="position:absolute;left:4335;top:11760;height:585;width:162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焙烧窑</w:t>
                        </w:r>
                      </w:p>
                    </w:txbxContent>
                  </v:textbox>
                </v:rect>
                <v:rect id="_x0000_s1026" o:spid="_x0000_s1026" o:spt="1" style="position:absolute;left:2325;top:11760;height:585;width:162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成品装车</w:t>
                        </w:r>
                      </w:p>
                    </w:txbxContent>
                  </v:textbox>
                </v:rect>
                <v:shape id="_x0000_s1026" o:spid="_x0000_s1026" o:spt="32" type="#_x0000_t32" style="position:absolute;left:7950;top:12060;flip:x;height:0;width:405;" filled="f" stroked="t" coordsize="21600,21600" o:gfxdata="UEsDBAoAAAAAAIdO4kAAAAAAAAAAAAAAAAAEAAAAZHJzL1BLAwQUAAAACACHTuJAUXJJqb4AAADb&#10;AAAADwAAAGRycy9kb3ducmV2LnhtbEWPT4vCMBTE7wt+h/AEL6Kpy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JJq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55;top:12060;flip:x;height:0;width:405;" filled="f" stroked="t" coordsize="21600,21600" o:gfxdata="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jb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930;top:12060;flip:x;height:0;width:405;"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pict>
          </mc:Fallback>
        </mc:AlternateContent>
      </w:r>
    </w:p>
    <w:p>
      <w:pPr>
        <w:spacing w:line="360" w:lineRule="auto"/>
        <w:ind w:firstLine="560" w:firstLineChars="200"/>
        <w:rPr>
          <w:rFonts w:hint="eastAsia" w:ascii="宋体"/>
          <w:snapToGrid w:val="0"/>
          <w:color w:val="auto"/>
          <w:kern w:val="0"/>
          <w:sz w:val="28"/>
          <w:szCs w:val="28"/>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w:t>
      </w:r>
      <w:r>
        <w:rPr>
          <w:rFonts w:hint="eastAsia" w:ascii="黑体" w:hAnsi="黑体" w:eastAsia="黑体"/>
          <w:b/>
          <w:snapToGrid w:val="0"/>
          <w:color w:val="auto"/>
          <w:kern w:val="0"/>
          <w:sz w:val="24"/>
          <w:lang w:val="en-US" w:eastAsia="zh-CN"/>
        </w:rPr>
        <w:t>2</w:t>
      </w:r>
      <w:r>
        <w:rPr>
          <w:rFonts w:hint="eastAsia" w:ascii="黑体" w:hAnsi="黑体" w:eastAsia="黑体"/>
          <w:b/>
          <w:snapToGrid w:val="0"/>
          <w:color w:val="auto"/>
          <w:kern w:val="0"/>
          <w:sz w:val="24"/>
          <w:lang w:eastAsia="zh-CN"/>
        </w:rPr>
        <w:t>-</w:t>
      </w:r>
      <w:r>
        <w:rPr>
          <w:rFonts w:hint="eastAsia" w:ascii="黑体" w:hAnsi="黑体" w:eastAsia="黑体"/>
          <w:b/>
          <w:snapToGrid w:val="0"/>
          <w:color w:val="auto"/>
          <w:kern w:val="0"/>
          <w:sz w:val="24"/>
          <w:lang w:val="en-US" w:eastAsia="zh-CN"/>
        </w:rPr>
        <w:t>4</w:t>
      </w:r>
      <w:r>
        <w:rPr>
          <w:rFonts w:hint="eastAsia" w:ascii="黑体" w:hAnsi="黑体" w:eastAsia="黑体"/>
          <w:b/>
          <w:snapToGrid w:val="0"/>
          <w:color w:val="auto"/>
          <w:kern w:val="0"/>
          <w:sz w:val="24"/>
          <w:lang w:eastAsia="zh-CN"/>
        </w:rPr>
        <w:t xml:space="preserve"> 页岩砖生产工艺流程示意图</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2、原料制备</w:t>
      </w:r>
      <w:bookmarkEnd w:id="63"/>
      <w:bookmarkEnd w:id="64"/>
      <w:bookmarkEnd w:id="65"/>
      <w:bookmarkEnd w:id="66"/>
    </w:p>
    <w:p>
      <w:pPr>
        <w:spacing w:line="360" w:lineRule="auto"/>
        <w:ind w:firstLine="560" w:firstLineChars="200"/>
        <w:rPr>
          <w:rFonts w:hint="eastAsia" w:ascii="宋体"/>
          <w:snapToGrid w:val="0"/>
          <w:color w:val="auto"/>
          <w:kern w:val="0"/>
          <w:sz w:val="28"/>
          <w:szCs w:val="28"/>
        </w:rPr>
      </w:pPr>
      <w:bookmarkStart w:id="67" w:name="_Toc480804371"/>
      <w:bookmarkStart w:id="68" w:name="_Toc356401467"/>
      <w:bookmarkStart w:id="69" w:name="_Toc515872920"/>
      <w:bookmarkStart w:id="70" w:name="_Toc356380958"/>
      <w:r>
        <w:rPr>
          <w:rFonts w:hint="eastAsia" w:ascii="宋体"/>
          <w:snapToGrid w:val="0"/>
          <w:color w:val="auto"/>
          <w:kern w:val="0"/>
          <w:sz w:val="28"/>
          <w:szCs w:val="28"/>
        </w:rPr>
        <w:t>制砖主要原料煤外购运到厂内，自卸到板式给料机中。经板式给料机定量装到胶带输送机上，运到颚式破碎机处进行粗破，通过刮板给料机、圆盘给料机均匀喂料，至锤式破碎机进行粉碎，粉碎后物料颗粒组成情况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539"/>
        <w:gridCol w:w="3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1～3mm</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0.5～1mm</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0.2～0.5mm</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&lt;3%</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30%</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33%</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&gt;34%</w:t>
            </w:r>
          </w:p>
        </w:tc>
      </w:tr>
    </w:tbl>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煤按配合比(</w:t>
      </w:r>
      <w:r>
        <w:rPr>
          <w:rFonts w:hint="eastAsia" w:ascii="宋体" w:hAnsi="宋体"/>
          <w:color w:val="auto"/>
          <w:sz w:val="28"/>
          <w:szCs w:val="28"/>
        </w:rPr>
        <w:t>页岩、煤矸石=7:3)</w:t>
      </w:r>
      <w:r>
        <w:rPr>
          <w:rFonts w:hint="eastAsia" w:ascii="宋体"/>
          <w:snapToGrid w:val="0"/>
          <w:color w:val="auto"/>
          <w:kern w:val="0"/>
          <w:sz w:val="28"/>
          <w:szCs w:val="28"/>
        </w:rPr>
        <w:t>要求经箱式给料机定量给料到胶带输送机上，</w:t>
      </w:r>
      <w:r>
        <w:rPr>
          <w:rFonts w:hint="eastAsia" w:ascii="宋体" w:hAnsi="宋体"/>
          <w:color w:val="auto"/>
          <w:sz w:val="28"/>
          <w:szCs w:val="28"/>
        </w:rPr>
        <w:t>页岩</w:t>
      </w:r>
      <w:r>
        <w:rPr>
          <w:rFonts w:hint="eastAsia" w:ascii="宋体"/>
          <w:snapToGrid w:val="0"/>
          <w:color w:val="auto"/>
          <w:kern w:val="0"/>
          <w:sz w:val="28"/>
          <w:szCs w:val="28"/>
        </w:rPr>
        <w:t>共同进行粗碎、细碎处理。粉碎后的</w:t>
      </w:r>
      <w:r>
        <w:rPr>
          <w:rFonts w:hint="eastAsia" w:ascii="宋体" w:hAnsi="宋体"/>
          <w:color w:val="auto"/>
          <w:sz w:val="28"/>
          <w:szCs w:val="28"/>
        </w:rPr>
        <w:t>页岩</w:t>
      </w:r>
      <w:r>
        <w:rPr>
          <w:rFonts w:hint="eastAsia" w:ascii="宋体"/>
          <w:snapToGrid w:val="0"/>
          <w:color w:val="auto"/>
          <w:kern w:val="0"/>
          <w:sz w:val="28"/>
          <w:szCs w:val="28"/>
        </w:rPr>
        <w:t>、煤粉经强力搅拌机加水搅拌混合。</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3、原料陈化处理</w:t>
      </w:r>
      <w:bookmarkEnd w:id="67"/>
      <w:bookmarkEnd w:id="68"/>
      <w:bookmarkEnd w:id="69"/>
      <w:bookmarkEnd w:id="70"/>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强力搅拌机处理后的混合料再通过胶带输送机运到陈化库顶部的可逆移动配仓布料机上，将混合料按一定规律均匀的堆存到陈化库中，混合料陈化时间不得小于3小时。陈化的作用是使原料中水分均匀化程度提高，使原料颗粒表面和内部性能更加的均匀，更趋一致，使颗粒变得容易疏解，使混合料的成型性能得到提高。</w:t>
      </w:r>
    </w:p>
    <w:p>
      <w:pPr>
        <w:spacing w:line="360" w:lineRule="auto"/>
        <w:ind w:firstLine="562" w:firstLineChars="200"/>
        <w:rPr>
          <w:rFonts w:hint="eastAsia" w:ascii="宋体"/>
          <w:b/>
          <w:bCs/>
          <w:snapToGrid w:val="0"/>
          <w:color w:val="auto"/>
          <w:kern w:val="0"/>
          <w:sz w:val="28"/>
          <w:szCs w:val="28"/>
          <w:lang w:val="en-US" w:eastAsia="zh-CN"/>
        </w:rPr>
      </w:pPr>
      <w:bookmarkStart w:id="71" w:name="_Toc515872921"/>
      <w:bookmarkStart w:id="72" w:name="_Toc356380959"/>
      <w:bookmarkStart w:id="73" w:name="_Toc356401468"/>
      <w:bookmarkStart w:id="74" w:name="_Toc480804372"/>
      <w:r>
        <w:rPr>
          <w:rFonts w:hint="eastAsia" w:ascii="宋体"/>
          <w:b/>
          <w:bCs/>
          <w:snapToGrid w:val="0"/>
          <w:color w:val="auto"/>
          <w:kern w:val="0"/>
          <w:sz w:val="28"/>
          <w:szCs w:val="28"/>
          <w:lang w:val="en-US" w:eastAsia="zh-CN"/>
        </w:rPr>
        <w:t>4、挤出成型</w:t>
      </w:r>
      <w:bookmarkEnd w:id="71"/>
      <w:bookmarkEnd w:id="72"/>
      <w:bookmarkEnd w:id="73"/>
      <w:bookmarkEnd w:id="74"/>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过陈化的混合料有装运到胶带输送机上运到成型车间的箱式给料机处定量向强力搅拌机给料。原料通过这次加水搅拌，使其成型水分达到16～17%。搅拌后的物料再经过湿式轮碾机进一步碾练均化处理，使混合料性能满足成型需要。挤出成型采用高挤出压力、高真空度的双极真空挤出机，许用挤出压力达到3.8mpa，真空度达到≤-0.092mpa。挤出的泥条经自动切条机、切坯机割成需要规格的砖坯，再经码坯将砖坯放到窑车上。</w:t>
      </w:r>
    </w:p>
    <w:p>
      <w:pPr>
        <w:spacing w:line="360" w:lineRule="auto"/>
        <w:ind w:firstLine="562" w:firstLineChars="200"/>
        <w:rPr>
          <w:rFonts w:hint="eastAsia" w:ascii="宋体"/>
          <w:b/>
          <w:bCs/>
          <w:snapToGrid w:val="0"/>
          <w:color w:val="auto"/>
          <w:kern w:val="0"/>
          <w:sz w:val="28"/>
          <w:szCs w:val="28"/>
          <w:lang w:val="en-US" w:eastAsia="zh-CN"/>
        </w:rPr>
      </w:pPr>
      <w:bookmarkStart w:id="75" w:name="_Toc356401469"/>
      <w:bookmarkStart w:id="76" w:name="_Toc515872922"/>
      <w:bookmarkStart w:id="77" w:name="_Toc480804373"/>
      <w:bookmarkStart w:id="78" w:name="_Toc356380960"/>
      <w:r>
        <w:rPr>
          <w:rFonts w:hint="eastAsia" w:ascii="宋体"/>
          <w:b/>
          <w:bCs/>
          <w:snapToGrid w:val="0"/>
          <w:color w:val="auto"/>
          <w:kern w:val="0"/>
          <w:sz w:val="28"/>
          <w:szCs w:val="28"/>
          <w:lang w:val="en-US" w:eastAsia="zh-CN"/>
        </w:rPr>
        <w:t>5、干燥、焙烧</w:t>
      </w:r>
      <w:bookmarkEnd w:id="75"/>
      <w:bookmarkEnd w:id="76"/>
      <w:bookmarkEnd w:id="77"/>
      <w:bookmarkEnd w:id="78"/>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码有砖坯的窑车通过窑车运转系统完成窑车在贮存段、干燥室、焙烧窑的运行。由于成型工段在市场淡季有可能是二班生产，干燥室、焙烧窑是三班生产，因此必须设置码有砖坯的窑车贮存段，用于贮存夜班进窑的窑车，本项目共设250辆窑车。</w:t>
      </w:r>
    </w:p>
    <w:p>
      <w:pPr>
        <w:spacing w:line="360" w:lineRule="auto"/>
        <w:ind w:firstLine="560" w:firstLineChars="200"/>
        <w:rPr>
          <w:rFonts w:hint="eastAsia" w:ascii="宋体"/>
          <w:snapToGrid w:val="0"/>
          <w:color w:val="auto"/>
          <w:kern w:val="0"/>
          <w:sz w:val="28"/>
          <w:szCs w:val="28"/>
          <w:lang w:val="en-US" w:eastAsia="zh-CN"/>
        </w:rPr>
      </w:pPr>
      <w:r>
        <w:rPr>
          <w:rFonts w:hint="eastAsia" w:ascii="宋体"/>
          <w:snapToGrid w:val="0"/>
          <w:color w:val="auto"/>
          <w:kern w:val="0"/>
          <w:sz w:val="28"/>
          <w:szCs w:val="28"/>
          <w:lang w:val="en-US" w:eastAsia="zh-CN"/>
        </w:rPr>
        <w:t>装有砖坯的窑车经过贮存后运送到进车端摆渡车上，通过液压顶车机将窑车送入干燥室内，本项目采用一次码烧工艺，隧道窑生产线1条（1条干燥窑，1条焙烧窑）。干燥热源来自焙烧窑余热。干燥好的砖坯通过干燥室出口拉引机、焙烧窑液压顶车机将窑车送入焙烧窑。</w:t>
      </w:r>
    </w:p>
    <w:p>
      <w:pPr>
        <w:pStyle w:val="5"/>
        <w:spacing w:before="0" w:after="0" w:line="360" w:lineRule="auto"/>
        <w:rPr>
          <w:rFonts w:hint="eastAsia" w:ascii="宋体" w:hAnsi="宋体" w:eastAsia="宋体" w:cs="宋体"/>
          <w:color w:val="auto"/>
          <w:sz w:val="28"/>
          <w:szCs w:val="28"/>
          <w:lang w:val="zh-CN"/>
        </w:rPr>
      </w:pPr>
      <w:bookmarkStart w:id="79" w:name="_Toc9989"/>
      <w:bookmarkStart w:id="80" w:name="_Toc23493"/>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5</w:t>
      </w:r>
      <w:r>
        <w:rPr>
          <w:rFonts w:hint="eastAsia" w:ascii="宋体" w:hAnsi="宋体" w:eastAsia="宋体" w:cs="宋体"/>
          <w:b/>
          <w:bCs/>
          <w:i w:val="0"/>
          <w:iCs w:val="0"/>
          <w:color w:val="auto"/>
          <w:sz w:val="28"/>
          <w:szCs w:val="28"/>
        </w:rPr>
        <w:t>主要生产设备情况</w:t>
      </w:r>
      <w:bookmarkEnd w:id="79"/>
      <w:bookmarkEnd w:id="80"/>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仪陇县立山镇红旗页岩砖厂</w:t>
      </w:r>
      <w:r>
        <w:rPr>
          <w:rFonts w:hint="eastAsia" w:ascii="宋体" w:hAnsi="宋体" w:cs="宋体"/>
          <w:i w:val="0"/>
          <w:iCs w:val="0"/>
          <w:color w:val="auto"/>
          <w:sz w:val="28"/>
          <w:szCs w:val="28"/>
        </w:rPr>
        <w:t>主要设备清单见表</w:t>
      </w:r>
      <w:r>
        <w:rPr>
          <w:rFonts w:hint="eastAsia" w:ascii="宋体" w:hAnsi="宋体" w:eastAsia="宋体" w:cs="宋体"/>
          <w:i w:val="0"/>
          <w:iCs w:val="0"/>
          <w:color w:val="auto"/>
          <w:sz w:val="28"/>
          <w:szCs w:val="28"/>
          <w:lang w:val="en-US" w:eastAsia="zh-CN"/>
        </w:rPr>
        <w:t>2</w:t>
      </w:r>
      <w:r>
        <w:rPr>
          <w:rFonts w:hint="eastAsia" w:ascii="宋体" w:hAnsi="宋体" w:cs="宋体"/>
          <w:i w:val="0"/>
          <w:iCs w:val="0"/>
          <w:color w:val="auto"/>
          <w:sz w:val="28"/>
          <w:szCs w:val="28"/>
        </w:rPr>
        <w:t>-</w:t>
      </w:r>
      <w:r>
        <w:rPr>
          <w:rFonts w:hint="eastAsia" w:ascii="宋体" w:hAnsi="宋体" w:cs="宋体"/>
          <w:i w:val="0"/>
          <w:iCs w:val="0"/>
          <w:color w:val="auto"/>
          <w:sz w:val="28"/>
          <w:szCs w:val="28"/>
          <w:lang w:val="en-US" w:eastAsia="zh-CN"/>
        </w:rPr>
        <w:t>2</w:t>
      </w:r>
      <w:r>
        <w:rPr>
          <w:rFonts w:hint="eastAsia" w:ascii="宋体" w:hAnsi="宋体" w:cs="宋体"/>
          <w:i w:val="0"/>
          <w:iCs w:val="0"/>
          <w:color w:val="auto"/>
          <w:sz w:val="28"/>
          <w:szCs w:val="28"/>
        </w:rPr>
        <w:t>所示。</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62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序号</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设备名称</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型号</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FF0000"/>
                <w:kern w:val="2"/>
                <w:sz w:val="24"/>
                <w:szCs w:val="24"/>
                <w:u w:val="none"/>
                <w:lang w:val="zh-CN" w:eastAsia="zh-CN" w:bidi="ar-SA"/>
              </w:rPr>
              <w:t>挤机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60-50</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2</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码坯机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3</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颚式破碎机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50-70</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4</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搅拌机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4.5m</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5</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滚动筛</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2.2*1m</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6</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粉碎机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120型</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7</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供煤机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8</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自动切条机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36*9</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9</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切坯机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10</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小平车</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200台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11</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电动车</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12</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风机</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zh-CN" w:eastAsia="zh-CN" w:bidi="ar-SA"/>
              </w:rPr>
              <w:t>直</w:t>
            </w:r>
            <w:r>
              <w:rPr>
                <w:rFonts w:hint="eastAsia" w:ascii="宋体" w:hAnsi="宋体" w:eastAsia="Times New Roman" w:cs="宋体"/>
                <w:color w:val="auto"/>
                <w:kern w:val="2"/>
                <w:sz w:val="24"/>
                <w:szCs w:val="24"/>
                <w:u w:val="none"/>
                <w:lang w:val="en-US" w:eastAsia="zh-CN" w:bidi="ar-SA"/>
              </w:rPr>
              <w:t>1.4m</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13</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除尘器</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en-US" w:eastAsia="zh-CN" w:bidi="ar-SA"/>
              </w:rPr>
            </w:pPr>
            <w:r>
              <w:rPr>
                <w:rFonts w:hint="eastAsia" w:ascii="宋体" w:hAnsi="宋体" w:eastAsia="Times New Roman" w:cs="宋体"/>
                <w:color w:val="auto"/>
                <w:kern w:val="2"/>
                <w:sz w:val="24"/>
                <w:szCs w:val="24"/>
                <w:u w:val="none"/>
                <w:lang w:val="en-US" w:eastAsia="zh-CN" w:bidi="ar-SA"/>
              </w:rPr>
              <w:t>14</w:t>
            </w:r>
          </w:p>
        </w:tc>
        <w:tc>
          <w:tcPr>
            <w:tcW w:w="2629"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zh-CN" w:eastAsia="zh-CN" w:bidi="ar-SA"/>
              </w:rPr>
              <w:t>脱硫塔</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w:t>
            </w:r>
          </w:p>
        </w:tc>
        <w:tc>
          <w:tcPr>
            <w:tcW w:w="2131" w:type="dxa"/>
            <w:noWrap w:val="0"/>
            <w:vAlign w:val="center"/>
          </w:tcPr>
          <w:p>
            <w:pPr>
              <w:pStyle w:val="30"/>
              <w:keepNext w:val="0"/>
              <w:keepLines w:val="0"/>
              <w:widowControl w:val="0"/>
              <w:shd w:val="clear" w:color="auto" w:fill="auto"/>
              <w:bidi w:val="0"/>
              <w:spacing w:before="0" w:after="0" w:line="240" w:lineRule="auto"/>
              <w:ind w:right="0"/>
              <w:jc w:val="center"/>
              <w:rPr>
                <w:rFonts w:hint="eastAsia" w:ascii="宋体" w:hAnsi="宋体" w:eastAsia="Times New Roman" w:cs="宋体"/>
                <w:color w:val="auto"/>
                <w:kern w:val="2"/>
                <w:sz w:val="24"/>
                <w:szCs w:val="24"/>
                <w:u w:val="none"/>
                <w:lang w:val="zh-CN" w:eastAsia="zh-CN" w:bidi="ar-SA"/>
              </w:rPr>
            </w:pPr>
            <w:r>
              <w:rPr>
                <w:rFonts w:hint="eastAsia" w:ascii="宋体" w:hAnsi="宋体" w:eastAsia="Times New Roman" w:cs="宋体"/>
                <w:color w:val="auto"/>
                <w:kern w:val="2"/>
                <w:sz w:val="24"/>
                <w:szCs w:val="24"/>
                <w:u w:val="none"/>
                <w:lang w:val="en-US" w:eastAsia="zh-CN" w:bidi="ar-SA"/>
              </w:rPr>
              <w:t>1套</w:t>
            </w:r>
          </w:p>
        </w:tc>
      </w:tr>
    </w:tbl>
    <w:p>
      <w:pPr>
        <w:pStyle w:val="12"/>
        <w:spacing w:line="240" w:lineRule="auto"/>
        <w:ind w:firstLine="482" w:firstLineChars="200"/>
        <w:jc w:val="center"/>
        <w:rPr>
          <w:rFonts w:hint="eastAsia" w:ascii="黑体" w:hAnsi="Courier New" w:eastAsia="黑体"/>
          <w:b/>
          <w:color w:val="auto"/>
          <w:sz w:val="24"/>
          <w:lang w:eastAsia="zh-CN"/>
        </w:rPr>
      </w:pPr>
      <w:bookmarkStart w:id="81" w:name="_Toc18643"/>
      <w:bookmarkStart w:id="82" w:name="_Toc16275"/>
      <w:r>
        <w:rPr>
          <w:rFonts w:hint="eastAsia" w:ascii="黑体" w:hAnsi="Courier New" w:eastAsia="黑体"/>
          <w:b/>
          <w:color w:val="auto"/>
          <w:sz w:val="24"/>
          <w:lang w:eastAsia="zh-CN"/>
        </w:rPr>
        <w:t>表</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 xml:space="preserve"> 主要设备清单</w:t>
      </w:r>
    </w:p>
    <w:p>
      <w:pPr>
        <w:pStyle w:val="5"/>
        <w:spacing w:before="0" w:after="0" w:line="360" w:lineRule="auto"/>
        <w:rPr>
          <w:rFonts w:hint="eastAsia" w:ascii="宋体" w:hAnsi="宋体" w:eastAsia="宋体" w:cs="宋体"/>
          <w:color w:val="auto"/>
          <w:sz w:val="28"/>
          <w:szCs w:val="28"/>
        </w:rPr>
      </w:pPr>
      <w:bookmarkStart w:id="83" w:name="_Toc4254"/>
      <w:bookmarkStart w:id="84" w:name="_Toc6413"/>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各方应急力量有关基本情况</w:t>
      </w:r>
      <w:bookmarkEnd w:id="81"/>
      <w:bookmarkEnd w:id="82"/>
      <w:bookmarkEnd w:id="83"/>
      <w:bookmarkEnd w:id="84"/>
    </w:p>
    <w:p>
      <w:pPr>
        <w:pStyle w:val="5"/>
        <w:spacing w:before="0" w:after="0" w:line="360" w:lineRule="auto"/>
        <w:rPr>
          <w:rFonts w:hint="eastAsia" w:ascii="宋体" w:hAnsi="宋体" w:eastAsia="宋体" w:cs="宋体"/>
          <w:color w:val="auto"/>
          <w:sz w:val="28"/>
          <w:szCs w:val="28"/>
          <w:lang w:val="zh-CN"/>
        </w:rPr>
      </w:pPr>
      <w:bookmarkStart w:id="85" w:name="_Toc27824"/>
      <w:bookmarkStart w:id="86" w:name="_Toc18478"/>
      <w:bookmarkStart w:id="87" w:name="_Toc5194"/>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.1内部应急力量</w:t>
      </w:r>
      <w:bookmarkEnd w:id="85"/>
      <w:bookmarkEnd w:id="86"/>
      <w:bookmarkEnd w:id="87"/>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rPr>
        <w:t>公司成立有以总经理</w:t>
      </w:r>
      <w:r>
        <w:rPr>
          <w:rFonts w:hint="eastAsia" w:ascii="宋体" w:hAnsi="宋体" w:cs="宋体"/>
          <w:i w:val="0"/>
          <w:iCs w:val="0"/>
          <w:color w:val="FF0000"/>
          <w:sz w:val="28"/>
          <w:szCs w:val="28"/>
          <w:lang w:val="en-US" w:eastAsia="zh-CN"/>
        </w:rPr>
        <w:t>邱亮</w:t>
      </w:r>
      <w:r>
        <w:rPr>
          <w:rFonts w:hint="eastAsia" w:ascii="宋体" w:hAnsi="宋体" w:cs="宋体"/>
          <w:i w:val="0"/>
          <w:iCs w:val="0"/>
          <w:color w:val="FF0000"/>
          <w:sz w:val="28"/>
          <w:szCs w:val="28"/>
        </w:rPr>
        <w:t>为组长的应急抢险救援领导小组，副组长由公司</w:t>
      </w:r>
      <w:r>
        <w:rPr>
          <w:rFonts w:hint="eastAsia" w:ascii="宋体" w:hAnsi="宋体" w:eastAsia="宋体" w:cs="宋体"/>
          <w:i w:val="0"/>
          <w:iCs w:val="0"/>
          <w:color w:val="FF0000"/>
          <w:sz w:val="28"/>
          <w:szCs w:val="28"/>
          <w:lang w:eastAsia="zh-CN"/>
        </w:rPr>
        <w:t>厂长</w:t>
      </w:r>
      <w:r>
        <w:rPr>
          <w:rFonts w:hint="eastAsia" w:ascii="宋体" w:hAnsi="宋体" w:eastAsia="宋体" w:cs="宋体"/>
          <w:i w:val="0"/>
          <w:iCs w:val="0"/>
          <w:color w:val="FF0000"/>
          <w:sz w:val="28"/>
          <w:szCs w:val="28"/>
          <w:lang w:val="en-US" w:eastAsia="zh-CN"/>
        </w:rPr>
        <w:t>杨升华</w:t>
      </w:r>
      <w:r>
        <w:rPr>
          <w:rFonts w:hint="eastAsia" w:ascii="宋体" w:hAnsi="宋体" w:cs="宋体"/>
          <w:i w:val="0"/>
          <w:iCs w:val="0"/>
          <w:color w:val="FF0000"/>
          <w:sz w:val="28"/>
          <w:szCs w:val="28"/>
        </w:rPr>
        <w:t>担任。成员由其他</w:t>
      </w:r>
      <w:r>
        <w:rPr>
          <w:rFonts w:hint="eastAsia" w:ascii="宋体" w:hAnsi="宋体" w:cs="宋体"/>
          <w:i w:val="0"/>
          <w:iCs w:val="0"/>
          <w:color w:val="FF0000"/>
          <w:sz w:val="28"/>
          <w:szCs w:val="28"/>
          <w:lang w:eastAsia="zh-CN"/>
        </w:rPr>
        <w:t>现场负责人</w:t>
      </w:r>
      <w:r>
        <w:rPr>
          <w:rFonts w:hint="eastAsia" w:ascii="宋体" w:hAnsi="宋体" w:cs="宋体"/>
          <w:i w:val="0"/>
          <w:iCs w:val="0"/>
          <w:color w:val="FF0000"/>
          <w:sz w:val="28"/>
          <w:szCs w:val="28"/>
        </w:rPr>
        <w:t>、车间主管及</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成员组成。并设</w:t>
      </w:r>
      <w:r>
        <w:rPr>
          <w:rFonts w:hint="eastAsia" w:ascii="宋体" w:hAnsi="宋体" w:cs="宋体"/>
          <w:i w:val="0"/>
          <w:iCs w:val="0"/>
          <w:color w:val="FF0000"/>
          <w:sz w:val="28"/>
          <w:szCs w:val="28"/>
          <w:lang w:eastAsia="zh-CN"/>
        </w:rPr>
        <w:t>安全管理员</w:t>
      </w:r>
      <w:r>
        <w:rPr>
          <w:rFonts w:hint="eastAsia" w:ascii="宋体" w:hAnsi="宋体" w:cs="宋体"/>
          <w:i w:val="0"/>
          <w:iCs w:val="0"/>
          <w:color w:val="FF0000"/>
          <w:sz w:val="28"/>
          <w:szCs w:val="28"/>
        </w:rPr>
        <w:t>作为独立的日常安全、环保管理专职人员，应急抢险救援领导小组下设有下设抢险救援组、</w:t>
      </w:r>
      <w:r>
        <w:rPr>
          <w:rFonts w:hint="eastAsia" w:ascii="宋体" w:hAnsi="宋体" w:cs="宋体"/>
          <w:i w:val="0"/>
          <w:iCs w:val="0"/>
          <w:color w:val="FF0000"/>
          <w:sz w:val="28"/>
          <w:szCs w:val="28"/>
          <w:lang w:eastAsia="zh-CN"/>
        </w:rPr>
        <w:t>疏散联络组</w:t>
      </w:r>
      <w:r>
        <w:rPr>
          <w:rFonts w:hint="eastAsia" w:ascii="宋体" w:hAnsi="宋体" w:cs="宋体"/>
          <w:i w:val="0"/>
          <w:iCs w:val="0"/>
          <w:color w:val="FF0000"/>
          <w:sz w:val="28"/>
          <w:szCs w:val="28"/>
        </w:rPr>
        <w:t>、后勤保障组、医疗救护组</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事故调查善后组、</w:t>
      </w:r>
      <w:r>
        <w:rPr>
          <w:rFonts w:hint="eastAsia" w:ascii="宋体" w:hAnsi="宋体" w:cs="宋体"/>
          <w:i w:val="0"/>
          <w:iCs w:val="0"/>
          <w:color w:val="FF0000"/>
          <w:sz w:val="28"/>
          <w:szCs w:val="28"/>
        </w:rPr>
        <w:t>负责处理应急救援事宜。领导小组办公室常设在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，日常工作由</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主管</w:t>
      </w:r>
      <w:r>
        <w:rPr>
          <w:rFonts w:hint="eastAsia" w:ascii="宋体" w:hAnsi="宋体" w:cs="宋体"/>
          <w:i w:val="0"/>
          <w:iCs w:val="0"/>
          <w:color w:val="FF0000"/>
          <w:sz w:val="28"/>
          <w:szCs w:val="28"/>
          <w:lang w:eastAsia="zh-CN"/>
        </w:rPr>
        <w:t>负责</w:t>
      </w:r>
      <w:r>
        <w:rPr>
          <w:rFonts w:hint="eastAsia" w:ascii="宋体" w:hAnsi="宋体" w:cs="宋体"/>
          <w:i w:val="0"/>
          <w:iCs w:val="0"/>
          <w:color w:val="FF0000"/>
          <w:sz w:val="28"/>
          <w:szCs w:val="28"/>
        </w:rPr>
        <w:t>。其它下设的各小组组长由公司指派部门负责人担任。重大事故发生时，由总经理任应急领导组长，领导小组副组长任副应急领导组长，负责组织和指挥应急抢险救护工作。应急领导小组一般设在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。如果应急领导组长或副组长均不在公司时，则由在公司</w:t>
      </w:r>
      <w:r>
        <w:rPr>
          <w:rFonts w:hint="eastAsia" w:ascii="宋体" w:hAnsi="宋体" w:cs="宋体"/>
          <w:i w:val="0"/>
          <w:iCs w:val="0"/>
          <w:color w:val="FF0000"/>
          <w:sz w:val="28"/>
          <w:szCs w:val="28"/>
          <w:lang w:eastAsia="zh-CN"/>
        </w:rPr>
        <w:t>厂长</w:t>
      </w:r>
      <w:r>
        <w:rPr>
          <w:rFonts w:hint="eastAsia" w:ascii="宋体" w:hAnsi="宋体" w:cs="宋体"/>
          <w:i w:val="0"/>
          <w:iCs w:val="0"/>
          <w:color w:val="FF0000"/>
          <w:sz w:val="28"/>
          <w:szCs w:val="28"/>
        </w:rPr>
        <w:t>与</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负责人为临时应急领导组长，全权负责应急抢险及救护工作。</w:t>
      </w:r>
    </w:p>
    <w:p>
      <w:pPr>
        <w:pStyle w:val="5"/>
        <w:spacing w:before="0" w:after="0" w:line="360" w:lineRule="auto"/>
        <w:rPr>
          <w:rFonts w:hint="eastAsia" w:ascii="宋体" w:hAnsi="宋体" w:eastAsia="宋体" w:cs="宋体"/>
          <w:color w:val="auto"/>
          <w:sz w:val="28"/>
          <w:szCs w:val="28"/>
          <w:lang w:val="zh-CN"/>
        </w:rPr>
      </w:pPr>
      <w:bookmarkStart w:id="88" w:name="_Toc21058"/>
      <w:bookmarkStart w:id="89" w:name="_Toc19588"/>
      <w:bookmarkStart w:id="90" w:name="_Toc16719"/>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外部应急力量</w:t>
      </w:r>
      <w:bookmarkEnd w:id="88"/>
      <w:bookmarkEnd w:id="89"/>
      <w:bookmarkEnd w:id="90"/>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仪陇县立山镇</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仪陇县立山镇卫生院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仪陇县立山镇卫生院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1</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仪陇县人民医院（金城）</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68</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1小时40分钟</w:t>
      </w:r>
      <w:r>
        <w:rPr>
          <w:rFonts w:hint="eastAsia" w:ascii="宋体" w:hAnsi="宋体" w:cs="宋体"/>
          <w:i w:val="0"/>
          <w:iCs w:val="0"/>
          <w:color w:val="FF0000"/>
          <w:sz w:val="28"/>
          <w:szCs w:val="28"/>
        </w:rPr>
        <w:t>内能到达现场。</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83</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1小时50分钟</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仪陇县立山镇</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1.4</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仪陇县金城消防中队距企业距离约</w:t>
      </w:r>
      <w:r>
        <w:rPr>
          <w:rFonts w:hint="eastAsia" w:ascii="宋体" w:hAnsi="宋体" w:cs="宋体"/>
          <w:i w:val="0"/>
          <w:iCs w:val="0"/>
          <w:color w:val="FF0000"/>
          <w:sz w:val="28"/>
          <w:szCs w:val="28"/>
          <w:lang w:val="en-US" w:eastAsia="zh-CN"/>
        </w:rPr>
        <w:t>68</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1小时40分钟</w:t>
      </w:r>
      <w:r>
        <w:rPr>
          <w:rFonts w:hint="eastAsia" w:ascii="宋体" w:hAnsi="宋体" w:cs="宋体"/>
          <w:i w:val="0"/>
          <w:iCs w:val="0"/>
          <w:color w:val="FF0000"/>
          <w:sz w:val="28"/>
          <w:szCs w:val="28"/>
          <w:lang w:eastAsia="zh-CN"/>
        </w:rPr>
        <w:t>内能到达现场；仪陇县消防救援局距企业距离约</w:t>
      </w:r>
      <w:r>
        <w:rPr>
          <w:rFonts w:hint="eastAsia" w:ascii="宋体" w:hAnsi="宋体" w:cs="宋体"/>
          <w:i w:val="0"/>
          <w:iCs w:val="0"/>
          <w:color w:val="FF0000"/>
          <w:sz w:val="28"/>
          <w:szCs w:val="28"/>
          <w:lang w:val="en-US" w:eastAsia="zh-CN"/>
        </w:rPr>
        <w:t>84</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1小时50分钟</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表2-</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 xml:space="preserve"> 外部应急支援一览表</w:t>
      </w:r>
    </w:p>
    <w:tbl>
      <w:tblPr>
        <w:tblStyle w:val="19"/>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color w:val="auto"/>
                <w:szCs w:val="21"/>
              </w:rPr>
              <w:t>消防栓</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color w:val="auto"/>
                <w:szCs w:val="21"/>
              </w:rPr>
              <w:t>干粉灭火器</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color w:val="auto"/>
                <w:szCs w:val="21"/>
              </w:rPr>
              <w:t>若干</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color w:val="auto"/>
                <w:szCs w:val="21"/>
              </w:rPr>
              <w:t>个</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color w:val="auto"/>
                <w:szCs w:val="21"/>
              </w:rPr>
              <w:t>急救箱</w:t>
            </w:r>
          </w:p>
        </w:tc>
        <w:tc>
          <w:tcPr>
            <w:tcW w:w="765" w:type="dxa"/>
            <w:noWrap w:val="0"/>
            <w:vAlign w:val="top"/>
          </w:tcPr>
          <w:p>
            <w:pPr>
              <w:spacing w:line="440" w:lineRule="exact"/>
              <w:ind w:firstLine="105" w:firstLineChars="50"/>
              <w:jc w:val="center"/>
              <w:rPr>
                <w:rFonts w:hint="default" w:ascii="宋体" w:hAnsi="宋体"/>
                <w:i w:val="0"/>
                <w:iCs w:val="0"/>
                <w:color w:val="auto"/>
                <w:szCs w:val="21"/>
                <w:lang w:val="en-US" w:eastAsia="zh-CN"/>
              </w:rPr>
            </w:pPr>
            <w:r>
              <w:rPr>
                <w:rFonts w:hint="eastAsia" w:ascii="宋体" w:hAnsi="宋体"/>
                <w:color w:val="auto"/>
                <w:szCs w:val="21"/>
              </w:rPr>
              <w:t>5</w:t>
            </w:r>
          </w:p>
        </w:tc>
        <w:tc>
          <w:tcPr>
            <w:tcW w:w="780" w:type="dxa"/>
            <w:noWrap w:val="0"/>
            <w:vAlign w:val="center"/>
          </w:tcPr>
          <w:p>
            <w:pPr>
              <w:spacing w:line="460" w:lineRule="exact"/>
              <w:jc w:val="center"/>
              <w:rPr>
                <w:rFonts w:hint="eastAsia" w:ascii="宋体" w:hAnsi="宋体"/>
                <w:i w:val="0"/>
                <w:iCs w:val="0"/>
                <w:color w:val="auto"/>
                <w:szCs w:val="21"/>
              </w:rPr>
            </w:pPr>
            <w:r>
              <w:rPr>
                <w:rFonts w:hint="eastAsia" w:ascii="宋体" w:hAnsi="宋体"/>
                <w:color w:val="auto"/>
                <w:szCs w:val="21"/>
              </w:rPr>
              <w:t>个</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color w:val="auto"/>
                <w:szCs w:val="21"/>
                <w:lang w:val="en-US" w:eastAsia="zh-CN"/>
              </w:rPr>
              <w:t>10</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辆</w:t>
            </w:r>
          </w:p>
        </w:tc>
        <w:tc>
          <w:tcPr>
            <w:tcW w:w="4216"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仪陇县人民医院、仪陇县立山镇卫生院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val="en-US" w:eastAsia="zh-CN"/>
              </w:rPr>
            </w:pPr>
            <w:r>
              <w:rPr>
                <w:rFonts w:hint="eastAsia" w:ascii="宋体" w:hAnsi="宋体" w:eastAsia="宋体"/>
                <w:i w:val="0"/>
                <w:iCs w:val="0"/>
                <w:color w:val="auto"/>
                <w:szCs w:val="21"/>
                <w:lang w:val="en-US" w:eastAsia="zh-CN"/>
              </w:rPr>
              <w:t>2</w:t>
            </w:r>
          </w:p>
        </w:tc>
        <w:tc>
          <w:tcPr>
            <w:tcW w:w="780" w:type="dxa"/>
            <w:noWrap w:val="0"/>
            <w:vAlign w:val="center"/>
          </w:tcPr>
          <w:p>
            <w:pPr>
              <w:spacing w:line="460" w:lineRule="exact"/>
              <w:jc w:val="center"/>
              <w:rPr>
                <w:rFonts w:hint="eastAsia" w:ascii="宋体" w:hAnsi="宋体"/>
                <w:i w:val="0"/>
                <w:iCs w:val="0"/>
                <w:color w:val="auto"/>
                <w:szCs w:val="21"/>
                <w:lang w:val="en-US" w:eastAsia="zh-CN"/>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仪陇县人民医院、仪陇县立山镇卫生院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仪陇县人民医院、仪陇县立山镇卫生院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8</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仪陇县人民医院、仪陇县立山镇卫生院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6</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仪陇县人民医院、仪陇县立山镇卫生院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杨升华</w:t>
            </w:r>
          </w:p>
        </w:tc>
      </w:tr>
      <w:bookmarkEnd w:id="48"/>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spacing w:line="360" w:lineRule="auto"/>
        <w:jc w:val="center"/>
        <w:outlineLvl w:val="0"/>
        <w:rPr>
          <w:rFonts w:hint="eastAsia" w:ascii="黑体" w:hAnsi="宋体" w:eastAsia="黑体"/>
          <w:b/>
          <w:sz w:val="32"/>
          <w:szCs w:val="32"/>
          <w:lang w:val="en-US" w:eastAsia="zh-CN"/>
        </w:rPr>
      </w:pPr>
      <w:bookmarkStart w:id="91" w:name="_Toc30230"/>
      <w:r>
        <w:rPr>
          <w:rFonts w:hint="eastAsia" w:ascii="黑体" w:hAnsi="宋体" w:eastAsia="黑体"/>
          <w:b/>
          <w:sz w:val="32"/>
          <w:szCs w:val="32"/>
          <w:lang w:val="en-US" w:eastAsia="zh-CN"/>
        </w:rPr>
        <w:t>3危险、有害因素辨识</w:t>
      </w:r>
      <w:bookmarkEnd w:id="91"/>
    </w:p>
    <w:p>
      <w:pPr>
        <w:pStyle w:val="8"/>
        <w:spacing w:line="360" w:lineRule="auto"/>
        <w:ind w:firstLine="0" w:firstLineChars="0"/>
        <w:outlineLvl w:val="1"/>
        <w:rPr>
          <w:rFonts w:hint="eastAsia" w:ascii="黑体" w:eastAsia="黑体"/>
          <w:b/>
          <w:snapToGrid w:val="0"/>
          <w:kern w:val="0"/>
          <w:sz w:val="32"/>
          <w:szCs w:val="32"/>
        </w:rPr>
      </w:pPr>
      <w:bookmarkStart w:id="92" w:name="_Toc1444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1 危险、有害因素辨识的目的</w:t>
      </w:r>
      <w:bookmarkEnd w:id="41"/>
      <w:bookmarkEnd w:id="42"/>
      <w:bookmarkEnd w:id="92"/>
    </w:p>
    <w:p>
      <w:pPr>
        <w:autoSpaceDE w:val="0"/>
        <w:autoSpaceDN w:val="0"/>
        <w:adjustRightInd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危险、有害因素是指能造成人员伤亡或影响人体健康、导致疾病和对物造成突发性或慢性损坏的因素。充分识别并掌握</w:t>
      </w:r>
      <w:r>
        <w:rPr>
          <w:rFonts w:hint="eastAsia" w:ascii="宋体" w:hAnsi="宋体"/>
          <w:snapToGrid w:val="0"/>
          <w:kern w:val="0"/>
          <w:sz w:val="28"/>
          <w:szCs w:val="28"/>
          <w:lang w:eastAsia="zh-CN"/>
        </w:rPr>
        <w:t>公司</w:t>
      </w:r>
      <w:r>
        <w:rPr>
          <w:rFonts w:hint="eastAsia" w:ascii="宋体" w:hAnsi="宋体"/>
          <w:snapToGrid w:val="0"/>
          <w:kern w:val="0"/>
          <w:sz w:val="28"/>
          <w:szCs w:val="28"/>
        </w:rPr>
        <w:t>生产系统中的危险有害因素，为企业有效减少人员伤亡和财产损失，确保生产安全具有重要意义；为企业</w:t>
      </w:r>
      <w:r>
        <w:rPr>
          <w:rFonts w:ascii="宋体" w:hAnsi="宋体"/>
          <w:snapToGrid w:val="0"/>
          <w:kern w:val="0"/>
          <w:sz w:val="28"/>
          <w:szCs w:val="28"/>
        </w:rPr>
        <w:t>在</w:t>
      </w:r>
      <w:r>
        <w:rPr>
          <w:rFonts w:hint="eastAsia" w:ascii="宋体" w:hAnsi="宋体"/>
          <w:snapToGrid w:val="0"/>
          <w:kern w:val="0"/>
          <w:sz w:val="28"/>
          <w:szCs w:val="28"/>
        </w:rPr>
        <w:t>实际生产中查找事故隐患并制定整改措施、制定事故应急救援预案</w:t>
      </w:r>
      <w:r>
        <w:rPr>
          <w:rFonts w:ascii="宋体" w:hAnsi="宋体"/>
          <w:snapToGrid w:val="0"/>
          <w:kern w:val="0"/>
          <w:sz w:val="28"/>
          <w:szCs w:val="28"/>
        </w:rPr>
        <w:t>指明方向。</w:t>
      </w:r>
    </w:p>
    <w:p>
      <w:pPr>
        <w:pStyle w:val="8"/>
        <w:spacing w:line="360" w:lineRule="auto"/>
        <w:ind w:firstLine="0" w:firstLineChars="0"/>
        <w:outlineLvl w:val="1"/>
        <w:rPr>
          <w:rFonts w:ascii="黑体" w:eastAsia="黑体"/>
          <w:b/>
          <w:snapToGrid w:val="0"/>
          <w:kern w:val="0"/>
          <w:sz w:val="32"/>
          <w:szCs w:val="32"/>
        </w:rPr>
      </w:pPr>
      <w:bookmarkStart w:id="93" w:name="_Toc480804387"/>
      <w:bookmarkStart w:id="94" w:name="_Toc350781091"/>
      <w:bookmarkStart w:id="95" w:name="_Toc356401484"/>
      <w:bookmarkStart w:id="96" w:name="_Toc514342839"/>
      <w:bookmarkStart w:id="97" w:name="_Toc21210"/>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2 危险、有害因素辨识的依据</w:t>
      </w:r>
      <w:bookmarkEnd w:id="93"/>
      <w:bookmarkEnd w:id="94"/>
      <w:bookmarkEnd w:id="95"/>
      <w:bookmarkEnd w:id="96"/>
      <w:bookmarkEnd w:id="97"/>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（1）按照《危险化学品名录（20</w:t>
      </w:r>
      <w:r>
        <w:rPr>
          <w:rFonts w:hint="eastAsia" w:ascii="宋体" w:hAnsi="宋体"/>
          <w:snapToGrid w:val="0"/>
          <w:kern w:val="0"/>
          <w:sz w:val="28"/>
          <w:szCs w:val="28"/>
        </w:rPr>
        <w:t>1</w:t>
      </w:r>
      <w:r>
        <w:rPr>
          <w:rFonts w:hint="eastAsia" w:ascii="宋体" w:hAnsi="宋体"/>
          <w:snapToGrid w:val="0"/>
          <w:kern w:val="0"/>
          <w:sz w:val="28"/>
          <w:szCs w:val="28"/>
          <w:lang w:val="en-US" w:eastAsia="zh-CN"/>
        </w:rPr>
        <w:t>8</w:t>
      </w:r>
      <w:r>
        <w:rPr>
          <w:rFonts w:ascii="宋体" w:hAnsi="宋体"/>
          <w:snapToGrid w:val="0"/>
          <w:kern w:val="0"/>
          <w:sz w:val="28"/>
          <w:szCs w:val="28"/>
        </w:rPr>
        <w:t>版）》将有害物质分为爆炸品、压缩气体和液化气体、易燃液体、易燃固体、自燃物品和遇湿易燃物品、氧化剂和有机过氧化物、毒害品和感染性物品、腐蚀品8大类，对系统中使用的物质及产品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（2）根据《危险化学品重大危险源辨识》（</w:t>
      </w:r>
      <w:r>
        <w:rPr>
          <w:rFonts w:hint="eastAsia" w:ascii="宋体" w:hAnsi="宋体"/>
          <w:snapToGrid w:val="0"/>
          <w:kern w:val="0"/>
          <w:sz w:val="28"/>
          <w:szCs w:val="28"/>
          <w:lang w:eastAsia="zh-CN"/>
        </w:rPr>
        <w:t>GB18218-2018</w:t>
      </w:r>
      <w:r>
        <w:rPr>
          <w:rFonts w:ascii="宋体" w:hAnsi="宋体"/>
          <w:snapToGrid w:val="0"/>
          <w:kern w:val="0"/>
          <w:sz w:val="28"/>
          <w:szCs w:val="28"/>
        </w:rPr>
        <w:t>），对</w:t>
      </w:r>
      <w:r>
        <w:rPr>
          <w:rFonts w:hint="eastAsia" w:ascii="宋体" w:hAnsi="宋体"/>
          <w:snapToGrid w:val="0"/>
          <w:kern w:val="0"/>
          <w:sz w:val="28"/>
          <w:szCs w:val="28"/>
          <w:lang w:eastAsia="zh-CN"/>
        </w:rPr>
        <w:t>厂区</w:t>
      </w:r>
      <w:r>
        <w:rPr>
          <w:rFonts w:ascii="宋体" w:hAnsi="宋体"/>
          <w:snapToGrid w:val="0"/>
          <w:kern w:val="0"/>
          <w:sz w:val="28"/>
          <w:szCs w:val="28"/>
        </w:rPr>
        <w:t>中使用到的各种物质进行重大危险源的计算与辨识。</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（4）根据《生产过程危险和危害因素分类与代码》（GB/T13861-2009）对</w:t>
      </w:r>
      <w:r>
        <w:rPr>
          <w:rFonts w:hint="eastAsia" w:ascii="宋体" w:hAnsi="宋体"/>
          <w:snapToGrid w:val="0"/>
          <w:kern w:val="0"/>
          <w:sz w:val="28"/>
          <w:szCs w:val="28"/>
          <w:lang w:eastAsia="zh-CN"/>
        </w:rPr>
        <w:t>厂区</w:t>
      </w:r>
      <w:r>
        <w:rPr>
          <w:rFonts w:ascii="宋体" w:hAnsi="宋体"/>
          <w:snapToGrid w:val="0"/>
          <w:kern w:val="0"/>
          <w:sz w:val="28"/>
          <w:szCs w:val="28"/>
        </w:rPr>
        <w:t>生产过程中的危险、有害因素进行辨识与分析。</w:t>
      </w:r>
    </w:p>
    <w:p>
      <w:pPr>
        <w:spacing w:line="360" w:lineRule="auto"/>
        <w:ind w:firstLine="560" w:firstLineChars="200"/>
        <w:textAlignment w:val="baseline"/>
        <w:rPr>
          <w:rFonts w:hint="eastAsia" w:ascii="宋体" w:hAnsi="宋体"/>
          <w:sz w:val="28"/>
          <w:szCs w:val="28"/>
        </w:rPr>
      </w:pPr>
      <w:bookmarkStart w:id="98" w:name="_Toc356401485"/>
      <w:bookmarkStart w:id="99" w:name="_Toc350781092"/>
      <w:bookmarkStart w:id="100" w:name="_Toc480804388"/>
      <w:r>
        <w:rPr>
          <w:rFonts w:hint="eastAsia" w:ascii="宋体" w:hAnsi="宋体"/>
          <w:sz w:val="28"/>
          <w:szCs w:val="28"/>
        </w:rPr>
        <w:t>（5）参照</w:t>
      </w:r>
      <w:r>
        <w:rPr>
          <w:rFonts w:hint="eastAsia" w:ascii="宋体" w:hAnsi="宋体"/>
          <w:bCs/>
          <w:sz w:val="28"/>
          <w:szCs w:val="28"/>
        </w:rPr>
        <w:t>《职业病危害因素分类》（</w:t>
      </w:r>
      <w:r>
        <w:rPr>
          <w:rFonts w:ascii="宋体" w:hAnsi="宋体"/>
          <w:bCs/>
          <w:sz w:val="28"/>
          <w:szCs w:val="28"/>
        </w:rPr>
        <w:t>国卫疾控发〔201</w:t>
      </w:r>
      <w:r>
        <w:rPr>
          <w:rFonts w:hint="eastAsia" w:ascii="宋体" w:hAnsi="宋体"/>
          <w:bCs/>
          <w:sz w:val="28"/>
          <w:szCs w:val="28"/>
        </w:rPr>
        <w:t>5</w:t>
      </w:r>
      <w:r>
        <w:rPr>
          <w:rFonts w:ascii="宋体" w:hAnsi="宋体"/>
          <w:bCs/>
          <w:sz w:val="28"/>
          <w:szCs w:val="28"/>
        </w:rPr>
        <w:t>〕</w:t>
      </w:r>
      <w:r>
        <w:rPr>
          <w:rFonts w:hint="eastAsia" w:ascii="宋体" w:hAnsi="宋体"/>
          <w:bCs/>
          <w:sz w:val="28"/>
          <w:szCs w:val="28"/>
        </w:rPr>
        <w:t>92</w:t>
      </w:r>
      <w:r>
        <w:rPr>
          <w:rFonts w:ascii="宋体" w:hAnsi="宋体"/>
          <w:bCs/>
          <w:sz w:val="28"/>
          <w:szCs w:val="28"/>
        </w:rPr>
        <w:t>号</w:t>
      </w:r>
      <w:r>
        <w:rPr>
          <w:rFonts w:hint="eastAsia" w:ascii="宋体" w:hAnsi="宋体"/>
          <w:bCs/>
          <w:sz w:val="28"/>
          <w:szCs w:val="28"/>
        </w:rPr>
        <w:t>）</w:t>
      </w:r>
      <w:r>
        <w:rPr>
          <w:rFonts w:hint="eastAsia" w:ascii="宋体" w:hAnsi="宋体"/>
          <w:sz w:val="28"/>
          <w:szCs w:val="28"/>
        </w:rPr>
        <w:t>对作业环境进行职业危害辨识与分析。</w:t>
      </w:r>
    </w:p>
    <w:p>
      <w:pPr>
        <w:pStyle w:val="8"/>
        <w:spacing w:line="360" w:lineRule="auto"/>
        <w:ind w:firstLine="0" w:firstLineChars="0"/>
        <w:outlineLvl w:val="1"/>
        <w:rPr>
          <w:rFonts w:hint="eastAsia" w:ascii="黑体" w:eastAsia="黑体"/>
          <w:b/>
          <w:snapToGrid w:val="0"/>
          <w:kern w:val="0"/>
          <w:sz w:val="32"/>
          <w:szCs w:val="32"/>
        </w:rPr>
      </w:pPr>
      <w:bookmarkStart w:id="101" w:name="_Toc514342840"/>
      <w:bookmarkStart w:id="102" w:name="_Toc5355"/>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3 危险、有害因素辨识的方法</w:t>
      </w:r>
      <w:bookmarkEnd w:id="98"/>
      <w:bookmarkEnd w:id="99"/>
      <w:bookmarkEnd w:id="100"/>
      <w:bookmarkEnd w:id="101"/>
      <w:bookmarkEnd w:id="102"/>
    </w:p>
    <w:p>
      <w:pPr>
        <w:spacing w:line="360" w:lineRule="auto"/>
        <w:ind w:firstLine="560" w:firstLineChars="200"/>
        <w:textAlignment w:val="baseline"/>
        <w:rPr>
          <w:rFonts w:ascii="宋体" w:hAnsi="宋体"/>
          <w:sz w:val="28"/>
          <w:szCs w:val="28"/>
        </w:rPr>
      </w:pPr>
      <w:r>
        <w:rPr>
          <w:rFonts w:hint="eastAsia" w:ascii="宋体" w:hAnsi="宋体"/>
          <w:sz w:val="28"/>
          <w:szCs w:val="28"/>
          <w:lang w:eastAsia="zh-CN"/>
        </w:rPr>
        <w:t>公司</w:t>
      </w:r>
      <w:r>
        <w:rPr>
          <w:rFonts w:ascii="宋体" w:hAnsi="宋体"/>
          <w:sz w:val="28"/>
          <w:szCs w:val="28"/>
        </w:rPr>
        <w:t>生产过程复杂，生产条件多变，涉及的危险、有害因素较多。必须选择适当的方法识别分析危险和有害因素，为制定相关的防范措施奠定基础。本次安全评价选用对照分析法和专家评议法对生产过程中主要危险、有害因素进行辨识。</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⑴ 对照分析法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对照分析法是对照有关标准、规范、规程、法规或依靠分析人员的观察能力，借助其经验和判断能力，直观地对评价对象的危险因素进行分析的方法。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⑵ 专家评议法</w:t>
      </w:r>
    </w:p>
    <w:p>
      <w:pPr>
        <w:pStyle w:val="8"/>
        <w:spacing w:line="360" w:lineRule="auto"/>
        <w:ind w:firstLine="560"/>
        <w:rPr>
          <w:rFonts w:hint="eastAsia" w:ascii="宋体" w:hAnsi="宋体"/>
          <w:snapToGrid w:val="0"/>
          <w:kern w:val="0"/>
          <w:sz w:val="28"/>
          <w:szCs w:val="28"/>
        </w:rPr>
      </w:pPr>
      <w:r>
        <w:rPr>
          <w:rFonts w:ascii="宋体" w:hAnsi="宋体"/>
          <w:snapToGrid w:val="0"/>
          <w:kern w:val="0"/>
          <w:sz w:val="28"/>
          <w:szCs w:val="28"/>
        </w:rPr>
        <w:t>专家评议法是一种吸收专家参加，根据事物过去、现在及发展趋势，进行积极思维活动，对事物的未来进行分析、预测的方法。其实质是集</w:t>
      </w:r>
      <w:r>
        <w:rPr>
          <w:rFonts w:hint="eastAsia" w:ascii="宋体" w:hAnsi="宋体"/>
          <w:snapToGrid w:val="0"/>
          <w:kern w:val="0"/>
          <w:sz w:val="28"/>
          <w:szCs w:val="28"/>
        </w:rPr>
        <w:t>中技术</w:t>
      </w:r>
      <w:r>
        <w:rPr>
          <w:rFonts w:ascii="宋体" w:hAnsi="宋体"/>
          <w:snapToGrid w:val="0"/>
          <w:kern w:val="0"/>
          <w:sz w:val="28"/>
          <w:szCs w:val="28"/>
        </w:rPr>
        <w:t>专家的经验、知识和分析、推断能力来分析、识别危险、有害因素。</w:t>
      </w:r>
    </w:p>
    <w:p>
      <w:pPr>
        <w:pStyle w:val="8"/>
        <w:spacing w:line="360" w:lineRule="auto"/>
        <w:ind w:firstLine="0" w:firstLineChars="0"/>
        <w:outlineLvl w:val="1"/>
        <w:rPr>
          <w:rFonts w:hint="eastAsia" w:ascii="黑体" w:eastAsia="黑体"/>
          <w:b/>
          <w:snapToGrid w:val="0"/>
          <w:kern w:val="0"/>
          <w:sz w:val="32"/>
          <w:szCs w:val="32"/>
        </w:rPr>
      </w:pPr>
      <w:bookmarkStart w:id="103" w:name="_Toc514342841"/>
      <w:bookmarkStart w:id="104" w:name="_Toc332350845"/>
      <w:bookmarkStart w:id="105" w:name="_Toc480804389"/>
      <w:bookmarkStart w:id="106" w:name="_Toc356380973"/>
      <w:bookmarkStart w:id="107" w:name="_Toc356401486"/>
      <w:bookmarkStart w:id="108" w:name="_Toc14745"/>
      <w:bookmarkStart w:id="109" w:name="_Toc345593159"/>
      <w:bookmarkStart w:id="110" w:name="_Toc35078109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4 主要危险、有害物质特性分析</w:t>
      </w:r>
      <w:bookmarkEnd w:id="103"/>
      <w:bookmarkEnd w:id="104"/>
      <w:bookmarkEnd w:id="105"/>
      <w:bookmarkEnd w:id="106"/>
      <w:bookmarkEnd w:id="107"/>
      <w:bookmarkEnd w:id="108"/>
      <w:bookmarkEnd w:id="109"/>
    </w:p>
    <w:p>
      <w:pPr>
        <w:pStyle w:val="8"/>
        <w:spacing w:line="360" w:lineRule="auto"/>
        <w:ind w:firstLine="560"/>
        <w:rPr>
          <w:rFonts w:hint="eastAsia" w:ascii="宋体" w:hAnsi="宋体"/>
          <w:snapToGrid w:val="0"/>
          <w:kern w:val="0"/>
          <w:sz w:val="28"/>
          <w:szCs w:val="28"/>
        </w:rPr>
      </w:pPr>
      <w:r>
        <w:rPr>
          <w:rFonts w:hint="eastAsia" w:ascii="宋体" w:hAnsi="宋体"/>
          <w:snapToGrid w:val="0"/>
          <w:kern w:val="0"/>
          <w:sz w:val="28"/>
          <w:szCs w:val="28"/>
        </w:rPr>
        <w:t>本系统主要使用煤炭作为燃料，点火时使用柴油。煤炭、柴油等物质在燃烧过程中，产生一氧化碳、二氧化碳及硫（磷）氧化物等危险、有害物质，对人体及周边环境造成影响。</w:t>
      </w:r>
    </w:p>
    <w:p>
      <w:pPr>
        <w:pStyle w:val="8"/>
        <w:spacing w:line="360" w:lineRule="auto"/>
        <w:ind w:firstLine="0" w:firstLineChars="0"/>
        <w:outlineLvl w:val="2"/>
        <w:rPr>
          <w:rFonts w:ascii="宋体" w:hAnsi="宋体"/>
          <w:b/>
          <w:snapToGrid w:val="0"/>
          <w:kern w:val="0"/>
          <w:sz w:val="28"/>
          <w:szCs w:val="28"/>
        </w:rPr>
      </w:pPr>
      <w:bookmarkStart w:id="111" w:name="_Toc332350846"/>
      <w:bookmarkStart w:id="112" w:name="_Toc480804390"/>
      <w:bookmarkStart w:id="113" w:name="_Toc356380974"/>
      <w:bookmarkStart w:id="114" w:name="_Toc28193"/>
      <w:bookmarkStart w:id="115" w:name="_Toc356401487"/>
      <w:bookmarkStart w:id="116" w:name="_Toc51434284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4.1 煤</w:t>
      </w:r>
      <w:bookmarkEnd w:id="111"/>
      <w:bookmarkEnd w:id="112"/>
      <w:bookmarkEnd w:id="113"/>
      <w:bookmarkEnd w:id="114"/>
      <w:bookmarkEnd w:id="115"/>
      <w:bookmarkEnd w:id="116"/>
    </w:p>
    <w:p>
      <w:pPr>
        <w:spacing w:line="360" w:lineRule="auto"/>
        <w:ind w:firstLine="560" w:firstLineChars="200"/>
        <w:rPr>
          <w:rFonts w:hint="eastAsia" w:ascii="宋体" w:hAnsi="宋体"/>
          <w:sz w:val="28"/>
          <w:szCs w:val="28"/>
        </w:rPr>
      </w:pPr>
      <w:r>
        <w:rPr>
          <w:rFonts w:hint="eastAsia" w:ascii="宋体" w:hAnsi="宋体"/>
          <w:sz w:val="28"/>
          <w:szCs w:val="28"/>
        </w:rPr>
        <w:t>煤的主要元素是碳，其次是氢，并含有少量的氧、氮、硫。碳和氢是煤的主要可燃元素；氧是煤中的一种有害物质，因为它和碳、氢等可燃元素构成氧化物而使它们推动了进行燃烧的可能性；氮在一般情况下不参加燃烧反应，是燃料中的惰性元素，但在高温条件下，氮和氧形成NOX，这是一种对大气有严重污染作用的有害气体；硫是一种极有害的物质，因为燃烧后生产二氧化硫和三氧化硫，能危害人体健康和造成大气污染。煤炭的储存也很重要，主要是防火灾危险，因为各种煤有不同程度的自燃能力，再加上煤内水分的影响、空气湿度的影响、氧化影响、粒度大小的影响等等，也影响了自燃能力的大小。</w:t>
      </w:r>
    </w:p>
    <w:p>
      <w:pPr>
        <w:pStyle w:val="8"/>
        <w:spacing w:line="360" w:lineRule="auto"/>
        <w:ind w:firstLine="0" w:firstLineChars="0"/>
        <w:outlineLvl w:val="2"/>
        <w:rPr>
          <w:rFonts w:ascii="宋体" w:hAnsi="宋体"/>
          <w:b/>
          <w:snapToGrid w:val="0"/>
          <w:kern w:val="0"/>
          <w:sz w:val="28"/>
          <w:szCs w:val="28"/>
        </w:rPr>
      </w:pPr>
      <w:bookmarkStart w:id="117" w:name="_Toc332350847"/>
      <w:bookmarkStart w:id="118" w:name="_Toc514342843"/>
      <w:bookmarkStart w:id="119" w:name="_Toc356380975"/>
      <w:bookmarkStart w:id="120" w:name="_Toc32577"/>
      <w:bookmarkStart w:id="121" w:name="_Toc480804391"/>
      <w:bookmarkStart w:id="122" w:name="_Toc35640148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4.2 柴油</w:t>
      </w:r>
      <w:bookmarkEnd w:id="117"/>
      <w:bookmarkEnd w:id="118"/>
      <w:bookmarkEnd w:id="119"/>
      <w:bookmarkEnd w:id="120"/>
      <w:bookmarkEnd w:id="121"/>
      <w:bookmarkEnd w:id="122"/>
    </w:p>
    <w:p>
      <w:pPr>
        <w:adjustRightInd w:val="0"/>
        <w:snapToGrid w:val="0"/>
        <w:spacing w:line="360" w:lineRule="auto"/>
        <w:ind w:firstLine="560" w:firstLineChars="200"/>
        <w:rPr>
          <w:rFonts w:hint="eastAsia"/>
          <w:sz w:val="28"/>
          <w:szCs w:val="28"/>
        </w:rPr>
      </w:pPr>
      <w:r>
        <w:rPr>
          <w:rFonts w:hint="eastAsia"/>
          <w:sz w:val="28"/>
          <w:szCs w:val="28"/>
        </w:rPr>
        <w:t>柴油主要是由烷烃、烯烃、芳香烃、多环芳烃与少量硫（2~60</w:t>
      </w:r>
      <w:r>
        <w:rPr>
          <w:sz w:val="28"/>
          <w:szCs w:val="28"/>
        </w:rPr>
        <w:t>g/Kg</w:t>
      </w:r>
      <w:r>
        <w:rPr>
          <w:rFonts w:hint="eastAsia"/>
          <w:sz w:val="28"/>
          <w:szCs w:val="28"/>
        </w:rPr>
        <w:t>）、氮（＜1</w:t>
      </w:r>
      <w:r>
        <w:rPr>
          <w:sz w:val="28"/>
          <w:szCs w:val="28"/>
        </w:rPr>
        <w:t xml:space="preserve"> g/Kg</w:t>
      </w:r>
      <w:r>
        <w:rPr>
          <w:rFonts w:hint="eastAsia"/>
          <w:sz w:val="28"/>
          <w:szCs w:val="28"/>
        </w:rPr>
        <w:t>）及添加剂组成的混合物。以燃料油为例：白色或淡黄色液体，相对密度0.85；熔点</w:t>
      </w:r>
      <w:r>
        <w:rPr>
          <w:sz w:val="28"/>
          <w:szCs w:val="28"/>
        </w:rPr>
        <w:t>--</w:t>
      </w:r>
      <w:r>
        <w:rPr>
          <w:rFonts w:hint="eastAsia"/>
          <w:sz w:val="28"/>
          <w:szCs w:val="28"/>
        </w:rPr>
        <w:t>29.56℃，沸点180~370℃，闪点40℃，蒸气密度4，蒸气压4.0</w:t>
      </w:r>
      <w:r>
        <w:rPr>
          <w:sz w:val="28"/>
          <w:szCs w:val="28"/>
        </w:rPr>
        <w:t>Kpa</w:t>
      </w:r>
      <w:r>
        <w:rPr>
          <w:rFonts w:hint="eastAsia"/>
          <w:sz w:val="28"/>
          <w:szCs w:val="28"/>
        </w:rPr>
        <w:t>。</w:t>
      </w:r>
    </w:p>
    <w:p>
      <w:pPr>
        <w:adjustRightInd w:val="0"/>
        <w:snapToGrid w:val="0"/>
        <w:spacing w:line="360" w:lineRule="auto"/>
        <w:ind w:firstLine="560" w:firstLineChars="200"/>
        <w:rPr>
          <w:rFonts w:hint="eastAsia"/>
          <w:sz w:val="28"/>
          <w:szCs w:val="28"/>
        </w:rPr>
      </w:pPr>
      <w:r>
        <w:rPr>
          <w:rFonts w:hint="eastAsia"/>
          <w:sz w:val="28"/>
          <w:szCs w:val="28"/>
        </w:rPr>
        <w:t>危险性：蒸气与空气混合物可燃限0.7~5.0%；不溶于水；遇热、火花、明火易燃，可蓄积静电，引起电火花；分解和燃烧产物为一氧化化碳、二氧化碳和硫氧化物；避免接触氧化剂。</w:t>
      </w:r>
    </w:p>
    <w:p>
      <w:pPr>
        <w:adjustRightInd w:val="0"/>
        <w:snapToGrid w:val="0"/>
        <w:spacing w:line="360" w:lineRule="auto"/>
        <w:ind w:firstLine="560" w:firstLineChars="200"/>
        <w:rPr>
          <w:rFonts w:hint="eastAsia"/>
          <w:sz w:val="28"/>
          <w:szCs w:val="28"/>
        </w:rPr>
      </w:pPr>
      <w:r>
        <w:rPr>
          <w:rFonts w:hint="eastAsia"/>
          <w:sz w:val="28"/>
          <w:szCs w:val="28"/>
        </w:rPr>
        <w:t>危害性：皮肤大量接触后，个别人可能发生肾脏损害；皮肤接触后，可发生接触性皮炎，表现为红斑、水疱、丘疹。</w:t>
      </w:r>
    </w:p>
    <w:p>
      <w:pPr>
        <w:adjustRightInd w:val="0"/>
        <w:snapToGrid w:val="0"/>
        <w:spacing w:line="360" w:lineRule="auto"/>
        <w:ind w:firstLine="560" w:firstLineChars="200"/>
        <w:rPr>
          <w:rFonts w:hint="eastAsia"/>
          <w:sz w:val="28"/>
          <w:szCs w:val="28"/>
        </w:rPr>
      </w:pPr>
      <w:r>
        <w:rPr>
          <w:rFonts w:hint="eastAsia"/>
          <w:sz w:val="28"/>
          <w:szCs w:val="28"/>
        </w:rPr>
        <w:t>灭火剂：泡沫、干粉、二氧化碳、砂土。</w:t>
      </w:r>
    </w:p>
    <w:p>
      <w:pPr>
        <w:adjustRightInd w:val="0"/>
        <w:snapToGrid w:val="0"/>
        <w:spacing w:line="360" w:lineRule="auto"/>
        <w:ind w:firstLine="560" w:firstLineChars="200"/>
        <w:rPr>
          <w:rFonts w:hint="eastAsia"/>
          <w:sz w:val="28"/>
          <w:szCs w:val="28"/>
        </w:rPr>
      </w:pPr>
      <w:r>
        <w:rPr>
          <w:rFonts w:hint="eastAsia"/>
          <w:sz w:val="28"/>
          <w:szCs w:val="28"/>
        </w:rPr>
        <w:t>着火性、流动性和凝点是柴油性能的重要指标。</w:t>
      </w:r>
    </w:p>
    <w:p>
      <w:pPr>
        <w:pStyle w:val="8"/>
        <w:spacing w:line="360" w:lineRule="auto"/>
        <w:ind w:firstLine="0" w:firstLineChars="0"/>
        <w:outlineLvl w:val="2"/>
        <w:rPr>
          <w:rFonts w:hint="eastAsia" w:ascii="宋体" w:hAnsi="宋体"/>
          <w:b/>
          <w:snapToGrid w:val="0"/>
          <w:kern w:val="0"/>
          <w:sz w:val="28"/>
          <w:szCs w:val="28"/>
        </w:rPr>
      </w:pPr>
      <w:bookmarkStart w:id="123" w:name="_Toc356401489"/>
      <w:bookmarkStart w:id="124" w:name="_Toc480804392"/>
      <w:bookmarkStart w:id="125" w:name="_Toc514342844"/>
      <w:bookmarkStart w:id="126" w:name="_Toc356380976"/>
      <w:bookmarkStart w:id="127" w:name="_Toc15465"/>
      <w:bookmarkStart w:id="128" w:name="_Toc33235084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4.3 一氧化碳</w:t>
      </w:r>
      <w:bookmarkEnd w:id="123"/>
      <w:bookmarkEnd w:id="124"/>
      <w:bookmarkEnd w:id="125"/>
      <w:bookmarkEnd w:id="126"/>
      <w:bookmarkEnd w:id="127"/>
      <w:bookmarkEnd w:id="128"/>
    </w:p>
    <w:p>
      <w:pPr>
        <w:adjustRightInd w:val="0"/>
        <w:snapToGrid w:val="0"/>
        <w:spacing w:line="360" w:lineRule="auto"/>
        <w:ind w:firstLine="560" w:firstLineChars="200"/>
        <w:rPr>
          <w:rFonts w:hint="eastAsia"/>
          <w:sz w:val="28"/>
          <w:szCs w:val="28"/>
        </w:rPr>
      </w:pPr>
      <w:r>
        <w:rPr>
          <w:rFonts w:hint="eastAsia"/>
          <w:sz w:val="28"/>
          <w:szCs w:val="28"/>
        </w:rPr>
        <w:t xml:space="preserve">英文名：Carbon  Monoxide               分子式：CO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性状：无色、无味气体；                 熔点：-199．1℃   </w:t>
      </w:r>
    </w:p>
    <w:p>
      <w:pPr>
        <w:adjustRightInd w:val="0"/>
        <w:snapToGrid w:val="0"/>
        <w:spacing w:line="360" w:lineRule="auto"/>
        <w:ind w:firstLine="560" w:firstLineChars="200"/>
        <w:rPr>
          <w:rFonts w:hint="eastAsia"/>
          <w:sz w:val="28"/>
          <w:szCs w:val="28"/>
        </w:rPr>
      </w:pPr>
      <w:r>
        <w:rPr>
          <w:rFonts w:hint="eastAsia"/>
          <w:sz w:val="28"/>
          <w:szCs w:val="28"/>
        </w:rPr>
        <w:t xml:space="preserve">沸点：-192℃                           相对密度：0．97   </w:t>
      </w:r>
    </w:p>
    <w:p>
      <w:pPr>
        <w:adjustRightInd w:val="0"/>
        <w:snapToGrid w:val="0"/>
        <w:spacing w:line="360" w:lineRule="auto"/>
        <w:ind w:firstLine="560" w:firstLineChars="200"/>
        <w:rPr>
          <w:rFonts w:hint="eastAsia"/>
          <w:sz w:val="28"/>
          <w:szCs w:val="28"/>
        </w:rPr>
      </w:pPr>
      <w:r>
        <w:rPr>
          <w:rFonts w:hint="eastAsia"/>
          <w:sz w:val="28"/>
          <w:szCs w:val="28"/>
        </w:rPr>
        <w:t>危险性类别：第2.易燃气体               危编号：21005</w:t>
      </w:r>
    </w:p>
    <w:p>
      <w:pPr>
        <w:adjustRightInd w:val="0"/>
        <w:snapToGrid w:val="0"/>
        <w:spacing w:line="360" w:lineRule="auto"/>
        <w:ind w:firstLine="560" w:firstLineChars="200"/>
        <w:rPr>
          <w:rFonts w:hint="eastAsia"/>
          <w:sz w:val="28"/>
          <w:szCs w:val="28"/>
        </w:rPr>
      </w:pPr>
      <w:r>
        <w:rPr>
          <w:rFonts w:hint="eastAsia"/>
          <w:sz w:val="28"/>
          <w:szCs w:val="28"/>
        </w:rPr>
        <w:t>un：1016(气体)                     爆炸极限：12</w:t>
      </w:r>
      <w:r>
        <w:rPr>
          <w:sz w:val="28"/>
          <w:szCs w:val="28"/>
        </w:rPr>
        <w:t>.</w:t>
      </w:r>
      <w:r>
        <w:rPr>
          <w:rFonts w:hint="eastAsia"/>
          <w:sz w:val="28"/>
          <w:szCs w:val="28"/>
        </w:rPr>
        <w:t>5~74％（V）</w:t>
      </w:r>
    </w:p>
    <w:p>
      <w:pPr>
        <w:adjustRightInd w:val="0"/>
        <w:snapToGrid w:val="0"/>
        <w:spacing w:line="360" w:lineRule="auto"/>
        <w:ind w:firstLine="560" w:firstLineChars="200"/>
        <w:rPr>
          <w:rFonts w:hint="eastAsia"/>
          <w:sz w:val="28"/>
          <w:szCs w:val="28"/>
        </w:rPr>
      </w:pPr>
      <w:r>
        <w:rPr>
          <w:rFonts w:hint="eastAsia"/>
          <w:sz w:val="28"/>
          <w:szCs w:val="28"/>
        </w:rPr>
        <w:t>最高容许浓度：30mg／m³(按职业性接触毒物危害程度分级为Ⅱ级，高度危害物质)。</w:t>
      </w:r>
    </w:p>
    <w:p>
      <w:pPr>
        <w:adjustRightInd w:val="0"/>
        <w:snapToGrid w:val="0"/>
        <w:spacing w:line="360" w:lineRule="auto"/>
        <w:ind w:firstLine="560" w:firstLineChars="200"/>
        <w:rPr>
          <w:rFonts w:hint="eastAsia"/>
          <w:sz w:val="28"/>
          <w:szCs w:val="28"/>
        </w:rPr>
      </w:pPr>
      <w:r>
        <w:rPr>
          <w:rFonts w:hint="eastAsia"/>
          <w:sz w:val="28"/>
          <w:szCs w:val="28"/>
        </w:rPr>
        <w:t>健康危害：一氧化碳在血液中与血红蛋白结合而造成组织缺氧。</w:t>
      </w:r>
    </w:p>
    <w:p>
      <w:pPr>
        <w:adjustRightInd w:val="0"/>
        <w:snapToGrid w:val="0"/>
        <w:spacing w:line="360" w:lineRule="auto"/>
        <w:ind w:firstLine="560" w:firstLineChars="200"/>
        <w:rPr>
          <w:rFonts w:hint="eastAsia"/>
          <w:sz w:val="28"/>
          <w:szCs w:val="28"/>
        </w:rPr>
      </w:pPr>
      <w:r>
        <w:rPr>
          <w:rFonts w:hint="eastAsia"/>
          <w:sz w:val="28"/>
          <w:szCs w:val="28"/>
        </w:rPr>
        <w:t>急性中毒：轻度中毒出现头痛、头晕、耳鸣、心悸、恶心、呕吐、无力；中度中毒除出现上述症状外还有皮肤粘膜呈樱红色、脉快、烦躁、步态不稳；重度患者深度昏迷、瞳孔扩大、肌张力增强，频繁抽搐、大小便失禁、休克、肺水肿、严重心肌损害等。</w:t>
      </w:r>
    </w:p>
    <w:p>
      <w:pPr>
        <w:pStyle w:val="8"/>
        <w:spacing w:line="360" w:lineRule="auto"/>
        <w:ind w:firstLine="0" w:firstLineChars="0"/>
        <w:outlineLvl w:val="2"/>
        <w:rPr>
          <w:rFonts w:hint="eastAsia" w:ascii="宋体" w:hAnsi="宋体"/>
          <w:b/>
          <w:snapToGrid w:val="0"/>
          <w:kern w:val="0"/>
          <w:sz w:val="28"/>
          <w:szCs w:val="28"/>
        </w:rPr>
      </w:pPr>
      <w:bookmarkStart w:id="129" w:name="_Toc514342845"/>
      <w:bookmarkStart w:id="130" w:name="_Toc356380977"/>
      <w:bookmarkStart w:id="131" w:name="_Toc332350849"/>
      <w:bookmarkStart w:id="132" w:name="_Toc356401490"/>
      <w:bookmarkStart w:id="133" w:name="_Toc480804393"/>
      <w:bookmarkStart w:id="134" w:name="_Toc3206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4.4 二氧化碳</w:t>
      </w:r>
      <w:bookmarkEnd w:id="129"/>
      <w:bookmarkEnd w:id="130"/>
      <w:bookmarkEnd w:id="131"/>
      <w:bookmarkEnd w:id="132"/>
      <w:bookmarkEnd w:id="133"/>
      <w:bookmarkEnd w:id="134"/>
      <w:r>
        <w:rPr>
          <w:rFonts w:hint="eastAsia" w:ascii="宋体" w:hAnsi="宋体"/>
          <w:b/>
          <w:snapToGrid w:val="0"/>
          <w:kern w:val="0"/>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英文名：Carbon  Dioxide             分子式：C02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性状：无色、无味、不燃的气体        熔点：-56．6℃   </w:t>
      </w:r>
    </w:p>
    <w:p>
      <w:pPr>
        <w:adjustRightInd w:val="0"/>
        <w:snapToGrid w:val="0"/>
        <w:spacing w:line="360" w:lineRule="auto"/>
        <w:ind w:firstLine="560" w:firstLineChars="200"/>
        <w:rPr>
          <w:rFonts w:hint="eastAsia"/>
          <w:sz w:val="28"/>
          <w:szCs w:val="28"/>
        </w:rPr>
      </w:pPr>
      <w:r>
        <w:rPr>
          <w:rFonts w:hint="eastAsia"/>
          <w:sz w:val="28"/>
          <w:szCs w:val="28"/>
        </w:rPr>
        <w:t>沸点：-78．5℃(升华)           危险性类别：第2.2不燃气体</w:t>
      </w:r>
    </w:p>
    <w:p>
      <w:pPr>
        <w:adjustRightInd w:val="0"/>
        <w:snapToGrid w:val="0"/>
        <w:spacing w:line="360" w:lineRule="auto"/>
        <w:ind w:firstLine="560" w:firstLineChars="200"/>
        <w:rPr>
          <w:rFonts w:hint="eastAsia"/>
          <w:sz w:val="28"/>
          <w:szCs w:val="28"/>
        </w:rPr>
      </w:pPr>
      <w:r>
        <w:rPr>
          <w:rFonts w:hint="eastAsia"/>
          <w:sz w:val="28"/>
          <w:szCs w:val="28"/>
        </w:rPr>
        <w:t>危编号：22019                        un：1013（气体）</w:t>
      </w:r>
    </w:p>
    <w:p>
      <w:pPr>
        <w:adjustRightInd w:val="0"/>
        <w:snapToGrid w:val="0"/>
        <w:spacing w:line="360" w:lineRule="auto"/>
        <w:ind w:firstLine="560" w:firstLineChars="200"/>
        <w:rPr>
          <w:rFonts w:hint="eastAsia"/>
          <w:sz w:val="28"/>
          <w:szCs w:val="28"/>
        </w:rPr>
      </w:pPr>
      <w:r>
        <w:rPr>
          <w:rFonts w:hint="eastAsia"/>
          <w:sz w:val="28"/>
          <w:szCs w:val="28"/>
        </w:rPr>
        <w:t>健康危害：在低浓度时，对呼吸中枢呈兴奋作用，高浓度时则产生抑制甚至麻痹作用。中毒机制中还兼有缺氧的因素。</w:t>
      </w:r>
    </w:p>
    <w:p>
      <w:pPr>
        <w:adjustRightInd w:val="0"/>
        <w:snapToGrid w:val="0"/>
        <w:spacing w:line="360" w:lineRule="auto"/>
        <w:ind w:firstLine="560" w:firstLineChars="200"/>
        <w:rPr>
          <w:rFonts w:hint="eastAsia"/>
          <w:sz w:val="28"/>
          <w:szCs w:val="28"/>
        </w:rPr>
      </w:pPr>
      <w:r>
        <w:rPr>
          <w:rFonts w:hint="eastAsia"/>
          <w:sz w:val="28"/>
          <w:szCs w:val="28"/>
        </w:rPr>
        <w:t>急性中毒：人进入高浓度二氧化碳环境，在几秒钟迅速昏迷倒下，反射消失、瞳孔扩大或缩小、大小便失禁、呕吐等，更严重者出现呼吸停止及休克，甚至死亡。</w:t>
      </w:r>
    </w:p>
    <w:p>
      <w:pPr>
        <w:adjustRightInd w:val="0"/>
        <w:snapToGrid w:val="0"/>
        <w:spacing w:line="360" w:lineRule="auto"/>
        <w:ind w:firstLine="560" w:firstLineChars="200"/>
        <w:rPr>
          <w:rFonts w:hint="eastAsia"/>
          <w:sz w:val="28"/>
          <w:szCs w:val="28"/>
        </w:rPr>
      </w:pPr>
      <w:r>
        <w:rPr>
          <w:rFonts w:hint="eastAsia"/>
          <w:sz w:val="28"/>
          <w:szCs w:val="28"/>
        </w:rPr>
        <w:t>慢性影响：经常接触较高的二氧化碳者，会有头晕、头痛、失眠、易兴奋、无力等神经功能紊乱等主诉。</w:t>
      </w:r>
    </w:p>
    <w:p>
      <w:pPr>
        <w:adjustRightInd w:val="0"/>
        <w:snapToGrid w:val="0"/>
        <w:spacing w:line="360" w:lineRule="auto"/>
        <w:ind w:firstLine="560" w:firstLineChars="200"/>
        <w:rPr>
          <w:rFonts w:hint="eastAsia"/>
          <w:sz w:val="28"/>
          <w:szCs w:val="28"/>
        </w:rPr>
      </w:pPr>
      <w:r>
        <w:rPr>
          <w:rFonts w:hint="eastAsia"/>
          <w:sz w:val="28"/>
          <w:szCs w:val="28"/>
        </w:rPr>
        <w:t>防护措施：呼吸系统防护：一般不需特殊防护，高浓度接触时可佩戴空气呼吸器；眼睛防护：一般不需特殊防护；身体防护：穿一般作业工作服；手防护：戴一般作业防护手套；其它：避免高浓度吸入。</w:t>
      </w:r>
    </w:p>
    <w:p>
      <w:pPr>
        <w:pStyle w:val="8"/>
        <w:spacing w:line="360" w:lineRule="auto"/>
        <w:ind w:firstLine="0" w:firstLineChars="0"/>
        <w:outlineLvl w:val="2"/>
        <w:rPr>
          <w:rFonts w:hint="eastAsia" w:ascii="宋体" w:hAnsi="宋体"/>
          <w:b/>
          <w:snapToGrid w:val="0"/>
          <w:kern w:val="0"/>
          <w:sz w:val="28"/>
          <w:szCs w:val="28"/>
        </w:rPr>
      </w:pPr>
      <w:bookmarkStart w:id="135" w:name="_Toc514342846"/>
      <w:bookmarkStart w:id="136" w:name="_Toc13288"/>
      <w:bookmarkStart w:id="137" w:name="_Toc332350850"/>
      <w:bookmarkStart w:id="138" w:name="_Toc356401491"/>
      <w:bookmarkStart w:id="139" w:name="_Toc480804394"/>
      <w:bookmarkStart w:id="140" w:name="_Toc35638097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4.5 二氧化硫（三氧化硫参考）</w:t>
      </w:r>
      <w:bookmarkEnd w:id="135"/>
      <w:bookmarkEnd w:id="136"/>
      <w:bookmarkEnd w:id="137"/>
      <w:bookmarkEnd w:id="138"/>
      <w:bookmarkEnd w:id="139"/>
      <w:bookmarkEnd w:id="140"/>
    </w:p>
    <w:p>
      <w:pPr>
        <w:adjustRightInd w:val="0"/>
        <w:snapToGrid w:val="0"/>
        <w:spacing w:line="360" w:lineRule="auto"/>
        <w:ind w:firstLine="560" w:firstLineChars="200"/>
        <w:rPr>
          <w:rFonts w:hint="eastAsia"/>
          <w:sz w:val="28"/>
          <w:szCs w:val="28"/>
        </w:rPr>
      </w:pPr>
      <w:r>
        <w:rPr>
          <w:rFonts w:hint="eastAsia"/>
          <w:sz w:val="28"/>
          <w:szCs w:val="28"/>
        </w:rPr>
        <w:t>英文名：（S</w:t>
      </w:r>
      <w:r>
        <w:rPr>
          <w:sz w:val="28"/>
          <w:szCs w:val="28"/>
        </w:rPr>
        <w:t xml:space="preserve">ulfur  </w:t>
      </w:r>
      <w:r>
        <w:rPr>
          <w:rFonts w:hint="eastAsia"/>
          <w:sz w:val="28"/>
          <w:szCs w:val="28"/>
        </w:rPr>
        <w:t>D</w:t>
      </w:r>
      <w:r>
        <w:rPr>
          <w:sz w:val="28"/>
          <w:szCs w:val="28"/>
        </w:rPr>
        <w:t>ioxide</w:t>
      </w:r>
      <w:r>
        <w:rPr>
          <w:rFonts w:hint="eastAsia"/>
          <w:sz w:val="28"/>
          <w:szCs w:val="28"/>
        </w:rPr>
        <w:t>）           分子式：</w:t>
      </w:r>
      <w:r>
        <w:rPr>
          <w:sz w:val="28"/>
          <w:szCs w:val="28"/>
        </w:rPr>
        <w:t>SO2</w:t>
      </w:r>
      <w:r>
        <w:rPr>
          <w:rFonts w:hint="eastAsia"/>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外观及性状：无色气体，室温下具有强烈刺激气味，可溶于水及有机溶剂 </w:t>
      </w:r>
    </w:p>
    <w:p>
      <w:pPr>
        <w:adjustRightInd w:val="0"/>
        <w:snapToGrid w:val="0"/>
        <w:spacing w:line="360" w:lineRule="auto"/>
        <w:ind w:firstLine="560" w:firstLineChars="200"/>
        <w:rPr>
          <w:rFonts w:hint="eastAsia"/>
          <w:sz w:val="28"/>
          <w:szCs w:val="28"/>
        </w:rPr>
      </w:pPr>
      <w:r>
        <w:rPr>
          <w:rFonts w:hint="eastAsia"/>
          <w:sz w:val="28"/>
          <w:szCs w:val="28"/>
        </w:rPr>
        <w:t>熔点：</w:t>
      </w:r>
      <w:r>
        <w:rPr>
          <w:sz w:val="28"/>
          <w:szCs w:val="28"/>
        </w:rPr>
        <w:t>-75.5</w:t>
      </w:r>
      <w:r>
        <w:rPr>
          <w:rFonts w:hint="eastAsia"/>
          <w:sz w:val="28"/>
          <w:szCs w:val="28"/>
        </w:rPr>
        <w:t xml:space="preserve"> ℃                       沸点：</w:t>
      </w:r>
      <w:r>
        <w:rPr>
          <w:sz w:val="28"/>
          <w:szCs w:val="28"/>
        </w:rPr>
        <w:t>-10</w:t>
      </w:r>
      <w:r>
        <w:rPr>
          <w:rFonts w:hint="eastAsia"/>
          <w:sz w:val="28"/>
          <w:szCs w:val="28"/>
        </w:rPr>
        <w:t xml:space="preserve"> ℃  </w:t>
      </w:r>
    </w:p>
    <w:p>
      <w:pPr>
        <w:adjustRightInd w:val="0"/>
        <w:snapToGrid w:val="0"/>
        <w:spacing w:line="360" w:lineRule="auto"/>
        <w:ind w:firstLine="560" w:firstLineChars="200"/>
        <w:rPr>
          <w:rFonts w:hint="eastAsia"/>
          <w:sz w:val="28"/>
          <w:szCs w:val="28"/>
        </w:rPr>
      </w:pPr>
      <w:r>
        <w:rPr>
          <w:rFonts w:hint="eastAsia"/>
          <w:sz w:val="28"/>
          <w:szCs w:val="28"/>
        </w:rPr>
        <w:t xml:space="preserve">危险性类别：第2.3有毒气体           危编号： </w:t>
      </w:r>
      <w:r>
        <w:rPr>
          <w:sz w:val="28"/>
          <w:szCs w:val="28"/>
        </w:rPr>
        <w:t>23013</w:t>
      </w:r>
    </w:p>
    <w:p>
      <w:pPr>
        <w:adjustRightInd w:val="0"/>
        <w:snapToGrid w:val="0"/>
        <w:spacing w:line="360" w:lineRule="auto"/>
        <w:ind w:firstLine="560" w:firstLineChars="200"/>
        <w:rPr>
          <w:rFonts w:hint="eastAsia"/>
          <w:sz w:val="28"/>
          <w:szCs w:val="28"/>
        </w:rPr>
      </w:pPr>
      <w:r>
        <w:rPr>
          <w:sz w:val="28"/>
          <w:szCs w:val="28"/>
        </w:rPr>
        <w:t>UN</w:t>
      </w:r>
      <w:r>
        <w:rPr>
          <w:rFonts w:hint="eastAsia"/>
          <w:sz w:val="28"/>
          <w:szCs w:val="28"/>
        </w:rPr>
        <w:t>：1079                    相对密度：</w:t>
      </w:r>
      <w:r>
        <w:rPr>
          <w:sz w:val="28"/>
          <w:szCs w:val="28"/>
        </w:rPr>
        <w:t>1.43</w:t>
      </w:r>
      <w:r>
        <w:rPr>
          <w:rFonts w:hint="eastAsia"/>
          <w:sz w:val="28"/>
          <w:szCs w:val="28"/>
        </w:rPr>
        <w:t>（液化）；</w:t>
      </w:r>
      <w:r>
        <w:rPr>
          <w:sz w:val="28"/>
          <w:szCs w:val="28"/>
        </w:rPr>
        <w:t>2.26</w:t>
      </w:r>
      <w:r>
        <w:rPr>
          <w:rFonts w:hint="eastAsia"/>
          <w:sz w:val="28"/>
          <w:szCs w:val="28"/>
        </w:rPr>
        <w:t>（气）</w:t>
      </w:r>
    </w:p>
    <w:p>
      <w:pPr>
        <w:adjustRightInd w:val="0"/>
        <w:snapToGrid w:val="0"/>
        <w:spacing w:line="360" w:lineRule="auto"/>
        <w:ind w:firstLine="560" w:firstLineChars="200"/>
        <w:rPr>
          <w:sz w:val="28"/>
          <w:szCs w:val="28"/>
        </w:rPr>
      </w:pPr>
      <w:r>
        <w:rPr>
          <w:rFonts w:hint="eastAsia"/>
          <w:sz w:val="28"/>
          <w:szCs w:val="28"/>
        </w:rPr>
        <w:t>空气中允许极限：中国</w:t>
      </w:r>
      <w:r>
        <w:rPr>
          <w:sz w:val="28"/>
          <w:szCs w:val="28"/>
        </w:rPr>
        <w:t>MAC</w:t>
      </w:r>
      <w:r>
        <w:rPr>
          <w:rFonts w:hint="eastAsia"/>
          <w:sz w:val="28"/>
          <w:szCs w:val="28"/>
        </w:rPr>
        <w:t>：</w:t>
      </w:r>
      <w:r>
        <w:rPr>
          <w:sz w:val="28"/>
          <w:szCs w:val="28"/>
        </w:rPr>
        <w:t>15mg/m3</w:t>
      </w:r>
    </w:p>
    <w:p>
      <w:pPr>
        <w:adjustRightInd w:val="0"/>
        <w:snapToGrid w:val="0"/>
        <w:spacing w:line="360" w:lineRule="auto"/>
        <w:ind w:firstLine="560" w:firstLineChars="200"/>
        <w:rPr>
          <w:sz w:val="28"/>
          <w:szCs w:val="28"/>
        </w:rPr>
      </w:pPr>
      <w:r>
        <w:rPr>
          <w:rFonts w:hint="eastAsia"/>
          <w:sz w:val="28"/>
          <w:szCs w:val="28"/>
        </w:rPr>
        <w:t>健康危害：短期暴露：吸入刺激鼻、咽喉，出现流涕、呼吸困难、气阻、咳嗽、肺水肿、喘鸣、胸闷、肺炎，直至死亡；刺激皮肤，尤其湿润皮肤；接触液体可致冻伤和化学烧伤、紫绀；还可刺激眼，造成冻伤、失明；食入会引起口腔冻伤、化学烧伤、恶心、呕吐、腹疼；长期暴露，刺激咽喉和肺，出现鼻出血，对哮喘、肺功能不正常、心血管病人更危险。</w:t>
      </w:r>
    </w:p>
    <w:p>
      <w:pPr>
        <w:adjustRightInd w:val="0"/>
        <w:snapToGrid w:val="0"/>
        <w:spacing w:line="360" w:lineRule="auto"/>
        <w:ind w:firstLine="560" w:firstLineChars="200"/>
        <w:rPr>
          <w:sz w:val="28"/>
          <w:szCs w:val="28"/>
        </w:rPr>
      </w:pPr>
      <w:r>
        <w:rPr>
          <w:rFonts w:hint="eastAsia"/>
          <w:sz w:val="28"/>
          <w:szCs w:val="28"/>
        </w:rPr>
        <w:t>急救措施：眼接触：立即清洗。皮肤接触：立即用大量水清洗。吸入：将患者移至新鲜空气处，施行人工呼吸。</w:t>
      </w:r>
    </w:p>
    <w:p>
      <w:pPr>
        <w:adjustRightInd w:val="0"/>
        <w:snapToGrid w:val="0"/>
        <w:spacing w:line="360" w:lineRule="auto"/>
        <w:ind w:firstLine="560" w:firstLineChars="200"/>
        <w:rPr>
          <w:rFonts w:hint="eastAsia"/>
          <w:sz w:val="28"/>
          <w:szCs w:val="28"/>
        </w:rPr>
      </w:pPr>
      <w:r>
        <w:rPr>
          <w:rFonts w:hint="eastAsia"/>
          <w:sz w:val="28"/>
          <w:szCs w:val="28"/>
        </w:rPr>
        <w:t xml:space="preserve">防护措施：戴护目镜，穿防护服；选用适当呼吸器；提供应急眼药水；定期检查皮肤、眼睛及呼吸系统 </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41" w:name="_Toc15817"/>
      <w:bookmarkStart w:id="142" w:name="_Toc515659433"/>
      <w:r>
        <w:rPr>
          <w:rFonts w:hint="eastAsia" w:ascii="宋体" w:hAnsi="宋体"/>
          <w:b/>
          <w:snapToGrid w:val="0"/>
          <w:kern w:val="0"/>
          <w:sz w:val="28"/>
          <w:szCs w:val="28"/>
          <w:lang w:val="en-US" w:eastAsia="zh-CN"/>
        </w:rPr>
        <w:t>3.4.6 柴油安全数据表</w:t>
      </w:r>
      <w:bookmarkEnd w:id="141"/>
      <w:bookmarkEnd w:id="142"/>
    </w:p>
    <w:p>
      <w:pPr>
        <w:jc w:val="center"/>
        <w:rPr>
          <w:rFonts w:ascii="黑体" w:hAnsi="黑体" w:eastAsia="黑体"/>
          <w:b/>
          <w:sz w:val="24"/>
        </w:rPr>
      </w:pPr>
      <w:r>
        <w:rPr>
          <w:rFonts w:ascii="黑体" w:hAnsi="黑体" w:eastAsia="黑体"/>
          <w:b/>
          <w:sz w:val="24"/>
        </w:rPr>
        <w:t>表3-</w:t>
      </w:r>
      <w:r>
        <w:rPr>
          <w:rFonts w:hint="eastAsia" w:ascii="黑体" w:hAnsi="黑体" w:eastAsia="黑体"/>
          <w:b/>
          <w:sz w:val="24"/>
        </w:rPr>
        <w:t>1 柴油物料安全数据表</w:t>
      </w:r>
    </w:p>
    <w:tbl>
      <w:tblPr>
        <w:tblStyle w:val="19"/>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标</w:t>
            </w:r>
          </w:p>
          <w:p>
            <w:pPr>
              <w:adjustRightInd w:val="0"/>
              <w:snapToGrid w:val="0"/>
              <w:jc w:val="left"/>
              <w:rPr>
                <w:rFonts w:ascii="宋体" w:hAnsi="宋体"/>
                <w:szCs w:val="21"/>
              </w:rPr>
            </w:pPr>
            <w:r>
              <w:rPr>
                <w:rFonts w:ascii="宋体" w:hAnsi="宋体"/>
                <w:b/>
                <w:bCs/>
                <w:szCs w:val="21"/>
              </w:rPr>
              <w:t>识</w:t>
            </w:r>
          </w:p>
        </w:tc>
        <w:tc>
          <w:tcPr>
            <w:tcW w:w="7954" w:type="dxa"/>
            <w:noWrap w:val="0"/>
            <w:vAlign w:val="center"/>
          </w:tcPr>
          <w:p>
            <w:pPr>
              <w:adjustRightInd w:val="0"/>
              <w:snapToGrid w:val="0"/>
              <w:jc w:val="left"/>
              <w:rPr>
                <w:rFonts w:ascii="宋体" w:hAnsi="宋体"/>
                <w:szCs w:val="21"/>
              </w:rPr>
            </w:pPr>
            <w:r>
              <w:rPr>
                <w:rFonts w:ascii="宋体" w:hAnsi="宋体"/>
                <w:b/>
                <w:bCs/>
                <w:szCs w:val="21"/>
              </w:rPr>
              <w:t>中文名：</w:t>
            </w:r>
            <w:r>
              <w:rPr>
                <w:rFonts w:ascii="宋体" w:hAnsi="宋体"/>
                <w:szCs w:val="21"/>
              </w:rPr>
              <w:t xml:space="preserve">柴油              </w:t>
            </w:r>
            <w:r>
              <w:rPr>
                <w:rFonts w:ascii="宋体" w:hAnsi="宋体"/>
                <w:b/>
                <w:bCs/>
                <w:szCs w:val="21"/>
              </w:rPr>
              <w:t>英文名：</w:t>
            </w:r>
            <w:r>
              <w:rPr>
                <w:rFonts w:ascii="宋体" w:hAnsi="宋体"/>
                <w:szCs w:val="21"/>
              </w:rPr>
              <w:t>Diesel oil</w:t>
            </w:r>
          </w:p>
          <w:p>
            <w:pPr>
              <w:adjustRightInd w:val="0"/>
              <w:snapToGrid w:val="0"/>
              <w:jc w:val="left"/>
              <w:rPr>
                <w:rFonts w:hint="eastAsia" w:ascii="宋体" w:hAnsi="宋体"/>
                <w:szCs w:val="21"/>
              </w:rPr>
            </w:pPr>
            <w:r>
              <w:rPr>
                <w:rFonts w:ascii="宋体" w:hAnsi="宋体"/>
                <w:b/>
                <w:bCs/>
                <w:szCs w:val="21"/>
              </w:rPr>
              <w:t>CAS号：</w:t>
            </w:r>
            <w:r>
              <w:rPr>
                <w:rFonts w:hint="eastAsia" w:ascii="宋体" w:hAnsi="宋体"/>
                <w:szCs w:val="21"/>
              </w:rPr>
              <w:t>68334-30-5</w:t>
            </w:r>
            <w:r>
              <w:rPr>
                <w:rFonts w:ascii="宋体" w:hAnsi="宋体"/>
                <w:szCs w:val="21"/>
              </w:rPr>
              <w:t xml:space="preserve">            </w:t>
            </w:r>
            <w:r>
              <w:rPr>
                <w:rFonts w:ascii="宋体" w:hAnsi="宋体"/>
                <w:b/>
                <w:bCs/>
                <w:szCs w:val="21"/>
              </w:rPr>
              <w:t>UN号：</w:t>
            </w:r>
            <w:r>
              <w:rPr>
                <w:rFonts w:hint="eastAsia" w:ascii="宋体" w:hAnsi="宋体"/>
                <w:szCs w:val="21"/>
              </w:rPr>
              <w:t>1202        危规编号：1674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理</w:t>
            </w:r>
          </w:p>
          <w:p>
            <w:pPr>
              <w:adjustRightInd w:val="0"/>
              <w:snapToGrid w:val="0"/>
              <w:jc w:val="left"/>
              <w:rPr>
                <w:rFonts w:ascii="宋体" w:hAnsi="宋体"/>
                <w:b/>
                <w:bCs/>
                <w:szCs w:val="21"/>
              </w:rPr>
            </w:pPr>
            <w:r>
              <w:rPr>
                <w:rFonts w:ascii="宋体" w:hAnsi="宋体"/>
                <w:b/>
                <w:bCs/>
                <w:szCs w:val="21"/>
              </w:rPr>
              <w:t>化</w:t>
            </w:r>
          </w:p>
          <w:p>
            <w:pPr>
              <w:adjustRightInd w:val="0"/>
              <w:snapToGrid w:val="0"/>
              <w:jc w:val="left"/>
              <w:rPr>
                <w:rFonts w:ascii="宋体" w:hAnsi="宋体"/>
                <w:b/>
                <w:bCs/>
                <w:szCs w:val="21"/>
              </w:rPr>
            </w:pPr>
            <w:r>
              <w:rPr>
                <w:rFonts w:ascii="宋体" w:hAnsi="宋体"/>
                <w:b/>
                <w:bCs/>
                <w:szCs w:val="21"/>
              </w:rPr>
              <w:t>性</w:t>
            </w:r>
          </w:p>
          <w:p>
            <w:pPr>
              <w:adjustRightInd w:val="0"/>
              <w:snapToGrid w:val="0"/>
              <w:jc w:val="left"/>
              <w:rPr>
                <w:rFonts w:ascii="宋体" w:hAnsi="宋体"/>
                <w:szCs w:val="21"/>
              </w:rPr>
            </w:pPr>
            <w:r>
              <w:rPr>
                <w:rFonts w:ascii="宋体" w:hAnsi="宋体"/>
                <w:b/>
                <w:bCs/>
                <w:szCs w:val="21"/>
              </w:rPr>
              <w:t>质</w:t>
            </w:r>
          </w:p>
        </w:tc>
        <w:tc>
          <w:tcPr>
            <w:tcW w:w="7954" w:type="dxa"/>
            <w:noWrap w:val="0"/>
            <w:vAlign w:val="center"/>
          </w:tcPr>
          <w:p>
            <w:pPr>
              <w:adjustRightInd w:val="0"/>
              <w:snapToGrid w:val="0"/>
              <w:jc w:val="left"/>
              <w:rPr>
                <w:rFonts w:ascii="宋体" w:hAnsi="宋体"/>
                <w:szCs w:val="21"/>
              </w:rPr>
            </w:pPr>
            <w:r>
              <w:rPr>
                <w:rFonts w:ascii="宋体" w:hAnsi="宋体"/>
                <w:b/>
                <w:bCs/>
                <w:szCs w:val="21"/>
              </w:rPr>
              <w:t>外观与性状：</w:t>
            </w:r>
            <w:r>
              <w:rPr>
                <w:rFonts w:ascii="宋体" w:hAnsi="宋体"/>
                <w:szCs w:val="21"/>
              </w:rPr>
              <w:t>稍有粘性的浅黄至棕色液体。</w:t>
            </w:r>
          </w:p>
          <w:p>
            <w:pPr>
              <w:adjustRightInd w:val="0"/>
              <w:snapToGrid w:val="0"/>
              <w:jc w:val="left"/>
              <w:rPr>
                <w:rFonts w:ascii="宋体" w:hAnsi="宋体"/>
                <w:szCs w:val="21"/>
              </w:rPr>
            </w:pPr>
            <w:r>
              <w:rPr>
                <w:rFonts w:ascii="宋体" w:hAnsi="宋体"/>
                <w:b/>
                <w:bCs/>
                <w:szCs w:val="21"/>
              </w:rPr>
              <w:t>熔点(℃)：</w:t>
            </w:r>
            <w:r>
              <w:rPr>
                <w:rFonts w:ascii="宋体" w:hAnsi="宋体"/>
                <w:szCs w:val="21"/>
              </w:rPr>
              <w:t xml:space="preserve">-35～20          </w:t>
            </w:r>
            <w:r>
              <w:rPr>
                <w:rFonts w:ascii="宋体" w:hAnsi="宋体"/>
                <w:b/>
                <w:bCs/>
                <w:szCs w:val="21"/>
              </w:rPr>
              <w:t>相对密度（水=1.0）：</w:t>
            </w:r>
            <w:r>
              <w:rPr>
                <w:rFonts w:ascii="宋体" w:hAnsi="宋体"/>
                <w:szCs w:val="21"/>
              </w:rPr>
              <w:t>0.87～0.9</w:t>
            </w:r>
          </w:p>
          <w:p>
            <w:pPr>
              <w:adjustRightInd w:val="0"/>
              <w:snapToGrid w:val="0"/>
              <w:jc w:val="left"/>
              <w:rPr>
                <w:rFonts w:ascii="宋体" w:hAnsi="宋体"/>
                <w:szCs w:val="21"/>
              </w:rPr>
            </w:pPr>
            <w:r>
              <w:rPr>
                <w:rFonts w:ascii="宋体" w:hAnsi="宋体"/>
                <w:b/>
                <w:bCs/>
                <w:szCs w:val="21"/>
              </w:rPr>
              <w:t>沸程(℃)：</w:t>
            </w:r>
            <w:r>
              <w:rPr>
                <w:rFonts w:ascii="宋体" w:hAnsi="宋体"/>
                <w:szCs w:val="21"/>
              </w:rPr>
              <w:t xml:space="preserve">282～338         </w:t>
            </w:r>
            <w:r>
              <w:rPr>
                <w:rFonts w:ascii="宋体" w:hAnsi="宋体"/>
                <w:b/>
                <w:bCs/>
                <w:szCs w:val="21"/>
              </w:rPr>
              <w:t>相对密度(空气=1):</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 xml:space="preserve">闪点(℃): </w:t>
            </w:r>
            <w:r>
              <w:rPr>
                <w:rFonts w:ascii="宋体" w:hAnsi="宋体"/>
                <w:bCs/>
                <w:szCs w:val="21"/>
              </w:rPr>
              <w:t>&gt;55</w:t>
            </w:r>
            <w:r>
              <w:rPr>
                <w:rFonts w:ascii="宋体" w:hAnsi="宋体"/>
                <w:szCs w:val="21"/>
              </w:rPr>
              <w:t xml:space="preserve">              </w:t>
            </w:r>
            <w:r>
              <w:rPr>
                <w:rFonts w:ascii="宋体" w:hAnsi="宋体"/>
                <w:b/>
                <w:bCs/>
                <w:szCs w:val="21"/>
              </w:rPr>
              <w:t>引燃温度(℃)：</w:t>
            </w:r>
            <w:r>
              <w:rPr>
                <w:rFonts w:ascii="宋体" w:hAnsi="宋体"/>
                <w:szCs w:val="21"/>
              </w:rPr>
              <w:t>257</w:t>
            </w:r>
          </w:p>
          <w:p>
            <w:pPr>
              <w:adjustRightInd w:val="0"/>
              <w:snapToGrid w:val="0"/>
              <w:jc w:val="left"/>
              <w:rPr>
                <w:rFonts w:ascii="宋体" w:hAnsi="宋体"/>
                <w:szCs w:val="21"/>
              </w:rPr>
            </w:pPr>
            <w:r>
              <w:rPr>
                <w:rFonts w:ascii="宋体" w:hAnsi="宋体"/>
                <w:b/>
                <w:bCs/>
                <w:szCs w:val="21"/>
              </w:rPr>
              <w:t>爆炸下限[%(V/V)]:</w:t>
            </w:r>
            <w:r>
              <w:rPr>
                <w:rFonts w:ascii="宋体" w:hAnsi="宋体"/>
                <w:szCs w:val="21"/>
              </w:rPr>
              <w:t xml:space="preserve"> </w:t>
            </w:r>
            <w:r>
              <w:rPr>
                <w:rFonts w:hint="eastAsia" w:ascii="宋体" w:hAnsi="宋体"/>
                <w:szCs w:val="21"/>
              </w:rPr>
              <w:t>0.5</w:t>
            </w:r>
            <w:r>
              <w:rPr>
                <w:rFonts w:ascii="宋体" w:hAnsi="宋体"/>
                <w:szCs w:val="21"/>
              </w:rPr>
              <w:t xml:space="preserve">   </w:t>
            </w:r>
            <w:r>
              <w:rPr>
                <w:rFonts w:ascii="宋体" w:hAnsi="宋体"/>
                <w:b/>
                <w:bCs/>
                <w:szCs w:val="21"/>
              </w:rPr>
              <w:t>最小点火能(mJ):</w:t>
            </w:r>
            <w:r>
              <w:rPr>
                <w:rFonts w:ascii="宋体" w:hAnsi="宋体"/>
                <w:szCs w:val="21"/>
              </w:rPr>
              <w:t>无资料</w:t>
            </w:r>
          </w:p>
          <w:p>
            <w:pPr>
              <w:adjustRightInd w:val="0"/>
              <w:snapToGrid w:val="0"/>
              <w:jc w:val="left"/>
              <w:rPr>
                <w:rFonts w:ascii="宋体" w:hAnsi="宋体"/>
                <w:szCs w:val="21"/>
              </w:rPr>
            </w:pPr>
            <w:r>
              <w:rPr>
                <w:rFonts w:ascii="宋体" w:hAnsi="宋体"/>
                <w:b/>
                <w:bCs/>
                <w:szCs w:val="21"/>
              </w:rPr>
              <w:t>爆炸上限[%(V/V)]:</w:t>
            </w:r>
            <w:r>
              <w:rPr>
                <w:rFonts w:ascii="宋体" w:hAnsi="宋体"/>
                <w:szCs w:val="21"/>
              </w:rPr>
              <w:t xml:space="preserve"> </w:t>
            </w:r>
            <w:r>
              <w:rPr>
                <w:rFonts w:hint="eastAsia" w:ascii="宋体" w:hAnsi="宋体"/>
                <w:szCs w:val="21"/>
              </w:rPr>
              <w:t>4.5</w:t>
            </w:r>
            <w:r>
              <w:rPr>
                <w:rFonts w:ascii="宋体" w:hAnsi="宋体"/>
                <w:szCs w:val="21"/>
              </w:rPr>
              <w:t xml:space="preserve">   </w:t>
            </w:r>
            <w:r>
              <w:rPr>
                <w:rFonts w:ascii="宋体" w:hAnsi="宋体"/>
                <w:b/>
                <w:bCs/>
                <w:szCs w:val="21"/>
              </w:rPr>
              <w:t>最大爆炸压力(MPa):</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溶 解 性：</w:t>
            </w:r>
            <w:r>
              <w:rPr>
                <w:rFonts w:ascii="宋体" w:hAnsi="宋体"/>
                <w:szCs w:val="21"/>
              </w:rPr>
              <w:t>不溶于水,易溶于苯、二硫化碳、醇、脂肪。</w:t>
            </w:r>
          </w:p>
          <w:p>
            <w:pPr>
              <w:adjustRightInd w:val="0"/>
              <w:snapToGrid w:val="0"/>
              <w:jc w:val="left"/>
              <w:rPr>
                <w:rFonts w:ascii="宋体" w:hAnsi="宋体"/>
                <w:szCs w:val="21"/>
              </w:rPr>
            </w:pPr>
            <w:r>
              <w:rPr>
                <w:rFonts w:ascii="宋体" w:hAnsi="宋体"/>
                <w:b/>
                <w:bCs/>
                <w:szCs w:val="21"/>
              </w:rPr>
              <w:t>主要用途：</w:t>
            </w:r>
            <w:r>
              <w:rPr>
                <w:rFonts w:ascii="宋体" w:hAnsi="宋体"/>
                <w:szCs w:val="21"/>
              </w:rPr>
              <w:t xml:space="preserve">主要用作柴油机的燃料。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燃</w:t>
            </w:r>
          </w:p>
          <w:p>
            <w:pPr>
              <w:adjustRightInd w:val="0"/>
              <w:snapToGrid w:val="0"/>
              <w:jc w:val="left"/>
              <w:rPr>
                <w:rFonts w:ascii="宋体" w:hAnsi="宋体"/>
                <w:szCs w:val="21"/>
              </w:rPr>
            </w:pPr>
            <w:r>
              <w:rPr>
                <w:rFonts w:ascii="宋体" w:hAnsi="宋体"/>
                <w:b/>
                <w:bCs/>
                <w:szCs w:val="21"/>
              </w:rPr>
              <w:t>烧</w:t>
            </w:r>
          </w:p>
          <w:p>
            <w:pPr>
              <w:adjustRightInd w:val="0"/>
              <w:snapToGrid w:val="0"/>
              <w:jc w:val="left"/>
              <w:rPr>
                <w:rFonts w:ascii="宋体" w:hAnsi="宋体"/>
                <w:b/>
                <w:bCs/>
                <w:szCs w:val="21"/>
              </w:rPr>
            </w:pPr>
            <w:r>
              <w:rPr>
                <w:rFonts w:ascii="宋体" w:hAnsi="宋体"/>
                <w:b/>
                <w:bCs/>
                <w:szCs w:val="21"/>
              </w:rPr>
              <w:t>爆</w:t>
            </w:r>
          </w:p>
          <w:p>
            <w:pPr>
              <w:adjustRightInd w:val="0"/>
              <w:snapToGrid w:val="0"/>
              <w:jc w:val="left"/>
              <w:rPr>
                <w:rFonts w:ascii="宋体" w:hAnsi="宋体"/>
                <w:b/>
                <w:bCs/>
                <w:szCs w:val="21"/>
              </w:rPr>
            </w:pPr>
            <w:r>
              <w:rPr>
                <w:rFonts w:ascii="宋体" w:hAnsi="宋体"/>
                <w:b/>
                <w:bCs/>
                <w:szCs w:val="21"/>
              </w:rPr>
              <w:t>炸</w:t>
            </w:r>
          </w:p>
          <w:p>
            <w:pPr>
              <w:adjustRightInd w:val="0"/>
              <w:snapToGrid w:val="0"/>
              <w:jc w:val="left"/>
              <w:rPr>
                <w:rFonts w:ascii="宋体" w:hAnsi="宋体"/>
                <w:b/>
                <w:bCs/>
                <w:szCs w:val="21"/>
              </w:rPr>
            </w:pPr>
            <w:r>
              <w:rPr>
                <w:rFonts w:ascii="宋体" w:hAnsi="宋体"/>
                <w:b/>
                <w:bCs/>
                <w:szCs w:val="21"/>
              </w:rPr>
              <w:t>危</w:t>
            </w:r>
          </w:p>
          <w:p>
            <w:pPr>
              <w:adjustRightInd w:val="0"/>
              <w:snapToGrid w:val="0"/>
              <w:jc w:val="left"/>
              <w:rPr>
                <w:rFonts w:ascii="宋体" w:hAnsi="宋体"/>
                <w:b/>
                <w:bCs/>
                <w:szCs w:val="21"/>
              </w:rPr>
            </w:pPr>
            <w:r>
              <w:rPr>
                <w:rFonts w:ascii="宋体" w:hAnsi="宋体"/>
                <w:b/>
                <w:bCs/>
                <w:szCs w:val="21"/>
              </w:rPr>
              <w:t>险</w:t>
            </w:r>
          </w:p>
          <w:p>
            <w:pPr>
              <w:adjustRightInd w:val="0"/>
              <w:snapToGrid w:val="0"/>
              <w:jc w:val="left"/>
              <w:rPr>
                <w:rFonts w:ascii="宋体" w:hAnsi="宋体"/>
                <w:szCs w:val="21"/>
              </w:rPr>
            </w:pPr>
            <w:r>
              <w:rPr>
                <w:rFonts w:ascii="宋体" w:hAnsi="宋体"/>
                <w:b/>
                <w:bCs/>
                <w:szCs w:val="21"/>
              </w:rPr>
              <w:t>性</w:t>
            </w:r>
          </w:p>
        </w:tc>
        <w:tc>
          <w:tcPr>
            <w:tcW w:w="7954" w:type="dxa"/>
            <w:noWrap w:val="0"/>
            <w:vAlign w:val="center"/>
          </w:tcPr>
          <w:p>
            <w:pPr>
              <w:adjustRightInd w:val="0"/>
              <w:snapToGrid w:val="0"/>
              <w:jc w:val="left"/>
              <w:rPr>
                <w:rFonts w:ascii="宋体" w:hAnsi="宋体"/>
                <w:szCs w:val="21"/>
              </w:rPr>
            </w:pPr>
            <w:r>
              <w:rPr>
                <w:rFonts w:ascii="宋体" w:hAnsi="宋体"/>
                <w:b/>
                <w:bCs/>
                <w:szCs w:val="21"/>
              </w:rPr>
              <w:t>燃 烧 性：</w:t>
            </w:r>
            <w:r>
              <w:rPr>
                <w:rFonts w:ascii="宋体" w:hAnsi="宋体"/>
                <w:szCs w:val="21"/>
              </w:rPr>
              <w:t>易燃。</w:t>
            </w:r>
          </w:p>
          <w:p>
            <w:pPr>
              <w:pStyle w:val="10"/>
              <w:ind w:left="420"/>
              <w:jc w:val="left"/>
              <w:rPr>
                <w:rFonts w:ascii="宋体" w:hAnsi="宋体"/>
                <w:szCs w:val="21"/>
              </w:rPr>
            </w:pPr>
            <w:r>
              <w:rPr>
                <w:rFonts w:ascii="宋体" w:hAnsi="宋体"/>
                <w:b/>
                <w:bCs/>
                <w:szCs w:val="21"/>
              </w:rPr>
              <w:t>危险特性：</w:t>
            </w:r>
            <w:r>
              <w:rPr>
                <w:rFonts w:ascii="宋体" w:hAnsi="宋体"/>
                <w:szCs w:val="21"/>
              </w:rPr>
              <w:t>遇明火、高热或与氧化剂接触,有引起燃烧爆炸的危险。若遇高热，容器内压力增大，有开裂和爆炸的危险。</w:t>
            </w:r>
          </w:p>
          <w:p>
            <w:pPr>
              <w:pStyle w:val="10"/>
              <w:ind w:left="420"/>
              <w:jc w:val="left"/>
              <w:rPr>
                <w:rFonts w:ascii="宋体" w:hAnsi="宋体"/>
                <w:szCs w:val="21"/>
              </w:rPr>
            </w:pPr>
            <w:r>
              <w:rPr>
                <w:rFonts w:ascii="宋体" w:hAnsi="宋体"/>
                <w:b/>
                <w:bCs/>
                <w:szCs w:val="21"/>
              </w:rPr>
              <w:t>有害燃烧产物：</w:t>
            </w:r>
            <w:r>
              <w:rPr>
                <w:rFonts w:ascii="宋体" w:hAnsi="宋体"/>
                <w:szCs w:val="21"/>
              </w:rPr>
              <w:t>一氧化碳、二氧化碳。</w:t>
            </w:r>
          </w:p>
          <w:p>
            <w:pPr>
              <w:adjustRightInd w:val="0"/>
              <w:snapToGrid w:val="0"/>
              <w:jc w:val="left"/>
              <w:rPr>
                <w:rFonts w:ascii="宋体" w:hAnsi="宋体"/>
                <w:szCs w:val="21"/>
              </w:rPr>
            </w:pPr>
            <w:r>
              <w:rPr>
                <w:rFonts w:ascii="宋体" w:hAnsi="宋体"/>
                <w:b/>
                <w:bCs/>
                <w:szCs w:val="21"/>
              </w:rPr>
              <w:t>稳 定 性：</w:t>
            </w:r>
            <w:r>
              <w:rPr>
                <w:rFonts w:ascii="宋体" w:hAnsi="宋体"/>
                <w:szCs w:val="21"/>
              </w:rPr>
              <w:t xml:space="preserve">稳定。           </w:t>
            </w:r>
            <w:r>
              <w:rPr>
                <w:rFonts w:ascii="宋体" w:hAnsi="宋体"/>
                <w:b/>
                <w:bCs/>
                <w:szCs w:val="21"/>
              </w:rPr>
              <w:t>聚合危害：</w:t>
            </w:r>
            <w:r>
              <w:rPr>
                <w:rFonts w:ascii="宋体" w:hAnsi="宋体"/>
                <w:szCs w:val="21"/>
              </w:rPr>
              <w:t>不聚合。</w:t>
            </w:r>
          </w:p>
          <w:p>
            <w:pPr>
              <w:adjustRightInd w:val="0"/>
              <w:snapToGrid w:val="0"/>
              <w:jc w:val="left"/>
              <w:rPr>
                <w:rFonts w:ascii="宋体" w:hAnsi="宋体"/>
                <w:szCs w:val="21"/>
              </w:rPr>
            </w:pPr>
            <w:r>
              <w:rPr>
                <w:rFonts w:ascii="宋体" w:hAnsi="宋体"/>
                <w:b/>
                <w:bCs/>
                <w:szCs w:val="21"/>
              </w:rPr>
              <w:t>禁 配 物：</w:t>
            </w:r>
            <w:r>
              <w:rPr>
                <w:rFonts w:ascii="宋体" w:hAnsi="宋体"/>
                <w:szCs w:val="21"/>
              </w:rPr>
              <w:t>强氧化剂、卤素。</w:t>
            </w:r>
          </w:p>
          <w:p>
            <w:pPr>
              <w:adjustRightInd w:val="0"/>
              <w:snapToGrid w:val="0"/>
              <w:jc w:val="left"/>
              <w:rPr>
                <w:rFonts w:ascii="宋体" w:hAnsi="宋体"/>
                <w:szCs w:val="21"/>
              </w:rPr>
            </w:pPr>
            <w:r>
              <w:rPr>
                <w:rFonts w:ascii="宋体" w:hAnsi="宋体"/>
                <w:b/>
                <w:bCs/>
                <w:szCs w:val="21"/>
              </w:rPr>
              <w:t>灭火方法：</w:t>
            </w:r>
            <w:r>
              <w:rPr>
                <w:rFonts w:ascii="宋体" w:hAnsi="宋体"/>
                <w:szCs w:val="21"/>
              </w:rPr>
              <w:t>消防人员须配戴防毒面具、穿全身消防服,在上风向灭火。尽可能将容器从火场移至空旷处，喷水保持容器冷却，直至灭火结束。处在火场中的容器若已变色或从安全泄压装置中产生声音，必须马上撤离。</w:t>
            </w:r>
          </w:p>
          <w:p>
            <w:pPr>
              <w:adjustRightInd w:val="0"/>
              <w:snapToGrid w:val="0"/>
              <w:jc w:val="left"/>
              <w:rPr>
                <w:rFonts w:ascii="宋体" w:hAnsi="宋体"/>
                <w:szCs w:val="21"/>
              </w:rPr>
            </w:pPr>
            <w:r>
              <w:rPr>
                <w:rFonts w:ascii="宋体" w:hAnsi="宋体"/>
                <w:b/>
                <w:bCs/>
                <w:szCs w:val="21"/>
              </w:rPr>
              <w:t>灭 火 剂：</w:t>
            </w:r>
            <w:r>
              <w:rPr>
                <w:rFonts w:ascii="宋体" w:hAnsi="宋体"/>
                <w:szCs w:val="21"/>
              </w:rPr>
              <w:t>泡沫、干粉、二氧化碳、砂土。用水灭火无效。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568" w:type="dxa"/>
            <w:noWrap w:val="0"/>
            <w:vAlign w:val="center"/>
          </w:tcPr>
          <w:p>
            <w:pPr>
              <w:adjustRightInd w:val="0"/>
              <w:snapToGrid w:val="0"/>
              <w:rPr>
                <w:rFonts w:ascii="宋体" w:hAnsi="宋体"/>
                <w:b/>
                <w:bCs/>
                <w:szCs w:val="21"/>
              </w:rPr>
            </w:pPr>
            <w:r>
              <w:rPr>
                <w:rFonts w:ascii="宋体" w:hAnsi="宋体"/>
                <w:b/>
                <w:bCs/>
                <w:szCs w:val="21"/>
              </w:rPr>
              <w:t>包</w:t>
            </w:r>
          </w:p>
          <w:p>
            <w:pPr>
              <w:adjustRightInd w:val="0"/>
              <w:snapToGrid w:val="0"/>
              <w:rPr>
                <w:rFonts w:ascii="宋体" w:hAnsi="宋体"/>
                <w:b/>
                <w:bCs/>
                <w:szCs w:val="21"/>
              </w:rPr>
            </w:pPr>
            <w:r>
              <w:rPr>
                <w:rFonts w:ascii="宋体" w:hAnsi="宋体"/>
                <w:b/>
                <w:bCs/>
                <w:szCs w:val="21"/>
              </w:rPr>
              <w:t>装</w:t>
            </w:r>
          </w:p>
          <w:p>
            <w:pPr>
              <w:adjustRightInd w:val="0"/>
              <w:snapToGrid w:val="0"/>
              <w:rPr>
                <w:rFonts w:ascii="宋体" w:hAnsi="宋体"/>
                <w:b/>
                <w:bCs/>
                <w:szCs w:val="21"/>
              </w:rPr>
            </w:pPr>
            <w:r>
              <w:rPr>
                <w:rFonts w:ascii="宋体" w:hAnsi="宋体"/>
                <w:b/>
                <w:bCs/>
                <w:szCs w:val="21"/>
              </w:rPr>
              <w:t>与</w:t>
            </w:r>
          </w:p>
          <w:p>
            <w:pPr>
              <w:adjustRightInd w:val="0"/>
              <w:snapToGrid w:val="0"/>
              <w:rPr>
                <w:rFonts w:ascii="宋体" w:hAnsi="宋体"/>
                <w:b/>
                <w:bCs/>
                <w:szCs w:val="21"/>
              </w:rPr>
            </w:pPr>
            <w:r>
              <w:rPr>
                <w:rFonts w:ascii="宋体" w:hAnsi="宋体"/>
                <w:b/>
                <w:bCs/>
                <w:szCs w:val="21"/>
              </w:rPr>
              <w:t>储</w:t>
            </w:r>
          </w:p>
          <w:p>
            <w:pPr>
              <w:adjustRightInd w:val="0"/>
              <w:snapToGrid w:val="0"/>
              <w:jc w:val="left"/>
              <w:rPr>
                <w:rFonts w:ascii="宋体" w:hAnsi="宋体"/>
                <w:b/>
                <w:bCs/>
                <w:szCs w:val="21"/>
              </w:rPr>
            </w:pPr>
            <w:r>
              <w:rPr>
                <w:rFonts w:ascii="宋体" w:hAnsi="宋体"/>
                <w:b/>
                <w:bCs/>
                <w:szCs w:val="21"/>
              </w:rPr>
              <w:t>运</w:t>
            </w:r>
          </w:p>
        </w:tc>
        <w:tc>
          <w:tcPr>
            <w:tcW w:w="7954" w:type="dxa"/>
            <w:noWrap w:val="0"/>
            <w:vAlign w:val="center"/>
          </w:tcPr>
          <w:p>
            <w:pPr>
              <w:adjustRightInd w:val="0"/>
              <w:snapToGrid w:val="0"/>
              <w:rPr>
                <w:rFonts w:ascii="宋体" w:hAnsi="宋体"/>
                <w:szCs w:val="21"/>
              </w:rPr>
            </w:pPr>
            <w:r>
              <w:rPr>
                <w:rFonts w:ascii="宋体" w:hAnsi="宋体"/>
                <w:b/>
                <w:bCs/>
                <w:szCs w:val="21"/>
              </w:rPr>
              <w:t>安全标志：</w:t>
            </w:r>
            <w:r>
              <w:rPr>
                <w:rFonts w:ascii="宋体" w:hAnsi="宋体"/>
                <w:szCs w:val="21"/>
              </w:rPr>
              <w:t xml:space="preserve">易燃液体        </w:t>
            </w:r>
            <w:r>
              <w:rPr>
                <w:rFonts w:ascii="宋体" w:hAnsi="宋体"/>
                <w:b/>
                <w:bCs/>
                <w:szCs w:val="21"/>
              </w:rPr>
              <w:t>包装类别：Ⅲ</w:t>
            </w:r>
            <w:r>
              <w:rPr>
                <w:rFonts w:ascii="宋体" w:hAnsi="宋体"/>
                <w:szCs w:val="21"/>
              </w:rPr>
              <w:t>类包装</w:t>
            </w:r>
          </w:p>
          <w:p>
            <w:pPr>
              <w:adjustRightInd w:val="0"/>
              <w:snapToGrid w:val="0"/>
              <w:rPr>
                <w:rFonts w:ascii="宋体" w:hAnsi="宋体"/>
                <w:szCs w:val="21"/>
              </w:rPr>
            </w:pPr>
            <w:r>
              <w:rPr>
                <w:rFonts w:ascii="宋体" w:hAnsi="宋体"/>
                <w:b/>
                <w:bCs/>
                <w:szCs w:val="21"/>
              </w:rPr>
              <w:t>储存注意事项：</w:t>
            </w:r>
            <w:r>
              <w:rPr>
                <w:rFonts w:ascii="宋体" w:hAnsi="宋体"/>
                <w:szCs w:val="21"/>
              </w:rPr>
              <w:t>储存于阴凉、通风的库房 。远离火种、热源。应与氧化剂、卤素分开存放,切忌混储。储存间内的照明、通风等设施应采用防爆型，开关设在库房外。禁止使用易产生火花的机械设备和工具。储备区应有泄漏应急处理设备和合适的收容材料</w:t>
            </w:r>
          </w:p>
          <w:p>
            <w:pPr>
              <w:adjustRightInd w:val="0"/>
              <w:snapToGrid w:val="0"/>
              <w:jc w:val="left"/>
              <w:rPr>
                <w:rFonts w:ascii="宋体" w:hAnsi="宋体"/>
                <w:b/>
                <w:bCs/>
                <w:szCs w:val="21"/>
              </w:rPr>
            </w:pPr>
            <w:r>
              <w:rPr>
                <w:rFonts w:ascii="宋体" w:hAnsi="宋体"/>
                <w:b/>
                <w:bCs/>
                <w:szCs w:val="21"/>
              </w:rPr>
              <w:t>运输注意事项：</w:t>
            </w:r>
            <w:r>
              <w:rPr>
                <w:rFonts w:ascii="宋体" w:hAnsi="宋体"/>
                <w:szCs w:val="21"/>
              </w:rPr>
              <w:t>运输前应先检查包装容器是否完整、密封，运输过程中要确保容器不泄漏、不倒塌、不坠落、不损坏。运输时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毒</w:t>
            </w:r>
          </w:p>
          <w:p>
            <w:pPr>
              <w:adjustRightInd w:val="0"/>
              <w:snapToGrid w:val="0"/>
              <w:jc w:val="center"/>
              <w:rPr>
                <w:rFonts w:ascii="宋体" w:hAnsi="宋体"/>
                <w:b/>
                <w:bCs/>
                <w:szCs w:val="21"/>
              </w:rPr>
            </w:pPr>
            <w:r>
              <w:rPr>
                <w:rFonts w:ascii="宋体" w:hAnsi="宋体"/>
                <w:b/>
                <w:bCs/>
                <w:szCs w:val="21"/>
              </w:rPr>
              <w:t>性</w:t>
            </w:r>
          </w:p>
          <w:p>
            <w:pPr>
              <w:adjustRightInd w:val="0"/>
              <w:snapToGrid w:val="0"/>
              <w:jc w:val="center"/>
              <w:rPr>
                <w:rFonts w:ascii="宋体" w:hAnsi="宋体"/>
                <w:b/>
                <w:bCs/>
                <w:szCs w:val="21"/>
              </w:rPr>
            </w:pPr>
            <w:r>
              <w:rPr>
                <w:rFonts w:ascii="宋体" w:hAnsi="宋体"/>
                <w:b/>
                <w:bCs/>
                <w:szCs w:val="21"/>
              </w:rPr>
              <w:t>及</w:t>
            </w:r>
          </w:p>
          <w:p>
            <w:pPr>
              <w:adjustRightInd w:val="0"/>
              <w:snapToGrid w:val="0"/>
              <w:jc w:val="center"/>
              <w:rPr>
                <w:rFonts w:ascii="宋体" w:hAnsi="宋体"/>
                <w:b/>
                <w:bCs/>
                <w:szCs w:val="21"/>
              </w:rPr>
            </w:pPr>
            <w:r>
              <w:rPr>
                <w:rFonts w:ascii="宋体" w:hAnsi="宋体"/>
                <w:b/>
                <w:bCs/>
                <w:szCs w:val="21"/>
              </w:rPr>
              <w:t>健</w:t>
            </w:r>
          </w:p>
          <w:p>
            <w:pPr>
              <w:adjustRightInd w:val="0"/>
              <w:snapToGrid w:val="0"/>
              <w:jc w:val="center"/>
              <w:rPr>
                <w:rFonts w:ascii="宋体" w:hAnsi="宋体"/>
                <w:b/>
                <w:bCs/>
                <w:szCs w:val="21"/>
              </w:rPr>
            </w:pPr>
            <w:r>
              <w:rPr>
                <w:rFonts w:ascii="宋体" w:hAnsi="宋体"/>
                <w:b/>
                <w:bCs/>
                <w:szCs w:val="21"/>
              </w:rPr>
              <w:t>康</w:t>
            </w:r>
          </w:p>
          <w:p>
            <w:pPr>
              <w:adjustRightInd w:val="0"/>
              <w:snapToGrid w:val="0"/>
              <w:jc w:val="center"/>
              <w:rPr>
                <w:rFonts w:ascii="宋体" w:hAnsi="宋体"/>
                <w:b/>
                <w:bCs/>
                <w:szCs w:val="21"/>
              </w:rPr>
            </w:pPr>
            <w:r>
              <w:rPr>
                <w:rFonts w:ascii="宋体" w:hAnsi="宋体"/>
                <w:b/>
                <w:bCs/>
                <w:szCs w:val="21"/>
              </w:rPr>
              <w:t>危</w:t>
            </w:r>
          </w:p>
          <w:p>
            <w:pPr>
              <w:adjustRightInd w:val="0"/>
              <w:snapToGrid w:val="0"/>
              <w:jc w:val="center"/>
              <w:rPr>
                <w:rFonts w:ascii="宋体" w:hAnsi="宋体"/>
                <w:b/>
                <w:bCs/>
                <w:szCs w:val="21"/>
              </w:rPr>
            </w:pPr>
            <w:r>
              <w:rPr>
                <w:rFonts w:ascii="宋体" w:hAnsi="宋体"/>
                <w:b/>
                <w:bCs/>
                <w:szCs w:val="21"/>
              </w:rPr>
              <w:t>害</w:t>
            </w:r>
          </w:p>
          <w:p>
            <w:pPr>
              <w:adjustRightInd w:val="0"/>
              <w:snapToGrid w:val="0"/>
              <w:jc w:val="center"/>
              <w:rPr>
                <w:rFonts w:ascii="宋体" w:hAnsi="宋体"/>
                <w:szCs w:val="21"/>
              </w:rPr>
            </w:pPr>
            <w:r>
              <w:rPr>
                <w:rFonts w:ascii="宋体" w:hAnsi="宋体"/>
                <w:b/>
                <w:bCs/>
                <w:szCs w:val="21"/>
              </w:rPr>
              <w:t>性</w:t>
            </w:r>
          </w:p>
        </w:tc>
        <w:tc>
          <w:tcPr>
            <w:tcW w:w="7954" w:type="dxa"/>
            <w:noWrap w:val="0"/>
            <w:vAlign w:val="center"/>
          </w:tcPr>
          <w:p>
            <w:pPr>
              <w:adjustRightInd w:val="0"/>
              <w:snapToGrid w:val="0"/>
              <w:rPr>
                <w:rFonts w:ascii="宋体" w:hAnsi="宋体"/>
                <w:szCs w:val="21"/>
              </w:rPr>
            </w:pPr>
            <w:r>
              <w:rPr>
                <w:rFonts w:ascii="宋体" w:hAnsi="宋体"/>
                <w:b/>
                <w:bCs/>
                <w:szCs w:val="21"/>
              </w:rPr>
              <w:t>接触限值：</w:t>
            </w:r>
            <w:r>
              <w:rPr>
                <w:rFonts w:ascii="宋体" w:hAnsi="宋体"/>
                <w:szCs w:val="21"/>
              </w:rPr>
              <w:t>中国MAC（mg/m</w:t>
            </w:r>
            <w:r>
              <w:rPr>
                <w:rFonts w:ascii="宋体" w:hAnsi="宋体"/>
                <w:szCs w:val="21"/>
                <w:vertAlign w:val="superscript"/>
              </w:rPr>
              <w:t>3</w:t>
            </w:r>
            <w:r>
              <w:rPr>
                <w:rFonts w:ascii="宋体" w:hAnsi="宋体"/>
                <w:szCs w:val="21"/>
              </w:rPr>
              <w:t>）：无资料。</w:t>
            </w:r>
          </w:p>
          <w:p>
            <w:pPr>
              <w:adjustRightInd w:val="0"/>
              <w:snapToGrid w:val="0"/>
              <w:rPr>
                <w:rFonts w:ascii="宋体" w:hAnsi="宋体"/>
                <w:szCs w:val="21"/>
              </w:rPr>
            </w:pPr>
            <w:r>
              <w:rPr>
                <w:rFonts w:ascii="宋体" w:hAnsi="宋体"/>
                <w:b/>
                <w:bCs/>
                <w:szCs w:val="21"/>
              </w:rPr>
              <w:t>侵入途径：</w:t>
            </w:r>
            <w:r>
              <w:rPr>
                <w:rFonts w:ascii="宋体" w:hAnsi="宋体"/>
                <w:szCs w:val="21"/>
              </w:rPr>
              <w:t>吸入、食入、经皮肤吸收。</w:t>
            </w:r>
          </w:p>
          <w:p>
            <w:pPr>
              <w:adjustRightInd w:val="0"/>
              <w:snapToGrid w:val="0"/>
              <w:rPr>
                <w:rFonts w:ascii="宋体" w:hAnsi="宋体"/>
                <w:szCs w:val="21"/>
              </w:rPr>
            </w:pPr>
            <w:r>
              <w:rPr>
                <w:rFonts w:ascii="宋体" w:hAnsi="宋体"/>
                <w:b/>
                <w:bCs/>
                <w:szCs w:val="21"/>
              </w:rPr>
              <w:t>急性毒性：</w:t>
            </w:r>
            <w:r>
              <w:rPr>
                <w:rFonts w:ascii="宋体" w:hAnsi="宋体"/>
                <w:szCs w:val="21"/>
              </w:rPr>
              <w:t>LD</w:t>
            </w:r>
            <w:r>
              <w:rPr>
                <w:rFonts w:ascii="宋体" w:hAnsi="宋体"/>
                <w:szCs w:val="21"/>
                <w:vertAlign w:val="subscript"/>
              </w:rPr>
              <w:t>50</w:t>
            </w:r>
            <w:r>
              <w:rPr>
                <w:rFonts w:ascii="宋体" w:hAnsi="宋体"/>
                <w:szCs w:val="21"/>
              </w:rPr>
              <w:t xml:space="preserve">：无资料 </w:t>
            </w:r>
          </w:p>
          <w:p>
            <w:pPr>
              <w:adjustRightInd w:val="0"/>
              <w:snapToGrid w:val="0"/>
              <w:rPr>
                <w:rFonts w:ascii="宋体" w:hAnsi="宋体"/>
                <w:szCs w:val="21"/>
              </w:rPr>
            </w:pPr>
            <w:r>
              <w:rPr>
                <w:rFonts w:ascii="宋体" w:hAnsi="宋体"/>
                <w:b/>
                <w:bCs/>
                <w:szCs w:val="21"/>
              </w:rPr>
              <w:t>健康危害：</w:t>
            </w:r>
            <w:r>
              <w:rPr>
                <w:rFonts w:ascii="宋体" w:hAnsi="宋体"/>
                <w:szCs w:val="21"/>
              </w:rPr>
              <w:t>皮肤接触可为主要吸收途径，可致急性肾脏损害。柴油可引起接触性皮炎、油性痤疮。吸入其雾滴或液体呛入可引起吸入性肺炎。能经胎盘进入胎儿血液中。柴油废气可引起眼、鼻刺激症状,头晕及头痛。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急</w:t>
            </w:r>
          </w:p>
          <w:p>
            <w:pPr>
              <w:adjustRightInd w:val="0"/>
              <w:snapToGrid w:val="0"/>
              <w:jc w:val="center"/>
              <w:rPr>
                <w:rFonts w:ascii="宋体" w:hAnsi="宋体"/>
                <w:b/>
                <w:bCs/>
                <w:szCs w:val="21"/>
              </w:rPr>
            </w:pPr>
            <w:r>
              <w:rPr>
                <w:rFonts w:ascii="宋体" w:hAnsi="宋体"/>
                <w:b/>
                <w:bCs/>
                <w:szCs w:val="21"/>
              </w:rPr>
              <w:t>救</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皮肤接触：</w:t>
            </w:r>
            <w:r>
              <w:rPr>
                <w:rFonts w:ascii="宋体" w:hAnsi="宋体"/>
                <w:szCs w:val="21"/>
              </w:rPr>
              <w:t>立即脱去被污染的衣着，用肥皂水和清水彻底冲洗皮肤。就医。</w:t>
            </w:r>
          </w:p>
          <w:p>
            <w:pPr>
              <w:adjustRightInd w:val="0"/>
              <w:snapToGrid w:val="0"/>
              <w:rPr>
                <w:rFonts w:ascii="宋体" w:hAnsi="宋体"/>
                <w:szCs w:val="21"/>
              </w:rPr>
            </w:pPr>
            <w:r>
              <w:rPr>
                <w:rFonts w:ascii="宋体" w:hAnsi="宋体"/>
                <w:b/>
                <w:bCs/>
                <w:szCs w:val="21"/>
              </w:rPr>
              <w:t>眼睛接触：</w:t>
            </w:r>
            <w:r>
              <w:rPr>
                <w:rFonts w:ascii="宋体" w:hAnsi="宋体"/>
                <w:szCs w:val="21"/>
              </w:rPr>
              <w:t>立即提起眼睑，用大量流动清水或生理盐水彻底冲洗至少15分钟。就医。</w:t>
            </w:r>
          </w:p>
          <w:p>
            <w:pPr>
              <w:adjustRightInd w:val="0"/>
              <w:snapToGrid w:val="0"/>
              <w:rPr>
                <w:rFonts w:ascii="宋体" w:hAnsi="宋体"/>
                <w:szCs w:val="21"/>
              </w:rPr>
            </w:pPr>
            <w:r>
              <w:rPr>
                <w:rFonts w:ascii="宋体" w:hAnsi="宋体"/>
                <w:b/>
                <w:bCs/>
                <w:szCs w:val="21"/>
              </w:rPr>
              <w:t>吸入：</w:t>
            </w:r>
            <w:r>
              <w:rPr>
                <w:rFonts w:ascii="宋体" w:hAnsi="宋体"/>
                <w:szCs w:val="21"/>
              </w:rPr>
              <w:t>迅速脱离现场至空气新鲜处。保持呼吸道通畅。如呼吸困难，给输氧。如呼吸停止，立即进行人工呼吸。就医。</w:t>
            </w:r>
          </w:p>
          <w:p>
            <w:pPr>
              <w:adjustRightInd w:val="0"/>
              <w:snapToGrid w:val="0"/>
              <w:rPr>
                <w:rFonts w:ascii="宋体" w:hAnsi="宋体"/>
                <w:szCs w:val="21"/>
              </w:rPr>
            </w:pPr>
            <w:r>
              <w:rPr>
                <w:rFonts w:ascii="宋体" w:hAnsi="宋体"/>
                <w:b/>
                <w:bCs/>
                <w:szCs w:val="21"/>
              </w:rPr>
              <w:t>食入：</w:t>
            </w:r>
            <w:r>
              <w:rPr>
                <w:rFonts w:ascii="宋体" w:hAnsi="宋体"/>
                <w:szCs w:val="21"/>
              </w:rPr>
              <w:t>给饮牛奶或用植物油洗胃和灌肠。就医。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防</w:t>
            </w:r>
          </w:p>
          <w:p>
            <w:pPr>
              <w:adjustRightInd w:val="0"/>
              <w:snapToGrid w:val="0"/>
              <w:jc w:val="center"/>
              <w:rPr>
                <w:rFonts w:ascii="宋体" w:hAnsi="宋体"/>
                <w:b/>
                <w:bCs/>
                <w:szCs w:val="21"/>
              </w:rPr>
            </w:pPr>
            <w:r>
              <w:rPr>
                <w:rFonts w:ascii="宋体" w:hAnsi="宋体"/>
                <w:b/>
                <w:bCs/>
                <w:szCs w:val="21"/>
              </w:rPr>
              <w:t>护</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工程控制：</w:t>
            </w:r>
            <w:r>
              <w:rPr>
                <w:rFonts w:ascii="宋体" w:hAnsi="宋体"/>
                <w:szCs w:val="21"/>
              </w:rPr>
              <w:t>生产过程密闭操作，注意通风。</w:t>
            </w:r>
          </w:p>
          <w:p>
            <w:pPr>
              <w:adjustRightInd w:val="0"/>
              <w:snapToGrid w:val="0"/>
              <w:rPr>
                <w:rFonts w:ascii="宋体" w:hAnsi="宋体"/>
                <w:szCs w:val="21"/>
              </w:rPr>
            </w:pPr>
            <w:r>
              <w:rPr>
                <w:rFonts w:ascii="宋体" w:hAnsi="宋体"/>
                <w:b/>
                <w:bCs/>
                <w:szCs w:val="21"/>
              </w:rPr>
              <w:t>呼吸系统防护：</w:t>
            </w:r>
            <w:r>
              <w:rPr>
                <w:rFonts w:ascii="宋体" w:hAnsi="宋体"/>
                <w:szCs w:val="21"/>
              </w:rPr>
              <w:t>空气中浓度超标时，建议佩戴自吸过滤式防毒面具(半面罩)。紧急事态抢救或撤离时,应佩戴空气呼吸器。</w:t>
            </w:r>
          </w:p>
          <w:p>
            <w:pPr>
              <w:adjustRightInd w:val="0"/>
              <w:snapToGrid w:val="0"/>
              <w:rPr>
                <w:rFonts w:ascii="宋体" w:hAnsi="宋体"/>
                <w:szCs w:val="21"/>
              </w:rPr>
            </w:pPr>
            <w:r>
              <w:rPr>
                <w:rFonts w:ascii="宋体" w:hAnsi="宋体"/>
                <w:b/>
                <w:bCs/>
                <w:szCs w:val="21"/>
              </w:rPr>
              <w:t>眼睛防护：</w:t>
            </w:r>
            <w:r>
              <w:rPr>
                <w:rFonts w:ascii="宋体" w:hAnsi="宋体"/>
                <w:szCs w:val="21"/>
              </w:rPr>
              <w:t>必要时戴化学安全防护眼镜。</w:t>
            </w:r>
          </w:p>
          <w:p>
            <w:pPr>
              <w:adjustRightInd w:val="0"/>
              <w:snapToGrid w:val="0"/>
              <w:rPr>
                <w:rFonts w:ascii="宋体" w:hAnsi="宋体"/>
                <w:szCs w:val="21"/>
              </w:rPr>
            </w:pPr>
            <w:r>
              <w:rPr>
                <w:rFonts w:ascii="宋体" w:hAnsi="宋体"/>
                <w:b/>
                <w:bCs/>
                <w:szCs w:val="21"/>
              </w:rPr>
              <w:t>身体防护：</w:t>
            </w:r>
            <w:r>
              <w:rPr>
                <w:rFonts w:ascii="宋体" w:hAnsi="宋体"/>
                <w:szCs w:val="21"/>
              </w:rPr>
              <w:t>穿一般作业工作服。</w:t>
            </w:r>
          </w:p>
          <w:p>
            <w:pPr>
              <w:adjustRightInd w:val="0"/>
              <w:snapToGrid w:val="0"/>
              <w:rPr>
                <w:rFonts w:ascii="宋体" w:hAnsi="宋体"/>
                <w:szCs w:val="21"/>
              </w:rPr>
            </w:pPr>
            <w:r>
              <w:rPr>
                <w:rFonts w:ascii="宋体" w:hAnsi="宋体"/>
                <w:b/>
                <w:bCs/>
                <w:szCs w:val="21"/>
              </w:rPr>
              <w:t>手 防 护：</w:t>
            </w:r>
            <w:r>
              <w:rPr>
                <w:rFonts w:ascii="宋体" w:hAnsi="宋体"/>
                <w:szCs w:val="21"/>
              </w:rPr>
              <w:t>戴橡胶耐油手套。</w:t>
            </w:r>
          </w:p>
          <w:p>
            <w:pPr>
              <w:adjustRightInd w:val="0"/>
              <w:snapToGrid w:val="0"/>
              <w:rPr>
                <w:rFonts w:ascii="宋体" w:hAnsi="宋体"/>
                <w:szCs w:val="21"/>
              </w:rPr>
            </w:pPr>
            <w:r>
              <w:rPr>
                <w:rFonts w:ascii="宋体" w:hAnsi="宋体"/>
                <w:b/>
                <w:bCs/>
                <w:szCs w:val="21"/>
              </w:rPr>
              <w:t>其它防护：</w:t>
            </w:r>
            <w:r>
              <w:rPr>
                <w:rFonts w:ascii="宋体" w:hAnsi="宋体"/>
                <w:szCs w:val="21"/>
              </w:rPr>
              <w:t>工作现场禁止吸烟。避免长期反复接触。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泄</w:t>
            </w:r>
          </w:p>
          <w:p>
            <w:pPr>
              <w:adjustRightInd w:val="0"/>
              <w:snapToGrid w:val="0"/>
              <w:jc w:val="center"/>
              <w:rPr>
                <w:rFonts w:ascii="宋体" w:hAnsi="宋体"/>
                <w:b/>
                <w:bCs/>
                <w:szCs w:val="21"/>
              </w:rPr>
            </w:pPr>
            <w:r>
              <w:rPr>
                <w:rFonts w:ascii="宋体" w:hAnsi="宋体"/>
                <w:b/>
                <w:bCs/>
                <w:szCs w:val="21"/>
              </w:rPr>
              <w:t>漏</w:t>
            </w:r>
          </w:p>
          <w:p>
            <w:pPr>
              <w:adjustRightInd w:val="0"/>
              <w:snapToGrid w:val="0"/>
              <w:jc w:val="center"/>
              <w:rPr>
                <w:rFonts w:ascii="宋体" w:hAnsi="宋体"/>
                <w:b/>
                <w:bCs/>
                <w:szCs w:val="21"/>
              </w:rPr>
            </w:pPr>
            <w:r>
              <w:rPr>
                <w:rFonts w:ascii="宋体" w:hAnsi="宋体"/>
                <w:b/>
                <w:bCs/>
                <w:szCs w:val="21"/>
              </w:rPr>
              <w:t>处</w:t>
            </w:r>
          </w:p>
          <w:p>
            <w:pPr>
              <w:adjustRightInd w:val="0"/>
              <w:snapToGrid w:val="0"/>
              <w:jc w:val="center"/>
              <w:rPr>
                <w:rFonts w:ascii="宋体" w:hAnsi="宋体"/>
                <w:szCs w:val="21"/>
              </w:rPr>
            </w:pPr>
            <w:r>
              <w:rPr>
                <w:rFonts w:ascii="宋体" w:hAnsi="宋体"/>
                <w:b/>
                <w:bCs/>
                <w:szCs w:val="21"/>
              </w:rPr>
              <w:t>理</w:t>
            </w:r>
          </w:p>
        </w:tc>
        <w:tc>
          <w:tcPr>
            <w:tcW w:w="7954" w:type="dxa"/>
            <w:noWrap w:val="0"/>
            <w:vAlign w:val="center"/>
          </w:tcPr>
          <w:p>
            <w:pPr>
              <w:adjustRightInd w:val="0"/>
              <w:snapToGrid w:val="0"/>
              <w:rPr>
                <w:rFonts w:ascii="宋体" w:hAnsi="宋体"/>
                <w:szCs w:val="21"/>
              </w:rPr>
            </w:pPr>
            <w:r>
              <w:rPr>
                <w:rFonts w:ascii="宋体" w:hAnsi="宋体"/>
                <w:b/>
                <w:bCs/>
                <w:szCs w:val="21"/>
              </w:rPr>
              <w:t>应急行动：</w:t>
            </w:r>
            <w:r>
              <w:rPr>
                <w:rFonts w:ascii="宋体" w:hAnsi="宋体"/>
                <w:szCs w:val="21"/>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防爆泵转移至槽车或专用收集容器内，回收或运至废物处理场所处置。</w:t>
            </w:r>
          </w:p>
        </w:tc>
      </w:tr>
    </w:tbl>
    <w:p>
      <w:pPr>
        <w:adjustRightInd w:val="0"/>
        <w:snapToGrid w:val="0"/>
        <w:spacing w:line="360" w:lineRule="auto"/>
        <w:ind w:firstLine="560" w:firstLineChars="200"/>
        <w:rPr>
          <w:rFonts w:hint="eastAsia"/>
          <w:sz w:val="28"/>
          <w:szCs w:val="28"/>
        </w:rPr>
      </w:pPr>
    </w:p>
    <w:p>
      <w:pPr>
        <w:pStyle w:val="8"/>
        <w:spacing w:line="360" w:lineRule="auto"/>
        <w:ind w:firstLine="0" w:firstLineChars="0"/>
        <w:outlineLvl w:val="2"/>
        <w:rPr>
          <w:rFonts w:hint="eastAsia" w:ascii="宋体" w:hAnsi="宋体"/>
          <w:b/>
          <w:snapToGrid w:val="0"/>
          <w:kern w:val="0"/>
          <w:sz w:val="28"/>
          <w:szCs w:val="28"/>
          <w:lang w:val="en-US" w:eastAsia="zh-CN"/>
        </w:rPr>
      </w:pPr>
      <w:bookmarkStart w:id="143" w:name="_Toc515659434"/>
      <w:bookmarkStart w:id="144" w:name="_Toc513735551"/>
      <w:bookmarkStart w:id="145" w:name="_Toc2682"/>
      <w:bookmarkStart w:id="146" w:name="_Toc475363997"/>
      <w:bookmarkStart w:id="147" w:name="_Toc511994825"/>
      <w:r>
        <w:rPr>
          <w:rFonts w:hint="eastAsia" w:ascii="宋体" w:hAnsi="宋体"/>
          <w:b/>
          <w:snapToGrid w:val="0"/>
          <w:kern w:val="0"/>
          <w:sz w:val="28"/>
          <w:szCs w:val="28"/>
          <w:lang w:val="en-US" w:eastAsia="zh-CN"/>
        </w:rPr>
        <w:t>3.4.7 氧气安全数据表</w:t>
      </w:r>
      <w:bookmarkEnd w:id="143"/>
      <w:bookmarkEnd w:id="144"/>
      <w:bookmarkEnd w:id="145"/>
      <w:bookmarkEnd w:id="146"/>
    </w:p>
    <w:p>
      <w:pPr>
        <w:pStyle w:val="32"/>
        <w:rPr>
          <w:rFonts w:eastAsia="黑体"/>
          <w:sz w:val="24"/>
          <w:szCs w:val="24"/>
        </w:rPr>
      </w:pPr>
      <w:r>
        <w:rPr>
          <w:rFonts w:eastAsia="黑体"/>
          <w:sz w:val="24"/>
          <w:szCs w:val="24"/>
        </w:rPr>
        <w:t>表3-</w:t>
      </w:r>
      <w:r>
        <w:rPr>
          <w:rFonts w:hint="eastAsia" w:eastAsia="黑体"/>
          <w:sz w:val="24"/>
          <w:szCs w:val="24"/>
        </w:rPr>
        <w:t>2</w:t>
      </w:r>
      <w:r>
        <w:rPr>
          <w:rFonts w:eastAsia="黑体"/>
          <w:sz w:val="24"/>
          <w:szCs w:val="24"/>
        </w:rPr>
        <w:t xml:space="preserve"> 氧气安全数据表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中文名：氧气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英文名：oxygen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CAS号：7782-44-7</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2528</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w:t>
            </w:r>
          </w:p>
          <w:p>
            <w:pPr>
              <w:spacing w:line="260" w:lineRule="exact"/>
              <w:rPr>
                <w:rFonts w:ascii="宋体" w:hAnsi="宋体"/>
                <w:szCs w:val="21"/>
              </w:rPr>
            </w:pPr>
            <w:r>
              <w:rPr>
                <w:rFonts w:ascii="宋体" w:hAnsi="宋体"/>
                <w:szCs w:val="21"/>
              </w:rPr>
              <w:t>1.14（-183℃）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饱和蒸汽压(kPa)：506.62（-164℃）</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1.43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熔点：-218.8</w:t>
            </w:r>
          </w:p>
        </w:tc>
        <w:tc>
          <w:tcPr>
            <w:tcW w:w="4076" w:type="dxa"/>
            <w:gridSpan w:val="5"/>
            <w:noWrap w:val="0"/>
            <w:vAlign w:val="center"/>
          </w:tcPr>
          <w:p>
            <w:pPr>
              <w:spacing w:line="260" w:lineRule="exact"/>
              <w:rPr>
                <w:rFonts w:ascii="宋体" w:hAnsi="宋体"/>
                <w:szCs w:val="21"/>
              </w:rPr>
            </w:pPr>
            <w:r>
              <w:rPr>
                <w:rFonts w:ascii="宋体" w:hAnsi="宋体"/>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燃烧分解产物：无数据</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稳定性：无数据</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聚合危害：无数据</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危险性类别：第2.2类 不燃气体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危险货物包装标志：无数据</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身体防护：穿一般作业工作服。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bookmarkStart w:id="148" w:name="_Toc321298550"/>
    </w:p>
    <w:p>
      <w:pPr>
        <w:pStyle w:val="8"/>
        <w:spacing w:line="360" w:lineRule="auto"/>
        <w:ind w:firstLine="0" w:firstLineChars="0"/>
        <w:outlineLvl w:val="2"/>
        <w:rPr>
          <w:rFonts w:hint="eastAsia" w:ascii="宋体" w:hAnsi="宋体"/>
          <w:b/>
          <w:snapToGrid w:val="0"/>
          <w:kern w:val="0"/>
          <w:sz w:val="28"/>
          <w:szCs w:val="28"/>
          <w:lang w:val="en-US" w:eastAsia="zh-CN"/>
        </w:rPr>
      </w:pPr>
      <w:bookmarkStart w:id="149" w:name="_Toc475363998"/>
      <w:bookmarkStart w:id="150" w:name="_Toc515659435"/>
      <w:bookmarkStart w:id="151" w:name="_Toc513735552"/>
      <w:bookmarkStart w:id="152" w:name="_Toc19034"/>
      <w:r>
        <w:rPr>
          <w:rFonts w:hint="eastAsia" w:ascii="宋体" w:hAnsi="宋体"/>
          <w:b/>
          <w:snapToGrid w:val="0"/>
          <w:kern w:val="0"/>
          <w:sz w:val="28"/>
          <w:szCs w:val="28"/>
          <w:lang w:val="en-US" w:eastAsia="zh-CN"/>
        </w:rPr>
        <w:t>3.4.8 乙炔安全数据表</w:t>
      </w:r>
      <w:bookmarkEnd w:id="148"/>
      <w:bookmarkEnd w:id="149"/>
      <w:bookmarkEnd w:id="150"/>
      <w:bookmarkEnd w:id="151"/>
      <w:bookmarkEnd w:id="152"/>
    </w:p>
    <w:p>
      <w:pPr>
        <w:pStyle w:val="32"/>
        <w:rPr>
          <w:rFonts w:eastAsia="黑体"/>
          <w:sz w:val="24"/>
          <w:szCs w:val="24"/>
        </w:rPr>
      </w:pPr>
      <w:r>
        <w:rPr>
          <w:rFonts w:hint="eastAsia" w:eastAsia="黑体"/>
          <w:sz w:val="24"/>
          <w:szCs w:val="24"/>
        </w:rPr>
        <w:t>表</w:t>
      </w:r>
      <w:r>
        <w:rPr>
          <w:rFonts w:eastAsia="黑体"/>
          <w:sz w:val="24"/>
          <w:szCs w:val="24"/>
        </w:rPr>
        <w:t>3-</w:t>
      </w:r>
      <w:r>
        <w:rPr>
          <w:rFonts w:hint="eastAsia" w:eastAsia="黑体"/>
          <w:sz w:val="24"/>
          <w:szCs w:val="24"/>
        </w:rPr>
        <w:t>3</w:t>
      </w:r>
      <w:r>
        <w:rPr>
          <w:rFonts w:eastAsia="黑体"/>
          <w:sz w:val="24"/>
          <w:szCs w:val="24"/>
        </w:rPr>
        <w:t xml:space="preserve"> 乙炔安全数据表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 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中文名：乙炔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英文名：acetylene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CAS号：74-86-2</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2629</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相对密度(水=1)：0.62</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饱和蒸汽压(kPa)：4053（16.8℃）</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0.91</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熔点：-81.8（119kPa）</w:t>
            </w:r>
          </w:p>
        </w:tc>
        <w:tc>
          <w:tcPr>
            <w:tcW w:w="4076" w:type="dxa"/>
            <w:gridSpan w:val="5"/>
            <w:noWrap w:val="0"/>
            <w:vAlign w:val="center"/>
          </w:tcPr>
          <w:p>
            <w:pPr>
              <w:spacing w:line="260" w:lineRule="exact"/>
              <w:rPr>
                <w:rFonts w:ascii="宋体" w:hAnsi="宋体"/>
                <w:szCs w:val="21"/>
              </w:rPr>
            </w:pPr>
            <w:r>
              <w:rPr>
                <w:rFonts w:ascii="宋体" w:hAnsi="宋体"/>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燃烧分解产物：一氧化碳、二氧化碳。</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稳定性：稳定</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危险性类别：第2.1类 易燃气体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9"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危险货物包装标志：易燃气体</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spacing w:line="260" w:lineRule="exact"/>
              <w:rPr>
                <w:rFonts w:ascii="宋体" w:hAnsi="宋体"/>
                <w:szCs w:val="21"/>
              </w:rPr>
            </w:pPr>
            <w:r>
              <w:rPr>
                <w:rFonts w:ascii="宋体" w:hAnsi="宋体"/>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身体防护：穿防静电工作服。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
      <w:pPr>
        <w:pStyle w:val="8"/>
        <w:spacing w:line="360" w:lineRule="auto"/>
        <w:ind w:firstLine="0" w:firstLineChars="0"/>
        <w:outlineLvl w:val="1"/>
        <w:rPr>
          <w:rFonts w:hint="eastAsia" w:ascii="黑体" w:eastAsia="黑体"/>
          <w:b/>
          <w:snapToGrid w:val="0"/>
          <w:kern w:val="0"/>
          <w:sz w:val="32"/>
          <w:szCs w:val="32"/>
        </w:rPr>
      </w:pPr>
      <w:bookmarkStart w:id="153" w:name="_Toc515659436"/>
      <w:bookmarkStart w:id="154" w:name="_Toc10771"/>
      <w:r>
        <w:rPr>
          <w:rFonts w:hint="eastAsia" w:ascii="黑体" w:eastAsia="黑体"/>
          <w:b/>
          <w:snapToGrid w:val="0"/>
          <w:kern w:val="0"/>
          <w:sz w:val="32"/>
          <w:szCs w:val="32"/>
        </w:rPr>
        <w:t>3.5 生产过程危险有害因素分析和辨识</w:t>
      </w:r>
      <w:bookmarkEnd w:id="147"/>
      <w:bookmarkEnd w:id="153"/>
      <w:bookmarkEnd w:id="154"/>
    </w:p>
    <w:p>
      <w:pPr>
        <w:pStyle w:val="2"/>
      </w:pPr>
    </w:p>
    <w:p>
      <w:pPr>
        <w:pStyle w:val="8"/>
        <w:spacing w:line="360" w:lineRule="auto"/>
        <w:ind w:firstLine="0" w:firstLineChars="0"/>
        <w:outlineLvl w:val="1"/>
        <w:rPr>
          <w:rFonts w:hint="eastAsia" w:ascii="黑体" w:eastAsia="黑体"/>
          <w:b/>
          <w:snapToGrid w:val="0"/>
          <w:kern w:val="0"/>
          <w:sz w:val="32"/>
          <w:szCs w:val="32"/>
        </w:rPr>
      </w:pPr>
      <w:bookmarkStart w:id="155" w:name="_Toc356401492"/>
      <w:bookmarkStart w:id="156" w:name="_Toc514342847"/>
      <w:bookmarkStart w:id="157" w:name="_Toc345593160"/>
      <w:bookmarkStart w:id="158" w:name="_Toc480804395"/>
      <w:bookmarkStart w:id="159" w:name="_Toc356380979"/>
      <w:bookmarkStart w:id="160" w:name="_Toc332350851"/>
      <w:bookmarkStart w:id="161" w:name="_Toc14671"/>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5 生产过程危险有害因素分析和辨识</w:t>
      </w:r>
      <w:bookmarkEnd w:id="155"/>
      <w:bookmarkEnd w:id="156"/>
      <w:bookmarkEnd w:id="157"/>
      <w:bookmarkEnd w:id="158"/>
      <w:bookmarkEnd w:id="159"/>
      <w:bookmarkEnd w:id="160"/>
      <w:bookmarkEnd w:id="161"/>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根据现场检查及工艺过程分析，生产过程中危险有害因素分为：</w:t>
      </w:r>
    </w:p>
    <w:p>
      <w:pPr>
        <w:pStyle w:val="8"/>
        <w:spacing w:line="360" w:lineRule="auto"/>
        <w:ind w:firstLine="0" w:firstLineChars="0"/>
        <w:outlineLvl w:val="2"/>
        <w:rPr>
          <w:rFonts w:hint="eastAsia" w:ascii="宋体" w:hAnsi="宋体"/>
          <w:b/>
          <w:snapToGrid w:val="0"/>
          <w:kern w:val="0"/>
          <w:sz w:val="28"/>
          <w:szCs w:val="28"/>
        </w:rPr>
      </w:pPr>
      <w:bookmarkStart w:id="162" w:name="_Toc332350854"/>
      <w:bookmarkStart w:id="163" w:name="_Toc480804396"/>
      <w:bookmarkStart w:id="164" w:name="_Toc356380982"/>
      <w:bookmarkStart w:id="165" w:name="_Toc514342848"/>
      <w:bookmarkStart w:id="166" w:name="_Toc6932"/>
      <w:bookmarkStart w:id="167" w:name="_Toc356401493"/>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5.1 车辆事故</w:t>
      </w:r>
      <w:bookmarkEnd w:id="162"/>
      <w:bookmarkEnd w:id="163"/>
      <w:bookmarkEnd w:id="164"/>
      <w:bookmarkEnd w:id="165"/>
      <w:bookmarkEnd w:id="166"/>
      <w:bookmarkEnd w:id="167"/>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车辆伤害事故指企业机动车辆在行驶中引起的人体坠落和物体倒塌、坠落、挤压伤亡事故。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车辆伤害事故的主要原因有</w:t>
      </w:r>
      <w:r>
        <w:rPr>
          <w:rFonts w:ascii="宋体" w:hAnsi="宋体"/>
          <w:snapToGrid w:val="0"/>
          <w:kern w:val="0"/>
          <w:sz w:val="28"/>
          <w:szCs w:val="28"/>
        </w:rPr>
        <w:t>:</w:t>
      </w:r>
      <w:r>
        <w:rPr>
          <w:rFonts w:hint="eastAsia" w:ascii="宋体" w:hAnsi="宋体"/>
          <w:snapToGrid w:val="0"/>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企业可能发生的车辆伤害事故：矿车行驶中撞击或挤压到人员；人员从行驶中的车辆上坠落；挖掘设备给矿车装过大的大块或矿车装料时由于停放处坑洼不平等造成矿车翻倒事故；交叉路口或超车或会车时发生车辆相撞事故；矿车倒车排废时由于车上的大块卡住车斗或操作不当或发生滑坡、塌方造成矿车翻下山；矿车行驶中轮胎</w:t>
      </w:r>
      <w:r>
        <w:rPr>
          <w:rFonts w:ascii="宋体" w:hAnsi="宋体"/>
          <w:snapToGrid w:val="0"/>
          <w:kern w:val="0"/>
          <w:sz w:val="28"/>
          <w:szCs w:val="28"/>
        </w:rPr>
        <w:t>"</w:t>
      </w:r>
      <w:r>
        <w:rPr>
          <w:rFonts w:hint="eastAsia" w:ascii="宋体" w:hAnsi="宋体"/>
          <w:snapToGrid w:val="0"/>
          <w:kern w:val="0"/>
          <w:sz w:val="28"/>
          <w:szCs w:val="28"/>
        </w:rPr>
        <w:t>突爆</w:t>
      </w:r>
      <w:r>
        <w:rPr>
          <w:rFonts w:ascii="宋体" w:hAnsi="宋体"/>
          <w:snapToGrid w:val="0"/>
          <w:kern w:val="0"/>
          <w:sz w:val="28"/>
          <w:szCs w:val="28"/>
        </w:rPr>
        <w:t>"</w:t>
      </w:r>
      <w:r>
        <w:rPr>
          <w:rFonts w:hint="eastAsia" w:ascii="宋体" w:hAnsi="宋体"/>
          <w:snapToGrid w:val="0"/>
          <w:kern w:val="0"/>
          <w:sz w:val="28"/>
          <w:szCs w:val="28"/>
        </w:rPr>
        <w:t>造成翻车等事故的发生；挖掘设备上下坡或在坡上作业时发生倾倒事故；挖掘设备回转过程中或卸料时铲斗碰到矿车驾驶室或其它部位造成事故。</w:t>
      </w:r>
    </w:p>
    <w:p>
      <w:pPr>
        <w:spacing w:line="360" w:lineRule="auto"/>
        <w:ind w:firstLine="560" w:firstLineChars="200"/>
        <w:rPr>
          <w:rFonts w:hint="eastAsia"/>
          <w:sz w:val="28"/>
          <w:szCs w:val="28"/>
        </w:rPr>
      </w:pPr>
      <w:r>
        <w:rPr>
          <w:rFonts w:hint="eastAsia"/>
          <w:sz w:val="28"/>
          <w:szCs w:val="28"/>
        </w:rPr>
        <w:t>砖瓦厂在原料（泥土、煤渣）运输堆积、半成品及成品砖运输等过程中，各种车辆来往频繁。车辆的装载和驾驶、车辆及驾驶员的管理等方面的缺陷均可能引发车辆伤害事故。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车辆伤害后果是人员的伤亡和设备物品的损毁。</w:t>
      </w:r>
    </w:p>
    <w:p>
      <w:pPr>
        <w:pStyle w:val="8"/>
        <w:spacing w:line="360" w:lineRule="auto"/>
        <w:ind w:firstLine="0" w:firstLineChars="0"/>
        <w:outlineLvl w:val="2"/>
        <w:rPr>
          <w:rFonts w:hint="eastAsia" w:ascii="宋体" w:hAnsi="宋体"/>
          <w:b/>
          <w:snapToGrid w:val="0"/>
          <w:kern w:val="0"/>
          <w:sz w:val="28"/>
          <w:szCs w:val="28"/>
        </w:rPr>
      </w:pPr>
      <w:bookmarkStart w:id="168" w:name="_Toc356380983"/>
      <w:bookmarkStart w:id="169" w:name="_Toc332350855"/>
      <w:bookmarkStart w:id="170" w:name="_Toc514342849"/>
      <w:bookmarkStart w:id="171" w:name="_Toc480804397"/>
      <w:bookmarkStart w:id="172" w:name="_Toc14148"/>
      <w:bookmarkStart w:id="173" w:name="_Toc35640149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5.2 机械</w:t>
      </w:r>
      <w:bookmarkEnd w:id="168"/>
      <w:bookmarkEnd w:id="169"/>
      <w:r>
        <w:rPr>
          <w:rFonts w:hint="eastAsia" w:ascii="宋体" w:hAnsi="宋体"/>
          <w:b/>
          <w:snapToGrid w:val="0"/>
          <w:kern w:val="0"/>
          <w:sz w:val="28"/>
          <w:szCs w:val="28"/>
        </w:rPr>
        <w:t>伤害</w:t>
      </w:r>
      <w:bookmarkEnd w:id="170"/>
      <w:bookmarkEnd w:id="171"/>
      <w:bookmarkEnd w:id="172"/>
      <w:bookmarkEnd w:id="173"/>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机械伤害事故是指机械设备运动</w:t>
      </w:r>
      <w:r>
        <w:rPr>
          <w:rFonts w:ascii="宋体" w:hAnsi="宋体"/>
          <w:snapToGrid w:val="0"/>
          <w:kern w:val="0"/>
          <w:sz w:val="28"/>
          <w:szCs w:val="28"/>
        </w:rPr>
        <w:t>(</w:t>
      </w:r>
      <w:r>
        <w:rPr>
          <w:rFonts w:hint="eastAsia" w:ascii="宋体" w:hAnsi="宋体"/>
          <w:snapToGrid w:val="0"/>
          <w:kern w:val="0"/>
          <w:sz w:val="28"/>
          <w:szCs w:val="28"/>
        </w:rPr>
        <w:t>静止</w:t>
      </w:r>
      <w:r>
        <w:rPr>
          <w:rFonts w:ascii="宋体" w:hAnsi="宋体"/>
          <w:snapToGrid w:val="0"/>
          <w:kern w:val="0"/>
          <w:sz w:val="28"/>
          <w:szCs w:val="28"/>
        </w:rPr>
        <w:t>)</w:t>
      </w:r>
      <w:r>
        <w:rPr>
          <w:rFonts w:hint="eastAsia" w:ascii="宋体" w:hAnsi="宋体"/>
          <w:snapToGrid w:val="0"/>
          <w:kern w:val="0"/>
          <w:sz w:val="28"/>
          <w:szCs w:val="28"/>
        </w:rPr>
        <w:t>部件、工具、加工件直接与人体接触引起的夹击、碰撞、剪切、卷人、绞、碾、割、刺等伤害，不包括车辆、起重机械引起的机械伤害。</w:t>
      </w:r>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机械伤害事故产生的主要原因</w:t>
      </w:r>
      <w:r>
        <w:rPr>
          <w:rFonts w:ascii="宋体" w:hAnsi="宋体"/>
          <w:snapToGrid w:val="0"/>
          <w:kern w:val="0"/>
          <w:sz w:val="28"/>
          <w:szCs w:val="28"/>
        </w:rPr>
        <w:t>:</w:t>
      </w:r>
      <w:r>
        <w:rPr>
          <w:rFonts w:hint="eastAsia" w:ascii="宋体" w:hAnsi="宋体"/>
          <w:snapToGrid w:val="0"/>
          <w:kern w:val="0"/>
          <w:sz w:val="28"/>
          <w:szCs w:val="28"/>
        </w:rPr>
        <w:t>①指挥人员违章指挥，操作人员违章操作；②机械设备安全防护装置缺乏或防护装置失效等，导致事故发生；③安全管理上存在不足；④场地及运输道路缺陷；⑤意外因素影响</w:t>
      </w:r>
      <w:r>
        <w:rPr>
          <w:rFonts w:ascii="宋体" w:hAnsi="宋体"/>
          <w:snapToGrid w:val="0"/>
          <w:kern w:val="0"/>
          <w:sz w:val="28"/>
          <w:szCs w:val="28"/>
        </w:rPr>
        <w:t>:</w:t>
      </w:r>
      <w:r>
        <w:rPr>
          <w:rFonts w:hint="eastAsia" w:ascii="宋体" w:hAnsi="宋体"/>
          <w:snapToGrid w:val="0"/>
          <w:kern w:val="0"/>
          <w:sz w:val="28"/>
          <w:szCs w:val="28"/>
        </w:rPr>
        <w:t>如在检修和正常工作时，机器突然被别人随意启动，导致事故发生；⑥在不安全的机械上停留、休息，导致事故发生等。</w:t>
      </w:r>
    </w:p>
    <w:p>
      <w:pPr>
        <w:spacing w:line="360" w:lineRule="auto"/>
        <w:ind w:firstLine="515" w:firstLineChars="184"/>
        <w:rPr>
          <w:rFonts w:hint="eastAsia" w:ascii="宋体" w:hAnsi="宋体"/>
          <w:bCs/>
          <w:snapToGrid w:val="0"/>
          <w:kern w:val="0"/>
          <w:sz w:val="28"/>
          <w:szCs w:val="28"/>
        </w:rPr>
      </w:pPr>
      <w:r>
        <w:rPr>
          <w:rFonts w:hint="eastAsia" w:ascii="宋体" w:hAnsi="宋体"/>
          <w:snapToGrid w:val="0"/>
          <w:kern w:val="0"/>
          <w:sz w:val="28"/>
          <w:szCs w:val="28"/>
        </w:rPr>
        <w:t>机械伤害的主要后果是造成人员伤亡，其次是对物件的损坏。</w:t>
      </w:r>
      <w:r>
        <w:rPr>
          <w:rFonts w:ascii="宋体" w:hAnsi="宋体"/>
          <w:bCs/>
          <w:snapToGrid w:val="0"/>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pPr>
        <w:spacing w:line="360" w:lineRule="auto"/>
        <w:ind w:firstLine="515" w:firstLineChars="184"/>
        <w:rPr>
          <w:rFonts w:hint="eastAsia" w:ascii="宋体" w:hAnsi="宋体"/>
          <w:snapToGrid w:val="0"/>
          <w:kern w:val="0"/>
          <w:sz w:val="28"/>
          <w:szCs w:val="28"/>
        </w:rPr>
      </w:pPr>
      <w:r>
        <w:rPr>
          <w:rFonts w:hint="eastAsia" w:ascii="宋体" w:hAnsi="宋体"/>
          <w:snapToGrid w:val="0"/>
          <w:kern w:val="0"/>
          <w:sz w:val="28"/>
          <w:szCs w:val="28"/>
        </w:rPr>
        <w:t>砖瓦厂在泥土破碎、运输、搅拌、挤压成型、截条、切条等过程中涉及到机械设备，某些设备的转动部件、移动部件等若缺乏良好的防护设施或防护设施有缺陷、操作错误等，均可能造成人身伤害。若没有配备或正确穿戴必需的劳动防护用品时，也可能造成机械伤害。</w:t>
      </w:r>
    </w:p>
    <w:p>
      <w:pPr>
        <w:pStyle w:val="8"/>
        <w:spacing w:line="360" w:lineRule="auto"/>
        <w:ind w:firstLine="0" w:firstLineChars="0"/>
        <w:outlineLvl w:val="2"/>
        <w:rPr>
          <w:rFonts w:hint="eastAsia" w:ascii="宋体" w:hAnsi="宋体"/>
          <w:b/>
          <w:snapToGrid w:val="0"/>
          <w:kern w:val="0"/>
          <w:sz w:val="28"/>
          <w:szCs w:val="28"/>
        </w:rPr>
      </w:pPr>
      <w:bookmarkStart w:id="174" w:name="_Toc480804398"/>
      <w:bookmarkStart w:id="175" w:name="_Toc3690"/>
      <w:bookmarkStart w:id="176" w:name="_Toc514342850"/>
      <w:bookmarkStart w:id="177" w:name="_Toc356401495"/>
      <w:bookmarkStart w:id="178" w:name="_Toc35078109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5.3</w:t>
      </w:r>
      <w:r>
        <w:rPr>
          <w:rFonts w:ascii="宋体" w:hAnsi="宋体"/>
          <w:b/>
          <w:snapToGrid w:val="0"/>
          <w:kern w:val="0"/>
          <w:sz w:val="28"/>
          <w:szCs w:val="28"/>
        </w:rPr>
        <w:t xml:space="preserve"> 触电</w:t>
      </w:r>
      <w:r>
        <w:rPr>
          <w:rFonts w:hint="eastAsia" w:ascii="宋体" w:hAnsi="宋体"/>
          <w:b/>
          <w:snapToGrid w:val="0"/>
          <w:kern w:val="0"/>
          <w:sz w:val="28"/>
          <w:szCs w:val="28"/>
        </w:rPr>
        <w:t>事故</w:t>
      </w:r>
      <w:bookmarkEnd w:id="174"/>
      <w:bookmarkEnd w:id="175"/>
      <w:bookmarkEnd w:id="176"/>
      <w:bookmarkEnd w:id="177"/>
      <w:bookmarkEnd w:id="178"/>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触电事故是指由于电流流经人体导致的生理伤害，包括雷击伤亡事故。</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触电伤害产生的主要原因：①电气线路或电气设备在设计、安装上存在缺陷，或在运行中缺乏必要的检修维护；②没有设置必要的安全技术措施</w:t>
      </w:r>
      <w:r>
        <w:rPr>
          <w:rFonts w:ascii="宋体" w:hAnsi="宋体"/>
          <w:bCs/>
          <w:snapToGrid w:val="0"/>
          <w:kern w:val="0"/>
          <w:sz w:val="28"/>
          <w:szCs w:val="28"/>
        </w:rPr>
        <w:t>(</w:t>
      </w:r>
      <w:r>
        <w:rPr>
          <w:rFonts w:hint="eastAsia" w:ascii="宋体" w:hAnsi="宋体"/>
          <w:bCs/>
          <w:snapToGrid w:val="0"/>
          <w:kern w:val="0"/>
          <w:sz w:val="28"/>
          <w:szCs w:val="28"/>
        </w:rPr>
        <w:t>如保护接零、漏电保护、安全电压等</w:t>
      </w:r>
      <w:r>
        <w:rPr>
          <w:rFonts w:ascii="宋体" w:hAnsi="宋体"/>
          <w:bCs/>
          <w:snapToGrid w:val="0"/>
          <w:kern w:val="0"/>
          <w:sz w:val="28"/>
          <w:szCs w:val="28"/>
        </w:rPr>
        <w:t>)</w:t>
      </w:r>
      <w:r>
        <w:rPr>
          <w:rFonts w:hint="eastAsia" w:ascii="宋体" w:hAnsi="宋体"/>
          <w:bCs/>
          <w:snapToGrid w:val="0"/>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可能存在的触电场所有</w:t>
      </w:r>
      <w:r>
        <w:rPr>
          <w:rFonts w:ascii="宋体" w:hAnsi="宋体"/>
          <w:bCs/>
          <w:snapToGrid w:val="0"/>
          <w:kern w:val="0"/>
          <w:sz w:val="28"/>
          <w:szCs w:val="28"/>
        </w:rPr>
        <w:t>:</w:t>
      </w:r>
      <w:r>
        <w:rPr>
          <w:rFonts w:hint="eastAsia" w:ascii="宋体" w:hAnsi="宋体"/>
          <w:bCs/>
          <w:snapToGrid w:val="0"/>
          <w:kern w:val="0"/>
          <w:sz w:val="28"/>
          <w:szCs w:val="28"/>
        </w:rPr>
        <w:t>地面变压器、配电线路以及在生产过程中使用的各种电气设备、动力设备采用闸刀直接起动的设备、手持电动设备、照明线路及照明器具等。</w:t>
      </w:r>
    </w:p>
    <w:p>
      <w:pPr>
        <w:spacing w:line="360" w:lineRule="auto"/>
        <w:ind w:firstLine="560" w:firstLineChars="200"/>
        <w:rPr>
          <w:rFonts w:hint="eastAsia" w:ascii="宋体" w:hAnsi="宋体"/>
          <w:bCs/>
          <w:snapToGrid w:val="0"/>
          <w:kern w:val="0"/>
          <w:sz w:val="28"/>
          <w:szCs w:val="28"/>
        </w:rPr>
      </w:pPr>
      <w:r>
        <w:rPr>
          <w:rFonts w:hint="eastAsia" w:ascii="宋体" w:hAnsi="宋体"/>
          <w:bCs/>
          <w:snapToGrid w:val="0"/>
          <w:kern w:val="0"/>
          <w:sz w:val="28"/>
          <w:szCs w:val="28"/>
        </w:rPr>
        <w:t>触电伤害的后果是直接造成人员伤亡事故。</w:t>
      </w:r>
    </w:p>
    <w:p>
      <w:pPr>
        <w:pStyle w:val="8"/>
        <w:spacing w:line="360" w:lineRule="auto"/>
        <w:ind w:firstLine="0" w:firstLineChars="0"/>
        <w:outlineLvl w:val="2"/>
        <w:rPr>
          <w:rFonts w:hint="eastAsia" w:ascii="宋体" w:hAnsi="宋体"/>
          <w:b/>
          <w:snapToGrid w:val="0"/>
          <w:kern w:val="0"/>
          <w:sz w:val="28"/>
          <w:szCs w:val="28"/>
        </w:rPr>
      </w:pPr>
      <w:bookmarkStart w:id="179" w:name="_Toc332350857"/>
      <w:bookmarkStart w:id="180" w:name="_Toc356380985"/>
      <w:bookmarkStart w:id="181" w:name="_Toc480804399"/>
      <w:bookmarkStart w:id="182" w:name="_Toc30025"/>
      <w:bookmarkStart w:id="183" w:name="_Toc356401496"/>
      <w:bookmarkStart w:id="184" w:name="_Toc51434285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5.4 高处坠落</w:t>
      </w:r>
      <w:bookmarkEnd w:id="179"/>
      <w:bookmarkEnd w:id="180"/>
      <w:bookmarkEnd w:id="181"/>
      <w:bookmarkEnd w:id="182"/>
      <w:bookmarkEnd w:id="183"/>
      <w:bookmarkEnd w:id="184"/>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高处坠落指在高处作业中发生坠落造成的伤亡事故，不包括触电坠落事故。</w:t>
      </w:r>
      <w:r>
        <w:rPr>
          <w:rFonts w:ascii="宋体" w:hAnsi="宋体"/>
          <w:bCs/>
          <w:snapToGrid w:val="0"/>
          <w:kern w:val="0"/>
          <w:sz w:val="28"/>
          <w:szCs w:val="28"/>
        </w:rPr>
        <w:t>高处坠落主要包括：采场顶部的高处坠落，检修安装设备时的高处坠落，人员行进中的意外滑倒等，增加防护装置是预防事故发生的重要措施。</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造成高处坠落的主要原因有：①没有按要求使用安全带、安全索；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阴雨、积雪可引起料堆、砖坯堆垛坍方；料场土堆高3米，在堆料、喂料过程中土堆可能发生坍塌；料场打堆车道宽6米、坡度25°，在往高处打堆时，由于料堆松软，有可能造成运输机械侧翻、被掩埋的潜在危险，同时现场作业人员或外来人员有被压埋的潜在危险。同时，窑炉和烟囱在进行相关作业时，也存在坍塌和高处坠落的危险。</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高处坠落造成的事故的后果是人员伤亡和设备损坏。</w:t>
      </w:r>
    </w:p>
    <w:bookmarkEnd w:id="110"/>
    <w:p>
      <w:pPr>
        <w:pStyle w:val="8"/>
        <w:spacing w:line="360" w:lineRule="auto"/>
        <w:ind w:firstLine="0" w:firstLineChars="0"/>
        <w:outlineLvl w:val="2"/>
        <w:rPr>
          <w:rFonts w:ascii="宋体" w:hAnsi="宋体"/>
          <w:b/>
          <w:snapToGrid w:val="0"/>
          <w:kern w:val="0"/>
          <w:sz w:val="28"/>
          <w:szCs w:val="28"/>
        </w:rPr>
      </w:pPr>
      <w:bookmarkStart w:id="185" w:name="_Toc350781096"/>
      <w:bookmarkStart w:id="186" w:name="_Toc28008"/>
      <w:bookmarkStart w:id="187" w:name="_Toc356401497"/>
      <w:bookmarkStart w:id="188" w:name="_Toc480804400"/>
      <w:bookmarkStart w:id="189" w:name="_Toc51434285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rPr>
        <w:t>5</w:t>
      </w:r>
      <w:r>
        <w:rPr>
          <w:rFonts w:ascii="宋体" w:hAnsi="宋体"/>
          <w:b/>
          <w:snapToGrid w:val="0"/>
          <w:kern w:val="0"/>
          <w:sz w:val="28"/>
          <w:szCs w:val="28"/>
        </w:rPr>
        <w:t xml:space="preserve"> 物体打击</w:t>
      </w:r>
      <w:bookmarkEnd w:id="185"/>
      <w:bookmarkEnd w:id="186"/>
      <w:bookmarkEnd w:id="187"/>
      <w:bookmarkEnd w:id="188"/>
      <w:bookmarkEnd w:id="189"/>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物体打击事故是指物体在重力或其它外力的作用下产生运动，打击人体造成人身伤亡事故，不包括因机械设备、车辆、起重机械、坍塌等引发的物体打击。</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造成物体打击的主要原因有</w:t>
      </w:r>
      <w:r>
        <w:rPr>
          <w:rFonts w:ascii="宋体" w:hAnsi="宋体"/>
          <w:snapToGrid w:val="0"/>
          <w:kern w:val="0"/>
          <w:sz w:val="28"/>
          <w:szCs w:val="28"/>
        </w:rPr>
        <w:t>:</w:t>
      </w:r>
      <w:r>
        <w:rPr>
          <w:rFonts w:hint="eastAsia" w:ascii="宋体" w:hAnsi="宋体"/>
          <w:snapToGrid w:val="0"/>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可能发生的物体打击事故：拆卸设备部件时敲打工具造成工具强出伤人；高空作业时，由于工具、托辊、零件、砖瓦、木块等物不慎从高处掉落伤人或乱扔废物、杂物击中他人；</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一旦遭受物体打击其后果是人员的伤亡和物品的损毁。</w:t>
      </w:r>
    </w:p>
    <w:p>
      <w:pPr>
        <w:pStyle w:val="8"/>
        <w:spacing w:line="360" w:lineRule="auto"/>
        <w:ind w:firstLine="0" w:firstLineChars="0"/>
        <w:outlineLvl w:val="2"/>
        <w:rPr>
          <w:rFonts w:hint="eastAsia" w:ascii="宋体" w:hAnsi="宋体"/>
          <w:b/>
          <w:snapToGrid w:val="0"/>
          <w:kern w:val="0"/>
          <w:sz w:val="28"/>
          <w:szCs w:val="28"/>
        </w:rPr>
      </w:pPr>
      <w:bookmarkStart w:id="190" w:name="_Toc350781100"/>
      <w:bookmarkStart w:id="191" w:name="_Toc356401498"/>
      <w:bookmarkStart w:id="192" w:name="_Toc514342853"/>
      <w:bookmarkStart w:id="193" w:name="_Toc27074"/>
      <w:bookmarkStart w:id="194" w:name="_Toc48080440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5.6 火灾</w:t>
      </w:r>
      <w:bookmarkEnd w:id="190"/>
      <w:r>
        <w:rPr>
          <w:rFonts w:hint="eastAsia" w:ascii="宋体" w:hAnsi="宋体"/>
          <w:b/>
          <w:snapToGrid w:val="0"/>
          <w:kern w:val="0"/>
          <w:sz w:val="28"/>
          <w:szCs w:val="28"/>
        </w:rPr>
        <w:t>事故</w:t>
      </w:r>
      <w:bookmarkEnd w:id="191"/>
      <w:bookmarkEnd w:id="192"/>
      <w:bookmarkEnd w:id="193"/>
      <w:bookmarkEnd w:id="194"/>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火灾是指企业内所发生的火灾。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火灾事故产生的主要原因</w:t>
      </w:r>
      <w:r>
        <w:rPr>
          <w:rFonts w:ascii="宋体" w:hAnsi="宋体"/>
          <w:snapToGrid w:val="0"/>
          <w:kern w:val="0"/>
          <w:sz w:val="28"/>
          <w:szCs w:val="28"/>
        </w:rPr>
        <w:t>:</w:t>
      </w:r>
      <w:r>
        <w:rPr>
          <w:rFonts w:hint="eastAsia" w:ascii="宋体" w:hAnsi="宋体"/>
          <w:snapToGrid w:val="0"/>
          <w:kern w:val="0"/>
          <w:sz w:val="28"/>
          <w:szCs w:val="28"/>
        </w:rPr>
        <w:t>①明火</w:t>
      </w:r>
      <w:r>
        <w:rPr>
          <w:rFonts w:ascii="宋体" w:hAnsi="宋体"/>
          <w:snapToGrid w:val="0"/>
          <w:kern w:val="0"/>
          <w:sz w:val="28"/>
          <w:szCs w:val="28"/>
        </w:rPr>
        <w:t>(</w:t>
      </w:r>
      <w:r>
        <w:rPr>
          <w:rFonts w:hint="eastAsia" w:ascii="宋体" w:hAnsi="宋体"/>
          <w:snapToGrid w:val="0"/>
          <w:kern w:val="0"/>
          <w:sz w:val="28"/>
          <w:szCs w:val="28"/>
        </w:rPr>
        <w:t>包括火柴点火、吸烟、电焊、气焊、明火灯等</w:t>
      </w:r>
      <w:r>
        <w:rPr>
          <w:rFonts w:ascii="宋体" w:hAnsi="宋体"/>
          <w:snapToGrid w:val="0"/>
          <w:kern w:val="0"/>
          <w:sz w:val="28"/>
          <w:szCs w:val="28"/>
        </w:rPr>
        <w:t>)</w:t>
      </w:r>
      <w:r>
        <w:rPr>
          <w:rFonts w:hint="eastAsia" w:ascii="宋体" w:hAnsi="宋体"/>
          <w:snapToGrid w:val="0"/>
          <w:kern w:val="0"/>
          <w:sz w:val="28"/>
          <w:szCs w:val="28"/>
        </w:rPr>
        <w:t>所引燃；②油料</w:t>
      </w:r>
      <w:r>
        <w:rPr>
          <w:rFonts w:ascii="宋体" w:hAnsi="宋体"/>
          <w:snapToGrid w:val="0"/>
          <w:kern w:val="0"/>
          <w:sz w:val="28"/>
          <w:szCs w:val="28"/>
        </w:rPr>
        <w:t>(</w:t>
      </w:r>
      <w:r>
        <w:rPr>
          <w:rFonts w:hint="eastAsia" w:ascii="宋体" w:hAnsi="宋体"/>
          <w:snapToGrid w:val="0"/>
          <w:kern w:val="0"/>
          <w:sz w:val="28"/>
          <w:szCs w:val="28"/>
        </w:rPr>
        <w:t>润滑油、变压器油、液压设备用油、柴油设备用油、维修设备用油等</w:t>
      </w:r>
      <w:r>
        <w:rPr>
          <w:rFonts w:ascii="宋体" w:hAnsi="宋体"/>
          <w:snapToGrid w:val="0"/>
          <w:kern w:val="0"/>
          <w:sz w:val="28"/>
          <w:szCs w:val="28"/>
        </w:rPr>
        <w:t>)</w:t>
      </w:r>
      <w:r>
        <w:rPr>
          <w:rFonts w:hint="eastAsia" w:ascii="宋体" w:hAnsi="宋体"/>
          <w:snapToGrid w:val="0"/>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kern w:val="0"/>
          <w:sz w:val="28"/>
          <w:szCs w:val="28"/>
        </w:rPr>
        <w:t>(</w:t>
      </w:r>
      <w:r>
        <w:rPr>
          <w:rFonts w:hint="eastAsia" w:ascii="宋体" w:hAnsi="宋体"/>
          <w:snapToGrid w:val="0"/>
          <w:kern w:val="0"/>
          <w:sz w:val="28"/>
          <w:szCs w:val="28"/>
        </w:rPr>
        <w:t>片</w:t>
      </w:r>
      <w:r>
        <w:rPr>
          <w:rFonts w:ascii="宋体" w:hAnsi="宋体"/>
          <w:snapToGrid w:val="0"/>
          <w:kern w:val="0"/>
          <w:sz w:val="28"/>
          <w:szCs w:val="28"/>
        </w:rPr>
        <w:t>)</w:t>
      </w:r>
      <w:r>
        <w:rPr>
          <w:rFonts w:hint="eastAsia" w:ascii="宋体" w:hAnsi="宋体"/>
          <w:snapToGrid w:val="0"/>
          <w:kern w:val="0"/>
          <w:sz w:val="28"/>
          <w:szCs w:val="28"/>
        </w:rPr>
        <w:t>选用不当，使用铜丝、铝线代替保险丝；⑤油开关及配电箱内油料着火</w:t>
      </w:r>
      <w:r>
        <w:rPr>
          <w:rFonts w:ascii="宋体" w:hAnsi="宋体"/>
          <w:snapToGrid w:val="0"/>
          <w:kern w:val="0"/>
          <w:sz w:val="28"/>
          <w:szCs w:val="28"/>
        </w:rPr>
        <w:t>;</w:t>
      </w:r>
      <w:r>
        <w:rPr>
          <w:rFonts w:hint="eastAsia" w:ascii="宋体" w:hAnsi="宋体"/>
          <w:snapToGrid w:val="0"/>
          <w:kern w:val="0"/>
          <w:sz w:val="28"/>
          <w:szCs w:val="28"/>
        </w:rPr>
        <w:t>⑥机械作用</w:t>
      </w:r>
      <w:r>
        <w:rPr>
          <w:rFonts w:ascii="宋体" w:hAnsi="宋体"/>
          <w:snapToGrid w:val="0"/>
          <w:kern w:val="0"/>
          <w:sz w:val="28"/>
          <w:szCs w:val="28"/>
        </w:rPr>
        <w:t>(</w:t>
      </w:r>
      <w:r>
        <w:rPr>
          <w:rFonts w:hint="eastAsia" w:ascii="宋体" w:hAnsi="宋体"/>
          <w:snapToGrid w:val="0"/>
          <w:kern w:val="0"/>
          <w:sz w:val="28"/>
          <w:szCs w:val="28"/>
        </w:rPr>
        <w:t>包括摩擦、震动冲击等</w:t>
      </w:r>
      <w:r>
        <w:rPr>
          <w:rFonts w:ascii="宋体" w:hAnsi="宋体"/>
          <w:snapToGrid w:val="0"/>
          <w:kern w:val="0"/>
          <w:sz w:val="28"/>
          <w:szCs w:val="28"/>
        </w:rPr>
        <w:t>)</w:t>
      </w:r>
      <w:r>
        <w:rPr>
          <w:rFonts w:hint="eastAsia" w:ascii="宋体" w:hAnsi="宋体"/>
          <w:snapToGrid w:val="0"/>
          <w:kern w:val="0"/>
          <w:sz w:val="28"/>
          <w:szCs w:val="28"/>
        </w:rPr>
        <w:t>所引起。</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火灾可能发生在空压机房、机修车间、综合材料库、变压器等用电部位。</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火灾事故的主要后果是造成人员伤亡和财产损失。</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5" w:name="_Toc359225364"/>
      <w:bookmarkStart w:id="196" w:name="_Toc17858"/>
      <w:bookmarkStart w:id="197" w:name="_Toc413834088"/>
      <w:bookmarkStart w:id="198" w:name="_Toc49601665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hint="eastAsia" w:ascii="宋体" w:hAnsi="宋体"/>
          <w:b/>
          <w:snapToGrid w:val="0"/>
          <w:kern w:val="0"/>
          <w:sz w:val="28"/>
          <w:szCs w:val="28"/>
          <w:lang w:val="en-US" w:eastAsia="zh-CN"/>
        </w:rPr>
        <w:t>7 坍塌</w:t>
      </w:r>
      <w:bookmarkEnd w:id="195"/>
      <w:bookmarkEnd w:id="196"/>
      <w:bookmarkEnd w:id="197"/>
      <w:bookmarkEnd w:id="198"/>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坍塌事故产生的主要原因有：①确定的边坡角不合理；②地质因素对边坡的影响；③岩体中的地下水；④人为因素；⑤风化作用；⑥地震等。坍塌是</w:t>
      </w:r>
      <w:r>
        <w:rPr>
          <w:rFonts w:hint="eastAsia" w:ascii="宋体" w:hAnsi="宋体" w:cs="宋体"/>
          <w:color w:val="auto"/>
          <w:sz w:val="28"/>
          <w:szCs w:val="28"/>
          <w:lang w:eastAsia="zh-CN"/>
        </w:rPr>
        <w:t>砖厂页岩开采</w:t>
      </w:r>
      <w:r>
        <w:rPr>
          <w:rFonts w:hint="eastAsia" w:ascii="宋体" w:hAnsi="宋体" w:cs="宋体"/>
          <w:color w:val="auto"/>
          <w:sz w:val="28"/>
          <w:szCs w:val="28"/>
        </w:rPr>
        <w:t>的主要危险因素之一，发生事故的后果是造成重大人员伤亡和设备、设施损坏，对生产企业造成重大经济损失。</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存在原料堆放、砖坯堆码、成品堆垛等工序。如原料打堆过高，由于料堆松软，有可能造成运输机械侧翻、被掩埋的潜在危险，同时现场作业人员或外来人员有被压埋的潜在危险。工作人员在窑内码坯和成品堆垛过程中，由于砖坯堆放不稳，堆放过高或地基不稳，堆垛码放不符合要求，都可能会引起坯（砖）垛倒塌，发生倒塌伤人、损物等事故。</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99" w:name="_Toc264"/>
      <w:r>
        <w:rPr>
          <w:rFonts w:hint="eastAsia" w:ascii="宋体" w:hAnsi="宋体"/>
          <w:b/>
          <w:snapToGrid w:val="0"/>
          <w:kern w:val="0"/>
          <w:sz w:val="28"/>
          <w:szCs w:val="28"/>
          <w:lang w:val="en-US" w:eastAsia="zh-CN"/>
        </w:rPr>
        <w:t>3.5.8中毒窒息</w:t>
      </w:r>
      <w:bookmarkEnd w:id="199"/>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产生的主要原因：①出窑作业未按规定通风；②烧窑过程燃烧不充分产生有毒气体; ③人员违反规定进入受限空间作业;④窑台边缘安全防护措施未落实,未设警示标识,人员误操作或能见度低引发高空坠落事故。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可能存在的</w:t>
      </w: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场所有:砖窑</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的主要后果是中毒窒息、高处坠落造成人员死亡、人身伤害、经济损失等。事故多发生生产旺季。</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200" w:name="_Toc332350852"/>
      <w:bookmarkStart w:id="201" w:name="_Toc481870967"/>
      <w:bookmarkStart w:id="202" w:name="_Toc515659445"/>
      <w:bookmarkStart w:id="203" w:name="_Toc499478606"/>
      <w:bookmarkStart w:id="204" w:name="_Toc511994834"/>
      <w:bookmarkStart w:id="205" w:name="_Toc23061"/>
      <w:r>
        <w:rPr>
          <w:rFonts w:hint="eastAsia" w:ascii="宋体" w:hAnsi="宋体"/>
          <w:b/>
          <w:snapToGrid w:val="0"/>
          <w:color w:val="FF0000"/>
          <w:kern w:val="0"/>
          <w:sz w:val="28"/>
          <w:szCs w:val="28"/>
          <w:lang w:val="en-US" w:eastAsia="zh-CN"/>
        </w:rPr>
        <w:t>3.5.9高温</w:t>
      </w:r>
      <w:bookmarkEnd w:id="200"/>
      <w:bookmarkEnd w:id="201"/>
      <w:r>
        <w:rPr>
          <w:rFonts w:hint="eastAsia" w:ascii="宋体" w:hAnsi="宋体"/>
          <w:b/>
          <w:snapToGrid w:val="0"/>
          <w:color w:val="FF0000"/>
          <w:kern w:val="0"/>
          <w:sz w:val="28"/>
          <w:szCs w:val="28"/>
          <w:lang w:val="en-US" w:eastAsia="zh-CN"/>
        </w:rPr>
        <w:t>灼烫</w:t>
      </w:r>
      <w:bookmarkEnd w:id="202"/>
      <w:bookmarkEnd w:id="203"/>
      <w:bookmarkEnd w:id="204"/>
      <w:bookmarkEnd w:id="205"/>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在生产工艺中存在烘干窑、隧道窑及高温产品等高温作业环境，作业人员在工作过程中由于劳保用品穿戴不好，违章操作、设备设施故障泄漏或保温失效、检修过程中防护不当以及其它突发事故等原因，均可导致作业人员发生高温烫伤伤害。在烧结时，窑体加煤烧制、成品砖出窑过程中，温度较高，如窑体保温密封不良会产生较强的热辐射，作业人员长期在此环境中易受到高温中暑危害。</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206" w:name="_Toc468870614"/>
      <w:bookmarkStart w:id="207" w:name="_Toc1095"/>
      <w:bookmarkStart w:id="208" w:name="_Toc511994833"/>
      <w:bookmarkStart w:id="209" w:name="_Toc515659444"/>
      <w:r>
        <w:rPr>
          <w:rFonts w:hint="eastAsia" w:ascii="宋体" w:hAnsi="宋体"/>
          <w:b/>
          <w:snapToGrid w:val="0"/>
          <w:color w:val="FF0000"/>
          <w:kern w:val="0"/>
          <w:sz w:val="28"/>
          <w:szCs w:val="28"/>
          <w:lang w:val="en-US" w:eastAsia="zh-CN"/>
        </w:rPr>
        <w:t>3.5.10容器爆炸</w:t>
      </w:r>
      <w:bookmarkEnd w:id="206"/>
      <w:bookmarkEnd w:id="207"/>
      <w:bookmarkEnd w:id="208"/>
      <w:bookmarkEnd w:id="209"/>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公司使用的空压设备配套有压缩空气罐，压缩空气罐属于普通的一类压力容器，压力容器在使用过程中存在压力容器爆炸危险，发生容器爆炸事故的主要原因有：</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(1) 由于设计制造不当造成设备的质量不符合有关规范要求，在运行时发生爆裂，其爆裂的形式有：</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1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①</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韧性爆裂：是压力容器在内部压力下，器壁上产生的应力达到材料强度的极限而断裂的一种破坏形式。引起韧性爆裂的原因大多是：磨损、腐蚀、壁厚减薄、强度不足仍继续运行所致。</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2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②</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脆性爆裂：是容器承受的压力并不高，负荷产生的应力远小于材料屈服极限及明显的变形而突然发生爆裂，其原因是由于温度、应力集中、冲击荷载作用等因素使材料的塑性和韧性下降、材料变脆不能抑制裂纹的结果。</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3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③</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疲劳爆裂：是容器在反复的加压、卸压后，壳体材料长期受到交变载荷的作用，如反复的加压和卸压，开停车或负荷波动幅度大如吸附和再生作业时，导致操作压力波动幅度较大及工作温度周期性的变化的作用而出现的金属疲劳，从而产生的一种爆裂形式。</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4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④</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腐蚀爆裂：是容器壳体由于受到腐蚀介质作用而产生的均匀腐蚀、点腐蚀、晶间腐蚀、应力腐蚀、疲劳腐蚀而引起的爆裂。</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 xml:space="preserve">(2) 在使用过程中，若违反操作规程或因年久腐蚀严重又未按国家规定进行检测，在超压运行状态下，而安全阀又未动作时，罐体承受不住内部气压或液压时，将发生爆裂或爆炸。 </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(3) 由于压力容器的安全阀、压力表等未定期检验或损坏失灵，致不能正确显示和及时泄放，容器超压也可能引起爆炸。</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10" w:name="_Toc515659448"/>
      <w:bookmarkStart w:id="211" w:name="_Toc515657141"/>
      <w:bookmarkStart w:id="212" w:name="_Toc511994836"/>
      <w:bookmarkStart w:id="213" w:name="_Toc9170"/>
      <w:r>
        <w:rPr>
          <w:rFonts w:hint="eastAsia" w:ascii="宋体" w:hAnsi="宋体"/>
          <w:b/>
          <w:snapToGrid w:val="0"/>
          <w:kern w:val="0"/>
          <w:sz w:val="28"/>
          <w:szCs w:val="28"/>
          <w:lang w:val="en-US" w:eastAsia="zh-CN"/>
        </w:rPr>
        <w:t>3.5.11有限空间作业</w:t>
      </w:r>
      <w:bookmarkEnd w:id="210"/>
      <w:bookmarkEnd w:id="211"/>
      <w:bookmarkEnd w:id="212"/>
      <w:bookmarkEnd w:id="213"/>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本项目的各类储罐容器、脱硫塔、窑炉炉膛、砖坯烘干室、设备地下坑道、烟道等设施、设备和场所，在日常维护和检测时会进行有限空间作业。</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有限空间内作业，如管理稍有不慎，极易导致火灾、爆炸、中毒、窒息等人身伤害事故，给作业人员的安全带来严重安全隐患。研究表明很多致命的有限空间事故的发生都与所在空间内存在的种危险因素未得到重视有关，而这些危险因素既可能在员工进入有限空间之前就已存在，也可能是由于他们在其间的活动形成。因此，有限空间是一种作业风险比较高，应当引起人们高度重视的作业环境。</w:t>
      </w:r>
    </w:p>
    <w:p>
      <w:pPr>
        <w:pStyle w:val="8"/>
        <w:spacing w:line="360" w:lineRule="auto"/>
        <w:ind w:firstLine="0" w:firstLineChars="0"/>
        <w:outlineLvl w:val="2"/>
        <w:rPr>
          <w:rFonts w:hint="eastAsia" w:ascii="宋体" w:hAnsi="宋体"/>
          <w:b/>
          <w:snapToGrid w:val="0"/>
          <w:kern w:val="0"/>
          <w:sz w:val="28"/>
          <w:szCs w:val="28"/>
        </w:rPr>
      </w:pPr>
      <w:bookmarkStart w:id="214" w:name="_Toc480804402"/>
      <w:bookmarkStart w:id="215" w:name="_Toc350781101"/>
      <w:bookmarkStart w:id="216" w:name="_Toc356401499"/>
      <w:bookmarkStart w:id="217" w:name="_Toc28730"/>
      <w:bookmarkStart w:id="218" w:name="_Toc51434285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lang w:val="en-US" w:eastAsia="zh-CN"/>
        </w:rPr>
        <w:t>12</w:t>
      </w:r>
      <w:r>
        <w:rPr>
          <w:rFonts w:ascii="宋体" w:hAnsi="宋体"/>
          <w:b/>
          <w:snapToGrid w:val="0"/>
          <w:kern w:val="0"/>
          <w:sz w:val="28"/>
          <w:szCs w:val="28"/>
        </w:rPr>
        <w:t xml:space="preserve"> </w:t>
      </w:r>
      <w:r>
        <w:rPr>
          <w:rFonts w:hint="eastAsia" w:ascii="宋体" w:hAnsi="宋体"/>
          <w:b/>
          <w:snapToGrid w:val="0"/>
          <w:kern w:val="0"/>
          <w:sz w:val="28"/>
          <w:szCs w:val="28"/>
        </w:rPr>
        <w:t>职业</w:t>
      </w:r>
      <w:r>
        <w:rPr>
          <w:rFonts w:ascii="宋体" w:hAnsi="宋体"/>
          <w:b/>
          <w:snapToGrid w:val="0"/>
          <w:kern w:val="0"/>
          <w:sz w:val="28"/>
          <w:szCs w:val="28"/>
        </w:rPr>
        <w:t>危害</w:t>
      </w:r>
      <w:r>
        <w:rPr>
          <w:rFonts w:hint="eastAsia" w:ascii="宋体" w:hAnsi="宋体"/>
          <w:b/>
          <w:snapToGrid w:val="0"/>
          <w:kern w:val="0"/>
          <w:sz w:val="28"/>
          <w:szCs w:val="28"/>
        </w:rPr>
        <w:t>因素</w:t>
      </w:r>
      <w:bookmarkEnd w:id="214"/>
      <w:bookmarkEnd w:id="215"/>
      <w:bookmarkEnd w:id="216"/>
      <w:bookmarkEnd w:id="217"/>
      <w:bookmarkEnd w:id="218"/>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.1 粉尘</w:t>
      </w:r>
    </w:p>
    <w:p>
      <w:pPr>
        <w:spacing w:line="360" w:lineRule="auto"/>
        <w:ind w:firstLine="560" w:firstLineChars="200"/>
        <w:rPr>
          <w:rFonts w:hint="eastAsia" w:ascii="宋体" w:hAnsi="宋体"/>
          <w:snapToGrid w:val="0"/>
          <w:color w:val="auto"/>
          <w:kern w:val="0"/>
          <w:sz w:val="28"/>
          <w:szCs w:val="28"/>
          <w:lang w:eastAsia="zh-CN"/>
        </w:rPr>
      </w:pPr>
      <w:r>
        <w:rPr>
          <w:rFonts w:hint="eastAsia" w:ascii="宋体" w:hAnsi="宋体" w:eastAsia="宋体" w:cstheme="minorBidi"/>
          <w:snapToGrid w:val="0"/>
          <w:color w:val="auto"/>
          <w:kern w:val="0"/>
          <w:sz w:val="28"/>
          <w:szCs w:val="28"/>
          <w:lang w:val="en-US" w:eastAsia="zh-CN" w:bidi="ar-SA"/>
        </w:rPr>
        <w:t>窑体在加煤烧制过程中窑顶部、出窑时窑洞中粉尘浓度较大，作</w:t>
      </w:r>
      <w:r>
        <w:rPr>
          <w:rFonts w:hint="eastAsia" w:ascii="宋体" w:hAnsi="宋体"/>
          <w:snapToGrid w:val="0"/>
          <w:color w:val="auto"/>
          <w:kern w:val="0"/>
          <w:sz w:val="28"/>
          <w:szCs w:val="28"/>
          <w:lang w:eastAsia="zh-CN"/>
        </w:rPr>
        <w:t>业人员在此环境中易受到粉尘危害。粉尘危害是砖厂生产作业中最大危害之一。粉尘是在生产过程中产生的细粒状矿物或岩石粉尘。</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粉尘的环节主要有原料装卸、破碎等生产过程。在上述生产作业中产生的细粒状矿物或岩石粉尘，直径大于50μm的尘粒，在重力作用下会很快从气流中分离出来，沉落于地面，此类矿尘称为落尘；直径在0.01～50μm范围内的尘粒，能长时间悬浮于空气中，此类矿尘叫做浮尘。浮尘对空气的污染和对人体健康具有重大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.2 烟气</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烧结自保温砌块的制造生产主要采用内燃烧成工艺，但有时也需要补充少量的外燃，其内燃热值一般为300～500cal/g，因此烟气成分复杂，废气中以无机污染物为主。燃烧过程中可逸出有害气体S02、HF、NOx、CO、HC1等，其主要污染物是S02气体，如不加以治理，将会对工作场所人员健康和环境造成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.3 噪声、振动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噪声指声强和频率的变化都无规律、杂乱无章的声音。砖厂噪声具有强度大、声级高、噪声源多、干扰时间长以及连续噪声多等特点。</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噪声与振动主要来源于各种设备在运转过程中由于震动、摩擦、碰撞而产生的机械动力噪声和由风管排气、漏气而产生的气体动力噪声。</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产生噪声与振动的设备和场所：空压机和空压机泵房；制砖工作面；装载、挖掘设备驾驶室。</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噪声可以使人耳聋，还可能引起高血压、心脏病、神经官能症等疾病。噪声还污染环境，影响人们的正常生活和生产活动。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.4 高温、低温</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在烧结时，窑体加煤烧制、成品砖出窑过程中，温度较高，如窑体保温密封不良会产生较强的热辐射，作业人员在此环境中易受到高温危害。</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在低温环境下，人员操作功能随温度的下降而明显下降，注意力不集中，反应时间延长，作业失误率上升，且可能发生冻伤。</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219" w:name="_Toc359225372"/>
      <w:bookmarkStart w:id="220" w:name="_Toc496016659"/>
      <w:bookmarkStart w:id="221" w:name="_Toc413834096"/>
      <w:bookmarkStart w:id="222" w:name="_Toc14747"/>
      <w:r>
        <w:rPr>
          <w:rFonts w:hint="eastAsia" w:ascii="宋体" w:hAnsi="宋体"/>
          <w:b/>
          <w:snapToGrid w:val="0"/>
          <w:kern w:val="0"/>
          <w:sz w:val="28"/>
          <w:szCs w:val="28"/>
          <w:lang w:val="en-US" w:eastAsia="zh-CN"/>
        </w:rPr>
        <w:t>3.5.13 自然灾害</w:t>
      </w:r>
      <w:bookmarkEnd w:id="219"/>
      <w:bookmarkEnd w:id="220"/>
      <w:bookmarkEnd w:id="221"/>
      <w:bookmarkEnd w:id="222"/>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.1 地震灾害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地震发生时，可能使建筑物倒塌，建筑设施结构破坏造成人员伤亡，也可能使电气系统短路导致火灾事故发生等。</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.2 雷击危害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雷雨云对地放电形成直击雷。雷击发生时，强大的冲击电压和雷电流会毁坏各种电气设备，强烈的空气扰动会使建筑物和设备损坏，其热效应会引起火灾，还可能击中人员事故伤亡事故。除直击雷外，还有雷电感应、球型雷和雷电侵入波等都可造成危害，其中直击雷的危害最大，此外雷电还可通过静电感应或电磁感应产生破坏作用。</w:t>
      </w:r>
    </w:p>
    <w:p>
      <w:pPr>
        <w:pStyle w:val="8"/>
        <w:spacing w:line="360" w:lineRule="auto"/>
        <w:ind w:firstLine="0" w:firstLineChars="0"/>
        <w:outlineLvl w:val="1"/>
        <w:rPr>
          <w:rFonts w:hint="eastAsia" w:ascii="黑体" w:hAnsi="宋体" w:eastAsia="黑体"/>
          <w:b/>
          <w:snapToGrid w:val="0"/>
          <w:kern w:val="0"/>
          <w:sz w:val="32"/>
          <w:szCs w:val="32"/>
        </w:rPr>
      </w:pPr>
      <w:bookmarkStart w:id="223" w:name="_Toc303340324"/>
      <w:bookmarkStart w:id="224" w:name="_Toc325528024"/>
      <w:bookmarkStart w:id="225" w:name="_Toc673"/>
      <w:bookmarkStart w:id="226" w:name="_Toc514342856"/>
      <w:bookmarkStart w:id="227" w:name="_Toc304291284"/>
      <w:bookmarkStart w:id="228" w:name="_Toc484594602"/>
      <w:r>
        <w:rPr>
          <w:rFonts w:hint="eastAsia" w:ascii="黑体" w:hAnsi="宋体" w:eastAsia="黑体"/>
          <w:b/>
          <w:snapToGrid w:val="0"/>
          <w:kern w:val="0"/>
          <w:sz w:val="32"/>
          <w:szCs w:val="32"/>
          <w:lang w:val="en-US" w:eastAsia="zh-CN"/>
        </w:rPr>
        <w:t>3</w:t>
      </w:r>
      <w:r>
        <w:rPr>
          <w:rFonts w:hint="eastAsia" w:ascii="黑体" w:hAnsi="宋体" w:eastAsia="黑体"/>
          <w:b/>
          <w:snapToGrid w:val="0"/>
          <w:kern w:val="0"/>
          <w:sz w:val="32"/>
          <w:szCs w:val="32"/>
          <w:lang w:eastAsia="zh-CN"/>
        </w:rPr>
        <w:t>.</w:t>
      </w:r>
      <w:r>
        <w:rPr>
          <w:rFonts w:hint="eastAsia" w:ascii="黑体" w:hAnsi="宋体" w:eastAsia="黑体"/>
          <w:b/>
          <w:snapToGrid w:val="0"/>
          <w:kern w:val="0"/>
          <w:sz w:val="32"/>
          <w:szCs w:val="32"/>
        </w:rPr>
        <w:t>6 厂址安全条件的危险、有害因素辨识与分析</w:t>
      </w:r>
      <w:bookmarkEnd w:id="223"/>
      <w:bookmarkEnd w:id="224"/>
      <w:bookmarkEnd w:id="225"/>
      <w:bookmarkEnd w:id="226"/>
      <w:bookmarkEnd w:id="227"/>
      <w:bookmarkEnd w:id="228"/>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工业企业若选址不当，厂址条件差，可能存在以下危险、有害因素：①厂址工程地质不良，厂址周围为陡坎或有河流、沟渠通过，容易造成厂内塌陷和周边垮塌，设备、设施损坏，造成有害物质泄漏，引发火灾爆炸和窒息事故。②厂址所在地地形地貌差，处于窝风地带，厂内有害气体得不到及时散放，其生产作业危险性就大。③厂址与周边居民区或企业，安全距离不够，相互间会产生不利影响。④厂址所在地水文、气象条件恶劣，易发生水灾、雷击灾害，影响企业的正常生产。⑤厂址周边交通运输条件不畅、消防配备设施不完善，会造成运输不便，增加运输风险。</w:t>
      </w:r>
    </w:p>
    <w:p>
      <w:pPr>
        <w:spacing w:line="360" w:lineRule="auto"/>
        <w:ind w:firstLine="560" w:firstLineChars="200"/>
        <w:rPr>
          <w:rFonts w:hint="eastAsia" w:ascii="宋体" w:hAnsi="宋体"/>
          <w:snapToGrid w:val="0"/>
          <w:kern w:val="0"/>
          <w:sz w:val="28"/>
          <w:szCs w:val="28"/>
        </w:rPr>
      </w:pPr>
      <w:r>
        <w:rPr>
          <w:rFonts w:ascii="宋体" w:hAnsi="宋体"/>
          <w:snapToGrid w:val="0"/>
          <w:kern w:val="0"/>
          <w:sz w:val="28"/>
          <w:szCs w:val="28"/>
        </w:rPr>
        <w:t>本工程厂址周围无大型重要公共建筑设施</w:t>
      </w:r>
      <w:r>
        <w:rPr>
          <w:rFonts w:hint="eastAsia" w:ascii="宋体" w:hAnsi="宋体"/>
          <w:snapToGrid w:val="0"/>
          <w:kern w:val="0"/>
          <w:sz w:val="28"/>
          <w:szCs w:val="28"/>
        </w:rPr>
        <w:t>，</w:t>
      </w:r>
      <w:r>
        <w:rPr>
          <w:rFonts w:ascii="宋体" w:hAnsi="宋体"/>
          <w:snapToGrid w:val="0"/>
          <w:kern w:val="0"/>
          <w:sz w:val="28"/>
          <w:szCs w:val="28"/>
        </w:rPr>
        <w:t>位于相对稳定地块，场地无不良地质现象，地基承载力较高，不受洪水威胁；地下水对混凝土结构和钢筋混凝土结构中的钢筋不具腐蚀性。厂址交通运输方便</w:t>
      </w:r>
      <w:r>
        <w:rPr>
          <w:rFonts w:hint="eastAsia" w:ascii="宋体" w:hAnsi="宋体"/>
          <w:snapToGrid w:val="0"/>
          <w:kern w:val="0"/>
          <w:sz w:val="28"/>
          <w:szCs w:val="28"/>
        </w:rPr>
        <w:t>，</w:t>
      </w:r>
      <w:r>
        <w:rPr>
          <w:rFonts w:ascii="宋体" w:hAnsi="宋体"/>
          <w:snapToGrid w:val="0"/>
          <w:kern w:val="0"/>
          <w:sz w:val="28"/>
          <w:szCs w:val="28"/>
        </w:rPr>
        <w:t>已取得政府相关部门的</w:t>
      </w:r>
      <w:r>
        <w:rPr>
          <w:rFonts w:hint="eastAsia" w:ascii="宋体" w:hAnsi="宋体"/>
          <w:snapToGrid w:val="0"/>
          <w:kern w:val="0"/>
          <w:sz w:val="28"/>
          <w:szCs w:val="28"/>
        </w:rPr>
        <w:t>技改</w:t>
      </w:r>
      <w:r>
        <w:rPr>
          <w:rFonts w:ascii="宋体" w:hAnsi="宋体"/>
          <w:snapToGrid w:val="0"/>
          <w:kern w:val="0"/>
          <w:sz w:val="28"/>
          <w:szCs w:val="28"/>
        </w:rPr>
        <w:t>批复。因此，该工程选址符合当地政府部门规划，选址符合厂址选择的技术要求。</w:t>
      </w:r>
    </w:p>
    <w:p>
      <w:pPr>
        <w:pStyle w:val="8"/>
        <w:spacing w:line="360" w:lineRule="auto"/>
        <w:ind w:firstLine="0" w:firstLineChars="0"/>
        <w:outlineLvl w:val="2"/>
        <w:rPr>
          <w:rFonts w:hint="eastAsia" w:ascii="宋体" w:hAnsi="宋体"/>
          <w:b/>
          <w:snapToGrid w:val="0"/>
          <w:kern w:val="0"/>
          <w:sz w:val="28"/>
          <w:szCs w:val="28"/>
        </w:rPr>
      </w:pPr>
      <w:bookmarkStart w:id="229" w:name="_Toc484594603"/>
      <w:bookmarkStart w:id="230" w:name="_Toc458523590"/>
      <w:bookmarkStart w:id="231" w:name="_Toc25923"/>
      <w:bookmarkStart w:id="232" w:name="_Toc51434285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 xml:space="preserve">6.1 </w:t>
      </w:r>
      <w:r>
        <w:rPr>
          <w:rFonts w:hint="eastAsia" w:ascii="宋体" w:hAnsi="宋体"/>
          <w:b/>
          <w:snapToGrid w:val="0"/>
          <w:kern w:val="0"/>
          <w:sz w:val="28"/>
          <w:szCs w:val="28"/>
          <w:lang w:eastAsia="zh-CN"/>
        </w:rPr>
        <w:t>公司</w:t>
      </w:r>
      <w:r>
        <w:rPr>
          <w:rFonts w:hint="eastAsia" w:ascii="宋体" w:hAnsi="宋体"/>
          <w:b/>
          <w:snapToGrid w:val="0"/>
          <w:kern w:val="0"/>
          <w:sz w:val="28"/>
          <w:szCs w:val="28"/>
        </w:rPr>
        <w:t>对周边环境的影响分析</w:t>
      </w:r>
      <w:bookmarkEnd w:id="229"/>
      <w:bookmarkEnd w:id="230"/>
      <w:bookmarkEnd w:id="231"/>
      <w:bookmarkEnd w:id="232"/>
    </w:p>
    <w:p>
      <w:pPr>
        <w:tabs>
          <w:tab w:val="left" w:pos="8808"/>
        </w:tabs>
        <w:snapToGrid w:val="0"/>
        <w:spacing w:line="360" w:lineRule="auto"/>
        <w:ind w:firstLine="560" w:firstLineChars="200"/>
        <w:rPr>
          <w:rFonts w:hint="eastAsia" w:ascii="宋体" w:hAnsi="宋体" w:cs="宋体"/>
          <w:sz w:val="28"/>
          <w:szCs w:val="28"/>
        </w:rPr>
      </w:pPr>
      <w:bookmarkStart w:id="233" w:name="_Toc172964408"/>
      <w:bookmarkStart w:id="234" w:name="_Toc374385892"/>
      <w:bookmarkStart w:id="235" w:name="_Toc155775354"/>
      <w:bookmarkStart w:id="236" w:name="_Toc172963399"/>
      <w:bookmarkStart w:id="237" w:name="_Toc172964203"/>
      <w:r>
        <w:rPr>
          <w:rFonts w:hint="eastAsia" w:ascii="宋体" w:hAnsi="宋体" w:cs="宋体"/>
          <w:sz w:val="28"/>
          <w:szCs w:val="28"/>
          <w:lang w:eastAsia="zh-CN"/>
        </w:rPr>
        <w:t>厂</w:t>
      </w:r>
      <w:r>
        <w:rPr>
          <w:rFonts w:ascii="宋体" w:hAnsi="宋体" w:cs="宋体"/>
          <w:sz w:val="28"/>
          <w:szCs w:val="28"/>
        </w:rPr>
        <w:t>区内</w:t>
      </w:r>
      <w:r>
        <w:rPr>
          <w:rFonts w:hint="eastAsia" w:ascii="宋体" w:hAnsi="宋体" w:cs="宋体"/>
          <w:sz w:val="28"/>
          <w:szCs w:val="28"/>
        </w:rPr>
        <w:t>无高压电线敷设、无</w:t>
      </w:r>
      <w:r>
        <w:rPr>
          <w:rFonts w:ascii="宋体" w:hAnsi="宋体" w:cs="宋体"/>
          <w:sz w:val="28"/>
          <w:szCs w:val="28"/>
        </w:rPr>
        <w:t>国家规定的风景名胜区、革命历史古迹等文物保护对象，无集中式水源地等特殊保护对象</w:t>
      </w:r>
      <w:r>
        <w:rPr>
          <w:rFonts w:hint="eastAsia" w:ascii="宋体" w:hAnsi="宋体" w:cs="宋体"/>
          <w:sz w:val="28"/>
          <w:szCs w:val="28"/>
        </w:rPr>
        <w:t>；</w:t>
      </w:r>
      <w:r>
        <w:rPr>
          <w:rFonts w:ascii="宋体" w:hAnsi="宋体" w:cs="宋体"/>
          <w:sz w:val="28"/>
          <w:szCs w:val="28"/>
        </w:rPr>
        <w:t>区域内及附近无</w:t>
      </w:r>
      <w:r>
        <w:rPr>
          <w:rFonts w:hint="eastAsia" w:ascii="宋体" w:hAnsi="宋体" w:cs="宋体"/>
          <w:sz w:val="28"/>
          <w:szCs w:val="28"/>
        </w:rPr>
        <w:t>重大危险源监管单位、无</w:t>
      </w:r>
      <w:r>
        <w:rPr>
          <w:rFonts w:ascii="宋体" w:hAnsi="宋体" w:cs="宋体"/>
          <w:sz w:val="28"/>
          <w:szCs w:val="28"/>
        </w:rPr>
        <w:t>军事设施等保密单位，无军事国防通讯设施及其他通讯设施等敏感目标，地下未发现矿产资源</w:t>
      </w:r>
      <w:r>
        <w:rPr>
          <w:rFonts w:hint="eastAsia" w:ascii="宋体" w:hAnsi="宋体" w:cs="宋体"/>
          <w:sz w:val="28"/>
          <w:szCs w:val="28"/>
        </w:rPr>
        <w:t>，无长输天然气管道、输油管道敷设</w:t>
      </w:r>
      <w:r>
        <w:rPr>
          <w:rFonts w:ascii="宋体" w:hAnsi="宋体" w:cs="宋体"/>
          <w:sz w:val="28"/>
          <w:szCs w:val="28"/>
        </w:rPr>
        <w:t>。</w:t>
      </w:r>
      <w:r>
        <w:rPr>
          <w:rFonts w:hint="eastAsia" w:ascii="宋体" w:hAnsi="宋体" w:cs="宋体"/>
          <w:sz w:val="28"/>
          <w:szCs w:val="28"/>
          <w:lang w:eastAsia="zh-CN"/>
        </w:rPr>
        <w:t>公司</w:t>
      </w:r>
      <w:r>
        <w:rPr>
          <w:rFonts w:hint="eastAsia" w:ascii="宋体" w:hAnsi="宋体" w:cs="宋体"/>
          <w:sz w:val="28"/>
          <w:szCs w:val="28"/>
        </w:rPr>
        <w:t>在正常工况下废水、废气、废渣等经达标后排放，并与周边建构筑留有足够的防火间距，即</w:t>
      </w:r>
      <w:r>
        <w:rPr>
          <w:rFonts w:hint="eastAsia" w:ascii="宋体" w:hAnsi="宋体" w:cs="宋体"/>
          <w:sz w:val="28"/>
          <w:szCs w:val="28"/>
          <w:lang w:eastAsia="zh-CN"/>
        </w:rPr>
        <w:t>公司</w:t>
      </w:r>
      <w:r>
        <w:rPr>
          <w:rFonts w:hint="eastAsia" w:ascii="宋体" w:hAnsi="宋体" w:cs="宋体"/>
          <w:sz w:val="28"/>
          <w:szCs w:val="28"/>
        </w:rPr>
        <w:t>正常工况下不会对周边单位生产、经营活动或者居民生活造成影响。</w:t>
      </w:r>
    </w:p>
    <w:p>
      <w:pPr>
        <w:spacing w:line="360" w:lineRule="auto"/>
        <w:ind w:firstLine="560" w:firstLineChars="200"/>
        <w:rPr>
          <w:rFonts w:hint="eastAsia" w:ascii="宋体" w:hAnsi="宋体"/>
          <w:sz w:val="28"/>
          <w:szCs w:val="28"/>
        </w:rPr>
      </w:pPr>
      <w:r>
        <w:rPr>
          <w:rFonts w:ascii="宋体" w:hAnsi="宋体"/>
          <w:sz w:val="28"/>
          <w:szCs w:val="28"/>
        </w:rPr>
        <w:t>若三废处理不当可能会对周边环境、企业造成不良影响，因此本工程应切实做好三废的处理工作。</w:t>
      </w:r>
      <w:r>
        <w:rPr>
          <w:rFonts w:hint="eastAsia" w:ascii="宋体" w:hAnsi="宋体"/>
          <w:sz w:val="28"/>
          <w:szCs w:val="28"/>
          <w:lang w:eastAsia="zh-CN"/>
        </w:rPr>
        <w:t>公司</w:t>
      </w:r>
      <w:r>
        <w:rPr>
          <w:rFonts w:ascii="宋体" w:hAnsi="宋体"/>
          <w:sz w:val="28"/>
          <w:szCs w:val="28"/>
        </w:rPr>
        <w:t>在采取了可靠的安全、环保的防护措施之后，</w:t>
      </w:r>
      <w:r>
        <w:rPr>
          <w:rFonts w:hint="eastAsia" w:ascii="宋体" w:hAnsi="宋体" w:cs="宋体"/>
          <w:sz w:val="28"/>
          <w:szCs w:val="28"/>
        </w:rPr>
        <w:t>对周边环境的影响在可接受和可控制范围。</w:t>
      </w:r>
    </w:p>
    <w:bookmarkEnd w:id="233"/>
    <w:bookmarkEnd w:id="234"/>
    <w:bookmarkEnd w:id="235"/>
    <w:bookmarkEnd w:id="236"/>
    <w:bookmarkEnd w:id="237"/>
    <w:p>
      <w:pPr>
        <w:pStyle w:val="8"/>
        <w:spacing w:line="360" w:lineRule="auto"/>
        <w:ind w:firstLine="0" w:firstLineChars="0"/>
        <w:outlineLvl w:val="2"/>
        <w:rPr>
          <w:rFonts w:hint="eastAsia" w:ascii="宋体" w:hAnsi="宋体"/>
          <w:b/>
          <w:snapToGrid w:val="0"/>
          <w:kern w:val="0"/>
          <w:sz w:val="28"/>
          <w:szCs w:val="28"/>
        </w:rPr>
      </w:pPr>
      <w:bookmarkStart w:id="238" w:name="_Toc172964418"/>
      <w:bookmarkStart w:id="239" w:name="_Toc484594604"/>
      <w:bookmarkStart w:id="240" w:name="_Toc458523594"/>
      <w:bookmarkStart w:id="241" w:name="_Toc15538"/>
      <w:bookmarkStart w:id="242" w:name="_Toc172963410"/>
      <w:bookmarkStart w:id="243" w:name="_Toc172964213"/>
      <w:bookmarkStart w:id="244" w:name="_Toc514342858"/>
      <w:bookmarkStart w:id="245" w:name="_Toc155775365"/>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6.2 周边环境对</w:t>
      </w:r>
      <w:r>
        <w:rPr>
          <w:rFonts w:hint="eastAsia" w:ascii="宋体" w:hAnsi="宋体"/>
          <w:b/>
          <w:snapToGrid w:val="0"/>
          <w:kern w:val="0"/>
          <w:sz w:val="28"/>
          <w:szCs w:val="28"/>
          <w:lang w:eastAsia="zh-CN"/>
        </w:rPr>
        <w:t>公司</w:t>
      </w:r>
      <w:r>
        <w:rPr>
          <w:rFonts w:hint="eastAsia" w:ascii="宋体" w:hAnsi="宋体"/>
          <w:b/>
          <w:snapToGrid w:val="0"/>
          <w:kern w:val="0"/>
          <w:sz w:val="28"/>
          <w:szCs w:val="28"/>
        </w:rPr>
        <w:t>的影响分析</w:t>
      </w:r>
      <w:bookmarkEnd w:id="238"/>
      <w:bookmarkEnd w:id="239"/>
      <w:bookmarkEnd w:id="240"/>
      <w:bookmarkEnd w:id="241"/>
      <w:bookmarkEnd w:id="242"/>
      <w:bookmarkEnd w:id="243"/>
      <w:bookmarkEnd w:id="244"/>
      <w:bookmarkEnd w:id="245"/>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公司</w:t>
      </w:r>
      <w:r>
        <w:rPr>
          <w:rFonts w:hint="eastAsia" w:ascii="宋体" w:hAnsi="宋体" w:cs="宋体"/>
          <w:color w:val="auto"/>
          <w:sz w:val="28"/>
          <w:szCs w:val="28"/>
          <w:lang w:val="en-US" w:eastAsia="zh-CN"/>
        </w:rPr>
        <w:t>矿山开采登记范围不存在矿权重叠与边界纠纷问题，矿区附近谷地及缓坡平地为农业耕作区，斜坡以上大部分为荒坡，少量林木分布。矿区周围大多为农田，矿山范围内人类工程主要以农耕地为主。</w:t>
      </w:r>
    </w:p>
    <w:p>
      <w:pPr>
        <w:spacing w:line="360" w:lineRule="auto"/>
        <w:ind w:firstLine="560" w:firstLineChars="200"/>
        <w:rPr>
          <w:rFonts w:hint="eastAsia" w:ascii="宋体" w:hAnsi="宋体" w:cs="宋体"/>
          <w:color w:val="auto"/>
          <w:sz w:val="28"/>
          <w:szCs w:val="28"/>
          <w:lang w:val="en-US" w:eastAsia="en-US"/>
        </w:rPr>
      </w:pPr>
      <w:r>
        <w:rPr>
          <w:rFonts w:hint="eastAsia" w:ascii="宋体" w:hAnsi="宋体" w:cs="宋体"/>
          <w:color w:val="auto"/>
          <w:sz w:val="28"/>
          <w:szCs w:val="28"/>
          <w:lang w:val="en-US" w:eastAsia="zh-CN"/>
        </w:rPr>
        <w:t>砖厂朝向近似座北朝东，</w:t>
      </w:r>
      <w:r>
        <w:rPr>
          <w:rFonts w:hint="eastAsia" w:ascii="宋体" w:hAnsi="宋体" w:cs="宋体"/>
          <w:color w:val="auto"/>
          <w:sz w:val="28"/>
          <w:szCs w:val="28"/>
          <w:lang w:val="zh-CN" w:eastAsia="zh-CN"/>
        </w:rPr>
        <w:t>地处农村环境，外环境简单，具体情况如下：厂区周边主要为山坡地，植被为杂草、灌木丛及农作物，不存在珍稀植物。根据现场勘查，公司生产区周边主要为耕地、农户。公司大门位于东面，东面紧邻进厂道路，道路 两侧为农田；公司北面和西面为农田；东南面为本公司矿山页岩开采区；开采区以东为丘陵。</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周边200米范围内的零散居民住户与公司的防火间距均大于50米。公司周边环境条件良好，周边环境不会对公司形成制约影响因素。</w:t>
      </w:r>
    </w:p>
    <w:p>
      <w:pPr>
        <w:pStyle w:val="8"/>
        <w:spacing w:line="360" w:lineRule="auto"/>
        <w:ind w:firstLine="0" w:firstLineChars="0"/>
        <w:outlineLvl w:val="1"/>
        <w:rPr>
          <w:rFonts w:hint="eastAsia" w:ascii="黑体" w:eastAsia="黑体"/>
          <w:b/>
          <w:snapToGrid w:val="0"/>
          <w:kern w:val="0"/>
          <w:sz w:val="32"/>
          <w:szCs w:val="32"/>
        </w:rPr>
      </w:pPr>
      <w:bookmarkStart w:id="246" w:name="_Toc350781107"/>
      <w:bookmarkStart w:id="247" w:name="_Toc514342863"/>
      <w:bookmarkStart w:id="248" w:name="_Toc480804413"/>
      <w:bookmarkStart w:id="249" w:name="_Toc356401505"/>
      <w:bookmarkStart w:id="250" w:name="_Toc20242"/>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lang w:val="en-US" w:eastAsia="zh-CN"/>
        </w:rPr>
        <w:t>7</w:t>
      </w:r>
      <w:r>
        <w:rPr>
          <w:rFonts w:hint="eastAsia" w:ascii="黑体" w:eastAsia="黑体"/>
          <w:b/>
          <w:snapToGrid w:val="0"/>
          <w:kern w:val="0"/>
          <w:sz w:val="32"/>
          <w:szCs w:val="32"/>
        </w:rPr>
        <w:t xml:space="preserve"> 重大危险源辨识</w:t>
      </w:r>
      <w:bookmarkEnd w:id="246"/>
      <w:bookmarkEnd w:id="247"/>
      <w:bookmarkEnd w:id="248"/>
      <w:bookmarkEnd w:id="249"/>
      <w:bookmarkEnd w:id="250"/>
    </w:p>
    <w:p>
      <w:pPr>
        <w:pStyle w:val="8"/>
        <w:spacing w:line="360" w:lineRule="auto"/>
        <w:ind w:firstLine="0" w:firstLineChars="0"/>
        <w:outlineLvl w:val="2"/>
        <w:rPr>
          <w:rFonts w:hint="eastAsia" w:ascii="宋体" w:hAnsi="宋体"/>
          <w:b/>
          <w:snapToGrid w:val="0"/>
          <w:kern w:val="0"/>
          <w:sz w:val="28"/>
          <w:szCs w:val="28"/>
        </w:rPr>
      </w:pPr>
      <w:bookmarkStart w:id="251" w:name="_Toc514342864"/>
      <w:bookmarkStart w:id="252" w:name="_Toc356401506"/>
      <w:bookmarkStart w:id="253" w:name="_Toc351125383"/>
      <w:bookmarkStart w:id="254" w:name="_Toc480804414"/>
      <w:bookmarkStart w:id="255" w:name="_Toc1890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.1 辨识依据</w:t>
      </w:r>
      <w:bookmarkEnd w:id="251"/>
      <w:bookmarkEnd w:id="252"/>
      <w:bookmarkEnd w:id="253"/>
      <w:bookmarkEnd w:id="254"/>
      <w:bookmarkEnd w:id="255"/>
    </w:p>
    <w:p>
      <w:pPr>
        <w:tabs>
          <w:tab w:val="right" w:leader="hyphen" w:pos="8343"/>
        </w:tabs>
        <w:spacing w:line="360" w:lineRule="auto"/>
        <w:ind w:firstLine="560" w:firstLineChars="200"/>
        <w:rPr>
          <w:rFonts w:hint="eastAsia" w:ascii="宋体" w:hAnsi="宋体"/>
          <w:sz w:val="28"/>
          <w:szCs w:val="28"/>
        </w:rPr>
      </w:pPr>
      <w:r>
        <w:rPr>
          <w:rFonts w:hint="eastAsia" w:ascii="宋体" w:hAnsi="宋体"/>
          <w:sz w:val="28"/>
          <w:szCs w:val="28"/>
        </w:rPr>
        <w:t>根据《中华人民共和国安全生产法》、《危险化学品重大危险源辨识》（</w:t>
      </w:r>
      <w:r>
        <w:rPr>
          <w:rFonts w:hint="eastAsia" w:ascii="宋体" w:hAnsi="宋体"/>
          <w:sz w:val="28"/>
          <w:szCs w:val="28"/>
          <w:lang w:eastAsia="zh-CN"/>
        </w:rPr>
        <w:t>GB18218-2018</w:t>
      </w:r>
      <w:r>
        <w:rPr>
          <w:rFonts w:hint="eastAsia" w:ascii="宋体" w:hAnsi="宋体"/>
          <w:sz w:val="28"/>
          <w:szCs w:val="28"/>
        </w:rPr>
        <w:t>）的有关规定，重大危险源是指长期地或者临时地生产、加工、搬运、使用或储存危险物品，且危险物品的数量等于或超过临界量的场所和设施，以及其他存在危险能量等于或超过临界量的场所和设施。</w:t>
      </w:r>
    </w:p>
    <w:p>
      <w:pPr>
        <w:pStyle w:val="8"/>
        <w:spacing w:line="360" w:lineRule="auto"/>
        <w:ind w:firstLine="0" w:firstLineChars="0"/>
        <w:outlineLvl w:val="2"/>
        <w:rPr>
          <w:rFonts w:hint="eastAsia" w:ascii="宋体" w:hAnsi="宋体"/>
          <w:b/>
          <w:snapToGrid w:val="0"/>
          <w:kern w:val="0"/>
          <w:sz w:val="28"/>
          <w:szCs w:val="28"/>
        </w:rPr>
      </w:pPr>
      <w:bookmarkStart w:id="256" w:name="_Toc514342865"/>
      <w:bookmarkStart w:id="257" w:name="_Toc351125385"/>
      <w:bookmarkStart w:id="258" w:name="_Toc480804415"/>
      <w:bookmarkStart w:id="259" w:name="_Toc4102"/>
      <w:bookmarkStart w:id="260" w:name="_Toc35640150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.2 辨识结果</w:t>
      </w:r>
      <w:bookmarkEnd w:id="256"/>
      <w:bookmarkEnd w:id="257"/>
      <w:bookmarkEnd w:id="258"/>
      <w:bookmarkEnd w:id="259"/>
      <w:bookmarkEnd w:id="260"/>
    </w:p>
    <w:p>
      <w:pPr>
        <w:spacing w:line="360" w:lineRule="auto"/>
        <w:ind w:firstLine="560" w:firstLineChars="200"/>
        <w:rPr>
          <w:rFonts w:hint="eastAsia" w:ascii="宋体" w:hAnsi="宋体"/>
          <w:sz w:val="28"/>
          <w:szCs w:val="28"/>
        </w:rPr>
      </w:pPr>
      <w:r>
        <w:rPr>
          <w:rFonts w:hint="eastAsia"/>
          <w:sz w:val="28"/>
          <w:szCs w:val="28"/>
          <w:lang w:eastAsia="zh-CN"/>
        </w:rPr>
        <w:t>公司</w:t>
      </w:r>
      <w:r>
        <w:rPr>
          <w:rFonts w:hint="eastAsia"/>
          <w:sz w:val="28"/>
          <w:szCs w:val="28"/>
        </w:rPr>
        <w:t>生产过程中的原料、辅料、中间品、产品除柴油外其余均未列入《重大危险源辨识》中，</w:t>
      </w:r>
      <w:r>
        <w:rPr>
          <w:rFonts w:hint="eastAsia"/>
          <w:sz w:val="28"/>
          <w:szCs w:val="28"/>
          <w:lang w:eastAsia="zh-CN"/>
        </w:rPr>
        <w:t>厂区</w:t>
      </w:r>
      <w:r>
        <w:rPr>
          <w:rFonts w:hint="eastAsia"/>
          <w:sz w:val="28"/>
          <w:szCs w:val="28"/>
        </w:rPr>
        <w:t>使用柴油仅做为点火燃料使用，用量少（仅备用1桶，约200L），使用频率低，</w:t>
      </w:r>
      <w:r>
        <w:rPr>
          <w:rFonts w:hint="eastAsia" w:ascii="宋体" w:hAnsi="宋体"/>
          <w:sz w:val="28"/>
          <w:szCs w:val="28"/>
        </w:rPr>
        <w:t>其临界量和拟存放量见下表：</w:t>
      </w:r>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hint="eastAsia" w:ascii="黑体" w:eastAsia="黑体"/>
          <w:b/>
          <w:sz w:val="24"/>
          <w:lang w:eastAsia="zh-CN"/>
        </w:rPr>
        <w:t>-</w:t>
      </w:r>
      <w:r>
        <w:rPr>
          <w:rFonts w:hint="eastAsia" w:ascii="黑体" w:eastAsia="黑体"/>
          <w:b/>
          <w:sz w:val="24"/>
          <w:lang w:val="en-US" w:eastAsia="zh-CN"/>
        </w:rPr>
        <w:t>4</w:t>
      </w:r>
      <w:r>
        <w:rPr>
          <w:rFonts w:hint="eastAsia" w:ascii="黑体" w:eastAsia="黑体"/>
          <w:b/>
          <w:sz w:val="24"/>
        </w:rPr>
        <w:t>危险化学品名称及其临界量</w:t>
      </w:r>
    </w:p>
    <w:tbl>
      <w:tblPr>
        <w:tblStyle w:val="19"/>
        <w:tblW w:w="871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526"/>
        <w:gridCol w:w="18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503" w:type="dxa"/>
            <w:noWrap w:val="0"/>
            <w:vAlign w:val="center"/>
          </w:tcPr>
          <w:p>
            <w:pPr>
              <w:pStyle w:val="25"/>
              <w:tabs>
                <w:tab w:val="left" w:pos="0"/>
              </w:tabs>
              <w:spacing w:before="0" w:after="0"/>
              <w:rPr>
                <w:rFonts w:hint="eastAsia" w:hAnsi="宋体"/>
                <w:b/>
                <w:spacing w:val="10"/>
                <w:sz w:val="24"/>
                <w:szCs w:val="24"/>
              </w:rPr>
            </w:pPr>
            <w:r>
              <w:rPr>
                <w:rFonts w:hint="eastAsia" w:hAnsi="宋体"/>
                <w:b/>
                <w:spacing w:val="10"/>
                <w:sz w:val="24"/>
                <w:szCs w:val="24"/>
              </w:rPr>
              <w:t>物质名称</w:t>
            </w:r>
          </w:p>
        </w:tc>
        <w:tc>
          <w:tcPr>
            <w:tcW w:w="3526"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类别</w:t>
            </w:r>
          </w:p>
        </w:tc>
        <w:tc>
          <w:tcPr>
            <w:tcW w:w="1855"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临界量/t</w:t>
            </w:r>
          </w:p>
        </w:tc>
        <w:tc>
          <w:tcPr>
            <w:tcW w:w="1827"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实际量/t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03"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柴油</w:t>
            </w:r>
          </w:p>
        </w:tc>
        <w:tc>
          <w:tcPr>
            <w:tcW w:w="3526"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易燃液体（23℃&lt;闪点&lt;61℃）</w:t>
            </w:r>
          </w:p>
        </w:tc>
        <w:tc>
          <w:tcPr>
            <w:tcW w:w="1855"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5000</w:t>
            </w:r>
          </w:p>
        </w:tc>
        <w:tc>
          <w:tcPr>
            <w:tcW w:w="1827"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0.17</w:t>
            </w:r>
          </w:p>
        </w:tc>
      </w:tr>
    </w:tbl>
    <w:p>
      <w:pPr>
        <w:ind w:firstLine="420" w:firstLineChars="200"/>
        <w:rPr>
          <w:rFonts w:hint="eastAsia"/>
          <w:szCs w:val="28"/>
        </w:rPr>
      </w:pPr>
    </w:p>
    <w:p>
      <w:pPr>
        <w:spacing w:line="360" w:lineRule="auto"/>
        <w:ind w:firstLine="560" w:firstLineChars="200"/>
        <w:rPr>
          <w:rFonts w:hint="eastAsia" w:ascii="宋体" w:hAnsi="宋体"/>
          <w:kern w:val="0"/>
          <w:sz w:val="28"/>
          <w:szCs w:val="28"/>
        </w:rPr>
      </w:pPr>
      <w:r>
        <w:rPr>
          <w:rFonts w:hint="eastAsia" w:ascii="宋体" w:hAnsi="宋体"/>
          <w:sz w:val="28"/>
          <w:szCs w:val="28"/>
          <w:lang w:eastAsia="zh-CN"/>
        </w:rPr>
        <w:t>公司</w:t>
      </w:r>
      <w:r>
        <w:rPr>
          <w:rFonts w:hint="eastAsia" w:ascii="宋体" w:hAnsi="宋体"/>
          <w:sz w:val="28"/>
          <w:szCs w:val="28"/>
        </w:rPr>
        <w:t>有柴油储量1桶（200升），柴油密度0.85t/m</w:t>
      </w:r>
      <w:r>
        <w:rPr>
          <w:rFonts w:hint="eastAsia" w:ascii="宋体" w:hAnsi="宋体"/>
          <w:sz w:val="28"/>
          <w:szCs w:val="28"/>
          <w:vertAlign w:val="superscript"/>
        </w:rPr>
        <w:t>3</w:t>
      </w:r>
      <w:r>
        <w:rPr>
          <w:rFonts w:hint="eastAsia" w:ascii="宋体" w:hAnsi="宋体"/>
          <w:sz w:val="28"/>
          <w:szCs w:val="28"/>
        </w:rPr>
        <w:t>，合计0.17t。</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则：0.17/5000=0.000034＜1</w:t>
      </w:r>
    </w:p>
    <w:bookmarkEnd w:id="43"/>
    <w:p>
      <w:pPr>
        <w:spacing w:line="360" w:lineRule="auto"/>
        <w:ind w:firstLine="560" w:firstLineChars="200"/>
        <w:rPr>
          <w:rFonts w:hint="eastAsia" w:ascii="宋体" w:hAnsi="宋体"/>
          <w:sz w:val="28"/>
          <w:szCs w:val="28"/>
          <w:lang w:eastAsia="zh-CN"/>
        </w:rPr>
      </w:pPr>
      <w:bookmarkStart w:id="261" w:name="_Toc10261"/>
      <w:bookmarkStart w:id="262" w:name="_Toc21054"/>
      <w:r>
        <w:rPr>
          <w:rFonts w:hint="eastAsia" w:ascii="宋体" w:hAnsi="宋体"/>
          <w:sz w:val="28"/>
          <w:szCs w:val="28"/>
          <w:lang w:eastAsia="zh-CN"/>
        </w:rPr>
        <w:t>综上所述，根据《危险化学品重大危险源辨识》(GB18218-20</w:t>
      </w:r>
      <w:r>
        <w:rPr>
          <w:rFonts w:hint="eastAsia" w:ascii="宋体" w:hAnsi="宋体"/>
          <w:sz w:val="28"/>
          <w:szCs w:val="28"/>
          <w:lang w:val="en-US" w:eastAsia="zh-CN"/>
        </w:rPr>
        <w:t>18</w:t>
      </w:r>
      <w:r>
        <w:rPr>
          <w:rFonts w:hint="eastAsia" w:ascii="宋体" w:hAnsi="宋体"/>
          <w:sz w:val="28"/>
          <w:szCs w:val="28"/>
          <w:lang w:eastAsia="zh-CN"/>
        </w:rPr>
        <w:t>)，本公司危险化学品的使用和储存均不构成危险化学品重大危险源。即，仪陇县立山镇红旗页岩砖厂不构成危险化学品重大危险源。</w:t>
      </w:r>
    </w:p>
    <w:p>
      <w:pPr>
        <w:pStyle w:val="8"/>
        <w:spacing w:line="360" w:lineRule="auto"/>
        <w:ind w:firstLine="0" w:firstLineChars="0"/>
        <w:outlineLvl w:val="1"/>
        <w:rPr>
          <w:rFonts w:hint="eastAsia" w:ascii="黑体" w:eastAsia="黑体"/>
          <w:b/>
          <w:snapToGrid w:val="0"/>
          <w:kern w:val="0"/>
          <w:sz w:val="32"/>
          <w:szCs w:val="32"/>
          <w:lang w:val="en-US" w:eastAsia="zh-CN"/>
        </w:rPr>
      </w:pPr>
      <w:bookmarkStart w:id="263" w:name="_Toc30060"/>
      <w:r>
        <w:rPr>
          <w:rFonts w:hint="eastAsia" w:ascii="黑体" w:eastAsia="黑体"/>
          <w:b/>
          <w:snapToGrid w:val="0"/>
          <w:kern w:val="0"/>
          <w:sz w:val="32"/>
          <w:szCs w:val="32"/>
          <w:lang w:val="en-US" w:eastAsia="zh-CN"/>
        </w:rPr>
        <w:t>3.8小结</w:t>
      </w:r>
      <w:bookmarkEnd w:id="261"/>
      <w:bookmarkEnd w:id="262"/>
      <w:bookmarkEnd w:id="263"/>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ascii="黑体" w:eastAsia="黑体"/>
          <w:b/>
          <w:sz w:val="24"/>
        </w:rPr>
        <w:t>-</w:t>
      </w:r>
      <w:r>
        <w:rPr>
          <w:rFonts w:hint="eastAsia" w:ascii="黑体" w:eastAsia="黑体"/>
          <w:b/>
          <w:sz w:val="24"/>
          <w:lang w:val="en-US" w:eastAsia="zh-CN"/>
        </w:rPr>
        <w:t>5</w:t>
      </w:r>
      <w:r>
        <w:rPr>
          <w:rFonts w:ascii="黑体" w:eastAsia="黑体"/>
          <w:b/>
          <w:sz w:val="24"/>
        </w:rPr>
        <w:t xml:space="preserve">  </w:t>
      </w:r>
      <w:r>
        <w:rPr>
          <w:rFonts w:hint="eastAsia" w:ascii="黑体" w:eastAsia="黑体"/>
          <w:b/>
          <w:sz w:val="24"/>
        </w:rPr>
        <w:t>危险、有害因素汇总表</w:t>
      </w:r>
    </w:p>
    <w:tbl>
      <w:tblPr>
        <w:tblStyle w:val="19"/>
        <w:tblpPr w:leftFromText="180" w:rightFromText="180" w:vertAnchor="text" w:horzAnchor="page" w:tblpX="1249" w:tblpY="447"/>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94"/>
        <w:gridCol w:w="2148"/>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bookmarkStart w:id="264" w:name="_Toc29398"/>
            <w:bookmarkStart w:id="265" w:name="_Toc10334"/>
            <w:r>
              <w:rPr>
                <w:rFonts w:hint="eastAsia" w:ascii="宋体" w:hAnsi="宋体" w:cs="宋体"/>
                <w:color w:val="auto"/>
                <w:sz w:val="24"/>
              </w:rPr>
              <w:t>序号</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活动/工序/地点</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项 目</w:t>
            </w:r>
          </w:p>
        </w:tc>
        <w:tc>
          <w:tcPr>
            <w:tcW w:w="524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进入工作场所人员</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进场安全教育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特殊工种及特种作业人员培训</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现场作业人员教育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4</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 xml:space="preserve"> 原材料、辅料储存和运输</w:t>
            </w:r>
          </w:p>
        </w:tc>
        <w:tc>
          <w:tcPr>
            <w:tcW w:w="2148"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页岩矿、煤、砖</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在装卸、</w:t>
            </w:r>
            <w:r>
              <w:rPr>
                <w:rFonts w:hint="eastAsia" w:ascii="宋体" w:hAnsi="宋体" w:cs="宋体"/>
                <w:color w:val="auto"/>
                <w:sz w:val="24"/>
                <w:lang w:eastAsia="zh-CN"/>
              </w:rPr>
              <w:t>破碎</w:t>
            </w:r>
            <w:r>
              <w:rPr>
                <w:rFonts w:hint="eastAsia" w:ascii="宋体" w:hAnsi="宋体" w:cs="宋体"/>
                <w:color w:val="auto"/>
                <w:sz w:val="24"/>
              </w:rPr>
              <w:t>、</w:t>
            </w:r>
            <w:r>
              <w:rPr>
                <w:rFonts w:hint="eastAsia" w:ascii="宋体" w:hAnsi="宋体" w:cs="宋体"/>
                <w:color w:val="auto"/>
                <w:sz w:val="24"/>
                <w:lang w:eastAsia="zh-CN"/>
              </w:rPr>
              <w:t>制砖、上煤、</w:t>
            </w:r>
            <w:r>
              <w:rPr>
                <w:rFonts w:hint="eastAsia" w:ascii="宋体" w:hAnsi="宋体" w:cs="宋体"/>
                <w:color w:val="auto"/>
                <w:sz w:val="24"/>
              </w:rPr>
              <w:t>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w:t>
            </w:r>
          </w:p>
          <w:p>
            <w:pPr>
              <w:spacing w:line="240" w:lineRule="auto"/>
              <w:jc w:val="center"/>
              <w:rPr>
                <w:rFonts w:hint="eastAsia" w:ascii="宋体" w:hAnsi="宋体" w:cs="宋体"/>
                <w:color w:val="auto"/>
                <w:sz w:val="24"/>
              </w:rPr>
            </w:pPr>
            <w:r>
              <w:rPr>
                <w:rFonts w:hint="eastAsia" w:ascii="宋体" w:hAnsi="宋体" w:cs="宋体"/>
                <w:color w:val="auto"/>
                <w:sz w:val="24"/>
              </w:rPr>
              <w:t>过程</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凿岩作业</w:t>
            </w:r>
            <w:r>
              <w:rPr>
                <w:rFonts w:hint="eastAsia" w:ascii="宋体" w:hAnsi="宋体" w:cs="宋体"/>
                <w:color w:val="auto"/>
                <w:sz w:val="24"/>
                <w:lang w:eastAsia="zh-CN"/>
              </w:rPr>
              <w:t>和</w:t>
            </w:r>
            <w:r>
              <w:rPr>
                <w:rFonts w:hint="eastAsia" w:ascii="宋体" w:hAnsi="宋体" w:cs="宋体"/>
                <w:color w:val="auto"/>
                <w:sz w:val="24"/>
              </w:rPr>
              <w:t>砖窑</w:t>
            </w:r>
            <w:r>
              <w:rPr>
                <w:rFonts w:hint="eastAsia" w:ascii="宋体" w:hAnsi="宋体" w:cs="宋体"/>
                <w:color w:val="auto"/>
                <w:sz w:val="24"/>
                <w:lang w:eastAsia="zh-CN"/>
              </w:rPr>
              <w:t>等</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破碎区上料口、上砖</w:t>
            </w:r>
            <w:r>
              <w:rPr>
                <w:rFonts w:hint="eastAsia" w:ascii="宋体" w:hAnsi="宋体" w:cs="宋体"/>
                <w:color w:val="auto"/>
                <w:sz w:val="24"/>
              </w:rPr>
              <w:t>作业场所</w:t>
            </w:r>
            <w:r>
              <w:rPr>
                <w:rFonts w:hint="eastAsia" w:ascii="宋体" w:hAnsi="宋体" w:cs="宋体"/>
                <w:color w:val="auto"/>
                <w:sz w:val="24"/>
                <w:lang w:eastAsia="zh-CN"/>
              </w:rPr>
              <w:t>和</w:t>
            </w:r>
            <w:r>
              <w:rPr>
                <w:rFonts w:hint="eastAsia" w:ascii="宋体" w:hAnsi="宋体" w:cs="宋体"/>
                <w:color w:val="auto"/>
                <w:sz w:val="24"/>
              </w:rPr>
              <w:t>运输途中</w:t>
            </w:r>
          </w:p>
        </w:tc>
        <w:tc>
          <w:tcPr>
            <w:tcW w:w="5246" w:type="dxa"/>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rPr>
              <w:t>造成</w:t>
            </w:r>
            <w:r>
              <w:rPr>
                <w:rFonts w:hint="eastAsia" w:ascii="宋体" w:hAnsi="宋体" w:cs="宋体"/>
                <w:color w:val="auto"/>
                <w:sz w:val="24"/>
                <w:lang w:eastAsia="zh-CN"/>
              </w:rPr>
              <w:t>车辆伤害、机械伤害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6</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堆土场坍塌和成品区坍塌</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造成坍塌事故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烧窑过程中</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7</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电工作业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9</w:t>
            </w:r>
          </w:p>
        </w:tc>
        <w:tc>
          <w:tcPr>
            <w:tcW w:w="1594" w:type="dxa"/>
            <w:vMerge w:val="restart"/>
            <w:noWrap w:val="0"/>
            <w:vAlign w:val="center"/>
          </w:tcPr>
          <w:p>
            <w:pPr>
              <w:spacing w:line="240" w:lineRule="auto"/>
              <w:jc w:val="center"/>
              <w:rPr>
                <w:rFonts w:hint="eastAsia" w:ascii="宋体" w:hAnsi="宋体" w:cs="宋体"/>
                <w:color w:val="auto"/>
                <w:sz w:val="24"/>
              </w:rPr>
            </w:pPr>
          </w:p>
          <w:p>
            <w:pPr>
              <w:spacing w:line="240" w:lineRule="auto"/>
              <w:jc w:val="center"/>
              <w:rPr>
                <w:rFonts w:hint="eastAsia" w:ascii="宋体" w:hAnsi="宋体" w:cs="宋体"/>
                <w:color w:val="auto"/>
                <w:sz w:val="24"/>
              </w:rPr>
            </w:pPr>
            <w:r>
              <w:rPr>
                <w:rFonts w:hint="eastAsia" w:ascii="宋体" w:hAnsi="宋体" w:cs="宋体"/>
                <w:color w:val="auto"/>
                <w:sz w:val="24"/>
              </w:rPr>
              <w:t>设备运行、维护和保养</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机动车辆驾驶(包括装载机)</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10</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焊接(切割)作业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制砖</w:t>
            </w:r>
            <w:r>
              <w:rPr>
                <w:rFonts w:hint="eastAsia" w:ascii="宋体" w:hAnsi="宋体" w:cs="宋体"/>
                <w:color w:val="auto"/>
                <w:sz w:val="24"/>
              </w:rPr>
              <w:t>设备</w:t>
            </w:r>
            <w:r>
              <w:rPr>
                <w:rFonts w:hint="eastAsia" w:ascii="宋体" w:hAnsi="宋体" w:cs="宋体"/>
                <w:color w:val="auto"/>
                <w:sz w:val="24"/>
                <w:lang w:eastAsia="zh-CN"/>
              </w:rPr>
              <w:t>、破碎设备</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结构庞大、设备复杂，结构暴露部位多，且作业时需多人配合，极易发生</w:t>
            </w:r>
            <w:r>
              <w:rPr>
                <w:rFonts w:hint="eastAsia" w:ascii="宋体" w:hAnsi="宋体" w:cs="宋体"/>
                <w:color w:val="auto"/>
                <w:sz w:val="24"/>
                <w:lang w:eastAsia="zh-CN"/>
              </w:rPr>
              <w:t>机械伤害</w:t>
            </w:r>
            <w:r>
              <w:rPr>
                <w:rFonts w:hint="eastAsia" w:ascii="宋体" w:hAnsi="宋体" w:cs="宋体"/>
                <w:color w:val="auto"/>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其它辅助活动</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档案、资料管理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  公</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办公照明用电</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违章操作触电</w:t>
            </w:r>
          </w:p>
        </w:tc>
      </w:tr>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numPr>
          <w:ilvl w:val="0"/>
          <w:numId w:val="0"/>
        </w:numPr>
        <w:spacing w:line="360" w:lineRule="auto"/>
        <w:jc w:val="center"/>
        <w:outlineLvl w:val="0"/>
        <w:rPr>
          <w:rFonts w:hint="eastAsia" w:ascii="黑体" w:hAnsi="宋体" w:eastAsia="黑体"/>
          <w:b/>
          <w:sz w:val="32"/>
          <w:szCs w:val="32"/>
        </w:rPr>
      </w:pPr>
      <w:bookmarkStart w:id="266" w:name="_Toc19228"/>
      <w:r>
        <w:rPr>
          <w:rFonts w:hint="eastAsia" w:ascii="黑体" w:hAnsi="宋体" w:eastAsia="黑体"/>
          <w:b/>
          <w:sz w:val="32"/>
          <w:szCs w:val="32"/>
          <w:lang w:val="en-US" w:eastAsia="zh-CN"/>
        </w:rPr>
        <w:t>4</w:t>
      </w:r>
      <w:r>
        <w:rPr>
          <w:rFonts w:hint="eastAsia" w:ascii="黑体" w:hAnsi="宋体" w:eastAsia="黑体"/>
          <w:b/>
          <w:sz w:val="32"/>
          <w:szCs w:val="32"/>
        </w:rPr>
        <w:t>评估结论与建议</w:t>
      </w:r>
      <w:bookmarkEnd w:id="264"/>
      <w:bookmarkEnd w:id="266"/>
    </w:p>
    <w:p>
      <w:pPr>
        <w:pStyle w:val="5"/>
        <w:autoSpaceDN w:val="0"/>
        <w:spacing w:before="0" w:after="0" w:line="360" w:lineRule="auto"/>
        <w:jc w:val="left"/>
        <w:rPr>
          <w:rFonts w:hint="eastAsia" w:ascii="黑体" w:hAnsi="黑体"/>
          <w:sz w:val="28"/>
          <w:szCs w:val="28"/>
          <w:lang w:val="en-US" w:eastAsia="zh-CN"/>
        </w:rPr>
      </w:pPr>
      <w:bookmarkStart w:id="267" w:name="_Toc28505"/>
      <w:r>
        <w:rPr>
          <w:rFonts w:hint="eastAsia" w:ascii="黑体" w:hAnsi="黑体"/>
          <w:sz w:val="28"/>
          <w:szCs w:val="28"/>
          <w:lang w:val="en-US" w:eastAsia="zh-CN"/>
        </w:rPr>
        <w:t>4.1总体评价结论</w:t>
      </w:r>
      <w:bookmarkEnd w:id="265"/>
      <w:bookmarkEnd w:id="267"/>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通过对仪陇县立山镇红旗页岩砖厂周边环境、总平面布置及建构筑物、生产设施与设备安全、生产工艺控制、危险化学品储存使用、公辅工程、安全管理等方面的综合评价，本公司各类危险源均处在动态监控中，在日常生产过程中发现隐患问题，能够及时得到整改，加强员工教育，杜绝“三违”现象，就能够做到事故可防可控。本公司《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5"/>
        <w:autoSpaceDN w:val="0"/>
        <w:spacing w:before="0" w:after="0" w:line="360" w:lineRule="auto"/>
        <w:jc w:val="left"/>
        <w:rPr>
          <w:rFonts w:hint="eastAsia" w:ascii="黑体" w:hAnsi="黑体"/>
          <w:sz w:val="28"/>
          <w:szCs w:val="28"/>
        </w:rPr>
      </w:pPr>
      <w:bookmarkStart w:id="268" w:name="_Toc11754"/>
      <w:bookmarkStart w:id="269" w:name="_Toc5799"/>
      <w:bookmarkStart w:id="270" w:name="_Toc22214"/>
      <w:r>
        <w:rPr>
          <w:rFonts w:hint="eastAsia" w:ascii="黑体" w:hAnsi="黑体"/>
          <w:sz w:val="28"/>
          <w:szCs w:val="28"/>
          <w:lang w:val="en-US" w:eastAsia="zh-CN"/>
        </w:rPr>
        <w:t>4</w:t>
      </w:r>
      <w:r>
        <w:rPr>
          <w:rFonts w:hint="eastAsia" w:ascii="黑体" w:hAnsi="黑体"/>
          <w:sz w:val="28"/>
          <w:szCs w:val="28"/>
        </w:rPr>
        <w:t>.</w:t>
      </w:r>
      <w:r>
        <w:rPr>
          <w:rFonts w:hint="eastAsia" w:ascii="黑体" w:hAnsi="黑体"/>
          <w:sz w:val="28"/>
          <w:szCs w:val="28"/>
          <w:lang w:val="en-US" w:eastAsia="zh-CN"/>
        </w:rPr>
        <w:t>2</w:t>
      </w:r>
      <w:r>
        <w:rPr>
          <w:rFonts w:hint="eastAsia" w:ascii="黑体" w:hAnsi="黑体"/>
          <w:sz w:val="28"/>
          <w:szCs w:val="28"/>
        </w:rPr>
        <w:t>建议</w:t>
      </w:r>
      <w:bookmarkEnd w:id="268"/>
      <w:bookmarkEnd w:id="269"/>
      <w:bookmarkEnd w:id="270"/>
    </w:p>
    <w:p>
      <w:pPr>
        <w:spacing w:line="360" w:lineRule="auto"/>
        <w:ind w:firstLine="560" w:firstLineChars="200"/>
        <w:rPr>
          <w:sz w:val="28"/>
          <w:szCs w:val="28"/>
        </w:rPr>
      </w:pPr>
      <w:r>
        <w:rPr>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0" w:firstLineChars="200"/>
        <w:rPr>
          <w:sz w:val="28"/>
          <w:szCs w:val="28"/>
        </w:rPr>
      </w:pPr>
      <w:r>
        <w:rPr>
          <w:sz w:val="28"/>
          <w:szCs w:val="28"/>
        </w:rPr>
        <w:t>（2）应增加应急救援器材，确保事故发生或作业人员发生人身伤害时，能够及时采取有效救援措施，减轻伤害程度，控制事故的发展。</w:t>
      </w: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7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23BC"/>
    <w:rsid w:val="00324365"/>
    <w:rsid w:val="005247D8"/>
    <w:rsid w:val="005D60C3"/>
    <w:rsid w:val="00B44381"/>
    <w:rsid w:val="01B34626"/>
    <w:rsid w:val="01D26CA9"/>
    <w:rsid w:val="02EB4D5F"/>
    <w:rsid w:val="03D37A5F"/>
    <w:rsid w:val="047007AE"/>
    <w:rsid w:val="059A7F41"/>
    <w:rsid w:val="06330342"/>
    <w:rsid w:val="067F6866"/>
    <w:rsid w:val="06867417"/>
    <w:rsid w:val="069D7701"/>
    <w:rsid w:val="07024A58"/>
    <w:rsid w:val="0731706A"/>
    <w:rsid w:val="07835CC2"/>
    <w:rsid w:val="079A48DA"/>
    <w:rsid w:val="07A44FA0"/>
    <w:rsid w:val="07B56C35"/>
    <w:rsid w:val="07E323AA"/>
    <w:rsid w:val="07F26DF4"/>
    <w:rsid w:val="0808585B"/>
    <w:rsid w:val="0814262C"/>
    <w:rsid w:val="08FB3207"/>
    <w:rsid w:val="0A1B12D6"/>
    <w:rsid w:val="0A54055C"/>
    <w:rsid w:val="0A5621CC"/>
    <w:rsid w:val="0AB72082"/>
    <w:rsid w:val="0AE45EDA"/>
    <w:rsid w:val="0AF829E5"/>
    <w:rsid w:val="0B1E11AC"/>
    <w:rsid w:val="0B4568C1"/>
    <w:rsid w:val="0C18342B"/>
    <w:rsid w:val="0CA8623A"/>
    <w:rsid w:val="0D066290"/>
    <w:rsid w:val="0D3B3E73"/>
    <w:rsid w:val="0DE0620E"/>
    <w:rsid w:val="0E061150"/>
    <w:rsid w:val="0E6D3139"/>
    <w:rsid w:val="0EB95D58"/>
    <w:rsid w:val="0ECB0C27"/>
    <w:rsid w:val="0F25281E"/>
    <w:rsid w:val="0F77136B"/>
    <w:rsid w:val="0F842DC8"/>
    <w:rsid w:val="0F9227C9"/>
    <w:rsid w:val="0FE50957"/>
    <w:rsid w:val="112E4204"/>
    <w:rsid w:val="11385FCD"/>
    <w:rsid w:val="11C747FB"/>
    <w:rsid w:val="11D61819"/>
    <w:rsid w:val="11F65369"/>
    <w:rsid w:val="12651DAC"/>
    <w:rsid w:val="128342A7"/>
    <w:rsid w:val="128D0921"/>
    <w:rsid w:val="12CA5EC1"/>
    <w:rsid w:val="13174795"/>
    <w:rsid w:val="134B441C"/>
    <w:rsid w:val="136C6E71"/>
    <w:rsid w:val="13C77420"/>
    <w:rsid w:val="140B1FB2"/>
    <w:rsid w:val="143B6186"/>
    <w:rsid w:val="14694763"/>
    <w:rsid w:val="14742777"/>
    <w:rsid w:val="149039AD"/>
    <w:rsid w:val="14B414F7"/>
    <w:rsid w:val="14E237B2"/>
    <w:rsid w:val="15570D21"/>
    <w:rsid w:val="155E39C3"/>
    <w:rsid w:val="158733A6"/>
    <w:rsid w:val="15A14830"/>
    <w:rsid w:val="15E72303"/>
    <w:rsid w:val="165B5ABE"/>
    <w:rsid w:val="16ED61B4"/>
    <w:rsid w:val="170B2C2B"/>
    <w:rsid w:val="172C1FB3"/>
    <w:rsid w:val="173B5FB4"/>
    <w:rsid w:val="17D8718E"/>
    <w:rsid w:val="18A56828"/>
    <w:rsid w:val="18E72215"/>
    <w:rsid w:val="18E80829"/>
    <w:rsid w:val="19837993"/>
    <w:rsid w:val="19D37E9F"/>
    <w:rsid w:val="1A4F49A7"/>
    <w:rsid w:val="1AAC026F"/>
    <w:rsid w:val="1AF723BC"/>
    <w:rsid w:val="1B584D22"/>
    <w:rsid w:val="1B7B5998"/>
    <w:rsid w:val="1BB675E2"/>
    <w:rsid w:val="1BCF066F"/>
    <w:rsid w:val="1BD90D39"/>
    <w:rsid w:val="1BEC385B"/>
    <w:rsid w:val="1C0A5497"/>
    <w:rsid w:val="1D752B45"/>
    <w:rsid w:val="1D85003A"/>
    <w:rsid w:val="1DC712A8"/>
    <w:rsid w:val="1DD34EC9"/>
    <w:rsid w:val="1DEB3E64"/>
    <w:rsid w:val="1E165C3D"/>
    <w:rsid w:val="1E220183"/>
    <w:rsid w:val="1E8E35FC"/>
    <w:rsid w:val="1F2F4931"/>
    <w:rsid w:val="1F3805F9"/>
    <w:rsid w:val="1F4340AC"/>
    <w:rsid w:val="1F48275D"/>
    <w:rsid w:val="1F647F1F"/>
    <w:rsid w:val="1F7A37C8"/>
    <w:rsid w:val="1F8D03F9"/>
    <w:rsid w:val="1F8E5F41"/>
    <w:rsid w:val="1FB86C9B"/>
    <w:rsid w:val="1FC13459"/>
    <w:rsid w:val="1FE208B9"/>
    <w:rsid w:val="208858FB"/>
    <w:rsid w:val="20BE35EE"/>
    <w:rsid w:val="20FD468F"/>
    <w:rsid w:val="21A05E53"/>
    <w:rsid w:val="22627230"/>
    <w:rsid w:val="22C3776E"/>
    <w:rsid w:val="22D832A8"/>
    <w:rsid w:val="22E40C74"/>
    <w:rsid w:val="22E759E4"/>
    <w:rsid w:val="22E763EF"/>
    <w:rsid w:val="23032879"/>
    <w:rsid w:val="239931F2"/>
    <w:rsid w:val="23D97413"/>
    <w:rsid w:val="240D3547"/>
    <w:rsid w:val="2439225C"/>
    <w:rsid w:val="24450122"/>
    <w:rsid w:val="244C16C4"/>
    <w:rsid w:val="245A3C4E"/>
    <w:rsid w:val="24FB56BC"/>
    <w:rsid w:val="25AF1A07"/>
    <w:rsid w:val="25F57BEE"/>
    <w:rsid w:val="26524A71"/>
    <w:rsid w:val="26A96685"/>
    <w:rsid w:val="26E103D1"/>
    <w:rsid w:val="27614997"/>
    <w:rsid w:val="27641F1A"/>
    <w:rsid w:val="277D73A1"/>
    <w:rsid w:val="2793442C"/>
    <w:rsid w:val="27C206E8"/>
    <w:rsid w:val="28982FE2"/>
    <w:rsid w:val="28B83BFF"/>
    <w:rsid w:val="28F41F09"/>
    <w:rsid w:val="290F2046"/>
    <w:rsid w:val="2923409D"/>
    <w:rsid w:val="294C2435"/>
    <w:rsid w:val="298C52F0"/>
    <w:rsid w:val="29925E1A"/>
    <w:rsid w:val="2997713A"/>
    <w:rsid w:val="2A1D0F47"/>
    <w:rsid w:val="2A5B6A09"/>
    <w:rsid w:val="2B040F9D"/>
    <w:rsid w:val="2B34415E"/>
    <w:rsid w:val="2B3C65FF"/>
    <w:rsid w:val="2BDD5569"/>
    <w:rsid w:val="2C0870D6"/>
    <w:rsid w:val="2C5A6C5D"/>
    <w:rsid w:val="2C955142"/>
    <w:rsid w:val="2CB53128"/>
    <w:rsid w:val="2CD176A6"/>
    <w:rsid w:val="2CE03705"/>
    <w:rsid w:val="2CE5756B"/>
    <w:rsid w:val="2D17630C"/>
    <w:rsid w:val="2D2D3B92"/>
    <w:rsid w:val="2D980C0B"/>
    <w:rsid w:val="2DA36ECA"/>
    <w:rsid w:val="2DFE08A6"/>
    <w:rsid w:val="2E313DDB"/>
    <w:rsid w:val="2E4C479C"/>
    <w:rsid w:val="2EB87CC0"/>
    <w:rsid w:val="2EC16023"/>
    <w:rsid w:val="2ED80F4B"/>
    <w:rsid w:val="2F1B7849"/>
    <w:rsid w:val="2F8D64C0"/>
    <w:rsid w:val="300251B5"/>
    <w:rsid w:val="305C4346"/>
    <w:rsid w:val="310028DA"/>
    <w:rsid w:val="313177DD"/>
    <w:rsid w:val="31D2778A"/>
    <w:rsid w:val="31DB3B81"/>
    <w:rsid w:val="32240BF8"/>
    <w:rsid w:val="322A0AE4"/>
    <w:rsid w:val="3235563A"/>
    <w:rsid w:val="32683B2D"/>
    <w:rsid w:val="327E3643"/>
    <w:rsid w:val="32AF5AD2"/>
    <w:rsid w:val="32C563AD"/>
    <w:rsid w:val="32FE496E"/>
    <w:rsid w:val="330C362C"/>
    <w:rsid w:val="335A7005"/>
    <w:rsid w:val="33956D13"/>
    <w:rsid w:val="339D79F1"/>
    <w:rsid w:val="33A20370"/>
    <w:rsid w:val="33B37D8A"/>
    <w:rsid w:val="33BB103D"/>
    <w:rsid w:val="34383A5B"/>
    <w:rsid w:val="343E683F"/>
    <w:rsid w:val="34554F53"/>
    <w:rsid w:val="34662EA6"/>
    <w:rsid w:val="347F25F8"/>
    <w:rsid w:val="35532903"/>
    <w:rsid w:val="35B66F08"/>
    <w:rsid w:val="37095278"/>
    <w:rsid w:val="37260A87"/>
    <w:rsid w:val="376A4991"/>
    <w:rsid w:val="37F5632A"/>
    <w:rsid w:val="388958CC"/>
    <w:rsid w:val="39102AC2"/>
    <w:rsid w:val="393A7B4C"/>
    <w:rsid w:val="397E59D9"/>
    <w:rsid w:val="39A80794"/>
    <w:rsid w:val="39CB2810"/>
    <w:rsid w:val="39EF57AC"/>
    <w:rsid w:val="3A5F15D0"/>
    <w:rsid w:val="3A7A59C2"/>
    <w:rsid w:val="3A8A5198"/>
    <w:rsid w:val="3AB647BD"/>
    <w:rsid w:val="3B3E3E45"/>
    <w:rsid w:val="3CA77EE1"/>
    <w:rsid w:val="3CBA15F1"/>
    <w:rsid w:val="3CE4144F"/>
    <w:rsid w:val="3D294EE0"/>
    <w:rsid w:val="3DAE5076"/>
    <w:rsid w:val="3DE73B46"/>
    <w:rsid w:val="3DE83AD0"/>
    <w:rsid w:val="3E5F6967"/>
    <w:rsid w:val="3E9F6159"/>
    <w:rsid w:val="3FBC7E4E"/>
    <w:rsid w:val="3FDC1A36"/>
    <w:rsid w:val="3FDD2101"/>
    <w:rsid w:val="3FEA6A42"/>
    <w:rsid w:val="409F3EEA"/>
    <w:rsid w:val="40A21DB4"/>
    <w:rsid w:val="40B7729C"/>
    <w:rsid w:val="411F7579"/>
    <w:rsid w:val="41355E93"/>
    <w:rsid w:val="41730BF7"/>
    <w:rsid w:val="428B2341"/>
    <w:rsid w:val="433507F9"/>
    <w:rsid w:val="441915F5"/>
    <w:rsid w:val="45622A19"/>
    <w:rsid w:val="45770186"/>
    <w:rsid w:val="459F7826"/>
    <w:rsid w:val="464A1410"/>
    <w:rsid w:val="46F66BD7"/>
    <w:rsid w:val="47341022"/>
    <w:rsid w:val="477E3CE3"/>
    <w:rsid w:val="48184499"/>
    <w:rsid w:val="483B34B0"/>
    <w:rsid w:val="48FD757B"/>
    <w:rsid w:val="491C391B"/>
    <w:rsid w:val="492B09D8"/>
    <w:rsid w:val="498E082D"/>
    <w:rsid w:val="4A3D268D"/>
    <w:rsid w:val="4A720B65"/>
    <w:rsid w:val="4AAF0090"/>
    <w:rsid w:val="4B064935"/>
    <w:rsid w:val="4B090AF7"/>
    <w:rsid w:val="4B220275"/>
    <w:rsid w:val="4B483AD9"/>
    <w:rsid w:val="4B6768D2"/>
    <w:rsid w:val="4BFC05F5"/>
    <w:rsid w:val="4C0F77AD"/>
    <w:rsid w:val="4C6D0410"/>
    <w:rsid w:val="4C8611D9"/>
    <w:rsid w:val="4D02687F"/>
    <w:rsid w:val="4D453DC9"/>
    <w:rsid w:val="4D8D0BEB"/>
    <w:rsid w:val="4DB8268A"/>
    <w:rsid w:val="4DF07C13"/>
    <w:rsid w:val="4E426085"/>
    <w:rsid w:val="4E8B327B"/>
    <w:rsid w:val="4ED74A31"/>
    <w:rsid w:val="4EFD13C2"/>
    <w:rsid w:val="4EFE4FA4"/>
    <w:rsid w:val="4F886CE6"/>
    <w:rsid w:val="50993D59"/>
    <w:rsid w:val="515512D0"/>
    <w:rsid w:val="516E3E1E"/>
    <w:rsid w:val="51770C66"/>
    <w:rsid w:val="51C92B72"/>
    <w:rsid w:val="51F47B43"/>
    <w:rsid w:val="525C2381"/>
    <w:rsid w:val="52622A40"/>
    <w:rsid w:val="52755F2A"/>
    <w:rsid w:val="527A20EE"/>
    <w:rsid w:val="532B27D1"/>
    <w:rsid w:val="53A07D90"/>
    <w:rsid w:val="53C43072"/>
    <w:rsid w:val="53EA2B27"/>
    <w:rsid w:val="540B4142"/>
    <w:rsid w:val="5455526C"/>
    <w:rsid w:val="54D21C50"/>
    <w:rsid w:val="55FD3636"/>
    <w:rsid w:val="564C147E"/>
    <w:rsid w:val="56775B43"/>
    <w:rsid w:val="5681710C"/>
    <w:rsid w:val="571950BC"/>
    <w:rsid w:val="57D309C6"/>
    <w:rsid w:val="58B72C33"/>
    <w:rsid w:val="590B70B3"/>
    <w:rsid w:val="592F0C5C"/>
    <w:rsid w:val="59336AE3"/>
    <w:rsid w:val="59A421BC"/>
    <w:rsid w:val="59E15F92"/>
    <w:rsid w:val="59ED3977"/>
    <w:rsid w:val="5A0C0B47"/>
    <w:rsid w:val="5AE86358"/>
    <w:rsid w:val="5B8C578C"/>
    <w:rsid w:val="5B942AB1"/>
    <w:rsid w:val="5BA27CFF"/>
    <w:rsid w:val="5BE34BD9"/>
    <w:rsid w:val="5BEC5827"/>
    <w:rsid w:val="5C2E219B"/>
    <w:rsid w:val="5C6F0596"/>
    <w:rsid w:val="5CB37775"/>
    <w:rsid w:val="5DDA2367"/>
    <w:rsid w:val="5E373F89"/>
    <w:rsid w:val="5E5068C1"/>
    <w:rsid w:val="5E9B5A1F"/>
    <w:rsid w:val="5EFD55DF"/>
    <w:rsid w:val="5F053AC2"/>
    <w:rsid w:val="5F0B5C76"/>
    <w:rsid w:val="5F16731B"/>
    <w:rsid w:val="5F1C71B2"/>
    <w:rsid w:val="5F1D225B"/>
    <w:rsid w:val="5F21657F"/>
    <w:rsid w:val="5F4A1C91"/>
    <w:rsid w:val="5FCA3D8D"/>
    <w:rsid w:val="600C3449"/>
    <w:rsid w:val="60377224"/>
    <w:rsid w:val="607D49FD"/>
    <w:rsid w:val="60E67C6D"/>
    <w:rsid w:val="61043818"/>
    <w:rsid w:val="612E1200"/>
    <w:rsid w:val="613618D5"/>
    <w:rsid w:val="61E37CF9"/>
    <w:rsid w:val="61EF4BAD"/>
    <w:rsid w:val="622E630D"/>
    <w:rsid w:val="62742DCD"/>
    <w:rsid w:val="62B91BA7"/>
    <w:rsid w:val="62D7527A"/>
    <w:rsid w:val="63156E86"/>
    <w:rsid w:val="6395494B"/>
    <w:rsid w:val="639A41C4"/>
    <w:rsid w:val="63AD0D00"/>
    <w:rsid w:val="63CF1848"/>
    <w:rsid w:val="63E37986"/>
    <w:rsid w:val="64360ADF"/>
    <w:rsid w:val="64F03451"/>
    <w:rsid w:val="64FB6E9F"/>
    <w:rsid w:val="654C0C6E"/>
    <w:rsid w:val="65B43BEA"/>
    <w:rsid w:val="65C409EA"/>
    <w:rsid w:val="663A3EB4"/>
    <w:rsid w:val="66E17464"/>
    <w:rsid w:val="67D414E5"/>
    <w:rsid w:val="69A5229A"/>
    <w:rsid w:val="69A97278"/>
    <w:rsid w:val="69F554D1"/>
    <w:rsid w:val="6BBC26DD"/>
    <w:rsid w:val="6BF603B0"/>
    <w:rsid w:val="6C290D26"/>
    <w:rsid w:val="6C2D1542"/>
    <w:rsid w:val="6C4912EE"/>
    <w:rsid w:val="6C800B14"/>
    <w:rsid w:val="6CDC19EB"/>
    <w:rsid w:val="6CE4283E"/>
    <w:rsid w:val="6D11498F"/>
    <w:rsid w:val="6D2B0FBF"/>
    <w:rsid w:val="6D476F7F"/>
    <w:rsid w:val="6D684322"/>
    <w:rsid w:val="6DBA0093"/>
    <w:rsid w:val="6E7B4731"/>
    <w:rsid w:val="6E800EDE"/>
    <w:rsid w:val="6E927F94"/>
    <w:rsid w:val="6EEF6407"/>
    <w:rsid w:val="6F555EF3"/>
    <w:rsid w:val="6FAA56EB"/>
    <w:rsid w:val="6FED25A3"/>
    <w:rsid w:val="704A3031"/>
    <w:rsid w:val="70554E01"/>
    <w:rsid w:val="70601362"/>
    <w:rsid w:val="70AD3F02"/>
    <w:rsid w:val="70EA511B"/>
    <w:rsid w:val="716D7957"/>
    <w:rsid w:val="71E473EF"/>
    <w:rsid w:val="72251606"/>
    <w:rsid w:val="723C4E0C"/>
    <w:rsid w:val="72421DD8"/>
    <w:rsid w:val="727017CD"/>
    <w:rsid w:val="730D354D"/>
    <w:rsid w:val="734E2F8F"/>
    <w:rsid w:val="7386403F"/>
    <w:rsid w:val="73A236AA"/>
    <w:rsid w:val="73AA2E25"/>
    <w:rsid w:val="73B257D5"/>
    <w:rsid w:val="73C66834"/>
    <w:rsid w:val="74034CD0"/>
    <w:rsid w:val="74B623B5"/>
    <w:rsid w:val="74FC7F63"/>
    <w:rsid w:val="75494092"/>
    <w:rsid w:val="75560E43"/>
    <w:rsid w:val="759E0303"/>
    <w:rsid w:val="75AD4B40"/>
    <w:rsid w:val="75C50B5C"/>
    <w:rsid w:val="75FE1A6B"/>
    <w:rsid w:val="767D74C7"/>
    <w:rsid w:val="76820B04"/>
    <w:rsid w:val="76DA4889"/>
    <w:rsid w:val="76E47588"/>
    <w:rsid w:val="77354976"/>
    <w:rsid w:val="77607F42"/>
    <w:rsid w:val="776A67F8"/>
    <w:rsid w:val="7780493D"/>
    <w:rsid w:val="77D136E2"/>
    <w:rsid w:val="77DF6978"/>
    <w:rsid w:val="77E4291F"/>
    <w:rsid w:val="78046151"/>
    <w:rsid w:val="783311DF"/>
    <w:rsid w:val="784F6630"/>
    <w:rsid w:val="78507FEF"/>
    <w:rsid w:val="78B03D86"/>
    <w:rsid w:val="78EA49E2"/>
    <w:rsid w:val="79260D6C"/>
    <w:rsid w:val="79F66BAF"/>
    <w:rsid w:val="7A2F46E7"/>
    <w:rsid w:val="7A4F1784"/>
    <w:rsid w:val="7A5245F9"/>
    <w:rsid w:val="7AF95BE7"/>
    <w:rsid w:val="7B70248C"/>
    <w:rsid w:val="7B932C66"/>
    <w:rsid w:val="7BB02559"/>
    <w:rsid w:val="7BF0782B"/>
    <w:rsid w:val="7C05359C"/>
    <w:rsid w:val="7CF11279"/>
    <w:rsid w:val="7D0275D8"/>
    <w:rsid w:val="7D897D88"/>
    <w:rsid w:val="7DB96803"/>
    <w:rsid w:val="7E2852A2"/>
    <w:rsid w:val="7E605563"/>
    <w:rsid w:val="7EAA408B"/>
    <w:rsid w:val="7EC478BA"/>
    <w:rsid w:val="7EDF4571"/>
    <w:rsid w:val="7F114FA7"/>
    <w:rsid w:val="7F1F28DF"/>
    <w:rsid w:val="7F280353"/>
    <w:rsid w:val="7F350E03"/>
    <w:rsid w:val="7F6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widowControl w:val="0"/>
      <w:ind w:firstLine="600" w:firstLineChars="600"/>
      <w:outlineLvl w:val="3"/>
    </w:pPr>
    <w:rPr>
      <w:rFonts w:ascii="宋体"/>
      <w:sz w:val="28"/>
    </w:rPr>
  </w:style>
  <w:style w:type="character" w:default="1" w:styleId="21">
    <w:name w:val="Default Paragraph Font"/>
    <w:link w:val="22"/>
    <w:semiHidden/>
    <w:qFormat/>
    <w:uiPriority w:val="0"/>
    <w:rPr>
      <w:rFonts w:eastAsia="方正仿宋简体"/>
      <w:sz w:val="32"/>
      <w:szCs w:val="21"/>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8">
    <w:name w:val="Normal Indent"/>
    <w:basedOn w:val="1"/>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footer"/>
    <w:basedOn w:val="1"/>
    <w:link w:val="3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line="360" w:lineRule="auto"/>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link w:val="21"/>
    <w:qFormat/>
    <w:uiPriority w:val="0"/>
    <w:rPr>
      <w:rFonts w:eastAsia="方正仿宋简体"/>
      <w:sz w:val="32"/>
      <w:szCs w:val="21"/>
    </w:rPr>
  </w:style>
  <w:style w:type="character" w:styleId="23">
    <w:name w:val="annotation reference"/>
    <w:basedOn w:val="21"/>
    <w:semiHidden/>
    <w:qFormat/>
    <w:uiPriority w:val="0"/>
    <w:rPr>
      <w:sz w:val="21"/>
      <w:szCs w:val="21"/>
    </w:rPr>
  </w:style>
  <w:style w:type="paragraph" w:customStyle="1" w:styleId="24">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5">
    <w:name w:val="表格"/>
    <w:basedOn w:val="1"/>
    <w:qFormat/>
    <w:uiPriority w:val="0"/>
    <w:pPr>
      <w:widowControl/>
      <w:snapToGrid w:val="0"/>
      <w:jc w:val="center"/>
    </w:pPr>
    <w:rPr>
      <w:kern w:val="0"/>
    </w:rPr>
  </w:style>
  <w:style w:type="paragraph" w:customStyle="1" w:styleId="26">
    <w:name w:val="简单回函地址"/>
    <w:basedOn w:val="1"/>
    <w:qFormat/>
    <w:uiPriority w:val="0"/>
  </w:style>
  <w:style w:type="paragraph" w:customStyle="1" w:styleId="27">
    <w:name w:val="居中"/>
    <w:basedOn w:val="1"/>
    <w:qFormat/>
    <w:uiPriority w:val="0"/>
    <w:pPr>
      <w:jc w:val="center"/>
    </w:pPr>
    <w:rPr>
      <w:rFonts w:ascii="宋体" w:hAnsi="宋体"/>
      <w:color w:val="000000"/>
      <w:sz w:val="21"/>
    </w:rPr>
  </w:style>
  <w:style w:type="character" w:customStyle="1" w:styleId="28">
    <w:name w:val="zw1"/>
    <w:basedOn w:val="21"/>
    <w:qFormat/>
    <w:uiPriority w:val="0"/>
    <w:rPr>
      <w:rFonts w:hint="eastAsia" w:ascii="宋体" w:hAnsi="宋体" w:eastAsia="宋体"/>
      <w:sz w:val="22"/>
      <w:szCs w:val="22"/>
    </w:rPr>
  </w:style>
  <w:style w:type="character" w:customStyle="1" w:styleId="29">
    <w:name w:val="正文1"/>
    <w:basedOn w:val="21"/>
    <w:qFormat/>
    <w:uiPriority w:val="0"/>
    <w:rPr>
      <w:rFonts w:hint="eastAsia" w:ascii="宋体" w:hAnsi="宋体" w:eastAsia="宋体"/>
      <w:sz w:val="22"/>
      <w:szCs w:val="22"/>
    </w:rPr>
  </w:style>
  <w:style w:type="paragraph" w:customStyle="1" w:styleId="30">
    <w:name w:val="Body text|2"/>
    <w:basedOn w:val="1"/>
    <w:qFormat/>
    <w:uiPriority w:val="0"/>
    <w:pPr>
      <w:widowControl w:val="0"/>
      <w:shd w:val="clear" w:color="auto" w:fill="FFFFFF"/>
      <w:spacing w:line="242" w:lineRule="exact"/>
    </w:pPr>
    <w:rPr>
      <w:rFonts w:ascii="PMingLiU" w:hAnsi="PMingLiU" w:eastAsia="PMingLiU" w:cs="PMingLiU"/>
      <w:sz w:val="13"/>
      <w:szCs w:val="13"/>
      <w:u w:val="none"/>
    </w:rPr>
  </w:style>
  <w:style w:type="character" w:customStyle="1" w:styleId="31">
    <w:name w:val="页脚 Char"/>
    <w:link w:val="13"/>
    <w:qFormat/>
    <w:uiPriority w:val="99"/>
    <w:rPr>
      <w:sz w:val="18"/>
    </w:rPr>
  </w:style>
  <w:style w:type="paragraph" w:customStyle="1" w:styleId="32">
    <w:name w:val="【表头】"/>
    <w:basedOn w:val="1"/>
    <w:qFormat/>
    <w:uiPriority w:val="0"/>
    <w:pPr>
      <w:spacing w:line="360" w:lineRule="auto"/>
      <w:jc w:val="center"/>
    </w:pPr>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1111</cp:lastModifiedBy>
  <cp:lastPrinted>2019-05-14T01:57:00Z</cp:lastPrinted>
  <dcterms:modified xsi:type="dcterms:W3CDTF">2019-05-25T04:32:04Z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