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kern w:val="44"/>
          <w:sz w:val="44"/>
          <w:szCs w:val="44"/>
        </w:rPr>
      </w:pPr>
      <w:bookmarkStart w:id="0" w:name="_Toc30535"/>
      <w:bookmarkStart w:id="22" w:name="_GoBack"/>
      <w:bookmarkEnd w:id="22"/>
      <w:r>
        <w:rPr>
          <w:rFonts w:hint="eastAsia" w:ascii="宋体" w:hAnsi="宋体" w:eastAsia="宋体" w:cs="宋体"/>
          <w:b/>
          <w:bCs/>
          <w:w w:val="90"/>
          <w:sz w:val="44"/>
          <w:szCs w:val="44"/>
          <w:lang w:val="en-US" w:eastAsia="zh-CN"/>
        </w:rPr>
        <w:t>南充当代运业（集团）有限公司仪陇嘉新分公司</w:t>
      </w:r>
    </w:p>
    <w:p>
      <w:pPr>
        <w:pStyle w:val="2"/>
        <w:rPr>
          <w:rFonts w:hint="eastAsia"/>
        </w:rPr>
      </w:pPr>
      <w:bookmarkStart w:id="1" w:name="_Toc13344"/>
      <w:r>
        <w:rPr>
          <w:rFonts w:hint="eastAsia"/>
        </w:rPr>
        <w:t>突发公共卫生事件现场处置方案</w:t>
      </w:r>
      <w:bookmarkEnd w:id="0"/>
      <w:bookmarkEnd w:id="1"/>
    </w:p>
    <w:p>
      <w:pPr>
        <w:pStyle w:val="3"/>
        <w:spacing w:before="312" w:beforeLines="100"/>
        <w:rPr>
          <w:rFonts w:hint="eastAsia"/>
        </w:rPr>
      </w:pPr>
      <w:bookmarkStart w:id="2" w:name="_Toc15188"/>
      <w:bookmarkStart w:id="3" w:name="_Toc21975"/>
      <w:r>
        <w:rPr>
          <w:rFonts w:hint="eastAsia"/>
        </w:rPr>
        <w:t>1. 事件特征</w:t>
      </w:r>
      <w:bookmarkEnd w:id="2"/>
      <w:bookmarkEnd w:id="3"/>
      <w:r>
        <w:rPr>
          <w:rFonts w:hint="eastAsia"/>
        </w:rPr>
        <w:t xml:space="preserve">  </w:t>
      </w:r>
    </w:p>
    <w:p>
      <w:pPr>
        <w:spacing w:line="540" w:lineRule="exact"/>
        <w:ind w:firstLine="562" w:firstLineChars="200"/>
        <w:rPr>
          <w:rFonts w:hint="eastAsia" w:ascii="仿宋_GB2312" w:hAnsi="仿宋_GB2312" w:eastAsia="仿宋_GB2312" w:cs="仿宋_GB2312"/>
          <w:sz w:val="28"/>
          <w:szCs w:val="28"/>
        </w:rPr>
      </w:pPr>
      <w:bookmarkStart w:id="4" w:name="_Toc31104"/>
      <w:bookmarkStart w:id="5" w:name="_Toc30658"/>
      <w:r>
        <w:rPr>
          <w:rStyle w:val="9"/>
          <w:rFonts w:hint="eastAsia"/>
        </w:rPr>
        <w:t xml:space="preserve">1.1 危险性分析，可能发生的事故类型 </w:t>
      </w:r>
      <w:bookmarkEnd w:id="4"/>
      <w:bookmarkEnd w:id="5"/>
      <w:r>
        <w:rPr>
          <w:rFonts w:hint="eastAsia" w:ascii="仿宋_GB2312" w:hAnsi="仿宋_GB2312" w:eastAsia="仿宋_GB2312" w:cs="仿宋_GB2312"/>
          <w:sz w:val="28"/>
          <w:szCs w:val="28"/>
        </w:rPr>
        <w:t xml:space="preserve"> </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突发公共卫生事件是指突然发生，造成或者可能造成公司员工身心健康严重损害的重大传染病、群体性不明原因疾病、重大食物中毒、突发环境事件等。突发公共卫生事件按事件发现源头可分为公司内部突发公共卫生事件和公司外部突发公共卫生事件。  </w:t>
      </w:r>
    </w:p>
    <w:p>
      <w:pPr>
        <w:spacing w:line="540" w:lineRule="exact"/>
        <w:ind w:firstLine="562" w:firstLineChars="200"/>
        <w:rPr>
          <w:rFonts w:hint="eastAsia" w:ascii="仿宋_GB2312" w:hAnsi="仿宋_GB2312" w:eastAsia="仿宋_GB2312" w:cs="仿宋_GB2312"/>
          <w:sz w:val="28"/>
          <w:szCs w:val="28"/>
        </w:rPr>
      </w:pPr>
      <w:bookmarkStart w:id="6" w:name="_Toc8089"/>
      <w:bookmarkStart w:id="7" w:name="_Toc3423"/>
      <w:r>
        <w:rPr>
          <w:rStyle w:val="9"/>
          <w:rFonts w:hint="eastAsia"/>
        </w:rPr>
        <w:t>1.2 发生区域</w:t>
      </w:r>
      <w:bookmarkEnd w:id="6"/>
      <w:bookmarkEnd w:id="7"/>
      <w:r>
        <w:rPr>
          <w:rFonts w:hint="eastAsia" w:ascii="仿宋_GB2312" w:hAnsi="仿宋_GB2312" w:eastAsia="仿宋_GB2312" w:cs="仿宋_GB2312"/>
          <w:sz w:val="28"/>
          <w:szCs w:val="28"/>
        </w:rPr>
        <w:t xml:space="preserve">  我司客运车辆运行区域及公司内部办公场所</w:t>
      </w:r>
    </w:p>
    <w:p>
      <w:pPr>
        <w:spacing w:line="540" w:lineRule="exact"/>
        <w:ind w:firstLine="562" w:firstLineChars="200"/>
        <w:rPr>
          <w:rFonts w:hint="eastAsia" w:ascii="仿宋_GB2312" w:hAnsi="仿宋_GB2312" w:eastAsia="仿宋_GB2312" w:cs="仿宋_GB2312"/>
          <w:sz w:val="28"/>
          <w:szCs w:val="28"/>
        </w:rPr>
      </w:pPr>
      <w:bookmarkStart w:id="8" w:name="_Toc14246"/>
      <w:bookmarkStart w:id="9" w:name="_Toc32477"/>
      <w:r>
        <w:rPr>
          <w:rStyle w:val="9"/>
          <w:rFonts w:hint="eastAsia"/>
        </w:rPr>
        <w:t>1.3 事故可能发生的季节及危害程度</w:t>
      </w:r>
      <w:bookmarkEnd w:id="8"/>
      <w:bookmarkEnd w:id="9"/>
      <w:r>
        <w:rPr>
          <w:rFonts w:hint="eastAsia" w:ascii="仿宋_GB2312" w:hAnsi="仿宋_GB2312" w:eastAsia="仿宋_GB2312" w:cs="仿宋_GB2312"/>
          <w:sz w:val="28"/>
          <w:szCs w:val="28"/>
        </w:rPr>
        <w:t xml:space="preserve">  </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突发公共卫生事件无明显的季节性，一旦发生，可能造成重大的人员伤亡或财产损失。  </w:t>
      </w:r>
    </w:p>
    <w:p>
      <w:pPr>
        <w:pStyle w:val="4"/>
        <w:rPr>
          <w:rFonts w:hint="eastAsia"/>
        </w:rPr>
      </w:pPr>
      <w:bookmarkStart w:id="10" w:name="_Toc3047"/>
      <w:bookmarkStart w:id="11" w:name="_Toc26131"/>
      <w:r>
        <w:rPr>
          <w:rFonts w:hint="eastAsia"/>
        </w:rPr>
        <w:t>1.4 事故前可能出现的征兆</w:t>
      </w:r>
      <w:bookmarkEnd w:id="10"/>
      <w:bookmarkEnd w:id="11"/>
      <w:r>
        <w:rPr>
          <w:rFonts w:hint="eastAsia"/>
        </w:rPr>
        <w:t xml:space="preserve">  </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水质恶化、食品安全与卫生指标不合格、大气污染及有害作业环境、重大传染病疫情等为常见的影响健康的因素，若不采取相应措施，可能会造成突发公共卫生事件。 </w:t>
      </w:r>
    </w:p>
    <w:p>
      <w:pPr>
        <w:pStyle w:val="3"/>
        <w:rPr>
          <w:rFonts w:hint="eastAsia"/>
        </w:rPr>
      </w:pPr>
      <w:bookmarkStart w:id="12" w:name="_Toc18332"/>
      <w:bookmarkStart w:id="13" w:name="_Toc3422"/>
      <w:r>
        <w:rPr>
          <w:rFonts w:hint="eastAsia"/>
          <w:lang w:val="en-US" w:eastAsia="zh-CN"/>
        </w:rPr>
        <w:t>2</w:t>
      </w:r>
      <w:r>
        <w:rPr>
          <w:rFonts w:hint="eastAsia"/>
        </w:rPr>
        <w:t>. 应急处置</w:t>
      </w:r>
      <w:bookmarkEnd w:id="12"/>
      <w:bookmarkEnd w:id="13"/>
      <w:r>
        <w:rPr>
          <w:rFonts w:hint="eastAsia"/>
        </w:rPr>
        <w:t xml:space="preserve">  </w:t>
      </w:r>
    </w:p>
    <w:p>
      <w:pPr>
        <w:pStyle w:val="4"/>
        <w:rPr>
          <w:rFonts w:hint="eastAsia"/>
        </w:rPr>
      </w:pPr>
      <w:bookmarkStart w:id="14" w:name="_Toc13039"/>
      <w:bookmarkStart w:id="15" w:name="_Toc515"/>
      <w:r>
        <w:rPr>
          <w:rFonts w:hint="eastAsia"/>
          <w:lang w:val="en-US" w:eastAsia="zh-CN"/>
        </w:rPr>
        <w:t>2</w:t>
      </w:r>
      <w:r>
        <w:rPr>
          <w:rFonts w:hint="eastAsia"/>
        </w:rPr>
        <w:t>．1 报警及报告</w:t>
      </w:r>
      <w:bookmarkEnd w:id="14"/>
      <w:bookmarkEnd w:id="15"/>
    </w:p>
    <w:p>
      <w:pPr>
        <w:spacing w:line="54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.1.1 当发生突发公共卫生事件时，车辆经营者、驾驶员应当按有关规定及时向公司突发公共卫生事件应急领导小组办公室报告。</w:t>
      </w:r>
    </w:p>
    <w:p>
      <w:pPr>
        <w:spacing w:line="54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.1.2</w:t>
      </w:r>
      <w:r>
        <w:rPr>
          <w:rFonts w:hint="eastAsia" w:ascii="仿宋_GB2312" w:eastAsia="仿宋_GB2312"/>
          <w:sz w:val="28"/>
          <w:szCs w:val="28"/>
        </w:rPr>
        <w:t>公司突发公共卫生事件应急领导小组</w:t>
      </w:r>
      <w:r>
        <w:rPr>
          <w:rFonts w:hint="eastAsia" w:ascii="仿宋_GB2312" w:hAnsi="仿宋_GB2312" w:eastAsia="仿宋_GB2312" w:cs="仿宋_GB2312"/>
          <w:sz w:val="28"/>
          <w:szCs w:val="28"/>
        </w:rPr>
        <w:t>接到有关突发事件的报告后，应当在接到报告后1小时内向属地行业管理部门、卫生部门及集团公司报告，根据卫生行政主管部门的要求，立即采取有关预防和控制措施，并配合卫生行政主管部门组织有关人员对报告事项调查核实、确证，采取必要的控制措施。</w:t>
      </w:r>
    </w:p>
    <w:p>
      <w:pPr>
        <w:pStyle w:val="5"/>
        <w:widowControl w:val="0"/>
        <w:shd w:val="clear" w:color="auto" w:fill="FFFFFF"/>
        <w:spacing w:line="54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.1.3</w:t>
      </w:r>
      <w:r>
        <w:rPr>
          <w:rFonts w:hint="eastAsia" w:ascii="仿宋_GB2312" w:eastAsia="仿宋_GB2312"/>
          <w:sz w:val="28"/>
          <w:szCs w:val="28"/>
        </w:rPr>
        <w:t>公司突发公共卫生事件应急领导小组应当在首次初步调查结束后2小时内，向行业管理部门、集团公司报告突发事件的有关调查情况</w:t>
      </w:r>
      <w:r>
        <w:rPr>
          <w:rFonts w:hint="eastAsia" w:ascii="仿宋_GB2312" w:hAnsi="仿宋_GB2312" w:eastAsia="仿宋_GB2312" w:cs="仿宋_GB2312"/>
          <w:sz w:val="28"/>
          <w:szCs w:val="28"/>
        </w:rPr>
        <w:t>。</w:t>
      </w:r>
    </w:p>
    <w:p>
      <w:pPr>
        <w:spacing w:line="54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.1.4 报送、报告突发公共卫生事件信息，应做到及时、客观、真实，不得迟报、谎报、瞒报、漏报。</w:t>
      </w:r>
    </w:p>
    <w:p>
      <w:pPr>
        <w:pStyle w:val="4"/>
        <w:rPr>
          <w:rFonts w:hint="eastAsia"/>
        </w:rPr>
      </w:pPr>
      <w:bookmarkStart w:id="16" w:name="_Toc18705"/>
      <w:bookmarkStart w:id="17" w:name="_Toc1390"/>
      <w:r>
        <w:rPr>
          <w:rFonts w:hint="eastAsia"/>
          <w:lang w:val="en-US" w:eastAsia="zh-CN"/>
        </w:rPr>
        <w:t>2</w:t>
      </w:r>
      <w:r>
        <w:rPr>
          <w:rFonts w:hint="eastAsia"/>
        </w:rPr>
        <w:t>.2 事故应急处置程序</w:t>
      </w:r>
      <w:bookmarkEnd w:id="16"/>
      <w:bookmarkEnd w:id="17"/>
      <w:r>
        <w:rPr>
          <w:rFonts w:hint="eastAsia"/>
        </w:rPr>
        <w:t xml:space="preserve">  </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.2.1 公司有关部门接到内部突发公共卫生事件信息或收到政府相关部门外部此类信息通报后，应根据事态发展趋势，立即组织分析研判，及时向应急领导小组报告，并提出相应建议。  </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.2.2 根据突发公共卫生事件类型和级别，公司启动突发公共卫生事件应急处置预案。  </w:t>
      </w:r>
    </w:p>
    <w:p>
      <w:pPr>
        <w:spacing w:line="540" w:lineRule="exact"/>
        <w:ind w:firstLine="562" w:firstLineChars="200"/>
        <w:rPr>
          <w:rFonts w:hint="eastAsia" w:ascii="仿宋_GB2312" w:hAnsi="仿宋_GB2312" w:eastAsia="仿宋_GB2312" w:cs="仿宋_GB2312"/>
          <w:sz w:val="28"/>
          <w:szCs w:val="28"/>
        </w:rPr>
      </w:pPr>
      <w:bookmarkStart w:id="18" w:name="_Toc19615"/>
      <w:bookmarkStart w:id="19" w:name="_Toc12729"/>
      <w:r>
        <w:rPr>
          <w:rStyle w:val="9"/>
          <w:rFonts w:hint="eastAsia"/>
        </w:rPr>
        <w:t xml:space="preserve">3.3 现场应急处置措施 </w:t>
      </w:r>
      <w:bookmarkEnd w:id="18"/>
      <w:bookmarkEnd w:id="19"/>
      <w:r>
        <w:rPr>
          <w:rFonts w:hint="eastAsia" w:ascii="仿宋_GB2312" w:hAnsi="仿宋_GB2312" w:eastAsia="仿宋_GB2312" w:cs="仿宋_GB2312"/>
          <w:sz w:val="28"/>
          <w:szCs w:val="28"/>
        </w:rPr>
        <w:t xml:space="preserve"> </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.3.1 组织协调公司各部门参与突发公共卫生事件的处理。  </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.3.2 根据突发公共卫生事件处理需要，调集公司各部门人员、物资、交通工具和相关的设施、设备参加应急处理工作。涉及危险化学品管理和运输安全的，公司要严格执行相关的规定，防止事故发生。   </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.3.3 划定控制区域：甲类、乙类传播暴发、流行时，经当地有关部门及公司同意、可以宣布疫区范围，可以对本单位生产场所范围及办公区域、车辆实施封锁。对食物和职业中毒事故，根据污染食品扩散和职业危害因素波及的范围，划定控制区域。   </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.3.4 疫情控制措施：公司可以采取停业、限制，封闭或封存传染病病原体污染的公共饮水源、食品以及相关物品、车辆等紧急措施。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.3.5 人员管理：对单位人员、旅客采取预防工作，落实各项控制措施，对传染病病人采取就地隔离、就地观察、就地治疗的措施。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.3.6 实施交通卫生检疫：配合交通、卫生等部门设置临时交通卫生检疫站对进出疫区和运行中的交通工具及其乘运人员和物资、宿主动物进行检疫查验，对病人、疑似病人及密切接触者实施临时隔离、留验。</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.3.7 信息发布：突发公共卫生事件发生后，公司要配合当地管理部门按照有关规定做好信息发布工作，信息发布要实事求是，正确引导舆论，注重社会效果。   </w:t>
      </w:r>
    </w:p>
    <w:p>
      <w:pPr>
        <w:pStyle w:val="3"/>
        <w:rPr>
          <w:rFonts w:hint="eastAsia"/>
        </w:rPr>
      </w:pPr>
      <w:bookmarkStart w:id="20" w:name="_Toc24032"/>
      <w:bookmarkStart w:id="21" w:name="_Toc8392"/>
      <w:r>
        <w:rPr>
          <w:rFonts w:hint="eastAsia"/>
          <w:lang w:val="en-US" w:eastAsia="zh-CN"/>
        </w:rPr>
        <w:t>3</w:t>
      </w:r>
      <w:r>
        <w:rPr>
          <w:rFonts w:hint="eastAsia"/>
        </w:rPr>
        <w:t>. 注意事项</w:t>
      </w:r>
      <w:bookmarkEnd w:id="20"/>
      <w:bookmarkEnd w:id="21"/>
      <w:r>
        <w:rPr>
          <w:rFonts w:hint="eastAsia"/>
        </w:rPr>
        <w:t xml:space="preserve">  </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.1 突发公共卫生事件应急响应结束后，公司应急领导小组制定善后处置方案。 </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.2 做好人员救助、设备修复，应急队伍和应急物资的调度工作。 </w:t>
      </w:r>
    </w:p>
    <w:p>
      <w:pPr>
        <w:spacing w:line="540" w:lineRule="exact"/>
        <w:ind w:firstLine="560" w:firstLineChars="200"/>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.3 尽快处理善后工作，尽快组织各项工作回复常态运行。</w:t>
      </w:r>
    </w:p>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651E55"/>
    <w:rsid w:val="18065CDC"/>
    <w:rsid w:val="40651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240" w:lineRule="auto"/>
      <w:jc w:val="center"/>
      <w:outlineLvl w:val="0"/>
    </w:pPr>
    <w:rPr>
      <w:rFonts w:eastAsia="黑体"/>
      <w:b/>
      <w:bCs/>
      <w:color w:val="000000"/>
      <w:kern w:val="44"/>
      <w:sz w:val="44"/>
      <w:szCs w:val="44"/>
    </w:rPr>
  </w:style>
  <w:style w:type="paragraph" w:styleId="3">
    <w:name w:val="heading 2"/>
    <w:basedOn w:val="1"/>
    <w:next w:val="1"/>
    <w:unhideWhenUsed/>
    <w:qFormat/>
    <w:uiPriority w:val="0"/>
    <w:pPr>
      <w:keepNext/>
      <w:keepLines/>
      <w:spacing w:beforeLines="0" w:afterLines="0" w:line="240" w:lineRule="auto"/>
      <w:jc w:val="center"/>
      <w:outlineLvl w:val="1"/>
    </w:pPr>
    <w:rPr>
      <w:rFonts w:ascii="Arial" w:hAnsi="Arial" w:eastAsia="仿宋_GB2312"/>
      <w:b/>
      <w:bCs/>
      <w:sz w:val="28"/>
      <w:szCs w:val="32"/>
    </w:rPr>
  </w:style>
  <w:style w:type="paragraph" w:styleId="4">
    <w:name w:val="heading 3"/>
    <w:basedOn w:val="1"/>
    <w:next w:val="1"/>
    <w:link w:val="9"/>
    <w:unhideWhenUsed/>
    <w:qFormat/>
    <w:uiPriority w:val="0"/>
    <w:pPr>
      <w:keepNext/>
      <w:keepLines/>
      <w:spacing w:line="520" w:lineRule="exact"/>
      <w:ind w:left="630" w:leftChars="300"/>
      <w:outlineLvl w:val="2"/>
    </w:pPr>
    <w:rPr>
      <w:rFonts w:eastAsia="仿宋_GB2312"/>
      <w:b/>
      <w:bCs/>
      <w:sz w:val="28"/>
      <w:szCs w:val="28"/>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qFormat/>
    <w:uiPriority w:val="0"/>
    <w:pPr>
      <w:widowControl/>
      <w:jc w:val="left"/>
    </w:pPr>
    <w:rPr>
      <w:rFonts w:ascii="宋体" w:hAnsi="宋体" w:cs="宋体"/>
      <w:kern w:val="0"/>
      <w:sz w:val="24"/>
    </w:rPr>
  </w:style>
  <w:style w:type="paragraph" w:customStyle="1" w:styleId="8">
    <w:name w:val="noindent"/>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标题 3 Char"/>
    <w:link w:val="4"/>
    <w:uiPriority w:val="0"/>
    <w:rPr>
      <w:rFonts w:eastAsia="仿宋_GB2312"/>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2019-05-29T09:46:00Z</dcterms:created>
  <dc:creator>南极总督</dc:creator>
  <cp:lastModifiedBy>南极总督</cp:lastModifiedBy>
  <dcterms:modified xsi:type="dcterms:W3CDTF">2019-05-29T10:00:07Z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