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textAlignment w:val="baseline"/>
        <w:rPr>
          <w:rFonts w:hint="eastAsia" w:ascii="黑体" w:eastAsia="黑体"/>
          <w:sz w:val="34"/>
          <w:szCs w:val="34"/>
        </w:rPr>
      </w:pPr>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rPr>
      </w:pPr>
      <w:bookmarkStart w:id="0" w:name="_Toc3470"/>
      <w:bookmarkStart w:id="1" w:name="_Toc15559"/>
      <w:bookmarkStart w:id="54" w:name="_GoBack"/>
      <w:r>
        <w:rPr>
          <w:rFonts w:hint="eastAsia"/>
        </w:rPr>
        <w:t>车辆自燃事故应急预案</w:t>
      </w:r>
      <w:bookmarkEnd w:id="0"/>
      <w:bookmarkEnd w:id="1"/>
    </w:p>
    <w:bookmarkEnd w:id="54"/>
    <w:p>
      <w:pPr>
        <w:pStyle w:val="3"/>
        <w:rPr>
          <w:rFonts w:hint="eastAsia"/>
        </w:rPr>
      </w:pPr>
      <w:bookmarkStart w:id="2" w:name="_Toc480817567"/>
      <w:bookmarkStart w:id="3" w:name="_Toc7716"/>
      <w:bookmarkStart w:id="4" w:name="_Toc11696"/>
      <w:r>
        <w:rPr>
          <w:rFonts w:hint="eastAsia"/>
        </w:rPr>
        <w:t>1. 事故类型和危害程度分析</w:t>
      </w:r>
      <w:bookmarkEnd w:id="2"/>
      <w:bookmarkEnd w:id="3"/>
      <w:bookmarkEnd w:id="4"/>
    </w:p>
    <w:p>
      <w:pPr>
        <w:pStyle w:val="4"/>
        <w:rPr>
          <w:rFonts w:hint="eastAsia"/>
        </w:rPr>
      </w:pPr>
      <w:bookmarkStart w:id="5" w:name="_Toc14852"/>
      <w:bookmarkStart w:id="6" w:name="_Toc19069"/>
      <w:r>
        <w:rPr>
          <w:rFonts w:hint="eastAsia"/>
        </w:rPr>
        <w:t>1.1 车辆原因</w:t>
      </w:r>
      <w:bookmarkEnd w:id="5"/>
      <w:bookmarkEnd w:id="6"/>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车辆漏电、短路、漏油等车辆质量问题容易造成车辆自燃起火。</w:t>
      </w:r>
    </w:p>
    <w:p>
      <w:pPr>
        <w:pStyle w:val="4"/>
        <w:rPr>
          <w:rFonts w:hint="eastAsia"/>
        </w:rPr>
      </w:pPr>
      <w:bookmarkStart w:id="7" w:name="_Toc105"/>
      <w:bookmarkStart w:id="8" w:name="_Toc19819"/>
      <w:r>
        <w:rPr>
          <w:rFonts w:hint="eastAsia"/>
        </w:rPr>
        <w:t>1.2 人为原因</w:t>
      </w:r>
      <w:bookmarkEnd w:id="7"/>
      <w:bookmarkEnd w:id="8"/>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夏季时，将车放置阳光底下暴晒，或者将一次性打火机放置车内都易引发火灾事故的发生，打火机不可放仪表台上。</w:t>
      </w:r>
    </w:p>
    <w:p>
      <w:pPr>
        <w:pStyle w:val="4"/>
        <w:rPr>
          <w:rFonts w:hint="eastAsia"/>
        </w:rPr>
      </w:pPr>
      <w:bookmarkStart w:id="9" w:name="_Toc5726"/>
      <w:bookmarkStart w:id="10" w:name="_Toc212"/>
      <w:r>
        <w:rPr>
          <w:rFonts w:hint="eastAsia"/>
        </w:rPr>
        <w:t>1.3 季节性原因</w:t>
      </w:r>
      <w:bookmarkEnd w:id="9"/>
      <w:bookmarkEnd w:id="10"/>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夏季高温天气，冬季干冷的天气，都易造成车辆发生自燃的事情。</w:t>
      </w:r>
    </w:p>
    <w:p>
      <w:pPr>
        <w:pStyle w:val="3"/>
        <w:rPr>
          <w:rFonts w:hint="eastAsia"/>
        </w:rPr>
      </w:pPr>
      <w:bookmarkStart w:id="11" w:name="_Toc480817568"/>
      <w:bookmarkStart w:id="12" w:name="_Toc13187"/>
      <w:bookmarkStart w:id="13" w:name="_Toc6510"/>
      <w:r>
        <w:rPr>
          <w:rFonts w:hint="eastAsia"/>
        </w:rPr>
        <w:t>2. 应急处置基本原则</w:t>
      </w:r>
      <w:bookmarkEnd w:id="11"/>
      <w:bookmarkEnd w:id="12"/>
      <w:bookmarkEnd w:id="13"/>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应急处置遵循“安全为主，预防第一，防治结合”的原则。</w:t>
      </w:r>
    </w:p>
    <w:p>
      <w:pPr>
        <w:pStyle w:val="3"/>
        <w:rPr>
          <w:rFonts w:hint="eastAsia"/>
        </w:rPr>
      </w:pPr>
      <w:bookmarkStart w:id="14" w:name="_Toc480817569"/>
      <w:bookmarkStart w:id="15" w:name="_Toc12215"/>
      <w:bookmarkStart w:id="16" w:name="_Toc16588"/>
      <w:r>
        <w:rPr>
          <w:rFonts w:hint="eastAsia"/>
        </w:rPr>
        <w:t>3. 组织结构及职责</w:t>
      </w:r>
      <w:bookmarkEnd w:id="14"/>
      <w:bookmarkEnd w:id="15"/>
      <w:bookmarkEnd w:id="16"/>
    </w:p>
    <w:p>
      <w:pPr>
        <w:pStyle w:val="4"/>
        <w:rPr>
          <w:rFonts w:hint="eastAsia"/>
        </w:rPr>
      </w:pPr>
      <w:bookmarkStart w:id="17" w:name="_Toc11809"/>
      <w:bookmarkStart w:id="18" w:name="_Toc6686"/>
      <w:r>
        <w:rPr>
          <w:rFonts w:hint="eastAsia"/>
        </w:rPr>
        <w:t>3.1 组织结构</w:t>
      </w:r>
      <w:bookmarkEnd w:id="17"/>
      <w:bookmarkEnd w:id="18"/>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组   长：     何仁述（经理）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常务副组长：  任  杰（分管安全副经理）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副组长：      李方平（分管技术副经理）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王兴华（分管营运副经理）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成  员：    黄昭燕（安全科长）</w:t>
      </w:r>
      <w:r>
        <w:rPr>
          <w:rFonts w:hint="eastAsia" w:ascii="仿宋_GB2312" w:hAnsi="仿宋_GB2312" w:eastAsia="仿宋_GB2312"/>
          <w:kern w:val="0"/>
          <w:sz w:val="28"/>
          <w:szCs w:val="28"/>
          <w:lang w:eastAsia="zh-CN"/>
        </w:rPr>
        <w:t>、</w:t>
      </w:r>
      <w:r>
        <w:rPr>
          <w:rFonts w:hint="eastAsia" w:ascii="仿宋_GB2312" w:hAnsi="仿宋_GB2312" w:eastAsia="仿宋_GB2312"/>
          <w:kern w:val="0"/>
          <w:sz w:val="28"/>
          <w:szCs w:val="28"/>
        </w:rPr>
        <w:t>王军霖（办公室主任）</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林  森（财务科长）</w:t>
      </w: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（营运</w:t>
      </w:r>
      <w:r>
        <w:rPr>
          <w:rFonts w:hint="eastAsia" w:ascii="仿宋_GB2312" w:hAnsi="仿宋_GB2312" w:eastAsia="仿宋_GB2312"/>
          <w:kern w:val="0"/>
          <w:sz w:val="28"/>
          <w:szCs w:val="28"/>
          <w:lang w:eastAsia="zh-CN"/>
        </w:rPr>
        <w:t>科长</w:t>
      </w:r>
      <w:r>
        <w:rPr>
          <w:rFonts w:hint="eastAsia" w:ascii="仿宋_GB2312" w:hAnsi="仿宋_GB2312" w:eastAsia="仿宋_GB2312"/>
          <w:kern w:val="0"/>
          <w:sz w:val="28"/>
          <w:szCs w:val="28"/>
        </w:rPr>
        <w:t>）</w:t>
      </w:r>
    </w:p>
    <w:p>
      <w:pPr>
        <w:pageBreakBefore w:val="0"/>
        <w:widowControl w:val="0"/>
        <w:kinsoku/>
        <w:wordWrap/>
        <w:overflowPunct/>
        <w:topLinePunct w:val="0"/>
        <w:autoSpaceDE/>
        <w:autoSpaceDN/>
        <w:bidi w:val="0"/>
        <w:adjustRightInd/>
        <w:snapToGrid/>
        <w:spacing w:beforeAutospacing="0" w:afterAutospacing="0" w:line="500" w:lineRule="exact"/>
        <w:ind w:firstLine="2240" w:firstLineChars="80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何仕明（财务会计）</w:t>
      </w: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（技术科</w:t>
      </w:r>
      <w:r>
        <w:rPr>
          <w:rFonts w:hint="eastAsia" w:ascii="仿宋_GB2312" w:hAnsi="仿宋_GB2312" w:eastAsia="仿宋_GB2312"/>
          <w:kern w:val="0"/>
          <w:sz w:val="28"/>
          <w:szCs w:val="28"/>
          <w:lang w:eastAsia="zh-CN"/>
        </w:rPr>
        <w:t>车管员</w:t>
      </w:r>
      <w:r>
        <w:rPr>
          <w:rFonts w:hint="eastAsia" w:ascii="仿宋_GB2312" w:hAnsi="仿宋_GB2312" w:eastAsia="仿宋_GB2312"/>
          <w:kern w:val="0"/>
          <w:sz w:val="28"/>
          <w:szCs w:val="28"/>
        </w:rPr>
        <w:t>）</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祝发荣、</w:t>
      </w:r>
      <w:r>
        <w:rPr>
          <w:rFonts w:hint="eastAsia" w:ascii="仿宋_GB2312" w:hAnsi="仿宋_GB2312" w:eastAsia="仿宋_GB2312"/>
          <w:kern w:val="0"/>
          <w:sz w:val="28"/>
          <w:szCs w:val="28"/>
          <w:lang w:eastAsia="zh-CN"/>
        </w:rPr>
        <w:t>许万芳</w:t>
      </w:r>
      <w:r>
        <w:rPr>
          <w:rFonts w:hint="eastAsia" w:ascii="仿宋_GB2312" w:hAnsi="仿宋_GB2312" w:eastAsia="仿宋_GB2312"/>
          <w:kern w:val="0"/>
          <w:sz w:val="28"/>
          <w:szCs w:val="28"/>
        </w:rPr>
        <w:t>、王亮（安全管理人员）</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cs="仿宋_GB2312"/>
          <w:sz w:val="28"/>
          <w:szCs w:val="28"/>
        </w:rPr>
        <w:t>当出现</w:t>
      </w:r>
      <w:r>
        <w:rPr>
          <w:rFonts w:hint="eastAsia" w:ascii="仿宋_GB2312" w:hAnsi="仿宋_GB2312" w:eastAsia="仿宋_GB2312" w:cs="仿宋_GB2312"/>
          <w:sz w:val="28"/>
          <w:szCs w:val="28"/>
          <w:lang w:eastAsia="zh-CN"/>
        </w:rPr>
        <w:t>突发状况</w:t>
      </w:r>
      <w:r>
        <w:rPr>
          <w:rFonts w:hint="eastAsia" w:ascii="仿宋_GB2312" w:hAnsi="仿宋_GB2312" w:eastAsia="仿宋_GB2312" w:cs="仿宋_GB2312"/>
          <w:sz w:val="28"/>
          <w:szCs w:val="28"/>
        </w:rPr>
        <w:t>时，若组长不在，由常务副组长担任应急组组长，负责处理应急事宜，组长及副组长都不在，则由应急组中职务最高的组员临时担任组长，负责处理应急事宜。</w:t>
      </w:r>
    </w:p>
    <w:p>
      <w:pPr>
        <w:pStyle w:val="4"/>
        <w:rPr>
          <w:rFonts w:hint="eastAsia"/>
        </w:rPr>
      </w:pPr>
      <w:bookmarkStart w:id="19" w:name="_Toc20476"/>
      <w:bookmarkStart w:id="20" w:name="_Toc24544"/>
      <w:r>
        <w:rPr>
          <w:rFonts w:hint="eastAsia"/>
        </w:rPr>
        <w:t>3.2 职责</w:t>
      </w:r>
      <w:bookmarkEnd w:id="19"/>
      <w:bookmarkEnd w:id="20"/>
    </w:p>
    <w:p>
      <w:pPr>
        <w:spacing w:line="560" w:lineRule="exact"/>
        <w:ind w:firstLine="560"/>
        <w:rPr>
          <w:rFonts w:hint="eastAsia" w:ascii="仿宋_GB2312" w:hAnsi="仿宋_GB2312" w:eastAsia="仿宋_GB2312"/>
          <w:kern w:val="0"/>
          <w:sz w:val="28"/>
          <w:szCs w:val="28"/>
        </w:rPr>
      </w:pPr>
      <w:bookmarkStart w:id="21" w:name="_Toc480817570"/>
      <w:bookmarkStart w:id="22" w:name="_Toc28817"/>
      <w:r>
        <w:rPr>
          <w:rFonts w:hint="eastAsia" w:ascii="仿宋_GB2312" w:hAnsi="仿宋_GB2312" w:eastAsia="仿宋_GB2312"/>
          <w:kern w:val="0"/>
          <w:sz w:val="28"/>
          <w:szCs w:val="28"/>
          <w:lang w:eastAsia="zh-CN"/>
        </w:rPr>
        <w:t>应急</w:t>
      </w:r>
      <w:r>
        <w:rPr>
          <w:rFonts w:hint="eastAsia" w:ascii="仿宋_GB2312" w:hAnsi="仿宋_GB2312" w:eastAsia="仿宋_GB2312"/>
          <w:kern w:val="0"/>
          <w:sz w:val="28"/>
          <w:szCs w:val="28"/>
        </w:rPr>
        <w:t>指挥部下设四个</w:t>
      </w:r>
      <w:r>
        <w:rPr>
          <w:rFonts w:hint="eastAsia" w:ascii="仿宋_GB2312" w:hAnsi="仿宋_GB2312" w:eastAsia="仿宋_GB2312"/>
          <w:kern w:val="0"/>
          <w:sz w:val="28"/>
          <w:szCs w:val="28"/>
          <w:lang w:eastAsia="zh-CN"/>
        </w:rPr>
        <w:t>应急职能</w:t>
      </w:r>
      <w:r>
        <w:rPr>
          <w:rFonts w:hint="eastAsia" w:ascii="仿宋_GB2312" w:hAnsi="仿宋_GB2312" w:eastAsia="仿宋_GB2312"/>
          <w:kern w:val="0"/>
          <w:sz w:val="28"/>
          <w:szCs w:val="28"/>
        </w:rPr>
        <w:t>小组：指挥部下设四个</w:t>
      </w:r>
      <w:r>
        <w:rPr>
          <w:rFonts w:hint="eastAsia" w:ascii="仿宋_GB2312" w:hAnsi="仿宋_GB2312" w:eastAsia="仿宋_GB2312"/>
          <w:kern w:val="0"/>
          <w:sz w:val="28"/>
          <w:szCs w:val="28"/>
          <w:lang w:eastAsia="zh-CN"/>
        </w:rPr>
        <w:t>应急职能</w:t>
      </w:r>
      <w:r>
        <w:rPr>
          <w:rFonts w:hint="eastAsia" w:ascii="仿宋_GB2312" w:hAnsi="仿宋_GB2312" w:eastAsia="仿宋_GB2312"/>
          <w:kern w:val="0"/>
          <w:sz w:val="28"/>
          <w:szCs w:val="28"/>
        </w:rPr>
        <w:t>小组：</w:t>
      </w:r>
      <w:r>
        <w:rPr>
          <w:rFonts w:hint="eastAsia" w:ascii="仿宋_GB2312" w:hAnsi="仿宋_GB2312" w:eastAsia="仿宋_GB2312"/>
          <w:kern w:val="0"/>
          <w:sz w:val="28"/>
          <w:szCs w:val="28"/>
          <w:lang w:eastAsia="zh-CN"/>
        </w:rPr>
        <w:t>综合协调组、</w:t>
      </w:r>
      <w:r>
        <w:rPr>
          <w:rFonts w:hint="eastAsia" w:ascii="仿宋" w:hAnsi="仿宋" w:eastAsia="仿宋" w:cs="仿宋"/>
          <w:b w:val="0"/>
          <w:bCs w:val="0"/>
          <w:kern w:val="0"/>
          <w:sz w:val="28"/>
          <w:szCs w:val="28"/>
        </w:rPr>
        <w:t>现场抢救组</w:t>
      </w:r>
      <w:r>
        <w:rPr>
          <w:rFonts w:hint="eastAsia" w:ascii="仿宋_GB2312" w:hAnsi="仿宋_GB2312" w:eastAsia="仿宋_GB2312"/>
          <w:kern w:val="0"/>
          <w:sz w:val="28"/>
          <w:szCs w:val="28"/>
        </w:rPr>
        <w:t>、后勤保障组、善后处理组。其职责：</w:t>
      </w:r>
    </w:p>
    <w:p>
      <w:p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rPr>
        <w:t>1）</w:t>
      </w:r>
      <w:r>
        <w:rPr>
          <w:rFonts w:hint="eastAsia" w:ascii="仿宋_GB2312" w:hAnsi="仿宋_GB2312" w:eastAsia="仿宋_GB2312"/>
          <w:kern w:val="0"/>
          <w:sz w:val="28"/>
          <w:szCs w:val="28"/>
          <w:lang w:eastAsia="zh-CN"/>
        </w:rPr>
        <w:t>综合协调组</w:t>
      </w:r>
    </w:p>
    <w:p>
      <w:p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hAnsi="仿宋_GB2312" w:eastAsia="仿宋_GB2312"/>
          <w:kern w:val="0"/>
          <w:sz w:val="28"/>
          <w:szCs w:val="28"/>
        </w:rPr>
        <w:t>王兴华</w:t>
      </w:r>
      <w:r>
        <w:rPr>
          <w:rFonts w:ascii="仿宋_GB2312" w:eastAsia="仿宋_GB2312"/>
          <w:sz w:val="28"/>
          <w:szCs w:val="28"/>
        </w:rPr>
        <w:t xml:space="preserve">         </w:t>
      </w:r>
    </w:p>
    <w:p>
      <w:pPr>
        <w:spacing w:line="560" w:lineRule="exact"/>
        <w:ind w:left="0" w:leftChars="0" w:firstLine="840" w:firstLineChars="300"/>
        <w:rPr>
          <w:rFonts w:hint="eastAsia" w:ascii="仿宋_GB2312" w:eastAsia="仿宋_GB2312"/>
          <w:kern w:val="0"/>
          <w:sz w:val="28"/>
          <w:szCs w:val="28"/>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eastAsia="仿宋_GB2312"/>
          <w:kern w:val="0"/>
          <w:sz w:val="28"/>
          <w:szCs w:val="28"/>
        </w:rPr>
        <w:t>王军霖、许万芳</w:t>
      </w:r>
      <w:r>
        <w:rPr>
          <w:rFonts w:hint="eastAsia" w:ascii="仿宋_GB2312" w:eastAsia="仿宋_GB2312"/>
          <w:kern w:val="0"/>
          <w:sz w:val="28"/>
          <w:szCs w:val="28"/>
          <w:lang w:eastAsia="zh-CN"/>
        </w:rPr>
        <w:t>、</w:t>
      </w:r>
      <w:r>
        <w:rPr>
          <w:rFonts w:hint="eastAsia" w:ascii="仿宋_GB2312" w:hAnsi="仿宋_GB2312" w:eastAsia="仿宋_GB2312"/>
          <w:kern w:val="0"/>
          <w:sz w:val="28"/>
          <w:szCs w:val="28"/>
        </w:rPr>
        <w:t>严春蓉、刘若兰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_GB2312" w:hAnsi="仿宋_GB2312" w:eastAsia="仿宋_GB2312"/>
          <w:kern w:val="0"/>
          <w:sz w:val="28"/>
          <w:szCs w:val="28"/>
        </w:rPr>
      </w:pPr>
      <w:r>
        <w:rPr>
          <w:rFonts w:hint="eastAsia" w:ascii="仿宋" w:hAnsi="仿宋" w:eastAsia="仿宋" w:cs="仿宋"/>
          <w:sz w:val="28"/>
          <w:szCs w:val="28"/>
        </w:rPr>
        <w:t>职责：根据上级要求及时传达或下达各项应急工作指令，并负责督促检查；负责统一向上级有关部门上报有关应急工作情况；负责统一协调</w:t>
      </w:r>
      <w:r>
        <w:rPr>
          <w:rFonts w:hint="eastAsia" w:ascii="仿宋" w:hAnsi="仿宋" w:eastAsia="仿宋" w:cs="仿宋"/>
          <w:sz w:val="28"/>
          <w:szCs w:val="28"/>
          <w:lang w:eastAsia="zh-CN"/>
        </w:rPr>
        <w:t>公司</w:t>
      </w:r>
      <w:r>
        <w:rPr>
          <w:rFonts w:hint="eastAsia" w:ascii="仿宋" w:hAnsi="仿宋" w:eastAsia="仿宋" w:cs="仿宋"/>
          <w:sz w:val="28"/>
          <w:szCs w:val="28"/>
        </w:rPr>
        <w:t>内各项应急工作事务和应急保障工作；</w:t>
      </w:r>
      <w:r>
        <w:rPr>
          <w:rFonts w:hint="eastAsia" w:ascii="仿宋" w:hAnsi="仿宋" w:eastAsia="仿宋" w:cs="仿宋"/>
          <w:sz w:val="28"/>
          <w:szCs w:val="28"/>
          <w:lang w:eastAsia="zh-CN"/>
        </w:rPr>
        <w:t>应急结束后</w:t>
      </w:r>
      <w:r>
        <w:rPr>
          <w:rFonts w:hint="eastAsia" w:ascii="仿宋" w:hAnsi="仿宋" w:eastAsia="仿宋" w:cs="仿宋"/>
          <w:sz w:val="28"/>
          <w:szCs w:val="28"/>
        </w:rPr>
        <w:t>负责编写应急处置工作大事记；对突发事件情况、应急处置措施、取得的主要成绩、存在的主要问题等进行总结和评估，提出下一步工作建议，并向</w:t>
      </w:r>
      <w:r>
        <w:rPr>
          <w:rFonts w:hint="eastAsia" w:ascii="仿宋" w:hAnsi="仿宋" w:eastAsia="仿宋" w:cs="仿宋"/>
          <w:sz w:val="28"/>
          <w:szCs w:val="28"/>
          <w:lang w:eastAsia="zh-CN"/>
        </w:rPr>
        <w:t>公司</w:t>
      </w:r>
      <w:r>
        <w:rPr>
          <w:rFonts w:hint="eastAsia" w:ascii="仿宋" w:hAnsi="仿宋" w:eastAsia="仿宋" w:cs="仿宋"/>
          <w:sz w:val="28"/>
          <w:szCs w:val="28"/>
        </w:rPr>
        <w:t>应急指挥部提交总结评估报告；承办</w:t>
      </w:r>
      <w:r>
        <w:rPr>
          <w:rFonts w:hint="eastAsia" w:ascii="仿宋" w:hAnsi="仿宋" w:eastAsia="仿宋" w:cs="仿宋"/>
          <w:sz w:val="28"/>
          <w:szCs w:val="28"/>
          <w:lang w:eastAsia="zh-CN"/>
        </w:rPr>
        <w:t>公司</w:t>
      </w:r>
      <w:r>
        <w:rPr>
          <w:rFonts w:hint="eastAsia" w:ascii="仿宋" w:hAnsi="仿宋" w:eastAsia="仿宋" w:cs="仿宋"/>
          <w:sz w:val="28"/>
          <w:szCs w:val="28"/>
        </w:rPr>
        <w:t>应急指挥部交办的其他工作。</w:t>
      </w:r>
    </w:p>
    <w:p>
      <w:pPr>
        <w:numPr>
          <w:ilvl w:val="0"/>
          <w:numId w:val="1"/>
        </w:num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rPr>
        <w:t>现场抢救组</w:t>
      </w:r>
    </w:p>
    <w:p>
      <w:pPr>
        <w:numPr>
          <w:ilvl w:val="0"/>
          <w:numId w:val="0"/>
        </w:num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ascii="仿宋_GB2312" w:eastAsia="仿宋_GB2312" w:cs="宋体"/>
          <w:sz w:val="28"/>
          <w:szCs w:val="28"/>
        </w:rPr>
        <w:t xml:space="preserve"> </w:t>
      </w:r>
      <w:r>
        <w:rPr>
          <w:rFonts w:hint="eastAsia" w:ascii="仿宋_GB2312" w:eastAsia="仿宋_GB2312" w:cs="宋体"/>
          <w:sz w:val="28"/>
          <w:szCs w:val="28"/>
        </w:rPr>
        <w:t>任  杰</w:t>
      </w:r>
      <w:r>
        <w:rPr>
          <w:rFonts w:ascii="仿宋_GB2312" w:eastAsia="仿宋_GB2312"/>
          <w:sz w:val="28"/>
          <w:szCs w:val="28"/>
        </w:rPr>
        <w:t xml:space="preserve">         </w:t>
      </w:r>
    </w:p>
    <w:p>
      <w:pPr>
        <w:spacing w:line="560" w:lineRule="exact"/>
        <w:ind w:left="0" w:leftChars="0" w:firstLine="840" w:firstLineChars="0"/>
        <w:rPr>
          <w:rFonts w:hint="eastAsia" w:ascii="仿宋_GB2312" w:hAnsi="仿宋_GB2312" w:eastAsia="仿宋_GB2312"/>
          <w:kern w:val="0"/>
          <w:sz w:val="28"/>
          <w:szCs w:val="28"/>
          <w:lang w:eastAsia="zh-CN"/>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ascii="仿宋_GB2312" w:eastAsia="仿宋_GB2312" w:cs="宋体"/>
          <w:sz w:val="28"/>
          <w:szCs w:val="28"/>
        </w:rPr>
        <w:t xml:space="preserve"> </w:t>
      </w:r>
      <w:r>
        <w:rPr>
          <w:rFonts w:hint="eastAsia" w:ascii="仿宋_GB2312" w:hAnsi="仿宋_GB2312" w:eastAsia="仿宋_GB2312"/>
          <w:kern w:val="0"/>
          <w:sz w:val="28"/>
          <w:szCs w:val="28"/>
        </w:rPr>
        <w:t>黄昭燕、王  亮、祝发荣</w:t>
      </w:r>
      <w:r>
        <w:rPr>
          <w:rFonts w:hint="eastAsia" w:ascii="仿宋_GB2312" w:hAnsi="仿宋_GB2312" w:eastAsia="仿宋_GB2312"/>
          <w:kern w:val="0"/>
          <w:sz w:val="28"/>
          <w:szCs w:val="28"/>
          <w:lang w:eastAsia="zh-CN"/>
        </w:rPr>
        <w:t>、陈泳先、</w:t>
      </w:r>
      <w:r>
        <w:rPr>
          <w:rFonts w:hint="eastAsia" w:ascii="仿宋_GB2312" w:hAnsi="仿宋_GB2312" w:eastAsia="仿宋_GB2312"/>
          <w:kern w:val="0"/>
          <w:sz w:val="28"/>
          <w:szCs w:val="28"/>
        </w:rPr>
        <w:t>李思念</w:t>
      </w:r>
    </w:p>
    <w:p>
      <w:pPr>
        <w:spacing w:line="560" w:lineRule="exact"/>
        <w:ind w:firstLine="1960" w:firstLineChars="70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lang w:eastAsia="zh-CN"/>
        </w:rPr>
        <w:t>何玫林</w:t>
      </w:r>
    </w:p>
    <w:p>
      <w:pPr>
        <w:spacing w:line="560" w:lineRule="exact"/>
        <w:ind w:firstLine="1960" w:firstLineChars="700"/>
        <w:rPr>
          <w:rFonts w:hint="eastAsia" w:ascii="仿宋_GB2312" w:eastAsia="仿宋_GB2312"/>
          <w:sz w:val="28"/>
          <w:szCs w:val="28"/>
        </w:rPr>
      </w:pPr>
      <w:r>
        <w:rPr>
          <w:rFonts w:hint="eastAsia" w:ascii="仿宋_GB2312" w:eastAsia="仿宋_GB2312" w:cs="宋体"/>
          <w:sz w:val="28"/>
          <w:szCs w:val="28"/>
        </w:rPr>
        <w:t>肇事驾驶员</w:t>
      </w:r>
      <w:r>
        <w:rPr>
          <w:rFonts w:ascii="仿宋_GB2312" w:eastAsia="仿宋_GB2312" w:cs="宋体"/>
          <w:sz w:val="28"/>
          <w:szCs w:val="28"/>
        </w:rPr>
        <w:t xml:space="preserve">  </w:t>
      </w:r>
      <w:r>
        <w:rPr>
          <w:rFonts w:hint="eastAsia" w:ascii="仿宋_GB2312" w:eastAsia="仿宋_GB2312" w:cs="宋体"/>
          <w:sz w:val="28"/>
          <w:szCs w:val="28"/>
        </w:rPr>
        <w:t>车辆乘务员</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职责：</w:t>
      </w:r>
      <w:r>
        <w:rPr>
          <w:rFonts w:hint="eastAsia" w:ascii="仿宋" w:hAnsi="仿宋" w:eastAsia="仿宋" w:cs="仿宋"/>
          <w:kern w:val="0"/>
          <w:sz w:val="28"/>
          <w:szCs w:val="28"/>
        </w:rPr>
        <w:t>负责现场的伤员抢救、人员的疏散、现场保护、现场记录和摄像、协助主管部门做好现场的保护和处理。负责收集事故现场的处置进展情况，及时报告领导小组，与当地公安交警、消防和行业主管部门联络及处置、善后工作协调，负责现场指挥和传达反馈信息，负责协调公司所有资源的应用和调配。</w:t>
      </w:r>
    </w:p>
    <w:p>
      <w:pPr>
        <w:numPr>
          <w:ilvl w:val="0"/>
          <w:numId w:val="1"/>
        </w:num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后勤保障</w:t>
      </w:r>
      <w:r>
        <w:rPr>
          <w:rFonts w:hint="eastAsia" w:ascii="仿宋_GB2312" w:hAnsi="仿宋_GB2312" w:eastAsia="仿宋_GB2312"/>
          <w:kern w:val="0"/>
          <w:sz w:val="28"/>
          <w:szCs w:val="28"/>
        </w:rPr>
        <w:t>组</w:t>
      </w:r>
    </w:p>
    <w:p>
      <w:pPr>
        <w:numPr>
          <w:ilvl w:val="0"/>
          <w:numId w:val="0"/>
        </w:num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eastAsia="仿宋_GB2312"/>
          <w:kern w:val="0"/>
          <w:sz w:val="28"/>
          <w:szCs w:val="28"/>
        </w:rPr>
        <w:t>李方平</w:t>
      </w:r>
      <w:r>
        <w:rPr>
          <w:rFonts w:ascii="仿宋_GB2312" w:eastAsia="仿宋_GB2312"/>
          <w:sz w:val="28"/>
          <w:szCs w:val="28"/>
        </w:rPr>
        <w:t xml:space="preserve">     </w:t>
      </w:r>
    </w:p>
    <w:p>
      <w:pPr>
        <w:spacing w:line="5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eastAsia="仿宋_GB2312"/>
          <w:kern w:val="0"/>
          <w:sz w:val="28"/>
          <w:szCs w:val="28"/>
        </w:rPr>
        <w:t>林  森、何仕明、陈雪梅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_GB2312" w:eastAsia="仿宋_GB2312"/>
          <w:sz w:val="28"/>
          <w:szCs w:val="28"/>
        </w:rPr>
      </w:pPr>
      <w:r>
        <w:rPr>
          <w:rFonts w:hint="eastAsia" w:ascii="仿宋" w:hAnsi="仿宋" w:eastAsia="仿宋" w:cs="仿宋"/>
          <w:b w:val="0"/>
          <w:bCs w:val="0"/>
          <w:kern w:val="0"/>
          <w:sz w:val="28"/>
          <w:szCs w:val="28"/>
        </w:rPr>
        <w:t>职责</w:t>
      </w:r>
      <w:r>
        <w:rPr>
          <w:rFonts w:hint="eastAsia" w:ascii="仿宋" w:hAnsi="仿宋" w:eastAsia="仿宋" w:cs="仿宋"/>
          <w:b w:val="0"/>
          <w:bCs w:val="0"/>
          <w:kern w:val="0"/>
          <w:sz w:val="28"/>
          <w:szCs w:val="28"/>
          <w:lang w:eastAsia="zh-CN"/>
        </w:rPr>
        <w:t>：</w:t>
      </w:r>
      <w:r>
        <w:rPr>
          <w:rFonts w:hint="eastAsia" w:ascii="仿宋" w:hAnsi="仿宋" w:eastAsia="仿宋" w:cs="仿宋"/>
          <w:kern w:val="0"/>
          <w:sz w:val="28"/>
          <w:szCs w:val="28"/>
        </w:rPr>
        <w:t>负责应急车辆、物资、应急工具、财力等物资设备的保障工作。</w:t>
      </w:r>
    </w:p>
    <w:p>
      <w:p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rPr>
        <w:t>4）善后处理组</w:t>
      </w:r>
    </w:p>
    <w:p>
      <w:pPr>
        <w:spacing w:line="560" w:lineRule="exact"/>
        <w:ind w:left="0" w:leftChars="0" w:firstLine="840" w:firstLineChars="300"/>
        <w:rPr>
          <w:rFonts w:ascii="仿宋_GB2312" w:eastAsia="仿宋_GB2312"/>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ascii="仿宋_GB2312" w:eastAsia="仿宋_GB2312"/>
          <w:sz w:val="28"/>
          <w:szCs w:val="28"/>
        </w:rPr>
        <w:t xml:space="preserve"> </w:t>
      </w:r>
      <w:r>
        <w:rPr>
          <w:rFonts w:hint="eastAsia" w:ascii="仿宋_GB2312" w:eastAsia="仿宋_GB2312" w:cs="宋体"/>
          <w:sz w:val="28"/>
          <w:szCs w:val="28"/>
        </w:rPr>
        <w:t>何仁述</w:t>
      </w:r>
      <w:r>
        <w:rPr>
          <w:rFonts w:ascii="仿宋_GB2312" w:eastAsia="仿宋_GB2312"/>
          <w:sz w:val="28"/>
          <w:szCs w:val="28"/>
        </w:rPr>
        <w:t xml:space="preserve">    </w:t>
      </w:r>
    </w:p>
    <w:p>
      <w:pPr>
        <w:spacing w:line="560" w:lineRule="exact"/>
        <w:ind w:left="0" w:leftChars="0" w:firstLine="840" w:firstLineChars="300"/>
        <w:rPr>
          <w:rFonts w:hint="eastAsia" w:ascii="仿宋_GB2312" w:hAnsi="仿宋_GB2312" w:eastAsia="仿宋_GB2312"/>
          <w:kern w:val="0"/>
          <w:sz w:val="28"/>
          <w:szCs w:val="28"/>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 xml:space="preserve">员： </w:t>
      </w:r>
      <w:r>
        <w:rPr>
          <w:rFonts w:hint="eastAsia" w:ascii="仿宋_GB2312" w:hAnsi="仿宋_GB2312" w:eastAsia="仿宋_GB2312"/>
          <w:kern w:val="0"/>
          <w:sz w:val="28"/>
          <w:szCs w:val="28"/>
        </w:rPr>
        <w:t>任  杰、李方平、王兴华、黄昭燕、林  森</w:t>
      </w:r>
    </w:p>
    <w:p>
      <w:pPr>
        <w:spacing w:line="560" w:lineRule="exact"/>
        <w:ind w:firstLine="840" w:firstLineChars="300"/>
        <w:rPr>
          <w:rFonts w:hint="eastAsia" w:ascii="仿宋_GB2312" w:eastAsia="仿宋_GB2312" w:cs="宋体"/>
          <w:sz w:val="28"/>
          <w:szCs w:val="28"/>
        </w:rPr>
      </w:pPr>
      <w:r>
        <w:rPr>
          <w:rFonts w:hint="eastAsia" w:ascii="仿宋_GB2312" w:hAnsi="仿宋_GB2312" w:eastAsia="仿宋_GB2312"/>
          <w:kern w:val="0"/>
          <w:sz w:val="28"/>
          <w:szCs w:val="28"/>
        </w:rPr>
        <w:t xml:space="preserve">        以</w:t>
      </w:r>
      <w:r>
        <w:rPr>
          <w:rFonts w:hint="eastAsia" w:ascii="仿宋_GB2312" w:eastAsia="仿宋_GB2312" w:cs="宋体"/>
          <w:sz w:val="28"/>
          <w:szCs w:val="28"/>
        </w:rPr>
        <w:t>及现场人员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_GB2312" w:hAnsi="仿宋_GB2312" w:eastAsia="仿宋_GB2312"/>
          <w:kern w:val="0"/>
          <w:sz w:val="28"/>
          <w:szCs w:val="28"/>
        </w:rPr>
      </w:pPr>
      <w:r>
        <w:rPr>
          <w:rFonts w:hint="eastAsia" w:ascii="仿宋" w:hAnsi="仿宋" w:eastAsia="仿宋" w:cs="仿宋"/>
          <w:b w:val="0"/>
          <w:bCs w:val="0"/>
          <w:kern w:val="0"/>
          <w:sz w:val="28"/>
          <w:szCs w:val="28"/>
        </w:rPr>
        <w:t>职责</w:t>
      </w:r>
      <w:r>
        <w:rPr>
          <w:rFonts w:hint="eastAsia" w:ascii="仿宋" w:hAnsi="仿宋" w:eastAsia="仿宋" w:cs="仿宋"/>
          <w:b w:val="0"/>
          <w:bCs w:val="0"/>
          <w:kern w:val="0"/>
          <w:sz w:val="28"/>
          <w:szCs w:val="28"/>
          <w:lang w:eastAsia="zh-CN"/>
        </w:rPr>
        <w:t>：</w:t>
      </w:r>
      <w:r>
        <w:rPr>
          <w:rFonts w:hint="eastAsia" w:ascii="仿宋" w:hAnsi="仿宋" w:eastAsia="仿宋" w:cs="仿宋"/>
          <w:kern w:val="0"/>
          <w:sz w:val="28"/>
          <w:szCs w:val="28"/>
        </w:rPr>
        <w:t>负责转移、安置受损失的群众，接待安置遇难者家属，落实死者丧葬费用和伤者医疗费用，妥善处理遇难者尸体，作好伤亡者家属的安抚调解和理赔等工作；负责联系医护人员对受伤人员进行救治，并护送重伤人员到医院进一步治疗；负责对外媒体的回应工作。</w:t>
      </w:r>
    </w:p>
    <w:p>
      <w:pPr>
        <w:pStyle w:val="3"/>
        <w:rPr>
          <w:rFonts w:hint="eastAsia"/>
        </w:rPr>
      </w:pPr>
      <w:bookmarkStart w:id="23" w:name="_Toc14117"/>
      <w:r>
        <w:rPr>
          <w:rFonts w:hint="eastAsia"/>
        </w:rPr>
        <w:t>4. 预警与预防</w:t>
      </w:r>
      <w:bookmarkEnd w:id="21"/>
      <w:bookmarkEnd w:id="22"/>
      <w:bookmarkEnd w:id="23"/>
    </w:p>
    <w:p>
      <w:pPr>
        <w:pStyle w:val="4"/>
        <w:rPr>
          <w:rFonts w:hint="eastAsia"/>
        </w:rPr>
      </w:pPr>
      <w:bookmarkStart w:id="24" w:name="_Toc9232"/>
      <w:bookmarkStart w:id="25" w:name="_Toc2630"/>
      <w:r>
        <w:rPr>
          <w:rFonts w:hint="eastAsia"/>
        </w:rPr>
        <w:t>4.1 危险源监控</w:t>
      </w:r>
      <w:bookmarkEnd w:id="24"/>
      <w:bookmarkEnd w:id="25"/>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严格按照车辆维护制度，落实车辆例检、二维、安全检测等工作，发现问题隐患及时整改。定期对驾驶员进行培训，增强员工安全行车意识及车辆自燃事故的应对处理培训。</w:t>
      </w:r>
    </w:p>
    <w:p>
      <w:pPr>
        <w:pStyle w:val="4"/>
        <w:rPr>
          <w:rFonts w:hint="eastAsia"/>
        </w:rPr>
      </w:pPr>
      <w:bookmarkStart w:id="26" w:name="_Toc7236"/>
      <w:bookmarkStart w:id="27" w:name="_Toc4811"/>
      <w:r>
        <w:rPr>
          <w:rFonts w:hint="eastAsia"/>
        </w:rPr>
        <w:t>4.2 预警行动</w:t>
      </w:r>
      <w:bookmarkEnd w:id="26"/>
      <w:bookmarkEnd w:id="27"/>
    </w:p>
    <w:p>
      <w:pPr>
        <w:spacing w:line="540" w:lineRule="exact"/>
        <w:ind w:firstLine="560"/>
        <w:rPr>
          <w:rFonts w:hint="eastAsia" w:ascii="仿宋_GB2312" w:hAnsi="仿宋_GB2312" w:eastAsia="仿宋_GB2312"/>
          <w:b/>
          <w:bCs/>
          <w:kern w:val="0"/>
          <w:sz w:val="28"/>
          <w:szCs w:val="28"/>
        </w:rPr>
      </w:pPr>
      <w:r>
        <w:rPr>
          <w:rFonts w:hint="eastAsia" w:ascii="仿宋_GB2312" w:hAnsi="仿宋_GB2312" w:eastAsia="仿宋_GB2312"/>
          <w:b/>
          <w:bCs/>
          <w:kern w:val="0"/>
          <w:sz w:val="28"/>
          <w:szCs w:val="28"/>
        </w:rPr>
        <w:t>4.2.1 车辆安全隐患预警</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修理厂员工在车辆维修时，分公司员工在车辆回场检时发现车辆存在安全隐患的，应根据公司回场检制度，要求车辆排除隐患后方可继续营运，如遇拒绝配合的，应及时上报车技主管人员直接解决，事情交严重的，上报应急小组处理。</w:t>
      </w:r>
    </w:p>
    <w:p>
      <w:pPr>
        <w:spacing w:line="540" w:lineRule="exact"/>
        <w:ind w:firstLine="560"/>
        <w:rPr>
          <w:rFonts w:hint="eastAsia" w:ascii="仿宋_GB2312" w:hAnsi="仿宋_GB2312" w:eastAsia="仿宋_GB2312"/>
          <w:b/>
          <w:bCs/>
          <w:kern w:val="0"/>
          <w:sz w:val="28"/>
          <w:szCs w:val="28"/>
        </w:rPr>
      </w:pPr>
      <w:r>
        <w:rPr>
          <w:rFonts w:hint="eastAsia" w:ascii="仿宋_GB2312" w:hAnsi="仿宋_GB2312" w:eastAsia="仿宋_GB2312"/>
          <w:b/>
          <w:bCs/>
          <w:kern w:val="0"/>
          <w:sz w:val="28"/>
          <w:szCs w:val="28"/>
        </w:rPr>
        <w:t>4.2.2 高温预警发布</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由指挥部指示应急办向驾驶员发布高温预警，提醒其做好风险防范措施。</w:t>
      </w:r>
    </w:p>
    <w:p>
      <w:pPr>
        <w:pStyle w:val="3"/>
        <w:rPr>
          <w:rFonts w:hint="eastAsia"/>
        </w:rPr>
      </w:pPr>
      <w:bookmarkStart w:id="28" w:name="_Toc16792"/>
      <w:bookmarkStart w:id="29" w:name="_Toc480817571"/>
      <w:bookmarkStart w:id="30" w:name="_Toc4132"/>
      <w:r>
        <w:rPr>
          <w:rFonts w:hint="eastAsia"/>
        </w:rPr>
        <w:t>5. 信息报告</w:t>
      </w:r>
      <w:bookmarkEnd w:id="28"/>
      <w:bookmarkEnd w:id="29"/>
      <w:bookmarkEnd w:id="30"/>
    </w:p>
    <w:p>
      <w:pPr>
        <w:pStyle w:val="4"/>
        <w:rPr>
          <w:rFonts w:hint="eastAsia"/>
        </w:rPr>
      </w:pPr>
      <w:bookmarkStart w:id="31" w:name="_Toc1891"/>
      <w:bookmarkStart w:id="32" w:name="_Toc19436"/>
      <w:r>
        <w:rPr>
          <w:rFonts w:hint="eastAsia"/>
        </w:rPr>
        <w:t>5.1 事故信息报告要求</w:t>
      </w:r>
      <w:bookmarkEnd w:id="31"/>
      <w:bookmarkEnd w:id="32"/>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车辆发生自燃，驾驶员根据现场实际情况应变采取有效措施。如情况允许，驾驶员在自身安全的情况下，以最快的方式向当地公安消防部门及公司应急办报告。应根据日常培训，按事故现场情况及自身情况，在条件允许的前提下按照（车辆自燃事故现场处置方案）开展险情排除及协助抢救受伤人员保护事故现场。</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消防火警电话：119           医疗救护电话：120</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公司24小时应急值守电话为0817-7212231。</w:t>
      </w:r>
    </w:p>
    <w:p>
      <w:pPr>
        <w:pStyle w:val="4"/>
        <w:rPr>
          <w:rFonts w:hint="eastAsia"/>
        </w:rPr>
      </w:pPr>
      <w:bookmarkStart w:id="33" w:name="_Toc32160"/>
      <w:bookmarkStart w:id="34" w:name="_Toc3016"/>
      <w:r>
        <w:rPr>
          <w:rFonts w:hint="eastAsia"/>
        </w:rPr>
        <w:t>5.2 信息报告程序</w:t>
      </w:r>
      <w:bookmarkEnd w:id="33"/>
      <w:bookmarkEnd w:id="34"/>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当发生事故时，事故车辆驾乘人员应拨打公司应急办值守电话对情况进行报告。需报告的内容为：事故发生的时间、地点、在场人员、事故现场简要情况(严重程度等)。</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当应急办值守人员接到事故报告时，应根据事故分级对事故级别进行判断，对于</w:t>
      </w:r>
      <w:r>
        <w:rPr>
          <w:rFonts w:hint="eastAsia" w:ascii="仿宋_GB2312" w:hAnsi="仿宋_GB2312" w:eastAsia="仿宋_GB2312"/>
          <w:kern w:val="0"/>
          <w:sz w:val="28"/>
          <w:szCs w:val="28"/>
          <w:lang w:eastAsia="zh-CN"/>
        </w:rPr>
        <w:t>发生轻微擦挂</w:t>
      </w:r>
      <w:r>
        <w:rPr>
          <w:rFonts w:hint="eastAsia" w:ascii="仿宋_GB2312" w:hAnsi="仿宋_GB2312" w:eastAsia="仿宋_GB2312"/>
          <w:kern w:val="0"/>
          <w:sz w:val="28"/>
          <w:szCs w:val="28"/>
        </w:rPr>
        <w:t>事故的，由应急办主任（安全科长）根据事故类别向相应的救援小组组长汇报，由救援小组组长迅速展开处理；对于四级及以上事故的，由应急办主任立即向领导小组组长汇报。由领导小组组长部署救援工作。</w:t>
      </w:r>
    </w:p>
    <w:p>
      <w:pPr>
        <w:pStyle w:val="3"/>
        <w:rPr>
          <w:rFonts w:hint="eastAsia"/>
        </w:rPr>
      </w:pPr>
      <w:bookmarkStart w:id="35" w:name="_Toc18746"/>
      <w:bookmarkStart w:id="36" w:name="_Toc480817572"/>
      <w:bookmarkStart w:id="37" w:name="_Toc1674"/>
      <w:r>
        <w:rPr>
          <w:rFonts w:hint="eastAsia"/>
        </w:rPr>
        <w:t>6. 应急处置</w:t>
      </w:r>
      <w:bookmarkEnd w:id="35"/>
      <w:bookmarkEnd w:id="36"/>
      <w:bookmarkEnd w:id="37"/>
    </w:p>
    <w:p>
      <w:pPr>
        <w:pStyle w:val="4"/>
        <w:rPr>
          <w:rFonts w:hint="eastAsia"/>
        </w:rPr>
      </w:pPr>
      <w:bookmarkStart w:id="38" w:name="_Toc3049"/>
      <w:bookmarkStart w:id="39" w:name="_Toc27513"/>
      <w:r>
        <w:rPr>
          <w:rFonts w:hint="eastAsia"/>
        </w:rPr>
        <w:t>6.1 响应分级</w:t>
      </w:r>
      <w:bookmarkEnd w:id="38"/>
      <w:bookmarkEnd w:id="39"/>
    </w:p>
    <w:p>
      <w:pPr>
        <w:spacing w:line="540" w:lineRule="exact"/>
        <w:ind w:firstLine="538"/>
        <w:rPr>
          <w:rFonts w:hint="eastAsia" w:ascii="仿宋_GB2312" w:hAnsi="仿宋_GB2312" w:eastAsia="仿宋_GB2312"/>
          <w:color w:val="000000"/>
          <w:kern w:val="0"/>
          <w:sz w:val="28"/>
          <w:szCs w:val="28"/>
        </w:rPr>
      </w:pPr>
      <w:r>
        <w:rPr>
          <w:rFonts w:hint="eastAsia" w:ascii="仿宋_GB2312" w:hAnsi="仿宋_GB2312" w:eastAsia="仿宋_GB2312"/>
          <w:kern w:val="0"/>
          <w:sz w:val="28"/>
          <w:szCs w:val="28"/>
        </w:rPr>
        <w:t>按照事故的严重程度，影响范围，和单位控制事态的能力将事故主要分为五个级</w:t>
      </w:r>
      <w:r>
        <w:rPr>
          <w:rFonts w:hint="eastAsia" w:ascii="仿宋_GB2312" w:hAnsi="仿宋_GB2312" w:eastAsia="仿宋_GB2312"/>
          <w:color w:val="000000"/>
          <w:kern w:val="0"/>
          <w:sz w:val="28"/>
          <w:szCs w:val="28"/>
        </w:rPr>
        <w:t>别。</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6.1.1 一级：特别重大事故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是指造成30人以上死亡，或者100人以重伤上，或者1亿元以上直接经济损失的事故。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6.1.2 二级：重大事故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是指造成10以上至30人以下死亡，或者50以上至100人以下重伤，或者5000万元以上1亿元以下直接经济损失的事故。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6.1.3 三级：较大事故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是指造成3人以上10人以下死亡，或者10以上至50人以下重伤，</w:t>
      </w:r>
    </w:p>
    <w:p>
      <w:pPr>
        <w:spacing w:line="540" w:lineRule="exact"/>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或者1000万元以上5000万元以下直接经济损失的事故。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6.1.4 四级：一般事故</w:t>
      </w:r>
    </w:p>
    <w:p>
      <w:pPr>
        <w:spacing w:line="540" w:lineRule="exact"/>
        <w:ind w:firstLine="538"/>
        <w:rPr>
          <w:rFonts w:hint="eastAsia" w:ascii="仿宋_GB2312" w:hAnsi="ˎ̥" w:eastAsia="仿宋_GB2312"/>
          <w:color w:val="333333"/>
          <w:sz w:val="28"/>
          <w:szCs w:val="28"/>
        </w:rPr>
      </w:pPr>
      <w:r>
        <w:rPr>
          <w:rFonts w:hint="eastAsia" w:ascii="仿宋_GB2312" w:hAnsi="ˎ̥" w:eastAsia="仿宋_GB2312"/>
          <w:color w:val="333333"/>
          <w:sz w:val="28"/>
          <w:szCs w:val="28"/>
        </w:rPr>
        <w:t xml:space="preserve">一般事故，是指造成3人以下死亡，或者10人以下重伤，或者1000万元以下直接经济损失的事故。 </w:t>
      </w:r>
    </w:p>
    <w:p>
      <w:pPr>
        <w:pStyle w:val="4"/>
        <w:rPr>
          <w:rFonts w:hint="eastAsia" w:ascii="仿宋_GB2312" w:hAnsi="仿宋_GB2312" w:eastAsia="仿宋_GB2312"/>
          <w:kern w:val="0"/>
          <w:sz w:val="28"/>
          <w:szCs w:val="28"/>
        </w:rPr>
      </w:pPr>
      <w:bookmarkStart w:id="40" w:name="_Toc28793"/>
      <w:bookmarkStart w:id="41" w:name="_Toc535"/>
      <w:r>
        <w:rPr>
          <w:rFonts w:hint="eastAsia"/>
        </w:rPr>
        <w:t>6.2 响应程序</w:t>
      </w:r>
      <w:bookmarkEnd w:id="40"/>
      <w:bookmarkEnd w:id="41"/>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lang w:val="en-US" w:eastAsia="zh-CN"/>
        </w:rPr>
        <w:t>1</w:t>
      </w:r>
      <w:r>
        <w:rPr>
          <w:rFonts w:hint="eastAsia" w:ascii="仿宋_GB2312" w:hAnsi="仿宋_GB2312" w:eastAsia="仿宋_GB2312"/>
          <w:kern w:val="0"/>
          <w:sz w:val="28"/>
          <w:szCs w:val="28"/>
        </w:rPr>
        <w:t>）</w:t>
      </w:r>
      <w:r>
        <w:rPr>
          <w:rFonts w:hint="eastAsia" w:ascii="仿宋_GB2312" w:hAnsi="仿宋_GB2312" w:eastAsia="仿宋_GB2312"/>
          <w:kern w:val="0"/>
          <w:sz w:val="28"/>
          <w:szCs w:val="28"/>
          <w:lang w:eastAsia="zh-CN"/>
        </w:rPr>
        <w:t>一般等</w:t>
      </w:r>
      <w:r>
        <w:rPr>
          <w:rFonts w:hint="eastAsia" w:ascii="仿宋_GB2312" w:hAnsi="仿宋_GB2312" w:eastAsia="仿宋_GB2312"/>
          <w:kern w:val="0"/>
          <w:sz w:val="28"/>
          <w:szCs w:val="28"/>
        </w:rPr>
        <w:t>级事故响应：</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发生车辆自燃事故时，驾驶员如情况允许的，驾驶员应在保证自身安全的情况下，以最快的方式向当地公安消防部门及公司应急办报告。应根据日常培训，按事故现场情况及自身情况，在条件允许的前提下按照《车辆自燃事故现场处置方案))开展险情排除及协助抢救受伤人员保护事故现场。并迅速拨打报警电话和公司2 4小时值守热线。</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火警电话：119     公司2 4小时应急值守电话为0817-7212231.</w:t>
      </w:r>
    </w:p>
    <w:p>
      <w:pPr>
        <w:spacing w:line="540" w:lineRule="exact"/>
        <w:ind w:firstLine="555"/>
        <w:rPr>
          <w:rFonts w:hint="eastAsia" w:ascii="仿宋_GB2312" w:hAnsi="仿宋_GB2312" w:eastAsia="仿宋_GB2312"/>
          <w:kern w:val="0"/>
          <w:sz w:val="28"/>
          <w:szCs w:val="28"/>
        </w:rPr>
      </w:pPr>
      <w:r>
        <w:rPr>
          <w:rFonts w:hint="eastAsia" w:ascii="仿宋_GB2312" w:hAnsi="仿宋_GB2312" w:eastAsia="仿宋_GB2312"/>
          <w:kern w:val="0"/>
          <w:sz w:val="28"/>
          <w:szCs w:val="28"/>
        </w:rPr>
        <w:t>应急办在接报后对事故的重要信息进行简要记录，并立刻报告领导小组组长、副组长，由领导小组组长启动应急预案，落实相应的专项救援小组组长、后勤支援小组组长按照职责开展救援工作。</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车辆自燃救援小组组长立刻落实救援力量，赶赴事故现场开展救援工作，协助消防部门将保护现场或将伤员送院等。后勤支援小组组长根据现场情况调配资源进行支援配合。</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领导小组组长如在接到应急办的事故报告后，认为需要对救援现场进行额外部署的，可致电相应的救援小组组长作具体安排。一般情况下，事故救援小组在控制现场的情况下，应尽快向领导小组组长汇报事故情况。如在救援过程中出现超出专项应急预案及现场处置方案所列的特殊情况、难以定夺处理办法的，应立刻致电领导小组组长进行请示。</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在事故得至控制后，由车辆自燃事故救援小组组长向领导小组组长提出申请，经组长批示同意后响应终止。</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lang w:val="en-US" w:eastAsia="zh-CN"/>
        </w:rPr>
        <w:t>2</w:t>
      </w:r>
      <w:r>
        <w:rPr>
          <w:rFonts w:hint="eastAsia" w:ascii="仿宋_GB2312" w:hAnsi="仿宋_GB2312" w:eastAsia="仿宋_GB2312"/>
          <w:kern w:val="0"/>
          <w:sz w:val="28"/>
          <w:szCs w:val="28"/>
        </w:rPr>
        <w:t>）较大</w:t>
      </w:r>
      <w:r>
        <w:rPr>
          <w:rFonts w:hint="eastAsia" w:ascii="仿宋_GB2312" w:hAnsi="仿宋_GB2312" w:eastAsia="仿宋_GB2312"/>
          <w:kern w:val="0"/>
          <w:sz w:val="28"/>
          <w:szCs w:val="28"/>
          <w:lang w:eastAsia="zh-CN"/>
        </w:rPr>
        <w:t>及以上等级</w:t>
      </w:r>
      <w:r>
        <w:rPr>
          <w:rFonts w:hint="eastAsia" w:ascii="仿宋_GB2312" w:hAnsi="仿宋_GB2312" w:eastAsia="仿宋_GB2312"/>
          <w:kern w:val="0"/>
          <w:sz w:val="28"/>
          <w:szCs w:val="28"/>
        </w:rPr>
        <w:t>车辆自燃事故响应：</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发生车辆自燃事故时，驾驶员应根据《车辆自燃事故现场处置方法》的要求进行自救及相关处理，并迅速拨打报警电话和公司2 4小时值守热线。应急办在接报后对事故的重要信息进行简要记录，并立刻汇报领导小组组长及副组长。</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领导小组组长根据接到的事故信息，立刻对救援人员进行部署、调配，车辆自燃救援小组组长立刻落实救援力量，赶赴事故现场开展救援工作，及时勘察事故现场，迅速制定工作措施，协助公安消防部门对事发现场实施交通管制，及时、妥善地做好死、伤人员救援工作，尽快消除险情，预防和制止各种破坏活动，最大限度地减少事故人员的生命和财产损失。</w:t>
      </w:r>
    </w:p>
    <w:p>
      <w:pPr>
        <w:spacing w:line="540" w:lineRule="exact"/>
        <w:ind w:firstLine="555"/>
        <w:rPr>
          <w:rFonts w:hint="eastAsia" w:ascii="仿宋_GB2312" w:hAnsi="仿宋_GB2312" w:eastAsia="仿宋_GB2312"/>
          <w:kern w:val="0"/>
          <w:sz w:val="28"/>
          <w:szCs w:val="28"/>
        </w:rPr>
      </w:pPr>
      <w:r>
        <w:rPr>
          <w:rFonts w:hint="eastAsia" w:ascii="仿宋_GB2312" w:hAnsi="仿宋_GB2312" w:eastAsia="仿宋_GB2312"/>
          <w:kern w:val="0"/>
          <w:sz w:val="28"/>
          <w:szCs w:val="28"/>
        </w:rPr>
        <w:t>后勤支援小组组长根据现场情况调配资源进行支援配合，调集一切可利用的交通运输工具，保证应急救援人员、物资、装备的优先运输。</w:t>
      </w:r>
    </w:p>
    <w:p>
      <w:pPr>
        <w:spacing w:line="540" w:lineRule="exact"/>
        <w:ind w:firstLine="555"/>
        <w:rPr>
          <w:rFonts w:hint="eastAsia" w:ascii="仿宋_GB2312" w:hAnsi="仿宋_GB2312" w:eastAsia="仿宋_GB2312"/>
          <w:kern w:val="0"/>
          <w:sz w:val="28"/>
          <w:szCs w:val="28"/>
        </w:rPr>
      </w:pPr>
      <w:r>
        <w:rPr>
          <w:rFonts w:hint="eastAsia" w:ascii="仿宋_GB2312" w:hAnsi="仿宋_GB2312" w:eastAsia="仿宋_GB2312"/>
          <w:kern w:val="0"/>
          <w:sz w:val="28"/>
          <w:szCs w:val="28"/>
        </w:rPr>
        <w:t>救援小组应及时向应急领导小组组长汇报事故现场情况，提出可行性建议，服从应急领导小组的统一指挥，并配合相关部门做好后续处理工作。如现场情况复杂、需要现场指挥的，救援小组组长可向领导小组组长提出建议，由领导小组组长到现场指挥。</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由领导小组成员赶赴现场，做好稳定司机情绪、现场秩序维护、疏散现场围观人群工作，积极与各方沟通，根据事件起因组织开展调查，制定调解措施，引导新闻媒体做好正面宣传等工作。</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领导小组组长根据事故情况，到事故现场进行指挥。</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在事故得到控制后，由交通事故救援小组组长向领导小组组长提出申请，经组长批示同意后响应终止。或由领导小组组长根据实际情况发布响应终止的指令。</w:t>
      </w:r>
    </w:p>
    <w:p>
      <w:pPr>
        <w:pStyle w:val="3"/>
        <w:rPr>
          <w:rFonts w:hint="eastAsia"/>
        </w:rPr>
      </w:pPr>
      <w:bookmarkStart w:id="42" w:name="_Toc480817573"/>
      <w:bookmarkStart w:id="43" w:name="_Toc27585"/>
      <w:bookmarkStart w:id="44" w:name="_Toc6345"/>
      <w:r>
        <w:rPr>
          <w:rFonts w:hint="eastAsia"/>
        </w:rPr>
        <w:t>7. 处置措施及步骤</w:t>
      </w:r>
      <w:bookmarkEnd w:id="42"/>
      <w:bookmarkEnd w:id="43"/>
      <w:bookmarkEnd w:id="44"/>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驾驶员自救：驾驶员应指挥乘客离开车辆，到安全的地点躲避。</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车辆拯救：初起火时，驾驶员可使用车辆上的灭火器进行灭火。在情况允许的条件下应关闭油路、气路和电路总阀。如火势扩大的，应放弃拯救，到安全的地方躲避。</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救援人员协助救援：救援人员到场后，应在能力范围内对伤员进行救治，或协助相关部门转移伤员。</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救援人员可使用灭火器对起火车辆进行灭火。如火势扩大的，应放弃拯救，到安全的地方躲避，待消防人员进行灭火。</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现场维稳：指挥部成员协助做好现场的秩序维护工作，稳定驾驶员、乘客情绪，做好媒体的沟通引导工作。</w:t>
      </w:r>
    </w:p>
    <w:p>
      <w:pPr>
        <w:pStyle w:val="3"/>
        <w:rPr>
          <w:rFonts w:hint="eastAsia"/>
        </w:rPr>
      </w:pPr>
      <w:bookmarkStart w:id="45" w:name="_Toc480817574"/>
      <w:bookmarkStart w:id="46" w:name="_Toc10755"/>
      <w:bookmarkStart w:id="47" w:name="_Toc3376"/>
      <w:r>
        <w:rPr>
          <w:rFonts w:hint="eastAsia"/>
        </w:rPr>
        <w:t>8. 应急物资与装备保障</w:t>
      </w:r>
      <w:bookmarkEnd w:id="45"/>
      <w:bookmarkEnd w:id="46"/>
      <w:bookmarkEnd w:id="47"/>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灭火器、消防铲、灭火沙、危险警示标志、手套、手电筒、常用药物等等。</w:t>
      </w:r>
    </w:p>
    <w:p>
      <w:pPr>
        <w:spacing w:line="540" w:lineRule="exact"/>
        <w:ind w:firstLine="560" w:firstLineChars="200"/>
        <w:rPr>
          <w:rFonts w:hint="eastAsia" w:ascii="仿宋_GB2312" w:hAnsi="仿宋_GB2312" w:eastAsia="仿宋_GB2312"/>
          <w:kern w:val="0"/>
          <w:sz w:val="28"/>
          <w:szCs w:val="28"/>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kern w:val="0"/>
          <w:sz w:val="28"/>
          <w:szCs w:val="28"/>
        </w:rPr>
        <w:t>由公司办公室保存好上述物资，交通救援物资另外有车辆、随车工具等。</w:t>
      </w:r>
    </w:p>
    <w:p>
      <w:pPr>
        <w:spacing w:line="520" w:lineRule="exact"/>
        <w:jc w:val="center"/>
        <w:textAlignment w:val="baseline"/>
        <w:rPr>
          <w:rFonts w:hint="eastAsia" w:eastAsia="黑体"/>
          <w:b/>
          <w:kern w:val="44"/>
          <w:sz w:val="44"/>
          <w:szCs w:val="44"/>
        </w:rPr>
      </w:pPr>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b w:val="0"/>
        </w:rPr>
      </w:pPr>
      <w:bookmarkStart w:id="48" w:name="_Toc12828"/>
      <w:bookmarkStart w:id="49" w:name="_Toc23026"/>
      <w:r>
        <w:rPr>
          <w:rFonts w:hint="eastAsia"/>
        </w:rPr>
        <w:t>车辆自燃事故现场处置方案</w:t>
      </w:r>
      <w:bookmarkEnd w:id="48"/>
      <w:bookmarkEnd w:id="49"/>
    </w:p>
    <w:p>
      <w:pPr>
        <w:spacing w:line="420" w:lineRule="exact"/>
        <w:jc w:val="center"/>
        <w:rPr>
          <w:rFonts w:hint="eastAsia" w:ascii="仿宋_GB2312" w:hAnsi="仿宋_GB2312" w:eastAsia="仿宋_GB2312"/>
          <w:b/>
          <w:bCs/>
          <w:kern w:val="0"/>
          <w:sz w:val="38"/>
          <w:szCs w:val="36"/>
        </w:rPr>
      </w:pPr>
    </w:p>
    <w:p>
      <w:pPr>
        <w:pStyle w:val="3"/>
        <w:rPr>
          <w:rFonts w:hint="eastAsia"/>
        </w:rPr>
      </w:pPr>
      <w:bookmarkStart w:id="50" w:name="_Toc15229"/>
      <w:bookmarkStart w:id="51" w:name="_Toc6053"/>
      <w:r>
        <w:rPr>
          <w:rFonts w:hint="eastAsia"/>
        </w:rPr>
        <w:t>1. 开展自救</w:t>
      </w:r>
      <w:bookmarkEnd w:id="50"/>
      <w:bookmarkEnd w:id="51"/>
      <w:r>
        <w:rPr>
          <w:rFonts w:hint="eastAsia"/>
        </w:rPr>
        <w:t xml:space="preserve"> </w:t>
      </w:r>
    </w:p>
    <w:p>
      <w:pPr>
        <w:spacing w:line="58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车辆自燃时应立即按以下原则进行自救：</w:t>
      </w:r>
    </w:p>
    <w:p>
      <w:pPr>
        <w:spacing w:line="58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1）立即指挥乘客立刻离开车辆；</w:t>
      </w:r>
    </w:p>
    <w:p>
      <w:pPr>
        <w:spacing w:line="58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2）在初起火时，迅速使用灭火器灭火；</w:t>
      </w:r>
    </w:p>
    <w:p>
      <w:pPr>
        <w:spacing w:line="58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3）关闭油路、气路和电路总阀，呼救路人、其他车辆驾驶员协助扑救；</w:t>
      </w:r>
    </w:p>
    <w:p>
      <w:pPr>
        <w:spacing w:line="58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4）估计火灾难以成功扑救，应及时报警，协助乘客、路人疏散，引导救火车到现场。</w:t>
      </w:r>
    </w:p>
    <w:p>
      <w:pPr>
        <w:pStyle w:val="3"/>
        <w:rPr>
          <w:rFonts w:hint="eastAsia"/>
        </w:rPr>
      </w:pPr>
      <w:bookmarkStart w:id="52" w:name="_Toc23103"/>
      <w:bookmarkStart w:id="53" w:name="_Toc11870"/>
      <w:r>
        <w:rPr>
          <w:rFonts w:hint="eastAsia"/>
        </w:rPr>
        <w:t>2. 现场救援</w:t>
      </w:r>
      <w:bookmarkEnd w:id="52"/>
      <w:bookmarkEnd w:id="53"/>
    </w:p>
    <w:p>
      <w:pPr>
        <w:spacing w:line="58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领导小组组长根据接到的事故信息，立刻对救援人员进行部署、调配，车辆自燃救援小组组长立刻落实救援力量，赶赴事故现场开展救援工作，及时勘察事故现场迅速制定工作措施，协助公安消防部门对事发现场实施交通管制，及时、妥善地做好死、伤人员救援工作，尽快消除险情，预防和制止各种破坏活动，最大限度地减少事故人员的生命和财产损失。</w:t>
      </w:r>
    </w:p>
    <w:p>
      <w:pPr>
        <w:spacing w:line="58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后勤支援小组组长根据现场情况调配资源进行支援配合。调集一切可利用的交通运输工具，保证应急救援人员、物资、装备的优先运输。</w:t>
      </w:r>
    </w:p>
    <w:p>
      <w:pPr>
        <w:spacing w:line="58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救援小组应及时向应急领导小组组长汇报事故现场情况，提出可行性建议，服从领导小组组长的统一指挥，并配合相关部门做好后续处理工作。如现场情况复杂、需要现场指挥的，救援小组组长可向领导小组组长提出建议，由领导小组组长到现场指挥。</w:t>
      </w:r>
    </w:p>
    <w:p>
      <w:pPr>
        <w:spacing w:line="58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由应急领导小组成员赶赴现场，做好稳定司机情绪，做好现场秩序维护、疏散现场围观人群工作，积极与各方沟通，根据事件起因组织开展调查，制定调解措施，引导新闻媒体做好正面宣传等工作。</w:t>
      </w:r>
    </w:p>
    <w:p>
      <w:pPr>
        <w:spacing w:line="58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指挥部根据事故情况，到事故现场进行指挥。</w:t>
      </w:r>
    </w:p>
    <w:p>
      <w:r>
        <w:rPr>
          <w:rFonts w:hint="eastAsia" w:ascii="仿宋_GB2312" w:hAnsi="仿宋_GB2312" w:eastAsia="仿宋_GB2312"/>
          <w:kern w:val="0"/>
          <w:sz w:val="28"/>
          <w:szCs w:val="28"/>
        </w:rPr>
        <w:t>在事故得到控制后，由交通事故救援小组组长向领导小组组长提出申请经组长批示同意后响应终止。或由指挥部根据实际情况发布响应终止的指令。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3EA9E"/>
    <w:multiLevelType w:val="singleLevel"/>
    <w:tmpl w:val="7D73EA9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34C54"/>
    <w:rsid w:val="0833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unhideWhenUsed/>
    <w:qFormat/>
    <w:uiPriority w:val="0"/>
    <w:pPr>
      <w:keepNext/>
      <w:keepLines/>
      <w:spacing w:line="520" w:lineRule="exact"/>
      <w:ind w:left="630" w:leftChars="300"/>
      <w:outlineLvl w:val="2"/>
    </w:pPr>
    <w:rPr>
      <w:rFonts w:eastAsia="仿宋_GB2312"/>
      <w:b/>
      <w:bCs/>
      <w:sz w:val="28"/>
      <w:szCs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2019-05-29T09:32:00Z</dcterms:created>
  <dc:creator>南极总督</dc:creator>
  <cp:lastModifiedBy>南极总督</cp:lastModifiedBy>
  <dcterms:modified xsi:type="dcterms:W3CDTF">2019-05-29T09:33:45Z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