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ordWrap w:val="0"/>
        <w:ind w:firstLine="1044"/>
        <w:jc w:val="right"/>
        <w:rPr>
          <w:rFonts w:hint="eastAsia"/>
          <w:b/>
          <w:color w:val="auto"/>
          <w:sz w:val="28"/>
          <w:szCs w:val="28"/>
        </w:rPr>
      </w:pPr>
      <w:bookmarkStart w:id="0" w:name="_Toc19720"/>
    </w:p>
    <w:p>
      <w:pPr>
        <w:jc w:val="center"/>
        <w:rPr>
          <w:rFonts w:hint="eastAsia"/>
          <w:color w:val="auto"/>
          <w:sz w:val="32"/>
          <w:szCs w:val="32"/>
        </w:rPr>
      </w:pPr>
    </w:p>
    <w:p>
      <w:pPr>
        <w:jc w:val="center"/>
        <w:rPr>
          <w:rFonts w:hint="eastAsia"/>
          <w:color w:val="auto"/>
          <w:sz w:val="32"/>
          <w:szCs w:val="32"/>
        </w:rPr>
      </w:pPr>
    </w:p>
    <w:p>
      <w:pPr>
        <w:jc w:val="center"/>
        <w:rPr>
          <w:rFonts w:hint="eastAsia"/>
          <w:color w:val="auto"/>
          <w:sz w:val="32"/>
          <w:szCs w:val="32"/>
        </w:rPr>
      </w:pPr>
    </w:p>
    <w:p>
      <w:pPr>
        <w:spacing w:line="360" w:lineRule="auto"/>
        <w:jc w:val="center"/>
        <w:rPr>
          <w:rFonts w:hint="eastAsia" w:ascii="宋体" w:hAnsi="宋体" w:eastAsia="宋体"/>
          <w:b/>
          <w:bCs/>
          <w:caps/>
          <w:color w:val="auto"/>
          <w:sz w:val="48"/>
          <w:szCs w:val="48"/>
          <w:lang w:eastAsia="zh-CN"/>
        </w:rPr>
      </w:pPr>
      <w:r>
        <w:rPr>
          <w:rFonts w:hint="eastAsia" w:ascii="宋体" w:hAnsi="宋体"/>
          <w:b/>
          <w:bCs/>
          <w:caps/>
          <w:color w:val="auto"/>
          <w:sz w:val="48"/>
          <w:szCs w:val="48"/>
          <w:lang w:eastAsia="zh-CN"/>
        </w:rPr>
        <w:t>仪陇县复兴镇佳呈页岩砖厂</w:t>
      </w:r>
    </w:p>
    <w:p>
      <w:pPr>
        <w:spacing w:line="360" w:lineRule="auto"/>
        <w:jc w:val="center"/>
        <w:rPr>
          <w:rFonts w:hint="eastAsia" w:ascii="宋体" w:hAnsi="宋体"/>
          <w:b/>
          <w:bCs/>
          <w:caps/>
          <w:color w:val="auto"/>
          <w:sz w:val="48"/>
          <w:szCs w:val="48"/>
        </w:rPr>
      </w:pPr>
    </w:p>
    <w:p>
      <w:pPr>
        <w:spacing w:line="360" w:lineRule="auto"/>
        <w:jc w:val="center"/>
        <w:rPr>
          <w:rFonts w:hint="eastAsia" w:ascii="宋体" w:hAnsi="宋体"/>
          <w:b/>
          <w:bCs/>
          <w:caps/>
          <w:color w:val="auto"/>
          <w:sz w:val="48"/>
          <w:szCs w:val="48"/>
          <w:lang w:eastAsia="zh-CN"/>
        </w:rPr>
      </w:pPr>
      <w:r>
        <w:rPr>
          <w:rFonts w:hint="eastAsia" w:ascii="宋体" w:hAnsi="宋体"/>
          <w:b/>
          <w:bCs/>
          <w:caps/>
          <w:color w:val="auto"/>
          <w:sz w:val="48"/>
          <w:szCs w:val="48"/>
          <w:lang w:eastAsia="zh-CN"/>
        </w:rPr>
        <w:tab/>
      </w:r>
      <w:r>
        <w:rPr>
          <w:rFonts w:hint="eastAsia" w:ascii="宋体" w:hAnsi="宋体"/>
          <w:b/>
          <w:bCs/>
          <w:caps/>
          <w:color w:val="auto"/>
          <w:sz w:val="48"/>
          <w:szCs w:val="48"/>
          <w:lang w:eastAsia="zh-CN"/>
        </w:rPr>
        <w:t>事故风险评估报告</w:t>
      </w:r>
      <w:r>
        <w:rPr>
          <w:rFonts w:hint="eastAsia" w:ascii="宋体" w:hAnsi="宋体"/>
          <w:b/>
          <w:bCs/>
          <w:caps/>
          <w:color w:val="auto"/>
          <w:sz w:val="48"/>
          <w:szCs w:val="48"/>
          <w:lang w:eastAsia="zh-CN"/>
        </w:rPr>
        <w:tab/>
      </w:r>
    </w:p>
    <w:p>
      <w:pPr>
        <w:jc w:val="center"/>
        <w:rPr>
          <w:rFonts w:hint="eastAsia"/>
          <w:color w:val="auto"/>
          <w:sz w:val="32"/>
          <w:szCs w:val="32"/>
        </w:rPr>
      </w:pPr>
    </w:p>
    <w:p>
      <w:pPr>
        <w:jc w:val="center"/>
        <w:rPr>
          <w:color w:val="auto"/>
          <w:sz w:val="32"/>
          <w:szCs w:val="32"/>
        </w:rPr>
      </w:pPr>
    </w:p>
    <w:p>
      <w:pPr>
        <w:jc w:val="center"/>
        <w:rPr>
          <w:rFonts w:hint="eastAsia"/>
          <w:color w:val="auto"/>
          <w:sz w:val="32"/>
          <w:szCs w:val="32"/>
        </w:rPr>
      </w:pPr>
    </w:p>
    <w:p>
      <w:pPr>
        <w:jc w:val="center"/>
        <w:rPr>
          <w:rFonts w:hint="eastAsia"/>
          <w:color w:val="auto"/>
          <w:sz w:val="32"/>
          <w:szCs w:val="32"/>
        </w:rPr>
      </w:pPr>
    </w:p>
    <w:p>
      <w:pPr>
        <w:jc w:val="center"/>
        <w:rPr>
          <w:rFonts w:hint="eastAsia"/>
          <w:color w:val="auto"/>
          <w:sz w:val="32"/>
          <w:szCs w:val="32"/>
        </w:rPr>
      </w:pPr>
    </w:p>
    <w:p>
      <w:pPr>
        <w:jc w:val="center"/>
        <w:rPr>
          <w:rFonts w:hint="eastAsia"/>
          <w:color w:val="auto"/>
          <w:sz w:val="32"/>
          <w:szCs w:val="32"/>
        </w:rPr>
      </w:pPr>
    </w:p>
    <w:p>
      <w:pPr>
        <w:jc w:val="center"/>
        <w:rPr>
          <w:rFonts w:hint="eastAsia"/>
          <w:color w:val="auto"/>
          <w:sz w:val="32"/>
          <w:szCs w:val="32"/>
        </w:rPr>
      </w:pPr>
    </w:p>
    <w:p>
      <w:pPr>
        <w:jc w:val="center"/>
        <w:rPr>
          <w:rFonts w:hint="eastAsia"/>
          <w:color w:val="auto"/>
          <w:sz w:val="32"/>
          <w:szCs w:val="32"/>
        </w:rPr>
      </w:pPr>
    </w:p>
    <w:p>
      <w:pPr>
        <w:jc w:val="center"/>
        <w:rPr>
          <w:rFonts w:hint="eastAsia"/>
          <w:color w:val="auto"/>
          <w:sz w:val="32"/>
          <w:szCs w:val="32"/>
        </w:rPr>
      </w:pPr>
    </w:p>
    <w:p>
      <w:pPr>
        <w:jc w:val="center"/>
        <w:rPr>
          <w:rFonts w:hint="eastAsia"/>
          <w:color w:val="auto"/>
          <w:sz w:val="32"/>
          <w:szCs w:val="32"/>
        </w:rPr>
      </w:pPr>
    </w:p>
    <w:tbl>
      <w:tblPr>
        <w:tblStyle w:val="19"/>
        <w:tblW w:w="8137" w:type="dxa"/>
        <w:jc w:val="center"/>
        <w:tblInd w:w="0" w:type="dxa"/>
        <w:tblLayout w:type="fixed"/>
        <w:tblCellMar>
          <w:top w:w="0" w:type="dxa"/>
          <w:left w:w="108" w:type="dxa"/>
          <w:bottom w:w="0" w:type="dxa"/>
          <w:right w:w="108" w:type="dxa"/>
        </w:tblCellMar>
      </w:tblPr>
      <w:tblGrid>
        <w:gridCol w:w="8137"/>
      </w:tblGrid>
      <w:tr>
        <w:tblPrEx>
          <w:tblLayout w:type="fixed"/>
          <w:tblCellMar>
            <w:top w:w="0" w:type="dxa"/>
            <w:left w:w="108" w:type="dxa"/>
            <w:bottom w:w="0" w:type="dxa"/>
            <w:right w:w="108" w:type="dxa"/>
          </w:tblCellMar>
        </w:tblPrEx>
        <w:trPr>
          <w:jc w:val="center"/>
        </w:trPr>
        <w:tc>
          <w:tcPr>
            <w:tcW w:w="8137" w:type="dxa"/>
            <w:vAlign w:val="center"/>
          </w:tcPr>
          <w:p>
            <w:pPr>
              <w:jc w:val="center"/>
              <w:rPr>
                <w:rFonts w:hint="eastAsia"/>
                <w:color w:val="auto"/>
                <w:sz w:val="36"/>
                <w:szCs w:val="36"/>
              </w:rPr>
            </w:pPr>
            <w:r>
              <w:rPr>
                <w:rFonts w:hint="eastAsia" w:eastAsia="黑体"/>
                <w:bCs/>
                <w:color w:val="auto"/>
                <w:sz w:val="36"/>
                <w:szCs w:val="36"/>
              </w:rPr>
              <w:t>编制单位：</w:t>
            </w:r>
            <w:r>
              <w:rPr>
                <w:rFonts w:hint="eastAsia" w:eastAsia="黑体"/>
                <w:b/>
                <w:bCs/>
                <w:color w:val="auto"/>
                <w:sz w:val="36"/>
                <w:szCs w:val="36"/>
                <w:lang w:eastAsia="zh-CN"/>
              </w:rPr>
              <w:t>仪陇县复兴镇佳呈页岩砖厂</w:t>
            </w:r>
          </w:p>
        </w:tc>
      </w:tr>
      <w:tr>
        <w:tblPrEx>
          <w:tblLayout w:type="fixed"/>
          <w:tblCellMar>
            <w:top w:w="0" w:type="dxa"/>
            <w:left w:w="108" w:type="dxa"/>
            <w:bottom w:w="0" w:type="dxa"/>
            <w:right w:w="108" w:type="dxa"/>
          </w:tblCellMar>
        </w:tblPrEx>
        <w:trPr>
          <w:jc w:val="center"/>
        </w:trPr>
        <w:tc>
          <w:tcPr>
            <w:tcW w:w="8137" w:type="dxa"/>
            <w:vAlign w:val="center"/>
          </w:tcPr>
          <w:p>
            <w:pPr>
              <w:ind w:firstLine="720"/>
              <w:rPr>
                <w:rFonts w:hint="eastAsia" w:eastAsia="黑体"/>
                <w:bCs/>
                <w:color w:val="auto"/>
                <w:sz w:val="36"/>
                <w:szCs w:val="36"/>
              </w:rPr>
            </w:pPr>
          </w:p>
        </w:tc>
      </w:tr>
      <w:tr>
        <w:tblPrEx>
          <w:tblLayout w:type="fixed"/>
          <w:tblCellMar>
            <w:top w:w="0" w:type="dxa"/>
            <w:left w:w="108" w:type="dxa"/>
            <w:bottom w:w="0" w:type="dxa"/>
            <w:right w:w="108" w:type="dxa"/>
          </w:tblCellMar>
        </w:tblPrEx>
        <w:trPr>
          <w:jc w:val="center"/>
        </w:trPr>
        <w:tc>
          <w:tcPr>
            <w:tcW w:w="8137" w:type="dxa"/>
            <w:vAlign w:val="center"/>
          </w:tcPr>
          <w:p>
            <w:pPr>
              <w:jc w:val="center"/>
              <w:rPr>
                <w:rFonts w:hint="eastAsia"/>
                <w:color w:val="auto"/>
                <w:sz w:val="36"/>
                <w:szCs w:val="36"/>
              </w:rPr>
            </w:pPr>
            <w:r>
              <w:rPr>
                <w:rFonts w:hint="eastAsia" w:eastAsia="黑体"/>
                <w:bCs/>
                <w:color w:val="auto"/>
                <w:sz w:val="36"/>
                <w:szCs w:val="36"/>
              </w:rPr>
              <w:t>编制时间：201</w:t>
            </w:r>
            <w:r>
              <w:rPr>
                <w:rFonts w:hint="eastAsia" w:eastAsia="黑体"/>
                <w:bCs/>
                <w:color w:val="auto"/>
                <w:sz w:val="36"/>
                <w:szCs w:val="36"/>
                <w:lang w:val="en-US" w:eastAsia="zh-CN"/>
              </w:rPr>
              <w:t>9</w:t>
            </w:r>
            <w:r>
              <w:rPr>
                <w:rFonts w:hint="eastAsia" w:eastAsia="黑体"/>
                <w:bCs/>
                <w:color w:val="auto"/>
                <w:sz w:val="36"/>
                <w:szCs w:val="36"/>
              </w:rPr>
              <w:t>年</w:t>
            </w:r>
            <w:r>
              <w:rPr>
                <w:rFonts w:hint="eastAsia" w:eastAsia="黑体"/>
                <w:bCs/>
                <w:color w:val="auto"/>
                <w:sz w:val="36"/>
                <w:szCs w:val="36"/>
                <w:lang w:val="en-US" w:eastAsia="zh-CN"/>
              </w:rPr>
              <w:t>04</w:t>
            </w:r>
            <w:r>
              <w:rPr>
                <w:rFonts w:hint="eastAsia" w:eastAsia="黑体"/>
                <w:bCs/>
                <w:color w:val="auto"/>
                <w:sz w:val="36"/>
                <w:szCs w:val="36"/>
              </w:rPr>
              <w:t>月</w:t>
            </w:r>
            <w:r>
              <w:rPr>
                <w:rFonts w:hint="eastAsia" w:eastAsia="黑体"/>
                <w:bCs/>
                <w:color w:val="auto"/>
                <w:sz w:val="36"/>
                <w:szCs w:val="36"/>
                <w:lang w:val="en-US" w:eastAsia="zh-CN"/>
              </w:rPr>
              <w:t>25</w:t>
            </w:r>
            <w:r>
              <w:rPr>
                <w:rFonts w:hint="eastAsia" w:eastAsia="黑体"/>
                <w:bCs/>
                <w:color w:val="auto"/>
                <w:sz w:val="36"/>
                <w:szCs w:val="36"/>
              </w:rPr>
              <w:t>日</w:t>
            </w:r>
          </w:p>
        </w:tc>
      </w:tr>
    </w:tbl>
    <w:p>
      <w:pPr>
        <w:jc w:val="center"/>
        <w:rPr>
          <w:rFonts w:hint="eastAsia"/>
          <w:color w:val="auto"/>
          <w:sz w:val="32"/>
          <w:szCs w:val="32"/>
        </w:rPr>
      </w:pPr>
    </w:p>
    <w:p>
      <w:pPr>
        <w:widowControl/>
        <w:spacing w:line="560" w:lineRule="exact"/>
        <w:jc w:val="left"/>
        <w:outlineLvl w:val="2"/>
        <w:rPr>
          <w:rFonts w:hint="eastAsia" w:ascii="宋体" w:hAnsi="宋体" w:cs="宋体"/>
          <w:b/>
          <w:bCs/>
          <w:color w:val="auto"/>
          <w:kern w:val="0"/>
          <w:sz w:val="28"/>
          <w:szCs w:val="28"/>
        </w:rPr>
      </w:pPr>
    </w:p>
    <w:p>
      <w:pPr>
        <w:rPr>
          <w:rFonts w:hint="eastAsia"/>
          <w:color w:val="auto"/>
        </w:rPr>
      </w:pPr>
      <w:bookmarkStart w:id="1" w:name="_Toc486865993"/>
      <w:bookmarkStart w:id="2" w:name="_Toc489891867"/>
      <w:bookmarkStart w:id="3" w:name="_Toc481937753"/>
      <w:bookmarkStart w:id="4" w:name="_Toc1966"/>
      <w:bookmarkStart w:id="5" w:name="_Toc490472469"/>
      <w:r>
        <w:rPr>
          <w:rFonts w:hint="eastAsia"/>
          <w:color w:val="auto"/>
        </w:rPr>
        <w:br w:type="page"/>
      </w:r>
    </w:p>
    <w:p>
      <w:pPr>
        <w:pStyle w:val="4"/>
        <w:spacing w:line="360" w:lineRule="auto"/>
        <w:rPr>
          <w:rFonts w:hint="eastAsia"/>
          <w:color w:val="auto"/>
        </w:rPr>
      </w:pPr>
      <w:bookmarkStart w:id="6" w:name="_Toc2372"/>
      <w:bookmarkStart w:id="7" w:name="_Toc7658"/>
      <w:bookmarkStart w:id="8" w:name="_Toc27937"/>
      <w:bookmarkStart w:id="9" w:name="_Toc17105"/>
      <w:bookmarkStart w:id="10" w:name="_Toc29638"/>
      <w:bookmarkStart w:id="11" w:name="_Toc30139"/>
      <w:bookmarkStart w:id="12" w:name="_Toc5540"/>
      <w:bookmarkStart w:id="13" w:name="_Toc17571"/>
      <w:r>
        <w:rPr>
          <w:rFonts w:hint="eastAsia"/>
          <w:color w:val="auto"/>
        </w:rPr>
        <w:t>目</w:t>
      </w:r>
      <w:r>
        <w:rPr>
          <w:rFonts w:hint="eastAsia"/>
          <w:color w:val="auto"/>
          <w:lang w:val="en-US" w:eastAsia="zh-CN"/>
        </w:rPr>
        <w:t xml:space="preserve">  </w:t>
      </w:r>
      <w:r>
        <w:rPr>
          <w:rFonts w:hint="eastAsia"/>
          <w:color w:val="auto"/>
        </w:rPr>
        <w:t>录</w:t>
      </w:r>
      <w:bookmarkEnd w:id="1"/>
      <w:bookmarkEnd w:id="2"/>
      <w:bookmarkEnd w:id="3"/>
      <w:bookmarkEnd w:id="4"/>
      <w:bookmarkEnd w:id="5"/>
      <w:bookmarkEnd w:id="6"/>
      <w:bookmarkEnd w:id="7"/>
      <w:bookmarkEnd w:id="8"/>
      <w:bookmarkEnd w:id="9"/>
      <w:bookmarkEnd w:id="10"/>
      <w:bookmarkEnd w:id="11"/>
      <w:bookmarkEnd w:id="12"/>
      <w:bookmarkEnd w:id="13"/>
    </w:p>
    <w:p>
      <w:pPr>
        <w:pStyle w:val="15"/>
        <w:tabs>
          <w:tab w:val="right" w:leader="dot" w:pos="9638"/>
        </w:tabs>
        <w:spacing w:line="360" w:lineRule="auto"/>
        <w:rPr>
          <w:rFonts w:ascii="宋体" w:hAnsi="宋体"/>
          <w:color w:val="auto"/>
          <w:sz w:val="24"/>
        </w:rPr>
      </w:pPr>
    </w:p>
    <w:p>
      <w:pPr>
        <w:pStyle w:val="15"/>
        <w:tabs>
          <w:tab w:val="right" w:leader="dot" w:pos="8306"/>
        </w:tabs>
      </w:pPr>
      <w:r>
        <w:rPr>
          <w:rFonts w:ascii="宋体" w:hAnsi="宋体"/>
          <w:color w:val="auto"/>
          <w:sz w:val="24"/>
        </w:rPr>
        <w:fldChar w:fldCharType="begin"/>
      </w:r>
      <w:r>
        <w:rPr>
          <w:rFonts w:ascii="宋体" w:hAnsi="宋体"/>
          <w:color w:val="auto"/>
          <w:sz w:val="24"/>
        </w:rPr>
        <w:instrText xml:space="preserve"> </w:instrText>
      </w:r>
      <w:r>
        <w:rPr>
          <w:rFonts w:hint="eastAsia" w:ascii="宋体" w:hAnsi="宋体"/>
          <w:color w:val="auto"/>
          <w:sz w:val="24"/>
        </w:rPr>
        <w:instrText xml:space="preserve">TOC \o "1-3" \h \z \u</w:instrText>
      </w:r>
      <w:r>
        <w:rPr>
          <w:rFonts w:ascii="宋体" w:hAnsi="宋体"/>
          <w:color w:val="auto"/>
          <w:sz w:val="24"/>
        </w:rPr>
        <w:instrText xml:space="preserve"> </w:instrText>
      </w:r>
      <w:r>
        <w:rPr>
          <w:rFonts w:ascii="宋体" w:hAnsi="宋体"/>
          <w:color w:val="auto"/>
          <w:sz w:val="24"/>
        </w:rPr>
        <w:fldChar w:fldCharType="separate"/>
      </w:r>
      <w:bookmarkStart w:id="264" w:name="_GoBack"/>
      <w:bookmarkEnd w:id="264"/>
      <w:r>
        <w:rPr>
          <w:rFonts w:ascii="宋体" w:hAnsi="宋体"/>
          <w:color w:val="auto"/>
        </w:rPr>
        <w:fldChar w:fldCharType="begin"/>
      </w:r>
      <w:r>
        <w:rPr>
          <w:rFonts w:ascii="宋体" w:hAnsi="宋体"/>
        </w:rPr>
        <w:instrText xml:space="preserve"> HYPERLINK \l _Toc4713 </w:instrText>
      </w:r>
      <w:r>
        <w:rPr>
          <w:rFonts w:ascii="宋体" w:hAnsi="宋体"/>
        </w:rPr>
        <w:fldChar w:fldCharType="separate"/>
      </w:r>
      <w:r>
        <w:rPr>
          <w:rFonts w:hint="eastAsia" w:ascii="黑体" w:hAnsi="宋体" w:eastAsia="黑体"/>
          <w:szCs w:val="32"/>
        </w:rPr>
        <w:t>1概述</w:t>
      </w:r>
      <w:r>
        <w:tab/>
      </w:r>
      <w:r>
        <w:fldChar w:fldCharType="begin"/>
      </w:r>
      <w:r>
        <w:instrText xml:space="preserve"> PAGEREF _Toc4713 </w:instrText>
      </w:r>
      <w:r>
        <w:fldChar w:fldCharType="separate"/>
      </w:r>
      <w:r>
        <w:t>1</w:t>
      </w:r>
      <w:r>
        <w:fldChar w:fldCharType="end"/>
      </w:r>
      <w:r>
        <w:rPr>
          <w:rFonts w:ascii="宋体" w:hAnsi="宋体"/>
          <w:color w:val="auto"/>
        </w:rPr>
        <w:fldChar w:fldCharType="end"/>
      </w:r>
    </w:p>
    <w:p>
      <w:pPr>
        <w:pStyle w:val="17"/>
        <w:tabs>
          <w:tab w:val="right" w:leader="dot" w:pos="8306"/>
        </w:tabs>
      </w:pPr>
      <w:r>
        <w:rPr>
          <w:rFonts w:ascii="宋体" w:hAnsi="宋体"/>
          <w:color w:val="auto"/>
        </w:rPr>
        <w:fldChar w:fldCharType="begin"/>
      </w:r>
      <w:r>
        <w:rPr>
          <w:rFonts w:ascii="宋体" w:hAnsi="宋体"/>
        </w:rPr>
        <w:instrText xml:space="preserve"> HYPERLINK \l _Toc9062 </w:instrText>
      </w:r>
      <w:r>
        <w:rPr>
          <w:rFonts w:ascii="宋体" w:hAnsi="宋体"/>
        </w:rPr>
        <w:fldChar w:fldCharType="separate"/>
      </w:r>
      <w:r>
        <w:rPr>
          <w:rFonts w:hint="eastAsia" w:ascii="宋体" w:hAnsi="宋体" w:eastAsia="宋体" w:cs="宋体"/>
          <w:szCs w:val="28"/>
        </w:rPr>
        <w:t>1.1评估的主要依据</w:t>
      </w:r>
      <w:r>
        <w:tab/>
      </w:r>
      <w:r>
        <w:fldChar w:fldCharType="begin"/>
      </w:r>
      <w:r>
        <w:instrText xml:space="preserve"> PAGEREF _Toc9062 </w:instrText>
      </w:r>
      <w:r>
        <w:fldChar w:fldCharType="separate"/>
      </w:r>
      <w:r>
        <w:t>1</w:t>
      </w:r>
      <w:r>
        <w:fldChar w:fldCharType="end"/>
      </w:r>
      <w:r>
        <w:rPr>
          <w:rFonts w:ascii="宋体" w:hAnsi="宋体"/>
          <w:color w:val="auto"/>
        </w:rPr>
        <w:fldChar w:fldCharType="end"/>
      </w:r>
    </w:p>
    <w:p>
      <w:pPr>
        <w:pStyle w:val="17"/>
        <w:tabs>
          <w:tab w:val="right" w:leader="dot" w:pos="8306"/>
        </w:tabs>
      </w:pPr>
      <w:r>
        <w:rPr>
          <w:rFonts w:ascii="宋体" w:hAnsi="宋体"/>
          <w:color w:val="auto"/>
        </w:rPr>
        <w:fldChar w:fldCharType="begin"/>
      </w:r>
      <w:r>
        <w:rPr>
          <w:rFonts w:ascii="宋体" w:hAnsi="宋体"/>
        </w:rPr>
        <w:instrText xml:space="preserve"> HYPERLINK \l _Toc14711 </w:instrText>
      </w:r>
      <w:r>
        <w:rPr>
          <w:rFonts w:ascii="宋体" w:hAnsi="宋体"/>
        </w:rPr>
        <w:fldChar w:fldCharType="separate"/>
      </w:r>
      <w:r>
        <w:rPr>
          <w:rFonts w:hint="eastAsia" w:ascii="宋体" w:hAnsi="宋体" w:eastAsia="宋体" w:cs="宋体"/>
          <w:szCs w:val="28"/>
          <w:lang w:val="en-US" w:eastAsia="zh-CN"/>
        </w:rPr>
        <w:t>1.2评估目的</w:t>
      </w:r>
      <w:r>
        <w:tab/>
      </w:r>
      <w:r>
        <w:fldChar w:fldCharType="begin"/>
      </w:r>
      <w:r>
        <w:instrText xml:space="preserve"> PAGEREF _Toc14711 </w:instrText>
      </w:r>
      <w:r>
        <w:fldChar w:fldCharType="separate"/>
      </w:r>
      <w:r>
        <w:t>3</w:t>
      </w:r>
      <w:r>
        <w:fldChar w:fldCharType="end"/>
      </w:r>
      <w:r>
        <w:rPr>
          <w:rFonts w:ascii="宋体" w:hAnsi="宋体"/>
          <w:color w:val="auto"/>
        </w:rPr>
        <w:fldChar w:fldCharType="end"/>
      </w:r>
    </w:p>
    <w:p>
      <w:pPr>
        <w:pStyle w:val="17"/>
        <w:tabs>
          <w:tab w:val="right" w:leader="dot" w:pos="8306"/>
        </w:tabs>
      </w:pPr>
      <w:r>
        <w:rPr>
          <w:rFonts w:ascii="宋体" w:hAnsi="宋体"/>
          <w:color w:val="auto"/>
        </w:rPr>
        <w:fldChar w:fldCharType="begin"/>
      </w:r>
      <w:r>
        <w:rPr>
          <w:rFonts w:ascii="宋体" w:hAnsi="宋体"/>
        </w:rPr>
        <w:instrText xml:space="preserve"> HYPERLINK \l _Toc13403 </w:instrText>
      </w:r>
      <w:r>
        <w:rPr>
          <w:rFonts w:ascii="宋体" w:hAnsi="宋体"/>
        </w:rPr>
        <w:fldChar w:fldCharType="separate"/>
      </w:r>
      <w:r>
        <w:rPr>
          <w:rFonts w:hint="eastAsia" w:ascii="宋体" w:hAnsi="宋体" w:eastAsia="宋体" w:cs="宋体"/>
          <w:szCs w:val="28"/>
          <w:lang w:val="en-US" w:eastAsia="zh-CN"/>
        </w:rPr>
        <w:t>1.3风险评估范围</w:t>
      </w:r>
      <w:r>
        <w:tab/>
      </w:r>
      <w:r>
        <w:fldChar w:fldCharType="begin"/>
      </w:r>
      <w:r>
        <w:instrText xml:space="preserve"> PAGEREF _Toc13403 </w:instrText>
      </w:r>
      <w:r>
        <w:fldChar w:fldCharType="separate"/>
      </w:r>
      <w:r>
        <w:t>3</w:t>
      </w:r>
      <w:r>
        <w:fldChar w:fldCharType="end"/>
      </w:r>
      <w:r>
        <w:rPr>
          <w:rFonts w:ascii="宋体" w:hAnsi="宋体"/>
          <w:color w:val="auto"/>
        </w:rPr>
        <w:fldChar w:fldCharType="end"/>
      </w:r>
    </w:p>
    <w:p>
      <w:pPr>
        <w:pStyle w:val="17"/>
        <w:tabs>
          <w:tab w:val="right" w:leader="dot" w:pos="8306"/>
        </w:tabs>
      </w:pPr>
      <w:r>
        <w:rPr>
          <w:rFonts w:ascii="宋体" w:hAnsi="宋体"/>
          <w:color w:val="auto"/>
        </w:rPr>
        <w:fldChar w:fldCharType="begin"/>
      </w:r>
      <w:r>
        <w:rPr>
          <w:rFonts w:ascii="宋体" w:hAnsi="宋体"/>
        </w:rPr>
        <w:instrText xml:space="preserve"> HYPERLINK \l _Toc984 </w:instrText>
      </w:r>
      <w:r>
        <w:rPr>
          <w:rFonts w:ascii="宋体" w:hAnsi="宋体"/>
        </w:rPr>
        <w:fldChar w:fldCharType="separate"/>
      </w:r>
      <w:r>
        <w:rPr>
          <w:rFonts w:hint="eastAsia" w:ascii="宋体" w:hAnsi="宋体" w:eastAsia="宋体" w:cs="宋体"/>
          <w:szCs w:val="28"/>
        </w:rPr>
        <w:t>1.4评估程序</w:t>
      </w:r>
      <w:r>
        <w:tab/>
      </w:r>
      <w:r>
        <w:fldChar w:fldCharType="begin"/>
      </w:r>
      <w:r>
        <w:instrText xml:space="preserve"> PAGEREF _Toc984 </w:instrText>
      </w:r>
      <w:r>
        <w:fldChar w:fldCharType="separate"/>
      </w:r>
      <w:r>
        <w:t>3</w:t>
      </w:r>
      <w:r>
        <w:fldChar w:fldCharType="end"/>
      </w:r>
      <w:r>
        <w:rPr>
          <w:rFonts w:ascii="宋体" w:hAnsi="宋体"/>
          <w:color w:val="auto"/>
        </w:rPr>
        <w:fldChar w:fldCharType="end"/>
      </w:r>
    </w:p>
    <w:p>
      <w:pPr>
        <w:pStyle w:val="15"/>
        <w:tabs>
          <w:tab w:val="right" w:leader="dot" w:pos="8306"/>
        </w:tabs>
      </w:pPr>
      <w:r>
        <w:rPr>
          <w:rFonts w:ascii="宋体" w:hAnsi="宋体"/>
          <w:color w:val="auto"/>
        </w:rPr>
        <w:fldChar w:fldCharType="begin"/>
      </w:r>
      <w:r>
        <w:rPr>
          <w:rFonts w:ascii="宋体" w:hAnsi="宋体"/>
        </w:rPr>
        <w:instrText xml:space="preserve"> HYPERLINK \l _Toc11923 </w:instrText>
      </w:r>
      <w:r>
        <w:rPr>
          <w:rFonts w:ascii="宋体" w:hAnsi="宋体"/>
        </w:rPr>
        <w:fldChar w:fldCharType="separate"/>
      </w:r>
      <w:r>
        <w:rPr>
          <w:rFonts w:hint="eastAsia" w:ascii="黑体" w:hAnsi="宋体" w:eastAsia="黑体"/>
          <w:szCs w:val="32"/>
          <w:lang w:val="en-US" w:eastAsia="zh-CN"/>
        </w:rPr>
        <w:t>2</w:t>
      </w:r>
      <w:r>
        <w:rPr>
          <w:rFonts w:hint="eastAsia" w:ascii="黑体" w:hAnsi="宋体" w:eastAsia="黑体"/>
          <w:szCs w:val="32"/>
        </w:rPr>
        <w:t>公司概况</w:t>
      </w:r>
      <w:r>
        <w:tab/>
      </w:r>
      <w:r>
        <w:fldChar w:fldCharType="begin"/>
      </w:r>
      <w:r>
        <w:instrText xml:space="preserve"> PAGEREF _Toc11923 </w:instrText>
      </w:r>
      <w:r>
        <w:fldChar w:fldCharType="separate"/>
      </w:r>
      <w:r>
        <w:t>4</w:t>
      </w:r>
      <w:r>
        <w:fldChar w:fldCharType="end"/>
      </w:r>
      <w:r>
        <w:rPr>
          <w:rFonts w:ascii="宋体" w:hAnsi="宋体"/>
          <w:color w:val="auto"/>
        </w:rPr>
        <w:fldChar w:fldCharType="end"/>
      </w:r>
    </w:p>
    <w:p>
      <w:pPr>
        <w:pStyle w:val="17"/>
        <w:tabs>
          <w:tab w:val="right" w:leader="dot" w:pos="8306"/>
        </w:tabs>
      </w:pPr>
      <w:r>
        <w:rPr>
          <w:rFonts w:ascii="宋体" w:hAnsi="宋体"/>
          <w:color w:val="auto"/>
        </w:rPr>
        <w:fldChar w:fldCharType="begin"/>
      </w:r>
      <w:r>
        <w:rPr>
          <w:rFonts w:ascii="宋体" w:hAnsi="宋体"/>
        </w:rPr>
        <w:instrText xml:space="preserve"> HYPERLINK \l _Toc5569 </w:instrText>
      </w:r>
      <w:r>
        <w:rPr>
          <w:rFonts w:ascii="宋体" w:hAnsi="宋体"/>
        </w:rPr>
        <w:fldChar w:fldCharType="separate"/>
      </w:r>
      <w:r>
        <w:rPr>
          <w:rFonts w:hint="eastAsia" w:ascii="宋体" w:hAnsi="宋体" w:eastAsia="宋体" w:cs="宋体"/>
          <w:szCs w:val="28"/>
        </w:rPr>
        <w:t>2.1 公司概况</w:t>
      </w:r>
      <w:r>
        <w:tab/>
      </w:r>
      <w:r>
        <w:fldChar w:fldCharType="begin"/>
      </w:r>
      <w:r>
        <w:instrText xml:space="preserve"> PAGEREF _Toc5569 </w:instrText>
      </w:r>
      <w:r>
        <w:fldChar w:fldCharType="separate"/>
      </w:r>
      <w:r>
        <w:t>4</w:t>
      </w:r>
      <w:r>
        <w:fldChar w:fldCharType="end"/>
      </w:r>
      <w:r>
        <w:rPr>
          <w:rFonts w:ascii="宋体" w:hAnsi="宋体"/>
          <w:color w:val="auto"/>
        </w:rPr>
        <w:fldChar w:fldCharType="end"/>
      </w:r>
    </w:p>
    <w:p>
      <w:pPr>
        <w:pStyle w:val="17"/>
        <w:tabs>
          <w:tab w:val="right" w:leader="dot" w:pos="8306"/>
        </w:tabs>
      </w:pPr>
      <w:r>
        <w:rPr>
          <w:rFonts w:ascii="宋体" w:hAnsi="宋体"/>
          <w:color w:val="auto"/>
        </w:rPr>
        <w:fldChar w:fldCharType="begin"/>
      </w:r>
      <w:r>
        <w:rPr>
          <w:rFonts w:ascii="宋体" w:hAnsi="宋体"/>
        </w:rPr>
        <w:instrText xml:space="preserve"> HYPERLINK \l _Toc20807 </w:instrText>
      </w:r>
      <w:r>
        <w:rPr>
          <w:rFonts w:ascii="宋体" w:hAnsi="宋体"/>
        </w:rPr>
        <w:fldChar w:fldCharType="separate"/>
      </w:r>
      <w:r>
        <w:rPr>
          <w:rFonts w:hint="eastAsia" w:ascii="宋体" w:hAnsi="宋体" w:eastAsia="宋体" w:cs="宋体"/>
          <w:szCs w:val="28"/>
        </w:rPr>
        <w:t>2.</w:t>
      </w:r>
      <w:r>
        <w:rPr>
          <w:rFonts w:hint="eastAsia" w:ascii="宋体" w:hAnsi="宋体" w:eastAsia="宋体" w:cs="宋体"/>
          <w:szCs w:val="28"/>
          <w:lang w:val="en-US" w:eastAsia="zh-CN"/>
        </w:rPr>
        <w:t>1.1</w:t>
      </w:r>
      <w:r>
        <w:rPr>
          <w:rFonts w:hint="eastAsia" w:ascii="宋体" w:hAnsi="宋体" w:eastAsia="宋体" w:cs="宋体"/>
          <w:szCs w:val="28"/>
        </w:rPr>
        <w:t>公司地理位置及环境等情况</w:t>
      </w:r>
      <w:r>
        <w:tab/>
      </w:r>
      <w:r>
        <w:fldChar w:fldCharType="begin"/>
      </w:r>
      <w:r>
        <w:instrText xml:space="preserve"> PAGEREF _Toc20807 </w:instrText>
      </w:r>
      <w:r>
        <w:fldChar w:fldCharType="separate"/>
      </w:r>
      <w:r>
        <w:t>4</w:t>
      </w:r>
      <w:r>
        <w:fldChar w:fldCharType="end"/>
      </w:r>
      <w:r>
        <w:rPr>
          <w:rFonts w:ascii="宋体" w:hAnsi="宋体"/>
          <w:color w:val="auto"/>
        </w:rPr>
        <w:fldChar w:fldCharType="end"/>
      </w:r>
    </w:p>
    <w:p>
      <w:pPr>
        <w:pStyle w:val="17"/>
        <w:tabs>
          <w:tab w:val="right" w:leader="dot" w:pos="8306"/>
        </w:tabs>
      </w:pPr>
      <w:r>
        <w:rPr>
          <w:rFonts w:ascii="宋体" w:hAnsi="宋体"/>
          <w:color w:val="auto"/>
        </w:rPr>
        <w:fldChar w:fldCharType="begin"/>
      </w:r>
      <w:r>
        <w:rPr>
          <w:rFonts w:ascii="宋体" w:hAnsi="宋体"/>
        </w:rPr>
        <w:instrText xml:space="preserve"> HYPERLINK \l _Toc5621 </w:instrText>
      </w:r>
      <w:r>
        <w:rPr>
          <w:rFonts w:ascii="宋体" w:hAnsi="宋体"/>
        </w:rPr>
        <w:fldChar w:fldCharType="separate"/>
      </w:r>
      <w:r>
        <w:rPr>
          <w:rFonts w:hint="eastAsia" w:ascii="宋体" w:hAnsi="宋体" w:eastAsia="宋体" w:cs="宋体"/>
          <w:szCs w:val="28"/>
          <w:lang w:val="zh-CN"/>
        </w:rPr>
        <w:t>2.1.</w:t>
      </w:r>
      <w:r>
        <w:rPr>
          <w:rFonts w:hint="eastAsia" w:ascii="宋体" w:hAnsi="宋体" w:eastAsia="宋体" w:cs="宋体"/>
          <w:szCs w:val="28"/>
          <w:lang w:val="en-US" w:eastAsia="zh-CN"/>
        </w:rPr>
        <w:t>2</w:t>
      </w:r>
      <w:r>
        <w:rPr>
          <w:rFonts w:hint="eastAsia" w:ascii="宋体" w:hAnsi="宋体" w:eastAsia="宋体" w:cs="宋体"/>
          <w:szCs w:val="28"/>
          <w:lang w:val="zh-CN"/>
        </w:rPr>
        <w:t>总体布置</w:t>
      </w:r>
      <w:r>
        <w:tab/>
      </w:r>
      <w:r>
        <w:fldChar w:fldCharType="begin"/>
      </w:r>
      <w:r>
        <w:instrText xml:space="preserve"> PAGEREF _Toc5621 </w:instrText>
      </w:r>
      <w:r>
        <w:fldChar w:fldCharType="separate"/>
      </w:r>
      <w:r>
        <w:t>5</w:t>
      </w:r>
      <w:r>
        <w:fldChar w:fldCharType="end"/>
      </w:r>
      <w:r>
        <w:rPr>
          <w:rFonts w:ascii="宋体" w:hAnsi="宋体"/>
          <w:color w:val="auto"/>
        </w:rPr>
        <w:fldChar w:fldCharType="end"/>
      </w:r>
    </w:p>
    <w:p>
      <w:pPr>
        <w:pStyle w:val="17"/>
        <w:tabs>
          <w:tab w:val="right" w:leader="dot" w:pos="8306"/>
        </w:tabs>
      </w:pPr>
      <w:r>
        <w:rPr>
          <w:rFonts w:ascii="宋体" w:hAnsi="宋体"/>
          <w:color w:val="auto"/>
        </w:rPr>
        <w:fldChar w:fldCharType="begin"/>
      </w:r>
      <w:r>
        <w:rPr>
          <w:rFonts w:ascii="宋体" w:hAnsi="宋体"/>
        </w:rPr>
        <w:instrText xml:space="preserve"> HYPERLINK \l _Toc17114 </w:instrText>
      </w:r>
      <w:r>
        <w:rPr>
          <w:rFonts w:ascii="宋体" w:hAnsi="宋体"/>
        </w:rPr>
        <w:fldChar w:fldCharType="separate"/>
      </w:r>
      <w:r>
        <w:rPr>
          <w:rFonts w:hint="eastAsia" w:ascii="宋体" w:hAnsi="宋体" w:eastAsia="宋体" w:cs="宋体"/>
          <w:szCs w:val="28"/>
          <w:lang w:val="zh-CN"/>
        </w:rPr>
        <w:t>2.</w:t>
      </w:r>
      <w:r>
        <w:rPr>
          <w:rFonts w:hint="eastAsia" w:ascii="宋体" w:hAnsi="宋体" w:eastAsia="宋体" w:cs="宋体"/>
          <w:szCs w:val="28"/>
        </w:rPr>
        <w:t>1.</w:t>
      </w:r>
      <w:r>
        <w:rPr>
          <w:rFonts w:hint="eastAsia" w:ascii="宋体" w:hAnsi="宋体" w:eastAsia="宋体" w:cs="宋体"/>
          <w:szCs w:val="28"/>
          <w:lang w:val="en-US" w:eastAsia="zh-CN"/>
        </w:rPr>
        <w:t>3</w:t>
      </w:r>
      <w:r>
        <w:rPr>
          <w:rFonts w:hint="eastAsia" w:ascii="宋体" w:hAnsi="宋体" w:eastAsia="宋体" w:cs="宋体"/>
          <w:szCs w:val="28"/>
          <w:lang w:val="zh-CN"/>
        </w:rPr>
        <w:t>周边环境</w:t>
      </w:r>
      <w:r>
        <w:tab/>
      </w:r>
      <w:r>
        <w:fldChar w:fldCharType="begin"/>
      </w:r>
      <w:r>
        <w:instrText xml:space="preserve"> PAGEREF _Toc17114 </w:instrText>
      </w:r>
      <w:r>
        <w:fldChar w:fldCharType="separate"/>
      </w:r>
      <w:r>
        <w:t>7</w:t>
      </w:r>
      <w:r>
        <w:fldChar w:fldCharType="end"/>
      </w:r>
      <w:r>
        <w:rPr>
          <w:rFonts w:ascii="宋体" w:hAnsi="宋体"/>
          <w:color w:val="auto"/>
        </w:rPr>
        <w:fldChar w:fldCharType="end"/>
      </w:r>
    </w:p>
    <w:p>
      <w:pPr>
        <w:pStyle w:val="17"/>
        <w:tabs>
          <w:tab w:val="right" w:leader="dot" w:pos="8306"/>
        </w:tabs>
      </w:pPr>
      <w:r>
        <w:rPr>
          <w:rFonts w:ascii="宋体" w:hAnsi="宋体"/>
          <w:color w:val="auto"/>
        </w:rPr>
        <w:fldChar w:fldCharType="begin"/>
      </w:r>
      <w:r>
        <w:rPr>
          <w:rFonts w:ascii="宋体" w:hAnsi="宋体"/>
        </w:rPr>
        <w:instrText xml:space="preserve"> HYPERLINK \l _Toc26960 </w:instrText>
      </w:r>
      <w:r>
        <w:rPr>
          <w:rFonts w:ascii="宋体" w:hAnsi="宋体"/>
        </w:rPr>
        <w:fldChar w:fldCharType="separate"/>
      </w:r>
      <w:r>
        <w:rPr>
          <w:rFonts w:hint="eastAsia" w:ascii="宋体" w:hAnsi="宋体" w:eastAsia="宋体" w:cs="宋体"/>
          <w:szCs w:val="28"/>
          <w:lang w:val="zh-CN"/>
        </w:rPr>
        <w:t>2.1.</w:t>
      </w:r>
      <w:r>
        <w:rPr>
          <w:rFonts w:hint="eastAsia" w:ascii="宋体" w:hAnsi="宋体" w:eastAsia="宋体" w:cs="宋体"/>
          <w:szCs w:val="28"/>
          <w:lang w:val="en-US" w:eastAsia="zh-CN"/>
        </w:rPr>
        <w:t>4</w:t>
      </w:r>
      <w:r>
        <w:rPr>
          <w:rFonts w:hint="eastAsia" w:ascii="宋体" w:hAnsi="宋体" w:eastAsia="宋体" w:cs="宋体"/>
          <w:szCs w:val="28"/>
          <w:lang w:val="zh-CN"/>
        </w:rPr>
        <w:t>工艺流程</w:t>
      </w:r>
      <w:r>
        <w:tab/>
      </w:r>
      <w:r>
        <w:fldChar w:fldCharType="begin"/>
      </w:r>
      <w:r>
        <w:instrText xml:space="preserve"> PAGEREF _Toc26960 </w:instrText>
      </w:r>
      <w:r>
        <w:fldChar w:fldCharType="separate"/>
      </w:r>
      <w:r>
        <w:t>8</w:t>
      </w:r>
      <w:r>
        <w:fldChar w:fldCharType="end"/>
      </w:r>
      <w:r>
        <w:rPr>
          <w:rFonts w:ascii="宋体" w:hAnsi="宋体"/>
          <w:color w:val="auto"/>
        </w:rPr>
        <w:fldChar w:fldCharType="end"/>
      </w:r>
    </w:p>
    <w:p>
      <w:pPr>
        <w:pStyle w:val="17"/>
        <w:tabs>
          <w:tab w:val="right" w:leader="dot" w:pos="8306"/>
        </w:tabs>
      </w:pPr>
      <w:r>
        <w:rPr>
          <w:rFonts w:ascii="宋体" w:hAnsi="宋体"/>
          <w:color w:val="auto"/>
        </w:rPr>
        <w:fldChar w:fldCharType="begin"/>
      </w:r>
      <w:r>
        <w:rPr>
          <w:rFonts w:ascii="宋体" w:hAnsi="宋体"/>
        </w:rPr>
        <w:instrText xml:space="preserve"> HYPERLINK \l _Toc21682 </w:instrText>
      </w:r>
      <w:r>
        <w:rPr>
          <w:rFonts w:ascii="宋体" w:hAnsi="宋体"/>
        </w:rPr>
        <w:fldChar w:fldCharType="separate"/>
      </w:r>
      <w:r>
        <w:rPr>
          <w:rFonts w:hint="eastAsia" w:ascii="宋体" w:hAnsi="宋体" w:eastAsia="宋体" w:cs="宋体"/>
          <w:szCs w:val="28"/>
          <w:lang w:val="zh-CN"/>
        </w:rPr>
        <w:t>2.1.</w:t>
      </w:r>
      <w:r>
        <w:rPr>
          <w:rFonts w:hint="eastAsia" w:ascii="宋体" w:hAnsi="宋体" w:eastAsia="宋体" w:cs="宋体"/>
          <w:szCs w:val="28"/>
          <w:lang w:val="en-US" w:eastAsia="zh-CN"/>
        </w:rPr>
        <w:t>5</w:t>
      </w:r>
      <w:r>
        <w:rPr>
          <w:rFonts w:hint="eastAsia" w:ascii="宋体" w:hAnsi="宋体" w:eastAsia="宋体" w:cs="宋体"/>
          <w:bCs/>
          <w:i w:val="0"/>
          <w:iCs w:val="0"/>
          <w:szCs w:val="28"/>
        </w:rPr>
        <w:t>主要生产设备情况</w:t>
      </w:r>
      <w:r>
        <w:tab/>
      </w:r>
      <w:r>
        <w:fldChar w:fldCharType="begin"/>
      </w:r>
      <w:r>
        <w:instrText xml:space="preserve"> PAGEREF _Toc21682 </w:instrText>
      </w:r>
      <w:r>
        <w:fldChar w:fldCharType="separate"/>
      </w:r>
      <w:r>
        <w:t>10</w:t>
      </w:r>
      <w:r>
        <w:fldChar w:fldCharType="end"/>
      </w:r>
      <w:r>
        <w:rPr>
          <w:rFonts w:ascii="宋体" w:hAnsi="宋体"/>
          <w:color w:val="auto"/>
        </w:rPr>
        <w:fldChar w:fldCharType="end"/>
      </w:r>
    </w:p>
    <w:p>
      <w:pPr>
        <w:pStyle w:val="17"/>
        <w:tabs>
          <w:tab w:val="right" w:leader="dot" w:pos="8306"/>
        </w:tabs>
      </w:pPr>
      <w:r>
        <w:rPr>
          <w:rFonts w:ascii="宋体" w:hAnsi="宋体"/>
          <w:color w:val="auto"/>
        </w:rPr>
        <w:fldChar w:fldCharType="begin"/>
      </w:r>
      <w:r>
        <w:rPr>
          <w:rFonts w:ascii="宋体" w:hAnsi="宋体"/>
        </w:rPr>
        <w:instrText xml:space="preserve"> HYPERLINK \l _Toc943 </w:instrText>
      </w:r>
      <w:r>
        <w:rPr>
          <w:rFonts w:ascii="宋体" w:hAnsi="宋体"/>
        </w:rPr>
        <w:fldChar w:fldCharType="separate"/>
      </w:r>
      <w:r>
        <w:rPr>
          <w:rFonts w:hint="eastAsia" w:ascii="宋体" w:hAnsi="宋体" w:eastAsia="宋体" w:cs="宋体"/>
          <w:szCs w:val="28"/>
        </w:rPr>
        <w:t>2.</w:t>
      </w:r>
      <w:r>
        <w:rPr>
          <w:rFonts w:hint="eastAsia" w:ascii="宋体" w:hAnsi="宋体" w:eastAsia="宋体" w:cs="宋体"/>
          <w:szCs w:val="28"/>
          <w:lang w:val="en-US" w:eastAsia="zh-CN"/>
        </w:rPr>
        <w:t>2</w:t>
      </w:r>
      <w:r>
        <w:rPr>
          <w:rFonts w:hint="eastAsia" w:ascii="宋体" w:hAnsi="宋体" w:eastAsia="宋体" w:cs="宋体"/>
          <w:szCs w:val="28"/>
        </w:rPr>
        <w:t>各方应急力量有关基本情况</w:t>
      </w:r>
      <w:r>
        <w:tab/>
      </w:r>
      <w:r>
        <w:fldChar w:fldCharType="begin"/>
      </w:r>
      <w:r>
        <w:instrText xml:space="preserve"> PAGEREF _Toc943 </w:instrText>
      </w:r>
      <w:r>
        <w:fldChar w:fldCharType="separate"/>
      </w:r>
      <w:r>
        <w:t>10</w:t>
      </w:r>
      <w:r>
        <w:fldChar w:fldCharType="end"/>
      </w:r>
      <w:r>
        <w:rPr>
          <w:rFonts w:ascii="宋体" w:hAnsi="宋体"/>
          <w:color w:val="auto"/>
        </w:rPr>
        <w:fldChar w:fldCharType="end"/>
      </w:r>
    </w:p>
    <w:p>
      <w:pPr>
        <w:pStyle w:val="17"/>
        <w:tabs>
          <w:tab w:val="right" w:leader="dot" w:pos="8306"/>
        </w:tabs>
      </w:pPr>
      <w:r>
        <w:rPr>
          <w:rFonts w:ascii="宋体" w:hAnsi="宋体"/>
          <w:color w:val="auto"/>
        </w:rPr>
        <w:fldChar w:fldCharType="begin"/>
      </w:r>
      <w:r>
        <w:rPr>
          <w:rFonts w:ascii="宋体" w:hAnsi="宋体"/>
        </w:rPr>
        <w:instrText xml:space="preserve"> HYPERLINK \l _Toc15105 </w:instrText>
      </w:r>
      <w:r>
        <w:rPr>
          <w:rFonts w:ascii="宋体" w:hAnsi="宋体"/>
        </w:rPr>
        <w:fldChar w:fldCharType="separate"/>
      </w:r>
      <w:r>
        <w:rPr>
          <w:rFonts w:hint="eastAsia" w:ascii="宋体" w:hAnsi="宋体" w:eastAsia="宋体" w:cs="宋体"/>
          <w:szCs w:val="28"/>
          <w:lang w:val="zh-CN"/>
        </w:rPr>
        <w:t>2.</w:t>
      </w:r>
      <w:r>
        <w:rPr>
          <w:rFonts w:hint="eastAsia" w:ascii="宋体" w:hAnsi="宋体" w:eastAsia="宋体" w:cs="宋体"/>
          <w:szCs w:val="28"/>
          <w:lang w:val="en-US" w:eastAsia="zh-CN"/>
        </w:rPr>
        <w:t>2</w:t>
      </w:r>
      <w:r>
        <w:rPr>
          <w:rFonts w:hint="eastAsia" w:ascii="宋体" w:hAnsi="宋体" w:eastAsia="宋体" w:cs="宋体"/>
          <w:szCs w:val="28"/>
          <w:lang w:val="zh-CN"/>
        </w:rPr>
        <w:t>.1内部应急力量</w:t>
      </w:r>
      <w:r>
        <w:tab/>
      </w:r>
      <w:r>
        <w:fldChar w:fldCharType="begin"/>
      </w:r>
      <w:r>
        <w:instrText xml:space="preserve"> PAGEREF _Toc15105 </w:instrText>
      </w:r>
      <w:r>
        <w:fldChar w:fldCharType="separate"/>
      </w:r>
      <w:r>
        <w:t>10</w:t>
      </w:r>
      <w:r>
        <w:fldChar w:fldCharType="end"/>
      </w:r>
      <w:r>
        <w:rPr>
          <w:rFonts w:ascii="宋体" w:hAnsi="宋体"/>
          <w:color w:val="auto"/>
        </w:rPr>
        <w:fldChar w:fldCharType="end"/>
      </w:r>
    </w:p>
    <w:p>
      <w:pPr>
        <w:pStyle w:val="17"/>
        <w:tabs>
          <w:tab w:val="right" w:leader="dot" w:pos="8306"/>
        </w:tabs>
      </w:pPr>
      <w:r>
        <w:rPr>
          <w:rFonts w:ascii="宋体" w:hAnsi="宋体"/>
          <w:color w:val="auto"/>
        </w:rPr>
        <w:fldChar w:fldCharType="begin"/>
      </w:r>
      <w:r>
        <w:rPr>
          <w:rFonts w:ascii="宋体" w:hAnsi="宋体"/>
        </w:rPr>
        <w:instrText xml:space="preserve"> HYPERLINK \l _Toc16670 </w:instrText>
      </w:r>
      <w:r>
        <w:rPr>
          <w:rFonts w:ascii="宋体" w:hAnsi="宋体"/>
        </w:rPr>
        <w:fldChar w:fldCharType="separate"/>
      </w:r>
      <w:r>
        <w:rPr>
          <w:rFonts w:hint="eastAsia" w:ascii="宋体" w:hAnsi="宋体" w:eastAsia="宋体" w:cs="宋体"/>
          <w:szCs w:val="28"/>
          <w:lang w:val="zh-CN"/>
        </w:rPr>
        <w:t>2.</w:t>
      </w:r>
      <w:r>
        <w:rPr>
          <w:rFonts w:hint="eastAsia" w:ascii="宋体" w:hAnsi="宋体" w:eastAsia="宋体" w:cs="宋体"/>
          <w:szCs w:val="28"/>
          <w:lang w:val="en-US" w:eastAsia="zh-CN"/>
        </w:rPr>
        <w:t>2</w:t>
      </w:r>
      <w:r>
        <w:rPr>
          <w:rFonts w:hint="eastAsia" w:ascii="宋体" w:hAnsi="宋体" w:eastAsia="宋体" w:cs="宋体"/>
          <w:szCs w:val="28"/>
          <w:lang w:val="zh-CN"/>
        </w:rPr>
        <w:t>.</w:t>
      </w:r>
      <w:r>
        <w:rPr>
          <w:rFonts w:hint="eastAsia" w:ascii="宋体" w:hAnsi="宋体" w:eastAsia="宋体" w:cs="宋体"/>
          <w:szCs w:val="28"/>
          <w:lang w:val="en-US" w:eastAsia="zh-CN"/>
        </w:rPr>
        <w:t>2</w:t>
      </w:r>
      <w:r>
        <w:rPr>
          <w:rFonts w:hint="eastAsia" w:ascii="宋体" w:hAnsi="宋体" w:eastAsia="宋体" w:cs="宋体"/>
          <w:szCs w:val="28"/>
          <w:lang w:val="zh-CN"/>
        </w:rPr>
        <w:t>外部应急力量</w:t>
      </w:r>
      <w:r>
        <w:tab/>
      </w:r>
      <w:r>
        <w:fldChar w:fldCharType="begin"/>
      </w:r>
      <w:r>
        <w:instrText xml:space="preserve"> PAGEREF _Toc16670 </w:instrText>
      </w:r>
      <w:r>
        <w:fldChar w:fldCharType="separate"/>
      </w:r>
      <w:r>
        <w:t>11</w:t>
      </w:r>
      <w:r>
        <w:fldChar w:fldCharType="end"/>
      </w:r>
      <w:r>
        <w:rPr>
          <w:rFonts w:ascii="宋体" w:hAnsi="宋体"/>
          <w:color w:val="auto"/>
        </w:rPr>
        <w:fldChar w:fldCharType="end"/>
      </w:r>
    </w:p>
    <w:p>
      <w:pPr>
        <w:pStyle w:val="15"/>
        <w:tabs>
          <w:tab w:val="right" w:leader="dot" w:pos="8306"/>
        </w:tabs>
      </w:pPr>
      <w:r>
        <w:rPr>
          <w:rFonts w:ascii="宋体" w:hAnsi="宋体"/>
          <w:color w:val="auto"/>
        </w:rPr>
        <w:fldChar w:fldCharType="begin"/>
      </w:r>
      <w:r>
        <w:rPr>
          <w:rFonts w:ascii="宋体" w:hAnsi="宋体"/>
        </w:rPr>
        <w:instrText xml:space="preserve"> HYPERLINK \l _Toc32699 </w:instrText>
      </w:r>
      <w:r>
        <w:rPr>
          <w:rFonts w:ascii="宋体" w:hAnsi="宋体"/>
        </w:rPr>
        <w:fldChar w:fldCharType="separate"/>
      </w:r>
      <w:r>
        <w:rPr>
          <w:rFonts w:hint="eastAsia" w:ascii="黑体" w:hAnsi="宋体" w:eastAsia="黑体"/>
          <w:szCs w:val="32"/>
          <w:lang w:val="en-US" w:eastAsia="zh-CN"/>
        </w:rPr>
        <w:t>3危险、有害因素辨识</w:t>
      </w:r>
      <w:r>
        <w:tab/>
      </w:r>
      <w:r>
        <w:fldChar w:fldCharType="begin"/>
      </w:r>
      <w:r>
        <w:instrText xml:space="preserve"> PAGEREF _Toc32699 </w:instrText>
      </w:r>
      <w:r>
        <w:fldChar w:fldCharType="separate"/>
      </w:r>
      <w:r>
        <w:t>13</w:t>
      </w:r>
      <w:r>
        <w:fldChar w:fldCharType="end"/>
      </w:r>
      <w:r>
        <w:rPr>
          <w:rFonts w:ascii="宋体" w:hAnsi="宋体"/>
          <w:color w:val="auto"/>
        </w:rPr>
        <w:fldChar w:fldCharType="end"/>
      </w:r>
    </w:p>
    <w:p>
      <w:pPr>
        <w:pStyle w:val="17"/>
        <w:tabs>
          <w:tab w:val="right" w:leader="dot" w:pos="8306"/>
        </w:tabs>
      </w:pPr>
      <w:r>
        <w:rPr>
          <w:rFonts w:ascii="宋体" w:hAnsi="宋体"/>
          <w:color w:val="auto"/>
        </w:rPr>
        <w:fldChar w:fldCharType="begin"/>
      </w:r>
      <w:r>
        <w:rPr>
          <w:rFonts w:ascii="宋体" w:hAnsi="宋体"/>
        </w:rPr>
        <w:instrText xml:space="preserve"> HYPERLINK \l _Toc4469 </w:instrText>
      </w:r>
      <w:r>
        <w:rPr>
          <w:rFonts w:ascii="宋体" w:hAnsi="宋体"/>
        </w:rPr>
        <w:fldChar w:fldCharType="separate"/>
      </w:r>
      <w:r>
        <w:rPr>
          <w:rFonts w:hint="eastAsia" w:ascii="黑体" w:eastAsia="黑体"/>
          <w:snapToGrid w:val="0"/>
          <w:kern w:val="0"/>
          <w:szCs w:val="32"/>
          <w:lang w:val="en-US" w:eastAsia="zh-CN"/>
        </w:rPr>
        <w:t>3</w:t>
      </w:r>
      <w:r>
        <w:rPr>
          <w:rFonts w:hint="eastAsia" w:ascii="黑体" w:eastAsia="黑体"/>
          <w:snapToGrid w:val="0"/>
          <w:kern w:val="0"/>
          <w:szCs w:val="32"/>
          <w:lang w:eastAsia="zh-CN"/>
        </w:rPr>
        <w:t>.</w:t>
      </w:r>
      <w:r>
        <w:rPr>
          <w:rFonts w:hint="eastAsia" w:ascii="黑体" w:eastAsia="黑体"/>
          <w:snapToGrid w:val="0"/>
          <w:kern w:val="0"/>
          <w:szCs w:val="32"/>
        </w:rPr>
        <w:t>1 危险、有害因素辨识的目的</w:t>
      </w:r>
      <w:r>
        <w:tab/>
      </w:r>
      <w:r>
        <w:fldChar w:fldCharType="begin"/>
      </w:r>
      <w:r>
        <w:instrText xml:space="preserve"> PAGEREF _Toc4469 </w:instrText>
      </w:r>
      <w:r>
        <w:fldChar w:fldCharType="separate"/>
      </w:r>
      <w:r>
        <w:t>13</w:t>
      </w:r>
      <w:r>
        <w:fldChar w:fldCharType="end"/>
      </w:r>
      <w:r>
        <w:rPr>
          <w:rFonts w:ascii="宋体" w:hAnsi="宋体"/>
          <w:color w:val="auto"/>
        </w:rPr>
        <w:fldChar w:fldCharType="end"/>
      </w:r>
    </w:p>
    <w:p>
      <w:pPr>
        <w:pStyle w:val="17"/>
        <w:tabs>
          <w:tab w:val="right" w:leader="dot" w:pos="8306"/>
        </w:tabs>
      </w:pPr>
      <w:r>
        <w:rPr>
          <w:rFonts w:ascii="宋体" w:hAnsi="宋体"/>
          <w:color w:val="auto"/>
        </w:rPr>
        <w:fldChar w:fldCharType="begin"/>
      </w:r>
      <w:r>
        <w:rPr>
          <w:rFonts w:ascii="宋体" w:hAnsi="宋体"/>
        </w:rPr>
        <w:instrText xml:space="preserve"> HYPERLINK \l _Toc29254 </w:instrText>
      </w:r>
      <w:r>
        <w:rPr>
          <w:rFonts w:ascii="宋体" w:hAnsi="宋体"/>
        </w:rPr>
        <w:fldChar w:fldCharType="separate"/>
      </w:r>
      <w:r>
        <w:rPr>
          <w:rFonts w:hint="eastAsia" w:ascii="黑体" w:eastAsia="黑体"/>
          <w:snapToGrid w:val="0"/>
          <w:kern w:val="0"/>
          <w:szCs w:val="32"/>
          <w:lang w:val="en-US" w:eastAsia="zh-CN"/>
        </w:rPr>
        <w:t>3</w:t>
      </w:r>
      <w:r>
        <w:rPr>
          <w:rFonts w:hint="eastAsia" w:ascii="黑体" w:eastAsia="黑体"/>
          <w:snapToGrid w:val="0"/>
          <w:kern w:val="0"/>
          <w:szCs w:val="32"/>
          <w:lang w:eastAsia="zh-CN"/>
        </w:rPr>
        <w:t>.</w:t>
      </w:r>
      <w:r>
        <w:rPr>
          <w:rFonts w:hint="eastAsia" w:ascii="黑体" w:eastAsia="黑体"/>
          <w:snapToGrid w:val="0"/>
          <w:kern w:val="0"/>
          <w:szCs w:val="32"/>
        </w:rPr>
        <w:t>2 危险、有害因素辨识的依据</w:t>
      </w:r>
      <w:r>
        <w:tab/>
      </w:r>
      <w:r>
        <w:fldChar w:fldCharType="begin"/>
      </w:r>
      <w:r>
        <w:instrText xml:space="preserve"> PAGEREF _Toc29254 </w:instrText>
      </w:r>
      <w:r>
        <w:fldChar w:fldCharType="separate"/>
      </w:r>
      <w:r>
        <w:t>13</w:t>
      </w:r>
      <w:r>
        <w:fldChar w:fldCharType="end"/>
      </w:r>
      <w:r>
        <w:rPr>
          <w:rFonts w:ascii="宋体" w:hAnsi="宋体"/>
          <w:color w:val="auto"/>
        </w:rPr>
        <w:fldChar w:fldCharType="end"/>
      </w:r>
    </w:p>
    <w:p>
      <w:pPr>
        <w:pStyle w:val="17"/>
        <w:tabs>
          <w:tab w:val="right" w:leader="dot" w:pos="8306"/>
        </w:tabs>
      </w:pPr>
      <w:r>
        <w:rPr>
          <w:rFonts w:ascii="宋体" w:hAnsi="宋体"/>
          <w:color w:val="auto"/>
        </w:rPr>
        <w:fldChar w:fldCharType="begin"/>
      </w:r>
      <w:r>
        <w:rPr>
          <w:rFonts w:ascii="宋体" w:hAnsi="宋体"/>
        </w:rPr>
        <w:instrText xml:space="preserve"> HYPERLINK \l _Toc20932 </w:instrText>
      </w:r>
      <w:r>
        <w:rPr>
          <w:rFonts w:ascii="宋体" w:hAnsi="宋体"/>
        </w:rPr>
        <w:fldChar w:fldCharType="separate"/>
      </w:r>
      <w:r>
        <w:rPr>
          <w:rFonts w:hint="eastAsia" w:ascii="黑体" w:eastAsia="黑体"/>
          <w:snapToGrid w:val="0"/>
          <w:kern w:val="0"/>
          <w:szCs w:val="32"/>
          <w:lang w:val="en-US" w:eastAsia="zh-CN"/>
        </w:rPr>
        <w:t>3</w:t>
      </w:r>
      <w:r>
        <w:rPr>
          <w:rFonts w:hint="eastAsia" w:ascii="黑体" w:eastAsia="黑体"/>
          <w:snapToGrid w:val="0"/>
          <w:kern w:val="0"/>
          <w:szCs w:val="32"/>
          <w:lang w:eastAsia="zh-CN"/>
        </w:rPr>
        <w:t>.</w:t>
      </w:r>
      <w:r>
        <w:rPr>
          <w:rFonts w:hint="eastAsia" w:ascii="黑体" w:eastAsia="黑体"/>
          <w:snapToGrid w:val="0"/>
          <w:kern w:val="0"/>
          <w:szCs w:val="32"/>
        </w:rPr>
        <w:t>3 危险、有害因素辨识的方法</w:t>
      </w:r>
      <w:r>
        <w:tab/>
      </w:r>
      <w:r>
        <w:fldChar w:fldCharType="begin"/>
      </w:r>
      <w:r>
        <w:instrText xml:space="preserve"> PAGEREF _Toc20932 </w:instrText>
      </w:r>
      <w:r>
        <w:fldChar w:fldCharType="separate"/>
      </w:r>
      <w:r>
        <w:t>13</w:t>
      </w:r>
      <w:r>
        <w:fldChar w:fldCharType="end"/>
      </w:r>
      <w:r>
        <w:rPr>
          <w:rFonts w:ascii="宋体" w:hAnsi="宋体"/>
          <w:color w:val="auto"/>
        </w:rPr>
        <w:fldChar w:fldCharType="end"/>
      </w:r>
    </w:p>
    <w:p>
      <w:pPr>
        <w:pStyle w:val="17"/>
        <w:tabs>
          <w:tab w:val="right" w:leader="dot" w:pos="8306"/>
        </w:tabs>
      </w:pPr>
      <w:r>
        <w:rPr>
          <w:rFonts w:ascii="宋体" w:hAnsi="宋体"/>
          <w:color w:val="auto"/>
        </w:rPr>
        <w:fldChar w:fldCharType="begin"/>
      </w:r>
      <w:r>
        <w:rPr>
          <w:rFonts w:ascii="宋体" w:hAnsi="宋体"/>
        </w:rPr>
        <w:instrText xml:space="preserve"> HYPERLINK \l _Toc8619 </w:instrText>
      </w:r>
      <w:r>
        <w:rPr>
          <w:rFonts w:ascii="宋体" w:hAnsi="宋体"/>
        </w:rPr>
        <w:fldChar w:fldCharType="separate"/>
      </w:r>
      <w:r>
        <w:rPr>
          <w:rFonts w:hint="eastAsia" w:ascii="黑体" w:eastAsia="黑体"/>
          <w:snapToGrid w:val="0"/>
          <w:kern w:val="0"/>
          <w:szCs w:val="32"/>
          <w:lang w:val="en-US" w:eastAsia="zh-CN"/>
        </w:rPr>
        <w:t>3</w:t>
      </w:r>
      <w:r>
        <w:rPr>
          <w:rFonts w:hint="eastAsia" w:ascii="黑体" w:eastAsia="黑体"/>
          <w:snapToGrid w:val="0"/>
          <w:kern w:val="0"/>
          <w:szCs w:val="32"/>
          <w:lang w:eastAsia="zh-CN"/>
        </w:rPr>
        <w:t>.</w:t>
      </w:r>
      <w:r>
        <w:rPr>
          <w:rFonts w:hint="eastAsia" w:ascii="黑体" w:eastAsia="黑体"/>
          <w:snapToGrid w:val="0"/>
          <w:kern w:val="0"/>
          <w:szCs w:val="32"/>
        </w:rPr>
        <w:t>4 主要危险、有害物质特性分析</w:t>
      </w:r>
      <w:r>
        <w:tab/>
      </w:r>
      <w:r>
        <w:fldChar w:fldCharType="begin"/>
      </w:r>
      <w:r>
        <w:instrText xml:space="preserve"> PAGEREF _Toc8619 </w:instrText>
      </w:r>
      <w:r>
        <w:fldChar w:fldCharType="separate"/>
      </w:r>
      <w:r>
        <w:t>14</w:t>
      </w:r>
      <w:r>
        <w:fldChar w:fldCharType="end"/>
      </w:r>
      <w:r>
        <w:rPr>
          <w:rFonts w:ascii="宋体" w:hAnsi="宋体"/>
          <w:color w:val="auto"/>
        </w:rPr>
        <w:fldChar w:fldCharType="end"/>
      </w:r>
    </w:p>
    <w:p>
      <w:pPr>
        <w:pStyle w:val="11"/>
        <w:tabs>
          <w:tab w:val="right" w:leader="dot" w:pos="8306"/>
        </w:tabs>
      </w:pPr>
      <w:r>
        <w:rPr>
          <w:rFonts w:ascii="宋体" w:hAnsi="宋体"/>
          <w:color w:val="auto"/>
        </w:rPr>
        <w:fldChar w:fldCharType="begin"/>
      </w:r>
      <w:r>
        <w:rPr>
          <w:rFonts w:ascii="宋体" w:hAnsi="宋体"/>
        </w:rPr>
        <w:instrText xml:space="preserve"> HYPERLINK \l _Toc19009 </w:instrText>
      </w:r>
      <w:r>
        <w:rPr>
          <w:rFonts w:ascii="宋体" w:hAnsi="宋体"/>
        </w:rPr>
        <w:fldChar w:fldCharType="separate"/>
      </w:r>
      <w:r>
        <w:rPr>
          <w:rFonts w:hint="eastAsia" w:ascii="宋体" w:hAnsi="宋体"/>
          <w:snapToGrid w:val="0"/>
          <w:kern w:val="0"/>
          <w:szCs w:val="28"/>
          <w:lang w:val="en-US" w:eastAsia="zh-CN"/>
        </w:rPr>
        <w:t>3</w:t>
      </w:r>
      <w:r>
        <w:rPr>
          <w:rFonts w:hint="eastAsia" w:ascii="宋体" w:hAnsi="宋体"/>
          <w:snapToGrid w:val="0"/>
          <w:kern w:val="0"/>
          <w:szCs w:val="28"/>
          <w:lang w:eastAsia="zh-CN"/>
        </w:rPr>
        <w:t>.</w:t>
      </w:r>
      <w:r>
        <w:rPr>
          <w:rFonts w:hint="eastAsia" w:ascii="宋体" w:hAnsi="宋体"/>
          <w:snapToGrid w:val="0"/>
          <w:kern w:val="0"/>
          <w:szCs w:val="28"/>
        </w:rPr>
        <w:t>4.1 煤</w:t>
      </w:r>
      <w:r>
        <w:tab/>
      </w:r>
      <w:r>
        <w:fldChar w:fldCharType="begin"/>
      </w:r>
      <w:r>
        <w:instrText xml:space="preserve"> PAGEREF _Toc19009 </w:instrText>
      </w:r>
      <w:r>
        <w:fldChar w:fldCharType="separate"/>
      </w:r>
      <w:r>
        <w:t>14</w:t>
      </w:r>
      <w:r>
        <w:fldChar w:fldCharType="end"/>
      </w:r>
      <w:r>
        <w:rPr>
          <w:rFonts w:ascii="宋体" w:hAnsi="宋体"/>
          <w:color w:val="auto"/>
        </w:rPr>
        <w:fldChar w:fldCharType="end"/>
      </w:r>
    </w:p>
    <w:p>
      <w:pPr>
        <w:pStyle w:val="11"/>
        <w:tabs>
          <w:tab w:val="right" w:leader="dot" w:pos="8306"/>
        </w:tabs>
      </w:pPr>
      <w:r>
        <w:rPr>
          <w:rFonts w:ascii="宋体" w:hAnsi="宋体"/>
          <w:color w:val="auto"/>
        </w:rPr>
        <w:fldChar w:fldCharType="begin"/>
      </w:r>
      <w:r>
        <w:rPr>
          <w:rFonts w:ascii="宋体" w:hAnsi="宋体"/>
        </w:rPr>
        <w:instrText xml:space="preserve"> HYPERLINK \l _Toc7504 </w:instrText>
      </w:r>
      <w:r>
        <w:rPr>
          <w:rFonts w:ascii="宋体" w:hAnsi="宋体"/>
        </w:rPr>
        <w:fldChar w:fldCharType="separate"/>
      </w:r>
      <w:r>
        <w:rPr>
          <w:rFonts w:hint="eastAsia" w:ascii="宋体" w:hAnsi="宋体"/>
          <w:snapToGrid w:val="0"/>
          <w:kern w:val="0"/>
          <w:szCs w:val="28"/>
          <w:lang w:val="en-US" w:eastAsia="zh-CN"/>
        </w:rPr>
        <w:t>3</w:t>
      </w:r>
      <w:r>
        <w:rPr>
          <w:rFonts w:hint="eastAsia" w:ascii="宋体" w:hAnsi="宋体"/>
          <w:snapToGrid w:val="0"/>
          <w:kern w:val="0"/>
          <w:szCs w:val="28"/>
          <w:lang w:eastAsia="zh-CN"/>
        </w:rPr>
        <w:t>.</w:t>
      </w:r>
      <w:r>
        <w:rPr>
          <w:rFonts w:hint="eastAsia" w:ascii="宋体" w:hAnsi="宋体"/>
          <w:snapToGrid w:val="0"/>
          <w:kern w:val="0"/>
          <w:szCs w:val="28"/>
        </w:rPr>
        <w:t>4.2 柴油</w:t>
      </w:r>
      <w:r>
        <w:tab/>
      </w:r>
      <w:r>
        <w:fldChar w:fldCharType="begin"/>
      </w:r>
      <w:r>
        <w:instrText xml:space="preserve"> PAGEREF _Toc7504 </w:instrText>
      </w:r>
      <w:r>
        <w:fldChar w:fldCharType="separate"/>
      </w:r>
      <w:r>
        <w:t>15</w:t>
      </w:r>
      <w:r>
        <w:fldChar w:fldCharType="end"/>
      </w:r>
      <w:r>
        <w:rPr>
          <w:rFonts w:ascii="宋体" w:hAnsi="宋体"/>
          <w:color w:val="auto"/>
        </w:rPr>
        <w:fldChar w:fldCharType="end"/>
      </w:r>
    </w:p>
    <w:p>
      <w:pPr>
        <w:pStyle w:val="11"/>
        <w:tabs>
          <w:tab w:val="right" w:leader="dot" w:pos="8306"/>
        </w:tabs>
      </w:pPr>
      <w:r>
        <w:rPr>
          <w:rFonts w:ascii="宋体" w:hAnsi="宋体"/>
          <w:color w:val="auto"/>
        </w:rPr>
        <w:fldChar w:fldCharType="begin"/>
      </w:r>
      <w:r>
        <w:rPr>
          <w:rFonts w:ascii="宋体" w:hAnsi="宋体"/>
        </w:rPr>
        <w:instrText xml:space="preserve"> HYPERLINK \l _Toc15515 </w:instrText>
      </w:r>
      <w:r>
        <w:rPr>
          <w:rFonts w:ascii="宋体" w:hAnsi="宋体"/>
        </w:rPr>
        <w:fldChar w:fldCharType="separate"/>
      </w:r>
      <w:r>
        <w:rPr>
          <w:rFonts w:hint="eastAsia" w:ascii="宋体" w:hAnsi="宋体"/>
          <w:snapToGrid w:val="0"/>
          <w:kern w:val="0"/>
          <w:szCs w:val="28"/>
          <w:lang w:val="en-US" w:eastAsia="zh-CN"/>
        </w:rPr>
        <w:t>3</w:t>
      </w:r>
      <w:r>
        <w:rPr>
          <w:rFonts w:hint="eastAsia" w:ascii="宋体" w:hAnsi="宋体"/>
          <w:snapToGrid w:val="0"/>
          <w:kern w:val="0"/>
          <w:szCs w:val="28"/>
          <w:lang w:eastAsia="zh-CN"/>
        </w:rPr>
        <w:t>.</w:t>
      </w:r>
      <w:r>
        <w:rPr>
          <w:rFonts w:hint="eastAsia" w:ascii="宋体" w:hAnsi="宋体"/>
          <w:snapToGrid w:val="0"/>
          <w:kern w:val="0"/>
          <w:szCs w:val="28"/>
        </w:rPr>
        <w:t>4.3 一氧化碳</w:t>
      </w:r>
      <w:r>
        <w:tab/>
      </w:r>
      <w:r>
        <w:fldChar w:fldCharType="begin"/>
      </w:r>
      <w:r>
        <w:instrText xml:space="preserve"> PAGEREF _Toc15515 </w:instrText>
      </w:r>
      <w:r>
        <w:fldChar w:fldCharType="separate"/>
      </w:r>
      <w:r>
        <w:t>15</w:t>
      </w:r>
      <w:r>
        <w:fldChar w:fldCharType="end"/>
      </w:r>
      <w:r>
        <w:rPr>
          <w:rFonts w:ascii="宋体" w:hAnsi="宋体"/>
          <w:color w:val="auto"/>
        </w:rPr>
        <w:fldChar w:fldCharType="end"/>
      </w:r>
    </w:p>
    <w:p>
      <w:pPr>
        <w:pStyle w:val="11"/>
        <w:tabs>
          <w:tab w:val="right" w:leader="dot" w:pos="8306"/>
        </w:tabs>
      </w:pPr>
      <w:r>
        <w:rPr>
          <w:rFonts w:ascii="宋体" w:hAnsi="宋体"/>
          <w:color w:val="auto"/>
        </w:rPr>
        <w:fldChar w:fldCharType="begin"/>
      </w:r>
      <w:r>
        <w:rPr>
          <w:rFonts w:ascii="宋体" w:hAnsi="宋体"/>
        </w:rPr>
        <w:instrText xml:space="preserve"> HYPERLINK \l _Toc22661 </w:instrText>
      </w:r>
      <w:r>
        <w:rPr>
          <w:rFonts w:ascii="宋体" w:hAnsi="宋体"/>
        </w:rPr>
        <w:fldChar w:fldCharType="separate"/>
      </w:r>
      <w:r>
        <w:rPr>
          <w:rFonts w:hint="eastAsia" w:ascii="宋体" w:hAnsi="宋体"/>
          <w:snapToGrid w:val="0"/>
          <w:kern w:val="0"/>
          <w:szCs w:val="28"/>
          <w:lang w:val="en-US" w:eastAsia="zh-CN"/>
        </w:rPr>
        <w:t>3</w:t>
      </w:r>
      <w:r>
        <w:rPr>
          <w:rFonts w:hint="eastAsia" w:ascii="宋体" w:hAnsi="宋体"/>
          <w:snapToGrid w:val="0"/>
          <w:kern w:val="0"/>
          <w:szCs w:val="28"/>
          <w:lang w:eastAsia="zh-CN"/>
        </w:rPr>
        <w:t>.</w:t>
      </w:r>
      <w:r>
        <w:rPr>
          <w:rFonts w:hint="eastAsia" w:ascii="宋体" w:hAnsi="宋体"/>
          <w:snapToGrid w:val="0"/>
          <w:kern w:val="0"/>
          <w:szCs w:val="28"/>
        </w:rPr>
        <w:t>4.4 二氧化碳</w:t>
      </w:r>
      <w:r>
        <w:tab/>
      </w:r>
      <w:r>
        <w:fldChar w:fldCharType="begin"/>
      </w:r>
      <w:r>
        <w:instrText xml:space="preserve"> PAGEREF _Toc22661 </w:instrText>
      </w:r>
      <w:r>
        <w:fldChar w:fldCharType="separate"/>
      </w:r>
      <w:r>
        <w:t>16</w:t>
      </w:r>
      <w:r>
        <w:fldChar w:fldCharType="end"/>
      </w:r>
      <w:r>
        <w:rPr>
          <w:rFonts w:ascii="宋体" w:hAnsi="宋体"/>
          <w:color w:val="auto"/>
        </w:rPr>
        <w:fldChar w:fldCharType="end"/>
      </w:r>
    </w:p>
    <w:p>
      <w:pPr>
        <w:pStyle w:val="11"/>
        <w:tabs>
          <w:tab w:val="right" w:leader="dot" w:pos="8306"/>
        </w:tabs>
      </w:pPr>
      <w:r>
        <w:rPr>
          <w:rFonts w:ascii="宋体" w:hAnsi="宋体"/>
          <w:color w:val="auto"/>
        </w:rPr>
        <w:fldChar w:fldCharType="begin"/>
      </w:r>
      <w:r>
        <w:rPr>
          <w:rFonts w:ascii="宋体" w:hAnsi="宋体"/>
        </w:rPr>
        <w:instrText xml:space="preserve"> HYPERLINK \l _Toc3542 </w:instrText>
      </w:r>
      <w:r>
        <w:rPr>
          <w:rFonts w:ascii="宋体" w:hAnsi="宋体"/>
        </w:rPr>
        <w:fldChar w:fldCharType="separate"/>
      </w:r>
      <w:r>
        <w:rPr>
          <w:rFonts w:hint="eastAsia" w:ascii="宋体" w:hAnsi="宋体"/>
          <w:snapToGrid w:val="0"/>
          <w:kern w:val="0"/>
          <w:szCs w:val="28"/>
          <w:lang w:val="en-US" w:eastAsia="zh-CN"/>
        </w:rPr>
        <w:t>3</w:t>
      </w:r>
      <w:r>
        <w:rPr>
          <w:rFonts w:hint="eastAsia" w:ascii="宋体" w:hAnsi="宋体"/>
          <w:snapToGrid w:val="0"/>
          <w:kern w:val="0"/>
          <w:szCs w:val="28"/>
          <w:lang w:eastAsia="zh-CN"/>
        </w:rPr>
        <w:t>.</w:t>
      </w:r>
      <w:r>
        <w:rPr>
          <w:rFonts w:hint="eastAsia" w:ascii="宋体" w:hAnsi="宋体"/>
          <w:snapToGrid w:val="0"/>
          <w:kern w:val="0"/>
          <w:szCs w:val="28"/>
        </w:rPr>
        <w:t>4.5 二氧化硫（三氧化硫参考）</w:t>
      </w:r>
      <w:r>
        <w:tab/>
      </w:r>
      <w:r>
        <w:fldChar w:fldCharType="begin"/>
      </w:r>
      <w:r>
        <w:instrText xml:space="preserve"> PAGEREF _Toc3542 </w:instrText>
      </w:r>
      <w:r>
        <w:fldChar w:fldCharType="separate"/>
      </w:r>
      <w:r>
        <w:t>16</w:t>
      </w:r>
      <w:r>
        <w:fldChar w:fldCharType="end"/>
      </w:r>
      <w:r>
        <w:rPr>
          <w:rFonts w:ascii="宋体" w:hAnsi="宋体"/>
          <w:color w:val="auto"/>
        </w:rPr>
        <w:fldChar w:fldCharType="end"/>
      </w:r>
    </w:p>
    <w:p>
      <w:pPr>
        <w:pStyle w:val="11"/>
        <w:tabs>
          <w:tab w:val="right" w:leader="dot" w:pos="8306"/>
        </w:tabs>
      </w:pPr>
      <w:r>
        <w:rPr>
          <w:rFonts w:ascii="宋体" w:hAnsi="宋体"/>
          <w:color w:val="auto"/>
        </w:rPr>
        <w:fldChar w:fldCharType="begin"/>
      </w:r>
      <w:r>
        <w:rPr>
          <w:rFonts w:ascii="宋体" w:hAnsi="宋体"/>
        </w:rPr>
        <w:instrText xml:space="preserve"> HYPERLINK \l _Toc12134 </w:instrText>
      </w:r>
      <w:r>
        <w:rPr>
          <w:rFonts w:ascii="宋体" w:hAnsi="宋体"/>
        </w:rPr>
        <w:fldChar w:fldCharType="separate"/>
      </w:r>
      <w:r>
        <w:rPr>
          <w:rFonts w:hint="eastAsia" w:ascii="宋体" w:hAnsi="宋体"/>
          <w:snapToGrid w:val="0"/>
          <w:kern w:val="0"/>
          <w:szCs w:val="28"/>
          <w:lang w:val="en-US" w:eastAsia="zh-CN"/>
        </w:rPr>
        <w:t>3.4.6 柴油安全数据表</w:t>
      </w:r>
      <w:r>
        <w:tab/>
      </w:r>
      <w:r>
        <w:fldChar w:fldCharType="begin"/>
      </w:r>
      <w:r>
        <w:instrText xml:space="preserve"> PAGEREF _Toc12134 </w:instrText>
      </w:r>
      <w:r>
        <w:fldChar w:fldCharType="separate"/>
      </w:r>
      <w:r>
        <w:t>17</w:t>
      </w:r>
      <w:r>
        <w:fldChar w:fldCharType="end"/>
      </w:r>
      <w:r>
        <w:rPr>
          <w:rFonts w:ascii="宋体" w:hAnsi="宋体"/>
          <w:color w:val="auto"/>
        </w:rPr>
        <w:fldChar w:fldCharType="end"/>
      </w:r>
    </w:p>
    <w:p>
      <w:pPr>
        <w:pStyle w:val="11"/>
        <w:tabs>
          <w:tab w:val="right" w:leader="dot" w:pos="8306"/>
        </w:tabs>
      </w:pPr>
      <w:r>
        <w:rPr>
          <w:rFonts w:ascii="宋体" w:hAnsi="宋体"/>
          <w:color w:val="auto"/>
        </w:rPr>
        <w:fldChar w:fldCharType="begin"/>
      </w:r>
      <w:r>
        <w:rPr>
          <w:rFonts w:ascii="宋体" w:hAnsi="宋体"/>
        </w:rPr>
        <w:instrText xml:space="preserve"> HYPERLINK \l _Toc12321 </w:instrText>
      </w:r>
      <w:r>
        <w:rPr>
          <w:rFonts w:ascii="宋体" w:hAnsi="宋体"/>
        </w:rPr>
        <w:fldChar w:fldCharType="separate"/>
      </w:r>
      <w:r>
        <w:rPr>
          <w:rFonts w:hint="eastAsia" w:ascii="宋体" w:hAnsi="宋体"/>
          <w:snapToGrid w:val="0"/>
          <w:kern w:val="0"/>
          <w:szCs w:val="28"/>
          <w:lang w:val="en-US" w:eastAsia="zh-CN"/>
        </w:rPr>
        <w:t>3.4.7 氧气安全数据表</w:t>
      </w:r>
      <w:r>
        <w:tab/>
      </w:r>
      <w:r>
        <w:fldChar w:fldCharType="begin"/>
      </w:r>
      <w:r>
        <w:instrText xml:space="preserve"> PAGEREF _Toc12321 </w:instrText>
      </w:r>
      <w:r>
        <w:fldChar w:fldCharType="separate"/>
      </w:r>
      <w:r>
        <w:t>18</w:t>
      </w:r>
      <w:r>
        <w:fldChar w:fldCharType="end"/>
      </w:r>
      <w:r>
        <w:rPr>
          <w:rFonts w:ascii="宋体" w:hAnsi="宋体"/>
          <w:color w:val="auto"/>
        </w:rPr>
        <w:fldChar w:fldCharType="end"/>
      </w:r>
    </w:p>
    <w:p>
      <w:pPr>
        <w:pStyle w:val="11"/>
        <w:tabs>
          <w:tab w:val="right" w:leader="dot" w:pos="8306"/>
        </w:tabs>
      </w:pPr>
      <w:r>
        <w:rPr>
          <w:rFonts w:ascii="宋体" w:hAnsi="宋体"/>
          <w:color w:val="auto"/>
        </w:rPr>
        <w:fldChar w:fldCharType="begin"/>
      </w:r>
      <w:r>
        <w:rPr>
          <w:rFonts w:ascii="宋体" w:hAnsi="宋体"/>
        </w:rPr>
        <w:instrText xml:space="preserve"> HYPERLINK \l _Toc16351 </w:instrText>
      </w:r>
      <w:r>
        <w:rPr>
          <w:rFonts w:ascii="宋体" w:hAnsi="宋体"/>
        </w:rPr>
        <w:fldChar w:fldCharType="separate"/>
      </w:r>
      <w:r>
        <w:rPr>
          <w:rFonts w:hint="eastAsia" w:ascii="宋体" w:hAnsi="宋体"/>
          <w:snapToGrid w:val="0"/>
          <w:kern w:val="0"/>
          <w:szCs w:val="28"/>
          <w:lang w:val="en-US" w:eastAsia="zh-CN"/>
        </w:rPr>
        <w:t>3.4.8 乙炔安全数据表</w:t>
      </w:r>
      <w:r>
        <w:tab/>
      </w:r>
      <w:r>
        <w:fldChar w:fldCharType="begin"/>
      </w:r>
      <w:r>
        <w:instrText xml:space="preserve"> PAGEREF _Toc16351 </w:instrText>
      </w:r>
      <w:r>
        <w:fldChar w:fldCharType="separate"/>
      </w:r>
      <w:r>
        <w:t>19</w:t>
      </w:r>
      <w:r>
        <w:fldChar w:fldCharType="end"/>
      </w:r>
      <w:r>
        <w:rPr>
          <w:rFonts w:ascii="宋体" w:hAnsi="宋体"/>
          <w:color w:val="auto"/>
        </w:rPr>
        <w:fldChar w:fldCharType="end"/>
      </w:r>
    </w:p>
    <w:p>
      <w:pPr>
        <w:pStyle w:val="17"/>
        <w:tabs>
          <w:tab w:val="right" w:leader="dot" w:pos="8306"/>
        </w:tabs>
      </w:pPr>
      <w:r>
        <w:rPr>
          <w:rFonts w:ascii="宋体" w:hAnsi="宋体"/>
          <w:color w:val="auto"/>
        </w:rPr>
        <w:fldChar w:fldCharType="begin"/>
      </w:r>
      <w:r>
        <w:rPr>
          <w:rFonts w:ascii="宋体" w:hAnsi="宋体"/>
        </w:rPr>
        <w:instrText xml:space="preserve"> HYPERLINK \l _Toc21574 </w:instrText>
      </w:r>
      <w:r>
        <w:rPr>
          <w:rFonts w:ascii="宋体" w:hAnsi="宋体"/>
        </w:rPr>
        <w:fldChar w:fldCharType="separate"/>
      </w:r>
      <w:r>
        <w:rPr>
          <w:rFonts w:hint="eastAsia" w:ascii="黑体" w:eastAsia="黑体"/>
          <w:snapToGrid w:val="0"/>
          <w:kern w:val="0"/>
          <w:szCs w:val="32"/>
        </w:rPr>
        <w:t>3.5 生产过程危险有害因素分析和辨识</w:t>
      </w:r>
      <w:r>
        <w:tab/>
      </w:r>
      <w:r>
        <w:fldChar w:fldCharType="begin"/>
      </w:r>
      <w:r>
        <w:instrText xml:space="preserve"> PAGEREF _Toc21574 </w:instrText>
      </w:r>
      <w:r>
        <w:fldChar w:fldCharType="separate"/>
      </w:r>
      <w:r>
        <w:t>21</w:t>
      </w:r>
      <w:r>
        <w:fldChar w:fldCharType="end"/>
      </w:r>
      <w:r>
        <w:rPr>
          <w:rFonts w:ascii="宋体" w:hAnsi="宋体"/>
          <w:color w:val="auto"/>
        </w:rPr>
        <w:fldChar w:fldCharType="end"/>
      </w:r>
    </w:p>
    <w:p>
      <w:pPr>
        <w:pStyle w:val="17"/>
        <w:tabs>
          <w:tab w:val="right" w:leader="dot" w:pos="8306"/>
        </w:tabs>
      </w:pPr>
      <w:r>
        <w:rPr>
          <w:rFonts w:ascii="宋体" w:hAnsi="宋体"/>
          <w:color w:val="auto"/>
        </w:rPr>
        <w:fldChar w:fldCharType="begin"/>
      </w:r>
      <w:r>
        <w:rPr>
          <w:rFonts w:ascii="宋体" w:hAnsi="宋体"/>
        </w:rPr>
        <w:instrText xml:space="preserve"> HYPERLINK \l _Toc8159 </w:instrText>
      </w:r>
      <w:r>
        <w:rPr>
          <w:rFonts w:ascii="宋体" w:hAnsi="宋体"/>
        </w:rPr>
        <w:fldChar w:fldCharType="separate"/>
      </w:r>
      <w:r>
        <w:rPr>
          <w:rFonts w:hint="eastAsia" w:ascii="黑体" w:eastAsia="黑体"/>
          <w:snapToGrid w:val="0"/>
          <w:kern w:val="0"/>
          <w:szCs w:val="32"/>
          <w:lang w:val="en-US" w:eastAsia="zh-CN"/>
        </w:rPr>
        <w:t>3</w:t>
      </w:r>
      <w:r>
        <w:rPr>
          <w:rFonts w:hint="eastAsia" w:ascii="黑体" w:eastAsia="黑体"/>
          <w:snapToGrid w:val="0"/>
          <w:kern w:val="0"/>
          <w:szCs w:val="32"/>
          <w:lang w:eastAsia="zh-CN"/>
        </w:rPr>
        <w:t>.</w:t>
      </w:r>
      <w:r>
        <w:rPr>
          <w:rFonts w:hint="eastAsia" w:ascii="黑体" w:eastAsia="黑体"/>
          <w:snapToGrid w:val="0"/>
          <w:kern w:val="0"/>
          <w:szCs w:val="32"/>
        </w:rPr>
        <w:t>5 生产过程危险有害因素分析和辨识</w:t>
      </w:r>
      <w:r>
        <w:tab/>
      </w:r>
      <w:r>
        <w:fldChar w:fldCharType="begin"/>
      </w:r>
      <w:r>
        <w:instrText xml:space="preserve"> PAGEREF _Toc8159 </w:instrText>
      </w:r>
      <w:r>
        <w:fldChar w:fldCharType="separate"/>
      </w:r>
      <w:r>
        <w:t>21</w:t>
      </w:r>
      <w:r>
        <w:fldChar w:fldCharType="end"/>
      </w:r>
      <w:r>
        <w:rPr>
          <w:rFonts w:ascii="宋体" w:hAnsi="宋体"/>
          <w:color w:val="auto"/>
        </w:rPr>
        <w:fldChar w:fldCharType="end"/>
      </w:r>
    </w:p>
    <w:p>
      <w:pPr>
        <w:pStyle w:val="11"/>
        <w:tabs>
          <w:tab w:val="right" w:leader="dot" w:pos="8306"/>
        </w:tabs>
      </w:pPr>
      <w:r>
        <w:rPr>
          <w:rFonts w:ascii="宋体" w:hAnsi="宋体"/>
          <w:color w:val="auto"/>
        </w:rPr>
        <w:fldChar w:fldCharType="begin"/>
      </w:r>
      <w:r>
        <w:rPr>
          <w:rFonts w:ascii="宋体" w:hAnsi="宋体"/>
        </w:rPr>
        <w:instrText xml:space="preserve"> HYPERLINK \l _Toc26526 </w:instrText>
      </w:r>
      <w:r>
        <w:rPr>
          <w:rFonts w:ascii="宋体" w:hAnsi="宋体"/>
        </w:rPr>
        <w:fldChar w:fldCharType="separate"/>
      </w:r>
      <w:r>
        <w:rPr>
          <w:rFonts w:hint="eastAsia" w:ascii="宋体" w:hAnsi="宋体"/>
          <w:snapToGrid w:val="0"/>
          <w:kern w:val="0"/>
          <w:szCs w:val="28"/>
          <w:lang w:val="en-US" w:eastAsia="zh-CN"/>
        </w:rPr>
        <w:t>3</w:t>
      </w:r>
      <w:r>
        <w:rPr>
          <w:rFonts w:hint="eastAsia" w:ascii="宋体" w:hAnsi="宋体"/>
          <w:snapToGrid w:val="0"/>
          <w:kern w:val="0"/>
          <w:szCs w:val="28"/>
          <w:lang w:eastAsia="zh-CN"/>
        </w:rPr>
        <w:t>.</w:t>
      </w:r>
      <w:r>
        <w:rPr>
          <w:rFonts w:hint="eastAsia" w:ascii="宋体" w:hAnsi="宋体"/>
          <w:snapToGrid w:val="0"/>
          <w:kern w:val="0"/>
          <w:szCs w:val="28"/>
        </w:rPr>
        <w:t>5.1 车辆事故</w:t>
      </w:r>
      <w:r>
        <w:tab/>
      </w:r>
      <w:r>
        <w:fldChar w:fldCharType="begin"/>
      </w:r>
      <w:r>
        <w:instrText xml:space="preserve"> PAGEREF _Toc26526 </w:instrText>
      </w:r>
      <w:r>
        <w:fldChar w:fldCharType="separate"/>
      </w:r>
      <w:r>
        <w:t>21</w:t>
      </w:r>
      <w:r>
        <w:fldChar w:fldCharType="end"/>
      </w:r>
      <w:r>
        <w:rPr>
          <w:rFonts w:ascii="宋体" w:hAnsi="宋体"/>
          <w:color w:val="auto"/>
        </w:rPr>
        <w:fldChar w:fldCharType="end"/>
      </w:r>
    </w:p>
    <w:p>
      <w:pPr>
        <w:pStyle w:val="11"/>
        <w:tabs>
          <w:tab w:val="right" w:leader="dot" w:pos="8306"/>
        </w:tabs>
      </w:pPr>
      <w:r>
        <w:rPr>
          <w:rFonts w:ascii="宋体" w:hAnsi="宋体"/>
          <w:color w:val="auto"/>
        </w:rPr>
        <w:fldChar w:fldCharType="begin"/>
      </w:r>
      <w:r>
        <w:rPr>
          <w:rFonts w:ascii="宋体" w:hAnsi="宋体"/>
        </w:rPr>
        <w:instrText xml:space="preserve"> HYPERLINK \l _Toc497 </w:instrText>
      </w:r>
      <w:r>
        <w:rPr>
          <w:rFonts w:ascii="宋体" w:hAnsi="宋体"/>
        </w:rPr>
        <w:fldChar w:fldCharType="separate"/>
      </w:r>
      <w:r>
        <w:rPr>
          <w:rFonts w:hint="eastAsia" w:ascii="宋体" w:hAnsi="宋体"/>
          <w:snapToGrid w:val="0"/>
          <w:kern w:val="0"/>
          <w:szCs w:val="28"/>
          <w:lang w:val="en-US" w:eastAsia="zh-CN"/>
        </w:rPr>
        <w:t>3</w:t>
      </w:r>
      <w:r>
        <w:rPr>
          <w:rFonts w:hint="eastAsia" w:ascii="宋体" w:hAnsi="宋体"/>
          <w:snapToGrid w:val="0"/>
          <w:kern w:val="0"/>
          <w:szCs w:val="28"/>
          <w:lang w:eastAsia="zh-CN"/>
        </w:rPr>
        <w:t>.</w:t>
      </w:r>
      <w:r>
        <w:rPr>
          <w:rFonts w:hint="eastAsia" w:ascii="宋体" w:hAnsi="宋体"/>
          <w:snapToGrid w:val="0"/>
          <w:kern w:val="0"/>
          <w:szCs w:val="28"/>
        </w:rPr>
        <w:t>5.2 机械伤害</w:t>
      </w:r>
      <w:r>
        <w:tab/>
      </w:r>
      <w:r>
        <w:fldChar w:fldCharType="begin"/>
      </w:r>
      <w:r>
        <w:instrText xml:space="preserve"> PAGEREF _Toc497 </w:instrText>
      </w:r>
      <w:r>
        <w:fldChar w:fldCharType="separate"/>
      </w:r>
      <w:r>
        <w:t>22</w:t>
      </w:r>
      <w:r>
        <w:fldChar w:fldCharType="end"/>
      </w:r>
      <w:r>
        <w:rPr>
          <w:rFonts w:ascii="宋体" w:hAnsi="宋体"/>
          <w:color w:val="auto"/>
        </w:rPr>
        <w:fldChar w:fldCharType="end"/>
      </w:r>
    </w:p>
    <w:p>
      <w:pPr>
        <w:pStyle w:val="11"/>
        <w:tabs>
          <w:tab w:val="right" w:leader="dot" w:pos="8306"/>
        </w:tabs>
      </w:pPr>
      <w:r>
        <w:rPr>
          <w:rFonts w:ascii="宋体" w:hAnsi="宋体"/>
          <w:color w:val="auto"/>
        </w:rPr>
        <w:fldChar w:fldCharType="begin"/>
      </w:r>
      <w:r>
        <w:rPr>
          <w:rFonts w:ascii="宋体" w:hAnsi="宋体"/>
        </w:rPr>
        <w:instrText xml:space="preserve"> HYPERLINK \l _Toc19126 </w:instrText>
      </w:r>
      <w:r>
        <w:rPr>
          <w:rFonts w:ascii="宋体" w:hAnsi="宋体"/>
        </w:rPr>
        <w:fldChar w:fldCharType="separate"/>
      </w:r>
      <w:r>
        <w:rPr>
          <w:rFonts w:hint="eastAsia" w:ascii="宋体" w:hAnsi="宋体"/>
          <w:snapToGrid w:val="0"/>
          <w:kern w:val="0"/>
          <w:szCs w:val="28"/>
          <w:lang w:val="en-US" w:eastAsia="zh-CN"/>
        </w:rPr>
        <w:t>3</w:t>
      </w:r>
      <w:r>
        <w:rPr>
          <w:rFonts w:hint="eastAsia" w:ascii="宋体" w:hAnsi="宋体"/>
          <w:snapToGrid w:val="0"/>
          <w:kern w:val="0"/>
          <w:szCs w:val="28"/>
          <w:lang w:eastAsia="zh-CN"/>
        </w:rPr>
        <w:t>.</w:t>
      </w:r>
      <w:r>
        <w:rPr>
          <w:rFonts w:hint="eastAsia" w:ascii="宋体" w:hAnsi="宋体"/>
          <w:snapToGrid w:val="0"/>
          <w:kern w:val="0"/>
          <w:szCs w:val="28"/>
        </w:rPr>
        <w:t>5.3</w:t>
      </w:r>
      <w:r>
        <w:rPr>
          <w:rFonts w:ascii="宋体" w:hAnsi="宋体"/>
          <w:snapToGrid w:val="0"/>
          <w:kern w:val="0"/>
          <w:szCs w:val="28"/>
        </w:rPr>
        <w:t xml:space="preserve"> 触电</w:t>
      </w:r>
      <w:r>
        <w:rPr>
          <w:rFonts w:hint="eastAsia" w:ascii="宋体" w:hAnsi="宋体"/>
          <w:snapToGrid w:val="0"/>
          <w:kern w:val="0"/>
          <w:szCs w:val="28"/>
        </w:rPr>
        <w:t>事故</w:t>
      </w:r>
      <w:r>
        <w:tab/>
      </w:r>
      <w:r>
        <w:fldChar w:fldCharType="begin"/>
      </w:r>
      <w:r>
        <w:instrText xml:space="preserve"> PAGEREF _Toc19126 </w:instrText>
      </w:r>
      <w:r>
        <w:fldChar w:fldCharType="separate"/>
      </w:r>
      <w:r>
        <w:t>23</w:t>
      </w:r>
      <w:r>
        <w:fldChar w:fldCharType="end"/>
      </w:r>
      <w:r>
        <w:rPr>
          <w:rFonts w:ascii="宋体" w:hAnsi="宋体"/>
          <w:color w:val="auto"/>
        </w:rPr>
        <w:fldChar w:fldCharType="end"/>
      </w:r>
    </w:p>
    <w:p>
      <w:pPr>
        <w:pStyle w:val="11"/>
        <w:tabs>
          <w:tab w:val="right" w:leader="dot" w:pos="8306"/>
        </w:tabs>
      </w:pPr>
      <w:r>
        <w:rPr>
          <w:rFonts w:ascii="宋体" w:hAnsi="宋体"/>
          <w:color w:val="auto"/>
        </w:rPr>
        <w:fldChar w:fldCharType="begin"/>
      </w:r>
      <w:r>
        <w:rPr>
          <w:rFonts w:ascii="宋体" w:hAnsi="宋体"/>
        </w:rPr>
        <w:instrText xml:space="preserve"> HYPERLINK \l _Toc9177 </w:instrText>
      </w:r>
      <w:r>
        <w:rPr>
          <w:rFonts w:ascii="宋体" w:hAnsi="宋体"/>
        </w:rPr>
        <w:fldChar w:fldCharType="separate"/>
      </w:r>
      <w:r>
        <w:rPr>
          <w:rFonts w:hint="eastAsia" w:ascii="宋体" w:hAnsi="宋体"/>
          <w:snapToGrid w:val="0"/>
          <w:kern w:val="0"/>
          <w:szCs w:val="28"/>
          <w:lang w:val="en-US" w:eastAsia="zh-CN"/>
        </w:rPr>
        <w:t>3</w:t>
      </w:r>
      <w:r>
        <w:rPr>
          <w:rFonts w:hint="eastAsia" w:ascii="宋体" w:hAnsi="宋体"/>
          <w:snapToGrid w:val="0"/>
          <w:kern w:val="0"/>
          <w:szCs w:val="28"/>
          <w:lang w:eastAsia="zh-CN"/>
        </w:rPr>
        <w:t>.</w:t>
      </w:r>
      <w:r>
        <w:rPr>
          <w:rFonts w:hint="eastAsia" w:ascii="宋体" w:hAnsi="宋体"/>
          <w:snapToGrid w:val="0"/>
          <w:kern w:val="0"/>
          <w:szCs w:val="28"/>
        </w:rPr>
        <w:t>5.4 高处坠落</w:t>
      </w:r>
      <w:r>
        <w:tab/>
      </w:r>
      <w:r>
        <w:fldChar w:fldCharType="begin"/>
      </w:r>
      <w:r>
        <w:instrText xml:space="preserve"> PAGEREF _Toc9177 </w:instrText>
      </w:r>
      <w:r>
        <w:fldChar w:fldCharType="separate"/>
      </w:r>
      <w:r>
        <w:t>23</w:t>
      </w:r>
      <w:r>
        <w:fldChar w:fldCharType="end"/>
      </w:r>
      <w:r>
        <w:rPr>
          <w:rFonts w:ascii="宋体" w:hAnsi="宋体"/>
          <w:color w:val="auto"/>
        </w:rPr>
        <w:fldChar w:fldCharType="end"/>
      </w:r>
    </w:p>
    <w:p>
      <w:pPr>
        <w:pStyle w:val="11"/>
        <w:tabs>
          <w:tab w:val="right" w:leader="dot" w:pos="8306"/>
        </w:tabs>
      </w:pPr>
      <w:r>
        <w:rPr>
          <w:rFonts w:ascii="宋体" w:hAnsi="宋体"/>
          <w:color w:val="auto"/>
        </w:rPr>
        <w:fldChar w:fldCharType="begin"/>
      </w:r>
      <w:r>
        <w:rPr>
          <w:rFonts w:ascii="宋体" w:hAnsi="宋体"/>
        </w:rPr>
        <w:instrText xml:space="preserve"> HYPERLINK \l _Toc19975 </w:instrText>
      </w:r>
      <w:r>
        <w:rPr>
          <w:rFonts w:ascii="宋体" w:hAnsi="宋体"/>
        </w:rPr>
        <w:fldChar w:fldCharType="separate"/>
      </w:r>
      <w:r>
        <w:rPr>
          <w:rFonts w:hint="eastAsia" w:ascii="宋体" w:hAnsi="宋体"/>
          <w:snapToGrid w:val="0"/>
          <w:kern w:val="0"/>
          <w:szCs w:val="28"/>
          <w:lang w:val="en-US" w:eastAsia="zh-CN"/>
        </w:rPr>
        <w:t>3</w:t>
      </w:r>
      <w:r>
        <w:rPr>
          <w:rFonts w:hint="eastAsia" w:ascii="宋体" w:hAnsi="宋体"/>
          <w:snapToGrid w:val="0"/>
          <w:kern w:val="0"/>
          <w:szCs w:val="28"/>
          <w:lang w:eastAsia="zh-CN"/>
        </w:rPr>
        <w:t>.</w:t>
      </w:r>
      <w:r>
        <w:rPr>
          <w:rFonts w:hint="eastAsia" w:ascii="宋体" w:hAnsi="宋体"/>
          <w:snapToGrid w:val="0"/>
          <w:kern w:val="0"/>
          <w:szCs w:val="28"/>
        </w:rPr>
        <w:t>5</w:t>
      </w:r>
      <w:r>
        <w:rPr>
          <w:rFonts w:ascii="宋体" w:hAnsi="宋体"/>
          <w:snapToGrid w:val="0"/>
          <w:kern w:val="0"/>
          <w:szCs w:val="28"/>
        </w:rPr>
        <w:t>.</w:t>
      </w:r>
      <w:r>
        <w:rPr>
          <w:rFonts w:hint="eastAsia" w:ascii="宋体" w:hAnsi="宋体"/>
          <w:snapToGrid w:val="0"/>
          <w:kern w:val="0"/>
          <w:szCs w:val="28"/>
        </w:rPr>
        <w:t>5</w:t>
      </w:r>
      <w:r>
        <w:rPr>
          <w:rFonts w:ascii="宋体" w:hAnsi="宋体"/>
          <w:snapToGrid w:val="0"/>
          <w:kern w:val="0"/>
          <w:szCs w:val="28"/>
        </w:rPr>
        <w:t xml:space="preserve"> 物体打击</w:t>
      </w:r>
      <w:r>
        <w:tab/>
      </w:r>
      <w:r>
        <w:fldChar w:fldCharType="begin"/>
      </w:r>
      <w:r>
        <w:instrText xml:space="preserve"> PAGEREF _Toc19975 </w:instrText>
      </w:r>
      <w:r>
        <w:fldChar w:fldCharType="separate"/>
      </w:r>
      <w:r>
        <w:t>24</w:t>
      </w:r>
      <w:r>
        <w:fldChar w:fldCharType="end"/>
      </w:r>
      <w:r>
        <w:rPr>
          <w:rFonts w:ascii="宋体" w:hAnsi="宋体"/>
          <w:color w:val="auto"/>
        </w:rPr>
        <w:fldChar w:fldCharType="end"/>
      </w:r>
    </w:p>
    <w:p>
      <w:pPr>
        <w:pStyle w:val="11"/>
        <w:tabs>
          <w:tab w:val="right" w:leader="dot" w:pos="8306"/>
        </w:tabs>
      </w:pPr>
      <w:r>
        <w:rPr>
          <w:rFonts w:ascii="宋体" w:hAnsi="宋体"/>
          <w:color w:val="auto"/>
        </w:rPr>
        <w:fldChar w:fldCharType="begin"/>
      </w:r>
      <w:r>
        <w:rPr>
          <w:rFonts w:ascii="宋体" w:hAnsi="宋体"/>
        </w:rPr>
        <w:instrText xml:space="preserve"> HYPERLINK \l _Toc32492 </w:instrText>
      </w:r>
      <w:r>
        <w:rPr>
          <w:rFonts w:ascii="宋体" w:hAnsi="宋体"/>
        </w:rPr>
        <w:fldChar w:fldCharType="separate"/>
      </w:r>
      <w:r>
        <w:rPr>
          <w:rFonts w:hint="eastAsia" w:ascii="宋体" w:hAnsi="宋体"/>
          <w:snapToGrid w:val="0"/>
          <w:kern w:val="0"/>
          <w:szCs w:val="28"/>
          <w:lang w:val="en-US" w:eastAsia="zh-CN"/>
        </w:rPr>
        <w:t>3</w:t>
      </w:r>
      <w:r>
        <w:rPr>
          <w:rFonts w:hint="eastAsia" w:ascii="宋体" w:hAnsi="宋体"/>
          <w:snapToGrid w:val="0"/>
          <w:kern w:val="0"/>
          <w:szCs w:val="28"/>
          <w:lang w:eastAsia="zh-CN"/>
        </w:rPr>
        <w:t>.</w:t>
      </w:r>
      <w:r>
        <w:rPr>
          <w:rFonts w:hint="eastAsia" w:ascii="宋体" w:hAnsi="宋体"/>
          <w:snapToGrid w:val="0"/>
          <w:kern w:val="0"/>
          <w:szCs w:val="28"/>
        </w:rPr>
        <w:t>5.6 火灾事故</w:t>
      </w:r>
      <w:r>
        <w:tab/>
      </w:r>
      <w:r>
        <w:fldChar w:fldCharType="begin"/>
      </w:r>
      <w:r>
        <w:instrText xml:space="preserve"> PAGEREF _Toc32492 </w:instrText>
      </w:r>
      <w:r>
        <w:fldChar w:fldCharType="separate"/>
      </w:r>
      <w:r>
        <w:t>25</w:t>
      </w:r>
      <w:r>
        <w:fldChar w:fldCharType="end"/>
      </w:r>
      <w:r>
        <w:rPr>
          <w:rFonts w:ascii="宋体" w:hAnsi="宋体"/>
          <w:color w:val="auto"/>
        </w:rPr>
        <w:fldChar w:fldCharType="end"/>
      </w:r>
    </w:p>
    <w:p>
      <w:pPr>
        <w:pStyle w:val="11"/>
        <w:tabs>
          <w:tab w:val="right" w:leader="dot" w:pos="8306"/>
        </w:tabs>
      </w:pPr>
      <w:r>
        <w:rPr>
          <w:rFonts w:ascii="宋体" w:hAnsi="宋体"/>
          <w:color w:val="auto"/>
        </w:rPr>
        <w:fldChar w:fldCharType="begin"/>
      </w:r>
      <w:r>
        <w:rPr>
          <w:rFonts w:ascii="宋体" w:hAnsi="宋体"/>
        </w:rPr>
        <w:instrText xml:space="preserve"> HYPERLINK \l _Toc11621 </w:instrText>
      </w:r>
      <w:r>
        <w:rPr>
          <w:rFonts w:ascii="宋体" w:hAnsi="宋体"/>
        </w:rPr>
        <w:fldChar w:fldCharType="separate"/>
      </w:r>
      <w:r>
        <w:rPr>
          <w:rFonts w:hint="eastAsia" w:ascii="宋体" w:hAnsi="宋体"/>
          <w:snapToGrid w:val="0"/>
          <w:kern w:val="0"/>
          <w:szCs w:val="28"/>
          <w:lang w:val="en-US" w:eastAsia="zh-CN"/>
        </w:rPr>
        <w:t>3</w:t>
      </w:r>
      <w:r>
        <w:rPr>
          <w:rFonts w:hint="eastAsia" w:ascii="宋体" w:hAnsi="宋体"/>
          <w:snapToGrid w:val="0"/>
          <w:kern w:val="0"/>
          <w:szCs w:val="28"/>
          <w:lang w:eastAsia="zh-CN"/>
        </w:rPr>
        <w:t>.</w:t>
      </w:r>
      <w:r>
        <w:rPr>
          <w:rFonts w:hint="eastAsia" w:ascii="宋体" w:hAnsi="宋体"/>
          <w:snapToGrid w:val="0"/>
          <w:kern w:val="0"/>
          <w:szCs w:val="28"/>
        </w:rPr>
        <w:t>5.</w:t>
      </w:r>
      <w:r>
        <w:rPr>
          <w:rFonts w:hint="eastAsia" w:ascii="宋体" w:hAnsi="宋体"/>
          <w:snapToGrid w:val="0"/>
          <w:kern w:val="0"/>
          <w:szCs w:val="28"/>
          <w:lang w:val="en-US" w:eastAsia="zh-CN"/>
        </w:rPr>
        <w:t>7 坍塌</w:t>
      </w:r>
      <w:r>
        <w:tab/>
      </w:r>
      <w:r>
        <w:fldChar w:fldCharType="begin"/>
      </w:r>
      <w:r>
        <w:instrText xml:space="preserve"> PAGEREF _Toc11621 </w:instrText>
      </w:r>
      <w:r>
        <w:fldChar w:fldCharType="separate"/>
      </w:r>
      <w:r>
        <w:t>25</w:t>
      </w:r>
      <w:r>
        <w:fldChar w:fldCharType="end"/>
      </w:r>
      <w:r>
        <w:rPr>
          <w:rFonts w:ascii="宋体" w:hAnsi="宋体"/>
          <w:color w:val="auto"/>
        </w:rPr>
        <w:fldChar w:fldCharType="end"/>
      </w:r>
    </w:p>
    <w:p>
      <w:pPr>
        <w:pStyle w:val="11"/>
        <w:tabs>
          <w:tab w:val="right" w:leader="dot" w:pos="8306"/>
        </w:tabs>
      </w:pPr>
      <w:r>
        <w:rPr>
          <w:rFonts w:ascii="宋体" w:hAnsi="宋体"/>
          <w:color w:val="auto"/>
        </w:rPr>
        <w:fldChar w:fldCharType="begin"/>
      </w:r>
      <w:r>
        <w:rPr>
          <w:rFonts w:ascii="宋体" w:hAnsi="宋体"/>
        </w:rPr>
        <w:instrText xml:space="preserve"> HYPERLINK \l _Toc12334 </w:instrText>
      </w:r>
      <w:r>
        <w:rPr>
          <w:rFonts w:ascii="宋体" w:hAnsi="宋体"/>
        </w:rPr>
        <w:fldChar w:fldCharType="separate"/>
      </w:r>
      <w:r>
        <w:rPr>
          <w:rFonts w:hint="eastAsia" w:ascii="宋体" w:hAnsi="宋体"/>
          <w:snapToGrid w:val="0"/>
          <w:kern w:val="0"/>
          <w:szCs w:val="28"/>
          <w:lang w:val="en-US" w:eastAsia="zh-CN"/>
        </w:rPr>
        <w:t>3.5.8中毒窒息</w:t>
      </w:r>
      <w:r>
        <w:tab/>
      </w:r>
      <w:r>
        <w:fldChar w:fldCharType="begin"/>
      </w:r>
      <w:r>
        <w:instrText xml:space="preserve"> PAGEREF _Toc12334 </w:instrText>
      </w:r>
      <w:r>
        <w:fldChar w:fldCharType="separate"/>
      </w:r>
      <w:r>
        <w:t>26</w:t>
      </w:r>
      <w:r>
        <w:fldChar w:fldCharType="end"/>
      </w:r>
      <w:r>
        <w:rPr>
          <w:rFonts w:ascii="宋体" w:hAnsi="宋体"/>
          <w:color w:val="auto"/>
        </w:rPr>
        <w:fldChar w:fldCharType="end"/>
      </w:r>
    </w:p>
    <w:p>
      <w:pPr>
        <w:pStyle w:val="11"/>
        <w:tabs>
          <w:tab w:val="right" w:leader="dot" w:pos="8306"/>
        </w:tabs>
      </w:pPr>
      <w:r>
        <w:rPr>
          <w:rFonts w:ascii="宋体" w:hAnsi="宋体"/>
          <w:color w:val="auto"/>
        </w:rPr>
        <w:fldChar w:fldCharType="begin"/>
      </w:r>
      <w:r>
        <w:rPr>
          <w:rFonts w:ascii="宋体" w:hAnsi="宋体"/>
        </w:rPr>
        <w:instrText xml:space="preserve"> HYPERLINK \l _Toc18466 </w:instrText>
      </w:r>
      <w:r>
        <w:rPr>
          <w:rFonts w:ascii="宋体" w:hAnsi="宋体"/>
        </w:rPr>
        <w:fldChar w:fldCharType="separate"/>
      </w:r>
      <w:r>
        <w:rPr>
          <w:rFonts w:hint="eastAsia" w:ascii="宋体" w:hAnsi="宋体"/>
          <w:snapToGrid w:val="0"/>
          <w:kern w:val="0"/>
          <w:szCs w:val="28"/>
          <w:lang w:val="en-US" w:eastAsia="zh-CN"/>
        </w:rPr>
        <w:t>3.5.9高温灼烫</w:t>
      </w:r>
      <w:r>
        <w:tab/>
      </w:r>
      <w:r>
        <w:fldChar w:fldCharType="begin"/>
      </w:r>
      <w:r>
        <w:instrText xml:space="preserve"> PAGEREF _Toc18466 </w:instrText>
      </w:r>
      <w:r>
        <w:fldChar w:fldCharType="separate"/>
      </w:r>
      <w:r>
        <w:t>26</w:t>
      </w:r>
      <w:r>
        <w:fldChar w:fldCharType="end"/>
      </w:r>
      <w:r>
        <w:rPr>
          <w:rFonts w:ascii="宋体" w:hAnsi="宋体"/>
          <w:color w:val="auto"/>
        </w:rPr>
        <w:fldChar w:fldCharType="end"/>
      </w:r>
    </w:p>
    <w:p>
      <w:pPr>
        <w:pStyle w:val="11"/>
        <w:tabs>
          <w:tab w:val="right" w:leader="dot" w:pos="8306"/>
        </w:tabs>
      </w:pPr>
      <w:r>
        <w:rPr>
          <w:rFonts w:ascii="宋体" w:hAnsi="宋体"/>
          <w:color w:val="auto"/>
        </w:rPr>
        <w:fldChar w:fldCharType="begin"/>
      </w:r>
      <w:r>
        <w:rPr>
          <w:rFonts w:ascii="宋体" w:hAnsi="宋体"/>
        </w:rPr>
        <w:instrText xml:space="preserve"> HYPERLINK \l _Toc32397 </w:instrText>
      </w:r>
      <w:r>
        <w:rPr>
          <w:rFonts w:ascii="宋体" w:hAnsi="宋体"/>
        </w:rPr>
        <w:fldChar w:fldCharType="separate"/>
      </w:r>
      <w:r>
        <w:rPr>
          <w:rFonts w:hint="eastAsia" w:ascii="宋体" w:hAnsi="宋体"/>
          <w:snapToGrid w:val="0"/>
          <w:kern w:val="0"/>
          <w:szCs w:val="28"/>
          <w:lang w:val="en-US" w:eastAsia="zh-CN"/>
        </w:rPr>
        <w:t>3.5.10容器爆炸</w:t>
      </w:r>
      <w:r>
        <w:tab/>
      </w:r>
      <w:r>
        <w:fldChar w:fldCharType="begin"/>
      </w:r>
      <w:r>
        <w:instrText xml:space="preserve"> PAGEREF _Toc32397 </w:instrText>
      </w:r>
      <w:r>
        <w:fldChar w:fldCharType="separate"/>
      </w:r>
      <w:r>
        <w:t>26</w:t>
      </w:r>
      <w:r>
        <w:fldChar w:fldCharType="end"/>
      </w:r>
      <w:r>
        <w:rPr>
          <w:rFonts w:ascii="宋体" w:hAnsi="宋体"/>
          <w:color w:val="auto"/>
        </w:rPr>
        <w:fldChar w:fldCharType="end"/>
      </w:r>
    </w:p>
    <w:p>
      <w:pPr>
        <w:pStyle w:val="11"/>
        <w:tabs>
          <w:tab w:val="right" w:leader="dot" w:pos="8306"/>
        </w:tabs>
      </w:pPr>
      <w:r>
        <w:rPr>
          <w:rFonts w:ascii="宋体" w:hAnsi="宋体"/>
          <w:color w:val="auto"/>
        </w:rPr>
        <w:fldChar w:fldCharType="begin"/>
      </w:r>
      <w:r>
        <w:rPr>
          <w:rFonts w:ascii="宋体" w:hAnsi="宋体"/>
        </w:rPr>
        <w:instrText xml:space="preserve"> HYPERLINK \l _Toc747 </w:instrText>
      </w:r>
      <w:r>
        <w:rPr>
          <w:rFonts w:ascii="宋体" w:hAnsi="宋体"/>
        </w:rPr>
        <w:fldChar w:fldCharType="separate"/>
      </w:r>
      <w:r>
        <w:rPr>
          <w:rFonts w:hint="eastAsia" w:ascii="宋体" w:hAnsi="宋体"/>
          <w:snapToGrid w:val="0"/>
          <w:kern w:val="0"/>
          <w:szCs w:val="28"/>
          <w:lang w:val="en-US" w:eastAsia="zh-CN"/>
        </w:rPr>
        <w:t>3.5.11有限空间作业</w:t>
      </w:r>
      <w:r>
        <w:tab/>
      </w:r>
      <w:r>
        <w:fldChar w:fldCharType="begin"/>
      </w:r>
      <w:r>
        <w:instrText xml:space="preserve"> PAGEREF _Toc747 </w:instrText>
      </w:r>
      <w:r>
        <w:fldChar w:fldCharType="separate"/>
      </w:r>
      <w:r>
        <w:t>27</w:t>
      </w:r>
      <w:r>
        <w:fldChar w:fldCharType="end"/>
      </w:r>
      <w:r>
        <w:rPr>
          <w:rFonts w:ascii="宋体" w:hAnsi="宋体"/>
          <w:color w:val="auto"/>
        </w:rPr>
        <w:fldChar w:fldCharType="end"/>
      </w:r>
    </w:p>
    <w:p>
      <w:pPr>
        <w:pStyle w:val="11"/>
        <w:tabs>
          <w:tab w:val="right" w:leader="dot" w:pos="8306"/>
        </w:tabs>
      </w:pPr>
      <w:r>
        <w:rPr>
          <w:rFonts w:ascii="宋体" w:hAnsi="宋体"/>
          <w:color w:val="auto"/>
        </w:rPr>
        <w:fldChar w:fldCharType="begin"/>
      </w:r>
      <w:r>
        <w:rPr>
          <w:rFonts w:ascii="宋体" w:hAnsi="宋体"/>
        </w:rPr>
        <w:instrText xml:space="preserve"> HYPERLINK \l _Toc22436 </w:instrText>
      </w:r>
      <w:r>
        <w:rPr>
          <w:rFonts w:ascii="宋体" w:hAnsi="宋体"/>
        </w:rPr>
        <w:fldChar w:fldCharType="separate"/>
      </w:r>
      <w:r>
        <w:rPr>
          <w:rFonts w:hint="eastAsia" w:ascii="宋体" w:hAnsi="宋体"/>
          <w:snapToGrid w:val="0"/>
          <w:kern w:val="0"/>
          <w:szCs w:val="28"/>
          <w:lang w:val="en-US" w:eastAsia="zh-CN"/>
        </w:rPr>
        <w:t>3</w:t>
      </w:r>
      <w:r>
        <w:rPr>
          <w:rFonts w:hint="eastAsia" w:ascii="宋体" w:hAnsi="宋体"/>
          <w:snapToGrid w:val="0"/>
          <w:kern w:val="0"/>
          <w:szCs w:val="28"/>
          <w:lang w:eastAsia="zh-CN"/>
        </w:rPr>
        <w:t>.</w:t>
      </w:r>
      <w:r>
        <w:rPr>
          <w:rFonts w:hint="eastAsia" w:ascii="宋体" w:hAnsi="宋体"/>
          <w:snapToGrid w:val="0"/>
          <w:kern w:val="0"/>
          <w:szCs w:val="28"/>
        </w:rPr>
        <w:t>5</w:t>
      </w:r>
      <w:r>
        <w:rPr>
          <w:rFonts w:ascii="宋体" w:hAnsi="宋体"/>
          <w:snapToGrid w:val="0"/>
          <w:kern w:val="0"/>
          <w:szCs w:val="28"/>
        </w:rPr>
        <w:t>.</w:t>
      </w:r>
      <w:r>
        <w:rPr>
          <w:rFonts w:hint="eastAsia" w:ascii="宋体" w:hAnsi="宋体"/>
          <w:snapToGrid w:val="0"/>
          <w:kern w:val="0"/>
          <w:szCs w:val="28"/>
          <w:lang w:val="en-US" w:eastAsia="zh-CN"/>
        </w:rPr>
        <w:t>12</w:t>
      </w:r>
      <w:r>
        <w:rPr>
          <w:rFonts w:ascii="宋体" w:hAnsi="宋体"/>
          <w:snapToGrid w:val="0"/>
          <w:kern w:val="0"/>
          <w:szCs w:val="28"/>
        </w:rPr>
        <w:t xml:space="preserve"> </w:t>
      </w:r>
      <w:r>
        <w:rPr>
          <w:rFonts w:hint="eastAsia" w:ascii="宋体" w:hAnsi="宋体"/>
          <w:snapToGrid w:val="0"/>
          <w:kern w:val="0"/>
          <w:szCs w:val="28"/>
        </w:rPr>
        <w:t>职业</w:t>
      </w:r>
      <w:r>
        <w:rPr>
          <w:rFonts w:ascii="宋体" w:hAnsi="宋体"/>
          <w:snapToGrid w:val="0"/>
          <w:kern w:val="0"/>
          <w:szCs w:val="28"/>
        </w:rPr>
        <w:t>危害</w:t>
      </w:r>
      <w:r>
        <w:rPr>
          <w:rFonts w:hint="eastAsia" w:ascii="宋体" w:hAnsi="宋体"/>
          <w:snapToGrid w:val="0"/>
          <w:kern w:val="0"/>
          <w:szCs w:val="28"/>
        </w:rPr>
        <w:t>因素</w:t>
      </w:r>
      <w:r>
        <w:tab/>
      </w:r>
      <w:r>
        <w:fldChar w:fldCharType="begin"/>
      </w:r>
      <w:r>
        <w:instrText xml:space="preserve"> PAGEREF _Toc22436 </w:instrText>
      </w:r>
      <w:r>
        <w:fldChar w:fldCharType="separate"/>
      </w:r>
      <w:r>
        <w:t>28</w:t>
      </w:r>
      <w:r>
        <w:fldChar w:fldCharType="end"/>
      </w:r>
      <w:r>
        <w:rPr>
          <w:rFonts w:ascii="宋体" w:hAnsi="宋体"/>
          <w:color w:val="auto"/>
        </w:rPr>
        <w:fldChar w:fldCharType="end"/>
      </w:r>
    </w:p>
    <w:p>
      <w:pPr>
        <w:pStyle w:val="11"/>
        <w:tabs>
          <w:tab w:val="right" w:leader="dot" w:pos="8306"/>
        </w:tabs>
      </w:pPr>
      <w:r>
        <w:rPr>
          <w:rFonts w:ascii="宋体" w:hAnsi="宋体"/>
          <w:color w:val="auto"/>
        </w:rPr>
        <w:fldChar w:fldCharType="begin"/>
      </w:r>
      <w:r>
        <w:rPr>
          <w:rFonts w:ascii="宋体" w:hAnsi="宋体"/>
        </w:rPr>
        <w:instrText xml:space="preserve"> HYPERLINK \l _Toc27115 </w:instrText>
      </w:r>
      <w:r>
        <w:rPr>
          <w:rFonts w:ascii="宋体" w:hAnsi="宋体"/>
        </w:rPr>
        <w:fldChar w:fldCharType="separate"/>
      </w:r>
      <w:r>
        <w:rPr>
          <w:rFonts w:hint="eastAsia" w:ascii="宋体" w:hAnsi="宋体"/>
          <w:snapToGrid w:val="0"/>
          <w:kern w:val="0"/>
          <w:szCs w:val="28"/>
          <w:lang w:val="en-US" w:eastAsia="zh-CN"/>
        </w:rPr>
        <w:t>3.5.13 自然灾害</w:t>
      </w:r>
      <w:r>
        <w:tab/>
      </w:r>
      <w:r>
        <w:fldChar w:fldCharType="begin"/>
      </w:r>
      <w:r>
        <w:instrText xml:space="preserve"> PAGEREF _Toc27115 </w:instrText>
      </w:r>
      <w:r>
        <w:fldChar w:fldCharType="separate"/>
      </w:r>
      <w:r>
        <w:t>29</w:t>
      </w:r>
      <w:r>
        <w:fldChar w:fldCharType="end"/>
      </w:r>
      <w:r>
        <w:rPr>
          <w:rFonts w:ascii="宋体" w:hAnsi="宋体"/>
          <w:color w:val="auto"/>
        </w:rPr>
        <w:fldChar w:fldCharType="end"/>
      </w:r>
    </w:p>
    <w:p>
      <w:pPr>
        <w:pStyle w:val="17"/>
        <w:tabs>
          <w:tab w:val="right" w:leader="dot" w:pos="8306"/>
        </w:tabs>
      </w:pPr>
      <w:r>
        <w:rPr>
          <w:rFonts w:ascii="宋体" w:hAnsi="宋体"/>
          <w:color w:val="auto"/>
        </w:rPr>
        <w:fldChar w:fldCharType="begin"/>
      </w:r>
      <w:r>
        <w:rPr>
          <w:rFonts w:ascii="宋体" w:hAnsi="宋体"/>
        </w:rPr>
        <w:instrText xml:space="preserve"> HYPERLINK \l _Toc8177 </w:instrText>
      </w:r>
      <w:r>
        <w:rPr>
          <w:rFonts w:ascii="宋体" w:hAnsi="宋体"/>
        </w:rPr>
        <w:fldChar w:fldCharType="separate"/>
      </w:r>
      <w:r>
        <w:rPr>
          <w:rFonts w:hint="eastAsia" w:ascii="黑体" w:hAnsi="宋体" w:eastAsia="黑体"/>
          <w:snapToGrid w:val="0"/>
          <w:kern w:val="0"/>
          <w:szCs w:val="32"/>
          <w:lang w:val="en-US" w:eastAsia="zh-CN"/>
        </w:rPr>
        <w:t>3</w:t>
      </w:r>
      <w:r>
        <w:rPr>
          <w:rFonts w:hint="eastAsia" w:ascii="黑体" w:hAnsi="宋体" w:eastAsia="黑体"/>
          <w:snapToGrid w:val="0"/>
          <w:kern w:val="0"/>
          <w:szCs w:val="32"/>
          <w:lang w:eastAsia="zh-CN"/>
        </w:rPr>
        <w:t>.</w:t>
      </w:r>
      <w:r>
        <w:rPr>
          <w:rFonts w:hint="eastAsia" w:ascii="黑体" w:hAnsi="宋体" w:eastAsia="黑体"/>
          <w:snapToGrid w:val="0"/>
          <w:kern w:val="0"/>
          <w:szCs w:val="32"/>
        </w:rPr>
        <w:t>6 厂址安全条件的危险、有害因素辨识与分析</w:t>
      </w:r>
      <w:r>
        <w:tab/>
      </w:r>
      <w:r>
        <w:fldChar w:fldCharType="begin"/>
      </w:r>
      <w:r>
        <w:instrText xml:space="preserve"> PAGEREF _Toc8177 </w:instrText>
      </w:r>
      <w:r>
        <w:fldChar w:fldCharType="separate"/>
      </w:r>
      <w:r>
        <w:t>30</w:t>
      </w:r>
      <w:r>
        <w:fldChar w:fldCharType="end"/>
      </w:r>
      <w:r>
        <w:rPr>
          <w:rFonts w:ascii="宋体" w:hAnsi="宋体"/>
          <w:color w:val="auto"/>
        </w:rPr>
        <w:fldChar w:fldCharType="end"/>
      </w:r>
    </w:p>
    <w:p>
      <w:pPr>
        <w:pStyle w:val="11"/>
        <w:tabs>
          <w:tab w:val="right" w:leader="dot" w:pos="8306"/>
        </w:tabs>
      </w:pPr>
      <w:r>
        <w:rPr>
          <w:rFonts w:ascii="宋体" w:hAnsi="宋体"/>
          <w:color w:val="auto"/>
        </w:rPr>
        <w:fldChar w:fldCharType="begin"/>
      </w:r>
      <w:r>
        <w:rPr>
          <w:rFonts w:ascii="宋体" w:hAnsi="宋体"/>
        </w:rPr>
        <w:instrText xml:space="preserve"> HYPERLINK \l _Toc7359 </w:instrText>
      </w:r>
      <w:r>
        <w:rPr>
          <w:rFonts w:ascii="宋体" w:hAnsi="宋体"/>
        </w:rPr>
        <w:fldChar w:fldCharType="separate"/>
      </w:r>
      <w:r>
        <w:rPr>
          <w:rFonts w:hint="eastAsia" w:ascii="宋体" w:hAnsi="宋体"/>
          <w:snapToGrid w:val="0"/>
          <w:kern w:val="0"/>
          <w:szCs w:val="28"/>
          <w:lang w:val="en-US" w:eastAsia="zh-CN"/>
        </w:rPr>
        <w:t>3</w:t>
      </w:r>
      <w:r>
        <w:rPr>
          <w:rFonts w:hint="eastAsia" w:ascii="宋体" w:hAnsi="宋体"/>
          <w:snapToGrid w:val="0"/>
          <w:kern w:val="0"/>
          <w:szCs w:val="28"/>
          <w:lang w:eastAsia="zh-CN"/>
        </w:rPr>
        <w:t>.</w:t>
      </w:r>
      <w:r>
        <w:rPr>
          <w:rFonts w:hint="eastAsia" w:ascii="宋体" w:hAnsi="宋体"/>
          <w:snapToGrid w:val="0"/>
          <w:kern w:val="0"/>
          <w:szCs w:val="28"/>
        </w:rPr>
        <w:t xml:space="preserve">6.1 </w:t>
      </w:r>
      <w:r>
        <w:rPr>
          <w:rFonts w:hint="eastAsia" w:ascii="宋体" w:hAnsi="宋体"/>
          <w:snapToGrid w:val="0"/>
          <w:kern w:val="0"/>
          <w:szCs w:val="28"/>
          <w:lang w:eastAsia="zh-CN"/>
        </w:rPr>
        <w:t>公司</w:t>
      </w:r>
      <w:r>
        <w:rPr>
          <w:rFonts w:hint="eastAsia" w:ascii="宋体" w:hAnsi="宋体"/>
          <w:snapToGrid w:val="0"/>
          <w:kern w:val="0"/>
          <w:szCs w:val="28"/>
        </w:rPr>
        <w:t>对周边环境的影响分析</w:t>
      </w:r>
      <w:r>
        <w:tab/>
      </w:r>
      <w:r>
        <w:fldChar w:fldCharType="begin"/>
      </w:r>
      <w:r>
        <w:instrText xml:space="preserve"> PAGEREF _Toc7359 </w:instrText>
      </w:r>
      <w:r>
        <w:fldChar w:fldCharType="separate"/>
      </w:r>
      <w:r>
        <w:t>31</w:t>
      </w:r>
      <w:r>
        <w:fldChar w:fldCharType="end"/>
      </w:r>
      <w:r>
        <w:rPr>
          <w:rFonts w:ascii="宋体" w:hAnsi="宋体"/>
          <w:color w:val="auto"/>
        </w:rPr>
        <w:fldChar w:fldCharType="end"/>
      </w:r>
    </w:p>
    <w:p>
      <w:pPr>
        <w:pStyle w:val="11"/>
        <w:tabs>
          <w:tab w:val="right" w:leader="dot" w:pos="8306"/>
        </w:tabs>
      </w:pPr>
      <w:r>
        <w:rPr>
          <w:rFonts w:ascii="宋体" w:hAnsi="宋体"/>
          <w:color w:val="auto"/>
        </w:rPr>
        <w:fldChar w:fldCharType="begin"/>
      </w:r>
      <w:r>
        <w:rPr>
          <w:rFonts w:ascii="宋体" w:hAnsi="宋体"/>
        </w:rPr>
        <w:instrText xml:space="preserve"> HYPERLINK \l _Toc22884 </w:instrText>
      </w:r>
      <w:r>
        <w:rPr>
          <w:rFonts w:ascii="宋体" w:hAnsi="宋体"/>
        </w:rPr>
        <w:fldChar w:fldCharType="separate"/>
      </w:r>
      <w:r>
        <w:rPr>
          <w:rFonts w:hint="eastAsia" w:ascii="宋体" w:hAnsi="宋体"/>
          <w:snapToGrid w:val="0"/>
          <w:kern w:val="0"/>
          <w:szCs w:val="28"/>
          <w:lang w:val="en-US" w:eastAsia="zh-CN"/>
        </w:rPr>
        <w:t>3</w:t>
      </w:r>
      <w:r>
        <w:rPr>
          <w:rFonts w:hint="eastAsia" w:ascii="宋体" w:hAnsi="宋体"/>
          <w:snapToGrid w:val="0"/>
          <w:kern w:val="0"/>
          <w:szCs w:val="28"/>
          <w:lang w:eastAsia="zh-CN"/>
        </w:rPr>
        <w:t>.</w:t>
      </w:r>
      <w:r>
        <w:rPr>
          <w:rFonts w:hint="eastAsia" w:ascii="宋体" w:hAnsi="宋体"/>
          <w:snapToGrid w:val="0"/>
          <w:kern w:val="0"/>
          <w:szCs w:val="28"/>
        </w:rPr>
        <w:t>6.2 周边环境对</w:t>
      </w:r>
      <w:r>
        <w:rPr>
          <w:rFonts w:hint="eastAsia" w:ascii="宋体" w:hAnsi="宋体"/>
          <w:snapToGrid w:val="0"/>
          <w:kern w:val="0"/>
          <w:szCs w:val="28"/>
          <w:lang w:eastAsia="zh-CN"/>
        </w:rPr>
        <w:t>公司</w:t>
      </w:r>
      <w:r>
        <w:rPr>
          <w:rFonts w:hint="eastAsia" w:ascii="宋体" w:hAnsi="宋体"/>
          <w:snapToGrid w:val="0"/>
          <w:kern w:val="0"/>
          <w:szCs w:val="28"/>
        </w:rPr>
        <w:t>的影响分析</w:t>
      </w:r>
      <w:r>
        <w:tab/>
      </w:r>
      <w:r>
        <w:fldChar w:fldCharType="begin"/>
      </w:r>
      <w:r>
        <w:instrText xml:space="preserve"> PAGEREF _Toc22884 </w:instrText>
      </w:r>
      <w:r>
        <w:fldChar w:fldCharType="separate"/>
      </w:r>
      <w:r>
        <w:t>31</w:t>
      </w:r>
      <w:r>
        <w:fldChar w:fldCharType="end"/>
      </w:r>
      <w:r>
        <w:rPr>
          <w:rFonts w:ascii="宋体" w:hAnsi="宋体"/>
          <w:color w:val="auto"/>
        </w:rPr>
        <w:fldChar w:fldCharType="end"/>
      </w:r>
    </w:p>
    <w:p>
      <w:pPr>
        <w:pStyle w:val="17"/>
        <w:tabs>
          <w:tab w:val="right" w:leader="dot" w:pos="8306"/>
        </w:tabs>
      </w:pPr>
      <w:r>
        <w:rPr>
          <w:rFonts w:ascii="宋体" w:hAnsi="宋体"/>
          <w:color w:val="auto"/>
        </w:rPr>
        <w:fldChar w:fldCharType="begin"/>
      </w:r>
      <w:r>
        <w:rPr>
          <w:rFonts w:ascii="宋体" w:hAnsi="宋体"/>
        </w:rPr>
        <w:instrText xml:space="preserve"> HYPERLINK \l _Toc6967 </w:instrText>
      </w:r>
      <w:r>
        <w:rPr>
          <w:rFonts w:ascii="宋体" w:hAnsi="宋体"/>
        </w:rPr>
        <w:fldChar w:fldCharType="separate"/>
      </w:r>
      <w:r>
        <w:rPr>
          <w:rFonts w:hint="eastAsia" w:ascii="黑体" w:eastAsia="黑体"/>
          <w:snapToGrid w:val="0"/>
          <w:kern w:val="0"/>
          <w:szCs w:val="32"/>
          <w:lang w:val="en-US" w:eastAsia="zh-CN"/>
        </w:rPr>
        <w:t>3</w:t>
      </w:r>
      <w:r>
        <w:rPr>
          <w:rFonts w:hint="eastAsia" w:ascii="黑体" w:eastAsia="黑体"/>
          <w:snapToGrid w:val="0"/>
          <w:kern w:val="0"/>
          <w:szCs w:val="32"/>
          <w:lang w:eastAsia="zh-CN"/>
        </w:rPr>
        <w:t>.</w:t>
      </w:r>
      <w:r>
        <w:rPr>
          <w:rFonts w:hint="eastAsia" w:ascii="黑体" w:eastAsia="黑体"/>
          <w:snapToGrid w:val="0"/>
          <w:kern w:val="0"/>
          <w:szCs w:val="32"/>
          <w:lang w:val="en-US" w:eastAsia="zh-CN"/>
        </w:rPr>
        <w:t>7</w:t>
      </w:r>
      <w:r>
        <w:rPr>
          <w:rFonts w:hint="eastAsia" w:ascii="黑体" w:eastAsia="黑体"/>
          <w:snapToGrid w:val="0"/>
          <w:kern w:val="0"/>
          <w:szCs w:val="32"/>
        </w:rPr>
        <w:t xml:space="preserve"> 重大危险源辨识</w:t>
      </w:r>
      <w:r>
        <w:tab/>
      </w:r>
      <w:r>
        <w:fldChar w:fldCharType="begin"/>
      </w:r>
      <w:r>
        <w:instrText xml:space="preserve"> PAGEREF _Toc6967 </w:instrText>
      </w:r>
      <w:r>
        <w:fldChar w:fldCharType="separate"/>
      </w:r>
      <w:r>
        <w:t>32</w:t>
      </w:r>
      <w:r>
        <w:fldChar w:fldCharType="end"/>
      </w:r>
      <w:r>
        <w:rPr>
          <w:rFonts w:ascii="宋体" w:hAnsi="宋体"/>
          <w:color w:val="auto"/>
        </w:rPr>
        <w:fldChar w:fldCharType="end"/>
      </w:r>
    </w:p>
    <w:p>
      <w:pPr>
        <w:pStyle w:val="11"/>
        <w:tabs>
          <w:tab w:val="right" w:leader="dot" w:pos="8306"/>
        </w:tabs>
      </w:pPr>
      <w:r>
        <w:rPr>
          <w:rFonts w:ascii="宋体" w:hAnsi="宋体"/>
          <w:color w:val="auto"/>
        </w:rPr>
        <w:fldChar w:fldCharType="begin"/>
      </w:r>
      <w:r>
        <w:rPr>
          <w:rFonts w:ascii="宋体" w:hAnsi="宋体"/>
        </w:rPr>
        <w:instrText xml:space="preserve"> HYPERLINK \l _Toc31659 </w:instrText>
      </w:r>
      <w:r>
        <w:rPr>
          <w:rFonts w:ascii="宋体" w:hAnsi="宋体"/>
        </w:rPr>
        <w:fldChar w:fldCharType="separate"/>
      </w:r>
      <w:r>
        <w:rPr>
          <w:rFonts w:hint="eastAsia" w:ascii="宋体" w:hAnsi="宋体"/>
          <w:snapToGrid w:val="0"/>
          <w:kern w:val="0"/>
          <w:szCs w:val="28"/>
          <w:lang w:val="en-US" w:eastAsia="zh-CN"/>
        </w:rPr>
        <w:t>3</w:t>
      </w:r>
      <w:r>
        <w:rPr>
          <w:rFonts w:hint="eastAsia" w:ascii="宋体" w:hAnsi="宋体"/>
          <w:snapToGrid w:val="0"/>
          <w:kern w:val="0"/>
          <w:szCs w:val="28"/>
          <w:lang w:eastAsia="zh-CN"/>
        </w:rPr>
        <w:t>.</w:t>
      </w:r>
      <w:r>
        <w:rPr>
          <w:rFonts w:hint="eastAsia" w:ascii="宋体" w:hAnsi="宋体"/>
          <w:snapToGrid w:val="0"/>
          <w:kern w:val="0"/>
          <w:szCs w:val="28"/>
          <w:lang w:val="en-US" w:eastAsia="zh-CN"/>
        </w:rPr>
        <w:t>7</w:t>
      </w:r>
      <w:r>
        <w:rPr>
          <w:rFonts w:hint="eastAsia" w:ascii="宋体" w:hAnsi="宋体"/>
          <w:snapToGrid w:val="0"/>
          <w:kern w:val="0"/>
          <w:szCs w:val="28"/>
        </w:rPr>
        <w:t>.1 辨识依据</w:t>
      </w:r>
      <w:r>
        <w:tab/>
      </w:r>
      <w:r>
        <w:fldChar w:fldCharType="begin"/>
      </w:r>
      <w:r>
        <w:instrText xml:space="preserve"> PAGEREF _Toc31659 </w:instrText>
      </w:r>
      <w:r>
        <w:fldChar w:fldCharType="separate"/>
      </w:r>
      <w:r>
        <w:t>32</w:t>
      </w:r>
      <w:r>
        <w:fldChar w:fldCharType="end"/>
      </w:r>
      <w:r>
        <w:rPr>
          <w:rFonts w:ascii="宋体" w:hAnsi="宋体"/>
          <w:color w:val="auto"/>
        </w:rPr>
        <w:fldChar w:fldCharType="end"/>
      </w:r>
    </w:p>
    <w:p>
      <w:pPr>
        <w:pStyle w:val="11"/>
        <w:tabs>
          <w:tab w:val="right" w:leader="dot" w:pos="8306"/>
        </w:tabs>
      </w:pPr>
      <w:r>
        <w:rPr>
          <w:rFonts w:ascii="宋体" w:hAnsi="宋体"/>
          <w:color w:val="auto"/>
        </w:rPr>
        <w:fldChar w:fldCharType="begin"/>
      </w:r>
      <w:r>
        <w:rPr>
          <w:rFonts w:ascii="宋体" w:hAnsi="宋体"/>
        </w:rPr>
        <w:instrText xml:space="preserve"> HYPERLINK \l _Toc252 </w:instrText>
      </w:r>
      <w:r>
        <w:rPr>
          <w:rFonts w:ascii="宋体" w:hAnsi="宋体"/>
        </w:rPr>
        <w:fldChar w:fldCharType="separate"/>
      </w:r>
      <w:r>
        <w:rPr>
          <w:rFonts w:hint="eastAsia" w:ascii="宋体" w:hAnsi="宋体"/>
          <w:snapToGrid w:val="0"/>
          <w:kern w:val="0"/>
          <w:szCs w:val="28"/>
          <w:lang w:val="en-US" w:eastAsia="zh-CN"/>
        </w:rPr>
        <w:t>3</w:t>
      </w:r>
      <w:r>
        <w:rPr>
          <w:rFonts w:hint="eastAsia" w:ascii="宋体" w:hAnsi="宋体"/>
          <w:snapToGrid w:val="0"/>
          <w:kern w:val="0"/>
          <w:szCs w:val="28"/>
          <w:lang w:eastAsia="zh-CN"/>
        </w:rPr>
        <w:t>.</w:t>
      </w:r>
      <w:r>
        <w:rPr>
          <w:rFonts w:hint="eastAsia" w:ascii="宋体" w:hAnsi="宋体"/>
          <w:snapToGrid w:val="0"/>
          <w:kern w:val="0"/>
          <w:szCs w:val="28"/>
          <w:lang w:val="en-US" w:eastAsia="zh-CN"/>
        </w:rPr>
        <w:t>7</w:t>
      </w:r>
      <w:r>
        <w:rPr>
          <w:rFonts w:hint="eastAsia" w:ascii="宋体" w:hAnsi="宋体"/>
          <w:snapToGrid w:val="0"/>
          <w:kern w:val="0"/>
          <w:szCs w:val="28"/>
        </w:rPr>
        <w:t>.2 辨识结果</w:t>
      </w:r>
      <w:r>
        <w:tab/>
      </w:r>
      <w:r>
        <w:fldChar w:fldCharType="begin"/>
      </w:r>
      <w:r>
        <w:instrText xml:space="preserve"> PAGEREF _Toc252 </w:instrText>
      </w:r>
      <w:r>
        <w:fldChar w:fldCharType="separate"/>
      </w:r>
      <w:r>
        <w:t>32</w:t>
      </w:r>
      <w:r>
        <w:fldChar w:fldCharType="end"/>
      </w:r>
      <w:r>
        <w:rPr>
          <w:rFonts w:ascii="宋体" w:hAnsi="宋体"/>
          <w:color w:val="auto"/>
        </w:rPr>
        <w:fldChar w:fldCharType="end"/>
      </w:r>
    </w:p>
    <w:p>
      <w:pPr>
        <w:pStyle w:val="17"/>
        <w:tabs>
          <w:tab w:val="right" w:leader="dot" w:pos="8306"/>
        </w:tabs>
      </w:pPr>
      <w:r>
        <w:rPr>
          <w:rFonts w:ascii="宋体" w:hAnsi="宋体"/>
          <w:color w:val="auto"/>
        </w:rPr>
        <w:fldChar w:fldCharType="begin"/>
      </w:r>
      <w:r>
        <w:rPr>
          <w:rFonts w:ascii="宋体" w:hAnsi="宋体"/>
        </w:rPr>
        <w:instrText xml:space="preserve"> HYPERLINK \l _Toc29614 </w:instrText>
      </w:r>
      <w:r>
        <w:rPr>
          <w:rFonts w:ascii="宋体" w:hAnsi="宋体"/>
        </w:rPr>
        <w:fldChar w:fldCharType="separate"/>
      </w:r>
      <w:r>
        <w:rPr>
          <w:rFonts w:hint="eastAsia" w:ascii="黑体" w:eastAsia="黑体"/>
          <w:snapToGrid w:val="0"/>
          <w:kern w:val="0"/>
          <w:szCs w:val="32"/>
          <w:lang w:val="en-US" w:eastAsia="zh-CN"/>
        </w:rPr>
        <w:t>3.8小结</w:t>
      </w:r>
      <w:r>
        <w:tab/>
      </w:r>
      <w:r>
        <w:fldChar w:fldCharType="begin"/>
      </w:r>
      <w:r>
        <w:instrText xml:space="preserve"> PAGEREF _Toc29614 </w:instrText>
      </w:r>
      <w:r>
        <w:fldChar w:fldCharType="separate"/>
      </w:r>
      <w:r>
        <w:t>32</w:t>
      </w:r>
      <w:r>
        <w:fldChar w:fldCharType="end"/>
      </w:r>
      <w:r>
        <w:rPr>
          <w:rFonts w:ascii="宋体" w:hAnsi="宋体"/>
          <w:color w:val="auto"/>
        </w:rPr>
        <w:fldChar w:fldCharType="end"/>
      </w:r>
    </w:p>
    <w:p>
      <w:pPr>
        <w:pStyle w:val="15"/>
        <w:tabs>
          <w:tab w:val="right" w:leader="dot" w:pos="8306"/>
        </w:tabs>
      </w:pPr>
      <w:r>
        <w:rPr>
          <w:rFonts w:ascii="宋体" w:hAnsi="宋体"/>
          <w:color w:val="auto"/>
        </w:rPr>
        <w:fldChar w:fldCharType="begin"/>
      </w:r>
      <w:r>
        <w:rPr>
          <w:rFonts w:ascii="宋体" w:hAnsi="宋体"/>
        </w:rPr>
        <w:instrText xml:space="preserve"> HYPERLINK \l _Toc28567 </w:instrText>
      </w:r>
      <w:r>
        <w:rPr>
          <w:rFonts w:ascii="宋体" w:hAnsi="宋体"/>
        </w:rPr>
        <w:fldChar w:fldCharType="separate"/>
      </w:r>
      <w:r>
        <w:rPr>
          <w:rFonts w:hint="eastAsia" w:ascii="黑体" w:hAnsi="宋体" w:eastAsia="黑体"/>
          <w:szCs w:val="32"/>
          <w:lang w:val="en-US" w:eastAsia="zh-CN"/>
        </w:rPr>
        <w:t>4</w:t>
      </w:r>
      <w:r>
        <w:rPr>
          <w:rFonts w:hint="eastAsia" w:ascii="黑体" w:hAnsi="宋体" w:eastAsia="黑体"/>
          <w:szCs w:val="32"/>
        </w:rPr>
        <w:t>评估结论与建议</w:t>
      </w:r>
      <w:r>
        <w:tab/>
      </w:r>
      <w:r>
        <w:fldChar w:fldCharType="begin"/>
      </w:r>
      <w:r>
        <w:instrText xml:space="preserve"> PAGEREF _Toc28567 </w:instrText>
      </w:r>
      <w:r>
        <w:fldChar w:fldCharType="separate"/>
      </w:r>
      <w:r>
        <w:t>34</w:t>
      </w:r>
      <w:r>
        <w:fldChar w:fldCharType="end"/>
      </w:r>
      <w:r>
        <w:rPr>
          <w:rFonts w:ascii="宋体" w:hAnsi="宋体"/>
          <w:color w:val="auto"/>
        </w:rPr>
        <w:fldChar w:fldCharType="end"/>
      </w:r>
    </w:p>
    <w:p>
      <w:pPr>
        <w:pStyle w:val="17"/>
        <w:tabs>
          <w:tab w:val="right" w:leader="dot" w:pos="8306"/>
        </w:tabs>
      </w:pPr>
      <w:r>
        <w:rPr>
          <w:rFonts w:ascii="宋体" w:hAnsi="宋体"/>
          <w:color w:val="auto"/>
        </w:rPr>
        <w:fldChar w:fldCharType="begin"/>
      </w:r>
      <w:r>
        <w:rPr>
          <w:rFonts w:ascii="宋体" w:hAnsi="宋体"/>
        </w:rPr>
        <w:instrText xml:space="preserve"> HYPERLINK \l _Toc11284 </w:instrText>
      </w:r>
      <w:r>
        <w:rPr>
          <w:rFonts w:ascii="宋体" w:hAnsi="宋体"/>
        </w:rPr>
        <w:fldChar w:fldCharType="separate"/>
      </w:r>
      <w:r>
        <w:rPr>
          <w:rFonts w:hint="eastAsia" w:ascii="黑体" w:hAnsi="黑体"/>
          <w:szCs w:val="28"/>
          <w:lang w:val="en-US" w:eastAsia="zh-CN"/>
        </w:rPr>
        <w:t>4.1总体评价结论</w:t>
      </w:r>
      <w:r>
        <w:tab/>
      </w:r>
      <w:r>
        <w:fldChar w:fldCharType="begin"/>
      </w:r>
      <w:r>
        <w:instrText xml:space="preserve"> PAGEREF _Toc11284 </w:instrText>
      </w:r>
      <w:r>
        <w:fldChar w:fldCharType="separate"/>
      </w:r>
      <w:r>
        <w:t>34</w:t>
      </w:r>
      <w:r>
        <w:fldChar w:fldCharType="end"/>
      </w:r>
      <w:r>
        <w:rPr>
          <w:rFonts w:ascii="宋体" w:hAnsi="宋体"/>
          <w:color w:val="auto"/>
        </w:rPr>
        <w:fldChar w:fldCharType="end"/>
      </w:r>
    </w:p>
    <w:p>
      <w:pPr>
        <w:pStyle w:val="17"/>
        <w:tabs>
          <w:tab w:val="right" w:leader="dot" w:pos="8306"/>
        </w:tabs>
      </w:pPr>
      <w:r>
        <w:rPr>
          <w:rFonts w:ascii="宋体" w:hAnsi="宋体"/>
          <w:color w:val="auto"/>
        </w:rPr>
        <w:fldChar w:fldCharType="begin"/>
      </w:r>
      <w:r>
        <w:rPr>
          <w:rFonts w:ascii="宋体" w:hAnsi="宋体"/>
        </w:rPr>
        <w:instrText xml:space="preserve"> HYPERLINK \l _Toc8549 </w:instrText>
      </w:r>
      <w:r>
        <w:rPr>
          <w:rFonts w:ascii="宋体" w:hAnsi="宋体"/>
        </w:rPr>
        <w:fldChar w:fldCharType="separate"/>
      </w:r>
      <w:r>
        <w:rPr>
          <w:rFonts w:hint="eastAsia" w:ascii="黑体" w:hAnsi="黑体"/>
          <w:szCs w:val="28"/>
          <w:lang w:val="en-US" w:eastAsia="zh-CN"/>
        </w:rPr>
        <w:t>4</w:t>
      </w:r>
      <w:r>
        <w:rPr>
          <w:rFonts w:hint="eastAsia" w:ascii="黑体" w:hAnsi="黑体"/>
          <w:szCs w:val="28"/>
        </w:rPr>
        <w:t>.</w:t>
      </w:r>
      <w:r>
        <w:rPr>
          <w:rFonts w:hint="eastAsia" w:ascii="黑体" w:hAnsi="黑体"/>
          <w:szCs w:val="28"/>
          <w:lang w:val="en-US" w:eastAsia="zh-CN"/>
        </w:rPr>
        <w:t>2</w:t>
      </w:r>
      <w:r>
        <w:rPr>
          <w:rFonts w:hint="eastAsia" w:ascii="黑体" w:hAnsi="黑体"/>
          <w:szCs w:val="28"/>
        </w:rPr>
        <w:t>建议</w:t>
      </w:r>
      <w:r>
        <w:tab/>
      </w:r>
      <w:r>
        <w:fldChar w:fldCharType="begin"/>
      </w:r>
      <w:r>
        <w:instrText xml:space="preserve"> PAGEREF _Toc8549 </w:instrText>
      </w:r>
      <w:r>
        <w:fldChar w:fldCharType="separate"/>
      </w:r>
      <w:r>
        <w:t>34</w:t>
      </w:r>
      <w:r>
        <w:fldChar w:fldCharType="end"/>
      </w:r>
      <w:r>
        <w:rPr>
          <w:rFonts w:ascii="宋体" w:hAnsi="宋体"/>
          <w:color w:val="auto"/>
        </w:rPr>
        <w:fldChar w:fldCharType="end"/>
      </w:r>
    </w:p>
    <w:p>
      <w:pPr>
        <w:widowControl/>
        <w:spacing w:line="360" w:lineRule="auto"/>
        <w:jc w:val="left"/>
        <w:outlineLvl w:val="2"/>
        <w:rPr>
          <w:rFonts w:hint="eastAsia" w:ascii="宋体" w:hAnsi="宋体" w:cs="宋体"/>
          <w:b/>
          <w:bCs/>
          <w:color w:val="auto"/>
          <w:kern w:val="0"/>
          <w:sz w:val="28"/>
          <w:szCs w:val="28"/>
        </w:rPr>
      </w:pPr>
      <w:r>
        <w:rPr>
          <w:rFonts w:ascii="宋体" w:hAnsi="宋体"/>
          <w:color w:val="auto"/>
        </w:rPr>
        <w:fldChar w:fldCharType="end"/>
      </w:r>
    </w:p>
    <w:p>
      <w:pPr>
        <w:numPr>
          <w:ilvl w:val="0"/>
          <w:numId w:val="0"/>
        </w:numPr>
        <w:spacing w:line="360" w:lineRule="auto"/>
        <w:jc w:val="center"/>
        <w:outlineLvl w:val="0"/>
        <w:rPr>
          <w:rFonts w:hint="eastAsia" w:ascii="黑体" w:hAnsi="宋体" w:eastAsia="黑体"/>
          <w:b/>
          <w:color w:val="auto"/>
          <w:sz w:val="32"/>
          <w:szCs w:val="32"/>
          <w:lang w:val="en-US" w:eastAsia="zh-CN"/>
        </w:rPr>
        <w:sectPr>
          <w:pgSz w:w="11906" w:h="16838"/>
          <w:pgMar w:top="1440" w:right="1800" w:bottom="1440" w:left="1800" w:header="851" w:footer="992" w:gutter="0"/>
          <w:pgNumType w:fmt="decimal" w:start="1"/>
          <w:cols w:space="425" w:num="1"/>
          <w:docGrid w:type="lines" w:linePitch="312" w:charSpace="0"/>
        </w:sectPr>
      </w:pPr>
    </w:p>
    <w:p>
      <w:pPr>
        <w:spacing w:line="360" w:lineRule="auto"/>
        <w:jc w:val="center"/>
        <w:outlineLvl w:val="0"/>
        <w:rPr>
          <w:rFonts w:hint="eastAsia" w:ascii="黑体" w:hAnsi="宋体" w:eastAsia="黑体"/>
          <w:b/>
          <w:sz w:val="32"/>
          <w:szCs w:val="32"/>
        </w:rPr>
      </w:pPr>
      <w:bookmarkStart w:id="14" w:name="_Toc1621"/>
      <w:bookmarkStart w:id="15" w:name="_Toc97"/>
      <w:bookmarkStart w:id="16" w:name="_Toc4713"/>
      <w:r>
        <w:rPr>
          <w:rFonts w:hint="eastAsia" w:ascii="黑体" w:hAnsi="宋体" w:eastAsia="黑体"/>
          <w:b/>
          <w:sz w:val="32"/>
          <w:szCs w:val="32"/>
        </w:rPr>
        <w:t>1概述</w:t>
      </w:r>
      <w:bookmarkEnd w:id="14"/>
      <w:bookmarkEnd w:id="15"/>
      <w:bookmarkEnd w:id="16"/>
    </w:p>
    <w:p>
      <w:pPr>
        <w:pStyle w:val="5"/>
        <w:spacing w:line="360" w:lineRule="auto"/>
        <w:rPr>
          <w:rFonts w:hint="eastAsia" w:ascii="宋体" w:hAnsi="宋体" w:eastAsia="宋体" w:cs="宋体"/>
          <w:sz w:val="28"/>
          <w:szCs w:val="28"/>
        </w:rPr>
      </w:pPr>
      <w:bookmarkStart w:id="17" w:name="_Toc10102"/>
      <w:bookmarkStart w:id="18" w:name="_Toc13902"/>
      <w:bookmarkStart w:id="19" w:name="_Toc9062"/>
      <w:r>
        <w:rPr>
          <w:rFonts w:hint="eastAsia" w:ascii="宋体" w:hAnsi="宋体" w:eastAsia="宋体" w:cs="宋体"/>
          <w:sz w:val="28"/>
          <w:szCs w:val="28"/>
        </w:rPr>
        <w:t>1.1评估的主要依据</w:t>
      </w:r>
      <w:bookmarkEnd w:id="17"/>
      <w:bookmarkEnd w:id="18"/>
      <w:bookmarkEnd w:id="19"/>
    </w:p>
    <w:p>
      <w:pPr>
        <w:spacing w:line="360" w:lineRule="auto"/>
        <w:ind w:firstLine="560" w:firstLineChars="200"/>
        <w:rPr>
          <w:rFonts w:hint="eastAsia" w:ascii="宋体" w:hAnsi="宋体" w:cs="宋体"/>
          <w:color w:val="auto"/>
          <w:sz w:val="28"/>
          <w:szCs w:val="28"/>
          <w:lang w:val="zh-CN" w:eastAsia="zh-CN"/>
        </w:rPr>
      </w:pPr>
      <w:r>
        <w:rPr>
          <w:rFonts w:hint="eastAsia" w:ascii="宋体" w:hAnsi="宋体" w:cs="宋体"/>
          <w:color w:val="auto"/>
          <w:sz w:val="28"/>
          <w:szCs w:val="28"/>
          <w:lang w:val="zh-CN" w:eastAsia="zh-CN"/>
        </w:rPr>
        <w:t>（1）《中华人民共和国安全生产法》（中华人民共和国主席令第13号，自2014年12月1日起施行）</w:t>
      </w:r>
    </w:p>
    <w:p>
      <w:pPr>
        <w:spacing w:line="360" w:lineRule="auto"/>
        <w:ind w:firstLine="560" w:firstLineChars="200"/>
        <w:rPr>
          <w:rFonts w:hint="eastAsia" w:ascii="宋体" w:hAnsi="宋体" w:cs="宋体"/>
          <w:color w:val="auto"/>
          <w:sz w:val="28"/>
          <w:szCs w:val="28"/>
          <w:lang w:val="zh-CN" w:eastAsia="zh-CN"/>
        </w:rPr>
      </w:pPr>
      <w:r>
        <w:rPr>
          <w:rFonts w:hint="eastAsia" w:ascii="宋体" w:hAnsi="宋体" w:cs="宋体"/>
          <w:color w:val="auto"/>
          <w:sz w:val="28"/>
          <w:szCs w:val="28"/>
          <w:lang w:val="zh-CN" w:eastAsia="zh-CN"/>
        </w:rPr>
        <w:t>（2）《中华人民共和国劳动法》（中华人民共和国主席令第28号，自1995年1月1日起施行，2009年8月27日修订）</w:t>
      </w:r>
    </w:p>
    <w:p>
      <w:pPr>
        <w:spacing w:line="360" w:lineRule="auto"/>
        <w:ind w:firstLine="560" w:firstLineChars="200"/>
        <w:rPr>
          <w:rFonts w:hint="eastAsia" w:ascii="宋体" w:hAnsi="宋体" w:cs="宋体"/>
          <w:color w:val="auto"/>
          <w:sz w:val="28"/>
          <w:szCs w:val="28"/>
          <w:lang w:val="zh-CN" w:eastAsia="zh-CN"/>
        </w:rPr>
      </w:pPr>
      <w:r>
        <w:rPr>
          <w:rFonts w:hint="eastAsia" w:ascii="宋体" w:hAnsi="宋体" w:cs="宋体"/>
          <w:color w:val="auto"/>
          <w:sz w:val="28"/>
          <w:szCs w:val="28"/>
          <w:lang w:val="zh-CN" w:eastAsia="zh-CN"/>
        </w:rPr>
        <w:t>（3）《中华人民共和国职业病防治法》(中华人民共和国主席令第24号，2018年12月29日修订)</w:t>
      </w:r>
    </w:p>
    <w:p>
      <w:pPr>
        <w:spacing w:line="360" w:lineRule="auto"/>
        <w:ind w:firstLine="560" w:firstLineChars="200"/>
        <w:rPr>
          <w:rFonts w:hint="eastAsia" w:ascii="宋体" w:hAnsi="宋体" w:cs="宋体"/>
          <w:color w:val="auto"/>
          <w:sz w:val="28"/>
          <w:szCs w:val="28"/>
          <w:lang w:val="zh-CN" w:eastAsia="zh-CN"/>
        </w:rPr>
      </w:pPr>
      <w:r>
        <w:rPr>
          <w:rFonts w:hint="eastAsia" w:ascii="宋体" w:hAnsi="宋体" w:cs="宋体"/>
          <w:color w:val="auto"/>
          <w:sz w:val="28"/>
          <w:szCs w:val="28"/>
          <w:lang w:val="zh-CN" w:eastAsia="zh-CN"/>
        </w:rPr>
        <w:t>（4）《中华人民共和国消防法》（中华人民共和国主席令第6号，自20</w:t>
      </w:r>
      <w:r>
        <w:rPr>
          <w:rFonts w:hint="eastAsia" w:ascii="宋体" w:hAnsi="宋体" w:cs="宋体"/>
          <w:color w:val="auto"/>
          <w:sz w:val="28"/>
          <w:szCs w:val="28"/>
          <w:lang w:val="en-US" w:eastAsia="zh-CN"/>
        </w:rPr>
        <w:t>1</w:t>
      </w:r>
      <w:r>
        <w:rPr>
          <w:rFonts w:hint="eastAsia" w:ascii="宋体" w:hAnsi="宋体" w:cs="宋体"/>
          <w:color w:val="auto"/>
          <w:sz w:val="28"/>
          <w:szCs w:val="28"/>
          <w:lang w:val="zh-CN" w:eastAsia="zh-CN"/>
        </w:rPr>
        <w:t>9年</w:t>
      </w:r>
      <w:r>
        <w:rPr>
          <w:rFonts w:hint="eastAsia" w:ascii="宋体" w:hAnsi="宋体" w:cs="宋体"/>
          <w:color w:val="auto"/>
          <w:sz w:val="28"/>
          <w:szCs w:val="28"/>
          <w:lang w:val="en-US" w:eastAsia="zh-CN"/>
        </w:rPr>
        <w:t>4</w:t>
      </w:r>
      <w:r>
        <w:rPr>
          <w:rFonts w:hint="eastAsia" w:ascii="宋体" w:hAnsi="宋体" w:cs="宋体"/>
          <w:color w:val="auto"/>
          <w:sz w:val="28"/>
          <w:szCs w:val="28"/>
          <w:lang w:val="zh-CN" w:eastAsia="zh-CN"/>
        </w:rPr>
        <w:t>月</w:t>
      </w:r>
      <w:r>
        <w:rPr>
          <w:rFonts w:hint="eastAsia" w:ascii="宋体" w:hAnsi="宋体" w:cs="宋体"/>
          <w:color w:val="auto"/>
          <w:sz w:val="28"/>
          <w:szCs w:val="28"/>
          <w:lang w:val="en-US" w:eastAsia="zh-CN"/>
        </w:rPr>
        <w:t>23</w:t>
      </w:r>
      <w:r>
        <w:rPr>
          <w:rFonts w:hint="eastAsia" w:ascii="宋体" w:hAnsi="宋体" w:cs="宋体"/>
          <w:color w:val="auto"/>
          <w:sz w:val="28"/>
          <w:szCs w:val="28"/>
          <w:lang w:val="zh-CN" w:eastAsia="zh-CN"/>
        </w:rPr>
        <w:t>日起修订）</w:t>
      </w:r>
    </w:p>
    <w:p>
      <w:pPr>
        <w:spacing w:line="360" w:lineRule="auto"/>
        <w:ind w:firstLine="560" w:firstLineChars="200"/>
        <w:rPr>
          <w:rFonts w:hint="eastAsia" w:ascii="宋体" w:hAnsi="宋体" w:cs="宋体"/>
          <w:color w:val="auto"/>
          <w:sz w:val="28"/>
          <w:szCs w:val="28"/>
          <w:lang w:val="zh-CN" w:eastAsia="zh-CN"/>
        </w:rPr>
      </w:pPr>
      <w:r>
        <w:rPr>
          <w:rFonts w:hint="eastAsia" w:ascii="宋体" w:hAnsi="宋体" w:cs="宋体"/>
          <w:color w:val="auto"/>
          <w:sz w:val="28"/>
          <w:szCs w:val="28"/>
          <w:lang w:val="zh-CN" w:eastAsia="zh-CN"/>
        </w:rPr>
        <w:t>（5）《中华人民共和国突发事件应对法》（中华人民共和国主席令第69号，自2007年11月1日起施行）</w:t>
      </w:r>
    </w:p>
    <w:p>
      <w:pPr>
        <w:spacing w:line="360" w:lineRule="auto"/>
        <w:ind w:firstLine="560" w:firstLineChars="200"/>
        <w:rPr>
          <w:rFonts w:hint="eastAsia" w:ascii="宋体" w:hAnsi="宋体" w:cs="宋体"/>
          <w:color w:val="auto"/>
          <w:sz w:val="28"/>
          <w:szCs w:val="28"/>
          <w:lang w:val="zh-CN" w:eastAsia="zh-CN"/>
        </w:rPr>
      </w:pPr>
      <w:r>
        <w:rPr>
          <w:rFonts w:hint="eastAsia" w:ascii="宋体" w:hAnsi="宋体" w:cs="宋体"/>
          <w:color w:val="auto"/>
          <w:sz w:val="28"/>
          <w:szCs w:val="28"/>
          <w:lang w:val="zh-CN" w:eastAsia="zh-CN"/>
        </w:rPr>
        <w:t>（6）《中华人民共和国劳动合同法》（主席令第73号，自2013年7月1日起施行）</w:t>
      </w:r>
    </w:p>
    <w:p>
      <w:pPr>
        <w:spacing w:line="360" w:lineRule="auto"/>
        <w:ind w:firstLine="560" w:firstLineChars="200"/>
        <w:rPr>
          <w:rFonts w:hint="eastAsia" w:ascii="宋体" w:hAnsi="宋体" w:cs="宋体"/>
          <w:color w:val="auto"/>
          <w:sz w:val="28"/>
          <w:szCs w:val="28"/>
          <w:lang w:val="zh-CN" w:eastAsia="zh-CN"/>
        </w:rPr>
      </w:pPr>
      <w:r>
        <w:rPr>
          <w:rFonts w:hint="eastAsia" w:ascii="宋体" w:hAnsi="宋体" w:cs="宋体"/>
          <w:color w:val="auto"/>
          <w:sz w:val="28"/>
          <w:szCs w:val="28"/>
          <w:lang w:val="zh-CN" w:eastAsia="zh-CN"/>
        </w:rPr>
        <w:t>（7）《中华人民共和国环境保护法》（主席令第9号，自2015年1月1日起施行）</w:t>
      </w:r>
    </w:p>
    <w:p>
      <w:pPr>
        <w:spacing w:line="360" w:lineRule="auto"/>
        <w:ind w:firstLine="560" w:firstLineChars="200"/>
        <w:rPr>
          <w:rFonts w:hint="eastAsia" w:ascii="宋体" w:hAnsi="宋体" w:cs="宋体"/>
          <w:color w:val="auto"/>
          <w:sz w:val="28"/>
          <w:szCs w:val="28"/>
          <w:lang w:val="zh-CN" w:eastAsia="zh-CN"/>
        </w:rPr>
      </w:pPr>
      <w:r>
        <w:rPr>
          <w:rFonts w:hint="eastAsia" w:ascii="宋体" w:hAnsi="宋体" w:cs="宋体"/>
          <w:color w:val="auto"/>
          <w:sz w:val="28"/>
          <w:szCs w:val="28"/>
          <w:lang w:val="zh-CN" w:eastAsia="zh-CN"/>
        </w:rPr>
        <w:t>（8）《中华人民共和国特种设备安全法》（主席令第4号，2014年1月1日起实施）；</w:t>
      </w:r>
    </w:p>
    <w:p>
      <w:pPr>
        <w:spacing w:line="360" w:lineRule="auto"/>
        <w:ind w:firstLine="560" w:firstLineChars="200"/>
        <w:rPr>
          <w:rFonts w:hint="eastAsia" w:ascii="宋体" w:hAnsi="宋体" w:cs="宋体"/>
          <w:color w:val="auto"/>
          <w:sz w:val="28"/>
          <w:szCs w:val="28"/>
          <w:lang w:val="zh-CN" w:eastAsia="zh-CN"/>
        </w:rPr>
      </w:pPr>
      <w:r>
        <w:rPr>
          <w:rFonts w:hint="eastAsia" w:ascii="宋体" w:hAnsi="宋体" w:cs="宋体"/>
          <w:color w:val="auto"/>
          <w:sz w:val="28"/>
          <w:szCs w:val="28"/>
          <w:lang w:val="zh-CN" w:eastAsia="zh-CN"/>
        </w:rPr>
        <w:t>（9）《中华人民共和国防震减灾法》（国家主席令第7号，自2009年5月1日起施行）</w:t>
      </w:r>
    </w:p>
    <w:p>
      <w:pPr>
        <w:spacing w:line="360" w:lineRule="auto"/>
        <w:ind w:firstLine="560" w:firstLineChars="200"/>
        <w:rPr>
          <w:rFonts w:hint="eastAsia" w:ascii="宋体" w:hAnsi="宋体" w:cs="宋体"/>
          <w:color w:val="auto"/>
          <w:sz w:val="28"/>
          <w:szCs w:val="28"/>
          <w:lang w:val="zh-CN" w:eastAsia="zh-CN"/>
        </w:rPr>
      </w:pPr>
      <w:r>
        <w:rPr>
          <w:rFonts w:hint="eastAsia" w:ascii="宋体" w:hAnsi="宋体" w:cs="宋体"/>
          <w:color w:val="auto"/>
          <w:sz w:val="28"/>
          <w:szCs w:val="28"/>
          <w:lang w:val="zh-CN" w:eastAsia="zh-CN"/>
        </w:rPr>
        <w:t>（10）《工伤保险条例》（国务院第586号令）</w:t>
      </w:r>
    </w:p>
    <w:p>
      <w:pPr>
        <w:spacing w:line="360" w:lineRule="auto"/>
        <w:ind w:firstLine="560" w:firstLineChars="200"/>
        <w:rPr>
          <w:rFonts w:hint="eastAsia" w:ascii="宋体" w:hAnsi="宋体" w:cs="宋体"/>
          <w:color w:val="auto"/>
          <w:sz w:val="28"/>
          <w:szCs w:val="28"/>
          <w:lang w:val="zh-CN" w:eastAsia="zh-CN"/>
        </w:rPr>
      </w:pPr>
      <w:r>
        <w:rPr>
          <w:rFonts w:hint="eastAsia" w:ascii="宋体" w:hAnsi="宋体" w:cs="宋体"/>
          <w:color w:val="auto"/>
          <w:sz w:val="28"/>
          <w:szCs w:val="28"/>
          <w:lang w:val="zh-CN" w:eastAsia="zh-CN"/>
        </w:rPr>
        <w:t>（11）《机关、团体、企业事业单位消防安全管理规定》（公安部第61号令）</w:t>
      </w:r>
    </w:p>
    <w:p>
      <w:pPr>
        <w:spacing w:line="360" w:lineRule="auto"/>
        <w:ind w:firstLine="560" w:firstLineChars="200"/>
        <w:rPr>
          <w:rFonts w:hint="eastAsia" w:ascii="宋体" w:hAnsi="宋体" w:cs="宋体"/>
          <w:color w:val="auto"/>
          <w:sz w:val="28"/>
          <w:szCs w:val="28"/>
          <w:lang w:val="zh-CN" w:eastAsia="zh-CN"/>
        </w:rPr>
      </w:pPr>
      <w:r>
        <w:rPr>
          <w:rFonts w:hint="eastAsia" w:ascii="宋体" w:hAnsi="宋体" w:cs="宋体"/>
          <w:color w:val="auto"/>
          <w:sz w:val="28"/>
          <w:szCs w:val="28"/>
          <w:lang w:val="zh-CN" w:eastAsia="zh-CN"/>
        </w:rPr>
        <w:t>（12）《有限空间安全作业五条规定》（国家安监总局令[2014]第69号）</w:t>
      </w:r>
    </w:p>
    <w:p>
      <w:pPr>
        <w:spacing w:line="360" w:lineRule="auto"/>
        <w:ind w:firstLine="560" w:firstLineChars="200"/>
        <w:rPr>
          <w:rFonts w:hint="eastAsia" w:ascii="宋体" w:hAnsi="宋体" w:cs="宋体"/>
          <w:color w:val="auto"/>
          <w:sz w:val="28"/>
          <w:szCs w:val="28"/>
          <w:lang w:val="zh-CN" w:eastAsia="zh-CN"/>
        </w:rPr>
      </w:pPr>
      <w:r>
        <w:rPr>
          <w:rFonts w:hint="eastAsia" w:ascii="宋体" w:hAnsi="宋体" w:cs="宋体"/>
          <w:color w:val="auto"/>
          <w:sz w:val="28"/>
          <w:szCs w:val="28"/>
          <w:lang w:val="zh-CN" w:eastAsia="zh-CN"/>
        </w:rPr>
        <w:t>（13）《企业安全生产风险公告六条规定》（国家安监总局令[2014]第70号）</w:t>
      </w:r>
    </w:p>
    <w:p>
      <w:pPr>
        <w:spacing w:line="360" w:lineRule="auto"/>
        <w:ind w:firstLine="560" w:firstLineChars="200"/>
        <w:rPr>
          <w:rFonts w:hint="eastAsia" w:ascii="宋体" w:hAnsi="宋体" w:cs="宋体"/>
          <w:color w:val="auto"/>
          <w:sz w:val="28"/>
          <w:szCs w:val="28"/>
          <w:lang w:val="zh-CN" w:eastAsia="zh-CN"/>
        </w:rPr>
      </w:pPr>
      <w:r>
        <w:rPr>
          <w:rFonts w:hint="eastAsia" w:ascii="宋体" w:hAnsi="宋体" w:cs="宋体"/>
          <w:color w:val="auto"/>
          <w:sz w:val="28"/>
          <w:szCs w:val="28"/>
          <w:lang w:val="zh-CN" w:eastAsia="zh-CN"/>
        </w:rPr>
        <w:t>（14）《企业安全生产应急管理九条规定》（国家安监总局令[2015]第74号）</w:t>
      </w:r>
    </w:p>
    <w:p>
      <w:pPr>
        <w:spacing w:line="360" w:lineRule="auto"/>
        <w:ind w:firstLine="560" w:firstLineChars="200"/>
        <w:rPr>
          <w:rFonts w:hint="eastAsia" w:ascii="宋体" w:hAnsi="宋体" w:cs="宋体"/>
          <w:color w:val="auto"/>
          <w:sz w:val="28"/>
          <w:szCs w:val="28"/>
          <w:lang w:val="zh-CN" w:eastAsia="zh-CN"/>
        </w:rPr>
      </w:pPr>
      <w:r>
        <w:rPr>
          <w:rFonts w:hint="eastAsia" w:ascii="宋体" w:hAnsi="宋体" w:cs="宋体"/>
          <w:color w:val="auto"/>
          <w:sz w:val="28"/>
          <w:szCs w:val="28"/>
          <w:lang w:val="zh-CN" w:eastAsia="zh-CN"/>
        </w:rPr>
        <w:t>（15）《国家安全监管总局办公厅关于印发用人单位劳动防护用品管理规范的通知》（安监总厅安健〔2015〕124号）</w:t>
      </w:r>
    </w:p>
    <w:p>
      <w:pPr>
        <w:spacing w:line="360" w:lineRule="auto"/>
        <w:ind w:firstLine="560" w:firstLineChars="200"/>
        <w:rPr>
          <w:rFonts w:hint="eastAsia" w:ascii="宋体" w:hAnsi="宋体" w:cs="宋体"/>
          <w:color w:val="auto"/>
          <w:sz w:val="28"/>
          <w:szCs w:val="28"/>
          <w:lang w:val="zh-CN" w:eastAsia="zh-CN"/>
        </w:rPr>
      </w:pPr>
      <w:r>
        <w:rPr>
          <w:rFonts w:hint="eastAsia" w:ascii="宋体" w:hAnsi="宋体" w:cs="宋体"/>
          <w:color w:val="auto"/>
          <w:sz w:val="28"/>
          <w:szCs w:val="28"/>
          <w:lang w:val="zh-CN" w:eastAsia="zh-CN"/>
        </w:rPr>
        <w:t>（16）《工作场所职业卫生监督管理规定》（国家安监总局令第47号）</w:t>
      </w:r>
    </w:p>
    <w:p>
      <w:pPr>
        <w:spacing w:line="360" w:lineRule="auto"/>
        <w:ind w:firstLine="560" w:firstLineChars="200"/>
        <w:rPr>
          <w:rFonts w:hint="eastAsia" w:ascii="宋体" w:hAnsi="宋体" w:cs="宋体"/>
          <w:color w:val="auto"/>
          <w:sz w:val="28"/>
          <w:szCs w:val="28"/>
          <w:lang w:val="zh-CN" w:eastAsia="zh-CN"/>
        </w:rPr>
      </w:pPr>
      <w:r>
        <w:rPr>
          <w:rFonts w:hint="eastAsia" w:ascii="宋体" w:hAnsi="宋体" w:cs="宋体"/>
          <w:color w:val="auto"/>
          <w:sz w:val="28"/>
          <w:szCs w:val="28"/>
          <w:lang w:val="zh-CN" w:eastAsia="zh-CN"/>
        </w:rPr>
        <w:t>（17）《生产安全事故应急预案管理办法》（国家安全生产监督管理总局令第88号）</w:t>
      </w:r>
    </w:p>
    <w:p>
      <w:pPr>
        <w:spacing w:line="360" w:lineRule="auto"/>
        <w:ind w:firstLine="560" w:firstLineChars="200"/>
        <w:rPr>
          <w:rFonts w:hint="eastAsia" w:ascii="宋体" w:hAnsi="宋体" w:cs="宋体"/>
          <w:color w:val="auto"/>
          <w:sz w:val="28"/>
          <w:szCs w:val="28"/>
          <w:lang w:val="zh-CN" w:eastAsia="zh-CN"/>
        </w:rPr>
      </w:pPr>
      <w:r>
        <w:rPr>
          <w:rFonts w:hint="eastAsia" w:ascii="宋体" w:hAnsi="宋体" w:cs="宋体"/>
          <w:color w:val="auto"/>
          <w:sz w:val="28"/>
          <w:szCs w:val="28"/>
          <w:lang w:val="zh-CN" w:eastAsia="zh-CN"/>
        </w:rPr>
        <w:t>（18）《生产经营单位生产安全事故应急预案编制导则》（GB/T29639-2013）</w:t>
      </w:r>
    </w:p>
    <w:p>
      <w:pPr>
        <w:spacing w:line="360" w:lineRule="auto"/>
        <w:ind w:firstLine="560" w:firstLineChars="200"/>
        <w:rPr>
          <w:rFonts w:hint="eastAsia" w:ascii="宋体" w:hAnsi="宋体" w:cs="宋体"/>
          <w:color w:val="auto"/>
          <w:sz w:val="28"/>
          <w:szCs w:val="28"/>
          <w:lang w:val="zh-CN" w:eastAsia="zh-CN"/>
        </w:rPr>
      </w:pPr>
      <w:r>
        <w:rPr>
          <w:rFonts w:hint="eastAsia" w:ascii="宋体" w:hAnsi="宋体" w:cs="宋体"/>
          <w:color w:val="auto"/>
          <w:sz w:val="28"/>
          <w:szCs w:val="28"/>
          <w:lang w:val="zh-CN" w:eastAsia="zh-CN"/>
        </w:rPr>
        <w:t>（19）《生产安全事故应急条例》（国令第708号，2019年4月1日起施行）</w:t>
      </w:r>
    </w:p>
    <w:p>
      <w:pPr>
        <w:spacing w:line="360" w:lineRule="auto"/>
        <w:ind w:firstLine="560" w:firstLineChars="200"/>
        <w:rPr>
          <w:rFonts w:hint="eastAsia" w:ascii="宋体" w:hAnsi="宋体" w:cs="宋体"/>
          <w:color w:val="auto"/>
          <w:sz w:val="28"/>
          <w:szCs w:val="28"/>
          <w:lang w:val="zh-CN" w:eastAsia="zh-CN"/>
        </w:rPr>
      </w:pPr>
      <w:r>
        <w:rPr>
          <w:rFonts w:hint="eastAsia" w:ascii="宋体" w:hAnsi="宋体" w:cs="宋体"/>
          <w:color w:val="auto"/>
          <w:sz w:val="28"/>
          <w:szCs w:val="28"/>
          <w:lang w:val="zh-CN" w:eastAsia="zh-CN"/>
        </w:rPr>
        <w:t>（20）《生产安全事故应急演练评估规范》（AQ/T9009-2015）</w:t>
      </w:r>
    </w:p>
    <w:p>
      <w:pPr>
        <w:spacing w:line="360" w:lineRule="auto"/>
        <w:ind w:firstLine="560" w:firstLineChars="200"/>
        <w:rPr>
          <w:rFonts w:hint="eastAsia" w:ascii="宋体" w:hAnsi="宋体" w:cs="宋体"/>
          <w:color w:val="auto"/>
          <w:sz w:val="28"/>
          <w:szCs w:val="28"/>
          <w:lang w:val="zh-CN" w:eastAsia="zh-CN"/>
        </w:rPr>
      </w:pPr>
      <w:r>
        <w:rPr>
          <w:rFonts w:hint="eastAsia" w:ascii="宋体" w:hAnsi="宋体" w:cs="宋体"/>
          <w:color w:val="auto"/>
          <w:sz w:val="28"/>
          <w:szCs w:val="28"/>
          <w:lang w:val="zh-CN" w:eastAsia="zh-CN"/>
        </w:rPr>
        <w:t>（21）《生产安全事故应急演练指南》（AQ/T 9007-2011）</w:t>
      </w:r>
    </w:p>
    <w:p>
      <w:pPr>
        <w:spacing w:line="360" w:lineRule="auto"/>
        <w:ind w:firstLine="560" w:firstLineChars="200"/>
        <w:rPr>
          <w:rFonts w:hint="eastAsia" w:ascii="宋体" w:hAnsi="宋体" w:cs="宋体"/>
          <w:color w:val="auto"/>
          <w:sz w:val="28"/>
          <w:szCs w:val="28"/>
          <w:lang w:val="zh-CN" w:eastAsia="zh-CN"/>
        </w:rPr>
      </w:pPr>
      <w:r>
        <w:rPr>
          <w:rFonts w:hint="eastAsia" w:ascii="宋体" w:hAnsi="宋体" w:cs="宋体"/>
          <w:color w:val="auto"/>
          <w:sz w:val="28"/>
          <w:szCs w:val="28"/>
          <w:lang w:val="zh-CN" w:eastAsia="zh-CN"/>
        </w:rPr>
        <w:t>（</w:t>
      </w:r>
      <w:r>
        <w:rPr>
          <w:rFonts w:hint="eastAsia" w:ascii="宋体" w:hAnsi="宋体" w:cs="宋体"/>
          <w:color w:val="auto"/>
          <w:sz w:val="28"/>
          <w:szCs w:val="28"/>
          <w:lang w:val="en-US" w:eastAsia="zh-CN"/>
        </w:rPr>
        <w:t>22</w:t>
      </w:r>
      <w:r>
        <w:rPr>
          <w:rFonts w:hint="eastAsia" w:ascii="宋体" w:hAnsi="宋体" w:cs="宋体"/>
          <w:color w:val="auto"/>
          <w:sz w:val="28"/>
          <w:szCs w:val="28"/>
          <w:lang w:val="zh-CN" w:eastAsia="zh-CN"/>
        </w:rPr>
        <w:t>）《危险化学品重大危险源辨识》（GB18218-20</w:t>
      </w:r>
      <w:r>
        <w:rPr>
          <w:rFonts w:hint="eastAsia" w:ascii="宋体" w:hAnsi="宋体" w:cs="宋体"/>
          <w:color w:val="auto"/>
          <w:sz w:val="28"/>
          <w:szCs w:val="28"/>
          <w:lang w:val="en-US" w:eastAsia="zh-CN"/>
        </w:rPr>
        <w:t>18</w:t>
      </w:r>
      <w:r>
        <w:rPr>
          <w:rFonts w:hint="eastAsia" w:ascii="宋体" w:hAnsi="宋体" w:cs="宋体"/>
          <w:color w:val="auto"/>
          <w:sz w:val="28"/>
          <w:szCs w:val="28"/>
          <w:lang w:val="zh-CN" w:eastAsia="zh-CN"/>
        </w:rPr>
        <w:t>）</w:t>
      </w:r>
    </w:p>
    <w:p>
      <w:pPr>
        <w:spacing w:line="360" w:lineRule="auto"/>
        <w:ind w:firstLine="560" w:firstLineChars="200"/>
        <w:rPr>
          <w:rFonts w:hint="eastAsia" w:ascii="宋体" w:hAnsi="宋体" w:cs="宋体"/>
          <w:color w:val="auto"/>
          <w:sz w:val="28"/>
          <w:szCs w:val="28"/>
          <w:lang w:val="zh-CN" w:eastAsia="zh-CN"/>
        </w:rPr>
      </w:pPr>
      <w:r>
        <w:rPr>
          <w:rFonts w:hint="eastAsia" w:ascii="宋体" w:hAnsi="宋体" w:cs="宋体"/>
          <w:color w:val="auto"/>
          <w:sz w:val="28"/>
          <w:szCs w:val="28"/>
          <w:lang w:val="zh-CN" w:eastAsia="zh-CN"/>
        </w:rPr>
        <w:t>（2</w:t>
      </w:r>
      <w:r>
        <w:rPr>
          <w:rFonts w:hint="eastAsia" w:ascii="宋体" w:hAnsi="宋体" w:cs="宋体"/>
          <w:color w:val="auto"/>
          <w:sz w:val="28"/>
          <w:szCs w:val="28"/>
          <w:lang w:val="en-US" w:eastAsia="zh-CN"/>
        </w:rPr>
        <w:t>3</w:t>
      </w:r>
      <w:r>
        <w:rPr>
          <w:rFonts w:hint="eastAsia" w:ascii="宋体" w:hAnsi="宋体" w:cs="宋体"/>
          <w:color w:val="auto"/>
          <w:sz w:val="28"/>
          <w:szCs w:val="28"/>
          <w:lang w:val="zh-CN" w:eastAsia="zh-CN"/>
        </w:rPr>
        <w:t>）《四川省安全生产条例》（2006年11月30日四川省第十届人大常委会第二十四次会议通过）</w:t>
      </w:r>
    </w:p>
    <w:p>
      <w:pPr>
        <w:spacing w:line="360" w:lineRule="auto"/>
        <w:ind w:firstLine="560" w:firstLineChars="200"/>
        <w:rPr>
          <w:rFonts w:hint="eastAsia" w:ascii="宋体" w:hAnsi="宋体" w:cs="宋体"/>
          <w:color w:val="auto"/>
          <w:sz w:val="28"/>
          <w:szCs w:val="28"/>
          <w:lang w:val="zh-CN" w:eastAsia="zh-CN"/>
        </w:rPr>
      </w:pPr>
      <w:r>
        <w:rPr>
          <w:rFonts w:hint="eastAsia" w:ascii="宋体" w:hAnsi="宋体" w:cs="宋体"/>
          <w:color w:val="auto"/>
          <w:sz w:val="28"/>
          <w:szCs w:val="28"/>
          <w:lang w:val="zh-CN" w:eastAsia="zh-CN"/>
        </w:rPr>
        <w:t>（2</w:t>
      </w:r>
      <w:r>
        <w:rPr>
          <w:rFonts w:hint="eastAsia" w:ascii="宋体" w:hAnsi="宋体" w:cs="宋体"/>
          <w:color w:val="auto"/>
          <w:sz w:val="28"/>
          <w:szCs w:val="28"/>
          <w:lang w:val="en-US" w:eastAsia="zh-CN"/>
        </w:rPr>
        <w:t>4</w:t>
      </w:r>
      <w:r>
        <w:rPr>
          <w:rFonts w:hint="eastAsia" w:ascii="宋体" w:hAnsi="宋体" w:cs="宋体"/>
          <w:color w:val="auto"/>
          <w:sz w:val="28"/>
          <w:szCs w:val="28"/>
          <w:lang w:val="zh-CN" w:eastAsia="zh-CN"/>
        </w:rPr>
        <w:t>）《危险化学品目录》（2015年版）</w:t>
      </w:r>
    </w:p>
    <w:p>
      <w:pPr>
        <w:spacing w:line="360" w:lineRule="auto"/>
        <w:ind w:firstLine="560" w:firstLineChars="200"/>
        <w:rPr>
          <w:rFonts w:hint="eastAsia" w:ascii="宋体" w:hAnsi="宋体" w:cs="宋体"/>
          <w:color w:val="auto"/>
          <w:sz w:val="28"/>
          <w:szCs w:val="28"/>
          <w:lang w:val="zh-CN" w:eastAsia="zh-CN"/>
        </w:rPr>
      </w:pPr>
      <w:r>
        <w:rPr>
          <w:rFonts w:hint="eastAsia" w:ascii="宋体" w:hAnsi="宋体" w:cs="宋体"/>
          <w:color w:val="auto"/>
          <w:sz w:val="28"/>
          <w:szCs w:val="28"/>
          <w:lang w:val="zh-CN" w:eastAsia="zh-CN"/>
        </w:rPr>
        <w:t>（2</w:t>
      </w:r>
      <w:r>
        <w:rPr>
          <w:rFonts w:hint="eastAsia" w:ascii="宋体" w:hAnsi="宋体" w:cs="宋体"/>
          <w:color w:val="auto"/>
          <w:sz w:val="28"/>
          <w:szCs w:val="28"/>
          <w:lang w:val="en-US" w:eastAsia="zh-CN"/>
        </w:rPr>
        <w:t>5</w:t>
      </w:r>
      <w:r>
        <w:rPr>
          <w:rFonts w:hint="eastAsia" w:ascii="宋体" w:hAnsi="宋体" w:cs="宋体"/>
          <w:color w:val="auto"/>
          <w:sz w:val="28"/>
          <w:szCs w:val="28"/>
          <w:lang w:val="zh-CN" w:eastAsia="zh-CN"/>
        </w:rPr>
        <w:t>）《易燃易爆性商品储存养护技术条件》（GB17914-2013）</w:t>
      </w:r>
    </w:p>
    <w:p>
      <w:pPr>
        <w:spacing w:line="360" w:lineRule="auto"/>
        <w:ind w:firstLine="560" w:firstLineChars="200"/>
        <w:rPr>
          <w:rFonts w:hint="eastAsia" w:ascii="宋体" w:hAnsi="宋体" w:cs="宋体"/>
          <w:color w:val="auto"/>
          <w:sz w:val="28"/>
          <w:szCs w:val="28"/>
          <w:lang w:val="zh-CN" w:eastAsia="zh-CN"/>
        </w:rPr>
      </w:pPr>
      <w:r>
        <w:rPr>
          <w:rFonts w:hint="eastAsia" w:ascii="宋体" w:hAnsi="宋体" w:cs="宋体"/>
          <w:color w:val="auto"/>
          <w:sz w:val="28"/>
          <w:szCs w:val="28"/>
          <w:lang w:val="zh-CN" w:eastAsia="zh-CN"/>
        </w:rPr>
        <w:t>（2</w:t>
      </w:r>
      <w:r>
        <w:rPr>
          <w:rFonts w:hint="eastAsia" w:ascii="宋体" w:hAnsi="宋体" w:cs="宋体"/>
          <w:color w:val="auto"/>
          <w:sz w:val="28"/>
          <w:szCs w:val="28"/>
          <w:lang w:val="en-US" w:eastAsia="zh-CN"/>
        </w:rPr>
        <w:t>6</w:t>
      </w:r>
      <w:r>
        <w:rPr>
          <w:rFonts w:hint="eastAsia" w:ascii="宋体" w:hAnsi="宋体" w:cs="宋体"/>
          <w:color w:val="auto"/>
          <w:sz w:val="28"/>
          <w:szCs w:val="28"/>
          <w:lang w:val="zh-CN" w:eastAsia="zh-CN"/>
        </w:rPr>
        <w:t>）《四川省生产安全事故应急预案管理实施细则》（川安监〔2018〕43号）</w:t>
      </w:r>
    </w:p>
    <w:p>
      <w:pPr>
        <w:spacing w:line="360" w:lineRule="auto"/>
        <w:ind w:firstLine="560" w:firstLineChars="200"/>
        <w:rPr>
          <w:rFonts w:hint="eastAsia" w:ascii="宋体" w:hAnsi="宋体" w:cs="宋体"/>
          <w:color w:val="auto"/>
          <w:sz w:val="28"/>
          <w:szCs w:val="28"/>
          <w:lang w:val="zh-CN" w:eastAsia="zh-CN"/>
        </w:rPr>
      </w:pPr>
      <w:r>
        <w:rPr>
          <w:rFonts w:hint="eastAsia" w:ascii="宋体" w:hAnsi="宋体" w:cs="宋体"/>
          <w:color w:val="auto"/>
          <w:sz w:val="28"/>
          <w:szCs w:val="28"/>
          <w:lang w:val="zh-CN" w:eastAsia="zh-CN"/>
        </w:rPr>
        <w:t>（2</w:t>
      </w:r>
      <w:r>
        <w:rPr>
          <w:rFonts w:hint="eastAsia" w:ascii="宋体" w:hAnsi="宋体" w:cs="宋体"/>
          <w:color w:val="auto"/>
          <w:sz w:val="28"/>
          <w:szCs w:val="28"/>
          <w:lang w:val="en-US" w:eastAsia="zh-CN"/>
        </w:rPr>
        <w:t>7</w:t>
      </w:r>
      <w:r>
        <w:rPr>
          <w:rFonts w:hint="eastAsia" w:ascii="宋体" w:hAnsi="宋体" w:cs="宋体"/>
          <w:color w:val="auto"/>
          <w:sz w:val="28"/>
          <w:szCs w:val="28"/>
          <w:lang w:val="zh-CN" w:eastAsia="zh-CN"/>
        </w:rPr>
        <w:t>）《成都市安全生产监督管理局关于规范生产安全事故应急预案评审备案工作的通知》成安监函〔2018〕9号</w:t>
      </w:r>
    </w:p>
    <w:p>
      <w:pPr>
        <w:pStyle w:val="5"/>
        <w:spacing w:before="0" w:after="0" w:line="360" w:lineRule="auto"/>
        <w:rPr>
          <w:rFonts w:hint="eastAsia" w:ascii="宋体" w:hAnsi="宋体" w:eastAsia="宋体" w:cs="宋体"/>
          <w:color w:val="auto"/>
          <w:sz w:val="28"/>
          <w:szCs w:val="28"/>
          <w:lang w:val="en-US" w:eastAsia="zh-CN"/>
        </w:rPr>
      </w:pPr>
      <w:bookmarkStart w:id="20" w:name="_Toc16426"/>
      <w:bookmarkStart w:id="21" w:name="_Toc25561"/>
      <w:bookmarkStart w:id="22" w:name="_Toc14711"/>
      <w:r>
        <w:rPr>
          <w:rFonts w:hint="eastAsia" w:ascii="宋体" w:hAnsi="宋体" w:eastAsia="宋体" w:cs="宋体"/>
          <w:color w:val="auto"/>
          <w:sz w:val="28"/>
          <w:szCs w:val="28"/>
          <w:lang w:val="en-US" w:eastAsia="zh-CN"/>
        </w:rPr>
        <w:t>1.2评估目的</w:t>
      </w:r>
      <w:bookmarkEnd w:id="20"/>
      <w:bookmarkEnd w:id="21"/>
      <w:bookmarkEnd w:id="22"/>
    </w:p>
    <w:p>
      <w:pPr>
        <w:autoSpaceDE w:val="0"/>
        <w:autoSpaceDN w:val="0"/>
        <w:adjustRightInd w:val="0"/>
        <w:spacing w:line="360" w:lineRule="auto"/>
        <w:ind w:firstLine="560" w:firstLineChars="200"/>
        <w:rPr>
          <w:rFonts w:hint="eastAsia" w:hAnsi="宋体"/>
          <w:sz w:val="28"/>
          <w:szCs w:val="28"/>
        </w:rPr>
      </w:pPr>
      <w:r>
        <w:rPr>
          <w:rFonts w:hint="eastAsia" w:hAnsi="宋体"/>
          <w:sz w:val="28"/>
          <w:szCs w:val="28"/>
        </w:rPr>
        <w:t>为规范</w:t>
      </w:r>
      <w:r>
        <w:rPr>
          <w:rFonts w:hint="eastAsia" w:hAnsi="宋体"/>
          <w:sz w:val="28"/>
          <w:szCs w:val="28"/>
          <w:lang w:eastAsia="zh-CN"/>
        </w:rPr>
        <w:t>公司</w:t>
      </w:r>
      <w:r>
        <w:rPr>
          <w:rFonts w:hint="eastAsia" w:hAnsi="宋体"/>
          <w:sz w:val="28"/>
          <w:szCs w:val="28"/>
        </w:rPr>
        <w:t>风险管理工作，识别和分析生产安全作业中的危险有害因素，消除或减少事故危害，确保安全作业，由</w:t>
      </w:r>
      <w:r>
        <w:rPr>
          <w:rFonts w:hint="eastAsia" w:hAnsi="宋体"/>
          <w:sz w:val="28"/>
          <w:szCs w:val="28"/>
          <w:lang w:eastAsia="zh-CN"/>
        </w:rPr>
        <w:t>公司</w:t>
      </w:r>
      <w:r>
        <w:rPr>
          <w:rFonts w:hint="eastAsia" w:hAnsi="宋体"/>
          <w:sz w:val="28"/>
          <w:szCs w:val="28"/>
        </w:rPr>
        <w:t>风险评价小组进行风险评估。</w:t>
      </w:r>
    </w:p>
    <w:p>
      <w:pPr>
        <w:pStyle w:val="5"/>
        <w:spacing w:before="0" w:after="0" w:line="360" w:lineRule="auto"/>
        <w:rPr>
          <w:rFonts w:hint="eastAsia" w:ascii="宋体" w:hAnsi="宋体" w:eastAsia="宋体" w:cs="宋体"/>
          <w:color w:val="auto"/>
          <w:sz w:val="28"/>
          <w:szCs w:val="28"/>
          <w:lang w:val="en-US" w:eastAsia="zh-CN"/>
        </w:rPr>
      </w:pPr>
      <w:bookmarkStart w:id="23" w:name="_Toc12578"/>
      <w:bookmarkStart w:id="24" w:name="_Toc19499"/>
      <w:bookmarkStart w:id="25" w:name="_Toc13403"/>
      <w:r>
        <w:rPr>
          <w:rFonts w:hint="eastAsia" w:ascii="宋体" w:hAnsi="宋体" w:eastAsia="宋体" w:cs="宋体"/>
          <w:color w:val="auto"/>
          <w:sz w:val="28"/>
          <w:szCs w:val="28"/>
          <w:lang w:val="en-US" w:eastAsia="zh-CN"/>
        </w:rPr>
        <w:t>1.3风险评估范围</w:t>
      </w:r>
      <w:bookmarkEnd w:id="23"/>
      <w:bookmarkEnd w:id="24"/>
      <w:bookmarkEnd w:id="25"/>
      <w:r>
        <w:rPr>
          <w:rFonts w:hint="eastAsia" w:ascii="宋体" w:hAnsi="宋体" w:eastAsia="宋体" w:cs="宋体"/>
          <w:color w:val="auto"/>
          <w:sz w:val="28"/>
          <w:szCs w:val="28"/>
          <w:lang w:val="en-US" w:eastAsia="zh-CN"/>
        </w:rPr>
        <w:t xml:space="preserve"> </w:t>
      </w:r>
    </w:p>
    <w:p>
      <w:pPr>
        <w:autoSpaceDE w:val="0"/>
        <w:autoSpaceDN w:val="0"/>
        <w:adjustRightInd w:val="0"/>
        <w:spacing w:line="360" w:lineRule="auto"/>
        <w:ind w:firstLine="560" w:firstLineChars="200"/>
        <w:rPr>
          <w:rFonts w:hint="eastAsia" w:hAnsi="宋体"/>
          <w:sz w:val="28"/>
          <w:szCs w:val="28"/>
        </w:rPr>
      </w:pPr>
      <w:r>
        <w:rPr>
          <w:rFonts w:hint="eastAsia" w:hAnsi="宋体"/>
          <w:sz w:val="28"/>
          <w:szCs w:val="28"/>
        </w:rPr>
        <w:t>评估范围主要围绕生产经营活动开展，主要包括</w:t>
      </w:r>
      <w:r>
        <w:rPr>
          <w:rFonts w:hint="eastAsia" w:hAnsi="宋体"/>
          <w:sz w:val="28"/>
          <w:szCs w:val="28"/>
          <w:lang w:eastAsia="zh-CN"/>
        </w:rPr>
        <w:t>公司</w:t>
      </w:r>
      <w:r>
        <w:rPr>
          <w:rFonts w:hint="eastAsia" w:hAnsi="宋体"/>
          <w:sz w:val="28"/>
          <w:szCs w:val="28"/>
        </w:rPr>
        <w:t>在生产经营过程的生产工艺装置和储存设施以及配套的公用工程系统的风险性识别和分析。</w:t>
      </w:r>
    </w:p>
    <w:p>
      <w:pPr>
        <w:pStyle w:val="5"/>
        <w:spacing w:before="0" w:after="0" w:line="360" w:lineRule="auto"/>
        <w:rPr>
          <w:rFonts w:hint="eastAsia" w:ascii="宋体" w:hAnsi="宋体" w:eastAsia="宋体" w:cs="宋体"/>
          <w:sz w:val="28"/>
          <w:szCs w:val="28"/>
        </w:rPr>
      </w:pPr>
      <w:bookmarkStart w:id="26" w:name="_Toc15923"/>
      <w:bookmarkStart w:id="27" w:name="_Toc23032"/>
      <w:bookmarkStart w:id="28" w:name="_Toc984"/>
      <w:r>
        <w:rPr>
          <w:rFonts w:hint="eastAsia" w:ascii="宋体" w:hAnsi="宋体" w:eastAsia="宋体" w:cs="宋体"/>
          <w:sz w:val="28"/>
          <w:szCs w:val="28"/>
        </w:rPr>
        <w:t>1.4评估程序</w:t>
      </w:r>
      <w:bookmarkEnd w:id="26"/>
      <w:bookmarkEnd w:id="27"/>
      <w:bookmarkEnd w:id="28"/>
      <w:r>
        <w:rPr>
          <w:rFonts w:hint="eastAsia" w:ascii="宋体" w:hAnsi="宋体" w:eastAsia="宋体" w:cs="宋体"/>
          <w:sz w:val="28"/>
          <w:szCs w:val="28"/>
        </w:rPr>
        <w:t xml:space="preserve"> </w:t>
      </w:r>
    </w:p>
    <w:p>
      <w:pPr>
        <w:autoSpaceDE w:val="0"/>
        <w:autoSpaceDN w:val="0"/>
        <w:adjustRightInd w:val="0"/>
        <w:spacing w:line="360" w:lineRule="auto"/>
        <w:ind w:firstLine="560" w:firstLineChars="200"/>
        <w:rPr>
          <w:rFonts w:hint="eastAsia" w:hAnsi="宋体"/>
          <w:sz w:val="28"/>
          <w:szCs w:val="28"/>
        </w:rPr>
      </w:pPr>
      <w:r>
        <w:rPr>
          <w:rFonts w:hint="eastAsia" w:hAnsi="宋体"/>
          <w:sz w:val="28"/>
          <w:szCs w:val="28"/>
        </w:rPr>
        <w:t xml:space="preserve">1、成立风险评估小组 </w:t>
      </w:r>
    </w:p>
    <w:p>
      <w:pPr>
        <w:autoSpaceDE w:val="0"/>
        <w:autoSpaceDN w:val="0"/>
        <w:adjustRightInd w:val="0"/>
        <w:spacing w:line="360" w:lineRule="auto"/>
        <w:ind w:firstLine="560" w:firstLineChars="200"/>
        <w:rPr>
          <w:rFonts w:hint="eastAsia" w:hAnsi="宋体"/>
          <w:sz w:val="28"/>
          <w:szCs w:val="28"/>
        </w:rPr>
      </w:pPr>
      <w:r>
        <w:rPr>
          <w:rFonts w:hint="eastAsia" w:hAnsi="宋体"/>
          <w:sz w:val="28"/>
          <w:szCs w:val="28"/>
        </w:rPr>
        <w:t xml:space="preserve">2、收集分析资料、现场勘察 </w:t>
      </w:r>
    </w:p>
    <w:p>
      <w:pPr>
        <w:autoSpaceDE w:val="0"/>
        <w:autoSpaceDN w:val="0"/>
        <w:adjustRightInd w:val="0"/>
        <w:spacing w:line="360" w:lineRule="auto"/>
        <w:ind w:firstLine="560" w:firstLineChars="200"/>
        <w:rPr>
          <w:rFonts w:hint="eastAsia" w:hAnsi="宋体"/>
          <w:sz w:val="28"/>
          <w:szCs w:val="28"/>
        </w:rPr>
      </w:pPr>
      <w:r>
        <w:rPr>
          <w:rFonts w:hint="eastAsia" w:hAnsi="宋体"/>
          <w:sz w:val="28"/>
          <w:szCs w:val="28"/>
        </w:rPr>
        <w:t xml:space="preserve">3、组织进行风险识别和评估 </w:t>
      </w:r>
    </w:p>
    <w:p>
      <w:pPr>
        <w:autoSpaceDE w:val="0"/>
        <w:autoSpaceDN w:val="0"/>
        <w:adjustRightInd w:val="0"/>
        <w:spacing w:line="360" w:lineRule="auto"/>
        <w:ind w:firstLine="560" w:firstLineChars="200"/>
        <w:rPr>
          <w:rFonts w:hint="eastAsia" w:hAnsi="宋体"/>
          <w:sz w:val="28"/>
          <w:szCs w:val="28"/>
        </w:rPr>
      </w:pPr>
      <w:r>
        <w:rPr>
          <w:rFonts w:hint="eastAsia" w:hAnsi="宋体"/>
          <w:sz w:val="28"/>
          <w:szCs w:val="28"/>
        </w:rPr>
        <w:t>4、评估汇总交</w:t>
      </w:r>
      <w:r>
        <w:rPr>
          <w:rFonts w:hint="eastAsia" w:hAnsi="宋体"/>
          <w:sz w:val="28"/>
          <w:szCs w:val="28"/>
          <w:lang w:eastAsia="zh-CN"/>
        </w:rPr>
        <w:t>公司</w:t>
      </w:r>
      <w:r>
        <w:rPr>
          <w:rFonts w:hint="eastAsia" w:hAnsi="宋体"/>
          <w:sz w:val="28"/>
          <w:szCs w:val="28"/>
        </w:rPr>
        <w:t xml:space="preserve">主要负责人批准 </w:t>
      </w:r>
    </w:p>
    <w:p>
      <w:pPr>
        <w:rPr>
          <w:rFonts w:hint="eastAsia" w:ascii="黑体" w:hAnsi="宋体" w:eastAsia="黑体"/>
          <w:b/>
          <w:color w:val="auto"/>
          <w:sz w:val="32"/>
          <w:szCs w:val="32"/>
          <w:lang w:val="en-US" w:eastAsia="zh-CN"/>
        </w:rPr>
      </w:pPr>
      <w:r>
        <w:rPr>
          <w:rFonts w:hint="eastAsia" w:ascii="黑体" w:hAnsi="宋体" w:eastAsia="黑体"/>
          <w:b/>
          <w:color w:val="auto"/>
          <w:sz w:val="32"/>
          <w:szCs w:val="32"/>
          <w:lang w:val="en-US" w:eastAsia="zh-CN"/>
        </w:rPr>
        <w:br w:type="page"/>
      </w:r>
    </w:p>
    <w:p>
      <w:pPr>
        <w:numPr>
          <w:ilvl w:val="0"/>
          <w:numId w:val="0"/>
        </w:numPr>
        <w:spacing w:line="360" w:lineRule="auto"/>
        <w:jc w:val="center"/>
        <w:outlineLvl w:val="0"/>
        <w:rPr>
          <w:rFonts w:hint="eastAsia" w:ascii="黑体" w:hAnsi="宋体" w:eastAsia="黑体"/>
          <w:b/>
          <w:color w:val="auto"/>
          <w:sz w:val="32"/>
          <w:szCs w:val="32"/>
        </w:rPr>
      </w:pPr>
      <w:bookmarkStart w:id="29" w:name="_Toc11923"/>
      <w:r>
        <w:rPr>
          <w:rFonts w:hint="eastAsia" w:ascii="黑体" w:hAnsi="宋体" w:eastAsia="黑体"/>
          <w:b/>
          <w:color w:val="auto"/>
          <w:sz w:val="32"/>
          <w:szCs w:val="32"/>
          <w:lang w:val="en-US" w:eastAsia="zh-CN"/>
        </w:rPr>
        <w:t>2</w:t>
      </w:r>
      <w:r>
        <w:rPr>
          <w:rFonts w:hint="eastAsia" w:ascii="黑体" w:hAnsi="宋体" w:eastAsia="黑体"/>
          <w:b/>
          <w:color w:val="auto"/>
          <w:sz w:val="32"/>
          <w:szCs w:val="32"/>
        </w:rPr>
        <w:t>公司概况</w:t>
      </w:r>
      <w:bookmarkEnd w:id="0"/>
      <w:bookmarkEnd w:id="29"/>
    </w:p>
    <w:p>
      <w:pPr>
        <w:pStyle w:val="5"/>
        <w:spacing w:before="0" w:after="0" w:line="360" w:lineRule="auto"/>
        <w:rPr>
          <w:rFonts w:hint="eastAsia" w:ascii="宋体" w:hAnsi="宋体" w:eastAsia="宋体" w:cs="宋体"/>
          <w:color w:val="auto"/>
          <w:sz w:val="28"/>
          <w:szCs w:val="28"/>
        </w:rPr>
      </w:pPr>
      <w:bookmarkStart w:id="30" w:name="_Toc176022617"/>
      <w:bookmarkStart w:id="31" w:name="_Toc13200"/>
      <w:bookmarkStart w:id="32" w:name="_Toc332285103"/>
      <w:bookmarkStart w:id="33" w:name="_Toc5569"/>
      <w:bookmarkStart w:id="34" w:name="_Toc514342838"/>
      <w:bookmarkStart w:id="35" w:name="_Toc480804386"/>
      <w:bookmarkStart w:id="36" w:name="_Toc485656588"/>
      <w:r>
        <w:rPr>
          <w:rFonts w:hint="eastAsia" w:ascii="宋体" w:hAnsi="宋体" w:eastAsia="宋体" w:cs="宋体"/>
          <w:color w:val="auto"/>
          <w:sz w:val="28"/>
          <w:szCs w:val="28"/>
        </w:rPr>
        <w:t>2.1 公司概况</w:t>
      </w:r>
      <w:bookmarkEnd w:id="30"/>
      <w:bookmarkEnd w:id="31"/>
      <w:bookmarkEnd w:id="32"/>
      <w:bookmarkEnd w:id="33"/>
    </w:p>
    <w:tbl>
      <w:tblPr>
        <w:tblStyle w:val="20"/>
        <w:tblW w:w="928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76"/>
        <w:gridCol w:w="1907"/>
        <w:gridCol w:w="2009"/>
        <w:gridCol w:w="30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276" w:type="dxa"/>
            <w:noWrap w:val="0"/>
            <w:vAlign w:val="top"/>
          </w:tcPr>
          <w:p>
            <w:pPr>
              <w:pStyle w:val="1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Times New Roman" w:cs="宋体"/>
                <w:color w:val="auto"/>
                <w:kern w:val="2"/>
                <w:sz w:val="28"/>
                <w:szCs w:val="28"/>
                <w:lang w:val="zh-CN" w:eastAsia="zh-CN" w:bidi="ar-SA"/>
              </w:rPr>
            </w:pPr>
            <w:r>
              <w:rPr>
                <w:rFonts w:hint="eastAsia" w:ascii="宋体" w:hAnsi="宋体" w:eastAsia="Times New Roman" w:cs="宋体"/>
                <w:color w:val="auto"/>
                <w:kern w:val="2"/>
                <w:sz w:val="28"/>
                <w:szCs w:val="28"/>
                <w:lang w:val="zh-CN" w:eastAsia="zh-CN" w:bidi="ar-SA"/>
              </w:rPr>
              <w:t>单位</w:t>
            </w:r>
            <w:r>
              <w:rPr>
                <w:rFonts w:hint="eastAsia" w:hAnsi="宋体" w:eastAsia="Times New Roman" w:cs="宋体"/>
                <w:color w:val="auto"/>
                <w:kern w:val="2"/>
                <w:sz w:val="28"/>
                <w:szCs w:val="28"/>
                <w:lang w:val="zh-CN" w:eastAsia="zh-CN" w:bidi="ar-SA"/>
              </w:rPr>
              <w:t>名称</w:t>
            </w:r>
          </w:p>
        </w:tc>
        <w:tc>
          <w:tcPr>
            <w:tcW w:w="7012" w:type="dxa"/>
            <w:gridSpan w:val="3"/>
            <w:noWrap w:val="0"/>
            <w:vAlign w:val="top"/>
          </w:tcPr>
          <w:p>
            <w:pPr>
              <w:pStyle w:val="1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Times New Roman" w:cs="宋体"/>
                <w:color w:val="auto"/>
                <w:kern w:val="2"/>
                <w:sz w:val="28"/>
                <w:szCs w:val="28"/>
                <w:lang w:val="zh-CN" w:eastAsia="zh-CN" w:bidi="ar-SA"/>
              </w:rPr>
            </w:pPr>
            <w:r>
              <w:rPr>
                <w:rFonts w:hint="eastAsia" w:hAnsi="宋体" w:eastAsia="Times New Roman" w:cs="宋体"/>
                <w:color w:val="auto"/>
                <w:kern w:val="2"/>
                <w:sz w:val="28"/>
                <w:szCs w:val="28"/>
                <w:lang w:val="zh-CN" w:eastAsia="zh-CN" w:bidi="ar-SA"/>
              </w:rPr>
              <w:t>仪陇县复兴镇佳呈页岩砖厂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276" w:type="dxa"/>
            <w:noWrap w:val="0"/>
            <w:vAlign w:val="top"/>
          </w:tcPr>
          <w:p>
            <w:pPr>
              <w:pStyle w:val="1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Times New Roman" w:cs="宋体"/>
                <w:color w:val="auto"/>
                <w:kern w:val="2"/>
                <w:sz w:val="28"/>
                <w:szCs w:val="28"/>
                <w:lang w:val="zh-CN" w:eastAsia="zh-CN" w:bidi="ar-SA"/>
              </w:rPr>
            </w:pPr>
            <w:r>
              <w:rPr>
                <w:rFonts w:hint="eastAsia" w:ascii="宋体" w:hAnsi="宋体" w:eastAsia="Times New Roman" w:cs="宋体"/>
                <w:color w:val="auto"/>
                <w:kern w:val="2"/>
                <w:sz w:val="28"/>
                <w:szCs w:val="28"/>
                <w:lang w:val="zh-CN" w:eastAsia="zh-CN" w:bidi="ar-SA"/>
              </w:rPr>
              <w:t>法人代表</w:t>
            </w:r>
          </w:p>
        </w:tc>
        <w:tc>
          <w:tcPr>
            <w:tcW w:w="1907" w:type="dxa"/>
            <w:noWrap w:val="0"/>
            <w:vAlign w:val="top"/>
          </w:tcPr>
          <w:p>
            <w:pPr>
              <w:pStyle w:val="1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Times New Roman" w:cs="宋体"/>
                <w:color w:val="auto"/>
                <w:kern w:val="2"/>
                <w:sz w:val="28"/>
                <w:szCs w:val="28"/>
                <w:lang w:val="zh-CN" w:eastAsia="zh-CN" w:bidi="ar-SA"/>
              </w:rPr>
            </w:pPr>
            <w:r>
              <w:rPr>
                <w:rFonts w:hint="eastAsia" w:hAnsi="宋体" w:eastAsia="Times New Roman" w:cs="宋体"/>
                <w:color w:val="auto"/>
                <w:kern w:val="2"/>
                <w:sz w:val="28"/>
                <w:szCs w:val="28"/>
                <w:lang w:val="zh-CN" w:eastAsia="zh-CN" w:bidi="ar-SA"/>
              </w:rPr>
              <w:t>陈洪敏</w:t>
            </w:r>
          </w:p>
        </w:tc>
        <w:tc>
          <w:tcPr>
            <w:tcW w:w="2009" w:type="dxa"/>
            <w:noWrap w:val="0"/>
            <w:vAlign w:val="center"/>
          </w:tcPr>
          <w:p>
            <w:pPr>
              <w:pStyle w:val="1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Times New Roman" w:cs="宋体"/>
                <w:color w:val="auto"/>
                <w:kern w:val="2"/>
                <w:sz w:val="28"/>
                <w:szCs w:val="28"/>
                <w:lang w:val="zh-CN" w:eastAsia="zh-CN" w:bidi="ar-SA"/>
              </w:rPr>
            </w:pPr>
            <w:r>
              <w:rPr>
                <w:rFonts w:hint="eastAsia" w:ascii="宋体" w:hAnsi="宋体" w:eastAsia="Times New Roman" w:cs="宋体"/>
                <w:color w:val="auto"/>
                <w:kern w:val="2"/>
                <w:sz w:val="28"/>
                <w:szCs w:val="28"/>
                <w:lang w:val="zh-CN" w:eastAsia="zh-CN" w:bidi="ar-SA"/>
              </w:rPr>
              <w:t>联系电话</w:t>
            </w:r>
          </w:p>
        </w:tc>
        <w:tc>
          <w:tcPr>
            <w:tcW w:w="3096" w:type="dxa"/>
            <w:noWrap w:val="0"/>
            <w:vAlign w:val="center"/>
          </w:tcPr>
          <w:p>
            <w:pPr>
              <w:pStyle w:val="1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hAnsi="宋体" w:eastAsia="Times New Roman" w:cs="宋体"/>
                <w:color w:val="auto"/>
                <w:kern w:val="2"/>
                <w:sz w:val="28"/>
                <w:szCs w:val="28"/>
                <w:lang w:val="zh-CN" w:eastAsia="zh-CN" w:bidi="ar-SA"/>
              </w:rPr>
            </w:pPr>
            <w:r>
              <w:rPr>
                <w:rFonts w:hint="eastAsia" w:hAnsi="宋体" w:eastAsia="Times New Roman" w:cs="宋体"/>
                <w:color w:val="auto"/>
                <w:kern w:val="2"/>
                <w:sz w:val="28"/>
                <w:szCs w:val="28"/>
                <w:lang w:val="en-US" w:eastAsia="zh-CN" w:bidi="ar-SA"/>
              </w:rPr>
              <w:t xml:space="preserve">13281903898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276" w:type="dxa"/>
            <w:noWrap w:val="0"/>
            <w:vAlign w:val="top"/>
          </w:tcPr>
          <w:p>
            <w:pPr>
              <w:pStyle w:val="1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Times New Roman" w:cs="宋体"/>
                <w:color w:val="auto"/>
                <w:kern w:val="2"/>
                <w:sz w:val="28"/>
                <w:szCs w:val="28"/>
                <w:lang w:val="zh-CN" w:eastAsia="zh-CN" w:bidi="ar-SA"/>
              </w:rPr>
            </w:pPr>
            <w:r>
              <w:rPr>
                <w:rFonts w:hint="eastAsia" w:hAnsi="宋体" w:eastAsia="Times New Roman" w:cs="宋体"/>
                <w:color w:val="auto"/>
                <w:kern w:val="2"/>
                <w:sz w:val="28"/>
                <w:szCs w:val="28"/>
                <w:lang w:val="zh-CN" w:eastAsia="zh-CN" w:bidi="ar-SA"/>
              </w:rPr>
              <w:t>联系人</w:t>
            </w:r>
          </w:p>
        </w:tc>
        <w:tc>
          <w:tcPr>
            <w:tcW w:w="1907" w:type="dxa"/>
            <w:noWrap w:val="0"/>
            <w:vAlign w:val="top"/>
          </w:tcPr>
          <w:p>
            <w:pPr>
              <w:pStyle w:val="1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Times New Roman" w:cs="宋体"/>
                <w:color w:val="auto"/>
                <w:kern w:val="2"/>
                <w:sz w:val="28"/>
                <w:szCs w:val="28"/>
                <w:lang w:val="zh-CN" w:eastAsia="zh-CN" w:bidi="ar-SA"/>
              </w:rPr>
            </w:pPr>
            <w:r>
              <w:rPr>
                <w:rFonts w:hint="eastAsia" w:hAnsi="宋体" w:eastAsia="Times New Roman" w:cs="宋体"/>
                <w:color w:val="auto"/>
                <w:kern w:val="2"/>
                <w:sz w:val="28"/>
                <w:szCs w:val="28"/>
                <w:lang w:val="zh-CN" w:eastAsia="zh-CN" w:bidi="ar-SA"/>
              </w:rPr>
              <w:t>陈洪敏</w:t>
            </w:r>
          </w:p>
        </w:tc>
        <w:tc>
          <w:tcPr>
            <w:tcW w:w="2009" w:type="dxa"/>
            <w:noWrap w:val="0"/>
            <w:vAlign w:val="center"/>
          </w:tcPr>
          <w:p>
            <w:pPr>
              <w:pStyle w:val="1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Times New Roman" w:cs="宋体"/>
                <w:color w:val="auto"/>
                <w:kern w:val="2"/>
                <w:sz w:val="28"/>
                <w:szCs w:val="28"/>
                <w:lang w:val="zh-CN" w:eastAsia="zh-CN" w:bidi="ar-SA"/>
              </w:rPr>
            </w:pPr>
            <w:r>
              <w:rPr>
                <w:rFonts w:hint="eastAsia" w:ascii="宋体" w:hAnsi="宋体" w:eastAsia="Times New Roman" w:cs="宋体"/>
                <w:color w:val="auto"/>
                <w:kern w:val="2"/>
                <w:sz w:val="28"/>
                <w:szCs w:val="28"/>
                <w:lang w:val="zh-CN" w:eastAsia="zh-CN" w:bidi="ar-SA"/>
              </w:rPr>
              <w:t>成立时间</w:t>
            </w:r>
          </w:p>
        </w:tc>
        <w:tc>
          <w:tcPr>
            <w:tcW w:w="3096" w:type="dxa"/>
            <w:noWrap w:val="0"/>
            <w:vAlign w:val="center"/>
          </w:tcPr>
          <w:p>
            <w:pPr>
              <w:pStyle w:val="1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hAnsi="宋体" w:eastAsia="Times New Roman" w:cs="宋体"/>
                <w:color w:val="auto"/>
                <w:kern w:val="2"/>
                <w:sz w:val="28"/>
                <w:szCs w:val="28"/>
                <w:lang w:val="en-US" w:eastAsia="zh-CN" w:bidi="ar-SA"/>
              </w:rPr>
            </w:pPr>
            <w:r>
              <w:rPr>
                <w:rFonts w:hint="eastAsia" w:hAnsi="宋体" w:eastAsia="Times New Roman" w:cs="宋体"/>
                <w:color w:val="auto"/>
                <w:kern w:val="2"/>
                <w:sz w:val="28"/>
                <w:szCs w:val="28"/>
                <w:lang w:val="zh-CN" w:eastAsia="zh-CN" w:bidi="ar-SA"/>
              </w:rPr>
              <w:t>20</w:t>
            </w:r>
            <w:r>
              <w:rPr>
                <w:rFonts w:hint="eastAsia" w:hAnsi="宋体" w:eastAsia="Times New Roman" w:cs="宋体"/>
                <w:color w:val="auto"/>
                <w:kern w:val="2"/>
                <w:sz w:val="28"/>
                <w:szCs w:val="28"/>
                <w:lang w:val="en-US" w:eastAsia="zh-CN" w:bidi="ar-SA"/>
              </w:rPr>
              <w:t>18</w:t>
            </w:r>
            <w:r>
              <w:rPr>
                <w:rFonts w:hint="eastAsia" w:hAnsi="宋体" w:eastAsia="Times New Roman" w:cs="宋体"/>
                <w:color w:val="auto"/>
                <w:kern w:val="2"/>
                <w:sz w:val="28"/>
                <w:szCs w:val="28"/>
                <w:lang w:val="zh-CN" w:eastAsia="zh-CN" w:bidi="ar-SA"/>
              </w:rPr>
              <w:t>年</w:t>
            </w:r>
            <w:r>
              <w:rPr>
                <w:rFonts w:hint="eastAsia" w:hAnsi="宋体" w:eastAsia="Times New Roman" w:cs="宋体"/>
                <w:color w:val="auto"/>
                <w:kern w:val="2"/>
                <w:sz w:val="28"/>
                <w:szCs w:val="28"/>
                <w:lang w:val="en-US" w:eastAsia="zh-CN" w:bidi="ar-SA"/>
              </w:rPr>
              <w:t>09</w:t>
            </w:r>
            <w:r>
              <w:rPr>
                <w:rFonts w:hint="eastAsia" w:hAnsi="宋体" w:eastAsia="Times New Roman" w:cs="宋体"/>
                <w:color w:val="auto"/>
                <w:kern w:val="2"/>
                <w:sz w:val="28"/>
                <w:szCs w:val="28"/>
                <w:lang w:val="zh-CN" w:eastAsia="zh-CN" w:bidi="ar-SA"/>
              </w:rPr>
              <w:t>月</w:t>
            </w:r>
            <w:r>
              <w:rPr>
                <w:rFonts w:hint="eastAsia" w:hAnsi="宋体" w:eastAsia="Times New Roman" w:cs="宋体"/>
                <w:color w:val="auto"/>
                <w:kern w:val="2"/>
                <w:sz w:val="28"/>
                <w:szCs w:val="28"/>
                <w:lang w:val="en-US" w:eastAsia="zh-CN" w:bidi="ar-SA"/>
              </w:rPr>
              <w:t>20日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276" w:type="dxa"/>
            <w:noWrap w:val="0"/>
            <w:vAlign w:val="center"/>
          </w:tcPr>
          <w:p>
            <w:pPr>
              <w:pStyle w:val="1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Times New Roman" w:cs="宋体"/>
                <w:color w:val="auto"/>
                <w:kern w:val="2"/>
                <w:sz w:val="28"/>
                <w:szCs w:val="28"/>
                <w:lang w:val="zh-CN" w:eastAsia="zh-CN" w:bidi="ar-SA"/>
              </w:rPr>
            </w:pPr>
            <w:r>
              <w:rPr>
                <w:rFonts w:hint="eastAsia" w:ascii="宋体" w:hAnsi="宋体" w:eastAsia="Times New Roman" w:cs="宋体"/>
                <w:color w:val="auto"/>
                <w:kern w:val="2"/>
                <w:sz w:val="28"/>
                <w:szCs w:val="28"/>
                <w:lang w:val="zh-CN" w:eastAsia="zh-CN" w:bidi="ar-SA"/>
              </w:rPr>
              <w:t>企业性质</w:t>
            </w:r>
          </w:p>
        </w:tc>
        <w:tc>
          <w:tcPr>
            <w:tcW w:w="1907" w:type="dxa"/>
            <w:noWrap w:val="0"/>
            <w:vAlign w:val="center"/>
          </w:tcPr>
          <w:p>
            <w:pPr>
              <w:pStyle w:val="1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Times New Roman" w:cs="宋体"/>
                <w:color w:val="auto"/>
                <w:kern w:val="2"/>
                <w:sz w:val="28"/>
                <w:szCs w:val="28"/>
                <w:lang w:val="en-US" w:eastAsia="zh-CN" w:bidi="ar-SA"/>
              </w:rPr>
            </w:pPr>
            <w:r>
              <w:rPr>
                <w:rFonts w:hint="eastAsia" w:hAnsi="宋体" w:eastAsia="Times New Roman" w:cs="宋体"/>
                <w:color w:val="auto"/>
                <w:kern w:val="2"/>
                <w:sz w:val="28"/>
                <w:szCs w:val="28"/>
                <w:lang w:val="en-US" w:eastAsia="zh-CN" w:bidi="ar-SA"/>
              </w:rPr>
              <w:t>个体工商户</w:t>
            </w:r>
          </w:p>
        </w:tc>
        <w:tc>
          <w:tcPr>
            <w:tcW w:w="2009" w:type="dxa"/>
            <w:noWrap w:val="0"/>
            <w:vAlign w:val="top"/>
          </w:tcPr>
          <w:p>
            <w:pPr>
              <w:pStyle w:val="1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Times New Roman" w:cs="宋体"/>
                <w:color w:val="auto"/>
                <w:kern w:val="2"/>
                <w:sz w:val="28"/>
                <w:szCs w:val="28"/>
                <w:lang w:val="zh-CN" w:eastAsia="zh-CN" w:bidi="ar-SA"/>
              </w:rPr>
            </w:pPr>
            <w:r>
              <w:rPr>
                <w:rFonts w:hint="eastAsia" w:ascii="宋体" w:hAnsi="宋体" w:eastAsia="Times New Roman" w:cs="宋体"/>
                <w:color w:val="auto"/>
                <w:kern w:val="2"/>
                <w:sz w:val="28"/>
                <w:szCs w:val="28"/>
                <w:lang w:val="en-US" w:eastAsia="zh-CN" w:bidi="ar-SA"/>
              </w:rPr>
              <w:t>注册号</w:t>
            </w:r>
          </w:p>
        </w:tc>
        <w:tc>
          <w:tcPr>
            <w:tcW w:w="3096" w:type="dxa"/>
            <w:noWrap w:val="0"/>
            <w:vAlign w:val="top"/>
          </w:tcPr>
          <w:p>
            <w:pPr>
              <w:pStyle w:val="1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宋体" w:hAnsi="宋体" w:eastAsia="Times New Roman" w:cs="宋体"/>
                <w:color w:val="auto"/>
                <w:kern w:val="2"/>
                <w:sz w:val="28"/>
                <w:szCs w:val="28"/>
                <w:lang w:val="en-US" w:eastAsia="zh-CN" w:bidi="ar-SA"/>
              </w:rPr>
            </w:pPr>
            <w:r>
              <w:rPr>
                <w:rFonts w:hint="eastAsia" w:hAnsi="宋体" w:eastAsia="Times New Roman" w:cs="宋体"/>
                <w:color w:val="auto"/>
                <w:kern w:val="2"/>
                <w:sz w:val="28"/>
                <w:szCs w:val="28"/>
                <w:lang w:val="en-US" w:eastAsia="zh-CN" w:bidi="ar-SA"/>
              </w:rPr>
              <w:t>91</w:t>
            </w:r>
            <w:r>
              <w:rPr>
                <w:rFonts w:hint="eastAsia" w:ascii="宋体" w:hAnsi="宋体" w:eastAsia="Times New Roman" w:cs="宋体"/>
                <w:color w:val="auto"/>
                <w:kern w:val="2"/>
                <w:sz w:val="28"/>
                <w:szCs w:val="28"/>
                <w:lang w:val="en-US" w:eastAsia="zh-CN" w:bidi="ar-SA"/>
              </w:rPr>
              <w:t>511324</w:t>
            </w:r>
            <w:r>
              <w:rPr>
                <w:rFonts w:hint="eastAsia" w:hAnsi="宋体" w:eastAsia="Times New Roman" w:cs="宋体"/>
                <w:color w:val="auto"/>
                <w:kern w:val="2"/>
                <w:sz w:val="28"/>
                <w:szCs w:val="28"/>
                <w:lang w:val="en-US" w:eastAsia="zh-CN" w:bidi="ar-SA"/>
              </w:rPr>
              <w:t>MA66MENG9N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276" w:type="dxa"/>
            <w:noWrap w:val="0"/>
            <w:vAlign w:val="top"/>
          </w:tcPr>
          <w:p>
            <w:pPr>
              <w:pStyle w:val="1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Times New Roman" w:cs="宋体"/>
                <w:color w:val="auto"/>
                <w:kern w:val="2"/>
                <w:sz w:val="28"/>
                <w:szCs w:val="28"/>
                <w:lang w:val="zh-CN" w:eastAsia="zh-CN" w:bidi="ar-SA"/>
              </w:rPr>
            </w:pPr>
            <w:r>
              <w:rPr>
                <w:rFonts w:hint="eastAsia" w:ascii="宋体" w:hAnsi="宋体" w:eastAsia="Times New Roman" w:cs="宋体"/>
                <w:color w:val="auto"/>
                <w:kern w:val="2"/>
                <w:sz w:val="28"/>
                <w:szCs w:val="28"/>
                <w:lang w:val="zh-CN" w:eastAsia="zh-CN" w:bidi="ar-SA"/>
              </w:rPr>
              <w:t>通讯地址</w:t>
            </w:r>
          </w:p>
        </w:tc>
        <w:tc>
          <w:tcPr>
            <w:tcW w:w="7012" w:type="dxa"/>
            <w:gridSpan w:val="3"/>
            <w:noWrap w:val="0"/>
            <w:vAlign w:val="top"/>
          </w:tcPr>
          <w:p>
            <w:pPr>
              <w:pStyle w:val="1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宋体" w:hAnsi="宋体" w:eastAsia="宋体" w:cs="宋体"/>
                <w:color w:val="auto"/>
                <w:kern w:val="2"/>
                <w:sz w:val="28"/>
                <w:szCs w:val="28"/>
                <w:lang w:val="en-US" w:eastAsia="zh-CN" w:bidi="ar-SA"/>
              </w:rPr>
            </w:pPr>
            <w:r>
              <w:rPr>
                <w:rFonts w:hint="eastAsia" w:hAnsi="宋体" w:eastAsia="Times New Roman" w:cs="宋体"/>
                <w:color w:val="auto"/>
                <w:kern w:val="2"/>
                <w:sz w:val="28"/>
                <w:szCs w:val="28"/>
                <w:lang w:val="zh-CN" w:eastAsia="zh-CN" w:bidi="ar-SA"/>
              </w:rPr>
              <w:t>仪陇复兴镇和平村四杜、强光村三社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276" w:type="dxa"/>
            <w:noWrap w:val="0"/>
            <w:vAlign w:val="top"/>
          </w:tcPr>
          <w:p>
            <w:pPr>
              <w:pStyle w:val="1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Times New Roman" w:cs="宋体"/>
                <w:color w:val="auto"/>
                <w:kern w:val="2"/>
                <w:sz w:val="28"/>
                <w:szCs w:val="28"/>
                <w:lang w:val="zh-CN" w:eastAsia="zh-CN" w:bidi="ar-SA"/>
              </w:rPr>
            </w:pPr>
            <w:r>
              <w:rPr>
                <w:rFonts w:hint="eastAsia" w:ascii="宋体" w:hAnsi="宋体" w:eastAsia="Times New Roman" w:cs="宋体"/>
                <w:color w:val="auto"/>
                <w:kern w:val="2"/>
                <w:sz w:val="28"/>
                <w:szCs w:val="28"/>
                <w:lang w:val="zh-CN" w:eastAsia="zh-CN" w:bidi="ar-SA"/>
              </w:rPr>
              <w:t>行业类别及代码</w:t>
            </w:r>
          </w:p>
        </w:tc>
        <w:tc>
          <w:tcPr>
            <w:tcW w:w="7012" w:type="dxa"/>
            <w:gridSpan w:val="3"/>
            <w:noWrap w:val="0"/>
            <w:vAlign w:val="top"/>
          </w:tcPr>
          <w:p>
            <w:pPr>
              <w:pStyle w:val="1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Times New Roman" w:cs="宋体"/>
                <w:color w:val="auto"/>
                <w:kern w:val="2"/>
                <w:sz w:val="28"/>
                <w:szCs w:val="28"/>
                <w:lang w:val="en-US" w:eastAsia="zh-CN" w:bidi="ar-SA"/>
              </w:rPr>
            </w:pPr>
            <w:r>
              <w:rPr>
                <w:rFonts w:hint="eastAsia" w:hAnsi="宋体" w:eastAsia="Times New Roman" w:cs="宋体"/>
                <w:color w:val="auto"/>
                <w:kern w:val="2"/>
                <w:sz w:val="28"/>
                <w:szCs w:val="28"/>
                <w:lang w:val="en-US" w:eastAsia="zh-CN" w:bidi="ar-SA"/>
              </w:rPr>
              <w:t>粘土砖瓦及建筑砌块</w:t>
            </w:r>
            <w:r>
              <w:rPr>
                <w:rFonts w:hint="eastAsia" w:ascii="宋体" w:hAnsi="宋体" w:eastAsia="Times New Roman" w:cs="宋体"/>
                <w:color w:val="auto"/>
                <w:kern w:val="2"/>
                <w:sz w:val="28"/>
                <w:szCs w:val="28"/>
                <w:lang w:val="en-US" w:eastAsia="zh-CN" w:bidi="ar-SA"/>
              </w:rPr>
              <w:t>制造</w:t>
            </w:r>
            <w:r>
              <w:rPr>
                <w:rFonts w:hint="eastAsia" w:hAnsi="宋体" w:eastAsia="Times New Roman" w:cs="宋体"/>
                <w:color w:val="auto"/>
                <w:kern w:val="2"/>
                <w:sz w:val="28"/>
                <w:szCs w:val="28"/>
                <w:lang w:val="en-US" w:eastAsia="zh-CN" w:bidi="ar-SA"/>
              </w:rPr>
              <w:t>（</w:t>
            </w:r>
            <w:r>
              <w:rPr>
                <w:rFonts w:hint="eastAsia" w:ascii="宋体" w:hAnsi="宋体" w:eastAsia="Times New Roman" w:cs="宋体"/>
                <w:color w:val="auto"/>
                <w:kern w:val="2"/>
                <w:sz w:val="28"/>
                <w:szCs w:val="28"/>
                <w:lang w:val="en-US" w:eastAsia="zh-CN" w:bidi="ar-SA"/>
              </w:rPr>
              <w:t>C3</w:t>
            </w:r>
            <w:r>
              <w:rPr>
                <w:rFonts w:hint="eastAsia" w:hAnsi="宋体" w:eastAsia="Times New Roman" w:cs="宋体"/>
                <w:color w:val="auto"/>
                <w:kern w:val="2"/>
                <w:sz w:val="28"/>
                <w:szCs w:val="28"/>
                <w:lang w:val="en-US" w:eastAsia="zh-CN" w:bidi="ar-SA"/>
              </w:rPr>
              <w:t>0</w:t>
            </w:r>
            <w:r>
              <w:rPr>
                <w:rFonts w:hint="eastAsia" w:ascii="宋体" w:hAnsi="宋体" w:eastAsia="Times New Roman" w:cs="宋体"/>
                <w:color w:val="auto"/>
                <w:kern w:val="2"/>
                <w:sz w:val="28"/>
                <w:szCs w:val="28"/>
                <w:lang w:val="en-US" w:eastAsia="zh-CN" w:bidi="ar-SA"/>
              </w:rPr>
              <w:t>31</w:t>
            </w:r>
            <w:r>
              <w:rPr>
                <w:rFonts w:hint="eastAsia" w:hAnsi="宋体" w:eastAsia="Times New Roman" w:cs="宋体"/>
                <w:color w:val="auto"/>
                <w:kern w:val="2"/>
                <w:sz w:val="28"/>
                <w:szCs w:val="28"/>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276" w:type="dxa"/>
            <w:noWrap w:val="0"/>
            <w:vAlign w:val="top"/>
          </w:tcPr>
          <w:p>
            <w:pPr>
              <w:pStyle w:val="1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Times New Roman" w:cs="宋体"/>
                <w:color w:val="auto"/>
                <w:kern w:val="2"/>
                <w:sz w:val="28"/>
                <w:szCs w:val="28"/>
                <w:lang w:val="zh-CN" w:eastAsia="zh-CN" w:bidi="ar-SA"/>
              </w:rPr>
            </w:pPr>
            <w:r>
              <w:rPr>
                <w:rFonts w:hint="eastAsia" w:ascii="宋体" w:hAnsi="宋体" w:eastAsia="Times New Roman" w:cs="宋体"/>
                <w:color w:val="auto"/>
                <w:kern w:val="2"/>
                <w:sz w:val="28"/>
                <w:szCs w:val="28"/>
                <w:lang w:val="zh-CN" w:eastAsia="zh-CN" w:bidi="ar-SA"/>
              </w:rPr>
              <w:t>企业规模</w:t>
            </w:r>
          </w:p>
        </w:tc>
        <w:tc>
          <w:tcPr>
            <w:tcW w:w="7012" w:type="dxa"/>
            <w:gridSpan w:val="3"/>
            <w:noWrap w:val="0"/>
            <w:vAlign w:val="top"/>
          </w:tcPr>
          <w:p>
            <w:pPr>
              <w:pStyle w:val="1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ascii="宋体" w:hAnsi="宋体" w:eastAsia="宋体" w:cs="宋体"/>
                <w:color w:val="auto"/>
                <w:kern w:val="2"/>
                <w:sz w:val="28"/>
                <w:szCs w:val="28"/>
                <w:lang w:val="en-US" w:eastAsia="zh-CN" w:bidi="ar-SA"/>
              </w:rPr>
            </w:pPr>
            <w:r>
              <w:rPr>
                <w:rFonts w:hint="eastAsia" w:ascii="宋体" w:hAnsi="宋体" w:eastAsia="Times New Roman" w:cs="宋体"/>
                <w:color w:val="FF0000"/>
                <w:kern w:val="2"/>
                <w:sz w:val="28"/>
                <w:szCs w:val="28"/>
                <w:lang w:val="zh-CN" w:eastAsia="zh-CN" w:bidi="ar-SA"/>
              </w:rPr>
              <w:t>年产</w:t>
            </w:r>
            <w:r>
              <w:rPr>
                <w:rFonts w:hint="eastAsia"/>
                <w:snapToGrid w:val="0"/>
                <w:color w:val="FF0000"/>
                <w:kern w:val="0"/>
                <w:sz w:val="28"/>
                <w:szCs w:val="28"/>
                <w:lang w:val="en-US" w:eastAsia="zh-CN"/>
              </w:rPr>
              <w:t>5000万匹标</w:t>
            </w:r>
            <w:r>
              <w:rPr>
                <w:rFonts w:hint="eastAsia" w:ascii="宋体"/>
                <w:snapToGrid w:val="0"/>
                <w:color w:val="FF0000"/>
                <w:kern w:val="0"/>
                <w:sz w:val="28"/>
                <w:szCs w:val="28"/>
              </w:rPr>
              <w:t>砖</w:t>
            </w:r>
            <w:r>
              <w:rPr>
                <w:rFonts w:hint="eastAsia"/>
                <w:snapToGrid w:val="0"/>
                <w:color w:val="FF0000"/>
                <w:kern w:val="0"/>
                <w:sz w:val="28"/>
                <w:szCs w:val="28"/>
                <w:lang w:eastAsia="zh-CN"/>
              </w:rPr>
              <w:t>。</w:t>
            </w:r>
          </w:p>
        </w:tc>
      </w:tr>
    </w:tbl>
    <w:p>
      <w:pPr>
        <w:rPr>
          <w:rFonts w:hint="eastAsia"/>
        </w:rPr>
      </w:pPr>
    </w:p>
    <w:p>
      <w:pPr>
        <w:pStyle w:val="12"/>
        <w:spacing w:line="240" w:lineRule="auto"/>
        <w:ind w:firstLine="482" w:firstLineChars="200"/>
        <w:jc w:val="center"/>
        <w:rPr>
          <w:rFonts w:hint="eastAsia" w:ascii="黑体" w:hAnsi="Courier New" w:eastAsia="黑体"/>
          <w:b/>
          <w:color w:val="auto"/>
          <w:sz w:val="24"/>
        </w:rPr>
      </w:pPr>
      <w:bookmarkStart w:id="37" w:name="_Toc332285104"/>
      <w:r>
        <w:rPr>
          <w:rFonts w:hint="eastAsia" w:ascii="黑体" w:hAnsi="Courier New" w:eastAsia="黑体"/>
          <w:b/>
          <w:color w:val="auto"/>
          <w:sz w:val="24"/>
        </w:rPr>
        <w:t>表2-1 单位基本情况一览表</w:t>
      </w:r>
    </w:p>
    <w:p>
      <w:pPr>
        <w:spacing w:line="360" w:lineRule="auto"/>
        <w:ind w:firstLine="560" w:firstLineChars="200"/>
        <w:rPr>
          <w:rFonts w:hint="eastAsia" w:ascii="宋体" w:hAnsi="宋体" w:cs="宋体"/>
          <w:color w:val="auto"/>
          <w:sz w:val="28"/>
          <w:szCs w:val="28"/>
          <w:lang w:val="en-US" w:eastAsia="zh-CN"/>
        </w:rPr>
      </w:pPr>
      <w:r>
        <w:rPr>
          <w:rFonts w:hint="eastAsia" w:ascii="宋体" w:hAnsi="宋体" w:cs="宋体"/>
          <w:color w:val="auto"/>
          <w:sz w:val="28"/>
          <w:szCs w:val="28"/>
          <w:lang w:val="en-US" w:eastAsia="zh-CN"/>
        </w:rPr>
        <w:t>仪陇县复兴镇佳呈页岩砖厂</w:t>
      </w:r>
      <w:r>
        <w:rPr>
          <w:rFonts w:hint="eastAsia" w:ascii="宋体" w:hAnsi="宋体" w:cs="宋体"/>
          <w:color w:val="auto"/>
          <w:sz w:val="28"/>
          <w:szCs w:val="28"/>
          <w:lang w:val="zh-CN" w:eastAsia="zh-CN"/>
        </w:rPr>
        <w:t>于</w:t>
      </w:r>
      <w:r>
        <w:rPr>
          <w:rFonts w:hint="eastAsia" w:ascii="宋体" w:hAnsi="宋体" w:cs="宋体"/>
          <w:color w:val="auto"/>
          <w:sz w:val="28"/>
          <w:szCs w:val="28"/>
          <w:lang w:val="en-US" w:eastAsia="zh-CN"/>
        </w:rPr>
        <w:t>2007年成立，位于仪陇县复兴镇。现有37人，安全生产管理人员由于总经理陈洪敏、厂长王长军、安全员陈明、陈洪平、吴国财组成。公司生产规模：年产5000万匹页岩砖。</w:t>
      </w:r>
    </w:p>
    <w:p>
      <w:pPr>
        <w:pStyle w:val="5"/>
        <w:spacing w:before="0" w:after="0" w:line="360" w:lineRule="auto"/>
        <w:rPr>
          <w:rFonts w:hint="eastAsia" w:ascii="宋体" w:hAnsi="宋体" w:eastAsia="宋体" w:cs="宋体"/>
          <w:color w:val="auto"/>
          <w:sz w:val="28"/>
          <w:szCs w:val="28"/>
        </w:rPr>
      </w:pPr>
      <w:bookmarkStart w:id="38" w:name="_Toc30627"/>
      <w:bookmarkStart w:id="39" w:name="_Toc20807"/>
      <w:r>
        <w:rPr>
          <w:rFonts w:hint="eastAsia" w:ascii="宋体" w:hAnsi="宋体" w:eastAsia="宋体" w:cs="宋体"/>
          <w:color w:val="auto"/>
          <w:sz w:val="28"/>
          <w:szCs w:val="28"/>
        </w:rPr>
        <w:t>2.</w:t>
      </w:r>
      <w:r>
        <w:rPr>
          <w:rFonts w:hint="eastAsia" w:ascii="宋体" w:hAnsi="宋体" w:eastAsia="宋体" w:cs="宋体"/>
          <w:color w:val="auto"/>
          <w:sz w:val="28"/>
          <w:szCs w:val="28"/>
          <w:lang w:val="en-US" w:eastAsia="zh-CN"/>
        </w:rPr>
        <w:t>1.1</w:t>
      </w:r>
      <w:r>
        <w:rPr>
          <w:rFonts w:hint="eastAsia" w:ascii="宋体" w:hAnsi="宋体" w:eastAsia="宋体" w:cs="宋体"/>
          <w:color w:val="auto"/>
          <w:sz w:val="28"/>
          <w:szCs w:val="28"/>
        </w:rPr>
        <w:t>公司地理位置及环境等情况</w:t>
      </w:r>
      <w:bookmarkEnd w:id="37"/>
      <w:bookmarkEnd w:id="38"/>
      <w:bookmarkEnd w:id="39"/>
    </w:p>
    <w:p>
      <w:pPr>
        <w:spacing w:line="360" w:lineRule="auto"/>
        <w:ind w:firstLine="560" w:firstLineChars="200"/>
        <w:rPr>
          <w:rFonts w:hint="eastAsia" w:ascii="宋体" w:hAnsi="宋体" w:cs="宋体"/>
          <w:color w:val="auto"/>
          <w:sz w:val="28"/>
          <w:szCs w:val="28"/>
          <w:lang w:val="zh-CN" w:eastAsia="zh-CN"/>
        </w:rPr>
      </w:pPr>
      <w:r>
        <w:rPr>
          <w:rFonts w:hint="eastAsia" w:ascii="宋体" w:hAnsi="宋体" w:cs="宋体"/>
          <w:color w:val="auto"/>
          <w:sz w:val="28"/>
          <w:szCs w:val="28"/>
          <w:lang w:val="en-US" w:eastAsia="zh-CN"/>
        </w:rPr>
        <w:t>仪陇县复兴镇佳呈页岩砖厂</w:t>
      </w:r>
      <w:r>
        <w:rPr>
          <w:rFonts w:hint="eastAsia" w:ascii="宋体" w:hAnsi="宋体" w:cs="宋体"/>
          <w:color w:val="auto"/>
          <w:sz w:val="28"/>
          <w:szCs w:val="28"/>
          <w:lang w:val="zh-CN" w:eastAsia="zh-CN"/>
        </w:rPr>
        <w:t>行政区划隶属仪陇县复兴镇和平村4社，仪陇县复兴镇位于仪陇县北部，距县城25公里，东临文星，保平，南界二道，西靠双胜，北与凤仪，五福接壤，仪华公路与马蓬公路，新马公路交汇于红旗村。 矿山毗邻砖厂，砖厂有约100米简易道路（泥结碎石路面）与公路相接(S203省道)，经S203省道向南约2.2公里可达仪陇县复兴镇，经S203省道向北约11.7公里可达仪陇县五福镇，全程水泥路面，交通方便。</w:t>
      </w:r>
    </w:p>
    <w:p>
      <w:pPr>
        <w:spacing w:line="360" w:lineRule="auto"/>
        <w:ind w:firstLine="560" w:firstLineChars="200"/>
        <w:rPr>
          <w:rFonts w:hint="eastAsia" w:ascii="宋体" w:hAnsi="宋体" w:cs="宋体"/>
          <w:color w:val="auto"/>
          <w:sz w:val="28"/>
          <w:szCs w:val="28"/>
          <w:lang w:val="zh-CN" w:eastAsia="zh-CN"/>
        </w:rPr>
      </w:pPr>
      <w:r>
        <w:rPr>
          <w:rFonts w:hint="eastAsia" w:ascii="宋体" w:hAnsi="宋体" w:cs="宋体"/>
          <w:color w:val="auto"/>
          <w:sz w:val="28"/>
          <w:szCs w:val="28"/>
          <w:lang w:val="en-US" w:eastAsia="zh-CN"/>
        </w:rPr>
        <w:t>复兴镇</w:t>
      </w:r>
      <w:r>
        <w:rPr>
          <w:rFonts w:hint="eastAsia" w:ascii="宋体" w:hAnsi="宋体" w:cs="宋体"/>
          <w:color w:val="auto"/>
          <w:sz w:val="28"/>
          <w:szCs w:val="28"/>
          <w:lang w:val="zh-CN" w:eastAsia="zh-CN"/>
        </w:rPr>
        <w:t>位于仪陇县西南部，东接保平镇，东南与文星镇为邻，南连二道镇，西靠双胜镇、赛金镇，西北与五福镇相邻，北依凤仪乡。人民政府驻大红坝村一组，电话区号0817，邮政编码637668，距县城25公里、南充市区110公里、营山火车站55公里、巴南高速入口13公里。（见交通位置图）</w:t>
      </w:r>
    </w:p>
    <w:p>
      <w:pPr>
        <w:pStyle w:val="2"/>
        <w:ind w:left="0" w:leftChars="0" w:firstLine="0" w:firstLineChars="0"/>
        <w:rPr>
          <w:rFonts w:hint="eastAsia"/>
          <w:lang w:val="zh-CN" w:eastAsia="zh-CN"/>
        </w:rPr>
      </w:pPr>
      <w:r>
        <w:rPr>
          <w:color w:val="auto"/>
          <w:sz w:val="72"/>
        </w:rPr>
        <mc:AlternateContent>
          <mc:Choice Requires="wps">
            <w:drawing>
              <wp:anchor distT="0" distB="0" distL="114300" distR="114300" simplePos="0" relativeHeight="251663360" behindDoc="0" locked="0" layoutInCell="1" allowOverlap="1">
                <wp:simplePos x="0" y="0"/>
                <wp:positionH relativeFrom="column">
                  <wp:posOffset>1075690</wp:posOffset>
                </wp:positionH>
                <wp:positionV relativeFrom="paragraph">
                  <wp:posOffset>2226945</wp:posOffset>
                </wp:positionV>
                <wp:extent cx="2337435" cy="304800"/>
                <wp:effectExtent l="5080" t="199390" r="4445" b="13970"/>
                <wp:wrapNone/>
                <wp:docPr id="35" name="圆角矩形标注 35"/>
                <wp:cNvGraphicFramePr/>
                <a:graphic xmlns:a="http://schemas.openxmlformats.org/drawingml/2006/main">
                  <a:graphicData uri="http://schemas.microsoft.com/office/word/2010/wordprocessingShape">
                    <wps:wsp>
                      <wps:cNvSpPr/>
                      <wps:spPr>
                        <a:xfrm flipH="1" flipV="1">
                          <a:off x="0" y="0"/>
                          <a:ext cx="2337435" cy="304800"/>
                        </a:xfrm>
                        <a:prstGeom prst="wedgeRoundRectCallout">
                          <a:avLst>
                            <a:gd name="adj1" fmla="val -48208"/>
                            <a:gd name="adj2" fmla="val 111875"/>
                            <a:gd name="adj3" fmla="val 16667"/>
                          </a:avLst>
                        </a:prstGeom>
                        <a:noFill/>
                        <a:ln w="9525" cap="flat" cmpd="sng">
                          <a:solidFill>
                            <a:srgbClr val="000000"/>
                          </a:solidFill>
                          <a:prstDash val="solid"/>
                          <a:miter/>
                          <a:headEnd type="none" w="med" len="med"/>
                          <a:tailEnd type="none" w="med" len="med"/>
                        </a:ln>
                      </wps:spPr>
                      <wps:txbx>
                        <w:txbxContent>
                          <w:p>
                            <w:pPr>
                              <w:rPr>
                                <w:color w:val="FF0000"/>
                                <w:sz w:val="18"/>
                                <w:szCs w:val="18"/>
                              </w:rPr>
                            </w:pPr>
                            <w:r>
                              <w:rPr>
                                <w:rFonts w:hint="eastAsia" w:ascii="宋体" w:hAnsi="宋体" w:cs="宋体"/>
                                <w:color w:val="FF0000"/>
                                <w:sz w:val="18"/>
                                <w:szCs w:val="18"/>
                                <w:lang w:val="zh-CN" w:eastAsia="zh-CN"/>
                              </w:rPr>
                              <w:t>仪陇县复兴镇和平页岩机砖厂</w:t>
                            </w:r>
                          </w:p>
                        </w:txbxContent>
                      </wps:txbx>
                      <wps:bodyPr upright="1"/>
                    </wps:wsp>
                  </a:graphicData>
                </a:graphic>
              </wp:anchor>
            </w:drawing>
          </mc:Choice>
          <mc:Fallback>
            <w:pict>
              <v:shape id="_x0000_s1026" o:spid="_x0000_s1026" o:spt="62" type="#_x0000_t62" style="position:absolute;left:0pt;flip:x y;margin-left:84.7pt;margin-top:175.35pt;height:24pt;width:184.05pt;z-index:251663360;mso-width-relative:page;mso-height-relative:page;" filled="f" stroked="t" coordsize="21600,21600" o:gfxdata="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AFPmIa2gAAAAsBAAAPAAAAAAAAAAEAIAAAACIA&#10;AABkcnMvZG93bnJldi54bWxQSwECFAAUAAAACACHTuJABwjvJEACAABcBAAADgAAAAAAAAABACAA&#10;AAApAQAAZHJzL2Uyb0RvYy54bWxQSwUGAAAAAAYABgBZAQAA2wUAAAAA&#10;" adj="387,34965,14400">
                <v:fill on="f" focussize="0,0"/>
                <v:stroke color="#000000" joinstyle="miter"/>
                <v:imagedata o:title=""/>
                <o:lock v:ext="edit" aspectratio="f"/>
                <v:textbox>
                  <w:txbxContent>
                    <w:p>
                      <w:pPr>
                        <w:rPr>
                          <w:color w:val="FF0000"/>
                          <w:sz w:val="18"/>
                          <w:szCs w:val="18"/>
                        </w:rPr>
                      </w:pPr>
                      <w:r>
                        <w:rPr>
                          <w:rFonts w:hint="eastAsia" w:ascii="宋体" w:hAnsi="宋体" w:cs="宋体"/>
                          <w:color w:val="FF0000"/>
                          <w:sz w:val="18"/>
                          <w:szCs w:val="18"/>
                          <w:lang w:val="zh-CN" w:eastAsia="zh-CN"/>
                        </w:rPr>
                        <w:t>仪陇县复兴镇和平页岩机砖厂</w:t>
                      </w:r>
                    </w:p>
                  </w:txbxContent>
                </v:textbox>
              </v:shape>
            </w:pict>
          </mc:Fallback>
        </mc:AlternateContent>
      </w:r>
      <w:r>
        <w:drawing>
          <wp:inline distT="0" distB="0" distL="114300" distR="114300">
            <wp:extent cx="6092190" cy="3280410"/>
            <wp:effectExtent l="0" t="0" r="3810" b="11430"/>
            <wp:docPr id="3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
                    <pic:cNvPicPr>
                      <a:picLocks noChangeAspect="1"/>
                    </pic:cNvPicPr>
                  </pic:nvPicPr>
                  <pic:blipFill>
                    <a:blip r:embed="rId5"/>
                    <a:stretch>
                      <a:fillRect/>
                    </a:stretch>
                  </pic:blipFill>
                  <pic:spPr>
                    <a:xfrm>
                      <a:off x="0" y="0"/>
                      <a:ext cx="6092190" cy="3280410"/>
                    </a:xfrm>
                    <a:prstGeom prst="rect">
                      <a:avLst/>
                    </a:prstGeom>
                    <a:noFill/>
                    <a:ln>
                      <a:noFill/>
                    </a:ln>
                  </pic:spPr>
                </pic:pic>
              </a:graphicData>
            </a:graphic>
          </wp:inline>
        </w:drawing>
      </w:r>
    </w:p>
    <w:p>
      <w:pPr>
        <w:pStyle w:val="12"/>
        <w:spacing w:line="240" w:lineRule="auto"/>
        <w:ind w:firstLine="482" w:firstLineChars="200"/>
        <w:jc w:val="center"/>
        <w:rPr>
          <w:rFonts w:hint="eastAsia" w:ascii="黑体" w:hAnsi="Courier New" w:eastAsia="黑体"/>
          <w:b/>
          <w:color w:val="auto"/>
          <w:sz w:val="24"/>
        </w:rPr>
      </w:pPr>
      <w:bookmarkStart w:id="40" w:name="_Toc26359"/>
      <w:bookmarkStart w:id="41" w:name="_Toc332285105"/>
      <w:r>
        <w:rPr>
          <w:rFonts w:hint="eastAsia" w:ascii="黑体" w:hAnsi="Courier New" w:eastAsia="黑体"/>
          <w:b/>
          <w:color w:val="auto"/>
          <w:sz w:val="24"/>
        </w:rPr>
        <w:t>图2-1 地理位置图</w:t>
      </w:r>
      <w:bookmarkEnd w:id="40"/>
    </w:p>
    <w:p>
      <w:pPr>
        <w:pStyle w:val="5"/>
        <w:spacing w:before="0" w:after="0" w:line="360" w:lineRule="auto"/>
        <w:rPr>
          <w:rFonts w:hint="eastAsia" w:ascii="宋体" w:hAnsi="宋体" w:eastAsia="宋体" w:cs="宋体"/>
          <w:color w:val="auto"/>
          <w:sz w:val="28"/>
          <w:szCs w:val="28"/>
          <w:lang w:val="en-US" w:eastAsia="zh-CN"/>
        </w:rPr>
      </w:pPr>
      <w:bookmarkStart w:id="42" w:name="_Toc30665"/>
      <w:bookmarkStart w:id="43" w:name="_Toc5621"/>
      <w:r>
        <w:rPr>
          <w:rFonts w:hint="eastAsia" w:ascii="宋体" w:hAnsi="宋体" w:eastAsia="宋体" w:cs="宋体"/>
          <w:color w:val="auto"/>
          <w:sz w:val="28"/>
          <w:szCs w:val="28"/>
          <w:lang w:val="zh-CN"/>
        </w:rPr>
        <w:t>2.1.</w:t>
      </w:r>
      <w:r>
        <w:rPr>
          <w:rFonts w:hint="eastAsia" w:ascii="宋体" w:hAnsi="宋体" w:eastAsia="宋体" w:cs="宋体"/>
          <w:color w:val="auto"/>
          <w:sz w:val="28"/>
          <w:szCs w:val="28"/>
          <w:lang w:val="en-US" w:eastAsia="zh-CN"/>
        </w:rPr>
        <w:t>2</w:t>
      </w:r>
      <w:r>
        <w:rPr>
          <w:rFonts w:hint="eastAsia" w:ascii="宋体" w:hAnsi="宋体" w:eastAsia="宋体" w:cs="宋体"/>
          <w:color w:val="auto"/>
          <w:sz w:val="28"/>
          <w:szCs w:val="28"/>
          <w:lang w:val="zh-CN"/>
        </w:rPr>
        <w:t>总体布置</w:t>
      </w:r>
      <w:bookmarkEnd w:id="42"/>
      <w:bookmarkEnd w:id="43"/>
    </w:p>
    <w:p>
      <w:pPr>
        <w:spacing w:line="360" w:lineRule="auto"/>
        <w:ind w:firstLine="562" w:firstLineChars="200"/>
        <w:rPr>
          <w:rFonts w:hint="eastAsia" w:ascii="宋体"/>
          <w:b/>
          <w:bCs/>
          <w:snapToGrid w:val="0"/>
          <w:color w:val="auto"/>
          <w:kern w:val="0"/>
          <w:sz w:val="28"/>
          <w:szCs w:val="28"/>
          <w:lang w:val="en-US" w:eastAsia="en-US"/>
        </w:rPr>
      </w:pPr>
      <w:r>
        <w:rPr>
          <w:rFonts w:hint="eastAsia" w:ascii="宋体" w:eastAsia="宋体"/>
          <w:b/>
          <w:bCs/>
          <w:snapToGrid w:val="0"/>
          <w:color w:val="auto"/>
          <w:kern w:val="0"/>
          <w:sz w:val="28"/>
          <w:szCs w:val="28"/>
          <w:lang w:val="en-US" w:eastAsia="zh-CN"/>
        </w:rPr>
        <w:t>1、</w:t>
      </w:r>
      <w:r>
        <w:rPr>
          <w:rFonts w:hint="eastAsia" w:ascii="宋体"/>
          <w:b/>
          <w:bCs/>
          <w:snapToGrid w:val="0"/>
          <w:color w:val="auto"/>
          <w:kern w:val="0"/>
          <w:sz w:val="28"/>
          <w:szCs w:val="28"/>
          <w:lang w:val="zh-CN" w:eastAsia="zh-CN"/>
        </w:rPr>
        <w:t>总平面布置</w:t>
      </w:r>
    </w:p>
    <w:p>
      <w:pPr>
        <w:spacing w:line="360" w:lineRule="auto"/>
        <w:ind w:firstLine="560" w:firstLineChars="200"/>
        <w:rPr>
          <w:rFonts w:hint="eastAsia" w:ascii="宋体"/>
          <w:snapToGrid w:val="0"/>
          <w:color w:val="auto"/>
          <w:kern w:val="0"/>
          <w:sz w:val="28"/>
          <w:szCs w:val="28"/>
          <w:lang w:val="en-US" w:eastAsia="en-US"/>
        </w:rPr>
      </w:pPr>
      <w:r>
        <w:rPr>
          <w:rFonts w:hint="eastAsia" w:ascii="宋体"/>
          <w:snapToGrid w:val="0"/>
          <w:color w:val="auto"/>
          <w:kern w:val="0"/>
          <w:sz w:val="28"/>
          <w:szCs w:val="28"/>
          <w:lang w:val="zh-CN" w:eastAsia="zh-CN"/>
        </w:rPr>
        <w:t>仪陇县复兴镇佳呈页岩砖厂厂区大致可分为生产区和非生产区。生产区主要包括采矿区、破碎区、粉料堆场、制胚区、烘干室、隧道窑、装车道、堆料区、成品堆放区、脱硫塔、柴油发电机房、配电室和机修房，非生产区主要包括办公楼、宿舍、食堂及门卫室。</w:t>
      </w:r>
    </w:p>
    <w:p>
      <w:pPr>
        <w:spacing w:line="360" w:lineRule="auto"/>
        <w:ind w:firstLine="560" w:firstLineChars="200"/>
        <w:rPr>
          <w:rFonts w:hint="eastAsia" w:ascii="宋体"/>
          <w:snapToGrid w:val="0"/>
          <w:color w:val="auto"/>
          <w:kern w:val="0"/>
          <w:sz w:val="28"/>
          <w:szCs w:val="28"/>
          <w:lang w:val="en-US" w:eastAsia="en-US"/>
        </w:rPr>
      </w:pPr>
      <w:r>
        <w:rPr>
          <w:rFonts w:hint="eastAsia" w:ascii="宋体"/>
          <w:snapToGrid w:val="0"/>
          <w:color w:val="auto"/>
          <w:kern w:val="0"/>
          <w:sz w:val="28"/>
          <w:szCs w:val="28"/>
          <w:lang w:val="zh-CN" w:eastAsia="zh-CN"/>
        </w:rPr>
        <w:t>生产区布置在用人单位生产场地的东南侧，非生产区布置在用人单位生产场地的西北侧。</w:t>
      </w:r>
    </w:p>
    <w:p>
      <w:pPr>
        <w:spacing w:line="360" w:lineRule="auto"/>
        <w:ind w:firstLine="560" w:firstLineChars="200"/>
        <w:rPr>
          <w:rFonts w:hint="eastAsia" w:ascii="宋体"/>
          <w:snapToGrid w:val="0"/>
          <w:color w:val="auto"/>
          <w:kern w:val="0"/>
          <w:sz w:val="28"/>
          <w:szCs w:val="28"/>
          <w:lang w:val="en-US" w:eastAsia="en-US"/>
        </w:rPr>
      </w:pPr>
      <w:r>
        <w:rPr>
          <w:rFonts w:hint="eastAsia" w:ascii="宋体"/>
          <w:snapToGrid w:val="0"/>
          <w:color w:val="auto"/>
          <w:kern w:val="0"/>
          <w:sz w:val="28"/>
          <w:szCs w:val="28"/>
          <w:lang w:val="zh-CN" w:eastAsia="zh-CN"/>
        </w:rPr>
        <w:t>采矿区布置在用人单位生产场地的最东侧，其南侧由东向西依次布置为堆料区、破碎区（内含1栋</w:t>
      </w:r>
      <w:r>
        <w:rPr>
          <w:rFonts w:hint="eastAsia" w:ascii="宋体"/>
          <w:snapToGrid w:val="0"/>
          <w:color w:val="auto"/>
          <w:kern w:val="0"/>
          <w:sz w:val="28"/>
          <w:szCs w:val="28"/>
          <w:lang w:val="en-US" w:eastAsia="en-US"/>
        </w:rPr>
        <w:t>2F</w:t>
      </w:r>
      <w:r>
        <w:rPr>
          <w:rFonts w:hint="eastAsia" w:ascii="宋体"/>
          <w:snapToGrid w:val="0"/>
          <w:color w:val="auto"/>
          <w:kern w:val="0"/>
          <w:sz w:val="28"/>
          <w:szCs w:val="28"/>
          <w:lang w:val="zh-CN" w:eastAsia="zh-CN"/>
        </w:rPr>
        <w:t>建筑，</w:t>
      </w:r>
      <w:r>
        <w:rPr>
          <w:rFonts w:hint="eastAsia" w:ascii="宋体"/>
          <w:snapToGrid w:val="0"/>
          <w:color w:val="auto"/>
          <w:kern w:val="0"/>
          <w:sz w:val="28"/>
          <w:szCs w:val="28"/>
          <w:lang w:val="en-US" w:eastAsia="en-US"/>
        </w:rPr>
        <w:t>2F</w:t>
      </w:r>
      <w:r>
        <w:rPr>
          <w:rFonts w:hint="eastAsia" w:ascii="宋体"/>
          <w:snapToGrid w:val="0"/>
          <w:color w:val="auto"/>
          <w:kern w:val="0"/>
          <w:sz w:val="28"/>
          <w:szCs w:val="28"/>
          <w:lang w:val="zh-CN" w:eastAsia="zh-CN"/>
        </w:rPr>
        <w:t>布置为配电室，</w:t>
      </w:r>
      <w:r>
        <w:rPr>
          <w:rFonts w:hint="eastAsia" w:ascii="宋体"/>
          <w:snapToGrid w:val="0"/>
          <w:color w:val="auto"/>
          <w:kern w:val="0"/>
          <w:sz w:val="28"/>
          <w:szCs w:val="28"/>
          <w:lang w:val="en-US" w:eastAsia="en-US"/>
        </w:rPr>
        <w:t>1F</w:t>
      </w:r>
      <w:r>
        <w:rPr>
          <w:rFonts w:hint="eastAsia" w:ascii="宋体"/>
          <w:snapToGrid w:val="0"/>
          <w:color w:val="auto"/>
          <w:kern w:val="0"/>
          <w:sz w:val="28"/>
          <w:szCs w:val="28"/>
          <w:lang w:val="zh-CN" w:eastAsia="zh-CN"/>
        </w:rPr>
        <w:t>布置为机修房）、粉料堆场、制胚区，制胚区南侧由东西向依次布置为烘干室、 隧道窑、装车道及成品堆放区，隧道窑南侧布置为脱硫塔和柴油发电机房；成品堆放区北侧端部位置布置为门卫室和办公楼，宿舍布置在用人单位生产场地的西南角位置，其北侧布置为食堂。用人单位总平面布置详见附图一总平面布置示意图。</w:t>
      </w:r>
    </w:p>
    <w:p>
      <w:pPr>
        <w:spacing w:line="360" w:lineRule="auto"/>
        <w:ind w:firstLine="562" w:firstLineChars="200"/>
        <w:rPr>
          <w:rFonts w:hint="eastAsia" w:ascii="宋体" w:eastAsia="宋体"/>
          <w:b/>
          <w:bCs/>
          <w:snapToGrid w:val="0"/>
          <w:color w:val="auto"/>
          <w:kern w:val="0"/>
          <w:sz w:val="28"/>
          <w:szCs w:val="28"/>
          <w:lang w:val="en-US" w:eastAsia="en-US"/>
        </w:rPr>
      </w:pPr>
      <w:r>
        <w:rPr>
          <w:rFonts w:hint="eastAsia" w:ascii="宋体" w:eastAsia="宋体"/>
          <w:b/>
          <w:bCs/>
          <w:snapToGrid w:val="0"/>
          <w:color w:val="auto"/>
          <w:kern w:val="0"/>
          <w:sz w:val="28"/>
          <w:szCs w:val="28"/>
          <w:lang w:val="en-US" w:eastAsia="zh-CN"/>
        </w:rPr>
        <w:t>2、</w:t>
      </w:r>
      <w:r>
        <w:rPr>
          <w:rFonts w:hint="eastAsia" w:ascii="宋体" w:eastAsia="宋体"/>
          <w:b/>
          <w:bCs/>
          <w:snapToGrid w:val="0"/>
          <w:color w:val="auto"/>
          <w:kern w:val="0"/>
          <w:sz w:val="28"/>
          <w:szCs w:val="28"/>
          <w:lang w:val="zh-CN" w:eastAsia="zh-CN"/>
        </w:rPr>
        <w:t>竖向布置</w:t>
      </w:r>
    </w:p>
    <w:p>
      <w:pPr>
        <w:spacing w:line="360" w:lineRule="auto"/>
        <w:ind w:firstLine="560" w:firstLineChars="200"/>
        <w:rPr>
          <w:rFonts w:hint="eastAsia" w:ascii="宋体" w:eastAsia="宋体"/>
          <w:snapToGrid w:val="0"/>
          <w:color w:val="auto"/>
          <w:kern w:val="0"/>
          <w:sz w:val="28"/>
          <w:szCs w:val="28"/>
          <w:lang w:eastAsia="zh-CN"/>
        </w:rPr>
      </w:pPr>
      <w:r>
        <w:rPr>
          <w:rFonts w:hint="eastAsia" w:ascii="宋体"/>
          <w:snapToGrid w:val="0"/>
          <w:color w:val="auto"/>
          <w:kern w:val="0"/>
          <w:sz w:val="28"/>
          <w:szCs w:val="28"/>
          <w:lang w:val="zh-CN" w:eastAsia="zh-CN"/>
        </w:rPr>
        <w:t>厂区除办公楼为1栋3层钢混结构建筑、破碎区局部设置为2层砖混结构建筑外，其余各建（构）筑物均为单层建筑。办公楼各层均设置为办公室，破碎区内局部2层结构建筑的</w:t>
      </w:r>
      <w:r>
        <w:rPr>
          <w:rFonts w:hint="eastAsia" w:ascii="宋体"/>
          <w:snapToGrid w:val="0"/>
          <w:color w:val="auto"/>
          <w:kern w:val="0"/>
          <w:sz w:val="28"/>
          <w:szCs w:val="28"/>
          <w:lang w:val="en-US" w:eastAsia="en-US"/>
        </w:rPr>
        <w:t>1F</w:t>
      </w:r>
      <w:r>
        <w:rPr>
          <w:rFonts w:hint="eastAsia" w:ascii="宋体"/>
          <w:snapToGrid w:val="0"/>
          <w:color w:val="auto"/>
          <w:kern w:val="0"/>
          <w:sz w:val="28"/>
          <w:szCs w:val="28"/>
          <w:lang w:val="zh-CN" w:eastAsia="zh-CN"/>
        </w:rPr>
        <w:t>设置为机修房，</w:t>
      </w:r>
      <w:r>
        <w:rPr>
          <w:rFonts w:hint="eastAsia" w:ascii="宋体"/>
          <w:snapToGrid w:val="0"/>
          <w:color w:val="auto"/>
          <w:kern w:val="0"/>
          <w:sz w:val="28"/>
          <w:szCs w:val="28"/>
          <w:lang w:val="en-US" w:eastAsia="en-US"/>
        </w:rPr>
        <w:t>2F</w:t>
      </w:r>
      <w:r>
        <w:rPr>
          <w:rFonts w:hint="eastAsia" w:ascii="宋体"/>
          <w:snapToGrid w:val="0"/>
          <w:color w:val="auto"/>
          <w:kern w:val="0"/>
          <w:sz w:val="28"/>
          <w:szCs w:val="28"/>
          <w:lang w:val="zh-CN" w:eastAsia="zh-CN"/>
        </w:rPr>
        <w:t>设置为配电室。</w:t>
      </w:r>
      <w:r>
        <w:rPr>
          <w:rFonts w:hint="eastAsia" w:ascii="宋体"/>
          <w:snapToGrid w:val="0"/>
          <w:color w:val="auto"/>
          <w:kern w:val="0"/>
          <w:sz w:val="28"/>
          <w:szCs w:val="28"/>
        </w:rPr>
        <w:t>详见附件总平面布置图</w:t>
      </w:r>
      <w:r>
        <w:rPr>
          <w:rFonts w:hint="eastAsia" w:ascii="宋体" w:eastAsia="宋体"/>
          <w:snapToGrid w:val="0"/>
          <w:color w:val="auto"/>
          <w:kern w:val="0"/>
          <w:sz w:val="28"/>
          <w:szCs w:val="28"/>
          <w:lang w:eastAsia="zh-CN"/>
        </w:rPr>
        <w:t>。</w:t>
      </w:r>
    </w:p>
    <w:p>
      <w:pPr>
        <w:pStyle w:val="2"/>
        <w:rPr>
          <w:rFonts w:hint="eastAsia" w:ascii="宋体" w:eastAsia="宋体"/>
          <w:snapToGrid w:val="0"/>
          <w:color w:val="auto"/>
          <w:kern w:val="0"/>
          <w:sz w:val="28"/>
          <w:szCs w:val="28"/>
          <w:lang w:eastAsia="zh-CN"/>
        </w:rPr>
      </w:pPr>
      <w:r>
        <w:drawing>
          <wp:inline distT="0" distB="0" distL="114300" distR="114300">
            <wp:extent cx="5082540" cy="4053840"/>
            <wp:effectExtent l="0" t="0" r="7620" b="0"/>
            <wp:docPr id="3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
                    <pic:cNvPicPr>
                      <a:picLocks noChangeAspect="1"/>
                    </pic:cNvPicPr>
                  </pic:nvPicPr>
                  <pic:blipFill>
                    <a:blip r:embed="rId6"/>
                    <a:stretch>
                      <a:fillRect/>
                    </a:stretch>
                  </pic:blipFill>
                  <pic:spPr>
                    <a:xfrm>
                      <a:off x="0" y="0"/>
                      <a:ext cx="5082540" cy="4053840"/>
                    </a:xfrm>
                    <a:prstGeom prst="rect">
                      <a:avLst/>
                    </a:prstGeom>
                    <a:noFill/>
                    <a:ln>
                      <a:noFill/>
                    </a:ln>
                  </pic:spPr>
                </pic:pic>
              </a:graphicData>
            </a:graphic>
          </wp:inline>
        </w:drawing>
      </w:r>
    </w:p>
    <w:p>
      <w:pPr>
        <w:pStyle w:val="12"/>
        <w:spacing w:line="240" w:lineRule="auto"/>
        <w:ind w:firstLine="482" w:firstLineChars="200"/>
        <w:jc w:val="center"/>
        <w:rPr>
          <w:rFonts w:hint="eastAsia" w:ascii="黑体" w:hAnsi="Courier New" w:eastAsia="黑体"/>
          <w:b/>
          <w:color w:val="auto"/>
          <w:sz w:val="24"/>
        </w:rPr>
      </w:pPr>
      <w:r>
        <w:rPr>
          <w:rFonts w:hint="eastAsia" w:ascii="黑体" w:hAnsi="Courier New" w:eastAsia="黑体"/>
          <w:b/>
          <w:color w:val="auto"/>
          <w:sz w:val="24"/>
          <w:lang w:eastAsia="zh-CN"/>
        </w:rPr>
        <w:t>图</w:t>
      </w:r>
      <w:r>
        <w:rPr>
          <w:rFonts w:hint="eastAsia" w:ascii="黑体" w:hAnsi="Courier New" w:eastAsia="黑体"/>
          <w:b/>
          <w:color w:val="auto"/>
          <w:sz w:val="24"/>
          <w:lang w:val="en-US" w:eastAsia="zh-CN"/>
        </w:rPr>
        <w:t>2-2  总平面布局示意图</w:t>
      </w:r>
    </w:p>
    <w:p>
      <w:pPr>
        <w:pStyle w:val="5"/>
        <w:spacing w:before="0" w:after="0" w:line="360" w:lineRule="auto"/>
        <w:rPr>
          <w:rFonts w:hint="eastAsia" w:ascii="宋体" w:hAnsi="宋体" w:eastAsia="宋体" w:cs="宋体"/>
          <w:color w:val="auto"/>
          <w:sz w:val="28"/>
          <w:szCs w:val="28"/>
          <w:lang w:val="zh-CN"/>
        </w:rPr>
      </w:pPr>
      <w:bookmarkStart w:id="44" w:name="_Toc18802"/>
      <w:bookmarkStart w:id="45" w:name="_Toc8678"/>
      <w:bookmarkStart w:id="46" w:name="_Toc440539582"/>
      <w:bookmarkStart w:id="47" w:name="_Toc17114"/>
      <w:r>
        <w:rPr>
          <w:rFonts w:hint="eastAsia" w:ascii="宋体" w:hAnsi="宋体" w:eastAsia="宋体" w:cs="宋体"/>
          <w:color w:val="auto"/>
          <w:sz w:val="28"/>
          <w:szCs w:val="28"/>
          <w:lang w:val="zh-CN"/>
        </w:rPr>
        <w:t>2.</w:t>
      </w:r>
      <w:r>
        <w:rPr>
          <w:rFonts w:hint="eastAsia" w:ascii="宋体" w:hAnsi="宋体" w:eastAsia="宋体" w:cs="宋体"/>
          <w:color w:val="auto"/>
          <w:sz w:val="28"/>
          <w:szCs w:val="28"/>
        </w:rPr>
        <w:t>1.</w:t>
      </w:r>
      <w:r>
        <w:rPr>
          <w:rFonts w:hint="eastAsia" w:ascii="宋体" w:hAnsi="宋体" w:eastAsia="宋体" w:cs="宋体"/>
          <w:color w:val="auto"/>
          <w:sz w:val="28"/>
          <w:szCs w:val="28"/>
          <w:lang w:val="en-US" w:eastAsia="zh-CN"/>
        </w:rPr>
        <w:t>3</w:t>
      </w:r>
      <w:r>
        <w:rPr>
          <w:rFonts w:hint="eastAsia" w:ascii="宋体" w:hAnsi="宋体" w:eastAsia="宋体" w:cs="宋体"/>
          <w:color w:val="auto"/>
          <w:sz w:val="28"/>
          <w:szCs w:val="28"/>
          <w:lang w:val="zh-CN"/>
        </w:rPr>
        <w:t>周边环境</w:t>
      </w:r>
      <w:bookmarkEnd w:id="44"/>
      <w:bookmarkEnd w:id="45"/>
      <w:bookmarkEnd w:id="46"/>
      <w:bookmarkEnd w:id="47"/>
    </w:p>
    <w:p>
      <w:pPr>
        <w:spacing w:line="360" w:lineRule="auto"/>
        <w:ind w:firstLine="560" w:firstLineChars="200"/>
        <w:rPr>
          <w:rFonts w:hint="default" w:ascii="宋体"/>
          <w:snapToGrid w:val="0"/>
          <w:color w:val="auto"/>
          <w:kern w:val="0"/>
          <w:sz w:val="28"/>
          <w:szCs w:val="28"/>
          <w:lang w:val="en-US" w:eastAsia="zh-CN"/>
        </w:rPr>
      </w:pPr>
      <w:r>
        <w:rPr>
          <w:rFonts w:hint="eastAsia" w:ascii="宋体"/>
          <w:snapToGrid w:val="0"/>
          <w:color w:val="auto"/>
          <w:kern w:val="0"/>
          <w:sz w:val="28"/>
          <w:szCs w:val="28"/>
          <w:lang w:val="zh-CN" w:eastAsia="zh-CN"/>
        </w:rPr>
        <w:t>仪陇县复兴镇佳呈页岩砖厂所在地不属于风景名胜区，自然保护区、国家重点文物保护区等，不属于自然疫源地、地方病区。厂区背山而建，除门口（西侧）面向马路外，其余方向为农田。</w:t>
      </w:r>
    </w:p>
    <w:p>
      <w:pPr>
        <w:spacing w:line="360" w:lineRule="auto"/>
        <w:ind w:firstLine="560" w:firstLineChars="200"/>
        <w:rPr>
          <w:rFonts w:hint="eastAsia" w:ascii="宋体"/>
          <w:snapToGrid w:val="0"/>
          <w:color w:val="auto"/>
          <w:kern w:val="0"/>
          <w:sz w:val="28"/>
          <w:szCs w:val="28"/>
          <w:lang w:val="en-US" w:eastAsia="zh-CN"/>
        </w:rPr>
      </w:pPr>
      <w:r>
        <w:rPr>
          <w:rFonts w:hint="eastAsia" w:ascii="宋体"/>
          <w:snapToGrid w:val="0"/>
          <w:color w:val="auto"/>
          <w:kern w:val="0"/>
          <w:sz w:val="28"/>
          <w:szCs w:val="28"/>
          <w:lang w:val="en-US" w:eastAsia="zh-CN"/>
        </w:rPr>
        <w:t>采场朝向座东朝西，东面靠山（丘陵），矿山西南面为矿山作业广场，北、东南面基本属坡地，夹杂部分耕地。除S203省道（直距采场底界约110米）从矿区范围外西面经过，矿区四周300m安全警戒范围内，无其它矿山（包括闭坑矿山）、尾矿库、铁路、河流、居民区、风景区、重要工农业设施、名胜古迹以及其他需要保护的对象。矿区周边环境良好，无相互制约因素。</w:t>
      </w:r>
    </w:p>
    <w:p>
      <w:pPr>
        <w:spacing w:line="360" w:lineRule="auto"/>
        <w:rPr>
          <w:rFonts w:hint="eastAsia" w:ascii="宋体"/>
          <w:snapToGrid w:val="0"/>
          <w:color w:val="auto"/>
          <w:kern w:val="0"/>
          <w:sz w:val="28"/>
          <w:szCs w:val="28"/>
          <w:lang w:val="zh-CN" w:eastAsia="zh-CN"/>
        </w:rPr>
      </w:pPr>
      <w:r>
        <w:drawing>
          <wp:inline distT="0" distB="0" distL="114300" distR="114300">
            <wp:extent cx="6024245" cy="4122420"/>
            <wp:effectExtent l="0" t="0" r="10795" b="7620"/>
            <wp:docPr id="3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
                    <pic:cNvPicPr>
                      <a:picLocks noChangeAspect="1"/>
                    </pic:cNvPicPr>
                  </pic:nvPicPr>
                  <pic:blipFill>
                    <a:blip r:embed="rId7"/>
                    <a:stretch>
                      <a:fillRect/>
                    </a:stretch>
                  </pic:blipFill>
                  <pic:spPr>
                    <a:xfrm>
                      <a:off x="0" y="0"/>
                      <a:ext cx="6024245" cy="4122420"/>
                    </a:xfrm>
                    <a:prstGeom prst="rect">
                      <a:avLst/>
                    </a:prstGeom>
                    <a:noFill/>
                    <a:ln>
                      <a:noFill/>
                    </a:ln>
                  </pic:spPr>
                </pic:pic>
              </a:graphicData>
            </a:graphic>
          </wp:inline>
        </w:drawing>
      </w:r>
    </w:p>
    <w:p>
      <w:pPr>
        <w:tabs>
          <w:tab w:val="left" w:pos="180"/>
          <w:tab w:val="left" w:pos="1800"/>
          <w:tab w:val="left" w:pos="1980"/>
          <w:tab w:val="left" w:pos="2520"/>
          <w:tab w:val="left" w:pos="2700"/>
          <w:tab w:val="left" w:pos="2880"/>
          <w:tab w:val="left" w:pos="4140"/>
          <w:tab w:val="left" w:pos="4680"/>
        </w:tabs>
        <w:spacing w:line="360" w:lineRule="auto"/>
        <w:jc w:val="center"/>
        <w:rPr>
          <w:rFonts w:hint="eastAsia" w:ascii="黑体" w:hAnsi="黑体" w:eastAsia="黑体"/>
          <w:b/>
          <w:snapToGrid w:val="0"/>
          <w:color w:val="auto"/>
          <w:kern w:val="0"/>
          <w:sz w:val="24"/>
          <w:lang w:eastAsia="zh-CN"/>
        </w:rPr>
      </w:pPr>
      <w:r>
        <w:rPr>
          <w:rFonts w:hint="eastAsia" w:ascii="黑体" w:hAnsi="黑体" w:eastAsia="黑体"/>
          <w:b/>
          <w:snapToGrid w:val="0"/>
          <w:color w:val="auto"/>
          <w:kern w:val="0"/>
          <w:sz w:val="24"/>
          <w:lang w:eastAsia="zh-CN"/>
        </w:rPr>
        <w:t>图2-</w:t>
      </w:r>
      <w:r>
        <w:rPr>
          <w:rFonts w:hint="eastAsia" w:ascii="黑体" w:hAnsi="黑体" w:eastAsia="黑体"/>
          <w:b/>
          <w:snapToGrid w:val="0"/>
          <w:color w:val="auto"/>
          <w:kern w:val="0"/>
          <w:sz w:val="24"/>
          <w:lang w:val="en-US" w:eastAsia="zh-CN"/>
        </w:rPr>
        <w:t>3</w:t>
      </w:r>
      <w:r>
        <w:rPr>
          <w:rFonts w:hint="eastAsia" w:ascii="黑体" w:hAnsi="黑体" w:eastAsia="黑体"/>
          <w:b/>
          <w:snapToGrid w:val="0"/>
          <w:color w:val="auto"/>
          <w:kern w:val="0"/>
          <w:sz w:val="24"/>
          <w:lang w:eastAsia="zh-CN"/>
        </w:rPr>
        <w:t xml:space="preserve">  周边环境示意图</w:t>
      </w:r>
    </w:p>
    <w:p>
      <w:pPr>
        <w:pStyle w:val="5"/>
        <w:spacing w:before="0" w:after="0" w:line="360" w:lineRule="auto"/>
        <w:rPr>
          <w:rFonts w:hint="eastAsia" w:ascii="宋体" w:hAnsi="宋体" w:eastAsia="宋体" w:cs="宋体"/>
          <w:color w:val="auto"/>
          <w:sz w:val="28"/>
          <w:szCs w:val="28"/>
          <w:lang w:val="zh-CN"/>
        </w:rPr>
      </w:pPr>
      <w:bookmarkStart w:id="48" w:name="_Toc25723"/>
      <w:bookmarkStart w:id="49" w:name="_Toc13520"/>
      <w:bookmarkStart w:id="50" w:name="_Toc440539584"/>
      <w:bookmarkStart w:id="51" w:name="_Toc26960"/>
      <w:r>
        <w:rPr>
          <w:rFonts w:hint="eastAsia" w:ascii="宋体" w:hAnsi="宋体" w:eastAsia="宋体" w:cs="宋体"/>
          <w:color w:val="auto"/>
          <w:sz w:val="28"/>
          <w:szCs w:val="28"/>
          <w:lang w:val="zh-CN"/>
        </w:rPr>
        <w:t>2.1.</w:t>
      </w:r>
      <w:r>
        <w:rPr>
          <w:rFonts w:hint="eastAsia" w:ascii="宋体" w:hAnsi="宋体" w:eastAsia="宋体" w:cs="宋体"/>
          <w:color w:val="auto"/>
          <w:sz w:val="28"/>
          <w:szCs w:val="28"/>
          <w:lang w:val="en-US" w:eastAsia="zh-CN"/>
        </w:rPr>
        <w:t>4</w:t>
      </w:r>
      <w:r>
        <w:rPr>
          <w:rFonts w:hint="eastAsia" w:ascii="宋体" w:hAnsi="宋体" w:eastAsia="宋体" w:cs="宋体"/>
          <w:color w:val="auto"/>
          <w:sz w:val="28"/>
          <w:szCs w:val="28"/>
          <w:lang w:val="zh-CN"/>
        </w:rPr>
        <w:t>工艺流程</w:t>
      </w:r>
      <w:bookmarkEnd w:id="48"/>
      <w:bookmarkEnd w:id="49"/>
      <w:bookmarkEnd w:id="50"/>
      <w:bookmarkEnd w:id="51"/>
    </w:p>
    <w:p>
      <w:pPr>
        <w:spacing w:line="360" w:lineRule="auto"/>
        <w:ind w:firstLine="562" w:firstLineChars="200"/>
        <w:rPr>
          <w:rFonts w:hint="eastAsia" w:ascii="宋体"/>
          <w:b/>
          <w:bCs/>
          <w:snapToGrid w:val="0"/>
          <w:color w:val="auto"/>
          <w:kern w:val="0"/>
          <w:sz w:val="28"/>
          <w:szCs w:val="28"/>
          <w:lang w:val="en-US" w:eastAsia="zh-CN"/>
        </w:rPr>
      </w:pPr>
      <w:bookmarkStart w:id="52" w:name="_Toc480804369"/>
      <w:bookmarkStart w:id="53" w:name="_Toc356401465"/>
      <w:bookmarkStart w:id="54" w:name="_Toc356380956"/>
      <w:bookmarkStart w:id="55" w:name="_Toc515872918"/>
      <w:bookmarkStart w:id="56" w:name="_Toc480804370"/>
      <w:bookmarkStart w:id="57" w:name="_Toc356401466"/>
      <w:bookmarkStart w:id="58" w:name="_Toc515872919"/>
      <w:bookmarkStart w:id="59" w:name="_Toc356380957"/>
      <w:r>
        <w:rPr>
          <w:rFonts w:hint="eastAsia" w:ascii="宋体"/>
          <w:b/>
          <w:bCs/>
          <w:snapToGrid w:val="0"/>
          <w:color w:val="auto"/>
          <w:kern w:val="0"/>
          <w:sz w:val="28"/>
          <w:szCs w:val="28"/>
          <w:lang w:val="en-US" w:eastAsia="zh-CN"/>
        </w:rPr>
        <w:t>1、生产工艺流程图</w:t>
      </w:r>
      <w:bookmarkEnd w:id="52"/>
      <w:bookmarkEnd w:id="53"/>
      <w:bookmarkEnd w:id="54"/>
      <w:bookmarkEnd w:id="55"/>
    </w:p>
    <w:p>
      <w:pPr>
        <w:spacing w:line="360" w:lineRule="auto"/>
        <w:ind w:firstLine="560" w:firstLineChars="200"/>
        <w:rPr>
          <w:rFonts w:hint="eastAsia" w:ascii="宋体"/>
          <w:snapToGrid w:val="0"/>
          <w:kern w:val="0"/>
          <w:sz w:val="28"/>
          <w:szCs w:val="28"/>
          <w:lang w:val="zh-CN" w:eastAsia="zh-CN"/>
        </w:rPr>
      </w:pPr>
      <w:r>
        <w:rPr>
          <w:rFonts w:hint="eastAsia" w:ascii="宋体"/>
          <w:snapToGrid w:val="0"/>
          <w:kern w:val="0"/>
          <w:sz w:val="28"/>
          <w:szCs w:val="28"/>
          <w:lang w:val="zh-CN" w:eastAsia="zh-CN"/>
        </w:rPr>
        <w:t>标砖生产主要包括采矿、破碎、筛分、搅拌、制胚、进胚、烧窑、装车8大工序，各工序按照工艺流程布置在各自区域内。公司隧道窑采用环保节能式的隧道窑，首次烧结采用精煤助燃，顺利开窑后可利用标砖中含有的煤自燃热量进行烧结，待自然冷却后装车装车外售。生产工艺流程如图：</w:t>
      </w:r>
    </w:p>
    <w:p>
      <w:pPr>
        <w:pStyle w:val="2"/>
        <w:rPr>
          <w:rFonts w:hint="eastAsia" w:ascii="宋体"/>
          <w:snapToGrid w:val="0"/>
          <w:kern w:val="0"/>
          <w:sz w:val="28"/>
          <w:szCs w:val="28"/>
          <w:lang w:val="zh-CN" w:eastAsia="zh-CN"/>
        </w:rPr>
      </w:pPr>
    </w:p>
    <w:p/>
    <w:p>
      <w:pPr>
        <w:spacing w:line="360" w:lineRule="auto"/>
        <w:ind w:firstLine="560" w:firstLineChars="200"/>
        <w:rPr>
          <w:rFonts w:hint="eastAsia" w:ascii="宋体"/>
          <w:snapToGrid w:val="0"/>
          <w:color w:val="auto"/>
          <w:kern w:val="0"/>
          <w:sz w:val="28"/>
          <w:szCs w:val="28"/>
        </w:rPr>
      </w:pPr>
      <w:r>
        <w:rPr>
          <w:rFonts w:hint="eastAsia" w:ascii="宋体"/>
          <w:color w:val="auto"/>
          <w:kern w:val="0"/>
          <w:sz w:val="28"/>
          <w:szCs w:val="28"/>
        </w:rPr>
        <mc:AlternateContent>
          <mc:Choice Requires="wpg">
            <w:drawing>
              <wp:anchor distT="0" distB="0" distL="114300" distR="114300" simplePos="0" relativeHeight="251669504" behindDoc="0" locked="0" layoutInCell="1" allowOverlap="1">
                <wp:simplePos x="0" y="0"/>
                <wp:positionH relativeFrom="column">
                  <wp:posOffset>215900</wp:posOffset>
                </wp:positionH>
                <wp:positionV relativeFrom="paragraph">
                  <wp:posOffset>76200</wp:posOffset>
                </wp:positionV>
                <wp:extent cx="4867275" cy="3057525"/>
                <wp:effectExtent l="4445" t="4445" r="5080" b="16510"/>
                <wp:wrapNone/>
                <wp:docPr id="34" name="组合 34"/>
                <wp:cNvGraphicFramePr/>
                <a:graphic xmlns:a="http://schemas.openxmlformats.org/drawingml/2006/main">
                  <a:graphicData uri="http://schemas.microsoft.com/office/word/2010/wordprocessingGroup">
                    <wpg:wgp>
                      <wpg:cNvGrpSpPr/>
                      <wpg:grpSpPr>
                        <a:xfrm>
                          <a:off x="0" y="0"/>
                          <a:ext cx="4867275" cy="3057525"/>
                          <a:chOff x="2310" y="7530"/>
                          <a:chExt cx="7665" cy="4815"/>
                        </a:xfrm>
                      </wpg:grpSpPr>
                      <wps:wsp>
                        <wps:cNvPr id="1" name="矩形 1"/>
                        <wps:cNvSpPr/>
                        <wps:spPr>
                          <a:xfrm>
                            <a:off x="2310" y="7530"/>
                            <a:ext cx="1620" cy="585"/>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煤矸石、页岩</w:t>
                              </w:r>
                            </w:p>
                          </w:txbxContent>
                        </wps:txbx>
                        <wps:bodyPr upright="1"/>
                      </wps:wsp>
                      <wps:wsp>
                        <wps:cNvPr id="2" name="直接箭头连接符 2"/>
                        <wps:cNvCnPr/>
                        <wps:spPr>
                          <a:xfrm>
                            <a:off x="3930" y="7860"/>
                            <a:ext cx="390" cy="0"/>
                          </a:xfrm>
                          <a:prstGeom prst="straightConnector1">
                            <a:avLst/>
                          </a:prstGeom>
                          <a:ln w="9525" cap="flat" cmpd="sng">
                            <a:solidFill>
                              <a:srgbClr val="000000"/>
                            </a:solidFill>
                            <a:prstDash val="solid"/>
                            <a:headEnd type="none" w="med" len="med"/>
                            <a:tailEnd type="triangle" w="med" len="med"/>
                          </a:ln>
                        </wps:spPr>
                        <wps:bodyPr/>
                      </wps:wsp>
                      <wps:wsp>
                        <wps:cNvPr id="3" name="矩形 3"/>
                        <wps:cNvSpPr/>
                        <wps:spPr>
                          <a:xfrm>
                            <a:off x="4320" y="7530"/>
                            <a:ext cx="1620" cy="5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板式给料机</w:t>
                              </w:r>
                            </w:p>
                          </w:txbxContent>
                        </wps:txbx>
                        <wps:bodyPr upright="1"/>
                      </wps:wsp>
                      <wps:wsp>
                        <wps:cNvPr id="5" name="直接箭头连接符 5"/>
                        <wps:cNvCnPr/>
                        <wps:spPr>
                          <a:xfrm>
                            <a:off x="3060" y="9525"/>
                            <a:ext cx="0" cy="825"/>
                          </a:xfrm>
                          <a:prstGeom prst="straightConnector1">
                            <a:avLst/>
                          </a:prstGeom>
                          <a:ln w="9525" cap="flat" cmpd="sng">
                            <a:solidFill>
                              <a:srgbClr val="000000"/>
                            </a:solidFill>
                            <a:prstDash val="solid"/>
                            <a:headEnd type="none" w="med" len="med"/>
                            <a:tailEnd type="triangle" w="med" len="med"/>
                          </a:ln>
                        </wps:spPr>
                        <wps:bodyPr/>
                      </wps:wsp>
                      <wps:wsp>
                        <wps:cNvPr id="6" name="直接箭头连接符 6"/>
                        <wps:cNvCnPr/>
                        <wps:spPr>
                          <a:xfrm>
                            <a:off x="5940" y="7845"/>
                            <a:ext cx="390" cy="0"/>
                          </a:xfrm>
                          <a:prstGeom prst="straightConnector1">
                            <a:avLst/>
                          </a:prstGeom>
                          <a:ln w="9525" cap="flat" cmpd="sng">
                            <a:solidFill>
                              <a:srgbClr val="000000"/>
                            </a:solidFill>
                            <a:prstDash val="solid"/>
                            <a:headEnd type="none" w="med" len="med"/>
                            <a:tailEnd type="triangle" w="med" len="med"/>
                          </a:ln>
                        </wps:spPr>
                        <wps:bodyPr/>
                      </wps:wsp>
                      <wps:wsp>
                        <wps:cNvPr id="7" name="矩形 7"/>
                        <wps:cNvSpPr/>
                        <wps:spPr>
                          <a:xfrm>
                            <a:off x="6330" y="7530"/>
                            <a:ext cx="1620" cy="5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鄂破机</w:t>
                              </w:r>
                            </w:p>
                          </w:txbxContent>
                        </wps:txbx>
                        <wps:bodyPr upright="1"/>
                      </wps:wsp>
                      <wps:wsp>
                        <wps:cNvPr id="8" name="直接箭头连接符 8"/>
                        <wps:cNvCnPr/>
                        <wps:spPr>
                          <a:xfrm>
                            <a:off x="7950" y="7845"/>
                            <a:ext cx="390" cy="0"/>
                          </a:xfrm>
                          <a:prstGeom prst="straightConnector1">
                            <a:avLst/>
                          </a:prstGeom>
                          <a:ln w="9525" cap="flat" cmpd="sng">
                            <a:solidFill>
                              <a:srgbClr val="000000"/>
                            </a:solidFill>
                            <a:prstDash val="solid"/>
                            <a:headEnd type="none" w="med" len="med"/>
                            <a:tailEnd type="triangle" w="med" len="med"/>
                          </a:ln>
                        </wps:spPr>
                        <wps:bodyPr/>
                      </wps:wsp>
                      <wps:wsp>
                        <wps:cNvPr id="9" name="矩形 9"/>
                        <wps:cNvSpPr/>
                        <wps:spPr>
                          <a:xfrm>
                            <a:off x="8340" y="7530"/>
                            <a:ext cx="1620" cy="5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细破机</w:t>
                              </w:r>
                            </w:p>
                          </w:txbxContent>
                        </wps:txbx>
                        <wps:bodyPr upright="1"/>
                      </wps:wsp>
                      <wps:wsp>
                        <wps:cNvPr id="10" name="矩形 10"/>
                        <wps:cNvSpPr/>
                        <wps:spPr>
                          <a:xfrm>
                            <a:off x="8340" y="8940"/>
                            <a:ext cx="1620" cy="5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双轴搅拌机</w:t>
                              </w:r>
                            </w:p>
                          </w:txbxContent>
                        </wps:txbx>
                        <wps:bodyPr upright="1"/>
                      </wps:wsp>
                      <wps:wsp>
                        <wps:cNvPr id="11" name="矩形 11"/>
                        <wps:cNvSpPr/>
                        <wps:spPr>
                          <a:xfrm>
                            <a:off x="6330" y="8940"/>
                            <a:ext cx="1620" cy="5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液压多斗挖掘</w:t>
                              </w:r>
                            </w:p>
                          </w:txbxContent>
                        </wps:txbx>
                        <wps:bodyPr upright="1"/>
                      </wps:wsp>
                      <wps:wsp>
                        <wps:cNvPr id="12" name="矩形 12"/>
                        <wps:cNvSpPr/>
                        <wps:spPr>
                          <a:xfrm>
                            <a:off x="4320" y="8940"/>
                            <a:ext cx="1620" cy="5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箱式给料机</w:t>
                              </w:r>
                            </w:p>
                          </w:txbxContent>
                        </wps:txbx>
                        <wps:bodyPr upright="1"/>
                      </wps:wsp>
                      <wps:wsp>
                        <wps:cNvPr id="13" name="矩形 13"/>
                        <wps:cNvSpPr/>
                        <wps:spPr>
                          <a:xfrm>
                            <a:off x="2310" y="8940"/>
                            <a:ext cx="1620" cy="5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挤泥机</w:t>
                              </w:r>
                            </w:p>
                          </w:txbxContent>
                        </wps:txbx>
                        <wps:bodyPr upright="1"/>
                      </wps:wsp>
                      <wps:wsp>
                        <wps:cNvPr id="14" name="直接箭头连接符 14"/>
                        <wps:cNvCnPr/>
                        <wps:spPr>
                          <a:xfrm flipH="1">
                            <a:off x="7935" y="9240"/>
                            <a:ext cx="405" cy="0"/>
                          </a:xfrm>
                          <a:prstGeom prst="straightConnector1">
                            <a:avLst/>
                          </a:prstGeom>
                          <a:ln w="9525" cap="flat" cmpd="sng">
                            <a:solidFill>
                              <a:srgbClr val="000000"/>
                            </a:solidFill>
                            <a:prstDash val="solid"/>
                            <a:headEnd type="none" w="med" len="med"/>
                            <a:tailEnd type="triangle" w="med" len="med"/>
                          </a:ln>
                        </wps:spPr>
                        <wps:bodyPr/>
                      </wps:wsp>
                      <wps:wsp>
                        <wps:cNvPr id="15" name="直接箭头连接符 15"/>
                        <wps:cNvCnPr/>
                        <wps:spPr>
                          <a:xfrm flipH="1">
                            <a:off x="5940" y="9240"/>
                            <a:ext cx="405" cy="0"/>
                          </a:xfrm>
                          <a:prstGeom prst="straightConnector1">
                            <a:avLst/>
                          </a:prstGeom>
                          <a:ln w="9525" cap="flat" cmpd="sng">
                            <a:solidFill>
                              <a:srgbClr val="000000"/>
                            </a:solidFill>
                            <a:prstDash val="solid"/>
                            <a:headEnd type="none" w="med" len="med"/>
                            <a:tailEnd type="triangle" w="med" len="med"/>
                          </a:ln>
                        </wps:spPr>
                        <wps:bodyPr/>
                      </wps:wsp>
                      <wps:wsp>
                        <wps:cNvPr id="16" name="直接箭头连接符 16"/>
                        <wps:cNvCnPr/>
                        <wps:spPr>
                          <a:xfrm flipH="1">
                            <a:off x="3915" y="9240"/>
                            <a:ext cx="405" cy="0"/>
                          </a:xfrm>
                          <a:prstGeom prst="straightConnector1">
                            <a:avLst/>
                          </a:prstGeom>
                          <a:ln w="9525" cap="flat" cmpd="sng">
                            <a:solidFill>
                              <a:srgbClr val="000000"/>
                            </a:solidFill>
                            <a:prstDash val="solid"/>
                            <a:headEnd type="none" w="med" len="med"/>
                            <a:tailEnd type="triangle" w="med" len="med"/>
                          </a:ln>
                        </wps:spPr>
                        <wps:bodyPr/>
                      </wps:wsp>
                      <wps:wsp>
                        <wps:cNvPr id="17" name="矩形 17"/>
                        <wps:cNvSpPr/>
                        <wps:spPr>
                          <a:xfrm>
                            <a:off x="2310" y="10350"/>
                            <a:ext cx="1620" cy="585"/>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切条、切坏机</w:t>
                              </w:r>
                            </w:p>
                          </w:txbxContent>
                        </wps:txbx>
                        <wps:bodyPr upright="1"/>
                      </wps:wsp>
                      <wps:wsp>
                        <wps:cNvPr id="19" name="直接箭头连接符 19"/>
                        <wps:cNvCnPr/>
                        <wps:spPr>
                          <a:xfrm>
                            <a:off x="3930" y="10680"/>
                            <a:ext cx="390" cy="0"/>
                          </a:xfrm>
                          <a:prstGeom prst="straightConnector1">
                            <a:avLst/>
                          </a:prstGeom>
                          <a:ln w="9525" cap="flat" cmpd="sng">
                            <a:solidFill>
                              <a:srgbClr val="000000"/>
                            </a:solidFill>
                            <a:prstDash val="solid"/>
                            <a:headEnd type="none" w="med" len="med"/>
                            <a:tailEnd type="triangle" w="med" len="med"/>
                          </a:ln>
                        </wps:spPr>
                        <wps:bodyPr/>
                      </wps:wsp>
                      <wps:wsp>
                        <wps:cNvPr id="20" name="矩形 20"/>
                        <wps:cNvSpPr/>
                        <wps:spPr>
                          <a:xfrm>
                            <a:off x="4320" y="10350"/>
                            <a:ext cx="1620" cy="5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自动编码</w:t>
                              </w:r>
                            </w:p>
                          </w:txbxContent>
                        </wps:txbx>
                        <wps:bodyPr upright="1"/>
                      </wps:wsp>
                      <wps:wsp>
                        <wps:cNvPr id="21" name="直接箭头连接符 21"/>
                        <wps:cNvCnPr/>
                        <wps:spPr>
                          <a:xfrm>
                            <a:off x="9180" y="10935"/>
                            <a:ext cx="0" cy="825"/>
                          </a:xfrm>
                          <a:prstGeom prst="straightConnector1">
                            <a:avLst/>
                          </a:prstGeom>
                          <a:ln w="9525" cap="flat" cmpd="sng">
                            <a:solidFill>
                              <a:srgbClr val="000000"/>
                            </a:solidFill>
                            <a:prstDash val="solid"/>
                            <a:headEnd type="none" w="med" len="med"/>
                            <a:tailEnd type="triangle" w="med" len="med"/>
                          </a:ln>
                        </wps:spPr>
                        <wps:bodyPr/>
                      </wps:wsp>
                      <wps:wsp>
                        <wps:cNvPr id="22" name="直接箭头连接符 22"/>
                        <wps:cNvCnPr/>
                        <wps:spPr>
                          <a:xfrm>
                            <a:off x="5940" y="10665"/>
                            <a:ext cx="390" cy="0"/>
                          </a:xfrm>
                          <a:prstGeom prst="straightConnector1">
                            <a:avLst/>
                          </a:prstGeom>
                          <a:ln w="9525" cap="flat" cmpd="sng">
                            <a:solidFill>
                              <a:srgbClr val="000000"/>
                            </a:solidFill>
                            <a:prstDash val="solid"/>
                            <a:headEnd type="none" w="med" len="med"/>
                            <a:tailEnd type="triangle" w="med" len="med"/>
                          </a:ln>
                        </wps:spPr>
                        <wps:bodyPr/>
                      </wps:wsp>
                      <wps:wsp>
                        <wps:cNvPr id="23" name="矩形 23"/>
                        <wps:cNvSpPr/>
                        <wps:spPr>
                          <a:xfrm>
                            <a:off x="6330" y="10350"/>
                            <a:ext cx="1620" cy="5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自动码坯机</w:t>
                              </w:r>
                            </w:p>
                          </w:txbxContent>
                        </wps:txbx>
                        <wps:bodyPr upright="1"/>
                      </wps:wsp>
                      <wps:wsp>
                        <wps:cNvPr id="24" name="直接箭头连接符 24"/>
                        <wps:cNvCnPr/>
                        <wps:spPr>
                          <a:xfrm>
                            <a:off x="7950" y="10665"/>
                            <a:ext cx="390" cy="0"/>
                          </a:xfrm>
                          <a:prstGeom prst="straightConnector1">
                            <a:avLst/>
                          </a:prstGeom>
                          <a:ln w="9525" cap="flat" cmpd="sng">
                            <a:solidFill>
                              <a:srgbClr val="000000"/>
                            </a:solidFill>
                            <a:prstDash val="solid"/>
                            <a:headEnd type="none" w="med" len="med"/>
                            <a:tailEnd type="triangle" w="med" len="med"/>
                          </a:ln>
                        </wps:spPr>
                        <wps:bodyPr/>
                      </wps:wsp>
                      <wps:wsp>
                        <wps:cNvPr id="25" name="矩形 25"/>
                        <wps:cNvSpPr/>
                        <wps:spPr>
                          <a:xfrm>
                            <a:off x="8340" y="10350"/>
                            <a:ext cx="1620" cy="5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窑车</w:t>
                              </w:r>
                            </w:p>
                          </w:txbxContent>
                        </wps:txbx>
                        <wps:bodyPr upright="1"/>
                      </wps:wsp>
                      <wps:wsp>
                        <wps:cNvPr id="26" name="直接箭头连接符 26"/>
                        <wps:cNvCnPr/>
                        <wps:spPr>
                          <a:xfrm>
                            <a:off x="9180" y="8115"/>
                            <a:ext cx="0" cy="825"/>
                          </a:xfrm>
                          <a:prstGeom prst="straightConnector1">
                            <a:avLst/>
                          </a:prstGeom>
                          <a:ln w="9525" cap="flat" cmpd="sng">
                            <a:solidFill>
                              <a:srgbClr val="000000"/>
                            </a:solidFill>
                            <a:prstDash val="solid"/>
                            <a:headEnd type="none" w="med" len="med"/>
                            <a:tailEnd type="triangle" w="med" len="med"/>
                          </a:ln>
                        </wps:spPr>
                        <wps:bodyPr/>
                      </wps:wsp>
                      <wps:wsp>
                        <wps:cNvPr id="27" name="矩形 27"/>
                        <wps:cNvSpPr/>
                        <wps:spPr>
                          <a:xfrm>
                            <a:off x="8355" y="11760"/>
                            <a:ext cx="1620" cy="5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存坯线</w:t>
                              </w:r>
                            </w:p>
                          </w:txbxContent>
                        </wps:txbx>
                        <wps:bodyPr upright="1"/>
                      </wps:wsp>
                      <wps:wsp>
                        <wps:cNvPr id="28" name="矩形 28"/>
                        <wps:cNvSpPr/>
                        <wps:spPr>
                          <a:xfrm>
                            <a:off x="6345" y="11760"/>
                            <a:ext cx="1620" cy="5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干燥窑</w:t>
                              </w:r>
                            </w:p>
                          </w:txbxContent>
                        </wps:txbx>
                        <wps:bodyPr upright="1"/>
                      </wps:wsp>
                      <wps:wsp>
                        <wps:cNvPr id="29" name="矩形 29"/>
                        <wps:cNvSpPr/>
                        <wps:spPr>
                          <a:xfrm>
                            <a:off x="4335" y="11760"/>
                            <a:ext cx="1620" cy="5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焙烧窑</w:t>
                              </w:r>
                            </w:p>
                          </w:txbxContent>
                        </wps:txbx>
                        <wps:bodyPr upright="1"/>
                      </wps:wsp>
                      <wps:wsp>
                        <wps:cNvPr id="30" name="矩形 30"/>
                        <wps:cNvSpPr/>
                        <wps:spPr>
                          <a:xfrm>
                            <a:off x="2325" y="11760"/>
                            <a:ext cx="1620" cy="5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成品装车</w:t>
                              </w:r>
                            </w:p>
                          </w:txbxContent>
                        </wps:txbx>
                        <wps:bodyPr upright="1"/>
                      </wps:wsp>
                      <wps:wsp>
                        <wps:cNvPr id="31" name="直接箭头连接符 31"/>
                        <wps:cNvCnPr/>
                        <wps:spPr>
                          <a:xfrm flipH="1">
                            <a:off x="7950" y="12060"/>
                            <a:ext cx="405" cy="0"/>
                          </a:xfrm>
                          <a:prstGeom prst="straightConnector1">
                            <a:avLst/>
                          </a:prstGeom>
                          <a:ln w="9525" cap="flat" cmpd="sng">
                            <a:solidFill>
                              <a:srgbClr val="000000"/>
                            </a:solidFill>
                            <a:prstDash val="solid"/>
                            <a:headEnd type="none" w="med" len="med"/>
                            <a:tailEnd type="triangle" w="med" len="med"/>
                          </a:ln>
                        </wps:spPr>
                        <wps:bodyPr/>
                      </wps:wsp>
                      <wps:wsp>
                        <wps:cNvPr id="32" name="直接箭头连接符 32"/>
                        <wps:cNvCnPr/>
                        <wps:spPr>
                          <a:xfrm flipH="1">
                            <a:off x="5955" y="12060"/>
                            <a:ext cx="405" cy="0"/>
                          </a:xfrm>
                          <a:prstGeom prst="straightConnector1">
                            <a:avLst/>
                          </a:prstGeom>
                          <a:ln w="9525" cap="flat" cmpd="sng">
                            <a:solidFill>
                              <a:srgbClr val="000000"/>
                            </a:solidFill>
                            <a:prstDash val="solid"/>
                            <a:headEnd type="none" w="med" len="med"/>
                            <a:tailEnd type="triangle" w="med" len="med"/>
                          </a:ln>
                        </wps:spPr>
                        <wps:bodyPr/>
                      </wps:wsp>
                      <wps:wsp>
                        <wps:cNvPr id="33" name="直接箭头连接符 33"/>
                        <wps:cNvCnPr/>
                        <wps:spPr>
                          <a:xfrm flipH="1">
                            <a:off x="3930" y="12060"/>
                            <a:ext cx="405" cy="0"/>
                          </a:xfrm>
                          <a:prstGeom prst="straightConnector1">
                            <a:avLst/>
                          </a:prstGeom>
                          <a:ln w="9525" cap="flat" cmpd="sng">
                            <a:solidFill>
                              <a:srgbClr val="000000"/>
                            </a:solidFill>
                            <a:prstDash val="solid"/>
                            <a:headEnd type="none" w="med" len="med"/>
                            <a:tailEnd type="triangle" w="med" len="med"/>
                          </a:ln>
                        </wps:spPr>
                        <wps:bodyPr/>
                      </wps:wsp>
                    </wpg:wgp>
                  </a:graphicData>
                </a:graphic>
              </wp:anchor>
            </w:drawing>
          </mc:Choice>
          <mc:Fallback>
            <w:pict>
              <v:group id="_x0000_s1026" o:spid="_x0000_s1026" o:spt="203" style="position:absolute;left:0pt;margin-left:17pt;margin-top:6pt;height:240.75pt;width:383.25pt;z-index:251669504;mso-width-relative:page;mso-height-relative:page;" coordorigin="2310,7530" coordsize="7665,4815" o:gfxdata="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">
                <o:lock v:ext="edit" aspectratio="f"/>
                <v:rect id="_x0000_s1026" o:spid="_x0000_s1026" o:spt="1" style="position:absolute;left:2310;top:7530;height:585;width:1620;" fillcolor="#FFFFFF" filled="t" stroked="t" coordsize="21600,21600" o:gfxdata="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hgnEm5AAAA2gAA&#10;AA8AAAAAAAAAAQAgAAAAIgAAAGRycy9kb3ducmV2LnhtbFBLAQIUABQAAAAIAIdO4kAzLwWeOwAA&#10;ADkAAAAQAAAAAAAAAAEAIAAAAAgBAABkcnMvc2hhcGV4bWwueG1sUEsFBgAAAAAGAAYAWwEAALID&#10;AAAAAA==&#10;">
                  <v:fill on="t" focussize="0,0"/>
                  <v:stroke color="#000000" joinstyle="miter"/>
                  <v:imagedata o:title=""/>
                  <o:lock v:ext="edit" aspectratio="f"/>
                  <v:textbox>
                    <w:txbxContent>
                      <w:p>
                        <w:r>
                          <w:rPr>
                            <w:rFonts w:hint="eastAsia"/>
                          </w:rPr>
                          <w:t>煤矸石、页岩</w:t>
                        </w:r>
                      </w:p>
                    </w:txbxContent>
                  </v:textbox>
                </v:rect>
                <v:shape id="_x0000_s1026" o:spid="_x0000_s1026" o:spt="32" type="#_x0000_t32" style="position:absolute;left:3930;top:7860;height:0;width:390;" filled="f" stroked="t" coordsize="21600,21600" o:gfxdata="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jcQ6K8AAAA&#10;2g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rect id="_x0000_s1026" o:spid="_x0000_s1026" o:spt="1" style="position:absolute;left:4320;top:7530;height:585;width:1620;" fillcolor="#FFFFFF" filled="t" stroked="t" coordsize="21600,21600" o:gfxdata="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6npbsAAADa&#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jc w:val="center"/>
                        </w:pPr>
                        <w:r>
                          <w:rPr>
                            <w:rFonts w:hint="eastAsia"/>
                          </w:rPr>
                          <w:t>板式给料机</w:t>
                        </w:r>
                      </w:p>
                    </w:txbxContent>
                  </v:textbox>
                </v:rect>
                <v:shape id="_x0000_s1026" o:spid="_x0000_s1026" o:spt="32" type="#_x0000_t32" style="position:absolute;left:3060;top:9525;height:825;width:0;" filled="f" stroked="t" coordsize="21600,21600" o:gfxdata="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c129a8AAAA&#10;2g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shape id="_x0000_s1026" o:spid="_x0000_s1026" o:spt="32" type="#_x0000_t32" style="position:absolute;left:5940;top:7845;height:0;width:390;" filled="f" stroked="t" coordsize="21600,21600" o:gfxdata="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fnRaG8AAAA&#10;2g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rect id="_x0000_s1026" o:spid="_x0000_s1026" o:spt="1" style="position:absolute;left:6330;top:7530;height:585;width:1620;" fillcolor="#FFFFFF" filled="t" stroked="t" coordsize="21600,21600" o:gfxdata="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4xaGmvQAA&#10;ANo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pPr>
                        <w:r>
                          <w:rPr>
                            <w:rFonts w:hint="eastAsia"/>
                          </w:rPr>
                          <w:t>鄂破机</w:t>
                        </w:r>
                      </w:p>
                    </w:txbxContent>
                  </v:textbox>
                </v:rect>
                <v:shape id="_x0000_s1026" o:spid="_x0000_s1026" o:spt="32" type="#_x0000_t32" style="position:absolute;left:7950;top:7845;height:0;width:390;" filled="f" stroked="t" coordsize="21600,21600" o:gfxdata="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k0dEi5AAAA2gAA&#10;AA8AAAAAAAAAAQAgAAAAIgAAAGRycy9kb3ducmV2LnhtbFBLAQIUABQAAAAIAIdO4kAzLwWeOwAA&#10;ADkAAAAQAAAAAAAAAAEAIAAAAAgBAABkcnMvc2hhcGV4bWwueG1sUEsFBgAAAAAGAAYAWwEAALID&#10;AAAAAA==&#10;">
                  <v:fill on="f" focussize="0,0"/>
                  <v:stroke color="#000000" joinstyle="round" endarrow="block"/>
                  <v:imagedata o:title=""/>
                  <o:lock v:ext="edit" aspectratio="f"/>
                </v:shape>
                <v:rect id="_x0000_s1026" o:spid="_x0000_s1026" o:spt="1" style="position:absolute;left:8340;top:7530;height:585;width:1620;" fillcolor="#FFFFFF" filled="t" stroked="t" coordsize="21600,21600" o:gfxdata="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YWkE+8AAAA&#10;2g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pPr>
                        <w:r>
                          <w:rPr>
                            <w:rFonts w:hint="eastAsia"/>
                          </w:rPr>
                          <w:t>细破机</w:t>
                        </w:r>
                      </w:p>
                    </w:txbxContent>
                  </v:textbox>
                </v:rect>
                <v:rect id="_x0000_s1026" o:spid="_x0000_s1026" o:spt="1" style="position:absolute;left:8340;top:8940;height:585;width:1620;" fillcolor="#FFFFFF" filled="t" stroked="t" coordsize="21600,21600" o:gfxdata="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WcHpG8AAAA&#10;2w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pPr>
                        <w:r>
                          <w:rPr>
                            <w:rFonts w:hint="eastAsia"/>
                          </w:rPr>
                          <w:t>双轴搅拌机</w:t>
                        </w:r>
                      </w:p>
                    </w:txbxContent>
                  </v:textbox>
                </v:rect>
                <v:rect id="_x0000_s1026" o:spid="_x0000_s1026" o:spt="1" style="position:absolute;left:6330;top:8940;height:585;width:1620;" fillcolor="#FFFFFF" filled="t" stroked="t" coordsize="21600,21600" o:gfxdata="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tC7CrsAAADb&#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jc w:val="center"/>
                        </w:pPr>
                        <w:r>
                          <w:rPr>
                            <w:rFonts w:hint="eastAsia"/>
                          </w:rPr>
                          <w:t>液压多斗挖掘</w:t>
                        </w:r>
                      </w:p>
                    </w:txbxContent>
                  </v:textbox>
                </v:rect>
                <v:rect id="_x0000_s1026" o:spid="_x0000_s1026" o:spt="1" style="position:absolute;left:4320;top:8940;height:585;width:1620;" fillcolor="#FFFFFF" filled="t" stroked="t" coordsize="21600,21600" o:gfxdata="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gIlfbsAAADb&#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jc w:val="center"/>
                        </w:pPr>
                        <w:r>
                          <w:rPr>
                            <w:rFonts w:hint="eastAsia"/>
                          </w:rPr>
                          <w:t>箱式给料机</w:t>
                        </w:r>
                      </w:p>
                    </w:txbxContent>
                  </v:textbox>
                </v:rect>
                <v:rect id="_x0000_s1026" o:spid="_x0000_s1026" o:spt="1" style="position:absolute;left:2310;top:8940;height:585;width:1620;" fillcolor="#FFFFFF" filled="t" stroked="t" coordsize="21600,21600" o:gfxdata="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1ToDmugAAANs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jc w:val="center"/>
                        </w:pPr>
                        <w:r>
                          <w:rPr>
                            <w:rFonts w:hint="eastAsia"/>
                          </w:rPr>
                          <w:t>挤泥机</w:t>
                        </w:r>
                      </w:p>
                    </w:txbxContent>
                  </v:textbox>
                </v:rect>
                <v:shape id="_x0000_s1026" o:spid="_x0000_s1026" o:spt="32" type="#_x0000_t32" style="position:absolute;left:7935;top:9240;flip:x;height:0;width:405;" filled="f" stroked="t" coordsize="21600,21600" o:gfxdata="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TGule8AAAA&#10;2w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shape id="_x0000_s1026" o:spid="_x0000_s1026" o:spt="32" type="#_x0000_t32" style="position:absolute;left:5940;top:9240;flip:x;height:0;width:405;" filled="f" stroked="t" coordsize="21600,21600" o:gfxdata="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bih/MugAAANsA&#10;AAAPAAAAAAAAAAEAIAAAACIAAABkcnMvZG93bnJldi54bWxQSwECFAAUAAAACACHTuJAMy8FnjsA&#10;AAA5AAAAEAAAAAAAAAABACAAAAAJAQAAZHJzL3NoYXBleG1sLnhtbFBLBQYAAAAABgAGAFsBAACz&#10;AwAAAAA=&#10;">
                  <v:fill on="f" focussize="0,0"/>
                  <v:stroke color="#000000" joinstyle="round" endarrow="block"/>
                  <v:imagedata o:title=""/>
                  <o:lock v:ext="edit" aspectratio="f"/>
                </v:shape>
                <v:shape id="_x0000_s1026" o:spid="_x0000_s1026" o:spt="32" type="#_x0000_t32" style="position:absolute;left:3915;top:9240;flip:x;height:0;width:405;" filled="f" stroked="t" coordsize="21600,21600" o:gfxdata="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1iBu7sAAADb&#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shape>
                <v:rect id="_x0000_s1026" o:spid="_x0000_s1026" o:spt="1" style="position:absolute;left:2310;top:10350;height:585;width:1620;" fillcolor="#FFFFFF" filled="t" stroked="t" coordsize="21600,21600" o:gfxdata="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KdYblugAAANs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r>
                          <w:rPr>
                            <w:rFonts w:hint="eastAsia"/>
                          </w:rPr>
                          <w:t>切条、切坏机</w:t>
                        </w:r>
                      </w:p>
                    </w:txbxContent>
                  </v:textbox>
                </v:rect>
                <v:shape id="_x0000_s1026" o:spid="_x0000_s1026" o:spt="32" type="#_x0000_t32" style="position:absolute;left:3930;top:10680;height:0;width:390;" filled="f" stroked="t" coordsize="21600,21600" o:gfxdata="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rZAZ7sAAADb&#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shape>
                <v:rect id="_x0000_s1026" o:spid="_x0000_s1026" o:spt="1" style="position:absolute;left:4320;top:10350;height:585;width:1620;" fillcolor="#FFFFFF" filled="t" stroked="t" coordsize="21600,21600" o:gfxdata="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L8NQsugAAANs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jc w:val="center"/>
                        </w:pPr>
                        <w:r>
                          <w:rPr>
                            <w:rFonts w:hint="eastAsia"/>
                          </w:rPr>
                          <w:t>自动编码</w:t>
                        </w:r>
                      </w:p>
                    </w:txbxContent>
                  </v:textbox>
                </v:rect>
                <v:shape id="_x0000_s1026" o:spid="_x0000_s1026" o:spt="32" type="#_x0000_t32" style="position:absolute;left:9180;top:10935;height:825;width:0;" filled="f" stroked="t" coordsize="21600,21600" o:gfxdata="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qyG3L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_x0000_s1026" o:spid="_x0000_s1026" o:spt="32" type="#_x0000_t32" style="position:absolute;left:5940;top:10665;height:0;width:390;" filled="f" stroked="t" coordsize="21600,21600" o:gfxdata="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OfhirvQAA&#10;ANs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rect id="_x0000_s1026" o:spid="_x0000_s1026" o:spt="1" style="position:absolute;left:6330;top:10350;height:585;width:1620;" fillcolor="#FFFFFF" filled="t" stroked="t" coordsize="21600,21600" o:gfxdata="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siSlu8AAAA&#10;2w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pPr>
                        <w:r>
                          <w:rPr>
                            <w:rFonts w:hint="eastAsia"/>
                          </w:rPr>
                          <w:t>自动码坯机</w:t>
                        </w:r>
                      </w:p>
                    </w:txbxContent>
                  </v:textbox>
                </v:rect>
                <v:shape id="_x0000_s1026" o:spid="_x0000_s1026" o:spt="32" type="#_x0000_t32" style="position:absolute;left:7950;top:10665;height:0;width:390;" filled="f" stroked="t" coordsize="21600,21600" o:gfxdata="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tslRL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rect id="_x0000_s1026" o:spid="_x0000_s1026" o:spt="1" style="position:absolute;left:8340;top:10350;height:585;width:1620;" fillcolor="#FFFFFF" filled="t" stroked="t" coordsize="21600,21600" o:gfxdata="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h3e0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pPr>
                        <w:r>
                          <w:rPr>
                            <w:rFonts w:hint="eastAsia"/>
                          </w:rPr>
                          <w:t>窑车</w:t>
                        </w:r>
                      </w:p>
                    </w:txbxContent>
                  </v:textbox>
                </v:rect>
                <v:shape id="_x0000_s1026" o:spid="_x0000_s1026" o:spt="32" type="#_x0000_t32" style="position:absolute;left:9180;top:8115;height:825;width:0;" filled="f" stroked="t" coordsize="21600,21600" o:gfxdata="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xRR6ovQAA&#10;ANs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rect id="_x0000_s1026" o:spid="_x0000_s1026" o:spt="1" style="position:absolute;left:8355;top:11760;height:585;width:1620;" fillcolor="#FFFFFF" filled="t" stroked="t" coordsize="21600,21600" o:gfxdata="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GUxY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pPr>
                        <w:r>
                          <w:rPr>
                            <w:rFonts w:hint="eastAsia"/>
                          </w:rPr>
                          <w:t>存坯线</w:t>
                        </w:r>
                      </w:p>
                    </w:txbxContent>
                  </v:textbox>
                </v:rect>
                <v:rect id="_x0000_s1026" o:spid="_x0000_s1026" o:spt="1" style="position:absolute;left:6345;top:11760;height:585;width:1620;" fillcolor="#FFFFFF" filled="t" stroked="t" coordsize="21600,21600" o:gfxdata="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1htgqugAAANs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jc w:val="center"/>
                        </w:pPr>
                        <w:r>
                          <w:rPr>
                            <w:rFonts w:hint="eastAsia"/>
                          </w:rPr>
                          <w:t>干燥窑</w:t>
                        </w:r>
                      </w:p>
                    </w:txbxContent>
                  </v:textbox>
                </v:rect>
                <v:rect id="_x0000_s1026" o:spid="_x0000_s1026" o:spt="1" style="position:absolute;left:4335;top:11760;height:585;width:1620;" fillcolor="#FFFFFF" filled="t" stroked="t" coordsize="21600,21600" o:gfxdata="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rKfbG8AAAA&#10;2w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pPr>
                        <w:r>
                          <w:rPr>
                            <w:rFonts w:hint="eastAsia"/>
                          </w:rPr>
                          <w:t>焙烧窑</w:t>
                        </w:r>
                      </w:p>
                    </w:txbxContent>
                  </v:textbox>
                </v:rect>
                <v:rect id="_x0000_s1026" o:spid="_x0000_s1026" o:spt="1" style="position:absolute;left:2325;top:11760;height:585;width:1620;" fillcolor="#FFFFFF" filled="t" stroked="t" coordsize="21600,21600" o:gfxdata="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ilC8bsAAADb&#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jc w:val="center"/>
                        </w:pPr>
                        <w:r>
                          <w:rPr>
                            <w:rFonts w:hint="eastAsia"/>
                          </w:rPr>
                          <w:t>成品装车</w:t>
                        </w:r>
                      </w:p>
                    </w:txbxContent>
                  </v:textbox>
                </v:rect>
                <v:shape id="_x0000_s1026" o:spid="_x0000_s1026" o:spt="32" type="#_x0000_t32" style="position:absolute;left:7950;top:12060;flip:x;height:0;width:405;" filled="f" stroked="t" coordsize="21600,21600" o:gfxdata="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vBEWvvQAA&#10;ANs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_x0000_s1026" o:spid="_x0000_s1026" o:spt="32" type="#_x0000_t32" style="position:absolute;left:5955;top:12060;flip:x;height:0;width:405;" filled="f" stroked="t" coordsize="21600,21600" o:gfxdata="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f1tvYvQAA&#10;ANs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_x0000_s1026" o:spid="_x0000_s1026" o:spt="32" type="#_x0000_t32" style="position:absolute;left:3930;top:12060;flip:x;height:0;width:405;" filled="f" stroked="t" coordsize="21600,21600" o:gfxdata="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wmn5DvQAA&#10;ANs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group>
            </w:pict>
          </mc:Fallback>
        </mc:AlternateContent>
      </w:r>
    </w:p>
    <w:p>
      <w:pPr>
        <w:spacing w:line="360" w:lineRule="auto"/>
        <w:ind w:firstLine="560" w:firstLineChars="200"/>
        <w:rPr>
          <w:rFonts w:hint="eastAsia" w:ascii="宋体"/>
          <w:snapToGrid w:val="0"/>
          <w:color w:val="auto"/>
          <w:kern w:val="0"/>
          <w:sz w:val="28"/>
          <w:szCs w:val="28"/>
        </w:rPr>
      </w:pPr>
    </w:p>
    <w:p>
      <w:pPr>
        <w:spacing w:line="360" w:lineRule="auto"/>
        <w:ind w:firstLine="560" w:firstLineChars="200"/>
        <w:rPr>
          <w:rFonts w:hint="eastAsia" w:ascii="宋体"/>
          <w:snapToGrid w:val="0"/>
          <w:color w:val="auto"/>
          <w:kern w:val="0"/>
          <w:sz w:val="28"/>
          <w:szCs w:val="28"/>
        </w:rPr>
      </w:pPr>
    </w:p>
    <w:p>
      <w:pPr>
        <w:spacing w:line="360" w:lineRule="auto"/>
        <w:ind w:firstLine="560" w:firstLineChars="200"/>
        <w:rPr>
          <w:rFonts w:hint="eastAsia" w:ascii="宋体"/>
          <w:snapToGrid w:val="0"/>
          <w:color w:val="auto"/>
          <w:kern w:val="0"/>
          <w:sz w:val="28"/>
          <w:szCs w:val="28"/>
        </w:rPr>
      </w:pPr>
    </w:p>
    <w:p>
      <w:pPr>
        <w:spacing w:line="360" w:lineRule="auto"/>
        <w:ind w:firstLine="560" w:firstLineChars="200"/>
        <w:rPr>
          <w:rFonts w:hint="eastAsia" w:ascii="宋体"/>
          <w:snapToGrid w:val="0"/>
          <w:color w:val="auto"/>
          <w:kern w:val="0"/>
          <w:sz w:val="28"/>
          <w:szCs w:val="28"/>
        </w:rPr>
      </w:pPr>
    </w:p>
    <w:p>
      <w:pPr>
        <w:spacing w:line="360" w:lineRule="auto"/>
        <w:ind w:firstLine="560" w:firstLineChars="200"/>
        <w:rPr>
          <w:rFonts w:hint="eastAsia" w:ascii="宋体"/>
          <w:snapToGrid w:val="0"/>
          <w:color w:val="auto"/>
          <w:kern w:val="0"/>
          <w:sz w:val="28"/>
          <w:szCs w:val="28"/>
        </w:rPr>
      </w:pPr>
    </w:p>
    <w:p>
      <w:pPr>
        <w:spacing w:line="360" w:lineRule="auto"/>
        <w:ind w:firstLine="560" w:firstLineChars="200"/>
        <w:rPr>
          <w:rFonts w:hint="eastAsia" w:ascii="宋体"/>
          <w:snapToGrid w:val="0"/>
          <w:color w:val="auto"/>
          <w:kern w:val="0"/>
          <w:sz w:val="28"/>
          <w:szCs w:val="28"/>
        </w:rPr>
      </w:pPr>
    </w:p>
    <w:p>
      <w:pPr>
        <w:spacing w:line="360" w:lineRule="auto"/>
        <w:ind w:firstLine="560" w:firstLineChars="200"/>
        <w:rPr>
          <w:rFonts w:hint="eastAsia" w:ascii="宋体"/>
          <w:snapToGrid w:val="0"/>
          <w:color w:val="auto"/>
          <w:kern w:val="0"/>
          <w:sz w:val="28"/>
          <w:szCs w:val="28"/>
        </w:rPr>
      </w:pPr>
    </w:p>
    <w:p>
      <w:pPr>
        <w:tabs>
          <w:tab w:val="left" w:pos="180"/>
          <w:tab w:val="left" w:pos="1800"/>
          <w:tab w:val="left" w:pos="1980"/>
          <w:tab w:val="left" w:pos="2520"/>
          <w:tab w:val="left" w:pos="2700"/>
          <w:tab w:val="left" w:pos="2880"/>
          <w:tab w:val="left" w:pos="4140"/>
          <w:tab w:val="left" w:pos="4680"/>
        </w:tabs>
        <w:spacing w:line="360" w:lineRule="auto"/>
        <w:jc w:val="center"/>
        <w:rPr>
          <w:rFonts w:hint="eastAsia" w:ascii="黑体" w:hAnsi="黑体" w:eastAsia="黑体"/>
          <w:b/>
          <w:snapToGrid w:val="0"/>
          <w:color w:val="auto"/>
          <w:kern w:val="0"/>
          <w:sz w:val="24"/>
          <w:lang w:eastAsia="zh-CN"/>
        </w:rPr>
      </w:pPr>
      <w:r>
        <w:rPr>
          <w:rFonts w:hint="eastAsia" w:ascii="黑体" w:hAnsi="黑体" w:eastAsia="黑体"/>
          <w:b/>
          <w:snapToGrid w:val="0"/>
          <w:color w:val="auto"/>
          <w:kern w:val="0"/>
          <w:sz w:val="24"/>
          <w:lang w:eastAsia="zh-CN"/>
        </w:rPr>
        <w:t>图</w:t>
      </w:r>
      <w:r>
        <w:rPr>
          <w:rFonts w:hint="eastAsia" w:ascii="黑体" w:hAnsi="黑体" w:eastAsia="黑体"/>
          <w:b/>
          <w:snapToGrid w:val="0"/>
          <w:color w:val="auto"/>
          <w:kern w:val="0"/>
          <w:sz w:val="24"/>
          <w:lang w:val="en-US" w:eastAsia="zh-CN"/>
        </w:rPr>
        <w:t>2</w:t>
      </w:r>
      <w:r>
        <w:rPr>
          <w:rFonts w:hint="eastAsia" w:ascii="黑体" w:hAnsi="黑体" w:eastAsia="黑体"/>
          <w:b/>
          <w:snapToGrid w:val="0"/>
          <w:color w:val="auto"/>
          <w:kern w:val="0"/>
          <w:sz w:val="24"/>
          <w:lang w:eastAsia="zh-CN"/>
        </w:rPr>
        <w:t>-</w:t>
      </w:r>
      <w:r>
        <w:rPr>
          <w:rFonts w:hint="eastAsia" w:ascii="黑体" w:hAnsi="黑体" w:eastAsia="黑体"/>
          <w:b/>
          <w:snapToGrid w:val="0"/>
          <w:color w:val="auto"/>
          <w:kern w:val="0"/>
          <w:sz w:val="24"/>
          <w:lang w:val="en-US" w:eastAsia="zh-CN"/>
        </w:rPr>
        <w:t>4</w:t>
      </w:r>
      <w:r>
        <w:rPr>
          <w:rFonts w:hint="eastAsia" w:ascii="黑体" w:hAnsi="黑体" w:eastAsia="黑体"/>
          <w:b/>
          <w:snapToGrid w:val="0"/>
          <w:color w:val="auto"/>
          <w:kern w:val="0"/>
          <w:sz w:val="24"/>
          <w:lang w:eastAsia="zh-CN"/>
        </w:rPr>
        <w:t xml:space="preserve"> 页岩砖生产工艺流程示意图</w:t>
      </w:r>
    </w:p>
    <w:p>
      <w:pPr>
        <w:spacing w:line="360" w:lineRule="auto"/>
        <w:ind w:firstLine="562" w:firstLineChars="200"/>
        <w:rPr>
          <w:rFonts w:hint="eastAsia" w:ascii="宋体"/>
          <w:b/>
          <w:bCs/>
          <w:snapToGrid w:val="0"/>
          <w:color w:val="auto"/>
          <w:kern w:val="0"/>
          <w:sz w:val="28"/>
          <w:szCs w:val="28"/>
          <w:lang w:val="en-US" w:eastAsia="zh-CN"/>
        </w:rPr>
      </w:pPr>
      <w:r>
        <w:rPr>
          <w:rFonts w:hint="eastAsia" w:ascii="宋体"/>
          <w:b/>
          <w:bCs/>
          <w:snapToGrid w:val="0"/>
          <w:color w:val="auto"/>
          <w:kern w:val="0"/>
          <w:sz w:val="28"/>
          <w:szCs w:val="28"/>
          <w:lang w:val="en-US" w:eastAsia="zh-CN"/>
        </w:rPr>
        <w:t>2、原料制备</w:t>
      </w:r>
      <w:bookmarkEnd w:id="56"/>
      <w:bookmarkEnd w:id="57"/>
      <w:bookmarkEnd w:id="58"/>
      <w:bookmarkEnd w:id="59"/>
    </w:p>
    <w:p>
      <w:pPr>
        <w:spacing w:line="360" w:lineRule="auto"/>
        <w:ind w:firstLine="560" w:firstLineChars="200"/>
        <w:rPr>
          <w:rFonts w:hint="eastAsia" w:ascii="宋体"/>
          <w:snapToGrid w:val="0"/>
          <w:color w:val="auto"/>
          <w:kern w:val="0"/>
          <w:sz w:val="28"/>
          <w:szCs w:val="28"/>
        </w:rPr>
      </w:pPr>
      <w:bookmarkStart w:id="60" w:name="_Toc480804371"/>
      <w:bookmarkStart w:id="61" w:name="_Toc356401467"/>
      <w:bookmarkStart w:id="62" w:name="_Toc356380958"/>
      <w:bookmarkStart w:id="63" w:name="_Toc515872920"/>
      <w:r>
        <w:rPr>
          <w:rFonts w:hint="eastAsia" w:ascii="宋体"/>
          <w:snapToGrid w:val="0"/>
          <w:color w:val="auto"/>
          <w:kern w:val="0"/>
          <w:sz w:val="28"/>
          <w:szCs w:val="28"/>
        </w:rPr>
        <w:t>制砖主要原料煤外购运到厂内，自卸到板式给料机中。经板式给料机定量装到胶带输送机上，运到颚式破碎机处进行粗破，通过刮板给料机、圆盘给料机均匀喂料，至锤式破碎机进行粉碎，粉碎后物料颗粒组成情况为：</w:t>
      </w:r>
    </w:p>
    <w:tbl>
      <w:tblPr>
        <w:tblStyle w:val="19"/>
        <w:tblW w:w="96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09"/>
        <w:gridCol w:w="2539"/>
        <w:gridCol w:w="3074"/>
        <w:gridCol w:w="20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09" w:type="dxa"/>
            <w:noWrap w:val="0"/>
            <w:vAlign w:val="top"/>
          </w:tcPr>
          <w:p>
            <w:pPr>
              <w:spacing w:line="360" w:lineRule="auto"/>
              <w:rPr>
                <w:rFonts w:hint="eastAsia" w:ascii="宋体"/>
                <w:snapToGrid w:val="0"/>
                <w:color w:val="auto"/>
                <w:kern w:val="0"/>
                <w:szCs w:val="21"/>
              </w:rPr>
            </w:pPr>
            <w:r>
              <w:rPr>
                <w:rFonts w:hint="eastAsia" w:ascii="宋体"/>
                <w:snapToGrid w:val="0"/>
                <w:color w:val="auto"/>
                <w:kern w:val="0"/>
                <w:szCs w:val="21"/>
              </w:rPr>
              <w:t>1～3mm</w:t>
            </w:r>
          </w:p>
        </w:tc>
        <w:tc>
          <w:tcPr>
            <w:tcW w:w="2539" w:type="dxa"/>
            <w:noWrap w:val="0"/>
            <w:vAlign w:val="top"/>
          </w:tcPr>
          <w:p>
            <w:pPr>
              <w:spacing w:line="360" w:lineRule="auto"/>
              <w:rPr>
                <w:rFonts w:hint="eastAsia" w:ascii="宋体"/>
                <w:snapToGrid w:val="0"/>
                <w:color w:val="auto"/>
                <w:kern w:val="0"/>
                <w:szCs w:val="21"/>
              </w:rPr>
            </w:pPr>
            <w:r>
              <w:rPr>
                <w:rFonts w:hint="eastAsia" w:ascii="宋体"/>
                <w:snapToGrid w:val="0"/>
                <w:color w:val="auto"/>
                <w:kern w:val="0"/>
                <w:szCs w:val="21"/>
              </w:rPr>
              <w:t>0.5～1mm</w:t>
            </w:r>
          </w:p>
        </w:tc>
        <w:tc>
          <w:tcPr>
            <w:tcW w:w="3074" w:type="dxa"/>
            <w:noWrap w:val="0"/>
            <w:vAlign w:val="top"/>
          </w:tcPr>
          <w:p>
            <w:pPr>
              <w:spacing w:line="360" w:lineRule="auto"/>
              <w:rPr>
                <w:rFonts w:hint="eastAsia" w:ascii="宋体"/>
                <w:snapToGrid w:val="0"/>
                <w:color w:val="auto"/>
                <w:kern w:val="0"/>
                <w:szCs w:val="21"/>
              </w:rPr>
            </w:pPr>
            <w:r>
              <w:rPr>
                <w:rFonts w:hint="eastAsia" w:ascii="宋体"/>
                <w:snapToGrid w:val="0"/>
                <w:color w:val="auto"/>
                <w:kern w:val="0"/>
                <w:szCs w:val="21"/>
              </w:rPr>
              <w:t>0.2～0.5mm</w:t>
            </w:r>
          </w:p>
        </w:tc>
        <w:tc>
          <w:tcPr>
            <w:tcW w:w="2006" w:type="dxa"/>
            <w:noWrap w:val="0"/>
            <w:vAlign w:val="top"/>
          </w:tcPr>
          <w:p>
            <w:pPr>
              <w:spacing w:line="360" w:lineRule="auto"/>
              <w:rPr>
                <w:rFonts w:hint="eastAsia" w:ascii="宋体"/>
                <w:snapToGrid w:val="0"/>
                <w:color w:val="auto"/>
                <w:kern w:val="0"/>
                <w:szCs w:val="21"/>
              </w:rPr>
            </w:pPr>
            <w:r>
              <w:rPr>
                <w:rFonts w:hint="eastAsia" w:ascii="宋体"/>
                <w:snapToGrid w:val="0"/>
                <w:color w:val="auto"/>
                <w:kern w:val="0"/>
                <w:szCs w:val="21"/>
              </w:rPr>
              <w:t>&lt;0.2mm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09" w:type="dxa"/>
            <w:noWrap w:val="0"/>
            <w:vAlign w:val="top"/>
          </w:tcPr>
          <w:p>
            <w:pPr>
              <w:spacing w:line="360" w:lineRule="auto"/>
              <w:rPr>
                <w:rFonts w:hint="eastAsia" w:ascii="宋体"/>
                <w:snapToGrid w:val="0"/>
                <w:color w:val="auto"/>
                <w:kern w:val="0"/>
                <w:szCs w:val="21"/>
              </w:rPr>
            </w:pPr>
            <w:r>
              <w:rPr>
                <w:rFonts w:hint="eastAsia" w:ascii="宋体"/>
                <w:snapToGrid w:val="0"/>
                <w:color w:val="auto"/>
                <w:kern w:val="0"/>
                <w:szCs w:val="21"/>
              </w:rPr>
              <w:t>&lt;3%</w:t>
            </w:r>
          </w:p>
        </w:tc>
        <w:tc>
          <w:tcPr>
            <w:tcW w:w="2539" w:type="dxa"/>
            <w:noWrap w:val="0"/>
            <w:vAlign w:val="top"/>
          </w:tcPr>
          <w:p>
            <w:pPr>
              <w:spacing w:line="360" w:lineRule="auto"/>
              <w:rPr>
                <w:rFonts w:hint="eastAsia" w:ascii="宋体"/>
                <w:snapToGrid w:val="0"/>
                <w:color w:val="auto"/>
                <w:kern w:val="0"/>
                <w:szCs w:val="21"/>
              </w:rPr>
            </w:pPr>
            <w:r>
              <w:rPr>
                <w:rFonts w:hint="eastAsia" w:ascii="宋体"/>
                <w:snapToGrid w:val="0"/>
                <w:color w:val="auto"/>
                <w:kern w:val="0"/>
                <w:szCs w:val="21"/>
              </w:rPr>
              <w:t>30%</w:t>
            </w:r>
          </w:p>
        </w:tc>
        <w:tc>
          <w:tcPr>
            <w:tcW w:w="3074" w:type="dxa"/>
            <w:noWrap w:val="0"/>
            <w:vAlign w:val="top"/>
          </w:tcPr>
          <w:p>
            <w:pPr>
              <w:spacing w:line="360" w:lineRule="auto"/>
              <w:rPr>
                <w:rFonts w:hint="eastAsia" w:ascii="宋体"/>
                <w:snapToGrid w:val="0"/>
                <w:color w:val="auto"/>
                <w:kern w:val="0"/>
                <w:szCs w:val="21"/>
              </w:rPr>
            </w:pPr>
            <w:r>
              <w:rPr>
                <w:rFonts w:hint="eastAsia" w:ascii="宋体"/>
                <w:snapToGrid w:val="0"/>
                <w:color w:val="auto"/>
                <w:kern w:val="0"/>
                <w:szCs w:val="21"/>
              </w:rPr>
              <w:t>33%</w:t>
            </w:r>
          </w:p>
        </w:tc>
        <w:tc>
          <w:tcPr>
            <w:tcW w:w="2006" w:type="dxa"/>
            <w:noWrap w:val="0"/>
            <w:vAlign w:val="top"/>
          </w:tcPr>
          <w:p>
            <w:pPr>
              <w:spacing w:line="360" w:lineRule="auto"/>
              <w:rPr>
                <w:rFonts w:hint="eastAsia" w:ascii="宋体"/>
                <w:snapToGrid w:val="0"/>
                <w:color w:val="auto"/>
                <w:kern w:val="0"/>
                <w:szCs w:val="21"/>
              </w:rPr>
            </w:pPr>
            <w:r>
              <w:rPr>
                <w:rFonts w:hint="eastAsia" w:ascii="宋体"/>
                <w:snapToGrid w:val="0"/>
                <w:color w:val="auto"/>
                <w:kern w:val="0"/>
                <w:szCs w:val="21"/>
              </w:rPr>
              <w:t>&gt;34%</w:t>
            </w:r>
          </w:p>
        </w:tc>
      </w:tr>
    </w:tbl>
    <w:p>
      <w:pPr>
        <w:spacing w:line="360" w:lineRule="auto"/>
        <w:ind w:firstLine="560" w:firstLineChars="200"/>
        <w:rPr>
          <w:rFonts w:hint="eastAsia" w:ascii="宋体"/>
          <w:snapToGrid w:val="0"/>
          <w:color w:val="auto"/>
          <w:kern w:val="0"/>
          <w:sz w:val="28"/>
          <w:szCs w:val="28"/>
        </w:rPr>
      </w:pPr>
      <w:r>
        <w:rPr>
          <w:rFonts w:hint="eastAsia" w:ascii="宋体"/>
          <w:snapToGrid w:val="0"/>
          <w:color w:val="auto"/>
          <w:kern w:val="0"/>
          <w:sz w:val="28"/>
          <w:szCs w:val="28"/>
        </w:rPr>
        <w:t>煤按配合比(</w:t>
      </w:r>
      <w:r>
        <w:rPr>
          <w:rFonts w:hint="eastAsia" w:ascii="宋体" w:hAnsi="宋体"/>
          <w:color w:val="auto"/>
          <w:sz w:val="28"/>
          <w:szCs w:val="28"/>
        </w:rPr>
        <w:t>页岩、煤矸石=7:3)</w:t>
      </w:r>
      <w:r>
        <w:rPr>
          <w:rFonts w:hint="eastAsia" w:ascii="宋体"/>
          <w:snapToGrid w:val="0"/>
          <w:color w:val="auto"/>
          <w:kern w:val="0"/>
          <w:sz w:val="28"/>
          <w:szCs w:val="28"/>
        </w:rPr>
        <w:t>要求经箱式给料机定量给料到胶带输送机上，</w:t>
      </w:r>
      <w:r>
        <w:rPr>
          <w:rFonts w:hint="eastAsia" w:ascii="宋体" w:hAnsi="宋体"/>
          <w:color w:val="auto"/>
          <w:sz w:val="28"/>
          <w:szCs w:val="28"/>
        </w:rPr>
        <w:t>页岩</w:t>
      </w:r>
      <w:r>
        <w:rPr>
          <w:rFonts w:hint="eastAsia" w:ascii="宋体"/>
          <w:snapToGrid w:val="0"/>
          <w:color w:val="auto"/>
          <w:kern w:val="0"/>
          <w:sz w:val="28"/>
          <w:szCs w:val="28"/>
        </w:rPr>
        <w:t>共同进行粗碎、细碎处理。粉碎后的</w:t>
      </w:r>
      <w:r>
        <w:rPr>
          <w:rFonts w:hint="eastAsia" w:ascii="宋体" w:hAnsi="宋体"/>
          <w:color w:val="auto"/>
          <w:sz w:val="28"/>
          <w:szCs w:val="28"/>
        </w:rPr>
        <w:t>页岩</w:t>
      </w:r>
      <w:r>
        <w:rPr>
          <w:rFonts w:hint="eastAsia" w:ascii="宋体"/>
          <w:snapToGrid w:val="0"/>
          <w:color w:val="auto"/>
          <w:kern w:val="0"/>
          <w:sz w:val="28"/>
          <w:szCs w:val="28"/>
        </w:rPr>
        <w:t>、煤粉经强力搅拌机加水搅拌混合。</w:t>
      </w:r>
    </w:p>
    <w:p>
      <w:pPr>
        <w:spacing w:line="360" w:lineRule="auto"/>
        <w:ind w:firstLine="562" w:firstLineChars="200"/>
        <w:rPr>
          <w:rFonts w:hint="eastAsia" w:ascii="宋体"/>
          <w:b/>
          <w:bCs/>
          <w:snapToGrid w:val="0"/>
          <w:color w:val="auto"/>
          <w:kern w:val="0"/>
          <w:sz w:val="28"/>
          <w:szCs w:val="28"/>
          <w:lang w:val="en-US" w:eastAsia="zh-CN"/>
        </w:rPr>
      </w:pPr>
      <w:r>
        <w:rPr>
          <w:rFonts w:hint="eastAsia" w:ascii="宋体"/>
          <w:b/>
          <w:bCs/>
          <w:snapToGrid w:val="0"/>
          <w:color w:val="auto"/>
          <w:kern w:val="0"/>
          <w:sz w:val="28"/>
          <w:szCs w:val="28"/>
          <w:lang w:val="en-US" w:eastAsia="zh-CN"/>
        </w:rPr>
        <w:t>3、原料陈化处理</w:t>
      </w:r>
      <w:bookmarkEnd w:id="60"/>
      <w:bookmarkEnd w:id="61"/>
      <w:bookmarkEnd w:id="62"/>
      <w:bookmarkEnd w:id="63"/>
    </w:p>
    <w:p>
      <w:pPr>
        <w:spacing w:line="360" w:lineRule="auto"/>
        <w:ind w:firstLine="560" w:firstLineChars="200"/>
        <w:rPr>
          <w:rFonts w:hint="eastAsia" w:ascii="宋体"/>
          <w:snapToGrid w:val="0"/>
          <w:color w:val="auto"/>
          <w:kern w:val="0"/>
          <w:sz w:val="28"/>
          <w:szCs w:val="28"/>
        </w:rPr>
      </w:pPr>
      <w:r>
        <w:rPr>
          <w:rFonts w:hint="eastAsia" w:ascii="宋体"/>
          <w:snapToGrid w:val="0"/>
          <w:color w:val="auto"/>
          <w:kern w:val="0"/>
          <w:sz w:val="28"/>
          <w:szCs w:val="28"/>
        </w:rPr>
        <w:t>经强力搅拌机处理后的混合料再通过胶带输送机运到陈化库顶部的可逆移动配仓布料机上，将混合料按一定规律均匀的堆存到陈化库中，混合料陈化时间不得小于3小时。陈化的作用是使原料中水分均匀化程度提高，使原料颗粒表面和内部性能更加的均匀，更趋一致，使颗粒变得容易疏解，使混合料的成型性能得到提高。</w:t>
      </w:r>
    </w:p>
    <w:p>
      <w:pPr>
        <w:spacing w:line="360" w:lineRule="auto"/>
        <w:ind w:firstLine="562" w:firstLineChars="200"/>
        <w:rPr>
          <w:rFonts w:hint="eastAsia" w:ascii="宋体"/>
          <w:b/>
          <w:bCs/>
          <w:snapToGrid w:val="0"/>
          <w:color w:val="auto"/>
          <w:kern w:val="0"/>
          <w:sz w:val="28"/>
          <w:szCs w:val="28"/>
          <w:lang w:val="en-US" w:eastAsia="zh-CN"/>
        </w:rPr>
      </w:pPr>
      <w:bookmarkStart w:id="64" w:name="_Toc356401468"/>
      <w:bookmarkStart w:id="65" w:name="_Toc515872921"/>
      <w:bookmarkStart w:id="66" w:name="_Toc480804372"/>
      <w:bookmarkStart w:id="67" w:name="_Toc356380959"/>
      <w:r>
        <w:rPr>
          <w:rFonts w:hint="eastAsia" w:ascii="宋体"/>
          <w:b/>
          <w:bCs/>
          <w:snapToGrid w:val="0"/>
          <w:color w:val="auto"/>
          <w:kern w:val="0"/>
          <w:sz w:val="28"/>
          <w:szCs w:val="28"/>
          <w:lang w:val="en-US" w:eastAsia="zh-CN"/>
        </w:rPr>
        <w:t>4、挤出成型</w:t>
      </w:r>
      <w:bookmarkEnd w:id="64"/>
      <w:bookmarkEnd w:id="65"/>
      <w:bookmarkEnd w:id="66"/>
      <w:bookmarkEnd w:id="67"/>
    </w:p>
    <w:p>
      <w:pPr>
        <w:spacing w:line="360" w:lineRule="auto"/>
        <w:ind w:firstLine="560" w:firstLineChars="200"/>
        <w:rPr>
          <w:rFonts w:hint="eastAsia" w:ascii="宋体"/>
          <w:snapToGrid w:val="0"/>
          <w:color w:val="auto"/>
          <w:kern w:val="0"/>
          <w:sz w:val="28"/>
          <w:szCs w:val="28"/>
        </w:rPr>
      </w:pPr>
      <w:r>
        <w:rPr>
          <w:rFonts w:hint="eastAsia" w:ascii="宋体"/>
          <w:snapToGrid w:val="0"/>
          <w:color w:val="auto"/>
          <w:kern w:val="0"/>
          <w:sz w:val="28"/>
          <w:szCs w:val="28"/>
        </w:rPr>
        <w:t>经过陈化的混合料有装运到胶带输送机上运到成型车间的箱式给料机处定量向强力搅拌机给料。原料通过这次加水搅拌，使其成型水分达到16～17%。搅拌后的物料再经过湿式轮碾机进一步碾练均化处理，使混合料性能满足成型需要。挤出成型采用高挤出压力、高真空度的双极真空挤出机，许用挤出压力达到3.8mpa，真空度达到≤-0.092mpa。挤出的泥条经自动切条机、切坯机割成需要规格的砖坯，再经码坯将砖坯放到窑车上。</w:t>
      </w:r>
    </w:p>
    <w:p>
      <w:pPr>
        <w:spacing w:line="360" w:lineRule="auto"/>
        <w:ind w:firstLine="562" w:firstLineChars="200"/>
        <w:rPr>
          <w:rFonts w:hint="eastAsia" w:ascii="宋体"/>
          <w:b/>
          <w:bCs/>
          <w:snapToGrid w:val="0"/>
          <w:color w:val="auto"/>
          <w:kern w:val="0"/>
          <w:sz w:val="28"/>
          <w:szCs w:val="28"/>
          <w:lang w:val="en-US" w:eastAsia="zh-CN"/>
        </w:rPr>
      </w:pPr>
      <w:bookmarkStart w:id="68" w:name="_Toc356380960"/>
      <w:bookmarkStart w:id="69" w:name="_Toc480804373"/>
      <w:bookmarkStart w:id="70" w:name="_Toc356401469"/>
      <w:bookmarkStart w:id="71" w:name="_Toc515872922"/>
      <w:r>
        <w:rPr>
          <w:rFonts w:hint="eastAsia" w:ascii="宋体"/>
          <w:b/>
          <w:bCs/>
          <w:snapToGrid w:val="0"/>
          <w:color w:val="auto"/>
          <w:kern w:val="0"/>
          <w:sz w:val="28"/>
          <w:szCs w:val="28"/>
          <w:lang w:val="en-US" w:eastAsia="zh-CN"/>
        </w:rPr>
        <w:t>5、干燥、焙烧</w:t>
      </w:r>
      <w:bookmarkEnd w:id="68"/>
      <w:bookmarkEnd w:id="69"/>
      <w:bookmarkEnd w:id="70"/>
      <w:bookmarkEnd w:id="71"/>
    </w:p>
    <w:p>
      <w:pPr>
        <w:spacing w:line="360" w:lineRule="auto"/>
        <w:ind w:firstLine="560" w:firstLineChars="200"/>
        <w:rPr>
          <w:rFonts w:hint="eastAsia" w:ascii="宋体"/>
          <w:snapToGrid w:val="0"/>
          <w:color w:val="auto"/>
          <w:kern w:val="0"/>
          <w:sz w:val="28"/>
          <w:szCs w:val="28"/>
          <w:lang w:val="en-US" w:eastAsia="zh-CN"/>
        </w:rPr>
      </w:pPr>
      <w:r>
        <w:rPr>
          <w:rFonts w:hint="eastAsia" w:ascii="宋体"/>
          <w:snapToGrid w:val="0"/>
          <w:color w:val="auto"/>
          <w:kern w:val="0"/>
          <w:sz w:val="28"/>
          <w:szCs w:val="28"/>
          <w:lang w:val="en-US" w:eastAsia="zh-CN"/>
        </w:rPr>
        <w:t>码有砖坯的窑车通过窑车运转系统完成窑车在贮存段、干燥室、焙烧窑的运行。由于成型工段在市场淡季有可能是二班生产，干燥室、焙烧窑是三班生产，因此必须设置码有砖坯的窑车贮存段，用于贮存夜班进窑的窑车，本项目共设250辆窑车。</w:t>
      </w:r>
    </w:p>
    <w:p>
      <w:pPr>
        <w:spacing w:line="360" w:lineRule="auto"/>
        <w:ind w:firstLine="560" w:firstLineChars="200"/>
        <w:rPr>
          <w:rFonts w:hint="eastAsia" w:ascii="宋体"/>
          <w:snapToGrid w:val="0"/>
          <w:color w:val="auto"/>
          <w:kern w:val="0"/>
          <w:sz w:val="28"/>
          <w:szCs w:val="28"/>
          <w:lang w:val="en-US" w:eastAsia="zh-CN"/>
        </w:rPr>
      </w:pPr>
      <w:r>
        <w:rPr>
          <w:rFonts w:hint="eastAsia" w:ascii="宋体"/>
          <w:snapToGrid w:val="0"/>
          <w:color w:val="auto"/>
          <w:kern w:val="0"/>
          <w:sz w:val="28"/>
          <w:szCs w:val="28"/>
          <w:lang w:val="en-US" w:eastAsia="zh-CN"/>
        </w:rPr>
        <w:t>装有砖坯的窑车经过贮存后运送到进车端摆渡车上，通过液压顶车机将窑车送入干燥室内，本项目采用一次码烧工艺，遂道焙烧窑两条，长约132米，干燥窑两条，长约105米。干燥热源来自焙烧窑余热。干燥好的砖坯通过干燥室出口拉引机、焙烧窑液压顶车机将窑车送入焙烧窑。</w:t>
      </w:r>
    </w:p>
    <w:p>
      <w:pPr>
        <w:pStyle w:val="5"/>
        <w:spacing w:before="0" w:after="0" w:line="360" w:lineRule="auto"/>
        <w:rPr>
          <w:rFonts w:hint="eastAsia" w:ascii="宋体" w:hAnsi="宋体" w:eastAsia="宋体" w:cs="宋体"/>
          <w:color w:val="auto"/>
          <w:sz w:val="28"/>
          <w:szCs w:val="28"/>
          <w:lang w:val="zh-CN"/>
        </w:rPr>
      </w:pPr>
      <w:bookmarkStart w:id="72" w:name="_Toc21887"/>
      <w:bookmarkStart w:id="73" w:name="_Toc21682"/>
      <w:r>
        <w:rPr>
          <w:rFonts w:hint="eastAsia" w:ascii="宋体" w:hAnsi="宋体" w:eastAsia="宋体" w:cs="宋体"/>
          <w:color w:val="auto"/>
          <w:sz w:val="28"/>
          <w:szCs w:val="28"/>
          <w:lang w:val="zh-CN"/>
        </w:rPr>
        <w:t>2.1.</w:t>
      </w:r>
      <w:r>
        <w:rPr>
          <w:rFonts w:hint="eastAsia" w:ascii="宋体" w:hAnsi="宋体" w:eastAsia="宋体" w:cs="宋体"/>
          <w:color w:val="auto"/>
          <w:sz w:val="28"/>
          <w:szCs w:val="28"/>
          <w:lang w:val="en-US" w:eastAsia="zh-CN"/>
        </w:rPr>
        <w:t>5</w:t>
      </w:r>
      <w:r>
        <w:rPr>
          <w:rFonts w:hint="eastAsia" w:ascii="宋体" w:hAnsi="宋体" w:eastAsia="宋体" w:cs="宋体"/>
          <w:b/>
          <w:bCs/>
          <w:i w:val="0"/>
          <w:iCs w:val="0"/>
          <w:color w:val="auto"/>
          <w:sz w:val="28"/>
          <w:szCs w:val="28"/>
        </w:rPr>
        <w:t>主要生产设备情况</w:t>
      </w:r>
      <w:bookmarkEnd w:id="72"/>
      <w:bookmarkEnd w:id="73"/>
    </w:p>
    <w:p>
      <w:pPr>
        <w:spacing w:line="360" w:lineRule="auto"/>
        <w:ind w:firstLine="560" w:firstLineChars="200"/>
        <w:rPr>
          <w:rFonts w:hint="eastAsia" w:ascii="宋体" w:hAnsi="宋体" w:cs="宋体"/>
          <w:i w:val="0"/>
          <w:iCs w:val="0"/>
          <w:color w:val="auto"/>
          <w:sz w:val="28"/>
          <w:szCs w:val="28"/>
        </w:rPr>
      </w:pPr>
      <w:r>
        <w:rPr>
          <w:rFonts w:hint="eastAsia" w:ascii="宋体" w:hAnsi="宋体" w:cs="宋体"/>
          <w:i w:val="0"/>
          <w:iCs w:val="0"/>
          <w:color w:val="auto"/>
          <w:sz w:val="28"/>
          <w:szCs w:val="28"/>
          <w:lang w:eastAsia="zh-CN"/>
        </w:rPr>
        <w:t>仪陇县复兴镇佳呈页岩砖厂</w:t>
      </w:r>
      <w:r>
        <w:rPr>
          <w:rFonts w:hint="eastAsia" w:ascii="宋体" w:hAnsi="宋体" w:cs="宋体"/>
          <w:i w:val="0"/>
          <w:iCs w:val="0"/>
          <w:color w:val="auto"/>
          <w:sz w:val="28"/>
          <w:szCs w:val="28"/>
        </w:rPr>
        <w:t>主要设备清单见表2-</w:t>
      </w:r>
      <w:r>
        <w:rPr>
          <w:rFonts w:hint="eastAsia" w:ascii="宋体" w:hAnsi="宋体" w:cs="宋体"/>
          <w:i w:val="0"/>
          <w:iCs w:val="0"/>
          <w:color w:val="auto"/>
          <w:sz w:val="28"/>
          <w:szCs w:val="28"/>
          <w:lang w:val="en-US" w:eastAsia="zh-CN"/>
        </w:rPr>
        <w:t>2</w:t>
      </w:r>
      <w:r>
        <w:rPr>
          <w:rFonts w:hint="eastAsia" w:ascii="宋体" w:hAnsi="宋体" w:cs="宋体"/>
          <w:i w:val="0"/>
          <w:iCs w:val="0"/>
          <w:color w:val="auto"/>
          <w:sz w:val="28"/>
          <w:szCs w:val="28"/>
        </w:rPr>
        <w:t>所示。</w:t>
      </w:r>
    </w:p>
    <w:tbl>
      <w:tblPr>
        <w:tblStyle w:val="20"/>
        <w:tblW w:w="96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1"/>
        <w:gridCol w:w="3370"/>
        <w:gridCol w:w="996"/>
        <w:gridCol w:w="907"/>
        <w:gridCol w:w="33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91" w:type="dxa"/>
            <w:tcBorders>
              <w:tl2br w:val="nil"/>
              <w:tr2bl w:val="nil"/>
            </w:tcBorders>
            <w:shd w:val="clear" w:color="auto" w:fill="FFFFFF"/>
            <w:noWrap w:val="0"/>
            <w:vAlign w:val="center"/>
          </w:tcPr>
          <w:p>
            <w:pPr>
              <w:keepNext w:val="0"/>
              <w:keepLines w:val="0"/>
              <w:shd w:val="clear" w:color="auto" w:fill="auto"/>
              <w:bidi w:val="0"/>
              <w:spacing w:before="0" w:after="0" w:line="240" w:lineRule="auto"/>
              <w:ind w:left="0" w:leftChars="0" w:right="0" w:rightChars="0" w:firstLine="0" w:firstLineChars="0"/>
              <w:jc w:val="center"/>
            </w:pPr>
            <w:r>
              <w:rPr>
                <w:rFonts w:hint="eastAsia" w:ascii="宋体" w:hAnsi="宋体" w:eastAsia="宋体" w:cs="宋体"/>
                <w:spacing w:val="0"/>
                <w:w w:val="100"/>
                <w:kern w:val="2"/>
                <w:position w:val="0"/>
                <w:sz w:val="21"/>
                <w:lang w:val="zh-CN" w:eastAsia="zh-CN" w:bidi="ar-SA"/>
              </w:rPr>
              <w:t>序号</w:t>
            </w:r>
          </w:p>
        </w:tc>
        <w:tc>
          <w:tcPr>
            <w:tcW w:w="3370" w:type="dxa"/>
            <w:tcBorders>
              <w:tl2br w:val="nil"/>
              <w:tr2bl w:val="nil"/>
            </w:tcBorders>
            <w:shd w:val="clear" w:color="auto" w:fill="FFFFFF"/>
            <w:noWrap w:val="0"/>
            <w:vAlign w:val="center"/>
          </w:tcPr>
          <w:p>
            <w:pPr>
              <w:keepNext w:val="0"/>
              <w:keepLines w:val="0"/>
              <w:shd w:val="clear" w:color="auto" w:fill="auto"/>
              <w:bidi w:val="0"/>
              <w:spacing w:before="0" w:after="0" w:line="240" w:lineRule="auto"/>
              <w:ind w:left="0" w:leftChars="0" w:right="0" w:rightChars="0" w:firstLine="0" w:firstLineChars="0"/>
              <w:jc w:val="center"/>
            </w:pPr>
            <w:r>
              <w:rPr>
                <w:rFonts w:hint="eastAsia" w:ascii="宋体" w:hAnsi="宋体" w:eastAsia="宋体" w:cs="宋体"/>
                <w:spacing w:val="0"/>
                <w:w w:val="100"/>
                <w:kern w:val="2"/>
                <w:position w:val="0"/>
                <w:sz w:val="21"/>
                <w:lang w:val="zh-CN" w:eastAsia="zh-CN" w:bidi="ar-SA"/>
              </w:rPr>
              <w:t>设备名称</w:t>
            </w:r>
          </w:p>
        </w:tc>
        <w:tc>
          <w:tcPr>
            <w:tcW w:w="996" w:type="dxa"/>
            <w:tcBorders>
              <w:tl2br w:val="nil"/>
              <w:tr2bl w:val="nil"/>
            </w:tcBorders>
            <w:shd w:val="clear" w:color="auto" w:fill="FFFFFF"/>
            <w:noWrap w:val="0"/>
            <w:vAlign w:val="center"/>
          </w:tcPr>
          <w:p>
            <w:pPr>
              <w:keepNext w:val="0"/>
              <w:keepLines w:val="0"/>
              <w:shd w:val="clear" w:color="auto" w:fill="auto"/>
              <w:bidi w:val="0"/>
              <w:spacing w:before="0" w:after="0" w:line="240" w:lineRule="auto"/>
              <w:ind w:left="0" w:leftChars="0" w:right="0" w:rightChars="0" w:firstLine="0" w:firstLineChars="0"/>
              <w:jc w:val="center"/>
            </w:pPr>
            <w:r>
              <w:rPr>
                <w:rFonts w:hint="eastAsia" w:ascii="宋体" w:hAnsi="宋体" w:eastAsia="宋体" w:cs="宋体"/>
                <w:spacing w:val="0"/>
                <w:w w:val="100"/>
                <w:kern w:val="2"/>
                <w:position w:val="0"/>
                <w:sz w:val="21"/>
                <w:lang w:val="zh-CN" w:eastAsia="zh-CN" w:bidi="ar-SA"/>
              </w:rPr>
              <w:t>数量</w:t>
            </w:r>
          </w:p>
        </w:tc>
        <w:tc>
          <w:tcPr>
            <w:tcW w:w="907" w:type="dxa"/>
            <w:tcBorders>
              <w:tl2br w:val="nil"/>
              <w:tr2bl w:val="nil"/>
            </w:tcBorders>
            <w:shd w:val="clear" w:color="auto" w:fill="FFFFFF"/>
            <w:noWrap w:val="0"/>
            <w:vAlign w:val="center"/>
          </w:tcPr>
          <w:p>
            <w:pPr>
              <w:keepNext w:val="0"/>
              <w:keepLines w:val="0"/>
              <w:shd w:val="clear" w:color="auto" w:fill="auto"/>
              <w:bidi w:val="0"/>
              <w:spacing w:before="0" w:after="0" w:line="240" w:lineRule="auto"/>
              <w:ind w:left="0" w:leftChars="0" w:right="0" w:rightChars="0" w:firstLine="0" w:firstLineChars="0"/>
              <w:jc w:val="center"/>
            </w:pPr>
            <w:r>
              <w:rPr>
                <w:rFonts w:hint="eastAsia" w:ascii="宋体" w:hAnsi="宋体" w:eastAsia="宋体" w:cs="宋体"/>
                <w:spacing w:val="0"/>
                <w:w w:val="100"/>
                <w:kern w:val="2"/>
                <w:position w:val="0"/>
                <w:sz w:val="21"/>
                <w:lang w:val="zh-CN" w:eastAsia="zh-CN" w:bidi="ar-SA"/>
              </w:rPr>
              <w:t>单位</w:t>
            </w:r>
          </w:p>
        </w:tc>
        <w:tc>
          <w:tcPr>
            <w:tcW w:w="3364" w:type="dxa"/>
            <w:tcBorders>
              <w:tl2br w:val="nil"/>
              <w:tr2bl w:val="nil"/>
            </w:tcBorders>
            <w:shd w:val="clear" w:color="auto" w:fill="FFFFFF"/>
            <w:noWrap w:val="0"/>
            <w:vAlign w:val="center"/>
          </w:tcPr>
          <w:p>
            <w:pPr>
              <w:keepNext w:val="0"/>
              <w:keepLines w:val="0"/>
              <w:shd w:val="clear" w:color="auto" w:fill="auto"/>
              <w:bidi w:val="0"/>
              <w:spacing w:before="0" w:after="0" w:line="240" w:lineRule="auto"/>
              <w:ind w:left="0" w:leftChars="0" w:right="0" w:rightChars="0" w:firstLine="0" w:firstLineChars="0"/>
              <w:jc w:val="center"/>
            </w:pPr>
            <w:r>
              <w:rPr>
                <w:rFonts w:hint="eastAsia" w:ascii="宋体" w:hAnsi="宋体" w:eastAsia="宋体" w:cs="宋体"/>
                <w:spacing w:val="0"/>
                <w:w w:val="100"/>
                <w:kern w:val="2"/>
                <w:position w:val="0"/>
                <w:sz w:val="21"/>
                <w:lang w:val="zh-CN" w:eastAsia="zh-CN" w:bidi="ar-SA"/>
              </w:rPr>
              <w:t>使用地点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91" w:type="dxa"/>
            <w:tcBorders>
              <w:tl2br w:val="nil"/>
              <w:tr2bl w:val="nil"/>
            </w:tcBorders>
            <w:shd w:val="clear" w:color="auto" w:fill="FFFFFF"/>
            <w:noWrap w:val="0"/>
            <w:vAlign w:val="center"/>
          </w:tcPr>
          <w:p>
            <w:pPr>
              <w:keepNext w:val="0"/>
              <w:keepLines w:val="0"/>
              <w:shd w:val="clear" w:color="auto" w:fill="auto"/>
              <w:bidi w:val="0"/>
              <w:spacing w:before="0" w:after="0" w:line="240" w:lineRule="auto"/>
              <w:ind w:left="0" w:leftChars="0" w:right="0" w:rightChars="0" w:firstLine="0" w:firstLineChars="0"/>
              <w:jc w:val="center"/>
              <w:rPr>
                <w:rFonts w:hint="eastAsia" w:ascii="宋体" w:hAnsi="宋体" w:eastAsia="宋体" w:cs="宋体"/>
                <w:spacing w:val="0"/>
                <w:w w:val="100"/>
                <w:kern w:val="2"/>
                <w:position w:val="0"/>
                <w:sz w:val="21"/>
                <w:lang w:val="zh-CN" w:eastAsia="zh-CN" w:bidi="ar-SA"/>
              </w:rPr>
            </w:pPr>
            <w:r>
              <w:rPr>
                <w:rFonts w:hint="eastAsia" w:ascii="宋体" w:hAnsi="宋体" w:eastAsia="宋体" w:cs="宋体"/>
                <w:spacing w:val="0"/>
                <w:w w:val="100"/>
                <w:kern w:val="2"/>
                <w:position w:val="0"/>
                <w:sz w:val="21"/>
                <w:lang w:val="zh-CN" w:eastAsia="zh-CN" w:bidi="ar-SA"/>
              </w:rPr>
              <w:t>1</w:t>
            </w:r>
          </w:p>
        </w:tc>
        <w:tc>
          <w:tcPr>
            <w:tcW w:w="3370" w:type="dxa"/>
            <w:tcBorders>
              <w:tl2br w:val="nil"/>
              <w:tr2bl w:val="nil"/>
            </w:tcBorders>
            <w:shd w:val="clear" w:color="auto" w:fill="FFFFFF"/>
            <w:noWrap w:val="0"/>
            <w:vAlign w:val="center"/>
          </w:tcPr>
          <w:p>
            <w:pPr>
              <w:keepNext w:val="0"/>
              <w:keepLines w:val="0"/>
              <w:shd w:val="clear" w:color="auto" w:fill="auto"/>
              <w:bidi w:val="0"/>
              <w:spacing w:before="0" w:after="0" w:line="240" w:lineRule="auto"/>
              <w:ind w:left="0" w:leftChars="0" w:right="0" w:rightChars="0" w:firstLine="0" w:firstLineChars="0"/>
              <w:jc w:val="center"/>
              <w:rPr>
                <w:rFonts w:hint="eastAsia" w:ascii="宋体" w:hAnsi="宋体" w:eastAsia="宋体" w:cs="宋体"/>
                <w:spacing w:val="0"/>
                <w:w w:val="100"/>
                <w:kern w:val="2"/>
                <w:position w:val="0"/>
                <w:sz w:val="21"/>
                <w:lang w:val="zh-CN" w:eastAsia="zh-CN" w:bidi="ar-SA"/>
              </w:rPr>
            </w:pPr>
            <w:r>
              <w:rPr>
                <w:rFonts w:hint="eastAsia" w:ascii="宋体" w:hAnsi="宋体" w:eastAsia="宋体" w:cs="宋体"/>
                <w:spacing w:val="0"/>
                <w:w w:val="100"/>
                <w:kern w:val="2"/>
                <w:position w:val="0"/>
                <w:sz w:val="21"/>
                <w:lang w:val="zh-CN" w:eastAsia="zh-CN" w:bidi="ar-SA"/>
              </w:rPr>
              <w:t>挖机</w:t>
            </w:r>
          </w:p>
        </w:tc>
        <w:tc>
          <w:tcPr>
            <w:tcW w:w="996" w:type="dxa"/>
            <w:tcBorders>
              <w:tl2br w:val="nil"/>
              <w:tr2bl w:val="nil"/>
            </w:tcBorders>
            <w:shd w:val="clear" w:color="auto" w:fill="FFFFFF"/>
            <w:noWrap w:val="0"/>
            <w:vAlign w:val="center"/>
          </w:tcPr>
          <w:p>
            <w:pPr>
              <w:keepNext w:val="0"/>
              <w:keepLines w:val="0"/>
              <w:shd w:val="clear" w:color="auto" w:fill="auto"/>
              <w:bidi w:val="0"/>
              <w:spacing w:before="0" w:after="0" w:line="240" w:lineRule="auto"/>
              <w:ind w:left="0" w:leftChars="0" w:right="0" w:rightChars="0" w:firstLine="0" w:firstLineChars="0"/>
              <w:jc w:val="center"/>
              <w:rPr>
                <w:rFonts w:hint="eastAsia" w:ascii="宋体" w:hAnsi="宋体" w:eastAsia="宋体" w:cs="宋体"/>
                <w:spacing w:val="0"/>
                <w:w w:val="100"/>
                <w:kern w:val="2"/>
                <w:position w:val="0"/>
                <w:sz w:val="21"/>
                <w:lang w:val="zh-CN" w:eastAsia="zh-CN" w:bidi="ar-SA"/>
              </w:rPr>
            </w:pPr>
            <w:r>
              <w:rPr>
                <w:rFonts w:hint="eastAsia" w:ascii="宋体" w:hAnsi="宋体" w:eastAsia="宋体" w:cs="宋体"/>
                <w:spacing w:val="0"/>
                <w:w w:val="100"/>
                <w:kern w:val="2"/>
                <w:position w:val="0"/>
                <w:sz w:val="21"/>
                <w:lang w:val="zh-CN" w:eastAsia="zh-CN" w:bidi="ar-SA"/>
              </w:rPr>
              <w:t>2</w:t>
            </w:r>
          </w:p>
        </w:tc>
        <w:tc>
          <w:tcPr>
            <w:tcW w:w="907" w:type="dxa"/>
            <w:tcBorders>
              <w:tl2br w:val="nil"/>
              <w:tr2bl w:val="nil"/>
            </w:tcBorders>
            <w:shd w:val="clear" w:color="auto" w:fill="FFFFFF"/>
            <w:noWrap w:val="0"/>
            <w:vAlign w:val="center"/>
          </w:tcPr>
          <w:p>
            <w:pPr>
              <w:keepNext w:val="0"/>
              <w:keepLines w:val="0"/>
              <w:shd w:val="clear" w:color="auto" w:fill="auto"/>
              <w:bidi w:val="0"/>
              <w:spacing w:before="0" w:after="0" w:line="240" w:lineRule="auto"/>
              <w:ind w:left="0" w:leftChars="0" w:right="0" w:rightChars="0" w:firstLine="0" w:firstLineChars="0"/>
              <w:jc w:val="center"/>
              <w:rPr>
                <w:rFonts w:hint="eastAsia" w:ascii="宋体" w:hAnsi="宋体" w:eastAsia="宋体" w:cs="宋体"/>
                <w:spacing w:val="0"/>
                <w:w w:val="100"/>
                <w:kern w:val="2"/>
                <w:position w:val="0"/>
                <w:sz w:val="21"/>
                <w:lang w:val="zh-CN" w:eastAsia="zh-CN" w:bidi="ar-SA"/>
              </w:rPr>
            </w:pPr>
            <w:r>
              <w:rPr>
                <w:rFonts w:hint="eastAsia" w:ascii="宋体" w:hAnsi="宋体" w:eastAsia="宋体" w:cs="宋体"/>
                <w:spacing w:val="0"/>
                <w:w w:val="100"/>
                <w:kern w:val="2"/>
                <w:position w:val="0"/>
                <w:sz w:val="21"/>
                <w:lang w:val="zh-CN" w:eastAsia="zh-CN" w:bidi="ar-SA"/>
              </w:rPr>
              <w:t>台</w:t>
            </w:r>
          </w:p>
        </w:tc>
        <w:tc>
          <w:tcPr>
            <w:tcW w:w="3364" w:type="dxa"/>
            <w:tcBorders>
              <w:tl2br w:val="nil"/>
              <w:tr2bl w:val="nil"/>
            </w:tcBorders>
            <w:shd w:val="clear" w:color="auto" w:fill="FFFFFF"/>
            <w:noWrap w:val="0"/>
            <w:vAlign w:val="center"/>
          </w:tcPr>
          <w:p>
            <w:pPr>
              <w:keepNext w:val="0"/>
              <w:keepLines w:val="0"/>
              <w:shd w:val="clear" w:color="auto" w:fill="auto"/>
              <w:bidi w:val="0"/>
              <w:spacing w:before="0" w:after="0" w:line="240" w:lineRule="auto"/>
              <w:ind w:left="0" w:leftChars="0" w:right="0" w:rightChars="0" w:firstLine="0" w:firstLineChars="0"/>
              <w:jc w:val="center"/>
            </w:pPr>
            <w:r>
              <w:rPr>
                <w:rFonts w:hint="eastAsia" w:ascii="宋体" w:hAnsi="宋体" w:eastAsia="宋体" w:cs="宋体"/>
                <w:spacing w:val="0"/>
                <w:w w:val="100"/>
                <w:kern w:val="2"/>
                <w:position w:val="0"/>
                <w:sz w:val="21"/>
                <w:lang w:val="zh-CN" w:eastAsia="zh-CN" w:bidi="ar-SA"/>
              </w:rPr>
              <w:t>采矿区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91" w:type="dxa"/>
            <w:tcBorders>
              <w:tl2br w:val="nil"/>
              <w:tr2bl w:val="nil"/>
            </w:tcBorders>
            <w:shd w:val="clear" w:color="auto" w:fill="FFFFFF"/>
            <w:noWrap w:val="0"/>
            <w:vAlign w:val="center"/>
          </w:tcPr>
          <w:p>
            <w:pPr>
              <w:keepNext w:val="0"/>
              <w:keepLines w:val="0"/>
              <w:shd w:val="clear" w:color="auto" w:fill="auto"/>
              <w:bidi w:val="0"/>
              <w:spacing w:before="0" w:after="0" w:line="240" w:lineRule="auto"/>
              <w:ind w:left="0" w:leftChars="0" w:right="0" w:rightChars="0" w:firstLine="0" w:firstLineChars="0"/>
              <w:jc w:val="center"/>
            </w:pPr>
            <w:r>
              <w:rPr>
                <w:rFonts w:hint="eastAsia" w:ascii="宋体" w:hAnsi="宋体" w:eastAsia="宋体" w:cs="宋体"/>
                <w:spacing w:val="0"/>
                <w:w w:val="100"/>
                <w:kern w:val="2"/>
                <w:position w:val="0"/>
                <w:sz w:val="21"/>
                <w:lang w:val="zh-CN" w:eastAsia="zh-CN" w:bidi="ar-SA"/>
              </w:rPr>
              <w:t>2</w:t>
            </w:r>
          </w:p>
        </w:tc>
        <w:tc>
          <w:tcPr>
            <w:tcW w:w="3370" w:type="dxa"/>
            <w:tcBorders>
              <w:tl2br w:val="nil"/>
              <w:tr2bl w:val="nil"/>
            </w:tcBorders>
            <w:shd w:val="clear" w:color="auto" w:fill="FFFFFF"/>
            <w:noWrap w:val="0"/>
            <w:vAlign w:val="center"/>
          </w:tcPr>
          <w:p>
            <w:pPr>
              <w:keepNext w:val="0"/>
              <w:keepLines w:val="0"/>
              <w:shd w:val="clear" w:color="auto" w:fill="auto"/>
              <w:bidi w:val="0"/>
              <w:spacing w:before="0" w:after="0" w:line="240" w:lineRule="auto"/>
              <w:ind w:left="0" w:leftChars="0" w:right="0" w:rightChars="0" w:firstLine="0" w:firstLineChars="0"/>
              <w:jc w:val="center"/>
            </w:pPr>
            <w:r>
              <w:rPr>
                <w:rFonts w:hint="eastAsia" w:ascii="宋体" w:hAnsi="宋体" w:eastAsia="宋体" w:cs="宋体"/>
                <w:spacing w:val="0"/>
                <w:w w:val="100"/>
                <w:kern w:val="2"/>
                <w:position w:val="0"/>
                <w:sz w:val="21"/>
                <w:lang w:val="zh-CN" w:eastAsia="zh-CN" w:bidi="ar-SA"/>
              </w:rPr>
              <w:t>破碎机</w:t>
            </w:r>
          </w:p>
        </w:tc>
        <w:tc>
          <w:tcPr>
            <w:tcW w:w="996" w:type="dxa"/>
            <w:tcBorders>
              <w:tl2br w:val="nil"/>
              <w:tr2bl w:val="nil"/>
            </w:tcBorders>
            <w:shd w:val="clear" w:color="auto" w:fill="FFFFFF"/>
            <w:noWrap w:val="0"/>
            <w:vAlign w:val="center"/>
          </w:tcPr>
          <w:p>
            <w:pPr>
              <w:keepNext w:val="0"/>
              <w:keepLines w:val="0"/>
              <w:shd w:val="clear" w:color="auto" w:fill="auto"/>
              <w:bidi w:val="0"/>
              <w:spacing w:before="0" w:after="0" w:line="240" w:lineRule="auto"/>
              <w:ind w:left="0" w:leftChars="0" w:right="0" w:rightChars="0" w:firstLine="0" w:firstLineChars="0"/>
              <w:jc w:val="center"/>
            </w:pPr>
            <w:r>
              <w:rPr>
                <w:rFonts w:hint="eastAsia" w:ascii="宋体" w:hAnsi="宋体" w:eastAsia="宋体" w:cs="宋体"/>
                <w:spacing w:val="0"/>
                <w:w w:val="100"/>
                <w:kern w:val="2"/>
                <w:position w:val="0"/>
                <w:sz w:val="21"/>
                <w:lang w:val="zh-CN" w:eastAsia="zh-CN" w:bidi="ar-SA"/>
              </w:rPr>
              <w:t>1</w:t>
            </w:r>
          </w:p>
        </w:tc>
        <w:tc>
          <w:tcPr>
            <w:tcW w:w="907" w:type="dxa"/>
            <w:tcBorders>
              <w:tl2br w:val="nil"/>
              <w:tr2bl w:val="nil"/>
            </w:tcBorders>
            <w:shd w:val="clear" w:color="auto" w:fill="FFFFFF"/>
            <w:noWrap w:val="0"/>
            <w:vAlign w:val="center"/>
          </w:tcPr>
          <w:p>
            <w:pPr>
              <w:keepNext w:val="0"/>
              <w:keepLines w:val="0"/>
              <w:shd w:val="clear" w:color="auto" w:fill="auto"/>
              <w:bidi w:val="0"/>
              <w:spacing w:before="0" w:after="0" w:line="240" w:lineRule="auto"/>
              <w:ind w:left="0" w:leftChars="0" w:right="0" w:rightChars="0" w:firstLine="0" w:firstLineChars="0"/>
              <w:jc w:val="center"/>
            </w:pPr>
            <w:r>
              <w:rPr>
                <w:rFonts w:hint="eastAsia" w:ascii="宋体" w:hAnsi="宋体" w:eastAsia="宋体" w:cs="宋体"/>
                <w:spacing w:val="0"/>
                <w:w w:val="100"/>
                <w:kern w:val="2"/>
                <w:position w:val="0"/>
                <w:sz w:val="21"/>
                <w:lang w:val="zh-CN" w:eastAsia="zh-CN" w:bidi="ar-SA"/>
              </w:rPr>
              <w:t>台</w:t>
            </w:r>
          </w:p>
        </w:tc>
        <w:tc>
          <w:tcPr>
            <w:tcW w:w="3364" w:type="dxa"/>
            <w:vMerge w:val="restart"/>
            <w:tcBorders>
              <w:tl2br w:val="nil"/>
              <w:tr2bl w:val="nil"/>
            </w:tcBorders>
            <w:shd w:val="clear" w:color="auto" w:fill="FFFFFF"/>
            <w:noWrap w:val="0"/>
            <w:vAlign w:val="center"/>
          </w:tcPr>
          <w:p>
            <w:pPr>
              <w:keepNext w:val="0"/>
              <w:keepLines w:val="0"/>
              <w:shd w:val="clear" w:color="auto" w:fill="auto"/>
              <w:bidi w:val="0"/>
              <w:spacing w:before="0" w:after="0" w:line="240" w:lineRule="auto"/>
              <w:ind w:left="0" w:leftChars="0" w:right="0" w:rightChars="0" w:firstLine="0" w:firstLineChars="0"/>
              <w:jc w:val="center"/>
            </w:pPr>
            <w:r>
              <w:rPr>
                <w:rFonts w:hint="eastAsia" w:ascii="宋体" w:hAnsi="宋体" w:eastAsia="宋体" w:cs="宋体"/>
                <w:spacing w:val="0"/>
                <w:w w:val="100"/>
                <w:kern w:val="2"/>
                <w:position w:val="0"/>
                <w:sz w:val="21"/>
                <w:lang w:val="zh-CN" w:eastAsia="zh-CN" w:bidi="ar-SA"/>
              </w:rPr>
              <w:t>破碎区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91" w:type="dxa"/>
            <w:tcBorders>
              <w:tl2br w:val="nil"/>
              <w:tr2bl w:val="nil"/>
            </w:tcBorders>
            <w:shd w:val="clear" w:color="auto" w:fill="FFFFFF"/>
            <w:noWrap w:val="0"/>
            <w:vAlign w:val="center"/>
          </w:tcPr>
          <w:p>
            <w:pPr>
              <w:keepNext w:val="0"/>
              <w:keepLines w:val="0"/>
              <w:shd w:val="clear" w:color="auto" w:fill="auto"/>
              <w:bidi w:val="0"/>
              <w:spacing w:before="0" w:after="0" w:line="240" w:lineRule="auto"/>
              <w:ind w:left="0" w:leftChars="0" w:right="0" w:rightChars="0" w:firstLine="0" w:firstLineChars="0"/>
              <w:jc w:val="center"/>
            </w:pPr>
            <w:r>
              <w:rPr>
                <w:rFonts w:hint="eastAsia" w:ascii="宋体" w:hAnsi="宋体" w:eastAsia="宋体" w:cs="宋体"/>
                <w:spacing w:val="0"/>
                <w:w w:val="100"/>
                <w:kern w:val="2"/>
                <w:position w:val="0"/>
                <w:sz w:val="21"/>
                <w:lang w:val="zh-CN" w:eastAsia="zh-CN" w:bidi="ar-SA"/>
              </w:rPr>
              <w:t>3</w:t>
            </w:r>
          </w:p>
        </w:tc>
        <w:tc>
          <w:tcPr>
            <w:tcW w:w="3370" w:type="dxa"/>
            <w:tcBorders>
              <w:tl2br w:val="nil"/>
              <w:tr2bl w:val="nil"/>
            </w:tcBorders>
            <w:shd w:val="clear" w:color="auto" w:fill="FFFFFF"/>
            <w:noWrap w:val="0"/>
            <w:vAlign w:val="center"/>
          </w:tcPr>
          <w:p>
            <w:pPr>
              <w:keepNext w:val="0"/>
              <w:keepLines w:val="0"/>
              <w:shd w:val="clear" w:color="auto" w:fill="auto"/>
              <w:bidi w:val="0"/>
              <w:spacing w:before="0" w:after="0" w:line="240" w:lineRule="auto"/>
              <w:ind w:left="0" w:leftChars="0" w:right="0" w:rightChars="0" w:firstLine="0" w:firstLineChars="0"/>
              <w:jc w:val="center"/>
            </w:pPr>
            <w:r>
              <w:rPr>
                <w:rFonts w:hint="eastAsia" w:ascii="宋体" w:hAnsi="宋体" w:eastAsia="宋体" w:cs="宋体"/>
                <w:spacing w:val="0"/>
                <w:w w:val="100"/>
                <w:kern w:val="2"/>
                <w:position w:val="0"/>
                <w:sz w:val="21"/>
                <w:lang w:val="zh-CN" w:eastAsia="zh-CN" w:bidi="ar-SA"/>
              </w:rPr>
              <w:t>粉碎机</w:t>
            </w:r>
          </w:p>
        </w:tc>
        <w:tc>
          <w:tcPr>
            <w:tcW w:w="996" w:type="dxa"/>
            <w:tcBorders>
              <w:tl2br w:val="nil"/>
              <w:tr2bl w:val="nil"/>
            </w:tcBorders>
            <w:shd w:val="clear" w:color="auto" w:fill="FFFFFF"/>
            <w:noWrap w:val="0"/>
            <w:vAlign w:val="center"/>
          </w:tcPr>
          <w:p>
            <w:pPr>
              <w:keepNext w:val="0"/>
              <w:keepLines w:val="0"/>
              <w:shd w:val="clear" w:color="auto" w:fill="auto"/>
              <w:bidi w:val="0"/>
              <w:spacing w:before="0" w:after="0" w:line="240" w:lineRule="auto"/>
              <w:ind w:left="0" w:leftChars="0" w:right="0" w:rightChars="0" w:firstLine="0" w:firstLineChars="0"/>
              <w:jc w:val="center"/>
            </w:pPr>
            <w:r>
              <w:rPr>
                <w:rFonts w:hint="eastAsia" w:ascii="宋体" w:hAnsi="宋体" w:eastAsia="宋体" w:cs="宋体"/>
                <w:spacing w:val="0"/>
                <w:w w:val="100"/>
                <w:kern w:val="2"/>
                <w:position w:val="0"/>
                <w:sz w:val="21"/>
                <w:lang w:val="zh-CN" w:eastAsia="zh-CN" w:bidi="ar-SA"/>
              </w:rPr>
              <w:t>1</w:t>
            </w:r>
          </w:p>
        </w:tc>
        <w:tc>
          <w:tcPr>
            <w:tcW w:w="907" w:type="dxa"/>
            <w:tcBorders>
              <w:tl2br w:val="nil"/>
              <w:tr2bl w:val="nil"/>
            </w:tcBorders>
            <w:shd w:val="clear" w:color="auto" w:fill="FFFFFF"/>
            <w:noWrap w:val="0"/>
            <w:vAlign w:val="center"/>
          </w:tcPr>
          <w:p>
            <w:pPr>
              <w:keepNext w:val="0"/>
              <w:keepLines w:val="0"/>
              <w:shd w:val="clear" w:color="auto" w:fill="auto"/>
              <w:bidi w:val="0"/>
              <w:spacing w:before="0" w:after="0" w:line="240" w:lineRule="auto"/>
              <w:ind w:left="0" w:leftChars="0" w:right="0" w:rightChars="0" w:firstLine="0" w:firstLineChars="0"/>
              <w:jc w:val="center"/>
            </w:pPr>
            <w:r>
              <w:rPr>
                <w:rFonts w:hint="eastAsia" w:ascii="宋体" w:hAnsi="宋体" w:eastAsia="宋体" w:cs="宋体"/>
                <w:spacing w:val="0"/>
                <w:w w:val="100"/>
                <w:kern w:val="2"/>
                <w:position w:val="0"/>
                <w:sz w:val="21"/>
                <w:lang w:val="zh-CN" w:eastAsia="zh-CN" w:bidi="ar-SA"/>
              </w:rPr>
              <w:t>台</w:t>
            </w:r>
          </w:p>
        </w:tc>
        <w:tc>
          <w:tcPr>
            <w:tcW w:w="3364" w:type="dxa"/>
            <w:vMerge w:val="continue"/>
            <w:tcBorders>
              <w:tl2br w:val="nil"/>
              <w:tr2bl w:val="nil"/>
            </w:tcBorders>
            <w:shd w:val="clear" w:color="auto" w:fill="FFFFFF"/>
            <w:noWrap w:val="0"/>
            <w:vAlign w:val="center"/>
          </w:tcPr>
          <w:p>
            <w:pPr>
              <w:keepNext w:val="0"/>
              <w:keepLines w:val="0"/>
              <w:shd w:val="clear" w:color="auto" w:fill="auto"/>
              <w:bidi w:val="0"/>
              <w:spacing w:before="0" w:after="0" w:line="240" w:lineRule="auto"/>
              <w:ind w:left="0" w:leftChars="0" w:right="0" w:rightChars="0" w:firstLine="0" w:firstLineChars="0"/>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91" w:type="dxa"/>
            <w:tcBorders>
              <w:tl2br w:val="nil"/>
              <w:tr2bl w:val="nil"/>
            </w:tcBorders>
            <w:shd w:val="clear" w:color="auto" w:fill="FFFFFF"/>
            <w:noWrap w:val="0"/>
            <w:vAlign w:val="center"/>
          </w:tcPr>
          <w:p>
            <w:pPr>
              <w:keepNext w:val="0"/>
              <w:keepLines w:val="0"/>
              <w:shd w:val="clear" w:color="auto" w:fill="auto"/>
              <w:bidi w:val="0"/>
              <w:spacing w:before="0" w:after="0" w:line="240" w:lineRule="auto"/>
              <w:ind w:left="0" w:leftChars="0" w:right="0" w:rightChars="0" w:firstLine="0" w:firstLineChars="0"/>
              <w:jc w:val="center"/>
            </w:pPr>
            <w:r>
              <w:rPr>
                <w:rFonts w:hint="eastAsia" w:ascii="宋体" w:hAnsi="宋体" w:eastAsia="宋体" w:cs="宋体"/>
                <w:spacing w:val="0"/>
                <w:w w:val="100"/>
                <w:kern w:val="2"/>
                <w:position w:val="0"/>
                <w:sz w:val="21"/>
                <w:lang w:val="zh-CN" w:eastAsia="zh-CN" w:bidi="ar-SA"/>
              </w:rPr>
              <w:t>4</w:t>
            </w:r>
          </w:p>
        </w:tc>
        <w:tc>
          <w:tcPr>
            <w:tcW w:w="3370" w:type="dxa"/>
            <w:tcBorders>
              <w:tl2br w:val="nil"/>
              <w:tr2bl w:val="nil"/>
            </w:tcBorders>
            <w:shd w:val="clear" w:color="auto" w:fill="FFFFFF"/>
            <w:noWrap w:val="0"/>
            <w:vAlign w:val="center"/>
          </w:tcPr>
          <w:p>
            <w:pPr>
              <w:keepNext w:val="0"/>
              <w:keepLines w:val="0"/>
              <w:shd w:val="clear" w:color="auto" w:fill="auto"/>
              <w:bidi w:val="0"/>
              <w:spacing w:before="0" w:after="0" w:line="240" w:lineRule="auto"/>
              <w:ind w:left="0" w:leftChars="0" w:right="0" w:rightChars="0" w:firstLine="0" w:firstLineChars="0"/>
              <w:jc w:val="center"/>
            </w:pPr>
            <w:r>
              <w:rPr>
                <w:rFonts w:hint="eastAsia" w:ascii="宋体" w:hAnsi="宋体" w:eastAsia="宋体" w:cs="宋体"/>
                <w:spacing w:val="0"/>
                <w:w w:val="100"/>
                <w:kern w:val="2"/>
                <w:position w:val="0"/>
                <w:sz w:val="21"/>
                <w:lang w:val="zh-CN" w:eastAsia="zh-CN" w:bidi="ar-SA"/>
              </w:rPr>
              <w:t>供煤机</w:t>
            </w:r>
          </w:p>
        </w:tc>
        <w:tc>
          <w:tcPr>
            <w:tcW w:w="996" w:type="dxa"/>
            <w:tcBorders>
              <w:tl2br w:val="nil"/>
              <w:tr2bl w:val="nil"/>
            </w:tcBorders>
            <w:shd w:val="clear" w:color="auto" w:fill="FFFFFF"/>
            <w:noWrap w:val="0"/>
            <w:vAlign w:val="center"/>
          </w:tcPr>
          <w:p>
            <w:pPr>
              <w:keepNext w:val="0"/>
              <w:keepLines w:val="0"/>
              <w:shd w:val="clear" w:color="auto" w:fill="auto"/>
              <w:bidi w:val="0"/>
              <w:spacing w:before="0" w:after="0" w:line="240" w:lineRule="auto"/>
              <w:ind w:left="0" w:leftChars="0" w:right="0" w:rightChars="0" w:firstLine="0" w:firstLineChars="0"/>
              <w:jc w:val="center"/>
            </w:pPr>
            <w:r>
              <w:rPr>
                <w:rFonts w:hint="eastAsia" w:ascii="宋体" w:hAnsi="宋体" w:eastAsia="宋体" w:cs="宋体"/>
                <w:spacing w:val="0"/>
                <w:w w:val="100"/>
                <w:kern w:val="2"/>
                <w:position w:val="0"/>
                <w:sz w:val="21"/>
                <w:lang w:val="zh-CN" w:eastAsia="zh-CN" w:bidi="ar-SA"/>
              </w:rPr>
              <w:t>1</w:t>
            </w:r>
          </w:p>
        </w:tc>
        <w:tc>
          <w:tcPr>
            <w:tcW w:w="907" w:type="dxa"/>
            <w:tcBorders>
              <w:tl2br w:val="nil"/>
              <w:tr2bl w:val="nil"/>
            </w:tcBorders>
            <w:shd w:val="clear" w:color="auto" w:fill="FFFFFF"/>
            <w:noWrap w:val="0"/>
            <w:vAlign w:val="center"/>
          </w:tcPr>
          <w:p>
            <w:pPr>
              <w:keepNext w:val="0"/>
              <w:keepLines w:val="0"/>
              <w:shd w:val="clear" w:color="auto" w:fill="auto"/>
              <w:bidi w:val="0"/>
              <w:spacing w:before="0" w:after="0" w:line="240" w:lineRule="auto"/>
              <w:ind w:left="0" w:leftChars="0" w:right="0" w:rightChars="0" w:firstLine="0" w:firstLineChars="0"/>
              <w:jc w:val="center"/>
            </w:pPr>
            <w:r>
              <w:rPr>
                <w:rFonts w:hint="eastAsia" w:ascii="宋体" w:hAnsi="宋体" w:eastAsia="宋体" w:cs="宋体"/>
                <w:spacing w:val="0"/>
                <w:w w:val="100"/>
                <w:kern w:val="2"/>
                <w:position w:val="0"/>
                <w:sz w:val="21"/>
                <w:lang w:val="zh-CN" w:eastAsia="zh-CN" w:bidi="ar-SA"/>
              </w:rPr>
              <w:t>台</w:t>
            </w:r>
          </w:p>
        </w:tc>
        <w:tc>
          <w:tcPr>
            <w:tcW w:w="3364" w:type="dxa"/>
            <w:vMerge w:val="continue"/>
            <w:tcBorders>
              <w:tl2br w:val="nil"/>
              <w:tr2bl w:val="nil"/>
            </w:tcBorders>
            <w:shd w:val="clear" w:color="auto" w:fill="FFFFFF"/>
            <w:noWrap w:val="0"/>
            <w:vAlign w:val="center"/>
          </w:tcPr>
          <w:p>
            <w:pPr>
              <w:keepNext w:val="0"/>
              <w:keepLines w:val="0"/>
              <w:shd w:val="clear" w:color="auto" w:fill="auto"/>
              <w:bidi w:val="0"/>
              <w:spacing w:before="0" w:after="0" w:line="240" w:lineRule="auto"/>
              <w:ind w:left="0" w:leftChars="0" w:right="0" w:rightChars="0" w:firstLine="0" w:firstLineChars="0"/>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91" w:type="dxa"/>
            <w:tcBorders>
              <w:tl2br w:val="nil"/>
              <w:tr2bl w:val="nil"/>
            </w:tcBorders>
            <w:shd w:val="clear" w:color="auto" w:fill="FFFFFF"/>
            <w:noWrap w:val="0"/>
            <w:vAlign w:val="center"/>
          </w:tcPr>
          <w:p>
            <w:pPr>
              <w:keepNext w:val="0"/>
              <w:keepLines w:val="0"/>
              <w:shd w:val="clear" w:color="auto" w:fill="auto"/>
              <w:bidi w:val="0"/>
              <w:spacing w:before="0" w:after="0" w:line="240" w:lineRule="auto"/>
              <w:ind w:left="0" w:leftChars="0" w:right="0" w:rightChars="0" w:firstLine="0" w:firstLineChars="0"/>
              <w:jc w:val="center"/>
            </w:pPr>
            <w:r>
              <w:rPr>
                <w:rFonts w:hint="eastAsia" w:ascii="宋体" w:hAnsi="宋体" w:eastAsia="宋体" w:cs="宋体"/>
                <w:spacing w:val="0"/>
                <w:w w:val="100"/>
                <w:kern w:val="2"/>
                <w:position w:val="0"/>
                <w:sz w:val="21"/>
                <w:lang w:val="zh-CN" w:eastAsia="zh-CN" w:bidi="ar-SA"/>
              </w:rPr>
              <w:t>5</w:t>
            </w:r>
          </w:p>
        </w:tc>
        <w:tc>
          <w:tcPr>
            <w:tcW w:w="3370" w:type="dxa"/>
            <w:tcBorders>
              <w:tl2br w:val="nil"/>
              <w:tr2bl w:val="nil"/>
            </w:tcBorders>
            <w:shd w:val="clear" w:color="auto" w:fill="FFFFFF"/>
            <w:noWrap w:val="0"/>
            <w:vAlign w:val="center"/>
          </w:tcPr>
          <w:p>
            <w:pPr>
              <w:keepNext w:val="0"/>
              <w:keepLines w:val="0"/>
              <w:shd w:val="clear" w:color="auto" w:fill="auto"/>
              <w:bidi w:val="0"/>
              <w:spacing w:before="0" w:after="0" w:line="240" w:lineRule="auto"/>
              <w:ind w:left="0" w:leftChars="0" w:right="0" w:rightChars="0" w:firstLine="0" w:firstLineChars="0"/>
              <w:jc w:val="center"/>
            </w:pPr>
            <w:r>
              <w:rPr>
                <w:rFonts w:hint="eastAsia" w:ascii="宋体" w:hAnsi="宋体" w:eastAsia="宋体" w:cs="宋体"/>
                <w:spacing w:val="0"/>
                <w:w w:val="100"/>
                <w:kern w:val="2"/>
                <w:position w:val="0"/>
                <w:sz w:val="21"/>
                <w:lang w:val="zh-CN" w:eastAsia="zh-CN" w:bidi="ar-SA"/>
              </w:rPr>
              <w:t>装载机</w:t>
            </w:r>
          </w:p>
        </w:tc>
        <w:tc>
          <w:tcPr>
            <w:tcW w:w="996" w:type="dxa"/>
            <w:tcBorders>
              <w:tl2br w:val="nil"/>
              <w:tr2bl w:val="nil"/>
            </w:tcBorders>
            <w:shd w:val="clear" w:color="auto" w:fill="FFFFFF"/>
            <w:noWrap w:val="0"/>
            <w:vAlign w:val="center"/>
          </w:tcPr>
          <w:p>
            <w:pPr>
              <w:keepNext w:val="0"/>
              <w:keepLines w:val="0"/>
              <w:shd w:val="clear" w:color="auto" w:fill="auto"/>
              <w:bidi w:val="0"/>
              <w:spacing w:before="0" w:after="0" w:line="240" w:lineRule="auto"/>
              <w:ind w:left="0" w:leftChars="0" w:right="0" w:rightChars="0" w:firstLine="0" w:firstLineChars="0"/>
              <w:jc w:val="center"/>
            </w:pPr>
            <w:r>
              <w:rPr>
                <w:rFonts w:hint="eastAsia" w:ascii="宋体" w:hAnsi="宋体" w:eastAsia="宋体" w:cs="宋体"/>
                <w:spacing w:val="0"/>
                <w:w w:val="100"/>
                <w:kern w:val="2"/>
                <w:position w:val="0"/>
                <w:sz w:val="21"/>
                <w:lang w:val="zh-CN" w:eastAsia="zh-CN" w:bidi="ar-SA"/>
              </w:rPr>
              <w:t>2</w:t>
            </w:r>
          </w:p>
        </w:tc>
        <w:tc>
          <w:tcPr>
            <w:tcW w:w="907" w:type="dxa"/>
            <w:tcBorders>
              <w:tl2br w:val="nil"/>
              <w:tr2bl w:val="nil"/>
            </w:tcBorders>
            <w:shd w:val="clear" w:color="auto" w:fill="FFFFFF"/>
            <w:noWrap w:val="0"/>
            <w:vAlign w:val="center"/>
          </w:tcPr>
          <w:p>
            <w:pPr>
              <w:keepNext w:val="0"/>
              <w:keepLines w:val="0"/>
              <w:shd w:val="clear" w:color="auto" w:fill="auto"/>
              <w:bidi w:val="0"/>
              <w:spacing w:before="0" w:after="0" w:line="240" w:lineRule="auto"/>
              <w:ind w:left="0" w:leftChars="0" w:right="0" w:rightChars="0" w:firstLine="0" w:firstLineChars="0"/>
              <w:jc w:val="center"/>
            </w:pPr>
            <w:r>
              <w:rPr>
                <w:rFonts w:hint="eastAsia" w:ascii="宋体" w:hAnsi="宋体" w:eastAsia="宋体" w:cs="宋体"/>
                <w:spacing w:val="0"/>
                <w:w w:val="100"/>
                <w:kern w:val="2"/>
                <w:position w:val="0"/>
                <w:sz w:val="21"/>
                <w:lang w:val="zh-CN" w:eastAsia="zh-CN" w:bidi="ar-SA"/>
              </w:rPr>
              <w:t>台</w:t>
            </w:r>
          </w:p>
        </w:tc>
        <w:tc>
          <w:tcPr>
            <w:tcW w:w="3364" w:type="dxa"/>
            <w:vMerge w:val="continue"/>
            <w:tcBorders>
              <w:tl2br w:val="nil"/>
              <w:tr2bl w:val="nil"/>
            </w:tcBorders>
            <w:shd w:val="clear" w:color="auto" w:fill="FFFFFF"/>
            <w:noWrap w:val="0"/>
            <w:vAlign w:val="center"/>
          </w:tcPr>
          <w:p>
            <w:pPr>
              <w:keepNext w:val="0"/>
              <w:keepLines w:val="0"/>
              <w:shd w:val="clear" w:color="auto" w:fill="auto"/>
              <w:bidi w:val="0"/>
              <w:spacing w:before="0" w:after="0" w:line="240" w:lineRule="auto"/>
              <w:ind w:left="0" w:leftChars="0" w:right="0" w:rightChars="0" w:firstLine="0" w:firstLineChars="0"/>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91" w:type="dxa"/>
            <w:tcBorders>
              <w:tl2br w:val="nil"/>
              <w:tr2bl w:val="nil"/>
            </w:tcBorders>
            <w:shd w:val="clear" w:color="auto" w:fill="FFFFFF"/>
            <w:noWrap w:val="0"/>
            <w:vAlign w:val="center"/>
          </w:tcPr>
          <w:p>
            <w:pPr>
              <w:keepNext w:val="0"/>
              <w:keepLines w:val="0"/>
              <w:shd w:val="clear" w:color="auto" w:fill="auto"/>
              <w:bidi w:val="0"/>
              <w:spacing w:before="0" w:after="0" w:line="240" w:lineRule="auto"/>
              <w:ind w:left="0" w:leftChars="0" w:right="0" w:rightChars="0" w:firstLine="0" w:firstLineChars="0"/>
              <w:jc w:val="center"/>
            </w:pPr>
            <w:r>
              <w:rPr>
                <w:rFonts w:hint="eastAsia" w:ascii="宋体" w:hAnsi="宋体" w:eastAsia="宋体" w:cs="宋体"/>
                <w:spacing w:val="0"/>
                <w:w w:val="100"/>
                <w:kern w:val="2"/>
                <w:position w:val="0"/>
                <w:sz w:val="21"/>
                <w:lang w:val="zh-CN" w:eastAsia="zh-CN" w:bidi="ar-SA"/>
              </w:rPr>
              <w:t>6</w:t>
            </w:r>
          </w:p>
        </w:tc>
        <w:tc>
          <w:tcPr>
            <w:tcW w:w="3370" w:type="dxa"/>
            <w:tcBorders>
              <w:tl2br w:val="nil"/>
              <w:tr2bl w:val="nil"/>
            </w:tcBorders>
            <w:shd w:val="clear" w:color="auto" w:fill="FFFFFF"/>
            <w:noWrap w:val="0"/>
            <w:vAlign w:val="center"/>
          </w:tcPr>
          <w:p>
            <w:pPr>
              <w:keepNext w:val="0"/>
              <w:keepLines w:val="0"/>
              <w:shd w:val="clear" w:color="auto" w:fill="auto"/>
              <w:bidi w:val="0"/>
              <w:spacing w:before="0" w:after="0" w:line="240" w:lineRule="auto"/>
              <w:ind w:left="0" w:leftChars="0" w:right="0" w:rightChars="0" w:firstLine="0" w:firstLineChars="0"/>
              <w:jc w:val="center"/>
            </w:pPr>
            <w:r>
              <w:rPr>
                <w:rFonts w:hint="eastAsia" w:ascii="宋体" w:hAnsi="宋体" w:eastAsia="宋体" w:cs="宋体"/>
                <w:spacing w:val="0"/>
                <w:w w:val="100"/>
                <w:kern w:val="2"/>
                <w:position w:val="0"/>
                <w:sz w:val="21"/>
                <w:lang w:val="zh-CN" w:eastAsia="zh-CN" w:bidi="ar-SA"/>
              </w:rPr>
              <w:t>滚动筛分机</w:t>
            </w:r>
          </w:p>
        </w:tc>
        <w:tc>
          <w:tcPr>
            <w:tcW w:w="996" w:type="dxa"/>
            <w:tcBorders>
              <w:tl2br w:val="nil"/>
              <w:tr2bl w:val="nil"/>
            </w:tcBorders>
            <w:shd w:val="clear" w:color="auto" w:fill="FFFFFF"/>
            <w:noWrap w:val="0"/>
            <w:vAlign w:val="center"/>
          </w:tcPr>
          <w:p>
            <w:pPr>
              <w:keepNext w:val="0"/>
              <w:keepLines w:val="0"/>
              <w:shd w:val="clear" w:color="auto" w:fill="auto"/>
              <w:bidi w:val="0"/>
              <w:spacing w:before="0" w:after="0" w:line="240" w:lineRule="auto"/>
              <w:ind w:left="0" w:leftChars="0" w:right="0" w:rightChars="0" w:firstLine="0" w:firstLineChars="0"/>
              <w:jc w:val="center"/>
            </w:pPr>
            <w:r>
              <w:rPr>
                <w:rFonts w:hint="eastAsia" w:ascii="宋体" w:hAnsi="宋体" w:eastAsia="宋体" w:cs="宋体"/>
                <w:spacing w:val="0"/>
                <w:w w:val="100"/>
                <w:kern w:val="2"/>
                <w:position w:val="0"/>
                <w:sz w:val="21"/>
                <w:lang w:val="zh-CN" w:eastAsia="zh-CN" w:bidi="ar-SA"/>
              </w:rPr>
              <w:t>2</w:t>
            </w:r>
          </w:p>
        </w:tc>
        <w:tc>
          <w:tcPr>
            <w:tcW w:w="907" w:type="dxa"/>
            <w:tcBorders>
              <w:tl2br w:val="nil"/>
              <w:tr2bl w:val="nil"/>
            </w:tcBorders>
            <w:shd w:val="clear" w:color="auto" w:fill="FFFFFF"/>
            <w:noWrap w:val="0"/>
            <w:vAlign w:val="center"/>
          </w:tcPr>
          <w:p>
            <w:pPr>
              <w:keepNext w:val="0"/>
              <w:keepLines w:val="0"/>
              <w:shd w:val="clear" w:color="auto" w:fill="auto"/>
              <w:bidi w:val="0"/>
              <w:spacing w:before="0" w:after="0" w:line="240" w:lineRule="auto"/>
              <w:ind w:left="0" w:leftChars="0" w:right="0" w:rightChars="0" w:firstLine="0" w:firstLineChars="0"/>
              <w:jc w:val="center"/>
            </w:pPr>
            <w:r>
              <w:rPr>
                <w:rFonts w:hint="eastAsia" w:ascii="宋体" w:hAnsi="宋体" w:eastAsia="宋体" w:cs="宋体"/>
                <w:spacing w:val="0"/>
                <w:w w:val="100"/>
                <w:kern w:val="2"/>
                <w:position w:val="0"/>
                <w:sz w:val="21"/>
                <w:lang w:val="zh-CN" w:eastAsia="zh-CN" w:bidi="ar-SA"/>
              </w:rPr>
              <w:t>台</w:t>
            </w:r>
          </w:p>
        </w:tc>
        <w:tc>
          <w:tcPr>
            <w:tcW w:w="3364" w:type="dxa"/>
            <w:vMerge w:val="continue"/>
            <w:tcBorders>
              <w:tl2br w:val="nil"/>
              <w:tr2bl w:val="nil"/>
            </w:tcBorders>
            <w:shd w:val="clear" w:color="auto" w:fill="FFFFFF"/>
            <w:noWrap w:val="0"/>
            <w:vAlign w:val="center"/>
          </w:tcPr>
          <w:p>
            <w:pPr>
              <w:keepNext w:val="0"/>
              <w:keepLines w:val="0"/>
              <w:shd w:val="clear" w:color="auto" w:fill="auto"/>
              <w:bidi w:val="0"/>
              <w:spacing w:before="0" w:after="0" w:line="240" w:lineRule="auto"/>
              <w:ind w:left="0" w:leftChars="0" w:right="0" w:rightChars="0" w:firstLine="0" w:firstLineChars="0"/>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91" w:type="dxa"/>
            <w:tcBorders>
              <w:tl2br w:val="nil"/>
              <w:tr2bl w:val="nil"/>
            </w:tcBorders>
            <w:shd w:val="clear" w:color="auto" w:fill="FFFFFF"/>
            <w:noWrap w:val="0"/>
            <w:vAlign w:val="center"/>
          </w:tcPr>
          <w:p>
            <w:pPr>
              <w:keepNext w:val="0"/>
              <w:keepLines w:val="0"/>
              <w:shd w:val="clear" w:color="auto" w:fill="auto"/>
              <w:bidi w:val="0"/>
              <w:spacing w:before="0" w:after="0" w:line="240" w:lineRule="auto"/>
              <w:ind w:left="0" w:leftChars="0" w:right="0" w:rightChars="0" w:firstLine="0" w:firstLineChars="0"/>
              <w:jc w:val="center"/>
            </w:pPr>
            <w:r>
              <w:rPr>
                <w:rFonts w:hint="eastAsia" w:ascii="宋体" w:hAnsi="宋体" w:eastAsia="宋体" w:cs="宋体"/>
                <w:spacing w:val="0"/>
                <w:w w:val="100"/>
                <w:kern w:val="2"/>
                <w:position w:val="0"/>
                <w:sz w:val="21"/>
                <w:lang w:val="zh-CN" w:eastAsia="zh-CN" w:bidi="ar-SA"/>
              </w:rPr>
              <w:t>7</w:t>
            </w:r>
          </w:p>
        </w:tc>
        <w:tc>
          <w:tcPr>
            <w:tcW w:w="3370" w:type="dxa"/>
            <w:tcBorders>
              <w:tl2br w:val="nil"/>
              <w:tr2bl w:val="nil"/>
            </w:tcBorders>
            <w:shd w:val="clear" w:color="auto" w:fill="FFFFFF"/>
            <w:noWrap w:val="0"/>
            <w:vAlign w:val="center"/>
          </w:tcPr>
          <w:p>
            <w:pPr>
              <w:keepNext w:val="0"/>
              <w:keepLines w:val="0"/>
              <w:shd w:val="clear" w:color="auto" w:fill="auto"/>
              <w:bidi w:val="0"/>
              <w:spacing w:before="0" w:after="0" w:line="240" w:lineRule="auto"/>
              <w:ind w:left="0" w:leftChars="0" w:right="0" w:rightChars="0" w:firstLine="0" w:firstLineChars="0"/>
              <w:jc w:val="center"/>
            </w:pPr>
            <w:r>
              <w:rPr>
                <w:rFonts w:hint="eastAsia" w:ascii="宋体" w:hAnsi="宋体" w:eastAsia="宋体" w:cs="宋体"/>
                <w:spacing w:val="0"/>
                <w:w w:val="100"/>
                <w:kern w:val="2"/>
                <w:position w:val="0"/>
                <w:sz w:val="21"/>
                <w:lang w:val="zh-CN" w:eastAsia="zh-CN" w:bidi="ar-SA"/>
              </w:rPr>
              <w:t>搅拌机</w:t>
            </w:r>
          </w:p>
        </w:tc>
        <w:tc>
          <w:tcPr>
            <w:tcW w:w="996" w:type="dxa"/>
            <w:tcBorders>
              <w:tl2br w:val="nil"/>
              <w:tr2bl w:val="nil"/>
            </w:tcBorders>
            <w:shd w:val="clear" w:color="auto" w:fill="FFFFFF"/>
            <w:noWrap w:val="0"/>
            <w:vAlign w:val="center"/>
          </w:tcPr>
          <w:p>
            <w:pPr>
              <w:keepNext w:val="0"/>
              <w:keepLines w:val="0"/>
              <w:shd w:val="clear" w:color="auto" w:fill="auto"/>
              <w:bidi w:val="0"/>
              <w:spacing w:before="0" w:after="0" w:line="240" w:lineRule="auto"/>
              <w:ind w:left="0" w:leftChars="0" w:right="0" w:rightChars="0" w:firstLine="0" w:firstLineChars="0"/>
              <w:jc w:val="center"/>
            </w:pPr>
            <w:r>
              <w:rPr>
                <w:rFonts w:hint="eastAsia" w:ascii="宋体" w:hAnsi="宋体" w:eastAsia="宋体" w:cs="宋体"/>
                <w:spacing w:val="0"/>
                <w:w w:val="100"/>
                <w:kern w:val="2"/>
                <w:position w:val="0"/>
                <w:sz w:val="21"/>
                <w:lang w:val="zh-CN" w:eastAsia="zh-CN" w:bidi="ar-SA"/>
              </w:rPr>
              <w:t>1</w:t>
            </w:r>
          </w:p>
        </w:tc>
        <w:tc>
          <w:tcPr>
            <w:tcW w:w="907" w:type="dxa"/>
            <w:tcBorders>
              <w:tl2br w:val="nil"/>
              <w:tr2bl w:val="nil"/>
            </w:tcBorders>
            <w:shd w:val="clear" w:color="auto" w:fill="FFFFFF"/>
            <w:noWrap w:val="0"/>
            <w:vAlign w:val="center"/>
          </w:tcPr>
          <w:p>
            <w:pPr>
              <w:keepNext w:val="0"/>
              <w:keepLines w:val="0"/>
              <w:shd w:val="clear" w:color="auto" w:fill="auto"/>
              <w:bidi w:val="0"/>
              <w:spacing w:before="0" w:after="0" w:line="240" w:lineRule="auto"/>
              <w:ind w:left="0" w:leftChars="0" w:right="0" w:rightChars="0" w:firstLine="0" w:firstLineChars="0"/>
              <w:jc w:val="center"/>
            </w:pPr>
            <w:r>
              <w:rPr>
                <w:rFonts w:hint="eastAsia" w:ascii="宋体" w:hAnsi="宋体" w:eastAsia="宋体" w:cs="宋体"/>
                <w:spacing w:val="0"/>
                <w:w w:val="100"/>
                <w:kern w:val="2"/>
                <w:position w:val="0"/>
                <w:sz w:val="21"/>
                <w:lang w:val="zh-CN" w:eastAsia="zh-CN" w:bidi="ar-SA"/>
              </w:rPr>
              <w:t>台</w:t>
            </w:r>
          </w:p>
        </w:tc>
        <w:tc>
          <w:tcPr>
            <w:tcW w:w="3364" w:type="dxa"/>
            <w:vMerge w:val="restart"/>
            <w:tcBorders>
              <w:tl2br w:val="nil"/>
              <w:tr2bl w:val="nil"/>
            </w:tcBorders>
            <w:shd w:val="clear" w:color="auto" w:fill="FFFFFF"/>
            <w:noWrap w:val="0"/>
            <w:vAlign w:val="center"/>
          </w:tcPr>
          <w:p>
            <w:pPr>
              <w:keepNext w:val="0"/>
              <w:keepLines w:val="0"/>
              <w:shd w:val="clear" w:color="auto" w:fill="auto"/>
              <w:bidi w:val="0"/>
              <w:spacing w:before="0" w:after="0" w:line="240" w:lineRule="auto"/>
              <w:ind w:left="0" w:leftChars="0" w:right="0" w:rightChars="0" w:firstLine="0" w:firstLineChars="0"/>
              <w:jc w:val="center"/>
            </w:pPr>
            <w:r>
              <w:rPr>
                <w:rFonts w:hint="eastAsia" w:ascii="宋体" w:hAnsi="宋体" w:eastAsia="宋体" w:cs="宋体"/>
                <w:spacing w:val="0"/>
                <w:w w:val="100"/>
                <w:kern w:val="2"/>
                <w:position w:val="0"/>
                <w:sz w:val="21"/>
                <w:lang w:val="zh-CN" w:eastAsia="zh-CN" w:bidi="ar-SA"/>
              </w:rPr>
              <w:t>制胚区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91" w:type="dxa"/>
            <w:tcBorders>
              <w:tl2br w:val="nil"/>
              <w:tr2bl w:val="nil"/>
            </w:tcBorders>
            <w:shd w:val="clear" w:color="auto" w:fill="FFFFFF"/>
            <w:noWrap w:val="0"/>
            <w:vAlign w:val="center"/>
          </w:tcPr>
          <w:p>
            <w:pPr>
              <w:keepNext w:val="0"/>
              <w:keepLines w:val="0"/>
              <w:shd w:val="clear" w:color="auto" w:fill="auto"/>
              <w:bidi w:val="0"/>
              <w:spacing w:before="0" w:after="0" w:line="240" w:lineRule="auto"/>
              <w:ind w:left="0" w:leftChars="0" w:right="0" w:rightChars="0" w:firstLine="0" w:firstLineChars="0"/>
              <w:jc w:val="center"/>
            </w:pPr>
            <w:r>
              <w:rPr>
                <w:rFonts w:hint="eastAsia" w:ascii="宋体" w:hAnsi="宋体" w:eastAsia="宋体" w:cs="宋体"/>
                <w:spacing w:val="0"/>
                <w:w w:val="100"/>
                <w:kern w:val="2"/>
                <w:position w:val="0"/>
                <w:sz w:val="21"/>
                <w:lang w:val="zh-CN" w:eastAsia="zh-CN" w:bidi="ar-SA"/>
              </w:rPr>
              <w:t>8</w:t>
            </w:r>
          </w:p>
        </w:tc>
        <w:tc>
          <w:tcPr>
            <w:tcW w:w="3370" w:type="dxa"/>
            <w:tcBorders>
              <w:tl2br w:val="nil"/>
              <w:tr2bl w:val="nil"/>
            </w:tcBorders>
            <w:shd w:val="clear" w:color="auto" w:fill="FFFFFF"/>
            <w:noWrap w:val="0"/>
            <w:vAlign w:val="center"/>
          </w:tcPr>
          <w:p>
            <w:pPr>
              <w:keepNext w:val="0"/>
              <w:keepLines w:val="0"/>
              <w:shd w:val="clear" w:color="auto" w:fill="auto"/>
              <w:bidi w:val="0"/>
              <w:spacing w:before="0" w:after="0" w:line="240" w:lineRule="auto"/>
              <w:ind w:left="0" w:leftChars="0" w:right="0" w:rightChars="0" w:firstLine="0" w:firstLineChars="0"/>
              <w:jc w:val="center"/>
            </w:pPr>
            <w:r>
              <w:rPr>
                <w:rFonts w:hint="eastAsia" w:ascii="宋体" w:hAnsi="宋体" w:eastAsia="宋体" w:cs="宋体"/>
                <w:spacing w:val="0"/>
                <w:w w:val="100"/>
                <w:kern w:val="2"/>
                <w:position w:val="0"/>
                <w:sz w:val="21"/>
                <w:lang w:val="zh-CN" w:eastAsia="zh-CN" w:bidi="ar-SA"/>
              </w:rPr>
              <w:t>自动切条机</w:t>
            </w:r>
          </w:p>
        </w:tc>
        <w:tc>
          <w:tcPr>
            <w:tcW w:w="996" w:type="dxa"/>
            <w:tcBorders>
              <w:tl2br w:val="nil"/>
              <w:tr2bl w:val="nil"/>
            </w:tcBorders>
            <w:shd w:val="clear" w:color="auto" w:fill="FFFFFF"/>
            <w:noWrap w:val="0"/>
            <w:vAlign w:val="center"/>
          </w:tcPr>
          <w:p>
            <w:pPr>
              <w:keepNext w:val="0"/>
              <w:keepLines w:val="0"/>
              <w:shd w:val="clear" w:color="auto" w:fill="auto"/>
              <w:bidi w:val="0"/>
              <w:spacing w:before="0" w:after="0" w:line="240" w:lineRule="auto"/>
              <w:ind w:left="0" w:leftChars="0" w:right="0" w:rightChars="0" w:firstLine="0" w:firstLineChars="0"/>
              <w:jc w:val="center"/>
            </w:pPr>
            <w:r>
              <w:rPr>
                <w:rFonts w:hint="eastAsia" w:ascii="宋体" w:hAnsi="宋体" w:eastAsia="宋体" w:cs="宋体"/>
                <w:spacing w:val="0"/>
                <w:w w:val="100"/>
                <w:kern w:val="2"/>
                <w:position w:val="0"/>
                <w:sz w:val="21"/>
                <w:lang w:val="zh-CN" w:eastAsia="zh-CN" w:bidi="ar-SA"/>
              </w:rPr>
              <w:t>1</w:t>
            </w:r>
          </w:p>
        </w:tc>
        <w:tc>
          <w:tcPr>
            <w:tcW w:w="907" w:type="dxa"/>
            <w:tcBorders>
              <w:tl2br w:val="nil"/>
              <w:tr2bl w:val="nil"/>
            </w:tcBorders>
            <w:shd w:val="clear" w:color="auto" w:fill="FFFFFF"/>
            <w:noWrap w:val="0"/>
            <w:vAlign w:val="center"/>
          </w:tcPr>
          <w:p>
            <w:pPr>
              <w:keepNext w:val="0"/>
              <w:keepLines w:val="0"/>
              <w:shd w:val="clear" w:color="auto" w:fill="auto"/>
              <w:bidi w:val="0"/>
              <w:spacing w:before="0" w:after="0" w:line="240" w:lineRule="auto"/>
              <w:ind w:left="0" w:leftChars="0" w:right="0" w:rightChars="0" w:firstLine="0" w:firstLineChars="0"/>
              <w:jc w:val="center"/>
            </w:pPr>
            <w:r>
              <w:rPr>
                <w:rFonts w:hint="eastAsia" w:ascii="宋体" w:hAnsi="宋体" w:eastAsia="宋体" w:cs="宋体"/>
                <w:spacing w:val="0"/>
                <w:w w:val="100"/>
                <w:kern w:val="2"/>
                <w:position w:val="0"/>
                <w:sz w:val="21"/>
                <w:lang w:val="zh-CN" w:eastAsia="zh-CN" w:bidi="ar-SA"/>
              </w:rPr>
              <w:t>台</w:t>
            </w:r>
          </w:p>
        </w:tc>
        <w:tc>
          <w:tcPr>
            <w:tcW w:w="3364" w:type="dxa"/>
            <w:vMerge w:val="continue"/>
            <w:tcBorders>
              <w:tl2br w:val="nil"/>
              <w:tr2bl w:val="nil"/>
            </w:tcBorders>
            <w:shd w:val="clear" w:color="auto" w:fill="FFFFFF"/>
            <w:noWrap w:val="0"/>
            <w:vAlign w:val="center"/>
          </w:tcPr>
          <w:p>
            <w:pPr>
              <w:keepNext w:val="0"/>
              <w:keepLines w:val="0"/>
              <w:shd w:val="clear" w:color="auto" w:fill="auto"/>
              <w:bidi w:val="0"/>
              <w:spacing w:before="0" w:after="0" w:line="240" w:lineRule="auto"/>
              <w:ind w:left="0" w:leftChars="0" w:right="0" w:rightChars="0" w:firstLine="0" w:firstLineChars="0"/>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91" w:type="dxa"/>
            <w:tcBorders>
              <w:tl2br w:val="nil"/>
              <w:tr2bl w:val="nil"/>
            </w:tcBorders>
            <w:shd w:val="clear" w:color="auto" w:fill="FFFFFF"/>
            <w:noWrap w:val="0"/>
            <w:vAlign w:val="center"/>
          </w:tcPr>
          <w:p>
            <w:pPr>
              <w:keepNext w:val="0"/>
              <w:keepLines w:val="0"/>
              <w:shd w:val="clear" w:color="auto" w:fill="auto"/>
              <w:bidi w:val="0"/>
              <w:spacing w:before="0" w:after="0" w:line="240" w:lineRule="auto"/>
              <w:ind w:left="0" w:leftChars="0" w:right="0" w:rightChars="0" w:firstLine="0" w:firstLineChars="0"/>
              <w:jc w:val="center"/>
            </w:pPr>
            <w:r>
              <w:rPr>
                <w:rFonts w:hint="eastAsia" w:ascii="宋体" w:hAnsi="宋体" w:eastAsia="宋体" w:cs="宋体"/>
                <w:spacing w:val="0"/>
                <w:w w:val="100"/>
                <w:kern w:val="2"/>
                <w:position w:val="0"/>
                <w:sz w:val="21"/>
                <w:lang w:val="zh-CN" w:eastAsia="zh-CN" w:bidi="ar-SA"/>
              </w:rPr>
              <w:t>9</w:t>
            </w:r>
          </w:p>
        </w:tc>
        <w:tc>
          <w:tcPr>
            <w:tcW w:w="3370" w:type="dxa"/>
            <w:tcBorders>
              <w:tl2br w:val="nil"/>
              <w:tr2bl w:val="nil"/>
            </w:tcBorders>
            <w:shd w:val="clear" w:color="auto" w:fill="FFFFFF"/>
            <w:noWrap w:val="0"/>
            <w:vAlign w:val="center"/>
          </w:tcPr>
          <w:p>
            <w:pPr>
              <w:keepNext w:val="0"/>
              <w:keepLines w:val="0"/>
              <w:shd w:val="clear" w:color="auto" w:fill="auto"/>
              <w:bidi w:val="0"/>
              <w:spacing w:before="0" w:after="0" w:line="240" w:lineRule="auto"/>
              <w:ind w:left="0" w:leftChars="0" w:right="0" w:rightChars="0" w:firstLine="0" w:firstLineChars="0"/>
              <w:jc w:val="center"/>
            </w:pPr>
            <w:r>
              <w:rPr>
                <w:rFonts w:hint="eastAsia" w:ascii="宋体" w:hAnsi="宋体" w:eastAsia="宋体" w:cs="宋体"/>
                <w:spacing w:val="0"/>
                <w:w w:val="100"/>
                <w:kern w:val="2"/>
                <w:position w:val="0"/>
                <w:sz w:val="21"/>
                <w:lang w:val="zh-CN" w:eastAsia="zh-CN" w:bidi="ar-SA"/>
              </w:rPr>
              <w:t>泥条机</w:t>
            </w:r>
          </w:p>
        </w:tc>
        <w:tc>
          <w:tcPr>
            <w:tcW w:w="996" w:type="dxa"/>
            <w:tcBorders>
              <w:tl2br w:val="nil"/>
              <w:tr2bl w:val="nil"/>
            </w:tcBorders>
            <w:shd w:val="clear" w:color="auto" w:fill="FFFFFF"/>
            <w:noWrap w:val="0"/>
            <w:vAlign w:val="center"/>
          </w:tcPr>
          <w:p>
            <w:pPr>
              <w:keepNext w:val="0"/>
              <w:keepLines w:val="0"/>
              <w:shd w:val="clear" w:color="auto" w:fill="auto"/>
              <w:bidi w:val="0"/>
              <w:spacing w:before="0" w:after="0" w:line="240" w:lineRule="auto"/>
              <w:ind w:left="0" w:leftChars="0" w:right="0" w:rightChars="0" w:firstLine="0" w:firstLineChars="0"/>
              <w:jc w:val="center"/>
            </w:pPr>
            <w:r>
              <w:rPr>
                <w:rFonts w:hint="eastAsia" w:ascii="宋体" w:hAnsi="宋体" w:eastAsia="宋体" w:cs="宋体"/>
                <w:spacing w:val="0"/>
                <w:w w:val="100"/>
                <w:kern w:val="2"/>
                <w:position w:val="0"/>
                <w:sz w:val="21"/>
                <w:lang w:val="zh-CN" w:eastAsia="zh-CN" w:bidi="ar-SA"/>
              </w:rPr>
              <w:t>1</w:t>
            </w:r>
          </w:p>
        </w:tc>
        <w:tc>
          <w:tcPr>
            <w:tcW w:w="907" w:type="dxa"/>
            <w:tcBorders>
              <w:tl2br w:val="nil"/>
              <w:tr2bl w:val="nil"/>
            </w:tcBorders>
            <w:shd w:val="clear" w:color="auto" w:fill="FFFFFF"/>
            <w:noWrap w:val="0"/>
            <w:vAlign w:val="center"/>
          </w:tcPr>
          <w:p>
            <w:pPr>
              <w:keepNext w:val="0"/>
              <w:keepLines w:val="0"/>
              <w:shd w:val="clear" w:color="auto" w:fill="auto"/>
              <w:bidi w:val="0"/>
              <w:spacing w:before="0" w:after="0" w:line="240" w:lineRule="auto"/>
              <w:ind w:left="0" w:leftChars="0" w:right="0" w:rightChars="0" w:firstLine="0" w:firstLineChars="0"/>
              <w:jc w:val="center"/>
            </w:pPr>
            <w:r>
              <w:rPr>
                <w:rFonts w:hint="eastAsia" w:ascii="宋体" w:hAnsi="宋体" w:eastAsia="宋体" w:cs="宋体"/>
                <w:spacing w:val="0"/>
                <w:w w:val="100"/>
                <w:kern w:val="2"/>
                <w:position w:val="0"/>
                <w:sz w:val="21"/>
                <w:lang w:val="zh-CN" w:eastAsia="zh-CN" w:bidi="ar-SA"/>
              </w:rPr>
              <w:t>台</w:t>
            </w:r>
          </w:p>
        </w:tc>
        <w:tc>
          <w:tcPr>
            <w:tcW w:w="3364" w:type="dxa"/>
            <w:vMerge w:val="continue"/>
            <w:tcBorders>
              <w:tl2br w:val="nil"/>
              <w:tr2bl w:val="nil"/>
            </w:tcBorders>
            <w:shd w:val="clear" w:color="auto" w:fill="FFFFFF"/>
            <w:noWrap w:val="0"/>
            <w:vAlign w:val="center"/>
          </w:tcPr>
          <w:p>
            <w:pPr>
              <w:keepNext w:val="0"/>
              <w:keepLines w:val="0"/>
              <w:shd w:val="clear" w:color="auto" w:fill="auto"/>
              <w:bidi w:val="0"/>
              <w:spacing w:before="0" w:after="0" w:line="240" w:lineRule="auto"/>
              <w:ind w:left="0" w:leftChars="0" w:right="0" w:rightChars="0" w:firstLine="0" w:firstLineChars="0"/>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91" w:type="dxa"/>
            <w:tcBorders>
              <w:tl2br w:val="nil"/>
              <w:tr2bl w:val="nil"/>
            </w:tcBorders>
            <w:shd w:val="clear" w:color="auto" w:fill="FFFFFF"/>
            <w:noWrap w:val="0"/>
            <w:vAlign w:val="center"/>
          </w:tcPr>
          <w:p>
            <w:pPr>
              <w:keepNext w:val="0"/>
              <w:keepLines w:val="0"/>
              <w:shd w:val="clear" w:color="auto" w:fill="auto"/>
              <w:bidi w:val="0"/>
              <w:spacing w:before="0" w:after="0" w:line="240" w:lineRule="auto"/>
              <w:ind w:left="0" w:leftChars="0" w:right="0" w:rightChars="0" w:firstLine="0" w:firstLineChars="0"/>
              <w:jc w:val="center"/>
            </w:pPr>
            <w:r>
              <w:rPr>
                <w:rFonts w:hint="eastAsia" w:ascii="宋体" w:hAnsi="宋体" w:eastAsia="宋体" w:cs="宋体"/>
                <w:spacing w:val="0"/>
                <w:w w:val="100"/>
                <w:kern w:val="2"/>
                <w:position w:val="0"/>
                <w:sz w:val="21"/>
                <w:lang w:val="zh-CN" w:eastAsia="zh-CN" w:bidi="ar-SA"/>
              </w:rPr>
              <w:t>10</w:t>
            </w:r>
          </w:p>
        </w:tc>
        <w:tc>
          <w:tcPr>
            <w:tcW w:w="3370" w:type="dxa"/>
            <w:tcBorders>
              <w:tl2br w:val="nil"/>
              <w:tr2bl w:val="nil"/>
            </w:tcBorders>
            <w:shd w:val="clear" w:color="auto" w:fill="FFFFFF"/>
            <w:noWrap w:val="0"/>
            <w:vAlign w:val="center"/>
          </w:tcPr>
          <w:p>
            <w:pPr>
              <w:keepNext w:val="0"/>
              <w:keepLines w:val="0"/>
              <w:shd w:val="clear" w:color="auto" w:fill="auto"/>
              <w:bidi w:val="0"/>
              <w:spacing w:before="0" w:after="0" w:line="240" w:lineRule="auto"/>
              <w:ind w:left="0" w:leftChars="0" w:right="0" w:rightChars="0" w:firstLine="0" w:firstLineChars="0"/>
              <w:jc w:val="center"/>
            </w:pPr>
            <w:r>
              <w:rPr>
                <w:rFonts w:hint="eastAsia" w:ascii="宋体" w:hAnsi="宋体" w:eastAsia="宋体" w:cs="宋体"/>
                <w:spacing w:val="0"/>
                <w:w w:val="100"/>
                <w:kern w:val="2"/>
                <w:position w:val="0"/>
                <w:sz w:val="21"/>
                <w:lang w:val="zh-CN" w:eastAsia="zh-CN" w:bidi="ar-SA"/>
              </w:rPr>
              <w:t>制胚机</w:t>
            </w:r>
          </w:p>
        </w:tc>
        <w:tc>
          <w:tcPr>
            <w:tcW w:w="996" w:type="dxa"/>
            <w:tcBorders>
              <w:tl2br w:val="nil"/>
              <w:tr2bl w:val="nil"/>
            </w:tcBorders>
            <w:shd w:val="clear" w:color="auto" w:fill="FFFFFF"/>
            <w:noWrap w:val="0"/>
            <w:vAlign w:val="center"/>
          </w:tcPr>
          <w:p>
            <w:pPr>
              <w:keepNext w:val="0"/>
              <w:keepLines w:val="0"/>
              <w:shd w:val="clear" w:color="auto" w:fill="auto"/>
              <w:bidi w:val="0"/>
              <w:spacing w:before="0" w:after="0" w:line="240" w:lineRule="auto"/>
              <w:ind w:left="0" w:leftChars="0" w:right="0" w:rightChars="0" w:firstLine="0" w:firstLineChars="0"/>
              <w:jc w:val="center"/>
            </w:pPr>
            <w:r>
              <w:rPr>
                <w:rFonts w:hint="eastAsia" w:ascii="宋体" w:hAnsi="宋体" w:eastAsia="宋体" w:cs="宋体"/>
                <w:spacing w:val="0"/>
                <w:w w:val="100"/>
                <w:kern w:val="2"/>
                <w:position w:val="0"/>
                <w:sz w:val="21"/>
                <w:lang w:val="zh-CN" w:eastAsia="zh-CN" w:bidi="ar-SA"/>
              </w:rPr>
              <w:t>1</w:t>
            </w:r>
          </w:p>
        </w:tc>
        <w:tc>
          <w:tcPr>
            <w:tcW w:w="907" w:type="dxa"/>
            <w:tcBorders>
              <w:tl2br w:val="nil"/>
              <w:tr2bl w:val="nil"/>
            </w:tcBorders>
            <w:shd w:val="clear" w:color="auto" w:fill="FFFFFF"/>
            <w:noWrap w:val="0"/>
            <w:vAlign w:val="center"/>
          </w:tcPr>
          <w:p>
            <w:pPr>
              <w:keepNext w:val="0"/>
              <w:keepLines w:val="0"/>
              <w:shd w:val="clear" w:color="auto" w:fill="auto"/>
              <w:bidi w:val="0"/>
              <w:spacing w:before="0" w:after="0" w:line="240" w:lineRule="auto"/>
              <w:ind w:left="0" w:leftChars="0" w:right="0" w:rightChars="0" w:firstLine="0" w:firstLineChars="0"/>
              <w:jc w:val="center"/>
            </w:pPr>
            <w:r>
              <w:rPr>
                <w:rFonts w:hint="eastAsia" w:ascii="宋体" w:hAnsi="宋体" w:eastAsia="宋体" w:cs="宋体"/>
                <w:spacing w:val="0"/>
                <w:w w:val="100"/>
                <w:kern w:val="2"/>
                <w:position w:val="0"/>
                <w:sz w:val="21"/>
                <w:lang w:val="zh-CN" w:eastAsia="zh-CN" w:bidi="ar-SA"/>
              </w:rPr>
              <w:t>台</w:t>
            </w:r>
          </w:p>
        </w:tc>
        <w:tc>
          <w:tcPr>
            <w:tcW w:w="3364" w:type="dxa"/>
            <w:vMerge w:val="continue"/>
            <w:tcBorders>
              <w:tl2br w:val="nil"/>
              <w:tr2bl w:val="nil"/>
            </w:tcBorders>
            <w:shd w:val="clear" w:color="auto" w:fill="FFFFFF"/>
            <w:noWrap w:val="0"/>
            <w:vAlign w:val="center"/>
          </w:tcPr>
          <w:p>
            <w:pPr>
              <w:keepNext w:val="0"/>
              <w:keepLines w:val="0"/>
              <w:shd w:val="clear" w:color="auto" w:fill="auto"/>
              <w:bidi w:val="0"/>
              <w:spacing w:before="0" w:after="0" w:line="240" w:lineRule="auto"/>
              <w:ind w:left="0" w:leftChars="0" w:right="0" w:rightChars="0" w:firstLine="0" w:firstLineChars="0"/>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91" w:type="dxa"/>
            <w:tcBorders>
              <w:tl2br w:val="nil"/>
              <w:tr2bl w:val="nil"/>
            </w:tcBorders>
            <w:shd w:val="clear" w:color="auto" w:fill="FFFFFF"/>
            <w:noWrap w:val="0"/>
            <w:vAlign w:val="center"/>
          </w:tcPr>
          <w:p>
            <w:pPr>
              <w:keepNext w:val="0"/>
              <w:keepLines w:val="0"/>
              <w:shd w:val="clear" w:color="auto" w:fill="auto"/>
              <w:bidi w:val="0"/>
              <w:spacing w:before="0" w:after="0" w:line="240" w:lineRule="auto"/>
              <w:ind w:left="0" w:leftChars="0" w:right="0" w:rightChars="0" w:firstLine="0" w:firstLineChars="0"/>
              <w:jc w:val="center"/>
            </w:pPr>
            <w:r>
              <w:rPr>
                <w:rFonts w:hint="eastAsia" w:ascii="宋体" w:hAnsi="宋体" w:eastAsia="宋体" w:cs="宋体"/>
                <w:spacing w:val="0"/>
                <w:w w:val="100"/>
                <w:kern w:val="2"/>
                <w:position w:val="0"/>
                <w:sz w:val="21"/>
                <w:lang w:val="zh-CN" w:eastAsia="zh-CN" w:bidi="ar-SA"/>
              </w:rPr>
              <w:t>11</w:t>
            </w:r>
          </w:p>
        </w:tc>
        <w:tc>
          <w:tcPr>
            <w:tcW w:w="3370" w:type="dxa"/>
            <w:tcBorders>
              <w:tl2br w:val="nil"/>
              <w:tr2bl w:val="nil"/>
            </w:tcBorders>
            <w:shd w:val="clear" w:color="auto" w:fill="FFFFFF"/>
            <w:noWrap w:val="0"/>
            <w:vAlign w:val="center"/>
          </w:tcPr>
          <w:p>
            <w:pPr>
              <w:keepNext w:val="0"/>
              <w:keepLines w:val="0"/>
              <w:shd w:val="clear" w:color="auto" w:fill="auto"/>
              <w:bidi w:val="0"/>
              <w:spacing w:before="0" w:after="0" w:line="240" w:lineRule="auto"/>
              <w:ind w:left="0" w:leftChars="0" w:right="0" w:rightChars="0" w:firstLine="0" w:firstLineChars="0"/>
              <w:jc w:val="center"/>
            </w:pPr>
            <w:r>
              <w:rPr>
                <w:rFonts w:hint="eastAsia" w:ascii="宋体" w:hAnsi="宋体" w:eastAsia="宋体" w:cs="宋体"/>
                <w:spacing w:val="0"/>
                <w:w w:val="100"/>
                <w:kern w:val="2"/>
                <w:position w:val="0"/>
                <w:sz w:val="21"/>
                <w:lang w:val="zh-CN" w:eastAsia="zh-CN" w:bidi="ar-SA"/>
              </w:rPr>
              <w:t>自动捡胚机</w:t>
            </w:r>
          </w:p>
        </w:tc>
        <w:tc>
          <w:tcPr>
            <w:tcW w:w="996" w:type="dxa"/>
            <w:tcBorders>
              <w:tl2br w:val="nil"/>
              <w:tr2bl w:val="nil"/>
            </w:tcBorders>
            <w:shd w:val="clear" w:color="auto" w:fill="FFFFFF"/>
            <w:noWrap w:val="0"/>
            <w:vAlign w:val="center"/>
          </w:tcPr>
          <w:p>
            <w:pPr>
              <w:keepNext w:val="0"/>
              <w:keepLines w:val="0"/>
              <w:shd w:val="clear" w:color="auto" w:fill="auto"/>
              <w:bidi w:val="0"/>
              <w:spacing w:before="0" w:after="0" w:line="240" w:lineRule="auto"/>
              <w:ind w:left="0" w:leftChars="0" w:right="0" w:rightChars="0" w:firstLine="0" w:firstLineChars="0"/>
              <w:jc w:val="center"/>
            </w:pPr>
            <w:r>
              <w:rPr>
                <w:rFonts w:hint="eastAsia" w:ascii="宋体" w:hAnsi="宋体" w:eastAsia="宋体" w:cs="宋体"/>
                <w:spacing w:val="0"/>
                <w:w w:val="100"/>
                <w:kern w:val="2"/>
                <w:position w:val="0"/>
                <w:sz w:val="21"/>
                <w:lang w:val="zh-CN" w:eastAsia="zh-CN" w:bidi="ar-SA"/>
              </w:rPr>
              <w:t>2</w:t>
            </w:r>
          </w:p>
        </w:tc>
        <w:tc>
          <w:tcPr>
            <w:tcW w:w="907" w:type="dxa"/>
            <w:tcBorders>
              <w:tl2br w:val="nil"/>
              <w:tr2bl w:val="nil"/>
            </w:tcBorders>
            <w:shd w:val="clear" w:color="auto" w:fill="FFFFFF"/>
            <w:noWrap w:val="0"/>
            <w:vAlign w:val="center"/>
          </w:tcPr>
          <w:p>
            <w:pPr>
              <w:keepNext w:val="0"/>
              <w:keepLines w:val="0"/>
              <w:shd w:val="clear" w:color="auto" w:fill="auto"/>
              <w:bidi w:val="0"/>
              <w:spacing w:before="0" w:after="0" w:line="240" w:lineRule="auto"/>
              <w:ind w:left="0" w:leftChars="0" w:right="0" w:rightChars="0" w:firstLine="0" w:firstLineChars="0"/>
              <w:jc w:val="center"/>
            </w:pPr>
            <w:r>
              <w:rPr>
                <w:rFonts w:hint="eastAsia" w:ascii="宋体" w:hAnsi="宋体" w:eastAsia="宋体" w:cs="宋体"/>
                <w:spacing w:val="0"/>
                <w:w w:val="100"/>
                <w:kern w:val="2"/>
                <w:position w:val="0"/>
                <w:sz w:val="21"/>
                <w:lang w:val="zh-CN" w:eastAsia="zh-CN" w:bidi="ar-SA"/>
              </w:rPr>
              <w:t>台</w:t>
            </w:r>
          </w:p>
        </w:tc>
        <w:tc>
          <w:tcPr>
            <w:tcW w:w="3364" w:type="dxa"/>
            <w:vMerge w:val="continue"/>
            <w:tcBorders>
              <w:tl2br w:val="nil"/>
              <w:tr2bl w:val="nil"/>
            </w:tcBorders>
            <w:shd w:val="clear" w:color="auto" w:fill="FFFFFF"/>
            <w:noWrap w:val="0"/>
            <w:vAlign w:val="center"/>
          </w:tcPr>
          <w:p>
            <w:pPr>
              <w:keepNext w:val="0"/>
              <w:keepLines w:val="0"/>
              <w:shd w:val="clear" w:color="auto" w:fill="auto"/>
              <w:bidi w:val="0"/>
              <w:spacing w:before="0" w:after="0" w:line="240" w:lineRule="auto"/>
              <w:ind w:left="0" w:leftChars="0" w:right="0" w:rightChars="0" w:firstLine="0" w:firstLineChars="0"/>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91" w:type="dxa"/>
            <w:tcBorders>
              <w:tl2br w:val="nil"/>
              <w:tr2bl w:val="nil"/>
            </w:tcBorders>
            <w:shd w:val="clear" w:color="auto" w:fill="FFFFFF"/>
            <w:noWrap w:val="0"/>
            <w:vAlign w:val="center"/>
          </w:tcPr>
          <w:p>
            <w:pPr>
              <w:keepNext w:val="0"/>
              <w:keepLines w:val="0"/>
              <w:shd w:val="clear" w:color="auto" w:fill="auto"/>
              <w:bidi w:val="0"/>
              <w:spacing w:before="0" w:after="0" w:line="240" w:lineRule="auto"/>
              <w:ind w:left="0" w:leftChars="0" w:right="0" w:rightChars="0" w:firstLine="0" w:firstLineChars="0"/>
              <w:jc w:val="center"/>
            </w:pPr>
            <w:r>
              <w:rPr>
                <w:rFonts w:hint="eastAsia" w:ascii="宋体" w:hAnsi="宋体" w:eastAsia="宋体" w:cs="宋体"/>
                <w:spacing w:val="0"/>
                <w:w w:val="100"/>
                <w:kern w:val="2"/>
                <w:position w:val="0"/>
                <w:sz w:val="21"/>
                <w:lang w:val="zh-CN" w:eastAsia="zh-CN" w:bidi="ar-SA"/>
              </w:rPr>
              <w:t>12</w:t>
            </w:r>
          </w:p>
        </w:tc>
        <w:tc>
          <w:tcPr>
            <w:tcW w:w="3370" w:type="dxa"/>
            <w:tcBorders>
              <w:tl2br w:val="nil"/>
              <w:tr2bl w:val="nil"/>
            </w:tcBorders>
            <w:shd w:val="clear" w:color="auto" w:fill="FFFFFF"/>
            <w:noWrap w:val="0"/>
            <w:vAlign w:val="center"/>
          </w:tcPr>
          <w:p>
            <w:pPr>
              <w:keepNext w:val="0"/>
              <w:keepLines w:val="0"/>
              <w:shd w:val="clear" w:color="auto" w:fill="auto"/>
              <w:bidi w:val="0"/>
              <w:spacing w:before="0" w:after="0" w:line="240" w:lineRule="auto"/>
              <w:ind w:left="0" w:leftChars="0" w:right="0" w:rightChars="0" w:firstLine="0" w:firstLineChars="0"/>
              <w:jc w:val="center"/>
            </w:pPr>
            <w:r>
              <w:rPr>
                <w:rFonts w:hint="eastAsia" w:ascii="宋体" w:hAnsi="宋体" w:eastAsia="宋体" w:cs="宋体"/>
                <w:spacing w:val="0"/>
                <w:w w:val="100"/>
                <w:kern w:val="2"/>
                <w:position w:val="0"/>
                <w:sz w:val="21"/>
                <w:lang w:val="zh-CN" w:eastAsia="zh-CN" w:bidi="ar-SA"/>
              </w:rPr>
              <w:t>渡车</w:t>
            </w:r>
          </w:p>
        </w:tc>
        <w:tc>
          <w:tcPr>
            <w:tcW w:w="996" w:type="dxa"/>
            <w:tcBorders>
              <w:tl2br w:val="nil"/>
              <w:tr2bl w:val="nil"/>
            </w:tcBorders>
            <w:shd w:val="clear" w:color="auto" w:fill="FFFFFF"/>
            <w:noWrap w:val="0"/>
            <w:vAlign w:val="center"/>
          </w:tcPr>
          <w:p>
            <w:pPr>
              <w:keepNext w:val="0"/>
              <w:keepLines w:val="0"/>
              <w:shd w:val="clear" w:color="auto" w:fill="auto"/>
              <w:bidi w:val="0"/>
              <w:spacing w:before="0" w:after="0" w:line="240" w:lineRule="auto"/>
              <w:ind w:left="0" w:leftChars="0" w:right="0" w:rightChars="0" w:firstLine="0" w:firstLineChars="0"/>
              <w:jc w:val="center"/>
            </w:pPr>
            <w:r>
              <w:rPr>
                <w:rFonts w:hint="eastAsia" w:ascii="宋体" w:hAnsi="宋体" w:eastAsia="宋体" w:cs="宋体"/>
                <w:spacing w:val="0"/>
                <w:w w:val="100"/>
                <w:kern w:val="2"/>
                <w:position w:val="0"/>
                <w:sz w:val="21"/>
                <w:lang w:val="zh-CN" w:eastAsia="zh-CN" w:bidi="ar-SA"/>
              </w:rPr>
              <w:t>5</w:t>
            </w:r>
          </w:p>
        </w:tc>
        <w:tc>
          <w:tcPr>
            <w:tcW w:w="907" w:type="dxa"/>
            <w:tcBorders>
              <w:tl2br w:val="nil"/>
              <w:tr2bl w:val="nil"/>
            </w:tcBorders>
            <w:shd w:val="clear" w:color="auto" w:fill="FFFFFF"/>
            <w:noWrap w:val="0"/>
            <w:vAlign w:val="center"/>
          </w:tcPr>
          <w:p>
            <w:pPr>
              <w:keepNext w:val="0"/>
              <w:keepLines w:val="0"/>
              <w:shd w:val="clear" w:color="auto" w:fill="auto"/>
              <w:bidi w:val="0"/>
              <w:spacing w:before="0" w:after="0" w:line="240" w:lineRule="auto"/>
              <w:ind w:left="0" w:leftChars="0" w:right="0" w:rightChars="0" w:firstLine="0" w:firstLineChars="0"/>
              <w:jc w:val="center"/>
            </w:pPr>
            <w:r>
              <w:rPr>
                <w:rFonts w:hint="eastAsia" w:ascii="宋体" w:hAnsi="宋体" w:eastAsia="宋体" w:cs="宋体"/>
                <w:spacing w:val="0"/>
                <w:w w:val="100"/>
                <w:kern w:val="2"/>
                <w:position w:val="0"/>
                <w:sz w:val="21"/>
                <w:lang w:val="zh-CN" w:eastAsia="zh-CN" w:bidi="ar-SA"/>
              </w:rPr>
              <w:t>台</w:t>
            </w:r>
          </w:p>
        </w:tc>
        <w:tc>
          <w:tcPr>
            <w:tcW w:w="3364" w:type="dxa"/>
            <w:vMerge w:val="continue"/>
            <w:tcBorders>
              <w:tl2br w:val="nil"/>
              <w:tr2bl w:val="nil"/>
            </w:tcBorders>
            <w:shd w:val="clear" w:color="auto" w:fill="FFFFFF"/>
            <w:noWrap w:val="0"/>
            <w:vAlign w:val="center"/>
          </w:tcPr>
          <w:p>
            <w:pPr>
              <w:keepNext w:val="0"/>
              <w:keepLines w:val="0"/>
              <w:shd w:val="clear" w:color="auto" w:fill="auto"/>
              <w:bidi w:val="0"/>
              <w:spacing w:before="0" w:after="0" w:line="240" w:lineRule="auto"/>
              <w:ind w:left="0" w:leftChars="0" w:right="0" w:rightChars="0" w:firstLine="0" w:firstLineChars="0"/>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91" w:type="dxa"/>
            <w:tcBorders>
              <w:tl2br w:val="nil"/>
              <w:tr2bl w:val="nil"/>
            </w:tcBorders>
            <w:shd w:val="clear" w:color="auto" w:fill="FFFFFF"/>
            <w:noWrap w:val="0"/>
            <w:vAlign w:val="center"/>
          </w:tcPr>
          <w:p>
            <w:pPr>
              <w:keepNext w:val="0"/>
              <w:keepLines w:val="0"/>
              <w:shd w:val="clear" w:color="auto" w:fill="auto"/>
              <w:bidi w:val="0"/>
              <w:spacing w:before="0" w:after="0" w:line="240" w:lineRule="auto"/>
              <w:ind w:left="0" w:leftChars="0" w:right="0" w:rightChars="0" w:firstLine="0" w:firstLineChars="0"/>
              <w:jc w:val="center"/>
            </w:pPr>
            <w:r>
              <w:rPr>
                <w:rFonts w:hint="eastAsia" w:ascii="宋体" w:hAnsi="宋体" w:eastAsia="宋体" w:cs="宋体"/>
                <w:spacing w:val="0"/>
                <w:w w:val="100"/>
                <w:kern w:val="2"/>
                <w:position w:val="0"/>
                <w:sz w:val="21"/>
                <w:lang w:val="zh-CN" w:eastAsia="zh-CN" w:bidi="ar-SA"/>
              </w:rPr>
              <w:t>13</w:t>
            </w:r>
          </w:p>
        </w:tc>
        <w:tc>
          <w:tcPr>
            <w:tcW w:w="3370" w:type="dxa"/>
            <w:tcBorders>
              <w:tl2br w:val="nil"/>
              <w:tr2bl w:val="nil"/>
            </w:tcBorders>
            <w:shd w:val="clear" w:color="auto" w:fill="FFFFFF"/>
            <w:noWrap w:val="0"/>
            <w:vAlign w:val="center"/>
          </w:tcPr>
          <w:p>
            <w:pPr>
              <w:keepNext w:val="0"/>
              <w:keepLines w:val="0"/>
              <w:shd w:val="clear" w:color="auto" w:fill="auto"/>
              <w:bidi w:val="0"/>
              <w:spacing w:before="0" w:after="0" w:line="240" w:lineRule="auto"/>
              <w:ind w:left="0" w:leftChars="0" w:right="0" w:rightChars="0" w:firstLine="0" w:firstLineChars="0"/>
              <w:jc w:val="center"/>
            </w:pPr>
            <w:r>
              <w:rPr>
                <w:rFonts w:hint="eastAsia" w:ascii="宋体" w:hAnsi="宋体" w:eastAsia="宋体" w:cs="宋体"/>
                <w:spacing w:val="0"/>
                <w:w w:val="100"/>
                <w:kern w:val="2"/>
                <w:position w:val="0"/>
                <w:sz w:val="21"/>
                <w:lang w:val="zh-CN" w:eastAsia="zh-CN" w:bidi="ar-SA"/>
              </w:rPr>
              <w:t>脱硫装置</w:t>
            </w:r>
          </w:p>
        </w:tc>
        <w:tc>
          <w:tcPr>
            <w:tcW w:w="996" w:type="dxa"/>
            <w:tcBorders>
              <w:tl2br w:val="nil"/>
              <w:tr2bl w:val="nil"/>
            </w:tcBorders>
            <w:shd w:val="clear" w:color="auto" w:fill="FFFFFF"/>
            <w:noWrap w:val="0"/>
            <w:vAlign w:val="center"/>
          </w:tcPr>
          <w:p>
            <w:pPr>
              <w:keepNext w:val="0"/>
              <w:keepLines w:val="0"/>
              <w:shd w:val="clear" w:color="auto" w:fill="auto"/>
              <w:bidi w:val="0"/>
              <w:spacing w:before="0" w:after="0" w:line="240" w:lineRule="auto"/>
              <w:ind w:left="0" w:leftChars="0" w:right="0" w:rightChars="0" w:firstLine="0" w:firstLineChars="0"/>
              <w:jc w:val="center"/>
            </w:pPr>
            <w:r>
              <w:rPr>
                <w:rFonts w:hint="eastAsia" w:ascii="宋体" w:hAnsi="宋体" w:eastAsia="宋体" w:cs="宋体"/>
                <w:spacing w:val="0"/>
                <w:w w:val="100"/>
                <w:kern w:val="2"/>
                <w:position w:val="0"/>
                <w:sz w:val="21"/>
                <w:lang w:val="zh-CN" w:eastAsia="zh-CN" w:bidi="ar-SA"/>
              </w:rPr>
              <w:t>2</w:t>
            </w:r>
          </w:p>
        </w:tc>
        <w:tc>
          <w:tcPr>
            <w:tcW w:w="907" w:type="dxa"/>
            <w:tcBorders>
              <w:tl2br w:val="nil"/>
              <w:tr2bl w:val="nil"/>
            </w:tcBorders>
            <w:shd w:val="clear" w:color="auto" w:fill="FFFFFF"/>
            <w:noWrap w:val="0"/>
            <w:vAlign w:val="center"/>
          </w:tcPr>
          <w:p>
            <w:pPr>
              <w:keepNext w:val="0"/>
              <w:keepLines w:val="0"/>
              <w:shd w:val="clear" w:color="auto" w:fill="auto"/>
              <w:bidi w:val="0"/>
              <w:spacing w:before="0" w:after="0" w:line="240" w:lineRule="auto"/>
              <w:ind w:left="0" w:leftChars="0" w:right="0" w:rightChars="0" w:firstLine="0" w:firstLineChars="0"/>
              <w:jc w:val="center"/>
            </w:pPr>
            <w:r>
              <w:rPr>
                <w:rFonts w:hint="eastAsia" w:ascii="宋体" w:hAnsi="宋体" w:eastAsia="宋体" w:cs="宋体"/>
                <w:spacing w:val="0"/>
                <w:w w:val="100"/>
                <w:kern w:val="2"/>
                <w:position w:val="0"/>
                <w:sz w:val="21"/>
                <w:lang w:val="zh-CN" w:eastAsia="zh-CN" w:bidi="ar-SA"/>
              </w:rPr>
              <w:t>套</w:t>
            </w:r>
          </w:p>
        </w:tc>
        <w:tc>
          <w:tcPr>
            <w:tcW w:w="3364" w:type="dxa"/>
            <w:tcBorders>
              <w:tl2br w:val="nil"/>
              <w:tr2bl w:val="nil"/>
            </w:tcBorders>
            <w:shd w:val="clear" w:color="auto" w:fill="FFFFFF"/>
            <w:noWrap w:val="0"/>
            <w:vAlign w:val="center"/>
          </w:tcPr>
          <w:p>
            <w:pPr>
              <w:keepNext w:val="0"/>
              <w:keepLines w:val="0"/>
              <w:shd w:val="clear" w:color="auto" w:fill="auto"/>
              <w:bidi w:val="0"/>
              <w:spacing w:before="0" w:after="0" w:line="240" w:lineRule="auto"/>
              <w:ind w:left="0" w:leftChars="0" w:right="0" w:rightChars="0" w:firstLine="0" w:firstLineChars="0"/>
              <w:jc w:val="center"/>
            </w:pPr>
            <w:r>
              <w:rPr>
                <w:rFonts w:hint="eastAsia" w:ascii="宋体" w:hAnsi="宋体" w:eastAsia="宋体" w:cs="宋体"/>
                <w:spacing w:val="0"/>
                <w:w w:val="100"/>
                <w:kern w:val="2"/>
                <w:position w:val="0"/>
                <w:sz w:val="21"/>
                <w:lang w:val="zh-CN" w:eastAsia="zh-CN" w:bidi="ar-SA"/>
              </w:rPr>
              <w:t>脱硫塔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91" w:type="dxa"/>
            <w:tcBorders>
              <w:tl2br w:val="nil"/>
              <w:tr2bl w:val="nil"/>
            </w:tcBorders>
            <w:shd w:val="clear" w:color="auto" w:fill="FFFFFF"/>
            <w:noWrap w:val="0"/>
            <w:vAlign w:val="center"/>
          </w:tcPr>
          <w:p>
            <w:pPr>
              <w:keepNext w:val="0"/>
              <w:keepLines w:val="0"/>
              <w:shd w:val="clear" w:color="auto" w:fill="auto"/>
              <w:bidi w:val="0"/>
              <w:spacing w:before="0" w:after="0" w:line="240" w:lineRule="auto"/>
              <w:ind w:left="0" w:leftChars="0" w:right="0" w:rightChars="0" w:firstLine="0" w:firstLineChars="0"/>
              <w:jc w:val="center"/>
            </w:pPr>
            <w:r>
              <w:rPr>
                <w:rFonts w:hint="eastAsia" w:ascii="宋体" w:hAnsi="宋体" w:eastAsia="宋体" w:cs="宋体"/>
                <w:spacing w:val="0"/>
                <w:w w:val="100"/>
                <w:kern w:val="2"/>
                <w:position w:val="0"/>
                <w:sz w:val="21"/>
                <w:lang w:val="zh-CN" w:eastAsia="zh-CN" w:bidi="ar-SA"/>
              </w:rPr>
              <w:t>14</w:t>
            </w:r>
          </w:p>
        </w:tc>
        <w:tc>
          <w:tcPr>
            <w:tcW w:w="3370" w:type="dxa"/>
            <w:tcBorders>
              <w:tl2br w:val="nil"/>
              <w:tr2bl w:val="nil"/>
            </w:tcBorders>
            <w:shd w:val="clear" w:color="auto" w:fill="FFFFFF"/>
            <w:noWrap w:val="0"/>
            <w:vAlign w:val="center"/>
          </w:tcPr>
          <w:p>
            <w:pPr>
              <w:keepNext w:val="0"/>
              <w:keepLines w:val="0"/>
              <w:shd w:val="clear" w:color="auto" w:fill="auto"/>
              <w:bidi w:val="0"/>
              <w:spacing w:before="0" w:after="0" w:line="240" w:lineRule="auto"/>
              <w:ind w:left="0" w:leftChars="0" w:right="0" w:rightChars="0" w:firstLine="0" w:firstLineChars="0"/>
              <w:jc w:val="center"/>
            </w:pPr>
            <w:r>
              <w:rPr>
                <w:rFonts w:hint="eastAsia" w:ascii="宋体" w:hAnsi="宋体" w:eastAsia="宋体" w:cs="宋体"/>
                <w:spacing w:val="0"/>
                <w:w w:val="100"/>
                <w:kern w:val="2"/>
                <w:position w:val="0"/>
                <w:sz w:val="21"/>
                <w:lang w:val="zh-CN" w:eastAsia="zh-CN" w:bidi="ar-SA"/>
              </w:rPr>
              <w:t>柴油发电机</w:t>
            </w:r>
          </w:p>
        </w:tc>
        <w:tc>
          <w:tcPr>
            <w:tcW w:w="996" w:type="dxa"/>
            <w:tcBorders>
              <w:tl2br w:val="nil"/>
              <w:tr2bl w:val="nil"/>
            </w:tcBorders>
            <w:shd w:val="clear" w:color="auto" w:fill="FFFFFF"/>
            <w:noWrap w:val="0"/>
            <w:vAlign w:val="center"/>
          </w:tcPr>
          <w:p>
            <w:pPr>
              <w:keepNext w:val="0"/>
              <w:keepLines w:val="0"/>
              <w:shd w:val="clear" w:color="auto" w:fill="auto"/>
              <w:bidi w:val="0"/>
              <w:spacing w:before="0" w:after="0" w:line="240" w:lineRule="auto"/>
              <w:ind w:left="0" w:leftChars="0" w:right="0" w:rightChars="0" w:firstLine="0" w:firstLineChars="0"/>
              <w:jc w:val="center"/>
            </w:pPr>
            <w:r>
              <w:rPr>
                <w:rFonts w:hint="eastAsia" w:ascii="宋体" w:hAnsi="宋体" w:eastAsia="宋体" w:cs="宋体"/>
                <w:spacing w:val="0"/>
                <w:w w:val="100"/>
                <w:kern w:val="2"/>
                <w:position w:val="0"/>
                <w:sz w:val="21"/>
                <w:lang w:val="zh-CN" w:eastAsia="zh-CN" w:bidi="ar-SA"/>
              </w:rPr>
              <w:t>1</w:t>
            </w:r>
          </w:p>
        </w:tc>
        <w:tc>
          <w:tcPr>
            <w:tcW w:w="907" w:type="dxa"/>
            <w:tcBorders>
              <w:tl2br w:val="nil"/>
              <w:tr2bl w:val="nil"/>
            </w:tcBorders>
            <w:shd w:val="clear" w:color="auto" w:fill="FFFFFF"/>
            <w:noWrap w:val="0"/>
            <w:vAlign w:val="center"/>
          </w:tcPr>
          <w:p>
            <w:pPr>
              <w:keepNext w:val="0"/>
              <w:keepLines w:val="0"/>
              <w:shd w:val="clear" w:color="auto" w:fill="auto"/>
              <w:bidi w:val="0"/>
              <w:spacing w:before="0" w:after="0" w:line="240" w:lineRule="auto"/>
              <w:ind w:left="0" w:leftChars="0" w:right="0" w:rightChars="0" w:firstLine="0" w:firstLineChars="0"/>
              <w:jc w:val="center"/>
            </w:pPr>
            <w:r>
              <w:rPr>
                <w:rFonts w:hint="eastAsia" w:ascii="宋体" w:hAnsi="宋体" w:eastAsia="宋体" w:cs="宋体"/>
                <w:spacing w:val="0"/>
                <w:w w:val="100"/>
                <w:kern w:val="2"/>
                <w:position w:val="0"/>
                <w:sz w:val="21"/>
                <w:lang w:val="zh-CN" w:eastAsia="zh-CN" w:bidi="ar-SA"/>
              </w:rPr>
              <w:t>台</w:t>
            </w:r>
          </w:p>
        </w:tc>
        <w:tc>
          <w:tcPr>
            <w:tcW w:w="3364" w:type="dxa"/>
            <w:tcBorders>
              <w:tl2br w:val="nil"/>
              <w:tr2bl w:val="nil"/>
            </w:tcBorders>
            <w:shd w:val="clear" w:color="auto" w:fill="FFFFFF"/>
            <w:noWrap w:val="0"/>
            <w:vAlign w:val="center"/>
          </w:tcPr>
          <w:p>
            <w:pPr>
              <w:keepNext w:val="0"/>
              <w:keepLines w:val="0"/>
              <w:shd w:val="clear" w:color="auto" w:fill="auto"/>
              <w:bidi w:val="0"/>
              <w:spacing w:before="0" w:after="0" w:line="240" w:lineRule="auto"/>
              <w:ind w:left="0" w:leftChars="0" w:right="0" w:rightChars="0" w:firstLine="0" w:firstLineChars="0"/>
              <w:jc w:val="center"/>
            </w:pPr>
            <w:r>
              <w:rPr>
                <w:rFonts w:hint="eastAsia" w:ascii="宋体" w:hAnsi="宋体" w:eastAsia="宋体" w:cs="宋体"/>
                <w:spacing w:val="0"/>
                <w:w w:val="100"/>
                <w:kern w:val="2"/>
                <w:position w:val="0"/>
                <w:sz w:val="21"/>
                <w:lang w:val="zh-CN" w:eastAsia="zh-CN" w:bidi="ar-SA"/>
              </w:rPr>
              <w:t>柴油发电机房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91" w:type="dxa"/>
            <w:tcBorders>
              <w:tl2br w:val="nil"/>
              <w:tr2bl w:val="nil"/>
            </w:tcBorders>
            <w:shd w:val="clear" w:color="auto" w:fill="FFFFFF"/>
            <w:noWrap w:val="0"/>
            <w:vAlign w:val="center"/>
          </w:tcPr>
          <w:p>
            <w:pPr>
              <w:keepNext w:val="0"/>
              <w:keepLines w:val="0"/>
              <w:shd w:val="clear" w:color="auto" w:fill="auto"/>
              <w:bidi w:val="0"/>
              <w:spacing w:before="0" w:after="0" w:line="240" w:lineRule="auto"/>
              <w:ind w:left="0" w:leftChars="0" w:right="0" w:rightChars="0" w:firstLine="0" w:firstLineChars="0"/>
              <w:jc w:val="center"/>
            </w:pPr>
            <w:r>
              <w:rPr>
                <w:rFonts w:hint="eastAsia" w:ascii="宋体" w:hAnsi="宋体" w:eastAsia="宋体" w:cs="宋体"/>
                <w:spacing w:val="0"/>
                <w:w w:val="100"/>
                <w:kern w:val="2"/>
                <w:position w:val="0"/>
                <w:sz w:val="21"/>
                <w:lang w:val="zh-CN" w:eastAsia="zh-CN" w:bidi="ar-SA"/>
              </w:rPr>
              <w:t>15</w:t>
            </w:r>
          </w:p>
        </w:tc>
        <w:tc>
          <w:tcPr>
            <w:tcW w:w="3370" w:type="dxa"/>
            <w:tcBorders>
              <w:tl2br w:val="nil"/>
              <w:tr2bl w:val="nil"/>
            </w:tcBorders>
            <w:shd w:val="clear" w:color="auto" w:fill="FFFFFF"/>
            <w:noWrap w:val="0"/>
            <w:vAlign w:val="center"/>
          </w:tcPr>
          <w:p>
            <w:pPr>
              <w:keepNext w:val="0"/>
              <w:keepLines w:val="0"/>
              <w:shd w:val="clear" w:color="auto" w:fill="auto"/>
              <w:bidi w:val="0"/>
              <w:spacing w:before="0" w:after="0" w:line="240" w:lineRule="auto"/>
              <w:ind w:left="0" w:leftChars="0" w:right="0" w:rightChars="0" w:firstLine="0" w:firstLineChars="0"/>
              <w:jc w:val="center"/>
            </w:pPr>
            <w:r>
              <w:rPr>
                <w:rFonts w:hint="eastAsia" w:ascii="宋体" w:hAnsi="宋体" w:eastAsia="宋体" w:cs="宋体"/>
                <w:spacing w:val="0"/>
                <w:w w:val="100"/>
                <w:kern w:val="2"/>
                <w:position w:val="0"/>
                <w:sz w:val="21"/>
                <w:lang w:val="zh-CN" w:eastAsia="zh-CN" w:bidi="ar-SA"/>
              </w:rPr>
              <w:t>变配电设施</w:t>
            </w:r>
          </w:p>
        </w:tc>
        <w:tc>
          <w:tcPr>
            <w:tcW w:w="996" w:type="dxa"/>
            <w:tcBorders>
              <w:tl2br w:val="nil"/>
              <w:tr2bl w:val="nil"/>
            </w:tcBorders>
            <w:shd w:val="clear" w:color="auto" w:fill="FFFFFF"/>
            <w:noWrap w:val="0"/>
            <w:vAlign w:val="center"/>
          </w:tcPr>
          <w:p>
            <w:pPr>
              <w:keepNext w:val="0"/>
              <w:keepLines w:val="0"/>
              <w:shd w:val="clear" w:color="auto" w:fill="auto"/>
              <w:bidi w:val="0"/>
              <w:spacing w:before="0" w:after="0" w:line="240" w:lineRule="auto"/>
              <w:ind w:left="0" w:leftChars="0" w:right="0" w:rightChars="0" w:firstLine="0" w:firstLineChars="0"/>
              <w:jc w:val="center"/>
            </w:pPr>
            <w:r>
              <w:rPr>
                <w:rFonts w:hint="eastAsia" w:ascii="宋体" w:hAnsi="宋体" w:eastAsia="宋体" w:cs="宋体"/>
                <w:spacing w:val="0"/>
                <w:w w:val="100"/>
                <w:kern w:val="2"/>
                <w:position w:val="0"/>
                <w:sz w:val="21"/>
                <w:lang w:val="zh-CN" w:eastAsia="zh-CN" w:bidi="ar-SA"/>
              </w:rPr>
              <w:t>1</w:t>
            </w:r>
          </w:p>
        </w:tc>
        <w:tc>
          <w:tcPr>
            <w:tcW w:w="907" w:type="dxa"/>
            <w:tcBorders>
              <w:tl2br w:val="nil"/>
              <w:tr2bl w:val="nil"/>
            </w:tcBorders>
            <w:shd w:val="clear" w:color="auto" w:fill="FFFFFF"/>
            <w:noWrap w:val="0"/>
            <w:vAlign w:val="center"/>
          </w:tcPr>
          <w:p>
            <w:pPr>
              <w:keepNext w:val="0"/>
              <w:keepLines w:val="0"/>
              <w:shd w:val="clear" w:color="auto" w:fill="auto"/>
              <w:bidi w:val="0"/>
              <w:spacing w:before="0" w:after="0" w:line="240" w:lineRule="auto"/>
              <w:ind w:left="0" w:leftChars="0" w:right="0" w:rightChars="0" w:firstLine="0" w:firstLineChars="0"/>
              <w:jc w:val="center"/>
            </w:pPr>
            <w:r>
              <w:rPr>
                <w:rFonts w:hint="eastAsia" w:ascii="宋体" w:hAnsi="宋体" w:eastAsia="宋体" w:cs="宋体"/>
                <w:spacing w:val="0"/>
                <w:w w:val="100"/>
                <w:kern w:val="2"/>
                <w:position w:val="0"/>
                <w:sz w:val="21"/>
                <w:lang w:val="zh-CN" w:eastAsia="zh-CN" w:bidi="ar-SA"/>
              </w:rPr>
              <w:t>台</w:t>
            </w:r>
          </w:p>
        </w:tc>
        <w:tc>
          <w:tcPr>
            <w:tcW w:w="3364" w:type="dxa"/>
            <w:tcBorders>
              <w:tl2br w:val="nil"/>
              <w:tr2bl w:val="nil"/>
            </w:tcBorders>
            <w:shd w:val="clear" w:color="auto" w:fill="FFFFFF"/>
            <w:noWrap w:val="0"/>
            <w:vAlign w:val="center"/>
          </w:tcPr>
          <w:p>
            <w:pPr>
              <w:keepNext w:val="0"/>
              <w:keepLines w:val="0"/>
              <w:shd w:val="clear" w:color="auto" w:fill="auto"/>
              <w:bidi w:val="0"/>
              <w:spacing w:before="0" w:after="0" w:line="240" w:lineRule="auto"/>
              <w:ind w:left="0" w:leftChars="0" w:right="0" w:rightChars="0" w:firstLine="0" w:firstLineChars="0"/>
              <w:jc w:val="center"/>
            </w:pPr>
            <w:r>
              <w:rPr>
                <w:rFonts w:hint="eastAsia" w:ascii="宋体" w:hAnsi="宋体" w:eastAsia="宋体" w:cs="宋体"/>
                <w:spacing w:val="0"/>
                <w:w w:val="100"/>
                <w:kern w:val="2"/>
                <w:position w:val="0"/>
                <w:sz w:val="21"/>
                <w:lang w:val="zh-CN" w:eastAsia="zh-CN" w:bidi="ar-SA"/>
              </w:rPr>
              <w:t>配电室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91" w:type="dxa"/>
            <w:tcBorders>
              <w:tl2br w:val="nil"/>
              <w:tr2bl w:val="nil"/>
            </w:tcBorders>
            <w:shd w:val="clear" w:color="auto" w:fill="FFFFFF"/>
            <w:noWrap w:val="0"/>
            <w:vAlign w:val="center"/>
          </w:tcPr>
          <w:p>
            <w:pPr>
              <w:keepNext w:val="0"/>
              <w:keepLines w:val="0"/>
              <w:shd w:val="clear" w:color="auto" w:fill="auto"/>
              <w:bidi w:val="0"/>
              <w:spacing w:before="0" w:after="0" w:line="240" w:lineRule="auto"/>
              <w:ind w:left="0" w:leftChars="0" w:right="0" w:rightChars="0" w:firstLine="0" w:firstLineChars="0"/>
              <w:jc w:val="center"/>
            </w:pPr>
            <w:r>
              <w:rPr>
                <w:rFonts w:hint="eastAsia" w:ascii="宋体" w:hAnsi="宋体" w:eastAsia="宋体" w:cs="宋体"/>
                <w:spacing w:val="0"/>
                <w:w w:val="100"/>
                <w:kern w:val="2"/>
                <w:position w:val="0"/>
                <w:sz w:val="21"/>
                <w:lang w:val="zh-CN" w:eastAsia="zh-CN" w:bidi="ar-SA"/>
              </w:rPr>
              <w:t>16</w:t>
            </w:r>
          </w:p>
        </w:tc>
        <w:tc>
          <w:tcPr>
            <w:tcW w:w="3370" w:type="dxa"/>
            <w:tcBorders>
              <w:tl2br w:val="nil"/>
              <w:tr2bl w:val="nil"/>
            </w:tcBorders>
            <w:shd w:val="clear" w:color="auto" w:fill="FFFFFF"/>
            <w:noWrap w:val="0"/>
            <w:vAlign w:val="center"/>
          </w:tcPr>
          <w:p>
            <w:pPr>
              <w:keepNext w:val="0"/>
              <w:keepLines w:val="0"/>
              <w:shd w:val="clear" w:color="auto" w:fill="auto"/>
              <w:bidi w:val="0"/>
              <w:spacing w:before="0" w:after="0" w:line="240" w:lineRule="auto"/>
              <w:ind w:left="0" w:leftChars="0" w:right="0" w:rightChars="0" w:firstLine="0" w:firstLineChars="0"/>
              <w:jc w:val="center"/>
            </w:pPr>
            <w:r>
              <w:rPr>
                <w:rFonts w:hint="eastAsia" w:ascii="宋体" w:hAnsi="宋体" w:eastAsia="宋体" w:cs="宋体"/>
                <w:spacing w:val="0"/>
                <w:w w:val="100"/>
                <w:kern w:val="2"/>
                <w:position w:val="0"/>
                <w:sz w:val="21"/>
                <w:lang w:val="zh-CN" w:eastAsia="zh-CN" w:bidi="ar-SA"/>
              </w:rPr>
              <w:t>电焊机</w:t>
            </w:r>
          </w:p>
        </w:tc>
        <w:tc>
          <w:tcPr>
            <w:tcW w:w="996" w:type="dxa"/>
            <w:tcBorders>
              <w:tl2br w:val="nil"/>
              <w:tr2bl w:val="nil"/>
            </w:tcBorders>
            <w:shd w:val="clear" w:color="auto" w:fill="FFFFFF"/>
            <w:noWrap w:val="0"/>
            <w:vAlign w:val="center"/>
          </w:tcPr>
          <w:p>
            <w:pPr>
              <w:keepNext w:val="0"/>
              <w:keepLines w:val="0"/>
              <w:shd w:val="clear" w:color="auto" w:fill="auto"/>
              <w:bidi w:val="0"/>
              <w:spacing w:before="0" w:after="0" w:line="240" w:lineRule="auto"/>
              <w:ind w:left="0" w:leftChars="0" w:right="0" w:rightChars="0" w:firstLine="0" w:firstLineChars="0"/>
              <w:jc w:val="center"/>
            </w:pPr>
            <w:r>
              <w:rPr>
                <w:rFonts w:hint="eastAsia" w:ascii="宋体" w:hAnsi="宋体" w:eastAsia="宋体" w:cs="宋体"/>
                <w:spacing w:val="0"/>
                <w:w w:val="100"/>
                <w:kern w:val="2"/>
                <w:position w:val="0"/>
                <w:sz w:val="21"/>
                <w:lang w:val="zh-CN" w:eastAsia="zh-CN" w:bidi="ar-SA"/>
              </w:rPr>
              <w:t>1</w:t>
            </w:r>
          </w:p>
        </w:tc>
        <w:tc>
          <w:tcPr>
            <w:tcW w:w="907" w:type="dxa"/>
            <w:tcBorders>
              <w:tl2br w:val="nil"/>
              <w:tr2bl w:val="nil"/>
            </w:tcBorders>
            <w:shd w:val="clear" w:color="auto" w:fill="FFFFFF"/>
            <w:noWrap w:val="0"/>
            <w:vAlign w:val="center"/>
          </w:tcPr>
          <w:p>
            <w:pPr>
              <w:keepNext w:val="0"/>
              <w:keepLines w:val="0"/>
              <w:shd w:val="clear" w:color="auto" w:fill="auto"/>
              <w:bidi w:val="0"/>
              <w:spacing w:before="0" w:after="0" w:line="240" w:lineRule="auto"/>
              <w:ind w:left="0" w:leftChars="0" w:right="0" w:rightChars="0" w:firstLine="0" w:firstLineChars="0"/>
              <w:jc w:val="center"/>
            </w:pPr>
            <w:r>
              <w:rPr>
                <w:rFonts w:hint="eastAsia" w:ascii="宋体" w:hAnsi="宋体" w:eastAsia="宋体" w:cs="宋体"/>
                <w:spacing w:val="0"/>
                <w:w w:val="100"/>
                <w:kern w:val="2"/>
                <w:position w:val="0"/>
                <w:sz w:val="21"/>
                <w:lang w:val="zh-CN" w:eastAsia="zh-CN" w:bidi="ar-SA"/>
              </w:rPr>
              <w:t>台</w:t>
            </w:r>
          </w:p>
        </w:tc>
        <w:tc>
          <w:tcPr>
            <w:tcW w:w="3364" w:type="dxa"/>
            <w:vMerge w:val="restart"/>
            <w:tcBorders>
              <w:tl2br w:val="nil"/>
              <w:tr2bl w:val="nil"/>
            </w:tcBorders>
            <w:shd w:val="clear" w:color="auto" w:fill="FFFFFF"/>
            <w:noWrap w:val="0"/>
            <w:vAlign w:val="center"/>
          </w:tcPr>
          <w:p>
            <w:pPr>
              <w:keepNext w:val="0"/>
              <w:keepLines w:val="0"/>
              <w:shd w:val="clear" w:color="auto" w:fill="auto"/>
              <w:bidi w:val="0"/>
              <w:spacing w:before="0" w:after="0" w:line="240" w:lineRule="auto"/>
              <w:ind w:left="0" w:leftChars="0" w:right="0" w:rightChars="0" w:firstLine="0" w:firstLineChars="0"/>
              <w:jc w:val="center"/>
            </w:pPr>
            <w:r>
              <w:rPr>
                <w:rFonts w:hint="eastAsia" w:ascii="宋体" w:hAnsi="宋体" w:eastAsia="宋体" w:cs="宋体"/>
                <w:spacing w:val="0"/>
                <w:w w:val="100"/>
                <w:kern w:val="2"/>
                <w:position w:val="0"/>
                <w:sz w:val="21"/>
                <w:lang w:val="zh-CN" w:eastAsia="zh-CN" w:bidi="ar-SA"/>
              </w:rPr>
              <w:t>机修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91" w:type="dxa"/>
            <w:tcBorders>
              <w:tl2br w:val="nil"/>
              <w:tr2bl w:val="nil"/>
            </w:tcBorders>
            <w:shd w:val="clear" w:color="auto" w:fill="FFFFFF"/>
            <w:noWrap w:val="0"/>
            <w:vAlign w:val="center"/>
          </w:tcPr>
          <w:p>
            <w:pPr>
              <w:keepNext w:val="0"/>
              <w:keepLines w:val="0"/>
              <w:shd w:val="clear" w:color="auto" w:fill="auto"/>
              <w:bidi w:val="0"/>
              <w:spacing w:before="0" w:after="0" w:line="240" w:lineRule="auto"/>
              <w:ind w:left="0" w:leftChars="0" w:right="0" w:rightChars="0" w:firstLine="0" w:firstLineChars="0"/>
              <w:jc w:val="center"/>
            </w:pPr>
            <w:r>
              <w:rPr>
                <w:rFonts w:hint="eastAsia" w:ascii="宋体" w:hAnsi="宋体" w:eastAsia="宋体" w:cs="宋体"/>
                <w:spacing w:val="0"/>
                <w:w w:val="100"/>
                <w:kern w:val="2"/>
                <w:position w:val="0"/>
                <w:sz w:val="21"/>
                <w:lang w:val="zh-CN" w:eastAsia="zh-CN" w:bidi="ar-SA"/>
              </w:rPr>
              <w:t>17</w:t>
            </w:r>
          </w:p>
        </w:tc>
        <w:tc>
          <w:tcPr>
            <w:tcW w:w="3370" w:type="dxa"/>
            <w:tcBorders>
              <w:tl2br w:val="nil"/>
              <w:tr2bl w:val="nil"/>
            </w:tcBorders>
            <w:shd w:val="clear" w:color="auto" w:fill="FFFFFF"/>
            <w:noWrap w:val="0"/>
            <w:vAlign w:val="center"/>
          </w:tcPr>
          <w:p>
            <w:pPr>
              <w:keepNext w:val="0"/>
              <w:keepLines w:val="0"/>
              <w:shd w:val="clear" w:color="auto" w:fill="auto"/>
              <w:bidi w:val="0"/>
              <w:spacing w:before="0" w:after="0" w:line="240" w:lineRule="auto"/>
              <w:ind w:left="0" w:leftChars="0" w:right="0" w:rightChars="0" w:firstLine="0" w:firstLineChars="0"/>
              <w:jc w:val="center"/>
            </w:pPr>
            <w:r>
              <w:rPr>
                <w:rFonts w:hint="eastAsia" w:ascii="宋体" w:hAnsi="宋体" w:eastAsia="宋体" w:cs="宋体"/>
                <w:spacing w:val="0"/>
                <w:w w:val="100"/>
                <w:kern w:val="2"/>
                <w:position w:val="0"/>
                <w:sz w:val="21"/>
                <w:lang w:val="zh-CN" w:eastAsia="zh-CN" w:bidi="ar-SA"/>
              </w:rPr>
              <w:t>砂轮打磨机</w:t>
            </w:r>
          </w:p>
        </w:tc>
        <w:tc>
          <w:tcPr>
            <w:tcW w:w="996" w:type="dxa"/>
            <w:tcBorders>
              <w:tl2br w:val="nil"/>
              <w:tr2bl w:val="nil"/>
            </w:tcBorders>
            <w:shd w:val="clear" w:color="auto" w:fill="FFFFFF"/>
            <w:noWrap w:val="0"/>
            <w:vAlign w:val="center"/>
          </w:tcPr>
          <w:p>
            <w:pPr>
              <w:keepNext w:val="0"/>
              <w:keepLines w:val="0"/>
              <w:shd w:val="clear" w:color="auto" w:fill="auto"/>
              <w:bidi w:val="0"/>
              <w:spacing w:before="0" w:after="0" w:line="240" w:lineRule="auto"/>
              <w:ind w:left="0" w:leftChars="0" w:right="0" w:rightChars="0" w:firstLine="0" w:firstLineChars="0"/>
              <w:jc w:val="center"/>
            </w:pPr>
            <w:r>
              <w:rPr>
                <w:rFonts w:hint="eastAsia" w:ascii="宋体" w:hAnsi="宋体" w:eastAsia="宋体" w:cs="宋体"/>
                <w:spacing w:val="0"/>
                <w:w w:val="100"/>
                <w:kern w:val="2"/>
                <w:position w:val="0"/>
                <w:sz w:val="21"/>
                <w:lang w:val="zh-CN" w:eastAsia="zh-CN" w:bidi="ar-SA"/>
              </w:rPr>
              <w:t>1</w:t>
            </w:r>
          </w:p>
        </w:tc>
        <w:tc>
          <w:tcPr>
            <w:tcW w:w="907" w:type="dxa"/>
            <w:tcBorders>
              <w:tl2br w:val="nil"/>
              <w:tr2bl w:val="nil"/>
            </w:tcBorders>
            <w:shd w:val="clear" w:color="auto" w:fill="FFFFFF"/>
            <w:noWrap w:val="0"/>
            <w:vAlign w:val="center"/>
          </w:tcPr>
          <w:p>
            <w:pPr>
              <w:keepNext w:val="0"/>
              <w:keepLines w:val="0"/>
              <w:shd w:val="clear" w:color="auto" w:fill="auto"/>
              <w:bidi w:val="0"/>
              <w:spacing w:before="0" w:after="0" w:line="240" w:lineRule="auto"/>
              <w:ind w:left="0" w:leftChars="0" w:right="0" w:rightChars="0" w:firstLine="0" w:firstLineChars="0"/>
              <w:jc w:val="center"/>
            </w:pPr>
            <w:r>
              <w:rPr>
                <w:rFonts w:hint="eastAsia" w:ascii="宋体" w:hAnsi="宋体" w:eastAsia="宋体" w:cs="宋体"/>
                <w:spacing w:val="0"/>
                <w:w w:val="100"/>
                <w:kern w:val="2"/>
                <w:position w:val="0"/>
                <w:sz w:val="21"/>
                <w:lang w:val="zh-CN" w:eastAsia="zh-CN" w:bidi="ar-SA"/>
              </w:rPr>
              <w:t>台</w:t>
            </w:r>
          </w:p>
        </w:tc>
        <w:tc>
          <w:tcPr>
            <w:tcW w:w="3364" w:type="dxa"/>
            <w:vMerge w:val="continue"/>
            <w:tcBorders>
              <w:tl2br w:val="nil"/>
              <w:tr2bl w:val="nil"/>
            </w:tcBorders>
            <w:shd w:val="clear" w:color="auto" w:fill="FFFFFF"/>
            <w:noWrap w:val="0"/>
            <w:vAlign w:val="center"/>
          </w:tcPr>
          <w:p>
            <w:pPr>
              <w:keepNext w:val="0"/>
              <w:keepLines w:val="0"/>
              <w:shd w:val="clear" w:color="auto" w:fill="auto"/>
              <w:bidi w:val="0"/>
              <w:spacing w:before="0" w:after="0" w:line="240" w:lineRule="auto"/>
              <w:ind w:left="0" w:leftChars="0" w:right="0" w:rightChars="0" w:firstLine="0" w:firstLineChars="0"/>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91" w:type="dxa"/>
            <w:tcBorders>
              <w:tl2br w:val="nil"/>
              <w:tr2bl w:val="nil"/>
            </w:tcBorders>
            <w:shd w:val="clear" w:color="auto" w:fill="FFFFFF"/>
            <w:noWrap w:val="0"/>
            <w:vAlign w:val="center"/>
          </w:tcPr>
          <w:p>
            <w:pPr>
              <w:keepNext w:val="0"/>
              <w:keepLines w:val="0"/>
              <w:shd w:val="clear" w:color="auto" w:fill="auto"/>
              <w:bidi w:val="0"/>
              <w:spacing w:before="0" w:after="0" w:line="240" w:lineRule="auto"/>
              <w:ind w:left="0" w:leftChars="0" w:right="0" w:rightChars="0" w:firstLine="0" w:firstLineChars="0"/>
              <w:jc w:val="center"/>
            </w:pPr>
            <w:r>
              <w:rPr>
                <w:rFonts w:hint="eastAsia" w:ascii="宋体" w:hAnsi="宋体" w:eastAsia="宋体" w:cs="宋体"/>
                <w:spacing w:val="0"/>
                <w:w w:val="100"/>
                <w:kern w:val="2"/>
                <w:position w:val="0"/>
                <w:sz w:val="21"/>
                <w:lang w:val="zh-CN" w:eastAsia="zh-CN" w:bidi="ar-SA"/>
              </w:rPr>
              <w:t>18</w:t>
            </w:r>
          </w:p>
        </w:tc>
        <w:tc>
          <w:tcPr>
            <w:tcW w:w="3370" w:type="dxa"/>
            <w:tcBorders>
              <w:tl2br w:val="nil"/>
              <w:tr2bl w:val="nil"/>
            </w:tcBorders>
            <w:shd w:val="clear" w:color="auto" w:fill="FFFFFF"/>
            <w:noWrap w:val="0"/>
            <w:vAlign w:val="center"/>
          </w:tcPr>
          <w:p>
            <w:pPr>
              <w:keepNext w:val="0"/>
              <w:keepLines w:val="0"/>
              <w:shd w:val="clear" w:color="auto" w:fill="auto"/>
              <w:bidi w:val="0"/>
              <w:spacing w:before="0" w:after="0" w:line="240" w:lineRule="auto"/>
              <w:ind w:left="0" w:leftChars="0" w:right="0" w:rightChars="0" w:firstLine="0" w:firstLineChars="0"/>
              <w:jc w:val="center"/>
            </w:pPr>
            <w:r>
              <w:rPr>
                <w:rFonts w:hint="eastAsia" w:ascii="宋体" w:hAnsi="宋体" w:eastAsia="宋体" w:cs="宋体"/>
                <w:spacing w:val="0"/>
                <w:w w:val="100"/>
                <w:kern w:val="2"/>
                <w:position w:val="0"/>
                <w:sz w:val="21"/>
                <w:lang w:val="zh-CN" w:eastAsia="zh-CN" w:bidi="ar-SA"/>
              </w:rPr>
              <w:t>隧道窑</w:t>
            </w:r>
          </w:p>
        </w:tc>
        <w:tc>
          <w:tcPr>
            <w:tcW w:w="996" w:type="dxa"/>
            <w:tcBorders>
              <w:tl2br w:val="nil"/>
              <w:tr2bl w:val="nil"/>
            </w:tcBorders>
            <w:shd w:val="clear" w:color="auto" w:fill="FFFFFF"/>
            <w:noWrap w:val="0"/>
            <w:vAlign w:val="center"/>
          </w:tcPr>
          <w:p>
            <w:pPr>
              <w:keepNext w:val="0"/>
              <w:keepLines w:val="0"/>
              <w:shd w:val="clear" w:color="auto" w:fill="auto"/>
              <w:bidi w:val="0"/>
              <w:spacing w:before="0" w:after="0" w:line="240" w:lineRule="auto"/>
              <w:ind w:left="0" w:leftChars="0" w:right="0" w:rightChars="0" w:firstLine="0" w:firstLineChars="0"/>
              <w:jc w:val="center"/>
            </w:pPr>
            <w:r>
              <w:rPr>
                <w:rFonts w:hint="eastAsia" w:ascii="宋体" w:hAnsi="宋体" w:eastAsia="宋体" w:cs="宋体"/>
                <w:spacing w:val="0"/>
                <w:w w:val="100"/>
                <w:kern w:val="2"/>
                <w:position w:val="0"/>
                <w:sz w:val="21"/>
                <w:lang w:val="zh-CN" w:eastAsia="zh-CN" w:bidi="ar-SA"/>
              </w:rPr>
              <w:t>2</w:t>
            </w:r>
          </w:p>
        </w:tc>
        <w:tc>
          <w:tcPr>
            <w:tcW w:w="907" w:type="dxa"/>
            <w:tcBorders>
              <w:tl2br w:val="nil"/>
              <w:tr2bl w:val="nil"/>
            </w:tcBorders>
            <w:shd w:val="clear" w:color="auto" w:fill="FFFFFF"/>
            <w:noWrap w:val="0"/>
            <w:vAlign w:val="center"/>
          </w:tcPr>
          <w:p>
            <w:pPr>
              <w:keepNext w:val="0"/>
              <w:keepLines w:val="0"/>
              <w:shd w:val="clear" w:color="auto" w:fill="auto"/>
              <w:bidi w:val="0"/>
              <w:spacing w:before="0" w:after="0" w:line="240" w:lineRule="auto"/>
              <w:ind w:left="0" w:leftChars="0" w:right="0" w:rightChars="0" w:firstLine="0" w:firstLineChars="0"/>
              <w:jc w:val="center"/>
            </w:pPr>
            <w:r>
              <w:rPr>
                <w:rFonts w:hint="eastAsia" w:ascii="宋体" w:hAnsi="宋体" w:eastAsia="宋体" w:cs="宋体"/>
                <w:spacing w:val="0"/>
                <w:w w:val="100"/>
                <w:kern w:val="2"/>
                <w:position w:val="0"/>
                <w:sz w:val="21"/>
                <w:lang w:val="zh-CN" w:eastAsia="zh-CN" w:bidi="ar-SA"/>
              </w:rPr>
              <w:t>座</w:t>
            </w:r>
          </w:p>
        </w:tc>
        <w:tc>
          <w:tcPr>
            <w:tcW w:w="3364" w:type="dxa"/>
            <w:tcBorders>
              <w:tl2br w:val="nil"/>
              <w:tr2bl w:val="nil"/>
            </w:tcBorders>
            <w:shd w:val="clear" w:color="auto" w:fill="FFFFFF"/>
            <w:noWrap w:val="0"/>
            <w:vAlign w:val="center"/>
          </w:tcPr>
          <w:p>
            <w:pPr>
              <w:keepNext w:val="0"/>
              <w:keepLines w:val="0"/>
              <w:shd w:val="clear" w:color="auto" w:fill="auto"/>
              <w:bidi w:val="0"/>
              <w:spacing w:before="0" w:after="0" w:line="240" w:lineRule="auto"/>
              <w:ind w:left="0" w:leftChars="0" w:right="0" w:rightChars="0" w:firstLine="0" w:firstLineChars="0"/>
              <w:jc w:val="center"/>
            </w:pPr>
            <w:r>
              <w:rPr>
                <w:rFonts w:hint="eastAsia" w:ascii="宋体" w:hAnsi="宋体" w:eastAsia="宋体" w:cs="宋体"/>
                <w:spacing w:val="0"/>
                <w:w w:val="100"/>
                <w:kern w:val="2"/>
                <w:position w:val="0"/>
                <w:sz w:val="21"/>
                <w:lang w:val="zh-CN"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91" w:type="dxa"/>
            <w:tcBorders>
              <w:tl2br w:val="nil"/>
              <w:tr2bl w:val="nil"/>
            </w:tcBorders>
            <w:shd w:val="clear" w:color="auto" w:fill="FFFFFF"/>
            <w:noWrap w:val="0"/>
            <w:vAlign w:val="center"/>
          </w:tcPr>
          <w:p>
            <w:pPr>
              <w:keepNext w:val="0"/>
              <w:keepLines w:val="0"/>
              <w:shd w:val="clear" w:color="auto" w:fill="auto"/>
              <w:bidi w:val="0"/>
              <w:spacing w:before="0" w:after="0" w:line="240" w:lineRule="auto"/>
              <w:ind w:left="0" w:leftChars="0" w:right="0" w:rightChars="0" w:firstLine="0" w:firstLineChars="0"/>
              <w:jc w:val="center"/>
            </w:pPr>
            <w:r>
              <w:rPr>
                <w:rFonts w:hint="eastAsia" w:ascii="宋体" w:hAnsi="宋体" w:eastAsia="宋体" w:cs="宋体"/>
                <w:spacing w:val="0"/>
                <w:w w:val="100"/>
                <w:kern w:val="2"/>
                <w:position w:val="0"/>
                <w:sz w:val="21"/>
                <w:lang w:val="zh-CN" w:eastAsia="zh-CN" w:bidi="ar-SA"/>
              </w:rPr>
              <w:t>19</w:t>
            </w:r>
          </w:p>
        </w:tc>
        <w:tc>
          <w:tcPr>
            <w:tcW w:w="3370" w:type="dxa"/>
            <w:tcBorders>
              <w:tl2br w:val="nil"/>
              <w:tr2bl w:val="nil"/>
            </w:tcBorders>
            <w:shd w:val="clear" w:color="auto" w:fill="FFFFFF"/>
            <w:noWrap w:val="0"/>
            <w:vAlign w:val="center"/>
          </w:tcPr>
          <w:p>
            <w:pPr>
              <w:keepNext w:val="0"/>
              <w:keepLines w:val="0"/>
              <w:shd w:val="clear" w:color="auto" w:fill="auto"/>
              <w:bidi w:val="0"/>
              <w:spacing w:before="0" w:after="0" w:line="240" w:lineRule="auto"/>
              <w:ind w:left="0" w:leftChars="0" w:right="0" w:rightChars="0" w:firstLine="0" w:firstLineChars="0"/>
              <w:jc w:val="center"/>
            </w:pPr>
            <w:r>
              <w:rPr>
                <w:rFonts w:hint="eastAsia" w:ascii="宋体" w:hAnsi="宋体" w:eastAsia="宋体" w:cs="宋体"/>
                <w:spacing w:val="0"/>
                <w:w w:val="100"/>
                <w:kern w:val="2"/>
                <w:position w:val="0"/>
                <w:sz w:val="21"/>
                <w:lang w:val="zh-CN" w:eastAsia="zh-CN" w:bidi="ar-SA"/>
              </w:rPr>
              <w:t>烘干室</w:t>
            </w:r>
          </w:p>
        </w:tc>
        <w:tc>
          <w:tcPr>
            <w:tcW w:w="996" w:type="dxa"/>
            <w:tcBorders>
              <w:tl2br w:val="nil"/>
              <w:tr2bl w:val="nil"/>
            </w:tcBorders>
            <w:shd w:val="clear" w:color="auto" w:fill="FFFFFF"/>
            <w:noWrap w:val="0"/>
            <w:vAlign w:val="center"/>
          </w:tcPr>
          <w:p>
            <w:pPr>
              <w:keepNext w:val="0"/>
              <w:keepLines w:val="0"/>
              <w:shd w:val="clear" w:color="auto" w:fill="auto"/>
              <w:bidi w:val="0"/>
              <w:spacing w:before="0" w:after="0" w:line="240" w:lineRule="auto"/>
              <w:ind w:left="0" w:leftChars="0" w:right="0" w:rightChars="0" w:firstLine="0" w:firstLineChars="0"/>
              <w:jc w:val="center"/>
            </w:pPr>
            <w:r>
              <w:rPr>
                <w:rFonts w:hint="eastAsia" w:ascii="宋体" w:hAnsi="宋体" w:eastAsia="宋体" w:cs="宋体"/>
                <w:spacing w:val="0"/>
                <w:w w:val="100"/>
                <w:kern w:val="2"/>
                <w:position w:val="0"/>
                <w:sz w:val="21"/>
                <w:lang w:val="zh-CN" w:eastAsia="zh-CN" w:bidi="ar-SA"/>
              </w:rPr>
              <w:t>2</w:t>
            </w:r>
          </w:p>
        </w:tc>
        <w:tc>
          <w:tcPr>
            <w:tcW w:w="907" w:type="dxa"/>
            <w:tcBorders>
              <w:tl2br w:val="nil"/>
              <w:tr2bl w:val="nil"/>
            </w:tcBorders>
            <w:shd w:val="clear" w:color="auto" w:fill="FFFFFF"/>
            <w:noWrap w:val="0"/>
            <w:vAlign w:val="center"/>
          </w:tcPr>
          <w:p>
            <w:pPr>
              <w:keepNext w:val="0"/>
              <w:keepLines w:val="0"/>
              <w:shd w:val="clear" w:color="auto" w:fill="auto"/>
              <w:bidi w:val="0"/>
              <w:spacing w:before="0" w:after="0" w:line="240" w:lineRule="auto"/>
              <w:ind w:left="0" w:leftChars="0" w:right="0" w:rightChars="0" w:firstLine="0" w:firstLineChars="0"/>
              <w:jc w:val="center"/>
            </w:pPr>
            <w:r>
              <w:rPr>
                <w:rFonts w:hint="eastAsia" w:ascii="宋体" w:hAnsi="宋体" w:eastAsia="宋体" w:cs="宋体"/>
                <w:spacing w:val="0"/>
                <w:w w:val="100"/>
                <w:kern w:val="2"/>
                <w:position w:val="0"/>
                <w:sz w:val="21"/>
                <w:lang w:val="zh-CN" w:eastAsia="zh-CN" w:bidi="ar-SA"/>
              </w:rPr>
              <w:t>座</w:t>
            </w:r>
          </w:p>
        </w:tc>
        <w:tc>
          <w:tcPr>
            <w:tcW w:w="3364" w:type="dxa"/>
            <w:tcBorders>
              <w:tl2br w:val="nil"/>
              <w:tr2bl w:val="nil"/>
            </w:tcBorders>
            <w:shd w:val="clear" w:color="auto" w:fill="FFFFFF"/>
            <w:noWrap w:val="0"/>
            <w:vAlign w:val="center"/>
          </w:tcPr>
          <w:p>
            <w:pPr>
              <w:keepNext w:val="0"/>
              <w:keepLines w:val="0"/>
              <w:shd w:val="clear" w:color="auto" w:fill="auto"/>
              <w:bidi w:val="0"/>
              <w:spacing w:before="0" w:after="0" w:line="240" w:lineRule="auto"/>
              <w:ind w:left="0" w:leftChars="0" w:right="0" w:rightChars="0" w:firstLine="0" w:firstLineChars="0"/>
              <w:jc w:val="center"/>
            </w:pPr>
            <w:r>
              <w:rPr>
                <w:rFonts w:hint="eastAsia" w:ascii="宋体" w:hAnsi="宋体" w:eastAsia="宋体" w:cs="宋体"/>
                <w:spacing w:val="0"/>
                <w:w w:val="100"/>
                <w:kern w:val="2"/>
                <w:position w:val="0"/>
                <w:sz w:val="21"/>
                <w:lang w:val="zh-CN"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91" w:type="dxa"/>
            <w:tcBorders>
              <w:tl2br w:val="nil"/>
              <w:tr2bl w:val="nil"/>
            </w:tcBorders>
            <w:shd w:val="clear" w:color="auto" w:fill="FFFFFF"/>
            <w:noWrap w:val="0"/>
            <w:vAlign w:val="center"/>
          </w:tcPr>
          <w:p>
            <w:pPr>
              <w:keepNext w:val="0"/>
              <w:keepLines w:val="0"/>
              <w:shd w:val="clear" w:color="auto" w:fill="auto"/>
              <w:bidi w:val="0"/>
              <w:spacing w:before="0" w:after="0" w:line="240" w:lineRule="auto"/>
              <w:ind w:left="0" w:leftChars="0" w:right="0" w:rightChars="0" w:firstLine="0" w:firstLineChars="0"/>
              <w:jc w:val="center"/>
            </w:pPr>
            <w:r>
              <w:rPr>
                <w:rFonts w:hint="eastAsia" w:ascii="宋体" w:hAnsi="宋体" w:eastAsia="宋体" w:cs="宋体"/>
                <w:spacing w:val="0"/>
                <w:w w:val="100"/>
                <w:kern w:val="2"/>
                <w:position w:val="0"/>
                <w:sz w:val="21"/>
                <w:lang w:val="zh-CN" w:eastAsia="zh-CN" w:bidi="ar-SA"/>
              </w:rPr>
              <w:t>20</w:t>
            </w:r>
          </w:p>
        </w:tc>
        <w:tc>
          <w:tcPr>
            <w:tcW w:w="3370" w:type="dxa"/>
            <w:tcBorders>
              <w:tl2br w:val="nil"/>
              <w:tr2bl w:val="nil"/>
            </w:tcBorders>
            <w:shd w:val="clear" w:color="auto" w:fill="FFFFFF"/>
            <w:noWrap w:val="0"/>
            <w:vAlign w:val="center"/>
          </w:tcPr>
          <w:p>
            <w:pPr>
              <w:keepNext w:val="0"/>
              <w:keepLines w:val="0"/>
              <w:shd w:val="clear" w:color="auto" w:fill="auto"/>
              <w:bidi w:val="0"/>
              <w:spacing w:before="0" w:after="0" w:line="240" w:lineRule="auto"/>
              <w:ind w:left="0" w:leftChars="0" w:right="0" w:rightChars="0" w:firstLine="0" w:firstLineChars="0"/>
              <w:jc w:val="center"/>
            </w:pPr>
            <w:r>
              <w:rPr>
                <w:rFonts w:hint="eastAsia" w:ascii="宋体" w:hAnsi="宋体" w:eastAsia="宋体" w:cs="宋体"/>
                <w:spacing w:val="0"/>
                <w:w w:val="100"/>
                <w:kern w:val="2"/>
                <w:position w:val="0"/>
                <w:sz w:val="21"/>
                <w:lang w:val="zh-CN" w:eastAsia="zh-CN" w:bidi="ar-SA"/>
              </w:rPr>
              <w:t>自动加煤机</w:t>
            </w:r>
          </w:p>
        </w:tc>
        <w:tc>
          <w:tcPr>
            <w:tcW w:w="996" w:type="dxa"/>
            <w:tcBorders>
              <w:tl2br w:val="nil"/>
              <w:tr2bl w:val="nil"/>
            </w:tcBorders>
            <w:shd w:val="clear" w:color="auto" w:fill="FFFFFF"/>
            <w:noWrap w:val="0"/>
            <w:vAlign w:val="center"/>
          </w:tcPr>
          <w:p>
            <w:pPr>
              <w:keepNext w:val="0"/>
              <w:keepLines w:val="0"/>
              <w:shd w:val="clear" w:color="auto" w:fill="auto"/>
              <w:bidi w:val="0"/>
              <w:spacing w:before="0" w:after="0" w:line="240" w:lineRule="auto"/>
              <w:ind w:left="0" w:leftChars="0" w:right="0" w:rightChars="0" w:firstLine="0" w:firstLineChars="0"/>
              <w:jc w:val="center"/>
            </w:pPr>
            <w:r>
              <w:rPr>
                <w:rFonts w:hint="eastAsia" w:ascii="宋体" w:hAnsi="宋体" w:eastAsia="宋体" w:cs="宋体"/>
                <w:spacing w:val="0"/>
                <w:w w:val="100"/>
                <w:kern w:val="2"/>
                <w:position w:val="0"/>
                <w:sz w:val="21"/>
                <w:lang w:val="zh-CN" w:eastAsia="zh-CN" w:bidi="ar-SA"/>
              </w:rPr>
              <w:t>1</w:t>
            </w:r>
          </w:p>
        </w:tc>
        <w:tc>
          <w:tcPr>
            <w:tcW w:w="907" w:type="dxa"/>
            <w:tcBorders>
              <w:tl2br w:val="nil"/>
              <w:tr2bl w:val="nil"/>
            </w:tcBorders>
            <w:shd w:val="clear" w:color="auto" w:fill="FFFFFF"/>
            <w:noWrap w:val="0"/>
            <w:vAlign w:val="center"/>
          </w:tcPr>
          <w:p>
            <w:pPr>
              <w:keepNext w:val="0"/>
              <w:keepLines w:val="0"/>
              <w:shd w:val="clear" w:color="auto" w:fill="auto"/>
              <w:bidi w:val="0"/>
              <w:spacing w:before="0" w:after="0" w:line="240" w:lineRule="auto"/>
              <w:ind w:left="0" w:leftChars="0" w:right="0" w:rightChars="0" w:firstLine="0" w:firstLineChars="0"/>
              <w:jc w:val="center"/>
            </w:pPr>
            <w:r>
              <w:rPr>
                <w:rFonts w:hint="eastAsia" w:ascii="宋体" w:hAnsi="宋体" w:eastAsia="宋体" w:cs="宋体"/>
                <w:spacing w:val="0"/>
                <w:w w:val="100"/>
                <w:kern w:val="2"/>
                <w:position w:val="0"/>
                <w:sz w:val="21"/>
                <w:lang w:val="zh-CN" w:eastAsia="zh-CN" w:bidi="ar-SA"/>
              </w:rPr>
              <w:t>台</w:t>
            </w:r>
          </w:p>
        </w:tc>
        <w:tc>
          <w:tcPr>
            <w:tcW w:w="3364" w:type="dxa"/>
            <w:tcBorders>
              <w:tl2br w:val="nil"/>
              <w:tr2bl w:val="nil"/>
            </w:tcBorders>
            <w:shd w:val="clear" w:color="auto" w:fill="FFFFFF"/>
            <w:noWrap w:val="0"/>
            <w:vAlign w:val="center"/>
          </w:tcPr>
          <w:p>
            <w:pPr>
              <w:keepNext w:val="0"/>
              <w:keepLines w:val="0"/>
              <w:shd w:val="clear" w:color="auto" w:fill="auto"/>
              <w:bidi w:val="0"/>
              <w:spacing w:before="0" w:after="0" w:line="240" w:lineRule="auto"/>
              <w:ind w:left="0" w:leftChars="0" w:right="0" w:rightChars="0" w:firstLine="0" w:firstLineChars="0"/>
              <w:jc w:val="center"/>
            </w:pPr>
            <w:r>
              <w:rPr>
                <w:rFonts w:hint="eastAsia" w:ascii="宋体" w:hAnsi="宋体" w:eastAsia="宋体" w:cs="宋体"/>
                <w:spacing w:val="0"/>
                <w:w w:val="100"/>
                <w:kern w:val="2"/>
                <w:position w:val="0"/>
                <w:sz w:val="21"/>
                <w:lang w:val="zh-CN" w:eastAsia="zh-CN" w:bidi="ar-SA"/>
              </w:rPr>
              <w:t>隧道窑</w:t>
            </w:r>
          </w:p>
        </w:tc>
      </w:tr>
    </w:tbl>
    <w:p>
      <w:pPr>
        <w:pStyle w:val="12"/>
        <w:spacing w:line="240" w:lineRule="auto"/>
        <w:ind w:firstLine="482" w:firstLineChars="200"/>
        <w:jc w:val="center"/>
        <w:rPr>
          <w:rFonts w:hint="eastAsia" w:ascii="黑体" w:hAnsi="Courier New" w:eastAsia="黑体"/>
          <w:b/>
          <w:color w:val="auto"/>
          <w:sz w:val="24"/>
          <w:lang w:eastAsia="zh-CN"/>
        </w:rPr>
      </w:pPr>
      <w:bookmarkStart w:id="74" w:name="_Toc18643"/>
      <w:bookmarkStart w:id="75" w:name="_Toc16275"/>
      <w:r>
        <w:rPr>
          <w:rFonts w:hint="eastAsia" w:ascii="黑体" w:hAnsi="Courier New" w:eastAsia="黑体"/>
          <w:b/>
          <w:color w:val="auto"/>
          <w:sz w:val="24"/>
          <w:lang w:eastAsia="zh-CN"/>
        </w:rPr>
        <w:t>表</w:t>
      </w:r>
      <w:r>
        <w:rPr>
          <w:rFonts w:hint="eastAsia" w:ascii="黑体" w:hAnsi="Courier New" w:eastAsia="黑体"/>
          <w:b/>
          <w:color w:val="auto"/>
          <w:sz w:val="24"/>
          <w:lang w:val="en-US" w:eastAsia="zh-CN"/>
        </w:rPr>
        <w:t>1</w:t>
      </w:r>
      <w:r>
        <w:rPr>
          <w:rFonts w:hint="eastAsia" w:ascii="黑体" w:hAnsi="Courier New" w:eastAsia="黑体"/>
          <w:b/>
          <w:color w:val="auto"/>
          <w:sz w:val="24"/>
          <w:lang w:eastAsia="zh-CN"/>
        </w:rPr>
        <w:t>-</w:t>
      </w:r>
      <w:r>
        <w:rPr>
          <w:rFonts w:hint="eastAsia" w:ascii="黑体" w:hAnsi="Courier New" w:eastAsia="黑体"/>
          <w:b/>
          <w:color w:val="auto"/>
          <w:sz w:val="24"/>
          <w:lang w:val="en-US" w:eastAsia="zh-CN"/>
        </w:rPr>
        <w:t>2</w:t>
      </w:r>
      <w:r>
        <w:rPr>
          <w:rFonts w:hint="eastAsia" w:ascii="黑体" w:hAnsi="Courier New" w:eastAsia="黑体"/>
          <w:b/>
          <w:color w:val="auto"/>
          <w:sz w:val="24"/>
          <w:lang w:eastAsia="zh-CN"/>
        </w:rPr>
        <w:t xml:space="preserve"> 主要设备清单</w:t>
      </w:r>
    </w:p>
    <w:p>
      <w:pPr>
        <w:pStyle w:val="5"/>
        <w:spacing w:before="0" w:after="0" w:line="360" w:lineRule="auto"/>
        <w:rPr>
          <w:rFonts w:hint="eastAsia" w:ascii="宋体" w:hAnsi="宋体" w:eastAsia="宋体" w:cs="宋体"/>
          <w:color w:val="auto"/>
          <w:sz w:val="28"/>
          <w:szCs w:val="28"/>
        </w:rPr>
      </w:pPr>
      <w:bookmarkStart w:id="76" w:name="_Toc32671"/>
      <w:bookmarkStart w:id="77" w:name="_Toc943"/>
      <w:r>
        <w:rPr>
          <w:rFonts w:hint="eastAsia" w:ascii="宋体" w:hAnsi="宋体" w:eastAsia="宋体" w:cs="宋体"/>
          <w:color w:val="auto"/>
          <w:sz w:val="28"/>
          <w:szCs w:val="28"/>
        </w:rPr>
        <w:t>2.</w:t>
      </w:r>
      <w:r>
        <w:rPr>
          <w:rFonts w:hint="eastAsia" w:ascii="宋体" w:hAnsi="宋体" w:eastAsia="宋体" w:cs="宋体"/>
          <w:color w:val="auto"/>
          <w:sz w:val="28"/>
          <w:szCs w:val="28"/>
          <w:lang w:val="en-US" w:eastAsia="zh-CN"/>
        </w:rPr>
        <w:t>2</w:t>
      </w:r>
      <w:r>
        <w:rPr>
          <w:rFonts w:hint="eastAsia" w:ascii="宋体" w:hAnsi="宋体" w:eastAsia="宋体" w:cs="宋体"/>
          <w:color w:val="auto"/>
          <w:sz w:val="28"/>
          <w:szCs w:val="28"/>
        </w:rPr>
        <w:t>各方应急力量有关基本情况</w:t>
      </w:r>
      <w:bookmarkEnd w:id="74"/>
      <w:bookmarkEnd w:id="75"/>
      <w:bookmarkEnd w:id="76"/>
      <w:bookmarkEnd w:id="77"/>
    </w:p>
    <w:p>
      <w:pPr>
        <w:pStyle w:val="5"/>
        <w:spacing w:before="0" w:after="0" w:line="360" w:lineRule="auto"/>
        <w:rPr>
          <w:rFonts w:hint="eastAsia" w:ascii="宋体" w:hAnsi="宋体" w:eastAsia="宋体" w:cs="宋体"/>
          <w:color w:val="auto"/>
          <w:sz w:val="28"/>
          <w:szCs w:val="28"/>
          <w:lang w:val="zh-CN"/>
        </w:rPr>
      </w:pPr>
      <w:bookmarkStart w:id="78" w:name="_Toc21350"/>
      <w:bookmarkStart w:id="79" w:name="_Toc18478"/>
      <w:bookmarkStart w:id="80" w:name="_Toc15105"/>
      <w:r>
        <w:rPr>
          <w:rFonts w:hint="eastAsia" w:ascii="宋体" w:hAnsi="宋体" w:eastAsia="宋体" w:cs="宋体"/>
          <w:color w:val="auto"/>
          <w:sz w:val="28"/>
          <w:szCs w:val="28"/>
          <w:lang w:val="zh-CN"/>
        </w:rPr>
        <w:t>2.</w:t>
      </w:r>
      <w:r>
        <w:rPr>
          <w:rFonts w:hint="eastAsia" w:ascii="宋体" w:hAnsi="宋体" w:eastAsia="宋体" w:cs="宋体"/>
          <w:color w:val="auto"/>
          <w:sz w:val="28"/>
          <w:szCs w:val="28"/>
          <w:lang w:val="en-US" w:eastAsia="zh-CN"/>
        </w:rPr>
        <w:t>2</w:t>
      </w:r>
      <w:r>
        <w:rPr>
          <w:rFonts w:hint="eastAsia" w:ascii="宋体" w:hAnsi="宋体" w:eastAsia="宋体" w:cs="宋体"/>
          <w:color w:val="auto"/>
          <w:sz w:val="28"/>
          <w:szCs w:val="28"/>
          <w:lang w:val="zh-CN"/>
        </w:rPr>
        <w:t>.1内部应急力量</w:t>
      </w:r>
      <w:bookmarkEnd w:id="78"/>
      <w:bookmarkEnd w:id="79"/>
      <w:bookmarkEnd w:id="80"/>
    </w:p>
    <w:p>
      <w:pPr>
        <w:spacing w:line="360" w:lineRule="auto"/>
        <w:ind w:firstLine="560" w:firstLineChars="200"/>
        <w:rPr>
          <w:rFonts w:hint="eastAsia" w:ascii="宋体" w:hAnsi="宋体" w:cs="宋体"/>
          <w:i w:val="0"/>
          <w:iCs w:val="0"/>
          <w:color w:val="FF0000"/>
          <w:sz w:val="28"/>
          <w:szCs w:val="28"/>
        </w:rPr>
      </w:pPr>
      <w:r>
        <w:rPr>
          <w:rFonts w:hint="eastAsia" w:ascii="宋体" w:hAnsi="宋体" w:cs="宋体"/>
          <w:i w:val="0"/>
          <w:iCs w:val="0"/>
          <w:color w:val="FF0000"/>
          <w:sz w:val="28"/>
          <w:szCs w:val="28"/>
        </w:rPr>
        <w:t>公司成立有以总经理</w:t>
      </w:r>
      <w:r>
        <w:rPr>
          <w:rFonts w:hint="eastAsia" w:ascii="宋体" w:hAnsi="宋体" w:cs="宋体"/>
          <w:i w:val="0"/>
          <w:iCs w:val="0"/>
          <w:color w:val="FF0000"/>
          <w:sz w:val="28"/>
          <w:szCs w:val="28"/>
          <w:lang w:eastAsia="zh-CN"/>
        </w:rPr>
        <w:t>陈洪敏</w:t>
      </w:r>
      <w:r>
        <w:rPr>
          <w:rFonts w:hint="eastAsia" w:ascii="宋体" w:hAnsi="宋体" w:cs="宋体"/>
          <w:i w:val="0"/>
          <w:iCs w:val="0"/>
          <w:color w:val="FF0000"/>
          <w:sz w:val="28"/>
          <w:szCs w:val="28"/>
        </w:rPr>
        <w:t>为组长的应急抢险救援领导小组，副组长由公司</w:t>
      </w:r>
      <w:r>
        <w:rPr>
          <w:rFonts w:hint="eastAsia" w:ascii="宋体" w:hAnsi="宋体" w:eastAsia="宋体" w:cs="宋体"/>
          <w:i w:val="0"/>
          <w:iCs w:val="0"/>
          <w:color w:val="FF0000"/>
          <w:sz w:val="28"/>
          <w:szCs w:val="28"/>
          <w:lang w:eastAsia="zh-CN"/>
        </w:rPr>
        <w:t>厂长</w:t>
      </w:r>
      <w:r>
        <w:rPr>
          <w:rFonts w:hint="eastAsia" w:ascii="宋体" w:hAnsi="宋体" w:cs="宋体"/>
          <w:i w:val="0"/>
          <w:iCs w:val="0"/>
          <w:color w:val="FF0000"/>
          <w:sz w:val="28"/>
          <w:szCs w:val="28"/>
          <w:lang w:eastAsia="zh-CN"/>
        </w:rPr>
        <w:t>王长军</w:t>
      </w:r>
      <w:r>
        <w:rPr>
          <w:rFonts w:hint="eastAsia" w:ascii="宋体" w:hAnsi="宋体" w:cs="宋体"/>
          <w:i w:val="0"/>
          <w:iCs w:val="0"/>
          <w:color w:val="FF0000"/>
          <w:sz w:val="28"/>
          <w:szCs w:val="28"/>
        </w:rPr>
        <w:t>担任。成员由其他</w:t>
      </w:r>
      <w:r>
        <w:rPr>
          <w:rFonts w:hint="eastAsia" w:ascii="宋体" w:hAnsi="宋体" w:cs="宋体"/>
          <w:i w:val="0"/>
          <w:iCs w:val="0"/>
          <w:color w:val="FF0000"/>
          <w:sz w:val="28"/>
          <w:szCs w:val="28"/>
          <w:lang w:eastAsia="zh-CN"/>
        </w:rPr>
        <w:t>现场负责人</w:t>
      </w:r>
      <w:r>
        <w:rPr>
          <w:rFonts w:hint="eastAsia" w:ascii="宋体" w:hAnsi="宋体" w:cs="宋体"/>
          <w:i w:val="0"/>
          <w:iCs w:val="0"/>
          <w:color w:val="FF0000"/>
          <w:sz w:val="28"/>
          <w:szCs w:val="28"/>
        </w:rPr>
        <w:t>、车间主管及</w:t>
      </w:r>
      <w:r>
        <w:rPr>
          <w:rFonts w:hint="eastAsia" w:ascii="宋体" w:hAnsi="宋体" w:cs="宋体"/>
          <w:i w:val="0"/>
          <w:iCs w:val="0"/>
          <w:color w:val="FF0000"/>
          <w:sz w:val="28"/>
          <w:szCs w:val="28"/>
          <w:lang w:eastAsia="zh-CN"/>
        </w:rPr>
        <w:t>行政部</w:t>
      </w:r>
      <w:r>
        <w:rPr>
          <w:rFonts w:hint="eastAsia" w:ascii="宋体" w:hAnsi="宋体" w:cs="宋体"/>
          <w:i w:val="0"/>
          <w:iCs w:val="0"/>
          <w:color w:val="FF0000"/>
          <w:sz w:val="28"/>
          <w:szCs w:val="28"/>
        </w:rPr>
        <w:t>成员组成。并设</w:t>
      </w:r>
      <w:r>
        <w:rPr>
          <w:rFonts w:hint="eastAsia" w:ascii="宋体" w:hAnsi="宋体" w:cs="宋体"/>
          <w:i w:val="0"/>
          <w:iCs w:val="0"/>
          <w:color w:val="FF0000"/>
          <w:sz w:val="28"/>
          <w:szCs w:val="28"/>
          <w:lang w:eastAsia="zh-CN"/>
        </w:rPr>
        <w:t>安全管理员</w:t>
      </w:r>
      <w:r>
        <w:rPr>
          <w:rFonts w:hint="eastAsia" w:ascii="宋体" w:hAnsi="宋体" w:cs="宋体"/>
          <w:i w:val="0"/>
          <w:iCs w:val="0"/>
          <w:color w:val="FF0000"/>
          <w:sz w:val="28"/>
          <w:szCs w:val="28"/>
        </w:rPr>
        <w:t>作为独立的日常安全、环保管理专职人员，应急抢险救援领导小组下设有下设抢险救援组、</w:t>
      </w:r>
      <w:r>
        <w:rPr>
          <w:rFonts w:hint="eastAsia" w:ascii="宋体" w:hAnsi="宋体" w:cs="宋体"/>
          <w:i w:val="0"/>
          <w:iCs w:val="0"/>
          <w:color w:val="FF0000"/>
          <w:sz w:val="28"/>
          <w:szCs w:val="28"/>
          <w:lang w:eastAsia="zh-CN"/>
        </w:rPr>
        <w:t>疏散联络组</w:t>
      </w:r>
      <w:r>
        <w:rPr>
          <w:rFonts w:hint="eastAsia" w:ascii="宋体" w:hAnsi="宋体" w:cs="宋体"/>
          <w:i w:val="0"/>
          <w:iCs w:val="0"/>
          <w:color w:val="FF0000"/>
          <w:sz w:val="28"/>
          <w:szCs w:val="28"/>
        </w:rPr>
        <w:t>、后勤保障组、医疗救护组</w:t>
      </w:r>
      <w:r>
        <w:rPr>
          <w:rFonts w:hint="eastAsia" w:ascii="宋体" w:hAnsi="宋体" w:eastAsia="宋体" w:cs="宋体"/>
          <w:i w:val="0"/>
          <w:iCs w:val="0"/>
          <w:color w:val="FF0000"/>
          <w:sz w:val="28"/>
          <w:szCs w:val="28"/>
          <w:lang w:eastAsia="zh-CN"/>
        </w:rPr>
        <w:t>、</w:t>
      </w:r>
      <w:r>
        <w:rPr>
          <w:rFonts w:hint="eastAsia" w:ascii="宋体" w:hAnsi="宋体" w:cs="宋体"/>
          <w:i w:val="0"/>
          <w:iCs w:val="0"/>
          <w:color w:val="FF0000"/>
          <w:sz w:val="28"/>
          <w:szCs w:val="28"/>
          <w:lang w:eastAsia="zh-CN"/>
        </w:rPr>
        <w:t>事故调查善后组、</w:t>
      </w:r>
      <w:r>
        <w:rPr>
          <w:rFonts w:hint="eastAsia" w:ascii="宋体" w:hAnsi="宋体" w:cs="宋体"/>
          <w:i w:val="0"/>
          <w:iCs w:val="0"/>
          <w:color w:val="FF0000"/>
          <w:sz w:val="28"/>
          <w:szCs w:val="28"/>
        </w:rPr>
        <w:t>负责处理应急救援事宜。领导小组办公室常设在</w:t>
      </w:r>
      <w:r>
        <w:rPr>
          <w:rFonts w:hint="eastAsia" w:ascii="宋体" w:hAnsi="宋体" w:cs="宋体"/>
          <w:i w:val="0"/>
          <w:iCs w:val="0"/>
          <w:color w:val="FF0000"/>
          <w:sz w:val="28"/>
          <w:szCs w:val="28"/>
          <w:lang w:eastAsia="zh-CN"/>
        </w:rPr>
        <w:t>行政部</w:t>
      </w:r>
      <w:r>
        <w:rPr>
          <w:rFonts w:hint="eastAsia" w:ascii="宋体" w:hAnsi="宋体" w:cs="宋体"/>
          <w:i w:val="0"/>
          <w:iCs w:val="0"/>
          <w:color w:val="FF0000"/>
          <w:sz w:val="28"/>
          <w:szCs w:val="28"/>
        </w:rPr>
        <w:t>，日常工作由</w:t>
      </w:r>
      <w:r>
        <w:rPr>
          <w:rFonts w:hint="eastAsia" w:ascii="宋体" w:hAnsi="宋体" w:cs="宋体"/>
          <w:i w:val="0"/>
          <w:iCs w:val="0"/>
          <w:color w:val="FF0000"/>
          <w:sz w:val="28"/>
          <w:szCs w:val="28"/>
          <w:lang w:eastAsia="zh-CN"/>
        </w:rPr>
        <w:t>行政部</w:t>
      </w:r>
      <w:r>
        <w:rPr>
          <w:rFonts w:hint="eastAsia" w:ascii="宋体" w:hAnsi="宋体" w:cs="宋体"/>
          <w:i w:val="0"/>
          <w:iCs w:val="0"/>
          <w:color w:val="FF0000"/>
          <w:sz w:val="28"/>
          <w:szCs w:val="28"/>
        </w:rPr>
        <w:t>主管</w:t>
      </w:r>
      <w:r>
        <w:rPr>
          <w:rFonts w:hint="eastAsia" w:ascii="宋体" w:hAnsi="宋体" w:cs="宋体"/>
          <w:i w:val="0"/>
          <w:iCs w:val="0"/>
          <w:color w:val="FF0000"/>
          <w:sz w:val="28"/>
          <w:szCs w:val="28"/>
          <w:lang w:eastAsia="zh-CN"/>
        </w:rPr>
        <w:t>负责</w:t>
      </w:r>
      <w:r>
        <w:rPr>
          <w:rFonts w:hint="eastAsia" w:ascii="宋体" w:hAnsi="宋体" w:cs="宋体"/>
          <w:i w:val="0"/>
          <w:iCs w:val="0"/>
          <w:color w:val="FF0000"/>
          <w:sz w:val="28"/>
          <w:szCs w:val="28"/>
        </w:rPr>
        <w:t>。其它下设的各小组组长由公司指派部门负责人担任。重大事故发生时，由总经理任应急领导组长，领导小组副组长任副应急领导组长，负责组织和指挥应急抢险救护工作。应急领导小组一般设在</w:t>
      </w:r>
      <w:r>
        <w:rPr>
          <w:rFonts w:hint="eastAsia" w:ascii="宋体" w:hAnsi="宋体" w:cs="宋体"/>
          <w:i w:val="0"/>
          <w:iCs w:val="0"/>
          <w:color w:val="FF0000"/>
          <w:sz w:val="28"/>
          <w:szCs w:val="28"/>
          <w:lang w:eastAsia="zh-CN"/>
        </w:rPr>
        <w:t>行政部</w:t>
      </w:r>
      <w:r>
        <w:rPr>
          <w:rFonts w:hint="eastAsia" w:ascii="宋体" w:hAnsi="宋体" w:cs="宋体"/>
          <w:i w:val="0"/>
          <w:iCs w:val="0"/>
          <w:color w:val="FF0000"/>
          <w:sz w:val="28"/>
          <w:szCs w:val="28"/>
        </w:rPr>
        <w:t>。如果应急领导组长或副组长均不在公司时，则由在公司</w:t>
      </w:r>
      <w:r>
        <w:rPr>
          <w:rFonts w:hint="eastAsia" w:ascii="宋体" w:hAnsi="宋体" w:cs="宋体"/>
          <w:i w:val="0"/>
          <w:iCs w:val="0"/>
          <w:color w:val="FF0000"/>
          <w:sz w:val="28"/>
          <w:szCs w:val="28"/>
          <w:lang w:eastAsia="zh-CN"/>
        </w:rPr>
        <w:t>厂长</w:t>
      </w:r>
      <w:r>
        <w:rPr>
          <w:rFonts w:hint="eastAsia" w:ascii="宋体" w:hAnsi="宋体" w:cs="宋体"/>
          <w:i w:val="0"/>
          <w:iCs w:val="0"/>
          <w:color w:val="FF0000"/>
          <w:sz w:val="28"/>
          <w:szCs w:val="28"/>
        </w:rPr>
        <w:t>与</w:t>
      </w:r>
      <w:r>
        <w:rPr>
          <w:rFonts w:hint="eastAsia" w:ascii="宋体" w:hAnsi="宋体" w:cs="宋体"/>
          <w:i w:val="0"/>
          <w:iCs w:val="0"/>
          <w:color w:val="FF0000"/>
          <w:sz w:val="28"/>
          <w:szCs w:val="28"/>
          <w:lang w:eastAsia="zh-CN"/>
        </w:rPr>
        <w:t>行政部</w:t>
      </w:r>
      <w:r>
        <w:rPr>
          <w:rFonts w:hint="eastAsia" w:ascii="宋体" w:hAnsi="宋体" w:cs="宋体"/>
          <w:i w:val="0"/>
          <w:iCs w:val="0"/>
          <w:color w:val="FF0000"/>
          <w:sz w:val="28"/>
          <w:szCs w:val="28"/>
        </w:rPr>
        <w:t>负责人为临时应急领导组长，全权负责应急抢险及救护工作。</w:t>
      </w:r>
    </w:p>
    <w:p>
      <w:pPr>
        <w:pStyle w:val="5"/>
        <w:spacing w:before="0" w:after="0" w:line="360" w:lineRule="auto"/>
        <w:rPr>
          <w:rFonts w:hint="eastAsia" w:ascii="宋体" w:hAnsi="宋体" w:eastAsia="宋体" w:cs="宋体"/>
          <w:color w:val="auto"/>
          <w:sz w:val="28"/>
          <w:szCs w:val="28"/>
          <w:lang w:val="zh-CN"/>
        </w:rPr>
      </w:pPr>
      <w:bookmarkStart w:id="81" w:name="_Toc19588"/>
      <w:bookmarkStart w:id="82" w:name="_Toc15756"/>
      <w:bookmarkStart w:id="83" w:name="_Toc16670"/>
      <w:r>
        <w:rPr>
          <w:rFonts w:hint="eastAsia" w:ascii="宋体" w:hAnsi="宋体" w:eastAsia="宋体" w:cs="宋体"/>
          <w:color w:val="auto"/>
          <w:sz w:val="28"/>
          <w:szCs w:val="28"/>
          <w:lang w:val="zh-CN"/>
        </w:rPr>
        <w:t>2.</w:t>
      </w:r>
      <w:r>
        <w:rPr>
          <w:rFonts w:hint="eastAsia" w:ascii="宋体" w:hAnsi="宋体" w:eastAsia="宋体" w:cs="宋体"/>
          <w:color w:val="auto"/>
          <w:sz w:val="28"/>
          <w:szCs w:val="28"/>
          <w:lang w:val="en-US" w:eastAsia="zh-CN"/>
        </w:rPr>
        <w:t>2</w:t>
      </w:r>
      <w:r>
        <w:rPr>
          <w:rFonts w:hint="eastAsia" w:ascii="宋体" w:hAnsi="宋体" w:eastAsia="宋体" w:cs="宋体"/>
          <w:color w:val="auto"/>
          <w:sz w:val="28"/>
          <w:szCs w:val="28"/>
          <w:lang w:val="zh-CN"/>
        </w:rPr>
        <w:t>.</w:t>
      </w:r>
      <w:r>
        <w:rPr>
          <w:rFonts w:hint="eastAsia" w:ascii="宋体" w:hAnsi="宋体" w:eastAsia="宋体" w:cs="宋体"/>
          <w:color w:val="auto"/>
          <w:sz w:val="28"/>
          <w:szCs w:val="28"/>
          <w:lang w:val="en-US" w:eastAsia="zh-CN"/>
        </w:rPr>
        <w:t>2</w:t>
      </w:r>
      <w:r>
        <w:rPr>
          <w:rFonts w:hint="eastAsia" w:ascii="宋体" w:hAnsi="宋体" w:eastAsia="宋体" w:cs="宋体"/>
          <w:color w:val="auto"/>
          <w:sz w:val="28"/>
          <w:szCs w:val="28"/>
          <w:lang w:val="zh-CN"/>
        </w:rPr>
        <w:t>外部应急力量</w:t>
      </w:r>
      <w:bookmarkEnd w:id="81"/>
      <w:bookmarkEnd w:id="82"/>
      <w:bookmarkEnd w:id="83"/>
    </w:p>
    <w:p>
      <w:pPr>
        <w:spacing w:line="360" w:lineRule="auto"/>
        <w:ind w:firstLine="560" w:firstLineChars="200"/>
        <w:rPr>
          <w:rFonts w:hint="eastAsia" w:ascii="宋体" w:hAnsi="宋体" w:cs="宋体"/>
          <w:i w:val="0"/>
          <w:iCs w:val="0"/>
          <w:color w:val="auto"/>
          <w:sz w:val="28"/>
          <w:szCs w:val="28"/>
        </w:rPr>
      </w:pPr>
      <w:r>
        <w:rPr>
          <w:rFonts w:hint="eastAsia" w:ascii="宋体" w:hAnsi="宋体" w:cs="宋体"/>
          <w:i w:val="0"/>
          <w:iCs w:val="0"/>
          <w:color w:val="auto"/>
          <w:sz w:val="28"/>
          <w:szCs w:val="28"/>
        </w:rPr>
        <w:t>公司能借用的外部力量包括</w:t>
      </w:r>
      <w:r>
        <w:rPr>
          <w:rFonts w:hint="eastAsia" w:ascii="宋体" w:hAnsi="宋体" w:cs="宋体"/>
          <w:i w:val="0"/>
          <w:iCs w:val="0"/>
          <w:color w:val="auto"/>
          <w:sz w:val="28"/>
          <w:szCs w:val="28"/>
          <w:lang w:eastAsia="zh-CN"/>
        </w:rPr>
        <w:t>仪陇县</w:t>
      </w:r>
      <w:r>
        <w:rPr>
          <w:rFonts w:hint="eastAsia" w:ascii="宋体" w:hAnsi="宋体" w:cs="宋体"/>
          <w:i w:val="0"/>
          <w:iCs w:val="0"/>
          <w:color w:val="auto"/>
          <w:sz w:val="28"/>
          <w:szCs w:val="28"/>
        </w:rPr>
        <w:t>人民政府、</w:t>
      </w:r>
      <w:r>
        <w:rPr>
          <w:rFonts w:hint="eastAsia" w:ascii="宋体" w:hAnsi="宋体" w:cs="宋体"/>
          <w:i w:val="0"/>
          <w:iCs w:val="0"/>
          <w:color w:val="auto"/>
          <w:sz w:val="28"/>
          <w:szCs w:val="28"/>
          <w:lang w:eastAsia="zh-CN"/>
        </w:rPr>
        <w:t>仪陇县</w:t>
      </w:r>
      <w:r>
        <w:rPr>
          <w:rFonts w:hint="eastAsia" w:ascii="宋体" w:hAnsi="宋体" w:cs="宋体"/>
          <w:i w:val="0"/>
          <w:iCs w:val="0"/>
          <w:color w:val="auto"/>
          <w:sz w:val="28"/>
          <w:szCs w:val="28"/>
        </w:rPr>
        <w:t>应急管理局、</w:t>
      </w:r>
      <w:r>
        <w:rPr>
          <w:rFonts w:hint="eastAsia" w:ascii="宋体" w:hAnsi="宋体" w:cs="宋体"/>
          <w:i w:val="0"/>
          <w:iCs w:val="0"/>
          <w:color w:val="auto"/>
          <w:sz w:val="28"/>
          <w:szCs w:val="28"/>
          <w:lang w:eastAsia="zh-CN"/>
        </w:rPr>
        <w:t>仪陇县消防救援局</w:t>
      </w:r>
      <w:r>
        <w:rPr>
          <w:rFonts w:hint="eastAsia" w:ascii="宋体" w:hAnsi="宋体" w:cs="宋体"/>
          <w:i w:val="0"/>
          <w:iCs w:val="0"/>
          <w:color w:val="auto"/>
          <w:sz w:val="28"/>
          <w:szCs w:val="28"/>
        </w:rPr>
        <w:t>、</w:t>
      </w:r>
      <w:r>
        <w:rPr>
          <w:rFonts w:hint="eastAsia" w:ascii="宋体" w:hAnsi="宋体" w:cs="宋体"/>
          <w:i w:val="0"/>
          <w:iCs w:val="0"/>
          <w:color w:val="auto"/>
          <w:sz w:val="28"/>
          <w:szCs w:val="28"/>
          <w:lang w:eastAsia="zh-CN"/>
        </w:rPr>
        <w:t>仪陇县</w:t>
      </w:r>
      <w:r>
        <w:rPr>
          <w:rFonts w:hint="eastAsia" w:ascii="宋体" w:hAnsi="宋体" w:cs="宋体"/>
          <w:i w:val="0"/>
          <w:iCs w:val="0"/>
          <w:color w:val="auto"/>
          <w:sz w:val="28"/>
          <w:szCs w:val="28"/>
          <w:lang w:val="zh-CN" w:eastAsia="zh-CN"/>
        </w:rPr>
        <w:t>复兴镇政府</w:t>
      </w:r>
      <w:r>
        <w:rPr>
          <w:rFonts w:hint="eastAsia" w:ascii="宋体" w:hAnsi="宋体" w:cs="宋体"/>
          <w:i w:val="0"/>
          <w:iCs w:val="0"/>
          <w:color w:val="auto"/>
          <w:sz w:val="28"/>
          <w:szCs w:val="28"/>
        </w:rPr>
        <w:t>、</w:t>
      </w:r>
      <w:r>
        <w:rPr>
          <w:rFonts w:hint="eastAsia" w:ascii="宋体" w:hAnsi="宋体" w:cs="宋体"/>
          <w:i w:val="0"/>
          <w:iCs w:val="0"/>
          <w:color w:val="auto"/>
          <w:sz w:val="28"/>
          <w:szCs w:val="28"/>
          <w:lang w:eastAsia="zh-CN"/>
        </w:rPr>
        <w:t>仪陇县复兴中心卫生院</w:t>
      </w:r>
      <w:r>
        <w:rPr>
          <w:rFonts w:hint="eastAsia" w:ascii="宋体" w:hAnsi="宋体" w:cs="宋体"/>
          <w:i w:val="0"/>
          <w:iCs w:val="0"/>
          <w:color w:val="auto"/>
          <w:sz w:val="28"/>
          <w:szCs w:val="28"/>
        </w:rPr>
        <w:t>、</w:t>
      </w:r>
      <w:r>
        <w:rPr>
          <w:rFonts w:hint="eastAsia" w:ascii="宋体" w:hAnsi="宋体" w:cs="宋体"/>
          <w:i w:val="0"/>
          <w:iCs w:val="0"/>
          <w:color w:val="auto"/>
          <w:sz w:val="28"/>
          <w:szCs w:val="28"/>
          <w:lang w:eastAsia="zh-CN"/>
        </w:rPr>
        <w:t>仪陇县人民医院</w:t>
      </w:r>
      <w:r>
        <w:rPr>
          <w:rFonts w:hint="eastAsia" w:ascii="宋体" w:hAnsi="宋体" w:cs="宋体"/>
          <w:i w:val="0"/>
          <w:iCs w:val="0"/>
          <w:color w:val="auto"/>
          <w:sz w:val="28"/>
          <w:szCs w:val="28"/>
        </w:rPr>
        <w:t>以及周边企业应急救援物质。</w:t>
      </w:r>
    </w:p>
    <w:p>
      <w:pPr>
        <w:spacing w:line="360" w:lineRule="auto"/>
        <w:ind w:firstLine="560" w:firstLineChars="200"/>
        <w:rPr>
          <w:rFonts w:hint="eastAsia" w:ascii="宋体" w:hAnsi="宋体" w:cs="宋体"/>
          <w:i w:val="0"/>
          <w:iCs w:val="0"/>
          <w:color w:val="auto"/>
          <w:sz w:val="28"/>
          <w:szCs w:val="28"/>
        </w:rPr>
      </w:pPr>
      <w:r>
        <w:rPr>
          <w:rFonts w:hint="eastAsia" w:ascii="宋体" w:hAnsi="宋体" w:cs="宋体"/>
          <w:i w:val="0"/>
          <w:iCs w:val="0"/>
          <w:color w:val="auto"/>
          <w:sz w:val="28"/>
          <w:szCs w:val="28"/>
          <w:lang w:eastAsia="zh-CN"/>
        </w:rPr>
        <w:t>仪陇县复兴中心卫生院</w:t>
      </w:r>
      <w:r>
        <w:rPr>
          <w:rFonts w:hint="eastAsia" w:ascii="宋体" w:hAnsi="宋体" w:cs="宋体"/>
          <w:i w:val="0"/>
          <w:iCs w:val="0"/>
          <w:color w:val="auto"/>
          <w:sz w:val="28"/>
          <w:szCs w:val="28"/>
        </w:rPr>
        <w:t>距企业距离约</w:t>
      </w:r>
      <w:r>
        <w:rPr>
          <w:rFonts w:hint="eastAsia" w:ascii="宋体" w:hAnsi="宋体" w:eastAsia="宋体" w:cs="宋体"/>
          <w:i w:val="0"/>
          <w:iCs w:val="0"/>
          <w:color w:val="auto"/>
          <w:sz w:val="28"/>
          <w:szCs w:val="28"/>
          <w:lang w:val="en-US" w:eastAsia="zh-CN"/>
        </w:rPr>
        <w:t>700</w:t>
      </w:r>
      <w:r>
        <w:rPr>
          <w:rFonts w:hint="eastAsia" w:ascii="宋体" w:hAnsi="宋体" w:cs="宋体"/>
          <w:i w:val="0"/>
          <w:iCs w:val="0"/>
          <w:color w:val="auto"/>
          <w:sz w:val="28"/>
          <w:szCs w:val="28"/>
        </w:rPr>
        <w:t>m，发生事故时</w:t>
      </w:r>
      <w:r>
        <w:rPr>
          <w:rFonts w:hint="eastAsia" w:ascii="宋体" w:hAnsi="宋体" w:eastAsia="宋体" w:cs="宋体"/>
          <w:i w:val="0"/>
          <w:iCs w:val="0"/>
          <w:color w:val="auto"/>
          <w:sz w:val="28"/>
          <w:szCs w:val="28"/>
          <w:lang w:val="en-US" w:eastAsia="zh-CN"/>
        </w:rPr>
        <w:t>5</w:t>
      </w:r>
      <w:r>
        <w:rPr>
          <w:rFonts w:hint="eastAsia" w:ascii="宋体" w:hAnsi="宋体" w:cs="宋体"/>
          <w:i w:val="0"/>
          <w:iCs w:val="0"/>
          <w:color w:val="auto"/>
          <w:sz w:val="28"/>
          <w:szCs w:val="28"/>
        </w:rPr>
        <w:t>分钟内能到达现场</w:t>
      </w:r>
      <w:r>
        <w:rPr>
          <w:rFonts w:hint="eastAsia" w:ascii="宋体" w:hAnsi="宋体" w:eastAsia="宋体" w:cs="宋体"/>
          <w:i w:val="0"/>
          <w:iCs w:val="0"/>
          <w:color w:val="auto"/>
          <w:sz w:val="28"/>
          <w:szCs w:val="28"/>
          <w:lang w:eastAsia="zh-CN"/>
        </w:rPr>
        <w:t>；</w:t>
      </w:r>
      <w:r>
        <w:rPr>
          <w:rFonts w:hint="eastAsia" w:ascii="宋体" w:hAnsi="宋体" w:cs="宋体"/>
          <w:i w:val="0"/>
          <w:iCs w:val="0"/>
          <w:color w:val="auto"/>
          <w:sz w:val="28"/>
          <w:szCs w:val="28"/>
          <w:lang w:eastAsia="zh-CN"/>
        </w:rPr>
        <w:t>仪陇县人民医院</w:t>
      </w:r>
      <w:r>
        <w:rPr>
          <w:rFonts w:hint="eastAsia" w:ascii="宋体" w:hAnsi="宋体" w:cs="宋体"/>
          <w:i w:val="0"/>
          <w:iCs w:val="0"/>
          <w:color w:val="auto"/>
          <w:sz w:val="28"/>
          <w:szCs w:val="28"/>
        </w:rPr>
        <w:t>距企业距离约</w:t>
      </w:r>
      <w:r>
        <w:rPr>
          <w:rFonts w:hint="eastAsia" w:ascii="宋体" w:hAnsi="宋体" w:eastAsia="宋体" w:cs="宋体"/>
          <w:i w:val="0"/>
          <w:iCs w:val="0"/>
          <w:color w:val="auto"/>
          <w:sz w:val="28"/>
          <w:szCs w:val="28"/>
          <w:lang w:val="en-US" w:eastAsia="zh-CN"/>
        </w:rPr>
        <w:t>25</w:t>
      </w:r>
      <w:r>
        <w:rPr>
          <w:rFonts w:hint="eastAsia" w:ascii="宋体" w:hAnsi="宋体" w:cs="宋体"/>
          <w:i w:val="0"/>
          <w:iCs w:val="0"/>
          <w:color w:val="auto"/>
          <w:sz w:val="28"/>
          <w:szCs w:val="28"/>
        </w:rPr>
        <w:t>km，发生事故时</w:t>
      </w:r>
      <w:r>
        <w:rPr>
          <w:rFonts w:hint="eastAsia" w:ascii="宋体" w:hAnsi="宋体" w:eastAsia="宋体" w:cs="宋体"/>
          <w:i w:val="0"/>
          <w:iCs w:val="0"/>
          <w:color w:val="auto"/>
          <w:sz w:val="28"/>
          <w:szCs w:val="28"/>
          <w:lang w:val="en-US" w:eastAsia="zh-CN"/>
        </w:rPr>
        <w:t>30</w:t>
      </w:r>
      <w:r>
        <w:rPr>
          <w:rFonts w:hint="eastAsia" w:ascii="宋体" w:hAnsi="宋体" w:cs="宋体"/>
          <w:i w:val="0"/>
          <w:iCs w:val="0"/>
          <w:color w:val="auto"/>
          <w:sz w:val="28"/>
          <w:szCs w:val="28"/>
        </w:rPr>
        <w:t>分钟内能到达现场。</w:t>
      </w:r>
    </w:p>
    <w:p>
      <w:pPr>
        <w:spacing w:line="360" w:lineRule="auto"/>
        <w:ind w:firstLine="560" w:firstLineChars="200"/>
        <w:rPr>
          <w:rFonts w:hint="eastAsia" w:ascii="宋体" w:hAnsi="宋体" w:cs="宋体"/>
          <w:i w:val="0"/>
          <w:iCs w:val="0"/>
          <w:color w:val="auto"/>
          <w:sz w:val="28"/>
          <w:szCs w:val="28"/>
          <w:lang w:eastAsia="zh-CN"/>
        </w:rPr>
      </w:pPr>
      <w:r>
        <w:rPr>
          <w:rFonts w:hint="eastAsia" w:ascii="宋体" w:hAnsi="宋体" w:cs="宋体"/>
          <w:i w:val="0"/>
          <w:iCs w:val="0"/>
          <w:color w:val="auto"/>
          <w:sz w:val="28"/>
          <w:szCs w:val="28"/>
          <w:lang w:eastAsia="zh-CN"/>
        </w:rPr>
        <w:t>仪陇县</w:t>
      </w:r>
      <w:r>
        <w:rPr>
          <w:rFonts w:hint="eastAsia" w:ascii="宋体" w:hAnsi="宋体" w:cs="宋体"/>
          <w:i w:val="0"/>
          <w:iCs w:val="0"/>
          <w:color w:val="auto"/>
          <w:sz w:val="28"/>
          <w:szCs w:val="28"/>
          <w:lang w:val="zh-CN" w:eastAsia="zh-CN"/>
        </w:rPr>
        <w:t>复兴镇政府</w:t>
      </w:r>
      <w:r>
        <w:rPr>
          <w:rFonts w:hint="eastAsia" w:ascii="宋体" w:hAnsi="宋体" w:cs="宋体"/>
          <w:i w:val="0"/>
          <w:iCs w:val="0"/>
          <w:color w:val="auto"/>
          <w:sz w:val="28"/>
          <w:szCs w:val="28"/>
        </w:rPr>
        <w:t>距企业距离约</w:t>
      </w:r>
      <w:r>
        <w:rPr>
          <w:rFonts w:hint="eastAsia" w:ascii="宋体" w:hAnsi="宋体" w:eastAsia="宋体" w:cs="宋体"/>
          <w:i w:val="0"/>
          <w:iCs w:val="0"/>
          <w:color w:val="auto"/>
          <w:sz w:val="28"/>
          <w:szCs w:val="28"/>
          <w:lang w:val="en-US" w:eastAsia="zh-CN"/>
        </w:rPr>
        <w:t>900</w:t>
      </w:r>
      <w:r>
        <w:rPr>
          <w:rFonts w:hint="eastAsia" w:ascii="宋体" w:hAnsi="宋体" w:cs="宋体"/>
          <w:i w:val="0"/>
          <w:iCs w:val="0"/>
          <w:color w:val="auto"/>
          <w:sz w:val="28"/>
          <w:szCs w:val="28"/>
        </w:rPr>
        <w:t>m，发生事故时</w:t>
      </w:r>
      <w:r>
        <w:rPr>
          <w:rFonts w:hint="eastAsia" w:ascii="宋体" w:hAnsi="宋体" w:eastAsia="宋体" w:cs="宋体"/>
          <w:i w:val="0"/>
          <w:iCs w:val="0"/>
          <w:color w:val="auto"/>
          <w:sz w:val="28"/>
          <w:szCs w:val="28"/>
          <w:lang w:val="en-US" w:eastAsia="zh-CN"/>
        </w:rPr>
        <w:t>5</w:t>
      </w:r>
      <w:r>
        <w:rPr>
          <w:rFonts w:hint="eastAsia" w:ascii="宋体" w:hAnsi="宋体" w:cs="宋体"/>
          <w:i w:val="0"/>
          <w:iCs w:val="0"/>
          <w:color w:val="auto"/>
          <w:sz w:val="28"/>
          <w:szCs w:val="28"/>
        </w:rPr>
        <w:t>分钟内能到达现场</w:t>
      </w:r>
      <w:r>
        <w:rPr>
          <w:rFonts w:hint="eastAsia" w:ascii="宋体" w:hAnsi="宋体" w:eastAsia="宋体" w:cs="宋体"/>
          <w:i w:val="0"/>
          <w:iCs w:val="0"/>
          <w:color w:val="auto"/>
          <w:sz w:val="28"/>
          <w:szCs w:val="28"/>
          <w:lang w:eastAsia="zh-CN"/>
        </w:rPr>
        <w:t>；</w:t>
      </w:r>
      <w:r>
        <w:rPr>
          <w:rFonts w:hint="eastAsia" w:ascii="宋体" w:hAnsi="宋体" w:cs="宋体"/>
          <w:i w:val="0"/>
          <w:iCs w:val="0"/>
          <w:color w:val="auto"/>
          <w:sz w:val="28"/>
          <w:szCs w:val="28"/>
          <w:lang w:eastAsia="zh-CN"/>
        </w:rPr>
        <w:t>仪陇县消防救援局距企业距离约</w:t>
      </w:r>
      <w:r>
        <w:rPr>
          <w:rFonts w:hint="eastAsia" w:ascii="宋体" w:hAnsi="宋体" w:cs="宋体"/>
          <w:i w:val="0"/>
          <w:iCs w:val="0"/>
          <w:color w:val="auto"/>
          <w:sz w:val="28"/>
          <w:szCs w:val="28"/>
          <w:lang w:val="en-US" w:eastAsia="zh-CN"/>
        </w:rPr>
        <w:t>25</w:t>
      </w:r>
      <w:r>
        <w:rPr>
          <w:rFonts w:hint="eastAsia" w:ascii="宋体" w:hAnsi="宋体" w:cs="宋体"/>
          <w:i w:val="0"/>
          <w:iCs w:val="0"/>
          <w:color w:val="auto"/>
          <w:sz w:val="28"/>
          <w:szCs w:val="28"/>
          <w:lang w:eastAsia="zh-CN"/>
        </w:rPr>
        <w:t>km，发生事故时</w:t>
      </w:r>
      <w:r>
        <w:rPr>
          <w:rFonts w:hint="eastAsia" w:ascii="宋体" w:hAnsi="宋体" w:cs="宋体"/>
          <w:i w:val="0"/>
          <w:iCs w:val="0"/>
          <w:color w:val="auto"/>
          <w:sz w:val="28"/>
          <w:szCs w:val="28"/>
          <w:lang w:val="en-US" w:eastAsia="zh-CN"/>
        </w:rPr>
        <w:t>30</w:t>
      </w:r>
      <w:r>
        <w:rPr>
          <w:rFonts w:hint="eastAsia" w:ascii="宋体" w:hAnsi="宋体" w:cs="宋体"/>
          <w:i w:val="0"/>
          <w:iCs w:val="0"/>
          <w:color w:val="auto"/>
          <w:sz w:val="28"/>
          <w:szCs w:val="28"/>
          <w:lang w:eastAsia="zh-CN"/>
        </w:rPr>
        <w:t>分钟内能到达现场。仪陇县金城消防中队距企业距离约</w:t>
      </w:r>
      <w:r>
        <w:rPr>
          <w:rFonts w:hint="eastAsia" w:ascii="宋体" w:hAnsi="宋体" w:cs="宋体"/>
          <w:i w:val="0"/>
          <w:iCs w:val="0"/>
          <w:color w:val="auto"/>
          <w:sz w:val="28"/>
          <w:szCs w:val="28"/>
          <w:lang w:val="en-US" w:eastAsia="zh-CN"/>
        </w:rPr>
        <w:t>26</w:t>
      </w:r>
      <w:r>
        <w:rPr>
          <w:rFonts w:hint="eastAsia" w:ascii="宋体" w:hAnsi="宋体" w:cs="宋体"/>
          <w:i w:val="0"/>
          <w:iCs w:val="0"/>
          <w:color w:val="auto"/>
          <w:sz w:val="28"/>
          <w:szCs w:val="28"/>
          <w:lang w:eastAsia="zh-CN"/>
        </w:rPr>
        <w:t>km，发生事故时</w:t>
      </w:r>
      <w:r>
        <w:rPr>
          <w:rFonts w:hint="eastAsia" w:ascii="宋体" w:hAnsi="宋体" w:cs="宋体"/>
          <w:i w:val="0"/>
          <w:iCs w:val="0"/>
          <w:color w:val="auto"/>
          <w:sz w:val="28"/>
          <w:szCs w:val="28"/>
          <w:lang w:val="en-US" w:eastAsia="zh-CN"/>
        </w:rPr>
        <w:t>35</w:t>
      </w:r>
      <w:r>
        <w:rPr>
          <w:rFonts w:hint="eastAsia" w:ascii="宋体" w:hAnsi="宋体" w:cs="宋体"/>
          <w:i w:val="0"/>
          <w:iCs w:val="0"/>
          <w:color w:val="auto"/>
          <w:sz w:val="28"/>
          <w:szCs w:val="28"/>
          <w:lang w:eastAsia="zh-CN"/>
        </w:rPr>
        <w:t>分钟内能到达现场。</w:t>
      </w:r>
    </w:p>
    <w:p>
      <w:pPr>
        <w:spacing w:line="360" w:lineRule="auto"/>
        <w:ind w:firstLine="560" w:firstLineChars="200"/>
        <w:rPr>
          <w:rFonts w:ascii="宋体" w:hAnsi="宋体"/>
          <w:i w:val="0"/>
          <w:iCs w:val="0"/>
          <w:color w:val="auto"/>
          <w:sz w:val="28"/>
          <w:szCs w:val="28"/>
        </w:rPr>
      </w:pPr>
      <w:r>
        <w:rPr>
          <w:rFonts w:hint="eastAsia" w:ascii="宋体" w:hAnsi="宋体"/>
          <w:i w:val="0"/>
          <w:iCs w:val="0"/>
          <w:color w:val="auto"/>
          <w:sz w:val="28"/>
          <w:szCs w:val="28"/>
        </w:rPr>
        <w:t>外部救援工作具体由指挥部负责，指挥部门负责与外部救援单位及时取得联系，并将具体地点、路线、发生事故的情况，救援所需器材的种类与外部救援单位讲清楚，同时应安排专人去接应并引路。</w:t>
      </w:r>
    </w:p>
    <w:p>
      <w:pPr>
        <w:spacing w:line="360" w:lineRule="auto"/>
        <w:jc w:val="center"/>
        <w:rPr>
          <w:rFonts w:hint="eastAsia" w:ascii="黑体" w:hAnsi="宋体" w:eastAsia="黑体"/>
          <w:b/>
          <w:bCs/>
          <w:i w:val="0"/>
          <w:iCs w:val="0"/>
          <w:color w:val="auto"/>
          <w:sz w:val="24"/>
        </w:rPr>
      </w:pPr>
      <w:r>
        <w:rPr>
          <w:rFonts w:hint="eastAsia" w:ascii="黑体" w:hAnsi="宋体" w:eastAsia="黑体"/>
          <w:b/>
          <w:bCs/>
          <w:i w:val="0"/>
          <w:iCs w:val="0"/>
          <w:color w:val="auto"/>
          <w:sz w:val="24"/>
        </w:rPr>
        <w:t>表2-</w:t>
      </w:r>
      <w:r>
        <w:rPr>
          <w:rFonts w:hint="eastAsia" w:ascii="黑体" w:hAnsi="宋体" w:eastAsia="黑体"/>
          <w:b/>
          <w:bCs/>
          <w:i w:val="0"/>
          <w:iCs w:val="0"/>
          <w:color w:val="auto"/>
          <w:sz w:val="24"/>
          <w:lang w:val="en-US" w:eastAsia="zh-CN"/>
        </w:rPr>
        <w:t>3</w:t>
      </w:r>
      <w:r>
        <w:rPr>
          <w:rFonts w:hint="eastAsia" w:ascii="黑体" w:hAnsi="宋体" w:eastAsia="黑体"/>
          <w:b/>
          <w:bCs/>
          <w:i w:val="0"/>
          <w:iCs w:val="0"/>
          <w:color w:val="auto"/>
          <w:sz w:val="24"/>
        </w:rPr>
        <w:t xml:space="preserve"> 外部应急支援一览表</w:t>
      </w:r>
    </w:p>
    <w:tbl>
      <w:tblPr>
        <w:tblStyle w:val="19"/>
        <w:tblW w:w="930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7"/>
        <w:gridCol w:w="1742"/>
        <w:gridCol w:w="765"/>
        <w:gridCol w:w="780"/>
        <w:gridCol w:w="4216"/>
        <w:gridCol w:w="10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17" w:type="dxa"/>
            <w:noWrap w:val="0"/>
            <w:vAlign w:val="center"/>
          </w:tcPr>
          <w:p>
            <w:pPr>
              <w:spacing w:line="460" w:lineRule="exact"/>
              <w:jc w:val="center"/>
              <w:rPr>
                <w:rFonts w:ascii="宋体" w:hAnsi="宋体"/>
                <w:b/>
                <w:bCs/>
                <w:i w:val="0"/>
                <w:iCs w:val="0"/>
                <w:color w:val="auto"/>
                <w:szCs w:val="21"/>
              </w:rPr>
            </w:pPr>
            <w:r>
              <w:rPr>
                <w:rFonts w:hint="eastAsia" w:ascii="宋体" w:hAnsi="宋体"/>
                <w:b/>
                <w:bCs/>
                <w:i w:val="0"/>
                <w:iCs w:val="0"/>
                <w:color w:val="auto"/>
                <w:szCs w:val="21"/>
              </w:rPr>
              <w:t>序号</w:t>
            </w:r>
          </w:p>
        </w:tc>
        <w:tc>
          <w:tcPr>
            <w:tcW w:w="1742" w:type="dxa"/>
            <w:noWrap w:val="0"/>
            <w:vAlign w:val="center"/>
          </w:tcPr>
          <w:p>
            <w:pPr>
              <w:spacing w:line="460" w:lineRule="exact"/>
              <w:jc w:val="center"/>
              <w:rPr>
                <w:rFonts w:ascii="宋体" w:hAnsi="宋体"/>
                <w:b/>
                <w:bCs/>
                <w:i w:val="0"/>
                <w:iCs w:val="0"/>
                <w:color w:val="auto"/>
                <w:szCs w:val="21"/>
              </w:rPr>
            </w:pPr>
            <w:r>
              <w:rPr>
                <w:rFonts w:hint="eastAsia" w:ascii="宋体" w:hAnsi="宋体"/>
                <w:b/>
                <w:bCs/>
                <w:i w:val="0"/>
                <w:iCs w:val="0"/>
                <w:color w:val="auto"/>
                <w:szCs w:val="21"/>
              </w:rPr>
              <w:t>物资和装备名称</w:t>
            </w:r>
          </w:p>
        </w:tc>
        <w:tc>
          <w:tcPr>
            <w:tcW w:w="765" w:type="dxa"/>
            <w:noWrap w:val="0"/>
            <w:vAlign w:val="center"/>
          </w:tcPr>
          <w:p>
            <w:pPr>
              <w:spacing w:line="460" w:lineRule="exact"/>
              <w:jc w:val="center"/>
              <w:rPr>
                <w:rFonts w:ascii="宋体" w:hAnsi="宋体"/>
                <w:b/>
                <w:bCs/>
                <w:i w:val="0"/>
                <w:iCs w:val="0"/>
                <w:color w:val="auto"/>
                <w:szCs w:val="21"/>
              </w:rPr>
            </w:pPr>
            <w:r>
              <w:rPr>
                <w:rFonts w:hint="eastAsia" w:ascii="宋体" w:hAnsi="宋体"/>
                <w:b/>
                <w:bCs/>
                <w:i w:val="0"/>
                <w:iCs w:val="0"/>
                <w:color w:val="auto"/>
                <w:szCs w:val="21"/>
              </w:rPr>
              <w:t>数量</w:t>
            </w:r>
          </w:p>
        </w:tc>
        <w:tc>
          <w:tcPr>
            <w:tcW w:w="780" w:type="dxa"/>
            <w:noWrap w:val="0"/>
            <w:vAlign w:val="center"/>
          </w:tcPr>
          <w:p>
            <w:pPr>
              <w:spacing w:line="460" w:lineRule="exact"/>
              <w:jc w:val="center"/>
              <w:rPr>
                <w:rFonts w:ascii="宋体" w:hAnsi="宋体"/>
                <w:b/>
                <w:bCs/>
                <w:i w:val="0"/>
                <w:iCs w:val="0"/>
                <w:color w:val="auto"/>
                <w:szCs w:val="21"/>
              </w:rPr>
            </w:pPr>
            <w:r>
              <w:rPr>
                <w:rFonts w:hint="eastAsia" w:ascii="宋体" w:hAnsi="宋体"/>
                <w:b/>
                <w:bCs/>
                <w:i w:val="0"/>
                <w:iCs w:val="0"/>
                <w:color w:val="auto"/>
                <w:szCs w:val="21"/>
              </w:rPr>
              <w:t>单位</w:t>
            </w:r>
          </w:p>
        </w:tc>
        <w:tc>
          <w:tcPr>
            <w:tcW w:w="4216" w:type="dxa"/>
            <w:noWrap w:val="0"/>
            <w:vAlign w:val="center"/>
          </w:tcPr>
          <w:p>
            <w:pPr>
              <w:spacing w:line="460" w:lineRule="exact"/>
              <w:jc w:val="center"/>
              <w:rPr>
                <w:rFonts w:ascii="宋体" w:hAnsi="宋体"/>
                <w:b/>
                <w:bCs/>
                <w:i w:val="0"/>
                <w:iCs w:val="0"/>
                <w:color w:val="auto"/>
                <w:szCs w:val="21"/>
              </w:rPr>
            </w:pPr>
            <w:r>
              <w:rPr>
                <w:rFonts w:hint="eastAsia" w:ascii="宋体" w:hAnsi="宋体"/>
                <w:b/>
                <w:bCs/>
                <w:i w:val="0"/>
                <w:iCs w:val="0"/>
                <w:color w:val="auto"/>
                <w:szCs w:val="21"/>
              </w:rPr>
              <w:t>单位名称</w:t>
            </w:r>
          </w:p>
        </w:tc>
        <w:tc>
          <w:tcPr>
            <w:tcW w:w="1084" w:type="dxa"/>
            <w:noWrap w:val="0"/>
            <w:vAlign w:val="center"/>
          </w:tcPr>
          <w:p>
            <w:pPr>
              <w:spacing w:line="460" w:lineRule="exact"/>
              <w:jc w:val="center"/>
              <w:rPr>
                <w:rFonts w:hint="eastAsia" w:ascii="宋体" w:hAnsi="宋体"/>
                <w:b/>
                <w:bCs/>
                <w:i w:val="0"/>
                <w:iCs w:val="0"/>
                <w:color w:val="auto"/>
                <w:szCs w:val="21"/>
              </w:rPr>
            </w:pPr>
            <w:r>
              <w:rPr>
                <w:rFonts w:hint="eastAsia" w:ascii="宋体" w:hAnsi="宋体"/>
                <w:b/>
                <w:bCs/>
                <w:i w:val="0"/>
                <w:iCs w:val="0"/>
                <w:color w:val="auto"/>
                <w:szCs w:val="21"/>
              </w:rPr>
              <w:t>联络人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17" w:type="dxa"/>
            <w:noWrap w:val="0"/>
            <w:vAlign w:val="center"/>
          </w:tcPr>
          <w:p>
            <w:pPr>
              <w:spacing w:line="460" w:lineRule="exact"/>
              <w:rPr>
                <w:rFonts w:ascii="宋体" w:hAnsi="宋体"/>
                <w:i w:val="0"/>
                <w:iCs w:val="0"/>
                <w:color w:val="auto"/>
                <w:szCs w:val="21"/>
              </w:rPr>
            </w:pPr>
            <w:r>
              <w:rPr>
                <w:rFonts w:hint="eastAsia" w:ascii="宋体" w:hAnsi="宋体"/>
                <w:i w:val="0"/>
                <w:iCs w:val="0"/>
                <w:color w:val="auto"/>
                <w:szCs w:val="21"/>
              </w:rPr>
              <w:t xml:space="preserve"> 1）</w:t>
            </w:r>
          </w:p>
        </w:tc>
        <w:tc>
          <w:tcPr>
            <w:tcW w:w="1742" w:type="dxa"/>
            <w:noWrap w:val="0"/>
            <w:vAlign w:val="top"/>
          </w:tcPr>
          <w:p>
            <w:pPr>
              <w:spacing w:line="440" w:lineRule="exact"/>
              <w:ind w:firstLine="105" w:firstLineChars="50"/>
              <w:rPr>
                <w:rFonts w:hint="eastAsia" w:ascii="宋体" w:hAnsi="宋体" w:eastAsia="宋体"/>
                <w:i w:val="0"/>
                <w:iCs w:val="0"/>
                <w:color w:val="auto"/>
                <w:szCs w:val="21"/>
                <w:lang w:eastAsia="zh-CN"/>
              </w:rPr>
            </w:pPr>
            <w:r>
              <w:rPr>
                <w:rFonts w:hint="eastAsia" w:ascii="宋体" w:hAnsi="宋体"/>
                <w:i w:val="0"/>
                <w:iCs w:val="0"/>
                <w:color w:val="auto"/>
                <w:szCs w:val="21"/>
              </w:rPr>
              <w:t>消防</w:t>
            </w:r>
            <w:r>
              <w:rPr>
                <w:rFonts w:hint="eastAsia" w:ascii="宋体" w:hAnsi="宋体" w:eastAsia="宋体"/>
                <w:i w:val="0"/>
                <w:iCs w:val="0"/>
                <w:color w:val="auto"/>
                <w:szCs w:val="21"/>
                <w:lang w:eastAsia="zh-CN"/>
              </w:rPr>
              <w:t>用水</w:t>
            </w:r>
          </w:p>
        </w:tc>
        <w:tc>
          <w:tcPr>
            <w:tcW w:w="765" w:type="dxa"/>
            <w:noWrap w:val="0"/>
            <w:vAlign w:val="top"/>
          </w:tcPr>
          <w:p>
            <w:pPr>
              <w:spacing w:line="440" w:lineRule="exact"/>
              <w:ind w:firstLine="105" w:firstLineChars="50"/>
              <w:jc w:val="center"/>
              <w:rPr>
                <w:rFonts w:hint="eastAsia" w:ascii="宋体" w:hAnsi="宋体" w:eastAsia="宋体"/>
                <w:i w:val="0"/>
                <w:iCs w:val="0"/>
                <w:color w:val="auto"/>
                <w:szCs w:val="21"/>
                <w:lang w:eastAsia="zh-CN"/>
              </w:rPr>
            </w:pPr>
            <w:r>
              <w:rPr>
                <w:rFonts w:hint="eastAsia" w:ascii="宋体" w:hAnsi="宋体" w:eastAsia="宋体"/>
                <w:i w:val="0"/>
                <w:iCs w:val="0"/>
                <w:color w:val="auto"/>
                <w:szCs w:val="21"/>
                <w:lang w:val="en-US" w:eastAsia="zh-CN"/>
              </w:rPr>
              <w:t>1</w:t>
            </w:r>
          </w:p>
        </w:tc>
        <w:tc>
          <w:tcPr>
            <w:tcW w:w="780" w:type="dxa"/>
            <w:noWrap w:val="0"/>
            <w:vAlign w:val="center"/>
          </w:tcPr>
          <w:p>
            <w:pPr>
              <w:spacing w:line="460" w:lineRule="exact"/>
              <w:jc w:val="center"/>
              <w:rPr>
                <w:rFonts w:ascii="宋体" w:hAnsi="宋体"/>
                <w:i w:val="0"/>
                <w:iCs w:val="0"/>
                <w:color w:val="auto"/>
                <w:szCs w:val="21"/>
              </w:rPr>
            </w:pPr>
            <w:r>
              <w:rPr>
                <w:rFonts w:hint="eastAsia" w:ascii="宋体" w:hAnsi="宋体"/>
                <w:i w:val="0"/>
                <w:iCs w:val="0"/>
                <w:color w:val="auto"/>
                <w:szCs w:val="21"/>
              </w:rPr>
              <w:t>个</w:t>
            </w:r>
          </w:p>
        </w:tc>
        <w:tc>
          <w:tcPr>
            <w:tcW w:w="4216" w:type="dxa"/>
            <w:noWrap w:val="0"/>
            <w:vAlign w:val="top"/>
          </w:tcPr>
          <w:p>
            <w:pPr>
              <w:spacing w:line="440" w:lineRule="exact"/>
              <w:ind w:firstLine="105" w:firstLineChars="50"/>
              <w:rPr>
                <w:rFonts w:hint="eastAsia" w:ascii="宋体" w:hAnsi="宋体" w:eastAsia="宋体"/>
                <w:i w:val="0"/>
                <w:iCs w:val="0"/>
                <w:color w:val="auto"/>
                <w:szCs w:val="21"/>
                <w:lang w:eastAsia="zh-CN"/>
              </w:rPr>
            </w:pPr>
            <w:r>
              <w:rPr>
                <w:rFonts w:hint="eastAsia" w:ascii="宋体" w:hAnsi="宋体"/>
                <w:i w:val="0"/>
                <w:iCs w:val="0"/>
                <w:color w:val="auto"/>
                <w:szCs w:val="21"/>
              </w:rPr>
              <w:t>企业</w:t>
            </w:r>
            <w:r>
              <w:rPr>
                <w:rFonts w:hint="eastAsia" w:ascii="宋体" w:hAnsi="宋体" w:eastAsia="宋体"/>
                <w:i w:val="0"/>
                <w:iCs w:val="0"/>
                <w:color w:val="auto"/>
                <w:szCs w:val="21"/>
                <w:lang w:eastAsia="zh-CN"/>
              </w:rPr>
              <w:t>内水池（</w:t>
            </w:r>
            <w:r>
              <w:rPr>
                <w:rFonts w:hint="eastAsia" w:ascii="宋体" w:hAnsi="宋体" w:eastAsia="宋体"/>
                <w:i w:val="0"/>
                <w:iCs w:val="0"/>
                <w:color w:val="auto"/>
                <w:szCs w:val="21"/>
                <w:lang w:val="en-US" w:eastAsia="zh-CN"/>
              </w:rPr>
              <w:t>420m</w:t>
            </w:r>
            <w:r>
              <w:rPr>
                <w:rFonts w:hint="eastAsia" w:ascii="宋体" w:hAnsi="宋体" w:eastAsia="宋体"/>
                <w:i w:val="0"/>
                <w:iCs w:val="0"/>
                <w:color w:val="auto"/>
                <w:szCs w:val="21"/>
                <w:vertAlign w:val="superscript"/>
                <w:lang w:val="en-US" w:eastAsia="zh-CN"/>
              </w:rPr>
              <w:t>3</w:t>
            </w:r>
            <w:r>
              <w:rPr>
                <w:rFonts w:hint="eastAsia" w:ascii="宋体" w:hAnsi="宋体" w:eastAsia="宋体"/>
                <w:i w:val="0"/>
                <w:iCs w:val="0"/>
                <w:color w:val="auto"/>
                <w:szCs w:val="21"/>
                <w:lang w:eastAsia="zh-CN"/>
              </w:rPr>
              <w:t>）</w:t>
            </w:r>
          </w:p>
        </w:tc>
        <w:tc>
          <w:tcPr>
            <w:tcW w:w="1084" w:type="dxa"/>
            <w:noWrap w:val="0"/>
            <w:vAlign w:val="center"/>
          </w:tcPr>
          <w:p>
            <w:pPr>
              <w:spacing w:line="460" w:lineRule="exact"/>
              <w:jc w:val="center"/>
              <w:rPr>
                <w:rFonts w:hint="eastAsia" w:ascii="宋体" w:hAnsi="宋体"/>
                <w:i w:val="0"/>
                <w:iCs w:val="0"/>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0" w:hRule="atLeast"/>
          <w:jc w:val="center"/>
        </w:trPr>
        <w:tc>
          <w:tcPr>
            <w:tcW w:w="717" w:type="dxa"/>
            <w:noWrap w:val="0"/>
            <w:vAlign w:val="center"/>
          </w:tcPr>
          <w:p>
            <w:pPr>
              <w:spacing w:line="440" w:lineRule="exact"/>
              <w:ind w:firstLine="105" w:firstLineChars="50"/>
              <w:rPr>
                <w:rFonts w:hint="eastAsia" w:ascii="宋体" w:hAnsi="宋体"/>
                <w:i w:val="0"/>
                <w:iCs w:val="0"/>
                <w:color w:val="auto"/>
                <w:szCs w:val="21"/>
              </w:rPr>
            </w:pPr>
            <w:r>
              <w:rPr>
                <w:rFonts w:hint="eastAsia" w:ascii="宋体" w:hAnsi="宋体"/>
                <w:i w:val="0"/>
                <w:iCs w:val="0"/>
                <w:color w:val="auto"/>
                <w:szCs w:val="21"/>
              </w:rPr>
              <w:t xml:space="preserve"> 2）</w:t>
            </w:r>
          </w:p>
        </w:tc>
        <w:tc>
          <w:tcPr>
            <w:tcW w:w="1742" w:type="dxa"/>
            <w:noWrap w:val="0"/>
            <w:vAlign w:val="top"/>
          </w:tcPr>
          <w:p>
            <w:pPr>
              <w:spacing w:line="440" w:lineRule="exact"/>
              <w:ind w:firstLine="105" w:firstLineChars="50"/>
              <w:rPr>
                <w:rFonts w:hint="eastAsia" w:ascii="宋体" w:hAnsi="宋体"/>
                <w:i w:val="0"/>
                <w:iCs w:val="0"/>
                <w:color w:val="auto"/>
                <w:szCs w:val="21"/>
              </w:rPr>
            </w:pPr>
            <w:r>
              <w:rPr>
                <w:rFonts w:hint="eastAsia" w:ascii="宋体" w:hAnsi="宋体"/>
                <w:i w:val="0"/>
                <w:iCs w:val="0"/>
                <w:color w:val="auto"/>
                <w:szCs w:val="21"/>
              </w:rPr>
              <w:t>消防车</w:t>
            </w:r>
          </w:p>
        </w:tc>
        <w:tc>
          <w:tcPr>
            <w:tcW w:w="765" w:type="dxa"/>
            <w:noWrap w:val="0"/>
            <w:vAlign w:val="top"/>
          </w:tcPr>
          <w:p>
            <w:pPr>
              <w:spacing w:line="440" w:lineRule="exact"/>
              <w:ind w:firstLine="105" w:firstLineChars="50"/>
              <w:jc w:val="center"/>
              <w:rPr>
                <w:rFonts w:hint="eastAsia" w:ascii="宋体" w:hAnsi="宋体"/>
                <w:i w:val="0"/>
                <w:iCs w:val="0"/>
                <w:color w:val="auto"/>
                <w:szCs w:val="21"/>
                <w:lang w:eastAsia="zh-CN"/>
              </w:rPr>
            </w:pPr>
            <w:r>
              <w:rPr>
                <w:rFonts w:hint="eastAsia" w:ascii="宋体" w:hAnsi="宋体"/>
                <w:i w:val="0"/>
                <w:iCs w:val="0"/>
                <w:color w:val="auto"/>
                <w:szCs w:val="21"/>
                <w:lang w:val="en-US" w:eastAsia="zh-CN"/>
              </w:rPr>
              <w:t>7</w:t>
            </w:r>
          </w:p>
        </w:tc>
        <w:tc>
          <w:tcPr>
            <w:tcW w:w="780" w:type="dxa"/>
            <w:noWrap w:val="0"/>
            <w:vAlign w:val="center"/>
          </w:tcPr>
          <w:p>
            <w:pPr>
              <w:spacing w:line="440" w:lineRule="exact"/>
              <w:ind w:firstLine="105" w:firstLineChars="50"/>
              <w:rPr>
                <w:rFonts w:hint="eastAsia" w:ascii="宋体" w:hAnsi="宋体"/>
                <w:i w:val="0"/>
                <w:iCs w:val="0"/>
                <w:color w:val="auto"/>
                <w:szCs w:val="21"/>
              </w:rPr>
            </w:pPr>
            <w:r>
              <w:rPr>
                <w:rFonts w:hint="eastAsia" w:ascii="宋体" w:hAnsi="宋体"/>
                <w:i w:val="0"/>
                <w:iCs w:val="0"/>
                <w:color w:val="auto"/>
                <w:szCs w:val="21"/>
              </w:rPr>
              <w:t>辆</w:t>
            </w:r>
          </w:p>
        </w:tc>
        <w:tc>
          <w:tcPr>
            <w:tcW w:w="4216" w:type="dxa"/>
            <w:noWrap w:val="0"/>
            <w:vAlign w:val="top"/>
          </w:tcPr>
          <w:p>
            <w:pPr>
              <w:spacing w:line="440" w:lineRule="exact"/>
              <w:ind w:firstLine="105" w:firstLineChars="50"/>
              <w:rPr>
                <w:rFonts w:hint="eastAsia" w:ascii="宋体" w:hAnsi="宋体"/>
                <w:i w:val="0"/>
                <w:iCs w:val="0"/>
                <w:color w:val="auto"/>
                <w:szCs w:val="21"/>
                <w:lang w:val="en-US" w:eastAsia="zh-CN"/>
              </w:rPr>
            </w:pPr>
            <w:r>
              <w:rPr>
                <w:rFonts w:hint="eastAsia" w:ascii="宋体" w:hAnsi="宋体"/>
                <w:i w:val="0"/>
                <w:iCs w:val="0"/>
                <w:color w:val="auto"/>
                <w:szCs w:val="21"/>
                <w:lang w:val="en-US" w:eastAsia="zh-CN"/>
              </w:rPr>
              <w:t>仪陇县消防救援局、仪陇县金城消防中队</w:t>
            </w:r>
          </w:p>
        </w:tc>
        <w:tc>
          <w:tcPr>
            <w:tcW w:w="1084" w:type="dxa"/>
            <w:noWrap w:val="0"/>
            <w:vAlign w:val="center"/>
          </w:tcPr>
          <w:p>
            <w:pPr>
              <w:spacing w:line="440" w:lineRule="exact"/>
              <w:ind w:firstLine="105" w:firstLineChars="50"/>
              <w:rPr>
                <w:rFonts w:hint="eastAsia" w:ascii="宋体" w:hAnsi="宋体"/>
                <w:i w:val="0"/>
                <w:iCs w:val="0"/>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17" w:type="dxa"/>
            <w:noWrap w:val="0"/>
            <w:vAlign w:val="center"/>
          </w:tcPr>
          <w:p>
            <w:pPr>
              <w:spacing w:line="460" w:lineRule="exact"/>
              <w:rPr>
                <w:rFonts w:ascii="宋体" w:hAnsi="宋体"/>
                <w:i w:val="0"/>
                <w:iCs w:val="0"/>
                <w:color w:val="auto"/>
                <w:szCs w:val="21"/>
              </w:rPr>
            </w:pPr>
            <w:r>
              <w:rPr>
                <w:rFonts w:hint="eastAsia" w:ascii="宋体" w:hAnsi="宋体"/>
                <w:i w:val="0"/>
                <w:iCs w:val="0"/>
                <w:color w:val="auto"/>
                <w:szCs w:val="21"/>
              </w:rPr>
              <w:t xml:space="preserve"> 3）</w:t>
            </w:r>
          </w:p>
        </w:tc>
        <w:tc>
          <w:tcPr>
            <w:tcW w:w="1742" w:type="dxa"/>
            <w:noWrap w:val="0"/>
            <w:vAlign w:val="top"/>
          </w:tcPr>
          <w:p>
            <w:pPr>
              <w:spacing w:line="440" w:lineRule="exact"/>
              <w:ind w:firstLine="105" w:firstLineChars="50"/>
              <w:rPr>
                <w:rFonts w:ascii="宋体" w:hAnsi="宋体"/>
                <w:i w:val="0"/>
                <w:iCs w:val="0"/>
                <w:color w:val="auto"/>
                <w:szCs w:val="21"/>
              </w:rPr>
            </w:pPr>
            <w:r>
              <w:rPr>
                <w:rFonts w:hint="eastAsia" w:ascii="宋体" w:hAnsi="宋体"/>
                <w:i w:val="0"/>
                <w:iCs w:val="0"/>
                <w:color w:val="auto"/>
                <w:szCs w:val="21"/>
              </w:rPr>
              <w:t>消防人员</w:t>
            </w:r>
          </w:p>
        </w:tc>
        <w:tc>
          <w:tcPr>
            <w:tcW w:w="765" w:type="dxa"/>
            <w:noWrap w:val="0"/>
            <w:vAlign w:val="top"/>
          </w:tcPr>
          <w:p>
            <w:pPr>
              <w:spacing w:line="440" w:lineRule="exact"/>
              <w:ind w:firstLine="105" w:firstLineChars="50"/>
              <w:jc w:val="center"/>
              <w:rPr>
                <w:rFonts w:hint="eastAsia" w:ascii="宋体" w:hAnsi="宋体"/>
                <w:i w:val="0"/>
                <w:iCs w:val="0"/>
                <w:color w:val="auto"/>
                <w:szCs w:val="21"/>
              </w:rPr>
            </w:pPr>
            <w:r>
              <w:rPr>
                <w:rFonts w:hint="eastAsia" w:ascii="宋体" w:hAnsi="宋体"/>
                <w:i w:val="0"/>
                <w:iCs w:val="0"/>
                <w:color w:val="auto"/>
                <w:szCs w:val="21"/>
                <w:lang w:val="en-US" w:eastAsia="zh-CN"/>
              </w:rPr>
              <w:t>4</w:t>
            </w:r>
            <w:r>
              <w:rPr>
                <w:rFonts w:hint="eastAsia" w:ascii="宋体" w:hAnsi="宋体"/>
                <w:i w:val="0"/>
                <w:iCs w:val="0"/>
                <w:color w:val="auto"/>
                <w:szCs w:val="21"/>
              </w:rPr>
              <w:t>0</w:t>
            </w:r>
          </w:p>
        </w:tc>
        <w:tc>
          <w:tcPr>
            <w:tcW w:w="780" w:type="dxa"/>
            <w:noWrap w:val="0"/>
            <w:vAlign w:val="center"/>
          </w:tcPr>
          <w:p>
            <w:pPr>
              <w:spacing w:line="460" w:lineRule="exact"/>
              <w:jc w:val="center"/>
              <w:rPr>
                <w:rFonts w:ascii="宋体" w:hAnsi="宋体"/>
                <w:i w:val="0"/>
                <w:iCs w:val="0"/>
                <w:color w:val="auto"/>
                <w:szCs w:val="21"/>
              </w:rPr>
            </w:pPr>
            <w:r>
              <w:rPr>
                <w:rFonts w:hint="eastAsia" w:ascii="宋体" w:hAnsi="宋体"/>
                <w:i w:val="0"/>
                <w:iCs w:val="0"/>
                <w:color w:val="auto"/>
                <w:szCs w:val="21"/>
              </w:rPr>
              <w:t>人</w:t>
            </w:r>
          </w:p>
        </w:tc>
        <w:tc>
          <w:tcPr>
            <w:tcW w:w="4216" w:type="dxa"/>
            <w:noWrap w:val="0"/>
            <w:vAlign w:val="top"/>
          </w:tcPr>
          <w:p>
            <w:pPr>
              <w:spacing w:line="440" w:lineRule="exact"/>
              <w:ind w:firstLine="105" w:firstLineChars="50"/>
              <w:rPr>
                <w:rFonts w:hint="eastAsia" w:ascii="宋体" w:hAnsi="宋体"/>
                <w:i w:val="0"/>
                <w:iCs w:val="0"/>
                <w:color w:val="auto"/>
                <w:szCs w:val="21"/>
                <w:lang w:val="en-US" w:eastAsia="zh-CN"/>
              </w:rPr>
            </w:pPr>
            <w:r>
              <w:rPr>
                <w:rFonts w:hint="eastAsia" w:ascii="宋体" w:hAnsi="宋体"/>
                <w:i w:val="0"/>
                <w:iCs w:val="0"/>
                <w:color w:val="auto"/>
                <w:szCs w:val="21"/>
                <w:lang w:val="en-US" w:eastAsia="zh-CN"/>
              </w:rPr>
              <w:t>仪陇县消防救援局、仪陇县金城消防中队</w:t>
            </w:r>
          </w:p>
        </w:tc>
        <w:tc>
          <w:tcPr>
            <w:tcW w:w="1084" w:type="dxa"/>
            <w:noWrap w:val="0"/>
            <w:vAlign w:val="center"/>
          </w:tcPr>
          <w:p>
            <w:pPr>
              <w:spacing w:line="460" w:lineRule="exact"/>
              <w:jc w:val="center"/>
              <w:rPr>
                <w:rFonts w:hint="eastAsia" w:ascii="宋体" w:hAnsi="宋体"/>
                <w:i w:val="0"/>
                <w:iCs w:val="0"/>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5" w:hRule="atLeast"/>
          <w:jc w:val="center"/>
        </w:trPr>
        <w:tc>
          <w:tcPr>
            <w:tcW w:w="717" w:type="dxa"/>
            <w:noWrap w:val="0"/>
            <w:vAlign w:val="center"/>
          </w:tcPr>
          <w:p>
            <w:pPr>
              <w:spacing w:line="460" w:lineRule="exact"/>
              <w:rPr>
                <w:rFonts w:hint="eastAsia" w:ascii="宋体" w:hAnsi="宋体"/>
                <w:i w:val="0"/>
                <w:iCs w:val="0"/>
                <w:color w:val="auto"/>
                <w:szCs w:val="21"/>
              </w:rPr>
            </w:pPr>
            <w:r>
              <w:rPr>
                <w:rFonts w:hint="eastAsia" w:ascii="宋体" w:hAnsi="宋体"/>
                <w:i w:val="0"/>
                <w:iCs w:val="0"/>
                <w:color w:val="auto"/>
                <w:szCs w:val="21"/>
              </w:rPr>
              <w:t xml:space="preserve"> 4）</w:t>
            </w:r>
          </w:p>
        </w:tc>
        <w:tc>
          <w:tcPr>
            <w:tcW w:w="1742" w:type="dxa"/>
            <w:noWrap w:val="0"/>
            <w:vAlign w:val="top"/>
          </w:tcPr>
          <w:p>
            <w:pPr>
              <w:spacing w:line="440" w:lineRule="exact"/>
              <w:ind w:firstLine="105" w:firstLineChars="50"/>
              <w:rPr>
                <w:rFonts w:hint="eastAsia" w:ascii="宋体" w:hAnsi="宋体"/>
                <w:i w:val="0"/>
                <w:iCs w:val="0"/>
                <w:color w:val="auto"/>
                <w:szCs w:val="21"/>
              </w:rPr>
            </w:pPr>
            <w:r>
              <w:rPr>
                <w:rFonts w:hint="eastAsia" w:ascii="宋体" w:hAnsi="宋体"/>
                <w:i w:val="0"/>
                <w:iCs w:val="0"/>
                <w:color w:val="auto"/>
                <w:szCs w:val="21"/>
                <w:lang w:val="en-US" w:eastAsia="zh-CN"/>
              </w:rPr>
              <w:t>防护装备</w:t>
            </w:r>
          </w:p>
        </w:tc>
        <w:tc>
          <w:tcPr>
            <w:tcW w:w="765" w:type="dxa"/>
            <w:noWrap w:val="0"/>
            <w:vAlign w:val="top"/>
          </w:tcPr>
          <w:p>
            <w:pPr>
              <w:spacing w:line="440" w:lineRule="exact"/>
              <w:ind w:firstLine="105" w:firstLineChars="50"/>
              <w:rPr>
                <w:rFonts w:hint="default" w:ascii="宋体" w:hAnsi="宋体"/>
                <w:i w:val="0"/>
                <w:iCs w:val="0"/>
                <w:color w:val="auto"/>
                <w:szCs w:val="21"/>
                <w:lang w:val="en-US" w:eastAsia="zh-CN"/>
              </w:rPr>
            </w:pPr>
            <w:r>
              <w:rPr>
                <w:rFonts w:hint="eastAsia" w:ascii="宋体" w:hAnsi="宋体"/>
                <w:i w:val="0"/>
                <w:iCs w:val="0"/>
                <w:color w:val="auto"/>
                <w:szCs w:val="21"/>
                <w:lang w:val="en-US" w:eastAsia="zh-CN"/>
              </w:rPr>
              <w:t>500</w:t>
            </w:r>
          </w:p>
        </w:tc>
        <w:tc>
          <w:tcPr>
            <w:tcW w:w="780" w:type="dxa"/>
            <w:noWrap w:val="0"/>
            <w:vAlign w:val="center"/>
          </w:tcPr>
          <w:p>
            <w:pPr>
              <w:spacing w:line="440" w:lineRule="exact"/>
              <w:ind w:firstLine="105" w:firstLineChars="50"/>
              <w:rPr>
                <w:rFonts w:hint="eastAsia" w:ascii="宋体" w:hAnsi="宋体"/>
                <w:i w:val="0"/>
                <w:iCs w:val="0"/>
                <w:color w:val="auto"/>
                <w:szCs w:val="21"/>
              </w:rPr>
            </w:pPr>
            <w:r>
              <w:rPr>
                <w:rFonts w:hint="eastAsia" w:ascii="宋体" w:hAnsi="宋体"/>
                <w:i w:val="0"/>
                <w:iCs w:val="0"/>
                <w:color w:val="auto"/>
                <w:szCs w:val="21"/>
                <w:lang w:val="en-US" w:eastAsia="zh-CN"/>
              </w:rPr>
              <w:t>件</w:t>
            </w:r>
          </w:p>
        </w:tc>
        <w:tc>
          <w:tcPr>
            <w:tcW w:w="4216" w:type="dxa"/>
            <w:noWrap w:val="0"/>
            <w:vAlign w:val="top"/>
          </w:tcPr>
          <w:p>
            <w:pPr>
              <w:spacing w:line="440" w:lineRule="exact"/>
              <w:ind w:firstLine="105" w:firstLineChars="50"/>
              <w:rPr>
                <w:rFonts w:hint="eastAsia" w:ascii="宋体" w:hAnsi="宋体"/>
                <w:i w:val="0"/>
                <w:iCs w:val="0"/>
                <w:color w:val="auto"/>
                <w:szCs w:val="21"/>
                <w:lang w:val="en-US" w:eastAsia="zh-CN"/>
              </w:rPr>
            </w:pPr>
            <w:r>
              <w:rPr>
                <w:rFonts w:hint="eastAsia" w:ascii="宋体" w:hAnsi="宋体"/>
                <w:i w:val="0"/>
                <w:iCs w:val="0"/>
                <w:color w:val="auto"/>
                <w:szCs w:val="21"/>
                <w:lang w:val="en-US" w:eastAsia="zh-CN"/>
              </w:rPr>
              <w:t>仪陇县消防救援局、仪陇县金城消防中队</w:t>
            </w:r>
          </w:p>
        </w:tc>
        <w:tc>
          <w:tcPr>
            <w:tcW w:w="1084" w:type="dxa"/>
            <w:noWrap w:val="0"/>
            <w:vAlign w:val="center"/>
          </w:tcPr>
          <w:p>
            <w:pPr>
              <w:spacing w:line="460" w:lineRule="exact"/>
              <w:jc w:val="center"/>
              <w:rPr>
                <w:rFonts w:hint="eastAsia" w:ascii="宋体" w:hAnsi="宋体"/>
                <w:i w:val="0"/>
                <w:iCs w:val="0"/>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17" w:type="dxa"/>
            <w:noWrap w:val="0"/>
            <w:vAlign w:val="center"/>
          </w:tcPr>
          <w:p>
            <w:pPr>
              <w:spacing w:line="460" w:lineRule="exact"/>
              <w:rPr>
                <w:rFonts w:hint="eastAsia" w:ascii="宋体" w:hAnsi="宋体"/>
                <w:i w:val="0"/>
                <w:iCs w:val="0"/>
                <w:color w:val="auto"/>
                <w:szCs w:val="21"/>
              </w:rPr>
            </w:pPr>
            <w:r>
              <w:rPr>
                <w:rFonts w:hint="eastAsia" w:ascii="宋体" w:hAnsi="宋体"/>
                <w:i w:val="0"/>
                <w:iCs w:val="0"/>
                <w:color w:val="auto"/>
                <w:szCs w:val="21"/>
              </w:rPr>
              <w:t xml:space="preserve"> 5）</w:t>
            </w:r>
          </w:p>
        </w:tc>
        <w:tc>
          <w:tcPr>
            <w:tcW w:w="1742" w:type="dxa"/>
            <w:noWrap w:val="0"/>
            <w:vAlign w:val="top"/>
          </w:tcPr>
          <w:p>
            <w:pPr>
              <w:spacing w:line="440" w:lineRule="exact"/>
              <w:ind w:firstLine="105" w:firstLineChars="50"/>
              <w:rPr>
                <w:rFonts w:hint="eastAsia" w:ascii="宋体" w:hAnsi="宋体"/>
                <w:i w:val="0"/>
                <w:iCs w:val="0"/>
                <w:color w:val="auto"/>
                <w:szCs w:val="21"/>
                <w:lang w:val="en-US" w:eastAsia="zh-CN"/>
              </w:rPr>
            </w:pPr>
            <w:r>
              <w:rPr>
                <w:rFonts w:hint="eastAsia" w:ascii="宋体" w:hAnsi="宋体"/>
                <w:i w:val="0"/>
                <w:iCs w:val="0"/>
                <w:color w:val="auto"/>
                <w:szCs w:val="21"/>
                <w:lang w:val="en-US" w:eastAsia="zh-CN"/>
              </w:rPr>
              <w:t>射水器材</w:t>
            </w:r>
          </w:p>
        </w:tc>
        <w:tc>
          <w:tcPr>
            <w:tcW w:w="765" w:type="dxa"/>
            <w:noWrap w:val="0"/>
            <w:vAlign w:val="top"/>
          </w:tcPr>
          <w:p>
            <w:pPr>
              <w:spacing w:line="440" w:lineRule="exact"/>
              <w:ind w:firstLine="105" w:firstLineChars="50"/>
              <w:rPr>
                <w:rFonts w:hint="eastAsia" w:ascii="宋体" w:hAnsi="宋体"/>
                <w:i w:val="0"/>
                <w:iCs w:val="0"/>
                <w:color w:val="auto"/>
                <w:szCs w:val="21"/>
                <w:lang w:val="en-US" w:eastAsia="zh-CN"/>
              </w:rPr>
            </w:pPr>
            <w:r>
              <w:rPr>
                <w:rFonts w:hint="eastAsia" w:ascii="宋体" w:hAnsi="宋体"/>
                <w:i w:val="0"/>
                <w:iCs w:val="0"/>
                <w:color w:val="auto"/>
                <w:szCs w:val="21"/>
                <w:lang w:val="en-US" w:eastAsia="zh-CN"/>
              </w:rPr>
              <w:t>35</w:t>
            </w:r>
          </w:p>
        </w:tc>
        <w:tc>
          <w:tcPr>
            <w:tcW w:w="780" w:type="dxa"/>
            <w:noWrap w:val="0"/>
            <w:vAlign w:val="center"/>
          </w:tcPr>
          <w:p>
            <w:pPr>
              <w:spacing w:line="440" w:lineRule="exact"/>
              <w:ind w:firstLine="105" w:firstLineChars="50"/>
              <w:rPr>
                <w:rFonts w:hint="eastAsia" w:ascii="宋体" w:hAnsi="宋体"/>
                <w:i w:val="0"/>
                <w:iCs w:val="0"/>
                <w:color w:val="auto"/>
                <w:szCs w:val="21"/>
                <w:lang w:val="en-US" w:eastAsia="zh-CN"/>
              </w:rPr>
            </w:pPr>
            <w:r>
              <w:rPr>
                <w:rFonts w:hint="eastAsia" w:ascii="宋体" w:hAnsi="宋体"/>
                <w:i w:val="0"/>
                <w:iCs w:val="0"/>
                <w:color w:val="auto"/>
                <w:szCs w:val="21"/>
                <w:lang w:val="en-US" w:eastAsia="zh-CN"/>
              </w:rPr>
              <w:t>件</w:t>
            </w:r>
          </w:p>
        </w:tc>
        <w:tc>
          <w:tcPr>
            <w:tcW w:w="4216" w:type="dxa"/>
            <w:noWrap w:val="0"/>
            <w:vAlign w:val="top"/>
          </w:tcPr>
          <w:p>
            <w:pPr>
              <w:spacing w:line="440" w:lineRule="exact"/>
              <w:ind w:firstLine="105" w:firstLineChars="50"/>
              <w:rPr>
                <w:rFonts w:hint="eastAsia" w:ascii="宋体" w:hAnsi="宋体"/>
                <w:i w:val="0"/>
                <w:iCs w:val="0"/>
                <w:color w:val="auto"/>
                <w:szCs w:val="21"/>
                <w:lang w:val="en-US" w:eastAsia="zh-CN"/>
              </w:rPr>
            </w:pPr>
            <w:r>
              <w:rPr>
                <w:rFonts w:hint="eastAsia" w:ascii="宋体" w:hAnsi="宋体"/>
                <w:i w:val="0"/>
                <w:iCs w:val="0"/>
                <w:color w:val="auto"/>
                <w:szCs w:val="21"/>
                <w:lang w:val="en-US" w:eastAsia="zh-CN"/>
              </w:rPr>
              <w:t>仪陇县消防救援局、仪陇县金城消防中队</w:t>
            </w:r>
          </w:p>
        </w:tc>
        <w:tc>
          <w:tcPr>
            <w:tcW w:w="1084" w:type="dxa"/>
            <w:noWrap w:val="0"/>
            <w:vAlign w:val="center"/>
          </w:tcPr>
          <w:p>
            <w:pPr>
              <w:spacing w:line="460" w:lineRule="exact"/>
              <w:jc w:val="center"/>
              <w:rPr>
                <w:rFonts w:hint="eastAsia" w:ascii="宋体" w:hAnsi="宋体"/>
                <w:i w:val="0"/>
                <w:iCs w:val="0"/>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17" w:type="dxa"/>
            <w:noWrap w:val="0"/>
            <w:vAlign w:val="center"/>
          </w:tcPr>
          <w:p>
            <w:pPr>
              <w:spacing w:line="460" w:lineRule="exact"/>
              <w:rPr>
                <w:rFonts w:hint="eastAsia" w:ascii="宋体" w:hAnsi="宋体"/>
                <w:i w:val="0"/>
                <w:iCs w:val="0"/>
                <w:color w:val="auto"/>
                <w:szCs w:val="21"/>
              </w:rPr>
            </w:pPr>
            <w:r>
              <w:rPr>
                <w:rFonts w:hint="eastAsia" w:ascii="宋体" w:hAnsi="宋体"/>
                <w:i w:val="0"/>
                <w:iCs w:val="0"/>
                <w:color w:val="auto"/>
                <w:szCs w:val="21"/>
              </w:rPr>
              <w:t xml:space="preserve"> 6）</w:t>
            </w:r>
          </w:p>
        </w:tc>
        <w:tc>
          <w:tcPr>
            <w:tcW w:w="1742" w:type="dxa"/>
            <w:noWrap w:val="0"/>
            <w:vAlign w:val="top"/>
          </w:tcPr>
          <w:p>
            <w:pPr>
              <w:spacing w:line="440" w:lineRule="exact"/>
              <w:ind w:firstLine="105" w:firstLineChars="50"/>
              <w:rPr>
                <w:rFonts w:hint="eastAsia" w:ascii="宋体" w:hAnsi="宋体"/>
                <w:i w:val="0"/>
                <w:iCs w:val="0"/>
                <w:color w:val="auto"/>
                <w:szCs w:val="21"/>
                <w:lang w:val="en-US" w:eastAsia="zh-CN"/>
              </w:rPr>
            </w:pPr>
            <w:r>
              <w:rPr>
                <w:rFonts w:hint="eastAsia" w:ascii="宋体" w:hAnsi="宋体"/>
                <w:i w:val="0"/>
                <w:iCs w:val="0"/>
                <w:color w:val="auto"/>
                <w:szCs w:val="21"/>
                <w:lang w:val="en-US" w:eastAsia="zh-CN"/>
              </w:rPr>
              <w:t>输水器材</w:t>
            </w:r>
          </w:p>
        </w:tc>
        <w:tc>
          <w:tcPr>
            <w:tcW w:w="765" w:type="dxa"/>
            <w:noWrap w:val="0"/>
            <w:vAlign w:val="top"/>
          </w:tcPr>
          <w:p>
            <w:pPr>
              <w:spacing w:line="440" w:lineRule="exact"/>
              <w:ind w:firstLine="105" w:firstLineChars="50"/>
              <w:rPr>
                <w:rFonts w:hint="eastAsia" w:ascii="宋体" w:hAnsi="宋体"/>
                <w:i w:val="0"/>
                <w:iCs w:val="0"/>
                <w:color w:val="auto"/>
                <w:szCs w:val="21"/>
                <w:lang w:val="en-US" w:eastAsia="zh-CN"/>
              </w:rPr>
            </w:pPr>
            <w:r>
              <w:rPr>
                <w:rFonts w:hint="eastAsia" w:ascii="宋体" w:hAnsi="宋体"/>
                <w:i w:val="0"/>
                <w:iCs w:val="0"/>
                <w:color w:val="auto"/>
                <w:szCs w:val="21"/>
                <w:lang w:val="en-US" w:eastAsia="zh-CN"/>
              </w:rPr>
              <w:t>175</w:t>
            </w:r>
          </w:p>
        </w:tc>
        <w:tc>
          <w:tcPr>
            <w:tcW w:w="780" w:type="dxa"/>
            <w:noWrap w:val="0"/>
            <w:vAlign w:val="center"/>
          </w:tcPr>
          <w:p>
            <w:pPr>
              <w:spacing w:line="440" w:lineRule="exact"/>
              <w:ind w:firstLine="105" w:firstLineChars="50"/>
              <w:rPr>
                <w:rFonts w:hint="eastAsia" w:ascii="宋体" w:hAnsi="宋体"/>
                <w:i w:val="0"/>
                <w:iCs w:val="0"/>
                <w:color w:val="auto"/>
                <w:szCs w:val="21"/>
                <w:lang w:val="en-US" w:eastAsia="zh-CN"/>
              </w:rPr>
            </w:pPr>
            <w:r>
              <w:rPr>
                <w:rFonts w:hint="eastAsia" w:ascii="宋体" w:hAnsi="宋体"/>
                <w:i w:val="0"/>
                <w:iCs w:val="0"/>
                <w:color w:val="auto"/>
                <w:szCs w:val="21"/>
                <w:lang w:val="en-US" w:eastAsia="zh-CN"/>
              </w:rPr>
              <w:t>件</w:t>
            </w:r>
          </w:p>
        </w:tc>
        <w:tc>
          <w:tcPr>
            <w:tcW w:w="4216" w:type="dxa"/>
            <w:noWrap w:val="0"/>
            <w:vAlign w:val="top"/>
          </w:tcPr>
          <w:p>
            <w:pPr>
              <w:spacing w:line="440" w:lineRule="exact"/>
              <w:ind w:firstLine="105" w:firstLineChars="50"/>
              <w:rPr>
                <w:rFonts w:hint="eastAsia" w:ascii="宋体" w:hAnsi="宋体"/>
                <w:i w:val="0"/>
                <w:iCs w:val="0"/>
                <w:color w:val="auto"/>
                <w:szCs w:val="21"/>
                <w:lang w:val="en-US" w:eastAsia="zh-CN"/>
              </w:rPr>
            </w:pPr>
            <w:r>
              <w:rPr>
                <w:rFonts w:hint="eastAsia" w:ascii="宋体" w:hAnsi="宋体"/>
                <w:i w:val="0"/>
                <w:iCs w:val="0"/>
                <w:color w:val="auto"/>
                <w:szCs w:val="21"/>
                <w:lang w:val="en-US" w:eastAsia="zh-CN"/>
              </w:rPr>
              <w:t>仪陇县消防救援局、仪陇县金城消防中队</w:t>
            </w:r>
          </w:p>
        </w:tc>
        <w:tc>
          <w:tcPr>
            <w:tcW w:w="1084" w:type="dxa"/>
            <w:noWrap w:val="0"/>
            <w:vAlign w:val="center"/>
          </w:tcPr>
          <w:p>
            <w:pPr>
              <w:spacing w:line="460" w:lineRule="exact"/>
              <w:jc w:val="center"/>
              <w:rPr>
                <w:rFonts w:hint="eastAsia" w:ascii="宋体" w:hAnsi="宋体"/>
                <w:i w:val="0"/>
                <w:iCs w:val="0"/>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17" w:type="dxa"/>
            <w:noWrap w:val="0"/>
            <w:vAlign w:val="center"/>
          </w:tcPr>
          <w:p>
            <w:pPr>
              <w:spacing w:line="460" w:lineRule="exact"/>
              <w:rPr>
                <w:rFonts w:hint="eastAsia" w:ascii="宋体" w:hAnsi="宋体"/>
                <w:i w:val="0"/>
                <w:iCs w:val="0"/>
                <w:color w:val="auto"/>
                <w:szCs w:val="21"/>
              </w:rPr>
            </w:pPr>
            <w:r>
              <w:rPr>
                <w:rFonts w:hint="eastAsia" w:ascii="宋体" w:hAnsi="宋体"/>
                <w:i w:val="0"/>
                <w:iCs w:val="0"/>
                <w:color w:val="auto"/>
                <w:szCs w:val="21"/>
              </w:rPr>
              <w:t xml:space="preserve"> 7）</w:t>
            </w:r>
          </w:p>
        </w:tc>
        <w:tc>
          <w:tcPr>
            <w:tcW w:w="1742" w:type="dxa"/>
            <w:noWrap w:val="0"/>
            <w:vAlign w:val="top"/>
          </w:tcPr>
          <w:p>
            <w:pPr>
              <w:spacing w:line="440" w:lineRule="exact"/>
              <w:ind w:firstLine="105" w:firstLineChars="50"/>
              <w:rPr>
                <w:rFonts w:hint="eastAsia" w:ascii="宋体" w:hAnsi="宋体"/>
                <w:i w:val="0"/>
                <w:iCs w:val="0"/>
                <w:color w:val="auto"/>
                <w:szCs w:val="21"/>
                <w:lang w:val="en-US" w:eastAsia="zh-CN"/>
              </w:rPr>
            </w:pPr>
            <w:r>
              <w:rPr>
                <w:rFonts w:hint="eastAsia" w:ascii="宋体" w:hAnsi="宋体"/>
                <w:i w:val="0"/>
                <w:iCs w:val="0"/>
                <w:color w:val="auto"/>
                <w:szCs w:val="21"/>
                <w:lang w:val="en-US" w:eastAsia="zh-CN"/>
              </w:rPr>
              <w:t>抢险救援装备</w:t>
            </w:r>
          </w:p>
        </w:tc>
        <w:tc>
          <w:tcPr>
            <w:tcW w:w="765" w:type="dxa"/>
            <w:noWrap w:val="0"/>
            <w:vAlign w:val="top"/>
          </w:tcPr>
          <w:p>
            <w:pPr>
              <w:spacing w:line="440" w:lineRule="exact"/>
              <w:ind w:firstLine="105" w:firstLineChars="50"/>
              <w:rPr>
                <w:rFonts w:hint="eastAsia" w:ascii="宋体" w:hAnsi="宋体"/>
                <w:i w:val="0"/>
                <w:iCs w:val="0"/>
                <w:color w:val="auto"/>
                <w:szCs w:val="21"/>
                <w:lang w:val="en-US" w:eastAsia="zh-CN"/>
              </w:rPr>
            </w:pPr>
            <w:r>
              <w:rPr>
                <w:rFonts w:hint="eastAsia" w:ascii="宋体" w:hAnsi="宋体"/>
                <w:i w:val="0"/>
                <w:iCs w:val="0"/>
                <w:color w:val="auto"/>
                <w:szCs w:val="21"/>
                <w:lang w:val="en-US" w:eastAsia="zh-CN"/>
              </w:rPr>
              <w:t>171</w:t>
            </w:r>
          </w:p>
        </w:tc>
        <w:tc>
          <w:tcPr>
            <w:tcW w:w="780" w:type="dxa"/>
            <w:noWrap w:val="0"/>
            <w:vAlign w:val="center"/>
          </w:tcPr>
          <w:p>
            <w:pPr>
              <w:spacing w:line="440" w:lineRule="exact"/>
              <w:ind w:firstLine="105" w:firstLineChars="50"/>
              <w:rPr>
                <w:rFonts w:hint="eastAsia" w:ascii="宋体" w:hAnsi="宋体"/>
                <w:i w:val="0"/>
                <w:iCs w:val="0"/>
                <w:color w:val="auto"/>
                <w:szCs w:val="21"/>
                <w:lang w:val="en-US" w:eastAsia="zh-CN"/>
              </w:rPr>
            </w:pPr>
            <w:r>
              <w:rPr>
                <w:rFonts w:hint="eastAsia" w:ascii="宋体" w:hAnsi="宋体"/>
                <w:i w:val="0"/>
                <w:iCs w:val="0"/>
                <w:color w:val="auto"/>
                <w:szCs w:val="21"/>
                <w:lang w:val="en-US" w:eastAsia="zh-CN"/>
              </w:rPr>
              <w:t>件</w:t>
            </w:r>
          </w:p>
        </w:tc>
        <w:tc>
          <w:tcPr>
            <w:tcW w:w="4216" w:type="dxa"/>
            <w:noWrap w:val="0"/>
            <w:vAlign w:val="top"/>
          </w:tcPr>
          <w:p>
            <w:pPr>
              <w:spacing w:line="440" w:lineRule="exact"/>
              <w:ind w:firstLine="105" w:firstLineChars="50"/>
              <w:rPr>
                <w:rFonts w:hint="eastAsia" w:ascii="宋体" w:hAnsi="宋体"/>
                <w:i w:val="0"/>
                <w:iCs w:val="0"/>
                <w:color w:val="auto"/>
                <w:szCs w:val="21"/>
                <w:lang w:val="en-US" w:eastAsia="zh-CN"/>
              </w:rPr>
            </w:pPr>
            <w:r>
              <w:rPr>
                <w:rFonts w:hint="eastAsia" w:ascii="宋体" w:hAnsi="宋体"/>
                <w:i w:val="0"/>
                <w:iCs w:val="0"/>
                <w:color w:val="auto"/>
                <w:szCs w:val="21"/>
                <w:lang w:val="en-US" w:eastAsia="zh-CN"/>
              </w:rPr>
              <w:t>仪陇县消防救援局、仪陇县金城消防中队</w:t>
            </w:r>
          </w:p>
        </w:tc>
        <w:tc>
          <w:tcPr>
            <w:tcW w:w="1084" w:type="dxa"/>
            <w:noWrap w:val="0"/>
            <w:vAlign w:val="center"/>
          </w:tcPr>
          <w:p>
            <w:pPr>
              <w:spacing w:line="460" w:lineRule="exact"/>
              <w:jc w:val="center"/>
              <w:rPr>
                <w:rFonts w:hint="eastAsia" w:ascii="宋体" w:hAnsi="宋体"/>
                <w:i w:val="0"/>
                <w:iCs w:val="0"/>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17" w:type="dxa"/>
            <w:noWrap w:val="0"/>
            <w:vAlign w:val="center"/>
          </w:tcPr>
          <w:p>
            <w:pPr>
              <w:spacing w:line="460" w:lineRule="exact"/>
              <w:rPr>
                <w:rFonts w:hint="eastAsia" w:ascii="宋体" w:hAnsi="宋体"/>
                <w:i w:val="0"/>
                <w:iCs w:val="0"/>
                <w:color w:val="auto"/>
                <w:szCs w:val="21"/>
              </w:rPr>
            </w:pPr>
            <w:r>
              <w:rPr>
                <w:rFonts w:hint="eastAsia" w:ascii="宋体" w:hAnsi="宋体"/>
                <w:i w:val="0"/>
                <w:iCs w:val="0"/>
                <w:color w:val="auto"/>
                <w:szCs w:val="21"/>
              </w:rPr>
              <w:t xml:space="preserve"> </w:t>
            </w:r>
            <w:r>
              <w:rPr>
                <w:rFonts w:hint="eastAsia" w:ascii="宋体" w:hAnsi="宋体"/>
                <w:i w:val="0"/>
                <w:iCs w:val="0"/>
                <w:color w:val="auto"/>
                <w:szCs w:val="21"/>
                <w:lang w:val="en-US" w:eastAsia="zh-CN"/>
              </w:rPr>
              <w:t>8</w:t>
            </w:r>
            <w:r>
              <w:rPr>
                <w:rFonts w:hint="eastAsia" w:ascii="宋体" w:hAnsi="宋体"/>
                <w:i w:val="0"/>
                <w:iCs w:val="0"/>
                <w:color w:val="auto"/>
                <w:szCs w:val="21"/>
              </w:rPr>
              <w:t>）</w:t>
            </w:r>
          </w:p>
        </w:tc>
        <w:tc>
          <w:tcPr>
            <w:tcW w:w="1742" w:type="dxa"/>
            <w:noWrap w:val="0"/>
            <w:vAlign w:val="top"/>
          </w:tcPr>
          <w:p>
            <w:pPr>
              <w:spacing w:line="440" w:lineRule="exact"/>
              <w:ind w:firstLine="105" w:firstLineChars="50"/>
              <w:rPr>
                <w:rFonts w:hint="eastAsia" w:ascii="宋体" w:hAnsi="宋体"/>
                <w:i w:val="0"/>
                <w:iCs w:val="0"/>
                <w:color w:val="auto"/>
                <w:szCs w:val="21"/>
                <w:lang w:val="en-US" w:eastAsia="zh-CN"/>
              </w:rPr>
            </w:pPr>
            <w:r>
              <w:rPr>
                <w:rFonts w:hint="eastAsia" w:ascii="宋体" w:hAnsi="宋体"/>
                <w:i w:val="0"/>
                <w:iCs w:val="0"/>
                <w:color w:val="auto"/>
                <w:szCs w:val="21"/>
                <w:lang w:val="en-US" w:eastAsia="zh-CN"/>
              </w:rPr>
              <w:t>其它器材装备</w:t>
            </w:r>
          </w:p>
        </w:tc>
        <w:tc>
          <w:tcPr>
            <w:tcW w:w="765" w:type="dxa"/>
            <w:noWrap w:val="0"/>
            <w:vAlign w:val="top"/>
          </w:tcPr>
          <w:p>
            <w:pPr>
              <w:spacing w:line="440" w:lineRule="exact"/>
              <w:ind w:firstLine="105" w:firstLineChars="50"/>
              <w:rPr>
                <w:rFonts w:hint="eastAsia" w:ascii="宋体" w:hAnsi="宋体"/>
                <w:i w:val="0"/>
                <w:iCs w:val="0"/>
                <w:color w:val="auto"/>
                <w:szCs w:val="21"/>
                <w:lang w:val="en-US" w:eastAsia="zh-CN"/>
              </w:rPr>
            </w:pPr>
            <w:r>
              <w:rPr>
                <w:rFonts w:hint="eastAsia" w:ascii="宋体" w:hAnsi="宋体"/>
                <w:i w:val="0"/>
                <w:iCs w:val="0"/>
                <w:color w:val="auto"/>
                <w:szCs w:val="21"/>
                <w:lang w:val="en-US" w:eastAsia="zh-CN"/>
              </w:rPr>
              <w:t>116</w:t>
            </w:r>
          </w:p>
        </w:tc>
        <w:tc>
          <w:tcPr>
            <w:tcW w:w="780" w:type="dxa"/>
            <w:noWrap w:val="0"/>
            <w:vAlign w:val="center"/>
          </w:tcPr>
          <w:p>
            <w:pPr>
              <w:spacing w:line="440" w:lineRule="exact"/>
              <w:ind w:firstLine="105" w:firstLineChars="50"/>
              <w:rPr>
                <w:rFonts w:hint="eastAsia" w:ascii="宋体" w:hAnsi="宋体"/>
                <w:i w:val="0"/>
                <w:iCs w:val="0"/>
                <w:color w:val="auto"/>
                <w:szCs w:val="21"/>
                <w:lang w:val="en-US" w:eastAsia="zh-CN"/>
              </w:rPr>
            </w:pPr>
            <w:r>
              <w:rPr>
                <w:rFonts w:hint="eastAsia" w:ascii="宋体" w:hAnsi="宋体"/>
                <w:i w:val="0"/>
                <w:iCs w:val="0"/>
                <w:color w:val="auto"/>
                <w:szCs w:val="21"/>
                <w:lang w:val="en-US" w:eastAsia="zh-CN"/>
              </w:rPr>
              <w:t>件</w:t>
            </w:r>
          </w:p>
        </w:tc>
        <w:tc>
          <w:tcPr>
            <w:tcW w:w="4216" w:type="dxa"/>
            <w:noWrap w:val="0"/>
            <w:vAlign w:val="top"/>
          </w:tcPr>
          <w:p>
            <w:pPr>
              <w:spacing w:line="440" w:lineRule="exact"/>
              <w:ind w:firstLine="105" w:firstLineChars="50"/>
              <w:rPr>
                <w:rFonts w:hint="eastAsia" w:ascii="宋体" w:hAnsi="宋体"/>
                <w:i w:val="0"/>
                <w:iCs w:val="0"/>
                <w:color w:val="auto"/>
                <w:szCs w:val="21"/>
                <w:lang w:val="en-US" w:eastAsia="zh-CN"/>
              </w:rPr>
            </w:pPr>
            <w:r>
              <w:rPr>
                <w:rFonts w:hint="eastAsia" w:ascii="宋体" w:hAnsi="宋体"/>
                <w:i w:val="0"/>
                <w:iCs w:val="0"/>
                <w:color w:val="auto"/>
                <w:szCs w:val="21"/>
                <w:lang w:val="en-US" w:eastAsia="zh-CN"/>
              </w:rPr>
              <w:t>仪陇县消防救援局、仪陇县金城消防中队</w:t>
            </w:r>
          </w:p>
        </w:tc>
        <w:tc>
          <w:tcPr>
            <w:tcW w:w="1084" w:type="dxa"/>
            <w:noWrap w:val="0"/>
            <w:vAlign w:val="center"/>
          </w:tcPr>
          <w:p>
            <w:pPr>
              <w:spacing w:line="460" w:lineRule="exact"/>
              <w:jc w:val="center"/>
              <w:rPr>
                <w:rFonts w:hint="eastAsia" w:ascii="宋体" w:hAnsi="宋体"/>
                <w:i w:val="0"/>
                <w:iCs w:val="0"/>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17" w:type="dxa"/>
            <w:noWrap w:val="0"/>
            <w:vAlign w:val="center"/>
          </w:tcPr>
          <w:p>
            <w:pPr>
              <w:spacing w:line="460" w:lineRule="exact"/>
              <w:rPr>
                <w:rFonts w:ascii="宋体" w:hAnsi="宋体"/>
                <w:i w:val="0"/>
                <w:iCs w:val="0"/>
                <w:color w:val="auto"/>
                <w:szCs w:val="21"/>
              </w:rPr>
            </w:pPr>
            <w:r>
              <w:rPr>
                <w:rFonts w:hint="eastAsia" w:ascii="宋体" w:hAnsi="宋体"/>
                <w:i w:val="0"/>
                <w:iCs w:val="0"/>
                <w:color w:val="auto"/>
                <w:szCs w:val="21"/>
              </w:rPr>
              <w:t xml:space="preserve"> </w:t>
            </w:r>
            <w:r>
              <w:rPr>
                <w:rFonts w:hint="eastAsia" w:ascii="宋体" w:hAnsi="宋体"/>
                <w:i w:val="0"/>
                <w:iCs w:val="0"/>
                <w:color w:val="auto"/>
                <w:szCs w:val="21"/>
                <w:lang w:val="en-US" w:eastAsia="zh-CN"/>
              </w:rPr>
              <w:t>9</w:t>
            </w:r>
            <w:r>
              <w:rPr>
                <w:rFonts w:hint="eastAsia" w:ascii="宋体" w:hAnsi="宋体"/>
                <w:i w:val="0"/>
                <w:iCs w:val="0"/>
                <w:color w:val="auto"/>
                <w:szCs w:val="21"/>
              </w:rPr>
              <w:t>）</w:t>
            </w:r>
          </w:p>
        </w:tc>
        <w:tc>
          <w:tcPr>
            <w:tcW w:w="1742" w:type="dxa"/>
            <w:noWrap w:val="0"/>
            <w:vAlign w:val="top"/>
          </w:tcPr>
          <w:p>
            <w:pPr>
              <w:spacing w:line="440" w:lineRule="exact"/>
              <w:ind w:firstLine="105" w:firstLineChars="50"/>
              <w:rPr>
                <w:rFonts w:ascii="宋体" w:hAnsi="宋体"/>
                <w:i w:val="0"/>
                <w:iCs w:val="0"/>
                <w:color w:val="auto"/>
                <w:szCs w:val="21"/>
              </w:rPr>
            </w:pPr>
            <w:r>
              <w:rPr>
                <w:rFonts w:hint="eastAsia" w:ascii="宋体" w:hAnsi="宋体"/>
                <w:i w:val="0"/>
                <w:iCs w:val="0"/>
                <w:color w:val="auto"/>
                <w:szCs w:val="21"/>
              </w:rPr>
              <w:t>急救车</w:t>
            </w:r>
          </w:p>
        </w:tc>
        <w:tc>
          <w:tcPr>
            <w:tcW w:w="765" w:type="dxa"/>
            <w:noWrap w:val="0"/>
            <w:vAlign w:val="top"/>
          </w:tcPr>
          <w:p>
            <w:pPr>
              <w:spacing w:line="440" w:lineRule="exact"/>
              <w:ind w:firstLine="105" w:firstLineChars="50"/>
              <w:jc w:val="center"/>
              <w:rPr>
                <w:rFonts w:hint="eastAsia" w:ascii="宋体" w:hAnsi="宋体" w:eastAsia="宋体"/>
                <w:i w:val="0"/>
                <w:iCs w:val="0"/>
                <w:color w:val="auto"/>
                <w:szCs w:val="21"/>
                <w:lang w:eastAsia="zh-CN"/>
              </w:rPr>
            </w:pPr>
            <w:r>
              <w:rPr>
                <w:rFonts w:hint="eastAsia" w:ascii="宋体" w:hAnsi="宋体"/>
                <w:i w:val="0"/>
                <w:iCs w:val="0"/>
                <w:color w:val="auto"/>
                <w:szCs w:val="21"/>
                <w:lang w:val="en-US" w:eastAsia="zh-CN"/>
              </w:rPr>
              <w:t>3</w:t>
            </w:r>
          </w:p>
        </w:tc>
        <w:tc>
          <w:tcPr>
            <w:tcW w:w="780" w:type="dxa"/>
            <w:noWrap w:val="0"/>
            <w:vAlign w:val="center"/>
          </w:tcPr>
          <w:p>
            <w:pPr>
              <w:spacing w:line="460" w:lineRule="exact"/>
              <w:jc w:val="center"/>
              <w:rPr>
                <w:rFonts w:ascii="宋体" w:hAnsi="宋体"/>
                <w:i w:val="0"/>
                <w:iCs w:val="0"/>
                <w:color w:val="auto"/>
                <w:szCs w:val="21"/>
              </w:rPr>
            </w:pPr>
            <w:r>
              <w:rPr>
                <w:rFonts w:hint="eastAsia" w:ascii="宋体" w:hAnsi="宋体"/>
                <w:i w:val="0"/>
                <w:iCs w:val="0"/>
                <w:color w:val="auto"/>
                <w:szCs w:val="21"/>
              </w:rPr>
              <w:t>辆</w:t>
            </w:r>
          </w:p>
        </w:tc>
        <w:tc>
          <w:tcPr>
            <w:tcW w:w="4216" w:type="dxa"/>
            <w:noWrap w:val="0"/>
            <w:vAlign w:val="center"/>
          </w:tcPr>
          <w:p>
            <w:pPr>
              <w:rPr>
                <w:rFonts w:hint="eastAsia" w:ascii="宋体" w:hAnsi="宋体"/>
                <w:i w:val="0"/>
                <w:iCs w:val="0"/>
                <w:color w:val="auto"/>
                <w:szCs w:val="21"/>
              </w:rPr>
            </w:pPr>
            <w:r>
              <w:rPr>
                <w:rFonts w:hint="eastAsia" w:ascii="宋体" w:hAnsi="宋体"/>
                <w:i w:val="0"/>
                <w:iCs w:val="0"/>
                <w:color w:val="auto"/>
                <w:szCs w:val="21"/>
                <w:lang w:val="en-US" w:eastAsia="zh-CN"/>
              </w:rPr>
              <w:t>仪陇县人民医院、仪陇县复兴中心卫生院</w:t>
            </w:r>
          </w:p>
        </w:tc>
        <w:tc>
          <w:tcPr>
            <w:tcW w:w="1084" w:type="dxa"/>
            <w:noWrap w:val="0"/>
            <w:vAlign w:val="center"/>
          </w:tcPr>
          <w:p>
            <w:pPr>
              <w:spacing w:line="460" w:lineRule="exact"/>
              <w:jc w:val="center"/>
              <w:rPr>
                <w:rFonts w:hint="eastAsia" w:ascii="宋体" w:hAnsi="宋体"/>
                <w:i w:val="0"/>
                <w:iCs w:val="0"/>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17" w:type="dxa"/>
            <w:noWrap w:val="0"/>
            <w:vAlign w:val="center"/>
          </w:tcPr>
          <w:p>
            <w:pPr>
              <w:spacing w:line="460" w:lineRule="exact"/>
              <w:rPr>
                <w:rFonts w:ascii="宋体" w:hAnsi="宋体"/>
                <w:i w:val="0"/>
                <w:iCs w:val="0"/>
                <w:color w:val="auto"/>
                <w:szCs w:val="21"/>
              </w:rPr>
            </w:pPr>
            <w:r>
              <w:rPr>
                <w:rFonts w:hint="eastAsia" w:ascii="宋体" w:hAnsi="宋体"/>
                <w:i w:val="0"/>
                <w:iCs w:val="0"/>
                <w:color w:val="auto"/>
                <w:szCs w:val="21"/>
                <w:lang w:val="en-US" w:eastAsia="zh-CN"/>
              </w:rPr>
              <w:t>10</w:t>
            </w:r>
            <w:r>
              <w:rPr>
                <w:rFonts w:hint="eastAsia" w:ascii="宋体" w:hAnsi="宋体"/>
                <w:i w:val="0"/>
                <w:iCs w:val="0"/>
                <w:color w:val="auto"/>
                <w:szCs w:val="21"/>
              </w:rPr>
              <w:t>）</w:t>
            </w:r>
          </w:p>
        </w:tc>
        <w:tc>
          <w:tcPr>
            <w:tcW w:w="1742" w:type="dxa"/>
            <w:noWrap w:val="0"/>
            <w:vAlign w:val="top"/>
          </w:tcPr>
          <w:p>
            <w:pPr>
              <w:spacing w:line="440" w:lineRule="exact"/>
              <w:ind w:firstLine="105" w:firstLineChars="50"/>
              <w:rPr>
                <w:rFonts w:ascii="宋体" w:hAnsi="宋体"/>
                <w:i w:val="0"/>
                <w:iCs w:val="0"/>
                <w:color w:val="auto"/>
                <w:szCs w:val="21"/>
              </w:rPr>
            </w:pPr>
            <w:r>
              <w:rPr>
                <w:rFonts w:hint="eastAsia" w:ascii="宋体" w:hAnsi="宋体"/>
                <w:i w:val="0"/>
                <w:iCs w:val="0"/>
                <w:color w:val="auto"/>
                <w:szCs w:val="21"/>
              </w:rPr>
              <w:t>担架</w:t>
            </w:r>
          </w:p>
        </w:tc>
        <w:tc>
          <w:tcPr>
            <w:tcW w:w="765" w:type="dxa"/>
            <w:noWrap w:val="0"/>
            <w:vAlign w:val="top"/>
          </w:tcPr>
          <w:p>
            <w:pPr>
              <w:spacing w:line="440" w:lineRule="exact"/>
              <w:ind w:firstLine="105" w:firstLineChars="50"/>
              <w:jc w:val="center"/>
              <w:rPr>
                <w:rFonts w:hint="eastAsia" w:ascii="宋体" w:hAnsi="宋体"/>
                <w:i w:val="0"/>
                <w:iCs w:val="0"/>
                <w:color w:val="auto"/>
                <w:szCs w:val="21"/>
              </w:rPr>
            </w:pPr>
            <w:r>
              <w:rPr>
                <w:rFonts w:hint="eastAsia" w:ascii="宋体" w:hAnsi="宋体"/>
                <w:i w:val="0"/>
                <w:iCs w:val="0"/>
                <w:color w:val="auto"/>
                <w:szCs w:val="21"/>
              </w:rPr>
              <w:t>5</w:t>
            </w:r>
          </w:p>
        </w:tc>
        <w:tc>
          <w:tcPr>
            <w:tcW w:w="780" w:type="dxa"/>
            <w:noWrap w:val="0"/>
            <w:vAlign w:val="center"/>
          </w:tcPr>
          <w:p>
            <w:pPr>
              <w:spacing w:line="460" w:lineRule="exact"/>
              <w:jc w:val="center"/>
              <w:rPr>
                <w:rFonts w:ascii="宋体" w:hAnsi="宋体"/>
                <w:i w:val="0"/>
                <w:iCs w:val="0"/>
                <w:color w:val="auto"/>
                <w:szCs w:val="21"/>
              </w:rPr>
            </w:pPr>
            <w:r>
              <w:rPr>
                <w:rFonts w:hint="eastAsia" w:ascii="宋体" w:hAnsi="宋体"/>
                <w:i w:val="0"/>
                <w:iCs w:val="0"/>
                <w:color w:val="auto"/>
                <w:szCs w:val="21"/>
              </w:rPr>
              <w:t>个</w:t>
            </w:r>
          </w:p>
        </w:tc>
        <w:tc>
          <w:tcPr>
            <w:tcW w:w="4216" w:type="dxa"/>
            <w:noWrap w:val="0"/>
            <w:vAlign w:val="top"/>
          </w:tcPr>
          <w:p>
            <w:pPr>
              <w:rPr>
                <w:rFonts w:hint="eastAsia" w:ascii="宋体" w:hAnsi="宋体"/>
                <w:i w:val="0"/>
                <w:iCs w:val="0"/>
                <w:color w:val="auto"/>
                <w:szCs w:val="21"/>
              </w:rPr>
            </w:pPr>
            <w:r>
              <w:rPr>
                <w:rFonts w:hint="eastAsia" w:ascii="宋体" w:hAnsi="宋体"/>
                <w:i w:val="0"/>
                <w:iCs w:val="0"/>
                <w:color w:val="auto"/>
                <w:szCs w:val="21"/>
                <w:lang w:val="en-US" w:eastAsia="zh-CN"/>
              </w:rPr>
              <w:t>仪陇县人民医院、仪陇县复兴中心卫生院</w:t>
            </w:r>
          </w:p>
        </w:tc>
        <w:tc>
          <w:tcPr>
            <w:tcW w:w="1084" w:type="dxa"/>
            <w:noWrap w:val="0"/>
            <w:vAlign w:val="center"/>
          </w:tcPr>
          <w:p>
            <w:pPr>
              <w:spacing w:line="460" w:lineRule="exact"/>
              <w:jc w:val="center"/>
              <w:rPr>
                <w:rFonts w:hint="eastAsia" w:ascii="宋体" w:hAnsi="宋体"/>
                <w:i w:val="0"/>
                <w:iCs w:val="0"/>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17" w:type="dxa"/>
            <w:noWrap w:val="0"/>
            <w:vAlign w:val="center"/>
          </w:tcPr>
          <w:p>
            <w:pPr>
              <w:spacing w:line="460" w:lineRule="exact"/>
              <w:rPr>
                <w:rFonts w:ascii="宋体" w:hAnsi="宋体"/>
                <w:i w:val="0"/>
                <w:iCs w:val="0"/>
                <w:color w:val="auto"/>
                <w:szCs w:val="21"/>
              </w:rPr>
            </w:pPr>
            <w:r>
              <w:rPr>
                <w:rFonts w:hint="eastAsia" w:ascii="宋体" w:hAnsi="宋体"/>
                <w:i w:val="0"/>
                <w:iCs w:val="0"/>
                <w:color w:val="auto"/>
                <w:szCs w:val="21"/>
                <w:lang w:val="en-US" w:eastAsia="zh-CN"/>
              </w:rPr>
              <w:t>11</w:t>
            </w:r>
            <w:r>
              <w:rPr>
                <w:rFonts w:hint="eastAsia" w:ascii="宋体" w:hAnsi="宋体"/>
                <w:i w:val="0"/>
                <w:iCs w:val="0"/>
                <w:color w:val="auto"/>
                <w:szCs w:val="21"/>
              </w:rPr>
              <w:t>）</w:t>
            </w:r>
          </w:p>
        </w:tc>
        <w:tc>
          <w:tcPr>
            <w:tcW w:w="1742" w:type="dxa"/>
            <w:noWrap w:val="0"/>
            <w:vAlign w:val="top"/>
          </w:tcPr>
          <w:p>
            <w:pPr>
              <w:spacing w:line="440" w:lineRule="exact"/>
              <w:ind w:firstLine="105" w:firstLineChars="50"/>
              <w:rPr>
                <w:rFonts w:ascii="宋体" w:hAnsi="宋体"/>
                <w:i w:val="0"/>
                <w:iCs w:val="0"/>
                <w:color w:val="auto"/>
                <w:szCs w:val="21"/>
              </w:rPr>
            </w:pPr>
            <w:r>
              <w:rPr>
                <w:rFonts w:hint="eastAsia" w:ascii="宋体" w:hAnsi="宋体"/>
                <w:i w:val="0"/>
                <w:iCs w:val="0"/>
                <w:color w:val="auto"/>
                <w:szCs w:val="21"/>
              </w:rPr>
              <w:t>应急床位</w:t>
            </w:r>
          </w:p>
        </w:tc>
        <w:tc>
          <w:tcPr>
            <w:tcW w:w="765" w:type="dxa"/>
            <w:noWrap w:val="0"/>
            <w:vAlign w:val="top"/>
          </w:tcPr>
          <w:p>
            <w:pPr>
              <w:spacing w:line="440" w:lineRule="exact"/>
              <w:ind w:firstLine="105" w:firstLineChars="50"/>
              <w:jc w:val="center"/>
              <w:rPr>
                <w:rFonts w:hint="default" w:ascii="宋体" w:hAnsi="宋体" w:eastAsia="宋体"/>
                <w:i w:val="0"/>
                <w:iCs w:val="0"/>
                <w:color w:val="auto"/>
                <w:szCs w:val="21"/>
                <w:lang w:val="en-US" w:eastAsia="zh-CN"/>
              </w:rPr>
            </w:pPr>
            <w:r>
              <w:rPr>
                <w:rFonts w:hint="eastAsia" w:ascii="宋体" w:hAnsi="宋体"/>
                <w:i w:val="0"/>
                <w:iCs w:val="0"/>
                <w:color w:val="auto"/>
                <w:szCs w:val="21"/>
                <w:lang w:val="en-US" w:eastAsia="zh-CN"/>
              </w:rPr>
              <w:t>200</w:t>
            </w:r>
          </w:p>
        </w:tc>
        <w:tc>
          <w:tcPr>
            <w:tcW w:w="780" w:type="dxa"/>
            <w:noWrap w:val="0"/>
            <w:vAlign w:val="center"/>
          </w:tcPr>
          <w:p>
            <w:pPr>
              <w:spacing w:line="460" w:lineRule="exact"/>
              <w:jc w:val="center"/>
              <w:rPr>
                <w:rFonts w:ascii="宋体" w:hAnsi="宋体"/>
                <w:i w:val="0"/>
                <w:iCs w:val="0"/>
                <w:color w:val="auto"/>
                <w:szCs w:val="21"/>
              </w:rPr>
            </w:pPr>
            <w:r>
              <w:rPr>
                <w:rFonts w:hint="eastAsia" w:ascii="宋体" w:hAnsi="宋体"/>
                <w:i w:val="0"/>
                <w:iCs w:val="0"/>
                <w:color w:val="auto"/>
                <w:szCs w:val="21"/>
              </w:rPr>
              <w:t>个</w:t>
            </w:r>
          </w:p>
        </w:tc>
        <w:tc>
          <w:tcPr>
            <w:tcW w:w="4216" w:type="dxa"/>
            <w:noWrap w:val="0"/>
            <w:vAlign w:val="top"/>
          </w:tcPr>
          <w:p>
            <w:pPr>
              <w:rPr>
                <w:rFonts w:hint="eastAsia" w:ascii="宋体" w:hAnsi="宋体"/>
                <w:i w:val="0"/>
                <w:iCs w:val="0"/>
                <w:color w:val="auto"/>
                <w:szCs w:val="21"/>
              </w:rPr>
            </w:pPr>
            <w:r>
              <w:rPr>
                <w:rFonts w:hint="eastAsia" w:ascii="宋体" w:hAnsi="宋体"/>
                <w:i w:val="0"/>
                <w:iCs w:val="0"/>
                <w:color w:val="auto"/>
                <w:szCs w:val="21"/>
                <w:lang w:val="en-US" w:eastAsia="zh-CN"/>
              </w:rPr>
              <w:t>仪陇县人民医院、仪陇县复兴中心卫生院</w:t>
            </w:r>
          </w:p>
        </w:tc>
        <w:tc>
          <w:tcPr>
            <w:tcW w:w="1084" w:type="dxa"/>
            <w:noWrap w:val="0"/>
            <w:vAlign w:val="center"/>
          </w:tcPr>
          <w:p>
            <w:pPr>
              <w:spacing w:line="460" w:lineRule="exact"/>
              <w:jc w:val="center"/>
              <w:rPr>
                <w:rFonts w:hint="eastAsia" w:ascii="宋体" w:hAnsi="宋体"/>
                <w:i w:val="0"/>
                <w:iCs w:val="0"/>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2" w:hRule="atLeast"/>
          <w:jc w:val="center"/>
        </w:trPr>
        <w:tc>
          <w:tcPr>
            <w:tcW w:w="717" w:type="dxa"/>
            <w:noWrap w:val="0"/>
            <w:vAlign w:val="center"/>
          </w:tcPr>
          <w:p>
            <w:pPr>
              <w:spacing w:line="460" w:lineRule="exact"/>
              <w:rPr>
                <w:rFonts w:ascii="宋体" w:hAnsi="宋体"/>
                <w:i w:val="0"/>
                <w:iCs w:val="0"/>
                <w:color w:val="auto"/>
                <w:szCs w:val="21"/>
              </w:rPr>
            </w:pPr>
            <w:r>
              <w:rPr>
                <w:rFonts w:hint="eastAsia" w:ascii="宋体" w:hAnsi="宋体"/>
                <w:i w:val="0"/>
                <w:iCs w:val="0"/>
                <w:color w:val="auto"/>
                <w:szCs w:val="21"/>
                <w:lang w:val="en-US" w:eastAsia="zh-CN"/>
              </w:rPr>
              <w:t>12</w:t>
            </w:r>
            <w:r>
              <w:rPr>
                <w:rFonts w:hint="eastAsia" w:ascii="宋体" w:hAnsi="宋体"/>
                <w:i w:val="0"/>
                <w:iCs w:val="0"/>
                <w:color w:val="auto"/>
                <w:szCs w:val="21"/>
              </w:rPr>
              <w:t>）</w:t>
            </w:r>
          </w:p>
        </w:tc>
        <w:tc>
          <w:tcPr>
            <w:tcW w:w="1742" w:type="dxa"/>
            <w:noWrap w:val="0"/>
            <w:vAlign w:val="top"/>
          </w:tcPr>
          <w:p>
            <w:pPr>
              <w:spacing w:line="440" w:lineRule="exact"/>
              <w:ind w:firstLine="105" w:firstLineChars="50"/>
              <w:rPr>
                <w:rFonts w:ascii="宋体" w:hAnsi="宋体"/>
                <w:i w:val="0"/>
                <w:iCs w:val="0"/>
                <w:color w:val="auto"/>
                <w:szCs w:val="21"/>
              </w:rPr>
            </w:pPr>
            <w:r>
              <w:rPr>
                <w:rFonts w:hint="eastAsia" w:ascii="宋体" w:hAnsi="宋体"/>
                <w:i w:val="0"/>
                <w:iCs w:val="0"/>
                <w:color w:val="auto"/>
                <w:szCs w:val="21"/>
              </w:rPr>
              <w:t>急救医生</w:t>
            </w:r>
          </w:p>
        </w:tc>
        <w:tc>
          <w:tcPr>
            <w:tcW w:w="765" w:type="dxa"/>
            <w:noWrap w:val="0"/>
            <w:vAlign w:val="top"/>
          </w:tcPr>
          <w:p>
            <w:pPr>
              <w:spacing w:line="440" w:lineRule="exact"/>
              <w:ind w:firstLine="105" w:firstLineChars="50"/>
              <w:jc w:val="center"/>
              <w:rPr>
                <w:rFonts w:hint="default" w:ascii="宋体" w:hAnsi="宋体" w:eastAsia="宋体"/>
                <w:i w:val="0"/>
                <w:iCs w:val="0"/>
                <w:color w:val="auto"/>
                <w:szCs w:val="21"/>
                <w:lang w:val="en-US" w:eastAsia="zh-CN"/>
              </w:rPr>
            </w:pPr>
            <w:r>
              <w:rPr>
                <w:rFonts w:hint="eastAsia" w:ascii="宋体" w:hAnsi="宋体" w:eastAsia="宋体"/>
                <w:i w:val="0"/>
                <w:iCs w:val="0"/>
                <w:color w:val="auto"/>
                <w:szCs w:val="21"/>
                <w:lang w:val="en-US" w:eastAsia="zh-CN"/>
              </w:rPr>
              <w:t>20</w:t>
            </w:r>
          </w:p>
        </w:tc>
        <w:tc>
          <w:tcPr>
            <w:tcW w:w="780" w:type="dxa"/>
            <w:noWrap w:val="0"/>
            <w:vAlign w:val="center"/>
          </w:tcPr>
          <w:p>
            <w:pPr>
              <w:spacing w:line="460" w:lineRule="exact"/>
              <w:jc w:val="center"/>
              <w:rPr>
                <w:rFonts w:ascii="宋体" w:hAnsi="宋体"/>
                <w:i w:val="0"/>
                <w:iCs w:val="0"/>
                <w:color w:val="auto"/>
                <w:szCs w:val="21"/>
              </w:rPr>
            </w:pPr>
            <w:r>
              <w:rPr>
                <w:rFonts w:hint="eastAsia" w:ascii="宋体" w:hAnsi="宋体"/>
                <w:i w:val="0"/>
                <w:iCs w:val="0"/>
                <w:color w:val="auto"/>
                <w:szCs w:val="21"/>
              </w:rPr>
              <w:t>人</w:t>
            </w:r>
          </w:p>
        </w:tc>
        <w:tc>
          <w:tcPr>
            <w:tcW w:w="4216" w:type="dxa"/>
            <w:noWrap w:val="0"/>
            <w:vAlign w:val="center"/>
          </w:tcPr>
          <w:p>
            <w:pPr>
              <w:rPr>
                <w:rFonts w:hint="eastAsia" w:ascii="宋体" w:hAnsi="宋体"/>
                <w:i w:val="0"/>
                <w:iCs w:val="0"/>
                <w:color w:val="auto"/>
                <w:szCs w:val="21"/>
              </w:rPr>
            </w:pPr>
            <w:r>
              <w:rPr>
                <w:rFonts w:hint="eastAsia" w:ascii="宋体" w:hAnsi="宋体"/>
                <w:i w:val="0"/>
                <w:iCs w:val="0"/>
                <w:color w:val="auto"/>
                <w:szCs w:val="21"/>
                <w:lang w:val="en-US" w:eastAsia="zh-CN"/>
              </w:rPr>
              <w:t>仪陇县人民医院、仪陇县复兴中心卫生院</w:t>
            </w:r>
          </w:p>
        </w:tc>
        <w:tc>
          <w:tcPr>
            <w:tcW w:w="1084" w:type="dxa"/>
            <w:noWrap w:val="0"/>
            <w:vAlign w:val="center"/>
          </w:tcPr>
          <w:p>
            <w:pPr>
              <w:spacing w:line="460" w:lineRule="exact"/>
              <w:jc w:val="center"/>
              <w:rPr>
                <w:rFonts w:hint="eastAsia" w:ascii="宋体" w:hAnsi="宋体"/>
                <w:i w:val="0"/>
                <w:iCs w:val="0"/>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17" w:type="dxa"/>
            <w:noWrap w:val="0"/>
            <w:vAlign w:val="center"/>
          </w:tcPr>
          <w:p>
            <w:pPr>
              <w:numPr>
                <w:ilvl w:val="0"/>
                <w:numId w:val="0"/>
              </w:numPr>
              <w:tabs>
                <w:tab w:val="left" w:pos="360"/>
              </w:tabs>
              <w:spacing w:line="460" w:lineRule="exact"/>
              <w:ind w:leftChars="0"/>
              <w:jc w:val="both"/>
              <w:rPr>
                <w:rFonts w:ascii="宋体" w:hAnsi="宋体"/>
                <w:i w:val="0"/>
                <w:iCs w:val="0"/>
                <w:color w:val="auto"/>
                <w:szCs w:val="21"/>
              </w:rPr>
            </w:pPr>
            <w:r>
              <w:rPr>
                <w:rFonts w:hint="eastAsia" w:ascii="宋体" w:hAnsi="宋体"/>
                <w:i w:val="0"/>
                <w:iCs w:val="0"/>
                <w:color w:val="auto"/>
                <w:szCs w:val="21"/>
                <w:lang w:val="en-US" w:eastAsia="zh-CN"/>
              </w:rPr>
              <w:t>13</w:t>
            </w:r>
            <w:r>
              <w:rPr>
                <w:rFonts w:hint="eastAsia" w:ascii="宋体" w:hAnsi="宋体"/>
                <w:i w:val="0"/>
                <w:iCs w:val="0"/>
                <w:color w:val="auto"/>
                <w:szCs w:val="21"/>
              </w:rPr>
              <w:t>）</w:t>
            </w:r>
          </w:p>
        </w:tc>
        <w:tc>
          <w:tcPr>
            <w:tcW w:w="1742" w:type="dxa"/>
            <w:noWrap w:val="0"/>
            <w:vAlign w:val="top"/>
          </w:tcPr>
          <w:p>
            <w:pPr>
              <w:spacing w:line="440" w:lineRule="exact"/>
              <w:ind w:firstLine="105" w:firstLineChars="50"/>
              <w:rPr>
                <w:rFonts w:ascii="宋体" w:hAnsi="宋体"/>
                <w:i w:val="0"/>
                <w:iCs w:val="0"/>
                <w:color w:val="auto"/>
                <w:szCs w:val="21"/>
              </w:rPr>
            </w:pPr>
            <w:r>
              <w:rPr>
                <w:rFonts w:hint="eastAsia" w:ascii="宋体" w:hAnsi="宋体"/>
                <w:i w:val="0"/>
                <w:iCs w:val="0"/>
                <w:color w:val="auto"/>
                <w:szCs w:val="21"/>
              </w:rPr>
              <w:t>急救护士</w:t>
            </w:r>
          </w:p>
        </w:tc>
        <w:tc>
          <w:tcPr>
            <w:tcW w:w="765" w:type="dxa"/>
            <w:noWrap w:val="0"/>
            <w:vAlign w:val="top"/>
          </w:tcPr>
          <w:p>
            <w:pPr>
              <w:spacing w:line="440" w:lineRule="exact"/>
              <w:ind w:firstLine="105" w:firstLineChars="50"/>
              <w:jc w:val="center"/>
              <w:rPr>
                <w:rFonts w:hint="default" w:ascii="宋体" w:hAnsi="宋体" w:eastAsia="宋体"/>
                <w:i w:val="0"/>
                <w:iCs w:val="0"/>
                <w:color w:val="auto"/>
                <w:szCs w:val="21"/>
                <w:lang w:val="en-US" w:eastAsia="zh-CN"/>
              </w:rPr>
            </w:pPr>
            <w:r>
              <w:rPr>
                <w:rFonts w:hint="eastAsia" w:ascii="宋体" w:hAnsi="宋体" w:eastAsia="宋体"/>
                <w:i w:val="0"/>
                <w:iCs w:val="0"/>
                <w:color w:val="auto"/>
                <w:szCs w:val="21"/>
                <w:lang w:val="en-US" w:eastAsia="zh-CN"/>
              </w:rPr>
              <w:t>50</w:t>
            </w:r>
          </w:p>
        </w:tc>
        <w:tc>
          <w:tcPr>
            <w:tcW w:w="780" w:type="dxa"/>
            <w:noWrap w:val="0"/>
            <w:vAlign w:val="center"/>
          </w:tcPr>
          <w:p>
            <w:pPr>
              <w:spacing w:line="460" w:lineRule="exact"/>
              <w:jc w:val="center"/>
              <w:rPr>
                <w:rFonts w:ascii="宋体" w:hAnsi="宋体"/>
                <w:i w:val="0"/>
                <w:iCs w:val="0"/>
                <w:color w:val="auto"/>
                <w:szCs w:val="21"/>
              </w:rPr>
            </w:pPr>
            <w:r>
              <w:rPr>
                <w:rFonts w:hint="eastAsia" w:ascii="宋体" w:hAnsi="宋体"/>
                <w:i w:val="0"/>
                <w:iCs w:val="0"/>
                <w:color w:val="auto"/>
                <w:szCs w:val="21"/>
              </w:rPr>
              <w:t>人</w:t>
            </w:r>
          </w:p>
        </w:tc>
        <w:tc>
          <w:tcPr>
            <w:tcW w:w="4216" w:type="dxa"/>
            <w:noWrap w:val="0"/>
            <w:vAlign w:val="top"/>
          </w:tcPr>
          <w:p>
            <w:pPr>
              <w:rPr>
                <w:rFonts w:hint="eastAsia" w:ascii="宋体" w:hAnsi="宋体"/>
                <w:i w:val="0"/>
                <w:iCs w:val="0"/>
                <w:color w:val="auto"/>
                <w:szCs w:val="21"/>
              </w:rPr>
            </w:pPr>
            <w:r>
              <w:rPr>
                <w:rFonts w:hint="eastAsia" w:ascii="宋体" w:hAnsi="宋体"/>
                <w:i w:val="0"/>
                <w:iCs w:val="0"/>
                <w:color w:val="auto"/>
                <w:szCs w:val="21"/>
                <w:lang w:val="en-US" w:eastAsia="zh-CN"/>
              </w:rPr>
              <w:t>仪陇县人民医院、仪陇县复兴中心卫生院</w:t>
            </w:r>
          </w:p>
        </w:tc>
        <w:tc>
          <w:tcPr>
            <w:tcW w:w="1084" w:type="dxa"/>
            <w:noWrap w:val="0"/>
            <w:vAlign w:val="center"/>
          </w:tcPr>
          <w:p>
            <w:pPr>
              <w:spacing w:line="460" w:lineRule="exact"/>
              <w:jc w:val="center"/>
              <w:rPr>
                <w:rFonts w:hint="eastAsia" w:ascii="宋体" w:hAnsi="宋体"/>
                <w:i w:val="0"/>
                <w:iCs w:val="0"/>
                <w:color w:val="auto"/>
                <w:szCs w:val="21"/>
              </w:rPr>
            </w:pPr>
          </w:p>
        </w:tc>
      </w:tr>
      <w:bookmarkEnd w:id="41"/>
    </w:tbl>
    <w:p>
      <w:pPr>
        <w:rPr>
          <w:rFonts w:hint="eastAsia" w:ascii="黑体" w:hAnsi="宋体" w:eastAsia="黑体"/>
          <w:b/>
          <w:sz w:val="32"/>
          <w:szCs w:val="32"/>
          <w:lang w:val="en-US" w:eastAsia="zh-CN"/>
        </w:rPr>
      </w:pPr>
      <w:r>
        <w:rPr>
          <w:rFonts w:hint="eastAsia" w:ascii="黑体" w:hAnsi="宋体" w:eastAsia="黑体"/>
          <w:b/>
          <w:sz w:val="32"/>
          <w:szCs w:val="32"/>
          <w:lang w:val="en-US" w:eastAsia="zh-CN"/>
        </w:rPr>
        <w:br w:type="page"/>
      </w:r>
    </w:p>
    <w:p>
      <w:pPr>
        <w:spacing w:line="360" w:lineRule="auto"/>
        <w:jc w:val="center"/>
        <w:outlineLvl w:val="0"/>
        <w:rPr>
          <w:rFonts w:hint="eastAsia" w:ascii="黑体" w:hAnsi="宋体" w:eastAsia="黑体"/>
          <w:b/>
          <w:sz w:val="32"/>
          <w:szCs w:val="32"/>
          <w:lang w:val="en-US" w:eastAsia="zh-CN"/>
        </w:rPr>
      </w:pPr>
      <w:bookmarkStart w:id="84" w:name="_Toc32699"/>
      <w:r>
        <w:rPr>
          <w:rFonts w:hint="eastAsia" w:ascii="黑体" w:hAnsi="宋体" w:eastAsia="黑体"/>
          <w:b/>
          <w:sz w:val="32"/>
          <w:szCs w:val="32"/>
          <w:lang w:val="en-US" w:eastAsia="zh-CN"/>
        </w:rPr>
        <w:t>3危险、有害因素辨识</w:t>
      </w:r>
      <w:bookmarkEnd w:id="84"/>
    </w:p>
    <w:p>
      <w:pPr>
        <w:pStyle w:val="8"/>
        <w:spacing w:line="360" w:lineRule="auto"/>
        <w:ind w:firstLine="0" w:firstLineChars="0"/>
        <w:outlineLvl w:val="1"/>
        <w:rPr>
          <w:rFonts w:hint="eastAsia" w:ascii="黑体" w:eastAsia="黑体"/>
          <w:b/>
          <w:snapToGrid w:val="0"/>
          <w:kern w:val="0"/>
          <w:sz w:val="32"/>
          <w:szCs w:val="32"/>
        </w:rPr>
      </w:pPr>
      <w:bookmarkStart w:id="85" w:name="_Toc4469"/>
      <w:r>
        <w:rPr>
          <w:rFonts w:hint="eastAsia" w:ascii="黑体" w:eastAsia="黑体"/>
          <w:b/>
          <w:snapToGrid w:val="0"/>
          <w:kern w:val="0"/>
          <w:sz w:val="32"/>
          <w:szCs w:val="32"/>
          <w:lang w:val="en-US" w:eastAsia="zh-CN"/>
        </w:rPr>
        <w:t>3</w:t>
      </w:r>
      <w:r>
        <w:rPr>
          <w:rFonts w:hint="eastAsia" w:ascii="黑体" w:eastAsia="黑体"/>
          <w:b/>
          <w:snapToGrid w:val="0"/>
          <w:kern w:val="0"/>
          <w:sz w:val="32"/>
          <w:szCs w:val="32"/>
          <w:lang w:eastAsia="zh-CN"/>
        </w:rPr>
        <w:t>.</w:t>
      </w:r>
      <w:r>
        <w:rPr>
          <w:rFonts w:hint="eastAsia" w:ascii="黑体" w:eastAsia="黑体"/>
          <w:b/>
          <w:snapToGrid w:val="0"/>
          <w:kern w:val="0"/>
          <w:sz w:val="32"/>
          <w:szCs w:val="32"/>
        </w:rPr>
        <w:t>1 危险、有害因素辨识的目的</w:t>
      </w:r>
      <w:bookmarkEnd w:id="34"/>
      <w:bookmarkEnd w:id="35"/>
      <w:bookmarkEnd w:id="85"/>
    </w:p>
    <w:p>
      <w:pPr>
        <w:autoSpaceDE w:val="0"/>
        <w:autoSpaceDN w:val="0"/>
        <w:adjustRightInd w:val="0"/>
        <w:spacing w:line="360" w:lineRule="auto"/>
        <w:ind w:firstLine="560" w:firstLineChars="200"/>
        <w:rPr>
          <w:rFonts w:hint="eastAsia" w:ascii="宋体" w:hAnsi="宋体"/>
          <w:snapToGrid w:val="0"/>
          <w:kern w:val="0"/>
          <w:sz w:val="28"/>
          <w:szCs w:val="28"/>
        </w:rPr>
      </w:pPr>
      <w:r>
        <w:rPr>
          <w:rFonts w:hint="eastAsia" w:ascii="宋体" w:hAnsi="宋体"/>
          <w:snapToGrid w:val="0"/>
          <w:kern w:val="0"/>
          <w:sz w:val="28"/>
          <w:szCs w:val="28"/>
        </w:rPr>
        <w:t>危险、有害因素是指能造成人员伤亡或影响人体健康、导致疾病和对物造成突发性或慢性损坏的因素。充分识别并掌握</w:t>
      </w:r>
      <w:r>
        <w:rPr>
          <w:rFonts w:hint="eastAsia" w:ascii="宋体" w:hAnsi="宋体"/>
          <w:snapToGrid w:val="0"/>
          <w:kern w:val="0"/>
          <w:sz w:val="28"/>
          <w:szCs w:val="28"/>
          <w:lang w:eastAsia="zh-CN"/>
        </w:rPr>
        <w:t>公司</w:t>
      </w:r>
      <w:r>
        <w:rPr>
          <w:rFonts w:hint="eastAsia" w:ascii="宋体" w:hAnsi="宋体"/>
          <w:snapToGrid w:val="0"/>
          <w:kern w:val="0"/>
          <w:sz w:val="28"/>
          <w:szCs w:val="28"/>
        </w:rPr>
        <w:t>生产系统中的危险有害因素，为企业有效减少人员伤亡和财产损失，确保生产安全具有重要意义；为企业</w:t>
      </w:r>
      <w:r>
        <w:rPr>
          <w:rFonts w:ascii="宋体" w:hAnsi="宋体"/>
          <w:snapToGrid w:val="0"/>
          <w:kern w:val="0"/>
          <w:sz w:val="28"/>
          <w:szCs w:val="28"/>
        </w:rPr>
        <w:t>在</w:t>
      </w:r>
      <w:r>
        <w:rPr>
          <w:rFonts w:hint="eastAsia" w:ascii="宋体" w:hAnsi="宋体"/>
          <w:snapToGrid w:val="0"/>
          <w:kern w:val="0"/>
          <w:sz w:val="28"/>
          <w:szCs w:val="28"/>
        </w:rPr>
        <w:t>实际生产中查找事故隐患并制定整改措施、制定事故应急救援预案</w:t>
      </w:r>
      <w:r>
        <w:rPr>
          <w:rFonts w:ascii="宋体" w:hAnsi="宋体"/>
          <w:snapToGrid w:val="0"/>
          <w:kern w:val="0"/>
          <w:sz w:val="28"/>
          <w:szCs w:val="28"/>
        </w:rPr>
        <w:t>指明方向。</w:t>
      </w:r>
    </w:p>
    <w:p>
      <w:pPr>
        <w:pStyle w:val="8"/>
        <w:spacing w:line="360" w:lineRule="auto"/>
        <w:ind w:firstLine="0" w:firstLineChars="0"/>
        <w:outlineLvl w:val="1"/>
        <w:rPr>
          <w:rFonts w:ascii="黑体" w:eastAsia="黑体"/>
          <w:b/>
          <w:snapToGrid w:val="0"/>
          <w:kern w:val="0"/>
          <w:sz w:val="32"/>
          <w:szCs w:val="32"/>
        </w:rPr>
      </w:pPr>
      <w:bookmarkStart w:id="86" w:name="_Toc356401484"/>
      <w:bookmarkStart w:id="87" w:name="_Toc350781091"/>
      <w:bookmarkStart w:id="88" w:name="_Toc480804387"/>
      <w:bookmarkStart w:id="89" w:name="_Toc514342839"/>
      <w:bookmarkStart w:id="90" w:name="_Toc29254"/>
      <w:r>
        <w:rPr>
          <w:rFonts w:hint="eastAsia" w:ascii="黑体" w:eastAsia="黑体"/>
          <w:b/>
          <w:snapToGrid w:val="0"/>
          <w:kern w:val="0"/>
          <w:sz w:val="32"/>
          <w:szCs w:val="32"/>
          <w:lang w:val="en-US" w:eastAsia="zh-CN"/>
        </w:rPr>
        <w:t>3</w:t>
      </w:r>
      <w:r>
        <w:rPr>
          <w:rFonts w:hint="eastAsia" w:ascii="黑体" w:eastAsia="黑体"/>
          <w:b/>
          <w:snapToGrid w:val="0"/>
          <w:kern w:val="0"/>
          <w:sz w:val="32"/>
          <w:szCs w:val="32"/>
          <w:lang w:eastAsia="zh-CN"/>
        </w:rPr>
        <w:t>.</w:t>
      </w:r>
      <w:r>
        <w:rPr>
          <w:rFonts w:hint="eastAsia" w:ascii="黑体" w:eastAsia="黑体"/>
          <w:b/>
          <w:snapToGrid w:val="0"/>
          <w:kern w:val="0"/>
          <w:sz w:val="32"/>
          <w:szCs w:val="32"/>
        </w:rPr>
        <w:t>2 危险、有害因素辨识的依据</w:t>
      </w:r>
      <w:bookmarkEnd w:id="86"/>
      <w:bookmarkEnd w:id="87"/>
      <w:bookmarkEnd w:id="88"/>
      <w:bookmarkEnd w:id="89"/>
      <w:bookmarkEnd w:id="90"/>
    </w:p>
    <w:p>
      <w:pPr>
        <w:adjustRightInd w:val="0"/>
        <w:snapToGrid w:val="0"/>
        <w:spacing w:line="360" w:lineRule="auto"/>
        <w:ind w:firstLine="560" w:firstLineChars="200"/>
        <w:rPr>
          <w:rFonts w:ascii="宋体" w:hAnsi="宋体"/>
          <w:snapToGrid w:val="0"/>
          <w:kern w:val="0"/>
          <w:sz w:val="28"/>
          <w:szCs w:val="28"/>
        </w:rPr>
      </w:pPr>
      <w:r>
        <w:rPr>
          <w:rFonts w:ascii="宋体" w:hAnsi="宋体"/>
          <w:snapToGrid w:val="0"/>
          <w:kern w:val="0"/>
          <w:sz w:val="28"/>
          <w:szCs w:val="28"/>
        </w:rPr>
        <w:t>（1）按照《危险化学品名录（20</w:t>
      </w:r>
      <w:r>
        <w:rPr>
          <w:rFonts w:hint="eastAsia" w:ascii="宋体" w:hAnsi="宋体"/>
          <w:snapToGrid w:val="0"/>
          <w:kern w:val="0"/>
          <w:sz w:val="28"/>
          <w:szCs w:val="28"/>
        </w:rPr>
        <w:t>15</w:t>
      </w:r>
      <w:r>
        <w:rPr>
          <w:rFonts w:ascii="宋体" w:hAnsi="宋体"/>
          <w:snapToGrid w:val="0"/>
          <w:kern w:val="0"/>
          <w:sz w:val="28"/>
          <w:szCs w:val="28"/>
        </w:rPr>
        <w:t>版）》将有害物质分为爆炸品、压缩气体和液化气体、易燃液体、易燃固体、自燃物品和遇湿易燃物品、氧化剂和有机过氧化物、毒害品和感染性物品、腐蚀品8大类，对系统中使用的物质及产品进行辨识与分析。</w:t>
      </w:r>
    </w:p>
    <w:p>
      <w:pPr>
        <w:adjustRightInd w:val="0"/>
        <w:snapToGrid w:val="0"/>
        <w:spacing w:line="360" w:lineRule="auto"/>
        <w:ind w:firstLine="560" w:firstLineChars="200"/>
        <w:rPr>
          <w:rFonts w:ascii="宋体" w:hAnsi="宋体"/>
          <w:snapToGrid w:val="0"/>
          <w:kern w:val="0"/>
          <w:sz w:val="28"/>
          <w:szCs w:val="28"/>
        </w:rPr>
      </w:pPr>
      <w:r>
        <w:rPr>
          <w:rFonts w:ascii="宋体" w:hAnsi="宋体"/>
          <w:snapToGrid w:val="0"/>
          <w:kern w:val="0"/>
          <w:sz w:val="28"/>
          <w:szCs w:val="28"/>
        </w:rPr>
        <w:t>（2）根据《危险化学品重大危险源辨识》（</w:t>
      </w:r>
      <w:r>
        <w:rPr>
          <w:rFonts w:hint="eastAsia" w:ascii="宋体" w:hAnsi="宋体"/>
          <w:snapToGrid w:val="0"/>
          <w:kern w:val="0"/>
          <w:sz w:val="28"/>
          <w:szCs w:val="28"/>
          <w:lang w:eastAsia="zh-CN"/>
        </w:rPr>
        <w:t>GB18218-2018</w:t>
      </w:r>
      <w:r>
        <w:rPr>
          <w:rFonts w:ascii="宋体" w:hAnsi="宋体"/>
          <w:snapToGrid w:val="0"/>
          <w:kern w:val="0"/>
          <w:sz w:val="28"/>
          <w:szCs w:val="28"/>
        </w:rPr>
        <w:t>），对</w:t>
      </w:r>
      <w:r>
        <w:rPr>
          <w:rFonts w:hint="eastAsia" w:ascii="宋体" w:hAnsi="宋体"/>
          <w:snapToGrid w:val="0"/>
          <w:kern w:val="0"/>
          <w:sz w:val="28"/>
          <w:szCs w:val="28"/>
          <w:lang w:eastAsia="zh-CN"/>
        </w:rPr>
        <w:t>厂区</w:t>
      </w:r>
      <w:r>
        <w:rPr>
          <w:rFonts w:ascii="宋体" w:hAnsi="宋体"/>
          <w:snapToGrid w:val="0"/>
          <w:kern w:val="0"/>
          <w:sz w:val="28"/>
          <w:szCs w:val="28"/>
        </w:rPr>
        <w:t>中使用到的各种物质进行重大危险源的计算与辨识。</w:t>
      </w:r>
    </w:p>
    <w:p>
      <w:pPr>
        <w:adjustRightInd w:val="0"/>
        <w:snapToGrid w:val="0"/>
        <w:spacing w:line="360" w:lineRule="auto"/>
        <w:ind w:firstLine="560" w:firstLineChars="200"/>
        <w:rPr>
          <w:rFonts w:ascii="宋体" w:hAnsi="宋体"/>
          <w:snapToGrid w:val="0"/>
          <w:kern w:val="0"/>
          <w:sz w:val="28"/>
          <w:szCs w:val="28"/>
        </w:rPr>
      </w:pPr>
      <w:r>
        <w:rPr>
          <w:rFonts w:ascii="宋体" w:hAnsi="宋体"/>
          <w:snapToGrid w:val="0"/>
          <w:kern w:val="0"/>
          <w:sz w:val="28"/>
          <w:szCs w:val="28"/>
        </w:rPr>
        <w:t>（3）参照《企业职工伤亡事故分类》（GB6441-1986），综合考虑起因物、引发事故的诱导性原因、致害物、伤害方式等，将事故分为物体打击、车辆伤害、机械伤害、起重伤害、触电等20类，对系统中作业场所按照事故类型进行辨识与分析。</w:t>
      </w:r>
    </w:p>
    <w:p>
      <w:pPr>
        <w:adjustRightInd w:val="0"/>
        <w:snapToGrid w:val="0"/>
        <w:spacing w:line="360" w:lineRule="auto"/>
        <w:ind w:firstLine="560" w:firstLineChars="200"/>
        <w:rPr>
          <w:rFonts w:ascii="宋体" w:hAnsi="宋体"/>
          <w:snapToGrid w:val="0"/>
          <w:kern w:val="0"/>
          <w:sz w:val="28"/>
          <w:szCs w:val="28"/>
        </w:rPr>
      </w:pPr>
      <w:r>
        <w:rPr>
          <w:rFonts w:ascii="宋体" w:hAnsi="宋体"/>
          <w:snapToGrid w:val="0"/>
          <w:kern w:val="0"/>
          <w:sz w:val="28"/>
          <w:szCs w:val="28"/>
        </w:rPr>
        <w:t>（4）根据《生产过程危险和危害因素分类与代码》（GB/T13861-2009）对</w:t>
      </w:r>
      <w:r>
        <w:rPr>
          <w:rFonts w:hint="eastAsia" w:ascii="宋体" w:hAnsi="宋体"/>
          <w:snapToGrid w:val="0"/>
          <w:kern w:val="0"/>
          <w:sz w:val="28"/>
          <w:szCs w:val="28"/>
          <w:lang w:eastAsia="zh-CN"/>
        </w:rPr>
        <w:t>厂区</w:t>
      </w:r>
      <w:r>
        <w:rPr>
          <w:rFonts w:ascii="宋体" w:hAnsi="宋体"/>
          <w:snapToGrid w:val="0"/>
          <w:kern w:val="0"/>
          <w:sz w:val="28"/>
          <w:szCs w:val="28"/>
        </w:rPr>
        <w:t>生产过程中的危险、有害因素进行辨识与分析。</w:t>
      </w:r>
    </w:p>
    <w:p>
      <w:pPr>
        <w:spacing w:line="360" w:lineRule="auto"/>
        <w:ind w:firstLine="560" w:firstLineChars="200"/>
        <w:textAlignment w:val="baseline"/>
        <w:rPr>
          <w:rFonts w:hint="eastAsia" w:ascii="宋体" w:hAnsi="宋体"/>
          <w:sz w:val="28"/>
          <w:szCs w:val="28"/>
        </w:rPr>
      </w:pPr>
      <w:bookmarkStart w:id="91" w:name="_Toc356401485"/>
      <w:bookmarkStart w:id="92" w:name="_Toc480804388"/>
      <w:bookmarkStart w:id="93" w:name="_Toc350781092"/>
      <w:r>
        <w:rPr>
          <w:rFonts w:hint="eastAsia" w:ascii="宋体" w:hAnsi="宋体"/>
          <w:sz w:val="28"/>
          <w:szCs w:val="28"/>
        </w:rPr>
        <w:t>（5）参照</w:t>
      </w:r>
      <w:r>
        <w:rPr>
          <w:rFonts w:hint="eastAsia" w:ascii="宋体" w:hAnsi="宋体"/>
          <w:bCs/>
          <w:sz w:val="28"/>
          <w:szCs w:val="28"/>
        </w:rPr>
        <w:t>《职业病危害因素分类》（</w:t>
      </w:r>
      <w:r>
        <w:rPr>
          <w:rFonts w:ascii="宋体" w:hAnsi="宋体"/>
          <w:bCs/>
          <w:sz w:val="28"/>
          <w:szCs w:val="28"/>
        </w:rPr>
        <w:t>国卫疾控发〔201</w:t>
      </w:r>
      <w:r>
        <w:rPr>
          <w:rFonts w:hint="eastAsia" w:ascii="宋体" w:hAnsi="宋体"/>
          <w:bCs/>
          <w:sz w:val="28"/>
          <w:szCs w:val="28"/>
        </w:rPr>
        <w:t>5</w:t>
      </w:r>
      <w:r>
        <w:rPr>
          <w:rFonts w:ascii="宋体" w:hAnsi="宋体"/>
          <w:bCs/>
          <w:sz w:val="28"/>
          <w:szCs w:val="28"/>
        </w:rPr>
        <w:t>〕</w:t>
      </w:r>
      <w:r>
        <w:rPr>
          <w:rFonts w:hint="eastAsia" w:ascii="宋体" w:hAnsi="宋体"/>
          <w:bCs/>
          <w:sz w:val="28"/>
          <w:szCs w:val="28"/>
        </w:rPr>
        <w:t>92</w:t>
      </w:r>
      <w:r>
        <w:rPr>
          <w:rFonts w:ascii="宋体" w:hAnsi="宋体"/>
          <w:bCs/>
          <w:sz w:val="28"/>
          <w:szCs w:val="28"/>
        </w:rPr>
        <w:t>号</w:t>
      </w:r>
      <w:r>
        <w:rPr>
          <w:rFonts w:hint="eastAsia" w:ascii="宋体" w:hAnsi="宋体"/>
          <w:bCs/>
          <w:sz w:val="28"/>
          <w:szCs w:val="28"/>
        </w:rPr>
        <w:t>）</w:t>
      </w:r>
      <w:r>
        <w:rPr>
          <w:rFonts w:hint="eastAsia" w:ascii="宋体" w:hAnsi="宋体"/>
          <w:sz w:val="28"/>
          <w:szCs w:val="28"/>
        </w:rPr>
        <w:t>对作业环境进行职业危害辨识与分析。</w:t>
      </w:r>
    </w:p>
    <w:p>
      <w:pPr>
        <w:pStyle w:val="8"/>
        <w:spacing w:line="360" w:lineRule="auto"/>
        <w:ind w:firstLine="0" w:firstLineChars="0"/>
        <w:outlineLvl w:val="1"/>
        <w:rPr>
          <w:rFonts w:hint="eastAsia" w:ascii="黑体" w:eastAsia="黑体"/>
          <w:b/>
          <w:snapToGrid w:val="0"/>
          <w:kern w:val="0"/>
          <w:sz w:val="32"/>
          <w:szCs w:val="32"/>
        </w:rPr>
      </w:pPr>
      <w:bookmarkStart w:id="94" w:name="_Toc514342840"/>
      <w:bookmarkStart w:id="95" w:name="_Toc20932"/>
      <w:r>
        <w:rPr>
          <w:rFonts w:hint="eastAsia" w:ascii="黑体" w:eastAsia="黑体"/>
          <w:b/>
          <w:snapToGrid w:val="0"/>
          <w:kern w:val="0"/>
          <w:sz w:val="32"/>
          <w:szCs w:val="32"/>
          <w:lang w:val="en-US" w:eastAsia="zh-CN"/>
        </w:rPr>
        <w:t>3</w:t>
      </w:r>
      <w:r>
        <w:rPr>
          <w:rFonts w:hint="eastAsia" w:ascii="黑体" w:eastAsia="黑体"/>
          <w:b/>
          <w:snapToGrid w:val="0"/>
          <w:kern w:val="0"/>
          <w:sz w:val="32"/>
          <w:szCs w:val="32"/>
          <w:lang w:eastAsia="zh-CN"/>
        </w:rPr>
        <w:t>.</w:t>
      </w:r>
      <w:r>
        <w:rPr>
          <w:rFonts w:hint="eastAsia" w:ascii="黑体" w:eastAsia="黑体"/>
          <w:b/>
          <w:snapToGrid w:val="0"/>
          <w:kern w:val="0"/>
          <w:sz w:val="32"/>
          <w:szCs w:val="32"/>
        </w:rPr>
        <w:t>3 危险、有害因素辨识的方法</w:t>
      </w:r>
      <w:bookmarkEnd w:id="91"/>
      <w:bookmarkEnd w:id="92"/>
      <w:bookmarkEnd w:id="93"/>
      <w:bookmarkEnd w:id="94"/>
      <w:bookmarkEnd w:id="95"/>
    </w:p>
    <w:p>
      <w:pPr>
        <w:spacing w:line="360" w:lineRule="auto"/>
        <w:ind w:firstLine="560" w:firstLineChars="200"/>
        <w:textAlignment w:val="baseline"/>
        <w:rPr>
          <w:rFonts w:ascii="宋体" w:hAnsi="宋体"/>
          <w:sz w:val="28"/>
          <w:szCs w:val="28"/>
        </w:rPr>
      </w:pPr>
      <w:r>
        <w:rPr>
          <w:rFonts w:hint="eastAsia" w:ascii="宋体" w:hAnsi="宋体"/>
          <w:sz w:val="28"/>
          <w:szCs w:val="28"/>
          <w:lang w:eastAsia="zh-CN"/>
        </w:rPr>
        <w:t>公司</w:t>
      </w:r>
      <w:r>
        <w:rPr>
          <w:rFonts w:ascii="宋体" w:hAnsi="宋体"/>
          <w:sz w:val="28"/>
          <w:szCs w:val="28"/>
        </w:rPr>
        <w:t>生产过程复杂，生产条件多变，涉及的危险、有害因素较多。必须选择适当的方法识别分析危险和有害因素，为制定相关的防范措施奠定基础。本次安全评价选用对照分析法和专家评议法对生产过程中主要危险、有害因素进行辨识。</w:t>
      </w:r>
    </w:p>
    <w:p>
      <w:pPr>
        <w:spacing w:line="360" w:lineRule="auto"/>
        <w:ind w:firstLine="560" w:firstLineChars="200"/>
        <w:rPr>
          <w:rFonts w:ascii="宋体" w:hAnsi="宋体"/>
          <w:snapToGrid w:val="0"/>
          <w:kern w:val="0"/>
          <w:sz w:val="28"/>
          <w:szCs w:val="28"/>
        </w:rPr>
      </w:pPr>
      <w:r>
        <w:rPr>
          <w:rFonts w:ascii="宋体" w:hAnsi="宋体"/>
          <w:snapToGrid w:val="0"/>
          <w:kern w:val="0"/>
          <w:sz w:val="28"/>
          <w:szCs w:val="28"/>
        </w:rPr>
        <w:t>⑴ 对照分析法</w:t>
      </w:r>
    </w:p>
    <w:p>
      <w:pPr>
        <w:spacing w:line="360" w:lineRule="auto"/>
        <w:ind w:firstLine="560" w:firstLineChars="200"/>
        <w:rPr>
          <w:rFonts w:ascii="宋体" w:hAnsi="宋体"/>
          <w:snapToGrid w:val="0"/>
          <w:kern w:val="0"/>
          <w:sz w:val="28"/>
          <w:szCs w:val="28"/>
        </w:rPr>
      </w:pPr>
      <w:r>
        <w:rPr>
          <w:rFonts w:ascii="宋体" w:hAnsi="宋体"/>
          <w:snapToGrid w:val="0"/>
          <w:kern w:val="0"/>
          <w:sz w:val="28"/>
          <w:szCs w:val="28"/>
        </w:rPr>
        <w:t>对照分析法是对照有关标准、规范、规程、法规或依靠分析人员的观察能力，借助其经验和判断能力，直观地对评价对象的危险因素进行分析的方法。</w:t>
      </w:r>
    </w:p>
    <w:p>
      <w:pPr>
        <w:spacing w:line="360" w:lineRule="auto"/>
        <w:ind w:firstLine="560" w:firstLineChars="200"/>
        <w:rPr>
          <w:rFonts w:ascii="宋体" w:hAnsi="宋体"/>
          <w:snapToGrid w:val="0"/>
          <w:kern w:val="0"/>
          <w:sz w:val="28"/>
          <w:szCs w:val="28"/>
        </w:rPr>
      </w:pPr>
      <w:r>
        <w:rPr>
          <w:rFonts w:ascii="宋体" w:hAnsi="宋体"/>
          <w:snapToGrid w:val="0"/>
          <w:kern w:val="0"/>
          <w:sz w:val="28"/>
          <w:szCs w:val="28"/>
        </w:rPr>
        <w:t>⑵ 专家评议法</w:t>
      </w:r>
    </w:p>
    <w:p>
      <w:pPr>
        <w:pStyle w:val="8"/>
        <w:spacing w:line="360" w:lineRule="auto"/>
        <w:ind w:firstLine="560"/>
        <w:rPr>
          <w:rFonts w:hint="eastAsia" w:ascii="宋体" w:hAnsi="宋体"/>
          <w:snapToGrid w:val="0"/>
          <w:kern w:val="0"/>
          <w:sz w:val="28"/>
          <w:szCs w:val="28"/>
        </w:rPr>
      </w:pPr>
      <w:r>
        <w:rPr>
          <w:rFonts w:ascii="宋体" w:hAnsi="宋体"/>
          <w:snapToGrid w:val="0"/>
          <w:kern w:val="0"/>
          <w:sz w:val="28"/>
          <w:szCs w:val="28"/>
        </w:rPr>
        <w:t>专家评议法是一种吸收专家参加，根据事物过去、现在及发展趋势，进行积极思维活动，对事物的未来进行分析、预测的方法。其实质是集</w:t>
      </w:r>
      <w:r>
        <w:rPr>
          <w:rFonts w:hint="eastAsia" w:ascii="宋体" w:hAnsi="宋体"/>
          <w:snapToGrid w:val="0"/>
          <w:kern w:val="0"/>
          <w:sz w:val="28"/>
          <w:szCs w:val="28"/>
        </w:rPr>
        <w:t>中技术</w:t>
      </w:r>
      <w:r>
        <w:rPr>
          <w:rFonts w:ascii="宋体" w:hAnsi="宋体"/>
          <w:snapToGrid w:val="0"/>
          <w:kern w:val="0"/>
          <w:sz w:val="28"/>
          <w:szCs w:val="28"/>
        </w:rPr>
        <w:t>专家的经验、知识和分析、推断能力来分析、识别危险、有害因素。</w:t>
      </w:r>
    </w:p>
    <w:p>
      <w:pPr>
        <w:pStyle w:val="8"/>
        <w:spacing w:line="360" w:lineRule="auto"/>
        <w:ind w:firstLine="0" w:firstLineChars="0"/>
        <w:outlineLvl w:val="1"/>
        <w:rPr>
          <w:rFonts w:hint="eastAsia" w:ascii="黑体" w:eastAsia="黑体"/>
          <w:b/>
          <w:snapToGrid w:val="0"/>
          <w:kern w:val="0"/>
          <w:sz w:val="32"/>
          <w:szCs w:val="32"/>
        </w:rPr>
      </w:pPr>
      <w:bookmarkStart w:id="96" w:name="_Toc356380973"/>
      <w:bookmarkStart w:id="97" w:name="_Toc345593159"/>
      <w:bookmarkStart w:id="98" w:name="_Toc356401486"/>
      <w:bookmarkStart w:id="99" w:name="_Toc332350845"/>
      <w:bookmarkStart w:id="100" w:name="_Toc514342841"/>
      <w:bookmarkStart w:id="101" w:name="_Toc480804389"/>
      <w:bookmarkStart w:id="102" w:name="_Toc8619"/>
      <w:bookmarkStart w:id="103" w:name="_Toc350781094"/>
      <w:r>
        <w:rPr>
          <w:rFonts w:hint="eastAsia" w:ascii="黑体" w:eastAsia="黑体"/>
          <w:b/>
          <w:snapToGrid w:val="0"/>
          <w:kern w:val="0"/>
          <w:sz w:val="32"/>
          <w:szCs w:val="32"/>
          <w:lang w:val="en-US" w:eastAsia="zh-CN"/>
        </w:rPr>
        <w:t>3</w:t>
      </w:r>
      <w:r>
        <w:rPr>
          <w:rFonts w:hint="eastAsia" w:ascii="黑体" w:eastAsia="黑体"/>
          <w:b/>
          <w:snapToGrid w:val="0"/>
          <w:kern w:val="0"/>
          <w:sz w:val="32"/>
          <w:szCs w:val="32"/>
          <w:lang w:eastAsia="zh-CN"/>
        </w:rPr>
        <w:t>.</w:t>
      </w:r>
      <w:r>
        <w:rPr>
          <w:rFonts w:hint="eastAsia" w:ascii="黑体" w:eastAsia="黑体"/>
          <w:b/>
          <w:snapToGrid w:val="0"/>
          <w:kern w:val="0"/>
          <w:sz w:val="32"/>
          <w:szCs w:val="32"/>
        </w:rPr>
        <w:t>4 主要危险、有害物质特性分析</w:t>
      </w:r>
      <w:bookmarkEnd w:id="96"/>
      <w:bookmarkEnd w:id="97"/>
      <w:bookmarkEnd w:id="98"/>
      <w:bookmarkEnd w:id="99"/>
      <w:bookmarkEnd w:id="100"/>
      <w:bookmarkEnd w:id="101"/>
      <w:bookmarkEnd w:id="102"/>
    </w:p>
    <w:p>
      <w:pPr>
        <w:pStyle w:val="8"/>
        <w:spacing w:line="360" w:lineRule="auto"/>
        <w:ind w:firstLine="560"/>
        <w:rPr>
          <w:rFonts w:hint="eastAsia" w:ascii="宋体" w:hAnsi="宋体"/>
          <w:snapToGrid w:val="0"/>
          <w:kern w:val="0"/>
          <w:sz w:val="28"/>
          <w:szCs w:val="28"/>
        </w:rPr>
      </w:pPr>
      <w:r>
        <w:rPr>
          <w:rFonts w:hint="eastAsia" w:ascii="宋体" w:hAnsi="宋体"/>
          <w:snapToGrid w:val="0"/>
          <w:kern w:val="0"/>
          <w:sz w:val="28"/>
          <w:szCs w:val="28"/>
        </w:rPr>
        <w:t>本系统主要使用煤炭作为燃料，点火时使用柴油。煤炭、柴油等物质在燃烧过程中，产生一氧化碳、二氧化碳及硫（磷）氧化物等危险、有害物质，对人体及周边环境造成影响。</w:t>
      </w:r>
    </w:p>
    <w:p>
      <w:pPr>
        <w:pStyle w:val="8"/>
        <w:spacing w:line="360" w:lineRule="auto"/>
        <w:ind w:firstLine="0" w:firstLineChars="0"/>
        <w:outlineLvl w:val="2"/>
        <w:rPr>
          <w:rFonts w:ascii="宋体" w:hAnsi="宋体"/>
          <w:b/>
          <w:snapToGrid w:val="0"/>
          <w:kern w:val="0"/>
          <w:sz w:val="28"/>
          <w:szCs w:val="28"/>
        </w:rPr>
      </w:pPr>
      <w:bookmarkStart w:id="104" w:name="_Toc356401487"/>
      <w:bookmarkStart w:id="105" w:name="_Toc514342842"/>
      <w:bookmarkStart w:id="106" w:name="_Toc480804390"/>
      <w:bookmarkStart w:id="107" w:name="_Toc332350846"/>
      <w:bookmarkStart w:id="108" w:name="_Toc356380974"/>
      <w:bookmarkStart w:id="109" w:name="_Toc19009"/>
      <w:r>
        <w:rPr>
          <w:rFonts w:hint="eastAsia" w:ascii="宋体" w:hAnsi="宋体"/>
          <w:b/>
          <w:snapToGrid w:val="0"/>
          <w:kern w:val="0"/>
          <w:sz w:val="28"/>
          <w:szCs w:val="28"/>
          <w:lang w:val="en-US" w:eastAsia="zh-CN"/>
        </w:rPr>
        <w:t>3</w:t>
      </w:r>
      <w:r>
        <w:rPr>
          <w:rFonts w:hint="eastAsia" w:ascii="宋体" w:hAnsi="宋体"/>
          <w:b/>
          <w:snapToGrid w:val="0"/>
          <w:kern w:val="0"/>
          <w:sz w:val="28"/>
          <w:szCs w:val="28"/>
          <w:lang w:eastAsia="zh-CN"/>
        </w:rPr>
        <w:t>.</w:t>
      </w:r>
      <w:r>
        <w:rPr>
          <w:rFonts w:hint="eastAsia" w:ascii="宋体" w:hAnsi="宋体"/>
          <w:b/>
          <w:snapToGrid w:val="0"/>
          <w:kern w:val="0"/>
          <w:sz w:val="28"/>
          <w:szCs w:val="28"/>
        </w:rPr>
        <w:t>4.1 煤</w:t>
      </w:r>
      <w:bookmarkEnd w:id="104"/>
      <w:bookmarkEnd w:id="105"/>
      <w:bookmarkEnd w:id="106"/>
      <w:bookmarkEnd w:id="107"/>
      <w:bookmarkEnd w:id="108"/>
      <w:bookmarkEnd w:id="109"/>
    </w:p>
    <w:p>
      <w:pPr>
        <w:spacing w:line="360" w:lineRule="auto"/>
        <w:ind w:firstLine="560" w:firstLineChars="200"/>
        <w:rPr>
          <w:rFonts w:hint="eastAsia" w:ascii="宋体" w:hAnsi="宋体"/>
          <w:sz w:val="28"/>
          <w:szCs w:val="28"/>
        </w:rPr>
      </w:pPr>
      <w:r>
        <w:rPr>
          <w:rFonts w:hint="eastAsia" w:ascii="宋体" w:hAnsi="宋体"/>
          <w:sz w:val="28"/>
          <w:szCs w:val="28"/>
        </w:rPr>
        <w:t>煤的主要元素是碳，其次是氢，并含有少量的氧、氮、硫。碳和氢是煤的主要可燃元素；氧是煤中的一种有害物质，因为它和碳、氢等可燃元素构成氧化物而使它们推动了进行燃烧的可能性；氮在一般情况下不参加燃烧反应，是燃料中的惰性元素，但在高温条件下，氮和氧形成NOX，这是一种对大气有严重污染作用的有害气体；硫是一种极有害的物质，因为燃烧后生产二氧化硫和三氧化硫，能危害人体健康和造成大气污染。煤炭的储存也很重要，主要是防火灾危险，因为各种煤有不同程度的自燃能力，再加上煤内水分的影响、空气湿度的影响、氧化影响、粒度大小的影响等等，也影响了自燃能力的大小。</w:t>
      </w:r>
    </w:p>
    <w:p>
      <w:pPr>
        <w:pStyle w:val="8"/>
        <w:spacing w:line="360" w:lineRule="auto"/>
        <w:ind w:firstLine="0" w:firstLineChars="0"/>
        <w:outlineLvl w:val="2"/>
        <w:rPr>
          <w:rFonts w:ascii="宋体" w:hAnsi="宋体"/>
          <w:b/>
          <w:snapToGrid w:val="0"/>
          <w:kern w:val="0"/>
          <w:sz w:val="28"/>
          <w:szCs w:val="28"/>
        </w:rPr>
      </w:pPr>
      <w:bookmarkStart w:id="110" w:name="_Toc480804391"/>
      <w:bookmarkStart w:id="111" w:name="_Toc356401488"/>
      <w:bookmarkStart w:id="112" w:name="_Toc356380975"/>
      <w:bookmarkStart w:id="113" w:name="_Toc514342843"/>
      <w:bookmarkStart w:id="114" w:name="_Toc332350847"/>
      <w:bookmarkStart w:id="115" w:name="_Toc7504"/>
      <w:r>
        <w:rPr>
          <w:rFonts w:hint="eastAsia" w:ascii="宋体" w:hAnsi="宋体"/>
          <w:b/>
          <w:snapToGrid w:val="0"/>
          <w:kern w:val="0"/>
          <w:sz w:val="28"/>
          <w:szCs w:val="28"/>
          <w:lang w:val="en-US" w:eastAsia="zh-CN"/>
        </w:rPr>
        <w:t>3</w:t>
      </w:r>
      <w:r>
        <w:rPr>
          <w:rFonts w:hint="eastAsia" w:ascii="宋体" w:hAnsi="宋体"/>
          <w:b/>
          <w:snapToGrid w:val="0"/>
          <w:kern w:val="0"/>
          <w:sz w:val="28"/>
          <w:szCs w:val="28"/>
          <w:lang w:eastAsia="zh-CN"/>
        </w:rPr>
        <w:t>.</w:t>
      </w:r>
      <w:r>
        <w:rPr>
          <w:rFonts w:hint="eastAsia" w:ascii="宋体" w:hAnsi="宋体"/>
          <w:b/>
          <w:snapToGrid w:val="0"/>
          <w:kern w:val="0"/>
          <w:sz w:val="28"/>
          <w:szCs w:val="28"/>
        </w:rPr>
        <w:t>4.2 柴油</w:t>
      </w:r>
      <w:bookmarkEnd w:id="110"/>
      <w:bookmarkEnd w:id="111"/>
      <w:bookmarkEnd w:id="112"/>
      <w:bookmarkEnd w:id="113"/>
      <w:bookmarkEnd w:id="114"/>
      <w:bookmarkEnd w:id="115"/>
    </w:p>
    <w:p>
      <w:pPr>
        <w:adjustRightInd w:val="0"/>
        <w:snapToGrid w:val="0"/>
        <w:spacing w:line="360" w:lineRule="auto"/>
        <w:ind w:firstLine="560" w:firstLineChars="200"/>
        <w:rPr>
          <w:rFonts w:hint="eastAsia"/>
          <w:sz w:val="28"/>
          <w:szCs w:val="28"/>
        </w:rPr>
      </w:pPr>
      <w:r>
        <w:rPr>
          <w:rFonts w:hint="eastAsia"/>
          <w:sz w:val="28"/>
          <w:szCs w:val="28"/>
        </w:rPr>
        <w:t>柴油主要是由烷烃、烯烃、芳香烃、多环芳烃与少量硫（2~60</w:t>
      </w:r>
      <w:r>
        <w:rPr>
          <w:sz w:val="28"/>
          <w:szCs w:val="28"/>
        </w:rPr>
        <w:t>g/Kg</w:t>
      </w:r>
      <w:r>
        <w:rPr>
          <w:rFonts w:hint="eastAsia"/>
          <w:sz w:val="28"/>
          <w:szCs w:val="28"/>
        </w:rPr>
        <w:t>）、氮（＜1</w:t>
      </w:r>
      <w:r>
        <w:rPr>
          <w:sz w:val="28"/>
          <w:szCs w:val="28"/>
        </w:rPr>
        <w:t xml:space="preserve"> g/Kg</w:t>
      </w:r>
      <w:r>
        <w:rPr>
          <w:rFonts w:hint="eastAsia"/>
          <w:sz w:val="28"/>
          <w:szCs w:val="28"/>
        </w:rPr>
        <w:t>）及添加剂组成的混合物。以燃料油为例：白色或淡黄色液体，相对密度0.85；熔点</w:t>
      </w:r>
      <w:r>
        <w:rPr>
          <w:sz w:val="28"/>
          <w:szCs w:val="28"/>
        </w:rPr>
        <w:t>--</w:t>
      </w:r>
      <w:r>
        <w:rPr>
          <w:rFonts w:hint="eastAsia"/>
          <w:sz w:val="28"/>
          <w:szCs w:val="28"/>
        </w:rPr>
        <w:t>29.56℃，沸点180~370℃，闪点40℃，蒸气密度4，蒸气压4.0</w:t>
      </w:r>
      <w:r>
        <w:rPr>
          <w:sz w:val="28"/>
          <w:szCs w:val="28"/>
        </w:rPr>
        <w:t>Kpa</w:t>
      </w:r>
      <w:r>
        <w:rPr>
          <w:rFonts w:hint="eastAsia"/>
          <w:sz w:val="28"/>
          <w:szCs w:val="28"/>
        </w:rPr>
        <w:t>。</w:t>
      </w:r>
    </w:p>
    <w:p>
      <w:pPr>
        <w:adjustRightInd w:val="0"/>
        <w:snapToGrid w:val="0"/>
        <w:spacing w:line="360" w:lineRule="auto"/>
        <w:ind w:firstLine="560" w:firstLineChars="200"/>
        <w:rPr>
          <w:rFonts w:hint="eastAsia"/>
          <w:sz w:val="28"/>
          <w:szCs w:val="28"/>
        </w:rPr>
      </w:pPr>
      <w:r>
        <w:rPr>
          <w:rFonts w:hint="eastAsia"/>
          <w:sz w:val="28"/>
          <w:szCs w:val="28"/>
        </w:rPr>
        <w:t>危险性：蒸气与空气混合物可燃限0.7~5.0%；不溶于水；遇热、火花、明火易燃，可蓄积静电，引起电火花；分解和燃烧产物为一氧化化碳、二氧化碳和硫氧化物；避免接触氧化剂。</w:t>
      </w:r>
    </w:p>
    <w:p>
      <w:pPr>
        <w:adjustRightInd w:val="0"/>
        <w:snapToGrid w:val="0"/>
        <w:spacing w:line="360" w:lineRule="auto"/>
        <w:ind w:firstLine="560" w:firstLineChars="200"/>
        <w:rPr>
          <w:rFonts w:hint="eastAsia"/>
          <w:sz w:val="28"/>
          <w:szCs w:val="28"/>
        </w:rPr>
      </w:pPr>
      <w:r>
        <w:rPr>
          <w:rFonts w:hint="eastAsia"/>
          <w:sz w:val="28"/>
          <w:szCs w:val="28"/>
        </w:rPr>
        <w:t>危害性：皮肤大量接触后，个别人可能发生肾脏损害；皮肤接触后，可发生接触性皮炎，表现为红斑、水疱、丘疹。</w:t>
      </w:r>
    </w:p>
    <w:p>
      <w:pPr>
        <w:adjustRightInd w:val="0"/>
        <w:snapToGrid w:val="0"/>
        <w:spacing w:line="360" w:lineRule="auto"/>
        <w:ind w:firstLine="560" w:firstLineChars="200"/>
        <w:rPr>
          <w:rFonts w:hint="eastAsia"/>
          <w:sz w:val="28"/>
          <w:szCs w:val="28"/>
        </w:rPr>
      </w:pPr>
      <w:r>
        <w:rPr>
          <w:rFonts w:hint="eastAsia"/>
          <w:sz w:val="28"/>
          <w:szCs w:val="28"/>
        </w:rPr>
        <w:t>灭火剂：泡沫、干粉、二氧化碳、砂土。</w:t>
      </w:r>
    </w:p>
    <w:p>
      <w:pPr>
        <w:adjustRightInd w:val="0"/>
        <w:snapToGrid w:val="0"/>
        <w:spacing w:line="360" w:lineRule="auto"/>
        <w:ind w:firstLine="560" w:firstLineChars="200"/>
        <w:rPr>
          <w:rFonts w:hint="eastAsia"/>
          <w:sz w:val="28"/>
          <w:szCs w:val="28"/>
        </w:rPr>
      </w:pPr>
      <w:r>
        <w:rPr>
          <w:rFonts w:hint="eastAsia"/>
          <w:sz w:val="28"/>
          <w:szCs w:val="28"/>
        </w:rPr>
        <w:t>着火性、流动性和凝点是柴油性能的重要指标。</w:t>
      </w:r>
    </w:p>
    <w:p>
      <w:pPr>
        <w:pStyle w:val="8"/>
        <w:spacing w:line="360" w:lineRule="auto"/>
        <w:ind w:firstLine="0" w:firstLineChars="0"/>
        <w:outlineLvl w:val="2"/>
        <w:rPr>
          <w:rFonts w:hint="eastAsia" w:ascii="宋体" w:hAnsi="宋体"/>
          <w:b/>
          <w:snapToGrid w:val="0"/>
          <w:kern w:val="0"/>
          <w:sz w:val="28"/>
          <w:szCs w:val="28"/>
        </w:rPr>
      </w:pPr>
      <w:bookmarkStart w:id="116" w:name="_Toc332350848"/>
      <w:bookmarkStart w:id="117" w:name="_Toc356380976"/>
      <w:bookmarkStart w:id="118" w:name="_Toc480804392"/>
      <w:bookmarkStart w:id="119" w:name="_Toc514342844"/>
      <w:bookmarkStart w:id="120" w:name="_Toc356401489"/>
      <w:bookmarkStart w:id="121" w:name="_Toc15515"/>
      <w:r>
        <w:rPr>
          <w:rFonts w:hint="eastAsia" w:ascii="宋体" w:hAnsi="宋体"/>
          <w:b/>
          <w:snapToGrid w:val="0"/>
          <w:kern w:val="0"/>
          <w:sz w:val="28"/>
          <w:szCs w:val="28"/>
          <w:lang w:val="en-US" w:eastAsia="zh-CN"/>
        </w:rPr>
        <w:t>3</w:t>
      </w:r>
      <w:r>
        <w:rPr>
          <w:rFonts w:hint="eastAsia" w:ascii="宋体" w:hAnsi="宋体"/>
          <w:b/>
          <w:snapToGrid w:val="0"/>
          <w:kern w:val="0"/>
          <w:sz w:val="28"/>
          <w:szCs w:val="28"/>
          <w:lang w:eastAsia="zh-CN"/>
        </w:rPr>
        <w:t>.</w:t>
      </w:r>
      <w:r>
        <w:rPr>
          <w:rFonts w:hint="eastAsia" w:ascii="宋体" w:hAnsi="宋体"/>
          <w:b/>
          <w:snapToGrid w:val="0"/>
          <w:kern w:val="0"/>
          <w:sz w:val="28"/>
          <w:szCs w:val="28"/>
        </w:rPr>
        <w:t>4.3 一氧化碳</w:t>
      </w:r>
      <w:bookmarkEnd w:id="116"/>
      <w:bookmarkEnd w:id="117"/>
      <w:bookmarkEnd w:id="118"/>
      <w:bookmarkEnd w:id="119"/>
      <w:bookmarkEnd w:id="120"/>
      <w:bookmarkEnd w:id="121"/>
    </w:p>
    <w:p>
      <w:pPr>
        <w:adjustRightInd w:val="0"/>
        <w:snapToGrid w:val="0"/>
        <w:spacing w:line="360" w:lineRule="auto"/>
        <w:ind w:firstLine="560" w:firstLineChars="200"/>
        <w:rPr>
          <w:rFonts w:hint="eastAsia"/>
          <w:sz w:val="28"/>
          <w:szCs w:val="28"/>
        </w:rPr>
      </w:pPr>
      <w:r>
        <w:rPr>
          <w:rFonts w:hint="eastAsia"/>
          <w:sz w:val="28"/>
          <w:szCs w:val="28"/>
        </w:rPr>
        <w:t xml:space="preserve">英文名：Carbon  Monoxide               分子式：CO   </w:t>
      </w:r>
    </w:p>
    <w:p>
      <w:pPr>
        <w:adjustRightInd w:val="0"/>
        <w:snapToGrid w:val="0"/>
        <w:spacing w:line="360" w:lineRule="auto"/>
        <w:ind w:firstLine="560" w:firstLineChars="200"/>
        <w:rPr>
          <w:rFonts w:hint="eastAsia"/>
          <w:sz w:val="28"/>
          <w:szCs w:val="28"/>
        </w:rPr>
      </w:pPr>
      <w:r>
        <w:rPr>
          <w:rFonts w:hint="eastAsia"/>
          <w:sz w:val="28"/>
          <w:szCs w:val="28"/>
        </w:rPr>
        <w:t xml:space="preserve">性状：无色、无味气体；                 熔点：-199．1℃   </w:t>
      </w:r>
    </w:p>
    <w:p>
      <w:pPr>
        <w:adjustRightInd w:val="0"/>
        <w:snapToGrid w:val="0"/>
        <w:spacing w:line="360" w:lineRule="auto"/>
        <w:ind w:firstLine="560" w:firstLineChars="200"/>
        <w:rPr>
          <w:rFonts w:hint="eastAsia"/>
          <w:sz w:val="28"/>
          <w:szCs w:val="28"/>
        </w:rPr>
      </w:pPr>
      <w:r>
        <w:rPr>
          <w:rFonts w:hint="eastAsia"/>
          <w:sz w:val="28"/>
          <w:szCs w:val="28"/>
        </w:rPr>
        <w:t xml:space="preserve">沸点：-192℃                           相对密度：0．97   </w:t>
      </w:r>
    </w:p>
    <w:p>
      <w:pPr>
        <w:adjustRightInd w:val="0"/>
        <w:snapToGrid w:val="0"/>
        <w:spacing w:line="360" w:lineRule="auto"/>
        <w:ind w:firstLine="560" w:firstLineChars="200"/>
        <w:rPr>
          <w:rFonts w:hint="eastAsia"/>
          <w:sz w:val="28"/>
          <w:szCs w:val="28"/>
        </w:rPr>
      </w:pPr>
      <w:r>
        <w:rPr>
          <w:rFonts w:hint="eastAsia"/>
          <w:sz w:val="28"/>
          <w:szCs w:val="28"/>
        </w:rPr>
        <w:t>危险性类别：第2.易燃气体               危编号：21005</w:t>
      </w:r>
    </w:p>
    <w:p>
      <w:pPr>
        <w:adjustRightInd w:val="0"/>
        <w:snapToGrid w:val="0"/>
        <w:spacing w:line="360" w:lineRule="auto"/>
        <w:ind w:firstLine="560" w:firstLineChars="200"/>
        <w:rPr>
          <w:rFonts w:hint="eastAsia"/>
          <w:sz w:val="28"/>
          <w:szCs w:val="28"/>
        </w:rPr>
      </w:pPr>
      <w:r>
        <w:rPr>
          <w:rFonts w:hint="eastAsia"/>
          <w:sz w:val="28"/>
          <w:szCs w:val="28"/>
        </w:rPr>
        <w:t>un：1016(气体)                     爆炸极限：12</w:t>
      </w:r>
      <w:r>
        <w:rPr>
          <w:sz w:val="28"/>
          <w:szCs w:val="28"/>
        </w:rPr>
        <w:t>.</w:t>
      </w:r>
      <w:r>
        <w:rPr>
          <w:rFonts w:hint="eastAsia"/>
          <w:sz w:val="28"/>
          <w:szCs w:val="28"/>
        </w:rPr>
        <w:t>5~74％（V）</w:t>
      </w:r>
    </w:p>
    <w:p>
      <w:pPr>
        <w:adjustRightInd w:val="0"/>
        <w:snapToGrid w:val="0"/>
        <w:spacing w:line="360" w:lineRule="auto"/>
        <w:ind w:firstLine="560" w:firstLineChars="200"/>
        <w:rPr>
          <w:rFonts w:hint="eastAsia"/>
          <w:sz w:val="28"/>
          <w:szCs w:val="28"/>
        </w:rPr>
      </w:pPr>
      <w:r>
        <w:rPr>
          <w:rFonts w:hint="eastAsia"/>
          <w:sz w:val="28"/>
          <w:szCs w:val="28"/>
        </w:rPr>
        <w:t>最高容许浓度：30mg／m³(按职业性接触毒物危害程度分级为Ⅱ级，高度危害物质)。</w:t>
      </w:r>
    </w:p>
    <w:p>
      <w:pPr>
        <w:adjustRightInd w:val="0"/>
        <w:snapToGrid w:val="0"/>
        <w:spacing w:line="360" w:lineRule="auto"/>
        <w:ind w:firstLine="560" w:firstLineChars="200"/>
        <w:rPr>
          <w:rFonts w:hint="eastAsia"/>
          <w:sz w:val="28"/>
          <w:szCs w:val="28"/>
        </w:rPr>
      </w:pPr>
      <w:r>
        <w:rPr>
          <w:rFonts w:hint="eastAsia"/>
          <w:sz w:val="28"/>
          <w:szCs w:val="28"/>
        </w:rPr>
        <w:t>健康危害：一氧化碳在血液中与血红蛋白结合而造成组织缺氧。</w:t>
      </w:r>
    </w:p>
    <w:p>
      <w:pPr>
        <w:adjustRightInd w:val="0"/>
        <w:snapToGrid w:val="0"/>
        <w:spacing w:line="360" w:lineRule="auto"/>
        <w:ind w:firstLine="560" w:firstLineChars="200"/>
        <w:rPr>
          <w:rFonts w:hint="eastAsia"/>
          <w:sz w:val="28"/>
          <w:szCs w:val="28"/>
        </w:rPr>
      </w:pPr>
      <w:r>
        <w:rPr>
          <w:rFonts w:hint="eastAsia"/>
          <w:sz w:val="28"/>
          <w:szCs w:val="28"/>
        </w:rPr>
        <w:t>急性中毒：轻度中毒出现头痛、头晕、耳鸣、心悸、恶心、呕吐、无力；中度中毒除出现上述症状外还有皮肤粘膜呈樱红色、脉快、烦躁、步态不稳；重度患者深度昏迷、瞳孔扩大、肌张力增强，频繁抽搐、大小便失禁、休克、肺水肿、严重心肌损害等。</w:t>
      </w:r>
    </w:p>
    <w:p>
      <w:pPr>
        <w:pStyle w:val="8"/>
        <w:spacing w:line="360" w:lineRule="auto"/>
        <w:ind w:firstLine="0" w:firstLineChars="0"/>
        <w:outlineLvl w:val="2"/>
        <w:rPr>
          <w:rFonts w:hint="eastAsia" w:ascii="宋体" w:hAnsi="宋体"/>
          <w:b/>
          <w:snapToGrid w:val="0"/>
          <w:kern w:val="0"/>
          <w:sz w:val="28"/>
          <w:szCs w:val="28"/>
        </w:rPr>
      </w:pPr>
      <w:bookmarkStart w:id="122" w:name="_Toc514342845"/>
      <w:bookmarkStart w:id="123" w:name="_Toc356401490"/>
      <w:bookmarkStart w:id="124" w:name="_Toc332350849"/>
      <w:bookmarkStart w:id="125" w:name="_Toc356380977"/>
      <w:bookmarkStart w:id="126" w:name="_Toc480804393"/>
      <w:bookmarkStart w:id="127" w:name="_Toc22661"/>
      <w:r>
        <w:rPr>
          <w:rFonts w:hint="eastAsia" w:ascii="宋体" w:hAnsi="宋体"/>
          <w:b/>
          <w:snapToGrid w:val="0"/>
          <w:kern w:val="0"/>
          <w:sz w:val="28"/>
          <w:szCs w:val="28"/>
          <w:lang w:val="en-US" w:eastAsia="zh-CN"/>
        </w:rPr>
        <w:t>3</w:t>
      </w:r>
      <w:r>
        <w:rPr>
          <w:rFonts w:hint="eastAsia" w:ascii="宋体" w:hAnsi="宋体"/>
          <w:b/>
          <w:snapToGrid w:val="0"/>
          <w:kern w:val="0"/>
          <w:sz w:val="28"/>
          <w:szCs w:val="28"/>
          <w:lang w:eastAsia="zh-CN"/>
        </w:rPr>
        <w:t>.</w:t>
      </w:r>
      <w:r>
        <w:rPr>
          <w:rFonts w:hint="eastAsia" w:ascii="宋体" w:hAnsi="宋体"/>
          <w:b/>
          <w:snapToGrid w:val="0"/>
          <w:kern w:val="0"/>
          <w:sz w:val="28"/>
          <w:szCs w:val="28"/>
        </w:rPr>
        <w:t>4.4 二氧化碳</w:t>
      </w:r>
      <w:bookmarkEnd w:id="122"/>
      <w:bookmarkEnd w:id="123"/>
      <w:bookmarkEnd w:id="124"/>
      <w:bookmarkEnd w:id="125"/>
      <w:bookmarkEnd w:id="126"/>
      <w:bookmarkEnd w:id="127"/>
      <w:r>
        <w:rPr>
          <w:rFonts w:hint="eastAsia" w:ascii="宋体" w:hAnsi="宋体"/>
          <w:b/>
          <w:snapToGrid w:val="0"/>
          <w:kern w:val="0"/>
          <w:sz w:val="28"/>
          <w:szCs w:val="28"/>
        </w:rPr>
        <w:t xml:space="preserve"> </w:t>
      </w:r>
    </w:p>
    <w:p>
      <w:pPr>
        <w:adjustRightInd w:val="0"/>
        <w:snapToGrid w:val="0"/>
        <w:spacing w:line="360" w:lineRule="auto"/>
        <w:ind w:firstLine="560" w:firstLineChars="200"/>
        <w:rPr>
          <w:rFonts w:hint="eastAsia"/>
          <w:sz w:val="28"/>
          <w:szCs w:val="28"/>
        </w:rPr>
      </w:pPr>
      <w:r>
        <w:rPr>
          <w:rFonts w:hint="eastAsia"/>
          <w:sz w:val="28"/>
          <w:szCs w:val="28"/>
        </w:rPr>
        <w:t xml:space="preserve">英文名：Carbon  Dioxide             分子式：C02   </w:t>
      </w:r>
    </w:p>
    <w:p>
      <w:pPr>
        <w:adjustRightInd w:val="0"/>
        <w:snapToGrid w:val="0"/>
        <w:spacing w:line="360" w:lineRule="auto"/>
        <w:ind w:firstLine="560" w:firstLineChars="200"/>
        <w:rPr>
          <w:rFonts w:hint="eastAsia"/>
          <w:sz w:val="28"/>
          <w:szCs w:val="28"/>
        </w:rPr>
      </w:pPr>
      <w:r>
        <w:rPr>
          <w:rFonts w:hint="eastAsia"/>
          <w:sz w:val="28"/>
          <w:szCs w:val="28"/>
        </w:rPr>
        <w:t xml:space="preserve">性状：无色、无味、不燃的气体        熔点：-56．6℃   </w:t>
      </w:r>
    </w:p>
    <w:p>
      <w:pPr>
        <w:adjustRightInd w:val="0"/>
        <w:snapToGrid w:val="0"/>
        <w:spacing w:line="360" w:lineRule="auto"/>
        <w:ind w:firstLine="560" w:firstLineChars="200"/>
        <w:rPr>
          <w:rFonts w:hint="eastAsia"/>
          <w:sz w:val="28"/>
          <w:szCs w:val="28"/>
        </w:rPr>
      </w:pPr>
      <w:r>
        <w:rPr>
          <w:rFonts w:hint="eastAsia"/>
          <w:sz w:val="28"/>
          <w:szCs w:val="28"/>
        </w:rPr>
        <w:t>沸点：-78．5℃(升华)           危险性类别：第2.2不燃气体</w:t>
      </w:r>
    </w:p>
    <w:p>
      <w:pPr>
        <w:adjustRightInd w:val="0"/>
        <w:snapToGrid w:val="0"/>
        <w:spacing w:line="360" w:lineRule="auto"/>
        <w:ind w:firstLine="560" w:firstLineChars="200"/>
        <w:rPr>
          <w:rFonts w:hint="eastAsia"/>
          <w:sz w:val="28"/>
          <w:szCs w:val="28"/>
        </w:rPr>
      </w:pPr>
      <w:r>
        <w:rPr>
          <w:rFonts w:hint="eastAsia"/>
          <w:sz w:val="28"/>
          <w:szCs w:val="28"/>
        </w:rPr>
        <w:t>危编号：22019                        un：1013（气体）</w:t>
      </w:r>
    </w:p>
    <w:p>
      <w:pPr>
        <w:adjustRightInd w:val="0"/>
        <w:snapToGrid w:val="0"/>
        <w:spacing w:line="360" w:lineRule="auto"/>
        <w:ind w:firstLine="560" w:firstLineChars="200"/>
        <w:rPr>
          <w:rFonts w:hint="eastAsia"/>
          <w:sz w:val="28"/>
          <w:szCs w:val="28"/>
        </w:rPr>
      </w:pPr>
      <w:r>
        <w:rPr>
          <w:rFonts w:hint="eastAsia"/>
          <w:sz w:val="28"/>
          <w:szCs w:val="28"/>
        </w:rPr>
        <w:t>健康危害：在低浓度时，对呼吸中枢呈兴奋作用，高浓度时则产生抑制甚至麻痹作用。中毒机制中还兼有缺氧的因素。</w:t>
      </w:r>
    </w:p>
    <w:p>
      <w:pPr>
        <w:adjustRightInd w:val="0"/>
        <w:snapToGrid w:val="0"/>
        <w:spacing w:line="360" w:lineRule="auto"/>
        <w:ind w:firstLine="560" w:firstLineChars="200"/>
        <w:rPr>
          <w:rFonts w:hint="eastAsia"/>
          <w:sz w:val="28"/>
          <w:szCs w:val="28"/>
        </w:rPr>
      </w:pPr>
      <w:r>
        <w:rPr>
          <w:rFonts w:hint="eastAsia"/>
          <w:sz w:val="28"/>
          <w:szCs w:val="28"/>
        </w:rPr>
        <w:t>急性中毒：人进入高浓度二氧化碳环境，在几秒钟迅速昏迷倒下，反射消失、瞳孔扩大或缩小、大小便失禁、呕吐等，更严重者出现呼吸停止及休克，甚至死亡。</w:t>
      </w:r>
    </w:p>
    <w:p>
      <w:pPr>
        <w:adjustRightInd w:val="0"/>
        <w:snapToGrid w:val="0"/>
        <w:spacing w:line="360" w:lineRule="auto"/>
        <w:ind w:firstLine="560" w:firstLineChars="200"/>
        <w:rPr>
          <w:rFonts w:hint="eastAsia"/>
          <w:sz w:val="28"/>
          <w:szCs w:val="28"/>
        </w:rPr>
      </w:pPr>
      <w:r>
        <w:rPr>
          <w:rFonts w:hint="eastAsia"/>
          <w:sz w:val="28"/>
          <w:szCs w:val="28"/>
        </w:rPr>
        <w:t>慢性影响：经常接触较高的二氧化碳者，会有头晕、头痛、失眠、易兴奋、无力等神经功能紊乱等主诉。</w:t>
      </w:r>
    </w:p>
    <w:p>
      <w:pPr>
        <w:adjustRightInd w:val="0"/>
        <w:snapToGrid w:val="0"/>
        <w:spacing w:line="360" w:lineRule="auto"/>
        <w:ind w:firstLine="560" w:firstLineChars="200"/>
        <w:rPr>
          <w:rFonts w:hint="eastAsia"/>
          <w:sz w:val="28"/>
          <w:szCs w:val="28"/>
        </w:rPr>
      </w:pPr>
      <w:r>
        <w:rPr>
          <w:rFonts w:hint="eastAsia"/>
          <w:sz w:val="28"/>
          <w:szCs w:val="28"/>
        </w:rPr>
        <w:t>防护措施：呼吸系统防护：一般不需特殊防护，高浓度接触时可佩戴空气呼吸器；眼睛防护：一般不需特殊防护；身体防护：穿一般作业工作服；手防护：戴一般作业防护手套；其它：避免高浓度吸入。</w:t>
      </w:r>
    </w:p>
    <w:p>
      <w:pPr>
        <w:pStyle w:val="8"/>
        <w:spacing w:line="360" w:lineRule="auto"/>
        <w:ind w:firstLine="0" w:firstLineChars="0"/>
        <w:outlineLvl w:val="2"/>
        <w:rPr>
          <w:rFonts w:hint="eastAsia" w:ascii="宋体" w:hAnsi="宋体"/>
          <w:b/>
          <w:snapToGrid w:val="0"/>
          <w:kern w:val="0"/>
          <w:sz w:val="28"/>
          <w:szCs w:val="28"/>
        </w:rPr>
      </w:pPr>
      <w:bookmarkStart w:id="128" w:name="_Toc514342846"/>
      <w:bookmarkStart w:id="129" w:name="_Toc356401491"/>
      <w:bookmarkStart w:id="130" w:name="_Toc480804394"/>
      <w:bookmarkStart w:id="131" w:name="_Toc356380978"/>
      <w:bookmarkStart w:id="132" w:name="_Toc332350850"/>
      <w:bookmarkStart w:id="133" w:name="_Toc3542"/>
      <w:r>
        <w:rPr>
          <w:rFonts w:hint="eastAsia" w:ascii="宋体" w:hAnsi="宋体"/>
          <w:b/>
          <w:snapToGrid w:val="0"/>
          <w:kern w:val="0"/>
          <w:sz w:val="28"/>
          <w:szCs w:val="28"/>
          <w:lang w:val="en-US" w:eastAsia="zh-CN"/>
        </w:rPr>
        <w:t>3</w:t>
      </w:r>
      <w:r>
        <w:rPr>
          <w:rFonts w:hint="eastAsia" w:ascii="宋体" w:hAnsi="宋体"/>
          <w:b/>
          <w:snapToGrid w:val="0"/>
          <w:kern w:val="0"/>
          <w:sz w:val="28"/>
          <w:szCs w:val="28"/>
          <w:lang w:eastAsia="zh-CN"/>
        </w:rPr>
        <w:t>.</w:t>
      </w:r>
      <w:r>
        <w:rPr>
          <w:rFonts w:hint="eastAsia" w:ascii="宋体" w:hAnsi="宋体"/>
          <w:b/>
          <w:snapToGrid w:val="0"/>
          <w:kern w:val="0"/>
          <w:sz w:val="28"/>
          <w:szCs w:val="28"/>
        </w:rPr>
        <w:t>4.5 二氧化硫（三氧化硫参考）</w:t>
      </w:r>
      <w:bookmarkEnd w:id="128"/>
      <w:bookmarkEnd w:id="129"/>
      <w:bookmarkEnd w:id="130"/>
      <w:bookmarkEnd w:id="131"/>
      <w:bookmarkEnd w:id="132"/>
      <w:bookmarkEnd w:id="133"/>
    </w:p>
    <w:p>
      <w:pPr>
        <w:adjustRightInd w:val="0"/>
        <w:snapToGrid w:val="0"/>
        <w:spacing w:line="360" w:lineRule="auto"/>
        <w:ind w:firstLine="560" w:firstLineChars="200"/>
        <w:rPr>
          <w:rFonts w:hint="eastAsia"/>
          <w:sz w:val="28"/>
          <w:szCs w:val="28"/>
        </w:rPr>
      </w:pPr>
      <w:r>
        <w:rPr>
          <w:rFonts w:hint="eastAsia"/>
          <w:sz w:val="28"/>
          <w:szCs w:val="28"/>
        </w:rPr>
        <w:t>英文名：（S</w:t>
      </w:r>
      <w:r>
        <w:rPr>
          <w:sz w:val="28"/>
          <w:szCs w:val="28"/>
        </w:rPr>
        <w:t xml:space="preserve">ulfur  </w:t>
      </w:r>
      <w:r>
        <w:rPr>
          <w:rFonts w:hint="eastAsia"/>
          <w:sz w:val="28"/>
          <w:szCs w:val="28"/>
        </w:rPr>
        <w:t>D</w:t>
      </w:r>
      <w:r>
        <w:rPr>
          <w:sz w:val="28"/>
          <w:szCs w:val="28"/>
        </w:rPr>
        <w:t>ioxide</w:t>
      </w:r>
      <w:r>
        <w:rPr>
          <w:rFonts w:hint="eastAsia"/>
          <w:sz w:val="28"/>
          <w:szCs w:val="28"/>
        </w:rPr>
        <w:t>）           分子式：</w:t>
      </w:r>
      <w:r>
        <w:rPr>
          <w:sz w:val="28"/>
          <w:szCs w:val="28"/>
        </w:rPr>
        <w:t>SO2</w:t>
      </w:r>
      <w:r>
        <w:rPr>
          <w:rFonts w:hint="eastAsia"/>
          <w:sz w:val="28"/>
          <w:szCs w:val="28"/>
        </w:rPr>
        <w:t xml:space="preserve">     </w:t>
      </w:r>
    </w:p>
    <w:p>
      <w:pPr>
        <w:adjustRightInd w:val="0"/>
        <w:snapToGrid w:val="0"/>
        <w:spacing w:line="360" w:lineRule="auto"/>
        <w:ind w:firstLine="560" w:firstLineChars="200"/>
        <w:rPr>
          <w:rFonts w:hint="eastAsia"/>
          <w:sz w:val="28"/>
          <w:szCs w:val="28"/>
        </w:rPr>
      </w:pPr>
      <w:r>
        <w:rPr>
          <w:rFonts w:hint="eastAsia"/>
          <w:sz w:val="28"/>
          <w:szCs w:val="28"/>
        </w:rPr>
        <w:t xml:space="preserve">外观及性状：无色气体，室温下具有强烈刺激气味，可溶于水及有机溶剂 </w:t>
      </w:r>
    </w:p>
    <w:p>
      <w:pPr>
        <w:adjustRightInd w:val="0"/>
        <w:snapToGrid w:val="0"/>
        <w:spacing w:line="360" w:lineRule="auto"/>
        <w:ind w:firstLine="560" w:firstLineChars="200"/>
        <w:rPr>
          <w:rFonts w:hint="eastAsia"/>
          <w:sz w:val="28"/>
          <w:szCs w:val="28"/>
        </w:rPr>
      </w:pPr>
      <w:r>
        <w:rPr>
          <w:rFonts w:hint="eastAsia"/>
          <w:sz w:val="28"/>
          <w:szCs w:val="28"/>
        </w:rPr>
        <w:t>熔点：</w:t>
      </w:r>
      <w:r>
        <w:rPr>
          <w:sz w:val="28"/>
          <w:szCs w:val="28"/>
        </w:rPr>
        <w:t>-75.5</w:t>
      </w:r>
      <w:r>
        <w:rPr>
          <w:rFonts w:hint="eastAsia"/>
          <w:sz w:val="28"/>
          <w:szCs w:val="28"/>
        </w:rPr>
        <w:t xml:space="preserve"> ℃                       沸点：</w:t>
      </w:r>
      <w:r>
        <w:rPr>
          <w:sz w:val="28"/>
          <w:szCs w:val="28"/>
        </w:rPr>
        <w:t>-10</w:t>
      </w:r>
      <w:r>
        <w:rPr>
          <w:rFonts w:hint="eastAsia"/>
          <w:sz w:val="28"/>
          <w:szCs w:val="28"/>
        </w:rPr>
        <w:t xml:space="preserve"> ℃  </w:t>
      </w:r>
    </w:p>
    <w:p>
      <w:pPr>
        <w:adjustRightInd w:val="0"/>
        <w:snapToGrid w:val="0"/>
        <w:spacing w:line="360" w:lineRule="auto"/>
        <w:ind w:firstLine="560" w:firstLineChars="200"/>
        <w:rPr>
          <w:rFonts w:hint="eastAsia"/>
          <w:sz w:val="28"/>
          <w:szCs w:val="28"/>
        </w:rPr>
      </w:pPr>
      <w:r>
        <w:rPr>
          <w:rFonts w:hint="eastAsia"/>
          <w:sz w:val="28"/>
          <w:szCs w:val="28"/>
        </w:rPr>
        <w:t xml:space="preserve">危险性类别：第2.3有毒气体           危编号： </w:t>
      </w:r>
      <w:r>
        <w:rPr>
          <w:sz w:val="28"/>
          <w:szCs w:val="28"/>
        </w:rPr>
        <w:t>23013</w:t>
      </w:r>
    </w:p>
    <w:p>
      <w:pPr>
        <w:adjustRightInd w:val="0"/>
        <w:snapToGrid w:val="0"/>
        <w:spacing w:line="360" w:lineRule="auto"/>
        <w:ind w:firstLine="560" w:firstLineChars="200"/>
        <w:rPr>
          <w:rFonts w:hint="eastAsia"/>
          <w:sz w:val="28"/>
          <w:szCs w:val="28"/>
        </w:rPr>
      </w:pPr>
      <w:r>
        <w:rPr>
          <w:sz w:val="28"/>
          <w:szCs w:val="28"/>
        </w:rPr>
        <w:t>UN</w:t>
      </w:r>
      <w:r>
        <w:rPr>
          <w:rFonts w:hint="eastAsia"/>
          <w:sz w:val="28"/>
          <w:szCs w:val="28"/>
        </w:rPr>
        <w:t>：1079                    相对密度：</w:t>
      </w:r>
      <w:r>
        <w:rPr>
          <w:sz w:val="28"/>
          <w:szCs w:val="28"/>
        </w:rPr>
        <w:t>1.43</w:t>
      </w:r>
      <w:r>
        <w:rPr>
          <w:rFonts w:hint="eastAsia"/>
          <w:sz w:val="28"/>
          <w:szCs w:val="28"/>
        </w:rPr>
        <w:t>（液化）；</w:t>
      </w:r>
      <w:r>
        <w:rPr>
          <w:sz w:val="28"/>
          <w:szCs w:val="28"/>
        </w:rPr>
        <w:t>2.26</w:t>
      </w:r>
      <w:r>
        <w:rPr>
          <w:rFonts w:hint="eastAsia"/>
          <w:sz w:val="28"/>
          <w:szCs w:val="28"/>
        </w:rPr>
        <w:t>（气）</w:t>
      </w:r>
    </w:p>
    <w:p>
      <w:pPr>
        <w:adjustRightInd w:val="0"/>
        <w:snapToGrid w:val="0"/>
        <w:spacing w:line="360" w:lineRule="auto"/>
        <w:ind w:firstLine="560" w:firstLineChars="200"/>
        <w:rPr>
          <w:sz w:val="28"/>
          <w:szCs w:val="28"/>
        </w:rPr>
      </w:pPr>
      <w:r>
        <w:rPr>
          <w:rFonts w:hint="eastAsia"/>
          <w:sz w:val="28"/>
          <w:szCs w:val="28"/>
        </w:rPr>
        <w:t>空气中允许极限：中国</w:t>
      </w:r>
      <w:r>
        <w:rPr>
          <w:sz w:val="28"/>
          <w:szCs w:val="28"/>
        </w:rPr>
        <w:t>MAC</w:t>
      </w:r>
      <w:r>
        <w:rPr>
          <w:rFonts w:hint="eastAsia"/>
          <w:sz w:val="28"/>
          <w:szCs w:val="28"/>
        </w:rPr>
        <w:t>：</w:t>
      </w:r>
      <w:r>
        <w:rPr>
          <w:sz w:val="28"/>
          <w:szCs w:val="28"/>
        </w:rPr>
        <w:t>15mg/m3</w:t>
      </w:r>
    </w:p>
    <w:p>
      <w:pPr>
        <w:adjustRightInd w:val="0"/>
        <w:snapToGrid w:val="0"/>
        <w:spacing w:line="360" w:lineRule="auto"/>
        <w:ind w:firstLine="560" w:firstLineChars="200"/>
        <w:rPr>
          <w:sz w:val="28"/>
          <w:szCs w:val="28"/>
        </w:rPr>
      </w:pPr>
      <w:r>
        <w:rPr>
          <w:rFonts w:hint="eastAsia"/>
          <w:sz w:val="28"/>
          <w:szCs w:val="28"/>
        </w:rPr>
        <w:t>健康危害：短期暴露：吸入刺激鼻、咽喉，出现流涕、呼吸困难、气阻、咳嗽、肺水肿、喘鸣、胸闷、肺炎，直至死亡；刺激皮肤，尤其湿润皮肤；接触液体可致冻伤和化学烧伤、紫绀；还可刺激眼，造成冻伤、失明；食入会引起口腔冻伤、化学烧伤、恶心、呕吐、腹疼；长期暴露，刺激咽喉和肺，出现鼻出血，对哮喘、肺功能不正常、心血管病人更危险。</w:t>
      </w:r>
    </w:p>
    <w:p>
      <w:pPr>
        <w:adjustRightInd w:val="0"/>
        <w:snapToGrid w:val="0"/>
        <w:spacing w:line="360" w:lineRule="auto"/>
        <w:ind w:firstLine="560" w:firstLineChars="200"/>
        <w:rPr>
          <w:sz w:val="28"/>
          <w:szCs w:val="28"/>
        </w:rPr>
      </w:pPr>
      <w:r>
        <w:rPr>
          <w:rFonts w:hint="eastAsia"/>
          <w:sz w:val="28"/>
          <w:szCs w:val="28"/>
        </w:rPr>
        <w:t>急救措施：眼接触：立即清洗。皮肤接触：立即用大量水清洗。吸入：将患者移至新鲜空气处，施行人工呼吸。</w:t>
      </w:r>
    </w:p>
    <w:p>
      <w:pPr>
        <w:adjustRightInd w:val="0"/>
        <w:snapToGrid w:val="0"/>
        <w:spacing w:line="360" w:lineRule="auto"/>
        <w:ind w:firstLine="560" w:firstLineChars="200"/>
        <w:rPr>
          <w:rFonts w:hint="eastAsia"/>
          <w:sz w:val="28"/>
          <w:szCs w:val="28"/>
        </w:rPr>
      </w:pPr>
      <w:r>
        <w:rPr>
          <w:rFonts w:hint="eastAsia"/>
          <w:sz w:val="28"/>
          <w:szCs w:val="28"/>
        </w:rPr>
        <w:t xml:space="preserve">防护措施：戴护目镜，穿防护服；选用适当呼吸器；提供应急眼药水；定期检查皮肤、眼睛及呼吸系统 </w:t>
      </w:r>
    </w:p>
    <w:p>
      <w:pPr>
        <w:pStyle w:val="8"/>
        <w:spacing w:line="360" w:lineRule="auto"/>
        <w:ind w:firstLine="0" w:firstLineChars="0"/>
        <w:outlineLvl w:val="2"/>
        <w:rPr>
          <w:rFonts w:hint="eastAsia" w:ascii="宋体" w:hAnsi="宋体"/>
          <w:b/>
          <w:snapToGrid w:val="0"/>
          <w:kern w:val="0"/>
          <w:sz w:val="28"/>
          <w:szCs w:val="28"/>
          <w:lang w:val="en-US" w:eastAsia="zh-CN"/>
        </w:rPr>
      </w:pPr>
      <w:bookmarkStart w:id="134" w:name="_Toc515659433"/>
      <w:bookmarkStart w:id="135" w:name="_Toc12134"/>
      <w:r>
        <w:rPr>
          <w:rFonts w:hint="eastAsia" w:ascii="宋体" w:hAnsi="宋体"/>
          <w:b/>
          <w:snapToGrid w:val="0"/>
          <w:kern w:val="0"/>
          <w:sz w:val="28"/>
          <w:szCs w:val="28"/>
          <w:lang w:val="en-US" w:eastAsia="zh-CN"/>
        </w:rPr>
        <w:t>3.4.6 柴油安全数据表</w:t>
      </w:r>
      <w:bookmarkEnd w:id="134"/>
      <w:bookmarkEnd w:id="135"/>
    </w:p>
    <w:p>
      <w:pPr>
        <w:jc w:val="center"/>
        <w:rPr>
          <w:rFonts w:ascii="黑体" w:hAnsi="黑体" w:eastAsia="黑体"/>
          <w:b/>
          <w:sz w:val="24"/>
        </w:rPr>
      </w:pPr>
      <w:r>
        <w:rPr>
          <w:rFonts w:ascii="黑体" w:hAnsi="黑体" w:eastAsia="黑体"/>
          <w:b/>
          <w:sz w:val="24"/>
        </w:rPr>
        <w:t>表3-</w:t>
      </w:r>
      <w:r>
        <w:rPr>
          <w:rFonts w:hint="eastAsia" w:ascii="黑体" w:hAnsi="黑体" w:eastAsia="黑体"/>
          <w:b/>
          <w:sz w:val="24"/>
        </w:rPr>
        <w:t>1 柴油物料安全数据表</w:t>
      </w:r>
    </w:p>
    <w:tbl>
      <w:tblPr>
        <w:tblStyle w:val="19"/>
        <w:tblW w:w="8522" w:type="dxa"/>
        <w:tblInd w:w="0" w:type="dxa"/>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Layout w:type="fixed"/>
        <w:tblCellMar>
          <w:top w:w="0" w:type="dxa"/>
          <w:left w:w="108" w:type="dxa"/>
          <w:bottom w:w="0" w:type="dxa"/>
          <w:right w:w="108" w:type="dxa"/>
        </w:tblCellMar>
      </w:tblPr>
      <w:tblGrid>
        <w:gridCol w:w="568"/>
        <w:gridCol w:w="7954"/>
      </w:tblGrid>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rPr>
        <w:tc>
          <w:tcPr>
            <w:tcW w:w="568" w:type="dxa"/>
            <w:noWrap w:val="0"/>
            <w:vAlign w:val="center"/>
          </w:tcPr>
          <w:p>
            <w:pPr>
              <w:adjustRightInd w:val="0"/>
              <w:snapToGrid w:val="0"/>
              <w:jc w:val="left"/>
              <w:rPr>
                <w:rFonts w:ascii="宋体" w:hAnsi="宋体"/>
                <w:b/>
                <w:bCs/>
                <w:szCs w:val="21"/>
              </w:rPr>
            </w:pPr>
            <w:r>
              <w:rPr>
                <w:rFonts w:ascii="宋体" w:hAnsi="宋体"/>
                <w:b/>
                <w:bCs/>
                <w:szCs w:val="21"/>
              </w:rPr>
              <w:t>标</w:t>
            </w:r>
          </w:p>
          <w:p>
            <w:pPr>
              <w:adjustRightInd w:val="0"/>
              <w:snapToGrid w:val="0"/>
              <w:jc w:val="left"/>
              <w:rPr>
                <w:rFonts w:ascii="宋体" w:hAnsi="宋体"/>
                <w:szCs w:val="21"/>
              </w:rPr>
            </w:pPr>
            <w:r>
              <w:rPr>
                <w:rFonts w:ascii="宋体" w:hAnsi="宋体"/>
                <w:b/>
                <w:bCs/>
                <w:szCs w:val="21"/>
              </w:rPr>
              <w:t>识</w:t>
            </w:r>
          </w:p>
        </w:tc>
        <w:tc>
          <w:tcPr>
            <w:tcW w:w="7954" w:type="dxa"/>
            <w:noWrap w:val="0"/>
            <w:vAlign w:val="center"/>
          </w:tcPr>
          <w:p>
            <w:pPr>
              <w:adjustRightInd w:val="0"/>
              <w:snapToGrid w:val="0"/>
              <w:jc w:val="left"/>
              <w:rPr>
                <w:rFonts w:ascii="宋体" w:hAnsi="宋体"/>
                <w:szCs w:val="21"/>
              </w:rPr>
            </w:pPr>
            <w:r>
              <w:rPr>
                <w:rFonts w:ascii="宋体" w:hAnsi="宋体"/>
                <w:b/>
                <w:bCs/>
                <w:szCs w:val="21"/>
              </w:rPr>
              <w:t>中文名：</w:t>
            </w:r>
            <w:r>
              <w:rPr>
                <w:rFonts w:ascii="宋体" w:hAnsi="宋体"/>
                <w:szCs w:val="21"/>
              </w:rPr>
              <w:t xml:space="preserve">柴油              </w:t>
            </w:r>
            <w:r>
              <w:rPr>
                <w:rFonts w:ascii="宋体" w:hAnsi="宋体"/>
                <w:b/>
                <w:bCs/>
                <w:szCs w:val="21"/>
              </w:rPr>
              <w:t>英文名：</w:t>
            </w:r>
            <w:r>
              <w:rPr>
                <w:rFonts w:ascii="宋体" w:hAnsi="宋体"/>
                <w:szCs w:val="21"/>
              </w:rPr>
              <w:t>Diesel oil</w:t>
            </w:r>
          </w:p>
          <w:p>
            <w:pPr>
              <w:adjustRightInd w:val="0"/>
              <w:snapToGrid w:val="0"/>
              <w:jc w:val="left"/>
              <w:rPr>
                <w:rFonts w:hint="eastAsia" w:ascii="宋体" w:hAnsi="宋体"/>
                <w:szCs w:val="21"/>
              </w:rPr>
            </w:pPr>
            <w:r>
              <w:rPr>
                <w:rFonts w:ascii="宋体" w:hAnsi="宋体"/>
                <w:b/>
                <w:bCs/>
                <w:szCs w:val="21"/>
              </w:rPr>
              <w:t>CAS号：</w:t>
            </w:r>
            <w:r>
              <w:rPr>
                <w:rFonts w:hint="eastAsia" w:ascii="宋体" w:hAnsi="宋体"/>
                <w:szCs w:val="21"/>
              </w:rPr>
              <w:t>68334-30-5</w:t>
            </w:r>
            <w:r>
              <w:rPr>
                <w:rFonts w:ascii="宋体" w:hAnsi="宋体"/>
                <w:szCs w:val="21"/>
              </w:rPr>
              <w:t xml:space="preserve">            </w:t>
            </w:r>
            <w:r>
              <w:rPr>
                <w:rFonts w:ascii="宋体" w:hAnsi="宋体"/>
                <w:b/>
                <w:bCs/>
                <w:szCs w:val="21"/>
              </w:rPr>
              <w:t>UN号：</w:t>
            </w:r>
            <w:r>
              <w:rPr>
                <w:rFonts w:hint="eastAsia" w:ascii="宋体" w:hAnsi="宋体"/>
                <w:szCs w:val="21"/>
              </w:rPr>
              <w:t>1202        危规编号：1674</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rPr>
        <w:tc>
          <w:tcPr>
            <w:tcW w:w="568" w:type="dxa"/>
            <w:noWrap w:val="0"/>
            <w:vAlign w:val="center"/>
          </w:tcPr>
          <w:p>
            <w:pPr>
              <w:adjustRightInd w:val="0"/>
              <w:snapToGrid w:val="0"/>
              <w:jc w:val="left"/>
              <w:rPr>
                <w:rFonts w:ascii="宋体" w:hAnsi="宋体"/>
                <w:b/>
                <w:bCs/>
                <w:szCs w:val="21"/>
              </w:rPr>
            </w:pPr>
            <w:r>
              <w:rPr>
                <w:rFonts w:ascii="宋体" w:hAnsi="宋体"/>
                <w:b/>
                <w:bCs/>
                <w:szCs w:val="21"/>
              </w:rPr>
              <w:t>理</w:t>
            </w:r>
          </w:p>
          <w:p>
            <w:pPr>
              <w:adjustRightInd w:val="0"/>
              <w:snapToGrid w:val="0"/>
              <w:jc w:val="left"/>
              <w:rPr>
                <w:rFonts w:ascii="宋体" w:hAnsi="宋体"/>
                <w:b/>
                <w:bCs/>
                <w:szCs w:val="21"/>
              </w:rPr>
            </w:pPr>
            <w:r>
              <w:rPr>
                <w:rFonts w:ascii="宋体" w:hAnsi="宋体"/>
                <w:b/>
                <w:bCs/>
                <w:szCs w:val="21"/>
              </w:rPr>
              <w:t>化</w:t>
            </w:r>
          </w:p>
          <w:p>
            <w:pPr>
              <w:adjustRightInd w:val="0"/>
              <w:snapToGrid w:val="0"/>
              <w:jc w:val="left"/>
              <w:rPr>
                <w:rFonts w:ascii="宋体" w:hAnsi="宋体"/>
                <w:b/>
                <w:bCs/>
                <w:szCs w:val="21"/>
              </w:rPr>
            </w:pPr>
            <w:r>
              <w:rPr>
                <w:rFonts w:ascii="宋体" w:hAnsi="宋体"/>
                <w:b/>
                <w:bCs/>
                <w:szCs w:val="21"/>
              </w:rPr>
              <w:t>性</w:t>
            </w:r>
          </w:p>
          <w:p>
            <w:pPr>
              <w:adjustRightInd w:val="0"/>
              <w:snapToGrid w:val="0"/>
              <w:jc w:val="left"/>
              <w:rPr>
                <w:rFonts w:ascii="宋体" w:hAnsi="宋体"/>
                <w:szCs w:val="21"/>
              </w:rPr>
            </w:pPr>
            <w:r>
              <w:rPr>
                <w:rFonts w:ascii="宋体" w:hAnsi="宋体"/>
                <w:b/>
                <w:bCs/>
                <w:szCs w:val="21"/>
              </w:rPr>
              <w:t>质</w:t>
            </w:r>
          </w:p>
        </w:tc>
        <w:tc>
          <w:tcPr>
            <w:tcW w:w="7954" w:type="dxa"/>
            <w:noWrap w:val="0"/>
            <w:vAlign w:val="center"/>
          </w:tcPr>
          <w:p>
            <w:pPr>
              <w:adjustRightInd w:val="0"/>
              <w:snapToGrid w:val="0"/>
              <w:jc w:val="left"/>
              <w:rPr>
                <w:rFonts w:ascii="宋体" w:hAnsi="宋体"/>
                <w:szCs w:val="21"/>
              </w:rPr>
            </w:pPr>
            <w:r>
              <w:rPr>
                <w:rFonts w:ascii="宋体" w:hAnsi="宋体"/>
                <w:b/>
                <w:bCs/>
                <w:szCs w:val="21"/>
              </w:rPr>
              <w:t>外观与性状：</w:t>
            </w:r>
            <w:r>
              <w:rPr>
                <w:rFonts w:ascii="宋体" w:hAnsi="宋体"/>
                <w:szCs w:val="21"/>
              </w:rPr>
              <w:t>稍有粘性的浅黄至棕色液体。</w:t>
            </w:r>
          </w:p>
          <w:p>
            <w:pPr>
              <w:adjustRightInd w:val="0"/>
              <w:snapToGrid w:val="0"/>
              <w:jc w:val="left"/>
              <w:rPr>
                <w:rFonts w:ascii="宋体" w:hAnsi="宋体"/>
                <w:szCs w:val="21"/>
              </w:rPr>
            </w:pPr>
            <w:r>
              <w:rPr>
                <w:rFonts w:ascii="宋体" w:hAnsi="宋体"/>
                <w:b/>
                <w:bCs/>
                <w:szCs w:val="21"/>
              </w:rPr>
              <w:t>熔点(℃)：</w:t>
            </w:r>
            <w:r>
              <w:rPr>
                <w:rFonts w:ascii="宋体" w:hAnsi="宋体"/>
                <w:szCs w:val="21"/>
              </w:rPr>
              <w:t xml:space="preserve">-35～20          </w:t>
            </w:r>
            <w:r>
              <w:rPr>
                <w:rFonts w:ascii="宋体" w:hAnsi="宋体"/>
                <w:b/>
                <w:bCs/>
                <w:szCs w:val="21"/>
              </w:rPr>
              <w:t>相对密度（水=1.0）：</w:t>
            </w:r>
            <w:r>
              <w:rPr>
                <w:rFonts w:ascii="宋体" w:hAnsi="宋体"/>
                <w:szCs w:val="21"/>
              </w:rPr>
              <w:t>0.87～0.9</w:t>
            </w:r>
          </w:p>
          <w:p>
            <w:pPr>
              <w:adjustRightInd w:val="0"/>
              <w:snapToGrid w:val="0"/>
              <w:jc w:val="left"/>
              <w:rPr>
                <w:rFonts w:ascii="宋体" w:hAnsi="宋体"/>
                <w:szCs w:val="21"/>
              </w:rPr>
            </w:pPr>
            <w:r>
              <w:rPr>
                <w:rFonts w:ascii="宋体" w:hAnsi="宋体"/>
                <w:b/>
                <w:bCs/>
                <w:szCs w:val="21"/>
              </w:rPr>
              <w:t>沸程(℃)：</w:t>
            </w:r>
            <w:r>
              <w:rPr>
                <w:rFonts w:ascii="宋体" w:hAnsi="宋体"/>
                <w:szCs w:val="21"/>
              </w:rPr>
              <w:t xml:space="preserve">282～338         </w:t>
            </w:r>
            <w:r>
              <w:rPr>
                <w:rFonts w:ascii="宋体" w:hAnsi="宋体"/>
                <w:b/>
                <w:bCs/>
                <w:szCs w:val="21"/>
              </w:rPr>
              <w:t>相对密度(空气=1):</w:t>
            </w:r>
            <w:r>
              <w:rPr>
                <w:rFonts w:ascii="宋体" w:hAnsi="宋体"/>
                <w:szCs w:val="21"/>
              </w:rPr>
              <w:t xml:space="preserve"> 无资料</w:t>
            </w:r>
          </w:p>
          <w:p>
            <w:pPr>
              <w:adjustRightInd w:val="0"/>
              <w:snapToGrid w:val="0"/>
              <w:jc w:val="left"/>
              <w:rPr>
                <w:rFonts w:ascii="宋体" w:hAnsi="宋体"/>
                <w:szCs w:val="21"/>
              </w:rPr>
            </w:pPr>
            <w:r>
              <w:rPr>
                <w:rFonts w:ascii="宋体" w:hAnsi="宋体"/>
                <w:b/>
                <w:bCs/>
                <w:szCs w:val="21"/>
              </w:rPr>
              <w:t xml:space="preserve">闪点(℃): </w:t>
            </w:r>
            <w:r>
              <w:rPr>
                <w:rFonts w:ascii="宋体" w:hAnsi="宋体"/>
                <w:bCs/>
                <w:szCs w:val="21"/>
              </w:rPr>
              <w:t>&gt;55</w:t>
            </w:r>
            <w:r>
              <w:rPr>
                <w:rFonts w:ascii="宋体" w:hAnsi="宋体"/>
                <w:szCs w:val="21"/>
              </w:rPr>
              <w:t xml:space="preserve">              </w:t>
            </w:r>
            <w:r>
              <w:rPr>
                <w:rFonts w:ascii="宋体" w:hAnsi="宋体"/>
                <w:b/>
                <w:bCs/>
                <w:szCs w:val="21"/>
              </w:rPr>
              <w:t>引燃温度(℃)：</w:t>
            </w:r>
            <w:r>
              <w:rPr>
                <w:rFonts w:ascii="宋体" w:hAnsi="宋体"/>
                <w:szCs w:val="21"/>
              </w:rPr>
              <w:t>257</w:t>
            </w:r>
          </w:p>
          <w:p>
            <w:pPr>
              <w:adjustRightInd w:val="0"/>
              <w:snapToGrid w:val="0"/>
              <w:jc w:val="left"/>
              <w:rPr>
                <w:rFonts w:ascii="宋体" w:hAnsi="宋体"/>
                <w:szCs w:val="21"/>
              </w:rPr>
            </w:pPr>
            <w:r>
              <w:rPr>
                <w:rFonts w:ascii="宋体" w:hAnsi="宋体"/>
                <w:b/>
                <w:bCs/>
                <w:szCs w:val="21"/>
              </w:rPr>
              <w:t>爆炸下限[%(V/V)]:</w:t>
            </w:r>
            <w:r>
              <w:rPr>
                <w:rFonts w:ascii="宋体" w:hAnsi="宋体"/>
                <w:szCs w:val="21"/>
              </w:rPr>
              <w:t xml:space="preserve"> </w:t>
            </w:r>
            <w:r>
              <w:rPr>
                <w:rFonts w:hint="eastAsia" w:ascii="宋体" w:hAnsi="宋体"/>
                <w:szCs w:val="21"/>
              </w:rPr>
              <w:t>0.5</w:t>
            </w:r>
            <w:r>
              <w:rPr>
                <w:rFonts w:ascii="宋体" w:hAnsi="宋体"/>
                <w:szCs w:val="21"/>
              </w:rPr>
              <w:t xml:space="preserve">   </w:t>
            </w:r>
            <w:r>
              <w:rPr>
                <w:rFonts w:ascii="宋体" w:hAnsi="宋体"/>
                <w:b/>
                <w:bCs/>
                <w:szCs w:val="21"/>
              </w:rPr>
              <w:t>最小点火能(mJ):</w:t>
            </w:r>
            <w:r>
              <w:rPr>
                <w:rFonts w:ascii="宋体" w:hAnsi="宋体"/>
                <w:szCs w:val="21"/>
              </w:rPr>
              <w:t>无资料</w:t>
            </w:r>
          </w:p>
          <w:p>
            <w:pPr>
              <w:adjustRightInd w:val="0"/>
              <w:snapToGrid w:val="0"/>
              <w:jc w:val="left"/>
              <w:rPr>
                <w:rFonts w:ascii="宋体" w:hAnsi="宋体"/>
                <w:szCs w:val="21"/>
              </w:rPr>
            </w:pPr>
            <w:r>
              <w:rPr>
                <w:rFonts w:ascii="宋体" w:hAnsi="宋体"/>
                <w:b/>
                <w:bCs/>
                <w:szCs w:val="21"/>
              </w:rPr>
              <w:t>爆炸上限[%(V/V)]:</w:t>
            </w:r>
            <w:r>
              <w:rPr>
                <w:rFonts w:ascii="宋体" w:hAnsi="宋体"/>
                <w:szCs w:val="21"/>
              </w:rPr>
              <w:t xml:space="preserve"> </w:t>
            </w:r>
            <w:r>
              <w:rPr>
                <w:rFonts w:hint="eastAsia" w:ascii="宋体" w:hAnsi="宋体"/>
                <w:szCs w:val="21"/>
              </w:rPr>
              <w:t>4.5</w:t>
            </w:r>
            <w:r>
              <w:rPr>
                <w:rFonts w:ascii="宋体" w:hAnsi="宋体"/>
                <w:szCs w:val="21"/>
              </w:rPr>
              <w:t xml:space="preserve">   </w:t>
            </w:r>
            <w:r>
              <w:rPr>
                <w:rFonts w:ascii="宋体" w:hAnsi="宋体"/>
                <w:b/>
                <w:bCs/>
                <w:szCs w:val="21"/>
              </w:rPr>
              <w:t>最大爆炸压力(MPa):</w:t>
            </w:r>
            <w:r>
              <w:rPr>
                <w:rFonts w:ascii="宋体" w:hAnsi="宋体"/>
                <w:szCs w:val="21"/>
              </w:rPr>
              <w:t xml:space="preserve"> 无资料</w:t>
            </w:r>
          </w:p>
          <w:p>
            <w:pPr>
              <w:adjustRightInd w:val="0"/>
              <w:snapToGrid w:val="0"/>
              <w:jc w:val="left"/>
              <w:rPr>
                <w:rFonts w:ascii="宋体" w:hAnsi="宋体"/>
                <w:szCs w:val="21"/>
              </w:rPr>
            </w:pPr>
            <w:r>
              <w:rPr>
                <w:rFonts w:ascii="宋体" w:hAnsi="宋体"/>
                <w:b/>
                <w:bCs/>
                <w:szCs w:val="21"/>
              </w:rPr>
              <w:t>溶 解 性：</w:t>
            </w:r>
            <w:r>
              <w:rPr>
                <w:rFonts w:ascii="宋体" w:hAnsi="宋体"/>
                <w:szCs w:val="21"/>
              </w:rPr>
              <w:t>不溶于水,易溶于苯、二硫化碳、醇、脂肪。</w:t>
            </w:r>
          </w:p>
          <w:p>
            <w:pPr>
              <w:adjustRightInd w:val="0"/>
              <w:snapToGrid w:val="0"/>
              <w:jc w:val="left"/>
              <w:rPr>
                <w:rFonts w:ascii="宋体" w:hAnsi="宋体"/>
                <w:szCs w:val="21"/>
              </w:rPr>
            </w:pPr>
            <w:r>
              <w:rPr>
                <w:rFonts w:ascii="宋体" w:hAnsi="宋体"/>
                <w:b/>
                <w:bCs/>
                <w:szCs w:val="21"/>
              </w:rPr>
              <w:t>主要用途：</w:t>
            </w:r>
            <w:r>
              <w:rPr>
                <w:rFonts w:ascii="宋体" w:hAnsi="宋体"/>
                <w:szCs w:val="21"/>
              </w:rPr>
              <w:t xml:space="preserve">主要用作柴油机的燃料。 </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rPr>
        <w:tc>
          <w:tcPr>
            <w:tcW w:w="568" w:type="dxa"/>
            <w:noWrap w:val="0"/>
            <w:vAlign w:val="center"/>
          </w:tcPr>
          <w:p>
            <w:pPr>
              <w:adjustRightInd w:val="0"/>
              <w:snapToGrid w:val="0"/>
              <w:jc w:val="left"/>
              <w:rPr>
                <w:rFonts w:ascii="宋体" w:hAnsi="宋体"/>
                <w:b/>
                <w:bCs/>
                <w:szCs w:val="21"/>
              </w:rPr>
            </w:pPr>
            <w:r>
              <w:rPr>
                <w:rFonts w:ascii="宋体" w:hAnsi="宋体"/>
                <w:b/>
                <w:bCs/>
                <w:szCs w:val="21"/>
              </w:rPr>
              <w:t>燃</w:t>
            </w:r>
          </w:p>
          <w:p>
            <w:pPr>
              <w:adjustRightInd w:val="0"/>
              <w:snapToGrid w:val="0"/>
              <w:jc w:val="left"/>
              <w:rPr>
                <w:rFonts w:ascii="宋体" w:hAnsi="宋体"/>
                <w:szCs w:val="21"/>
              </w:rPr>
            </w:pPr>
            <w:r>
              <w:rPr>
                <w:rFonts w:ascii="宋体" w:hAnsi="宋体"/>
                <w:b/>
                <w:bCs/>
                <w:szCs w:val="21"/>
              </w:rPr>
              <w:t>烧</w:t>
            </w:r>
          </w:p>
          <w:p>
            <w:pPr>
              <w:adjustRightInd w:val="0"/>
              <w:snapToGrid w:val="0"/>
              <w:jc w:val="left"/>
              <w:rPr>
                <w:rFonts w:ascii="宋体" w:hAnsi="宋体"/>
                <w:b/>
                <w:bCs/>
                <w:szCs w:val="21"/>
              </w:rPr>
            </w:pPr>
            <w:r>
              <w:rPr>
                <w:rFonts w:ascii="宋体" w:hAnsi="宋体"/>
                <w:b/>
                <w:bCs/>
                <w:szCs w:val="21"/>
              </w:rPr>
              <w:t>爆</w:t>
            </w:r>
          </w:p>
          <w:p>
            <w:pPr>
              <w:adjustRightInd w:val="0"/>
              <w:snapToGrid w:val="0"/>
              <w:jc w:val="left"/>
              <w:rPr>
                <w:rFonts w:ascii="宋体" w:hAnsi="宋体"/>
                <w:b/>
                <w:bCs/>
                <w:szCs w:val="21"/>
              </w:rPr>
            </w:pPr>
            <w:r>
              <w:rPr>
                <w:rFonts w:ascii="宋体" w:hAnsi="宋体"/>
                <w:b/>
                <w:bCs/>
                <w:szCs w:val="21"/>
              </w:rPr>
              <w:t>炸</w:t>
            </w:r>
          </w:p>
          <w:p>
            <w:pPr>
              <w:adjustRightInd w:val="0"/>
              <w:snapToGrid w:val="0"/>
              <w:jc w:val="left"/>
              <w:rPr>
                <w:rFonts w:ascii="宋体" w:hAnsi="宋体"/>
                <w:b/>
                <w:bCs/>
                <w:szCs w:val="21"/>
              </w:rPr>
            </w:pPr>
            <w:r>
              <w:rPr>
                <w:rFonts w:ascii="宋体" w:hAnsi="宋体"/>
                <w:b/>
                <w:bCs/>
                <w:szCs w:val="21"/>
              </w:rPr>
              <w:t>危</w:t>
            </w:r>
          </w:p>
          <w:p>
            <w:pPr>
              <w:adjustRightInd w:val="0"/>
              <w:snapToGrid w:val="0"/>
              <w:jc w:val="left"/>
              <w:rPr>
                <w:rFonts w:ascii="宋体" w:hAnsi="宋体"/>
                <w:b/>
                <w:bCs/>
                <w:szCs w:val="21"/>
              </w:rPr>
            </w:pPr>
            <w:r>
              <w:rPr>
                <w:rFonts w:ascii="宋体" w:hAnsi="宋体"/>
                <w:b/>
                <w:bCs/>
                <w:szCs w:val="21"/>
              </w:rPr>
              <w:t>险</w:t>
            </w:r>
          </w:p>
          <w:p>
            <w:pPr>
              <w:adjustRightInd w:val="0"/>
              <w:snapToGrid w:val="0"/>
              <w:jc w:val="left"/>
              <w:rPr>
                <w:rFonts w:ascii="宋体" w:hAnsi="宋体"/>
                <w:szCs w:val="21"/>
              </w:rPr>
            </w:pPr>
            <w:r>
              <w:rPr>
                <w:rFonts w:ascii="宋体" w:hAnsi="宋体"/>
                <w:b/>
                <w:bCs/>
                <w:szCs w:val="21"/>
              </w:rPr>
              <w:t>性</w:t>
            </w:r>
          </w:p>
        </w:tc>
        <w:tc>
          <w:tcPr>
            <w:tcW w:w="7954" w:type="dxa"/>
            <w:noWrap w:val="0"/>
            <w:vAlign w:val="center"/>
          </w:tcPr>
          <w:p>
            <w:pPr>
              <w:adjustRightInd w:val="0"/>
              <w:snapToGrid w:val="0"/>
              <w:jc w:val="left"/>
              <w:rPr>
                <w:rFonts w:ascii="宋体" w:hAnsi="宋体"/>
                <w:szCs w:val="21"/>
              </w:rPr>
            </w:pPr>
            <w:r>
              <w:rPr>
                <w:rFonts w:ascii="宋体" w:hAnsi="宋体"/>
                <w:b/>
                <w:bCs/>
                <w:szCs w:val="21"/>
              </w:rPr>
              <w:t>燃 烧 性：</w:t>
            </w:r>
            <w:r>
              <w:rPr>
                <w:rFonts w:ascii="宋体" w:hAnsi="宋体"/>
                <w:szCs w:val="21"/>
              </w:rPr>
              <w:t>易燃。</w:t>
            </w:r>
          </w:p>
          <w:p>
            <w:pPr>
              <w:pStyle w:val="10"/>
              <w:ind w:left="420"/>
              <w:jc w:val="left"/>
              <w:rPr>
                <w:rFonts w:ascii="宋体" w:hAnsi="宋体"/>
                <w:szCs w:val="21"/>
              </w:rPr>
            </w:pPr>
            <w:r>
              <w:rPr>
                <w:rFonts w:ascii="宋体" w:hAnsi="宋体"/>
                <w:b/>
                <w:bCs/>
                <w:szCs w:val="21"/>
              </w:rPr>
              <w:t>危险特性：</w:t>
            </w:r>
            <w:r>
              <w:rPr>
                <w:rFonts w:ascii="宋体" w:hAnsi="宋体"/>
                <w:szCs w:val="21"/>
              </w:rPr>
              <w:t>遇明火、高热或与氧化剂接触,有引起燃烧爆炸的危险。若遇高热，容器内压力增大，有开裂和爆炸的危险。</w:t>
            </w:r>
          </w:p>
          <w:p>
            <w:pPr>
              <w:pStyle w:val="10"/>
              <w:ind w:left="420"/>
              <w:jc w:val="left"/>
              <w:rPr>
                <w:rFonts w:ascii="宋体" w:hAnsi="宋体"/>
                <w:szCs w:val="21"/>
              </w:rPr>
            </w:pPr>
            <w:r>
              <w:rPr>
                <w:rFonts w:ascii="宋体" w:hAnsi="宋体"/>
                <w:b/>
                <w:bCs/>
                <w:szCs w:val="21"/>
              </w:rPr>
              <w:t>有害燃烧产物：</w:t>
            </w:r>
            <w:r>
              <w:rPr>
                <w:rFonts w:ascii="宋体" w:hAnsi="宋体"/>
                <w:szCs w:val="21"/>
              </w:rPr>
              <w:t>一氧化碳、二氧化碳。</w:t>
            </w:r>
          </w:p>
          <w:p>
            <w:pPr>
              <w:adjustRightInd w:val="0"/>
              <w:snapToGrid w:val="0"/>
              <w:jc w:val="left"/>
              <w:rPr>
                <w:rFonts w:ascii="宋体" w:hAnsi="宋体"/>
                <w:szCs w:val="21"/>
              </w:rPr>
            </w:pPr>
            <w:r>
              <w:rPr>
                <w:rFonts w:ascii="宋体" w:hAnsi="宋体"/>
                <w:b/>
                <w:bCs/>
                <w:szCs w:val="21"/>
              </w:rPr>
              <w:t>稳 定 性：</w:t>
            </w:r>
            <w:r>
              <w:rPr>
                <w:rFonts w:ascii="宋体" w:hAnsi="宋体"/>
                <w:szCs w:val="21"/>
              </w:rPr>
              <w:t xml:space="preserve">稳定。           </w:t>
            </w:r>
            <w:r>
              <w:rPr>
                <w:rFonts w:ascii="宋体" w:hAnsi="宋体"/>
                <w:b/>
                <w:bCs/>
                <w:szCs w:val="21"/>
              </w:rPr>
              <w:t>聚合危害：</w:t>
            </w:r>
            <w:r>
              <w:rPr>
                <w:rFonts w:ascii="宋体" w:hAnsi="宋体"/>
                <w:szCs w:val="21"/>
              </w:rPr>
              <w:t>不聚合。</w:t>
            </w:r>
          </w:p>
          <w:p>
            <w:pPr>
              <w:adjustRightInd w:val="0"/>
              <w:snapToGrid w:val="0"/>
              <w:jc w:val="left"/>
              <w:rPr>
                <w:rFonts w:ascii="宋体" w:hAnsi="宋体"/>
                <w:szCs w:val="21"/>
              </w:rPr>
            </w:pPr>
            <w:r>
              <w:rPr>
                <w:rFonts w:ascii="宋体" w:hAnsi="宋体"/>
                <w:b/>
                <w:bCs/>
                <w:szCs w:val="21"/>
              </w:rPr>
              <w:t>禁 配 物：</w:t>
            </w:r>
            <w:r>
              <w:rPr>
                <w:rFonts w:ascii="宋体" w:hAnsi="宋体"/>
                <w:szCs w:val="21"/>
              </w:rPr>
              <w:t>强氧化剂、卤素。</w:t>
            </w:r>
          </w:p>
          <w:p>
            <w:pPr>
              <w:adjustRightInd w:val="0"/>
              <w:snapToGrid w:val="0"/>
              <w:jc w:val="left"/>
              <w:rPr>
                <w:rFonts w:ascii="宋体" w:hAnsi="宋体"/>
                <w:szCs w:val="21"/>
              </w:rPr>
            </w:pPr>
            <w:r>
              <w:rPr>
                <w:rFonts w:ascii="宋体" w:hAnsi="宋体"/>
                <w:b/>
                <w:bCs/>
                <w:szCs w:val="21"/>
              </w:rPr>
              <w:t>灭火方法：</w:t>
            </w:r>
            <w:r>
              <w:rPr>
                <w:rFonts w:ascii="宋体" w:hAnsi="宋体"/>
                <w:szCs w:val="21"/>
              </w:rPr>
              <w:t>消防人员须配戴防毒面具、穿全身消防服,在上风向灭火。尽可能将容器从火场移至空旷处，喷水保持容器冷却，直至灭火结束。处在火场中的容器若已变色或从安全泄压装置中产生声音，必须马上撤离。</w:t>
            </w:r>
          </w:p>
          <w:p>
            <w:pPr>
              <w:adjustRightInd w:val="0"/>
              <w:snapToGrid w:val="0"/>
              <w:jc w:val="left"/>
              <w:rPr>
                <w:rFonts w:ascii="宋体" w:hAnsi="宋体"/>
                <w:szCs w:val="21"/>
              </w:rPr>
            </w:pPr>
            <w:r>
              <w:rPr>
                <w:rFonts w:ascii="宋体" w:hAnsi="宋体"/>
                <w:b/>
                <w:bCs/>
                <w:szCs w:val="21"/>
              </w:rPr>
              <w:t>灭 火 剂：</w:t>
            </w:r>
            <w:r>
              <w:rPr>
                <w:rFonts w:ascii="宋体" w:hAnsi="宋体"/>
                <w:szCs w:val="21"/>
              </w:rPr>
              <w:t>泡沫、干粉、二氧化碳、砂土。用水灭火无效。</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Layout w:type="fixed"/>
          <w:tblCellMar>
            <w:top w:w="0" w:type="dxa"/>
            <w:left w:w="108" w:type="dxa"/>
            <w:bottom w:w="0" w:type="dxa"/>
            <w:right w:w="108" w:type="dxa"/>
          </w:tblCellMar>
        </w:tblPrEx>
        <w:trPr>
          <w:trHeight w:val="248" w:hRule="atLeast"/>
        </w:trPr>
        <w:tc>
          <w:tcPr>
            <w:tcW w:w="568" w:type="dxa"/>
            <w:noWrap w:val="0"/>
            <w:vAlign w:val="center"/>
          </w:tcPr>
          <w:p>
            <w:pPr>
              <w:adjustRightInd w:val="0"/>
              <w:snapToGrid w:val="0"/>
              <w:rPr>
                <w:rFonts w:ascii="宋体" w:hAnsi="宋体"/>
                <w:b/>
                <w:bCs/>
                <w:szCs w:val="21"/>
              </w:rPr>
            </w:pPr>
            <w:r>
              <w:rPr>
                <w:rFonts w:ascii="宋体" w:hAnsi="宋体"/>
                <w:b/>
                <w:bCs/>
                <w:szCs w:val="21"/>
              </w:rPr>
              <w:t>包</w:t>
            </w:r>
          </w:p>
          <w:p>
            <w:pPr>
              <w:adjustRightInd w:val="0"/>
              <w:snapToGrid w:val="0"/>
              <w:rPr>
                <w:rFonts w:ascii="宋体" w:hAnsi="宋体"/>
                <w:b/>
                <w:bCs/>
                <w:szCs w:val="21"/>
              </w:rPr>
            </w:pPr>
            <w:r>
              <w:rPr>
                <w:rFonts w:ascii="宋体" w:hAnsi="宋体"/>
                <w:b/>
                <w:bCs/>
                <w:szCs w:val="21"/>
              </w:rPr>
              <w:t>装</w:t>
            </w:r>
          </w:p>
          <w:p>
            <w:pPr>
              <w:adjustRightInd w:val="0"/>
              <w:snapToGrid w:val="0"/>
              <w:rPr>
                <w:rFonts w:ascii="宋体" w:hAnsi="宋体"/>
                <w:b/>
                <w:bCs/>
                <w:szCs w:val="21"/>
              </w:rPr>
            </w:pPr>
            <w:r>
              <w:rPr>
                <w:rFonts w:ascii="宋体" w:hAnsi="宋体"/>
                <w:b/>
                <w:bCs/>
                <w:szCs w:val="21"/>
              </w:rPr>
              <w:t>与</w:t>
            </w:r>
          </w:p>
          <w:p>
            <w:pPr>
              <w:adjustRightInd w:val="0"/>
              <w:snapToGrid w:val="0"/>
              <w:rPr>
                <w:rFonts w:ascii="宋体" w:hAnsi="宋体"/>
                <w:b/>
                <w:bCs/>
                <w:szCs w:val="21"/>
              </w:rPr>
            </w:pPr>
            <w:r>
              <w:rPr>
                <w:rFonts w:ascii="宋体" w:hAnsi="宋体"/>
                <w:b/>
                <w:bCs/>
                <w:szCs w:val="21"/>
              </w:rPr>
              <w:t>储</w:t>
            </w:r>
          </w:p>
          <w:p>
            <w:pPr>
              <w:adjustRightInd w:val="0"/>
              <w:snapToGrid w:val="0"/>
              <w:jc w:val="left"/>
              <w:rPr>
                <w:rFonts w:ascii="宋体" w:hAnsi="宋体"/>
                <w:b/>
                <w:bCs/>
                <w:szCs w:val="21"/>
              </w:rPr>
            </w:pPr>
            <w:r>
              <w:rPr>
                <w:rFonts w:ascii="宋体" w:hAnsi="宋体"/>
                <w:b/>
                <w:bCs/>
                <w:szCs w:val="21"/>
              </w:rPr>
              <w:t>运</w:t>
            </w:r>
          </w:p>
        </w:tc>
        <w:tc>
          <w:tcPr>
            <w:tcW w:w="7954" w:type="dxa"/>
            <w:noWrap w:val="0"/>
            <w:vAlign w:val="center"/>
          </w:tcPr>
          <w:p>
            <w:pPr>
              <w:adjustRightInd w:val="0"/>
              <w:snapToGrid w:val="0"/>
              <w:rPr>
                <w:rFonts w:ascii="宋体" w:hAnsi="宋体"/>
                <w:szCs w:val="21"/>
              </w:rPr>
            </w:pPr>
            <w:r>
              <w:rPr>
                <w:rFonts w:ascii="宋体" w:hAnsi="宋体"/>
                <w:b/>
                <w:bCs/>
                <w:szCs w:val="21"/>
              </w:rPr>
              <w:t>安全标志：</w:t>
            </w:r>
            <w:r>
              <w:rPr>
                <w:rFonts w:ascii="宋体" w:hAnsi="宋体"/>
                <w:szCs w:val="21"/>
              </w:rPr>
              <w:t xml:space="preserve">易燃液体        </w:t>
            </w:r>
            <w:r>
              <w:rPr>
                <w:rFonts w:ascii="宋体" w:hAnsi="宋体"/>
                <w:b/>
                <w:bCs/>
                <w:szCs w:val="21"/>
              </w:rPr>
              <w:t>包装类别：Ⅲ</w:t>
            </w:r>
            <w:r>
              <w:rPr>
                <w:rFonts w:ascii="宋体" w:hAnsi="宋体"/>
                <w:szCs w:val="21"/>
              </w:rPr>
              <w:t>类包装</w:t>
            </w:r>
          </w:p>
          <w:p>
            <w:pPr>
              <w:adjustRightInd w:val="0"/>
              <w:snapToGrid w:val="0"/>
              <w:rPr>
                <w:rFonts w:ascii="宋体" w:hAnsi="宋体"/>
                <w:szCs w:val="21"/>
              </w:rPr>
            </w:pPr>
            <w:r>
              <w:rPr>
                <w:rFonts w:ascii="宋体" w:hAnsi="宋体"/>
                <w:b/>
                <w:bCs/>
                <w:szCs w:val="21"/>
              </w:rPr>
              <w:t>储存注意事项：</w:t>
            </w:r>
            <w:r>
              <w:rPr>
                <w:rFonts w:ascii="宋体" w:hAnsi="宋体"/>
                <w:szCs w:val="21"/>
              </w:rPr>
              <w:t>储存于阴凉、通风的库房 。远离火种、热源。应与氧化剂、卤素分开存放,切忌混储。储存间内的照明、通风等设施应采用防爆型，开关设在库房外。禁止使用易产生火花的机械设备和工具。储备区应有泄漏应急处理设备和合适的收容材料</w:t>
            </w:r>
          </w:p>
          <w:p>
            <w:pPr>
              <w:adjustRightInd w:val="0"/>
              <w:snapToGrid w:val="0"/>
              <w:jc w:val="left"/>
              <w:rPr>
                <w:rFonts w:ascii="宋体" w:hAnsi="宋体"/>
                <w:b/>
                <w:bCs/>
                <w:szCs w:val="21"/>
              </w:rPr>
            </w:pPr>
            <w:r>
              <w:rPr>
                <w:rFonts w:ascii="宋体" w:hAnsi="宋体"/>
                <w:b/>
                <w:bCs/>
                <w:szCs w:val="21"/>
              </w:rPr>
              <w:t>运输注意事项：</w:t>
            </w:r>
            <w:r>
              <w:rPr>
                <w:rFonts w:ascii="宋体" w:hAnsi="宋体"/>
                <w:szCs w:val="21"/>
              </w:rPr>
              <w:t>运输前应先检查包装容器是否完整、密封，运输过程中要确保容器不泄漏、不倒塌、不坠落、不损坏。运输时车辆应配备相应品种和数量的消防器材及泄漏应急处理设备。夏季最好早晚运输。运输时所用的槽（罐）车应有接地链，槽内可设孔隔板以减少震荡产生静电。严禁与氧化剂、卤素、食用化学品等混装混运。运输途中应防曝晒、雨淋，防高温。中途停留时应远离火种、热源、高温区。装运该物品的车辆排气管必须配备阻火装置，禁止使用易产生火花的机械设备和工具装卸。运输车船必须彻底清洗、消毒，否则不得装运其它物品。船运时，配装位置应远离卧室、厨房，并与机舱、电源、火源等部位隔离。公路运输时要按规定路线行驶。</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rPr>
        <w:tc>
          <w:tcPr>
            <w:tcW w:w="568" w:type="dxa"/>
            <w:noWrap w:val="0"/>
            <w:vAlign w:val="center"/>
          </w:tcPr>
          <w:p>
            <w:pPr>
              <w:adjustRightInd w:val="0"/>
              <w:snapToGrid w:val="0"/>
              <w:jc w:val="center"/>
              <w:rPr>
                <w:rFonts w:ascii="宋体" w:hAnsi="宋体"/>
                <w:b/>
                <w:bCs/>
                <w:szCs w:val="21"/>
              </w:rPr>
            </w:pPr>
            <w:r>
              <w:rPr>
                <w:rFonts w:ascii="宋体" w:hAnsi="宋体"/>
                <w:b/>
                <w:bCs/>
                <w:szCs w:val="21"/>
              </w:rPr>
              <w:t>毒</w:t>
            </w:r>
          </w:p>
          <w:p>
            <w:pPr>
              <w:adjustRightInd w:val="0"/>
              <w:snapToGrid w:val="0"/>
              <w:jc w:val="center"/>
              <w:rPr>
                <w:rFonts w:ascii="宋体" w:hAnsi="宋体"/>
                <w:b/>
                <w:bCs/>
                <w:szCs w:val="21"/>
              </w:rPr>
            </w:pPr>
            <w:r>
              <w:rPr>
                <w:rFonts w:ascii="宋体" w:hAnsi="宋体"/>
                <w:b/>
                <w:bCs/>
                <w:szCs w:val="21"/>
              </w:rPr>
              <w:t>性</w:t>
            </w:r>
          </w:p>
          <w:p>
            <w:pPr>
              <w:adjustRightInd w:val="0"/>
              <w:snapToGrid w:val="0"/>
              <w:jc w:val="center"/>
              <w:rPr>
                <w:rFonts w:ascii="宋体" w:hAnsi="宋体"/>
                <w:b/>
                <w:bCs/>
                <w:szCs w:val="21"/>
              </w:rPr>
            </w:pPr>
            <w:r>
              <w:rPr>
                <w:rFonts w:ascii="宋体" w:hAnsi="宋体"/>
                <w:b/>
                <w:bCs/>
                <w:szCs w:val="21"/>
              </w:rPr>
              <w:t>及</w:t>
            </w:r>
          </w:p>
          <w:p>
            <w:pPr>
              <w:adjustRightInd w:val="0"/>
              <w:snapToGrid w:val="0"/>
              <w:jc w:val="center"/>
              <w:rPr>
                <w:rFonts w:ascii="宋体" w:hAnsi="宋体"/>
                <w:b/>
                <w:bCs/>
                <w:szCs w:val="21"/>
              </w:rPr>
            </w:pPr>
            <w:r>
              <w:rPr>
                <w:rFonts w:ascii="宋体" w:hAnsi="宋体"/>
                <w:b/>
                <w:bCs/>
                <w:szCs w:val="21"/>
              </w:rPr>
              <w:t>健</w:t>
            </w:r>
          </w:p>
          <w:p>
            <w:pPr>
              <w:adjustRightInd w:val="0"/>
              <w:snapToGrid w:val="0"/>
              <w:jc w:val="center"/>
              <w:rPr>
                <w:rFonts w:ascii="宋体" w:hAnsi="宋体"/>
                <w:b/>
                <w:bCs/>
                <w:szCs w:val="21"/>
              </w:rPr>
            </w:pPr>
            <w:r>
              <w:rPr>
                <w:rFonts w:ascii="宋体" w:hAnsi="宋体"/>
                <w:b/>
                <w:bCs/>
                <w:szCs w:val="21"/>
              </w:rPr>
              <w:t>康</w:t>
            </w:r>
          </w:p>
          <w:p>
            <w:pPr>
              <w:adjustRightInd w:val="0"/>
              <w:snapToGrid w:val="0"/>
              <w:jc w:val="center"/>
              <w:rPr>
                <w:rFonts w:ascii="宋体" w:hAnsi="宋体"/>
                <w:b/>
                <w:bCs/>
                <w:szCs w:val="21"/>
              </w:rPr>
            </w:pPr>
            <w:r>
              <w:rPr>
                <w:rFonts w:ascii="宋体" w:hAnsi="宋体"/>
                <w:b/>
                <w:bCs/>
                <w:szCs w:val="21"/>
              </w:rPr>
              <w:t>危</w:t>
            </w:r>
          </w:p>
          <w:p>
            <w:pPr>
              <w:adjustRightInd w:val="0"/>
              <w:snapToGrid w:val="0"/>
              <w:jc w:val="center"/>
              <w:rPr>
                <w:rFonts w:ascii="宋体" w:hAnsi="宋体"/>
                <w:b/>
                <w:bCs/>
                <w:szCs w:val="21"/>
              </w:rPr>
            </w:pPr>
            <w:r>
              <w:rPr>
                <w:rFonts w:ascii="宋体" w:hAnsi="宋体"/>
                <w:b/>
                <w:bCs/>
                <w:szCs w:val="21"/>
              </w:rPr>
              <w:t>害</w:t>
            </w:r>
          </w:p>
          <w:p>
            <w:pPr>
              <w:adjustRightInd w:val="0"/>
              <w:snapToGrid w:val="0"/>
              <w:jc w:val="center"/>
              <w:rPr>
                <w:rFonts w:ascii="宋体" w:hAnsi="宋体"/>
                <w:szCs w:val="21"/>
              </w:rPr>
            </w:pPr>
            <w:r>
              <w:rPr>
                <w:rFonts w:ascii="宋体" w:hAnsi="宋体"/>
                <w:b/>
                <w:bCs/>
                <w:szCs w:val="21"/>
              </w:rPr>
              <w:t>性</w:t>
            </w:r>
          </w:p>
        </w:tc>
        <w:tc>
          <w:tcPr>
            <w:tcW w:w="7954" w:type="dxa"/>
            <w:noWrap w:val="0"/>
            <w:vAlign w:val="center"/>
          </w:tcPr>
          <w:p>
            <w:pPr>
              <w:adjustRightInd w:val="0"/>
              <w:snapToGrid w:val="0"/>
              <w:rPr>
                <w:rFonts w:ascii="宋体" w:hAnsi="宋体"/>
                <w:szCs w:val="21"/>
              </w:rPr>
            </w:pPr>
            <w:r>
              <w:rPr>
                <w:rFonts w:ascii="宋体" w:hAnsi="宋体"/>
                <w:b/>
                <w:bCs/>
                <w:szCs w:val="21"/>
              </w:rPr>
              <w:t>接触限值：</w:t>
            </w:r>
            <w:r>
              <w:rPr>
                <w:rFonts w:ascii="宋体" w:hAnsi="宋体"/>
                <w:szCs w:val="21"/>
              </w:rPr>
              <w:t>中国MAC（mg/m</w:t>
            </w:r>
            <w:r>
              <w:rPr>
                <w:rFonts w:ascii="宋体" w:hAnsi="宋体"/>
                <w:szCs w:val="21"/>
                <w:vertAlign w:val="superscript"/>
              </w:rPr>
              <w:t>3</w:t>
            </w:r>
            <w:r>
              <w:rPr>
                <w:rFonts w:ascii="宋体" w:hAnsi="宋体"/>
                <w:szCs w:val="21"/>
              </w:rPr>
              <w:t>）：无资料。</w:t>
            </w:r>
          </w:p>
          <w:p>
            <w:pPr>
              <w:adjustRightInd w:val="0"/>
              <w:snapToGrid w:val="0"/>
              <w:rPr>
                <w:rFonts w:ascii="宋体" w:hAnsi="宋体"/>
                <w:szCs w:val="21"/>
              </w:rPr>
            </w:pPr>
            <w:r>
              <w:rPr>
                <w:rFonts w:ascii="宋体" w:hAnsi="宋体"/>
                <w:b/>
                <w:bCs/>
                <w:szCs w:val="21"/>
              </w:rPr>
              <w:t>侵入途径：</w:t>
            </w:r>
            <w:r>
              <w:rPr>
                <w:rFonts w:ascii="宋体" w:hAnsi="宋体"/>
                <w:szCs w:val="21"/>
              </w:rPr>
              <w:t>吸入、食入、经皮肤吸收。</w:t>
            </w:r>
          </w:p>
          <w:p>
            <w:pPr>
              <w:adjustRightInd w:val="0"/>
              <w:snapToGrid w:val="0"/>
              <w:rPr>
                <w:rFonts w:ascii="宋体" w:hAnsi="宋体"/>
                <w:szCs w:val="21"/>
              </w:rPr>
            </w:pPr>
            <w:r>
              <w:rPr>
                <w:rFonts w:ascii="宋体" w:hAnsi="宋体"/>
                <w:b/>
                <w:bCs/>
                <w:szCs w:val="21"/>
              </w:rPr>
              <w:t>急性毒性：</w:t>
            </w:r>
            <w:r>
              <w:rPr>
                <w:rFonts w:ascii="宋体" w:hAnsi="宋体"/>
                <w:szCs w:val="21"/>
              </w:rPr>
              <w:t>LD</w:t>
            </w:r>
            <w:r>
              <w:rPr>
                <w:rFonts w:ascii="宋体" w:hAnsi="宋体"/>
                <w:szCs w:val="21"/>
                <w:vertAlign w:val="subscript"/>
              </w:rPr>
              <w:t>50</w:t>
            </w:r>
            <w:r>
              <w:rPr>
                <w:rFonts w:ascii="宋体" w:hAnsi="宋体"/>
                <w:szCs w:val="21"/>
              </w:rPr>
              <w:t xml:space="preserve">：无资料 </w:t>
            </w:r>
          </w:p>
          <w:p>
            <w:pPr>
              <w:adjustRightInd w:val="0"/>
              <w:snapToGrid w:val="0"/>
              <w:rPr>
                <w:rFonts w:ascii="宋体" w:hAnsi="宋体"/>
                <w:szCs w:val="21"/>
              </w:rPr>
            </w:pPr>
            <w:r>
              <w:rPr>
                <w:rFonts w:ascii="宋体" w:hAnsi="宋体"/>
                <w:b/>
                <w:bCs/>
                <w:szCs w:val="21"/>
              </w:rPr>
              <w:t>健康危害：</w:t>
            </w:r>
            <w:r>
              <w:rPr>
                <w:rFonts w:ascii="宋体" w:hAnsi="宋体"/>
                <w:szCs w:val="21"/>
              </w:rPr>
              <w:t>皮肤接触可为主要吸收途径，可致急性肾脏损害。柴油可引起接触性皮炎、油性痤疮。吸入其雾滴或液体呛入可引起吸入性肺炎。能经胎盘进入胎儿血液中。柴油废气可引起眼、鼻刺激症状,头晕及头痛。</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rPr>
        <w:tc>
          <w:tcPr>
            <w:tcW w:w="568" w:type="dxa"/>
            <w:noWrap w:val="0"/>
            <w:vAlign w:val="center"/>
          </w:tcPr>
          <w:p>
            <w:pPr>
              <w:adjustRightInd w:val="0"/>
              <w:snapToGrid w:val="0"/>
              <w:jc w:val="center"/>
              <w:rPr>
                <w:rFonts w:ascii="宋体" w:hAnsi="宋体"/>
                <w:b/>
                <w:bCs/>
                <w:szCs w:val="21"/>
              </w:rPr>
            </w:pPr>
            <w:r>
              <w:rPr>
                <w:rFonts w:ascii="宋体" w:hAnsi="宋体"/>
                <w:b/>
                <w:bCs/>
                <w:szCs w:val="21"/>
              </w:rPr>
              <w:t>急</w:t>
            </w:r>
          </w:p>
          <w:p>
            <w:pPr>
              <w:adjustRightInd w:val="0"/>
              <w:snapToGrid w:val="0"/>
              <w:jc w:val="center"/>
              <w:rPr>
                <w:rFonts w:ascii="宋体" w:hAnsi="宋体"/>
                <w:b/>
                <w:bCs/>
                <w:szCs w:val="21"/>
              </w:rPr>
            </w:pPr>
            <w:r>
              <w:rPr>
                <w:rFonts w:ascii="宋体" w:hAnsi="宋体"/>
                <w:b/>
                <w:bCs/>
                <w:szCs w:val="21"/>
              </w:rPr>
              <w:t>救</w:t>
            </w:r>
          </w:p>
          <w:p>
            <w:pPr>
              <w:adjustRightInd w:val="0"/>
              <w:snapToGrid w:val="0"/>
              <w:jc w:val="center"/>
              <w:rPr>
                <w:rFonts w:ascii="宋体" w:hAnsi="宋体"/>
                <w:b/>
                <w:bCs/>
                <w:szCs w:val="21"/>
              </w:rPr>
            </w:pPr>
            <w:r>
              <w:rPr>
                <w:rFonts w:ascii="宋体" w:hAnsi="宋体"/>
                <w:b/>
                <w:bCs/>
                <w:szCs w:val="21"/>
              </w:rPr>
              <w:t>措</w:t>
            </w:r>
          </w:p>
          <w:p>
            <w:pPr>
              <w:adjustRightInd w:val="0"/>
              <w:snapToGrid w:val="0"/>
              <w:jc w:val="center"/>
              <w:rPr>
                <w:rFonts w:ascii="宋体" w:hAnsi="宋体"/>
                <w:szCs w:val="21"/>
              </w:rPr>
            </w:pPr>
            <w:r>
              <w:rPr>
                <w:rFonts w:ascii="宋体" w:hAnsi="宋体"/>
                <w:b/>
                <w:bCs/>
                <w:szCs w:val="21"/>
              </w:rPr>
              <w:t>施</w:t>
            </w:r>
          </w:p>
        </w:tc>
        <w:tc>
          <w:tcPr>
            <w:tcW w:w="7954" w:type="dxa"/>
            <w:noWrap w:val="0"/>
            <w:vAlign w:val="center"/>
          </w:tcPr>
          <w:p>
            <w:pPr>
              <w:adjustRightInd w:val="0"/>
              <w:snapToGrid w:val="0"/>
              <w:rPr>
                <w:rFonts w:ascii="宋体" w:hAnsi="宋体"/>
                <w:szCs w:val="21"/>
              </w:rPr>
            </w:pPr>
            <w:r>
              <w:rPr>
                <w:rFonts w:ascii="宋体" w:hAnsi="宋体"/>
                <w:b/>
                <w:bCs/>
                <w:szCs w:val="21"/>
              </w:rPr>
              <w:t>皮肤接触：</w:t>
            </w:r>
            <w:r>
              <w:rPr>
                <w:rFonts w:ascii="宋体" w:hAnsi="宋体"/>
                <w:szCs w:val="21"/>
              </w:rPr>
              <w:t>立即脱去被污染的衣着，用肥皂水和清水彻底冲洗皮肤。就医。</w:t>
            </w:r>
          </w:p>
          <w:p>
            <w:pPr>
              <w:adjustRightInd w:val="0"/>
              <w:snapToGrid w:val="0"/>
              <w:rPr>
                <w:rFonts w:ascii="宋体" w:hAnsi="宋体"/>
                <w:szCs w:val="21"/>
              </w:rPr>
            </w:pPr>
            <w:r>
              <w:rPr>
                <w:rFonts w:ascii="宋体" w:hAnsi="宋体"/>
                <w:b/>
                <w:bCs/>
                <w:szCs w:val="21"/>
              </w:rPr>
              <w:t>眼睛接触：</w:t>
            </w:r>
            <w:r>
              <w:rPr>
                <w:rFonts w:ascii="宋体" w:hAnsi="宋体"/>
                <w:szCs w:val="21"/>
              </w:rPr>
              <w:t>立即提起眼睑，用大量流动清水或生理盐水彻底冲洗至少15分钟。就医。</w:t>
            </w:r>
          </w:p>
          <w:p>
            <w:pPr>
              <w:adjustRightInd w:val="0"/>
              <w:snapToGrid w:val="0"/>
              <w:rPr>
                <w:rFonts w:ascii="宋体" w:hAnsi="宋体"/>
                <w:szCs w:val="21"/>
              </w:rPr>
            </w:pPr>
            <w:r>
              <w:rPr>
                <w:rFonts w:ascii="宋体" w:hAnsi="宋体"/>
                <w:b/>
                <w:bCs/>
                <w:szCs w:val="21"/>
              </w:rPr>
              <w:t>吸入：</w:t>
            </w:r>
            <w:r>
              <w:rPr>
                <w:rFonts w:ascii="宋体" w:hAnsi="宋体"/>
                <w:szCs w:val="21"/>
              </w:rPr>
              <w:t>迅速脱离现场至空气新鲜处。保持呼吸道通畅。如呼吸困难，给输氧。如呼吸停止，立即进行人工呼吸。就医。</w:t>
            </w:r>
          </w:p>
          <w:p>
            <w:pPr>
              <w:adjustRightInd w:val="0"/>
              <w:snapToGrid w:val="0"/>
              <w:rPr>
                <w:rFonts w:ascii="宋体" w:hAnsi="宋体"/>
                <w:szCs w:val="21"/>
              </w:rPr>
            </w:pPr>
            <w:r>
              <w:rPr>
                <w:rFonts w:ascii="宋体" w:hAnsi="宋体"/>
                <w:b/>
                <w:bCs/>
                <w:szCs w:val="21"/>
              </w:rPr>
              <w:t>食入：</w:t>
            </w:r>
            <w:r>
              <w:rPr>
                <w:rFonts w:ascii="宋体" w:hAnsi="宋体"/>
                <w:szCs w:val="21"/>
              </w:rPr>
              <w:t>给饮牛奶或用植物油洗胃和灌肠。就医。</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rPr>
        <w:tc>
          <w:tcPr>
            <w:tcW w:w="568" w:type="dxa"/>
            <w:noWrap w:val="0"/>
            <w:vAlign w:val="center"/>
          </w:tcPr>
          <w:p>
            <w:pPr>
              <w:adjustRightInd w:val="0"/>
              <w:snapToGrid w:val="0"/>
              <w:jc w:val="center"/>
              <w:rPr>
                <w:rFonts w:ascii="宋体" w:hAnsi="宋体"/>
                <w:b/>
                <w:bCs/>
                <w:szCs w:val="21"/>
              </w:rPr>
            </w:pPr>
            <w:r>
              <w:rPr>
                <w:rFonts w:ascii="宋体" w:hAnsi="宋体"/>
                <w:b/>
                <w:bCs/>
                <w:szCs w:val="21"/>
              </w:rPr>
              <w:t>防</w:t>
            </w:r>
          </w:p>
          <w:p>
            <w:pPr>
              <w:adjustRightInd w:val="0"/>
              <w:snapToGrid w:val="0"/>
              <w:jc w:val="center"/>
              <w:rPr>
                <w:rFonts w:ascii="宋体" w:hAnsi="宋体"/>
                <w:b/>
                <w:bCs/>
                <w:szCs w:val="21"/>
              </w:rPr>
            </w:pPr>
            <w:r>
              <w:rPr>
                <w:rFonts w:ascii="宋体" w:hAnsi="宋体"/>
                <w:b/>
                <w:bCs/>
                <w:szCs w:val="21"/>
              </w:rPr>
              <w:t>护</w:t>
            </w:r>
          </w:p>
          <w:p>
            <w:pPr>
              <w:adjustRightInd w:val="0"/>
              <w:snapToGrid w:val="0"/>
              <w:jc w:val="center"/>
              <w:rPr>
                <w:rFonts w:ascii="宋体" w:hAnsi="宋体"/>
                <w:b/>
                <w:bCs/>
                <w:szCs w:val="21"/>
              </w:rPr>
            </w:pPr>
            <w:r>
              <w:rPr>
                <w:rFonts w:ascii="宋体" w:hAnsi="宋体"/>
                <w:b/>
                <w:bCs/>
                <w:szCs w:val="21"/>
              </w:rPr>
              <w:t>措</w:t>
            </w:r>
          </w:p>
          <w:p>
            <w:pPr>
              <w:adjustRightInd w:val="0"/>
              <w:snapToGrid w:val="0"/>
              <w:jc w:val="center"/>
              <w:rPr>
                <w:rFonts w:ascii="宋体" w:hAnsi="宋体"/>
                <w:szCs w:val="21"/>
              </w:rPr>
            </w:pPr>
            <w:r>
              <w:rPr>
                <w:rFonts w:ascii="宋体" w:hAnsi="宋体"/>
                <w:b/>
                <w:bCs/>
                <w:szCs w:val="21"/>
              </w:rPr>
              <w:t>施</w:t>
            </w:r>
          </w:p>
        </w:tc>
        <w:tc>
          <w:tcPr>
            <w:tcW w:w="7954" w:type="dxa"/>
            <w:noWrap w:val="0"/>
            <w:vAlign w:val="center"/>
          </w:tcPr>
          <w:p>
            <w:pPr>
              <w:adjustRightInd w:val="0"/>
              <w:snapToGrid w:val="0"/>
              <w:rPr>
                <w:rFonts w:ascii="宋体" w:hAnsi="宋体"/>
                <w:szCs w:val="21"/>
              </w:rPr>
            </w:pPr>
            <w:r>
              <w:rPr>
                <w:rFonts w:ascii="宋体" w:hAnsi="宋体"/>
                <w:b/>
                <w:bCs/>
                <w:szCs w:val="21"/>
              </w:rPr>
              <w:t>工程控制：</w:t>
            </w:r>
            <w:r>
              <w:rPr>
                <w:rFonts w:ascii="宋体" w:hAnsi="宋体"/>
                <w:szCs w:val="21"/>
              </w:rPr>
              <w:t>生产过程密闭操作，注意通风。</w:t>
            </w:r>
          </w:p>
          <w:p>
            <w:pPr>
              <w:adjustRightInd w:val="0"/>
              <w:snapToGrid w:val="0"/>
              <w:rPr>
                <w:rFonts w:ascii="宋体" w:hAnsi="宋体"/>
                <w:szCs w:val="21"/>
              </w:rPr>
            </w:pPr>
            <w:r>
              <w:rPr>
                <w:rFonts w:ascii="宋体" w:hAnsi="宋体"/>
                <w:b/>
                <w:bCs/>
                <w:szCs w:val="21"/>
              </w:rPr>
              <w:t>呼吸系统防护：</w:t>
            </w:r>
            <w:r>
              <w:rPr>
                <w:rFonts w:ascii="宋体" w:hAnsi="宋体"/>
                <w:szCs w:val="21"/>
              </w:rPr>
              <w:t>空气中浓度超标时，建议佩戴自吸过滤式防毒面具(半面罩)。紧急事态抢救或撤离时,应佩戴空气呼吸器。</w:t>
            </w:r>
          </w:p>
          <w:p>
            <w:pPr>
              <w:adjustRightInd w:val="0"/>
              <w:snapToGrid w:val="0"/>
              <w:rPr>
                <w:rFonts w:ascii="宋体" w:hAnsi="宋体"/>
                <w:szCs w:val="21"/>
              </w:rPr>
            </w:pPr>
            <w:r>
              <w:rPr>
                <w:rFonts w:ascii="宋体" w:hAnsi="宋体"/>
                <w:b/>
                <w:bCs/>
                <w:szCs w:val="21"/>
              </w:rPr>
              <w:t>眼睛防护：</w:t>
            </w:r>
            <w:r>
              <w:rPr>
                <w:rFonts w:ascii="宋体" w:hAnsi="宋体"/>
                <w:szCs w:val="21"/>
              </w:rPr>
              <w:t>必要时戴化学安全防护眼镜。</w:t>
            </w:r>
          </w:p>
          <w:p>
            <w:pPr>
              <w:adjustRightInd w:val="0"/>
              <w:snapToGrid w:val="0"/>
              <w:rPr>
                <w:rFonts w:ascii="宋体" w:hAnsi="宋体"/>
                <w:szCs w:val="21"/>
              </w:rPr>
            </w:pPr>
            <w:r>
              <w:rPr>
                <w:rFonts w:ascii="宋体" w:hAnsi="宋体"/>
                <w:b/>
                <w:bCs/>
                <w:szCs w:val="21"/>
              </w:rPr>
              <w:t>身体防护：</w:t>
            </w:r>
            <w:r>
              <w:rPr>
                <w:rFonts w:ascii="宋体" w:hAnsi="宋体"/>
                <w:szCs w:val="21"/>
              </w:rPr>
              <w:t>穿一般作业工作服。</w:t>
            </w:r>
          </w:p>
          <w:p>
            <w:pPr>
              <w:adjustRightInd w:val="0"/>
              <w:snapToGrid w:val="0"/>
              <w:rPr>
                <w:rFonts w:ascii="宋体" w:hAnsi="宋体"/>
                <w:szCs w:val="21"/>
              </w:rPr>
            </w:pPr>
            <w:r>
              <w:rPr>
                <w:rFonts w:ascii="宋体" w:hAnsi="宋体"/>
                <w:b/>
                <w:bCs/>
                <w:szCs w:val="21"/>
              </w:rPr>
              <w:t>手 防 护：</w:t>
            </w:r>
            <w:r>
              <w:rPr>
                <w:rFonts w:ascii="宋体" w:hAnsi="宋体"/>
                <w:szCs w:val="21"/>
              </w:rPr>
              <w:t>戴橡胶耐油手套。</w:t>
            </w:r>
          </w:p>
          <w:p>
            <w:pPr>
              <w:adjustRightInd w:val="0"/>
              <w:snapToGrid w:val="0"/>
              <w:rPr>
                <w:rFonts w:ascii="宋体" w:hAnsi="宋体"/>
                <w:szCs w:val="21"/>
              </w:rPr>
            </w:pPr>
            <w:r>
              <w:rPr>
                <w:rFonts w:ascii="宋体" w:hAnsi="宋体"/>
                <w:b/>
                <w:bCs/>
                <w:szCs w:val="21"/>
              </w:rPr>
              <w:t>其它防护：</w:t>
            </w:r>
            <w:r>
              <w:rPr>
                <w:rFonts w:ascii="宋体" w:hAnsi="宋体"/>
                <w:szCs w:val="21"/>
              </w:rPr>
              <w:t>工作现场禁止吸烟。避免长期反复接触。</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rPr>
        <w:tc>
          <w:tcPr>
            <w:tcW w:w="568" w:type="dxa"/>
            <w:noWrap w:val="0"/>
            <w:vAlign w:val="center"/>
          </w:tcPr>
          <w:p>
            <w:pPr>
              <w:adjustRightInd w:val="0"/>
              <w:snapToGrid w:val="0"/>
              <w:jc w:val="center"/>
              <w:rPr>
                <w:rFonts w:ascii="宋体" w:hAnsi="宋体"/>
                <w:b/>
                <w:bCs/>
                <w:szCs w:val="21"/>
              </w:rPr>
            </w:pPr>
            <w:r>
              <w:rPr>
                <w:rFonts w:ascii="宋体" w:hAnsi="宋体"/>
                <w:b/>
                <w:bCs/>
                <w:szCs w:val="21"/>
              </w:rPr>
              <w:t>泄</w:t>
            </w:r>
          </w:p>
          <w:p>
            <w:pPr>
              <w:adjustRightInd w:val="0"/>
              <w:snapToGrid w:val="0"/>
              <w:jc w:val="center"/>
              <w:rPr>
                <w:rFonts w:ascii="宋体" w:hAnsi="宋体"/>
                <w:b/>
                <w:bCs/>
                <w:szCs w:val="21"/>
              </w:rPr>
            </w:pPr>
            <w:r>
              <w:rPr>
                <w:rFonts w:ascii="宋体" w:hAnsi="宋体"/>
                <w:b/>
                <w:bCs/>
                <w:szCs w:val="21"/>
              </w:rPr>
              <w:t>漏</w:t>
            </w:r>
          </w:p>
          <w:p>
            <w:pPr>
              <w:adjustRightInd w:val="0"/>
              <w:snapToGrid w:val="0"/>
              <w:jc w:val="center"/>
              <w:rPr>
                <w:rFonts w:ascii="宋体" w:hAnsi="宋体"/>
                <w:b/>
                <w:bCs/>
                <w:szCs w:val="21"/>
              </w:rPr>
            </w:pPr>
            <w:r>
              <w:rPr>
                <w:rFonts w:ascii="宋体" w:hAnsi="宋体"/>
                <w:b/>
                <w:bCs/>
                <w:szCs w:val="21"/>
              </w:rPr>
              <w:t>处</w:t>
            </w:r>
          </w:p>
          <w:p>
            <w:pPr>
              <w:adjustRightInd w:val="0"/>
              <w:snapToGrid w:val="0"/>
              <w:jc w:val="center"/>
              <w:rPr>
                <w:rFonts w:ascii="宋体" w:hAnsi="宋体"/>
                <w:szCs w:val="21"/>
              </w:rPr>
            </w:pPr>
            <w:r>
              <w:rPr>
                <w:rFonts w:ascii="宋体" w:hAnsi="宋体"/>
                <w:b/>
                <w:bCs/>
                <w:szCs w:val="21"/>
              </w:rPr>
              <w:t>理</w:t>
            </w:r>
          </w:p>
        </w:tc>
        <w:tc>
          <w:tcPr>
            <w:tcW w:w="7954" w:type="dxa"/>
            <w:noWrap w:val="0"/>
            <w:vAlign w:val="center"/>
          </w:tcPr>
          <w:p>
            <w:pPr>
              <w:adjustRightInd w:val="0"/>
              <w:snapToGrid w:val="0"/>
              <w:rPr>
                <w:rFonts w:ascii="宋体" w:hAnsi="宋体"/>
                <w:szCs w:val="21"/>
              </w:rPr>
            </w:pPr>
            <w:r>
              <w:rPr>
                <w:rFonts w:ascii="宋体" w:hAnsi="宋体"/>
                <w:b/>
                <w:bCs/>
                <w:szCs w:val="21"/>
              </w:rPr>
              <w:t>应急行动：</w:t>
            </w:r>
            <w:r>
              <w:rPr>
                <w:rFonts w:ascii="宋体" w:hAnsi="宋体"/>
                <w:szCs w:val="21"/>
              </w:rPr>
              <w:t>迅速撤离泄漏污染区人员至安全区，并进行隔离，严格限制出入。切断火源。建议应急处理人员戴自给正压式呼吸器，穿一般作业工作服。尽可能切断泄漏源。防止流入下水道、排洪沟等限制性空间。小量泄漏：用活性炭或其它惰性材料吸收。大量泄漏：构筑围堤或挖坑收容。用防爆泵转移至槽车或专用收集容器内，回收或运至废物处理场所处置。</w:t>
            </w:r>
          </w:p>
        </w:tc>
      </w:tr>
    </w:tbl>
    <w:p>
      <w:pPr>
        <w:adjustRightInd w:val="0"/>
        <w:snapToGrid w:val="0"/>
        <w:spacing w:line="360" w:lineRule="auto"/>
        <w:ind w:firstLine="560" w:firstLineChars="200"/>
        <w:rPr>
          <w:rFonts w:hint="eastAsia"/>
          <w:sz w:val="28"/>
          <w:szCs w:val="28"/>
        </w:rPr>
      </w:pPr>
    </w:p>
    <w:p>
      <w:pPr>
        <w:pStyle w:val="8"/>
        <w:spacing w:line="360" w:lineRule="auto"/>
        <w:ind w:firstLine="0" w:firstLineChars="0"/>
        <w:outlineLvl w:val="2"/>
        <w:rPr>
          <w:rFonts w:hint="eastAsia" w:ascii="宋体" w:hAnsi="宋体"/>
          <w:b/>
          <w:snapToGrid w:val="0"/>
          <w:kern w:val="0"/>
          <w:sz w:val="28"/>
          <w:szCs w:val="28"/>
          <w:lang w:val="en-US" w:eastAsia="zh-CN"/>
        </w:rPr>
      </w:pPr>
      <w:bookmarkStart w:id="136" w:name="_Toc513735551"/>
      <w:bookmarkStart w:id="137" w:name="_Toc515659434"/>
      <w:bookmarkStart w:id="138" w:name="_Toc475363997"/>
      <w:bookmarkStart w:id="139" w:name="_Toc12321"/>
      <w:bookmarkStart w:id="140" w:name="_Toc511994825"/>
      <w:r>
        <w:rPr>
          <w:rFonts w:hint="eastAsia" w:ascii="宋体" w:hAnsi="宋体"/>
          <w:b/>
          <w:snapToGrid w:val="0"/>
          <w:kern w:val="0"/>
          <w:sz w:val="28"/>
          <w:szCs w:val="28"/>
          <w:lang w:val="en-US" w:eastAsia="zh-CN"/>
        </w:rPr>
        <w:t>3.4.7 氧气安全数据表</w:t>
      </w:r>
      <w:bookmarkEnd w:id="136"/>
      <w:bookmarkEnd w:id="137"/>
      <w:bookmarkEnd w:id="138"/>
      <w:bookmarkEnd w:id="139"/>
    </w:p>
    <w:p>
      <w:pPr>
        <w:pStyle w:val="32"/>
        <w:rPr>
          <w:rFonts w:eastAsia="黑体"/>
          <w:sz w:val="24"/>
          <w:szCs w:val="24"/>
        </w:rPr>
      </w:pPr>
      <w:r>
        <w:rPr>
          <w:rFonts w:eastAsia="黑体"/>
          <w:sz w:val="24"/>
          <w:szCs w:val="24"/>
        </w:rPr>
        <w:t>表3-</w:t>
      </w:r>
      <w:r>
        <w:rPr>
          <w:rFonts w:hint="eastAsia" w:eastAsia="黑体"/>
          <w:sz w:val="24"/>
          <w:szCs w:val="24"/>
        </w:rPr>
        <w:t>2</w:t>
      </w:r>
      <w:r>
        <w:rPr>
          <w:rFonts w:eastAsia="黑体"/>
          <w:sz w:val="24"/>
          <w:szCs w:val="24"/>
        </w:rPr>
        <w:t xml:space="preserve"> 氧气安全数据表</w:t>
      </w:r>
    </w:p>
    <w:tbl>
      <w:tblPr>
        <w:tblStyle w:val="19"/>
        <w:tblW w:w="8336" w:type="dxa"/>
        <w:tblInd w:w="0"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476"/>
        <w:gridCol w:w="1947"/>
        <w:gridCol w:w="531"/>
        <w:gridCol w:w="788"/>
        <w:gridCol w:w="255"/>
        <w:gridCol w:w="43"/>
        <w:gridCol w:w="220"/>
        <w:gridCol w:w="436"/>
        <w:gridCol w:w="967"/>
        <w:gridCol w:w="229"/>
        <w:gridCol w:w="408"/>
        <w:gridCol w:w="2036"/>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0" w:hRule="atLeast"/>
        </w:trPr>
        <w:tc>
          <w:tcPr>
            <w:tcW w:w="476" w:type="dxa"/>
            <w:vMerge w:val="restart"/>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标识</w:t>
            </w:r>
          </w:p>
        </w:tc>
        <w:tc>
          <w:tcPr>
            <w:tcW w:w="2478" w:type="dxa"/>
            <w:gridSpan w:val="2"/>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中文名：氧气</w:t>
            </w:r>
          </w:p>
        </w:tc>
        <w:tc>
          <w:tcPr>
            <w:tcW w:w="5382" w:type="dxa"/>
            <w:gridSpan w:val="9"/>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英文名：oxygen</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0" w:hRule="atLeast"/>
        </w:trPr>
        <w:tc>
          <w:tcPr>
            <w:tcW w:w="476" w:type="dxa"/>
            <w:vMerge w:val="continue"/>
            <w:noWrap w:val="0"/>
            <w:vAlign w:val="center"/>
          </w:tcPr>
          <w:p>
            <w:pPr>
              <w:spacing w:line="260" w:lineRule="exact"/>
              <w:rPr>
                <w:rFonts w:ascii="宋体" w:hAnsi="宋体"/>
                <w:szCs w:val="21"/>
              </w:rPr>
            </w:pPr>
          </w:p>
        </w:tc>
        <w:tc>
          <w:tcPr>
            <w:tcW w:w="2478" w:type="dxa"/>
            <w:gridSpan w:val="2"/>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CAS号：7782-44-7</w:t>
            </w:r>
          </w:p>
        </w:tc>
        <w:tc>
          <w:tcPr>
            <w:tcW w:w="3346" w:type="dxa"/>
            <w:gridSpan w:val="8"/>
            <w:noWrap w:val="0"/>
            <w:tcMar>
              <w:top w:w="15" w:type="dxa"/>
              <w:left w:w="15" w:type="dxa"/>
              <w:bottom w:w="15" w:type="dxa"/>
              <w:right w:w="15" w:type="dxa"/>
            </w:tcMar>
            <w:vAlign w:val="center"/>
          </w:tcPr>
          <w:p>
            <w:pPr>
              <w:spacing w:line="260" w:lineRule="exact"/>
              <w:rPr>
                <w:rFonts w:ascii="宋体" w:hAnsi="宋体"/>
                <w:szCs w:val="21"/>
              </w:rPr>
            </w:pPr>
            <w:r>
              <w:rPr>
                <w:rFonts w:hint="eastAsia" w:ascii="宋体" w:hAnsi="宋体"/>
                <w:szCs w:val="21"/>
              </w:rPr>
              <w:t>危规</w:t>
            </w:r>
            <w:r>
              <w:rPr>
                <w:rFonts w:ascii="宋体" w:hAnsi="宋体"/>
                <w:szCs w:val="21"/>
              </w:rPr>
              <w:t>编号：</w:t>
            </w:r>
            <w:r>
              <w:rPr>
                <w:rFonts w:hint="eastAsia" w:ascii="宋体" w:hAnsi="宋体"/>
                <w:szCs w:val="21"/>
              </w:rPr>
              <w:t>2528</w:t>
            </w:r>
          </w:p>
        </w:tc>
        <w:tc>
          <w:tcPr>
            <w:tcW w:w="2036" w:type="dxa"/>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危险货物编号：22001</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315" w:hRule="atLeast"/>
        </w:trPr>
        <w:tc>
          <w:tcPr>
            <w:tcW w:w="476" w:type="dxa"/>
            <w:vMerge w:val="restart"/>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理化性质</w:t>
            </w:r>
          </w:p>
        </w:tc>
        <w:tc>
          <w:tcPr>
            <w:tcW w:w="7860" w:type="dxa"/>
            <w:gridSpan w:val="11"/>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性状：无色无臭气体。</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315" w:hRule="atLeast"/>
        </w:trPr>
        <w:tc>
          <w:tcPr>
            <w:tcW w:w="476" w:type="dxa"/>
            <w:vMerge w:val="continue"/>
            <w:noWrap w:val="0"/>
            <w:vAlign w:val="center"/>
          </w:tcPr>
          <w:p>
            <w:pPr>
              <w:spacing w:line="260" w:lineRule="exact"/>
              <w:rPr>
                <w:rFonts w:ascii="宋体" w:hAnsi="宋体"/>
                <w:szCs w:val="21"/>
              </w:rPr>
            </w:pPr>
          </w:p>
        </w:tc>
        <w:tc>
          <w:tcPr>
            <w:tcW w:w="7860" w:type="dxa"/>
            <w:gridSpan w:val="11"/>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主要用途：用于切割、焊接金属，制造医药、染料、炸药等。</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60" w:hRule="atLeast"/>
        </w:trPr>
        <w:tc>
          <w:tcPr>
            <w:tcW w:w="476" w:type="dxa"/>
            <w:vMerge w:val="continue"/>
            <w:noWrap w:val="0"/>
            <w:vAlign w:val="center"/>
          </w:tcPr>
          <w:p>
            <w:pPr>
              <w:spacing w:line="260" w:lineRule="exact"/>
              <w:rPr>
                <w:rFonts w:ascii="宋体" w:hAnsi="宋体"/>
                <w:szCs w:val="21"/>
              </w:rPr>
            </w:pPr>
          </w:p>
        </w:tc>
        <w:tc>
          <w:tcPr>
            <w:tcW w:w="2478" w:type="dxa"/>
            <w:gridSpan w:val="2"/>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相对密度(水=1)：</w:t>
            </w:r>
          </w:p>
          <w:p>
            <w:pPr>
              <w:spacing w:line="260" w:lineRule="exact"/>
              <w:rPr>
                <w:rFonts w:ascii="宋体" w:hAnsi="宋体"/>
                <w:szCs w:val="21"/>
              </w:rPr>
            </w:pPr>
            <w:r>
              <w:rPr>
                <w:rFonts w:ascii="宋体" w:hAnsi="宋体"/>
                <w:szCs w:val="21"/>
              </w:rPr>
              <w:t>1.14（-183℃）</w:t>
            </w:r>
          </w:p>
        </w:tc>
        <w:tc>
          <w:tcPr>
            <w:tcW w:w="2938" w:type="dxa"/>
            <w:gridSpan w:val="7"/>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饱和蒸汽压(kPa)：506.62（-164℃）</w:t>
            </w:r>
          </w:p>
        </w:tc>
        <w:tc>
          <w:tcPr>
            <w:tcW w:w="2444" w:type="dxa"/>
            <w:gridSpan w:val="2"/>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临界温度(℃)：-118.4</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60" w:hRule="atLeast"/>
        </w:trPr>
        <w:tc>
          <w:tcPr>
            <w:tcW w:w="476" w:type="dxa"/>
            <w:vMerge w:val="continue"/>
            <w:noWrap w:val="0"/>
            <w:vAlign w:val="center"/>
          </w:tcPr>
          <w:p>
            <w:pPr>
              <w:spacing w:line="260" w:lineRule="exact"/>
              <w:rPr>
                <w:rFonts w:ascii="宋体" w:hAnsi="宋体"/>
                <w:szCs w:val="21"/>
              </w:rPr>
            </w:pPr>
          </w:p>
        </w:tc>
        <w:tc>
          <w:tcPr>
            <w:tcW w:w="2478" w:type="dxa"/>
            <w:gridSpan w:val="2"/>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相对密度(空气=1): 1.43</w:t>
            </w:r>
          </w:p>
        </w:tc>
        <w:tc>
          <w:tcPr>
            <w:tcW w:w="2938" w:type="dxa"/>
            <w:gridSpan w:val="7"/>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闪点(℃)：不适用</w:t>
            </w:r>
          </w:p>
        </w:tc>
        <w:tc>
          <w:tcPr>
            <w:tcW w:w="2444" w:type="dxa"/>
            <w:gridSpan w:val="2"/>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临界压力(MPa)：5.08</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34" w:hRule="atLeast"/>
        </w:trPr>
        <w:tc>
          <w:tcPr>
            <w:tcW w:w="476" w:type="dxa"/>
            <w:vMerge w:val="continue"/>
            <w:noWrap w:val="0"/>
            <w:vAlign w:val="center"/>
          </w:tcPr>
          <w:p>
            <w:pPr>
              <w:spacing w:line="260" w:lineRule="exact"/>
              <w:rPr>
                <w:rFonts w:ascii="宋体" w:hAnsi="宋体"/>
                <w:szCs w:val="21"/>
              </w:rPr>
            </w:pPr>
          </w:p>
        </w:tc>
        <w:tc>
          <w:tcPr>
            <w:tcW w:w="3784" w:type="dxa"/>
            <w:gridSpan w:val="6"/>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熔点：-218.8</w:t>
            </w:r>
          </w:p>
        </w:tc>
        <w:tc>
          <w:tcPr>
            <w:tcW w:w="4076" w:type="dxa"/>
            <w:gridSpan w:val="5"/>
            <w:noWrap w:val="0"/>
            <w:vAlign w:val="center"/>
          </w:tcPr>
          <w:p>
            <w:pPr>
              <w:spacing w:line="260" w:lineRule="exact"/>
              <w:rPr>
                <w:rFonts w:ascii="宋体" w:hAnsi="宋体"/>
                <w:szCs w:val="21"/>
              </w:rPr>
            </w:pPr>
            <w:r>
              <w:rPr>
                <w:rFonts w:ascii="宋体" w:hAnsi="宋体"/>
                <w:szCs w:val="21"/>
              </w:rPr>
              <w:t>沸点：-183.1</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190" w:hRule="atLeast"/>
        </w:trPr>
        <w:tc>
          <w:tcPr>
            <w:tcW w:w="476" w:type="dxa"/>
            <w:vMerge w:val="continue"/>
            <w:noWrap w:val="0"/>
            <w:vAlign w:val="center"/>
          </w:tcPr>
          <w:p>
            <w:pPr>
              <w:spacing w:line="260" w:lineRule="exact"/>
              <w:rPr>
                <w:rFonts w:ascii="宋体" w:hAnsi="宋体"/>
                <w:szCs w:val="21"/>
              </w:rPr>
            </w:pPr>
          </w:p>
        </w:tc>
        <w:tc>
          <w:tcPr>
            <w:tcW w:w="7860" w:type="dxa"/>
            <w:gridSpan w:val="11"/>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溶解性：溶于水、乙醇。</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0" w:hRule="atLeast"/>
        </w:trPr>
        <w:tc>
          <w:tcPr>
            <w:tcW w:w="476" w:type="dxa"/>
            <w:vMerge w:val="continue"/>
            <w:noWrap w:val="0"/>
            <w:vAlign w:val="center"/>
          </w:tcPr>
          <w:p>
            <w:pPr>
              <w:spacing w:line="260" w:lineRule="exact"/>
              <w:rPr>
                <w:rFonts w:ascii="宋体" w:hAnsi="宋体"/>
                <w:szCs w:val="21"/>
              </w:rPr>
            </w:pPr>
          </w:p>
        </w:tc>
        <w:tc>
          <w:tcPr>
            <w:tcW w:w="7860" w:type="dxa"/>
            <w:gridSpan w:val="11"/>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危险特性：是易燃物、可燃物燃烧爆炸的基本要素之一, 能氧化大多数活性物质。与易燃物（如乙炔、甲烷等）形成有爆炸性的混合物。</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0" w:hRule="atLeast"/>
        </w:trPr>
        <w:tc>
          <w:tcPr>
            <w:tcW w:w="476" w:type="dxa"/>
            <w:vMerge w:val="continue"/>
            <w:noWrap w:val="0"/>
            <w:vAlign w:val="center"/>
          </w:tcPr>
          <w:p>
            <w:pPr>
              <w:spacing w:line="260" w:lineRule="exact"/>
              <w:rPr>
                <w:rFonts w:ascii="宋体" w:hAnsi="宋体"/>
                <w:szCs w:val="21"/>
              </w:rPr>
            </w:pPr>
          </w:p>
        </w:tc>
        <w:tc>
          <w:tcPr>
            <w:tcW w:w="1947" w:type="dxa"/>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燃烧分解产物：无数据</w:t>
            </w:r>
          </w:p>
        </w:tc>
        <w:tc>
          <w:tcPr>
            <w:tcW w:w="1319" w:type="dxa"/>
            <w:gridSpan w:val="2"/>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稳定性：无数据</w:t>
            </w:r>
          </w:p>
        </w:tc>
        <w:tc>
          <w:tcPr>
            <w:tcW w:w="1921" w:type="dxa"/>
            <w:gridSpan w:val="5"/>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聚合危害：无数据</w:t>
            </w:r>
          </w:p>
        </w:tc>
        <w:tc>
          <w:tcPr>
            <w:tcW w:w="2673" w:type="dxa"/>
            <w:gridSpan w:val="3"/>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禁忌物：易燃或可燃物、活性金属粉末、乙炔。</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60" w:hRule="atLeast"/>
        </w:trPr>
        <w:tc>
          <w:tcPr>
            <w:tcW w:w="476" w:type="dxa"/>
            <w:vMerge w:val="continue"/>
            <w:noWrap w:val="0"/>
            <w:vAlign w:val="center"/>
          </w:tcPr>
          <w:p>
            <w:pPr>
              <w:spacing w:line="260" w:lineRule="exact"/>
              <w:rPr>
                <w:rFonts w:ascii="宋体" w:hAnsi="宋体"/>
                <w:szCs w:val="21"/>
              </w:rPr>
            </w:pPr>
          </w:p>
        </w:tc>
        <w:tc>
          <w:tcPr>
            <w:tcW w:w="7860" w:type="dxa"/>
            <w:gridSpan w:val="11"/>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灭火方法：用水保持容器冷却，以防受热爆炸，急剧助长火势。迅速切断气源，用水喷淋保护切断气源的人员，然后根据着火原因选择适当灭火剂灭火。</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60" w:hRule="atLeast"/>
        </w:trPr>
        <w:tc>
          <w:tcPr>
            <w:tcW w:w="476" w:type="dxa"/>
            <w:vMerge w:val="restart"/>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危害</w:t>
            </w:r>
          </w:p>
        </w:tc>
        <w:tc>
          <w:tcPr>
            <w:tcW w:w="3521" w:type="dxa"/>
            <w:gridSpan w:val="4"/>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危险性类别：第2.2类 不燃气体</w:t>
            </w:r>
          </w:p>
        </w:tc>
        <w:tc>
          <w:tcPr>
            <w:tcW w:w="4339" w:type="dxa"/>
            <w:gridSpan w:val="7"/>
            <w:noWrap w:val="0"/>
            <w:vAlign w:val="center"/>
          </w:tcPr>
          <w:p>
            <w:pPr>
              <w:spacing w:line="260" w:lineRule="exact"/>
              <w:rPr>
                <w:rFonts w:ascii="宋体" w:hAnsi="宋体"/>
                <w:szCs w:val="21"/>
              </w:rPr>
            </w:pPr>
            <w:r>
              <w:rPr>
                <w:rFonts w:ascii="宋体" w:hAnsi="宋体"/>
                <w:szCs w:val="21"/>
              </w:rPr>
              <w:t>侵入途径：无数据</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60" w:hRule="atLeast"/>
        </w:trPr>
        <w:tc>
          <w:tcPr>
            <w:tcW w:w="476" w:type="dxa"/>
            <w:vMerge w:val="continue"/>
            <w:noWrap w:val="0"/>
            <w:vAlign w:val="center"/>
          </w:tcPr>
          <w:p>
            <w:pPr>
              <w:spacing w:line="260" w:lineRule="exact"/>
              <w:rPr>
                <w:rFonts w:ascii="宋体" w:hAnsi="宋体"/>
                <w:szCs w:val="21"/>
              </w:rPr>
            </w:pPr>
          </w:p>
        </w:tc>
        <w:tc>
          <w:tcPr>
            <w:tcW w:w="7860" w:type="dxa"/>
            <w:gridSpan w:val="11"/>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健康危害：常压下，当氧的浓度超过40％时，有可能发生氧中毒。吸入40％～60％的氧时，出现胸骨后不适感、轻咳，进而胸闷、胸骨后烧灼感和呼吸困难，咳嗽加剧；严重时可发生肺水肿，甚至出现呼吸窘迫综合征。吸入氧浓度在80％以上时，出现面部肌肉抽动、面色苍白、眩晕、心动过速、虚脱，继而全身强直性抽搐、昏迷、呼吸衰竭而死亡。长期处于氧分压为60～100kPa（相当于吸入氧浓度40％左右）的条件下可发生眼损害，严重者可失明。</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375" w:hRule="atLeast"/>
        </w:trPr>
        <w:tc>
          <w:tcPr>
            <w:tcW w:w="476" w:type="dxa"/>
            <w:vMerge w:val="continue"/>
            <w:noWrap w:val="0"/>
            <w:vAlign w:val="center"/>
          </w:tcPr>
          <w:p>
            <w:pPr>
              <w:spacing w:line="260" w:lineRule="exact"/>
              <w:rPr>
                <w:rFonts w:ascii="宋体" w:hAnsi="宋体"/>
                <w:szCs w:val="21"/>
              </w:rPr>
            </w:pPr>
          </w:p>
        </w:tc>
        <w:tc>
          <w:tcPr>
            <w:tcW w:w="7860" w:type="dxa"/>
            <w:gridSpan w:val="11"/>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燃爆危险：本品助燃。</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369" w:hRule="atLeast"/>
        </w:trPr>
        <w:tc>
          <w:tcPr>
            <w:tcW w:w="476" w:type="dxa"/>
            <w:vMerge w:val="restart"/>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包装与储运</w:t>
            </w:r>
          </w:p>
        </w:tc>
        <w:tc>
          <w:tcPr>
            <w:tcW w:w="3564" w:type="dxa"/>
            <w:gridSpan w:val="5"/>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危险货物包装标志：无数据</w:t>
            </w:r>
          </w:p>
        </w:tc>
        <w:tc>
          <w:tcPr>
            <w:tcW w:w="4296" w:type="dxa"/>
            <w:gridSpan w:val="6"/>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包装类别：O53</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870" w:hRule="atLeast"/>
        </w:trPr>
        <w:tc>
          <w:tcPr>
            <w:tcW w:w="476" w:type="dxa"/>
            <w:vMerge w:val="continue"/>
            <w:noWrap w:val="0"/>
            <w:vAlign w:val="center"/>
          </w:tcPr>
          <w:p>
            <w:pPr>
              <w:spacing w:line="260" w:lineRule="exact"/>
              <w:rPr>
                <w:rFonts w:ascii="宋体" w:hAnsi="宋体"/>
                <w:szCs w:val="21"/>
              </w:rPr>
            </w:pPr>
          </w:p>
        </w:tc>
        <w:tc>
          <w:tcPr>
            <w:tcW w:w="7860" w:type="dxa"/>
            <w:gridSpan w:val="11"/>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钢质气瓶包装。氧气钢瓶不得沾污油脂。采用刚瓶运输时必须戴好钢瓶上的安全帽。钢瓶一般平放，并应将瓶口朝同一方向，不可交叉；高度不得超过车辆的防护栏板，并用三角木垫卡牢，防止滚动。严禁与易燃物或可燃物、活性金属粉末等混装混运。夏季应早晚运输，防止日光曝晒。铁路运输时要禁止溜放。</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0" w:hRule="atLeast"/>
        </w:trPr>
        <w:tc>
          <w:tcPr>
            <w:tcW w:w="476" w:type="dxa"/>
            <w:vMerge w:val="restart"/>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急救措施</w:t>
            </w:r>
          </w:p>
        </w:tc>
        <w:tc>
          <w:tcPr>
            <w:tcW w:w="7860" w:type="dxa"/>
            <w:gridSpan w:val="11"/>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眼睛接触：无数据</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0" w:hRule="atLeast"/>
        </w:trPr>
        <w:tc>
          <w:tcPr>
            <w:tcW w:w="476" w:type="dxa"/>
            <w:vMerge w:val="continue"/>
            <w:noWrap w:val="0"/>
            <w:vAlign w:val="center"/>
          </w:tcPr>
          <w:p>
            <w:pPr>
              <w:spacing w:line="260" w:lineRule="exact"/>
              <w:rPr>
                <w:rFonts w:ascii="宋体" w:hAnsi="宋体"/>
                <w:szCs w:val="21"/>
              </w:rPr>
            </w:pPr>
          </w:p>
        </w:tc>
        <w:tc>
          <w:tcPr>
            <w:tcW w:w="7860" w:type="dxa"/>
            <w:gridSpan w:val="11"/>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皮肤接触：无数据</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0" w:hRule="atLeast"/>
        </w:trPr>
        <w:tc>
          <w:tcPr>
            <w:tcW w:w="476" w:type="dxa"/>
            <w:vMerge w:val="continue"/>
            <w:noWrap w:val="0"/>
            <w:vAlign w:val="center"/>
          </w:tcPr>
          <w:p>
            <w:pPr>
              <w:spacing w:line="260" w:lineRule="exact"/>
              <w:rPr>
                <w:rFonts w:ascii="宋体" w:hAnsi="宋体"/>
                <w:szCs w:val="21"/>
              </w:rPr>
            </w:pPr>
          </w:p>
        </w:tc>
        <w:tc>
          <w:tcPr>
            <w:tcW w:w="7860" w:type="dxa"/>
            <w:gridSpan w:val="11"/>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食入：无数据</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0" w:hRule="atLeast"/>
        </w:trPr>
        <w:tc>
          <w:tcPr>
            <w:tcW w:w="476" w:type="dxa"/>
            <w:vMerge w:val="continue"/>
            <w:noWrap w:val="0"/>
            <w:vAlign w:val="center"/>
          </w:tcPr>
          <w:p>
            <w:pPr>
              <w:spacing w:line="260" w:lineRule="exact"/>
              <w:rPr>
                <w:rFonts w:ascii="宋体" w:hAnsi="宋体"/>
                <w:szCs w:val="21"/>
              </w:rPr>
            </w:pPr>
          </w:p>
        </w:tc>
        <w:tc>
          <w:tcPr>
            <w:tcW w:w="7860" w:type="dxa"/>
            <w:gridSpan w:val="11"/>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吸入：迅速脱离现场至空气新鲜处。保持呼吸道通畅。如呼吸停止，立即进行人工呼吸。就医。</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0" w:hRule="atLeast"/>
        </w:trPr>
        <w:tc>
          <w:tcPr>
            <w:tcW w:w="476" w:type="dxa"/>
            <w:vMerge w:val="restart"/>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防护措施</w:t>
            </w:r>
          </w:p>
        </w:tc>
        <w:tc>
          <w:tcPr>
            <w:tcW w:w="7860" w:type="dxa"/>
            <w:gridSpan w:val="11"/>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工程控制：密闭操作。提供良好的自然通风条件。</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0" w:hRule="atLeast"/>
        </w:trPr>
        <w:tc>
          <w:tcPr>
            <w:tcW w:w="476" w:type="dxa"/>
            <w:vMerge w:val="continue"/>
            <w:noWrap w:val="0"/>
            <w:vAlign w:val="center"/>
          </w:tcPr>
          <w:p>
            <w:pPr>
              <w:spacing w:line="260" w:lineRule="exact"/>
              <w:rPr>
                <w:rFonts w:ascii="宋体" w:hAnsi="宋体"/>
                <w:szCs w:val="21"/>
              </w:rPr>
            </w:pPr>
          </w:p>
        </w:tc>
        <w:tc>
          <w:tcPr>
            <w:tcW w:w="7860" w:type="dxa"/>
            <w:gridSpan w:val="11"/>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眼睛防护：一般不需特殊防护。</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0" w:hRule="atLeast"/>
        </w:trPr>
        <w:tc>
          <w:tcPr>
            <w:tcW w:w="476" w:type="dxa"/>
            <w:vMerge w:val="continue"/>
            <w:noWrap w:val="0"/>
            <w:vAlign w:val="center"/>
          </w:tcPr>
          <w:p>
            <w:pPr>
              <w:spacing w:line="260" w:lineRule="exact"/>
              <w:rPr>
                <w:rFonts w:ascii="宋体" w:hAnsi="宋体"/>
                <w:szCs w:val="21"/>
              </w:rPr>
            </w:pPr>
          </w:p>
        </w:tc>
        <w:tc>
          <w:tcPr>
            <w:tcW w:w="7860" w:type="dxa"/>
            <w:gridSpan w:val="11"/>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呼吸系统防护：一般不需特殊防护。</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0" w:hRule="atLeast"/>
        </w:trPr>
        <w:tc>
          <w:tcPr>
            <w:tcW w:w="476" w:type="dxa"/>
            <w:vMerge w:val="continue"/>
            <w:noWrap w:val="0"/>
            <w:vAlign w:val="center"/>
          </w:tcPr>
          <w:p>
            <w:pPr>
              <w:spacing w:line="260" w:lineRule="exact"/>
              <w:rPr>
                <w:rFonts w:ascii="宋体" w:hAnsi="宋体"/>
                <w:szCs w:val="21"/>
              </w:rPr>
            </w:pPr>
          </w:p>
        </w:tc>
        <w:tc>
          <w:tcPr>
            <w:tcW w:w="4220" w:type="dxa"/>
            <w:gridSpan w:val="7"/>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身体防护：穿一般作业工作服。</w:t>
            </w:r>
          </w:p>
        </w:tc>
        <w:tc>
          <w:tcPr>
            <w:tcW w:w="3640" w:type="dxa"/>
            <w:gridSpan w:val="4"/>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手防护：戴一般作业防护手套。</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0" w:hRule="atLeast"/>
        </w:trPr>
        <w:tc>
          <w:tcPr>
            <w:tcW w:w="476" w:type="dxa"/>
            <w:vMerge w:val="continue"/>
            <w:noWrap w:val="0"/>
            <w:vAlign w:val="center"/>
          </w:tcPr>
          <w:p>
            <w:pPr>
              <w:spacing w:line="260" w:lineRule="exact"/>
              <w:rPr>
                <w:rFonts w:ascii="宋体" w:hAnsi="宋体"/>
                <w:szCs w:val="21"/>
              </w:rPr>
            </w:pPr>
          </w:p>
        </w:tc>
        <w:tc>
          <w:tcPr>
            <w:tcW w:w="7860" w:type="dxa"/>
            <w:gridSpan w:val="11"/>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其它防护：避免高浓度吸入。</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859" w:hRule="atLeast"/>
        </w:trPr>
        <w:tc>
          <w:tcPr>
            <w:tcW w:w="476" w:type="dxa"/>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泄漏处理</w:t>
            </w:r>
          </w:p>
        </w:tc>
        <w:tc>
          <w:tcPr>
            <w:tcW w:w="7860" w:type="dxa"/>
            <w:gridSpan w:val="11"/>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迅速撤离泄漏污染区人员至上风处，并进行隔离，严格限制出入。切断火源。建议应急处理人员戴自给正压式呼吸器，穿一般作业工作服。避免与可燃物或易燃物接触。尽可能切断泄漏源。合理通风，加速扩散。漏气容器要妥善处理，修复、检验后再用。</w:t>
            </w:r>
          </w:p>
        </w:tc>
      </w:tr>
    </w:tbl>
    <w:p>
      <w:bookmarkStart w:id="141" w:name="_Toc321298550"/>
    </w:p>
    <w:p>
      <w:pPr>
        <w:pStyle w:val="8"/>
        <w:spacing w:line="360" w:lineRule="auto"/>
        <w:ind w:firstLine="0" w:firstLineChars="0"/>
        <w:outlineLvl w:val="2"/>
        <w:rPr>
          <w:rFonts w:hint="eastAsia" w:ascii="宋体" w:hAnsi="宋体"/>
          <w:b/>
          <w:snapToGrid w:val="0"/>
          <w:kern w:val="0"/>
          <w:sz w:val="28"/>
          <w:szCs w:val="28"/>
          <w:lang w:val="en-US" w:eastAsia="zh-CN"/>
        </w:rPr>
      </w:pPr>
      <w:bookmarkStart w:id="142" w:name="_Toc475363998"/>
      <w:bookmarkStart w:id="143" w:name="_Toc515659435"/>
      <w:bookmarkStart w:id="144" w:name="_Toc513735552"/>
      <w:bookmarkStart w:id="145" w:name="_Toc16351"/>
      <w:r>
        <w:rPr>
          <w:rFonts w:hint="eastAsia" w:ascii="宋体" w:hAnsi="宋体"/>
          <w:b/>
          <w:snapToGrid w:val="0"/>
          <w:kern w:val="0"/>
          <w:sz w:val="28"/>
          <w:szCs w:val="28"/>
          <w:lang w:val="en-US" w:eastAsia="zh-CN"/>
        </w:rPr>
        <w:t>3.4.8 乙炔安全数据表</w:t>
      </w:r>
      <w:bookmarkEnd w:id="141"/>
      <w:bookmarkEnd w:id="142"/>
      <w:bookmarkEnd w:id="143"/>
      <w:bookmarkEnd w:id="144"/>
      <w:bookmarkEnd w:id="145"/>
    </w:p>
    <w:p>
      <w:pPr>
        <w:pStyle w:val="32"/>
        <w:rPr>
          <w:rFonts w:eastAsia="黑体"/>
          <w:sz w:val="24"/>
          <w:szCs w:val="24"/>
        </w:rPr>
      </w:pPr>
      <w:r>
        <w:rPr>
          <w:rFonts w:hint="eastAsia" w:eastAsia="黑体"/>
          <w:sz w:val="24"/>
          <w:szCs w:val="24"/>
        </w:rPr>
        <w:t>表</w:t>
      </w:r>
      <w:r>
        <w:rPr>
          <w:rFonts w:eastAsia="黑体"/>
          <w:sz w:val="24"/>
          <w:szCs w:val="24"/>
        </w:rPr>
        <w:t>3-</w:t>
      </w:r>
      <w:r>
        <w:rPr>
          <w:rFonts w:hint="eastAsia" w:eastAsia="黑体"/>
          <w:sz w:val="24"/>
          <w:szCs w:val="24"/>
        </w:rPr>
        <w:t>3</w:t>
      </w:r>
      <w:r>
        <w:rPr>
          <w:rFonts w:eastAsia="黑体"/>
          <w:sz w:val="24"/>
          <w:szCs w:val="24"/>
        </w:rPr>
        <w:t xml:space="preserve"> 乙炔安全数据表</w:t>
      </w:r>
    </w:p>
    <w:tbl>
      <w:tblPr>
        <w:tblStyle w:val="19"/>
        <w:tblW w:w="8336" w:type="dxa"/>
        <w:tblInd w:w="0"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476"/>
        <w:gridCol w:w="1947"/>
        <w:gridCol w:w="531"/>
        <w:gridCol w:w="788"/>
        <w:gridCol w:w="255"/>
        <w:gridCol w:w="43"/>
        <w:gridCol w:w="220"/>
        <w:gridCol w:w="436"/>
        <w:gridCol w:w="967"/>
        <w:gridCol w:w="229"/>
        <w:gridCol w:w="408"/>
        <w:gridCol w:w="2036"/>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0" w:hRule="atLeast"/>
        </w:trPr>
        <w:tc>
          <w:tcPr>
            <w:tcW w:w="476" w:type="dxa"/>
            <w:vMerge w:val="restart"/>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标 识</w:t>
            </w:r>
          </w:p>
        </w:tc>
        <w:tc>
          <w:tcPr>
            <w:tcW w:w="2478" w:type="dxa"/>
            <w:gridSpan w:val="2"/>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中文名：乙炔</w:t>
            </w:r>
          </w:p>
        </w:tc>
        <w:tc>
          <w:tcPr>
            <w:tcW w:w="5382" w:type="dxa"/>
            <w:gridSpan w:val="9"/>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英文名：acetylene</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0" w:hRule="atLeast"/>
        </w:trPr>
        <w:tc>
          <w:tcPr>
            <w:tcW w:w="476" w:type="dxa"/>
            <w:vMerge w:val="continue"/>
            <w:noWrap w:val="0"/>
            <w:vAlign w:val="center"/>
          </w:tcPr>
          <w:p>
            <w:pPr>
              <w:spacing w:line="260" w:lineRule="exact"/>
              <w:rPr>
                <w:rFonts w:ascii="宋体" w:hAnsi="宋体"/>
                <w:szCs w:val="21"/>
              </w:rPr>
            </w:pPr>
          </w:p>
        </w:tc>
        <w:tc>
          <w:tcPr>
            <w:tcW w:w="2478" w:type="dxa"/>
            <w:gridSpan w:val="2"/>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CAS号：74-86-2</w:t>
            </w:r>
          </w:p>
        </w:tc>
        <w:tc>
          <w:tcPr>
            <w:tcW w:w="3346" w:type="dxa"/>
            <w:gridSpan w:val="8"/>
            <w:noWrap w:val="0"/>
            <w:tcMar>
              <w:top w:w="15" w:type="dxa"/>
              <w:left w:w="15" w:type="dxa"/>
              <w:bottom w:w="15" w:type="dxa"/>
              <w:right w:w="15" w:type="dxa"/>
            </w:tcMar>
            <w:vAlign w:val="center"/>
          </w:tcPr>
          <w:p>
            <w:pPr>
              <w:spacing w:line="260" w:lineRule="exact"/>
              <w:rPr>
                <w:rFonts w:ascii="宋体" w:hAnsi="宋体"/>
                <w:szCs w:val="21"/>
              </w:rPr>
            </w:pPr>
            <w:r>
              <w:rPr>
                <w:rFonts w:hint="eastAsia" w:ascii="宋体" w:hAnsi="宋体"/>
                <w:szCs w:val="21"/>
              </w:rPr>
              <w:t>危规</w:t>
            </w:r>
            <w:r>
              <w:rPr>
                <w:rFonts w:ascii="宋体" w:hAnsi="宋体"/>
                <w:szCs w:val="21"/>
              </w:rPr>
              <w:t>编号：</w:t>
            </w:r>
            <w:r>
              <w:rPr>
                <w:rFonts w:hint="eastAsia" w:ascii="宋体" w:hAnsi="宋体"/>
                <w:szCs w:val="21"/>
              </w:rPr>
              <w:t>2629</w:t>
            </w:r>
          </w:p>
        </w:tc>
        <w:tc>
          <w:tcPr>
            <w:tcW w:w="2036" w:type="dxa"/>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危险货物编号：21024</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315" w:hRule="atLeast"/>
        </w:trPr>
        <w:tc>
          <w:tcPr>
            <w:tcW w:w="476" w:type="dxa"/>
            <w:vMerge w:val="restart"/>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理化性质</w:t>
            </w:r>
          </w:p>
        </w:tc>
        <w:tc>
          <w:tcPr>
            <w:tcW w:w="7860" w:type="dxa"/>
            <w:gridSpan w:val="11"/>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性状：无色无臭气体，工业品有使人不愉快的大蒜气味。</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315" w:hRule="atLeast"/>
        </w:trPr>
        <w:tc>
          <w:tcPr>
            <w:tcW w:w="476" w:type="dxa"/>
            <w:vMerge w:val="continue"/>
            <w:noWrap w:val="0"/>
            <w:vAlign w:val="center"/>
          </w:tcPr>
          <w:p>
            <w:pPr>
              <w:spacing w:line="260" w:lineRule="exact"/>
              <w:rPr>
                <w:rFonts w:ascii="宋体" w:hAnsi="宋体"/>
                <w:szCs w:val="21"/>
              </w:rPr>
            </w:pPr>
          </w:p>
        </w:tc>
        <w:tc>
          <w:tcPr>
            <w:tcW w:w="7860" w:type="dxa"/>
            <w:gridSpan w:val="11"/>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主要用途：是有机合成的重要原料之一。亦是合成橡胶、合成纤维和塑料的单体，也用于氧炔焊割。</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60" w:hRule="atLeast"/>
        </w:trPr>
        <w:tc>
          <w:tcPr>
            <w:tcW w:w="476" w:type="dxa"/>
            <w:vMerge w:val="continue"/>
            <w:noWrap w:val="0"/>
            <w:vAlign w:val="center"/>
          </w:tcPr>
          <w:p>
            <w:pPr>
              <w:spacing w:line="260" w:lineRule="exact"/>
              <w:rPr>
                <w:rFonts w:ascii="宋体" w:hAnsi="宋体"/>
                <w:szCs w:val="21"/>
              </w:rPr>
            </w:pPr>
          </w:p>
        </w:tc>
        <w:tc>
          <w:tcPr>
            <w:tcW w:w="2478" w:type="dxa"/>
            <w:gridSpan w:val="2"/>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相对密度(水=1)：0.62</w:t>
            </w:r>
          </w:p>
        </w:tc>
        <w:tc>
          <w:tcPr>
            <w:tcW w:w="2938" w:type="dxa"/>
            <w:gridSpan w:val="7"/>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饱和蒸汽压(kPa)：4053（16.8℃）</w:t>
            </w:r>
          </w:p>
        </w:tc>
        <w:tc>
          <w:tcPr>
            <w:tcW w:w="2444" w:type="dxa"/>
            <w:gridSpan w:val="2"/>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临界温度(℃)：35.2</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60" w:hRule="atLeast"/>
        </w:trPr>
        <w:tc>
          <w:tcPr>
            <w:tcW w:w="476" w:type="dxa"/>
            <w:vMerge w:val="continue"/>
            <w:noWrap w:val="0"/>
            <w:vAlign w:val="center"/>
          </w:tcPr>
          <w:p>
            <w:pPr>
              <w:spacing w:line="260" w:lineRule="exact"/>
              <w:rPr>
                <w:rFonts w:ascii="宋体" w:hAnsi="宋体"/>
                <w:szCs w:val="21"/>
              </w:rPr>
            </w:pPr>
          </w:p>
        </w:tc>
        <w:tc>
          <w:tcPr>
            <w:tcW w:w="2478" w:type="dxa"/>
            <w:gridSpan w:val="2"/>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相对密度(空气=1): 0.91</w:t>
            </w:r>
          </w:p>
        </w:tc>
        <w:tc>
          <w:tcPr>
            <w:tcW w:w="2938" w:type="dxa"/>
            <w:gridSpan w:val="7"/>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闪点(℃)：不适用</w:t>
            </w:r>
          </w:p>
        </w:tc>
        <w:tc>
          <w:tcPr>
            <w:tcW w:w="2444" w:type="dxa"/>
            <w:gridSpan w:val="2"/>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临界压力(MPa)：6.14</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34" w:hRule="atLeast"/>
        </w:trPr>
        <w:tc>
          <w:tcPr>
            <w:tcW w:w="476" w:type="dxa"/>
            <w:vMerge w:val="continue"/>
            <w:noWrap w:val="0"/>
            <w:vAlign w:val="center"/>
          </w:tcPr>
          <w:p>
            <w:pPr>
              <w:spacing w:line="260" w:lineRule="exact"/>
              <w:rPr>
                <w:rFonts w:ascii="宋体" w:hAnsi="宋体"/>
                <w:szCs w:val="21"/>
              </w:rPr>
            </w:pPr>
          </w:p>
        </w:tc>
        <w:tc>
          <w:tcPr>
            <w:tcW w:w="3784" w:type="dxa"/>
            <w:gridSpan w:val="6"/>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熔点：-81.8（119kPa）</w:t>
            </w:r>
          </w:p>
        </w:tc>
        <w:tc>
          <w:tcPr>
            <w:tcW w:w="4076" w:type="dxa"/>
            <w:gridSpan w:val="5"/>
            <w:noWrap w:val="0"/>
            <w:vAlign w:val="center"/>
          </w:tcPr>
          <w:p>
            <w:pPr>
              <w:spacing w:line="260" w:lineRule="exact"/>
              <w:rPr>
                <w:rFonts w:ascii="宋体" w:hAnsi="宋体"/>
                <w:szCs w:val="21"/>
              </w:rPr>
            </w:pPr>
            <w:r>
              <w:rPr>
                <w:rFonts w:ascii="宋体" w:hAnsi="宋体"/>
                <w:szCs w:val="21"/>
              </w:rPr>
              <w:t>沸点：-83.8</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190" w:hRule="atLeast"/>
        </w:trPr>
        <w:tc>
          <w:tcPr>
            <w:tcW w:w="476" w:type="dxa"/>
            <w:vMerge w:val="continue"/>
            <w:noWrap w:val="0"/>
            <w:vAlign w:val="center"/>
          </w:tcPr>
          <w:p>
            <w:pPr>
              <w:spacing w:line="260" w:lineRule="exact"/>
              <w:rPr>
                <w:rFonts w:ascii="宋体" w:hAnsi="宋体"/>
                <w:szCs w:val="21"/>
              </w:rPr>
            </w:pPr>
          </w:p>
        </w:tc>
        <w:tc>
          <w:tcPr>
            <w:tcW w:w="7860" w:type="dxa"/>
            <w:gridSpan w:val="11"/>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溶解性：微溶于水、乙醇，溶于丙酮、氯仿、苯。</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0" w:hRule="atLeast"/>
        </w:trPr>
        <w:tc>
          <w:tcPr>
            <w:tcW w:w="476" w:type="dxa"/>
            <w:vMerge w:val="continue"/>
            <w:noWrap w:val="0"/>
            <w:vAlign w:val="center"/>
          </w:tcPr>
          <w:p>
            <w:pPr>
              <w:spacing w:line="260" w:lineRule="exact"/>
              <w:rPr>
                <w:rFonts w:ascii="宋体" w:hAnsi="宋体"/>
                <w:szCs w:val="21"/>
              </w:rPr>
            </w:pPr>
          </w:p>
        </w:tc>
        <w:tc>
          <w:tcPr>
            <w:tcW w:w="7860" w:type="dxa"/>
            <w:gridSpan w:val="11"/>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危险特性：极易燃烧爆炸。与空气混合能形成爆炸性混合物，遇明火、高热能引起燃烧爆炸。与氧化剂接触猛烈反应。与氟、氯等接触会发生剧烈的化学反应。能与铜、银、汞等的化合物生成爆炸性物质。</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0" w:hRule="atLeast"/>
        </w:trPr>
        <w:tc>
          <w:tcPr>
            <w:tcW w:w="476" w:type="dxa"/>
            <w:vMerge w:val="continue"/>
            <w:noWrap w:val="0"/>
            <w:vAlign w:val="center"/>
          </w:tcPr>
          <w:p>
            <w:pPr>
              <w:spacing w:line="260" w:lineRule="exact"/>
              <w:rPr>
                <w:rFonts w:ascii="宋体" w:hAnsi="宋体"/>
                <w:szCs w:val="21"/>
              </w:rPr>
            </w:pPr>
          </w:p>
        </w:tc>
        <w:tc>
          <w:tcPr>
            <w:tcW w:w="1947" w:type="dxa"/>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燃烧分解产物：一氧化碳、二氧化碳。</w:t>
            </w:r>
          </w:p>
        </w:tc>
        <w:tc>
          <w:tcPr>
            <w:tcW w:w="1319" w:type="dxa"/>
            <w:gridSpan w:val="2"/>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稳定性：稳定</w:t>
            </w:r>
          </w:p>
        </w:tc>
        <w:tc>
          <w:tcPr>
            <w:tcW w:w="1921" w:type="dxa"/>
            <w:gridSpan w:val="5"/>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聚合危害：</w:t>
            </w:r>
          </w:p>
        </w:tc>
        <w:tc>
          <w:tcPr>
            <w:tcW w:w="2673" w:type="dxa"/>
            <w:gridSpan w:val="3"/>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禁忌物：强氧化剂、强酸、卤素。</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60" w:hRule="atLeast"/>
        </w:trPr>
        <w:tc>
          <w:tcPr>
            <w:tcW w:w="476" w:type="dxa"/>
            <w:vMerge w:val="continue"/>
            <w:noWrap w:val="0"/>
            <w:vAlign w:val="center"/>
          </w:tcPr>
          <w:p>
            <w:pPr>
              <w:spacing w:line="260" w:lineRule="exact"/>
              <w:rPr>
                <w:rFonts w:ascii="宋体" w:hAnsi="宋体"/>
                <w:szCs w:val="21"/>
              </w:rPr>
            </w:pPr>
          </w:p>
        </w:tc>
        <w:tc>
          <w:tcPr>
            <w:tcW w:w="7860" w:type="dxa"/>
            <w:gridSpan w:val="11"/>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灭火方法：切断气源。若不能切断气源，则不允许熄灭泄漏处的火焰。喷水冷却容器，可能的话将容器从火场移至空旷处。灭火剂：雾状水、泡沫、二氧化碳、干粉。</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60" w:hRule="atLeast"/>
        </w:trPr>
        <w:tc>
          <w:tcPr>
            <w:tcW w:w="476" w:type="dxa"/>
            <w:vMerge w:val="restart"/>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危害</w:t>
            </w:r>
          </w:p>
        </w:tc>
        <w:tc>
          <w:tcPr>
            <w:tcW w:w="3521" w:type="dxa"/>
            <w:gridSpan w:val="4"/>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危险性类别：第2.1类 易燃气体</w:t>
            </w:r>
          </w:p>
        </w:tc>
        <w:tc>
          <w:tcPr>
            <w:tcW w:w="4339" w:type="dxa"/>
            <w:gridSpan w:val="7"/>
            <w:noWrap w:val="0"/>
            <w:vAlign w:val="center"/>
          </w:tcPr>
          <w:p>
            <w:pPr>
              <w:spacing w:line="260" w:lineRule="exact"/>
              <w:rPr>
                <w:rFonts w:ascii="宋体" w:hAnsi="宋体"/>
                <w:szCs w:val="21"/>
              </w:rPr>
            </w:pPr>
            <w:r>
              <w:rPr>
                <w:rFonts w:ascii="宋体" w:hAnsi="宋体"/>
                <w:szCs w:val="21"/>
              </w:rPr>
              <w:t>侵入途径：吸入</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839" w:hRule="atLeast"/>
        </w:trPr>
        <w:tc>
          <w:tcPr>
            <w:tcW w:w="476" w:type="dxa"/>
            <w:vMerge w:val="continue"/>
            <w:noWrap w:val="0"/>
            <w:vAlign w:val="center"/>
          </w:tcPr>
          <w:p>
            <w:pPr>
              <w:spacing w:line="260" w:lineRule="exact"/>
              <w:rPr>
                <w:rFonts w:ascii="宋体" w:hAnsi="宋体"/>
                <w:szCs w:val="21"/>
              </w:rPr>
            </w:pPr>
          </w:p>
        </w:tc>
        <w:tc>
          <w:tcPr>
            <w:tcW w:w="7860" w:type="dxa"/>
            <w:gridSpan w:val="11"/>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健康危害：具有弱麻醉作用。高浓度吸入可引起单纯窒息。 急性中毒：暴露于20％浓度时，出现明显缺氧症状；吸入高浓度，初期兴奋、多语、哭笑不安，后出现眩晕、头痛、恶心、呕吐、共济失调、嗜睡；严重者昏迷、紫绀、瞳孔对光反应消失、脉弱而不齐。当混有磷化氢、硫化氢时，毒性增大，应予以注意。</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375" w:hRule="atLeast"/>
        </w:trPr>
        <w:tc>
          <w:tcPr>
            <w:tcW w:w="476" w:type="dxa"/>
            <w:vMerge w:val="continue"/>
            <w:noWrap w:val="0"/>
            <w:vAlign w:val="center"/>
          </w:tcPr>
          <w:p>
            <w:pPr>
              <w:spacing w:line="260" w:lineRule="exact"/>
              <w:rPr>
                <w:rFonts w:ascii="宋体" w:hAnsi="宋体"/>
                <w:szCs w:val="21"/>
              </w:rPr>
            </w:pPr>
          </w:p>
        </w:tc>
        <w:tc>
          <w:tcPr>
            <w:tcW w:w="7860" w:type="dxa"/>
            <w:gridSpan w:val="11"/>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燃爆危险：本品易燃，具窒息性。</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50" w:hRule="atLeast"/>
        </w:trPr>
        <w:tc>
          <w:tcPr>
            <w:tcW w:w="476" w:type="dxa"/>
            <w:vMerge w:val="restart"/>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包装与储运</w:t>
            </w:r>
          </w:p>
        </w:tc>
        <w:tc>
          <w:tcPr>
            <w:tcW w:w="3564" w:type="dxa"/>
            <w:gridSpan w:val="5"/>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危险货物包装标志：易燃气体</w:t>
            </w:r>
          </w:p>
        </w:tc>
        <w:tc>
          <w:tcPr>
            <w:tcW w:w="4296" w:type="dxa"/>
            <w:gridSpan w:val="6"/>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包装类别：O52</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870" w:hRule="atLeast"/>
        </w:trPr>
        <w:tc>
          <w:tcPr>
            <w:tcW w:w="476" w:type="dxa"/>
            <w:vMerge w:val="continue"/>
            <w:noWrap w:val="0"/>
            <w:vAlign w:val="center"/>
          </w:tcPr>
          <w:p>
            <w:pPr>
              <w:spacing w:line="260" w:lineRule="exact"/>
              <w:rPr>
                <w:rFonts w:ascii="宋体" w:hAnsi="宋体"/>
                <w:szCs w:val="21"/>
              </w:rPr>
            </w:pPr>
          </w:p>
        </w:tc>
        <w:tc>
          <w:tcPr>
            <w:tcW w:w="7860" w:type="dxa"/>
            <w:gridSpan w:val="11"/>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乙炔的包装法通常是溶解在溶剂及多孔物中, 装入钢瓶内。储存于阴凉、通风的库房。远离火种、热源。库温不宜超过30℃。应与氧化剂、酸类、卤素分开存放，切忌混储。采用防爆型照明、通风设施。禁止使用易产生火花的机械设备和工具。储区应备有泄漏应急处理设备。</w:t>
            </w:r>
          </w:p>
          <w:p>
            <w:pPr>
              <w:spacing w:line="260" w:lineRule="exact"/>
              <w:rPr>
                <w:rFonts w:ascii="宋体" w:hAnsi="宋体"/>
                <w:szCs w:val="21"/>
              </w:rPr>
            </w:pPr>
            <w:r>
              <w:rPr>
                <w:rFonts w:ascii="宋体" w:hAnsi="宋体"/>
                <w:szCs w:val="21"/>
              </w:rPr>
              <w:t>采用刚瓶运输时必须戴好钢瓶上的安全帽。钢瓶一般平放，并应将瓶口朝同一方向，不可交叉；高度不得超过车辆的防护栏板，并用三角木垫卡牢，防止滚动。运输时运输车辆应配备相应品种和数量的消防器材。装运该物品的车辆排气管必须配备阻火装置，禁止使用易产生火花的机械设备和工具装卸。严禁与氧化剂、酸类、卤素等混装混运。夏季应早晚运输，防止日光曝晒。中途停留时应远离火种、热源。公路运输时要按规定路线行驶，勿在居民区和人口稠密区停留。铁路运输时要禁止溜放。</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0" w:hRule="atLeast"/>
        </w:trPr>
        <w:tc>
          <w:tcPr>
            <w:tcW w:w="476" w:type="dxa"/>
            <w:vMerge w:val="restart"/>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急救措施</w:t>
            </w:r>
          </w:p>
        </w:tc>
        <w:tc>
          <w:tcPr>
            <w:tcW w:w="7860" w:type="dxa"/>
            <w:gridSpan w:val="11"/>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眼睛接触：无数据</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0" w:hRule="atLeast"/>
        </w:trPr>
        <w:tc>
          <w:tcPr>
            <w:tcW w:w="476" w:type="dxa"/>
            <w:vMerge w:val="continue"/>
            <w:noWrap w:val="0"/>
            <w:vAlign w:val="center"/>
          </w:tcPr>
          <w:p>
            <w:pPr>
              <w:spacing w:line="260" w:lineRule="exact"/>
              <w:rPr>
                <w:rFonts w:ascii="宋体" w:hAnsi="宋体"/>
                <w:szCs w:val="21"/>
              </w:rPr>
            </w:pPr>
          </w:p>
        </w:tc>
        <w:tc>
          <w:tcPr>
            <w:tcW w:w="7860" w:type="dxa"/>
            <w:gridSpan w:val="11"/>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皮肤接触：无数据</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0" w:hRule="atLeast"/>
        </w:trPr>
        <w:tc>
          <w:tcPr>
            <w:tcW w:w="476" w:type="dxa"/>
            <w:vMerge w:val="continue"/>
            <w:noWrap w:val="0"/>
            <w:vAlign w:val="center"/>
          </w:tcPr>
          <w:p>
            <w:pPr>
              <w:spacing w:line="260" w:lineRule="exact"/>
              <w:rPr>
                <w:rFonts w:ascii="宋体" w:hAnsi="宋体"/>
                <w:szCs w:val="21"/>
              </w:rPr>
            </w:pPr>
          </w:p>
        </w:tc>
        <w:tc>
          <w:tcPr>
            <w:tcW w:w="7860" w:type="dxa"/>
            <w:gridSpan w:val="11"/>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食入：无数据</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0" w:hRule="atLeast"/>
        </w:trPr>
        <w:tc>
          <w:tcPr>
            <w:tcW w:w="476" w:type="dxa"/>
            <w:vMerge w:val="continue"/>
            <w:noWrap w:val="0"/>
            <w:vAlign w:val="center"/>
          </w:tcPr>
          <w:p>
            <w:pPr>
              <w:spacing w:line="260" w:lineRule="exact"/>
              <w:rPr>
                <w:rFonts w:ascii="宋体" w:hAnsi="宋体"/>
                <w:szCs w:val="21"/>
              </w:rPr>
            </w:pPr>
          </w:p>
        </w:tc>
        <w:tc>
          <w:tcPr>
            <w:tcW w:w="7860" w:type="dxa"/>
            <w:gridSpan w:val="11"/>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吸入：迅速脱离现场至空气新鲜处。保持呼吸道通畅。如呼吸困难，给输氧。如呼吸停止，立即进行人工呼吸。就医。</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0" w:hRule="atLeast"/>
        </w:trPr>
        <w:tc>
          <w:tcPr>
            <w:tcW w:w="476" w:type="dxa"/>
            <w:vMerge w:val="restart"/>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防护措施</w:t>
            </w:r>
          </w:p>
        </w:tc>
        <w:tc>
          <w:tcPr>
            <w:tcW w:w="7860" w:type="dxa"/>
            <w:gridSpan w:val="11"/>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工程控制：生产过程密闭，全面通风。</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0" w:hRule="atLeast"/>
        </w:trPr>
        <w:tc>
          <w:tcPr>
            <w:tcW w:w="476" w:type="dxa"/>
            <w:vMerge w:val="continue"/>
            <w:noWrap w:val="0"/>
            <w:vAlign w:val="center"/>
          </w:tcPr>
          <w:p>
            <w:pPr>
              <w:spacing w:line="260" w:lineRule="exact"/>
              <w:rPr>
                <w:rFonts w:ascii="宋体" w:hAnsi="宋体"/>
                <w:szCs w:val="21"/>
              </w:rPr>
            </w:pPr>
          </w:p>
        </w:tc>
        <w:tc>
          <w:tcPr>
            <w:tcW w:w="7860" w:type="dxa"/>
            <w:gridSpan w:val="11"/>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眼睛防护：一般不需特殊防护。</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0" w:hRule="atLeast"/>
        </w:trPr>
        <w:tc>
          <w:tcPr>
            <w:tcW w:w="476" w:type="dxa"/>
            <w:vMerge w:val="continue"/>
            <w:noWrap w:val="0"/>
            <w:vAlign w:val="center"/>
          </w:tcPr>
          <w:p>
            <w:pPr>
              <w:spacing w:line="260" w:lineRule="exact"/>
              <w:rPr>
                <w:rFonts w:ascii="宋体" w:hAnsi="宋体"/>
                <w:szCs w:val="21"/>
              </w:rPr>
            </w:pPr>
          </w:p>
        </w:tc>
        <w:tc>
          <w:tcPr>
            <w:tcW w:w="7860" w:type="dxa"/>
            <w:gridSpan w:val="11"/>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呼吸系统防护：一般不需要特殊防护，但建议特殊情况下，佩戴自吸过滤式防毒面具（半面罩）。</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0" w:hRule="atLeast"/>
        </w:trPr>
        <w:tc>
          <w:tcPr>
            <w:tcW w:w="476" w:type="dxa"/>
            <w:vMerge w:val="continue"/>
            <w:noWrap w:val="0"/>
            <w:vAlign w:val="center"/>
          </w:tcPr>
          <w:p>
            <w:pPr>
              <w:spacing w:line="260" w:lineRule="exact"/>
              <w:rPr>
                <w:rFonts w:ascii="宋体" w:hAnsi="宋体"/>
                <w:szCs w:val="21"/>
              </w:rPr>
            </w:pPr>
          </w:p>
        </w:tc>
        <w:tc>
          <w:tcPr>
            <w:tcW w:w="4220" w:type="dxa"/>
            <w:gridSpan w:val="7"/>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身体防护：穿防静电工作服。</w:t>
            </w:r>
          </w:p>
        </w:tc>
        <w:tc>
          <w:tcPr>
            <w:tcW w:w="3640" w:type="dxa"/>
            <w:gridSpan w:val="4"/>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手防护：戴一般作业防护手套。 </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0" w:hRule="atLeast"/>
        </w:trPr>
        <w:tc>
          <w:tcPr>
            <w:tcW w:w="476" w:type="dxa"/>
            <w:vMerge w:val="continue"/>
            <w:noWrap w:val="0"/>
            <w:vAlign w:val="center"/>
          </w:tcPr>
          <w:p>
            <w:pPr>
              <w:spacing w:line="260" w:lineRule="exact"/>
              <w:rPr>
                <w:rFonts w:ascii="宋体" w:hAnsi="宋体"/>
                <w:szCs w:val="21"/>
              </w:rPr>
            </w:pPr>
          </w:p>
        </w:tc>
        <w:tc>
          <w:tcPr>
            <w:tcW w:w="7860" w:type="dxa"/>
            <w:gridSpan w:val="11"/>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其它防护：无数据</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859" w:hRule="atLeast"/>
        </w:trPr>
        <w:tc>
          <w:tcPr>
            <w:tcW w:w="476" w:type="dxa"/>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泄漏处理</w:t>
            </w:r>
          </w:p>
        </w:tc>
        <w:tc>
          <w:tcPr>
            <w:tcW w:w="7860" w:type="dxa"/>
            <w:gridSpan w:val="11"/>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迅速撤离泄漏污染区人员至上风处，并进行隔离，严格限制出入。切断火源。建议应急处理人员戴自给正压式呼吸器，穿防静电工作服。尽可能切断泄漏源。合理通风，加速扩散。喷雾状水稀释、溶解。构筑围堤或挖坑收容产生的大量废水。如有可能，将漏出气用排风机送至空旷地方或装设适当喷头烧掉。漏气容器要妥善处理，修复、检验后再用。</w:t>
            </w:r>
          </w:p>
        </w:tc>
      </w:tr>
    </w:tbl>
    <w:p/>
    <w:p>
      <w:pPr>
        <w:pStyle w:val="8"/>
        <w:spacing w:line="360" w:lineRule="auto"/>
        <w:ind w:firstLine="0" w:firstLineChars="0"/>
        <w:outlineLvl w:val="1"/>
        <w:rPr>
          <w:rFonts w:hint="eastAsia" w:ascii="黑体" w:eastAsia="黑体"/>
          <w:b/>
          <w:snapToGrid w:val="0"/>
          <w:kern w:val="0"/>
          <w:sz w:val="32"/>
          <w:szCs w:val="32"/>
        </w:rPr>
      </w:pPr>
      <w:bookmarkStart w:id="146" w:name="_Toc515659436"/>
      <w:bookmarkStart w:id="147" w:name="_Toc21574"/>
      <w:r>
        <w:rPr>
          <w:rFonts w:hint="eastAsia" w:ascii="黑体" w:eastAsia="黑体"/>
          <w:b/>
          <w:snapToGrid w:val="0"/>
          <w:kern w:val="0"/>
          <w:sz w:val="32"/>
          <w:szCs w:val="32"/>
        </w:rPr>
        <w:t>3.5 生产过程危险有害因素分析和辨识</w:t>
      </w:r>
      <w:bookmarkEnd w:id="140"/>
      <w:bookmarkEnd w:id="146"/>
      <w:bookmarkEnd w:id="147"/>
    </w:p>
    <w:p>
      <w:pPr>
        <w:pStyle w:val="2"/>
      </w:pPr>
    </w:p>
    <w:p>
      <w:pPr>
        <w:pStyle w:val="8"/>
        <w:spacing w:line="360" w:lineRule="auto"/>
        <w:ind w:firstLine="0" w:firstLineChars="0"/>
        <w:outlineLvl w:val="1"/>
        <w:rPr>
          <w:rFonts w:hint="eastAsia" w:ascii="黑体" w:eastAsia="黑体"/>
          <w:b/>
          <w:snapToGrid w:val="0"/>
          <w:kern w:val="0"/>
          <w:sz w:val="32"/>
          <w:szCs w:val="32"/>
        </w:rPr>
      </w:pPr>
      <w:bookmarkStart w:id="148" w:name="_Toc356380979"/>
      <w:bookmarkStart w:id="149" w:name="_Toc356401492"/>
      <w:bookmarkStart w:id="150" w:name="_Toc480804395"/>
      <w:bookmarkStart w:id="151" w:name="_Toc332350851"/>
      <w:bookmarkStart w:id="152" w:name="_Toc514342847"/>
      <w:bookmarkStart w:id="153" w:name="_Toc345593160"/>
      <w:bookmarkStart w:id="154" w:name="_Toc8159"/>
      <w:r>
        <w:rPr>
          <w:rFonts w:hint="eastAsia" w:ascii="黑体" w:eastAsia="黑体"/>
          <w:b/>
          <w:snapToGrid w:val="0"/>
          <w:kern w:val="0"/>
          <w:sz w:val="32"/>
          <w:szCs w:val="32"/>
          <w:lang w:val="en-US" w:eastAsia="zh-CN"/>
        </w:rPr>
        <w:t>3</w:t>
      </w:r>
      <w:r>
        <w:rPr>
          <w:rFonts w:hint="eastAsia" w:ascii="黑体" w:eastAsia="黑体"/>
          <w:b/>
          <w:snapToGrid w:val="0"/>
          <w:kern w:val="0"/>
          <w:sz w:val="32"/>
          <w:szCs w:val="32"/>
          <w:lang w:eastAsia="zh-CN"/>
        </w:rPr>
        <w:t>.</w:t>
      </w:r>
      <w:r>
        <w:rPr>
          <w:rFonts w:hint="eastAsia" w:ascii="黑体" w:eastAsia="黑体"/>
          <w:b/>
          <w:snapToGrid w:val="0"/>
          <w:kern w:val="0"/>
          <w:sz w:val="32"/>
          <w:szCs w:val="32"/>
        </w:rPr>
        <w:t>5 生产过程危险有害因素分析和辨识</w:t>
      </w:r>
      <w:bookmarkEnd w:id="148"/>
      <w:bookmarkEnd w:id="149"/>
      <w:bookmarkEnd w:id="150"/>
      <w:bookmarkEnd w:id="151"/>
      <w:bookmarkEnd w:id="152"/>
      <w:bookmarkEnd w:id="153"/>
      <w:bookmarkEnd w:id="154"/>
    </w:p>
    <w:p>
      <w:pPr>
        <w:spacing w:line="360" w:lineRule="auto"/>
        <w:ind w:firstLine="560" w:firstLineChars="200"/>
        <w:rPr>
          <w:rFonts w:ascii="宋体" w:hAnsi="宋体"/>
          <w:snapToGrid w:val="0"/>
          <w:kern w:val="0"/>
          <w:sz w:val="28"/>
          <w:szCs w:val="28"/>
        </w:rPr>
      </w:pPr>
      <w:r>
        <w:rPr>
          <w:rFonts w:hint="eastAsia" w:ascii="宋体" w:hAnsi="宋体"/>
          <w:snapToGrid w:val="0"/>
          <w:kern w:val="0"/>
          <w:sz w:val="28"/>
          <w:szCs w:val="28"/>
        </w:rPr>
        <w:t>根据现场检查及工艺过程分析，生产过程中危险有害因素分为：</w:t>
      </w:r>
    </w:p>
    <w:p>
      <w:pPr>
        <w:pStyle w:val="8"/>
        <w:spacing w:line="360" w:lineRule="auto"/>
        <w:ind w:firstLine="0" w:firstLineChars="0"/>
        <w:outlineLvl w:val="2"/>
        <w:rPr>
          <w:rFonts w:hint="eastAsia" w:ascii="宋体" w:hAnsi="宋体"/>
          <w:b/>
          <w:snapToGrid w:val="0"/>
          <w:kern w:val="0"/>
          <w:sz w:val="28"/>
          <w:szCs w:val="28"/>
        </w:rPr>
      </w:pPr>
      <w:bookmarkStart w:id="155" w:name="_Toc356401493"/>
      <w:bookmarkStart w:id="156" w:name="_Toc332350854"/>
      <w:bookmarkStart w:id="157" w:name="_Toc356380982"/>
      <w:bookmarkStart w:id="158" w:name="_Toc480804396"/>
      <w:bookmarkStart w:id="159" w:name="_Toc514342848"/>
      <w:bookmarkStart w:id="160" w:name="_Toc26526"/>
      <w:r>
        <w:rPr>
          <w:rFonts w:hint="eastAsia" w:ascii="宋体" w:hAnsi="宋体"/>
          <w:b/>
          <w:snapToGrid w:val="0"/>
          <w:kern w:val="0"/>
          <w:sz w:val="28"/>
          <w:szCs w:val="28"/>
          <w:lang w:val="en-US" w:eastAsia="zh-CN"/>
        </w:rPr>
        <w:t>3</w:t>
      </w:r>
      <w:r>
        <w:rPr>
          <w:rFonts w:hint="eastAsia" w:ascii="宋体" w:hAnsi="宋体"/>
          <w:b/>
          <w:snapToGrid w:val="0"/>
          <w:kern w:val="0"/>
          <w:sz w:val="28"/>
          <w:szCs w:val="28"/>
          <w:lang w:eastAsia="zh-CN"/>
        </w:rPr>
        <w:t>.</w:t>
      </w:r>
      <w:r>
        <w:rPr>
          <w:rFonts w:hint="eastAsia" w:ascii="宋体" w:hAnsi="宋体"/>
          <w:b/>
          <w:snapToGrid w:val="0"/>
          <w:kern w:val="0"/>
          <w:sz w:val="28"/>
          <w:szCs w:val="28"/>
        </w:rPr>
        <w:t>5.1 车辆事故</w:t>
      </w:r>
      <w:bookmarkEnd w:id="155"/>
      <w:bookmarkEnd w:id="156"/>
      <w:bookmarkEnd w:id="157"/>
      <w:bookmarkEnd w:id="158"/>
      <w:bookmarkEnd w:id="159"/>
      <w:bookmarkEnd w:id="160"/>
    </w:p>
    <w:p>
      <w:pPr>
        <w:spacing w:line="360" w:lineRule="auto"/>
        <w:ind w:firstLine="560" w:firstLineChars="200"/>
        <w:rPr>
          <w:rFonts w:ascii="宋体" w:hAnsi="宋体"/>
          <w:snapToGrid w:val="0"/>
          <w:kern w:val="0"/>
          <w:sz w:val="28"/>
          <w:szCs w:val="28"/>
        </w:rPr>
      </w:pPr>
      <w:r>
        <w:rPr>
          <w:rFonts w:hint="eastAsia" w:ascii="宋体" w:hAnsi="宋体"/>
          <w:snapToGrid w:val="0"/>
          <w:kern w:val="0"/>
          <w:sz w:val="28"/>
          <w:szCs w:val="28"/>
        </w:rPr>
        <w:t>车辆伤害事故指企业机动车辆在行驶中引起的人体坠落和物体倒塌、坠落、挤压伤亡事故。</w:t>
      </w:r>
    </w:p>
    <w:p>
      <w:pPr>
        <w:spacing w:line="360" w:lineRule="auto"/>
        <w:ind w:firstLine="560" w:firstLineChars="200"/>
        <w:rPr>
          <w:rFonts w:hint="eastAsia" w:ascii="宋体" w:hAnsi="宋体"/>
          <w:snapToGrid w:val="0"/>
          <w:kern w:val="0"/>
          <w:sz w:val="28"/>
          <w:szCs w:val="28"/>
        </w:rPr>
      </w:pPr>
      <w:r>
        <w:rPr>
          <w:rFonts w:hint="eastAsia" w:ascii="宋体" w:hAnsi="宋体"/>
          <w:snapToGrid w:val="0"/>
          <w:kern w:val="0"/>
          <w:sz w:val="28"/>
          <w:szCs w:val="28"/>
        </w:rPr>
        <w:t>车辆伤害事故的主要原因有</w:t>
      </w:r>
      <w:r>
        <w:rPr>
          <w:rFonts w:ascii="宋体" w:hAnsi="宋体"/>
          <w:snapToGrid w:val="0"/>
          <w:kern w:val="0"/>
          <w:sz w:val="28"/>
          <w:szCs w:val="28"/>
        </w:rPr>
        <w:t>:</w:t>
      </w:r>
      <w:r>
        <w:rPr>
          <w:rFonts w:hint="eastAsia" w:ascii="宋体" w:hAnsi="宋体"/>
          <w:snapToGrid w:val="0"/>
          <w:kern w:val="0"/>
          <w:sz w:val="28"/>
          <w:szCs w:val="28"/>
        </w:rPr>
        <w:t>①违章驾车：如酒后驾车、疲劳驾车、非驾驶员驾车、超速行驶、争道抢行、违章超车和超载等；②疏忽大意：如情绪急躁、精神分散、心理烦乱、身体不适等；③车况不好：如安全装置不齐全、工作装置工作不可靠、安全防护装置工作不可靠、车辆维护修理不及时、带“病”行驶等；④道路环境：如道路条件差、视线不良、在恶劣的气候条件下行驶等；⑤管理因素：如车辆安全行驶制度不落实、管理规章制度或操作规程不健全、车辆维修不及时、交通信号、标志、设施缺陷等。</w:t>
      </w:r>
    </w:p>
    <w:p>
      <w:pPr>
        <w:spacing w:line="360" w:lineRule="auto"/>
        <w:ind w:firstLine="560" w:firstLineChars="200"/>
        <w:rPr>
          <w:rFonts w:hint="eastAsia" w:ascii="宋体" w:hAnsi="宋体"/>
          <w:snapToGrid w:val="0"/>
          <w:kern w:val="0"/>
          <w:sz w:val="28"/>
          <w:szCs w:val="28"/>
        </w:rPr>
      </w:pPr>
      <w:r>
        <w:rPr>
          <w:rFonts w:hint="eastAsia" w:ascii="宋体" w:hAnsi="宋体"/>
          <w:snapToGrid w:val="0"/>
          <w:kern w:val="0"/>
          <w:sz w:val="28"/>
          <w:szCs w:val="28"/>
        </w:rPr>
        <w:t>企业可能发生的车辆伤害事故：矿车行驶中撞击或挤压到人员；人员从行驶中的车辆上坠落；挖掘设备给矿车装过大的大块或矿车装料时由于停放处坑洼不平等造成矿车翻倒事故；交叉路口或超车或会车时发生车辆相撞事故；矿车倒车排废时由于车上的大块卡住车斗或操作不当或发生滑坡、塌方造成矿车翻下山；矿车行驶中轮胎</w:t>
      </w:r>
      <w:r>
        <w:rPr>
          <w:rFonts w:ascii="宋体" w:hAnsi="宋体"/>
          <w:snapToGrid w:val="0"/>
          <w:kern w:val="0"/>
          <w:sz w:val="28"/>
          <w:szCs w:val="28"/>
        </w:rPr>
        <w:t>"</w:t>
      </w:r>
      <w:r>
        <w:rPr>
          <w:rFonts w:hint="eastAsia" w:ascii="宋体" w:hAnsi="宋体"/>
          <w:snapToGrid w:val="0"/>
          <w:kern w:val="0"/>
          <w:sz w:val="28"/>
          <w:szCs w:val="28"/>
        </w:rPr>
        <w:t>突爆</w:t>
      </w:r>
      <w:r>
        <w:rPr>
          <w:rFonts w:ascii="宋体" w:hAnsi="宋体"/>
          <w:snapToGrid w:val="0"/>
          <w:kern w:val="0"/>
          <w:sz w:val="28"/>
          <w:szCs w:val="28"/>
        </w:rPr>
        <w:t>"</w:t>
      </w:r>
      <w:r>
        <w:rPr>
          <w:rFonts w:hint="eastAsia" w:ascii="宋体" w:hAnsi="宋体"/>
          <w:snapToGrid w:val="0"/>
          <w:kern w:val="0"/>
          <w:sz w:val="28"/>
          <w:szCs w:val="28"/>
        </w:rPr>
        <w:t>造成翻车等事故的发生；挖掘设备上下坡或在坡上作业时发生倾倒事故；挖掘设备回转过程中或卸料时铲斗碰到矿车驾驶室或其它部位造成事故。</w:t>
      </w:r>
    </w:p>
    <w:p>
      <w:pPr>
        <w:spacing w:line="360" w:lineRule="auto"/>
        <w:ind w:firstLine="560" w:firstLineChars="200"/>
        <w:rPr>
          <w:rFonts w:hint="eastAsia"/>
          <w:sz w:val="28"/>
          <w:szCs w:val="28"/>
        </w:rPr>
      </w:pPr>
      <w:r>
        <w:rPr>
          <w:rFonts w:hint="eastAsia"/>
          <w:sz w:val="28"/>
          <w:szCs w:val="28"/>
        </w:rPr>
        <w:t>砖瓦厂在原料（泥土、煤渣）运输堆积、半成品及成品砖运输等过程中，各种车辆来往频繁。车辆的装载和驾驶、车辆及驾驶员的管理等方面的缺陷均可能引发车辆伤害事故。</w:t>
      </w:r>
    </w:p>
    <w:p>
      <w:pPr>
        <w:spacing w:line="360" w:lineRule="auto"/>
        <w:ind w:firstLine="560" w:firstLineChars="200"/>
        <w:rPr>
          <w:rFonts w:hint="eastAsia" w:ascii="宋体" w:hAnsi="宋体"/>
          <w:snapToGrid w:val="0"/>
          <w:kern w:val="0"/>
          <w:sz w:val="28"/>
          <w:szCs w:val="28"/>
        </w:rPr>
      </w:pPr>
      <w:r>
        <w:rPr>
          <w:rFonts w:hint="eastAsia" w:ascii="宋体" w:hAnsi="宋体"/>
          <w:snapToGrid w:val="0"/>
          <w:kern w:val="0"/>
          <w:sz w:val="28"/>
          <w:szCs w:val="28"/>
        </w:rPr>
        <w:t>车辆伤害后果是人员的伤亡和设备物品的损毁。</w:t>
      </w:r>
    </w:p>
    <w:p>
      <w:pPr>
        <w:pStyle w:val="8"/>
        <w:spacing w:line="360" w:lineRule="auto"/>
        <w:ind w:firstLine="0" w:firstLineChars="0"/>
        <w:outlineLvl w:val="2"/>
        <w:rPr>
          <w:rFonts w:hint="eastAsia" w:ascii="宋体" w:hAnsi="宋体"/>
          <w:b/>
          <w:snapToGrid w:val="0"/>
          <w:kern w:val="0"/>
          <w:sz w:val="28"/>
          <w:szCs w:val="28"/>
        </w:rPr>
      </w:pPr>
      <w:bookmarkStart w:id="161" w:name="_Toc332350855"/>
      <w:bookmarkStart w:id="162" w:name="_Toc356380983"/>
      <w:bookmarkStart w:id="163" w:name="_Toc480804397"/>
      <w:bookmarkStart w:id="164" w:name="_Toc514342849"/>
      <w:bookmarkStart w:id="165" w:name="_Toc356401494"/>
      <w:bookmarkStart w:id="166" w:name="_Toc497"/>
      <w:r>
        <w:rPr>
          <w:rFonts w:hint="eastAsia" w:ascii="宋体" w:hAnsi="宋体"/>
          <w:b/>
          <w:snapToGrid w:val="0"/>
          <w:kern w:val="0"/>
          <w:sz w:val="28"/>
          <w:szCs w:val="28"/>
          <w:lang w:val="en-US" w:eastAsia="zh-CN"/>
        </w:rPr>
        <w:t>3</w:t>
      </w:r>
      <w:r>
        <w:rPr>
          <w:rFonts w:hint="eastAsia" w:ascii="宋体" w:hAnsi="宋体"/>
          <w:b/>
          <w:snapToGrid w:val="0"/>
          <w:kern w:val="0"/>
          <w:sz w:val="28"/>
          <w:szCs w:val="28"/>
          <w:lang w:eastAsia="zh-CN"/>
        </w:rPr>
        <w:t>.</w:t>
      </w:r>
      <w:r>
        <w:rPr>
          <w:rFonts w:hint="eastAsia" w:ascii="宋体" w:hAnsi="宋体"/>
          <w:b/>
          <w:snapToGrid w:val="0"/>
          <w:kern w:val="0"/>
          <w:sz w:val="28"/>
          <w:szCs w:val="28"/>
        </w:rPr>
        <w:t>5.2 机械</w:t>
      </w:r>
      <w:bookmarkEnd w:id="161"/>
      <w:bookmarkEnd w:id="162"/>
      <w:r>
        <w:rPr>
          <w:rFonts w:hint="eastAsia" w:ascii="宋体" w:hAnsi="宋体"/>
          <w:b/>
          <w:snapToGrid w:val="0"/>
          <w:kern w:val="0"/>
          <w:sz w:val="28"/>
          <w:szCs w:val="28"/>
        </w:rPr>
        <w:t>伤害</w:t>
      </w:r>
      <w:bookmarkEnd w:id="163"/>
      <w:bookmarkEnd w:id="164"/>
      <w:bookmarkEnd w:id="165"/>
      <w:bookmarkEnd w:id="166"/>
    </w:p>
    <w:p>
      <w:pPr>
        <w:spacing w:line="360" w:lineRule="auto"/>
        <w:ind w:firstLine="515" w:firstLineChars="184"/>
        <w:rPr>
          <w:rFonts w:ascii="宋体" w:hAnsi="宋体"/>
          <w:snapToGrid w:val="0"/>
          <w:kern w:val="0"/>
          <w:sz w:val="28"/>
          <w:szCs w:val="28"/>
        </w:rPr>
      </w:pPr>
      <w:r>
        <w:rPr>
          <w:rFonts w:hint="eastAsia" w:ascii="宋体" w:hAnsi="宋体"/>
          <w:snapToGrid w:val="0"/>
          <w:kern w:val="0"/>
          <w:sz w:val="28"/>
          <w:szCs w:val="28"/>
        </w:rPr>
        <w:t>机械伤害事故是指机械设备运动</w:t>
      </w:r>
      <w:r>
        <w:rPr>
          <w:rFonts w:ascii="宋体" w:hAnsi="宋体"/>
          <w:snapToGrid w:val="0"/>
          <w:kern w:val="0"/>
          <w:sz w:val="28"/>
          <w:szCs w:val="28"/>
        </w:rPr>
        <w:t>(</w:t>
      </w:r>
      <w:r>
        <w:rPr>
          <w:rFonts w:hint="eastAsia" w:ascii="宋体" w:hAnsi="宋体"/>
          <w:snapToGrid w:val="0"/>
          <w:kern w:val="0"/>
          <w:sz w:val="28"/>
          <w:szCs w:val="28"/>
        </w:rPr>
        <w:t>静止</w:t>
      </w:r>
      <w:r>
        <w:rPr>
          <w:rFonts w:ascii="宋体" w:hAnsi="宋体"/>
          <w:snapToGrid w:val="0"/>
          <w:kern w:val="0"/>
          <w:sz w:val="28"/>
          <w:szCs w:val="28"/>
        </w:rPr>
        <w:t>)</w:t>
      </w:r>
      <w:r>
        <w:rPr>
          <w:rFonts w:hint="eastAsia" w:ascii="宋体" w:hAnsi="宋体"/>
          <w:snapToGrid w:val="0"/>
          <w:kern w:val="0"/>
          <w:sz w:val="28"/>
          <w:szCs w:val="28"/>
        </w:rPr>
        <w:t>部件、工具、加工件直接与人体接触引起的夹击、碰撞、剪切、卷人、绞、碾、割、刺等伤害，不包括车辆、起重机械引起的机械伤害。</w:t>
      </w:r>
    </w:p>
    <w:p>
      <w:pPr>
        <w:spacing w:line="360" w:lineRule="auto"/>
        <w:ind w:firstLine="515" w:firstLineChars="184"/>
        <w:rPr>
          <w:rFonts w:ascii="宋体" w:hAnsi="宋体"/>
          <w:snapToGrid w:val="0"/>
          <w:kern w:val="0"/>
          <w:sz w:val="28"/>
          <w:szCs w:val="28"/>
        </w:rPr>
      </w:pPr>
      <w:r>
        <w:rPr>
          <w:rFonts w:hint="eastAsia" w:ascii="宋体" w:hAnsi="宋体"/>
          <w:snapToGrid w:val="0"/>
          <w:kern w:val="0"/>
          <w:sz w:val="28"/>
          <w:szCs w:val="28"/>
        </w:rPr>
        <w:t>机械伤害事故产生的主要原因</w:t>
      </w:r>
      <w:r>
        <w:rPr>
          <w:rFonts w:ascii="宋体" w:hAnsi="宋体"/>
          <w:snapToGrid w:val="0"/>
          <w:kern w:val="0"/>
          <w:sz w:val="28"/>
          <w:szCs w:val="28"/>
        </w:rPr>
        <w:t>:</w:t>
      </w:r>
      <w:r>
        <w:rPr>
          <w:rFonts w:hint="eastAsia" w:ascii="宋体" w:hAnsi="宋体"/>
          <w:snapToGrid w:val="0"/>
          <w:kern w:val="0"/>
          <w:sz w:val="28"/>
          <w:szCs w:val="28"/>
        </w:rPr>
        <w:t>①指挥人员违章指挥，操作人员违章操作；②机械设备安全防护装置缺乏或防护装置失效等，导致事故发生；③安全管理上存在不足；④场地及运输道路缺陷；⑤意外因素影响</w:t>
      </w:r>
      <w:r>
        <w:rPr>
          <w:rFonts w:ascii="宋体" w:hAnsi="宋体"/>
          <w:snapToGrid w:val="0"/>
          <w:kern w:val="0"/>
          <w:sz w:val="28"/>
          <w:szCs w:val="28"/>
        </w:rPr>
        <w:t>:</w:t>
      </w:r>
      <w:r>
        <w:rPr>
          <w:rFonts w:hint="eastAsia" w:ascii="宋体" w:hAnsi="宋体"/>
          <w:snapToGrid w:val="0"/>
          <w:kern w:val="0"/>
          <w:sz w:val="28"/>
          <w:szCs w:val="28"/>
        </w:rPr>
        <w:t>如在检修和正常工作时，机器突然被别人随意启动，导致事故发生；⑥在不安全的机械上停留、休息，导致事故发生等。</w:t>
      </w:r>
    </w:p>
    <w:p>
      <w:pPr>
        <w:spacing w:line="360" w:lineRule="auto"/>
        <w:ind w:firstLine="515" w:firstLineChars="184"/>
        <w:rPr>
          <w:rFonts w:hint="eastAsia" w:ascii="宋体" w:hAnsi="宋体"/>
          <w:bCs/>
          <w:snapToGrid w:val="0"/>
          <w:kern w:val="0"/>
          <w:sz w:val="28"/>
          <w:szCs w:val="28"/>
        </w:rPr>
      </w:pPr>
      <w:r>
        <w:rPr>
          <w:rFonts w:hint="eastAsia" w:ascii="宋体" w:hAnsi="宋体"/>
          <w:snapToGrid w:val="0"/>
          <w:kern w:val="0"/>
          <w:sz w:val="28"/>
          <w:szCs w:val="28"/>
        </w:rPr>
        <w:t>机械伤害的主要后果是造成人员伤亡，其次是对物件的损坏。</w:t>
      </w:r>
      <w:r>
        <w:rPr>
          <w:rFonts w:ascii="宋体" w:hAnsi="宋体"/>
          <w:bCs/>
          <w:snapToGrid w:val="0"/>
          <w:kern w:val="0"/>
          <w:sz w:val="28"/>
          <w:szCs w:val="28"/>
        </w:rPr>
        <w:t>因此，加强生产作业中的安全防护是防止机械伤害事故的关键，即保持安全防护设施的完好，按规定使用安全防护用品等。同时加强安全管理力度，禁止违章作业和冒险接触机械危险部位，操作时集中精力，防止非操作人员随意开机，做好正常检修设备时的安全防护措施等对于预防机械事故的发生也很重要。</w:t>
      </w:r>
    </w:p>
    <w:p>
      <w:pPr>
        <w:spacing w:line="360" w:lineRule="auto"/>
        <w:ind w:firstLine="515" w:firstLineChars="184"/>
        <w:rPr>
          <w:rFonts w:hint="eastAsia" w:ascii="宋体" w:hAnsi="宋体"/>
          <w:snapToGrid w:val="0"/>
          <w:kern w:val="0"/>
          <w:sz w:val="28"/>
          <w:szCs w:val="28"/>
        </w:rPr>
      </w:pPr>
      <w:r>
        <w:rPr>
          <w:rFonts w:hint="eastAsia" w:ascii="宋体" w:hAnsi="宋体"/>
          <w:snapToGrid w:val="0"/>
          <w:kern w:val="0"/>
          <w:sz w:val="28"/>
          <w:szCs w:val="28"/>
        </w:rPr>
        <w:t>砖瓦厂在泥土破碎、运输、搅拌、挤压成型、截条、切条等过程中涉及到机械设备，某些设备的转动部件、移动部件等若缺乏良好的防护设施或防护设施有缺陷、操作错误等，均可能造成人身伤害。若没有配备或正确穿戴必需的劳动防护用品时，也可能造成机械伤害。</w:t>
      </w:r>
    </w:p>
    <w:p>
      <w:pPr>
        <w:pStyle w:val="8"/>
        <w:spacing w:line="360" w:lineRule="auto"/>
        <w:ind w:firstLine="0" w:firstLineChars="0"/>
        <w:outlineLvl w:val="2"/>
        <w:rPr>
          <w:rFonts w:hint="eastAsia" w:ascii="宋体" w:hAnsi="宋体"/>
          <w:b/>
          <w:snapToGrid w:val="0"/>
          <w:kern w:val="0"/>
          <w:sz w:val="28"/>
          <w:szCs w:val="28"/>
        </w:rPr>
      </w:pPr>
      <w:bookmarkStart w:id="167" w:name="_Toc480804398"/>
      <w:bookmarkStart w:id="168" w:name="_Toc514342850"/>
      <w:bookmarkStart w:id="169" w:name="_Toc356401495"/>
      <w:bookmarkStart w:id="170" w:name="_Toc350781098"/>
      <w:bookmarkStart w:id="171" w:name="_Toc19126"/>
      <w:r>
        <w:rPr>
          <w:rFonts w:hint="eastAsia" w:ascii="宋体" w:hAnsi="宋体"/>
          <w:b/>
          <w:snapToGrid w:val="0"/>
          <w:kern w:val="0"/>
          <w:sz w:val="28"/>
          <w:szCs w:val="28"/>
          <w:lang w:val="en-US" w:eastAsia="zh-CN"/>
        </w:rPr>
        <w:t>3</w:t>
      </w:r>
      <w:r>
        <w:rPr>
          <w:rFonts w:hint="eastAsia" w:ascii="宋体" w:hAnsi="宋体"/>
          <w:b/>
          <w:snapToGrid w:val="0"/>
          <w:kern w:val="0"/>
          <w:sz w:val="28"/>
          <w:szCs w:val="28"/>
          <w:lang w:eastAsia="zh-CN"/>
        </w:rPr>
        <w:t>.</w:t>
      </w:r>
      <w:r>
        <w:rPr>
          <w:rFonts w:hint="eastAsia" w:ascii="宋体" w:hAnsi="宋体"/>
          <w:b/>
          <w:snapToGrid w:val="0"/>
          <w:kern w:val="0"/>
          <w:sz w:val="28"/>
          <w:szCs w:val="28"/>
        </w:rPr>
        <w:t>5.3</w:t>
      </w:r>
      <w:r>
        <w:rPr>
          <w:rFonts w:ascii="宋体" w:hAnsi="宋体"/>
          <w:b/>
          <w:snapToGrid w:val="0"/>
          <w:kern w:val="0"/>
          <w:sz w:val="28"/>
          <w:szCs w:val="28"/>
        </w:rPr>
        <w:t xml:space="preserve"> 触电</w:t>
      </w:r>
      <w:r>
        <w:rPr>
          <w:rFonts w:hint="eastAsia" w:ascii="宋体" w:hAnsi="宋体"/>
          <w:b/>
          <w:snapToGrid w:val="0"/>
          <w:kern w:val="0"/>
          <w:sz w:val="28"/>
          <w:szCs w:val="28"/>
        </w:rPr>
        <w:t>事故</w:t>
      </w:r>
      <w:bookmarkEnd w:id="167"/>
      <w:bookmarkEnd w:id="168"/>
      <w:bookmarkEnd w:id="169"/>
      <w:bookmarkEnd w:id="170"/>
      <w:bookmarkEnd w:id="171"/>
    </w:p>
    <w:p>
      <w:pPr>
        <w:spacing w:line="360" w:lineRule="auto"/>
        <w:ind w:firstLine="560" w:firstLineChars="200"/>
        <w:rPr>
          <w:rFonts w:ascii="宋体" w:hAnsi="宋体"/>
          <w:bCs/>
          <w:snapToGrid w:val="0"/>
          <w:kern w:val="0"/>
          <w:sz w:val="28"/>
          <w:szCs w:val="28"/>
        </w:rPr>
      </w:pPr>
      <w:r>
        <w:rPr>
          <w:rFonts w:hint="eastAsia" w:ascii="宋体" w:hAnsi="宋体"/>
          <w:bCs/>
          <w:snapToGrid w:val="0"/>
          <w:kern w:val="0"/>
          <w:sz w:val="28"/>
          <w:szCs w:val="28"/>
        </w:rPr>
        <w:t>触电事故是指由于电流流经人体导致的生理伤害，包括雷击伤亡事故。</w:t>
      </w:r>
    </w:p>
    <w:p>
      <w:pPr>
        <w:spacing w:line="360" w:lineRule="auto"/>
        <w:ind w:firstLine="560" w:firstLineChars="200"/>
        <w:rPr>
          <w:rFonts w:ascii="宋体" w:hAnsi="宋体"/>
          <w:bCs/>
          <w:snapToGrid w:val="0"/>
          <w:kern w:val="0"/>
          <w:sz w:val="28"/>
          <w:szCs w:val="28"/>
        </w:rPr>
      </w:pPr>
      <w:r>
        <w:rPr>
          <w:rFonts w:hint="eastAsia" w:ascii="宋体" w:hAnsi="宋体"/>
          <w:bCs/>
          <w:snapToGrid w:val="0"/>
          <w:kern w:val="0"/>
          <w:sz w:val="28"/>
          <w:szCs w:val="28"/>
        </w:rPr>
        <w:t>触电伤害产生的主要原因：①电气线路或电气设备在设计、安装上存在缺陷，或在运行中缺乏必要的检修维护；②没有设置必要的安全技术措施</w:t>
      </w:r>
      <w:r>
        <w:rPr>
          <w:rFonts w:ascii="宋体" w:hAnsi="宋体"/>
          <w:bCs/>
          <w:snapToGrid w:val="0"/>
          <w:kern w:val="0"/>
          <w:sz w:val="28"/>
          <w:szCs w:val="28"/>
        </w:rPr>
        <w:t>(</w:t>
      </w:r>
      <w:r>
        <w:rPr>
          <w:rFonts w:hint="eastAsia" w:ascii="宋体" w:hAnsi="宋体"/>
          <w:bCs/>
          <w:snapToGrid w:val="0"/>
          <w:kern w:val="0"/>
          <w:sz w:val="28"/>
          <w:szCs w:val="28"/>
        </w:rPr>
        <w:t>如保护接零、漏电保护、安全电压等</w:t>
      </w:r>
      <w:r>
        <w:rPr>
          <w:rFonts w:ascii="宋体" w:hAnsi="宋体"/>
          <w:bCs/>
          <w:snapToGrid w:val="0"/>
          <w:kern w:val="0"/>
          <w:sz w:val="28"/>
          <w:szCs w:val="28"/>
        </w:rPr>
        <w:t>)</w:t>
      </w:r>
      <w:r>
        <w:rPr>
          <w:rFonts w:hint="eastAsia" w:ascii="宋体" w:hAnsi="宋体"/>
          <w:bCs/>
          <w:snapToGrid w:val="0"/>
          <w:kern w:val="0"/>
          <w:sz w:val="28"/>
          <w:szCs w:val="28"/>
        </w:rPr>
        <w:t>，或安全措施失效；③电气设备运行管理不当，安全管理制度不完善；④专业电工或机电设备操作人员操作失误，或违章作业等；⑤非专业电工人员私自进行检修、接线等专业工作；⑥电气安全管理工作存在漏洞；⑦在规定地点没有使用安全电压；⑧违章指挥等。</w:t>
      </w:r>
    </w:p>
    <w:p>
      <w:pPr>
        <w:spacing w:line="360" w:lineRule="auto"/>
        <w:ind w:firstLine="560" w:firstLineChars="200"/>
        <w:rPr>
          <w:rFonts w:ascii="宋体" w:hAnsi="宋体"/>
          <w:bCs/>
          <w:snapToGrid w:val="0"/>
          <w:kern w:val="0"/>
          <w:sz w:val="28"/>
          <w:szCs w:val="28"/>
        </w:rPr>
      </w:pPr>
      <w:r>
        <w:rPr>
          <w:rFonts w:hint="eastAsia" w:ascii="宋体" w:hAnsi="宋体"/>
          <w:bCs/>
          <w:snapToGrid w:val="0"/>
          <w:kern w:val="0"/>
          <w:sz w:val="28"/>
          <w:szCs w:val="28"/>
        </w:rPr>
        <w:t>可能存在的触电场所有</w:t>
      </w:r>
      <w:r>
        <w:rPr>
          <w:rFonts w:ascii="宋体" w:hAnsi="宋体"/>
          <w:bCs/>
          <w:snapToGrid w:val="0"/>
          <w:kern w:val="0"/>
          <w:sz w:val="28"/>
          <w:szCs w:val="28"/>
        </w:rPr>
        <w:t>:</w:t>
      </w:r>
      <w:r>
        <w:rPr>
          <w:rFonts w:hint="eastAsia" w:ascii="宋体" w:hAnsi="宋体"/>
          <w:bCs/>
          <w:snapToGrid w:val="0"/>
          <w:kern w:val="0"/>
          <w:sz w:val="28"/>
          <w:szCs w:val="28"/>
        </w:rPr>
        <w:t>地面变压器、配电线路以及在生产过程中使用的各种电气设备、动力设备采用闸刀直接起动的设备、手持电动设备、照明线路及照明器具等。</w:t>
      </w:r>
    </w:p>
    <w:p>
      <w:pPr>
        <w:spacing w:line="360" w:lineRule="auto"/>
        <w:ind w:firstLine="560" w:firstLineChars="200"/>
        <w:rPr>
          <w:rFonts w:hint="eastAsia" w:ascii="宋体" w:hAnsi="宋体"/>
          <w:bCs/>
          <w:snapToGrid w:val="0"/>
          <w:kern w:val="0"/>
          <w:sz w:val="28"/>
          <w:szCs w:val="28"/>
        </w:rPr>
      </w:pPr>
      <w:r>
        <w:rPr>
          <w:rFonts w:hint="eastAsia" w:ascii="宋体" w:hAnsi="宋体"/>
          <w:bCs/>
          <w:snapToGrid w:val="0"/>
          <w:kern w:val="0"/>
          <w:sz w:val="28"/>
          <w:szCs w:val="28"/>
        </w:rPr>
        <w:t>触电伤害的后果是直接造成人员伤亡事故。</w:t>
      </w:r>
    </w:p>
    <w:p>
      <w:pPr>
        <w:pStyle w:val="8"/>
        <w:spacing w:line="360" w:lineRule="auto"/>
        <w:ind w:firstLine="0" w:firstLineChars="0"/>
        <w:outlineLvl w:val="2"/>
        <w:rPr>
          <w:rFonts w:hint="eastAsia" w:ascii="宋体" w:hAnsi="宋体"/>
          <w:b/>
          <w:snapToGrid w:val="0"/>
          <w:kern w:val="0"/>
          <w:sz w:val="28"/>
          <w:szCs w:val="28"/>
        </w:rPr>
      </w:pPr>
      <w:bookmarkStart w:id="172" w:name="_Toc356401496"/>
      <w:bookmarkStart w:id="173" w:name="_Toc514342851"/>
      <w:bookmarkStart w:id="174" w:name="_Toc332350857"/>
      <w:bookmarkStart w:id="175" w:name="_Toc480804399"/>
      <w:bookmarkStart w:id="176" w:name="_Toc356380985"/>
      <w:bookmarkStart w:id="177" w:name="_Toc9177"/>
      <w:r>
        <w:rPr>
          <w:rFonts w:hint="eastAsia" w:ascii="宋体" w:hAnsi="宋体"/>
          <w:b/>
          <w:snapToGrid w:val="0"/>
          <w:kern w:val="0"/>
          <w:sz w:val="28"/>
          <w:szCs w:val="28"/>
          <w:lang w:val="en-US" w:eastAsia="zh-CN"/>
        </w:rPr>
        <w:t>3</w:t>
      </w:r>
      <w:r>
        <w:rPr>
          <w:rFonts w:hint="eastAsia" w:ascii="宋体" w:hAnsi="宋体"/>
          <w:b/>
          <w:snapToGrid w:val="0"/>
          <w:kern w:val="0"/>
          <w:sz w:val="28"/>
          <w:szCs w:val="28"/>
          <w:lang w:eastAsia="zh-CN"/>
        </w:rPr>
        <w:t>.</w:t>
      </w:r>
      <w:r>
        <w:rPr>
          <w:rFonts w:hint="eastAsia" w:ascii="宋体" w:hAnsi="宋体"/>
          <w:b/>
          <w:snapToGrid w:val="0"/>
          <w:kern w:val="0"/>
          <w:sz w:val="28"/>
          <w:szCs w:val="28"/>
        </w:rPr>
        <w:t>5.4 高处坠落</w:t>
      </w:r>
      <w:bookmarkEnd w:id="172"/>
      <w:bookmarkEnd w:id="173"/>
      <w:bookmarkEnd w:id="174"/>
      <w:bookmarkEnd w:id="175"/>
      <w:bookmarkEnd w:id="176"/>
      <w:bookmarkEnd w:id="177"/>
    </w:p>
    <w:p>
      <w:pPr>
        <w:spacing w:line="360" w:lineRule="auto"/>
        <w:ind w:firstLine="560" w:firstLineChars="200"/>
        <w:rPr>
          <w:rFonts w:hint="eastAsia" w:ascii="宋体" w:hAnsi="宋体"/>
          <w:snapToGrid w:val="0"/>
          <w:kern w:val="0"/>
          <w:sz w:val="28"/>
          <w:szCs w:val="28"/>
        </w:rPr>
      </w:pPr>
      <w:r>
        <w:rPr>
          <w:rFonts w:hint="eastAsia" w:ascii="宋体" w:hAnsi="宋体"/>
          <w:snapToGrid w:val="0"/>
          <w:kern w:val="0"/>
          <w:sz w:val="28"/>
          <w:szCs w:val="28"/>
        </w:rPr>
        <w:t>高处坠落指在高处作业中发生坠落造成的伤亡事故，不包括触电坠落事故。</w:t>
      </w:r>
      <w:r>
        <w:rPr>
          <w:rFonts w:ascii="宋体" w:hAnsi="宋体"/>
          <w:bCs/>
          <w:snapToGrid w:val="0"/>
          <w:kern w:val="0"/>
          <w:sz w:val="28"/>
          <w:szCs w:val="28"/>
        </w:rPr>
        <w:t>高处坠落主要包括：采场顶部的高处坠落，检修安装设备时的高处坠落，人员行进中的意外滑倒等，增加防护装置是预防事故发生的重要措施。</w:t>
      </w:r>
    </w:p>
    <w:p>
      <w:pPr>
        <w:spacing w:line="360" w:lineRule="auto"/>
        <w:ind w:firstLine="560" w:firstLineChars="200"/>
        <w:rPr>
          <w:rFonts w:ascii="宋体" w:hAnsi="宋体"/>
          <w:snapToGrid w:val="0"/>
          <w:kern w:val="0"/>
          <w:sz w:val="28"/>
          <w:szCs w:val="28"/>
        </w:rPr>
      </w:pPr>
      <w:r>
        <w:rPr>
          <w:rFonts w:hint="eastAsia" w:ascii="宋体" w:hAnsi="宋体"/>
          <w:snapToGrid w:val="0"/>
          <w:kern w:val="0"/>
          <w:sz w:val="28"/>
          <w:szCs w:val="28"/>
        </w:rPr>
        <w:t>造成高处坠落的主要原因有：①没有按要求使用安全带、安全索；②没有按要求穿防滑性能良好的软底鞋；③高处作业时安全防护设施不完善或损坏；④工作责任心不强，主观判断失误；⑤使用安全保护装置不完善或缺乏的设备、设施进行作业；⑥作业人员疏忽大意，疲劳作业；⑦高处作业无专人负责指挥，安全管理不到位；⑧作业场所狭小，不符合安全要求。</w:t>
      </w:r>
    </w:p>
    <w:p>
      <w:pPr>
        <w:spacing w:line="360" w:lineRule="auto"/>
        <w:ind w:firstLine="560" w:firstLineChars="200"/>
        <w:rPr>
          <w:rFonts w:hint="eastAsia" w:ascii="宋体" w:hAnsi="宋体"/>
          <w:snapToGrid w:val="0"/>
          <w:kern w:val="0"/>
          <w:sz w:val="28"/>
          <w:szCs w:val="28"/>
        </w:rPr>
      </w:pPr>
      <w:r>
        <w:rPr>
          <w:rFonts w:hint="eastAsia" w:ascii="宋体" w:hAnsi="宋体"/>
          <w:snapToGrid w:val="0"/>
          <w:kern w:val="0"/>
          <w:sz w:val="28"/>
          <w:szCs w:val="28"/>
        </w:rPr>
        <w:t>阴雨、积雪可引起料堆、砖坯堆垛坍方；料场土堆高3米，在堆料、喂料过程中土堆可能发生坍塌；料场打堆车道宽6米、坡度25°，在往高处打堆时，由于料堆松软，有可能造成运输机械侧翻、被掩埋的潜在危险，同时现场作业人员或外来人员有被压埋的潜在危险。同时，窑炉和烟囱在进行相关作业时，也存在坍塌和高处坠落的危险。</w:t>
      </w:r>
    </w:p>
    <w:p>
      <w:pPr>
        <w:spacing w:line="360" w:lineRule="auto"/>
        <w:ind w:firstLine="560" w:firstLineChars="200"/>
        <w:rPr>
          <w:rFonts w:hint="eastAsia" w:ascii="宋体" w:hAnsi="宋体"/>
          <w:snapToGrid w:val="0"/>
          <w:kern w:val="0"/>
          <w:sz w:val="28"/>
          <w:szCs w:val="28"/>
        </w:rPr>
      </w:pPr>
      <w:r>
        <w:rPr>
          <w:rFonts w:hint="eastAsia" w:ascii="宋体" w:hAnsi="宋体"/>
          <w:snapToGrid w:val="0"/>
          <w:kern w:val="0"/>
          <w:sz w:val="28"/>
          <w:szCs w:val="28"/>
        </w:rPr>
        <w:t>高处坠落造成的事故的后果是人员伤亡和设备损坏。</w:t>
      </w:r>
    </w:p>
    <w:bookmarkEnd w:id="103"/>
    <w:p>
      <w:pPr>
        <w:pStyle w:val="8"/>
        <w:spacing w:line="360" w:lineRule="auto"/>
        <w:ind w:firstLine="0" w:firstLineChars="0"/>
        <w:outlineLvl w:val="2"/>
        <w:rPr>
          <w:rFonts w:ascii="宋体" w:hAnsi="宋体"/>
          <w:b/>
          <w:snapToGrid w:val="0"/>
          <w:kern w:val="0"/>
          <w:sz w:val="28"/>
          <w:szCs w:val="28"/>
        </w:rPr>
      </w:pPr>
      <w:bookmarkStart w:id="178" w:name="_Toc350781096"/>
      <w:bookmarkStart w:id="179" w:name="_Toc356401497"/>
      <w:bookmarkStart w:id="180" w:name="_Toc514342852"/>
      <w:bookmarkStart w:id="181" w:name="_Toc480804400"/>
      <w:bookmarkStart w:id="182" w:name="_Toc19975"/>
      <w:r>
        <w:rPr>
          <w:rFonts w:hint="eastAsia" w:ascii="宋体" w:hAnsi="宋体"/>
          <w:b/>
          <w:snapToGrid w:val="0"/>
          <w:kern w:val="0"/>
          <w:sz w:val="28"/>
          <w:szCs w:val="28"/>
          <w:lang w:val="en-US" w:eastAsia="zh-CN"/>
        </w:rPr>
        <w:t>3</w:t>
      </w:r>
      <w:r>
        <w:rPr>
          <w:rFonts w:hint="eastAsia" w:ascii="宋体" w:hAnsi="宋体"/>
          <w:b/>
          <w:snapToGrid w:val="0"/>
          <w:kern w:val="0"/>
          <w:sz w:val="28"/>
          <w:szCs w:val="28"/>
          <w:lang w:eastAsia="zh-CN"/>
        </w:rPr>
        <w:t>.</w:t>
      </w:r>
      <w:r>
        <w:rPr>
          <w:rFonts w:hint="eastAsia" w:ascii="宋体" w:hAnsi="宋体"/>
          <w:b/>
          <w:snapToGrid w:val="0"/>
          <w:kern w:val="0"/>
          <w:sz w:val="28"/>
          <w:szCs w:val="28"/>
        </w:rPr>
        <w:t>5</w:t>
      </w:r>
      <w:r>
        <w:rPr>
          <w:rFonts w:ascii="宋体" w:hAnsi="宋体"/>
          <w:b/>
          <w:snapToGrid w:val="0"/>
          <w:kern w:val="0"/>
          <w:sz w:val="28"/>
          <w:szCs w:val="28"/>
        </w:rPr>
        <w:t>.</w:t>
      </w:r>
      <w:r>
        <w:rPr>
          <w:rFonts w:hint="eastAsia" w:ascii="宋体" w:hAnsi="宋体"/>
          <w:b/>
          <w:snapToGrid w:val="0"/>
          <w:kern w:val="0"/>
          <w:sz w:val="28"/>
          <w:szCs w:val="28"/>
        </w:rPr>
        <w:t>5</w:t>
      </w:r>
      <w:r>
        <w:rPr>
          <w:rFonts w:ascii="宋体" w:hAnsi="宋体"/>
          <w:b/>
          <w:snapToGrid w:val="0"/>
          <w:kern w:val="0"/>
          <w:sz w:val="28"/>
          <w:szCs w:val="28"/>
        </w:rPr>
        <w:t xml:space="preserve"> 物体打击</w:t>
      </w:r>
      <w:bookmarkEnd w:id="178"/>
      <w:bookmarkEnd w:id="179"/>
      <w:bookmarkEnd w:id="180"/>
      <w:bookmarkEnd w:id="181"/>
      <w:bookmarkEnd w:id="182"/>
    </w:p>
    <w:p>
      <w:pPr>
        <w:spacing w:line="360" w:lineRule="auto"/>
        <w:ind w:firstLine="560" w:firstLineChars="200"/>
        <w:rPr>
          <w:rFonts w:ascii="宋体" w:hAnsi="宋体"/>
          <w:snapToGrid w:val="0"/>
          <w:kern w:val="0"/>
          <w:sz w:val="28"/>
          <w:szCs w:val="28"/>
        </w:rPr>
      </w:pPr>
      <w:r>
        <w:rPr>
          <w:rFonts w:hint="eastAsia" w:ascii="宋体" w:hAnsi="宋体"/>
          <w:snapToGrid w:val="0"/>
          <w:kern w:val="0"/>
          <w:sz w:val="28"/>
          <w:szCs w:val="28"/>
        </w:rPr>
        <w:t>物体打击事故是指物体在重力或其它外力的作用下产生运动，打击人体造成人身伤亡事故，不包括因机械设备、车辆、起重机械、坍塌等引发的物体打击。</w:t>
      </w:r>
    </w:p>
    <w:p>
      <w:pPr>
        <w:spacing w:line="360" w:lineRule="auto"/>
        <w:ind w:firstLine="560" w:firstLineChars="200"/>
        <w:rPr>
          <w:rFonts w:hint="eastAsia" w:ascii="宋体" w:hAnsi="宋体"/>
          <w:snapToGrid w:val="0"/>
          <w:kern w:val="0"/>
          <w:sz w:val="28"/>
          <w:szCs w:val="28"/>
        </w:rPr>
      </w:pPr>
      <w:r>
        <w:rPr>
          <w:rFonts w:hint="eastAsia" w:ascii="宋体" w:hAnsi="宋体"/>
          <w:snapToGrid w:val="0"/>
          <w:kern w:val="0"/>
          <w:sz w:val="28"/>
          <w:szCs w:val="28"/>
        </w:rPr>
        <w:t>造成物体打击的主要原因有</w:t>
      </w:r>
      <w:r>
        <w:rPr>
          <w:rFonts w:ascii="宋体" w:hAnsi="宋体"/>
          <w:snapToGrid w:val="0"/>
          <w:kern w:val="0"/>
          <w:sz w:val="28"/>
          <w:szCs w:val="28"/>
        </w:rPr>
        <w:t>:</w:t>
      </w:r>
      <w:r>
        <w:rPr>
          <w:rFonts w:hint="eastAsia" w:ascii="宋体" w:hAnsi="宋体"/>
          <w:snapToGrid w:val="0"/>
          <w:kern w:val="0"/>
          <w:sz w:val="28"/>
          <w:szCs w:val="28"/>
        </w:rPr>
        <w:t>①工作场所狭小，缺乏躲避空间，上下同时作业；②没有排险工具或排险工具有缺陷等；③工作时精力不集中，对出现的险情不能及时做出反应；④安全帽等劳保用品穿戴不规范、不齐全；⑤传递工具物件方法不当等</w:t>
      </w:r>
    </w:p>
    <w:p>
      <w:pPr>
        <w:spacing w:line="360" w:lineRule="auto"/>
        <w:ind w:firstLine="560" w:firstLineChars="200"/>
        <w:rPr>
          <w:rFonts w:ascii="宋体" w:hAnsi="宋体"/>
          <w:snapToGrid w:val="0"/>
          <w:kern w:val="0"/>
          <w:sz w:val="28"/>
          <w:szCs w:val="28"/>
        </w:rPr>
      </w:pPr>
      <w:r>
        <w:rPr>
          <w:rFonts w:hint="eastAsia" w:ascii="宋体" w:hAnsi="宋体"/>
          <w:snapToGrid w:val="0"/>
          <w:kern w:val="0"/>
          <w:sz w:val="28"/>
          <w:szCs w:val="28"/>
        </w:rPr>
        <w:t>可能发生的物体打击事故：拆卸设备部件时敲打工具造成工具强出伤人；高空作业时，由于工具、托辊、零件、砖瓦、木块等物不慎从高处掉落伤人或乱扔废物、杂物击中他人；</w:t>
      </w:r>
    </w:p>
    <w:p>
      <w:pPr>
        <w:spacing w:line="360" w:lineRule="auto"/>
        <w:ind w:firstLine="560" w:firstLineChars="200"/>
        <w:rPr>
          <w:rFonts w:hint="eastAsia" w:ascii="宋体" w:hAnsi="宋体"/>
          <w:snapToGrid w:val="0"/>
          <w:kern w:val="0"/>
          <w:sz w:val="28"/>
          <w:szCs w:val="28"/>
        </w:rPr>
      </w:pPr>
      <w:r>
        <w:rPr>
          <w:rFonts w:hint="eastAsia" w:ascii="宋体" w:hAnsi="宋体"/>
          <w:snapToGrid w:val="0"/>
          <w:kern w:val="0"/>
          <w:sz w:val="28"/>
          <w:szCs w:val="28"/>
        </w:rPr>
        <w:t>一旦遭受物体打击其后果是人员的伤亡和物品的损毁。</w:t>
      </w:r>
    </w:p>
    <w:p>
      <w:pPr>
        <w:pStyle w:val="8"/>
        <w:spacing w:line="360" w:lineRule="auto"/>
        <w:ind w:firstLine="0" w:firstLineChars="0"/>
        <w:outlineLvl w:val="2"/>
        <w:rPr>
          <w:rFonts w:hint="eastAsia" w:ascii="宋体" w:hAnsi="宋体"/>
          <w:b/>
          <w:snapToGrid w:val="0"/>
          <w:kern w:val="0"/>
          <w:sz w:val="28"/>
          <w:szCs w:val="28"/>
        </w:rPr>
      </w:pPr>
      <w:bookmarkStart w:id="183" w:name="_Toc350781100"/>
      <w:bookmarkStart w:id="184" w:name="_Toc356401498"/>
      <w:bookmarkStart w:id="185" w:name="_Toc480804401"/>
      <w:bookmarkStart w:id="186" w:name="_Toc514342853"/>
      <w:bookmarkStart w:id="187" w:name="_Toc32492"/>
      <w:r>
        <w:rPr>
          <w:rFonts w:hint="eastAsia" w:ascii="宋体" w:hAnsi="宋体"/>
          <w:b/>
          <w:snapToGrid w:val="0"/>
          <w:kern w:val="0"/>
          <w:sz w:val="28"/>
          <w:szCs w:val="28"/>
          <w:lang w:val="en-US" w:eastAsia="zh-CN"/>
        </w:rPr>
        <w:t>3</w:t>
      </w:r>
      <w:r>
        <w:rPr>
          <w:rFonts w:hint="eastAsia" w:ascii="宋体" w:hAnsi="宋体"/>
          <w:b/>
          <w:snapToGrid w:val="0"/>
          <w:kern w:val="0"/>
          <w:sz w:val="28"/>
          <w:szCs w:val="28"/>
          <w:lang w:eastAsia="zh-CN"/>
        </w:rPr>
        <w:t>.</w:t>
      </w:r>
      <w:r>
        <w:rPr>
          <w:rFonts w:hint="eastAsia" w:ascii="宋体" w:hAnsi="宋体"/>
          <w:b/>
          <w:snapToGrid w:val="0"/>
          <w:kern w:val="0"/>
          <w:sz w:val="28"/>
          <w:szCs w:val="28"/>
        </w:rPr>
        <w:t>5.6 火灾</w:t>
      </w:r>
      <w:bookmarkEnd w:id="183"/>
      <w:r>
        <w:rPr>
          <w:rFonts w:hint="eastAsia" w:ascii="宋体" w:hAnsi="宋体"/>
          <w:b/>
          <w:snapToGrid w:val="0"/>
          <w:kern w:val="0"/>
          <w:sz w:val="28"/>
          <w:szCs w:val="28"/>
        </w:rPr>
        <w:t>事故</w:t>
      </w:r>
      <w:bookmarkEnd w:id="184"/>
      <w:bookmarkEnd w:id="185"/>
      <w:bookmarkEnd w:id="186"/>
      <w:bookmarkEnd w:id="187"/>
    </w:p>
    <w:p>
      <w:pPr>
        <w:spacing w:line="360" w:lineRule="auto"/>
        <w:ind w:firstLine="560" w:firstLineChars="200"/>
        <w:rPr>
          <w:rFonts w:ascii="宋体" w:hAnsi="宋体"/>
          <w:snapToGrid w:val="0"/>
          <w:kern w:val="0"/>
          <w:sz w:val="28"/>
          <w:szCs w:val="28"/>
        </w:rPr>
      </w:pPr>
      <w:r>
        <w:rPr>
          <w:rFonts w:hint="eastAsia" w:ascii="宋体" w:hAnsi="宋体"/>
          <w:snapToGrid w:val="0"/>
          <w:kern w:val="0"/>
          <w:sz w:val="28"/>
          <w:szCs w:val="28"/>
        </w:rPr>
        <w:t>火灾是指企业内所发生的火灾。</w:t>
      </w:r>
    </w:p>
    <w:p>
      <w:pPr>
        <w:spacing w:line="360" w:lineRule="auto"/>
        <w:ind w:firstLine="560" w:firstLineChars="200"/>
        <w:rPr>
          <w:rFonts w:ascii="宋体" w:hAnsi="宋体"/>
          <w:snapToGrid w:val="0"/>
          <w:kern w:val="0"/>
          <w:sz w:val="28"/>
          <w:szCs w:val="28"/>
        </w:rPr>
      </w:pPr>
      <w:r>
        <w:rPr>
          <w:rFonts w:hint="eastAsia" w:ascii="宋体" w:hAnsi="宋体"/>
          <w:snapToGrid w:val="0"/>
          <w:kern w:val="0"/>
          <w:sz w:val="28"/>
          <w:szCs w:val="28"/>
        </w:rPr>
        <w:t>火灾事故产生的主要原因</w:t>
      </w:r>
      <w:r>
        <w:rPr>
          <w:rFonts w:ascii="宋体" w:hAnsi="宋体"/>
          <w:snapToGrid w:val="0"/>
          <w:kern w:val="0"/>
          <w:sz w:val="28"/>
          <w:szCs w:val="28"/>
        </w:rPr>
        <w:t>:</w:t>
      </w:r>
      <w:r>
        <w:rPr>
          <w:rFonts w:hint="eastAsia" w:ascii="宋体" w:hAnsi="宋体"/>
          <w:snapToGrid w:val="0"/>
          <w:kern w:val="0"/>
          <w:sz w:val="28"/>
          <w:szCs w:val="28"/>
        </w:rPr>
        <w:t>①明火</w:t>
      </w:r>
      <w:r>
        <w:rPr>
          <w:rFonts w:ascii="宋体" w:hAnsi="宋体"/>
          <w:snapToGrid w:val="0"/>
          <w:kern w:val="0"/>
          <w:sz w:val="28"/>
          <w:szCs w:val="28"/>
        </w:rPr>
        <w:t>(</w:t>
      </w:r>
      <w:r>
        <w:rPr>
          <w:rFonts w:hint="eastAsia" w:ascii="宋体" w:hAnsi="宋体"/>
          <w:snapToGrid w:val="0"/>
          <w:kern w:val="0"/>
          <w:sz w:val="28"/>
          <w:szCs w:val="28"/>
        </w:rPr>
        <w:t>包括火柴点火、吸烟、电焊、气焊、明火灯等</w:t>
      </w:r>
      <w:r>
        <w:rPr>
          <w:rFonts w:ascii="宋体" w:hAnsi="宋体"/>
          <w:snapToGrid w:val="0"/>
          <w:kern w:val="0"/>
          <w:sz w:val="28"/>
          <w:szCs w:val="28"/>
        </w:rPr>
        <w:t>)</w:t>
      </w:r>
      <w:r>
        <w:rPr>
          <w:rFonts w:hint="eastAsia" w:ascii="宋体" w:hAnsi="宋体"/>
          <w:snapToGrid w:val="0"/>
          <w:kern w:val="0"/>
          <w:sz w:val="28"/>
          <w:szCs w:val="28"/>
        </w:rPr>
        <w:t>所引燃；②油料</w:t>
      </w:r>
      <w:r>
        <w:rPr>
          <w:rFonts w:ascii="宋体" w:hAnsi="宋体"/>
          <w:snapToGrid w:val="0"/>
          <w:kern w:val="0"/>
          <w:sz w:val="28"/>
          <w:szCs w:val="28"/>
        </w:rPr>
        <w:t>(</w:t>
      </w:r>
      <w:r>
        <w:rPr>
          <w:rFonts w:hint="eastAsia" w:ascii="宋体" w:hAnsi="宋体"/>
          <w:snapToGrid w:val="0"/>
          <w:kern w:val="0"/>
          <w:sz w:val="28"/>
          <w:szCs w:val="28"/>
        </w:rPr>
        <w:t>润滑油、变压器油、液压设备用油、柴油设备用油、维修设备用油等</w:t>
      </w:r>
      <w:r>
        <w:rPr>
          <w:rFonts w:ascii="宋体" w:hAnsi="宋体"/>
          <w:snapToGrid w:val="0"/>
          <w:kern w:val="0"/>
          <w:sz w:val="28"/>
          <w:szCs w:val="28"/>
        </w:rPr>
        <w:t>)</w:t>
      </w:r>
      <w:r>
        <w:rPr>
          <w:rFonts w:hint="eastAsia" w:ascii="宋体" w:hAnsi="宋体"/>
          <w:snapToGrid w:val="0"/>
          <w:kern w:val="0"/>
          <w:sz w:val="28"/>
          <w:szCs w:val="28"/>
        </w:rPr>
        <w:t>保管、运输和使用不当；③电缆、电线、电动机、电钻等电器设备绝缘损坏及性能不良产生的电弧、电火花、漏电、失爆、短路或超负荷运行引起火灾；④保险丝</w:t>
      </w:r>
      <w:r>
        <w:rPr>
          <w:rFonts w:ascii="宋体" w:hAnsi="宋体"/>
          <w:snapToGrid w:val="0"/>
          <w:kern w:val="0"/>
          <w:sz w:val="28"/>
          <w:szCs w:val="28"/>
        </w:rPr>
        <w:t>(</w:t>
      </w:r>
      <w:r>
        <w:rPr>
          <w:rFonts w:hint="eastAsia" w:ascii="宋体" w:hAnsi="宋体"/>
          <w:snapToGrid w:val="0"/>
          <w:kern w:val="0"/>
          <w:sz w:val="28"/>
          <w:szCs w:val="28"/>
        </w:rPr>
        <w:t>片</w:t>
      </w:r>
      <w:r>
        <w:rPr>
          <w:rFonts w:ascii="宋体" w:hAnsi="宋体"/>
          <w:snapToGrid w:val="0"/>
          <w:kern w:val="0"/>
          <w:sz w:val="28"/>
          <w:szCs w:val="28"/>
        </w:rPr>
        <w:t>)</w:t>
      </w:r>
      <w:r>
        <w:rPr>
          <w:rFonts w:hint="eastAsia" w:ascii="宋体" w:hAnsi="宋体"/>
          <w:snapToGrid w:val="0"/>
          <w:kern w:val="0"/>
          <w:sz w:val="28"/>
          <w:szCs w:val="28"/>
        </w:rPr>
        <w:t>选用不当，使用铜丝、铝线代替保险丝；⑤油开关及配电箱内油料着火</w:t>
      </w:r>
      <w:r>
        <w:rPr>
          <w:rFonts w:ascii="宋体" w:hAnsi="宋体"/>
          <w:snapToGrid w:val="0"/>
          <w:kern w:val="0"/>
          <w:sz w:val="28"/>
          <w:szCs w:val="28"/>
        </w:rPr>
        <w:t>;</w:t>
      </w:r>
      <w:r>
        <w:rPr>
          <w:rFonts w:hint="eastAsia" w:ascii="宋体" w:hAnsi="宋体"/>
          <w:snapToGrid w:val="0"/>
          <w:kern w:val="0"/>
          <w:sz w:val="28"/>
          <w:szCs w:val="28"/>
        </w:rPr>
        <w:t>⑥机械作用</w:t>
      </w:r>
      <w:r>
        <w:rPr>
          <w:rFonts w:ascii="宋体" w:hAnsi="宋体"/>
          <w:snapToGrid w:val="0"/>
          <w:kern w:val="0"/>
          <w:sz w:val="28"/>
          <w:szCs w:val="28"/>
        </w:rPr>
        <w:t>(</w:t>
      </w:r>
      <w:r>
        <w:rPr>
          <w:rFonts w:hint="eastAsia" w:ascii="宋体" w:hAnsi="宋体"/>
          <w:snapToGrid w:val="0"/>
          <w:kern w:val="0"/>
          <w:sz w:val="28"/>
          <w:szCs w:val="28"/>
        </w:rPr>
        <w:t>包括摩擦、震动冲击等</w:t>
      </w:r>
      <w:r>
        <w:rPr>
          <w:rFonts w:ascii="宋体" w:hAnsi="宋体"/>
          <w:snapToGrid w:val="0"/>
          <w:kern w:val="0"/>
          <w:sz w:val="28"/>
          <w:szCs w:val="28"/>
        </w:rPr>
        <w:t>)</w:t>
      </w:r>
      <w:r>
        <w:rPr>
          <w:rFonts w:hint="eastAsia" w:ascii="宋体" w:hAnsi="宋体"/>
          <w:snapToGrid w:val="0"/>
          <w:kern w:val="0"/>
          <w:sz w:val="28"/>
          <w:szCs w:val="28"/>
        </w:rPr>
        <w:t>所引起。</w:t>
      </w:r>
    </w:p>
    <w:p>
      <w:pPr>
        <w:spacing w:line="360" w:lineRule="auto"/>
        <w:ind w:firstLine="560" w:firstLineChars="200"/>
        <w:rPr>
          <w:rFonts w:ascii="宋体" w:hAnsi="宋体"/>
          <w:snapToGrid w:val="0"/>
          <w:kern w:val="0"/>
          <w:sz w:val="28"/>
          <w:szCs w:val="28"/>
        </w:rPr>
      </w:pPr>
      <w:r>
        <w:rPr>
          <w:rFonts w:hint="eastAsia" w:ascii="宋体" w:hAnsi="宋体"/>
          <w:snapToGrid w:val="0"/>
          <w:kern w:val="0"/>
          <w:sz w:val="28"/>
          <w:szCs w:val="28"/>
        </w:rPr>
        <w:t>火灾可能发生在空压机房、机修车间、综合材料库、变压器等用电部位。</w:t>
      </w:r>
    </w:p>
    <w:p>
      <w:pPr>
        <w:spacing w:line="360" w:lineRule="auto"/>
        <w:ind w:firstLine="560" w:firstLineChars="200"/>
        <w:rPr>
          <w:rFonts w:hint="eastAsia" w:ascii="宋体" w:hAnsi="宋体"/>
          <w:snapToGrid w:val="0"/>
          <w:kern w:val="0"/>
          <w:sz w:val="28"/>
          <w:szCs w:val="28"/>
        </w:rPr>
      </w:pPr>
      <w:r>
        <w:rPr>
          <w:rFonts w:hint="eastAsia" w:ascii="宋体" w:hAnsi="宋体"/>
          <w:snapToGrid w:val="0"/>
          <w:kern w:val="0"/>
          <w:sz w:val="28"/>
          <w:szCs w:val="28"/>
        </w:rPr>
        <w:t>火灾事故的主要后果是造成人员伤亡和财产损失。</w:t>
      </w:r>
    </w:p>
    <w:p>
      <w:pPr>
        <w:pStyle w:val="8"/>
        <w:spacing w:line="360" w:lineRule="auto"/>
        <w:ind w:firstLine="0" w:firstLineChars="0"/>
        <w:outlineLvl w:val="2"/>
        <w:rPr>
          <w:rFonts w:hint="eastAsia" w:ascii="宋体" w:hAnsi="宋体"/>
          <w:b/>
          <w:snapToGrid w:val="0"/>
          <w:kern w:val="0"/>
          <w:sz w:val="28"/>
          <w:szCs w:val="28"/>
          <w:lang w:val="en-US" w:eastAsia="zh-CN"/>
        </w:rPr>
      </w:pPr>
      <w:bookmarkStart w:id="188" w:name="_Toc496016651"/>
      <w:bookmarkStart w:id="189" w:name="_Toc413834088"/>
      <w:bookmarkStart w:id="190" w:name="_Toc359225364"/>
      <w:bookmarkStart w:id="191" w:name="_Toc11621"/>
      <w:r>
        <w:rPr>
          <w:rFonts w:hint="eastAsia" w:ascii="宋体" w:hAnsi="宋体"/>
          <w:b/>
          <w:snapToGrid w:val="0"/>
          <w:kern w:val="0"/>
          <w:sz w:val="28"/>
          <w:szCs w:val="28"/>
          <w:lang w:val="en-US" w:eastAsia="zh-CN"/>
        </w:rPr>
        <w:t>3</w:t>
      </w:r>
      <w:r>
        <w:rPr>
          <w:rFonts w:hint="eastAsia" w:ascii="宋体" w:hAnsi="宋体"/>
          <w:b/>
          <w:snapToGrid w:val="0"/>
          <w:kern w:val="0"/>
          <w:sz w:val="28"/>
          <w:szCs w:val="28"/>
          <w:lang w:eastAsia="zh-CN"/>
        </w:rPr>
        <w:t>.</w:t>
      </w:r>
      <w:r>
        <w:rPr>
          <w:rFonts w:hint="eastAsia" w:ascii="宋体" w:hAnsi="宋体"/>
          <w:b/>
          <w:snapToGrid w:val="0"/>
          <w:kern w:val="0"/>
          <w:sz w:val="28"/>
          <w:szCs w:val="28"/>
        </w:rPr>
        <w:t>5.</w:t>
      </w:r>
      <w:r>
        <w:rPr>
          <w:rFonts w:hint="eastAsia" w:ascii="宋体" w:hAnsi="宋体"/>
          <w:b/>
          <w:snapToGrid w:val="0"/>
          <w:kern w:val="0"/>
          <w:sz w:val="28"/>
          <w:szCs w:val="28"/>
          <w:lang w:val="en-US" w:eastAsia="zh-CN"/>
        </w:rPr>
        <w:t>7 坍塌</w:t>
      </w:r>
      <w:bookmarkEnd w:id="188"/>
      <w:bookmarkEnd w:id="189"/>
      <w:bookmarkEnd w:id="190"/>
      <w:bookmarkEnd w:id="191"/>
    </w:p>
    <w:p>
      <w:pPr>
        <w:spacing w:line="360" w:lineRule="auto"/>
        <w:ind w:firstLine="560" w:firstLineChars="200"/>
        <w:rPr>
          <w:rFonts w:hint="eastAsia" w:ascii="宋体" w:hAnsi="宋体" w:cs="宋体"/>
          <w:color w:val="auto"/>
          <w:sz w:val="28"/>
          <w:szCs w:val="28"/>
        </w:rPr>
      </w:pPr>
      <w:r>
        <w:rPr>
          <w:rFonts w:hint="eastAsia" w:ascii="宋体" w:hAnsi="宋体" w:cs="宋体"/>
          <w:color w:val="auto"/>
          <w:sz w:val="28"/>
          <w:szCs w:val="28"/>
        </w:rPr>
        <w:t>坍塌事故产生的主要原因有：①确定的边坡角不合理；②地质因素对边坡的影响；③岩体中的地下水；④人为因素；⑤风化作用；⑥地震等。坍塌是</w:t>
      </w:r>
      <w:r>
        <w:rPr>
          <w:rFonts w:hint="eastAsia" w:ascii="宋体" w:hAnsi="宋体" w:cs="宋体"/>
          <w:color w:val="auto"/>
          <w:sz w:val="28"/>
          <w:szCs w:val="28"/>
          <w:lang w:eastAsia="zh-CN"/>
        </w:rPr>
        <w:t>砖厂页岩开采</w:t>
      </w:r>
      <w:r>
        <w:rPr>
          <w:rFonts w:hint="eastAsia" w:ascii="宋体" w:hAnsi="宋体" w:cs="宋体"/>
          <w:color w:val="auto"/>
          <w:sz w:val="28"/>
          <w:szCs w:val="28"/>
        </w:rPr>
        <w:t>的主要危险因素之一，发生事故的后果是造成重大人员伤亡和设备、设施损坏，对生产企业造成重大经济损失。</w:t>
      </w:r>
    </w:p>
    <w:p>
      <w:pPr>
        <w:spacing w:line="360" w:lineRule="auto"/>
        <w:ind w:firstLine="560" w:firstLineChars="200"/>
        <w:rPr>
          <w:rFonts w:hint="eastAsia" w:ascii="宋体" w:hAnsi="宋体"/>
          <w:snapToGrid w:val="0"/>
          <w:color w:val="FF0000"/>
          <w:kern w:val="0"/>
          <w:sz w:val="28"/>
          <w:szCs w:val="28"/>
          <w:lang w:eastAsia="zh-CN"/>
        </w:rPr>
      </w:pPr>
      <w:r>
        <w:rPr>
          <w:rFonts w:hint="eastAsia" w:ascii="宋体" w:hAnsi="宋体"/>
          <w:snapToGrid w:val="0"/>
          <w:color w:val="FF0000"/>
          <w:kern w:val="0"/>
          <w:sz w:val="28"/>
          <w:szCs w:val="28"/>
          <w:lang w:eastAsia="zh-CN"/>
        </w:rPr>
        <w:t>本项目存在原料堆放、砖坯堆码、成品堆垛等工序。如原料打堆过高，由于料堆松软，有可能造成运输机械侧翻、被掩埋的潜在危险，同时现场作业人员或外来人员有被压埋的潜在危险。工作人员在窑内码坯和成品堆垛过程中，由于砖坯堆放不稳，堆放过高或地基不稳，堆垛码放不符合要求，都可能会引起坯（砖）垛倒塌，发生倒塌伤人、损物等事故。</w:t>
      </w:r>
    </w:p>
    <w:p>
      <w:pPr>
        <w:pStyle w:val="8"/>
        <w:spacing w:line="360" w:lineRule="auto"/>
        <w:ind w:firstLine="0" w:firstLineChars="0"/>
        <w:outlineLvl w:val="2"/>
        <w:rPr>
          <w:rFonts w:hint="eastAsia" w:ascii="宋体" w:hAnsi="宋体"/>
          <w:b/>
          <w:snapToGrid w:val="0"/>
          <w:kern w:val="0"/>
          <w:sz w:val="28"/>
          <w:szCs w:val="28"/>
          <w:lang w:val="en-US" w:eastAsia="zh-CN"/>
        </w:rPr>
      </w:pPr>
      <w:bookmarkStart w:id="192" w:name="_Toc12334"/>
      <w:r>
        <w:rPr>
          <w:rFonts w:hint="eastAsia" w:ascii="宋体" w:hAnsi="宋体"/>
          <w:b/>
          <w:snapToGrid w:val="0"/>
          <w:kern w:val="0"/>
          <w:sz w:val="28"/>
          <w:szCs w:val="28"/>
          <w:lang w:val="en-US" w:eastAsia="zh-CN"/>
        </w:rPr>
        <w:t>3.5.8中毒窒息</w:t>
      </w:r>
      <w:bookmarkEnd w:id="192"/>
    </w:p>
    <w:p>
      <w:pPr>
        <w:spacing w:line="360" w:lineRule="auto"/>
        <w:ind w:firstLine="560" w:firstLineChars="200"/>
        <w:rPr>
          <w:rFonts w:hint="eastAsia" w:ascii="宋体" w:hAnsi="宋体"/>
          <w:snapToGrid w:val="0"/>
          <w:kern w:val="0"/>
          <w:sz w:val="28"/>
          <w:szCs w:val="28"/>
        </w:rPr>
      </w:pPr>
      <w:r>
        <w:rPr>
          <w:rFonts w:hint="eastAsia" w:ascii="宋体" w:hAnsi="宋体"/>
          <w:snapToGrid w:val="0"/>
          <w:kern w:val="0"/>
          <w:sz w:val="28"/>
          <w:szCs w:val="28"/>
          <w:lang w:val="en-US" w:eastAsia="zh-CN"/>
        </w:rPr>
        <w:t>中毒窒息</w:t>
      </w:r>
      <w:r>
        <w:rPr>
          <w:rFonts w:hint="eastAsia" w:ascii="宋体" w:hAnsi="宋体"/>
          <w:snapToGrid w:val="0"/>
          <w:kern w:val="0"/>
          <w:sz w:val="28"/>
          <w:szCs w:val="28"/>
        </w:rPr>
        <w:t>产生的主要原因：①出窑作业未按规定通风；②烧窑过程燃烧不充分产生有毒气体; ③人员违反规定进入受限空间作业;④窑台边缘安全防护措施未落实,未设警示标识,人员误操作或能见度低引发高空坠落事故。</w:t>
      </w:r>
    </w:p>
    <w:p>
      <w:pPr>
        <w:spacing w:line="360" w:lineRule="auto"/>
        <w:ind w:firstLine="560" w:firstLineChars="200"/>
        <w:rPr>
          <w:rFonts w:hint="eastAsia" w:ascii="宋体" w:hAnsi="宋体"/>
          <w:snapToGrid w:val="0"/>
          <w:kern w:val="0"/>
          <w:sz w:val="28"/>
          <w:szCs w:val="28"/>
        </w:rPr>
      </w:pPr>
      <w:r>
        <w:rPr>
          <w:rFonts w:hint="eastAsia" w:ascii="宋体" w:hAnsi="宋体"/>
          <w:snapToGrid w:val="0"/>
          <w:kern w:val="0"/>
          <w:sz w:val="28"/>
          <w:szCs w:val="28"/>
        </w:rPr>
        <w:t>可能存在的</w:t>
      </w:r>
      <w:r>
        <w:rPr>
          <w:rFonts w:hint="eastAsia" w:ascii="宋体" w:hAnsi="宋体"/>
          <w:snapToGrid w:val="0"/>
          <w:kern w:val="0"/>
          <w:sz w:val="28"/>
          <w:szCs w:val="28"/>
          <w:lang w:val="en-US" w:eastAsia="zh-CN"/>
        </w:rPr>
        <w:t>中毒窒息</w:t>
      </w:r>
      <w:r>
        <w:rPr>
          <w:rFonts w:hint="eastAsia" w:ascii="宋体" w:hAnsi="宋体"/>
          <w:snapToGrid w:val="0"/>
          <w:kern w:val="0"/>
          <w:sz w:val="28"/>
          <w:szCs w:val="28"/>
        </w:rPr>
        <w:t>场所有:砖窑</w:t>
      </w:r>
    </w:p>
    <w:p>
      <w:pPr>
        <w:spacing w:line="360" w:lineRule="auto"/>
        <w:ind w:firstLine="560" w:firstLineChars="200"/>
        <w:rPr>
          <w:rFonts w:hint="eastAsia" w:ascii="宋体" w:hAnsi="宋体"/>
          <w:snapToGrid w:val="0"/>
          <w:kern w:val="0"/>
          <w:sz w:val="28"/>
          <w:szCs w:val="28"/>
        </w:rPr>
      </w:pPr>
      <w:r>
        <w:rPr>
          <w:rFonts w:hint="eastAsia" w:ascii="宋体" w:hAnsi="宋体"/>
          <w:snapToGrid w:val="0"/>
          <w:kern w:val="0"/>
          <w:sz w:val="28"/>
          <w:szCs w:val="28"/>
          <w:lang w:val="en-US" w:eastAsia="zh-CN"/>
        </w:rPr>
        <w:t>中毒窒息</w:t>
      </w:r>
      <w:r>
        <w:rPr>
          <w:rFonts w:hint="eastAsia" w:ascii="宋体" w:hAnsi="宋体"/>
          <w:snapToGrid w:val="0"/>
          <w:kern w:val="0"/>
          <w:sz w:val="28"/>
          <w:szCs w:val="28"/>
        </w:rPr>
        <w:t>的主要后果是中毒窒息、高处坠落造成人员死亡、人身伤害、经济损失等。事故多发生生产旺季。</w:t>
      </w:r>
    </w:p>
    <w:p>
      <w:pPr>
        <w:pStyle w:val="8"/>
        <w:spacing w:line="360" w:lineRule="auto"/>
        <w:ind w:firstLine="0" w:firstLineChars="0"/>
        <w:outlineLvl w:val="2"/>
        <w:rPr>
          <w:rFonts w:hint="eastAsia" w:ascii="宋体" w:hAnsi="宋体"/>
          <w:b/>
          <w:snapToGrid w:val="0"/>
          <w:color w:val="FF0000"/>
          <w:kern w:val="0"/>
          <w:sz w:val="28"/>
          <w:szCs w:val="28"/>
          <w:lang w:val="en-US" w:eastAsia="zh-CN"/>
        </w:rPr>
      </w:pPr>
      <w:bookmarkStart w:id="193" w:name="_Toc332350852"/>
      <w:bookmarkStart w:id="194" w:name="_Toc481870967"/>
      <w:bookmarkStart w:id="195" w:name="_Toc515659445"/>
      <w:bookmarkStart w:id="196" w:name="_Toc511994834"/>
      <w:bookmarkStart w:id="197" w:name="_Toc499478606"/>
      <w:bookmarkStart w:id="198" w:name="_Toc18466"/>
      <w:r>
        <w:rPr>
          <w:rFonts w:hint="eastAsia" w:ascii="宋体" w:hAnsi="宋体"/>
          <w:b/>
          <w:snapToGrid w:val="0"/>
          <w:color w:val="FF0000"/>
          <w:kern w:val="0"/>
          <w:sz w:val="28"/>
          <w:szCs w:val="28"/>
          <w:lang w:val="en-US" w:eastAsia="zh-CN"/>
        </w:rPr>
        <w:t>3.5.9高温</w:t>
      </w:r>
      <w:bookmarkEnd w:id="193"/>
      <w:bookmarkEnd w:id="194"/>
      <w:r>
        <w:rPr>
          <w:rFonts w:hint="eastAsia" w:ascii="宋体" w:hAnsi="宋体"/>
          <w:b/>
          <w:snapToGrid w:val="0"/>
          <w:color w:val="FF0000"/>
          <w:kern w:val="0"/>
          <w:sz w:val="28"/>
          <w:szCs w:val="28"/>
          <w:lang w:val="en-US" w:eastAsia="zh-CN"/>
        </w:rPr>
        <w:t>灼烫</w:t>
      </w:r>
      <w:bookmarkEnd w:id="195"/>
      <w:bookmarkEnd w:id="196"/>
      <w:bookmarkEnd w:id="197"/>
      <w:bookmarkEnd w:id="198"/>
    </w:p>
    <w:p>
      <w:pPr>
        <w:spacing w:line="360" w:lineRule="auto"/>
        <w:ind w:firstLine="560" w:firstLineChars="200"/>
        <w:rPr>
          <w:rFonts w:hint="eastAsia" w:ascii="宋体" w:hAnsi="宋体"/>
          <w:snapToGrid w:val="0"/>
          <w:color w:val="FF0000"/>
          <w:kern w:val="0"/>
          <w:sz w:val="28"/>
          <w:szCs w:val="28"/>
          <w:lang w:eastAsia="zh-CN"/>
        </w:rPr>
      </w:pPr>
      <w:r>
        <w:rPr>
          <w:rFonts w:hint="eastAsia" w:ascii="宋体" w:hAnsi="宋体"/>
          <w:snapToGrid w:val="0"/>
          <w:color w:val="FF0000"/>
          <w:kern w:val="0"/>
          <w:sz w:val="28"/>
          <w:szCs w:val="28"/>
          <w:lang w:eastAsia="zh-CN"/>
        </w:rPr>
        <w:t>在生产工艺中存在烘干窑、隧道窑及高温产品等高温作业环境，作业人员在工作过程中由于劳保用品穿戴不好，违章操作、设备设施故障泄漏或保温失效、检修过程中防护不当以及其它突发事故等原因，均可导致作业人员发生高温烫伤伤害。在烧结时，窑体加煤烧制、成品砖出窑过程中，温度较高，如窑体保温密封不良会产生较强的热辐射，作业人员长期在此环境中易受到高温中暑危害。</w:t>
      </w:r>
    </w:p>
    <w:p>
      <w:pPr>
        <w:pStyle w:val="8"/>
        <w:spacing w:line="360" w:lineRule="auto"/>
        <w:ind w:firstLine="0" w:firstLineChars="0"/>
        <w:outlineLvl w:val="2"/>
        <w:rPr>
          <w:rFonts w:hint="eastAsia" w:ascii="宋体" w:hAnsi="宋体"/>
          <w:b/>
          <w:snapToGrid w:val="0"/>
          <w:color w:val="FF0000"/>
          <w:kern w:val="0"/>
          <w:sz w:val="28"/>
          <w:szCs w:val="28"/>
          <w:lang w:val="en-US" w:eastAsia="zh-CN"/>
        </w:rPr>
      </w:pPr>
      <w:bookmarkStart w:id="199" w:name="_Toc515659444"/>
      <w:bookmarkStart w:id="200" w:name="_Toc511994833"/>
      <w:bookmarkStart w:id="201" w:name="_Toc468870614"/>
      <w:bookmarkStart w:id="202" w:name="_Toc32397"/>
      <w:r>
        <w:rPr>
          <w:rFonts w:hint="eastAsia" w:ascii="宋体" w:hAnsi="宋体"/>
          <w:b/>
          <w:snapToGrid w:val="0"/>
          <w:color w:val="FF0000"/>
          <w:kern w:val="0"/>
          <w:sz w:val="28"/>
          <w:szCs w:val="28"/>
          <w:lang w:val="en-US" w:eastAsia="zh-CN"/>
        </w:rPr>
        <w:t>3.5.10容器爆炸</w:t>
      </w:r>
      <w:bookmarkEnd w:id="199"/>
      <w:bookmarkEnd w:id="200"/>
      <w:bookmarkEnd w:id="201"/>
      <w:bookmarkEnd w:id="202"/>
    </w:p>
    <w:p>
      <w:pPr>
        <w:spacing w:line="360" w:lineRule="auto"/>
        <w:ind w:firstLine="560" w:firstLineChars="200"/>
        <w:rPr>
          <w:rFonts w:hint="eastAsia" w:ascii="宋体" w:hAnsi="宋体"/>
          <w:snapToGrid w:val="0"/>
          <w:color w:val="FF0000"/>
          <w:kern w:val="0"/>
          <w:sz w:val="28"/>
          <w:szCs w:val="28"/>
          <w:lang w:eastAsia="zh-CN"/>
        </w:rPr>
      </w:pPr>
      <w:r>
        <w:rPr>
          <w:rFonts w:hint="eastAsia" w:ascii="宋体" w:hAnsi="宋体"/>
          <w:snapToGrid w:val="0"/>
          <w:color w:val="FF0000"/>
          <w:kern w:val="0"/>
          <w:sz w:val="28"/>
          <w:szCs w:val="28"/>
          <w:lang w:eastAsia="zh-CN"/>
        </w:rPr>
        <w:t>公司使用的空压设备配套有压缩空气罐，压缩空气罐属于普通的一类压力容器，压力容器在使用过程中存在压力容器爆炸危险，发生容器爆炸事故的主要原因有：</w:t>
      </w:r>
    </w:p>
    <w:p>
      <w:pPr>
        <w:spacing w:line="360" w:lineRule="auto"/>
        <w:ind w:firstLine="560" w:firstLineChars="200"/>
        <w:rPr>
          <w:rFonts w:hint="eastAsia" w:ascii="宋体" w:hAnsi="宋体"/>
          <w:snapToGrid w:val="0"/>
          <w:kern w:val="0"/>
          <w:sz w:val="28"/>
          <w:szCs w:val="28"/>
          <w:lang w:eastAsia="zh-CN"/>
        </w:rPr>
      </w:pPr>
      <w:r>
        <w:rPr>
          <w:rFonts w:hint="eastAsia" w:ascii="宋体" w:hAnsi="宋体"/>
          <w:snapToGrid w:val="0"/>
          <w:kern w:val="0"/>
          <w:sz w:val="28"/>
          <w:szCs w:val="28"/>
          <w:lang w:eastAsia="zh-CN"/>
        </w:rPr>
        <w:t>(1) 由于设计制造不当造成设备的质量不符合有关规范要求，在运行时发生爆裂，其爆裂的形式有：</w:t>
      </w:r>
      <w:r>
        <w:rPr>
          <w:rFonts w:hint="eastAsia" w:ascii="宋体" w:hAnsi="宋体"/>
          <w:snapToGrid w:val="0"/>
          <w:kern w:val="0"/>
          <w:sz w:val="28"/>
          <w:szCs w:val="28"/>
          <w:lang w:eastAsia="zh-CN"/>
        </w:rPr>
        <w:fldChar w:fldCharType="begin"/>
      </w:r>
      <w:r>
        <w:rPr>
          <w:rFonts w:hint="eastAsia" w:ascii="宋体" w:hAnsi="宋体"/>
          <w:snapToGrid w:val="0"/>
          <w:kern w:val="0"/>
          <w:sz w:val="28"/>
          <w:szCs w:val="28"/>
          <w:lang w:eastAsia="zh-CN"/>
        </w:rPr>
        <w:instrText xml:space="preserve"> = 1 \* GB3 </w:instrText>
      </w:r>
      <w:r>
        <w:rPr>
          <w:rFonts w:hint="eastAsia" w:ascii="宋体" w:hAnsi="宋体"/>
          <w:snapToGrid w:val="0"/>
          <w:kern w:val="0"/>
          <w:sz w:val="28"/>
          <w:szCs w:val="28"/>
          <w:lang w:eastAsia="zh-CN"/>
        </w:rPr>
        <w:fldChar w:fldCharType="separate"/>
      </w:r>
      <w:r>
        <w:rPr>
          <w:rFonts w:hint="eastAsia" w:ascii="宋体" w:hAnsi="宋体"/>
          <w:snapToGrid w:val="0"/>
          <w:kern w:val="0"/>
          <w:sz w:val="28"/>
          <w:szCs w:val="28"/>
          <w:lang w:eastAsia="zh-CN"/>
        </w:rPr>
        <w:t>①</w:t>
      </w:r>
      <w:r>
        <w:rPr>
          <w:rFonts w:hint="eastAsia" w:ascii="宋体" w:hAnsi="宋体"/>
          <w:snapToGrid w:val="0"/>
          <w:kern w:val="0"/>
          <w:sz w:val="28"/>
          <w:szCs w:val="28"/>
          <w:lang w:eastAsia="zh-CN"/>
        </w:rPr>
        <w:fldChar w:fldCharType="end"/>
      </w:r>
      <w:r>
        <w:rPr>
          <w:rFonts w:hint="eastAsia" w:ascii="宋体" w:hAnsi="宋体"/>
          <w:snapToGrid w:val="0"/>
          <w:kern w:val="0"/>
          <w:sz w:val="28"/>
          <w:szCs w:val="28"/>
          <w:lang w:eastAsia="zh-CN"/>
        </w:rPr>
        <w:t>韧性爆裂：是压力容器在内部压力下，器壁上产生的应力达到材料强度的极限而断裂的一种破坏形式。引起韧性爆裂的原因大多是：磨损、腐蚀、壁厚减薄、强度不足仍继续运行所致。</w:t>
      </w:r>
      <w:r>
        <w:rPr>
          <w:rFonts w:hint="eastAsia" w:ascii="宋体" w:hAnsi="宋体"/>
          <w:snapToGrid w:val="0"/>
          <w:kern w:val="0"/>
          <w:sz w:val="28"/>
          <w:szCs w:val="28"/>
          <w:lang w:eastAsia="zh-CN"/>
        </w:rPr>
        <w:fldChar w:fldCharType="begin"/>
      </w:r>
      <w:r>
        <w:rPr>
          <w:rFonts w:hint="eastAsia" w:ascii="宋体" w:hAnsi="宋体"/>
          <w:snapToGrid w:val="0"/>
          <w:kern w:val="0"/>
          <w:sz w:val="28"/>
          <w:szCs w:val="28"/>
          <w:lang w:eastAsia="zh-CN"/>
        </w:rPr>
        <w:instrText xml:space="preserve"> = 2 \* GB3 </w:instrText>
      </w:r>
      <w:r>
        <w:rPr>
          <w:rFonts w:hint="eastAsia" w:ascii="宋体" w:hAnsi="宋体"/>
          <w:snapToGrid w:val="0"/>
          <w:kern w:val="0"/>
          <w:sz w:val="28"/>
          <w:szCs w:val="28"/>
          <w:lang w:eastAsia="zh-CN"/>
        </w:rPr>
        <w:fldChar w:fldCharType="separate"/>
      </w:r>
      <w:r>
        <w:rPr>
          <w:rFonts w:hint="eastAsia" w:ascii="宋体" w:hAnsi="宋体"/>
          <w:snapToGrid w:val="0"/>
          <w:kern w:val="0"/>
          <w:sz w:val="28"/>
          <w:szCs w:val="28"/>
          <w:lang w:eastAsia="zh-CN"/>
        </w:rPr>
        <w:t>②</w:t>
      </w:r>
      <w:r>
        <w:rPr>
          <w:rFonts w:hint="eastAsia" w:ascii="宋体" w:hAnsi="宋体"/>
          <w:snapToGrid w:val="0"/>
          <w:kern w:val="0"/>
          <w:sz w:val="28"/>
          <w:szCs w:val="28"/>
          <w:lang w:eastAsia="zh-CN"/>
        </w:rPr>
        <w:fldChar w:fldCharType="end"/>
      </w:r>
      <w:r>
        <w:rPr>
          <w:rFonts w:hint="eastAsia" w:ascii="宋体" w:hAnsi="宋体"/>
          <w:snapToGrid w:val="0"/>
          <w:kern w:val="0"/>
          <w:sz w:val="28"/>
          <w:szCs w:val="28"/>
          <w:lang w:eastAsia="zh-CN"/>
        </w:rPr>
        <w:t>脆性爆裂：是容器承受的压力并不高，负荷产生的应力远小于材料屈服极限及明显的变形而突然发生爆裂，其原因是由于温度、应力集中、冲击荷载作用等因素使材料的塑性和韧性下降、材料变脆不能抑制裂纹的结果。</w:t>
      </w:r>
      <w:r>
        <w:rPr>
          <w:rFonts w:hint="eastAsia" w:ascii="宋体" w:hAnsi="宋体"/>
          <w:snapToGrid w:val="0"/>
          <w:kern w:val="0"/>
          <w:sz w:val="28"/>
          <w:szCs w:val="28"/>
          <w:lang w:eastAsia="zh-CN"/>
        </w:rPr>
        <w:fldChar w:fldCharType="begin"/>
      </w:r>
      <w:r>
        <w:rPr>
          <w:rFonts w:hint="eastAsia" w:ascii="宋体" w:hAnsi="宋体"/>
          <w:snapToGrid w:val="0"/>
          <w:kern w:val="0"/>
          <w:sz w:val="28"/>
          <w:szCs w:val="28"/>
          <w:lang w:eastAsia="zh-CN"/>
        </w:rPr>
        <w:instrText xml:space="preserve"> = 3 \* GB3 </w:instrText>
      </w:r>
      <w:r>
        <w:rPr>
          <w:rFonts w:hint="eastAsia" w:ascii="宋体" w:hAnsi="宋体"/>
          <w:snapToGrid w:val="0"/>
          <w:kern w:val="0"/>
          <w:sz w:val="28"/>
          <w:szCs w:val="28"/>
          <w:lang w:eastAsia="zh-CN"/>
        </w:rPr>
        <w:fldChar w:fldCharType="separate"/>
      </w:r>
      <w:r>
        <w:rPr>
          <w:rFonts w:hint="eastAsia" w:ascii="宋体" w:hAnsi="宋体"/>
          <w:snapToGrid w:val="0"/>
          <w:kern w:val="0"/>
          <w:sz w:val="28"/>
          <w:szCs w:val="28"/>
          <w:lang w:eastAsia="zh-CN"/>
        </w:rPr>
        <w:t>③</w:t>
      </w:r>
      <w:r>
        <w:rPr>
          <w:rFonts w:hint="eastAsia" w:ascii="宋体" w:hAnsi="宋体"/>
          <w:snapToGrid w:val="0"/>
          <w:kern w:val="0"/>
          <w:sz w:val="28"/>
          <w:szCs w:val="28"/>
          <w:lang w:eastAsia="zh-CN"/>
        </w:rPr>
        <w:fldChar w:fldCharType="end"/>
      </w:r>
      <w:r>
        <w:rPr>
          <w:rFonts w:hint="eastAsia" w:ascii="宋体" w:hAnsi="宋体"/>
          <w:snapToGrid w:val="0"/>
          <w:kern w:val="0"/>
          <w:sz w:val="28"/>
          <w:szCs w:val="28"/>
          <w:lang w:eastAsia="zh-CN"/>
        </w:rPr>
        <w:t>疲劳爆裂：是容器在反复的加压、卸压后，壳体材料长期受到交变载荷的作用，如反复的加压和卸压，开停车或负荷波动幅度大如吸附和再生作业时，导致操作压力波动幅度较大及工作温度周期性的变化的作用而出现的金属疲劳，从而产生的一种爆裂形式。</w:t>
      </w:r>
      <w:r>
        <w:rPr>
          <w:rFonts w:hint="eastAsia" w:ascii="宋体" w:hAnsi="宋体"/>
          <w:snapToGrid w:val="0"/>
          <w:kern w:val="0"/>
          <w:sz w:val="28"/>
          <w:szCs w:val="28"/>
          <w:lang w:eastAsia="zh-CN"/>
        </w:rPr>
        <w:fldChar w:fldCharType="begin"/>
      </w:r>
      <w:r>
        <w:rPr>
          <w:rFonts w:hint="eastAsia" w:ascii="宋体" w:hAnsi="宋体"/>
          <w:snapToGrid w:val="0"/>
          <w:kern w:val="0"/>
          <w:sz w:val="28"/>
          <w:szCs w:val="28"/>
          <w:lang w:eastAsia="zh-CN"/>
        </w:rPr>
        <w:instrText xml:space="preserve"> = 4 \* GB3 </w:instrText>
      </w:r>
      <w:r>
        <w:rPr>
          <w:rFonts w:hint="eastAsia" w:ascii="宋体" w:hAnsi="宋体"/>
          <w:snapToGrid w:val="0"/>
          <w:kern w:val="0"/>
          <w:sz w:val="28"/>
          <w:szCs w:val="28"/>
          <w:lang w:eastAsia="zh-CN"/>
        </w:rPr>
        <w:fldChar w:fldCharType="separate"/>
      </w:r>
      <w:r>
        <w:rPr>
          <w:rFonts w:hint="eastAsia" w:ascii="宋体" w:hAnsi="宋体"/>
          <w:snapToGrid w:val="0"/>
          <w:kern w:val="0"/>
          <w:sz w:val="28"/>
          <w:szCs w:val="28"/>
          <w:lang w:eastAsia="zh-CN"/>
        </w:rPr>
        <w:t>④</w:t>
      </w:r>
      <w:r>
        <w:rPr>
          <w:rFonts w:hint="eastAsia" w:ascii="宋体" w:hAnsi="宋体"/>
          <w:snapToGrid w:val="0"/>
          <w:kern w:val="0"/>
          <w:sz w:val="28"/>
          <w:szCs w:val="28"/>
          <w:lang w:eastAsia="zh-CN"/>
        </w:rPr>
        <w:fldChar w:fldCharType="end"/>
      </w:r>
      <w:r>
        <w:rPr>
          <w:rFonts w:hint="eastAsia" w:ascii="宋体" w:hAnsi="宋体"/>
          <w:snapToGrid w:val="0"/>
          <w:kern w:val="0"/>
          <w:sz w:val="28"/>
          <w:szCs w:val="28"/>
          <w:lang w:eastAsia="zh-CN"/>
        </w:rPr>
        <w:t>腐蚀爆裂：是容器壳体由于受到腐蚀介质作用而产生的均匀腐蚀、点腐蚀、晶间腐蚀、应力腐蚀、疲劳腐蚀而引起的爆裂。</w:t>
      </w:r>
    </w:p>
    <w:p>
      <w:pPr>
        <w:spacing w:line="360" w:lineRule="auto"/>
        <w:ind w:firstLine="560" w:firstLineChars="200"/>
        <w:rPr>
          <w:rFonts w:hint="eastAsia" w:ascii="宋体" w:hAnsi="宋体"/>
          <w:snapToGrid w:val="0"/>
          <w:kern w:val="0"/>
          <w:sz w:val="28"/>
          <w:szCs w:val="28"/>
          <w:lang w:eastAsia="zh-CN"/>
        </w:rPr>
      </w:pPr>
      <w:r>
        <w:rPr>
          <w:rFonts w:hint="eastAsia" w:ascii="宋体" w:hAnsi="宋体"/>
          <w:snapToGrid w:val="0"/>
          <w:kern w:val="0"/>
          <w:sz w:val="28"/>
          <w:szCs w:val="28"/>
          <w:lang w:eastAsia="zh-CN"/>
        </w:rPr>
        <w:t xml:space="preserve">(2) 在使用过程中，若违反操作规程或因年久腐蚀严重又未按国家规定进行检测，在超压运行状态下，而安全阀又未动作时，罐体承受不住内部气压或液压时，将发生爆裂或爆炸。 </w:t>
      </w:r>
    </w:p>
    <w:p>
      <w:pPr>
        <w:spacing w:line="360" w:lineRule="auto"/>
        <w:ind w:firstLine="560" w:firstLineChars="200"/>
        <w:rPr>
          <w:rFonts w:hint="eastAsia" w:ascii="宋体" w:hAnsi="宋体"/>
          <w:snapToGrid w:val="0"/>
          <w:kern w:val="0"/>
          <w:sz w:val="28"/>
          <w:szCs w:val="28"/>
          <w:lang w:eastAsia="zh-CN"/>
        </w:rPr>
      </w:pPr>
      <w:r>
        <w:rPr>
          <w:rFonts w:hint="eastAsia" w:ascii="宋体" w:hAnsi="宋体"/>
          <w:snapToGrid w:val="0"/>
          <w:kern w:val="0"/>
          <w:sz w:val="28"/>
          <w:szCs w:val="28"/>
          <w:lang w:eastAsia="zh-CN"/>
        </w:rPr>
        <w:t>(3) 由于压力容器的安全阀、压力表等未定期检验或损坏失灵，致不能正确显示和及时泄放，容器超压也可能引起爆炸。</w:t>
      </w:r>
    </w:p>
    <w:p>
      <w:pPr>
        <w:pStyle w:val="8"/>
        <w:spacing w:line="360" w:lineRule="auto"/>
        <w:ind w:firstLine="0" w:firstLineChars="0"/>
        <w:outlineLvl w:val="2"/>
        <w:rPr>
          <w:rFonts w:hint="eastAsia" w:ascii="宋体" w:hAnsi="宋体"/>
          <w:b/>
          <w:snapToGrid w:val="0"/>
          <w:kern w:val="0"/>
          <w:sz w:val="28"/>
          <w:szCs w:val="28"/>
          <w:lang w:val="en-US" w:eastAsia="zh-CN"/>
        </w:rPr>
      </w:pPr>
      <w:bookmarkStart w:id="203" w:name="_Toc511994836"/>
      <w:bookmarkStart w:id="204" w:name="_Toc515659448"/>
      <w:bookmarkStart w:id="205" w:name="_Toc515657141"/>
      <w:bookmarkStart w:id="206" w:name="_Toc747"/>
      <w:r>
        <w:rPr>
          <w:rFonts w:hint="eastAsia" w:ascii="宋体" w:hAnsi="宋体"/>
          <w:b/>
          <w:snapToGrid w:val="0"/>
          <w:kern w:val="0"/>
          <w:sz w:val="28"/>
          <w:szCs w:val="28"/>
          <w:lang w:val="en-US" w:eastAsia="zh-CN"/>
        </w:rPr>
        <w:t>3.5.11有限空间作业</w:t>
      </w:r>
      <w:bookmarkEnd w:id="203"/>
      <w:bookmarkEnd w:id="204"/>
      <w:bookmarkEnd w:id="205"/>
      <w:bookmarkEnd w:id="206"/>
    </w:p>
    <w:p>
      <w:pPr>
        <w:spacing w:line="360" w:lineRule="auto"/>
        <w:ind w:firstLine="560" w:firstLineChars="200"/>
        <w:rPr>
          <w:rFonts w:hint="eastAsia" w:ascii="宋体" w:hAnsi="宋体"/>
          <w:snapToGrid w:val="0"/>
          <w:color w:val="FF0000"/>
          <w:kern w:val="0"/>
          <w:sz w:val="28"/>
          <w:szCs w:val="28"/>
          <w:lang w:eastAsia="zh-CN"/>
        </w:rPr>
      </w:pPr>
      <w:r>
        <w:rPr>
          <w:rFonts w:hint="eastAsia" w:ascii="宋体" w:hAnsi="宋体"/>
          <w:snapToGrid w:val="0"/>
          <w:color w:val="FF0000"/>
          <w:kern w:val="0"/>
          <w:sz w:val="28"/>
          <w:szCs w:val="28"/>
          <w:lang w:eastAsia="zh-CN"/>
        </w:rPr>
        <w:t>本项目的各类储罐容器、脱硫塔、窑炉炉膛、砖坯烘干室、设备地下坑道、烟道等设施、设备和场所，在日常维护和检测时会进行有限空间作业。</w:t>
      </w:r>
    </w:p>
    <w:p>
      <w:pPr>
        <w:spacing w:line="360" w:lineRule="auto"/>
        <w:ind w:firstLine="560" w:firstLineChars="200"/>
        <w:rPr>
          <w:rFonts w:hint="eastAsia" w:ascii="宋体" w:hAnsi="宋体"/>
          <w:snapToGrid w:val="0"/>
          <w:color w:val="FF0000"/>
          <w:kern w:val="0"/>
          <w:sz w:val="28"/>
          <w:szCs w:val="28"/>
          <w:lang w:eastAsia="zh-CN"/>
        </w:rPr>
      </w:pPr>
      <w:r>
        <w:rPr>
          <w:rFonts w:hint="eastAsia" w:ascii="宋体" w:hAnsi="宋体"/>
          <w:snapToGrid w:val="0"/>
          <w:color w:val="FF0000"/>
          <w:kern w:val="0"/>
          <w:sz w:val="28"/>
          <w:szCs w:val="28"/>
          <w:lang w:eastAsia="zh-CN"/>
        </w:rPr>
        <w:t>有限空间内作业，如管理稍有不慎，极易导致火灾、爆炸、中毒、窒息等人身伤害事故，给作业人员的安全带来严重安全隐患。研究表明很多致命的有限空间事故的发生都与所在空间内存在的种危险因素未得到重视有关，而这些危险因素既可能在员工进入有限空间之前就已存在，也可能是由于他们在其间的活动形成。因此，有限空间是一种作业风险比较高，应当引起人们高度重视的作业环境。</w:t>
      </w:r>
    </w:p>
    <w:p>
      <w:pPr>
        <w:pStyle w:val="8"/>
        <w:spacing w:line="360" w:lineRule="auto"/>
        <w:ind w:firstLine="0" w:firstLineChars="0"/>
        <w:outlineLvl w:val="2"/>
        <w:rPr>
          <w:rFonts w:hint="eastAsia" w:ascii="宋体" w:hAnsi="宋体"/>
          <w:b/>
          <w:snapToGrid w:val="0"/>
          <w:kern w:val="0"/>
          <w:sz w:val="28"/>
          <w:szCs w:val="28"/>
        </w:rPr>
      </w:pPr>
      <w:bookmarkStart w:id="207" w:name="_Toc356401499"/>
      <w:bookmarkStart w:id="208" w:name="_Toc350781101"/>
      <w:bookmarkStart w:id="209" w:name="_Toc480804402"/>
      <w:bookmarkStart w:id="210" w:name="_Toc514342854"/>
      <w:bookmarkStart w:id="211" w:name="_Toc22436"/>
      <w:r>
        <w:rPr>
          <w:rFonts w:hint="eastAsia" w:ascii="宋体" w:hAnsi="宋体"/>
          <w:b/>
          <w:snapToGrid w:val="0"/>
          <w:kern w:val="0"/>
          <w:sz w:val="28"/>
          <w:szCs w:val="28"/>
          <w:lang w:val="en-US" w:eastAsia="zh-CN"/>
        </w:rPr>
        <w:t>3</w:t>
      </w:r>
      <w:r>
        <w:rPr>
          <w:rFonts w:hint="eastAsia" w:ascii="宋体" w:hAnsi="宋体"/>
          <w:b/>
          <w:snapToGrid w:val="0"/>
          <w:kern w:val="0"/>
          <w:sz w:val="28"/>
          <w:szCs w:val="28"/>
          <w:lang w:eastAsia="zh-CN"/>
        </w:rPr>
        <w:t>.</w:t>
      </w:r>
      <w:r>
        <w:rPr>
          <w:rFonts w:hint="eastAsia" w:ascii="宋体" w:hAnsi="宋体"/>
          <w:b/>
          <w:snapToGrid w:val="0"/>
          <w:kern w:val="0"/>
          <w:sz w:val="28"/>
          <w:szCs w:val="28"/>
        </w:rPr>
        <w:t>5</w:t>
      </w:r>
      <w:r>
        <w:rPr>
          <w:rFonts w:ascii="宋体" w:hAnsi="宋体"/>
          <w:b/>
          <w:snapToGrid w:val="0"/>
          <w:kern w:val="0"/>
          <w:sz w:val="28"/>
          <w:szCs w:val="28"/>
        </w:rPr>
        <w:t>.</w:t>
      </w:r>
      <w:r>
        <w:rPr>
          <w:rFonts w:hint="eastAsia" w:ascii="宋体" w:hAnsi="宋体"/>
          <w:b/>
          <w:snapToGrid w:val="0"/>
          <w:kern w:val="0"/>
          <w:sz w:val="28"/>
          <w:szCs w:val="28"/>
          <w:lang w:val="en-US" w:eastAsia="zh-CN"/>
        </w:rPr>
        <w:t>12</w:t>
      </w:r>
      <w:r>
        <w:rPr>
          <w:rFonts w:ascii="宋体" w:hAnsi="宋体"/>
          <w:b/>
          <w:snapToGrid w:val="0"/>
          <w:kern w:val="0"/>
          <w:sz w:val="28"/>
          <w:szCs w:val="28"/>
        </w:rPr>
        <w:t xml:space="preserve"> </w:t>
      </w:r>
      <w:r>
        <w:rPr>
          <w:rFonts w:hint="eastAsia" w:ascii="宋体" w:hAnsi="宋体"/>
          <w:b/>
          <w:snapToGrid w:val="0"/>
          <w:kern w:val="0"/>
          <w:sz w:val="28"/>
          <w:szCs w:val="28"/>
        </w:rPr>
        <w:t>职业</w:t>
      </w:r>
      <w:r>
        <w:rPr>
          <w:rFonts w:ascii="宋体" w:hAnsi="宋体"/>
          <w:b/>
          <w:snapToGrid w:val="0"/>
          <w:kern w:val="0"/>
          <w:sz w:val="28"/>
          <w:szCs w:val="28"/>
        </w:rPr>
        <w:t>危害</w:t>
      </w:r>
      <w:r>
        <w:rPr>
          <w:rFonts w:hint="eastAsia" w:ascii="宋体" w:hAnsi="宋体"/>
          <w:b/>
          <w:snapToGrid w:val="0"/>
          <w:kern w:val="0"/>
          <w:sz w:val="28"/>
          <w:szCs w:val="28"/>
        </w:rPr>
        <w:t>因素</w:t>
      </w:r>
      <w:bookmarkEnd w:id="207"/>
      <w:bookmarkEnd w:id="208"/>
      <w:bookmarkEnd w:id="209"/>
      <w:bookmarkEnd w:id="210"/>
      <w:bookmarkEnd w:id="211"/>
    </w:p>
    <w:p>
      <w:pPr>
        <w:spacing w:line="360" w:lineRule="auto"/>
        <w:ind w:firstLine="560" w:firstLineChars="200"/>
        <w:rPr>
          <w:rFonts w:hint="eastAsia" w:ascii="宋体" w:hAnsi="宋体" w:eastAsia="宋体" w:cstheme="minorBidi"/>
          <w:snapToGrid w:val="0"/>
          <w:color w:val="auto"/>
          <w:kern w:val="0"/>
          <w:sz w:val="28"/>
          <w:szCs w:val="28"/>
          <w:lang w:val="en-US" w:eastAsia="zh-CN" w:bidi="ar-SA"/>
        </w:rPr>
      </w:pPr>
      <w:r>
        <w:rPr>
          <w:rFonts w:hint="eastAsia" w:ascii="宋体" w:hAnsi="宋体" w:eastAsia="宋体" w:cstheme="minorBidi"/>
          <w:snapToGrid w:val="0"/>
          <w:color w:val="auto"/>
          <w:kern w:val="0"/>
          <w:sz w:val="28"/>
          <w:szCs w:val="28"/>
          <w:lang w:val="en-US" w:eastAsia="zh-CN" w:bidi="ar-SA"/>
        </w:rPr>
        <w:t>3.5.</w:t>
      </w:r>
      <w:r>
        <w:rPr>
          <w:rFonts w:hint="eastAsia" w:ascii="宋体" w:hAnsi="宋体" w:cstheme="minorBidi"/>
          <w:snapToGrid w:val="0"/>
          <w:color w:val="auto"/>
          <w:kern w:val="0"/>
          <w:sz w:val="28"/>
          <w:szCs w:val="28"/>
          <w:lang w:val="en-US" w:eastAsia="zh-CN" w:bidi="ar-SA"/>
        </w:rPr>
        <w:t>12</w:t>
      </w:r>
      <w:r>
        <w:rPr>
          <w:rFonts w:hint="eastAsia" w:ascii="宋体" w:hAnsi="宋体" w:eastAsia="宋体" w:cstheme="minorBidi"/>
          <w:snapToGrid w:val="0"/>
          <w:color w:val="auto"/>
          <w:kern w:val="0"/>
          <w:sz w:val="28"/>
          <w:szCs w:val="28"/>
          <w:lang w:val="en-US" w:eastAsia="zh-CN" w:bidi="ar-SA"/>
        </w:rPr>
        <w:t>.1 粉尘</w:t>
      </w:r>
    </w:p>
    <w:p>
      <w:pPr>
        <w:spacing w:line="360" w:lineRule="auto"/>
        <w:ind w:firstLine="560" w:firstLineChars="200"/>
        <w:rPr>
          <w:rFonts w:hint="eastAsia" w:ascii="宋体" w:hAnsi="宋体"/>
          <w:snapToGrid w:val="0"/>
          <w:color w:val="auto"/>
          <w:kern w:val="0"/>
          <w:sz w:val="28"/>
          <w:szCs w:val="28"/>
          <w:lang w:eastAsia="zh-CN"/>
        </w:rPr>
      </w:pPr>
      <w:r>
        <w:rPr>
          <w:rFonts w:hint="eastAsia" w:ascii="宋体" w:hAnsi="宋体" w:eastAsia="宋体" w:cstheme="minorBidi"/>
          <w:snapToGrid w:val="0"/>
          <w:color w:val="auto"/>
          <w:kern w:val="0"/>
          <w:sz w:val="28"/>
          <w:szCs w:val="28"/>
          <w:lang w:val="en-US" w:eastAsia="zh-CN" w:bidi="ar-SA"/>
        </w:rPr>
        <w:t>窑体在加煤烧制过程中窑顶部、出窑时窑洞中粉尘浓度较大，作</w:t>
      </w:r>
      <w:r>
        <w:rPr>
          <w:rFonts w:hint="eastAsia" w:ascii="宋体" w:hAnsi="宋体"/>
          <w:snapToGrid w:val="0"/>
          <w:color w:val="auto"/>
          <w:kern w:val="0"/>
          <w:sz w:val="28"/>
          <w:szCs w:val="28"/>
          <w:lang w:eastAsia="zh-CN"/>
        </w:rPr>
        <w:t>业人员在此环境中易受到粉尘危害。粉尘危害是砖厂生产作业中最大危害之一。粉尘是在生产过程中产生的细粒状矿物或岩石粉尘。</w:t>
      </w:r>
    </w:p>
    <w:p>
      <w:pPr>
        <w:spacing w:line="360" w:lineRule="auto"/>
        <w:ind w:firstLine="560" w:firstLineChars="200"/>
        <w:rPr>
          <w:rFonts w:hint="eastAsia" w:ascii="宋体" w:hAnsi="宋体" w:eastAsia="宋体" w:cstheme="minorBidi"/>
          <w:snapToGrid w:val="0"/>
          <w:color w:val="auto"/>
          <w:kern w:val="0"/>
          <w:sz w:val="28"/>
          <w:szCs w:val="28"/>
          <w:lang w:val="en-US" w:eastAsia="zh-CN" w:bidi="ar-SA"/>
        </w:rPr>
      </w:pPr>
      <w:r>
        <w:rPr>
          <w:rFonts w:hint="eastAsia" w:ascii="宋体" w:hAnsi="宋体" w:eastAsia="宋体" w:cstheme="minorBidi"/>
          <w:snapToGrid w:val="0"/>
          <w:color w:val="auto"/>
          <w:kern w:val="0"/>
          <w:sz w:val="28"/>
          <w:szCs w:val="28"/>
          <w:lang w:val="en-US" w:eastAsia="zh-CN" w:bidi="ar-SA"/>
        </w:rPr>
        <w:t>产生粉尘的环节主要有原料装卸、破碎等生产过程。在上述生产作业中产生的细粒状矿物或岩石粉尘，直径大于50μm的尘粒，在重力作用下会很快从气流中分离出来，沉落于地面，此类矿尘称为落尘；直径在0.01～50μm范围内的尘粒，能长时间悬浮于空气中，此类矿尘叫做浮尘。浮尘对空气的污染和对人体健康具有重大影响。</w:t>
      </w:r>
    </w:p>
    <w:p>
      <w:pPr>
        <w:spacing w:line="360" w:lineRule="auto"/>
        <w:ind w:firstLine="560" w:firstLineChars="200"/>
        <w:rPr>
          <w:rFonts w:hint="eastAsia" w:ascii="宋体" w:hAnsi="宋体" w:eastAsia="宋体" w:cstheme="minorBidi"/>
          <w:snapToGrid w:val="0"/>
          <w:color w:val="auto"/>
          <w:kern w:val="0"/>
          <w:sz w:val="28"/>
          <w:szCs w:val="28"/>
          <w:lang w:val="en-US" w:eastAsia="zh-CN" w:bidi="ar-SA"/>
        </w:rPr>
      </w:pPr>
      <w:r>
        <w:rPr>
          <w:rFonts w:hint="eastAsia" w:ascii="宋体" w:hAnsi="宋体" w:eastAsia="宋体" w:cstheme="minorBidi"/>
          <w:snapToGrid w:val="0"/>
          <w:color w:val="auto"/>
          <w:kern w:val="0"/>
          <w:sz w:val="28"/>
          <w:szCs w:val="28"/>
          <w:lang w:val="en-US" w:eastAsia="zh-CN" w:bidi="ar-SA"/>
        </w:rPr>
        <w:t>3.5.</w:t>
      </w:r>
      <w:r>
        <w:rPr>
          <w:rFonts w:hint="eastAsia" w:ascii="宋体" w:hAnsi="宋体" w:cstheme="minorBidi"/>
          <w:snapToGrid w:val="0"/>
          <w:color w:val="auto"/>
          <w:kern w:val="0"/>
          <w:sz w:val="28"/>
          <w:szCs w:val="28"/>
          <w:lang w:val="en-US" w:eastAsia="zh-CN" w:bidi="ar-SA"/>
        </w:rPr>
        <w:t>12</w:t>
      </w:r>
      <w:r>
        <w:rPr>
          <w:rFonts w:hint="eastAsia" w:ascii="宋体" w:hAnsi="宋体" w:eastAsia="宋体" w:cstheme="minorBidi"/>
          <w:snapToGrid w:val="0"/>
          <w:color w:val="auto"/>
          <w:kern w:val="0"/>
          <w:sz w:val="28"/>
          <w:szCs w:val="28"/>
          <w:lang w:val="en-US" w:eastAsia="zh-CN" w:bidi="ar-SA"/>
        </w:rPr>
        <w:t>.2 烟气</w:t>
      </w:r>
    </w:p>
    <w:p>
      <w:pPr>
        <w:spacing w:line="360" w:lineRule="auto"/>
        <w:ind w:firstLine="560" w:firstLineChars="200"/>
        <w:rPr>
          <w:rFonts w:hint="eastAsia" w:ascii="宋体" w:hAnsi="宋体" w:eastAsia="宋体" w:cstheme="minorBidi"/>
          <w:snapToGrid w:val="0"/>
          <w:color w:val="auto"/>
          <w:kern w:val="0"/>
          <w:sz w:val="28"/>
          <w:szCs w:val="28"/>
          <w:lang w:val="en-US" w:eastAsia="zh-CN" w:bidi="ar-SA"/>
        </w:rPr>
      </w:pPr>
      <w:r>
        <w:rPr>
          <w:rFonts w:hint="eastAsia" w:ascii="宋体" w:hAnsi="宋体" w:eastAsia="宋体" w:cstheme="minorBidi"/>
          <w:snapToGrid w:val="0"/>
          <w:color w:val="auto"/>
          <w:kern w:val="0"/>
          <w:sz w:val="28"/>
          <w:szCs w:val="28"/>
          <w:lang w:val="en-US" w:eastAsia="zh-CN" w:bidi="ar-SA"/>
        </w:rPr>
        <w:t>烧结自保温砌块的制造生产主要采用内燃烧成工艺，但有时也需要补充少量的外燃，其内燃热值一般为300～500cal/g，因此烟气成分复杂，废气中以无机污染物为主。燃烧过程中可逸出有害气体S02、HF、NOx、CO、HC1等，其主要污染物是S02气体，如不加以治理，将会对工作场所人员健康和环境造成影响。</w:t>
      </w:r>
    </w:p>
    <w:p>
      <w:pPr>
        <w:spacing w:line="360" w:lineRule="auto"/>
        <w:ind w:firstLine="560" w:firstLineChars="200"/>
        <w:rPr>
          <w:rFonts w:hint="eastAsia" w:ascii="宋体" w:hAnsi="宋体" w:eastAsia="宋体" w:cstheme="minorBidi"/>
          <w:snapToGrid w:val="0"/>
          <w:color w:val="auto"/>
          <w:kern w:val="0"/>
          <w:sz w:val="28"/>
          <w:szCs w:val="28"/>
          <w:lang w:val="en-US" w:eastAsia="zh-CN" w:bidi="ar-SA"/>
        </w:rPr>
      </w:pPr>
      <w:r>
        <w:rPr>
          <w:rFonts w:hint="eastAsia" w:ascii="宋体" w:hAnsi="宋体" w:eastAsia="宋体" w:cstheme="minorBidi"/>
          <w:snapToGrid w:val="0"/>
          <w:color w:val="auto"/>
          <w:kern w:val="0"/>
          <w:sz w:val="28"/>
          <w:szCs w:val="28"/>
          <w:lang w:val="en-US" w:eastAsia="zh-CN" w:bidi="ar-SA"/>
        </w:rPr>
        <w:t>3.5.</w:t>
      </w:r>
      <w:r>
        <w:rPr>
          <w:rFonts w:hint="eastAsia" w:ascii="宋体" w:hAnsi="宋体" w:cstheme="minorBidi"/>
          <w:snapToGrid w:val="0"/>
          <w:color w:val="auto"/>
          <w:kern w:val="0"/>
          <w:sz w:val="28"/>
          <w:szCs w:val="28"/>
          <w:lang w:val="en-US" w:eastAsia="zh-CN" w:bidi="ar-SA"/>
        </w:rPr>
        <w:t>12</w:t>
      </w:r>
      <w:r>
        <w:rPr>
          <w:rFonts w:hint="eastAsia" w:ascii="宋体" w:hAnsi="宋体" w:eastAsia="宋体" w:cstheme="minorBidi"/>
          <w:snapToGrid w:val="0"/>
          <w:color w:val="auto"/>
          <w:kern w:val="0"/>
          <w:sz w:val="28"/>
          <w:szCs w:val="28"/>
          <w:lang w:val="en-US" w:eastAsia="zh-CN" w:bidi="ar-SA"/>
        </w:rPr>
        <w:t>.3 噪声、振动</w:t>
      </w:r>
    </w:p>
    <w:p>
      <w:pPr>
        <w:spacing w:line="360" w:lineRule="auto"/>
        <w:ind w:firstLine="560" w:firstLineChars="200"/>
        <w:rPr>
          <w:rFonts w:hint="eastAsia" w:ascii="宋体" w:hAnsi="宋体" w:eastAsia="宋体" w:cstheme="minorBidi"/>
          <w:snapToGrid w:val="0"/>
          <w:color w:val="auto"/>
          <w:kern w:val="0"/>
          <w:sz w:val="28"/>
          <w:szCs w:val="28"/>
          <w:lang w:val="en-US" w:eastAsia="zh-CN" w:bidi="ar-SA"/>
        </w:rPr>
      </w:pPr>
      <w:r>
        <w:rPr>
          <w:rFonts w:hint="eastAsia" w:ascii="宋体" w:hAnsi="宋体" w:eastAsia="宋体" w:cstheme="minorBidi"/>
          <w:snapToGrid w:val="0"/>
          <w:color w:val="auto"/>
          <w:kern w:val="0"/>
          <w:sz w:val="28"/>
          <w:szCs w:val="28"/>
          <w:lang w:val="en-US" w:eastAsia="zh-CN" w:bidi="ar-SA"/>
        </w:rPr>
        <w:t>噪声指声强和频率的变化都无规律、杂乱无章的声音。砖厂噪声具有强度大、声级高、噪声源多、干扰时间长以及连续噪声多等特点。</w:t>
      </w:r>
    </w:p>
    <w:p>
      <w:pPr>
        <w:spacing w:line="360" w:lineRule="auto"/>
        <w:ind w:firstLine="560" w:firstLineChars="200"/>
        <w:rPr>
          <w:rFonts w:hint="eastAsia" w:ascii="宋体" w:hAnsi="宋体" w:eastAsia="宋体" w:cstheme="minorBidi"/>
          <w:snapToGrid w:val="0"/>
          <w:color w:val="auto"/>
          <w:kern w:val="0"/>
          <w:sz w:val="28"/>
          <w:szCs w:val="28"/>
          <w:lang w:val="en-US" w:eastAsia="zh-CN" w:bidi="ar-SA"/>
        </w:rPr>
      </w:pPr>
      <w:r>
        <w:rPr>
          <w:rFonts w:hint="eastAsia" w:ascii="宋体" w:hAnsi="宋体" w:eastAsia="宋体" w:cstheme="minorBidi"/>
          <w:snapToGrid w:val="0"/>
          <w:color w:val="auto"/>
          <w:kern w:val="0"/>
          <w:sz w:val="28"/>
          <w:szCs w:val="28"/>
          <w:lang w:val="en-US" w:eastAsia="zh-CN" w:bidi="ar-SA"/>
        </w:rPr>
        <w:t>噪声与振动主要来源于各种设备在运转过程中由于震动、摩擦、碰撞而产生的机械动力噪声和由风管排气、漏气而产生的气体动力噪声。</w:t>
      </w:r>
    </w:p>
    <w:p>
      <w:pPr>
        <w:spacing w:line="360" w:lineRule="auto"/>
        <w:ind w:firstLine="560" w:firstLineChars="200"/>
        <w:rPr>
          <w:rFonts w:hint="eastAsia" w:ascii="宋体" w:hAnsi="宋体" w:eastAsia="宋体" w:cstheme="minorBidi"/>
          <w:snapToGrid w:val="0"/>
          <w:color w:val="auto"/>
          <w:kern w:val="0"/>
          <w:sz w:val="28"/>
          <w:szCs w:val="28"/>
          <w:lang w:val="en-US" w:eastAsia="zh-CN" w:bidi="ar-SA"/>
        </w:rPr>
      </w:pPr>
      <w:r>
        <w:rPr>
          <w:rFonts w:hint="eastAsia" w:ascii="宋体" w:hAnsi="宋体" w:eastAsia="宋体" w:cstheme="minorBidi"/>
          <w:snapToGrid w:val="0"/>
          <w:color w:val="auto"/>
          <w:kern w:val="0"/>
          <w:sz w:val="28"/>
          <w:szCs w:val="28"/>
          <w:lang w:val="en-US" w:eastAsia="zh-CN" w:bidi="ar-SA"/>
        </w:rPr>
        <w:t>产生噪声与振动的设备和场所：空压机和空压机泵房；制砖工作面；装载、挖掘设备驾驶室。</w:t>
      </w:r>
    </w:p>
    <w:p>
      <w:pPr>
        <w:spacing w:line="360" w:lineRule="auto"/>
        <w:ind w:firstLine="560" w:firstLineChars="200"/>
        <w:rPr>
          <w:rFonts w:hint="eastAsia" w:ascii="宋体" w:hAnsi="宋体" w:eastAsia="宋体" w:cstheme="minorBidi"/>
          <w:snapToGrid w:val="0"/>
          <w:color w:val="auto"/>
          <w:kern w:val="0"/>
          <w:sz w:val="28"/>
          <w:szCs w:val="28"/>
          <w:lang w:val="en-US" w:eastAsia="zh-CN" w:bidi="ar-SA"/>
        </w:rPr>
      </w:pPr>
      <w:r>
        <w:rPr>
          <w:rFonts w:hint="eastAsia" w:ascii="宋体" w:hAnsi="宋体" w:eastAsia="宋体" w:cstheme="minorBidi"/>
          <w:snapToGrid w:val="0"/>
          <w:color w:val="auto"/>
          <w:kern w:val="0"/>
          <w:sz w:val="28"/>
          <w:szCs w:val="28"/>
          <w:lang w:val="en-US" w:eastAsia="zh-CN" w:bidi="ar-SA"/>
        </w:rPr>
        <w:t>噪声可以使人耳聋，还可能引起高血压、心脏病、神经官能症等疾病。噪声还污染环境，影响人们的正常生活和生产活动。</w:t>
      </w:r>
    </w:p>
    <w:p>
      <w:pPr>
        <w:spacing w:line="360" w:lineRule="auto"/>
        <w:ind w:firstLine="560" w:firstLineChars="200"/>
        <w:rPr>
          <w:rFonts w:hint="eastAsia" w:ascii="宋体" w:hAnsi="宋体" w:eastAsia="宋体" w:cstheme="minorBidi"/>
          <w:snapToGrid w:val="0"/>
          <w:color w:val="auto"/>
          <w:kern w:val="0"/>
          <w:sz w:val="28"/>
          <w:szCs w:val="28"/>
          <w:lang w:val="en-US" w:eastAsia="zh-CN" w:bidi="ar-SA"/>
        </w:rPr>
      </w:pPr>
      <w:r>
        <w:rPr>
          <w:rFonts w:hint="eastAsia" w:ascii="宋体" w:hAnsi="宋体" w:eastAsia="宋体" w:cstheme="minorBidi"/>
          <w:snapToGrid w:val="0"/>
          <w:color w:val="auto"/>
          <w:kern w:val="0"/>
          <w:sz w:val="28"/>
          <w:szCs w:val="28"/>
          <w:lang w:val="en-US" w:eastAsia="zh-CN" w:bidi="ar-SA"/>
        </w:rPr>
        <w:t>3.5.</w:t>
      </w:r>
      <w:r>
        <w:rPr>
          <w:rFonts w:hint="eastAsia" w:ascii="宋体" w:hAnsi="宋体" w:cstheme="minorBidi"/>
          <w:snapToGrid w:val="0"/>
          <w:color w:val="auto"/>
          <w:kern w:val="0"/>
          <w:sz w:val="28"/>
          <w:szCs w:val="28"/>
          <w:lang w:val="en-US" w:eastAsia="zh-CN" w:bidi="ar-SA"/>
        </w:rPr>
        <w:t>12</w:t>
      </w:r>
      <w:r>
        <w:rPr>
          <w:rFonts w:hint="eastAsia" w:ascii="宋体" w:hAnsi="宋体" w:eastAsia="宋体" w:cstheme="minorBidi"/>
          <w:snapToGrid w:val="0"/>
          <w:color w:val="auto"/>
          <w:kern w:val="0"/>
          <w:sz w:val="28"/>
          <w:szCs w:val="28"/>
          <w:lang w:val="en-US" w:eastAsia="zh-CN" w:bidi="ar-SA"/>
        </w:rPr>
        <w:t>.4 高温、低温</w:t>
      </w:r>
    </w:p>
    <w:p>
      <w:pPr>
        <w:spacing w:line="360" w:lineRule="auto"/>
        <w:ind w:firstLine="560" w:firstLineChars="200"/>
        <w:rPr>
          <w:rFonts w:hint="eastAsia" w:ascii="宋体" w:hAnsi="宋体" w:eastAsia="宋体" w:cstheme="minorBidi"/>
          <w:snapToGrid w:val="0"/>
          <w:color w:val="auto"/>
          <w:kern w:val="0"/>
          <w:sz w:val="28"/>
          <w:szCs w:val="28"/>
          <w:lang w:val="en-US" w:eastAsia="zh-CN" w:bidi="ar-SA"/>
        </w:rPr>
      </w:pPr>
      <w:r>
        <w:rPr>
          <w:rFonts w:hint="eastAsia" w:ascii="宋体" w:hAnsi="宋体" w:eastAsia="宋体" w:cstheme="minorBidi"/>
          <w:snapToGrid w:val="0"/>
          <w:color w:val="auto"/>
          <w:kern w:val="0"/>
          <w:sz w:val="28"/>
          <w:szCs w:val="28"/>
          <w:lang w:val="en-US" w:eastAsia="zh-CN" w:bidi="ar-SA"/>
        </w:rPr>
        <w:t>高温、高湿环境会增加人员中暑机率，并会加速有毒物质吸收，会导致操作失误率升高，易发生事故，长期在高温、高湿环境下工作，可引发关节炎等疾病；高温、高湿环境会加速材料的腐蚀；过大的湿度会引起电气设备受潮、绝缘下降，引起触电事故；</w:t>
      </w:r>
    </w:p>
    <w:p>
      <w:pPr>
        <w:spacing w:line="360" w:lineRule="auto"/>
        <w:ind w:firstLine="560" w:firstLineChars="200"/>
        <w:rPr>
          <w:rFonts w:hint="eastAsia" w:ascii="宋体" w:hAnsi="宋体" w:eastAsia="宋体" w:cstheme="minorBidi"/>
          <w:snapToGrid w:val="0"/>
          <w:color w:val="auto"/>
          <w:kern w:val="0"/>
          <w:sz w:val="28"/>
          <w:szCs w:val="28"/>
          <w:lang w:val="en-US" w:eastAsia="zh-CN" w:bidi="ar-SA"/>
        </w:rPr>
      </w:pPr>
      <w:r>
        <w:rPr>
          <w:rFonts w:hint="eastAsia" w:ascii="宋体" w:hAnsi="宋体" w:eastAsia="宋体" w:cstheme="minorBidi"/>
          <w:snapToGrid w:val="0"/>
          <w:color w:val="auto"/>
          <w:kern w:val="0"/>
          <w:sz w:val="28"/>
          <w:szCs w:val="28"/>
          <w:lang w:val="en-US" w:eastAsia="zh-CN" w:bidi="ar-SA"/>
        </w:rPr>
        <w:t>在烧结时，窑体加煤烧制、成品砖出窑过程中，温度较高，如窑体保温密封不良会产生较强的热辐射，作业人员在此环境中易受到高温危害。</w:t>
      </w:r>
    </w:p>
    <w:p>
      <w:pPr>
        <w:spacing w:line="360" w:lineRule="auto"/>
        <w:ind w:firstLine="560" w:firstLineChars="200"/>
        <w:rPr>
          <w:rFonts w:hint="eastAsia" w:ascii="宋体" w:hAnsi="宋体" w:eastAsia="宋体" w:cstheme="minorBidi"/>
          <w:snapToGrid w:val="0"/>
          <w:color w:val="auto"/>
          <w:kern w:val="0"/>
          <w:sz w:val="28"/>
          <w:szCs w:val="28"/>
          <w:lang w:val="en-US" w:eastAsia="zh-CN" w:bidi="ar-SA"/>
        </w:rPr>
      </w:pPr>
      <w:r>
        <w:rPr>
          <w:rFonts w:hint="eastAsia" w:ascii="宋体" w:hAnsi="宋体" w:eastAsia="宋体" w:cstheme="minorBidi"/>
          <w:snapToGrid w:val="0"/>
          <w:color w:val="auto"/>
          <w:kern w:val="0"/>
          <w:sz w:val="28"/>
          <w:szCs w:val="28"/>
          <w:lang w:val="en-US" w:eastAsia="zh-CN" w:bidi="ar-SA"/>
        </w:rPr>
        <w:t>在低温环境下，人员操作功能随温度的下降而明显下降，注意力不集中，反应时间延长，作业失误率上升，且可能发生冻伤。</w:t>
      </w:r>
    </w:p>
    <w:p>
      <w:pPr>
        <w:pStyle w:val="8"/>
        <w:spacing w:line="360" w:lineRule="auto"/>
        <w:ind w:firstLine="0" w:firstLineChars="0"/>
        <w:outlineLvl w:val="2"/>
        <w:rPr>
          <w:rFonts w:hint="eastAsia" w:ascii="宋体" w:hAnsi="宋体"/>
          <w:b/>
          <w:snapToGrid w:val="0"/>
          <w:kern w:val="0"/>
          <w:sz w:val="28"/>
          <w:szCs w:val="28"/>
          <w:lang w:val="en-US" w:eastAsia="zh-CN"/>
        </w:rPr>
      </w:pPr>
      <w:bookmarkStart w:id="212" w:name="_Toc359225372"/>
      <w:bookmarkStart w:id="213" w:name="_Toc496016659"/>
      <w:bookmarkStart w:id="214" w:name="_Toc413834096"/>
      <w:bookmarkStart w:id="215" w:name="_Toc27115"/>
      <w:r>
        <w:rPr>
          <w:rFonts w:hint="eastAsia" w:ascii="宋体" w:hAnsi="宋体"/>
          <w:b/>
          <w:snapToGrid w:val="0"/>
          <w:kern w:val="0"/>
          <w:sz w:val="28"/>
          <w:szCs w:val="28"/>
          <w:lang w:val="en-US" w:eastAsia="zh-CN"/>
        </w:rPr>
        <w:t>3.5.13 自然灾害</w:t>
      </w:r>
      <w:bookmarkEnd w:id="212"/>
      <w:bookmarkEnd w:id="213"/>
      <w:bookmarkEnd w:id="214"/>
      <w:bookmarkEnd w:id="215"/>
    </w:p>
    <w:p>
      <w:pPr>
        <w:spacing w:line="360" w:lineRule="auto"/>
        <w:ind w:firstLine="560" w:firstLineChars="200"/>
        <w:rPr>
          <w:rFonts w:hint="eastAsia" w:ascii="宋体" w:hAnsi="宋体" w:cs="宋体"/>
          <w:color w:val="auto"/>
          <w:sz w:val="28"/>
          <w:szCs w:val="28"/>
        </w:rPr>
      </w:pPr>
      <w:r>
        <w:rPr>
          <w:rFonts w:hint="eastAsia" w:ascii="宋体" w:hAnsi="宋体" w:cs="宋体"/>
          <w:color w:val="auto"/>
          <w:sz w:val="28"/>
          <w:szCs w:val="28"/>
          <w:lang w:val="en-US" w:eastAsia="zh-CN"/>
        </w:rPr>
        <w:t>3.5.13</w:t>
      </w:r>
      <w:r>
        <w:rPr>
          <w:rFonts w:hint="eastAsia" w:ascii="宋体" w:hAnsi="宋体" w:cs="宋体"/>
          <w:color w:val="auto"/>
          <w:sz w:val="28"/>
          <w:szCs w:val="28"/>
        </w:rPr>
        <w:t>.1 地震灾害</w:t>
      </w:r>
    </w:p>
    <w:p>
      <w:pPr>
        <w:spacing w:line="360" w:lineRule="auto"/>
        <w:ind w:firstLine="560" w:firstLineChars="200"/>
        <w:rPr>
          <w:rFonts w:hint="eastAsia" w:ascii="宋体" w:hAnsi="宋体" w:cs="宋体"/>
          <w:color w:val="auto"/>
          <w:sz w:val="28"/>
          <w:szCs w:val="28"/>
        </w:rPr>
      </w:pPr>
      <w:r>
        <w:rPr>
          <w:rFonts w:hint="eastAsia" w:ascii="宋体" w:hAnsi="宋体" w:cs="宋体"/>
          <w:color w:val="auto"/>
          <w:sz w:val="28"/>
          <w:szCs w:val="28"/>
        </w:rPr>
        <w:t>地震发生时，可能使建筑物倒塌，建筑设施结构破坏造成人员伤亡，也可能使电气系统短路导致火灾事故发生等。</w:t>
      </w:r>
    </w:p>
    <w:p>
      <w:pPr>
        <w:spacing w:line="360" w:lineRule="auto"/>
        <w:ind w:firstLine="560" w:firstLineChars="200"/>
        <w:rPr>
          <w:rFonts w:hint="eastAsia" w:ascii="宋体" w:hAnsi="宋体" w:cs="宋体"/>
          <w:color w:val="auto"/>
          <w:sz w:val="28"/>
          <w:szCs w:val="28"/>
        </w:rPr>
      </w:pPr>
      <w:r>
        <w:rPr>
          <w:rFonts w:hint="eastAsia" w:ascii="宋体" w:hAnsi="宋体" w:cs="宋体"/>
          <w:color w:val="auto"/>
          <w:sz w:val="28"/>
          <w:szCs w:val="28"/>
          <w:lang w:val="en-US" w:eastAsia="zh-CN"/>
        </w:rPr>
        <w:t>3.5.13</w:t>
      </w:r>
      <w:r>
        <w:rPr>
          <w:rFonts w:hint="eastAsia" w:ascii="宋体" w:hAnsi="宋体" w:cs="宋体"/>
          <w:color w:val="auto"/>
          <w:sz w:val="28"/>
          <w:szCs w:val="28"/>
        </w:rPr>
        <w:t>.2 雷击危害</w:t>
      </w:r>
    </w:p>
    <w:p>
      <w:pPr>
        <w:spacing w:line="360" w:lineRule="auto"/>
        <w:ind w:firstLine="560" w:firstLineChars="200"/>
        <w:rPr>
          <w:rFonts w:hint="eastAsia" w:ascii="宋体" w:hAnsi="宋体" w:cs="宋体"/>
          <w:color w:val="auto"/>
          <w:sz w:val="28"/>
          <w:szCs w:val="28"/>
        </w:rPr>
      </w:pPr>
      <w:r>
        <w:rPr>
          <w:rFonts w:hint="eastAsia" w:ascii="宋体" w:hAnsi="宋体" w:cs="宋体"/>
          <w:color w:val="auto"/>
          <w:sz w:val="28"/>
          <w:szCs w:val="28"/>
        </w:rPr>
        <w:t>雷雨云对地放电形成直击雷。雷击发生时，强大的冲击电压和雷电流会毁坏各种电气设备，强烈的空气扰动会使建筑物和设备损坏，其热效应会引起火灾，还可能击中人员事故伤亡事故。除直击雷外，还有雷电感应、球型雷和雷电侵入波等都可造成危害，其中直击雷的危害最大，此外雷电还可通过静电感应或电磁感应产生破坏作用。</w:t>
      </w:r>
    </w:p>
    <w:p>
      <w:pPr>
        <w:pStyle w:val="8"/>
        <w:spacing w:line="360" w:lineRule="auto"/>
        <w:ind w:firstLine="0" w:firstLineChars="0"/>
        <w:outlineLvl w:val="1"/>
        <w:rPr>
          <w:rFonts w:hint="eastAsia" w:ascii="黑体" w:hAnsi="宋体" w:eastAsia="黑体"/>
          <w:b/>
          <w:snapToGrid w:val="0"/>
          <w:kern w:val="0"/>
          <w:sz w:val="32"/>
          <w:szCs w:val="32"/>
        </w:rPr>
      </w:pPr>
      <w:bookmarkStart w:id="216" w:name="_Toc514342856"/>
      <w:bookmarkStart w:id="217" w:name="_Toc325528024"/>
      <w:bookmarkStart w:id="218" w:name="_Toc304291284"/>
      <w:bookmarkStart w:id="219" w:name="_Toc484594602"/>
      <w:bookmarkStart w:id="220" w:name="_Toc303340324"/>
      <w:bookmarkStart w:id="221" w:name="_Toc8177"/>
      <w:r>
        <w:rPr>
          <w:rFonts w:hint="eastAsia" w:ascii="黑体" w:hAnsi="宋体" w:eastAsia="黑体"/>
          <w:b/>
          <w:snapToGrid w:val="0"/>
          <w:kern w:val="0"/>
          <w:sz w:val="32"/>
          <w:szCs w:val="32"/>
          <w:lang w:val="en-US" w:eastAsia="zh-CN"/>
        </w:rPr>
        <w:t>3</w:t>
      </w:r>
      <w:r>
        <w:rPr>
          <w:rFonts w:hint="eastAsia" w:ascii="黑体" w:hAnsi="宋体" w:eastAsia="黑体"/>
          <w:b/>
          <w:snapToGrid w:val="0"/>
          <w:kern w:val="0"/>
          <w:sz w:val="32"/>
          <w:szCs w:val="32"/>
          <w:lang w:eastAsia="zh-CN"/>
        </w:rPr>
        <w:t>.</w:t>
      </w:r>
      <w:r>
        <w:rPr>
          <w:rFonts w:hint="eastAsia" w:ascii="黑体" w:hAnsi="宋体" w:eastAsia="黑体"/>
          <w:b/>
          <w:snapToGrid w:val="0"/>
          <w:kern w:val="0"/>
          <w:sz w:val="32"/>
          <w:szCs w:val="32"/>
        </w:rPr>
        <w:t>6 厂址安全条件的危险、有害因素辨识与分析</w:t>
      </w:r>
      <w:bookmarkEnd w:id="216"/>
      <w:bookmarkEnd w:id="217"/>
      <w:bookmarkEnd w:id="218"/>
      <w:bookmarkEnd w:id="219"/>
      <w:bookmarkEnd w:id="220"/>
      <w:bookmarkEnd w:id="221"/>
    </w:p>
    <w:p>
      <w:pPr>
        <w:spacing w:line="360" w:lineRule="auto"/>
        <w:ind w:firstLine="560" w:firstLineChars="200"/>
        <w:rPr>
          <w:rFonts w:hint="eastAsia" w:ascii="宋体" w:hAnsi="宋体"/>
          <w:snapToGrid w:val="0"/>
          <w:kern w:val="0"/>
          <w:sz w:val="28"/>
          <w:szCs w:val="28"/>
        </w:rPr>
      </w:pPr>
      <w:r>
        <w:rPr>
          <w:rFonts w:hint="eastAsia" w:ascii="宋体" w:hAnsi="宋体"/>
          <w:snapToGrid w:val="0"/>
          <w:kern w:val="0"/>
          <w:sz w:val="28"/>
          <w:szCs w:val="28"/>
        </w:rPr>
        <w:t>工业企业若选址不当，厂址条件差，可能存在以下危险、有害因素：①厂址工程地质不良，厂址周围为陡坎或有河流、沟渠通过，容易造成厂内塌陷和周边垮塌，设备、设施损坏，造成有害物质泄漏，引发火灾爆炸和窒息事故。②厂址所在地地形地貌差，处于窝风地带，厂内有害气体得不到及时散放，其生产作业危险性就大。③厂址与周边居民区或企业，安全距离不够，相互间会产生不利影响。④厂址所在地水文、气象条件恶劣，易发生水灾、雷击灾害，影响企业的正常生产。⑤厂址周边交通运输条件不畅、消防配备设施不完善，会造成运输不便，增加运输风险。</w:t>
      </w:r>
    </w:p>
    <w:p>
      <w:pPr>
        <w:spacing w:line="360" w:lineRule="auto"/>
        <w:ind w:firstLine="560" w:firstLineChars="200"/>
        <w:rPr>
          <w:rFonts w:hint="eastAsia" w:ascii="宋体" w:hAnsi="宋体"/>
          <w:snapToGrid w:val="0"/>
          <w:kern w:val="0"/>
          <w:sz w:val="28"/>
          <w:szCs w:val="28"/>
        </w:rPr>
      </w:pPr>
      <w:r>
        <w:rPr>
          <w:rFonts w:ascii="宋体" w:hAnsi="宋体"/>
          <w:snapToGrid w:val="0"/>
          <w:kern w:val="0"/>
          <w:sz w:val="28"/>
          <w:szCs w:val="28"/>
        </w:rPr>
        <w:t>本工程厂址周围无大型重要公共建筑设施</w:t>
      </w:r>
      <w:r>
        <w:rPr>
          <w:rFonts w:hint="eastAsia" w:ascii="宋体" w:hAnsi="宋体"/>
          <w:snapToGrid w:val="0"/>
          <w:kern w:val="0"/>
          <w:sz w:val="28"/>
          <w:szCs w:val="28"/>
        </w:rPr>
        <w:t>，</w:t>
      </w:r>
      <w:r>
        <w:rPr>
          <w:rFonts w:ascii="宋体" w:hAnsi="宋体"/>
          <w:snapToGrid w:val="0"/>
          <w:kern w:val="0"/>
          <w:sz w:val="28"/>
          <w:szCs w:val="28"/>
        </w:rPr>
        <w:t>位于相对稳定地块，场地无不良地质现象，地基承载力较高，不受洪水威胁；地下水对混凝土结构和钢筋混凝土结构中的钢筋不具腐蚀性。厂址交通运输方便</w:t>
      </w:r>
      <w:r>
        <w:rPr>
          <w:rFonts w:hint="eastAsia" w:ascii="宋体" w:hAnsi="宋体"/>
          <w:snapToGrid w:val="0"/>
          <w:kern w:val="0"/>
          <w:sz w:val="28"/>
          <w:szCs w:val="28"/>
        </w:rPr>
        <w:t>，</w:t>
      </w:r>
      <w:r>
        <w:rPr>
          <w:rFonts w:ascii="宋体" w:hAnsi="宋体"/>
          <w:snapToGrid w:val="0"/>
          <w:kern w:val="0"/>
          <w:sz w:val="28"/>
          <w:szCs w:val="28"/>
        </w:rPr>
        <w:t>已取得政府相关部门的</w:t>
      </w:r>
      <w:r>
        <w:rPr>
          <w:rFonts w:hint="eastAsia" w:ascii="宋体" w:hAnsi="宋体"/>
          <w:snapToGrid w:val="0"/>
          <w:kern w:val="0"/>
          <w:sz w:val="28"/>
          <w:szCs w:val="28"/>
        </w:rPr>
        <w:t>技改</w:t>
      </w:r>
      <w:r>
        <w:rPr>
          <w:rFonts w:ascii="宋体" w:hAnsi="宋体"/>
          <w:snapToGrid w:val="0"/>
          <w:kern w:val="0"/>
          <w:sz w:val="28"/>
          <w:szCs w:val="28"/>
        </w:rPr>
        <w:t>批复。因此，该工程选址符合当地政府部门规划，选址符合厂址选择的技术要求。</w:t>
      </w:r>
    </w:p>
    <w:p>
      <w:pPr>
        <w:pStyle w:val="8"/>
        <w:spacing w:line="360" w:lineRule="auto"/>
        <w:ind w:firstLine="0" w:firstLineChars="0"/>
        <w:outlineLvl w:val="2"/>
        <w:rPr>
          <w:rFonts w:hint="eastAsia" w:ascii="宋体" w:hAnsi="宋体"/>
          <w:b/>
          <w:snapToGrid w:val="0"/>
          <w:kern w:val="0"/>
          <w:sz w:val="28"/>
          <w:szCs w:val="28"/>
        </w:rPr>
      </w:pPr>
      <w:bookmarkStart w:id="222" w:name="_Toc484594603"/>
      <w:bookmarkStart w:id="223" w:name="_Toc514342857"/>
      <w:bookmarkStart w:id="224" w:name="_Toc458523590"/>
      <w:bookmarkStart w:id="225" w:name="_Toc7359"/>
      <w:r>
        <w:rPr>
          <w:rFonts w:hint="eastAsia" w:ascii="宋体" w:hAnsi="宋体"/>
          <w:b/>
          <w:snapToGrid w:val="0"/>
          <w:kern w:val="0"/>
          <w:sz w:val="28"/>
          <w:szCs w:val="28"/>
          <w:lang w:val="en-US" w:eastAsia="zh-CN"/>
        </w:rPr>
        <w:t>3</w:t>
      </w:r>
      <w:r>
        <w:rPr>
          <w:rFonts w:hint="eastAsia" w:ascii="宋体" w:hAnsi="宋体"/>
          <w:b/>
          <w:snapToGrid w:val="0"/>
          <w:kern w:val="0"/>
          <w:sz w:val="28"/>
          <w:szCs w:val="28"/>
          <w:lang w:eastAsia="zh-CN"/>
        </w:rPr>
        <w:t>.</w:t>
      </w:r>
      <w:r>
        <w:rPr>
          <w:rFonts w:hint="eastAsia" w:ascii="宋体" w:hAnsi="宋体"/>
          <w:b/>
          <w:snapToGrid w:val="0"/>
          <w:kern w:val="0"/>
          <w:sz w:val="28"/>
          <w:szCs w:val="28"/>
        </w:rPr>
        <w:t xml:space="preserve">6.1 </w:t>
      </w:r>
      <w:r>
        <w:rPr>
          <w:rFonts w:hint="eastAsia" w:ascii="宋体" w:hAnsi="宋体"/>
          <w:b/>
          <w:snapToGrid w:val="0"/>
          <w:kern w:val="0"/>
          <w:sz w:val="28"/>
          <w:szCs w:val="28"/>
          <w:lang w:eastAsia="zh-CN"/>
        </w:rPr>
        <w:t>公司</w:t>
      </w:r>
      <w:r>
        <w:rPr>
          <w:rFonts w:hint="eastAsia" w:ascii="宋体" w:hAnsi="宋体"/>
          <w:b/>
          <w:snapToGrid w:val="0"/>
          <w:kern w:val="0"/>
          <w:sz w:val="28"/>
          <w:szCs w:val="28"/>
        </w:rPr>
        <w:t>对周边环境的影响分析</w:t>
      </w:r>
      <w:bookmarkEnd w:id="222"/>
      <w:bookmarkEnd w:id="223"/>
      <w:bookmarkEnd w:id="224"/>
      <w:bookmarkEnd w:id="225"/>
    </w:p>
    <w:p>
      <w:pPr>
        <w:tabs>
          <w:tab w:val="left" w:pos="8808"/>
        </w:tabs>
        <w:snapToGrid w:val="0"/>
        <w:spacing w:line="360" w:lineRule="auto"/>
        <w:ind w:firstLine="560" w:firstLineChars="200"/>
        <w:rPr>
          <w:rFonts w:hint="eastAsia" w:ascii="宋体" w:hAnsi="宋体" w:cs="宋体"/>
          <w:sz w:val="28"/>
          <w:szCs w:val="28"/>
        </w:rPr>
      </w:pPr>
      <w:bookmarkStart w:id="226" w:name="_Toc172964408"/>
      <w:bookmarkStart w:id="227" w:name="_Toc155775354"/>
      <w:bookmarkStart w:id="228" w:name="_Toc374385892"/>
      <w:bookmarkStart w:id="229" w:name="_Toc172964203"/>
      <w:bookmarkStart w:id="230" w:name="_Toc172963399"/>
      <w:r>
        <w:rPr>
          <w:rFonts w:hint="eastAsia" w:ascii="宋体" w:hAnsi="宋体" w:cs="宋体"/>
          <w:sz w:val="28"/>
          <w:szCs w:val="28"/>
          <w:lang w:eastAsia="zh-CN"/>
        </w:rPr>
        <w:t>厂</w:t>
      </w:r>
      <w:r>
        <w:rPr>
          <w:rFonts w:ascii="宋体" w:hAnsi="宋体" w:cs="宋体"/>
          <w:sz w:val="28"/>
          <w:szCs w:val="28"/>
        </w:rPr>
        <w:t>区内</w:t>
      </w:r>
      <w:r>
        <w:rPr>
          <w:rFonts w:hint="eastAsia" w:ascii="宋体" w:hAnsi="宋体" w:cs="宋体"/>
          <w:sz w:val="28"/>
          <w:szCs w:val="28"/>
        </w:rPr>
        <w:t>无高压电线敷设、无</w:t>
      </w:r>
      <w:r>
        <w:rPr>
          <w:rFonts w:ascii="宋体" w:hAnsi="宋体" w:cs="宋体"/>
          <w:sz w:val="28"/>
          <w:szCs w:val="28"/>
        </w:rPr>
        <w:t>国家规定的风景名胜区、革命历史古迹等文物保护对象，无集中式水源地等特殊保护对象</w:t>
      </w:r>
      <w:r>
        <w:rPr>
          <w:rFonts w:hint="eastAsia" w:ascii="宋体" w:hAnsi="宋体" w:cs="宋体"/>
          <w:sz w:val="28"/>
          <w:szCs w:val="28"/>
        </w:rPr>
        <w:t>；</w:t>
      </w:r>
      <w:r>
        <w:rPr>
          <w:rFonts w:ascii="宋体" w:hAnsi="宋体" w:cs="宋体"/>
          <w:sz w:val="28"/>
          <w:szCs w:val="28"/>
        </w:rPr>
        <w:t>区域内及附近无</w:t>
      </w:r>
      <w:r>
        <w:rPr>
          <w:rFonts w:hint="eastAsia" w:ascii="宋体" w:hAnsi="宋体" w:cs="宋体"/>
          <w:sz w:val="28"/>
          <w:szCs w:val="28"/>
        </w:rPr>
        <w:t>重大危险源监管单位、无</w:t>
      </w:r>
      <w:r>
        <w:rPr>
          <w:rFonts w:ascii="宋体" w:hAnsi="宋体" w:cs="宋体"/>
          <w:sz w:val="28"/>
          <w:szCs w:val="28"/>
        </w:rPr>
        <w:t>军事设施等保密单位，无军事国防通讯设施及其他通讯设施等敏感目标，地下未发现矿产资源</w:t>
      </w:r>
      <w:r>
        <w:rPr>
          <w:rFonts w:hint="eastAsia" w:ascii="宋体" w:hAnsi="宋体" w:cs="宋体"/>
          <w:sz w:val="28"/>
          <w:szCs w:val="28"/>
        </w:rPr>
        <w:t>，无长输天然气管道、输油管道敷设</w:t>
      </w:r>
      <w:r>
        <w:rPr>
          <w:rFonts w:ascii="宋体" w:hAnsi="宋体" w:cs="宋体"/>
          <w:sz w:val="28"/>
          <w:szCs w:val="28"/>
        </w:rPr>
        <w:t>。</w:t>
      </w:r>
      <w:r>
        <w:rPr>
          <w:rFonts w:hint="eastAsia" w:ascii="宋体" w:hAnsi="宋体" w:cs="宋体"/>
          <w:sz w:val="28"/>
          <w:szCs w:val="28"/>
          <w:lang w:eastAsia="zh-CN"/>
        </w:rPr>
        <w:t>公司</w:t>
      </w:r>
      <w:r>
        <w:rPr>
          <w:rFonts w:hint="eastAsia" w:ascii="宋体" w:hAnsi="宋体" w:cs="宋体"/>
          <w:sz w:val="28"/>
          <w:szCs w:val="28"/>
        </w:rPr>
        <w:t>在正常工况下废水、废气、废渣等经达标后排放，并与周边建构筑留有足够的防火间距，即</w:t>
      </w:r>
      <w:r>
        <w:rPr>
          <w:rFonts w:hint="eastAsia" w:ascii="宋体" w:hAnsi="宋体" w:cs="宋体"/>
          <w:sz w:val="28"/>
          <w:szCs w:val="28"/>
          <w:lang w:eastAsia="zh-CN"/>
        </w:rPr>
        <w:t>公司</w:t>
      </w:r>
      <w:r>
        <w:rPr>
          <w:rFonts w:hint="eastAsia" w:ascii="宋体" w:hAnsi="宋体" w:cs="宋体"/>
          <w:sz w:val="28"/>
          <w:szCs w:val="28"/>
        </w:rPr>
        <w:t>正常工况下不会对周边单位生产、经营活动或者居民生活造成影响。</w:t>
      </w:r>
    </w:p>
    <w:p>
      <w:pPr>
        <w:spacing w:line="360" w:lineRule="auto"/>
        <w:ind w:firstLine="560" w:firstLineChars="200"/>
        <w:rPr>
          <w:rFonts w:hint="eastAsia" w:ascii="宋体" w:hAnsi="宋体"/>
          <w:sz w:val="28"/>
          <w:szCs w:val="28"/>
        </w:rPr>
      </w:pPr>
      <w:r>
        <w:rPr>
          <w:rFonts w:ascii="宋体" w:hAnsi="宋体"/>
          <w:sz w:val="28"/>
          <w:szCs w:val="28"/>
        </w:rPr>
        <w:t>若三废处理不当可能会对周边环境、企业造成不良影响，因此本工程应切实做好三废的处理工作。</w:t>
      </w:r>
      <w:r>
        <w:rPr>
          <w:rFonts w:hint="eastAsia" w:ascii="宋体" w:hAnsi="宋体"/>
          <w:sz w:val="28"/>
          <w:szCs w:val="28"/>
          <w:lang w:eastAsia="zh-CN"/>
        </w:rPr>
        <w:t>公司</w:t>
      </w:r>
      <w:r>
        <w:rPr>
          <w:rFonts w:ascii="宋体" w:hAnsi="宋体"/>
          <w:sz w:val="28"/>
          <w:szCs w:val="28"/>
        </w:rPr>
        <w:t>在采取了可靠的安全、环保的防护措施之后，</w:t>
      </w:r>
      <w:r>
        <w:rPr>
          <w:rFonts w:hint="eastAsia" w:ascii="宋体" w:hAnsi="宋体" w:cs="宋体"/>
          <w:sz w:val="28"/>
          <w:szCs w:val="28"/>
        </w:rPr>
        <w:t>对周边环境的影响在可接受和可控制范围。</w:t>
      </w:r>
    </w:p>
    <w:bookmarkEnd w:id="226"/>
    <w:bookmarkEnd w:id="227"/>
    <w:bookmarkEnd w:id="228"/>
    <w:bookmarkEnd w:id="229"/>
    <w:bookmarkEnd w:id="230"/>
    <w:p>
      <w:pPr>
        <w:pStyle w:val="8"/>
        <w:spacing w:line="360" w:lineRule="auto"/>
        <w:ind w:firstLine="0" w:firstLineChars="0"/>
        <w:outlineLvl w:val="2"/>
        <w:rPr>
          <w:rFonts w:hint="eastAsia" w:ascii="宋体" w:hAnsi="宋体"/>
          <w:b/>
          <w:snapToGrid w:val="0"/>
          <w:kern w:val="0"/>
          <w:sz w:val="28"/>
          <w:szCs w:val="28"/>
        </w:rPr>
      </w:pPr>
      <w:bookmarkStart w:id="231" w:name="_Toc484594604"/>
      <w:bookmarkStart w:id="232" w:name="_Toc155775365"/>
      <w:bookmarkStart w:id="233" w:name="_Toc458523594"/>
      <w:bookmarkStart w:id="234" w:name="_Toc514342858"/>
      <w:bookmarkStart w:id="235" w:name="_Toc172964418"/>
      <w:bookmarkStart w:id="236" w:name="_Toc172963410"/>
      <w:bookmarkStart w:id="237" w:name="_Toc172964213"/>
      <w:bookmarkStart w:id="238" w:name="_Toc22884"/>
      <w:r>
        <w:rPr>
          <w:rFonts w:hint="eastAsia" w:ascii="宋体" w:hAnsi="宋体"/>
          <w:b/>
          <w:snapToGrid w:val="0"/>
          <w:kern w:val="0"/>
          <w:sz w:val="28"/>
          <w:szCs w:val="28"/>
          <w:lang w:val="en-US" w:eastAsia="zh-CN"/>
        </w:rPr>
        <w:t>3</w:t>
      </w:r>
      <w:r>
        <w:rPr>
          <w:rFonts w:hint="eastAsia" w:ascii="宋体" w:hAnsi="宋体"/>
          <w:b/>
          <w:snapToGrid w:val="0"/>
          <w:kern w:val="0"/>
          <w:sz w:val="28"/>
          <w:szCs w:val="28"/>
          <w:lang w:eastAsia="zh-CN"/>
        </w:rPr>
        <w:t>.</w:t>
      </w:r>
      <w:r>
        <w:rPr>
          <w:rFonts w:hint="eastAsia" w:ascii="宋体" w:hAnsi="宋体"/>
          <w:b/>
          <w:snapToGrid w:val="0"/>
          <w:kern w:val="0"/>
          <w:sz w:val="28"/>
          <w:szCs w:val="28"/>
        </w:rPr>
        <w:t>6.2 周边环境对</w:t>
      </w:r>
      <w:r>
        <w:rPr>
          <w:rFonts w:hint="eastAsia" w:ascii="宋体" w:hAnsi="宋体"/>
          <w:b/>
          <w:snapToGrid w:val="0"/>
          <w:kern w:val="0"/>
          <w:sz w:val="28"/>
          <w:szCs w:val="28"/>
          <w:lang w:eastAsia="zh-CN"/>
        </w:rPr>
        <w:t>公司</w:t>
      </w:r>
      <w:r>
        <w:rPr>
          <w:rFonts w:hint="eastAsia" w:ascii="宋体" w:hAnsi="宋体"/>
          <w:b/>
          <w:snapToGrid w:val="0"/>
          <w:kern w:val="0"/>
          <w:sz w:val="28"/>
          <w:szCs w:val="28"/>
        </w:rPr>
        <w:t>的影响分析</w:t>
      </w:r>
      <w:bookmarkEnd w:id="231"/>
      <w:bookmarkEnd w:id="232"/>
      <w:bookmarkEnd w:id="233"/>
      <w:bookmarkEnd w:id="234"/>
      <w:bookmarkEnd w:id="235"/>
      <w:bookmarkEnd w:id="236"/>
      <w:bookmarkEnd w:id="237"/>
      <w:bookmarkEnd w:id="238"/>
    </w:p>
    <w:p>
      <w:pPr>
        <w:spacing w:line="360" w:lineRule="auto"/>
        <w:ind w:firstLine="560" w:firstLineChars="200"/>
        <w:rPr>
          <w:rFonts w:hint="eastAsia" w:ascii="宋体" w:hAnsi="宋体" w:cs="宋体"/>
          <w:color w:val="auto"/>
          <w:sz w:val="28"/>
          <w:szCs w:val="28"/>
          <w:lang w:val="en-US" w:eastAsia="zh-CN"/>
        </w:rPr>
      </w:pPr>
      <w:r>
        <w:rPr>
          <w:rFonts w:hint="eastAsia" w:ascii="宋体" w:hAnsi="宋体" w:cs="宋体"/>
          <w:color w:val="auto"/>
          <w:sz w:val="28"/>
          <w:szCs w:val="28"/>
          <w:lang w:val="zh-CN" w:eastAsia="zh-CN"/>
        </w:rPr>
        <w:t>公司</w:t>
      </w:r>
      <w:r>
        <w:rPr>
          <w:rFonts w:hint="eastAsia" w:ascii="宋体" w:hAnsi="宋体" w:cs="宋体"/>
          <w:color w:val="auto"/>
          <w:sz w:val="28"/>
          <w:szCs w:val="28"/>
          <w:lang w:val="en-US" w:eastAsia="zh-CN"/>
        </w:rPr>
        <w:t>矿山开采登记范围不存在矿权重叠与边界纠纷问题，矿区附近谷地及缓坡平地为农业耕作区，斜坡以上大部分为荒坡，少量林木分布。矿区周围大多为农田，矿山范围内人类工程主要以农耕地为主。</w:t>
      </w:r>
    </w:p>
    <w:p>
      <w:pPr>
        <w:spacing w:line="360" w:lineRule="auto"/>
        <w:ind w:firstLine="560" w:firstLineChars="200"/>
        <w:rPr>
          <w:rFonts w:hint="eastAsia" w:ascii="宋体" w:hAnsi="宋体" w:cs="宋体"/>
          <w:color w:val="auto"/>
          <w:sz w:val="28"/>
          <w:szCs w:val="28"/>
          <w:lang w:val="en-US" w:eastAsia="en-US"/>
        </w:rPr>
      </w:pPr>
      <w:r>
        <w:rPr>
          <w:rFonts w:hint="eastAsia" w:ascii="宋体" w:hAnsi="宋体" w:cs="宋体"/>
          <w:color w:val="auto"/>
          <w:sz w:val="28"/>
          <w:szCs w:val="28"/>
          <w:lang w:val="en-US" w:eastAsia="zh-CN"/>
        </w:rPr>
        <w:t>砖厂朝向近似座北朝东，</w:t>
      </w:r>
      <w:r>
        <w:rPr>
          <w:rFonts w:hint="eastAsia" w:ascii="宋体" w:hAnsi="宋体" w:cs="宋体"/>
          <w:color w:val="auto"/>
          <w:sz w:val="28"/>
          <w:szCs w:val="28"/>
          <w:lang w:val="zh-CN" w:eastAsia="zh-CN"/>
        </w:rPr>
        <w:t>地处农村环境，外环境简单，具体情况如下：厂区周边主要为山坡地，植被为杂草、灌木丛及农作物，不存在珍稀植物。根据现场勘查，公司生产区周边主要为耕地、农户。公司大门位于东面，东面紧邻进厂道路，道路 两侧为农田；公司北面和西面为农田；东南面为本公司矿山页岩开采区；开采区以东为丘陵。</w:t>
      </w:r>
    </w:p>
    <w:p>
      <w:pPr>
        <w:spacing w:line="360" w:lineRule="auto"/>
        <w:ind w:firstLine="560" w:firstLineChars="200"/>
        <w:rPr>
          <w:rFonts w:hint="eastAsia" w:ascii="宋体" w:hAnsi="宋体" w:cs="宋体"/>
          <w:color w:val="auto"/>
          <w:sz w:val="28"/>
          <w:szCs w:val="28"/>
          <w:lang w:val="en-US" w:eastAsia="zh-CN"/>
        </w:rPr>
      </w:pPr>
      <w:r>
        <w:rPr>
          <w:rFonts w:hint="eastAsia" w:ascii="宋体" w:hAnsi="宋体" w:cs="宋体"/>
          <w:color w:val="auto"/>
          <w:sz w:val="28"/>
          <w:szCs w:val="28"/>
          <w:lang w:val="en-US" w:eastAsia="zh-CN"/>
        </w:rPr>
        <w:t>周边200米范围内的零散居民住户与公司的防火间距均大于50米。公司周边环境条件良好，周边环境不会对公司形成制约影响因素。</w:t>
      </w:r>
    </w:p>
    <w:p>
      <w:pPr>
        <w:pStyle w:val="8"/>
        <w:spacing w:line="360" w:lineRule="auto"/>
        <w:ind w:firstLine="0" w:firstLineChars="0"/>
        <w:outlineLvl w:val="1"/>
        <w:rPr>
          <w:rFonts w:hint="eastAsia" w:ascii="黑体" w:eastAsia="黑体"/>
          <w:b/>
          <w:snapToGrid w:val="0"/>
          <w:kern w:val="0"/>
          <w:sz w:val="32"/>
          <w:szCs w:val="32"/>
        </w:rPr>
      </w:pPr>
      <w:bookmarkStart w:id="239" w:name="_Toc480804413"/>
      <w:bookmarkStart w:id="240" w:name="_Toc356401505"/>
      <w:bookmarkStart w:id="241" w:name="_Toc350781107"/>
      <w:bookmarkStart w:id="242" w:name="_Toc514342863"/>
      <w:bookmarkStart w:id="243" w:name="_Toc6967"/>
      <w:r>
        <w:rPr>
          <w:rFonts w:hint="eastAsia" w:ascii="黑体" w:eastAsia="黑体"/>
          <w:b/>
          <w:snapToGrid w:val="0"/>
          <w:kern w:val="0"/>
          <w:sz w:val="32"/>
          <w:szCs w:val="32"/>
          <w:lang w:val="en-US" w:eastAsia="zh-CN"/>
        </w:rPr>
        <w:t>3</w:t>
      </w:r>
      <w:r>
        <w:rPr>
          <w:rFonts w:hint="eastAsia" w:ascii="黑体" w:eastAsia="黑体"/>
          <w:b/>
          <w:snapToGrid w:val="0"/>
          <w:kern w:val="0"/>
          <w:sz w:val="32"/>
          <w:szCs w:val="32"/>
          <w:lang w:eastAsia="zh-CN"/>
        </w:rPr>
        <w:t>.</w:t>
      </w:r>
      <w:r>
        <w:rPr>
          <w:rFonts w:hint="eastAsia" w:ascii="黑体" w:eastAsia="黑体"/>
          <w:b/>
          <w:snapToGrid w:val="0"/>
          <w:kern w:val="0"/>
          <w:sz w:val="32"/>
          <w:szCs w:val="32"/>
          <w:lang w:val="en-US" w:eastAsia="zh-CN"/>
        </w:rPr>
        <w:t>7</w:t>
      </w:r>
      <w:r>
        <w:rPr>
          <w:rFonts w:hint="eastAsia" w:ascii="黑体" w:eastAsia="黑体"/>
          <w:b/>
          <w:snapToGrid w:val="0"/>
          <w:kern w:val="0"/>
          <w:sz w:val="32"/>
          <w:szCs w:val="32"/>
        </w:rPr>
        <w:t xml:space="preserve"> 重大危险源辨识</w:t>
      </w:r>
      <w:bookmarkEnd w:id="239"/>
      <w:bookmarkEnd w:id="240"/>
      <w:bookmarkEnd w:id="241"/>
      <w:bookmarkEnd w:id="242"/>
      <w:bookmarkEnd w:id="243"/>
    </w:p>
    <w:p>
      <w:pPr>
        <w:pStyle w:val="8"/>
        <w:spacing w:line="360" w:lineRule="auto"/>
        <w:ind w:firstLine="0" w:firstLineChars="0"/>
        <w:outlineLvl w:val="2"/>
        <w:rPr>
          <w:rFonts w:hint="eastAsia" w:ascii="宋体" w:hAnsi="宋体"/>
          <w:b/>
          <w:snapToGrid w:val="0"/>
          <w:kern w:val="0"/>
          <w:sz w:val="28"/>
          <w:szCs w:val="28"/>
        </w:rPr>
      </w:pPr>
      <w:bookmarkStart w:id="244" w:name="_Toc351125383"/>
      <w:bookmarkStart w:id="245" w:name="_Toc480804414"/>
      <w:bookmarkStart w:id="246" w:name="_Toc514342864"/>
      <w:bookmarkStart w:id="247" w:name="_Toc356401506"/>
      <w:bookmarkStart w:id="248" w:name="_Toc31659"/>
      <w:r>
        <w:rPr>
          <w:rFonts w:hint="eastAsia" w:ascii="宋体" w:hAnsi="宋体"/>
          <w:b/>
          <w:snapToGrid w:val="0"/>
          <w:kern w:val="0"/>
          <w:sz w:val="28"/>
          <w:szCs w:val="28"/>
          <w:lang w:val="en-US" w:eastAsia="zh-CN"/>
        </w:rPr>
        <w:t>3</w:t>
      </w:r>
      <w:r>
        <w:rPr>
          <w:rFonts w:hint="eastAsia" w:ascii="宋体" w:hAnsi="宋体"/>
          <w:b/>
          <w:snapToGrid w:val="0"/>
          <w:kern w:val="0"/>
          <w:sz w:val="28"/>
          <w:szCs w:val="28"/>
          <w:lang w:eastAsia="zh-CN"/>
        </w:rPr>
        <w:t>.</w:t>
      </w:r>
      <w:r>
        <w:rPr>
          <w:rFonts w:hint="eastAsia" w:ascii="宋体" w:hAnsi="宋体"/>
          <w:b/>
          <w:snapToGrid w:val="0"/>
          <w:kern w:val="0"/>
          <w:sz w:val="28"/>
          <w:szCs w:val="28"/>
          <w:lang w:val="en-US" w:eastAsia="zh-CN"/>
        </w:rPr>
        <w:t>7</w:t>
      </w:r>
      <w:r>
        <w:rPr>
          <w:rFonts w:hint="eastAsia" w:ascii="宋体" w:hAnsi="宋体"/>
          <w:b/>
          <w:snapToGrid w:val="0"/>
          <w:kern w:val="0"/>
          <w:sz w:val="28"/>
          <w:szCs w:val="28"/>
        </w:rPr>
        <w:t>.1 辨识依据</w:t>
      </w:r>
      <w:bookmarkEnd w:id="244"/>
      <w:bookmarkEnd w:id="245"/>
      <w:bookmarkEnd w:id="246"/>
      <w:bookmarkEnd w:id="247"/>
      <w:bookmarkEnd w:id="248"/>
    </w:p>
    <w:p>
      <w:pPr>
        <w:tabs>
          <w:tab w:val="right" w:leader="hyphen" w:pos="8343"/>
        </w:tabs>
        <w:spacing w:line="360" w:lineRule="auto"/>
        <w:ind w:firstLine="560" w:firstLineChars="200"/>
        <w:rPr>
          <w:rFonts w:hint="eastAsia" w:ascii="宋体" w:hAnsi="宋体"/>
          <w:sz w:val="28"/>
          <w:szCs w:val="28"/>
        </w:rPr>
      </w:pPr>
      <w:r>
        <w:rPr>
          <w:rFonts w:hint="eastAsia" w:ascii="宋体" w:hAnsi="宋体"/>
          <w:sz w:val="28"/>
          <w:szCs w:val="28"/>
        </w:rPr>
        <w:t>根据《中华人民共和国安全生产法》、《危险化学品重大危险源辨识》（</w:t>
      </w:r>
      <w:r>
        <w:rPr>
          <w:rFonts w:hint="eastAsia" w:ascii="宋体" w:hAnsi="宋体"/>
          <w:sz w:val="28"/>
          <w:szCs w:val="28"/>
          <w:lang w:eastAsia="zh-CN"/>
        </w:rPr>
        <w:t>GB18218-2018</w:t>
      </w:r>
      <w:r>
        <w:rPr>
          <w:rFonts w:hint="eastAsia" w:ascii="宋体" w:hAnsi="宋体"/>
          <w:sz w:val="28"/>
          <w:szCs w:val="28"/>
        </w:rPr>
        <w:t>）的有关规定，重大危险源是指长期地或者临时地生产、加工、搬运、使用或储存危险物品，且危险物品的数量等于或超过临界量的场所和设施，以及其他存在危险能量等于或超过临界量的场所和设施。</w:t>
      </w:r>
    </w:p>
    <w:p>
      <w:pPr>
        <w:pStyle w:val="8"/>
        <w:spacing w:line="360" w:lineRule="auto"/>
        <w:ind w:firstLine="0" w:firstLineChars="0"/>
        <w:outlineLvl w:val="2"/>
        <w:rPr>
          <w:rFonts w:hint="eastAsia" w:ascii="宋体" w:hAnsi="宋体"/>
          <w:b/>
          <w:snapToGrid w:val="0"/>
          <w:kern w:val="0"/>
          <w:sz w:val="28"/>
          <w:szCs w:val="28"/>
        </w:rPr>
      </w:pPr>
      <w:bookmarkStart w:id="249" w:name="_Toc356401507"/>
      <w:bookmarkStart w:id="250" w:name="_Toc514342865"/>
      <w:bookmarkStart w:id="251" w:name="_Toc480804415"/>
      <w:bookmarkStart w:id="252" w:name="_Toc351125385"/>
      <w:bookmarkStart w:id="253" w:name="_Toc252"/>
      <w:r>
        <w:rPr>
          <w:rFonts w:hint="eastAsia" w:ascii="宋体" w:hAnsi="宋体"/>
          <w:b/>
          <w:snapToGrid w:val="0"/>
          <w:kern w:val="0"/>
          <w:sz w:val="28"/>
          <w:szCs w:val="28"/>
          <w:lang w:val="en-US" w:eastAsia="zh-CN"/>
        </w:rPr>
        <w:t>3</w:t>
      </w:r>
      <w:r>
        <w:rPr>
          <w:rFonts w:hint="eastAsia" w:ascii="宋体" w:hAnsi="宋体"/>
          <w:b/>
          <w:snapToGrid w:val="0"/>
          <w:kern w:val="0"/>
          <w:sz w:val="28"/>
          <w:szCs w:val="28"/>
          <w:lang w:eastAsia="zh-CN"/>
        </w:rPr>
        <w:t>.</w:t>
      </w:r>
      <w:r>
        <w:rPr>
          <w:rFonts w:hint="eastAsia" w:ascii="宋体" w:hAnsi="宋体"/>
          <w:b/>
          <w:snapToGrid w:val="0"/>
          <w:kern w:val="0"/>
          <w:sz w:val="28"/>
          <w:szCs w:val="28"/>
          <w:lang w:val="en-US" w:eastAsia="zh-CN"/>
        </w:rPr>
        <w:t>7</w:t>
      </w:r>
      <w:r>
        <w:rPr>
          <w:rFonts w:hint="eastAsia" w:ascii="宋体" w:hAnsi="宋体"/>
          <w:b/>
          <w:snapToGrid w:val="0"/>
          <w:kern w:val="0"/>
          <w:sz w:val="28"/>
          <w:szCs w:val="28"/>
        </w:rPr>
        <w:t>.2 辨识结果</w:t>
      </w:r>
      <w:bookmarkEnd w:id="249"/>
      <w:bookmarkEnd w:id="250"/>
      <w:bookmarkEnd w:id="251"/>
      <w:bookmarkEnd w:id="252"/>
      <w:bookmarkEnd w:id="253"/>
    </w:p>
    <w:p>
      <w:pPr>
        <w:spacing w:line="360" w:lineRule="auto"/>
        <w:ind w:firstLine="560" w:firstLineChars="200"/>
        <w:rPr>
          <w:rFonts w:hint="eastAsia" w:ascii="宋体" w:hAnsi="宋体"/>
          <w:sz w:val="28"/>
          <w:szCs w:val="28"/>
        </w:rPr>
      </w:pPr>
      <w:r>
        <w:rPr>
          <w:rFonts w:hint="eastAsia"/>
          <w:sz w:val="28"/>
          <w:szCs w:val="28"/>
          <w:lang w:eastAsia="zh-CN"/>
        </w:rPr>
        <w:t>公司</w:t>
      </w:r>
      <w:r>
        <w:rPr>
          <w:rFonts w:hint="eastAsia"/>
          <w:sz w:val="28"/>
          <w:szCs w:val="28"/>
        </w:rPr>
        <w:t>生产过程中的原料、辅料、中间品、产品除柴油外其余均未列入《重大危险源辨识》中，</w:t>
      </w:r>
      <w:r>
        <w:rPr>
          <w:rFonts w:hint="eastAsia"/>
          <w:sz w:val="28"/>
          <w:szCs w:val="28"/>
          <w:lang w:eastAsia="zh-CN"/>
        </w:rPr>
        <w:t>厂区</w:t>
      </w:r>
      <w:r>
        <w:rPr>
          <w:rFonts w:hint="eastAsia"/>
          <w:sz w:val="28"/>
          <w:szCs w:val="28"/>
        </w:rPr>
        <w:t>使用柴油仅做为点火燃料使用，用量少（仅备用1桶，约200L），使用频率低，</w:t>
      </w:r>
      <w:r>
        <w:rPr>
          <w:rFonts w:hint="eastAsia" w:ascii="宋体" w:hAnsi="宋体"/>
          <w:sz w:val="28"/>
          <w:szCs w:val="28"/>
        </w:rPr>
        <w:t>其临界量和拟存放量见下表：</w:t>
      </w:r>
    </w:p>
    <w:p>
      <w:pPr>
        <w:spacing w:line="360" w:lineRule="auto"/>
        <w:jc w:val="center"/>
        <w:rPr>
          <w:rFonts w:hint="eastAsia" w:ascii="黑体" w:eastAsia="黑体"/>
          <w:b/>
          <w:sz w:val="24"/>
        </w:rPr>
      </w:pPr>
      <w:r>
        <w:rPr>
          <w:rFonts w:hint="eastAsia" w:ascii="黑体" w:eastAsia="黑体"/>
          <w:b/>
          <w:sz w:val="24"/>
        </w:rPr>
        <w:t>表</w:t>
      </w:r>
      <w:r>
        <w:rPr>
          <w:rFonts w:hint="eastAsia" w:ascii="黑体" w:eastAsia="黑体"/>
          <w:b/>
          <w:sz w:val="24"/>
          <w:lang w:val="en-US" w:eastAsia="zh-CN"/>
        </w:rPr>
        <w:t>3</w:t>
      </w:r>
      <w:r>
        <w:rPr>
          <w:rFonts w:hint="eastAsia" w:ascii="黑体" w:eastAsia="黑体"/>
          <w:b/>
          <w:sz w:val="24"/>
          <w:lang w:eastAsia="zh-CN"/>
        </w:rPr>
        <w:t>-</w:t>
      </w:r>
      <w:r>
        <w:rPr>
          <w:rFonts w:hint="eastAsia" w:ascii="黑体" w:eastAsia="黑体"/>
          <w:b/>
          <w:sz w:val="24"/>
          <w:lang w:val="en-US" w:eastAsia="zh-CN"/>
        </w:rPr>
        <w:t>4</w:t>
      </w:r>
      <w:r>
        <w:rPr>
          <w:rFonts w:hint="eastAsia" w:ascii="黑体" w:eastAsia="黑体"/>
          <w:b/>
          <w:sz w:val="24"/>
        </w:rPr>
        <w:t>危险化学品名称及其临界量</w:t>
      </w:r>
    </w:p>
    <w:tbl>
      <w:tblPr>
        <w:tblStyle w:val="19"/>
        <w:tblW w:w="8711" w:type="dxa"/>
        <w:jc w:val="center"/>
        <w:tblInd w:w="12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03"/>
        <w:gridCol w:w="3526"/>
        <w:gridCol w:w="1855"/>
        <w:gridCol w:w="18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88" w:hRule="atLeast"/>
          <w:jc w:val="center"/>
        </w:trPr>
        <w:tc>
          <w:tcPr>
            <w:tcW w:w="1503" w:type="dxa"/>
            <w:noWrap w:val="0"/>
            <w:vAlign w:val="center"/>
          </w:tcPr>
          <w:p>
            <w:pPr>
              <w:pStyle w:val="25"/>
              <w:tabs>
                <w:tab w:val="left" w:pos="0"/>
              </w:tabs>
              <w:spacing w:before="0" w:after="0"/>
              <w:rPr>
                <w:rFonts w:hint="eastAsia" w:hAnsi="宋体"/>
                <w:b/>
                <w:spacing w:val="10"/>
                <w:sz w:val="24"/>
                <w:szCs w:val="24"/>
              </w:rPr>
            </w:pPr>
            <w:r>
              <w:rPr>
                <w:rFonts w:hint="eastAsia" w:hAnsi="宋体"/>
                <w:b/>
                <w:spacing w:val="10"/>
                <w:sz w:val="24"/>
                <w:szCs w:val="24"/>
              </w:rPr>
              <w:t>物质名称</w:t>
            </w:r>
          </w:p>
        </w:tc>
        <w:tc>
          <w:tcPr>
            <w:tcW w:w="3526" w:type="dxa"/>
            <w:noWrap w:val="0"/>
            <w:vAlign w:val="center"/>
          </w:tcPr>
          <w:p>
            <w:pPr>
              <w:tabs>
                <w:tab w:val="left" w:pos="0"/>
              </w:tabs>
              <w:jc w:val="center"/>
              <w:rPr>
                <w:rFonts w:hint="eastAsia" w:ascii="宋体" w:hAnsi="宋体"/>
                <w:b/>
                <w:spacing w:val="10"/>
                <w:sz w:val="24"/>
              </w:rPr>
            </w:pPr>
            <w:r>
              <w:rPr>
                <w:rFonts w:hint="eastAsia" w:ascii="宋体" w:hAnsi="宋体"/>
                <w:b/>
                <w:spacing w:val="10"/>
                <w:sz w:val="24"/>
              </w:rPr>
              <w:t>类别</w:t>
            </w:r>
          </w:p>
        </w:tc>
        <w:tc>
          <w:tcPr>
            <w:tcW w:w="1855" w:type="dxa"/>
            <w:noWrap w:val="0"/>
            <w:vAlign w:val="center"/>
          </w:tcPr>
          <w:p>
            <w:pPr>
              <w:tabs>
                <w:tab w:val="left" w:pos="0"/>
              </w:tabs>
              <w:jc w:val="center"/>
              <w:rPr>
                <w:rFonts w:hint="eastAsia" w:ascii="宋体" w:hAnsi="宋体"/>
                <w:b/>
                <w:spacing w:val="10"/>
                <w:sz w:val="24"/>
              </w:rPr>
            </w:pPr>
            <w:r>
              <w:rPr>
                <w:rFonts w:hint="eastAsia" w:ascii="宋体" w:hAnsi="宋体"/>
                <w:b/>
                <w:spacing w:val="10"/>
                <w:sz w:val="24"/>
              </w:rPr>
              <w:t>临界量/t</w:t>
            </w:r>
          </w:p>
        </w:tc>
        <w:tc>
          <w:tcPr>
            <w:tcW w:w="1827" w:type="dxa"/>
            <w:noWrap w:val="0"/>
            <w:vAlign w:val="center"/>
          </w:tcPr>
          <w:p>
            <w:pPr>
              <w:tabs>
                <w:tab w:val="left" w:pos="0"/>
              </w:tabs>
              <w:jc w:val="center"/>
              <w:rPr>
                <w:rFonts w:hint="eastAsia" w:ascii="宋体" w:hAnsi="宋体"/>
                <w:b/>
                <w:spacing w:val="10"/>
                <w:sz w:val="24"/>
              </w:rPr>
            </w:pPr>
            <w:r>
              <w:rPr>
                <w:rFonts w:hint="eastAsia" w:ascii="宋体" w:hAnsi="宋体"/>
                <w:b/>
                <w:spacing w:val="10"/>
                <w:sz w:val="24"/>
              </w:rPr>
              <w:t>实际量/t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3" w:hRule="atLeast"/>
          <w:jc w:val="center"/>
        </w:trPr>
        <w:tc>
          <w:tcPr>
            <w:tcW w:w="1503" w:type="dxa"/>
            <w:noWrap w:val="0"/>
            <w:vAlign w:val="center"/>
          </w:tcPr>
          <w:p>
            <w:pPr>
              <w:tabs>
                <w:tab w:val="left" w:pos="0"/>
              </w:tabs>
              <w:spacing w:before="100" w:beforeAutospacing="1" w:after="100" w:afterAutospacing="1"/>
              <w:jc w:val="center"/>
              <w:rPr>
                <w:rFonts w:hint="eastAsia" w:ascii="宋体" w:hAnsi="宋体"/>
                <w:spacing w:val="10"/>
                <w:sz w:val="24"/>
              </w:rPr>
            </w:pPr>
            <w:r>
              <w:rPr>
                <w:rFonts w:hint="eastAsia" w:ascii="宋体" w:hAnsi="宋体"/>
                <w:spacing w:val="10"/>
                <w:sz w:val="24"/>
              </w:rPr>
              <w:t>柴油</w:t>
            </w:r>
          </w:p>
        </w:tc>
        <w:tc>
          <w:tcPr>
            <w:tcW w:w="3526" w:type="dxa"/>
            <w:noWrap w:val="0"/>
            <w:vAlign w:val="center"/>
          </w:tcPr>
          <w:p>
            <w:pPr>
              <w:tabs>
                <w:tab w:val="left" w:pos="0"/>
              </w:tabs>
              <w:spacing w:before="100" w:beforeAutospacing="1" w:after="100" w:afterAutospacing="1"/>
              <w:jc w:val="center"/>
              <w:rPr>
                <w:rFonts w:hint="eastAsia" w:ascii="宋体" w:hAnsi="宋体"/>
                <w:spacing w:val="10"/>
                <w:sz w:val="24"/>
              </w:rPr>
            </w:pPr>
            <w:r>
              <w:rPr>
                <w:rFonts w:hint="eastAsia" w:ascii="宋体" w:hAnsi="宋体"/>
                <w:spacing w:val="10"/>
                <w:sz w:val="24"/>
              </w:rPr>
              <w:t>易燃液体（23℃&lt;闪点&lt;61℃）</w:t>
            </w:r>
          </w:p>
        </w:tc>
        <w:tc>
          <w:tcPr>
            <w:tcW w:w="1855" w:type="dxa"/>
            <w:noWrap w:val="0"/>
            <w:vAlign w:val="center"/>
          </w:tcPr>
          <w:p>
            <w:pPr>
              <w:tabs>
                <w:tab w:val="left" w:pos="0"/>
              </w:tabs>
              <w:spacing w:before="100" w:beforeAutospacing="1" w:after="100" w:afterAutospacing="1"/>
              <w:jc w:val="center"/>
              <w:rPr>
                <w:rFonts w:hint="eastAsia" w:ascii="宋体" w:hAnsi="宋体"/>
                <w:spacing w:val="10"/>
                <w:sz w:val="24"/>
              </w:rPr>
            </w:pPr>
            <w:r>
              <w:rPr>
                <w:rFonts w:hint="eastAsia" w:ascii="宋体" w:hAnsi="宋体"/>
                <w:spacing w:val="10"/>
                <w:sz w:val="24"/>
              </w:rPr>
              <w:t>5000</w:t>
            </w:r>
          </w:p>
        </w:tc>
        <w:tc>
          <w:tcPr>
            <w:tcW w:w="1827" w:type="dxa"/>
            <w:noWrap w:val="0"/>
            <w:vAlign w:val="center"/>
          </w:tcPr>
          <w:p>
            <w:pPr>
              <w:tabs>
                <w:tab w:val="left" w:pos="0"/>
              </w:tabs>
              <w:spacing w:before="100" w:beforeAutospacing="1" w:after="100" w:afterAutospacing="1"/>
              <w:jc w:val="center"/>
              <w:rPr>
                <w:rFonts w:hint="eastAsia" w:ascii="宋体" w:hAnsi="宋体"/>
                <w:spacing w:val="10"/>
                <w:sz w:val="24"/>
              </w:rPr>
            </w:pPr>
            <w:r>
              <w:rPr>
                <w:rFonts w:hint="eastAsia" w:ascii="宋体" w:hAnsi="宋体"/>
                <w:spacing w:val="10"/>
                <w:sz w:val="24"/>
              </w:rPr>
              <w:t>0.17</w:t>
            </w:r>
          </w:p>
        </w:tc>
      </w:tr>
    </w:tbl>
    <w:p>
      <w:pPr>
        <w:ind w:firstLine="420" w:firstLineChars="200"/>
        <w:rPr>
          <w:rFonts w:hint="eastAsia"/>
          <w:szCs w:val="28"/>
        </w:rPr>
      </w:pPr>
    </w:p>
    <w:p>
      <w:pPr>
        <w:spacing w:line="360" w:lineRule="auto"/>
        <w:ind w:firstLine="560" w:firstLineChars="200"/>
        <w:rPr>
          <w:rFonts w:hint="eastAsia" w:ascii="宋体" w:hAnsi="宋体"/>
          <w:kern w:val="0"/>
          <w:sz w:val="28"/>
          <w:szCs w:val="28"/>
        </w:rPr>
      </w:pPr>
      <w:r>
        <w:rPr>
          <w:rFonts w:hint="eastAsia" w:ascii="宋体" w:hAnsi="宋体"/>
          <w:sz w:val="28"/>
          <w:szCs w:val="28"/>
          <w:lang w:eastAsia="zh-CN"/>
        </w:rPr>
        <w:t>公司</w:t>
      </w:r>
      <w:r>
        <w:rPr>
          <w:rFonts w:hint="eastAsia" w:ascii="宋体" w:hAnsi="宋体"/>
          <w:sz w:val="28"/>
          <w:szCs w:val="28"/>
        </w:rPr>
        <w:t>有柴油储量1桶（200升），柴油密度0.85t/m</w:t>
      </w:r>
      <w:r>
        <w:rPr>
          <w:rFonts w:hint="eastAsia" w:ascii="宋体" w:hAnsi="宋体"/>
          <w:sz w:val="28"/>
          <w:szCs w:val="28"/>
          <w:vertAlign w:val="superscript"/>
        </w:rPr>
        <w:t>3</w:t>
      </w:r>
      <w:r>
        <w:rPr>
          <w:rFonts w:hint="eastAsia" w:ascii="宋体" w:hAnsi="宋体"/>
          <w:sz w:val="28"/>
          <w:szCs w:val="28"/>
        </w:rPr>
        <w:t>，合计0.17t。</w:t>
      </w:r>
    </w:p>
    <w:p>
      <w:pPr>
        <w:spacing w:line="360" w:lineRule="auto"/>
        <w:ind w:firstLine="560" w:firstLineChars="200"/>
        <w:rPr>
          <w:rFonts w:hint="eastAsia" w:ascii="宋体" w:hAnsi="宋体"/>
          <w:sz w:val="28"/>
          <w:szCs w:val="28"/>
          <w:lang w:eastAsia="zh-CN"/>
        </w:rPr>
      </w:pPr>
      <w:r>
        <w:rPr>
          <w:rFonts w:hint="eastAsia" w:ascii="宋体" w:hAnsi="宋体"/>
          <w:sz w:val="28"/>
          <w:szCs w:val="28"/>
          <w:lang w:eastAsia="zh-CN"/>
        </w:rPr>
        <w:t>则：0.17/5000=0.000034＜1</w:t>
      </w:r>
    </w:p>
    <w:bookmarkEnd w:id="36"/>
    <w:p>
      <w:pPr>
        <w:spacing w:line="360" w:lineRule="auto"/>
        <w:ind w:firstLine="560" w:firstLineChars="200"/>
        <w:rPr>
          <w:rFonts w:hint="eastAsia" w:ascii="宋体" w:hAnsi="宋体"/>
          <w:sz w:val="28"/>
          <w:szCs w:val="28"/>
          <w:lang w:eastAsia="zh-CN"/>
        </w:rPr>
      </w:pPr>
      <w:bookmarkStart w:id="254" w:name="_Toc10261"/>
      <w:bookmarkStart w:id="255" w:name="_Toc21054"/>
      <w:r>
        <w:rPr>
          <w:rFonts w:hint="eastAsia" w:ascii="宋体" w:hAnsi="宋体"/>
          <w:sz w:val="28"/>
          <w:szCs w:val="28"/>
          <w:lang w:eastAsia="zh-CN"/>
        </w:rPr>
        <w:t>综上所述，根据《危险化学品重大危险源辨识》(GB18218-20</w:t>
      </w:r>
      <w:r>
        <w:rPr>
          <w:rFonts w:hint="eastAsia" w:ascii="宋体" w:hAnsi="宋体"/>
          <w:sz w:val="28"/>
          <w:szCs w:val="28"/>
          <w:lang w:val="en-US" w:eastAsia="zh-CN"/>
        </w:rPr>
        <w:t>18</w:t>
      </w:r>
      <w:r>
        <w:rPr>
          <w:rFonts w:hint="eastAsia" w:ascii="宋体" w:hAnsi="宋体"/>
          <w:sz w:val="28"/>
          <w:szCs w:val="28"/>
          <w:lang w:eastAsia="zh-CN"/>
        </w:rPr>
        <w:t>)，本公司危险化学品的使用和储存均不构成危险化学品重大危险源。即，仪陇县复兴镇佳呈页岩砖厂不构成危险化学品重大危险源。</w:t>
      </w:r>
    </w:p>
    <w:p>
      <w:pPr>
        <w:pStyle w:val="8"/>
        <w:spacing w:line="360" w:lineRule="auto"/>
        <w:ind w:firstLine="0" w:firstLineChars="0"/>
        <w:outlineLvl w:val="1"/>
        <w:rPr>
          <w:rFonts w:hint="eastAsia" w:ascii="黑体" w:eastAsia="黑体"/>
          <w:b/>
          <w:snapToGrid w:val="0"/>
          <w:kern w:val="0"/>
          <w:sz w:val="32"/>
          <w:szCs w:val="32"/>
          <w:lang w:val="en-US" w:eastAsia="zh-CN"/>
        </w:rPr>
      </w:pPr>
      <w:bookmarkStart w:id="256" w:name="_Toc29614"/>
      <w:r>
        <w:rPr>
          <w:rFonts w:hint="eastAsia" w:ascii="黑体" w:eastAsia="黑体"/>
          <w:b/>
          <w:snapToGrid w:val="0"/>
          <w:kern w:val="0"/>
          <w:sz w:val="32"/>
          <w:szCs w:val="32"/>
          <w:lang w:val="en-US" w:eastAsia="zh-CN"/>
        </w:rPr>
        <w:t>3.8小结</w:t>
      </w:r>
      <w:bookmarkEnd w:id="254"/>
      <w:bookmarkEnd w:id="255"/>
      <w:bookmarkEnd w:id="256"/>
    </w:p>
    <w:p>
      <w:pPr>
        <w:spacing w:line="360" w:lineRule="auto"/>
        <w:jc w:val="center"/>
        <w:rPr>
          <w:rFonts w:hint="eastAsia" w:ascii="黑体" w:eastAsia="黑体"/>
          <w:b/>
          <w:sz w:val="24"/>
        </w:rPr>
      </w:pPr>
      <w:r>
        <w:rPr>
          <w:rFonts w:hint="eastAsia" w:ascii="黑体" w:eastAsia="黑体"/>
          <w:b/>
          <w:sz w:val="24"/>
        </w:rPr>
        <w:t>表</w:t>
      </w:r>
      <w:r>
        <w:rPr>
          <w:rFonts w:hint="eastAsia" w:ascii="黑体" w:eastAsia="黑体"/>
          <w:b/>
          <w:sz w:val="24"/>
          <w:lang w:val="en-US" w:eastAsia="zh-CN"/>
        </w:rPr>
        <w:t>3</w:t>
      </w:r>
      <w:r>
        <w:rPr>
          <w:rFonts w:ascii="黑体" w:eastAsia="黑体"/>
          <w:b/>
          <w:sz w:val="24"/>
        </w:rPr>
        <w:t>-</w:t>
      </w:r>
      <w:r>
        <w:rPr>
          <w:rFonts w:hint="eastAsia" w:ascii="黑体" w:eastAsia="黑体"/>
          <w:b/>
          <w:sz w:val="24"/>
          <w:lang w:val="en-US" w:eastAsia="zh-CN"/>
        </w:rPr>
        <w:t>5</w:t>
      </w:r>
      <w:r>
        <w:rPr>
          <w:rFonts w:ascii="黑体" w:eastAsia="黑体"/>
          <w:b/>
          <w:sz w:val="24"/>
        </w:rPr>
        <w:t xml:space="preserve">  </w:t>
      </w:r>
      <w:r>
        <w:rPr>
          <w:rFonts w:hint="eastAsia" w:ascii="黑体" w:eastAsia="黑体"/>
          <w:b/>
          <w:sz w:val="24"/>
        </w:rPr>
        <w:t>危险、有害因素汇总表</w:t>
      </w:r>
    </w:p>
    <w:tbl>
      <w:tblPr>
        <w:tblStyle w:val="19"/>
        <w:tblpPr w:leftFromText="180" w:rightFromText="180" w:vertAnchor="text" w:horzAnchor="page" w:tblpX="1249" w:tblpY="447"/>
        <w:tblOverlap w:val="never"/>
        <w:tblW w:w="96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0"/>
        <w:gridCol w:w="1594"/>
        <w:gridCol w:w="2148"/>
        <w:gridCol w:w="52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3" w:hRule="atLeast"/>
        </w:trPr>
        <w:tc>
          <w:tcPr>
            <w:tcW w:w="640" w:type="dxa"/>
            <w:noWrap w:val="0"/>
            <w:vAlign w:val="center"/>
          </w:tcPr>
          <w:p>
            <w:pPr>
              <w:spacing w:line="240" w:lineRule="auto"/>
              <w:jc w:val="center"/>
              <w:rPr>
                <w:rFonts w:hint="eastAsia" w:ascii="宋体" w:hAnsi="宋体" w:cs="宋体"/>
                <w:color w:val="auto"/>
                <w:sz w:val="24"/>
              </w:rPr>
            </w:pPr>
            <w:bookmarkStart w:id="257" w:name="_Toc29398"/>
            <w:bookmarkStart w:id="258" w:name="_Toc10334"/>
            <w:r>
              <w:rPr>
                <w:rFonts w:hint="eastAsia" w:ascii="宋体" w:hAnsi="宋体" w:cs="宋体"/>
                <w:color w:val="auto"/>
                <w:sz w:val="24"/>
              </w:rPr>
              <w:t>序号</w:t>
            </w:r>
          </w:p>
        </w:tc>
        <w:tc>
          <w:tcPr>
            <w:tcW w:w="1594" w:type="dxa"/>
            <w:noWrap w:val="0"/>
            <w:vAlign w:val="center"/>
          </w:tcPr>
          <w:p>
            <w:pPr>
              <w:spacing w:line="240" w:lineRule="auto"/>
              <w:jc w:val="center"/>
              <w:rPr>
                <w:rFonts w:hint="eastAsia" w:ascii="宋体" w:hAnsi="宋体" w:cs="宋体"/>
                <w:color w:val="auto"/>
                <w:sz w:val="24"/>
              </w:rPr>
            </w:pPr>
            <w:r>
              <w:rPr>
                <w:rFonts w:hint="eastAsia" w:ascii="宋体" w:hAnsi="宋体" w:cs="宋体"/>
                <w:color w:val="auto"/>
                <w:sz w:val="24"/>
              </w:rPr>
              <w:t>活动/工序/地点</w:t>
            </w:r>
          </w:p>
        </w:tc>
        <w:tc>
          <w:tcPr>
            <w:tcW w:w="2148" w:type="dxa"/>
            <w:noWrap w:val="0"/>
            <w:vAlign w:val="center"/>
          </w:tcPr>
          <w:p>
            <w:pPr>
              <w:spacing w:line="240" w:lineRule="auto"/>
              <w:jc w:val="center"/>
              <w:rPr>
                <w:rFonts w:hint="eastAsia" w:ascii="宋体" w:hAnsi="宋体" w:cs="宋体"/>
                <w:color w:val="auto"/>
                <w:sz w:val="24"/>
              </w:rPr>
            </w:pPr>
            <w:r>
              <w:rPr>
                <w:rFonts w:hint="eastAsia" w:ascii="宋体" w:hAnsi="宋体" w:cs="宋体"/>
                <w:color w:val="auto"/>
                <w:sz w:val="24"/>
              </w:rPr>
              <w:t>项 目</w:t>
            </w:r>
          </w:p>
        </w:tc>
        <w:tc>
          <w:tcPr>
            <w:tcW w:w="5246" w:type="dxa"/>
            <w:noWrap w:val="0"/>
            <w:vAlign w:val="center"/>
          </w:tcPr>
          <w:p>
            <w:pPr>
              <w:spacing w:line="240" w:lineRule="auto"/>
              <w:jc w:val="center"/>
              <w:rPr>
                <w:rFonts w:hint="eastAsia" w:ascii="宋体" w:hAnsi="宋体" w:cs="宋体"/>
                <w:color w:val="auto"/>
                <w:sz w:val="24"/>
              </w:rPr>
            </w:pPr>
            <w:r>
              <w:rPr>
                <w:rFonts w:hint="eastAsia" w:ascii="宋体" w:hAnsi="宋体" w:cs="宋体"/>
                <w:color w:val="auto"/>
                <w:sz w:val="24"/>
              </w:rPr>
              <w:t>主要危险、危害简要分析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3" w:hRule="atLeast"/>
        </w:trPr>
        <w:tc>
          <w:tcPr>
            <w:tcW w:w="640" w:type="dxa"/>
            <w:noWrap w:val="0"/>
            <w:vAlign w:val="center"/>
          </w:tcPr>
          <w:p>
            <w:pPr>
              <w:spacing w:line="240" w:lineRule="auto"/>
              <w:jc w:val="center"/>
              <w:rPr>
                <w:rFonts w:hint="eastAsia" w:ascii="宋体" w:hAnsi="宋体" w:cs="宋体"/>
                <w:color w:val="auto"/>
                <w:sz w:val="24"/>
              </w:rPr>
            </w:pPr>
            <w:r>
              <w:rPr>
                <w:rFonts w:hint="eastAsia" w:ascii="宋体" w:hAnsi="宋体" w:cs="宋体"/>
                <w:color w:val="auto"/>
                <w:sz w:val="24"/>
              </w:rPr>
              <w:t>1</w:t>
            </w:r>
          </w:p>
        </w:tc>
        <w:tc>
          <w:tcPr>
            <w:tcW w:w="1594" w:type="dxa"/>
            <w:vMerge w:val="restart"/>
            <w:noWrap w:val="0"/>
            <w:vAlign w:val="center"/>
          </w:tcPr>
          <w:p>
            <w:pPr>
              <w:spacing w:line="240" w:lineRule="auto"/>
              <w:jc w:val="center"/>
              <w:rPr>
                <w:rFonts w:hint="eastAsia" w:ascii="宋体" w:hAnsi="宋体" w:cs="宋体"/>
                <w:color w:val="auto"/>
                <w:sz w:val="24"/>
              </w:rPr>
            </w:pPr>
            <w:r>
              <w:rPr>
                <w:rFonts w:hint="eastAsia" w:ascii="宋体" w:hAnsi="宋体" w:cs="宋体"/>
                <w:color w:val="auto"/>
                <w:sz w:val="24"/>
              </w:rPr>
              <w:t>进入工作场所人员</w:t>
            </w:r>
          </w:p>
        </w:tc>
        <w:tc>
          <w:tcPr>
            <w:tcW w:w="2148" w:type="dxa"/>
            <w:noWrap w:val="0"/>
            <w:vAlign w:val="center"/>
          </w:tcPr>
          <w:p>
            <w:pPr>
              <w:spacing w:line="240" w:lineRule="auto"/>
              <w:jc w:val="center"/>
              <w:rPr>
                <w:rFonts w:hint="eastAsia" w:ascii="宋体" w:hAnsi="宋体" w:cs="宋体"/>
                <w:color w:val="auto"/>
                <w:sz w:val="24"/>
              </w:rPr>
            </w:pPr>
            <w:r>
              <w:rPr>
                <w:rFonts w:hint="eastAsia" w:ascii="宋体" w:hAnsi="宋体" w:cs="宋体"/>
                <w:color w:val="auto"/>
                <w:sz w:val="24"/>
              </w:rPr>
              <w:t>进场安全教育</w:t>
            </w:r>
          </w:p>
        </w:tc>
        <w:tc>
          <w:tcPr>
            <w:tcW w:w="5246" w:type="dxa"/>
            <w:noWrap w:val="0"/>
            <w:vAlign w:val="center"/>
          </w:tcPr>
          <w:p>
            <w:pPr>
              <w:spacing w:line="240" w:lineRule="auto"/>
              <w:jc w:val="left"/>
              <w:rPr>
                <w:rFonts w:hint="eastAsia" w:ascii="宋体" w:hAnsi="宋体" w:cs="宋体"/>
                <w:color w:val="auto"/>
                <w:sz w:val="24"/>
              </w:rPr>
            </w:pPr>
            <w:r>
              <w:rPr>
                <w:rFonts w:hint="eastAsia" w:ascii="宋体" w:hAnsi="宋体" w:cs="宋体"/>
                <w:color w:val="auto"/>
                <w:sz w:val="24"/>
              </w:rPr>
              <w:t>为严格按规定内容教育，造成多种伤害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3" w:hRule="atLeast"/>
        </w:trPr>
        <w:tc>
          <w:tcPr>
            <w:tcW w:w="640" w:type="dxa"/>
            <w:noWrap w:val="0"/>
            <w:vAlign w:val="center"/>
          </w:tcPr>
          <w:p>
            <w:pPr>
              <w:spacing w:line="240" w:lineRule="auto"/>
              <w:jc w:val="center"/>
              <w:rPr>
                <w:rFonts w:hint="eastAsia" w:ascii="宋体" w:hAnsi="宋体" w:cs="宋体"/>
                <w:color w:val="auto"/>
                <w:sz w:val="24"/>
              </w:rPr>
            </w:pPr>
            <w:r>
              <w:rPr>
                <w:rFonts w:hint="eastAsia" w:ascii="宋体" w:hAnsi="宋体" w:cs="宋体"/>
                <w:color w:val="auto"/>
                <w:sz w:val="24"/>
              </w:rPr>
              <w:t>2</w:t>
            </w:r>
          </w:p>
        </w:tc>
        <w:tc>
          <w:tcPr>
            <w:tcW w:w="1594" w:type="dxa"/>
            <w:vMerge w:val="continue"/>
            <w:noWrap w:val="0"/>
            <w:vAlign w:val="center"/>
          </w:tcPr>
          <w:p>
            <w:pPr>
              <w:spacing w:line="240" w:lineRule="auto"/>
              <w:jc w:val="center"/>
              <w:rPr>
                <w:rFonts w:hint="eastAsia" w:ascii="宋体" w:hAnsi="宋体" w:cs="宋体"/>
                <w:color w:val="auto"/>
                <w:sz w:val="24"/>
              </w:rPr>
            </w:pPr>
          </w:p>
        </w:tc>
        <w:tc>
          <w:tcPr>
            <w:tcW w:w="2148" w:type="dxa"/>
            <w:noWrap w:val="0"/>
            <w:vAlign w:val="center"/>
          </w:tcPr>
          <w:p>
            <w:pPr>
              <w:spacing w:line="240" w:lineRule="auto"/>
              <w:jc w:val="center"/>
              <w:rPr>
                <w:rFonts w:hint="eastAsia" w:ascii="宋体" w:hAnsi="宋体" w:cs="宋体"/>
                <w:color w:val="auto"/>
                <w:sz w:val="24"/>
              </w:rPr>
            </w:pPr>
            <w:r>
              <w:rPr>
                <w:rFonts w:hint="eastAsia" w:ascii="宋体" w:hAnsi="宋体" w:cs="宋体"/>
                <w:color w:val="auto"/>
                <w:sz w:val="24"/>
              </w:rPr>
              <w:t>特殊工种及特种作业人员培训</w:t>
            </w:r>
          </w:p>
        </w:tc>
        <w:tc>
          <w:tcPr>
            <w:tcW w:w="5246" w:type="dxa"/>
            <w:noWrap w:val="0"/>
            <w:vAlign w:val="center"/>
          </w:tcPr>
          <w:p>
            <w:pPr>
              <w:spacing w:line="240" w:lineRule="auto"/>
              <w:jc w:val="left"/>
              <w:rPr>
                <w:rFonts w:hint="eastAsia" w:ascii="宋体" w:hAnsi="宋体" w:cs="宋体"/>
                <w:color w:val="auto"/>
                <w:sz w:val="24"/>
              </w:rPr>
            </w:pPr>
            <w:r>
              <w:rPr>
                <w:rFonts w:hint="eastAsia" w:ascii="宋体" w:hAnsi="宋体" w:cs="宋体"/>
                <w:color w:val="auto"/>
                <w:sz w:val="24"/>
              </w:rPr>
              <w:t>作业人员培训效果不好，造成多种伤害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3" w:hRule="atLeast"/>
        </w:trPr>
        <w:tc>
          <w:tcPr>
            <w:tcW w:w="640" w:type="dxa"/>
            <w:noWrap w:val="0"/>
            <w:vAlign w:val="center"/>
          </w:tcPr>
          <w:p>
            <w:pPr>
              <w:spacing w:line="240" w:lineRule="auto"/>
              <w:jc w:val="center"/>
              <w:rPr>
                <w:rFonts w:hint="eastAsia" w:ascii="宋体" w:hAnsi="宋体" w:cs="宋体"/>
                <w:color w:val="auto"/>
                <w:sz w:val="24"/>
              </w:rPr>
            </w:pPr>
            <w:r>
              <w:rPr>
                <w:rFonts w:hint="eastAsia" w:ascii="宋体" w:hAnsi="宋体" w:cs="宋体"/>
                <w:color w:val="auto"/>
                <w:sz w:val="24"/>
              </w:rPr>
              <w:t>3</w:t>
            </w:r>
          </w:p>
        </w:tc>
        <w:tc>
          <w:tcPr>
            <w:tcW w:w="1594" w:type="dxa"/>
            <w:vMerge w:val="continue"/>
            <w:noWrap w:val="0"/>
            <w:vAlign w:val="center"/>
          </w:tcPr>
          <w:p>
            <w:pPr>
              <w:spacing w:line="240" w:lineRule="auto"/>
              <w:jc w:val="center"/>
              <w:rPr>
                <w:rFonts w:hint="eastAsia" w:ascii="宋体" w:hAnsi="宋体" w:cs="宋体"/>
                <w:color w:val="auto"/>
                <w:sz w:val="24"/>
              </w:rPr>
            </w:pPr>
          </w:p>
        </w:tc>
        <w:tc>
          <w:tcPr>
            <w:tcW w:w="2148" w:type="dxa"/>
            <w:noWrap w:val="0"/>
            <w:vAlign w:val="center"/>
          </w:tcPr>
          <w:p>
            <w:pPr>
              <w:spacing w:line="240" w:lineRule="auto"/>
              <w:jc w:val="center"/>
              <w:rPr>
                <w:rFonts w:hint="eastAsia" w:ascii="宋体" w:hAnsi="宋体" w:cs="宋体"/>
                <w:color w:val="auto"/>
                <w:sz w:val="24"/>
              </w:rPr>
            </w:pPr>
            <w:r>
              <w:rPr>
                <w:rFonts w:hint="eastAsia" w:ascii="宋体" w:hAnsi="宋体" w:cs="宋体"/>
                <w:color w:val="auto"/>
                <w:sz w:val="24"/>
              </w:rPr>
              <w:t>现场作业人员教育</w:t>
            </w:r>
          </w:p>
        </w:tc>
        <w:tc>
          <w:tcPr>
            <w:tcW w:w="5246" w:type="dxa"/>
            <w:noWrap w:val="0"/>
            <w:vAlign w:val="center"/>
          </w:tcPr>
          <w:p>
            <w:pPr>
              <w:spacing w:line="240" w:lineRule="auto"/>
              <w:jc w:val="left"/>
              <w:rPr>
                <w:rFonts w:hint="eastAsia" w:ascii="宋体" w:hAnsi="宋体" w:cs="宋体"/>
                <w:color w:val="auto"/>
                <w:sz w:val="24"/>
              </w:rPr>
            </w:pPr>
            <w:r>
              <w:rPr>
                <w:rFonts w:hint="eastAsia" w:ascii="宋体" w:hAnsi="宋体" w:cs="宋体"/>
                <w:color w:val="auto"/>
                <w:sz w:val="24"/>
              </w:rPr>
              <w:t>安全意识不强，发生高处坠落和物体打击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40" w:type="dxa"/>
            <w:noWrap w:val="0"/>
            <w:vAlign w:val="center"/>
          </w:tcPr>
          <w:p>
            <w:pPr>
              <w:spacing w:line="240" w:lineRule="auto"/>
              <w:jc w:val="center"/>
              <w:rPr>
                <w:rFonts w:hint="eastAsia" w:ascii="宋体" w:hAnsi="宋体" w:cs="宋体"/>
                <w:color w:val="auto"/>
                <w:sz w:val="24"/>
              </w:rPr>
            </w:pPr>
            <w:r>
              <w:rPr>
                <w:rFonts w:hint="eastAsia" w:ascii="宋体" w:hAnsi="宋体" w:cs="宋体"/>
                <w:color w:val="auto"/>
                <w:sz w:val="24"/>
              </w:rPr>
              <w:t>4</w:t>
            </w:r>
          </w:p>
        </w:tc>
        <w:tc>
          <w:tcPr>
            <w:tcW w:w="1594" w:type="dxa"/>
            <w:noWrap w:val="0"/>
            <w:vAlign w:val="center"/>
          </w:tcPr>
          <w:p>
            <w:pPr>
              <w:spacing w:line="240" w:lineRule="auto"/>
              <w:jc w:val="center"/>
              <w:rPr>
                <w:rFonts w:hint="eastAsia" w:ascii="宋体" w:hAnsi="宋体" w:cs="宋体"/>
                <w:color w:val="auto"/>
                <w:sz w:val="24"/>
              </w:rPr>
            </w:pPr>
            <w:r>
              <w:rPr>
                <w:rFonts w:hint="eastAsia" w:ascii="宋体" w:hAnsi="宋体" w:cs="宋体"/>
                <w:color w:val="auto"/>
                <w:sz w:val="24"/>
              </w:rPr>
              <w:t xml:space="preserve"> 原材料、辅料储存和运输</w:t>
            </w:r>
          </w:p>
        </w:tc>
        <w:tc>
          <w:tcPr>
            <w:tcW w:w="2148" w:type="dxa"/>
            <w:noWrap w:val="0"/>
            <w:vAlign w:val="center"/>
          </w:tcPr>
          <w:p>
            <w:pPr>
              <w:spacing w:line="240" w:lineRule="auto"/>
              <w:jc w:val="center"/>
              <w:rPr>
                <w:rFonts w:hint="eastAsia" w:ascii="宋体" w:hAnsi="宋体" w:eastAsia="宋体" w:cs="宋体"/>
                <w:color w:val="auto"/>
                <w:sz w:val="24"/>
                <w:lang w:eastAsia="zh-CN"/>
              </w:rPr>
            </w:pPr>
            <w:r>
              <w:rPr>
                <w:rFonts w:hint="eastAsia" w:ascii="宋体" w:hAnsi="宋体" w:cs="宋体"/>
                <w:color w:val="auto"/>
                <w:sz w:val="24"/>
                <w:lang w:eastAsia="zh-CN"/>
              </w:rPr>
              <w:t>页岩矿、煤、砖</w:t>
            </w:r>
          </w:p>
        </w:tc>
        <w:tc>
          <w:tcPr>
            <w:tcW w:w="5246" w:type="dxa"/>
            <w:noWrap w:val="0"/>
            <w:vAlign w:val="center"/>
          </w:tcPr>
          <w:p>
            <w:pPr>
              <w:spacing w:line="240" w:lineRule="auto"/>
              <w:jc w:val="left"/>
              <w:rPr>
                <w:rFonts w:hint="eastAsia" w:ascii="宋体" w:hAnsi="宋体" w:cs="宋体"/>
                <w:color w:val="auto"/>
                <w:sz w:val="24"/>
              </w:rPr>
            </w:pPr>
            <w:r>
              <w:rPr>
                <w:rFonts w:hint="eastAsia" w:ascii="宋体" w:hAnsi="宋体" w:cs="宋体"/>
                <w:color w:val="auto"/>
                <w:sz w:val="24"/>
              </w:rPr>
              <w:t>在装卸、</w:t>
            </w:r>
            <w:r>
              <w:rPr>
                <w:rFonts w:hint="eastAsia" w:ascii="宋体" w:hAnsi="宋体" w:cs="宋体"/>
                <w:color w:val="auto"/>
                <w:sz w:val="24"/>
                <w:lang w:eastAsia="zh-CN"/>
              </w:rPr>
              <w:t>破碎</w:t>
            </w:r>
            <w:r>
              <w:rPr>
                <w:rFonts w:hint="eastAsia" w:ascii="宋体" w:hAnsi="宋体" w:cs="宋体"/>
                <w:color w:val="auto"/>
                <w:sz w:val="24"/>
              </w:rPr>
              <w:t>、</w:t>
            </w:r>
            <w:r>
              <w:rPr>
                <w:rFonts w:hint="eastAsia" w:ascii="宋体" w:hAnsi="宋体" w:cs="宋体"/>
                <w:color w:val="auto"/>
                <w:sz w:val="24"/>
                <w:lang w:eastAsia="zh-CN"/>
              </w:rPr>
              <w:t>制砖、上煤、</w:t>
            </w:r>
            <w:r>
              <w:rPr>
                <w:rFonts w:hint="eastAsia" w:ascii="宋体" w:hAnsi="宋体" w:cs="宋体"/>
                <w:color w:val="auto"/>
                <w:sz w:val="24"/>
              </w:rPr>
              <w:t>搅拌过程中主要存在粉尘危害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8" w:hRule="atLeast"/>
        </w:trPr>
        <w:tc>
          <w:tcPr>
            <w:tcW w:w="640" w:type="dxa"/>
            <w:noWrap w:val="0"/>
            <w:vAlign w:val="center"/>
          </w:tcPr>
          <w:p>
            <w:pPr>
              <w:spacing w:line="240" w:lineRule="auto"/>
              <w:jc w:val="center"/>
              <w:rPr>
                <w:rFonts w:hint="eastAsia" w:ascii="宋体" w:hAnsi="宋体" w:eastAsia="宋体" w:cs="宋体"/>
                <w:color w:val="auto"/>
                <w:sz w:val="24"/>
                <w:lang w:eastAsia="zh-CN"/>
              </w:rPr>
            </w:pPr>
            <w:r>
              <w:rPr>
                <w:rFonts w:hint="eastAsia" w:ascii="宋体" w:hAnsi="宋体" w:cs="宋体"/>
                <w:color w:val="auto"/>
                <w:sz w:val="24"/>
              </w:rPr>
              <w:t>5</w:t>
            </w:r>
          </w:p>
        </w:tc>
        <w:tc>
          <w:tcPr>
            <w:tcW w:w="1594" w:type="dxa"/>
            <w:vMerge w:val="restart"/>
            <w:noWrap w:val="0"/>
            <w:vAlign w:val="center"/>
          </w:tcPr>
          <w:p>
            <w:pPr>
              <w:spacing w:line="240" w:lineRule="auto"/>
              <w:jc w:val="center"/>
              <w:rPr>
                <w:rFonts w:hint="eastAsia" w:ascii="宋体" w:hAnsi="宋体" w:cs="宋体"/>
                <w:color w:val="auto"/>
                <w:sz w:val="24"/>
              </w:rPr>
            </w:pPr>
            <w:r>
              <w:rPr>
                <w:rFonts w:hint="eastAsia" w:ascii="宋体" w:hAnsi="宋体" w:cs="宋体"/>
                <w:color w:val="auto"/>
                <w:sz w:val="24"/>
              </w:rPr>
              <w:t>生产</w:t>
            </w:r>
          </w:p>
          <w:p>
            <w:pPr>
              <w:spacing w:line="240" w:lineRule="auto"/>
              <w:jc w:val="center"/>
              <w:rPr>
                <w:rFonts w:hint="eastAsia" w:ascii="宋体" w:hAnsi="宋体" w:cs="宋体"/>
                <w:color w:val="auto"/>
                <w:sz w:val="24"/>
              </w:rPr>
            </w:pPr>
            <w:r>
              <w:rPr>
                <w:rFonts w:hint="eastAsia" w:ascii="宋体" w:hAnsi="宋体" w:cs="宋体"/>
                <w:color w:val="auto"/>
                <w:sz w:val="24"/>
              </w:rPr>
              <w:t>过程</w:t>
            </w:r>
          </w:p>
        </w:tc>
        <w:tc>
          <w:tcPr>
            <w:tcW w:w="2148" w:type="dxa"/>
            <w:noWrap w:val="0"/>
            <w:vAlign w:val="center"/>
          </w:tcPr>
          <w:p>
            <w:pPr>
              <w:spacing w:line="240" w:lineRule="auto"/>
              <w:jc w:val="center"/>
              <w:rPr>
                <w:rFonts w:hint="eastAsia" w:ascii="宋体" w:hAnsi="宋体" w:cs="宋体"/>
                <w:color w:val="auto"/>
                <w:sz w:val="24"/>
              </w:rPr>
            </w:pPr>
            <w:r>
              <w:rPr>
                <w:rFonts w:hint="eastAsia" w:ascii="宋体" w:hAnsi="宋体" w:cs="宋体"/>
                <w:color w:val="auto"/>
                <w:sz w:val="24"/>
              </w:rPr>
              <w:t>凿岩作业</w:t>
            </w:r>
            <w:r>
              <w:rPr>
                <w:rFonts w:hint="eastAsia" w:ascii="宋体" w:hAnsi="宋体" w:cs="宋体"/>
                <w:color w:val="auto"/>
                <w:sz w:val="24"/>
                <w:lang w:eastAsia="zh-CN"/>
              </w:rPr>
              <w:t>和</w:t>
            </w:r>
            <w:r>
              <w:rPr>
                <w:rFonts w:hint="eastAsia" w:ascii="宋体" w:hAnsi="宋体" w:cs="宋体"/>
                <w:color w:val="auto"/>
                <w:sz w:val="24"/>
              </w:rPr>
              <w:t>砖窑</w:t>
            </w:r>
            <w:r>
              <w:rPr>
                <w:rFonts w:hint="eastAsia" w:ascii="宋体" w:hAnsi="宋体" w:cs="宋体"/>
                <w:color w:val="auto"/>
                <w:sz w:val="24"/>
                <w:lang w:eastAsia="zh-CN"/>
              </w:rPr>
              <w:t>等</w:t>
            </w:r>
          </w:p>
        </w:tc>
        <w:tc>
          <w:tcPr>
            <w:tcW w:w="5246" w:type="dxa"/>
            <w:noWrap w:val="0"/>
            <w:vAlign w:val="center"/>
          </w:tcPr>
          <w:p>
            <w:pPr>
              <w:spacing w:line="240" w:lineRule="auto"/>
              <w:jc w:val="left"/>
              <w:rPr>
                <w:rFonts w:hint="eastAsia" w:ascii="宋体" w:hAnsi="宋体" w:cs="宋体"/>
                <w:color w:val="auto"/>
                <w:sz w:val="24"/>
              </w:rPr>
            </w:pPr>
            <w:r>
              <w:rPr>
                <w:rFonts w:hint="eastAsia" w:ascii="宋体" w:hAnsi="宋体" w:cs="宋体"/>
                <w:color w:val="auto"/>
                <w:sz w:val="24"/>
              </w:rPr>
              <w:t>造成物体打击及高处坠落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8" w:hRule="atLeast"/>
        </w:trPr>
        <w:tc>
          <w:tcPr>
            <w:tcW w:w="640" w:type="dxa"/>
            <w:noWrap w:val="0"/>
            <w:vAlign w:val="center"/>
          </w:tcPr>
          <w:p>
            <w:pPr>
              <w:spacing w:line="240" w:lineRule="auto"/>
              <w:jc w:val="center"/>
              <w:rPr>
                <w:rFonts w:hint="eastAsia" w:ascii="宋体" w:hAnsi="宋体" w:cs="宋体"/>
                <w:color w:val="auto"/>
                <w:sz w:val="24"/>
              </w:rPr>
            </w:pPr>
          </w:p>
        </w:tc>
        <w:tc>
          <w:tcPr>
            <w:tcW w:w="1594" w:type="dxa"/>
            <w:vMerge w:val="continue"/>
            <w:noWrap w:val="0"/>
            <w:vAlign w:val="center"/>
          </w:tcPr>
          <w:p>
            <w:pPr>
              <w:spacing w:line="240" w:lineRule="auto"/>
              <w:jc w:val="center"/>
              <w:rPr>
                <w:rFonts w:hint="eastAsia" w:ascii="宋体" w:hAnsi="宋体" w:cs="宋体"/>
                <w:color w:val="auto"/>
                <w:sz w:val="24"/>
              </w:rPr>
            </w:pPr>
          </w:p>
        </w:tc>
        <w:tc>
          <w:tcPr>
            <w:tcW w:w="2148" w:type="dxa"/>
            <w:noWrap w:val="0"/>
            <w:vAlign w:val="center"/>
          </w:tcPr>
          <w:p>
            <w:pPr>
              <w:spacing w:line="240" w:lineRule="auto"/>
              <w:jc w:val="center"/>
              <w:rPr>
                <w:rFonts w:hint="eastAsia" w:ascii="宋体" w:hAnsi="宋体" w:cs="宋体"/>
                <w:color w:val="auto"/>
                <w:sz w:val="24"/>
              </w:rPr>
            </w:pPr>
            <w:r>
              <w:rPr>
                <w:rFonts w:hint="eastAsia" w:ascii="宋体" w:hAnsi="宋体" w:cs="宋体"/>
                <w:color w:val="auto"/>
                <w:sz w:val="24"/>
                <w:lang w:eastAsia="zh-CN"/>
              </w:rPr>
              <w:t>破碎区上料口、上砖</w:t>
            </w:r>
            <w:r>
              <w:rPr>
                <w:rFonts w:hint="eastAsia" w:ascii="宋体" w:hAnsi="宋体" w:cs="宋体"/>
                <w:color w:val="auto"/>
                <w:sz w:val="24"/>
              </w:rPr>
              <w:t>作业场所</w:t>
            </w:r>
            <w:r>
              <w:rPr>
                <w:rFonts w:hint="eastAsia" w:ascii="宋体" w:hAnsi="宋体" w:cs="宋体"/>
                <w:color w:val="auto"/>
                <w:sz w:val="24"/>
                <w:lang w:eastAsia="zh-CN"/>
              </w:rPr>
              <w:t>和</w:t>
            </w:r>
            <w:r>
              <w:rPr>
                <w:rFonts w:hint="eastAsia" w:ascii="宋体" w:hAnsi="宋体" w:cs="宋体"/>
                <w:color w:val="auto"/>
                <w:sz w:val="24"/>
              </w:rPr>
              <w:t>运输途中</w:t>
            </w:r>
          </w:p>
        </w:tc>
        <w:tc>
          <w:tcPr>
            <w:tcW w:w="5246" w:type="dxa"/>
            <w:noWrap w:val="0"/>
            <w:vAlign w:val="center"/>
          </w:tcPr>
          <w:p>
            <w:pPr>
              <w:spacing w:line="240" w:lineRule="auto"/>
              <w:jc w:val="left"/>
              <w:rPr>
                <w:rFonts w:hint="eastAsia" w:ascii="宋体" w:hAnsi="宋体" w:eastAsia="宋体" w:cs="宋体"/>
                <w:color w:val="auto"/>
                <w:sz w:val="24"/>
                <w:lang w:val="en-US" w:eastAsia="zh-CN"/>
              </w:rPr>
            </w:pPr>
            <w:r>
              <w:rPr>
                <w:rFonts w:hint="eastAsia" w:ascii="宋体" w:hAnsi="宋体" w:cs="宋体"/>
                <w:color w:val="auto"/>
                <w:sz w:val="24"/>
              </w:rPr>
              <w:t>造成</w:t>
            </w:r>
            <w:r>
              <w:rPr>
                <w:rFonts w:hint="eastAsia" w:ascii="宋体" w:hAnsi="宋体" w:cs="宋体"/>
                <w:color w:val="auto"/>
                <w:sz w:val="24"/>
                <w:lang w:eastAsia="zh-CN"/>
              </w:rPr>
              <w:t>车辆伤害、机械伤害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640" w:type="dxa"/>
            <w:noWrap w:val="0"/>
            <w:vAlign w:val="center"/>
          </w:tcPr>
          <w:p>
            <w:pPr>
              <w:spacing w:line="240" w:lineRule="auto"/>
              <w:jc w:val="center"/>
              <w:rPr>
                <w:rFonts w:hint="eastAsia" w:ascii="宋体" w:hAnsi="宋体" w:eastAsia="宋体" w:cs="宋体"/>
                <w:color w:val="auto"/>
                <w:sz w:val="24"/>
                <w:lang w:eastAsia="zh-CN"/>
              </w:rPr>
            </w:pPr>
            <w:r>
              <w:rPr>
                <w:rFonts w:hint="eastAsia" w:ascii="宋体" w:hAnsi="宋体" w:cs="宋体"/>
                <w:color w:val="auto"/>
                <w:sz w:val="24"/>
              </w:rPr>
              <w:t>6</w:t>
            </w:r>
          </w:p>
        </w:tc>
        <w:tc>
          <w:tcPr>
            <w:tcW w:w="1594" w:type="dxa"/>
            <w:vMerge w:val="continue"/>
            <w:noWrap w:val="0"/>
            <w:vAlign w:val="center"/>
          </w:tcPr>
          <w:p>
            <w:pPr>
              <w:spacing w:line="240" w:lineRule="auto"/>
              <w:jc w:val="center"/>
              <w:rPr>
                <w:rFonts w:hint="eastAsia" w:ascii="宋体" w:hAnsi="宋体" w:cs="宋体"/>
                <w:color w:val="auto"/>
                <w:sz w:val="24"/>
              </w:rPr>
            </w:pPr>
          </w:p>
        </w:tc>
        <w:tc>
          <w:tcPr>
            <w:tcW w:w="2148" w:type="dxa"/>
            <w:noWrap w:val="0"/>
            <w:vAlign w:val="center"/>
          </w:tcPr>
          <w:p>
            <w:pPr>
              <w:spacing w:line="240" w:lineRule="auto"/>
              <w:jc w:val="center"/>
              <w:rPr>
                <w:rFonts w:hint="eastAsia" w:ascii="宋体" w:hAnsi="宋体" w:cs="宋体"/>
                <w:color w:val="auto"/>
                <w:sz w:val="24"/>
                <w:lang w:eastAsia="zh-CN"/>
              </w:rPr>
            </w:pPr>
            <w:r>
              <w:rPr>
                <w:rFonts w:hint="eastAsia" w:ascii="宋体" w:hAnsi="宋体" w:cs="宋体"/>
                <w:color w:val="auto"/>
                <w:sz w:val="24"/>
                <w:lang w:eastAsia="zh-CN"/>
              </w:rPr>
              <w:t>堆土场坍塌和成品区坍塌</w:t>
            </w:r>
          </w:p>
        </w:tc>
        <w:tc>
          <w:tcPr>
            <w:tcW w:w="5246" w:type="dxa"/>
            <w:noWrap w:val="0"/>
            <w:vAlign w:val="center"/>
          </w:tcPr>
          <w:p>
            <w:pPr>
              <w:spacing w:line="240" w:lineRule="auto"/>
              <w:jc w:val="left"/>
              <w:rPr>
                <w:rFonts w:hint="eastAsia" w:ascii="宋体" w:hAnsi="宋体" w:cs="宋体"/>
                <w:color w:val="auto"/>
                <w:sz w:val="24"/>
                <w:lang w:eastAsia="zh-CN"/>
              </w:rPr>
            </w:pPr>
            <w:r>
              <w:rPr>
                <w:rFonts w:hint="eastAsia" w:ascii="宋体" w:hAnsi="宋体" w:cs="宋体"/>
                <w:color w:val="auto"/>
                <w:sz w:val="24"/>
                <w:lang w:eastAsia="zh-CN"/>
              </w:rPr>
              <w:t>造成坍塌事故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640" w:type="dxa"/>
            <w:noWrap w:val="0"/>
            <w:vAlign w:val="center"/>
          </w:tcPr>
          <w:p>
            <w:pPr>
              <w:spacing w:line="240" w:lineRule="auto"/>
              <w:jc w:val="center"/>
              <w:rPr>
                <w:rFonts w:hint="eastAsia" w:ascii="宋体" w:hAnsi="宋体" w:cs="宋体"/>
                <w:color w:val="auto"/>
                <w:sz w:val="24"/>
              </w:rPr>
            </w:pPr>
          </w:p>
        </w:tc>
        <w:tc>
          <w:tcPr>
            <w:tcW w:w="1594" w:type="dxa"/>
            <w:vMerge w:val="continue"/>
            <w:noWrap w:val="0"/>
            <w:vAlign w:val="center"/>
          </w:tcPr>
          <w:p>
            <w:pPr>
              <w:spacing w:line="240" w:lineRule="auto"/>
              <w:jc w:val="center"/>
              <w:rPr>
                <w:rFonts w:hint="eastAsia" w:ascii="宋体" w:hAnsi="宋体" w:cs="宋体"/>
                <w:color w:val="auto"/>
                <w:sz w:val="24"/>
              </w:rPr>
            </w:pPr>
          </w:p>
        </w:tc>
        <w:tc>
          <w:tcPr>
            <w:tcW w:w="2148" w:type="dxa"/>
            <w:noWrap w:val="0"/>
            <w:vAlign w:val="center"/>
          </w:tcPr>
          <w:p>
            <w:pPr>
              <w:spacing w:line="240" w:lineRule="auto"/>
              <w:jc w:val="center"/>
              <w:rPr>
                <w:rFonts w:hint="eastAsia" w:ascii="宋体" w:hAnsi="宋体" w:cs="宋体"/>
                <w:color w:val="auto"/>
                <w:sz w:val="24"/>
                <w:lang w:eastAsia="zh-CN"/>
              </w:rPr>
            </w:pPr>
            <w:r>
              <w:rPr>
                <w:rFonts w:hint="eastAsia" w:ascii="宋体" w:hAnsi="宋体" w:cs="宋体"/>
                <w:color w:val="auto"/>
                <w:sz w:val="24"/>
                <w:lang w:eastAsia="zh-CN"/>
              </w:rPr>
              <w:t>烧窑过程中</w:t>
            </w:r>
          </w:p>
        </w:tc>
        <w:tc>
          <w:tcPr>
            <w:tcW w:w="5246" w:type="dxa"/>
            <w:noWrap w:val="0"/>
            <w:vAlign w:val="center"/>
          </w:tcPr>
          <w:p>
            <w:pPr>
              <w:spacing w:line="240" w:lineRule="auto"/>
              <w:jc w:val="left"/>
              <w:rPr>
                <w:rFonts w:hint="eastAsia" w:ascii="宋体" w:hAnsi="宋体" w:cs="宋体"/>
                <w:color w:val="auto"/>
                <w:sz w:val="24"/>
                <w:lang w:eastAsia="zh-CN"/>
              </w:rPr>
            </w:pPr>
            <w:r>
              <w:rPr>
                <w:rFonts w:hint="eastAsia" w:ascii="宋体" w:hAnsi="宋体" w:cs="宋体"/>
                <w:color w:val="auto"/>
                <w:sz w:val="24"/>
                <w:lang w:eastAsia="zh-CN"/>
              </w:rPr>
              <w:t>造成中毒窒息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4" w:hRule="atLeast"/>
        </w:trPr>
        <w:tc>
          <w:tcPr>
            <w:tcW w:w="640" w:type="dxa"/>
            <w:noWrap w:val="0"/>
            <w:vAlign w:val="center"/>
          </w:tcPr>
          <w:p>
            <w:pPr>
              <w:spacing w:line="240" w:lineRule="auto"/>
              <w:jc w:val="center"/>
              <w:rPr>
                <w:rFonts w:hint="eastAsia" w:ascii="宋体" w:hAnsi="宋体" w:eastAsia="宋体" w:cs="宋体"/>
                <w:color w:val="auto"/>
                <w:sz w:val="24"/>
                <w:lang w:eastAsia="zh-CN"/>
              </w:rPr>
            </w:pPr>
            <w:r>
              <w:rPr>
                <w:rFonts w:hint="eastAsia" w:ascii="宋体" w:hAnsi="宋体" w:cs="宋体"/>
                <w:color w:val="auto"/>
                <w:sz w:val="24"/>
              </w:rPr>
              <w:t>7</w:t>
            </w:r>
          </w:p>
        </w:tc>
        <w:tc>
          <w:tcPr>
            <w:tcW w:w="1594" w:type="dxa"/>
            <w:vMerge w:val="continue"/>
            <w:noWrap w:val="0"/>
            <w:vAlign w:val="center"/>
          </w:tcPr>
          <w:p>
            <w:pPr>
              <w:spacing w:line="240" w:lineRule="auto"/>
              <w:jc w:val="center"/>
              <w:rPr>
                <w:rFonts w:hint="eastAsia" w:ascii="宋体" w:hAnsi="宋体" w:cs="宋体"/>
                <w:color w:val="auto"/>
                <w:sz w:val="24"/>
              </w:rPr>
            </w:pPr>
          </w:p>
        </w:tc>
        <w:tc>
          <w:tcPr>
            <w:tcW w:w="2148" w:type="dxa"/>
            <w:noWrap w:val="0"/>
            <w:vAlign w:val="center"/>
          </w:tcPr>
          <w:p>
            <w:pPr>
              <w:spacing w:line="240" w:lineRule="auto"/>
              <w:jc w:val="center"/>
              <w:rPr>
                <w:rFonts w:hint="eastAsia" w:ascii="宋体" w:hAnsi="宋体" w:cs="宋体"/>
                <w:color w:val="auto"/>
                <w:sz w:val="24"/>
              </w:rPr>
            </w:pPr>
            <w:r>
              <w:rPr>
                <w:rFonts w:hint="eastAsia" w:ascii="宋体" w:hAnsi="宋体" w:cs="宋体"/>
                <w:color w:val="auto"/>
                <w:sz w:val="24"/>
              </w:rPr>
              <w:t>生产管理</w:t>
            </w:r>
          </w:p>
        </w:tc>
        <w:tc>
          <w:tcPr>
            <w:tcW w:w="5246" w:type="dxa"/>
            <w:noWrap w:val="0"/>
            <w:vAlign w:val="center"/>
          </w:tcPr>
          <w:p>
            <w:pPr>
              <w:spacing w:line="240" w:lineRule="auto"/>
              <w:jc w:val="left"/>
              <w:rPr>
                <w:rFonts w:hint="eastAsia" w:ascii="宋体" w:hAnsi="宋体" w:cs="宋体"/>
                <w:color w:val="auto"/>
                <w:sz w:val="24"/>
              </w:rPr>
            </w:pPr>
            <w:r>
              <w:rPr>
                <w:rFonts w:hint="eastAsia" w:ascii="宋体" w:hAnsi="宋体" w:cs="宋体"/>
                <w:color w:val="auto"/>
                <w:sz w:val="24"/>
              </w:rPr>
              <w:t>指挥错误造成多种伤害。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0" w:hRule="atLeast"/>
        </w:trPr>
        <w:tc>
          <w:tcPr>
            <w:tcW w:w="640" w:type="dxa"/>
            <w:noWrap w:val="0"/>
            <w:vAlign w:val="center"/>
          </w:tcPr>
          <w:p>
            <w:pPr>
              <w:spacing w:line="240" w:lineRule="auto"/>
              <w:jc w:val="center"/>
              <w:rPr>
                <w:rFonts w:hint="eastAsia" w:ascii="宋体" w:hAnsi="宋体" w:cs="宋体"/>
                <w:color w:val="auto"/>
                <w:sz w:val="24"/>
              </w:rPr>
            </w:pPr>
            <w:r>
              <w:rPr>
                <w:rFonts w:hint="eastAsia" w:ascii="宋体" w:hAnsi="宋体" w:cs="宋体"/>
                <w:color w:val="auto"/>
                <w:sz w:val="24"/>
                <w:lang w:val="en-US" w:eastAsia="zh-CN"/>
              </w:rPr>
              <w:t>8</w:t>
            </w:r>
          </w:p>
        </w:tc>
        <w:tc>
          <w:tcPr>
            <w:tcW w:w="1594" w:type="dxa"/>
            <w:vMerge w:val="continue"/>
            <w:noWrap w:val="0"/>
            <w:vAlign w:val="center"/>
          </w:tcPr>
          <w:p>
            <w:pPr>
              <w:spacing w:line="240" w:lineRule="auto"/>
              <w:jc w:val="center"/>
              <w:rPr>
                <w:rFonts w:hint="eastAsia" w:ascii="宋体" w:hAnsi="宋体" w:cs="宋体"/>
                <w:color w:val="auto"/>
                <w:sz w:val="24"/>
              </w:rPr>
            </w:pPr>
          </w:p>
        </w:tc>
        <w:tc>
          <w:tcPr>
            <w:tcW w:w="2148" w:type="dxa"/>
            <w:noWrap w:val="0"/>
            <w:vAlign w:val="center"/>
          </w:tcPr>
          <w:p>
            <w:pPr>
              <w:spacing w:line="240" w:lineRule="auto"/>
              <w:jc w:val="center"/>
              <w:rPr>
                <w:rFonts w:hint="eastAsia" w:ascii="宋体" w:hAnsi="宋体" w:cs="宋体"/>
                <w:color w:val="auto"/>
                <w:sz w:val="24"/>
              </w:rPr>
            </w:pPr>
            <w:r>
              <w:rPr>
                <w:rFonts w:hint="eastAsia" w:ascii="宋体" w:hAnsi="宋体" w:cs="宋体"/>
                <w:color w:val="auto"/>
                <w:sz w:val="24"/>
              </w:rPr>
              <w:t>电工作业</w:t>
            </w:r>
          </w:p>
        </w:tc>
        <w:tc>
          <w:tcPr>
            <w:tcW w:w="5246" w:type="dxa"/>
            <w:noWrap w:val="0"/>
            <w:vAlign w:val="center"/>
          </w:tcPr>
          <w:p>
            <w:pPr>
              <w:spacing w:line="240" w:lineRule="auto"/>
              <w:jc w:val="left"/>
              <w:rPr>
                <w:rFonts w:hint="eastAsia" w:ascii="宋体" w:hAnsi="宋体" w:cs="宋体"/>
                <w:color w:val="auto"/>
                <w:sz w:val="24"/>
              </w:rPr>
            </w:pPr>
            <w:r>
              <w:rPr>
                <w:rFonts w:hint="eastAsia" w:ascii="宋体" w:hAnsi="宋体" w:cs="宋体"/>
                <w:color w:val="auto"/>
                <w:sz w:val="24"/>
              </w:rPr>
              <w:t>违章操作用电造成触电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56" w:hRule="atLeast"/>
        </w:trPr>
        <w:tc>
          <w:tcPr>
            <w:tcW w:w="640" w:type="dxa"/>
            <w:noWrap w:val="0"/>
            <w:vAlign w:val="center"/>
          </w:tcPr>
          <w:p>
            <w:pPr>
              <w:spacing w:line="240" w:lineRule="auto"/>
              <w:jc w:val="center"/>
              <w:rPr>
                <w:rFonts w:hint="eastAsia" w:ascii="宋体" w:hAnsi="宋体" w:cs="宋体"/>
                <w:color w:val="auto"/>
                <w:sz w:val="24"/>
              </w:rPr>
            </w:pPr>
            <w:r>
              <w:rPr>
                <w:rFonts w:hint="eastAsia" w:ascii="宋体" w:hAnsi="宋体" w:cs="宋体"/>
                <w:color w:val="auto"/>
                <w:sz w:val="24"/>
                <w:lang w:val="en-US" w:eastAsia="zh-CN"/>
              </w:rPr>
              <w:t>9</w:t>
            </w:r>
          </w:p>
        </w:tc>
        <w:tc>
          <w:tcPr>
            <w:tcW w:w="1594" w:type="dxa"/>
            <w:vMerge w:val="restart"/>
            <w:noWrap w:val="0"/>
            <w:vAlign w:val="center"/>
          </w:tcPr>
          <w:p>
            <w:pPr>
              <w:spacing w:line="240" w:lineRule="auto"/>
              <w:jc w:val="center"/>
              <w:rPr>
                <w:rFonts w:hint="eastAsia" w:ascii="宋体" w:hAnsi="宋体" w:cs="宋体"/>
                <w:color w:val="auto"/>
                <w:sz w:val="24"/>
              </w:rPr>
            </w:pPr>
          </w:p>
          <w:p>
            <w:pPr>
              <w:spacing w:line="240" w:lineRule="auto"/>
              <w:jc w:val="center"/>
              <w:rPr>
                <w:rFonts w:hint="eastAsia" w:ascii="宋体" w:hAnsi="宋体" w:cs="宋体"/>
                <w:color w:val="auto"/>
                <w:sz w:val="24"/>
              </w:rPr>
            </w:pPr>
            <w:r>
              <w:rPr>
                <w:rFonts w:hint="eastAsia" w:ascii="宋体" w:hAnsi="宋体" w:cs="宋体"/>
                <w:color w:val="auto"/>
                <w:sz w:val="24"/>
              </w:rPr>
              <w:t>设备运行、维护和保养</w:t>
            </w:r>
          </w:p>
        </w:tc>
        <w:tc>
          <w:tcPr>
            <w:tcW w:w="2148" w:type="dxa"/>
            <w:noWrap w:val="0"/>
            <w:vAlign w:val="center"/>
          </w:tcPr>
          <w:p>
            <w:pPr>
              <w:spacing w:line="240" w:lineRule="auto"/>
              <w:jc w:val="center"/>
              <w:rPr>
                <w:rFonts w:hint="eastAsia" w:ascii="宋体" w:hAnsi="宋体" w:cs="宋体"/>
                <w:color w:val="auto"/>
                <w:sz w:val="24"/>
              </w:rPr>
            </w:pPr>
            <w:r>
              <w:rPr>
                <w:rFonts w:hint="eastAsia" w:ascii="宋体" w:hAnsi="宋体" w:cs="宋体"/>
                <w:color w:val="auto"/>
                <w:sz w:val="24"/>
              </w:rPr>
              <w:t>机动车辆驾驶(包括装载机)</w:t>
            </w:r>
          </w:p>
        </w:tc>
        <w:tc>
          <w:tcPr>
            <w:tcW w:w="5246" w:type="dxa"/>
            <w:noWrap w:val="0"/>
            <w:vAlign w:val="center"/>
          </w:tcPr>
          <w:p>
            <w:pPr>
              <w:spacing w:line="240" w:lineRule="auto"/>
              <w:jc w:val="left"/>
              <w:rPr>
                <w:rFonts w:hint="eastAsia" w:ascii="宋体" w:hAnsi="宋体" w:cs="宋体"/>
                <w:color w:val="auto"/>
                <w:sz w:val="24"/>
              </w:rPr>
            </w:pPr>
            <w:r>
              <w:rPr>
                <w:rFonts w:hint="eastAsia" w:ascii="宋体" w:hAnsi="宋体" w:cs="宋体"/>
                <w:color w:val="auto"/>
                <w:sz w:val="24"/>
              </w:rPr>
              <w:t>作业环境不良，违章驾驶造成机械伤害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91" w:hRule="atLeast"/>
        </w:trPr>
        <w:tc>
          <w:tcPr>
            <w:tcW w:w="640" w:type="dxa"/>
            <w:noWrap w:val="0"/>
            <w:vAlign w:val="center"/>
          </w:tcPr>
          <w:p>
            <w:pPr>
              <w:spacing w:line="240" w:lineRule="auto"/>
              <w:jc w:val="center"/>
              <w:rPr>
                <w:rFonts w:hint="eastAsia" w:ascii="宋体" w:hAnsi="宋体" w:cs="宋体"/>
                <w:color w:val="auto"/>
                <w:sz w:val="24"/>
              </w:rPr>
            </w:pPr>
            <w:r>
              <w:rPr>
                <w:rFonts w:hint="eastAsia" w:ascii="宋体" w:hAnsi="宋体" w:cs="宋体"/>
                <w:color w:val="auto"/>
                <w:sz w:val="24"/>
                <w:lang w:val="en-US" w:eastAsia="zh-CN"/>
              </w:rPr>
              <w:t>10</w:t>
            </w:r>
          </w:p>
        </w:tc>
        <w:tc>
          <w:tcPr>
            <w:tcW w:w="1594" w:type="dxa"/>
            <w:vMerge w:val="continue"/>
            <w:noWrap w:val="0"/>
            <w:vAlign w:val="center"/>
          </w:tcPr>
          <w:p>
            <w:pPr>
              <w:spacing w:line="240" w:lineRule="auto"/>
              <w:jc w:val="center"/>
              <w:rPr>
                <w:rFonts w:hint="eastAsia" w:ascii="宋体" w:hAnsi="宋体" w:cs="宋体"/>
                <w:color w:val="auto"/>
                <w:sz w:val="24"/>
              </w:rPr>
            </w:pPr>
          </w:p>
        </w:tc>
        <w:tc>
          <w:tcPr>
            <w:tcW w:w="2148" w:type="dxa"/>
            <w:noWrap w:val="0"/>
            <w:vAlign w:val="center"/>
          </w:tcPr>
          <w:p>
            <w:pPr>
              <w:spacing w:line="240" w:lineRule="auto"/>
              <w:jc w:val="center"/>
              <w:rPr>
                <w:rFonts w:hint="eastAsia" w:ascii="宋体" w:hAnsi="宋体" w:cs="宋体"/>
                <w:color w:val="auto"/>
                <w:sz w:val="24"/>
              </w:rPr>
            </w:pPr>
            <w:r>
              <w:rPr>
                <w:rFonts w:hint="eastAsia" w:ascii="宋体" w:hAnsi="宋体" w:cs="宋体"/>
                <w:color w:val="auto"/>
                <w:sz w:val="24"/>
              </w:rPr>
              <w:t>焊接(切割)作业</w:t>
            </w:r>
          </w:p>
        </w:tc>
        <w:tc>
          <w:tcPr>
            <w:tcW w:w="5246" w:type="dxa"/>
            <w:noWrap w:val="0"/>
            <w:vAlign w:val="center"/>
          </w:tcPr>
          <w:p>
            <w:pPr>
              <w:spacing w:line="240" w:lineRule="auto"/>
              <w:jc w:val="left"/>
              <w:rPr>
                <w:rFonts w:hint="eastAsia" w:ascii="宋体" w:hAnsi="宋体" w:cs="宋体"/>
                <w:color w:val="auto"/>
                <w:sz w:val="24"/>
              </w:rPr>
            </w:pPr>
            <w:r>
              <w:rPr>
                <w:rFonts w:hint="eastAsia" w:ascii="宋体" w:hAnsi="宋体" w:cs="宋体"/>
                <w:color w:val="auto"/>
                <w:sz w:val="24"/>
              </w:rPr>
              <w:t>紫外线、电危害粉尘等金属烟尘，造成中毒、尘肺、触电烧烫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62" w:hRule="atLeast"/>
        </w:trPr>
        <w:tc>
          <w:tcPr>
            <w:tcW w:w="640" w:type="dxa"/>
            <w:noWrap w:val="0"/>
            <w:vAlign w:val="center"/>
          </w:tcPr>
          <w:p>
            <w:pPr>
              <w:spacing w:line="240" w:lineRule="auto"/>
              <w:jc w:val="center"/>
              <w:rPr>
                <w:rFonts w:hint="eastAsia" w:ascii="宋体" w:hAnsi="宋体" w:cs="宋体"/>
                <w:color w:val="auto"/>
                <w:sz w:val="24"/>
              </w:rPr>
            </w:pPr>
            <w:r>
              <w:rPr>
                <w:rFonts w:hint="eastAsia" w:ascii="宋体" w:hAnsi="宋体" w:cs="宋体"/>
                <w:color w:val="auto"/>
                <w:sz w:val="24"/>
              </w:rPr>
              <w:t>1</w:t>
            </w:r>
            <w:r>
              <w:rPr>
                <w:rFonts w:hint="eastAsia" w:ascii="宋体" w:hAnsi="宋体" w:cs="宋体"/>
                <w:color w:val="auto"/>
                <w:sz w:val="24"/>
                <w:lang w:val="en-US" w:eastAsia="zh-CN"/>
              </w:rPr>
              <w:t>1</w:t>
            </w:r>
          </w:p>
        </w:tc>
        <w:tc>
          <w:tcPr>
            <w:tcW w:w="1594" w:type="dxa"/>
            <w:vMerge w:val="continue"/>
            <w:noWrap w:val="0"/>
            <w:vAlign w:val="center"/>
          </w:tcPr>
          <w:p>
            <w:pPr>
              <w:spacing w:line="240" w:lineRule="auto"/>
              <w:jc w:val="center"/>
              <w:rPr>
                <w:rFonts w:hint="eastAsia" w:ascii="宋体" w:hAnsi="宋体" w:cs="宋体"/>
                <w:color w:val="auto"/>
                <w:sz w:val="24"/>
              </w:rPr>
            </w:pPr>
          </w:p>
        </w:tc>
        <w:tc>
          <w:tcPr>
            <w:tcW w:w="2148" w:type="dxa"/>
            <w:noWrap w:val="0"/>
            <w:vAlign w:val="center"/>
          </w:tcPr>
          <w:p>
            <w:pPr>
              <w:spacing w:line="240" w:lineRule="auto"/>
              <w:jc w:val="center"/>
              <w:rPr>
                <w:rFonts w:hint="eastAsia" w:ascii="宋体" w:hAnsi="宋体" w:cs="宋体"/>
                <w:color w:val="auto"/>
                <w:sz w:val="24"/>
              </w:rPr>
            </w:pPr>
            <w:r>
              <w:rPr>
                <w:rFonts w:hint="eastAsia" w:ascii="宋体" w:hAnsi="宋体" w:cs="宋体"/>
                <w:color w:val="auto"/>
                <w:sz w:val="24"/>
                <w:lang w:eastAsia="zh-CN"/>
              </w:rPr>
              <w:t>制砖</w:t>
            </w:r>
            <w:r>
              <w:rPr>
                <w:rFonts w:hint="eastAsia" w:ascii="宋体" w:hAnsi="宋体" w:cs="宋体"/>
                <w:color w:val="auto"/>
                <w:sz w:val="24"/>
              </w:rPr>
              <w:t>设备</w:t>
            </w:r>
            <w:r>
              <w:rPr>
                <w:rFonts w:hint="eastAsia" w:ascii="宋体" w:hAnsi="宋体" w:cs="宋体"/>
                <w:color w:val="auto"/>
                <w:sz w:val="24"/>
                <w:lang w:eastAsia="zh-CN"/>
              </w:rPr>
              <w:t>、破碎设备</w:t>
            </w:r>
          </w:p>
        </w:tc>
        <w:tc>
          <w:tcPr>
            <w:tcW w:w="5246" w:type="dxa"/>
            <w:noWrap w:val="0"/>
            <w:vAlign w:val="center"/>
          </w:tcPr>
          <w:p>
            <w:pPr>
              <w:spacing w:line="240" w:lineRule="auto"/>
              <w:jc w:val="left"/>
              <w:rPr>
                <w:rFonts w:hint="eastAsia" w:ascii="宋体" w:hAnsi="宋体" w:cs="宋体"/>
                <w:color w:val="auto"/>
                <w:sz w:val="24"/>
              </w:rPr>
            </w:pPr>
            <w:r>
              <w:rPr>
                <w:rFonts w:hint="eastAsia" w:ascii="宋体" w:hAnsi="宋体" w:cs="宋体"/>
                <w:color w:val="auto"/>
                <w:sz w:val="24"/>
              </w:rPr>
              <w:t>结构庞大、设备复杂，结构暴露部位多，且作业时需多人配合，极易发生</w:t>
            </w:r>
            <w:r>
              <w:rPr>
                <w:rFonts w:hint="eastAsia" w:ascii="宋体" w:hAnsi="宋体" w:cs="宋体"/>
                <w:color w:val="auto"/>
                <w:sz w:val="24"/>
                <w:lang w:eastAsia="zh-CN"/>
              </w:rPr>
              <w:t>机械伤害</w:t>
            </w:r>
            <w:r>
              <w:rPr>
                <w:rFonts w:hint="eastAsia" w:ascii="宋体" w:hAnsi="宋体" w:cs="宋体"/>
                <w:color w:val="auto"/>
                <w:sz w:val="24"/>
              </w:rPr>
              <w:t>事故。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40" w:type="dxa"/>
            <w:noWrap w:val="0"/>
            <w:vAlign w:val="center"/>
          </w:tcPr>
          <w:p>
            <w:pPr>
              <w:spacing w:line="240" w:lineRule="auto"/>
              <w:jc w:val="center"/>
              <w:rPr>
                <w:rFonts w:hint="eastAsia" w:ascii="宋体" w:hAnsi="宋体" w:cs="宋体"/>
                <w:color w:val="auto"/>
                <w:sz w:val="24"/>
              </w:rPr>
            </w:pPr>
            <w:r>
              <w:rPr>
                <w:rFonts w:hint="eastAsia" w:ascii="宋体" w:hAnsi="宋体" w:cs="宋体"/>
                <w:color w:val="auto"/>
                <w:sz w:val="24"/>
              </w:rPr>
              <w:t>1</w:t>
            </w:r>
            <w:r>
              <w:rPr>
                <w:rFonts w:hint="eastAsia" w:ascii="宋体" w:hAnsi="宋体" w:cs="宋体"/>
                <w:color w:val="auto"/>
                <w:sz w:val="24"/>
                <w:lang w:val="en-US" w:eastAsia="zh-CN"/>
              </w:rPr>
              <w:t>2</w:t>
            </w:r>
          </w:p>
        </w:tc>
        <w:tc>
          <w:tcPr>
            <w:tcW w:w="1594" w:type="dxa"/>
            <w:vMerge w:val="restart"/>
            <w:noWrap w:val="0"/>
            <w:vAlign w:val="center"/>
          </w:tcPr>
          <w:p>
            <w:pPr>
              <w:spacing w:line="240" w:lineRule="auto"/>
              <w:jc w:val="center"/>
              <w:rPr>
                <w:rFonts w:hint="eastAsia" w:ascii="宋体" w:hAnsi="宋体" w:cs="宋体"/>
                <w:color w:val="auto"/>
                <w:sz w:val="24"/>
              </w:rPr>
            </w:pPr>
            <w:r>
              <w:rPr>
                <w:rFonts w:hint="eastAsia" w:ascii="宋体" w:hAnsi="宋体" w:cs="宋体"/>
                <w:color w:val="auto"/>
                <w:sz w:val="24"/>
              </w:rPr>
              <w:t>其它辅助活动</w:t>
            </w:r>
          </w:p>
        </w:tc>
        <w:tc>
          <w:tcPr>
            <w:tcW w:w="2148" w:type="dxa"/>
            <w:noWrap w:val="0"/>
            <w:vAlign w:val="center"/>
          </w:tcPr>
          <w:p>
            <w:pPr>
              <w:spacing w:line="240" w:lineRule="auto"/>
              <w:jc w:val="center"/>
              <w:rPr>
                <w:rFonts w:hint="eastAsia" w:ascii="宋体" w:hAnsi="宋体" w:cs="宋体"/>
                <w:color w:val="auto"/>
                <w:sz w:val="24"/>
              </w:rPr>
            </w:pPr>
            <w:r>
              <w:rPr>
                <w:rFonts w:hint="eastAsia" w:ascii="宋体" w:hAnsi="宋体" w:cs="宋体"/>
                <w:color w:val="auto"/>
                <w:sz w:val="24"/>
              </w:rPr>
              <w:t>档案、资料管理</w:t>
            </w:r>
          </w:p>
        </w:tc>
        <w:tc>
          <w:tcPr>
            <w:tcW w:w="5246" w:type="dxa"/>
            <w:noWrap w:val="0"/>
            <w:vAlign w:val="center"/>
          </w:tcPr>
          <w:p>
            <w:pPr>
              <w:spacing w:line="240" w:lineRule="auto"/>
              <w:jc w:val="left"/>
              <w:rPr>
                <w:rFonts w:hint="eastAsia" w:ascii="宋体" w:hAnsi="宋体" w:cs="宋体"/>
                <w:color w:val="auto"/>
                <w:sz w:val="24"/>
              </w:rPr>
            </w:pPr>
            <w:r>
              <w:rPr>
                <w:rFonts w:hint="eastAsia" w:ascii="宋体" w:hAnsi="宋体" w:cs="宋体"/>
                <w:color w:val="auto"/>
                <w:sz w:val="24"/>
              </w:rPr>
              <w:t>明火、照明线路不良等造成火灾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40" w:type="dxa"/>
            <w:noWrap w:val="0"/>
            <w:vAlign w:val="center"/>
          </w:tcPr>
          <w:p>
            <w:pPr>
              <w:spacing w:line="240" w:lineRule="auto"/>
              <w:jc w:val="center"/>
              <w:rPr>
                <w:rFonts w:hint="eastAsia" w:ascii="宋体" w:hAnsi="宋体" w:cs="宋体"/>
                <w:color w:val="auto"/>
                <w:sz w:val="24"/>
              </w:rPr>
            </w:pPr>
            <w:r>
              <w:rPr>
                <w:rFonts w:hint="eastAsia" w:ascii="宋体" w:hAnsi="宋体" w:cs="宋体"/>
                <w:color w:val="auto"/>
                <w:sz w:val="24"/>
              </w:rPr>
              <w:t>1</w:t>
            </w:r>
            <w:r>
              <w:rPr>
                <w:rFonts w:hint="eastAsia" w:ascii="宋体" w:hAnsi="宋体" w:cs="宋体"/>
                <w:color w:val="auto"/>
                <w:sz w:val="24"/>
                <w:lang w:val="en-US" w:eastAsia="zh-CN"/>
              </w:rPr>
              <w:t>3</w:t>
            </w:r>
          </w:p>
        </w:tc>
        <w:tc>
          <w:tcPr>
            <w:tcW w:w="1594" w:type="dxa"/>
            <w:vMerge w:val="continue"/>
            <w:noWrap w:val="0"/>
            <w:vAlign w:val="center"/>
          </w:tcPr>
          <w:p>
            <w:pPr>
              <w:spacing w:line="240" w:lineRule="auto"/>
              <w:jc w:val="center"/>
              <w:rPr>
                <w:rFonts w:hint="eastAsia" w:ascii="宋体" w:hAnsi="宋体" w:cs="宋体"/>
                <w:color w:val="auto"/>
                <w:sz w:val="24"/>
              </w:rPr>
            </w:pPr>
          </w:p>
        </w:tc>
        <w:tc>
          <w:tcPr>
            <w:tcW w:w="2148" w:type="dxa"/>
            <w:noWrap w:val="0"/>
            <w:vAlign w:val="center"/>
          </w:tcPr>
          <w:p>
            <w:pPr>
              <w:spacing w:line="240" w:lineRule="auto"/>
              <w:jc w:val="center"/>
              <w:rPr>
                <w:rFonts w:hint="eastAsia" w:ascii="宋体" w:hAnsi="宋体" w:cs="宋体"/>
                <w:color w:val="auto"/>
                <w:sz w:val="24"/>
              </w:rPr>
            </w:pPr>
            <w:r>
              <w:rPr>
                <w:rFonts w:hint="eastAsia" w:ascii="宋体" w:hAnsi="宋体" w:cs="宋体"/>
                <w:color w:val="auto"/>
                <w:sz w:val="24"/>
              </w:rPr>
              <w:t>办  公</w:t>
            </w:r>
          </w:p>
        </w:tc>
        <w:tc>
          <w:tcPr>
            <w:tcW w:w="5246" w:type="dxa"/>
            <w:noWrap w:val="0"/>
            <w:vAlign w:val="center"/>
          </w:tcPr>
          <w:p>
            <w:pPr>
              <w:spacing w:line="240" w:lineRule="auto"/>
              <w:jc w:val="left"/>
              <w:rPr>
                <w:rFonts w:hint="eastAsia" w:ascii="宋体" w:hAnsi="宋体" w:cs="宋体"/>
                <w:color w:val="auto"/>
                <w:sz w:val="24"/>
              </w:rPr>
            </w:pPr>
            <w:r>
              <w:rPr>
                <w:rFonts w:hint="eastAsia" w:ascii="宋体" w:hAnsi="宋体" w:cs="宋体"/>
                <w:color w:val="auto"/>
                <w:sz w:val="24"/>
              </w:rPr>
              <w:t>地面、楼梯存水及障碍物其他伤害摔伤、撞伤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40" w:type="dxa"/>
            <w:noWrap w:val="0"/>
            <w:vAlign w:val="center"/>
          </w:tcPr>
          <w:p>
            <w:pPr>
              <w:spacing w:line="240" w:lineRule="auto"/>
              <w:jc w:val="center"/>
              <w:rPr>
                <w:rFonts w:hint="eastAsia" w:ascii="宋体" w:hAnsi="宋体" w:cs="宋体"/>
                <w:color w:val="auto"/>
                <w:sz w:val="24"/>
              </w:rPr>
            </w:pPr>
            <w:r>
              <w:rPr>
                <w:rFonts w:hint="eastAsia" w:ascii="宋体" w:hAnsi="宋体" w:cs="宋体"/>
                <w:color w:val="auto"/>
                <w:sz w:val="24"/>
              </w:rPr>
              <w:t>1</w:t>
            </w:r>
            <w:r>
              <w:rPr>
                <w:rFonts w:hint="eastAsia" w:ascii="宋体" w:hAnsi="宋体" w:cs="宋体"/>
                <w:color w:val="auto"/>
                <w:sz w:val="24"/>
                <w:lang w:val="en-US" w:eastAsia="zh-CN"/>
              </w:rPr>
              <w:t>4</w:t>
            </w:r>
          </w:p>
        </w:tc>
        <w:tc>
          <w:tcPr>
            <w:tcW w:w="1594" w:type="dxa"/>
            <w:vMerge w:val="continue"/>
            <w:noWrap w:val="0"/>
            <w:vAlign w:val="center"/>
          </w:tcPr>
          <w:p>
            <w:pPr>
              <w:spacing w:line="240" w:lineRule="auto"/>
              <w:jc w:val="center"/>
              <w:rPr>
                <w:rFonts w:hint="eastAsia" w:ascii="宋体" w:hAnsi="宋体" w:cs="宋体"/>
                <w:color w:val="auto"/>
                <w:sz w:val="24"/>
              </w:rPr>
            </w:pPr>
          </w:p>
        </w:tc>
        <w:tc>
          <w:tcPr>
            <w:tcW w:w="2148" w:type="dxa"/>
            <w:noWrap w:val="0"/>
            <w:vAlign w:val="center"/>
          </w:tcPr>
          <w:p>
            <w:pPr>
              <w:spacing w:line="240" w:lineRule="auto"/>
              <w:jc w:val="center"/>
              <w:rPr>
                <w:rFonts w:hint="eastAsia" w:ascii="宋体" w:hAnsi="宋体" w:cs="宋体"/>
                <w:color w:val="auto"/>
                <w:sz w:val="24"/>
              </w:rPr>
            </w:pPr>
            <w:r>
              <w:rPr>
                <w:rFonts w:hint="eastAsia" w:ascii="宋体" w:hAnsi="宋体" w:cs="宋体"/>
                <w:color w:val="auto"/>
                <w:sz w:val="24"/>
              </w:rPr>
              <w:t>办公照明用电</w:t>
            </w:r>
          </w:p>
        </w:tc>
        <w:tc>
          <w:tcPr>
            <w:tcW w:w="5246" w:type="dxa"/>
            <w:noWrap w:val="0"/>
            <w:vAlign w:val="center"/>
          </w:tcPr>
          <w:p>
            <w:pPr>
              <w:spacing w:line="240" w:lineRule="auto"/>
              <w:jc w:val="left"/>
              <w:rPr>
                <w:rFonts w:hint="eastAsia" w:ascii="宋体" w:hAnsi="宋体" w:cs="宋体"/>
                <w:color w:val="auto"/>
                <w:sz w:val="24"/>
              </w:rPr>
            </w:pPr>
            <w:r>
              <w:rPr>
                <w:rFonts w:hint="eastAsia" w:ascii="宋体" w:hAnsi="宋体" w:cs="宋体"/>
                <w:color w:val="auto"/>
                <w:sz w:val="24"/>
              </w:rPr>
              <w:t>违章操作触电</w:t>
            </w:r>
          </w:p>
        </w:tc>
      </w:tr>
    </w:tbl>
    <w:p>
      <w:pPr>
        <w:rPr>
          <w:rFonts w:hint="eastAsia" w:ascii="黑体" w:hAnsi="宋体" w:eastAsia="黑体"/>
          <w:b/>
          <w:sz w:val="32"/>
          <w:szCs w:val="32"/>
          <w:lang w:val="en-US" w:eastAsia="zh-CN"/>
        </w:rPr>
      </w:pPr>
      <w:r>
        <w:rPr>
          <w:rFonts w:hint="eastAsia" w:ascii="黑体" w:hAnsi="宋体" w:eastAsia="黑体"/>
          <w:b/>
          <w:sz w:val="32"/>
          <w:szCs w:val="32"/>
          <w:lang w:val="en-US" w:eastAsia="zh-CN"/>
        </w:rPr>
        <w:br w:type="page"/>
      </w:r>
    </w:p>
    <w:p>
      <w:pPr>
        <w:numPr>
          <w:ilvl w:val="0"/>
          <w:numId w:val="0"/>
        </w:numPr>
        <w:spacing w:line="360" w:lineRule="auto"/>
        <w:jc w:val="center"/>
        <w:outlineLvl w:val="0"/>
        <w:rPr>
          <w:rFonts w:hint="eastAsia" w:ascii="黑体" w:hAnsi="宋体" w:eastAsia="黑体"/>
          <w:b/>
          <w:sz w:val="32"/>
          <w:szCs w:val="32"/>
        </w:rPr>
      </w:pPr>
      <w:bookmarkStart w:id="259" w:name="_Toc28567"/>
      <w:r>
        <w:rPr>
          <w:rFonts w:hint="eastAsia" w:ascii="黑体" w:hAnsi="宋体" w:eastAsia="黑体"/>
          <w:b/>
          <w:sz w:val="32"/>
          <w:szCs w:val="32"/>
          <w:lang w:val="en-US" w:eastAsia="zh-CN"/>
        </w:rPr>
        <w:t>4</w:t>
      </w:r>
      <w:r>
        <w:rPr>
          <w:rFonts w:hint="eastAsia" w:ascii="黑体" w:hAnsi="宋体" w:eastAsia="黑体"/>
          <w:b/>
          <w:sz w:val="32"/>
          <w:szCs w:val="32"/>
        </w:rPr>
        <w:t>评估结论与建议</w:t>
      </w:r>
      <w:bookmarkEnd w:id="257"/>
      <w:bookmarkEnd w:id="259"/>
    </w:p>
    <w:p>
      <w:pPr>
        <w:pStyle w:val="5"/>
        <w:autoSpaceDN w:val="0"/>
        <w:spacing w:before="0" w:after="0" w:line="360" w:lineRule="auto"/>
        <w:jc w:val="left"/>
        <w:rPr>
          <w:rFonts w:hint="eastAsia" w:ascii="黑体" w:hAnsi="黑体"/>
          <w:sz w:val="28"/>
          <w:szCs w:val="28"/>
          <w:lang w:val="en-US" w:eastAsia="zh-CN"/>
        </w:rPr>
      </w:pPr>
      <w:bookmarkStart w:id="260" w:name="_Toc11284"/>
      <w:r>
        <w:rPr>
          <w:rFonts w:hint="eastAsia" w:ascii="黑体" w:hAnsi="黑体"/>
          <w:sz w:val="28"/>
          <w:szCs w:val="28"/>
          <w:lang w:val="en-US" w:eastAsia="zh-CN"/>
        </w:rPr>
        <w:t>4.1总体评价结论</w:t>
      </w:r>
      <w:bookmarkEnd w:id="258"/>
      <w:bookmarkEnd w:id="260"/>
    </w:p>
    <w:p>
      <w:pPr>
        <w:spacing w:line="360" w:lineRule="auto"/>
        <w:ind w:firstLine="560" w:firstLineChars="200"/>
        <w:rPr>
          <w:rFonts w:hint="eastAsia" w:ascii="宋体" w:hAnsi="宋体" w:cs="宋体"/>
          <w:color w:val="auto"/>
          <w:sz w:val="28"/>
          <w:szCs w:val="28"/>
          <w:lang w:eastAsia="zh-CN"/>
        </w:rPr>
      </w:pPr>
      <w:r>
        <w:rPr>
          <w:rFonts w:hint="eastAsia" w:ascii="宋体" w:hAnsi="宋体" w:cs="宋体"/>
          <w:color w:val="auto"/>
          <w:sz w:val="28"/>
          <w:szCs w:val="28"/>
          <w:lang w:eastAsia="zh-CN"/>
        </w:rPr>
        <w:t>通过对仪陇县复兴镇佳呈页岩砖厂周边环境、总平面布置及建构筑物、生产设施与设备安全、生产工艺控制、危险化学品储存使用、公辅工程、安全管理等方面的综合评价，本公司各类危险源均处在动态监控中，在日常生产过程中发现隐患问题，能够及时得到整改，加强员工教育，杜绝“三违”现象，就能够做到事故可防可控。本公司《生产安全事故应急救援预案》内容具有可操作性，对事故应急总的处置方案和具体岗位的应急操作流程进行了详细规定，通过对应急救援机构、应急救援队伍、应急救援装备、应急救援物质储备、应急救援医疗保障的调查，与实际情况相符。</w:t>
      </w:r>
    </w:p>
    <w:p>
      <w:pPr>
        <w:pStyle w:val="5"/>
        <w:autoSpaceDN w:val="0"/>
        <w:spacing w:before="0" w:after="0" w:line="360" w:lineRule="auto"/>
        <w:jc w:val="left"/>
        <w:rPr>
          <w:rFonts w:hint="eastAsia" w:ascii="黑体" w:hAnsi="黑体"/>
          <w:sz w:val="28"/>
          <w:szCs w:val="28"/>
        </w:rPr>
      </w:pPr>
      <w:bookmarkStart w:id="261" w:name="_Toc22214"/>
      <w:bookmarkStart w:id="262" w:name="_Toc5799"/>
      <w:bookmarkStart w:id="263" w:name="_Toc8549"/>
      <w:r>
        <w:rPr>
          <w:rFonts w:hint="eastAsia" w:ascii="黑体" w:hAnsi="黑体"/>
          <w:sz w:val="28"/>
          <w:szCs w:val="28"/>
          <w:lang w:val="en-US" w:eastAsia="zh-CN"/>
        </w:rPr>
        <w:t>4</w:t>
      </w:r>
      <w:r>
        <w:rPr>
          <w:rFonts w:hint="eastAsia" w:ascii="黑体" w:hAnsi="黑体"/>
          <w:sz w:val="28"/>
          <w:szCs w:val="28"/>
        </w:rPr>
        <w:t>.</w:t>
      </w:r>
      <w:r>
        <w:rPr>
          <w:rFonts w:hint="eastAsia" w:ascii="黑体" w:hAnsi="黑体"/>
          <w:sz w:val="28"/>
          <w:szCs w:val="28"/>
          <w:lang w:val="en-US" w:eastAsia="zh-CN"/>
        </w:rPr>
        <w:t>2</w:t>
      </w:r>
      <w:r>
        <w:rPr>
          <w:rFonts w:hint="eastAsia" w:ascii="黑体" w:hAnsi="黑体"/>
          <w:sz w:val="28"/>
          <w:szCs w:val="28"/>
        </w:rPr>
        <w:t>建议</w:t>
      </w:r>
      <w:bookmarkEnd w:id="261"/>
      <w:bookmarkEnd w:id="262"/>
      <w:bookmarkEnd w:id="263"/>
    </w:p>
    <w:p>
      <w:pPr>
        <w:spacing w:line="360" w:lineRule="auto"/>
        <w:ind w:firstLine="560" w:firstLineChars="200"/>
        <w:rPr>
          <w:sz w:val="28"/>
          <w:szCs w:val="28"/>
        </w:rPr>
      </w:pPr>
      <w:r>
        <w:rPr>
          <w:sz w:val="28"/>
          <w:szCs w:val="28"/>
        </w:rPr>
        <w:t>（1）应加强对现有安全措施及消防装置的维护检查，确保安全设施及消防措施的可靠性，在发生险情时能有效地发挥其作用。对损坏、失效的消防设备设施要作到及时修复和更换。</w:t>
      </w:r>
    </w:p>
    <w:p>
      <w:pPr>
        <w:spacing w:line="360" w:lineRule="auto"/>
        <w:ind w:firstLine="560" w:firstLineChars="200"/>
        <w:rPr>
          <w:sz w:val="28"/>
          <w:szCs w:val="28"/>
        </w:rPr>
      </w:pPr>
      <w:r>
        <w:rPr>
          <w:sz w:val="28"/>
          <w:szCs w:val="28"/>
        </w:rPr>
        <w:t>（2）应增加应急救援器材，确保事故发生或作业人员发生人身伤害时，能够及时采取有效救援措施，减轻伤害程度，控制事故的发展。</w:t>
      </w:r>
    </w:p>
    <w:p>
      <w:pPr>
        <w:rPr>
          <w:rFonts w:hint="eastAsia"/>
          <w:lang w:val="en-US" w:eastAsia="zh-CN"/>
        </w:rPr>
      </w:pPr>
    </w:p>
    <w:sectPr>
      <w:footerReference r:id="rId3" w:type="default"/>
      <w:pgSz w:w="11906" w:h="16838"/>
      <w:pgMar w:top="1440" w:right="1800" w:bottom="1440" w:left="1800" w:header="851" w:footer="992" w:gutter="0"/>
      <w:pgNumType w:fmt="decimal"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方正仿宋简体">
    <w:altName w:val="宋体"/>
    <w:panose1 w:val="02010601030101010101"/>
    <w:charset w:val="86"/>
    <w:family w:val="auto"/>
    <w:pitch w:val="default"/>
    <w:sig w:usb0="00000000" w:usb1="00000000" w:usb2="00000010" w:usb3="00000000" w:csb0="00040000" w:csb1="00000000"/>
  </w:font>
  <w:font w:name="Arial Unicode MS">
    <w:altName w:val="宋体"/>
    <w:panose1 w:val="020B0604020202020204"/>
    <w:charset w:val="86"/>
    <w:family w:val="swiss"/>
    <w:pitch w:val="default"/>
    <w:sig w:usb0="00000000" w:usb1="00000000" w:usb2="0000003F" w:usb3="00000000" w:csb0="003F01FF" w:csb1="00000000"/>
  </w:font>
  <w:font w:name="PMingLiU">
    <w:altName w:val="PMingLiU-ExtB"/>
    <w:panose1 w:val="02020500000000000000"/>
    <w:charset w:val="78"/>
    <w:family w:val="auto"/>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JvSDC8VAgAAEwQAAA4AAAAAAAAA&#10;AQAgAAAAHwEAAGRycy9lMm9Eb2MueG1sUEsFBgAAAAAGAAYAWQEAAKYFAAAAAA==&#10;">
              <v:fill on="f" focussize="0,0"/>
              <v:stroke on="f" weight="0.5pt"/>
              <v:imagedata o:title=""/>
              <o:lock v:ext="edit" aspectratio="f"/>
              <v:textbox inset="0mm,0mm,0mm,0mm" style="mso-fit-shape-to-text:t;">
                <w:txbxContent>
                  <w:p>
                    <w:pPr>
                      <w:pStyle w:val="13"/>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1"/>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AF723BC"/>
    <w:rsid w:val="00324365"/>
    <w:rsid w:val="005247D8"/>
    <w:rsid w:val="005D60C3"/>
    <w:rsid w:val="00B44381"/>
    <w:rsid w:val="01D26CA9"/>
    <w:rsid w:val="02EB4D5F"/>
    <w:rsid w:val="03D37A5F"/>
    <w:rsid w:val="059A7F41"/>
    <w:rsid w:val="06330342"/>
    <w:rsid w:val="06867417"/>
    <w:rsid w:val="069D7701"/>
    <w:rsid w:val="07024A58"/>
    <w:rsid w:val="0731706A"/>
    <w:rsid w:val="077C2AC8"/>
    <w:rsid w:val="07835CC2"/>
    <w:rsid w:val="07A44FA0"/>
    <w:rsid w:val="07B56C35"/>
    <w:rsid w:val="07E323AA"/>
    <w:rsid w:val="07F26DF4"/>
    <w:rsid w:val="0808585B"/>
    <w:rsid w:val="08FB3207"/>
    <w:rsid w:val="0A1B12D6"/>
    <w:rsid w:val="0A54055C"/>
    <w:rsid w:val="0A5621CC"/>
    <w:rsid w:val="0AE45EDA"/>
    <w:rsid w:val="0AF829E5"/>
    <w:rsid w:val="0C18342B"/>
    <w:rsid w:val="0D066290"/>
    <w:rsid w:val="0D3B3E73"/>
    <w:rsid w:val="0DE0620E"/>
    <w:rsid w:val="0E6D3139"/>
    <w:rsid w:val="0EB95D58"/>
    <w:rsid w:val="0ECB0C27"/>
    <w:rsid w:val="0F25281E"/>
    <w:rsid w:val="0F77136B"/>
    <w:rsid w:val="0F842DC8"/>
    <w:rsid w:val="0FE50957"/>
    <w:rsid w:val="10FF4A2E"/>
    <w:rsid w:val="112E4204"/>
    <w:rsid w:val="11385FCD"/>
    <w:rsid w:val="11C747FB"/>
    <w:rsid w:val="11D61819"/>
    <w:rsid w:val="11F65369"/>
    <w:rsid w:val="123F4030"/>
    <w:rsid w:val="12651DAC"/>
    <w:rsid w:val="128342A7"/>
    <w:rsid w:val="12CA5EC1"/>
    <w:rsid w:val="13174795"/>
    <w:rsid w:val="134B441C"/>
    <w:rsid w:val="136C6E71"/>
    <w:rsid w:val="13C77420"/>
    <w:rsid w:val="143B6186"/>
    <w:rsid w:val="14694763"/>
    <w:rsid w:val="14742777"/>
    <w:rsid w:val="149039AD"/>
    <w:rsid w:val="15570D21"/>
    <w:rsid w:val="155E39C3"/>
    <w:rsid w:val="158733A6"/>
    <w:rsid w:val="15A14830"/>
    <w:rsid w:val="165B5ABE"/>
    <w:rsid w:val="16ED61B4"/>
    <w:rsid w:val="170B2C2B"/>
    <w:rsid w:val="173B5FB4"/>
    <w:rsid w:val="17D8718E"/>
    <w:rsid w:val="18A56828"/>
    <w:rsid w:val="18E72215"/>
    <w:rsid w:val="18E80829"/>
    <w:rsid w:val="19837993"/>
    <w:rsid w:val="19D37E9F"/>
    <w:rsid w:val="1A4F49A7"/>
    <w:rsid w:val="1AF723BC"/>
    <w:rsid w:val="1B584D22"/>
    <w:rsid w:val="1B7B5998"/>
    <w:rsid w:val="1BB675E2"/>
    <w:rsid w:val="1BCF066F"/>
    <w:rsid w:val="1BD90D39"/>
    <w:rsid w:val="1BEC385B"/>
    <w:rsid w:val="1C0A5497"/>
    <w:rsid w:val="1D752B45"/>
    <w:rsid w:val="1D85003A"/>
    <w:rsid w:val="1DC712A8"/>
    <w:rsid w:val="1DEB3E64"/>
    <w:rsid w:val="1E165C3D"/>
    <w:rsid w:val="1E220183"/>
    <w:rsid w:val="1E506871"/>
    <w:rsid w:val="1E8E35FC"/>
    <w:rsid w:val="1F2F4931"/>
    <w:rsid w:val="1F4340AC"/>
    <w:rsid w:val="1F647F1F"/>
    <w:rsid w:val="1F7A37C8"/>
    <w:rsid w:val="1F8D03F9"/>
    <w:rsid w:val="1F8E5F41"/>
    <w:rsid w:val="1FB86C9B"/>
    <w:rsid w:val="1FC13459"/>
    <w:rsid w:val="1FE208B9"/>
    <w:rsid w:val="208858FB"/>
    <w:rsid w:val="22C3776E"/>
    <w:rsid w:val="22C6063A"/>
    <w:rsid w:val="22D832A8"/>
    <w:rsid w:val="22E40C74"/>
    <w:rsid w:val="22E759E4"/>
    <w:rsid w:val="23032879"/>
    <w:rsid w:val="23D97413"/>
    <w:rsid w:val="240D3547"/>
    <w:rsid w:val="2439225C"/>
    <w:rsid w:val="24450122"/>
    <w:rsid w:val="244C16C4"/>
    <w:rsid w:val="245A3C4E"/>
    <w:rsid w:val="25AF1A07"/>
    <w:rsid w:val="25F57BEE"/>
    <w:rsid w:val="26503425"/>
    <w:rsid w:val="26524A71"/>
    <w:rsid w:val="26E103D1"/>
    <w:rsid w:val="27614997"/>
    <w:rsid w:val="277D73A1"/>
    <w:rsid w:val="2793442C"/>
    <w:rsid w:val="27C206E8"/>
    <w:rsid w:val="28982FE2"/>
    <w:rsid w:val="28B83BFF"/>
    <w:rsid w:val="290F2046"/>
    <w:rsid w:val="2923409D"/>
    <w:rsid w:val="294C2435"/>
    <w:rsid w:val="298C52F0"/>
    <w:rsid w:val="2A1D0F47"/>
    <w:rsid w:val="2A5B6A09"/>
    <w:rsid w:val="2B34415E"/>
    <w:rsid w:val="2BDD5569"/>
    <w:rsid w:val="2C0870D6"/>
    <w:rsid w:val="2C5A6C5D"/>
    <w:rsid w:val="2C955142"/>
    <w:rsid w:val="2CB53128"/>
    <w:rsid w:val="2CD176A6"/>
    <w:rsid w:val="2CE5756B"/>
    <w:rsid w:val="2D17630C"/>
    <w:rsid w:val="2D2D3B92"/>
    <w:rsid w:val="2D980C0B"/>
    <w:rsid w:val="2DA36ECA"/>
    <w:rsid w:val="2DFE08A6"/>
    <w:rsid w:val="2E313DDB"/>
    <w:rsid w:val="2EB87CC0"/>
    <w:rsid w:val="2EC16023"/>
    <w:rsid w:val="2ED80F4B"/>
    <w:rsid w:val="2F1B7849"/>
    <w:rsid w:val="300251B5"/>
    <w:rsid w:val="305C4346"/>
    <w:rsid w:val="310028DA"/>
    <w:rsid w:val="313177DD"/>
    <w:rsid w:val="32240BF8"/>
    <w:rsid w:val="322A0AE4"/>
    <w:rsid w:val="3235563A"/>
    <w:rsid w:val="32683B2D"/>
    <w:rsid w:val="327E3643"/>
    <w:rsid w:val="32AF5AD2"/>
    <w:rsid w:val="32C563AD"/>
    <w:rsid w:val="32FE496E"/>
    <w:rsid w:val="330772D7"/>
    <w:rsid w:val="330C362C"/>
    <w:rsid w:val="335A7005"/>
    <w:rsid w:val="33956D13"/>
    <w:rsid w:val="339D79F1"/>
    <w:rsid w:val="33A20370"/>
    <w:rsid w:val="33B37D8A"/>
    <w:rsid w:val="33BB103D"/>
    <w:rsid w:val="343E683F"/>
    <w:rsid w:val="34554F53"/>
    <w:rsid w:val="347F25F8"/>
    <w:rsid w:val="37095278"/>
    <w:rsid w:val="37260A87"/>
    <w:rsid w:val="376A4991"/>
    <w:rsid w:val="388958CC"/>
    <w:rsid w:val="393A7B4C"/>
    <w:rsid w:val="39A80794"/>
    <w:rsid w:val="39CB2810"/>
    <w:rsid w:val="3A5F15D0"/>
    <w:rsid w:val="3A7A59C2"/>
    <w:rsid w:val="3A8A5198"/>
    <w:rsid w:val="3CE4144F"/>
    <w:rsid w:val="3D294EE0"/>
    <w:rsid w:val="3DAE5076"/>
    <w:rsid w:val="3DE73B46"/>
    <w:rsid w:val="3DE83AD0"/>
    <w:rsid w:val="3E9F6159"/>
    <w:rsid w:val="3FBC7E4E"/>
    <w:rsid w:val="3FDC1A36"/>
    <w:rsid w:val="3FDD2101"/>
    <w:rsid w:val="3FEA6A42"/>
    <w:rsid w:val="409F3EEA"/>
    <w:rsid w:val="40A21DB4"/>
    <w:rsid w:val="40B7729C"/>
    <w:rsid w:val="411F7579"/>
    <w:rsid w:val="41355E93"/>
    <w:rsid w:val="41730BF7"/>
    <w:rsid w:val="433507F9"/>
    <w:rsid w:val="45770186"/>
    <w:rsid w:val="459F7826"/>
    <w:rsid w:val="464A1410"/>
    <w:rsid w:val="46F66BD7"/>
    <w:rsid w:val="47341022"/>
    <w:rsid w:val="477E3CE3"/>
    <w:rsid w:val="483B34B0"/>
    <w:rsid w:val="491C391B"/>
    <w:rsid w:val="498E082D"/>
    <w:rsid w:val="4A720B65"/>
    <w:rsid w:val="4AAF0090"/>
    <w:rsid w:val="4B064935"/>
    <w:rsid w:val="4B220275"/>
    <w:rsid w:val="4B483AD9"/>
    <w:rsid w:val="4B6768D2"/>
    <w:rsid w:val="4BFC05F5"/>
    <w:rsid w:val="4C0F77AD"/>
    <w:rsid w:val="4C6D0410"/>
    <w:rsid w:val="4C8611D9"/>
    <w:rsid w:val="4D02687F"/>
    <w:rsid w:val="4D453DC9"/>
    <w:rsid w:val="4D8D0BEB"/>
    <w:rsid w:val="4DF07C13"/>
    <w:rsid w:val="4E426085"/>
    <w:rsid w:val="4ED74A31"/>
    <w:rsid w:val="4EFD13C2"/>
    <w:rsid w:val="4F8275E2"/>
    <w:rsid w:val="50993D59"/>
    <w:rsid w:val="515512D0"/>
    <w:rsid w:val="516E3E1E"/>
    <w:rsid w:val="51770C66"/>
    <w:rsid w:val="51C92B72"/>
    <w:rsid w:val="51F47B43"/>
    <w:rsid w:val="525C2381"/>
    <w:rsid w:val="52622A40"/>
    <w:rsid w:val="532B27D1"/>
    <w:rsid w:val="53A07D90"/>
    <w:rsid w:val="53C43072"/>
    <w:rsid w:val="53EA2B27"/>
    <w:rsid w:val="540B4142"/>
    <w:rsid w:val="5455526C"/>
    <w:rsid w:val="54D21C50"/>
    <w:rsid w:val="55FD3636"/>
    <w:rsid w:val="564C147E"/>
    <w:rsid w:val="56775B43"/>
    <w:rsid w:val="57D309C6"/>
    <w:rsid w:val="58B72C33"/>
    <w:rsid w:val="592F0C5C"/>
    <w:rsid w:val="59336AE3"/>
    <w:rsid w:val="59A421BC"/>
    <w:rsid w:val="59E15F92"/>
    <w:rsid w:val="59ED3977"/>
    <w:rsid w:val="5A0C0B47"/>
    <w:rsid w:val="5B8C578C"/>
    <w:rsid w:val="5B942AB1"/>
    <w:rsid w:val="5BA27CFF"/>
    <w:rsid w:val="5BEC5827"/>
    <w:rsid w:val="5C2E219B"/>
    <w:rsid w:val="5C6F0596"/>
    <w:rsid w:val="5CB37775"/>
    <w:rsid w:val="5DDA2367"/>
    <w:rsid w:val="5E373F89"/>
    <w:rsid w:val="5E9B5A1F"/>
    <w:rsid w:val="5EFD55DF"/>
    <w:rsid w:val="5F053AC2"/>
    <w:rsid w:val="5F0B5C76"/>
    <w:rsid w:val="5F16731B"/>
    <w:rsid w:val="5F1C71B2"/>
    <w:rsid w:val="5F1D225B"/>
    <w:rsid w:val="5F4A1C91"/>
    <w:rsid w:val="5FCA3D8D"/>
    <w:rsid w:val="60377224"/>
    <w:rsid w:val="607D49FD"/>
    <w:rsid w:val="60E67C6D"/>
    <w:rsid w:val="612E1200"/>
    <w:rsid w:val="613618D5"/>
    <w:rsid w:val="61E37CF9"/>
    <w:rsid w:val="61EF4BAD"/>
    <w:rsid w:val="622E630D"/>
    <w:rsid w:val="62742DCD"/>
    <w:rsid w:val="62B91BA7"/>
    <w:rsid w:val="62D7527A"/>
    <w:rsid w:val="63156E86"/>
    <w:rsid w:val="6395494B"/>
    <w:rsid w:val="639A41C4"/>
    <w:rsid w:val="63AD0D00"/>
    <w:rsid w:val="63CF1848"/>
    <w:rsid w:val="63E37986"/>
    <w:rsid w:val="64360ADF"/>
    <w:rsid w:val="64FB6E9F"/>
    <w:rsid w:val="654C0C6E"/>
    <w:rsid w:val="65B43BEA"/>
    <w:rsid w:val="663A3EB4"/>
    <w:rsid w:val="664D007A"/>
    <w:rsid w:val="66E17464"/>
    <w:rsid w:val="67D414E5"/>
    <w:rsid w:val="69A5229A"/>
    <w:rsid w:val="69A97278"/>
    <w:rsid w:val="69F554D1"/>
    <w:rsid w:val="6BBC26DD"/>
    <w:rsid w:val="6BF603B0"/>
    <w:rsid w:val="6C290D26"/>
    <w:rsid w:val="6C2D1542"/>
    <w:rsid w:val="6C800B14"/>
    <w:rsid w:val="6CDC19EB"/>
    <w:rsid w:val="6D476F7F"/>
    <w:rsid w:val="6D684322"/>
    <w:rsid w:val="6E7B4731"/>
    <w:rsid w:val="6E927F94"/>
    <w:rsid w:val="6EEF6407"/>
    <w:rsid w:val="6FAA56EB"/>
    <w:rsid w:val="6FED25A3"/>
    <w:rsid w:val="704A3031"/>
    <w:rsid w:val="70554E01"/>
    <w:rsid w:val="70601362"/>
    <w:rsid w:val="70AD3F02"/>
    <w:rsid w:val="70EA511B"/>
    <w:rsid w:val="716D7957"/>
    <w:rsid w:val="71E473EF"/>
    <w:rsid w:val="72251606"/>
    <w:rsid w:val="723C4E0C"/>
    <w:rsid w:val="72421DD8"/>
    <w:rsid w:val="730D354D"/>
    <w:rsid w:val="7386403F"/>
    <w:rsid w:val="73A236AA"/>
    <w:rsid w:val="73AA2E25"/>
    <w:rsid w:val="73B257D5"/>
    <w:rsid w:val="73C66834"/>
    <w:rsid w:val="74034CD0"/>
    <w:rsid w:val="75494092"/>
    <w:rsid w:val="759E0303"/>
    <w:rsid w:val="75AD4B40"/>
    <w:rsid w:val="75FE1A6B"/>
    <w:rsid w:val="767D74C7"/>
    <w:rsid w:val="76820B04"/>
    <w:rsid w:val="76DA4889"/>
    <w:rsid w:val="76E47588"/>
    <w:rsid w:val="77354976"/>
    <w:rsid w:val="776A67F8"/>
    <w:rsid w:val="77DF6978"/>
    <w:rsid w:val="78046151"/>
    <w:rsid w:val="783311DF"/>
    <w:rsid w:val="784F6630"/>
    <w:rsid w:val="78507FEF"/>
    <w:rsid w:val="78B03D86"/>
    <w:rsid w:val="78BF1F93"/>
    <w:rsid w:val="79260D6C"/>
    <w:rsid w:val="79F66BAF"/>
    <w:rsid w:val="7A2F46E7"/>
    <w:rsid w:val="7A4F1784"/>
    <w:rsid w:val="7A5245F9"/>
    <w:rsid w:val="7AF95BE7"/>
    <w:rsid w:val="7B932C66"/>
    <w:rsid w:val="7BF0782B"/>
    <w:rsid w:val="7C05359C"/>
    <w:rsid w:val="7D0275D8"/>
    <w:rsid w:val="7DB96803"/>
    <w:rsid w:val="7E2852A2"/>
    <w:rsid w:val="7E605563"/>
    <w:rsid w:val="7EAA408B"/>
    <w:rsid w:val="7EDF4571"/>
    <w:rsid w:val="7F114FA7"/>
    <w:rsid w:val="7F280353"/>
    <w:rsid w:val="7F350E03"/>
    <w:rsid w:val="7F66683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Times New Roman"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qFormat="1"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eastAsia="宋体" w:asciiTheme="minorHAnsi" w:hAnsiTheme="minorHAnsi" w:cstheme="minorBidi"/>
      <w:kern w:val="2"/>
      <w:sz w:val="21"/>
      <w:szCs w:val="24"/>
      <w:lang w:val="en-US" w:eastAsia="zh-CN" w:bidi="ar-SA"/>
    </w:rPr>
  </w:style>
  <w:style w:type="paragraph" w:styleId="4">
    <w:name w:val="heading 1"/>
    <w:basedOn w:val="1"/>
    <w:next w:val="1"/>
    <w:qFormat/>
    <w:uiPriority w:val="0"/>
    <w:pPr>
      <w:widowControl/>
      <w:adjustRightInd w:val="0"/>
      <w:snapToGrid w:val="0"/>
      <w:spacing w:line="640" w:lineRule="exact"/>
      <w:jc w:val="center"/>
      <w:outlineLvl w:val="0"/>
    </w:pPr>
    <w:rPr>
      <w:rFonts w:ascii="黑体" w:eastAsia="黑体"/>
      <w:b/>
      <w:kern w:val="0"/>
      <w:sz w:val="28"/>
      <w:szCs w:val="28"/>
    </w:rPr>
  </w:style>
  <w:style w:type="paragraph" w:styleId="5">
    <w:name w:val="heading 2"/>
    <w:basedOn w:val="1"/>
    <w:next w:val="1"/>
    <w:unhideWhenUsed/>
    <w:qFormat/>
    <w:uiPriority w:val="0"/>
    <w:pPr>
      <w:keepNext/>
      <w:keepLines/>
      <w:spacing w:before="260" w:beforeLines="0" w:after="260" w:afterLines="0" w:line="413" w:lineRule="auto"/>
      <w:outlineLvl w:val="1"/>
    </w:pPr>
    <w:rPr>
      <w:rFonts w:ascii="Arial" w:hAnsi="Arial" w:eastAsia="黑体"/>
      <w:b/>
      <w:bCs/>
      <w:sz w:val="32"/>
      <w:szCs w:val="32"/>
    </w:rPr>
  </w:style>
  <w:style w:type="paragraph" w:styleId="6">
    <w:name w:val="heading 3"/>
    <w:basedOn w:val="1"/>
    <w:next w:val="1"/>
    <w:unhideWhenUsed/>
    <w:qFormat/>
    <w:uiPriority w:val="0"/>
    <w:pPr>
      <w:keepNext/>
      <w:keepLines/>
      <w:spacing w:before="260" w:after="260" w:line="413" w:lineRule="auto"/>
      <w:outlineLvl w:val="2"/>
    </w:pPr>
    <w:rPr>
      <w:b/>
      <w:bCs/>
      <w:sz w:val="32"/>
      <w:szCs w:val="32"/>
    </w:rPr>
  </w:style>
  <w:style w:type="paragraph" w:styleId="7">
    <w:name w:val="heading 4"/>
    <w:basedOn w:val="1"/>
    <w:next w:val="1"/>
    <w:qFormat/>
    <w:uiPriority w:val="0"/>
    <w:pPr>
      <w:keepNext/>
      <w:widowControl w:val="0"/>
      <w:ind w:firstLine="600" w:firstLineChars="600"/>
      <w:outlineLvl w:val="3"/>
    </w:pPr>
    <w:rPr>
      <w:rFonts w:ascii="宋体"/>
      <w:sz w:val="28"/>
    </w:rPr>
  </w:style>
  <w:style w:type="character" w:default="1" w:styleId="21">
    <w:name w:val="Default Paragraph Font"/>
    <w:link w:val="22"/>
    <w:semiHidden/>
    <w:qFormat/>
    <w:uiPriority w:val="0"/>
    <w:rPr>
      <w:rFonts w:eastAsia="方正仿宋简体"/>
      <w:sz w:val="32"/>
      <w:szCs w:val="21"/>
    </w:rPr>
  </w:style>
  <w:style w:type="table" w:default="1" w:styleId="19">
    <w:name w:val="Normal Table"/>
    <w:semiHidden/>
    <w:qFormat/>
    <w:uiPriority w:val="0"/>
    <w:tblPr>
      <w:tblLayout w:type="fixed"/>
      <w:tblCellMar>
        <w:top w:w="0" w:type="dxa"/>
        <w:left w:w="108" w:type="dxa"/>
        <w:bottom w:w="0" w:type="dxa"/>
        <w:right w:w="108" w:type="dxa"/>
      </w:tblCellMar>
    </w:tblPr>
  </w:style>
  <w:style w:type="paragraph" w:styleId="2">
    <w:name w:val="Body Text First Indent"/>
    <w:basedOn w:val="3"/>
    <w:qFormat/>
    <w:uiPriority w:val="0"/>
    <w:pPr>
      <w:autoSpaceDE/>
      <w:autoSpaceDN/>
      <w:adjustRightInd/>
      <w:spacing w:after="120" w:line="240" w:lineRule="auto"/>
      <w:ind w:firstLine="420" w:firstLineChars="100"/>
      <w:jc w:val="both"/>
      <w:textAlignment w:val="auto"/>
    </w:pPr>
    <w:rPr>
      <w:rFonts w:ascii="Times New Roman"/>
      <w:color w:val="auto"/>
      <w:kern w:val="2"/>
      <w:sz w:val="21"/>
      <w:szCs w:val="24"/>
    </w:rPr>
  </w:style>
  <w:style w:type="paragraph" w:styleId="3">
    <w:name w:val="Body Text"/>
    <w:basedOn w:val="1"/>
    <w:qFormat/>
    <w:uiPriority w:val="0"/>
    <w:pPr>
      <w:spacing w:line="400" w:lineRule="exact"/>
    </w:pPr>
    <w:rPr>
      <w:sz w:val="28"/>
    </w:rPr>
  </w:style>
  <w:style w:type="paragraph" w:styleId="8">
    <w:name w:val="Normal Indent"/>
    <w:basedOn w:val="1"/>
    <w:qFormat/>
    <w:uiPriority w:val="0"/>
    <w:pPr>
      <w:ind w:firstLine="420"/>
    </w:pPr>
  </w:style>
  <w:style w:type="paragraph" w:styleId="9">
    <w:name w:val="caption"/>
    <w:basedOn w:val="1"/>
    <w:next w:val="1"/>
    <w:semiHidden/>
    <w:qFormat/>
    <w:uiPriority w:val="0"/>
    <w:pPr>
      <w:spacing w:before="152" w:after="160"/>
    </w:pPr>
    <w:rPr>
      <w:rFonts w:ascii="Arial" w:hAnsi="Arial" w:eastAsia="黑体" w:cs="Arial"/>
      <w:sz w:val="20"/>
    </w:rPr>
  </w:style>
  <w:style w:type="paragraph" w:styleId="10">
    <w:name w:val="Body Text Indent"/>
    <w:basedOn w:val="1"/>
    <w:qFormat/>
    <w:uiPriority w:val="0"/>
    <w:pPr>
      <w:ind w:firstLine="480"/>
    </w:pPr>
    <w:rPr>
      <w:rFonts w:ascii="宋体"/>
      <w:sz w:val="24"/>
    </w:rPr>
  </w:style>
  <w:style w:type="paragraph" w:styleId="11">
    <w:name w:val="toc 3"/>
    <w:basedOn w:val="1"/>
    <w:next w:val="1"/>
    <w:qFormat/>
    <w:uiPriority w:val="0"/>
    <w:pPr>
      <w:ind w:left="840" w:leftChars="400"/>
    </w:pPr>
  </w:style>
  <w:style w:type="paragraph" w:styleId="12">
    <w:name w:val="Plain Text"/>
    <w:basedOn w:val="1"/>
    <w:qFormat/>
    <w:uiPriority w:val="0"/>
    <w:pPr>
      <w:spacing w:line="360" w:lineRule="auto"/>
      <w:ind w:firstLine="200" w:firstLineChars="200"/>
    </w:pPr>
    <w:rPr>
      <w:rFonts w:ascii="宋体" w:hAnsi="Courier New" w:cs="Courier New"/>
      <w:sz w:val="28"/>
      <w:szCs w:val="21"/>
    </w:rPr>
  </w:style>
  <w:style w:type="paragraph" w:styleId="13">
    <w:name w:val="footer"/>
    <w:basedOn w:val="1"/>
    <w:link w:val="31"/>
    <w:qFormat/>
    <w:uiPriority w:val="0"/>
    <w:pPr>
      <w:tabs>
        <w:tab w:val="center" w:pos="4153"/>
        <w:tab w:val="right" w:pos="8306"/>
      </w:tabs>
      <w:snapToGrid w:val="0"/>
      <w:jc w:val="left"/>
    </w:pPr>
    <w:rPr>
      <w:sz w:val="18"/>
    </w:rPr>
  </w:style>
  <w:style w:type="paragraph" w:styleId="1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5">
    <w:name w:val="toc 1"/>
    <w:basedOn w:val="1"/>
    <w:next w:val="1"/>
    <w:qFormat/>
    <w:uiPriority w:val="0"/>
  </w:style>
  <w:style w:type="paragraph" w:styleId="16">
    <w:name w:val="Body Text Indent 3"/>
    <w:basedOn w:val="1"/>
    <w:qFormat/>
    <w:uiPriority w:val="0"/>
    <w:pPr>
      <w:tabs>
        <w:tab w:val="left" w:pos="1050"/>
      </w:tabs>
      <w:spacing w:before="120" w:line="360" w:lineRule="auto"/>
      <w:ind w:firstLine="420" w:firstLineChars="150"/>
    </w:pPr>
    <w:rPr>
      <w:rFonts w:ascii="宋体"/>
      <w:spacing w:val="20"/>
      <w:sz w:val="24"/>
    </w:rPr>
  </w:style>
  <w:style w:type="paragraph" w:styleId="17">
    <w:name w:val="toc 2"/>
    <w:basedOn w:val="1"/>
    <w:next w:val="1"/>
    <w:qFormat/>
    <w:uiPriority w:val="0"/>
    <w:pPr>
      <w:ind w:left="420" w:leftChars="200"/>
    </w:pPr>
  </w:style>
  <w:style w:type="paragraph" w:styleId="18">
    <w:name w:val="Normal (Web)"/>
    <w:basedOn w:val="1"/>
    <w:qFormat/>
    <w:uiPriority w:val="0"/>
    <w:pPr>
      <w:widowControl/>
      <w:spacing w:before="100" w:beforeLines="0" w:beforeAutospacing="1" w:after="100" w:afterLines="0" w:afterAutospacing="1" w:line="360" w:lineRule="auto"/>
      <w:jc w:val="left"/>
    </w:pPr>
    <w:rPr>
      <w:rFonts w:ascii="宋体" w:hAnsi="宋体"/>
      <w:kern w:val="0"/>
      <w:sz w:val="24"/>
    </w:rPr>
  </w:style>
  <w:style w:type="table" w:styleId="20">
    <w:name w:val="Table Grid"/>
    <w:basedOn w:val="1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customStyle="1" w:styleId="22">
    <w:name w:val="Char"/>
    <w:basedOn w:val="1"/>
    <w:link w:val="21"/>
    <w:qFormat/>
    <w:uiPriority w:val="0"/>
    <w:rPr>
      <w:rFonts w:eastAsia="方正仿宋简体"/>
      <w:sz w:val="32"/>
      <w:szCs w:val="21"/>
    </w:rPr>
  </w:style>
  <w:style w:type="character" w:styleId="23">
    <w:name w:val="annotation reference"/>
    <w:basedOn w:val="21"/>
    <w:semiHidden/>
    <w:qFormat/>
    <w:uiPriority w:val="0"/>
    <w:rPr>
      <w:sz w:val="21"/>
      <w:szCs w:val="21"/>
    </w:rPr>
  </w:style>
  <w:style w:type="paragraph" w:customStyle="1" w:styleId="24">
    <w:name w:val="xl53"/>
    <w:basedOn w:val="1"/>
    <w:qFormat/>
    <w:uiPriority w:val="0"/>
    <w:pPr>
      <w:widowControl/>
      <w:pBdr>
        <w:bottom w:val="single" w:color="auto" w:sz="4" w:space="0"/>
      </w:pBdr>
      <w:spacing w:before="100" w:beforeAutospacing="1" w:after="100" w:afterAutospacing="1"/>
      <w:jc w:val="center"/>
      <w:textAlignment w:val="center"/>
    </w:pPr>
    <w:rPr>
      <w:rFonts w:ascii="Arial Unicode MS" w:hAnsi="Arial Unicode MS"/>
      <w:kern w:val="0"/>
      <w:sz w:val="28"/>
      <w:szCs w:val="28"/>
    </w:rPr>
  </w:style>
  <w:style w:type="paragraph" w:customStyle="1" w:styleId="25">
    <w:name w:val="表格"/>
    <w:basedOn w:val="1"/>
    <w:qFormat/>
    <w:uiPriority w:val="0"/>
    <w:pPr>
      <w:widowControl/>
      <w:snapToGrid w:val="0"/>
      <w:jc w:val="center"/>
    </w:pPr>
    <w:rPr>
      <w:kern w:val="0"/>
    </w:rPr>
  </w:style>
  <w:style w:type="paragraph" w:customStyle="1" w:styleId="26">
    <w:name w:val="简单回函地址"/>
    <w:basedOn w:val="1"/>
    <w:qFormat/>
    <w:uiPriority w:val="0"/>
  </w:style>
  <w:style w:type="paragraph" w:customStyle="1" w:styleId="27">
    <w:name w:val="居中"/>
    <w:basedOn w:val="1"/>
    <w:qFormat/>
    <w:uiPriority w:val="0"/>
    <w:pPr>
      <w:jc w:val="center"/>
    </w:pPr>
    <w:rPr>
      <w:rFonts w:ascii="宋体" w:hAnsi="宋体"/>
      <w:color w:val="000000"/>
      <w:sz w:val="21"/>
    </w:rPr>
  </w:style>
  <w:style w:type="character" w:customStyle="1" w:styleId="28">
    <w:name w:val="zw1"/>
    <w:basedOn w:val="21"/>
    <w:qFormat/>
    <w:uiPriority w:val="0"/>
    <w:rPr>
      <w:rFonts w:hint="eastAsia" w:ascii="宋体" w:hAnsi="宋体" w:eastAsia="宋体"/>
      <w:sz w:val="22"/>
      <w:szCs w:val="22"/>
    </w:rPr>
  </w:style>
  <w:style w:type="character" w:customStyle="1" w:styleId="29">
    <w:name w:val="正文1"/>
    <w:basedOn w:val="21"/>
    <w:qFormat/>
    <w:uiPriority w:val="0"/>
    <w:rPr>
      <w:rFonts w:hint="eastAsia" w:ascii="宋体" w:hAnsi="宋体" w:eastAsia="宋体"/>
      <w:sz w:val="22"/>
      <w:szCs w:val="22"/>
    </w:rPr>
  </w:style>
  <w:style w:type="paragraph" w:customStyle="1" w:styleId="30">
    <w:name w:val="Body text|2"/>
    <w:basedOn w:val="1"/>
    <w:qFormat/>
    <w:uiPriority w:val="0"/>
    <w:pPr>
      <w:widowControl w:val="0"/>
      <w:shd w:val="clear" w:color="auto" w:fill="FFFFFF"/>
      <w:spacing w:line="242" w:lineRule="exact"/>
    </w:pPr>
    <w:rPr>
      <w:rFonts w:ascii="PMingLiU" w:hAnsi="PMingLiU" w:eastAsia="PMingLiU" w:cs="PMingLiU"/>
      <w:sz w:val="13"/>
      <w:szCs w:val="13"/>
      <w:u w:val="none"/>
    </w:rPr>
  </w:style>
  <w:style w:type="character" w:customStyle="1" w:styleId="31">
    <w:name w:val="页脚 Char"/>
    <w:link w:val="13"/>
    <w:qFormat/>
    <w:uiPriority w:val="99"/>
    <w:rPr>
      <w:sz w:val="18"/>
    </w:rPr>
  </w:style>
  <w:style w:type="paragraph" w:customStyle="1" w:styleId="32">
    <w:name w:val="【表头】"/>
    <w:basedOn w:val="1"/>
    <w:qFormat/>
    <w:uiPriority w:val="0"/>
    <w:pPr>
      <w:spacing w:line="360" w:lineRule="auto"/>
      <w:jc w:val="center"/>
    </w:pPr>
    <w:rPr>
      <w:b/>
      <w:kern w:val="0"/>
      <w:szCs w:val="20"/>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1.xml"/><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Office_11.1.0.8696_F1E327BC-269C-435d-A152-05C5408002CA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2018-03-12T10:48:00Z</dcterms:created>
  <dc:creator>1111</dc:creator>
  <cp:lastModifiedBy>1111</cp:lastModifiedBy>
  <cp:lastPrinted>2019-05-24T01:09:08Z</cp:lastPrinted>
  <dcterms:modified xsi:type="dcterms:W3CDTF">2019-05-24T03:13:55Z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2052-11.1.0.8696</vt:lpwstr>
  </property>
</Properties>
</file>