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bookmarkStart w:id="0" w:name="_Toc25474"/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南充当代运业（集团）有限公司仪陇嘉新分公司</w:t>
      </w:r>
    </w:p>
    <w:p>
      <w:pPr>
        <w:pStyle w:val="2"/>
        <w:rPr>
          <w:rFonts w:hint="eastAsia"/>
        </w:rPr>
      </w:pPr>
      <w:bookmarkStart w:id="1" w:name="_Toc7833"/>
      <w:bookmarkStart w:id="8" w:name="_GoBack"/>
      <w:r>
        <w:rPr>
          <w:rFonts w:hint="eastAsia"/>
        </w:rPr>
        <w:t>防汛现场处置方案</w:t>
      </w:r>
      <w:bookmarkEnd w:id="0"/>
      <w:bookmarkEnd w:id="1"/>
      <w:bookmarkEnd w:id="8"/>
    </w:p>
    <w:p>
      <w:pPr>
        <w:pStyle w:val="3"/>
        <w:spacing w:before="312" w:beforeLines="100"/>
        <w:rPr>
          <w:rFonts w:hint="eastAsia"/>
        </w:rPr>
      </w:pPr>
      <w:r>
        <w:rPr>
          <w:rFonts w:hint="eastAsia"/>
        </w:rPr>
        <w:t xml:space="preserve">    </w:t>
      </w:r>
      <w:bookmarkStart w:id="2" w:name="_Toc1575"/>
      <w:bookmarkStart w:id="3" w:name="_Toc10789"/>
      <w:r>
        <w:rPr>
          <w:rFonts w:hint="eastAsia"/>
        </w:rPr>
        <w:t>1. 事故类型和危害程度分析</w:t>
      </w:r>
      <w:bookmarkEnd w:id="2"/>
      <w:bookmarkEnd w:id="3"/>
      <w:r>
        <w:rPr>
          <w:rFonts w:hint="eastAsia"/>
        </w:rPr>
        <w:t xml:space="preserve">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1.1 灾害类型  因突发暴雨而引发的洪水、泥石流、道路塌方等可能引起的灾害。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1.2 灾害发生的区域：公司办公区域、客运站和公司车辆运行路段。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1.3 危险程度分析：突降暴雨引起山洪爆发，坍塌，泥石流等灾害，严重危及公司财产、车辆和人员安全。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1.4 事故前可能出现的征兆：公司灾害信息来源于气象部门的预测预报和上级有关部门的指示。 </w:t>
      </w:r>
    </w:p>
    <w:p>
      <w:pPr>
        <w:pStyle w:val="3"/>
        <w:rPr>
          <w:rFonts w:hint="eastAsia"/>
        </w:rPr>
      </w:pPr>
      <w:bookmarkStart w:id="4" w:name="_Toc13533"/>
      <w:bookmarkStart w:id="5" w:name="_Toc8683"/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 应急处置</w:t>
      </w:r>
      <w:bookmarkEnd w:id="4"/>
      <w:bookmarkEnd w:id="5"/>
      <w:r>
        <w:rPr>
          <w:rFonts w:hint="eastAsia"/>
        </w:rPr>
        <w:t xml:space="preserve">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.1 当现场管理人员（驾驶员）发现因大雨引发的洪水、泥石流、塌方等汛情可能危及办公场所、运行车辆的安全时，应对现场进行初步判定，并立即向公司现场负责人及当地职能部门报告现场情况。报告内容应包括：灾害发生位置、灾害类别、现场人员情况等信息，并立即利用现场抢险设备进行初期处置（如关闭电源、转移车辆、疏散旅客等）。    </w:t>
      </w:r>
    </w:p>
    <w:p>
      <w:pPr>
        <w:spacing w:line="540" w:lineRule="exact"/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.2 公司现场负责人接灾害报告后，立即召集现场人员，同时报告公司应急领导小组负责人。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.3 应急领导小组（应急组长）负责人，接到灾害报告后应立即对现场进行初步判定，根据灾害级别启动应急响应，并向消防报警求助，并向行业管理部门应急指挥部门报告灾害情况。</w:t>
      </w:r>
    </w:p>
    <w:p>
      <w:pPr>
        <w:spacing w:line="540" w:lineRule="exact"/>
        <w:ind w:firstLine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.4 办公场所现场处置要在部门负责人的统一指挥下进行，人员撤离前要切断办公场所电器设备电源，对办公场所进行临时加强支护。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.5 车辆运行途中遇灾害后，驾驶员应将车停至安全地带，开启危险报警闪光灯，在距车后150米外设置警示标志。现场驾驶员担任临时应急救援指挥，组织应急救援，待应急救援组到达现场后移交指挥权。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.6 根据现场灾害情况，拨打报警电话和向公司报告现场情况。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.7 若在高速公路，非紧急情况下不得在路右应急车道内行驶或停车，以免影响119、120、122等特种车辆救急通行。     </w:t>
      </w:r>
    </w:p>
    <w:p>
      <w:pPr>
        <w:pStyle w:val="3"/>
        <w:rPr>
          <w:rFonts w:hint="eastAsia"/>
        </w:rPr>
      </w:pPr>
      <w:r>
        <w:rPr>
          <w:rFonts w:hint="eastAsia"/>
        </w:rPr>
        <w:t xml:space="preserve">    </w:t>
      </w:r>
      <w:bookmarkStart w:id="6" w:name="_Toc1577"/>
      <w:bookmarkStart w:id="7" w:name="_Toc2309"/>
      <w:r>
        <w:rPr>
          <w:rFonts w:hint="eastAsia"/>
          <w:lang w:val="en-US" w:eastAsia="zh-CN"/>
        </w:rPr>
        <w:t>3</w:t>
      </w:r>
      <w:r>
        <w:rPr>
          <w:rFonts w:hint="eastAsia"/>
        </w:rPr>
        <w:t>. 注意事项</w:t>
      </w:r>
      <w:bookmarkEnd w:id="6"/>
      <w:bookmarkEnd w:id="7"/>
      <w:r>
        <w:rPr>
          <w:rFonts w:hint="eastAsia"/>
        </w:rPr>
        <w:t xml:space="preserve">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.1 现场负责人员要正确分析现场情况，及时向公司应急领导小组办公室汇报，便于公司应急领导机构针对灾害实际变化，做出准确的判断，启动相应的应急预案，实施积极救护。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.2 人员在撤离过程中不要慌张，要相互救助。若有人员受伤且伤势较重，不要轻易移动伤者。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.3 人员转移如遇隧道、高架桥，人员应尽量远离来车方向或走出隧道、高架桥或疏散至相应避险场所内。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.4 应急救援结束后恢复生产前，公司要组织专业人员对各部位进行安全检查，对受损车辆进行修复，合格后才能投入生产。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61F7A"/>
    <w:rsid w:val="07261F7A"/>
    <w:rsid w:val="7AA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黑体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Lines="0" w:afterLines="0" w:line="24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line="520" w:lineRule="exact"/>
      <w:ind w:left="630" w:leftChars="300"/>
      <w:outlineLvl w:val="2"/>
    </w:pPr>
    <w:rPr>
      <w:rFonts w:eastAsia="仿宋_GB2312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3 Char"/>
    <w:link w:val="4"/>
    <w:qFormat/>
    <w:uiPriority w:val="0"/>
    <w:rPr>
      <w:rFonts w:eastAsia="仿宋_GB2312"/>
      <w:b/>
      <w:bCs/>
      <w:sz w:val="28"/>
      <w:szCs w:val="28"/>
    </w:rPr>
  </w:style>
  <w:style w:type="character" w:customStyle="1" w:styleId="10">
    <w:name w:val="标题 2 Char"/>
    <w:link w:val="3"/>
    <w:qFormat/>
    <w:uiPriority w:val="0"/>
    <w:rPr>
      <w:rFonts w:ascii="Arial" w:hAnsi="Arial" w:eastAsia="仿宋_GB2312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2019-05-29T09:44:00Z</dcterms:created>
  <dc:creator>南极总督</dc:creator>
  <cp:lastModifiedBy>南极总督</cp:lastModifiedBy>
  <dcterms:modified xsi:type="dcterms:W3CDTF">2019-05-29T09:59:43Z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