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宋体" w:hAnsi="宋体" w:cs="宋体"/>
          <w:color w:val="auto"/>
          <w:sz w:val="32"/>
          <w:szCs w:val="32"/>
        </w:rPr>
      </w:pPr>
      <w:bookmarkStart w:id="0" w:name="_Toc4515"/>
      <w:r>
        <w:rPr>
          <w:rFonts w:hint="eastAsia" w:ascii="宋体" w:hAnsi="宋体" w:cs="宋体"/>
          <w:color w:val="auto"/>
          <w:sz w:val="32"/>
          <w:szCs w:val="32"/>
        </w:rPr>
        <w:t>2 公司的危险性分析</w:t>
      </w:r>
      <w:bookmarkEnd w:id="0"/>
    </w:p>
    <w:p>
      <w:pPr>
        <w:pStyle w:val="5"/>
        <w:spacing w:before="0" w:after="0" w:line="360" w:lineRule="auto"/>
        <w:rPr>
          <w:rFonts w:hint="eastAsia" w:ascii="宋体" w:hAnsi="宋体" w:eastAsia="宋体" w:cs="宋体"/>
          <w:color w:val="auto"/>
          <w:sz w:val="28"/>
          <w:szCs w:val="28"/>
        </w:rPr>
      </w:pPr>
      <w:bookmarkStart w:id="1" w:name="_Toc176022617"/>
      <w:bookmarkStart w:id="2" w:name="_Toc332285103"/>
      <w:bookmarkStart w:id="3" w:name="_Toc760"/>
      <w:r>
        <w:rPr>
          <w:rFonts w:hint="eastAsia" w:ascii="宋体" w:hAnsi="宋体" w:eastAsia="宋体" w:cs="宋体"/>
          <w:color w:val="auto"/>
          <w:sz w:val="28"/>
          <w:szCs w:val="28"/>
        </w:rPr>
        <w:t>2.1 公司概况</w:t>
      </w:r>
      <w:bookmarkEnd w:id="1"/>
      <w:bookmarkEnd w:id="2"/>
      <w:bookmarkEnd w:id="3"/>
    </w:p>
    <w:p>
      <w:pPr>
        <w:pStyle w:val="7"/>
        <w:spacing w:line="360" w:lineRule="auto"/>
        <w:ind w:firstLine="560"/>
        <w:rPr>
          <w:rFonts w:hint="eastAsia" w:ascii="宋体" w:hAnsi="宋体" w:eastAsia="宋体" w:cs="宋体"/>
          <w:color w:val="auto"/>
          <w:kern w:val="2"/>
          <w:sz w:val="24"/>
          <w:szCs w:val="24"/>
          <w:lang w:val="zh-CN" w:eastAsia="zh-CN" w:bidi="ar-SA"/>
        </w:rPr>
      </w:pPr>
      <w:bookmarkStart w:id="4" w:name="_Toc17793"/>
      <w:r>
        <w:rPr>
          <w:rFonts w:hint="eastAsia" w:ascii="宋体" w:hAnsi="宋体" w:eastAsia="宋体" w:cs="宋体"/>
          <w:color w:val="auto"/>
          <w:kern w:val="2"/>
          <w:sz w:val="24"/>
          <w:szCs w:val="24"/>
          <w:lang w:val="zh-CN" w:eastAsia="zh-CN" w:bidi="ar-SA"/>
        </w:rPr>
        <w:t>四川雷仕食品有限公司成立于</w:t>
      </w:r>
      <w:r>
        <w:rPr>
          <w:rFonts w:hint="eastAsia" w:ascii="宋体" w:hAnsi="宋体" w:eastAsia="宋体" w:cs="宋体"/>
          <w:color w:val="auto"/>
          <w:kern w:val="2"/>
          <w:sz w:val="24"/>
          <w:szCs w:val="24"/>
          <w:lang w:val="en-US" w:eastAsia="zh-CN" w:bidi="ar-SA"/>
        </w:rPr>
        <w:t>2005</w:t>
      </w:r>
      <w:r>
        <w:rPr>
          <w:rFonts w:hint="eastAsia" w:ascii="宋体" w:hAnsi="宋体" w:eastAsia="宋体" w:cs="宋体"/>
          <w:color w:val="auto"/>
          <w:kern w:val="2"/>
          <w:sz w:val="24"/>
          <w:szCs w:val="24"/>
          <w:lang w:val="zh-CN" w:eastAsia="zh-CN" w:bidi="ar-SA"/>
        </w:rPr>
        <w:t>年5月，位处嘉陵区工业园区内</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zh-CN" w:eastAsia="zh-CN" w:bidi="ar-SA"/>
        </w:rPr>
        <w:t>公司属于一家生产，销售糕点食品、饮品、副食品，为机关、企事业单位、学校提供本企业产品配送服务的有限责任公司。</w:t>
      </w:r>
    </w:p>
    <w:p>
      <w:pPr>
        <w:pStyle w:val="7"/>
        <w:spacing w:line="360" w:lineRule="auto"/>
        <w:ind w:left="0" w:leftChars="0" w:firstLine="0" w:firstLineChars="0"/>
        <w:jc w:val="center"/>
        <w:rPr>
          <w:rFonts w:hint="eastAsia" w:ascii="Times New Roman"/>
          <w:b/>
          <w:bCs/>
          <w:color w:val="auto"/>
          <w:lang w:val="en-US" w:eastAsia="zh-CN"/>
        </w:rPr>
      </w:pPr>
      <w:r>
        <w:rPr>
          <w:rFonts w:hint="eastAsia" w:ascii="Times New Roman"/>
          <w:b/>
          <w:bCs/>
          <w:color w:val="auto"/>
          <w:lang w:eastAsia="zh-CN"/>
        </w:rPr>
        <w:t>表</w:t>
      </w:r>
      <w:r>
        <w:rPr>
          <w:rFonts w:hint="eastAsia" w:ascii="Times New Roman"/>
          <w:b/>
          <w:bCs/>
          <w:color w:val="auto"/>
          <w:lang w:val="en-US" w:eastAsia="zh-CN"/>
        </w:rPr>
        <w:t>1-1企业基本情况表</w:t>
      </w:r>
    </w:p>
    <w:tbl>
      <w:tblPr>
        <w:tblStyle w:val="9"/>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2253"/>
        <w:gridCol w:w="2253"/>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5" w:hRule="exact"/>
          <w:jc w:val="center"/>
        </w:trPr>
        <w:tc>
          <w:tcPr>
            <w:tcW w:w="9286" w:type="dxa"/>
            <w:gridSpan w:val="4"/>
            <w:noWrap w:val="0"/>
            <w:vAlign w:val="center"/>
          </w:tcPr>
          <w:p>
            <w:pPr>
              <w:snapToGrid w:val="0"/>
              <w:jc w:val="center"/>
              <w:rPr>
                <w:rFonts w:ascii="黑体"/>
                <w:sz w:val="22"/>
                <w:szCs w:val="15"/>
              </w:rPr>
            </w:pPr>
            <w:r>
              <w:rPr>
                <w:rFonts w:hint="eastAsia" w:ascii="黑体"/>
                <w:b/>
                <w:bCs/>
                <w:color w:val="000000"/>
                <w:sz w:val="24"/>
                <w:szCs w:val="24"/>
              </w:rPr>
              <w:t>一、</w:t>
            </w:r>
            <w:r>
              <w:rPr>
                <w:rFonts w:hint="eastAsia" w:ascii="黑体"/>
                <w:b/>
                <w:bCs/>
                <w:color w:val="000000"/>
                <w:sz w:val="24"/>
                <w:szCs w:val="24"/>
                <w:lang w:eastAsia="zh-CN"/>
              </w:rPr>
              <w:t>企业</w:t>
            </w:r>
            <w:r>
              <w:rPr>
                <w:rFonts w:hint="eastAsia" w:ascii="黑体"/>
                <w:b/>
                <w:bCs/>
                <w:color w:val="000000"/>
                <w:sz w:val="24"/>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jc w:val="center"/>
        </w:trPr>
        <w:tc>
          <w:tcPr>
            <w:tcW w:w="2529" w:type="dxa"/>
            <w:noWrap w:val="0"/>
            <w:vAlign w:val="center"/>
          </w:tcPr>
          <w:p>
            <w:pPr>
              <w:snapToGrid w:val="0"/>
              <w:jc w:val="center"/>
              <w:rPr>
                <w:rFonts w:ascii="宋体" w:hAnsi="宋体" w:cs="仿宋_GB2312"/>
                <w:sz w:val="24"/>
                <w:szCs w:val="24"/>
              </w:rPr>
            </w:pPr>
            <w:r>
              <w:rPr>
                <w:rFonts w:hint="eastAsia" w:ascii="宋体" w:hAnsi="宋体" w:cs="仿宋_GB2312"/>
                <w:sz w:val="24"/>
                <w:szCs w:val="24"/>
              </w:rPr>
              <w:t>申请人名称</w:t>
            </w:r>
          </w:p>
        </w:tc>
        <w:tc>
          <w:tcPr>
            <w:tcW w:w="6757" w:type="dxa"/>
            <w:gridSpan w:val="3"/>
            <w:noWrap w:val="0"/>
            <w:vAlign w:val="center"/>
          </w:tcPr>
          <w:p>
            <w:pPr>
              <w:snapToGrid w:val="0"/>
              <w:jc w:val="center"/>
              <w:rPr>
                <w:rFonts w:hint="eastAsia" w:ascii="宋体" w:hAnsi="宋体" w:eastAsia="黑体"/>
                <w:sz w:val="24"/>
                <w:szCs w:val="24"/>
                <w:lang w:eastAsia="zh-CN"/>
              </w:rPr>
            </w:pPr>
            <w:r>
              <w:rPr>
                <w:rFonts w:hint="eastAsia" w:ascii="宋体" w:hAnsi="宋体"/>
                <w:sz w:val="24"/>
                <w:szCs w:val="24"/>
                <w:lang w:eastAsia="zh-CN"/>
              </w:rPr>
              <w:t>四川雷仕食品有限公司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9" w:hRule="exact"/>
          <w:jc w:val="center"/>
        </w:trPr>
        <w:tc>
          <w:tcPr>
            <w:tcW w:w="2529" w:type="dxa"/>
            <w:noWrap w:val="0"/>
            <w:vAlign w:val="center"/>
          </w:tcPr>
          <w:p>
            <w:pPr>
              <w:snapToGrid w:val="0"/>
              <w:jc w:val="center"/>
              <w:rPr>
                <w:rFonts w:ascii="宋体" w:hAnsi="宋体" w:cs="仿宋_GB2312"/>
                <w:sz w:val="24"/>
                <w:szCs w:val="24"/>
              </w:rPr>
            </w:pPr>
            <w:r>
              <w:rPr>
                <w:rFonts w:hint="eastAsia" w:ascii="宋体" w:hAnsi="宋体" w:cs="仿宋_GB2312"/>
                <w:sz w:val="24"/>
                <w:szCs w:val="24"/>
              </w:rPr>
              <w:t>法定代表人</w:t>
            </w:r>
          </w:p>
          <w:p>
            <w:pPr>
              <w:snapToGrid w:val="0"/>
              <w:jc w:val="center"/>
              <w:rPr>
                <w:rFonts w:ascii="宋体" w:hAnsi="宋体" w:cs="仿宋_GB2312"/>
                <w:sz w:val="24"/>
                <w:szCs w:val="24"/>
              </w:rPr>
            </w:pPr>
            <w:r>
              <w:rPr>
                <w:rFonts w:hint="eastAsia" w:ascii="宋体" w:hAnsi="宋体" w:cs="仿宋_GB2312"/>
                <w:sz w:val="24"/>
                <w:szCs w:val="24"/>
              </w:rPr>
              <w:t>（负责人）</w:t>
            </w:r>
          </w:p>
        </w:tc>
        <w:tc>
          <w:tcPr>
            <w:tcW w:w="6757" w:type="dxa"/>
            <w:gridSpan w:val="3"/>
            <w:noWrap w:val="0"/>
            <w:vAlign w:val="center"/>
          </w:tcPr>
          <w:p>
            <w:pPr>
              <w:snapToGrid w:val="0"/>
              <w:jc w:val="center"/>
              <w:rPr>
                <w:rFonts w:hint="eastAsia" w:ascii="宋体" w:hAnsi="宋体" w:eastAsia="黑体"/>
                <w:sz w:val="24"/>
                <w:szCs w:val="24"/>
                <w:lang w:eastAsia="zh-CN"/>
              </w:rPr>
            </w:pPr>
            <w:r>
              <w:rPr>
                <w:rFonts w:hint="eastAsia" w:ascii="宋体" w:hAnsi="宋体"/>
                <w:sz w:val="24"/>
                <w:szCs w:val="24"/>
                <w:lang w:eastAsia="zh-CN"/>
              </w:rPr>
              <w:t>雷胜斌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4" w:hRule="atLeast"/>
          <w:jc w:val="center"/>
        </w:trPr>
        <w:tc>
          <w:tcPr>
            <w:tcW w:w="2529" w:type="dxa"/>
            <w:noWrap w:val="0"/>
            <w:vAlign w:val="center"/>
          </w:tcPr>
          <w:p>
            <w:pPr>
              <w:snapToGrid w:val="0"/>
              <w:jc w:val="center"/>
              <w:rPr>
                <w:rFonts w:ascii="宋体" w:hAnsi="宋体"/>
                <w:sz w:val="24"/>
                <w:szCs w:val="24"/>
              </w:rPr>
            </w:pPr>
            <w:r>
              <w:rPr>
                <w:rFonts w:hint="eastAsia" w:ascii="宋体" w:hAnsi="宋体" w:cs="仿宋_GB2312"/>
                <w:sz w:val="24"/>
                <w:szCs w:val="24"/>
              </w:rPr>
              <w:t>食品生产许可证</w:t>
            </w:r>
          </w:p>
          <w:p>
            <w:pPr>
              <w:snapToGrid w:val="0"/>
              <w:jc w:val="center"/>
              <w:rPr>
                <w:rFonts w:ascii="宋体" w:hAnsi="宋体"/>
                <w:sz w:val="24"/>
                <w:szCs w:val="24"/>
              </w:rPr>
            </w:pPr>
            <w:r>
              <w:rPr>
                <w:rFonts w:hint="eastAsia" w:ascii="宋体" w:hAnsi="宋体" w:cs="仿宋_GB2312"/>
                <w:sz w:val="24"/>
                <w:szCs w:val="24"/>
              </w:rPr>
              <w:t>编号</w:t>
            </w:r>
          </w:p>
        </w:tc>
        <w:tc>
          <w:tcPr>
            <w:tcW w:w="6757" w:type="dxa"/>
            <w:gridSpan w:val="3"/>
            <w:noWrap w:val="0"/>
            <w:vAlign w:val="center"/>
          </w:tcPr>
          <w:p>
            <w:pPr>
              <w:snapToGrid w:val="0"/>
              <w:jc w:val="center"/>
              <w:rPr>
                <w:rFonts w:hint="eastAsia" w:ascii="宋体" w:hAnsi="宋体" w:eastAsia="宋体"/>
                <w:sz w:val="24"/>
                <w:szCs w:val="24"/>
                <w:lang w:val="en-US" w:eastAsia="zh-CN"/>
              </w:rPr>
            </w:pPr>
            <w:r>
              <w:rPr>
                <w:rFonts w:hint="eastAsia" w:ascii="宋体" w:hAnsi="宋体"/>
                <w:sz w:val="24"/>
                <w:szCs w:val="24"/>
                <w:lang w:val="en-US" w:eastAsia="zh-CN"/>
              </w:rPr>
              <w:t>SC12451130400017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2529" w:type="dxa"/>
            <w:noWrap w:val="0"/>
            <w:vAlign w:val="center"/>
          </w:tcPr>
          <w:p>
            <w:pPr>
              <w:snapToGrid w:val="0"/>
              <w:jc w:val="center"/>
              <w:rPr>
                <w:rFonts w:ascii="宋体" w:hAnsi="宋体"/>
                <w:sz w:val="24"/>
                <w:szCs w:val="24"/>
              </w:rPr>
            </w:pPr>
            <w:r>
              <w:rPr>
                <w:rFonts w:hint="eastAsia" w:ascii="宋体" w:hAnsi="宋体" w:cs="仿宋_GB2312"/>
                <w:sz w:val="24"/>
                <w:szCs w:val="24"/>
              </w:rPr>
              <w:t>营业执照注册号</w:t>
            </w:r>
          </w:p>
        </w:tc>
        <w:tc>
          <w:tcPr>
            <w:tcW w:w="6757" w:type="dxa"/>
            <w:gridSpan w:val="3"/>
            <w:noWrap w:val="0"/>
            <w:vAlign w:val="center"/>
          </w:tcPr>
          <w:p>
            <w:pPr>
              <w:snapToGrid w:val="0"/>
              <w:jc w:val="center"/>
              <w:rPr>
                <w:rFonts w:hint="eastAsia" w:ascii="宋体" w:hAnsi="宋体" w:eastAsia="黑体"/>
                <w:sz w:val="24"/>
                <w:szCs w:val="24"/>
                <w:lang w:val="en-US" w:eastAsia="zh-CN"/>
              </w:rPr>
            </w:pPr>
            <w:r>
              <w:rPr>
                <w:rFonts w:hint="eastAsia" w:ascii="宋体" w:hAnsi="宋体"/>
                <w:sz w:val="24"/>
                <w:szCs w:val="24"/>
                <w:lang w:val="en-US" w:eastAsia="zh-CN"/>
              </w:rPr>
              <w:t>91511304762335181B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9" w:hRule="atLeast"/>
          <w:jc w:val="center"/>
        </w:trPr>
        <w:tc>
          <w:tcPr>
            <w:tcW w:w="2529" w:type="dxa"/>
            <w:noWrap w:val="0"/>
            <w:vAlign w:val="center"/>
          </w:tcPr>
          <w:p>
            <w:pPr>
              <w:snapToGrid w:val="0"/>
              <w:jc w:val="center"/>
              <w:rPr>
                <w:rFonts w:ascii="宋体" w:hAnsi="宋体"/>
                <w:sz w:val="24"/>
                <w:szCs w:val="24"/>
              </w:rPr>
            </w:pPr>
            <w:r>
              <w:rPr>
                <w:rFonts w:hint="eastAsia" w:ascii="宋体" w:hAnsi="宋体" w:cs="仿宋_GB2312"/>
                <w:sz w:val="24"/>
                <w:szCs w:val="24"/>
              </w:rPr>
              <w:t>社会信用代码</w:t>
            </w:r>
          </w:p>
          <w:p>
            <w:pPr>
              <w:snapToGrid w:val="0"/>
              <w:jc w:val="center"/>
              <w:rPr>
                <w:rFonts w:ascii="宋体" w:hAnsi="宋体" w:cs="仿宋_GB2312"/>
                <w:sz w:val="24"/>
                <w:szCs w:val="24"/>
              </w:rPr>
            </w:pPr>
            <w:r>
              <w:rPr>
                <w:rFonts w:hint="eastAsia" w:ascii="宋体" w:hAnsi="宋体" w:cs="仿宋_GB2312"/>
                <w:sz w:val="24"/>
                <w:szCs w:val="24"/>
              </w:rPr>
              <w:t>（身份证号码）</w:t>
            </w:r>
          </w:p>
        </w:tc>
        <w:tc>
          <w:tcPr>
            <w:tcW w:w="6757" w:type="dxa"/>
            <w:gridSpan w:val="3"/>
            <w:noWrap w:val="0"/>
            <w:vAlign w:val="center"/>
          </w:tcPr>
          <w:p>
            <w:pPr>
              <w:snapToGrid w:val="0"/>
              <w:jc w:val="center"/>
              <w:rPr>
                <w:rFonts w:hint="eastAsia" w:ascii="宋体" w:hAnsi="宋体" w:eastAsia="黑体"/>
                <w:sz w:val="24"/>
                <w:szCs w:val="24"/>
                <w:lang w:val="en-US" w:eastAsia="zh-CN"/>
              </w:rPr>
            </w:pPr>
            <w:r>
              <w:rPr>
                <w:rFonts w:hint="eastAsia" w:ascii="宋体" w:hAnsi="宋体"/>
                <w:sz w:val="24"/>
                <w:szCs w:val="24"/>
                <w:lang w:val="en-US" w:eastAsia="zh-CN"/>
              </w:rPr>
              <w:t>512921196811112816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exact"/>
          <w:jc w:val="center"/>
        </w:trPr>
        <w:tc>
          <w:tcPr>
            <w:tcW w:w="2529" w:type="dxa"/>
            <w:noWrap w:val="0"/>
            <w:vAlign w:val="center"/>
          </w:tcPr>
          <w:p>
            <w:pPr>
              <w:snapToGrid w:val="0"/>
              <w:jc w:val="center"/>
              <w:rPr>
                <w:rFonts w:ascii="宋体" w:hAnsi="宋体"/>
                <w:sz w:val="24"/>
                <w:szCs w:val="24"/>
              </w:rPr>
            </w:pPr>
            <w:r>
              <w:rPr>
                <w:rFonts w:hint="eastAsia" w:ascii="宋体" w:hAnsi="宋体" w:cs="仿宋_GB2312"/>
                <w:sz w:val="24"/>
                <w:szCs w:val="24"/>
              </w:rPr>
              <w:t>住    所</w:t>
            </w:r>
          </w:p>
        </w:tc>
        <w:tc>
          <w:tcPr>
            <w:tcW w:w="6757" w:type="dxa"/>
            <w:gridSpan w:val="3"/>
            <w:noWrap w:val="0"/>
            <w:vAlign w:val="center"/>
          </w:tcPr>
          <w:p>
            <w:pPr>
              <w:snapToGrid w:val="0"/>
              <w:jc w:val="center"/>
              <w:rPr>
                <w:rFonts w:ascii="宋体" w:hAnsi="宋体" w:cs="方正仿宋简体"/>
                <w:sz w:val="24"/>
                <w:szCs w:val="24"/>
              </w:rPr>
            </w:pPr>
            <w:r>
              <w:rPr>
                <w:rFonts w:hint="eastAsia" w:ascii="宋体" w:hAnsi="宋体" w:cs="方正仿宋简体"/>
                <w:sz w:val="24"/>
                <w:szCs w:val="24"/>
                <w:lang w:val="en-US" w:eastAsia="zh-CN"/>
              </w:rPr>
              <w:t>四川省南充市顺庆区柳林路311号3幢3楼4号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exact"/>
          <w:jc w:val="center"/>
        </w:trPr>
        <w:tc>
          <w:tcPr>
            <w:tcW w:w="2529" w:type="dxa"/>
            <w:noWrap w:val="0"/>
            <w:vAlign w:val="center"/>
          </w:tcPr>
          <w:p>
            <w:pPr>
              <w:snapToGrid w:val="0"/>
              <w:jc w:val="center"/>
              <w:rPr>
                <w:rFonts w:ascii="宋体" w:hAnsi="宋体" w:cs="仿宋_GB2312"/>
                <w:sz w:val="24"/>
                <w:szCs w:val="24"/>
              </w:rPr>
            </w:pPr>
            <w:r>
              <w:rPr>
                <w:rFonts w:hint="eastAsia" w:ascii="宋体" w:hAnsi="宋体" w:cs="仿宋_GB2312"/>
                <w:sz w:val="24"/>
                <w:szCs w:val="24"/>
              </w:rPr>
              <w:t>生产地址</w:t>
            </w:r>
          </w:p>
        </w:tc>
        <w:tc>
          <w:tcPr>
            <w:tcW w:w="6757" w:type="dxa"/>
            <w:gridSpan w:val="3"/>
            <w:noWrap w:val="0"/>
            <w:vAlign w:val="center"/>
          </w:tcPr>
          <w:p>
            <w:pPr>
              <w:snapToGrid w:val="0"/>
              <w:jc w:val="center"/>
              <w:rPr>
                <w:rFonts w:hint="eastAsia" w:ascii="宋体" w:hAnsi="宋体" w:eastAsia="宋体" w:cs="方正仿宋简体"/>
                <w:sz w:val="24"/>
                <w:szCs w:val="24"/>
                <w:lang w:val="en-US" w:eastAsia="zh-CN"/>
              </w:rPr>
            </w:pPr>
            <w:r>
              <w:rPr>
                <w:rFonts w:hint="eastAsia" w:ascii="宋体" w:hAnsi="宋体" w:cs="方正仿宋简体"/>
                <w:sz w:val="24"/>
                <w:szCs w:val="24"/>
                <w:lang w:val="en-US" w:eastAsia="zh-CN"/>
              </w:rPr>
              <w:t>南充市嘉陵工业园区国基北路一号(嘉陵区建兴路三段）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exact"/>
          <w:jc w:val="center"/>
        </w:trPr>
        <w:tc>
          <w:tcPr>
            <w:tcW w:w="2529" w:type="dxa"/>
            <w:noWrap w:val="0"/>
            <w:vAlign w:val="center"/>
          </w:tcPr>
          <w:p>
            <w:pPr>
              <w:snapToGrid w:val="0"/>
              <w:jc w:val="center"/>
              <w:rPr>
                <w:rFonts w:ascii="宋体" w:hAnsi="宋体"/>
                <w:sz w:val="24"/>
                <w:szCs w:val="24"/>
              </w:rPr>
            </w:pPr>
            <w:r>
              <w:rPr>
                <w:rFonts w:hint="eastAsia" w:ascii="宋体" w:hAnsi="宋体" w:cs="仿宋_GB2312"/>
                <w:sz w:val="24"/>
                <w:szCs w:val="24"/>
              </w:rPr>
              <w:t>联</w:t>
            </w:r>
            <w:r>
              <w:rPr>
                <w:rFonts w:ascii="宋体" w:hAnsi="宋体" w:cs="仿宋_GB2312"/>
                <w:sz w:val="24"/>
                <w:szCs w:val="24"/>
              </w:rPr>
              <w:t xml:space="preserve"> </w:t>
            </w:r>
            <w:r>
              <w:rPr>
                <w:rFonts w:hint="eastAsia" w:ascii="宋体" w:hAnsi="宋体" w:cs="仿宋_GB2312"/>
                <w:sz w:val="24"/>
                <w:szCs w:val="24"/>
              </w:rPr>
              <w:t>系</w:t>
            </w:r>
            <w:r>
              <w:rPr>
                <w:rFonts w:ascii="宋体" w:hAnsi="宋体" w:cs="仿宋_GB2312"/>
                <w:sz w:val="24"/>
                <w:szCs w:val="24"/>
              </w:rPr>
              <w:t xml:space="preserve"> </w:t>
            </w:r>
            <w:r>
              <w:rPr>
                <w:rFonts w:hint="eastAsia" w:ascii="宋体" w:hAnsi="宋体" w:cs="仿宋_GB2312"/>
                <w:sz w:val="24"/>
                <w:szCs w:val="24"/>
              </w:rPr>
              <w:t>人</w:t>
            </w:r>
          </w:p>
        </w:tc>
        <w:tc>
          <w:tcPr>
            <w:tcW w:w="2253" w:type="dxa"/>
            <w:noWrap w:val="0"/>
            <w:vAlign w:val="center"/>
          </w:tcPr>
          <w:p>
            <w:pPr>
              <w:snapToGrid w:val="0"/>
              <w:jc w:val="center"/>
              <w:rPr>
                <w:rFonts w:hint="eastAsia" w:ascii="宋体" w:hAnsi="宋体" w:eastAsia="黑体"/>
                <w:sz w:val="24"/>
                <w:szCs w:val="24"/>
                <w:lang w:eastAsia="zh-CN"/>
              </w:rPr>
            </w:pPr>
            <w:r>
              <w:rPr>
                <w:rFonts w:hint="eastAsia" w:ascii="宋体" w:hAnsi="宋体"/>
                <w:sz w:val="24"/>
                <w:szCs w:val="24"/>
                <w:lang w:eastAsia="zh-CN"/>
              </w:rPr>
              <w:t>陈小斌</w:t>
            </w:r>
          </w:p>
        </w:tc>
        <w:tc>
          <w:tcPr>
            <w:tcW w:w="2253" w:type="dxa"/>
            <w:noWrap w:val="0"/>
            <w:vAlign w:val="center"/>
          </w:tcPr>
          <w:p>
            <w:pPr>
              <w:snapToGrid w:val="0"/>
              <w:jc w:val="center"/>
              <w:rPr>
                <w:rFonts w:ascii="宋体" w:hAnsi="宋体"/>
                <w:sz w:val="24"/>
                <w:szCs w:val="24"/>
              </w:rPr>
            </w:pPr>
            <w:r>
              <w:rPr>
                <w:rFonts w:hint="eastAsia" w:ascii="宋体" w:hAnsi="宋体" w:cs="仿宋_GB2312"/>
                <w:sz w:val="24"/>
                <w:szCs w:val="24"/>
              </w:rPr>
              <w:t>联系电话</w:t>
            </w:r>
          </w:p>
        </w:tc>
        <w:tc>
          <w:tcPr>
            <w:tcW w:w="2251" w:type="dxa"/>
            <w:noWrap w:val="0"/>
            <w:vAlign w:val="center"/>
          </w:tcPr>
          <w:p>
            <w:pPr>
              <w:snapToGrid w:val="0"/>
              <w:jc w:val="center"/>
              <w:rPr>
                <w:rFonts w:hint="eastAsia" w:ascii="宋体" w:hAnsi="宋体" w:eastAsia="黑体"/>
                <w:sz w:val="24"/>
                <w:szCs w:val="24"/>
                <w:lang w:val="en-US" w:eastAsia="zh-CN"/>
              </w:rPr>
            </w:pPr>
            <w:r>
              <w:rPr>
                <w:rFonts w:hint="eastAsia" w:ascii="宋体" w:hAnsi="宋体"/>
                <w:sz w:val="24"/>
                <w:szCs w:val="24"/>
                <w:lang w:val="en-US" w:eastAsia="zh-CN"/>
              </w:rPr>
              <w:t>15082770061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3" w:hRule="exact"/>
          <w:jc w:val="center"/>
        </w:trPr>
        <w:tc>
          <w:tcPr>
            <w:tcW w:w="2529" w:type="dxa"/>
            <w:noWrap w:val="0"/>
            <w:vAlign w:val="center"/>
          </w:tcPr>
          <w:p>
            <w:pPr>
              <w:snapToGrid w:val="0"/>
              <w:jc w:val="center"/>
              <w:rPr>
                <w:rFonts w:ascii="宋体" w:hAnsi="宋体" w:cs="仿宋_GB2312"/>
                <w:sz w:val="24"/>
                <w:szCs w:val="24"/>
              </w:rPr>
            </w:pPr>
            <w:r>
              <w:rPr>
                <w:rFonts w:hint="eastAsia" w:ascii="宋体" w:hAnsi="宋体" w:cs="仿宋_GB2312"/>
                <w:sz w:val="24"/>
                <w:szCs w:val="24"/>
              </w:rPr>
              <w:t>传    真</w:t>
            </w:r>
          </w:p>
        </w:tc>
        <w:tc>
          <w:tcPr>
            <w:tcW w:w="2253" w:type="dxa"/>
            <w:noWrap w:val="0"/>
            <w:vAlign w:val="center"/>
          </w:tcPr>
          <w:p>
            <w:pPr>
              <w:snapToGrid w:val="0"/>
              <w:jc w:val="center"/>
              <w:rPr>
                <w:rFonts w:hint="eastAsia" w:ascii="宋体" w:hAnsi="宋体" w:eastAsia="黑体"/>
                <w:sz w:val="24"/>
                <w:szCs w:val="24"/>
                <w:lang w:val="en-US" w:eastAsia="zh-CN"/>
              </w:rPr>
            </w:pPr>
            <w:r>
              <w:rPr>
                <w:rFonts w:hint="eastAsia" w:ascii="宋体" w:hAnsi="宋体"/>
                <w:sz w:val="24"/>
                <w:szCs w:val="24"/>
                <w:lang w:val="en-US" w:eastAsia="zh-CN"/>
              </w:rPr>
              <w:t>0817-3882138</w:t>
            </w:r>
          </w:p>
        </w:tc>
        <w:tc>
          <w:tcPr>
            <w:tcW w:w="2253" w:type="dxa"/>
            <w:noWrap w:val="0"/>
            <w:vAlign w:val="center"/>
          </w:tcPr>
          <w:p>
            <w:pPr>
              <w:snapToGrid w:val="0"/>
              <w:jc w:val="center"/>
              <w:rPr>
                <w:rFonts w:ascii="宋体" w:hAnsi="宋体"/>
                <w:sz w:val="24"/>
                <w:szCs w:val="24"/>
              </w:rPr>
            </w:pPr>
            <w:r>
              <w:rPr>
                <w:rFonts w:hint="eastAsia" w:ascii="宋体" w:hAnsi="宋体" w:cs="仿宋_GB2312"/>
                <w:sz w:val="24"/>
                <w:szCs w:val="24"/>
              </w:rPr>
              <w:t>电子邮件</w:t>
            </w:r>
          </w:p>
        </w:tc>
        <w:tc>
          <w:tcPr>
            <w:tcW w:w="2251" w:type="dxa"/>
            <w:noWrap w:val="0"/>
            <w:vAlign w:val="center"/>
          </w:tcPr>
          <w:p>
            <w:pPr>
              <w:snapToGrid w:val="0"/>
              <w:jc w:val="center"/>
              <w:rPr>
                <w:rFonts w:hint="eastAsia" w:ascii="宋体" w:hAnsi="宋体" w:eastAsia="黑体"/>
                <w:sz w:val="24"/>
                <w:szCs w:val="24"/>
                <w:lang w:val="en-US" w:eastAsia="zh-CN"/>
              </w:rPr>
            </w:pPr>
            <w:r>
              <w:rPr>
                <w:rFonts w:hint="eastAsia" w:ascii="宋体" w:hAnsi="宋体"/>
                <w:sz w:val="24"/>
                <w:szCs w:val="24"/>
                <w:lang w:val="en-US" w:eastAsia="zh-CN"/>
              </w:rPr>
              <w:t>408440832@qq.com</w:t>
            </w:r>
          </w:p>
        </w:tc>
      </w:tr>
    </w:tbl>
    <w:p>
      <w:pPr>
        <w:pStyle w:val="7"/>
        <w:spacing w:line="360" w:lineRule="auto"/>
        <w:ind w:left="0" w:leftChars="0" w:firstLine="0" w:firstLineChars="0"/>
        <w:jc w:val="center"/>
        <w:rPr>
          <w:rFonts w:hint="eastAsia" w:ascii="Times New Roman"/>
          <w:b/>
          <w:bCs/>
          <w:color w:val="auto"/>
          <w:lang w:val="en-US" w:eastAsia="zh-CN"/>
        </w:rPr>
      </w:pPr>
      <w:r>
        <w:rPr>
          <w:rFonts w:hint="eastAsia" w:ascii="Times New Roman"/>
          <w:b/>
          <w:bCs/>
          <w:color w:val="auto"/>
          <w:lang w:eastAsia="zh-CN"/>
        </w:rPr>
        <w:t>表</w:t>
      </w:r>
      <w:r>
        <w:rPr>
          <w:rFonts w:hint="eastAsia" w:ascii="Times New Roman"/>
          <w:b/>
          <w:bCs/>
          <w:color w:val="auto"/>
          <w:lang w:val="en-US" w:eastAsia="zh-CN"/>
        </w:rPr>
        <w:t>1-2产品信息表</w:t>
      </w:r>
    </w:p>
    <w:tbl>
      <w:tblPr>
        <w:tblStyle w:val="9"/>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08"/>
        <w:gridCol w:w="893"/>
        <w:gridCol w:w="1983"/>
        <w:gridCol w:w="3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4" w:hRule="atLeast"/>
          <w:jc w:val="center"/>
        </w:trPr>
        <w:tc>
          <w:tcPr>
            <w:tcW w:w="709" w:type="dxa"/>
            <w:noWrap w:val="0"/>
            <w:vAlign w:val="center"/>
          </w:tcPr>
          <w:p>
            <w:pPr>
              <w:snapToGrid w:val="0"/>
              <w:jc w:val="center"/>
              <w:rPr>
                <w:rFonts w:ascii="黑体" w:hAnsi="宋体"/>
                <w:sz w:val="24"/>
                <w:szCs w:val="24"/>
              </w:rPr>
            </w:pPr>
            <w:r>
              <w:rPr>
                <w:rFonts w:hint="eastAsia" w:ascii="黑体" w:hAnsi="宋体" w:cs="仿宋_GB2312"/>
                <w:sz w:val="24"/>
                <w:szCs w:val="24"/>
              </w:rPr>
              <w:t>序号</w:t>
            </w:r>
          </w:p>
        </w:tc>
        <w:tc>
          <w:tcPr>
            <w:tcW w:w="1908" w:type="dxa"/>
            <w:noWrap w:val="0"/>
            <w:vAlign w:val="center"/>
          </w:tcPr>
          <w:p>
            <w:pPr>
              <w:snapToGrid w:val="0"/>
              <w:jc w:val="center"/>
              <w:rPr>
                <w:rFonts w:ascii="黑体" w:hAnsi="宋体"/>
                <w:sz w:val="24"/>
                <w:szCs w:val="24"/>
              </w:rPr>
            </w:pPr>
            <w:r>
              <w:rPr>
                <w:rFonts w:hint="eastAsia" w:ascii="黑体" w:hAnsi="宋体" w:cs="仿宋_GB2312"/>
                <w:sz w:val="24"/>
                <w:szCs w:val="24"/>
              </w:rPr>
              <w:t>食品、食品添加剂类别</w:t>
            </w:r>
          </w:p>
        </w:tc>
        <w:tc>
          <w:tcPr>
            <w:tcW w:w="893" w:type="dxa"/>
            <w:noWrap w:val="0"/>
            <w:vAlign w:val="center"/>
          </w:tcPr>
          <w:p>
            <w:pPr>
              <w:snapToGrid w:val="0"/>
              <w:jc w:val="center"/>
              <w:rPr>
                <w:rFonts w:ascii="黑体" w:hAnsi="宋体"/>
                <w:sz w:val="24"/>
                <w:szCs w:val="24"/>
              </w:rPr>
            </w:pPr>
            <w:r>
              <w:rPr>
                <w:rFonts w:hint="eastAsia" w:ascii="黑体" w:hAnsi="宋体" w:cs="仿宋_GB2312"/>
                <w:sz w:val="24"/>
                <w:szCs w:val="24"/>
              </w:rPr>
              <w:t>类别编号</w:t>
            </w:r>
          </w:p>
        </w:tc>
        <w:tc>
          <w:tcPr>
            <w:tcW w:w="1983" w:type="dxa"/>
            <w:noWrap w:val="0"/>
            <w:vAlign w:val="center"/>
          </w:tcPr>
          <w:p>
            <w:pPr>
              <w:snapToGrid w:val="0"/>
              <w:jc w:val="center"/>
              <w:rPr>
                <w:rFonts w:ascii="黑体" w:hAnsi="宋体"/>
                <w:sz w:val="24"/>
                <w:szCs w:val="24"/>
              </w:rPr>
            </w:pPr>
            <w:r>
              <w:rPr>
                <w:rFonts w:hint="eastAsia" w:ascii="黑体" w:hAnsi="宋体" w:cs="仿宋_GB2312"/>
                <w:sz w:val="24"/>
                <w:szCs w:val="24"/>
              </w:rPr>
              <w:t>类别名称</w:t>
            </w:r>
          </w:p>
        </w:tc>
        <w:tc>
          <w:tcPr>
            <w:tcW w:w="3793" w:type="dxa"/>
            <w:noWrap w:val="0"/>
            <w:vAlign w:val="center"/>
          </w:tcPr>
          <w:p>
            <w:pPr>
              <w:snapToGrid w:val="0"/>
              <w:jc w:val="center"/>
              <w:rPr>
                <w:rFonts w:ascii="黑体" w:hAnsi="宋体"/>
                <w:sz w:val="24"/>
                <w:szCs w:val="24"/>
              </w:rPr>
            </w:pPr>
            <w:r>
              <w:rPr>
                <w:rFonts w:hint="eastAsia" w:ascii="黑体" w:hAnsi="宋体" w:cs="仿宋_GB2312"/>
                <w:sz w:val="24"/>
                <w:szCs w:val="24"/>
              </w:rPr>
              <w:t>品种明细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8" w:hRule="atLeast"/>
          <w:jc w:val="center"/>
        </w:trPr>
        <w:tc>
          <w:tcPr>
            <w:tcW w:w="709" w:type="dxa"/>
            <w:noWrap w:val="0"/>
            <w:vAlign w:val="center"/>
          </w:tcPr>
          <w:p>
            <w:pPr>
              <w:snapToGrid w:val="0"/>
              <w:jc w:val="center"/>
              <w:rPr>
                <w:rFonts w:ascii="仿宋_GB2312" w:eastAsia="仿宋_GB2312"/>
                <w:sz w:val="28"/>
                <w:szCs w:val="28"/>
              </w:rPr>
            </w:pPr>
          </w:p>
        </w:tc>
        <w:tc>
          <w:tcPr>
            <w:tcW w:w="1908" w:type="dxa"/>
            <w:noWrap w:val="0"/>
            <w:vAlign w:val="center"/>
          </w:tcPr>
          <w:p>
            <w:pPr>
              <w:snapToGrid w:val="0"/>
              <w:rPr>
                <w:rFonts w:hint="eastAsia" w:ascii="仿宋_GB2312" w:hAnsi="华文细黑" w:eastAsia="仿宋_GB2312"/>
                <w:color w:val="000000"/>
                <w:sz w:val="24"/>
                <w:szCs w:val="24"/>
                <w:lang w:eastAsia="zh-CN"/>
              </w:rPr>
            </w:pPr>
            <w:r>
              <w:rPr>
                <w:rFonts w:hint="eastAsia" w:ascii="仿宋_GB2312" w:hAnsi="华文细黑" w:eastAsia="仿宋_GB2312"/>
                <w:color w:val="000000"/>
                <w:sz w:val="24"/>
                <w:szCs w:val="24"/>
                <w:lang w:eastAsia="zh-CN"/>
              </w:rPr>
              <w:t>糕点</w:t>
            </w:r>
          </w:p>
        </w:tc>
        <w:tc>
          <w:tcPr>
            <w:tcW w:w="893" w:type="dxa"/>
            <w:noWrap w:val="0"/>
            <w:vAlign w:val="center"/>
          </w:tcPr>
          <w:p>
            <w:pPr>
              <w:snapToGrid w:val="0"/>
              <w:rPr>
                <w:rFonts w:hint="eastAsia" w:ascii="仿宋_GB2312" w:hAnsi="华文细黑" w:eastAsia="仿宋_GB2312"/>
                <w:color w:val="000000"/>
                <w:sz w:val="24"/>
                <w:szCs w:val="24"/>
                <w:lang w:val="en-US" w:eastAsia="zh-CN"/>
              </w:rPr>
            </w:pPr>
            <w:r>
              <w:rPr>
                <w:rFonts w:hint="eastAsia" w:ascii="仿宋_GB2312" w:hAnsi="华文细黑" w:eastAsia="仿宋_GB2312"/>
                <w:color w:val="000000"/>
                <w:sz w:val="24"/>
                <w:szCs w:val="24"/>
                <w:lang w:val="en-US" w:eastAsia="zh-CN"/>
              </w:rPr>
              <w:t>2401</w:t>
            </w:r>
          </w:p>
        </w:tc>
        <w:tc>
          <w:tcPr>
            <w:tcW w:w="1983" w:type="dxa"/>
            <w:noWrap w:val="0"/>
            <w:vAlign w:val="center"/>
          </w:tcPr>
          <w:p>
            <w:pPr>
              <w:snapToGrid w:val="0"/>
              <w:rPr>
                <w:rFonts w:hint="eastAsia" w:ascii="仿宋_GB2312" w:hAnsi="华文细黑" w:eastAsia="仿宋_GB2312"/>
                <w:color w:val="000000"/>
                <w:sz w:val="24"/>
                <w:szCs w:val="24"/>
                <w:lang w:eastAsia="zh-CN"/>
              </w:rPr>
            </w:pPr>
            <w:r>
              <w:rPr>
                <w:rFonts w:hint="eastAsia" w:ascii="仿宋_GB2312" w:hAnsi="华文细黑" w:eastAsia="仿宋_GB2312"/>
                <w:color w:val="000000"/>
                <w:sz w:val="24"/>
                <w:szCs w:val="24"/>
                <w:lang w:eastAsia="zh-CN"/>
              </w:rPr>
              <w:t>热加工糕点</w:t>
            </w:r>
          </w:p>
        </w:tc>
        <w:tc>
          <w:tcPr>
            <w:tcW w:w="3793" w:type="dxa"/>
            <w:noWrap w:val="0"/>
            <w:vAlign w:val="center"/>
          </w:tcPr>
          <w:p>
            <w:pPr>
              <w:adjustRightInd w:val="0"/>
              <w:snapToGrid w:val="0"/>
              <w:spacing w:before="16" w:beforeLines="7" w:after="16" w:afterLines="7"/>
              <w:rPr>
                <w:rFonts w:eastAsia="仿宋_GB2312"/>
                <w:sz w:val="24"/>
                <w:szCs w:val="24"/>
              </w:rPr>
            </w:pPr>
            <w:r>
              <w:rPr>
                <w:rFonts w:eastAsia="仿宋_GB2312"/>
                <w:sz w:val="24"/>
                <w:szCs w:val="24"/>
              </w:rPr>
              <w:t>1.烘烤类糕点(酥类、松酥类、松脆类、酥层类、酥皮类、松酥皮类、糖浆皮类、硬皮类、水油皮类、发酵类、烤蛋糕类、烘糕类、烫面类)</w:t>
            </w:r>
          </w:p>
          <w:p>
            <w:pPr>
              <w:adjustRightInd w:val="0"/>
              <w:snapToGrid w:val="0"/>
              <w:spacing w:before="16" w:beforeLines="7" w:after="16" w:afterLines="7"/>
              <w:rPr>
                <w:rFonts w:ascii="仿宋_GB2312" w:hAnsi="华文细黑" w:eastAsia="仿宋_GB2312"/>
                <w:color w:val="FF0000"/>
                <w:sz w:val="24"/>
                <w:szCs w:val="24"/>
              </w:rPr>
            </w:pPr>
            <w:r>
              <w:rPr>
                <w:rFonts w:eastAsia="仿宋_GB2312"/>
                <w:sz w:val="24"/>
                <w:szCs w:val="24"/>
              </w:rPr>
              <w:t>2.油炸类糕点(酥皮类、水油皮类、松酥类、酥层类、水调类、发酵</w:t>
            </w:r>
            <w:r>
              <w:rPr>
                <w:rFonts w:hint="eastAsia" w:eastAsia="仿宋_GB2312"/>
                <w:sz w:val="24"/>
                <w:szCs w:val="24"/>
                <w:lang w:eastAsia="zh-CN"/>
              </w:rPr>
              <w:t>类</w:t>
            </w:r>
            <w:r>
              <w:rPr>
                <w:rFonts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8" w:hRule="atLeast"/>
          <w:jc w:val="center"/>
        </w:trPr>
        <w:tc>
          <w:tcPr>
            <w:tcW w:w="709" w:type="dxa"/>
            <w:noWrap w:val="0"/>
            <w:vAlign w:val="center"/>
          </w:tcPr>
          <w:p>
            <w:pPr>
              <w:snapToGrid w:val="0"/>
              <w:jc w:val="center"/>
              <w:rPr>
                <w:rFonts w:ascii="仿宋_GB2312" w:eastAsia="仿宋_GB2312"/>
                <w:sz w:val="28"/>
                <w:szCs w:val="28"/>
              </w:rPr>
            </w:pPr>
          </w:p>
        </w:tc>
        <w:tc>
          <w:tcPr>
            <w:tcW w:w="1908" w:type="dxa"/>
            <w:noWrap w:val="0"/>
            <w:vAlign w:val="center"/>
          </w:tcPr>
          <w:p>
            <w:pPr>
              <w:snapToGrid w:val="0"/>
              <w:rPr>
                <w:rFonts w:hint="eastAsia" w:ascii="仿宋_GB2312" w:hAnsi="华文细黑" w:eastAsia="仿宋_GB2312"/>
                <w:color w:val="000000"/>
                <w:sz w:val="24"/>
                <w:szCs w:val="24"/>
                <w:lang w:eastAsia="zh-CN"/>
              </w:rPr>
            </w:pPr>
            <w:r>
              <w:rPr>
                <w:rFonts w:hint="eastAsia" w:ascii="仿宋_GB2312" w:hAnsi="华文细黑" w:eastAsia="仿宋_GB2312"/>
                <w:color w:val="000000"/>
                <w:sz w:val="24"/>
                <w:szCs w:val="24"/>
                <w:lang w:eastAsia="zh-CN"/>
              </w:rPr>
              <w:t>糕点</w:t>
            </w:r>
          </w:p>
        </w:tc>
        <w:tc>
          <w:tcPr>
            <w:tcW w:w="893" w:type="dxa"/>
            <w:noWrap w:val="0"/>
            <w:vAlign w:val="center"/>
          </w:tcPr>
          <w:p>
            <w:pPr>
              <w:snapToGrid w:val="0"/>
              <w:rPr>
                <w:rFonts w:hint="eastAsia" w:ascii="仿宋_GB2312" w:hAnsi="华文细黑" w:eastAsia="仿宋_GB2312"/>
                <w:color w:val="000000"/>
                <w:sz w:val="24"/>
                <w:szCs w:val="24"/>
                <w:lang w:val="en-US" w:eastAsia="zh-CN"/>
              </w:rPr>
            </w:pPr>
            <w:r>
              <w:rPr>
                <w:rFonts w:hint="eastAsia" w:ascii="仿宋_GB2312" w:hAnsi="华文细黑" w:eastAsia="仿宋_GB2312"/>
                <w:color w:val="000000"/>
                <w:sz w:val="24"/>
                <w:szCs w:val="24"/>
                <w:lang w:val="en-US" w:eastAsia="zh-CN"/>
              </w:rPr>
              <w:t>2402</w:t>
            </w:r>
          </w:p>
        </w:tc>
        <w:tc>
          <w:tcPr>
            <w:tcW w:w="1983" w:type="dxa"/>
            <w:noWrap w:val="0"/>
            <w:vAlign w:val="center"/>
          </w:tcPr>
          <w:p>
            <w:pPr>
              <w:snapToGrid w:val="0"/>
              <w:rPr>
                <w:rFonts w:hint="eastAsia" w:ascii="仿宋_GB2312" w:hAnsi="华文细黑" w:eastAsia="仿宋_GB2312"/>
                <w:color w:val="000000"/>
                <w:sz w:val="24"/>
                <w:szCs w:val="24"/>
                <w:lang w:eastAsia="zh-CN"/>
              </w:rPr>
            </w:pPr>
            <w:r>
              <w:rPr>
                <w:rFonts w:hint="eastAsia" w:ascii="仿宋_GB2312" w:hAnsi="华文细黑" w:eastAsia="仿宋_GB2312"/>
                <w:color w:val="000000"/>
                <w:sz w:val="24"/>
                <w:szCs w:val="24"/>
                <w:lang w:eastAsia="zh-CN"/>
              </w:rPr>
              <w:t>冷加工糕点</w:t>
            </w:r>
          </w:p>
        </w:tc>
        <w:tc>
          <w:tcPr>
            <w:tcW w:w="3793" w:type="dxa"/>
            <w:noWrap w:val="0"/>
            <w:vAlign w:val="center"/>
          </w:tcPr>
          <w:p>
            <w:pPr>
              <w:adjustRightInd w:val="0"/>
              <w:snapToGrid w:val="0"/>
              <w:spacing w:before="16" w:beforeLines="7" w:after="16" w:afterLines="7"/>
              <w:rPr>
                <w:rFonts w:eastAsia="仿宋_GB2312"/>
                <w:sz w:val="24"/>
                <w:szCs w:val="24"/>
              </w:rPr>
            </w:pPr>
            <w:r>
              <w:rPr>
                <w:rFonts w:eastAsia="仿宋_GB2312"/>
                <w:sz w:val="24"/>
                <w:szCs w:val="24"/>
              </w:rPr>
              <w:t>1.熟粉糕点</w:t>
            </w:r>
          </w:p>
          <w:p>
            <w:pPr>
              <w:adjustRightInd w:val="0"/>
              <w:snapToGrid w:val="0"/>
              <w:spacing w:before="16" w:beforeLines="7" w:after="16" w:afterLines="7"/>
              <w:rPr>
                <w:rFonts w:eastAsia="仿宋_GB2312"/>
                <w:sz w:val="24"/>
                <w:szCs w:val="24"/>
              </w:rPr>
            </w:pPr>
            <w:r>
              <w:rPr>
                <w:rFonts w:eastAsia="仿宋_GB2312"/>
                <w:sz w:val="24"/>
                <w:szCs w:val="24"/>
              </w:rPr>
              <w:t>2.西式装饰蛋糕类</w:t>
            </w:r>
          </w:p>
          <w:p>
            <w:pPr>
              <w:adjustRightInd w:val="0"/>
              <w:snapToGrid w:val="0"/>
              <w:spacing w:before="16" w:beforeLines="7" w:after="16" w:afterLines="7"/>
              <w:rPr>
                <w:rFonts w:eastAsia="仿宋_GB2312"/>
                <w:sz w:val="24"/>
                <w:szCs w:val="24"/>
              </w:rPr>
            </w:pPr>
            <w:r>
              <w:rPr>
                <w:rFonts w:eastAsia="仿宋_GB2312"/>
                <w:sz w:val="24"/>
                <w:szCs w:val="24"/>
              </w:rPr>
              <w:t>3.上糖浆类</w:t>
            </w:r>
          </w:p>
          <w:p>
            <w:pPr>
              <w:adjustRightInd w:val="0"/>
              <w:snapToGrid w:val="0"/>
              <w:spacing w:before="16" w:beforeLines="7" w:after="16" w:afterLines="7"/>
              <w:rPr>
                <w:rFonts w:ascii="仿宋_GB2312" w:hAnsi="华文细黑" w:eastAsia="仿宋_GB2312"/>
                <w:color w:val="FF0000"/>
                <w:sz w:val="24"/>
                <w:szCs w:val="24"/>
              </w:rPr>
            </w:pPr>
            <w:r>
              <w:rPr>
                <w:rFonts w:eastAsia="仿宋_GB2312"/>
                <w:sz w:val="24"/>
                <w:szCs w:val="24"/>
              </w:rPr>
              <w:t>4.夹心(注心)类</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rPr>
      </w:pPr>
      <w:bookmarkStart w:id="5" w:name="_Toc6155"/>
      <w:r>
        <w:rPr>
          <w:rFonts w:hint="eastAsia" w:ascii="宋体" w:hAnsi="宋体" w:eastAsia="宋体" w:cs="宋体"/>
          <w:color w:val="auto"/>
          <w:sz w:val="28"/>
          <w:szCs w:val="28"/>
        </w:rPr>
        <w:t>2.1.1公司地理位置及环境等情况</w:t>
      </w:r>
      <w:bookmarkEnd w:id="4"/>
      <w:bookmarkEnd w:id="5"/>
    </w:p>
    <w:p>
      <w:pPr>
        <w:numPr>
          <w:ilvl w:val="0"/>
          <w:numId w:val="1"/>
        </w:numPr>
        <w:spacing w:line="360" w:lineRule="auto"/>
        <w:ind w:firstLine="480" w:firstLineChars="200"/>
        <w:rPr>
          <w:rFonts w:hint="eastAsia" w:ascii="宋体" w:hAnsi="宋体" w:cs="宋体"/>
          <w:color w:val="auto"/>
          <w:sz w:val="24"/>
          <w:lang w:val="zh-CN"/>
        </w:rPr>
      </w:pPr>
      <w:bookmarkStart w:id="6" w:name="_Toc440539580"/>
      <w:r>
        <w:rPr>
          <w:rFonts w:hint="eastAsia" w:ascii="宋体" w:hAnsi="宋体" w:cs="宋体"/>
          <w:color w:val="auto"/>
          <w:sz w:val="24"/>
          <w:lang w:val="zh-CN"/>
        </w:rPr>
        <w:t>厂址地理位置</w:t>
      </w:r>
      <w:bookmarkEnd w:id="6"/>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zh-CN" w:eastAsia="zh-CN"/>
        </w:rPr>
        <w:t>嘉陵区工业园座落于南充市嘉陵区，嘉陵工业园已建成面积8平方公里，现已有企业 80户，其中规模以上62户。园区初步形成了以东风汽车为带动的机械汽配产业，以依格尔为带动的丝纺服装产业，以</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"https://baike.baidu.com/item/%E7%87%95%E4%BA%AC%E5%95%A4%E9%85%92" \t "https://baike.baidu.com/item/%E5%8D%97%E5%85%85%E5%B7%A5%E4%B8%9A%E5%9B%AD%E5%8C%BA/_blank"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燕京啤酒</w:t>
      </w:r>
      <w:r>
        <w:rPr>
          <w:rFonts w:hint="default" w:hAnsi="宋体" w:cs="宋体"/>
          <w:color w:val="auto"/>
          <w:sz w:val="24"/>
          <w:lang w:val="zh-CN" w:eastAsia="zh-CN"/>
        </w:rPr>
        <w:fldChar w:fldCharType="end"/>
      </w:r>
      <w:r>
        <w:rPr>
          <w:rFonts w:hint="default" w:hAnsi="宋体" w:cs="宋体"/>
          <w:color w:val="auto"/>
          <w:sz w:val="24"/>
          <w:lang w:val="zh-CN" w:eastAsia="zh-CN"/>
        </w:rPr>
        <w:t>、</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"https://baike.baidu.com/item/%E6%B1%87%E6%BA%90%E6%9E%9C%E6%B1%81" \t "https://baike.baidu.com/item/%E5%8D%97%E5%85%85%E5%B7%A5%E4%B8%9A%E5%9B%AD%E5%8C%BA/_blank"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汇源果汁</w:t>
      </w:r>
      <w:r>
        <w:rPr>
          <w:rFonts w:hint="default" w:hAnsi="宋体" w:cs="宋体"/>
          <w:color w:val="auto"/>
          <w:sz w:val="24"/>
          <w:lang w:val="zh-CN" w:eastAsia="zh-CN"/>
        </w:rPr>
        <w:fldChar w:fldCharType="end"/>
      </w:r>
      <w:r>
        <w:rPr>
          <w:rFonts w:hint="default" w:hAnsi="宋体" w:cs="宋体"/>
          <w:color w:val="auto"/>
          <w:sz w:val="24"/>
          <w:lang w:val="zh-CN" w:eastAsia="zh-CN"/>
        </w:rPr>
        <w:t>、鹰金钱食品为带动的食品饮料产业。</w:t>
      </w:r>
      <w:r>
        <w:rPr>
          <w:rFonts w:hint="eastAsia" w:hAnsi="宋体" w:cs="宋体"/>
          <w:color w:val="auto"/>
          <w:sz w:val="24"/>
          <w:lang w:val="zh-CN" w:eastAsia="zh-CN"/>
        </w:rPr>
        <w:t>是省级重点工业园区，地理位置优越，交通便捷。</w:t>
      </w:r>
    </w:p>
    <w:p>
      <w:pPr>
        <w:pStyle w:val="8"/>
        <w:spacing w:line="520" w:lineRule="exact"/>
        <w:ind w:firstLine="480" w:firstLineChars="200"/>
        <w:rPr>
          <w:rFonts w:hint="eastAsia" w:ascii="宋体" w:hAnsi="宋体" w:cs="宋体"/>
          <w:color w:val="auto"/>
          <w:spacing w:val="20"/>
          <w:sz w:val="24"/>
          <w:lang w:val="zh-CN"/>
        </w:rPr>
      </w:pPr>
      <w:r>
        <w:rPr>
          <w:rFonts w:hint="eastAsia" w:hAnsi="宋体" w:cs="宋体"/>
          <w:color w:val="auto"/>
          <w:sz w:val="24"/>
          <w:lang w:val="zh-CN" w:eastAsia="zh-CN"/>
        </w:rPr>
        <w:t>嘉陵区于四川</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"https://baike.baidu.com/item/%E4%B8%9C%E5%8C%97"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东北</w:t>
      </w:r>
      <w:r>
        <w:rPr>
          <w:rFonts w:hint="default" w:hAnsi="宋体" w:cs="宋体"/>
          <w:color w:val="auto"/>
          <w:sz w:val="24"/>
          <w:lang w:val="zh-CN" w:eastAsia="zh-CN"/>
        </w:rPr>
        <w:fldChar w:fldCharType="end"/>
      </w:r>
      <w:r>
        <w:rPr>
          <w:rFonts w:hint="default" w:hAnsi="宋体" w:cs="宋体"/>
          <w:color w:val="auto"/>
          <w:sz w:val="24"/>
          <w:lang w:val="zh-CN" w:eastAsia="zh-CN"/>
        </w:rPr>
        <w:t>部，嘉陵江中游西岸，地处东经105°45′-106°00′，北纬30°27′—30°52′之间，北靠</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"https://baike.baidu.com/item/%E9%A1%BA%E5%BA%86%E5%8C%BA"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顺庆区</w:t>
      </w:r>
      <w:r>
        <w:rPr>
          <w:rFonts w:hint="default" w:hAnsi="宋体" w:cs="宋体"/>
          <w:color w:val="auto"/>
          <w:sz w:val="24"/>
          <w:lang w:val="zh-CN" w:eastAsia="zh-CN"/>
        </w:rPr>
        <w:fldChar w:fldCharType="end"/>
      </w:r>
      <w:r>
        <w:rPr>
          <w:rFonts w:hint="default" w:hAnsi="宋体" w:cs="宋体"/>
          <w:color w:val="auto"/>
          <w:sz w:val="24"/>
          <w:lang w:val="zh-CN" w:eastAsia="zh-CN"/>
        </w:rPr>
        <w:t>，南邻武胜县，西接</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"https://baike.baidu.com/item/%E8%A5%BF%E5%85%85%E5%8E%BF"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西充县</w:t>
      </w:r>
      <w:r>
        <w:rPr>
          <w:rFonts w:hint="default" w:hAnsi="宋体" w:cs="宋体"/>
          <w:color w:val="auto"/>
          <w:sz w:val="24"/>
          <w:lang w:val="zh-CN" w:eastAsia="zh-CN"/>
        </w:rPr>
        <w:fldChar w:fldCharType="end"/>
      </w:r>
      <w:r>
        <w:rPr>
          <w:rFonts w:hint="default" w:hAnsi="宋体" w:cs="宋体"/>
          <w:color w:val="auto"/>
          <w:sz w:val="24"/>
          <w:lang w:val="zh-CN" w:eastAsia="zh-CN"/>
        </w:rPr>
        <w:t>、</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"https://baike.baidu.com/item/%E8%93%AC%E6%BA%AA%E5%8E%BF"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蓬溪县</w:t>
      </w:r>
      <w:r>
        <w:rPr>
          <w:rFonts w:hint="default" w:hAnsi="宋体" w:cs="宋体"/>
          <w:color w:val="auto"/>
          <w:sz w:val="24"/>
          <w:lang w:val="zh-CN" w:eastAsia="zh-CN"/>
        </w:rPr>
        <w:fldChar w:fldCharType="end"/>
      </w:r>
      <w:r>
        <w:rPr>
          <w:rFonts w:hint="default" w:hAnsi="宋体" w:cs="宋体"/>
          <w:color w:val="auto"/>
          <w:sz w:val="24"/>
          <w:lang w:val="zh-CN" w:eastAsia="zh-CN"/>
        </w:rPr>
        <w:t>，东连</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"https://baike.baidu.com/item/%E9%AB%98%E5%9D%AA%E5%8C%BA"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高坪区</w:t>
      </w:r>
      <w:r>
        <w:rPr>
          <w:rFonts w:hint="default" w:hAnsi="宋体" w:cs="宋体"/>
          <w:color w:val="auto"/>
          <w:sz w:val="24"/>
          <w:lang w:val="zh-CN" w:eastAsia="zh-CN"/>
        </w:rPr>
        <w:fldChar w:fldCharType="end"/>
      </w:r>
      <w:r>
        <w:rPr>
          <w:rFonts w:hint="default" w:hAnsi="宋体" w:cs="宋体"/>
          <w:color w:val="auto"/>
          <w:sz w:val="24"/>
          <w:lang w:val="zh-CN" w:eastAsia="zh-CN"/>
        </w:rPr>
        <w:t>，距离川东北经济文化中心的南充市仅3公里，并同成都、重庆形成一个两小时经济发展圈。嘉陵区管辖6个街道、22个镇、18个乡，幅员面积1278平方公里；总人口70万（2013年）</w:t>
      </w:r>
      <w:r>
        <w:rPr>
          <w:rFonts w:hint="eastAsia" w:hAnsi="宋体" w:cs="宋体"/>
          <w:color w:val="auto"/>
          <w:sz w:val="24"/>
          <w:lang w:val="zh-CN" w:eastAsia="zh-CN"/>
        </w:rPr>
        <w:t>。厂址所在地交通方便，利于原材料及产品运输。其地理位置图见下图。</w:t>
      </w:r>
    </w:p>
    <w:p>
      <w:pPr>
        <w:spacing w:line="360" w:lineRule="auto"/>
        <w:rPr>
          <w:rFonts w:hint="eastAsia" w:ascii="宋体" w:hAnsi="宋体" w:cs="宋体"/>
          <w:color w:val="auto"/>
          <w:spacing w:val="20"/>
          <w:sz w:val="24"/>
          <w:lang w:val="zh-CN"/>
        </w:rPr>
      </w:pPr>
      <w:r>
        <w:rPr>
          <w:sz w:val="28"/>
        </w:rPr>
        <mc:AlternateContent>
          <mc:Choice Requires="wps">
            <w:drawing>
              <wp:anchor distT="0" distB="0" distL="114300" distR="114300" simplePos="0" relativeHeight="251668480" behindDoc="0" locked="0" layoutInCell="1" allowOverlap="1">
                <wp:simplePos x="0" y="0"/>
                <wp:positionH relativeFrom="column">
                  <wp:posOffset>2193925</wp:posOffset>
                </wp:positionH>
                <wp:positionV relativeFrom="paragraph">
                  <wp:posOffset>1193800</wp:posOffset>
                </wp:positionV>
                <wp:extent cx="1399540" cy="313055"/>
                <wp:effectExtent l="9525" t="9525" r="19685" b="191770"/>
                <wp:wrapNone/>
                <wp:docPr id="5" name="矩形标注 5"/>
                <wp:cNvGraphicFramePr/>
                <a:graphic xmlns:a="http://schemas.openxmlformats.org/drawingml/2006/main">
                  <a:graphicData uri="http://schemas.microsoft.com/office/word/2010/wordprocessingShape">
                    <wps:wsp>
                      <wps:cNvSpPr/>
                      <wps:spPr>
                        <a:xfrm>
                          <a:off x="0" y="0"/>
                          <a:ext cx="1399540" cy="313055"/>
                        </a:xfrm>
                        <a:prstGeom prst="wedgeRectCallout">
                          <a:avLst>
                            <a:gd name="adj1" fmla="val -39157"/>
                            <a:gd name="adj2" fmla="val 106593"/>
                          </a:avLst>
                        </a:prstGeom>
                        <a:noFill/>
                        <a:ln w="19050" cap="flat" cmpd="sng">
                          <a:solidFill>
                            <a:srgbClr val="000000"/>
                          </a:solidFill>
                          <a:prstDash val="solid"/>
                          <a:round/>
                          <a:headEnd type="none" w="med" len="med"/>
                          <a:tailEnd type="none" w="med" len="med"/>
                        </a:ln>
                      </wps:spPr>
                      <wps:txbx>
                        <w:txbxContent>
                          <w:p>
                            <w:pPr>
                              <w:jc w:val="both"/>
                              <w:rPr>
                                <w:rFonts w:hint="eastAsia" w:eastAsia="宋体"/>
                                <w:b/>
                                <w:bCs/>
                                <w:color w:val="FF0000"/>
                                <w:sz w:val="18"/>
                                <w:szCs w:val="18"/>
                                <w:lang w:eastAsia="zh-CN"/>
                              </w:rPr>
                            </w:pPr>
                            <w:r>
                              <w:rPr>
                                <w:rFonts w:hint="eastAsia"/>
                                <w:b/>
                                <w:bCs/>
                                <w:color w:val="FF0000"/>
                                <w:sz w:val="18"/>
                                <w:szCs w:val="18"/>
                                <w:lang w:eastAsia="zh-CN"/>
                              </w:rPr>
                              <w:t>四川雷仕食品有限公司</w:t>
                            </w:r>
                          </w:p>
                        </w:txbxContent>
                      </wps:txbx>
                      <wps:bodyPr anchor="ctr" upright="1"/>
                    </wps:wsp>
                  </a:graphicData>
                </a:graphic>
              </wp:anchor>
            </w:drawing>
          </mc:Choice>
          <mc:Fallback>
            <w:pict>
              <v:shape id="_x0000_s1026" o:spid="_x0000_s1026" o:spt="61" type="#_x0000_t61" style="position:absolute;left:0pt;margin-left:172.75pt;margin-top:94pt;height:24.65pt;width:110.2pt;z-index:251668480;v-text-anchor:middle;mso-width-relative:page;mso-height-relative:page;" filled="f" stroked="t" coordsize="21600,21600" o:gfxdata="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HYi9&#10;2AAAAAsBAAAPAAAAAAAAAAEAIAAAACIAAABkcnMvZG93bnJldi54bWxQSwECFAAUAAAACACHTuJA&#10;xNCD2iECAAAlBAAADgAAAAAAAAABACAAAAAnAQAAZHJzL2Uyb0RvYy54bWxQSwUGAAAAAAYABgBZ&#10;AQAAugUAAAAA&#10;" adj="2342,33824">
                <v:fill on="f" focussize="0,0"/>
                <v:stroke weight="1.5pt" color="#000000" joinstyle="round"/>
                <v:imagedata o:title=""/>
                <o:lock v:ext="edit" aspectratio="f"/>
                <v:textbox>
                  <w:txbxContent>
                    <w:p>
                      <w:pPr>
                        <w:jc w:val="both"/>
                        <w:rPr>
                          <w:rFonts w:hint="eastAsia" w:eastAsia="宋体"/>
                          <w:b/>
                          <w:bCs/>
                          <w:color w:val="FF0000"/>
                          <w:sz w:val="18"/>
                          <w:szCs w:val="18"/>
                          <w:lang w:eastAsia="zh-CN"/>
                        </w:rPr>
                      </w:pPr>
                      <w:r>
                        <w:rPr>
                          <w:rFonts w:hint="eastAsia"/>
                          <w:b/>
                          <w:bCs/>
                          <w:color w:val="FF0000"/>
                          <w:sz w:val="18"/>
                          <w:szCs w:val="18"/>
                          <w:lang w:eastAsia="zh-CN"/>
                        </w:rPr>
                        <w:t>四川雷仕食品有限公司</w:t>
                      </w:r>
                    </w:p>
                  </w:txbxContent>
                </v:textbox>
              </v:shape>
            </w:pict>
          </mc:Fallback>
        </mc:AlternateContent>
      </w:r>
      <w:r>
        <w:drawing>
          <wp:inline distT="0" distB="0" distL="114300" distR="114300">
            <wp:extent cx="6122035" cy="3856990"/>
            <wp:effectExtent l="0" t="0" r="1206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6122035" cy="3856990"/>
                    </a:xfrm>
                    <a:prstGeom prst="rect">
                      <a:avLst/>
                    </a:prstGeom>
                    <a:noFill/>
                    <a:ln>
                      <a:noFill/>
                    </a:ln>
                  </pic:spPr>
                </pic:pic>
              </a:graphicData>
            </a:graphic>
          </wp:inline>
        </w:drawing>
      </w:r>
    </w:p>
    <w:p>
      <w:pPr>
        <w:autoSpaceDE w:val="0"/>
        <w:autoSpaceDN w:val="0"/>
        <w:adjustRightInd w:val="0"/>
        <w:spacing w:line="360" w:lineRule="auto"/>
        <w:ind w:firstLine="444" w:firstLineChars="200"/>
        <w:jc w:val="center"/>
        <w:rPr>
          <w:rFonts w:hint="eastAsia" w:ascii="宋体" w:hAnsi="宋体"/>
          <w:bCs/>
          <w:color w:val="auto"/>
          <w:spacing w:val="6"/>
        </w:rPr>
      </w:pPr>
      <w:bookmarkStart w:id="7" w:name="_Toc26359"/>
      <w:r>
        <w:rPr>
          <w:rFonts w:hint="eastAsia" w:ascii="宋体" w:hAnsi="宋体"/>
          <w:bCs/>
          <w:color w:val="auto"/>
          <w:spacing w:val="6"/>
        </w:rPr>
        <w:t>图2-1 地理位置图</w:t>
      </w:r>
      <w:bookmarkEnd w:id="7"/>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en-US" w:eastAsia="zh-CN"/>
        </w:rPr>
        <w:t>2、</w:t>
      </w:r>
      <w:r>
        <w:rPr>
          <w:rFonts w:hint="eastAsia" w:hAnsi="宋体" w:cs="宋体"/>
          <w:color w:val="auto"/>
          <w:sz w:val="24"/>
          <w:lang w:val="zh-CN" w:eastAsia="zh-CN"/>
        </w:rPr>
        <w:t>厂址自然条件</w:t>
      </w:r>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zh-CN" w:eastAsia="zh-CN"/>
        </w:rPr>
        <w:t>1）气象条件：嘉陵区属亚热带湿润气候，季风气候明显，四季分明，日照充足。冬季平均气温13°C，最高36.2°C，春秋两季平均气温10—22°C，年均气温17°C，年均降水量1120mm。</w:t>
      </w:r>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zh-CN" w:eastAsia="zh-CN"/>
        </w:rPr>
        <w:t>2）地质条件：嘉陵区区内地形是西北高，东南低，由东向西，自北而南依次为低山、丘陵、深丘带坝地貌，沿西南成带状分布。大地构造单元完整，地壳较稳定。</w:t>
      </w:r>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zh-CN" w:eastAsia="zh-CN"/>
        </w:rPr>
        <w:t>3）水文条件：嘉陵区主要河流有</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"https://baike.baidu.com/item/%E5%98%89%E9%99%B5%E6%B1%9F"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嘉陵江</w:t>
      </w:r>
      <w:r>
        <w:rPr>
          <w:rFonts w:hint="default" w:hAnsi="宋体" w:cs="宋体"/>
          <w:color w:val="auto"/>
          <w:sz w:val="24"/>
          <w:lang w:val="zh-CN" w:eastAsia="zh-CN"/>
        </w:rPr>
        <w:fldChar w:fldCharType="end"/>
      </w:r>
      <w:r>
        <w:rPr>
          <w:rFonts w:hint="default" w:hAnsi="宋体" w:cs="宋体"/>
          <w:color w:val="auto"/>
          <w:sz w:val="24"/>
          <w:lang w:val="zh-CN" w:eastAsia="zh-CN"/>
        </w:rPr>
        <w:t>，曲水河，吉安河，桓子河。嘉陵江全长1119公里，流域面积159710平方公里，是长江支流中流域面积最大的河流。嘉陵江主流在</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"https://baike.baidu.com/item/%E5%90%88%E5%B7%9D%E5%8E%BF"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合川县</w:t>
      </w:r>
      <w:r>
        <w:rPr>
          <w:rFonts w:hint="default" w:hAnsi="宋体" w:cs="宋体"/>
          <w:color w:val="auto"/>
          <w:sz w:val="24"/>
          <w:lang w:val="zh-CN" w:eastAsia="zh-CN"/>
        </w:rPr>
        <w:fldChar w:fldCharType="end"/>
      </w:r>
      <w:r>
        <w:rPr>
          <w:rFonts w:hint="default" w:hAnsi="宋体" w:cs="宋体"/>
          <w:color w:val="auto"/>
          <w:sz w:val="24"/>
          <w:lang w:val="zh-CN" w:eastAsia="zh-CN"/>
        </w:rPr>
        <w:t>汇合了涪江（嘉陵江左边）、渠江（嘉陵江右边）及小安溪，水系遍及川东北地区，构成巨大的扇形向心河网。嘉陵江流经四川盆地中，流域面积在500平方公里以上的一级支流就有17条，如</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"https://baike.baidu.com/item/%E4%B8%9C%E6%B2%B3"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东河</w:t>
      </w:r>
      <w:r>
        <w:rPr>
          <w:rFonts w:hint="default" w:hAnsi="宋体" w:cs="宋体"/>
          <w:color w:val="auto"/>
          <w:sz w:val="24"/>
          <w:lang w:val="zh-CN" w:eastAsia="zh-CN"/>
        </w:rPr>
        <w:fldChar w:fldCharType="end"/>
      </w:r>
      <w:r>
        <w:rPr>
          <w:rFonts w:hint="default" w:hAnsi="宋体" w:cs="宋体"/>
          <w:color w:val="auto"/>
          <w:sz w:val="24"/>
          <w:lang w:val="zh-CN" w:eastAsia="zh-CN"/>
        </w:rPr>
        <w:t>、</w:t>
      </w:r>
      <w:r>
        <w:rPr>
          <w:rFonts w:hint="default" w:hAnsi="宋体" w:cs="宋体"/>
          <w:color w:val="auto"/>
          <w:sz w:val="24"/>
          <w:lang w:val="zh-CN" w:eastAsia="zh-CN"/>
        </w:rPr>
        <w:fldChar w:fldCharType="begin"/>
      </w:r>
      <w:r>
        <w:rPr>
          <w:rFonts w:hint="default" w:hAnsi="宋体" w:cs="宋体"/>
          <w:color w:val="auto"/>
          <w:sz w:val="24"/>
          <w:lang w:val="zh-CN" w:eastAsia="zh-CN"/>
        </w:rPr>
        <w:instrText xml:space="preserve"> HYPERLINK "https://baike.baidu.com/item/%E8%A5%BF%E6%B2%B3/8579486" \t "https://baike.baidu.com/item/_blank" </w:instrText>
      </w:r>
      <w:r>
        <w:rPr>
          <w:rFonts w:hint="default" w:hAnsi="宋体" w:cs="宋体"/>
          <w:color w:val="auto"/>
          <w:sz w:val="24"/>
          <w:lang w:val="zh-CN" w:eastAsia="zh-CN"/>
        </w:rPr>
        <w:fldChar w:fldCharType="separate"/>
      </w:r>
      <w:r>
        <w:rPr>
          <w:rFonts w:hint="default" w:hAnsi="宋体" w:cs="宋体"/>
          <w:color w:val="auto"/>
          <w:sz w:val="24"/>
          <w:lang w:val="zh-CN" w:eastAsia="zh-CN"/>
        </w:rPr>
        <w:t>西河</w:t>
      </w:r>
      <w:r>
        <w:rPr>
          <w:rFonts w:hint="default" w:hAnsi="宋体" w:cs="宋体"/>
          <w:color w:val="auto"/>
          <w:sz w:val="24"/>
          <w:lang w:val="zh-CN" w:eastAsia="zh-CN"/>
        </w:rPr>
        <w:fldChar w:fldCharType="end"/>
      </w:r>
      <w:r>
        <w:rPr>
          <w:rFonts w:hint="default" w:hAnsi="宋体" w:cs="宋体"/>
          <w:color w:val="auto"/>
          <w:sz w:val="24"/>
          <w:lang w:val="zh-CN" w:eastAsia="zh-CN"/>
        </w:rPr>
        <w:t>、白龙江及涪江、渠江等。</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lang w:val="zh-CN"/>
        </w:rPr>
      </w:pPr>
      <w:bookmarkStart w:id="8" w:name="_Toc440539582"/>
      <w:bookmarkStart w:id="9" w:name="_Toc8592"/>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1.2</w:t>
      </w:r>
      <w:r>
        <w:rPr>
          <w:rFonts w:hint="eastAsia" w:ascii="宋体" w:hAnsi="宋体" w:eastAsia="宋体" w:cs="宋体"/>
          <w:color w:val="auto"/>
          <w:sz w:val="28"/>
          <w:szCs w:val="28"/>
          <w:lang w:val="zh-CN"/>
        </w:rPr>
        <w:t>周边环境</w:t>
      </w:r>
      <w:bookmarkEnd w:id="8"/>
      <w:bookmarkEnd w:id="9"/>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四川雷仕食品有限公司位于南充市嘉陵区工业园区国基北路一号建兴路三段。四川雷仕食品有限公司生产车间和办公楼均为自建性质的标准化车间。</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本公司所在地位于嘉陵工业园区，公司西面为御家园小区</w:t>
      </w:r>
      <w:r>
        <w:rPr>
          <w:rFonts w:hint="eastAsia" w:ascii="宋体" w:hAnsi="宋体" w:eastAsia="宋体" w:cs="宋体"/>
          <w:color w:val="auto"/>
          <w:kern w:val="2"/>
          <w:sz w:val="24"/>
          <w:szCs w:val="24"/>
          <w:lang w:val="en-US" w:eastAsia="zh-CN" w:bidi="ar-SA"/>
        </w:rPr>
        <w:t>，东邻南广香江国际（正在修建中），117m处为都尉路三段，南面为建兴路三段，30m处为华林时代广场，</w:t>
      </w:r>
      <w:r>
        <w:rPr>
          <w:rFonts w:hint="eastAsia" w:ascii="宋体" w:hAnsi="宋体" w:eastAsia="宋体" w:cs="宋体"/>
          <w:color w:val="auto"/>
          <w:kern w:val="2"/>
          <w:sz w:val="24"/>
          <w:szCs w:val="24"/>
          <w:lang w:val="zh-CN" w:eastAsia="zh-CN" w:bidi="ar-SA"/>
        </w:rPr>
        <w:t>其地理位置图见下图。</w:t>
      </w:r>
    </w:p>
    <w:p>
      <w:pPr>
        <w:autoSpaceDE w:val="0"/>
        <w:autoSpaceDN w:val="0"/>
        <w:adjustRightInd w:val="0"/>
        <w:spacing w:line="360" w:lineRule="auto"/>
        <w:rPr>
          <w:rFonts w:hint="eastAsia" w:ascii="宋体" w:hAnsi="宋体" w:eastAsia="宋体" w:cs="宋体"/>
          <w:color w:val="auto"/>
          <w:kern w:val="2"/>
          <w:sz w:val="24"/>
          <w:szCs w:val="24"/>
          <w:lang w:val="zh-CN" w:eastAsia="zh-CN" w:bidi="ar-SA"/>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5519420</wp:posOffset>
                </wp:positionH>
                <wp:positionV relativeFrom="paragraph">
                  <wp:posOffset>3477895</wp:posOffset>
                </wp:positionV>
                <wp:extent cx="551180" cy="273685"/>
                <wp:effectExtent l="0" t="0" r="0" b="0"/>
                <wp:wrapNone/>
                <wp:docPr id="6" name="矩形 6"/>
                <wp:cNvGraphicFramePr/>
                <a:graphic xmlns:a="http://schemas.openxmlformats.org/drawingml/2006/main">
                  <a:graphicData uri="http://schemas.microsoft.com/office/word/2010/wordprocessingShape">
                    <wps:wsp>
                      <wps:cNvSpPr/>
                      <wps:spPr>
                        <a:xfrm>
                          <a:off x="4316730" y="2158365"/>
                          <a:ext cx="1191260" cy="262890"/>
                        </a:xfrm>
                        <a:prstGeom prst="rect">
                          <a:avLst/>
                        </a:prstGeom>
                        <a:noFill/>
                        <a:ln w="25400" cap="flat" cmpd="sng" algn="ctr">
                          <a:noFill/>
                          <a:prstDash val="solid"/>
                        </a:ln>
                        <a:effectLst/>
                      </wps:spPr>
                      <wps:txbx>
                        <w:txbxContent>
                          <w:p>
                            <w:pPr>
                              <w:jc w:val="center"/>
                              <w:rPr>
                                <w:rFonts w:hint="eastAsia" w:eastAsia="宋体"/>
                                <w:b/>
                                <w:bCs/>
                                <w:color w:val="auto"/>
                                <w:sz w:val="15"/>
                                <w:szCs w:val="15"/>
                                <w:lang w:eastAsia="zh-CN"/>
                              </w:rPr>
                            </w:pPr>
                            <w:r>
                              <w:rPr>
                                <w:rFonts w:hint="eastAsia"/>
                                <w:b/>
                                <w:bCs/>
                                <w:color w:val="3F3F3F"/>
                                <w:sz w:val="15"/>
                                <w:szCs w:val="15"/>
                                <w:lang w:eastAsia="zh-CN"/>
                              </w:rPr>
                              <w:t>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6pt;margin-top:273.85pt;height:21.55pt;width:43.4pt;z-index:251664384;v-text-anchor:middle;mso-width-relative:page;mso-height-relative:page;" filled="f" stroked="f" coordsize="21600,21600" o:gfxdata="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JbRA3aAAAACwEAAA8AAAAA&#10;AAAAAQAgAAAAIgAAAGRycy9kb3ducmV2LnhtbFBLAQIUABQAAAAIAIdO4kBRSIydSwIAAGIEAAAO&#10;AAAAAAAAAAEAIAAAACkBAABkcnMvZTJvRG9jLnhtbFBLBQYAAAAABgAGAFkBAADmBQAAAAA=&#10;">
                <v:fill on="f" focussize="0,0"/>
                <v:stroke on="f" weight="2pt"/>
                <v:imagedata o:title=""/>
                <o:lock v:ext="edit" aspectratio="f"/>
                <v:textbox>
                  <w:txbxContent>
                    <w:p>
                      <w:pPr>
                        <w:jc w:val="center"/>
                        <w:rPr>
                          <w:rFonts w:hint="eastAsia" w:eastAsia="宋体"/>
                          <w:b/>
                          <w:bCs/>
                          <w:color w:val="auto"/>
                          <w:sz w:val="15"/>
                          <w:szCs w:val="15"/>
                          <w:lang w:eastAsia="zh-CN"/>
                        </w:rPr>
                      </w:pPr>
                      <w:r>
                        <w:rPr>
                          <w:rFonts w:hint="eastAsia"/>
                          <w:b/>
                          <w:bCs/>
                          <w:color w:val="3F3F3F"/>
                          <w:sz w:val="15"/>
                          <w:szCs w:val="15"/>
                          <w:lang w:eastAsia="zh-CN"/>
                        </w:rPr>
                        <w:t>北</w:t>
                      </w:r>
                    </w:p>
                  </w:txbxContent>
                </v:textbox>
              </v:rect>
            </w:pict>
          </mc:Fallback>
        </mc:AlternateContent>
      </w:r>
      <w:r>
        <w:rPr>
          <w:color w:val="auto"/>
          <w:sz w:val="21"/>
        </w:rPr>
        <mc:AlternateContent>
          <mc:Choice Requires="wpg">
            <w:drawing>
              <wp:anchor distT="0" distB="0" distL="114300" distR="114300" simplePos="0" relativeHeight="251665408" behindDoc="0" locked="0" layoutInCell="1" allowOverlap="1">
                <wp:simplePos x="0" y="0"/>
                <wp:positionH relativeFrom="column">
                  <wp:posOffset>5306060</wp:posOffset>
                </wp:positionH>
                <wp:positionV relativeFrom="paragraph">
                  <wp:posOffset>3039110</wp:posOffset>
                </wp:positionV>
                <wp:extent cx="396240" cy="439420"/>
                <wp:effectExtent l="0" t="11430" r="1905" b="11430"/>
                <wp:wrapNone/>
                <wp:docPr id="4" name="组合 4"/>
                <wp:cNvGraphicFramePr/>
                <a:graphic xmlns:a="http://schemas.openxmlformats.org/drawingml/2006/main">
                  <a:graphicData uri="http://schemas.microsoft.com/office/word/2010/wordprocessingGroup">
                    <wpg:wgp>
                      <wpg:cNvGrpSpPr/>
                      <wpg:grpSpPr>
                        <a:xfrm rot="6780000">
                          <a:off x="0" y="0"/>
                          <a:ext cx="396240" cy="439420"/>
                          <a:chOff x="8475" y="227682"/>
                          <a:chExt cx="624" cy="692"/>
                        </a:xfrm>
                      </wpg:grpSpPr>
                      <wps:wsp>
                        <wps:cNvPr id="1" name="椭圆 1"/>
                        <wps:cNvSpPr/>
                        <wps:spPr>
                          <a:xfrm>
                            <a:off x="8475" y="227682"/>
                            <a:ext cx="624" cy="68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 name="直接连接符 2"/>
                        <wps:cNvSpPr/>
                        <wps:spPr>
                          <a:xfrm flipV="1">
                            <a:off x="8495" y="227733"/>
                            <a:ext cx="485" cy="446"/>
                          </a:xfrm>
                          <a:prstGeom prst="line">
                            <a:avLst/>
                          </a:prstGeom>
                          <a:ln w="9525" cap="flat" cmpd="sng">
                            <a:solidFill>
                              <a:srgbClr val="000000"/>
                            </a:solidFill>
                            <a:prstDash val="solid"/>
                            <a:headEnd type="none" w="med" len="med"/>
                            <a:tailEnd type="none" w="med" len="med"/>
                          </a:ln>
                        </wps:spPr>
                        <wps:bodyPr upright="1"/>
                      </wps:wsp>
                      <wps:wsp>
                        <wps:cNvPr id="3" name="直接连接符 3"/>
                        <wps:cNvSpPr/>
                        <wps:spPr>
                          <a:xfrm flipV="1">
                            <a:off x="8722" y="227734"/>
                            <a:ext cx="249" cy="64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17.8pt;margin-top:239.3pt;height:34.6pt;width:31.2pt;rotation:7405568f;z-index:251665408;mso-width-relative:page;mso-height-relative:page;" coordorigin="8475,227682" coordsize="624,692" o:gfxdata="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jR40XNwAAAALAQAADwAAAAAAAAABACAAAAAiAAAA&#10;ZHJzL2Rvd25yZXYueG1sUEsBAhQAFAAAAAgAh07iQFfpNP3nAgAAMwkAAA4AAAAAAAAAAQAgAAAA&#10;KwEAAGRycy9lMm9Eb2MueG1sUEsFBgAAAAAGAAYAWQEAAIQGAAAAAA==&#10;">
                <o:lock v:ext="edit" aspectratio="f"/>
                <v:shape id="_x0000_s1026" o:spid="_x0000_s1026" o:spt="3" type="#_x0000_t3" style="position:absolute;left:8475;top:227682;height:684;width:624;" fillcolor="#FFFFFF" filled="t" stroked="t" coordsize="21600,21600" o:gfxdata="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JE4S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_x0000_s1026" o:spid="_x0000_s1026" o:spt="20" style="position:absolute;left:8495;top:227733;flip:y;height:446;width:485;" filled="f" stroked="t" coordsize="21600,21600" o:gfxdata="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c0o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722;top:227734;flip:y;height:641;width:249;" filled="f" stroked="t" coordsize="21600,21600" o:gfxdata="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7kTm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drawing>
          <wp:inline distT="0" distB="0" distL="114300" distR="114300">
            <wp:extent cx="6238240" cy="3787775"/>
            <wp:effectExtent l="0" t="0" r="10160"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rcRect l="2426" r="2232"/>
                    <a:stretch>
                      <a:fillRect/>
                    </a:stretch>
                  </pic:blipFill>
                  <pic:spPr>
                    <a:xfrm>
                      <a:off x="0" y="0"/>
                      <a:ext cx="6238240" cy="3787775"/>
                    </a:xfrm>
                    <a:prstGeom prst="rect">
                      <a:avLst/>
                    </a:prstGeom>
                    <a:noFill/>
                    <a:ln>
                      <a:noFill/>
                    </a:ln>
                  </pic:spPr>
                </pic:pic>
              </a:graphicData>
            </a:graphic>
          </wp:inline>
        </w:drawing>
      </w:r>
    </w:p>
    <w:p>
      <w:pPr>
        <w:autoSpaceDE w:val="0"/>
        <w:autoSpaceDN w:val="0"/>
        <w:adjustRightInd w:val="0"/>
        <w:spacing w:line="360" w:lineRule="auto"/>
        <w:ind w:firstLine="444" w:firstLineChars="200"/>
        <w:jc w:val="center"/>
        <w:rPr>
          <w:rFonts w:hint="eastAsia" w:ascii="宋体" w:hAnsi="宋体"/>
          <w:bCs/>
          <w:color w:val="auto"/>
          <w:spacing w:val="6"/>
          <w:lang w:val="zh-CN" w:eastAsia="zh-CN"/>
        </w:rPr>
      </w:pPr>
      <w:r>
        <w:rPr>
          <w:rFonts w:hint="eastAsia" w:ascii="宋体" w:hAnsi="宋体"/>
          <w:bCs/>
          <w:color w:val="auto"/>
          <w:spacing w:val="6"/>
        </w:rPr>
        <w:t>图2-2 周边环境示意图</w:t>
      </w:r>
    </w:p>
    <w:p>
      <w:pPr>
        <w:autoSpaceDE w:val="0"/>
        <w:autoSpaceDN w:val="0"/>
        <w:adjustRightIn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嘉陵区消防特勤大队位于</w:t>
      </w:r>
      <w:r>
        <w:rPr>
          <w:rFonts w:hint="eastAsia" w:hAnsi="宋体" w:cs="宋体"/>
          <w:color w:val="auto"/>
          <w:sz w:val="24"/>
          <w:lang w:val="zh-CN" w:eastAsia="zh-CN"/>
        </w:rPr>
        <w:t>南充市嘉陵区工业园区内</w:t>
      </w:r>
      <w:r>
        <w:rPr>
          <w:rFonts w:hint="eastAsia" w:ascii="宋体" w:hAnsi="宋体" w:eastAsia="宋体" w:cs="宋体"/>
          <w:color w:val="auto"/>
          <w:kern w:val="2"/>
          <w:sz w:val="24"/>
          <w:szCs w:val="24"/>
          <w:lang w:val="zh-CN" w:eastAsia="zh-CN" w:bidi="ar-SA"/>
        </w:rPr>
        <w:t>。与四川雷仕食品有限公司行车距离</w:t>
      </w:r>
      <w:r>
        <w:rPr>
          <w:rFonts w:hint="eastAsia" w:ascii="宋体" w:hAnsi="宋体" w:eastAsia="宋体" w:cs="宋体"/>
          <w:color w:val="auto"/>
          <w:kern w:val="2"/>
          <w:sz w:val="24"/>
          <w:szCs w:val="24"/>
          <w:lang w:val="en-US" w:eastAsia="zh-CN" w:bidi="ar-SA"/>
        </w:rPr>
        <w:t>6.7公里，需要时间8分钟。与南充市中心医院(嘉陵院区)</w:t>
      </w:r>
      <w:r>
        <w:rPr>
          <w:rFonts w:hint="eastAsia" w:ascii="宋体" w:hAnsi="宋体" w:eastAsia="宋体" w:cs="宋体"/>
          <w:color w:val="auto"/>
          <w:kern w:val="2"/>
          <w:sz w:val="24"/>
          <w:szCs w:val="24"/>
          <w:lang w:val="zh-CN" w:eastAsia="zh-CN" w:bidi="ar-SA"/>
        </w:rPr>
        <w:t>行车距离</w:t>
      </w:r>
      <w:r>
        <w:rPr>
          <w:rFonts w:hint="eastAsia" w:ascii="宋体" w:hAnsi="宋体" w:eastAsia="宋体" w:cs="宋体"/>
          <w:color w:val="auto"/>
          <w:kern w:val="2"/>
          <w:sz w:val="24"/>
          <w:szCs w:val="24"/>
          <w:lang w:val="en-US" w:eastAsia="zh-CN" w:bidi="ar-SA"/>
        </w:rPr>
        <w:t>1.4公里，需要时间3分钟。</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lang w:val="zh-CN"/>
        </w:rPr>
      </w:pPr>
      <w:bookmarkStart w:id="10" w:name="_Toc440539583"/>
      <w:bookmarkStart w:id="11" w:name="_Toc24309"/>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1.3</w:t>
      </w:r>
      <w:r>
        <w:rPr>
          <w:rFonts w:hint="eastAsia" w:ascii="宋体" w:hAnsi="宋体" w:eastAsia="宋体" w:cs="宋体"/>
          <w:color w:val="auto"/>
          <w:sz w:val="28"/>
          <w:szCs w:val="28"/>
          <w:lang w:val="zh-CN"/>
        </w:rPr>
        <w:t>总平面布置</w:t>
      </w:r>
      <w:bookmarkEnd w:id="10"/>
      <w:bookmarkEnd w:id="11"/>
    </w:p>
    <w:p>
      <w:pPr>
        <w:autoSpaceDE w:val="0"/>
        <w:autoSpaceDN w:val="0"/>
        <w:adjustRightInd w:val="0"/>
        <w:spacing w:line="360" w:lineRule="auto"/>
        <w:ind w:firstLine="480" w:firstLineChars="200"/>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公司按功能分区进行总平面布置，主要分为办公大楼、化验室、员工宿舍及食堂、车间及库房等三大部分。</w:t>
      </w:r>
    </w:p>
    <w:p>
      <w:pPr>
        <w:autoSpaceDE w:val="0"/>
        <w:autoSpaceDN w:val="0"/>
        <w:adjustRightInd w:val="0"/>
        <w:spacing w:line="360" w:lineRule="auto"/>
        <w:ind w:firstLine="480" w:firstLineChars="200"/>
        <w:rPr>
          <w:rFonts w:hint="eastAsia" w:hAnsi="宋体" w:cs="宋体"/>
          <w:color w:val="auto"/>
          <w:sz w:val="24"/>
          <w:lang w:val="zh-CN" w:eastAsia="zh-CN"/>
        </w:rPr>
      </w:pPr>
      <w:r>
        <w:rPr>
          <w:rFonts w:hint="eastAsia" w:ascii="宋体" w:hAnsi="宋体" w:eastAsia="宋体" w:cs="宋体"/>
          <w:color w:val="auto"/>
          <w:kern w:val="2"/>
          <w:sz w:val="24"/>
          <w:szCs w:val="24"/>
          <w:lang w:val="zh-CN" w:eastAsia="zh-CN" w:bidi="ar-SA"/>
        </w:rPr>
        <w:t>办公大楼位于厂区大门入口处。办公大楼左侧西北面是员工宿舍，中间有绿化带相隔。车间位于厂区中间，处在办公楼的北面。原料库房位区厂区北面，处于生产车间的南面。化验室位于办公楼内。</w:t>
      </w:r>
    </w:p>
    <w:p>
      <w:pPr>
        <w:spacing w:line="360" w:lineRule="auto"/>
        <w:rPr>
          <w:rFonts w:hint="eastAsia" w:ascii="宋体" w:hAnsi="宋体" w:cs="宋体"/>
          <w:color w:val="auto"/>
          <w:sz w:val="24"/>
        </w:rPr>
      </w:pPr>
      <w:r>
        <w:drawing>
          <wp:inline distT="0" distB="0" distL="114300" distR="114300">
            <wp:extent cx="5335905" cy="3068955"/>
            <wp:effectExtent l="0" t="0" r="17145"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335905" cy="3068955"/>
                    </a:xfrm>
                    <a:prstGeom prst="rect">
                      <a:avLst/>
                    </a:prstGeom>
                    <a:noFill/>
                    <a:ln>
                      <a:noFill/>
                    </a:ln>
                  </pic:spPr>
                </pic:pic>
              </a:graphicData>
            </a:graphic>
          </wp:inline>
        </w:drawing>
      </w:r>
    </w:p>
    <w:p>
      <w:pPr>
        <w:spacing w:line="360" w:lineRule="auto"/>
        <w:ind w:firstLine="482" w:firstLineChars="200"/>
        <w:jc w:val="center"/>
        <w:rPr>
          <w:rFonts w:hint="eastAsia" w:ascii="黑体" w:eastAsia="黑体"/>
          <w:b/>
          <w:color w:val="auto"/>
          <w:sz w:val="24"/>
          <w:lang w:eastAsia="zh-CN"/>
        </w:rPr>
      </w:pPr>
      <w:r>
        <w:rPr>
          <w:rFonts w:hint="eastAsia" w:ascii="黑体" w:eastAsia="黑体"/>
          <w:b/>
          <w:color w:val="auto"/>
          <w:sz w:val="24"/>
        </w:rPr>
        <w:t>图2-</w:t>
      </w:r>
      <w:r>
        <w:rPr>
          <w:rFonts w:hint="eastAsia" w:ascii="黑体" w:eastAsia="黑体"/>
          <w:b/>
          <w:color w:val="auto"/>
          <w:sz w:val="24"/>
          <w:lang w:val="en-US" w:eastAsia="zh-CN"/>
        </w:rPr>
        <w:t>3</w:t>
      </w:r>
      <w:r>
        <w:rPr>
          <w:rFonts w:hint="eastAsia" w:ascii="黑体" w:eastAsia="黑体"/>
          <w:b/>
          <w:color w:val="auto"/>
          <w:sz w:val="24"/>
        </w:rPr>
        <w:t xml:space="preserve"> </w:t>
      </w:r>
      <w:r>
        <w:rPr>
          <w:rFonts w:hint="eastAsia" w:ascii="黑体" w:eastAsia="黑体"/>
          <w:b/>
          <w:color w:val="auto"/>
          <w:sz w:val="24"/>
          <w:lang w:eastAsia="zh-CN"/>
        </w:rPr>
        <w:t>厂区平面布置图</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lang w:val="zh-CN" w:eastAsia="zh-CN"/>
        </w:rPr>
      </w:pPr>
      <w:bookmarkStart w:id="12" w:name="_Toc440539584"/>
      <w:bookmarkStart w:id="13" w:name="_Toc15454"/>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1.4</w:t>
      </w:r>
      <w:bookmarkEnd w:id="12"/>
      <w:r>
        <w:rPr>
          <w:rFonts w:hint="eastAsia"/>
          <w:b/>
          <w:color w:val="auto"/>
          <w:sz w:val="28"/>
          <w:szCs w:val="28"/>
          <w:lang w:val="en-US" w:eastAsia="zh-CN"/>
        </w:rPr>
        <w:t>主要生产行</w:t>
      </w:r>
      <w:r>
        <w:rPr>
          <w:rFonts w:hint="eastAsia"/>
          <w:b/>
          <w:color w:val="auto"/>
          <w:sz w:val="28"/>
          <w:szCs w:val="28"/>
        </w:rPr>
        <w:t>工艺流程</w:t>
      </w:r>
      <w:r>
        <w:rPr>
          <w:rFonts w:hint="eastAsia"/>
          <w:b/>
          <w:color w:val="auto"/>
          <w:sz w:val="28"/>
          <w:szCs w:val="28"/>
          <w:lang w:eastAsia="zh-CN"/>
        </w:rPr>
        <w:t>图</w:t>
      </w:r>
      <w:bookmarkEnd w:id="13"/>
    </w:p>
    <w:p>
      <w:pPr>
        <w:spacing w:line="360" w:lineRule="auto"/>
        <w:jc w:val="center"/>
        <w:rPr>
          <w:rFonts w:hint="eastAsia" w:ascii="宋体" w:hAnsi="宋体" w:cs="宋体"/>
          <w:color w:val="auto"/>
          <w:sz w:val="24"/>
          <w:lang w:val="zh-CN"/>
        </w:rPr>
      </w:pPr>
      <w:r>
        <w:rPr>
          <w:rFonts w:hint="eastAsia" w:ascii="Times New Roman"/>
          <w:color w:val="auto"/>
          <w:lang w:val="en-US" w:eastAsia="zh-CN"/>
        </w:rPr>
        <w:drawing>
          <wp:inline distT="0" distB="0" distL="114300" distR="114300">
            <wp:extent cx="6344285" cy="2548890"/>
            <wp:effectExtent l="0" t="0" r="18415" b="3810"/>
            <wp:docPr id="9" name="图片 4" descr="工艺流程图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工艺流程图_看图王"/>
                    <pic:cNvPicPr>
                      <a:picLocks noChangeAspect="1"/>
                    </pic:cNvPicPr>
                  </pic:nvPicPr>
                  <pic:blipFill>
                    <a:blip r:embed="rId7"/>
                    <a:stretch>
                      <a:fillRect/>
                    </a:stretch>
                  </pic:blipFill>
                  <pic:spPr>
                    <a:xfrm>
                      <a:off x="0" y="0"/>
                      <a:ext cx="6344285" cy="2548890"/>
                    </a:xfrm>
                    <a:prstGeom prst="rect">
                      <a:avLst/>
                    </a:prstGeom>
                    <a:noFill/>
                    <a:ln>
                      <a:noFill/>
                    </a:ln>
                  </pic:spPr>
                </pic:pic>
              </a:graphicData>
            </a:graphic>
          </wp:inline>
        </w:drawing>
      </w:r>
    </w:p>
    <w:p>
      <w:pPr>
        <w:pStyle w:val="5"/>
        <w:spacing w:before="0" w:after="0" w:line="360" w:lineRule="auto"/>
        <w:rPr>
          <w:rFonts w:hint="eastAsia" w:ascii="宋体" w:hAnsi="宋体" w:eastAsia="宋体" w:cs="宋体"/>
          <w:color w:val="auto"/>
          <w:sz w:val="28"/>
          <w:szCs w:val="28"/>
        </w:rPr>
      </w:pPr>
      <w:bookmarkStart w:id="14" w:name="_Toc490557061"/>
      <w:bookmarkStart w:id="15" w:name="_Toc30650"/>
      <w:bookmarkStart w:id="16" w:name="_Toc14597"/>
      <w:r>
        <w:rPr>
          <w:rFonts w:hint="eastAsia" w:ascii="宋体" w:hAnsi="宋体" w:eastAsia="宋体" w:cs="宋体"/>
          <w:color w:val="auto"/>
          <w:sz w:val="28"/>
          <w:szCs w:val="28"/>
        </w:rPr>
        <w:t>2.2 事故风险描述</w:t>
      </w:r>
      <w:bookmarkEnd w:id="14"/>
      <w:bookmarkEnd w:id="15"/>
      <w:bookmarkEnd w:id="16"/>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lang w:val="zh-CN" w:eastAsia="zh-CN"/>
        </w:rPr>
      </w:pPr>
      <w:bookmarkStart w:id="17" w:name="_Toc17241"/>
      <w:r>
        <w:rPr>
          <w:rFonts w:hint="eastAsia" w:ascii="宋体" w:hAnsi="宋体" w:eastAsia="宋体" w:cs="宋体"/>
          <w:color w:val="auto"/>
          <w:sz w:val="28"/>
          <w:szCs w:val="28"/>
          <w:lang w:val="zh-CN" w:eastAsia="zh-CN"/>
        </w:rPr>
        <w:t>2.2.1危险源类型</w:t>
      </w:r>
      <w:bookmarkEnd w:id="17"/>
    </w:p>
    <w:p>
      <w:pPr>
        <w:pStyle w:val="8"/>
        <w:spacing w:line="520" w:lineRule="exact"/>
        <w:ind w:firstLine="480" w:firstLineChars="200"/>
        <w:rPr>
          <w:rFonts w:hint="eastAsia" w:hAnsi="宋体" w:cs="宋体"/>
          <w:color w:val="auto"/>
          <w:sz w:val="24"/>
          <w:lang w:val="zh-CN" w:eastAsia="zh-CN"/>
        </w:rPr>
      </w:pPr>
      <w:r>
        <w:rPr>
          <w:rFonts w:hint="eastAsia" w:hAnsi="宋体" w:cs="宋体"/>
          <w:color w:val="auto"/>
          <w:sz w:val="24"/>
          <w:lang w:val="zh-CN" w:eastAsia="zh-CN"/>
        </w:rPr>
        <w:t>本公司生产过程中存在的危险有害因素是灼烫、火灾和触电等其他伤害。其中主要危险源是灼烫伤、车辆伤害和触电等伤害。各危险源可能发生的事故类型如下表：</w:t>
      </w:r>
    </w:p>
    <w:p>
      <w:pPr>
        <w:widowControl/>
        <w:spacing w:line="360" w:lineRule="auto"/>
        <w:ind w:firstLine="560" w:firstLineChars="200"/>
        <w:jc w:val="center"/>
        <w:rPr>
          <w:rFonts w:hint="eastAsia" w:ascii="宋体" w:hAnsi="宋体" w:cs="宋体"/>
          <w:color w:val="auto"/>
          <w:kern w:val="0"/>
          <w:sz w:val="28"/>
          <w:szCs w:val="28"/>
        </w:rPr>
      </w:pPr>
      <w:r>
        <w:rPr>
          <w:rFonts w:hint="eastAsia" w:ascii="宋体" w:hAnsi="宋体" w:cs="宋体"/>
          <w:color w:val="auto"/>
          <w:kern w:val="0"/>
          <w:sz w:val="28"/>
          <w:szCs w:val="28"/>
        </w:rPr>
        <w:t>2.2-1 主要危险因素</w:t>
      </w:r>
    </w:p>
    <w:tbl>
      <w:tblPr>
        <w:tblStyle w:val="9"/>
        <w:tblW w:w="91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01"/>
        <w:gridCol w:w="2564"/>
        <w:gridCol w:w="1615"/>
        <w:gridCol w:w="182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1" w:type="dxa"/>
            <w:noWrap w:val="0"/>
            <w:vAlign w:val="center"/>
          </w:tcPr>
          <w:p>
            <w:pPr>
              <w:jc w:val="center"/>
              <w:rPr>
                <w:rFonts w:hint="eastAsia" w:ascii="宋体" w:hAnsi="宋体"/>
                <w:bCs/>
                <w:color w:val="auto"/>
                <w:szCs w:val="21"/>
              </w:rPr>
            </w:pPr>
            <w:r>
              <w:rPr>
                <w:rFonts w:hint="eastAsia" w:ascii="宋体" w:hAnsi="宋体"/>
                <w:bCs/>
                <w:color w:val="auto"/>
                <w:szCs w:val="21"/>
              </w:rPr>
              <w:t>序号</w:t>
            </w:r>
          </w:p>
        </w:tc>
        <w:tc>
          <w:tcPr>
            <w:tcW w:w="1001" w:type="dxa"/>
            <w:noWrap w:val="0"/>
            <w:vAlign w:val="center"/>
          </w:tcPr>
          <w:p>
            <w:pPr>
              <w:jc w:val="center"/>
              <w:rPr>
                <w:rFonts w:hint="eastAsia" w:ascii="宋体" w:hAnsi="宋体"/>
                <w:bCs/>
                <w:color w:val="auto"/>
                <w:szCs w:val="21"/>
              </w:rPr>
            </w:pPr>
            <w:r>
              <w:rPr>
                <w:rFonts w:hint="eastAsia" w:ascii="宋体" w:hAnsi="宋体"/>
                <w:bCs/>
                <w:color w:val="auto"/>
                <w:szCs w:val="21"/>
              </w:rPr>
              <w:t>潜在</w:t>
            </w:r>
          </w:p>
          <w:p>
            <w:pPr>
              <w:jc w:val="center"/>
              <w:rPr>
                <w:rFonts w:hint="eastAsia" w:ascii="宋体" w:hAnsi="宋体"/>
                <w:bCs/>
                <w:color w:val="auto"/>
                <w:szCs w:val="21"/>
              </w:rPr>
            </w:pPr>
            <w:r>
              <w:rPr>
                <w:rFonts w:hint="eastAsia" w:ascii="宋体" w:hAnsi="宋体"/>
                <w:bCs/>
                <w:color w:val="auto"/>
                <w:szCs w:val="21"/>
              </w:rPr>
              <w:t>事故</w:t>
            </w:r>
          </w:p>
        </w:tc>
        <w:tc>
          <w:tcPr>
            <w:tcW w:w="2564" w:type="dxa"/>
            <w:noWrap w:val="0"/>
            <w:vAlign w:val="center"/>
          </w:tcPr>
          <w:p>
            <w:pPr>
              <w:jc w:val="center"/>
              <w:rPr>
                <w:rFonts w:hint="eastAsia" w:ascii="宋体" w:hAnsi="宋体"/>
                <w:bCs/>
                <w:color w:val="auto"/>
                <w:szCs w:val="21"/>
              </w:rPr>
            </w:pPr>
            <w:r>
              <w:rPr>
                <w:rFonts w:hint="eastAsia" w:ascii="宋体" w:hAnsi="宋体"/>
                <w:bCs/>
                <w:color w:val="auto"/>
                <w:szCs w:val="21"/>
              </w:rPr>
              <w:t>引发直接因素</w:t>
            </w:r>
          </w:p>
        </w:tc>
        <w:tc>
          <w:tcPr>
            <w:tcW w:w="1615" w:type="dxa"/>
            <w:noWrap w:val="0"/>
            <w:vAlign w:val="center"/>
          </w:tcPr>
          <w:p>
            <w:pPr>
              <w:jc w:val="center"/>
              <w:rPr>
                <w:rFonts w:hint="eastAsia" w:ascii="宋体" w:hAnsi="宋体"/>
                <w:bCs/>
                <w:color w:val="auto"/>
                <w:szCs w:val="21"/>
              </w:rPr>
            </w:pPr>
            <w:r>
              <w:rPr>
                <w:rFonts w:hint="eastAsia" w:ascii="宋体" w:hAnsi="宋体"/>
                <w:bCs/>
                <w:color w:val="auto"/>
                <w:szCs w:val="21"/>
              </w:rPr>
              <w:t>事故存在场所</w:t>
            </w:r>
          </w:p>
        </w:tc>
        <w:tc>
          <w:tcPr>
            <w:tcW w:w="1820" w:type="dxa"/>
            <w:noWrap w:val="0"/>
            <w:vAlign w:val="center"/>
          </w:tcPr>
          <w:p>
            <w:pPr>
              <w:jc w:val="center"/>
              <w:rPr>
                <w:rFonts w:hint="eastAsia" w:ascii="宋体" w:hAnsi="宋体"/>
                <w:bCs/>
                <w:color w:val="auto"/>
                <w:szCs w:val="21"/>
              </w:rPr>
            </w:pPr>
            <w:r>
              <w:rPr>
                <w:rFonts w:hint="eastAsia" w:ascii="宋体" w:hAnsi="宋体"/>
                <w:bCs/>
                <w:color w:val="auto"/>
                <w:szCs w:val="21"/>
              </w:rPr>
              <w:t>引发事故事件</w:t>
            </w:r>
          </w:p>
        </w:tc>
        <w:tc>
          <w:tcPr>
            <w:tcW w:w="1475" w:type="dxa"/>
            <w:noWrap w:val="0"/>
            <w:vAlign w:val="center"/>
          </w:tcPr>
          <w:p>
            <w:pPr>
              <w:jc w:val="center"/>
              <w:rPr>
                <w:rFonts w:hint="eastAsia" w:ascii="宋体" w:hAnsi="宋体"/>
                <w:bCs/>
                <w:color w:val="auto"/>
                <w:szCs w:val="21"/>
              </w:rPr>
            </w:pPr>
            <w:r>
              <w:rPr>
                <w:rFonts w:hint="eastAsia" w:ascii="宋体" w:hAnsi="宋体"/>
                <w:bCs/>
                <w:color w:val="auto"/>
                <w:szCs w:val="21"/>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61" w:type="dxa"/>
            <w:tcBorders>
              <w:bottom w:val="single" w:color="auto" w:sz="4" w:space="0"/>
            </w:tcBorders>
            <w:noWrap w:val="0"/>
            <w:vAlign w:val="center"/>
          </w:tcPr>
          <w:p>
            <w:pPr>
              <w:jc w:val="center"/>
              <w:rPr>
                <w:rFonts w:hint="eastAsia" w:ascii="宋体" w:hAnsi="宋体"/>
                <w:bCs/>
                <w:color w:val="auto"/>
                <w:szCs w:val="21"/>
              </w:rPr>
            </w:pPr>
            <w:r>
              <w:rPr>
                <w:rFonts w:hint="eastAsia" w:ascii="宋体" w:hAnsi="宋体"/>
                <w:bCs/>
                <w:color w:val="auto"/>
                <w:szCs w:val="21"/>
              </w:rPr>
              <w:t>1</w:t>
            </w:r>
          </w:p>
        </w:tc>
        <w:tc>
          <w:tcPr>
            <w:tcW w:w="1001" w:type="dxa"/>
            <w:tcBorders>
              <w:bottom w:val="single" w:color="auto" w:sz="4" w:space="0"/>
            </w:tcBorders>
            <w:noWrap w:val="0"/>
            <w:vAlign w:val="center"/>
          </w:tcPr>
          <w:p>
            <w:pPr>
              <w:rPr>
                <w:rFonts w:hint="eastAsia" w:ascii="宋体" w:hAnsi="宋体"/>
                <w:color w:val="auto"/>
                <w:szCs w:val="21"/>
              </w:rPr>
            </w:pPr>
            <w:r>
              <w:rPr>
                <w:rFonts w:hint="eastAsia" w:ascii="宋体" w:hAnsi="宋体"/>
                <w:bCs/>
                <w:color w:val="auto"/>
                <w:szCs w:val="21"/>
              </w:rPr>
              <w:t>灼烫伤</w:t>
            </w:r>
          </w:p>
          <w:p>
            <w:pPr>
              <w:rPr>
                <w:rFonts w:hint="eastAsia" w:ascii="宋体" w:hAnsi="宋体"/>
                <w:color w:val="auto"/>
                <w:szCs w:val="21"/>
              </w:rPr>
            </w:pPr>
            <w:r>
              <w:rPr>
                <w:rFonts w:hint="eastAsia" w:ascii="宋体" w:hAnsi="宋体"/>
                <w:color w:val="auto"/>
                <w:szCs w:val="21"/>
              </w:rPr>
              <w:t>火灾/爆炸</w:t>
            </w:r>
          </w:p>
        </w:tc>
        <w:tc>
          <w:tcPr>
            <w:tcW w:w="2564" w:type="dxa"/>
            <w:tcBorders>
              <w:bottom w:val="single" w:color="auto" w:sz="4" w:space="0"/>
            </w:tcBorders>
            <w:noWrap w:val="0"/>
            <w:vAlign w:val="center"/>
          </w:tcPr>
          <w:p>
            <w:pPr>
              <w:pStyle w:val="12"/>
              <w:widowControl w:val="0"/>
              <w:numPr>
                <w:ilvl w:val="0"/>
                <w:numId w:val="0"/>
              </w:numPr>
              <w:pBdr>
                <w:bottom w:val="none" w:color="auto" w:sz="0" w:space="0"/>
                <w:right w:val="none" w:color="auto" w:sz="0" w:space="0"/>
              </w:pBdr>
              <w:spacing w:before="0" w:beforeLines="0" w:beforeAutospacing="0" w:after="0" w:afterLines="0" w:afterAutospacing="0"/>
              <w:rPr>
                <w:rFonts w:hint="eastAsia" w:ascii="宋体" w:hAnsi="宋体"/>
                <w:bCs/>
                <w:color w:val="auto"/>
                <w:sz w:val="21"/>
                <w:lang w:val="en-US" w:eastAsia="zh-CN"/>
              </w:rPr>
            </w:pPr>
            <w:r>
              <w:rPr>
                <w:rFonts w:hint="eastAsia" w:ascii="宋体" w:hAnsi="宋体"/>
                <w:bCs/>
                <w:color w:val="auto"/>
                <w:sz w:val="21"/>
                <w:lang w:val="en-US" w:eastAsia="zh-CN"/>
              </w:rPr>
              <w:t>1、易燃物质泄漏挥发，达到爆炸极限并遇到火源；   2、可燃物质遇到明火；</w:t>
            </w:r>
          </w:p>
          <w:p>
            <w:pPr>
              <w:pStyle w:val="12"/>
              <w:widowControl w:val="0"/>
              <w:numPr>
                <w:ilvl w:val="0"/>
                <w:numId w:val="0"/>
              </w:numPr>
              <w:pBdr>
                <w:bottom w:val="none" w:color="auto" w:sz="0" w:space="0"/>
                <w:right w:val="none" w:color="auto" w:sz="0" w:space="0"/>
              </w:pBdr>
              <w:spacing w:before="0" w:beforeLines="0" w:beforeAutospacing="0" w:after="0" w:afterLines="0" w:afterAutospacing="0"/>
              <w:rPr>
                <w:rFonts w:hint="eastAsia" w:ascii="宋体" w:hAnsi="宋体"/>
                <w:bCs/>
                <w:color w:val="auto"/>
                <w:sz w:val="21"/>
                <w:lang w:val="en-US" w:eastAsia="zh-CN"/>
              </w:rPr>
            </w:pPr>
            <w:r>
              <w:rPr>
                <w:rFonts w:hint="eastAsia" w:ascii="宋体" w:hAnsi="宋体"/>
                <w:bCs/>
                <w:color w:val="auto"/>
                <w:sz w:val="21"/>
                <w:lang w:val="en-US" w:eastAsia="zh-CN"/>
              </w:rPr>
              <w:t>3、烤炉高温烫伤；</w:t>
            </w:r>
          </w:p>
          <w:p>
            <w:pPr>
              <w:pStyle w:val="12"/>
              <w:widowControl w:val="0"/>
              <w:numPr>
                <w:ilvl w:val="0"/>
                <w:numId w:val="0"/>
              </w:numPr>
              <w:pBdr>
                <w:bottom w:val="none" w:color="auto" w:sz="0" w:space="0"/>
                <w:right w:val="none" w:color="auto" w:sz="0" w:space="0"/>
              </w:pBdr>
              <w:spacing w:before="0" w:beforeLines="0" w:beforeAutospacing="0" w:after="0" w:afterLines="0" w:afterAutospacing="0"/>
              <w:rPr>
                <w:rFonts w:hint="eastAsia" w:ascii="宋体" w:hAnsi="宋体"/>
                <w:bCs/>
                <w:color w:val="auto"/>
                <w:sz w:val="21"/>
                <w:lang w:val="en-US" w:eastAsia="zh-CN"/>
              </w:rPr>
            </w:pPr>
            <w:r>
              <w:rPr>
                <w:rFonts w:hint="eastAsia" w:ascii="宋体" w:hAnsi="宋体"/>
                <w:bCs/>
                <w:color w:val="auto"/>
                <w:sz w:val="21"/>
                <w:lang w:val="en-US" w:eastAsia="zh-CN"/>
              </w:rPr>
              <w:t>4、灭菌锅高温烫伤。</w:t>
            </w:r>
          </w:p>
        </w:tc>
        <w:tc>
          <w:tcPr>
            <w:tcW w:w="1615" w:type="dxa"/>
            <w:tcBorders>
              <w:bottom w:val="single" w:color="auto" w:sz="4" w:space="0"/>
            </w:tcBorders>
            <w:noWrap w:val="0"/>
            <w:vAlign w:val="center"/>
          </w:tcPr>
          <w:p>
            <w:pPr>
              <w:pStyle w:val="12"/>
              <w:widowControl w:val="0"/>
              <w:pBdr>
                <w:bottom w:val="none" w:color="auto" w:sz="0" w:space="0"/>
                <w:right w:val="none" w:color="auto" w:sz="0" w:space="0"/>
              </w:pBdr>
              <w:spacing w:before="0" w:beforeLines="0" w:beforeAutospacing="0" w:after="0" w:afterLines="0" w:afterAutospacing="0"/>
              <w:rPr>
                <w:rFonts w:hint="eastAsia" w:ascii="宋体" w:hAnsi="宋体"/>
                <w:bCs/>
                <w:color w:val="auto"/>
                <w:kern w:val="2"/>
              </w:rPr>
            </w:pPr>
            <w:r>
              <w:rPr>
                <w:rFonts w:hint="eastAsia" w:ascii="宋体" w:hAnsi="宋体"/>
                <w:bCs/>
                <w:color w:val="auto"/>
                <w:kern w:val="2"/>
              </w:rPr>
              <w:t>生产车间、</w:t>
            </w:r>
            <w:r>
              <w:rPr>
                <w:rFonts w:hint="eastAsia" w:ascii="宋体" w:hAnsi="宋体"/>
                <w:bCs/>
                <w:color w:val="auto"/>
                <w:sz w:val="21"/>
              </w:rPr>
              <w:t>灭菌</w:t>
            </w:r>
            <w:r>
              <w:rPr>
                <w:rFonts w:hint="eastAsia" w:ascii="宋体" w:hAnsi="宋体"/>
                <w:bCs/>
                <w:color w:val="auto"/>
                <w:sz w:val="21"/>
                <w:lang w:eastAsia="zh-CN"/>
              </w:rPr>
              <w:t>车间</w:t>
            </w:r>
          </w:p>
        </w:tc>
        <w:tc>
          <w:tcPr>
            <w:tcW w:w="1820" w:type="dxa"/>
            <w:tcBorders>
              <w:bottom w:val="single" w:color="auto" w:sz="4" w:space="0"/>
            </w:tcBorders>
            <w:noWrap w:val="0"/>
            <w:vAlign w:val="center"/>
          </w:tcPr>
          <w:p>
            <w:pPr>
              <w:rPr>
                <w:rFonts w:hint="eastAsia" w:ascii="宋体" w:hAnsi="宋体"/>
                <w:bCs/>
                <w:color w:val="auto"/>
                <w:szCs w:val="21"/>
              </w:rPr>
            </w:pPr>
            <w:r>
              <w:rPr>
                <w:rFonts w:hint="eastAsia" w:ascii="宋体" w:hAnsi="宋体"/>
                <w:bCs/>
                <w:color w:val="auto"/>
                <w:szCs w:val="21"/>
              </w:rPr>
              <w:t xml:space="preserve">通风不良，易燃气体泄漏，可燃物质大量堆积，事故置处不当， </w:t>
            </w:r>
          </w:p>
        </w:tc>
        <w:tc>
          <w:tcPr>
            <w:tcW w:w="1475" w:type="dxa"/>
            <w:tcBorders>
              <w:bottom w:val="single" w:color="auto" w:sz="4" w:space="0"/>
            </w:tcBorders>
            <w:noWrap w:val="0"/>
            <w:vAlign w:val="center"/>
          </w:tcPr>
          <w:p>
            <w:pPr>
              <w:rPr>
                <w:rFonts w:hint="eastAsia" w:ascii="宋体" w:hAnsi="宋体"/>
                <w:bCs/>
                <w:color w:val="auto"/>
                <w:szCs w:val="21"/>
              </w:rPr>
            </w:pPr>
            <w:r>
              <w:rPr>
                <w:rFonts w:hint="eastAsia" w:ascii="宋体" w:hAnsi="宋体"/>
                <w:bCs/>
                <w:color w:val="auto"/>
                <w:szCs w:val="21"/>
              </w:rPr>
              <w:t>生产设备仓库遭受破坏，重大财产损失，烧伤、重者及死亡。</w:t>
            </w:r>
          </w:p>
        </w:tc>
      </w:tr>
    </w:tbl>
    <w:p>
      <w:pPr>
        <w:widowControl/>
        <w:spacing w:line="360" w:lineRule="auto"/>
        <w:ind w:firstLine="560" w:firstLineChars="200"/>
        <w:jc w:val="center"/>
        <w:rPr>
          <w:rFonts w:hint="eastAsia" w:ascii="宋体" w:hAnsi="宋体"/>
          <w:color w:val="auto"/>
          <w:sz w:val="28"/>
          <w:szCs w:val="28"/>
        </w:rPr>
      </w:pPr>
      <w:r>
        <w:rPr>
          <w:rFonts w:hint="eastAsia" w:ascii="宋体" w:hAnsi="宋体"/>
          <w:color w:val="auto"/>
          <w:sz w:val="28"/>
          <w:szCs w:val="28"/>
        </w:rPr>
        <w:t>2.2-2 其他危险因素</w:t>
      </w:r>
    </w:p>
    <w:tbl>
      <w:tblPr>
        <w:tblStyle w:val="9"/>
        <w:tblW w:w="91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62"/>
        <w:gridCol w:w="2556"/>
        <w:gridCol w:w="1608"/>
        <w:gridCol w:w="210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序号</w:t>
            </w:r>
          </w:p>
        </w:tc>
        <w:tc>
          <w:tcPr>
            <w:tcW w:w="1262" w:type="dxa"/>
            <w:noWrap w:val="0"/>
            <w:vAlign w:val="center"/>
          </w:tcPr>
          <w:p>
            <w:pPr>
              <w:jc w:val="center"/>
              <w:rPr>
                <w:rFonts w:hint="eastAsia" w:ascii="宋体" w:hAnsi="宋体"/>
                <w:bCs/>
                <w:color w:val="auto"/>
                <w:szCs w:val="21"/>
              </w:rPr>
            </w:pPr>
            <w:r>
              <w:rPr>
                <w:rFonts w:hint="eastAsia" w:ascii="宋体" w:hAnsi="宋体"/>
                <w:bCs/>
                <w:color w:val="auto"/>
                <w:szCs w:val="21"/>
              </w:rPr>
              <w:t>潜在</w:t>
            </w:r>
          </w:p>
          <w:p>
            <w:pPr>
              <w:jc w:val="center"/>
              <w:rPr>
                <w:rFonts w:hint="eastAsia" w:ascii="宋体" w:hAnsi="宋体"/>
                <w:bCs/>
                <w:color w:val="auto"/>
                <w:szCs w:val="21"/>
              </w:rPr>
            </w:pPr>
            <w:r>
              <w:rPr>
                <w:rFonts w:hint="eastAsia" w:ascii="宋体" w:hAnsi="宋体"/>
                <w:bCs/>
                <w:color w:val="auto"/>
                <w:szCs w:val="21"/>
              </w:rPr>
              <w:t>事故</w:t>
            </w:r>
          </w:p>
        </w:tc>
        <w:tc>
          <w:tcPr>
            <w:tcW w:w="2556" w:type="dxa"/>
            <w:noWrap w:val="0"/>
            <w:vAlign w:val="center"/>
          </w:tcPr>
          <w:p>
            <w:pPr>
              <w:jc w:val="center"/>
              <w:rPr>
                <w:rFonts w:hint="eastAsia" w:ascii="宋体" w:hAnsi="宋体"/>
                <w:bCs/>
                <w:color w:val="auto"/>
                <w:szCs w:val="21"/>
              </w:rPr>
            </w:pPr>
            <w:r>
              <w:rPr>
                <w:rFonts w:hint="eastAsia" w:ascii="宋体" w:hAnsi="宋体"/>
                <w:bCs/>
                <w:color w:val="auto"/>
                <w:szCs w:val="21"/>
              </w:rPr>
              <w:t>引发直接因素</w:t>
            </w:r>
          </w:p>
        </w:tc>
        <w:tc>
          <w:tcPr>
            <w:tcW w:w="1608" w:type="dxa"/>
            <w:noWrap w:val="0"/>
            <w:vAlign w:val="center"/>
          </w:tcPr>
          <w:p>
            <w:pPr>
              <w:jc w:val="center"/>
              <w:rPr>
                <w:rFonts w:hint="eastAsia" w:ascii="宋体" w:hAnsi="宋体"/>
                <w:bCs/>
                <w:color w:val="auto"/>
                <w:szCs w:val="21"/>
              </w:rPr>
            </w:pPr>
            <w:r>
              <w:rPr>
                <w:rFonts w:hint="eastAsia" w:ascii="宋体" w:hAnsi="宋体"/>
                <w:bCs/>
                <w:color w:val="auto"/>
                <w:szCs w:val="21"/>
              </w:rPr>
              <w:t>事故存在场所</w:t>
            </w:r>
          </w:p>
        </w:tc>
        <w:tc>
          <w:tcPr>
            <w:tcW w:w="2107" w:type="dxa"/>
            <w:noWrap w:val="0"/>
            <w:vAlign w:val="center"/>
          </w:tcPr>
          <w:p>
            <w:pPr>
              <w:jc w:val="center"/>
              <w:rPr>
                <w:rFonts w:hint="eastAsia" w:ascii="宋体" w:hAnsi="宋体"/>
                <w:bCs/>
                <w:color w:val="auto"/>
                <w:szCs w:val="21"/>
              </w:rPr>
            </w:pPr>
            <w:r>
              <w:rPr>
                <w:rFonts w:hint="eastAsia" w:ascii="宋体" w:hAnsi="宋体"/>
                <w:bCs/>
                <w:color w:val="auto"/>
                <w:szCs w:val="21"/>
              </w:rPr>
              <w:t>引发事故事件</w:t>
            </w:r>
          </w:p>
        </w:tc>
        <w:tc>
          <w:tcPr>
            <w:tcW w:w="1177" w:type="dxa"/>
            <w:noWrap w:val="0"/>
            <w:vAlign w:val="center"/>
          </w:tcPr>
          <w:p>
            <w:pPr>
              <w:jc w:val="center"/>
              <w:rPr>
                <w:rFonts w:hint="eastAsia" w:ascii="宋体" w:hAnsi="宋体"/>
                <w:bCs/>
                <w:color w:val="auto"/>
                <w:szCs w:val="21"/>
              </w:rPr>
            </w:pPr>
            <w:r>
              <w:rPr>
                <w:rFonts w:hint="eastAsia" w:ascii="宋体" w:hAnsi="宋体"/>
                <w:bCs/>
                <w:color w:val="auto"/>
                <w:szCs w:val="21"/>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1</w:t>
            </w:r>
          </w:p>
        </w:tc>
        <w:tc>
          <w:tcPr>
            <w:tcW w:w="1262" w:type="dxa"/>
            <w:noWrap w:val="0"/>
            <w:vAlign w:val="center"/>
          </w:tcPr>
          <w:p>
            <w:pPr>
              <w:rPr>
                <w:rFonts w:hint="eastAsia" w:ascii="宋体" w:hAnsi="宋体"/>
                <w:color w:val="auto"/>
                <w:szCs w:val="21"/>
              </w:rPr>
            </w:pPr>
            <w:r>
              <w:rPr>
                <w:rFonts w:hint="eastAsia" w:ascii="宋体" w:hAnsi="宋体"/>
                <w:color w:val="auto"/>
                <w:szCs w:val="21"/>
              </w:rPr>
              <w:t>触电</w:t>
            </w:r>
          </w:p>
        </w:tc>
        <w:tc>
          <w:tcPr>
            <w:tcW w:w="2556" w:type="dxa"/>
            <w:noWrap w:val="0"/>
            <w:vAlign w:val="center"/>
          </w:tcPr>
          <w:p>
            <w:pPr>
              <w:pStyle w:val="12"/>
              <w:widowControl w:val="0"/>
              <w:pBdr>
                <w:bottom w:val="none" w:color="auto" w:sz="0" w:space="0"/>
                <w:right w:val="none" w:color="auto" w:sz="0" w:space="0"/>
              </w:pBdr>
              <w:spacing w:before="0" w:beforeLines="0" w:beforeAutospacing="0" w:after="0" w:afterLines="0" w:afterAutospacing="0"/>
              <w:rPr>
                <w:rFonts w:hint="eastAsia" w:ascii="宋体" w:hAnsi="宋体"/>
                <w:bCs/>
                <w:color w:val="auto"/>
                <w:kern w:val="2"/>
              </w:rPr>
            </w:pPr>
            <w:r>
              <w:rPr>
                <w:rFonts w:hint="eastAsia" w:ascii="宋体" w:hAnsi="宋体"/>
                <w:bCs/>
                <w:color w:val="auto"/>
                <w:kern w:val="2"/>
              </w:rPr>
              <w:t>电器设备或电气线路漏电、雷击、未安装漏电保护开关、操作不当。</w:t>
            </w:r>
          </w:p>
        </w:tc>
        <w:tc>
          <w:tcPr>
            <w:tcW w:w="1608" w:type="dxa"/>
            <w:noWrap w:val="0"/>
            <w:vAlign w:val="center"/>
          </w:tcPr>
          <w:p>
            <w:pPr>
              <w:rPr>
                <w:rFonts w:hint="eastAsia" w:ascii="宋体" w:hAnsi="宋体"/>
                <w:bCs/>
                <w:color w:val="auto"/>
                <w:szCs w:val="21"/>
              </w:rPr>
            </w:pPr>
            <w:r>
              <w:rPr>
                <w:rFonts w:hint="eastAsia" w:ascii="宋体" w:hAnsi="宋体"/>
                <w:bCs/>
                <w:color w:val="auto"/>
                <w:szCs w:val="21"/>
              </w:rPr>
              <w:t>带电生产设备、配电房</w:t>
            </w:r>
          </w:p>
        </w:tc>
        <w:tc>
          <w:tcPr>
            <w:tcW w:w="2107" w:type="dxa"/>
            <w:noWrap w:val="0"/>
            <w:vAlign w:val="center"/>
          </w:tcPr>
          <w:p>
            <w:pPr>
              <w:rPr>
                <w:rFonts w:hint="eastAsia" w:ascii="宋体" w:hAnsi="宋体"/>
                <w:bCs/>
                <w:color w:val="auto"/>
                <w:szCs w:val="21"/>
              </w:rPr>
            </w:pPr>
            <w:r>
              <w:rPr>
                <w:rFonts w:hint="eastAsia" w:ascii="宋体" w:hAnsi="宋体"/>
                <w:bCs/>
                <w:color w:val="auto"/>
                <w:szCs w:val="21"/>
              </w:rPr>
              <w:t>接触漏电体；防雷设施不合格引起雷击</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2</w:t>
            </w:r>
          </w:p>
        </w:tc>
        <w:tc>
          <w:tcPr>
            <w:tcW w:w="1262" w:type="dxa"/>
            <w:noWrap w:val="0"/>
            <w:vAlign w:val="center"/>
          </w:tcPr>
          <w:p>
            <w:pPr>
              <w:rPr>
                <w:rFonts w:hint="eastAsia" w:ascii="宋体" w:hAnsi="宋体"/>
                <w:bCs/>
                <w:color w:val="auto"/>
                <w:szCs w:val="21"/>
              </w:rPr>
            </w:pPr>
            <w:r>
              <w:rPr>
                <w:rFonts w:hint="eastAsia" w:ascii="宋体" w:hAnsi="宋体"/>
                <w:color w:val="auto"/>
                <w:szCs w:val="21"/>
              </w:rPr>
              <w:t>机械伤害</w:t>
            </w:r>
          </w:p>
        </w:tc>
        <w:tc>
          <w:tcPr>
            <w:tcW w:w="2556" w:type="dxa"/>
            <w:noWrap w:val="0"/>
            <w:vAlign w:val="center"/>
          </w:tcPr>
          <w:p>
            <w:pPr>
              <w:pStyle w:val="12"/>
              <w:widowControl w:val="0"/>
              <w:pBdr>
                <w:bottom w:val="none" w:color="auto" w:sz="0" w:space="0"/>
                <w:right w:val="none" w:color="auto" w:sz="0" w:space="0"/>
              </w:pBdr>
              <w:spacing w:before="0" w:beforeLines="0" w:beforeAutospacing="0" w:after="0" w:afterLines="0" w:afterAutospacing="0"/>
              <w:rPr>
                <w:rFonts w:hint="eastAsia" w:ascii="宋体" w:hAnsi="宋体"/>
                <w:bCs/>
                <w:color w:val="auto"/>
                <w:kern w:val="2"/>
              </w:rPr>
            </w:pPr>
            <w:r>
              <w:rPr>
                <w:rFonts w:hint="eastAsia" w:ascii="宋体" w:hAnsi="宋体"/>
                <w:bCs/>
                <w:color w:val="auto"/>
                <w:kern w:val="2"/>
              </w:rPr>
              <w:t>机械运动部件失控或防护装置缺失。</w:t>
            </w:r>
          </w:p>
        </w:tc>
        <w:tc>
          <w:tcPr>
            <w:tcW w:w="1608" w:type="dxa"/>
            <w:noWrap w:val="0"/>
            <w:vAlign w:val="center"/>
          </w:tcPr>
          <w:p>
            <w:pPr>
              <w:rPr>
                <w:rFonts w:hint="eastAsia" w:ascii="宋体" w:hAnsi="宋体"/>
                <w:bCs/>
                <w:color w:val="auto"/>
                <w:szCs w:val="21"/>
              </w:rPr>
            </w:pPr>
            <w:r>
              <w:rPr>
                <w:rFonts w:hint="eastAsia" w:ascii="宋体" w:hAnsi="宋体"/>
                <w:bCs/>
                <w:color w:val="auto"/>
                <w:szCs w:val="21"/>
              </w:rPr>
              <w:t>各机械设备使用场所</w:t>
            </w:r>
          </w:p>
        </w:tc>
        <w:tc>
          <w:tcPr>
            <w:tcW w:w="2107" w:type="dxa"/>
            <w:noWrap w:val="0"/>
            <w:vAlign w:val="center"/>
          </w:tcPr>
          <w:p>
            <w:pPr>
              <w:rPr>
                <w:rFonts w:hint="eastAsia" w:ascii="宋体" w:hAnsi="宋体"/>
                <w:bCs/>
                <w:color w:val="auto"/>
                <w:szCs w:val="21"/>
              </w:rPr>
            </w:pPr>
            <w:r>
              <w:rPr>
                <w:rFonts w:hint="eastAsia" w:ascii="宋体" w:hAnsi="宋体"/>
                <w:bCs/>
                <w:color w:val="auto"/>
                <w:szCs w:val="21"/>
              </w:rPr>
              <w:t>无安全防护装置；人员违章操作。</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3</w:t>
            </w:r>
          </w:p>
        </w:tc>
        <w:tc>
          <w:tcPr>
            <w:tcW w:w="1262" w:type="dxa"/>
            <w:noWrap w:val="0"/>
            <w:vAlign w:val="center"/>
          </w:tcPr>
          <w:p>
            <w:pPr>
              <w:rPr>
                <w:rFonts w:hint="eastAsia" w:ascii="宋体" w:hAnsi="宋体"/>
                <w:color w:val="auto"/>
                <w:szCs w:val="21"/>
              </w:rPr>
            </w:pPr>
            <w:r>
              <w:rPr>
                <w:rFonts w:hint="eastAsia" w:ascii="宋体" w:hAnsi="宋体"/>
                <w:color w:val="auto"/>
                <w:szCs w:val="21"/>
              </w:rPr>
              <w:t>车辆伤害</w:t>
            </w:r>
          </w:p>
        </w:tc>
        <w:tc>
          <w:tcPr>
            <w:tcW w:w="2556" w:type="dxa"/>
            <w:noWrap w:val="0"/>
            <w:vAlign w:val="center"/>
          </w:tcPr>
          <w:p>
            <w:pPr>
              <w:rPr>
                <w:rFonts w:hint="eastAsia" w:ascii="宋体" w:hAnsi="宋体"/>
                <w:bCs/>
                <w:color w:val="auto"/>
                <w:szCs w:val="21"/>
              </w:rPr>
            </w:pPr>
            <w:r>
              <w:rPr>
                <w:rFonts w:hint="eastAsia" w:ascii="宋体" w:hAnsi="宋体"/>
                <w:color w:val="auto"/>
                <w:szCs w:val="21"/>
              </w:rPr>
              <w:t>驾驶员违章驾驶；车辆未定期检定。</w:t>
            </w:r>
          </w:p>
        </w:tc>
        <w:tc>
          <w:tcPr>
            <w:tcW w:w="1608" w:type="dxa"/>
            <w:noWrap w:val="0"/>
            <w:vAlign w:val="center"/>
          </w:tcPr>
          <w:p>
            <w:pPr>
              <w:rPr>
                <w:rFonts w:hint="eastAsia" w:ascii="宋体" w:hAnsi="宋体"/>
                <w:bCs/>
                <w:color w:val="auto"/>
                <w:szCs w:val="21"/>
              </w:rPr>
            </w:pPr>
            <w:r>
              <w:rPr>
                <w:rFonts w:hint="eastAsia" w:ascii="宋体" w:hAnsi="宋体"/>
                <w:bCs/>
                <w:color w:val="auto"/>
                <w:szCs w:val="21"/>
              </w:rPr>
              <w:t>机动车辆行驶场所</w:t>
            </w:r>
          </w:p>
        </w:tc>
        <w:tc>
          <w:tcPr>
            <w:tcW w:w="2107" w:type="dxa"/>
            <w:noWrap w:val="0"/>
            <w:vAlign w:val="center"/>
          </w:tcPr>
          <w:p>
            <w:pPr>
              <w:rPr>
                <w:rFonts w:hint="eastAsia" w:ascii="宋体" w:hAnsi="宋体"/>
                <w:bCs/>
                <w:color w:val="auto"/>
                <w:szCs w:val="21"/>
              </w:rPr>
            </w:pPr>
            <w:r>
              <w:rPr>
                <w:rFonts w:hint="eastAsia" w:ascii="宋体" w:hAnsi="宋体"/>
                <w:color w:val="auto"/>
                <w:szCs w:val="21"/>
              </w:rPr>
              <w:t>驾驶员精神不集中、违章驾驶；车辆性能不符合要求。</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4</w:t>
            </w:r>
          </w:p>
        </w:tc>
        <w:tc>
          <w:tcPr>
            <w:tcW w:w="1262" w:type="dxa"/>
            <w:noWrap w:val="0"/>
            <w:vAlign w:val="center"/>
          </w:tcPr>
          <w:p>
            <w:pPr>
              <w:rPr>
                <w:rFonts w:hint="eastAsia" w:ascii="宋体" w:hAnsi="宋体"/>
                <w:color w:val="auto"/>
                <w:szCs w:val="21"/>
              </w:rPr>
            </w:pPr>
            <w:r>
              <w:rPr>
                <w:rFonts w:hint="eastAsia" w:ascii="宋体" w:hAnsi="宋体"/>
                <w:color w:val="auto"/>
                <w:szCs w:val="21"/>
              </w:rPr>
              <w:t>高处坠落</w:t>
            </w:r>
          </w:p>
        </w:tc>
        <w:tc>
          <w:tcPr>
            <w:tcW w:w="2556" w:type="dxa"/>
            <w:noWrap w:val="0"/>
            <w:vAlign w:val="center"/>
          </w:tcPr>
          <w:p>
            <w:pPr>
              <w:rPr>
                <w:rFonts w:hint="eastAsia" w:ascii="宋体" w:hAnsi="宋体"/>
                <w:color w:val="auto"/>
                <w:szCs w:val="21"/>
              </w:rPr>
            </w:pPr>
            <w:r>
              <w:rPr>
                <w:rFonts w:hint="eastAsia" w:ascii="宋体" w:hAnsi="宋体"/>
                <w:color w:val="auto"/>
                <w:szCs w:val="21"/>
              </w:rPr>
              <w:t>2m以上的操作场所，人员高处坠落。</w:t>
            </w:r>
          </w:p>
        </w:tc>
        <w:tc>
          <w:tcPr>
            <w:tcW w:w="1608" w:type="dxa"/>
            <w:noWrap w:val="0"/>
            <w:vAlign w:val="center"/>
          </w:tcPr>
          <w:p>
            <w:pPr>
              <w:rPr>
                <w:rFonts w:hint="eastAsia" w:ascii="宋体" w:hAnsi="宋体"/>
                <w:bCs/>
                <w:color w:val="auto"/>
                <w:szCs w:val="21"/>
              </w:rPr>
            </w:pPr>
            <w:r>
              <w:rPr>
                <w:rFonts w:hint="eastAsia" w:ascii="宋体" w:hAnsi="宋体"/>
                <w:bCs/>
                <w:color w:val="auto"/>
                <w:szCs w:val="21"/>
                <w:lang w:eastAsia="zh-CN"/>
              </w:rPr>
              <w:t>厂区检维修</w:t>
            </w:r>
            <w:r>
              <w:rPr>
                <w:rFonts w:hint="eastAsia" w:ascii="宋体" w:hAnsi="宋体"/>
                <w:bCs/>
                <w:color w:val="auto"/>
                <w:szCs w:val="21"/>
              </w:rPr>
              <w:t>、仓库</w:t>
            </w:r>
          </w:p>
        </w:tc>
        <w:tc>
          <w:tcPr>
            <w:tcW w:w="2107" w:type="dxa"/>
            <w:noWrap w:val="0"/>
            <w:vAlign w:val="center"/>
          </w:tcPr>
          <w:p>
            <w:pPr>
              <w:rPr>
                <w:rFonts w:hint="eastAsia" w:ascii="宋体" w:hAnsi="宋体"/>
                <w:color w:val="auto"/>
                <w:szCs w:val="21"/>
              </w:rPr>
            </w:pPr>
            <w:r>
              <w:rPr>
                <w:rFonts w:hint="eastAsia" w:ascii="宋体" w:hAnsi="宋体"/>
                <w:color w:val="auto"/>
                <w:szCs w:val="21"/>
              </w:rPr>
              <w:t>防护不当，违章操作。</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5</w:t>
            </w:r>
          </w:p>
        </w:tc>
        <w:tc>
          <w:tcPr>
            <w:tcW w:w="1262" w:type="dxa"/>
            <w:noWrap w:val="0"/>
            <w:vAlign w:val="center"/>
          </w:tcPr>
          <w:p>
            <w:pPr>
              <w:rPr>
                <w:rFonts w:hint="eastAsia" w:ascii="宋体" w:hAnsi="宋体"/>
                <w:bCs/>
                <w:color w:val="auto"/>
                <w:szCs w:val="21"/>
              </w:rPr>
            </w:pPr>
            <w:r>
              <w:rPr>
                <w:rFonts w:hint="eastAsia" w:ascii="宋体" w:hAnsi="宋体"/>
                <w:bCs/>
                <w:color w:val="auto"/>
                <w:szCs w:val="21"/>
              </w:rPr>
              <w:t>物体打击</w:t>
            </w:r>
          </w:p>
        </w:tc>
        <w:tc>
          <w:tcPr>
            <w:tcW w:w="2556" w:type="dxa"/>
            <w:noWrap w:val="0"/>
            <w:vAlign w:val="center"/>
          </w:tcPr>
          <w:p>
            <w:pPr>
              <w:rPr>
                <w:rFonts w:hint="eastAsia" w:ascii="宋体" w:hAnsi="宋体"/>
                <w:bCs/>
                <w:color w:val="auto"/>
                <w:szCs w:val="21"/>
              </w:rPr>
            </w:pPr>
            <w:r>
              <w:rPr>
                <w:rFonts w:hint="eastAsia" w:ascii="宋体" w:hAnsi="宋体"/>
                <w:bCs/>
                <w:color w:val="auto"/>
                <w:szCs w:val="21"/>
              </w:rPr>
              <w:t>外力作用引起物体非正常运动。</w:t>
            </w:r>
          </w:p>
        </w:tc>
        <w:tc>
          <w:tcPr>
            <w:tcW w:w="1608" w:type="dxa"/>
            <w:noWrap w:val="0"/>
            <w:vAlign w:val="center"/>
          </w:tcPr>
          <w:p>
            <w:pPr>
              <w:rPr>
                <w:rFonts w:hint="eastAsia" w:ascii="宋体" w:hAnsi="宋体"/>
                <w:bCs/>
                <w:color w:val="auto"/>
                <w:szCs w:val="21"/>
              </w:rPr>
            </w:pPr>
            <w:r>
              <w:rPr>
                <w:rFonts w:hint="eastAsia" w:ascii="宋体" w:hAnsi="宋体"/>
                <w:bCs/>
                <w:color w:val="auto"/>
                <w:szCs w:val="21"/>
              </w:rPr>
              <w:t>生产车间、仓库、搬运、装卸场所</w:t>
            </w:r>
          </w:p>
        </w:tc>
        <w:tc>
          <w:tcPr>
            <w:tcW w:w="2107" w:type="dxa"/>
            <w:noWrap w:val="0"/>
            <w:vAlign w:val="center"/>
          </w:tcPr>
          <w:p>
            <w:pPr>
              <w:rPr>
                <w:rFonts w:hint="eastAsia" w:ascii="宋体" w:hAnsi="宋体"/>
                <w:bCs/>
                <w:color w:val="auto"/>
                <w:szCs w:val="21"/>
              </w:rPr>
            </w:pPr>
            <w:r>
              <w:rPr>
                <w:rFonts w:hint="eastAsia" w:ascii="宋体" w:hAnsi="宋体"/>
                <w:bCs/>
                <w:color w:val="auto"/>
                <w:szCs w:val="21"/>
              </w:rPr>
              <w:t>违章操作；信号不畅。</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6</w:t>
            </w:r>
          </w:p>
        </w:tc>
        <w:tc>
          <w:tcPr>
            <w:tcW w:w="1262" w:type="dxa"/>
            <w:noWrap w:val="0"/>
            <w:vAlign w:val="center"/>
          </w:tcPr>
          <w:p>
            <w:pPr>
              <w:rPr>
                <w:rFonts w:hint="eastAsia" w:ascii="宋体" w:hAnsi="宋体"/>
                <w:bCs/>
                <w:color w:val="auto"/>
                <w:szCs w:val="21"/>
              </w:rPr>
            </w:pPr>
            <w:r>
              <w:rPr>
                <w:rFonts w:hint="eastAsia" w:ascii="宋体" w:hAnsi="宋体"/>
                <w:bCs/>
                <w:color w:val="auto"/>
                <w:szCs w:val="21"/>
              </w:rPr>
              <w:t>物理爆炸</w:t>
            </w:r>
          </w:p>
        </w:tc>
        <w:tc>
          <w:tcPr>
            <w:tcW w:w="2556" w:type="dxa"/>
            <w:noWrap w:val="0"/>
            <w:vAlign w:val="center"/>
          </w:tcPr>
          <w:p>
            <w:pPr>
              <w:tabs>
                <w:tab w:val="left" w:pos="7950"/>
              </w:tabs>
              <w:rPr>
                <w:rFonts w:hint="eastAsia" w:ascii="宋体" w:hAnsi="宋体"/>
                <w:bCs/>
                <w:color w:val="auto"/>
                <w:szCs w:val="21"/>
              </w:rPr>
            </w:pPr>
            <w:r>
              <w:rPr>
                <w:rFonts w:hint="eastAsia" w:ascii="宋体" w:hAnsi="宋体"/>
                <w:bCs/>
                <w:color w:val="auto"/>
                <w:szCs w:val="21"/>
                <w:lang w:eastAsia="zh-CN"/>
              </w:rPr>
              <w:t>灭菌锅、</w:t>
            </w:r>
            <w:r>
              <w:rPr>
                <w:rFonts w:hint="eastAsia" w:ascii="宋体" w:hAnsi="宋体"/>
                <w:bCs/>
                <w:color w:val="auto"/>
                <w:szCs w:val="21"/>
              </w:rPr>
              <w:t>压力容器爆炸</w:t>
            </w:r>
          </w:p>
        </w:tc>
        <w:tc>
          <w:tcPr>
            <w:tcW w:w="1608" w:type="dxa"/>
            <w:noWrap w:val="0"/>
            <w:vAlign w:val="center"/>
          </w:tcPr>
          <w:p>
            <w:pPr>
              <w:rPr>
                <w:rFonts w:hint="eastAsia" w:ascii="宋体" w:hAnsi="宋体" w:eastAsia="宋体"/>
                <w:bCs/>
                <w:color w:val="auto"/>
                <w:szCs w:val="21"/>
                <w:lang w:eastAsia="zh-CN"/>
              </w:rPr>
            </w:pPr>
            <w:r>
              <w:rPr>
                <w:rFonts w:hint="eastAsia" w:ascii="宋体" w:hAnsi="宋体"/>
                <w:bCs/>
                <w:color w:val="auto"/>
                <w:szCs w:val="21"/>
                <w:lang w:eastAsia="zh-CN"/>
              </w:rPr>
              <w:t>灭菌车间、化验室</w:t>
            </w:r>
          </w:p>
        </w:tc>
        <w:tc>
          <w:tcPr>
            <w:tcW w:w="2107" w:type="dxa"/>
            <w:noWrap w:val="0"/>
            <w:vAlign w:val="center"/>
          </w:tcPr>
          <w:p>
            <w:pPr>
              <w:rPr>
                <w:rFonts w:hint="eastAsia" w:ascii="宋体" w:hAnsi="宋体"/>
                <w:bCs/>
                <w:color w:val="auto"/>
                <w:szCs w:val="21"/>
              </w:rPr>
            </w:pPr>
            <w:r>
              <w:rPr>
                <w:rFonts w:hint="eastAsia" w:ascii="宋体" w:hAnsi="宋体"/>
                <w:color w:val="auto"/>
                <w:szCs w:val="21"/>
              </w:rPr>
              <w:t>设计、制造、使用中存在缺陷，违规操作，未定期检查保养</w:t>
            </w:r>
            <w:r>
              <w:rPr>
                <w:rFonts w:hint="eastAsia" w:ascii="宋体" w:hAnsi="宋体"/>
                <w:bCs/>
                <w:color w:val="auto"/>
                <w:szCs w:val="21"/>
              </w:rPr>
              <w:t>。</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7</w:t>
            </w:r>
          </w:p>
        </w:tc>
        <w:tc>
          <w:tcPr>
            <w:tcW w:w="1262" w:type="dxa"/>
            <w:noWrap w:val="0"/>
            <w:vAlign w:val="center"/>
          </w:tcPr>
          <w:p>
            <w:pPr>
              <w:rPr>
                <w:rFonts w:hint="eastAsia" w:ascii="宋体" w:hAnsi="宋体"/>
                <w:bCs/>
                <w:color w:val="auto"/>
                <w:szCs w:val="21"/>
              </w:rPr>
            </w:pPr>
            <w:r>
              <w:rPr>
                <w:rFonts w:hint="eastAsia" w:ascii="宋体" w:hAnsi="宋体"/>
                <w:bCs/>
                <w:color w:val="auto"/>
                <w:szCs w:val="21"/>
              </w:rPr>
              <w:t>电气火灾</w:t>
            </w:r>
          </w:p>
        </w:tc>
        <w:tc>
          <w:tcPr>
            <w:tcW w:w="2556" w:type="dxa"/>
            <w:noWrap w:val="0"/>
            <w:vAlign w:val="center"/>
          </w:tcPr>
          <w:p>
            <w:pPr>
              <w:tabs>
                <w:tab w:val="left" w:pos="7950"/>
              </w:tabs>
              <w:rPr>
                <w:rFonts w:hint="eastAsia" w:ascii="宋体" w:hAnsi="宋体"/>
                <w:bCs/>
                <w:color w:val="auto"/>
                <w:szCs w:val="21"/>
              </w:rPr>
            </w:pPr>
            <w:r>
              <w:rPr>
                <w:rFonts w:hint="eastAsia" w:ascii="宋体" w:hAnsi="宋体"/>
                <w:bCs/>
                <w:color w:val="auto"/>
                <w:szCs w:val="21"/>
              </w:rPr>
              <w:t>线路老化，过负荷</w:t>
            </w:r>
          </w:p>
        </w:tc>
        <w:tc>
          <w:tcPr>
            <w:tcW w:w="1608" w:type="dxa"/>
            <w:noWrap w:val="0"/>
            <w:vAlign w:val="center"/>
          </w:tcPr>
          <w:p>
            <w:pPr>
              <w:rPr>
                <w:rFonts w:hint="eastAsia" w:ascii="宋体" w:hAnsi="宋体"/>
                <w:bCs/>
                <w:color w:val="auto"/>
                <w:szCs w:val="21"/>
              </w:rPr>
            </w:pPr>
            <w:r>
              <w:rPr>
                <w:rFonts w:hint="eastAsia" w:ascii="宋体" w:hAnsi="宋体"/>
                <w:bCs/>
                <w:color w:val="auto"/>
                <w:szCs w:val="21"/>
              </w:rPr>
              <w:t>各生产车间</w:t>
            </w:r>
          </w:p>
        </w:tc>
        <w:tc>
          <w:tcPr>
            <w:tcW w:w="2107" w:type="dxa"/>
            <w:noWrap w:val="0"/>
            <w:vAlign w:val="center"/>
          </w:tcPr>
          <w:p>
            <w:pPr>
              <w:rPr>
                <w:rFonts w:hint="eastAsia" w:ascii="宋体" w:hAnsi="宋体"/>
                <w:color w:val="auto"/>
                <w:szCs w:val="21"/>
              </w:rPr>
            </w:pPr>
            <w:r>
              <w:rPr>
                <w:rFonts w:hint="eastAsia" w:ascii="宋体" w:hAnsi="宋体"/>
                <w:color w:val="auto"/>
                <w:szCs w:val="21"/>
              </w:rPr>
              <w:t>过负荷、保护装置失灵</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财产损失和伤亡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426" w:type="dxa"/>
            <w:noWrap w:val="0"/>
            <w:vAlign w:val="center"/>
          </w:tcPr>
          <w:p>
            <w:pPr>
              <w:jc w:val="center"/>
              <w:rPr>
                <w:rFonts w:hint="eastAsia" w:ascii="宋体" w:hAnsi="宋体"/>
                <w:bCs/>
                <w:color w:val="auto"/>
                <w:szCs w:val="21"/>
              </w:rPr>
            </w:pPr>
            <w:r>
              <w:rPr>
                <w:rFonts w:hint="eastAsia" w:ascii="宋体" w:hAnsi="宋体"/>
                <w:bCs/>
                <w:color w:val="auto"/>
                <w:szCs w:val="21"/>
              </w:rPr>
              <w:t>8</w:t>
            </w:r>
          </w:p>
        </w:tc>
        <w:tc>
          <w:tcPr>
            <w:tcW w:w="1262" w:type="dxa"/>
            <w:noWrap w:val="0"/>
            <w:vAlign w:val="center"/>
          </w:tcPr>
          <w:p>
            <w:pPr>
              <w:rPr>
                <w:rFonts w:hint="eastAsia" w:ascii="宋体" w:hAnsi="宋体"/>
                <w:bCs/>
                <w:color w:val="auto"/>
                <w:szCs w:val="21"/>
              </w:rPr>
            </w:pPr>
            <w:r>
              <w:rPr>
                <w:rFonts w:hint="eastAsia" w:ascii="宋体" w:hAnsi="宋体"/>
                <w:bCs/>
                <w:color w:val="auto"/>
                <w:szCs w:val="21"/>
              </w:rPr>
              <w:t>灼烫伤</w:t>
            </w:r>
          </w:p>
        </w:tc>
        <w:tc>
          <w:tcPr>
            <w:tcW w:w="2556" w:type="dxa"/>
            <w:noWrap w:val="0"/>
            <w:vAlign w:val="center"/>
          </w:tcPr>
          <w:p>
            <w:pPr>
              <w:tabs>
                <w:tab w:val="left" w:pos="7950"/>
              </w:tabs>
              <w:jc w:val="center"/>
              <w:rPr>
                <w:rFonts w:hint="eastAsia" w:ascii="宋体" w:hAnsi="宋体"/>
                <w:bCs/>
                <w:color w:val="auto"/>
                <w:szCs w:val="21"/>
              </w:rPr>
            </w:pPr>
            <w:r>
              <w:rPr>
                <w:rFonts w:hint="eastAsia" w:ascii="宋体" w:hAnsi="宋体"/>
                <w:bCs/>
                <w:color w:val="auto"/>
                <w:szCs w:val="21"/>
                <w:lang w:eastAsia="zh-CN"/>
              </w:rPr>
              <w:t>烤炉、</w:t>
            </w:r>
            <w:r>
              <w:rPr>
                <w:rFonts w:hint="eastAsia" w:ascii="宋体" w:hAnsi="宋体"/>
                <w:bCs/>
                <w:color w:val="auto"/>
                <w:szCs w:val="21"/>
              </w:rPr>
              <w:t>高温</w:t>
            </w:r>
            <w:r>
              <w:rPr>
                <w:rFonts w:hint="eastAsia" w:ascii="宋体" w:hAnsi="宋体"/>
                <w:bCs/>
                <w:color w:val="auto"/>
                <w:sz w:val="21"/>
                <w:lang w:val="en-US" w:eastAsia="zh-CN"/>
              </w:rPr>
              <w:t>机械</w:t>
            </w:r>
            <w:r>
              <w:rPr>
                <w:rFonts w:hint="eastAsia" w:ascii="宋体" w:hAnsi="宋体"/>
                <w:bCs/>
                <w:color w:val="auto"/>
                <w:szCs w:val="21"/>
              </w:rPr>
              <w:t>烫伤</w:t>
            </w:r>
          </w:p>
        </w:tc>
        <w:tc>
          <w:tcPr>
            <w:tcW w:w="1608" w:type="dxa"/>
            <w:noWrap w:val="0"/>
            <w:vAlign w:val="center"/>
          </w:tcPr>
          <w:p>
            <w:pPr>
              <w:rPr>
                <w:rFonts w:hint="eastAsia" w:ascii="宋体" w:hAnsi="宋体" w:eastAsia="宋体"/>
                <w:bCs/>
                <w:color w:val="auto"/>
                <w:szCs w:val="21"/>
                <w:lang w:eastAsia="zh-CN"/>
              </w:rPr>
            </w:pPr>
            <w:r>
              <w:rPr>
                <w:rFonts w:hint="eastAsia" w:ascii="宋体" w:hAnsi="宋体"/>
                <w:bCs/>
                <w:color w:val="auto"/>
                <w:szCs w:val="21"/>
                <w:lang w:eastAsia="zh-CN"/>
              </w:rPr>
              <w:t>包装车间、</w:t>
            </w:r>
            <w:r>
              <w:rPr>
                <w:rFonts w:hint="eastAsia" w:ascii="宋体" w:hAnsi="宋体"/>
                <w:bCs/>
                <w:color w:val="auto"/>
                <w:sz w:val="21"/>
              </w:rPr>
              <w:t>灭菌</w:t>
            </w:r>
            <w:r>
              <w:rPr>
                <w:rFonts w:hint="eastAsia" w:ascii="宋体" w:hAnsi="宋体"/>
                <w:bCs/>
                <w:color w:val="auto"/>
                <w:sz w:val="21"/>
                <w:lang w:eastAsia="zh-CN"/>
              </w:rPr>
              <w:t>车间</w:t>
            </w:r>
          </w:p>
        </w:tc>
        <w:tc>
          <w:tcPr>
            <w:tcW w:w="2107" w:type="dxa"/>
            <w:noWrap w:val="0"/>
            <w:vAlign w:val="center"/>
          </w:tcPr>
          <w:p>
            <w:pPr>
              <w:rPr>
                <w:rFonts w:hint="eastAsia" w:ascii="宋体" w:hAnsi="宋体"/>
                <w:color w:val="auto"/>
                <w:szCs w:val="21"/>
              </w:rPr>
            </w:pPr>
            <w:r>
              <w:rPr>
                <w:rFonts w:hint="eastAsia" w:ascii="宋体" w:hAnsi="宋体"/>
                <w:color w:val="auto"/>
                <w:szCs w:val="21"/>
              </w:rPr>
              <w:t>违章操作，设备缺陷</w:t>
            </w:r>
          </w:p>
        </w:tc>
        <w:tc>
          <w:tcPr>
            <w:tcW w:w="1177" w:type="dxa"/>
            <w:noWrap w:val="0"/>
            <w:vAlign w:val="center"/>
          </w:tcPr>
          <w:p>
            <w:pPr>
              <w:rPr>
                <w:rFonts w:hint="eastAsia" w:ascii="宋体" w:hAnsi="宋体"/>
                <w:bCs/>
                <w:color w:val="auto"/>
                <w:szCs w:val="21"/>
              </w:rPr>
            </w:pPr>
            <w:r>
              <w:rPr>
                <w:rFonts w:hint="eastAsia" w:ascii="宋体" w:hAnsi="宋体"/>
                <w:bCs/>
                <w:color w:val="auto"/>
                <w:szCs w:val="21"/>
              </w:rPr>
              <w:t>个体伤亡</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auto"/>
          <w:sz w:val="28"/>
          <w:szCs w:val="28"/>
        </w:rPr>
      </w:pPr>
      <w:bookmarkStart w:id="18" w:name="_Toc438545538"/>
      <w:bookmarkStart w:id="19" w:name="_Toc405904037"/>
      <w:bookmarkStart w:id="20" w:name="_Toc9912"/>
      <w:bookmarkStart w:id="21" w:name="_Toc7265"/>
      <w:bookmarkStart w:id="22" w:name="_Toc490557064"/>
      <w:r>
        <w:rPr>
          <w:rFonts w:hint="eastAsia" w:ascii="宋体" w:hAnsi="宋体" w:eastAsia="宋体" w:cs="宋体"/>
          <w:color w:val="auto"/>
          <w:sz w:val="28"/>
          <w:szCs w:val="28"/>
        </w:rPr>
        <w:t>2.2.3 重大危险源辨识</w:t>
      </w:r>
      <w:bookmarkEnd w:id="18"/>
      <w:bookmarkEnd w:id="19"/>
      <w:r>
        <w:rPr>
          <w:rFonts w:hint="eastAsia" w:ascii="宋体" w:hAnsi="宋体" w:eastAsia="宋体" w:cs="宋体"/>
          <w:color w:val="auto"/>
          <w:sz w:val="28"/>
          <w:szCs w:val="28"/>
        </w:rPr>
        <w:t>结果</w:t>
      </w:r>
      <w:bookmarkEnd w:id="20"/>
      <w:bookmarkEnd w:id="21"/>
      <w:bookmarkEnd w:id="22"/>
    </w:p>
    <w:p>
      <w:pPr>
        <w:spacing w:line="360" w:lineRule="auto"/>
        <w:ind w:firstLine="480" w:firstLineChars="200"/>
        <w:rPr>
          <w:rFonts w:hint="eastAsia" w:ascii="宋体" w:hAnsi="宋体" w:cs="宋体"/>
          <w:color w:val="auto"/>
          <w:sz w:val="24"/>
        </w:rPr>
      </w:pPr>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根据《危险化学品重大危险源辨识》（GB18218-2009）的规定对重大危险源辨识有明确规定。重大危险源的辨识依据是物质危险特性及其数量。辨识指标规定，单元内存在危险物质的数量等于或超过标准（GB18218-2009）中规定的临界量，即被定为重大危险源。</w:t>
      </w:r>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val="en-US" w:eastAsia="zh-CN"/>
        </w:rPr>
        <w:t>四川雷仕食品有限公司</w:t>
      </w:r>
      <w:r>
        <w:rPr>
          <w:rFonts w:hint="eastAsia" w:ascii="宋体" w:hAnsi="宋体" w:cs="宋体"/>
          <w:color w:val="auto"/>
          <w:sz w:val="28"/>
          <w:szCs w:val="28"/>
          <w:lang w:eastAsia="zh-CN"/>
        </w:rPr>
        <w:t>生产过程中不涉及危险化学品等。另外食堂及生活使用</w:t>
      </w:r>
      <w:r>
        <w:rPr>
          <w:rFonts w:hint="eastAsia" w:ascii="宋体" w:hAnsi="宋体" w:cs="宋体"/>
          <w:color w:val="auto"/>
          <w:sz w:val="28"/>
          <w:szCs w:val="28"/>
          <w:lang w:val="en-US" w:eastAsia="zh-CN"/>
        </w:rPr>
        <w:t>天然气，属于管道输送，不储存，因此，不进行重大危险源辨识，</w:t>
      </w:r>
      <w:r>
        <w:rPr>
          <w:rFonts w:hint="eastAsia" w:ascii="宋体" w:hAnsi="宋体" w:cs="宋体"/>
          <w:color w:val="auto"/>
          <w:sz w:val="28"/>
          <w:szCs w:val="28"/>
          <w:lang w:eastAsia="zh-CN"/>
        </w:rPr>
        <w:t>因此，本项目不构成</w:t>
      </w:r>
      <w:r>
        <w:rPr>
          <w:rFonts w:hint="eastAsia" w:ascii="宋体" w:hAnsi="宋体" w:cs="宋体"/>
          <w:b/>
          <w:bCs/>
          <w:color w:val="auto"/>
          <w:sz w:val="28"/>
          <w:szCs w:val="28"/>
          <w:lang w:eastAsia="zh-CN"/>
        </w:rPr>
        <w:t>危险化学品重大危险源。</w:t>
      </w:r>
    </w:p>
    <w:p>
      <w:pPr>
        <w:pStyle w:val="5"/>
        <w:spacing w:before="0" w:after="0" w:line="360" w:lineRule="auto"/>
        <w:rPr>
          <w:rFonts w:hint="eastAsia" w:ascii="宋体" w:hAnsi="宋体" w:eastAsia="宋体" w:cs="宋体"/>
          <w:color w:val="auto"/>
          <w:sz w:val="28"/>
          <w:szCs w:val="28"/>
        </w:rPr>
      </w:pPr>
      <w:bookmarkStart w:id="23" w:name="_Toc490557065"/>
      <w:bookmarkStart w:id="24" w:name="_Toc19531"/>
      <w:bookmarkStart w:id="25" w:name="_Toc11257"/>
      <w:r>
        <w:rPr>
          <w:rFonts w:hint="eastAsia" w:ascii="宋体" w:hAnsi="宋体" w:eastAsia="宋体" w:cs="宋体"/>
          <w:color w:val="auto"/>
          <w:sz w:val="28"/>
          <w:szCs w:val="28"/>
        </w:rPr>
        <w:t>2.3 事故风险种类及影响范围</w:t>
      </w:r>
      <w:bookmarkEnd w:id="23"/>
      <w:bookmarkEnd w:id="24"/>
      <w:bookmarkEnd w:id="25"/>
    </w:p>
    <w:p>
      <w:pPr>
        <w:spacing w:line="360" w:lineRule="auto"/>
        <w:ind w:firstLine="480" w:firstLineChars="200"/>
        <w:jc w:val="center"/>
        <w:rPr>
          <w:rFonts w:hint="eastAsia" w:ascii="宋体" w:hAnsi="宋体" w:cs="宋体"/>
          <w:color w:val="auto"/>
          <w:sz w:val="24"/>
        </w:rPr>
      </w:pPr>
      <w:r>
        <w:rPr>
          <w:rFonts w:hint="eastAsia" w:ascii="宋体" w:hAnsi="宋体" w:cs="宋体"/>
          <w:color w:val="auto"/>
          <w:sz w:val="24"/>
        </w:rPr>
        <w:t>表2-6  事故风险种类及影响范围汇总表</w:t>
      </w:r>
    </w:p>
    <w:tbl>
      <w:tblPr>
        <w:tblStyle w:val="1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5423"/>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b/>
                <w:color w:val="auto"/>
                <w:szCs w:val="21"/>
              </w:rPr>
              <w:t>事故类别</w:t>
            </w:r>
          </w:p>
        </w:tc>
        <w:tc>
          <w:tcPr>
            <w:tcW w:w="5423" w:type="dxa"/>
            <w:noWrap w:val="0"/>
            <w:vAlign w:val="center"/>
          </w:tcPr>
          <w:p>
            <w:pPr>
              <w:tabs>
                <w:tab w:val="left" w:pos="0"/>
              </w:tabs>
              <w:spacing w:line="360" w:lineRule="auto"/>
              <w:jc w:val="center"/>
              <w:rPr>
                <w:color w:val="auto"/>
              </w:rPr>
            </w:pPr>
            <w:r>
              <w:rPr>
                <w:rFonts w:hint="eastAsia" w:ascii="宋体" w:hAnsi="宋体"/>
                <w:b/>
                <w:color w:val="auto"/>
                <w:szCs w:val="21"/>
              </w:rPr>
              <w:t>主要原因</w:t>
            </w:r>
          </w:p>
        </w:tc>
        <w:tc>
          <w:tcPr>
            <w:tcW w:w="2968" w:type="dxa"/>
            <w:noWrap w:val="0"/>
            <w:vAlign w:val="center"/>
          </w:tcPr>
          <w:p>
            <w:pPr>
              <w:tabs>
                <w:tab w:val="left" w:pos="0"/>
              </w:tabs>
              <w:spacing w:line="360" w:lineRule="auto"/>
              <w:jc w:val="center"/>
              <w:rPr>
                <w:color w:val="auto"/>
              </w:rPr>
            </w:pPr>
            <w:r>
              <w:rPr>
                <w:rFonts w:hint="eastAsia" w:ascii="宋体" w:hAnsi="宋体"/>
                <w:b/>
                <w:color w:val="auto"/>
                <w:szCs w:val="21"/>
              </w:rPr>
              <w:t>造成的危险后果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火灾</w:t>
            </w:r>
          </w:p>
        </w:tc>
        <w:tc>
          <w:tcPr>
            <w:tcW w:w="5423" w:type="dxa"/>
            <w:noWrap w:val="0"/>
            <w:vAlign w:val="center"/>
          </w:tcPr>
          <w:p>
            <w:pPr>
              <w:tabs>
                <w:tab w:val="left" w:pos="0"/>
              </w:tabs>
              <w:spacing w:line="360" w:lineRule="auto"/>
              <w:rPr>
                <w:color w:val="auto"/>
              </w:rPr>
            </w:pPr>
            <w:r>
              <w:rPr>
                <w:rFonts w:hint="eastAsia" w:ascii="宋体" w:hAnsi="宋体"/>
                <w:color w:val="auto"/>
                <w:szCs w:val="28"/>
              </w:rPr>
              <w:t>生产中还使用大量电气设备。电气设备、线路过载，会引发火灾事故。</w:t>
            </w:r>
            <w:r>
              <w:rPr>
                <w:rFonts w:hint="eastAsia" w:ascii="宋体" w:hAnsi="宋体"/>
                <w:color w:val="auto"/>
                <w:szCs w:val="28"/>
                <w:lang w:eastAsia="zh-CN"/>
              </w:rPr>
              <w:t>原料库</w:t>
            </w:r>
            <w:r>
              <w:rPr>
                <w:rFonts w:hint="eastAsia" w:ascii="宋体" w:hAnsi="宋体"/>
                <w:color w:val="auto"/>
                <w:szCs w:val="28"/>
              </w:rPr>
              <w:t>内堆放的</w:t>
            </w:r>
            <w:r>
              <w:rPr>
                <w:rFonts w:hint="eastAsia" w:ascii="宋体" w:hAnsi="宋体"/>
                <w:color w:val="auto"/>
                <w:szCs w:val="28"/>
                <w:lang w:eastAsia="zh-CN"/>
              </w:rPr>
              <w:t>面粉、菜籽油</w:t>
            </w:r>
            <w:r>
              <w:rPr>
                <w:rFonts w:hint="eastAsia" w:ascii="宋体" w:hAnsi="宋体"/>
                <w:color w:val="auto"/>
                <w:szCs w:val="28"/>
              </w:rPr>
              <w:t>等属于丙类可燃物质，一旦遇点火源，也可能发生火灾事故。</w:t>
            </w:r>
          </w:p>
        </w:tc>
        <w:tc>
          <w:tcPr>
            <w:tcW w:w="2968" w:type="dxa"/>
            <w:noWrap w:val="0"/>
            <w:vAlign w:val="center"/>
          </w:tcPr>
          <w:p>
            <w:pPr>
              <w:tabs>
                <w:tab w:val="left" w:pos="0"/>
              </w:tabs>
              <w:spacing w:line="360" w:lineRule="auto"/>
              <w:rPr>
                <w:color w:val="auto"/>
              </w:rPr>
            </w:pPr>
            <w:r>
              <w:rPr>
                <w:rFonts w:hint="eastAsia" w:ascii="宋体" w:hAnsi="宋体"/>
                <w:color w:val="auto"/>
                <w:szCs w:val="28"/>
              </w:rPr>
              <w:t>主要影响是在</w:t>
            </w:r>
            <w:r>
              <w:rPr>
                <w:rFonts w:hint="eastAsia" w:ascii="宋体" w:hAnsi="宋体"/>
                <w:color w:val="auto"/>
                <w:szCs w:val="28"/>
                <w:lang w:eastAsia="zh-CN"/>
              </w:rPr>
              <w:t>原料库</w:t>
            </w:r>
            <w:r>
              <w:rPr>
                <w:rFonts w:hint="eastAsia" w:ascii="宋体" w:hAnsi="宋体"/>
                <w:color w:val="auto"/>
                <w:szCs w:val="28"/>
              </w:rPr>
              <w:t>内的操作人员、相邻设备或管道、建筑等，将会造成严重的人员伤亡及设施损坏。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爆炸</w:t>
            </w:r>
          </w:p>
        </w:tc>
        <w:tc>
          <w:tcPr>
            <w:tcW w:w="5423" w:type="dxa"/>
            <w:noWrap w:val="0"/>
            <w:vAlign w:val="center"/>
          </w:tcPr>
          <w:p>
            <w:pPr>
              <w:tabs>
                <w:tab w:val="left" w:pos="0"/>
              </w:tabs>
              <w:spacing w:line="360" w:lineRule="auto"/>
              <w:rPr>
                <w:color w:val="auto"/>
              </w:rPr>
            </w:pPr>
            <w:r>
              <w:rPr>
                <w:rFonts w:hint="eastAsia" w:ascii="宋体" w:hAnsi="宋体"/>
                <w:color w:val="auto"/>
                <w:szCs w:val="28"/>
              </w:rPr>
              <w:t>生产中使用</w:t>
            </w:r>
            <w:r>
              <w:rPr>
                <w:rFonts w:hint="eastAsia" w:ascii="宋体" w:hAnsi="宋体"/>
                <w:color w:val="auto"/>
                <w:szCs w:val="28"/>
                <w:lang w:eastAsia="zh-CN"/>
              </w:rPr>
              <w:t>的原材料</w:t>
            </w:r>
            <w:r>
              <w:rPr>
                <w:rFonts w:hint="eastAsia" w:ascii="宋体" w:hAnsi="宋体"/>
                <w:color w:val="auto"/>
                <w:szCs w:val="28"/>
              </w:rPr>
              <w:t>（</w:t>
            </w:r>
            <w:r>
              <w:rPr>
                <w:rFonts w:hint="eastAsia" w:ascii="宋体" w:hAnsi="宋体"/>
                <w:color w:val="auto"/>
                <w:szCs w:val="28"/>
                <w:lang w:eastAsia="zh-CN"/>
              </w:rPr>
              <w:t>面粉</w:t>
            </w:r>
            <w:r>
              <w:rPr>
                <w:rFonts w:hint="eastAsia" w:ascii="宋体" w:hAnsi="宋体"/>
                <w:color w:val="auto"/>
                <w:szCs w:val="28"/>
              </w:rPr>
              <w:t>）属于丙类可燃物质，且储存量较大，</w:t>
            </w:r>
            <w:r>
              <w:rPr>
                <w:rFonts w:hint="eastAsia" w:ascii="宋体" w:hAnsi="宋体"/>
                <w:color w:val="auto"/>
                <w:szCs w:val="28"/>
                <w:lang w:eastAsia="zh-CN"/>
              </w:rPr>
              <w:t>与空气混合，形成混合物并达到很高的浓度时，</w:t>
            </w:r>
            <w:r>
              <w:rPr>
                <w:rFonts w:hint="eastAsia" w:ascii="宋体" w:hAnsi="宋体"/>
                <w:color w:val="auto"/>
                <w:szCs w:val="28"/>
              </w:rPr>
              <w:t>故在储存场所内如遇外来火源、电气火花等，也可能引起炉体爆炸。</w:t>
            </w:r>
          </w:p>
        </w:tc>
        <w:tc>
          <w:tcPr>
            <w:tcW w:w="2968" w:type="dxa"/>
            <w:noWrap w:val="0"/>
            <w:vAlign w:val="center"/>
          </w:tcPr>
          <w:p>
            <w:pPr>
              <w:tabs>
                <w:tab w:val="left" w:pos="0"/>
              </w:tabs>
              <w:spacing w:line="360" w:lineRule="auto"/>
              <w:rPr>
                <w:color w:val="auto"/>
              </w:rPr>
            </w:pPr>
            <w:r>
              <w:rPr>
                <w:rFonts w:hint="eastAsia" w:ascii="宋体" w:hAnsi="宋体"/>
                <w:color w:val="auto"/>
                <w:szCs w:val="28"/>
              </w:rPr>
              <w:t>主要影响是在</w:t>
            </w:r>
            <w:r>
              <w:rPr>
                <w:rFonts w:hint="eastAsia" w:ascii="宋体" w:hAnsi="宋体"/>
                <w:color w:val="auto"/>
                <w:szCs w:val="28"/>
                <w:lang w:eastAsia="zh-CN"/>
              </w:rPr>
              <w:t>原料库</w:t>
            </w:r>
            <w:r>
              <w:rPr>
                <w:rFonts w:hint="eastAsia" w:ascii="宋体" w:hAnsi="宋体"/>
                <w:color w:val="auto"/>
                <w:szCs w:val="28"/>
              </w:rPr>
              <w:t>内的操作人员、相邻设备或管道、建筑等，将会造成严重的人员伤亡及设施损坏。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触电</w:t>
            </w:r>
          </w:p>
        </w:tc>
        <w:tc>
          <w:tcPr>
            <w:tcW w:w="5423" w:type="dxa"/>
            <w:noWrap w:val="0"/>
            <w:vAlign w:val="center"/>
          </w:tcPr>
          <w:p>
            <w:pPr>
              <w:tabs>
                <w:tab w:val="left" w:pos="786"/>
              </w:tabs>
              <w:spacing w:line="360" w:lineRule="auto"/>
              <w:rPr>
                <w:color w:val="auto"/>
              </w:rPr>
            </w:pPr>
            <w:r>
              <w:rPr>
                <w:rFonts w:hint="eastAsia" w:ascii="宋体" w:hAnsi="宋体"/>
                <w:color w:val="auto"/>
                <w:szCs w:val="21"/>
              </w:rPr>
              <w:t>作业环境的电气设备不符合规范或漏电，与人体接触发生触电事故。另外，雷击也造成伤亡事故。</w:t>
            </w:r>
          </w:p>
        </w:tc>
        <w:tc>
          <w:tcPr>
            <w:tcW w:w="2968" w:type="dxa"/>
            <w:noWrap w:val="0"/>
            <w:vAlign w:val="center"/>
          </w:tcPr>
          <w:p>
            <w:pPr>
              <w:tabs>
                <w:tab w:val="left" w:pos="0"/>
              </w:tabs>
              <w:spacing w:line="360" w:lineRule="auto"/>
              <w:rPr>
                <w:color w:val="auto"/>
              </w:rPr>
            </w:pPr>
            <w:r>
              <w:rPr>
                <w:rFonts w:hint="eastAsia" w:ascii="宋体" w:hAnsi="宋体"/>
                <w:color w:val="auto"/>
                <w:szCs w:val="21"/>
              </w:rPr>
              <w:t>工作人员伤亡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灼烫</w:t>
            </w:r>
          </w:p>
        </w:tc>
        <w:tc>
          <w:tcPr>
            <w:tcW w:w="5423" w:type="dxa"/>
            <w:noWrap w:val="0"/>
            <w:vAlign w:val="center"/>
          </w:tcPr>
          <w:p>
            <w:pPr>
              <w:tabs>
                <w:tab w:val="left" w:pos="0"/>
              </w:tabs>
              <w:spacing w:line="360" w:lineRule="auto"/>
              <w:jc w:val="left"/>
              <w:rPr>
                <w:color w:val="auto"/>
              </w:rPr>
            </w:pPr>
            <w:r>
              <w:rPr>
                <w:rFonts w:hint="eastAsia" w:ascii="宋体" w:hAnsi="宋体"/>
                <w:color w:val="auto"/>
                <w:szCs w:val="21"/>
              </w:rPr>
              <w:t>加热使用的</w:t>
            </w:r>
            <w:r>
              <w:rPr>
                <w:rFonts w:hint="eastAsia" w:ascii="宋体" w:hAnsi="宋体"/>
                <w:color w:val="auto"/>
                <w:szCs w:val="21"/>
                <w:lang w:eastAsia="zh-CN"/>
              </w:rPr>
              <w:t>烤炉、灭菌锅</w:t>
            </w:r>
            <w:r>
              <w:rPr>
                <w:rFonts w:hint="eastAsia" w:ascii="宋体" w:hAnsi="宋体"/>
                <w:color w:val="auto"/>
                <w:szCs w:val="21"/>
              </w:rPr>
              <w:t>存在高温，人体接触也可能发生烫伤。</w:t>
            </w:r>
          </w:p>
        </w:tc>
        <w:tc>
          <w:tcPr>
            <w:tcW w:w="2968" w:type="dxa"/>
            <w:noWrap w:val="0"/>
            <w:vAlign w:val="center"/>
          </w:tcPr>
          <w:p>
            <w:pPr>
              <w:tabs>
                <w:tab w:val="left" w:pos="786"/>
              </w:tabs>
              <w:spacing w:line="360" w:lineRule="auto"/>
              <w:rPr>
                <w:color w:val="auto"/>
              </w:rPr>
            </w:pPr>
            <w:r>
              <w:rPr>
                <w:rFonts w:hint="eastAsia" w:ascii="宋体" w:hAnsi="宋体"/>
                <w:color w:val="auto"/>
                <w:szCs w:val="21"/>
              </w:rPr>
              <w:t>工作人员伤亡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车辆伤害</w:t>
            </w:r>
          </w:p>
        </w:tc>
        <w:tc>
          <w:tcPr>
            <w:tcW w:w="5423" w:type="dxa"/>
            <w:noWrap w:val="0"/>
            <w:vAlign w:val="center"/>
          </w:tcPr>
          <w:p>
            <w:pPr>
              <w:tabs>
                <w:tab w:val="left" w:pos="786"/>
              </w:tabs>
              <w:spacing w:line="360" w:lineRule="auto"/>
              <w:rPr>
                <w:color w:val="auto"/>
              </w:rPr>
            </w:pPr>
            <w:r>
              <w:rPr>
                <w:rFonts w:hint="eastAsia" w:ascii="宋体" w:hAnsi="宋体"/>
                <w:color w:val="auto"/>
                <w:szCs w:val="21"/>
              </w:rPr>
              <w:t>公司内的车辆进出频繁，车辆调度失误或驾驶员操作失误，易发生车辆伤害事故</w:t>
            </w:r>
          </w:p>
        </w:tc>
        <w:tc>
          <w:tcPr>
            <w:tcW w:w="2968" w:type="dxa"/>
            <w:noWrap w:val="0"/>
            <w:vAlign w:val="center"/>
          </w:tcPr>
          <w:p>
            <w:pPr>
              <w:tabs>
                <w:tab w:val="left" w:pos="0"/>
              </w:tabs>
              <w:spacing w:line="360" w:lineRule="auto"/>
              <w:rPr>
                <w:color w:val="auto"/>
              </w:rPr>
            </w:pPr>
            <w:r>
              <w:rPr>
                <w:rFonts w:hint="eastAsia" w:ascii="宋体" w:hAnsi="宋体"/>
                <w:color w:val="auto"/>
                <w:szCs w:val="21"/>
              </w:rPr>
              <w:t>车辆撞击人员、建筑物、设备、设施造成人员伤亡，设备、设施损坏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color w:val="auto"/>
              </w:rPr>
            </w:pPr>
            <w:r>
              <w:rPr>
                <w:rFonts w:hint="eastAsia" w:ascii="宋体" w:hAnsi="宋体"/>
                <w:color w:val="auto"/>
                <w:szCs w:val="21"/>
              </w:rPr>
              <w:t>机械伤害</w:t>
            </w:r>
          </w:p>
        </w:tc>
        <w:tc>
          <w:tcPr>
            <w:tcW w:w="5423" w:type="dxa"/>
            <w:noWrap w:val="0"/>
            <w:vAlign w:val="center"/>
          </w:tcPr>
          <w:p>
            <w:pPr>
              <w:spacing w:line="360" w:lineRule="auto"/>
              <w:rPr>
                <w:color w:val="auto"/>
              </w:rPr>
            </w:pPr>
            <w:r>
              <w:rPr>
                <w:rFonts w:hint="eastAsia" w:ascii="宋体" w:hAnsi="宋体"/>
                <w:color w:val="auto"/>
                <w:szCs w:val="21"/>
              </w:rPr>
              <w:t>厂内</w:t>
            </w:r>
            <w:r>
              <w:rPr>
                <w:rFonts w:hint="eastAsia" w:ascii="宋体" w:hAnsi="宋体"/>
                <w:color w:val="auto"/>
                <w:szCs w:val="21"/>
                <w:lang w:eastAsia="zh-CN"/>
              </w:rPr>
              <w:t>生产设备、</w:t>
            </w:r>
            <w:r>
              <w:rPr>
                <w:rFonts w:hint="eastAsia" w:ascii="宋体" w:hAnsi="宋体"/>
                <w:color w:val="auto"/>
                <w:szCs w:val="21"/>
              </w:rPr>
              <w:t>柴油发电机、压缩机、转动部位未设置防护罩,操作人员接触易发生机械伤害</w:t>
            </w:r>
          </w:p>
        </w:tc>
        <w:tc>
          <w:tcPr>
            <w:tcW w:w="2968" w:type="dxa"/>
            <w:noWrap w:val="0"/>
            <w:vAlign w:val="center"/>
          </w:tcPr>
          <w:p>
            <w:pPr>
              <w:tabs>
                <w:tab w:val="left" w:pos="0"/>
              </w:tabs>
              <w:spacing w:line="360" w:lineRule="auto"/>
              <w:rPr>
                <w:color w:val="auto"/>
              </w:rPr>
            </w:pPr>
            <w:r>
              <w:rPr>
                <w:rFonts w:hint="eastAsia" w:ascii="宋体" w:hAnsi="宋体"/>
                <w:color w:val="auto"/>
                <w:szCs w:val="21"/>
              </w:rPr>
              <w:t>工作人员伤亡。设备、设施损坏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7" w:type="dxa"/>
            <w:noWrap w:val="0"/>
            <w:vAlign w:val="center"/>
          </w:tcPr>
          <w:p>
            <w:pPr>
              <w:tabs>
                <w:tab w:val="left" w:pos="0"/>
              </w:tabs>
              <w:spacing w:line="360" w:lineRule="auto"/>
              <w:jc w:val="center"/>
              <w:rPr>
                <w:rFonts w:hint="eastAsia" w:ascii="宋体" w:hAnsi="宋体"/>
                <w:color w:val="auto"/>
                <w:szCs w:val="21"/>
              </w:rPr>
            </w:pPr>
            <w:r>
              <w:rPr>
                <w:rFonts w:hint="eastAsia" w:ascii="宋体" w:hAnsi="宋体"/>
                <w:color w:val="auto"/>
                <w:szCs w:val="21"/>
              </w:rPr>
              <w:t>职业病</w:t>
            </w:r>
          </w:p>
          <w:p>
            <w:pPr>
              <w:tabs>
                <w:tab w:val="left" w:pos="0"/>
              </w:tabs>
              <w:spacing w:line="360" w:lineRule="auto"/>
              <w:jc w:val="center"/>
              <w:rPr>
                <w:color w:val="auto"/>
              </w:rPr>
            </w:pPr>
            <w:r>
              <w:rPr>
                <w:rFonts w:hint="eastAsia" w:ascii="宋体" w:hAnsi="宋体"/>
                <w:color w:val="auto"/>
                <w:szCs w:val="21"/>
              </w:rPr>
              <w:t>危害</w:t>
            </w:r>
          </w:p>
        </w:tc>
        <w:tc>
          <w:tcPr>
            <w:tcW w:w="5423" w:type="dxa"/>
            <w:noWrap w:val="0"/>
            <w:vAlign w:val="center"/>
          </w:tcPr>
          <w:p>
            <w:pPr>
              <w:spacing w:line="360" w:lineRule="auto"/>
              <w:rPr>
                <w:color w:val="auto"/>
              </w:rPr>
            </w:pPr>
            <w:r>
              <w:rPr>
                <w:rFonts w:hint="eastAsia" w:ascii="宋体" w:hAnsi="宋体"/>
                <w:color w:val="auto"/>
                <w:szCs w:val="21"/>
              </w:rPr>
              <w:t>长期在噪声环境中工作的人员，若未采取防护措施，将会产生有噪声引起的职业病。</w:t>
            </w:r>
          </w:p>
        </w:tc>
        <w:tc>
          <w:tcPr>
            <w:tcW w:w="2968" w:type="dxa"/>
            <w:noWrap w:val="0"/>
            <w:vAlign w:val="center"/>
          </w:tcPr>
          <w:p>
            <w:pPr>
              <w:tabs>
                <w:tab w:val="left" w:pos="0"/>
              </w:tabs>
              <w:spacing w:line="360" w:lineRule="auto"/>
              <w:rPr>
                <w:color w:val="auto"/>
              </w:rPr>
            </w:pPr>
            <w:r>
              <w:rPr>
                <w:rFonts w:hint="eastAsia" w:ascii="宋体" w:hAnsi="宋体"/>
                <w:color w:val="auto"/>
                <w:szCs w:val="21"/>
              </w:rPr>
              <w:t>危害人身体健康</w:t>
            </w:r>
          </w:p>
        </w:tc>
      </w:tr>
    </w:tbl>
    <w:p>
      <w:bookmarkStart w:id="26" w:name="_GoBack"/>
      <w:bookmarkEnd w:id="2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简体">
    <w:altName w:val="宋体"/>
    <w:panose1 w:val="02010601030101010101"/>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1862C"/>
    <w:multiLevelType w:val="singleLevel"/>
    <w:tmpl w:val="5A7186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D678B"/>
    <w:rsid w:val="5A5D67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rFonts w:eastAsia="宋体"/>
      <w:b/>
      <w:bCs/>
      <w:kern w:val="44"/>
      <w:sz w:val="44"/>
      <w:szCs w:val="44"/>
      <w:lang w:val="en-US" w:eastAsia="zh-CN" w:bidi="ar-SA"/>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paragraph" w:styleId="6">
    <w:name w:val="heading 3"/>
    <w:basedOn w:val="1"/>
    <w:next w:val="1"/>
    <w:qFormat/>
    <w:uiPriority w:val="0"/>
    <w:pPr>
      <w:keepNext/>
      <w:keepLines/>
      <w:spacing w:before="260" w:beforeLines="0" w:after="260" w:afterLines="0" w:line="416" w:lineRule="auto"/>
      <w:outlineLvl w:val="2"/>
    </w:pPr>
    <w:rPr>
      <w:rFonts w:eastAsia="宋体"/>
      <w:b/>
      <w:bCs/>
      <w:kern w:val="2"/>
      <w:sz w:val="32"/>
      <w:szCs w:val="32"/>
      <w:lang w:val="en-US" w:eastAsia="zh-CN" w:bidi="ar-SA"/>
    </w:rPr>
  </w:style>
  <w:style w:type="character" w:default="1" w:styleId="11">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uiPriority w:val="0"/>
    <w:pPr>
      <w:spacing w:after="120" w:afterLines="0" w:line="240" w:lineRule="auto"/>
      <w:ind w:firstLine="420" w:firstLineChars="100"/>
    </w:pPr>
    <w:rPr>
      <w:rFonts w:ascii="Times New Roman" w:hAnsi="Times New Roman"/>
      <w:sz w:val="21"/>
    </w:rPr>
  </w:style>
  <w:style w:type="paragraph" w:styleId="3">
    <w:name w:val="Body Text"/>
    <w:basedOn w:val="1"/>
    <w:uiPriority w:val="0"/>
    <w:pPr>
      <w:spacing w:line="360" w:lineRule="auto"/>
    </w:pPr>
    <w:rPr>
      <w:rFonts w:ascii="宋体" w:hAnsi="宋体"/>
      <w:sz w:val="28"/>
    </w:rPr>
  </w:style>
  <w:style w:type="paragraph" w:styleId="7">
    <w:name w:val="Normal Indent"/>
    <w:basedOn w:val="1"/>
    <w:uiPriority w:val="0"/>
    <w:pPr>
      <w:adjustRightInd w:val="0"/>
      <w:spacing w:line="360" w:lineRule="atLeast"/>
      <w:ind w:firstLine="420" w:firstLineChars="200"/>
      <w:textAlignment w:val="baseline"/>
    </w:pPr>
  </w:style>
  <w:style w:type="paragraph" w:styleId="8">
    <w:name w:val="Plain Text"/>
    <w:basedOn w:val="1"/>
    <w:uiPriority w:val="0"/>
    <w:rPr>
      <w:rFonts w:ascii="宋体" w:hAnsi="Courier New" w:eastAsia="宋体"/>
      <w:kern w:val="2"/>
      <w:sz w:val="28"/>
      <w:lang w:val="en-US" w:eastAsia="zh-CN" w:bidi="ar-SA"/>
    </w:rPr>
  </w:style>
  <w:style w:type="table" w:styleId="10">
    <w:name w:val="Table Grid"/>
    <w:basedOn w:val="9"/>
    <w:uiPriority w:val="59"/>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xl25"/>
    <w:basedOn w:val="1"/>
    <w:uiPriority w:val="0"/>
    <w:pPr>
      <w:widowControl/>
      <w:pBdr>
        <w:bottom w:val="single" w:color="auto" w:sz="4" w:space="0"/>
        <w:right w:val="single" w:color="auto" w:sz="4" w:space="0"/>
      </w:pBdr>
      <w:spacing w:before="100" w:beforeLines="0" w:beforeAutospacing="1" w:after="100" w:afterLines="0" w:afterAutospacing="1"/>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2019-05-29T04:51:00Z</dcterms:created>
  <dc:creator>沙漠之狼</dc:creator>
  <cp:lastModifiedBy>沙漠之狼</cp:lastModifiedBy>
  <dcterms:modified xsi:type="dcterms:W3CDTF">2019-05-29T04:56:32Z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