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jc w:val="center"/>
        <w:rPr>
          <w:rFonts w:hint="eastAsia" w:ascii="宋体" w:hAnsi="宋体" w:cs="宋体"/>
          <w:color w:val="auto"/>
          <w:sz w:val="32"/>
          <w:szCs w:val="32"/>
        </w:rPr>
      </w:pPr>
      <w:r>
        <w:rPr>
          <w:rFonts w:hint="eastAsia" w:ascii="宋体" w:hAnsi="宋体" w:cs="宋体"/>
          <w:color w:val="auto"/>
          <w:sz w:val="32"/>
          <w:szCs w:val="32"/>
        </w:rPr>
        <w:t>2 公司的危险性分析</w:t>
      </w:r>
    </w:p>
    <w:p>
      <w:pPr>
        <w:pStyle w:val="5"/>
        <w:spacing w:before="0" w:after="0" w:line="360" w:lineRule="auto"/>
        <w:rPr>
          <w:rFonts w:hint="eastAsia" w:ascii="宋体" w:hAnsi="宋体" w:eastAsia="宋体" w:cs="宋体"/>
          <w:color w:val="auto"/>
          <w:sz w:val="28"/>
          <w:szCs w:val="28"/>
        </w:rPr>
      </w:pPr>
      <w:bookmarkStart w:id="0" w:name="_Toc176022617"/>
      <w:bookmarkStart w:id="1" w:name="_Toc332285103"/>
      <w:bookmarkStart w:id="2" w:name="_Toc26012"/>
      <w:r>
        <w:rPr>
          <w:rFonts w:hint="eastAsia" w:ascii="宋体" w:hAnsi="宋体" w:eastAsia="宋体" w:cs="宋体"/>
          <w:color w:val="auto"/>
          <w:sz w:val="28"/>
          <w:szCs w:val="28"/>
        </w:rPr>
        <w:t>2.1 公司概况</w:t>
      </w:r>
      <w:bookmarkEnd w:id="0"/>
      <w:bookmarkEnd w:id="1"/>
      <w:bookmarkEnd w:id="2"/>
    </w:p>
    <w:p>
      <w:pPr>
        <w:spacing w:line="360" w:lineRule="auto"/>
        <w:ind w:firstLine="480" w:firstLineChars="200"/>
        <w:rPr>
          <w:rFonts w:hint="eastAsia" w:ascii="宋体" w:hAnsi="宋体" w:cs="宋体"/>
          <w:color w:val="auto"/>
          <w:sz w:val="24"/>
        </w:rPr>
      </w:pPr>
      <w:bookmarkStart w:id="3" w:name="_Toc332285104"/>
      <w:r>
        <w:rPr>
          <w:rFonts w:hint="eastAsia" w:ascii="宋体" w:hAnsi="宋体" w:cs="宋体"/>
          <w:color w:val="auto"/>
          <w:sz w:val="24"/>
        </w:rPr>
        <w:t>四川香雪制药有限公司根据公司发展需要，经南充市嘉陵区发展和改革局以“川投资备[]51130412082801]0014号”文立项，在嘉陵工业区新建产业园一期项目，主要建设中药饮片生产线，年产3000吨中药饮片。</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四川香雪制药有限公司产业园总用地面积约151424平方米，净用地面积133585平方米，产业园分两期建设，本项目为其一期建设项目，占地面积约43000平方米，主要建设内容为年产</w:t>
      </w:r>
      <w:r>
        <w:rPr>
          <w:rFonts w:ascii="宋体" w:hAnsi="宋体" w:cs="宋体"/>
          <w:color w:val="auto"/>
          <w:sz w:val="24"/>
        </w:rPr>
        <w:t>5</w:t>
      </w:r>
      <w:r>
        <w:rPr>
          <w:rFonts w:hint="eastAsia" w:ascii="宋体" w:hAnsi="宋体" w:cs="宋体"/>
          <w:color w:val="auto"/>
          <w:sz w:val="24"/>
        </w:rPr>
        <w:t>000吨中药饮片生产线，厂房1栋、库房1栋、污水处理站和其他生产配套设施。</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四川香雪制药有限公司坐落于南充市嘉陵区燕京中路188号。主要进行中药饮片生产，本公司目前有员工</w:t>
      </w:r>
      <w:r>
        <w:rPr>
          <w:rFonts w:ascii="宋体" w:hAnsi="宋体" w:cs="宋体"/>
          <w:color w:val="auto"/>
          <w:sz w:val="24"/>
        </w:rPr>
        <w:t>50</w:t>
      </w:r>
      <w:r>
        <w:rPr>
          <w:rFonts w:hint="eastAsia" w:ascii="宋体" w:hAnsi="宋体" w:cs="宋体"/>
          <w:color w:val="auto"/>
          <w:sz w:val="24"/>
        </w:rPr>
        <w:t>名，安全管理员经过上级安全生产主管部门组织的安全技术教育培训，经考试合格取得资格证书。其他人员也进行了公司的安全教育，并考试合格。</w:t>
      </w:r>
    </w:p>
    <w:bookmarkEnd w:id="3"/>
    <w:p>
      <w:pPr>
        <w:pStyle w:val="5"/>
        <w:spacing w:before="0" w:after="0" w:line="360" w:lineRule="auto"/>
        <w:rPr>
          <w:rFonts w:hint="eastAsia" w:ascii="宋体" w:hAnsi="宋体" w:eastAsia="宋体" w:cs="宋体"/>
          <w:color w:val="auto"/>
          <w:sz w:val="28"/>
          <w:szCs w:val="28"/>
        </w:rPr>
      </w:pPr>
      <w:bookmarkStart w:id="4" w:name="_Toc17793"/>
      <w:bookmarkStart w:id="5" w:name="_Toc28783"/>
      <w:r>
        <w:rPr>
          <w:rFonts w:hint="eastAsia" w:ascii="宋体" w:hAnsi="宋体" w:eastAsia="宋体" w:cs="宋体"/>
          <w:color w:val="auto"/>
          <w:sz w:val="28"/>
          <w:szCs w:val="28"/>
        </w:rPr>
        <w:t>2.1.1公司地理位置及环境等情况</w:t>
      </w:r>
      <w:bookmarkEnd w:id="4"/>
      <w:bookmarkEnd w:id="5"/>
    </w:p>
    <w:p>
      <w:pPr>
        <w:numPr>
          <w:ilvl w:val="0"/>
          <w:numId w:val="1"/>
        </w:numPr>
        <w:spacing w:line="360" w:lineRule="auto"/>
        <w:ind w:firstLine="480" w:firstLineChars="200"/>
        <w:rPr>
          <w:rFonts w:hint="eastAsia" w:ascii="宋体" w:hAnsi="宋体" w:cs="宋体"/>
          <w:color w:val="auto"/>
          <w:sz w:val="24"/>
          <w:lang w:val="zh-CN"/>
        </w:rPr>
      </w:pPr>
      <w:bookmarkStart w:id="6" w:name="_Toc440539580"/>
      <w:r>
        <w:rPr>
          <w:rFonts w:hint="eastAsia" w:ascii="宋体" w:hAnsi="宋体" w:cs="宋体"/>
          <w:color w:val="auto"/>
          <w:sz w:val="24"/>
          <w:lang w:val="zh-CN"/>
        </w:rPr>
        <w:t>厂址地理位置</w:t>
      </w:r>
      <w:bookmarkEnd w:id="6"/>
    </w:p>
    <w:p>
      <w:pPr>
        <w:spacing w:line="360" w:lineRule="auto"/>
        <w:ind w:firstLine="480" w:firstLineChars="200"/>
        <w:rPr>
          <w:rFonts w:hint="eastAsia" w:ascii="宋体" w:hAnsi="宋体" w:cs="宋体"/>
          <w:color w:val="auto"/>
          <w:sz w:val="24"/>
          <w:lang w:val="zh-CN"/>
        </w:rPr>
      </w:pPr>
      <w:r>
        <w:rPr>
          <w:rFonts w:hint="eastAsia" w:ascii="宋体" w:hAnsi="宋体" w:cs="宋体"/>
          <w:color w:val="auto"/>
          <w:sz w:val="24"/>
          <w:lang w:val="zh-CN"/>
        </w:rPr>
        <w:t>本公司所在地位于嘉陵区工业园区，南充市嘉陵工业区燕京大道北侧。南充市嘉陵区位于四川省东北部、南充市西南部、嘉陵江中游西岸，地处东经105°45′～106°00′，北纬30°27′～30°52′之间，北靠顺庆区，南邻武胜县，西接西充县、蓬溪县，东连高坪区，距离川东北经济文化中心的南充市仅3公里，并同成都、重庆形成一个两小时经济发展圈。全区辖火花镇、文峰镇、李渡镇等共计48个乡（镇）、557个村、14个居委会。总人口68万，其中农业人口 61万，占90％。嘉陵区是国务院1993年9月批准成立的县级行政区，幅员面积1279平方公里。国道212线、318线在区内交汇，成南高速公路纵贯全境。</w:t>
      </w:r>
    </w:p>
    <w:p>
      <w:pPr>
        <w:spacing w:line="360" w:lineRule="auto"/>
        <w:ind w:firstLine="480" w:firstLineChars="200"/>
        <w:rPr>
          <w:rFonts w:hint="eastAsia" w:ascii="宋体" w:hAnsi="宋体" w:cs="宋体"/>
          <w:color w:val="auto"/>
          <w:sz w:val="24"/>
          <w:lang w:val="zh-CN"/>
        </w:rPr>
      </w:pPr>
      <w:r>
        <w:rPr>
          <w:rFonts w:hint="eastAsia" w:ascii="宋体" w:hAnsi="宋体" w:cs="宋体"/>
          <w:color w:val="auto"/>
          <w:sz w:val="24"/>
          <w:lang w:val="zh-CN"/>
        </w:rPr>
        <w:t>南充市嘉陵工业区为原南充市二洞桥工业园和南充服装工业园二期合并而成。南充市嘉陵区工业区规划总面积为 8.3863km</w:t>
      </w:r>
      <w:r>
        <w:rPr>
          <w:rFonts w:hint="eastAsia" w:ascii="宋体" w:hAnsi="宋体" w:cs="宋体"/>
          <w:color w:val="auto"/>
          <w:sz w:val="24"/>
          <w:vertAlign w:val="superscript"/>
          <w:lang w:val="zh-CN"/>
        </w:rPr>
        <w:t>2</w:t>
      </w:r>
      <w:r>
        <w:rPr>
          <w:rFonts w:hint="eastAsia" w:ascii="宋体" w:hAnsi="宋体" w:cs="宋体"/>
          <w:color w:val="auto"/>
          <w:sz w:val="24"/>
          <w:lang w:val="zh-CN"/>
        </w:rPr>
        <w:t>。规划区东临南充服装工业园一期，西接原火车火车西站，南临凤垭山，北接狮子山；工业区产业定位为：以发展轻工（纺织服装、食品）建材、机电、医药为主的综合工业园区；</w:t>
      </w:r>
    </w:p>
    <w:p>
      <w:pPr>
        <w:numPr>
          <w:ilvl w:val="0"/>
          <w:numId w:val="1"/>
        </w:numPr>
        <w:spacing w:line="360" w:lineRule="auto"/>
        <w:ind w:firstLine="480" w:firstLineChars="200"/>
        <w:rPr>
          <w:rFonts w:hint="eastAsia" w:ascii="宋体" w:hAnsi="宋体" w:cs="宋体"/>
          <w:color w:val="auto"/>
          <w:sz w:val="24"/>
          <w:lang w:val="zh-CN"/>
        </w:rPr>
      </w:pPr>
      <w:r>
        <w:rPr>
          <w:rFonts w:hint="eastAsia" w:ascii="宋体" w:hAnsi="宋体" w:cs="宋体"/>
          <w:color w:val="auto"/>
          <w:sz w:val="24"/>
          <w:lang w:val="zh-CN"/>
        </w:rPr>
        <w:t>地形地貌：</w:t>
      </w:r>
    </w:p>
    <w:p>
      <w:pPr>
        <w:spacing w:line="360" w:lineRule="auto"/>
        <w:ind w:firstLine="480" w:firstLineChars="200"/>
        <w:rPr>
          <w:rFonts w:hint="eastAsia" w:ascii="宋体" w:hAnsi="宋体" w:cs="宋体"/>
          <w:color w:val="auto"/>
          <w:sz w:val="24"/>
          <w:lang w:val="zh-CN"/>
        </w:rPr>
      </w:pPr>
      <w:r>
        <w:rPr>
          <w:rFonts w:hint="eastAsia" w:ascii="宋体" w:hAnsi="宋体" w:cs="宋体"/>
          <w:color w:val="auto"/>
          <w:sz w:val="24"/>
          <w:lang w:val="zh-CN"/>
        </w:rPr>
        <w:t>区域内属丘陵及低山区，第四纪以来，由于地壳的间隙性上升，地貌呈现三级阶地。一级阶地：高出现河床7～17m，阶地完整且较平坦；二级阶地：高出现河床30～45m，阶面初切割破坏；三级阶地：高出现河床60～70m，阶面平面已破坏，地形坡变化较大。房地产开发项目位于二级阶地上，无大的不良地质现象。地层：地表为耕植土和坡、冲积粘性土，下伏阶地卵石层；基岩为中侏罗系砂泥岩。地质构造简单，地层倾角平缓，岩基地质构造以宽缓褶皱为主体，侏罗系中统遂宁组地层厚度大，地震反射层无明显的断裂显示，表明地质构造简单，近期地壳运动基本稳定。</w:t>
      </w:r>
    </w:p>
    <w:p>
      <w:pPr>
        <w:spacing w:line="360" w:lineRule="auto"/>
        <w:ind w:firstLine="480" w:firstLineChars="200"/>
        <w:rPr>
          <w:rFonts w:hint="eastAsia" w:ascii="宋体" w:hAnsi="宋体" w:cs="宋体"/>
          <w:color w:val="auto"/>
          <w:sz w:val="24"/>
          <w:lang w:val="zh-CN"/>
        </w:rPr>
      </w:pPr>
      <w:r>
        <w:rPr>
          <w:rFonts w:hint="eastAsia" w:ascii="宋体" w:hAnsi="宋体" w:cs="宋体"/>
          <w:color w:val="auto"/>
          <w:sz w:val="24"/>
          <w:lang w:val="zh-CN"/>
        </w:rPr>
        <w:t>区域地处四川盆地北部边缘山区和川中丘陵的交接地带，地处浅丘，地势西北高，东南低，境内海拔261.5～429.6m，市区海拔274.5m左右。</w:t>
      </w:r>
    </w:p>
    <w:p>
      <w:pPr>
        <w:spacing w:line="360" w:lineRule="auto"/>
        <w:ind w:firstLine="480" w:firstLineChars="200"/>
        <w:rPr>
          <w:rFonts w:hint="eastAsia" w:ascii="宋体" w:hAnsi="宋体" w:cs="宋体"/>
          <w:color w:val="auto"/>
          <w:sz w:val="24"/>
          <w:lang w:val="zh-CN"/>
        </w:rPr>
      </w:pPr>
      <w:r>
        <w:rPr>
          <w:rFonts w:hint="eastAsia" w:ascii="宋体" w:hAnsi="宋体" w:cs="宋体"/>
          <w:color w:val="auto"/>
          <w:sz w:val="24"/>
          <w:lang w:val="zh-CN"/>
        </w:rPr>
        <w:t>根据国家地震局1990年出版的《中国地震烈度区划图》，本地区基本地震烈度小于6度。</w:t>
      </w:r>
    </w:p>
    <w:p>
      <w:pPr>
        <w:numPr>
          <w:ilvl w:val="0"/>
          <w:numId w:val="1"/>
        </w:numPr>
        <w:spacing w:line="360" w:lineRule="auto"/>
        <w:ind w:firstLine="480" w:firstLineChars="200"/>
        <w:rPr>
          <w:rFonts w:hint="eastAsia" w:ascii="宋体" w:hAnsi="宋体" w:cs="宋体"/>
          <w:color w:val="auto"/>
          <w:sz w:val="24"/>
          <w:lang w:val="zh-CN"/>
        </w:rPr>
      </w:pPr>
      <w:r>
        <w:rPr>
          <w:rFonts w:hint="eastAsia" w:ascii="宋体" w:hAnsi="宋体" w:cs="宋体"/>
          <w:color w:val="auto"/>
          <w:sz w:val="24"/>
          <w:lang w:val="zh-CN"/>
        </w:rPr>
        <w:t>气候与气象：</w:t>
      </w:r>
    </w:p>
    <w:p>
      <w:pPr>
        <w:spacing w:line="360" w:lineRule="auto"/>
        <w:ind w:firstLine="480" w:firstLineChars="200"/>
        <w:rPr>
          <w:rFonts w:hint="eastAsia" w:ascii="宋体" w:hAnsi="宋体" w:cs="宋体"/>
          <w:color w:val="auto"/>
          <w:sz w:val="24"/>
          <w:lang w:val="zh-CN"/>
        </w:rPr>
      </w:pPr>
      <w:r>
        <w:rPr>
          <w:rFonts w:hint="eastAsia" w:ascii="宋体" w:hAnsi="宋体" w:cs="宋体"/>
          <w:color w:val="auto"/>
          <w:sz w:val="24"/>
          <w:lang w:val="zh-CN"/>
        </w:rPr>
        <w:t>区域属中亚热带湿润气候区。年平均气温17.4ºC。一月最冷，月平均气温6.6ºC；八月最热，月平均气温27.8ºC；雨量充沛，年平均降水量1025.2mm，降水主要集中在5－9月；太阳辐射和日照时数属全国最低值区之一，年均日照时数1254h，为可照时数的29％；太阳平均总辐射3864.25MJ/m2；无霜期301d；年均风速1.6m/s，市区主导风向为北风，风向频率8％。</w:t>
      </w:r>
    </w:p>
    <w:p>
      <w:pPr>
        <w:spacing w:line="360" w:lineRule="auto"/>
        <w:ind w:firstLine="480" w:firstLineChars="200"/>
        <w:rPr>
          <w:rFonts w:hint="eastAsia" w:ascii="宋体" w:hAnsi="宋体" w:cs="宋体"/>
          <w:color w:val="auto"/>
          <w:sz w:val="24"/>
          <w:lang w:val="zh-CN"/>
        </w:rPr>
      </w:pPr>
      <w:r>
        <w:rPr>
          <w:rFonts w:hint="eastAsia" w:ascii="宋体" w:hAnsi="宋体" w:cs="宋体"/>
          <w:color w:val="auto"/>
          <w:sz w:val="24"/>
          <w:lang w:val="zh-CN"/>
        </w:rPr>
        <w:t>公司位于南充市嘉陵工业区燕京大道北侧，见附图</w:t>
      </w:r>
      <w:r>
        <w:rPr>
          <w:rFonts w:hint="eastAsia" w:ascii="宋体" w:hAnsi="宋体" w:cs="宋体"/>
          <w:color w:val="auto"/>
          <w:sz w:val="24"/>
        </w:rPr>
        <w:t>2-1</w:t>
      </w:r>
      <w:r>
        <w:rPr>
          <w:rFonts w:hint="eastAsia" w:ascii="宋体" w:hAnsi="宋体" w:cs="宋体"/>
          <w:color w:val="auto"/>
          <w:sz w:val="24"/>
          <w:lang w:val="zh-CN"/>
        </w:rPr>
        <w:t>地理位置图。</w:t>
      </w:r>
    </w:p>
    <w:p>
      <w:pPr>
        <w:spacing w:line="360" w:lineRule="auto"/>
        <w:rPr>
          <w:rFonts w:hint="eastAsia" w:ascii="宋体" w:hAnsi="宋体" w:cs="宋体"/>
          <w:color w:val="auto"/>
          <w:sz w:val="24"/>
          <w:lang w:val="zh-CN"/>
        </w:rPr>
      </w:pPr>
      <w:r>
        <w:rPr>
          <w:color w:val="auto"/>
        </w:rPr>
        <mc:AlternateContent>
          <mc:Choice Requires="wps">
            <w:drawing>
              <wp:anchor distT="0" distB="0" distL="114300" distR="114300" simplePos="0" relativeHeight="251668480" behindDoc="0" locked="0" layoutInCell="1" allowOverlap="1">
                <wp:simplePos x="0" y="0"/>
                <wp:positionH relativeFrom="column">
                  <wp:posOffset>3836670</wp:posOffset>
                </wp:positionH>
                <wp:positionV relativeFrom="paragraph">
                  <wp:posOffset>1837055</wp:posOffset>
                </wp:positionV>
                <wp:extent cx="1795145" cy="256540"/>
                <wp:effectExtent l="37465" t="4445" r="15240" b="234315"/>
                <wp:wrapNone/>
                <wp:docPr id="1" name="矩形标注 1"/>
                <wp:cNvGraphicFramePr/>
                <a:graphic xmlns:a="http://schemas.openxmlformats.org/drawingml/2006/main">
                  <a:graphicData uri="http://schemas.microsoft.com/office/word/2010/wordprocessingShape">
                    <wps:wsp>
                      <wps:cNvSpPr/>
                      <wps:spPr>
                        <a:xfrm>
                          <a:off x="0" y="0"/>
                          <a:ext cx="1795145" cy="256540"/>
                        </a:xfrm>
                        <a:prstGeom prst="wedgeRectCallout">
                          <a:avLst>
                            <a:gd name="adj1" fmla="val -50588"/>
                            <a:gd name="adj2" fmla="val 130199"/>
                          </a:avLst>
                        </a:prstGeom>
                        <a:solidFill>
                          <a:srgbClr val="FF0000"/>
                        </a:solidFill>
                        <a:ln w="9525" cap="flat" cmpd="sng">
                          <a:solidFill>
                            <a:srgbClr val="000000"/>
                          </a:solidFill>
                          <a:prstDash val="solid"/>
                          <a:miter/>
                          <a:headEnd type="none" w="med" len="med"/>
                          <a:tailEnd type="none" w="med" len="med"/>
                        </a:ln>
                      </wps:spPr>
                      <wps:txbx>
                        <w:txbxContent>
                          <w:p>
                            <w:pPr>
                              <w:spacing w:line="240" w:lineRule="exact"/>
                              <w:jc w:val="center"/>
                              <w:rPr>
                                <w:sz w:val="18"/>
                                <w:szCs w:val="18"/>
                              </w:rPr>
                            </w:pPr>
                            <w:r>
                              <w:rPr>
                                <w:rFonts w:hint="eastAsia" w:ascii="宋体" w:hAnsi="宋体" w:cs="宋体"/>
                                <w:b/>
                                <w:bCs/>
                                <w:sz w:val="18"/>
                                <w:szCs w:val="18"/>
                              </w:rPr>
                              <w:t>四川香雪制药有限公司</w:t>
                            </w:r>
                          </w:p>
                          <w:p/>
                        </w:txbxContent>
                      </wps:txbx>
                      <wps:bodyPr upright="1"/>
                    </wps:wsp>
                  </a:graphicData>
                </a:graphic>
              </wp:anchor>
            </w:drawing>
          </mc:Choice>
          <mc:Fallback>
            <w:pict>
              <v:shape id="_x0000_s1026" o:spid="_x0000_s1026" o:spt="61" type="#_x0000_t61" style="position:absolute;left:0pt;margin-left:302.1pt;margin-top:144.65pt;height:20.2pt;width:141.35pt;z-index:251668480;mso-width-relative:page;mso-height-relative:page;" fillcolor="#FF0000" filled="t" stroked="t" coordsize="21600,21600" o:gfxdata="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bHl&#10;f9wAAAALAQAADwAAAAAAAAABACAAAAAiAAAAZHJzL2Rvd25yZXYueG1sUEsBAhQAFAAAAAgAh07i&#10;QAr4q4keAgAAQAQAAA4AAAAAAAAAAQAgAAAAKwEAAGRycy9lMm9Eb2MueG1sUEsFBgAAAAAGAAYA&#10;WQEAALsFAAAAAA==&#10;" adj="-127,38923">
                <v:path/>
                <v:fill on="t" focussize="0,0"/>
                <v:stroke/>
                <v:imagedata o:title=""/>
                <o:lock v:ext="edit" aspectratio="f"/>
                <v:textbox>
                  <w:txbxContent>
                    <w:p>
                      <w:pPr>
                        <w:spacing w:line="240" w:lineRule="exact"/>
                        <w:jc w:val="center"/>
                        <w:rPr>
                          <w:sz w:val="18"/>
                          <w:szCs w:val="18"/>
                        </w:rPr>
                      </w:pPr>
                      <w:r>
                        <w:rPr>
                          <w:rFonts w:hint="eastAsia" w:ascii="宋体" w:hAnsi="宋体" w:cs="宋体"/>
                          <w:b/>
                          <w:bCs/>
                          <w:sz w:val="18"/>
                          <w:szCs w:val="18"/>
                        </w:rPr>
                        <w:t>四川香雪制药有限公司</w:t>
                      </w:r>
                    </w:p>
                    <w:p/>
                  </w:txbxContent>
                </v:textbox>
              </v:shape>
            </w:pict>
          </mc:Fallback>
        </mc:AlternateContent>
      </w:r>
      <w:r>
        <w:rPr>
          <w:color w:val="auto"/>
        </w:rPr>
        <w:drawing>
          <wp:inline distT="0" distB="0" distL="114300" distR="114300">
            <wp:extent cx="6230620" cy="3214370"/>
            <wp:effectExtent l="0" t="0" r="17780"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
                    <a:stretch>
                      <a:fillRect/>
                    </a:stretch>
                  </pic:blipFill>
                  <pic:spPr>
                    <a:xfrm>
                      <a:off x="0" y="0"/>
                      <a:ext cx="6230620" cy="3214370"/>
                    </a:xfrm>
                    <a:prstGeom prst="rect">
                      <a:avLst/>
                    </a:prstGeom>
                    <a:noFill/>
                    <a:ln>
                      <a:noFill/>
                    </a:ln>
                  </pic:spPr>
                </pic:pic>
              </a:graphicData>
            </a:graphic>
          </wp:inline>
        </w:drawing>
      </w:r>
    </w:p>
    <w:p>
      <w:pPr>
        <w:autoSpaceDE w:val="0"/>
        <w:autoSpaceDN w:val="0"/>
        <w:adjustRightInd w:val="0"/>
        <w:spacing w:line="360" w:lineRule="auto"/>
        <w:ind w:firstLine="444" w:firstLineChars="200"/>
        <w:jc w:val="center"/>
        <w:rPr>
          <w:rFonts w:hint="eastAsia" w:ascii="宋体" w:hAnsi="宋体"/>
          <w:bCs/>
          <w:color w:val="auto"/>
          <w:spacing w:val="6"/>
        </w:rPr>
      </w:pPr>
      <w:bookmarkStart w:id="7" w:name="_Toc26359"/>
      <w:r>
        <w:rPr>
          <w:rFonts w:hint="eastAsia" w:ascii="宋体" w:hAnsi="宋体"/>
          <w:bCs/>
          <w:color w:val="auto"/>
          <w:spacing w:val="6"/>
        </w:rPr>
        <w:t>图2-1 地理位置图</w:t>
      </w:r>
      <w:bookmarkEnd w:id="7"/>
    </w:p>
    <w:p>
      <w:pPr>
        <w:spacing w:line="360" w:lineRule="auto"/>
        <w:ind w:firstLine="480" w:firstLineChars="200"/>
        <w:rPr>
          <w:rFonts w:hint="eastAsia" w:ascii="宋体" w:hAnsi="宋体" w:cs="宋体"/>
          <w:color w:val="auto"/>
          <w:sz w:val="24"/>
          <w:lang w:val="zh-CN"/>
        </w:rPr>
      </w:pPr>
      <w:r>
        <w:rPr>
          <w:rFonts w:hint="eastAsia" w:ascii="宋体" w:hAnsi="宋体" w:cs="宋体"/>
          <w:color w:val="auto"/>
          <w:sz w:val="24"/>
          <w:lang w:val="zh-CN"/>
        </w:rPr>
        <w:t>2、总平面布置</w:t>
      </w:r>
    </w:p>
    <w:p>
      <w:pPr>
        <w:pStyle w:val="6"/>
        <w:snapToGrid w:val="0"/>
        <w:spacing w:line="560" w:lineRule="exact"/>
        <w:ind w:firstLine="480" w:firstLineChars="200"/>
        <w:rPr>
          <w:rFonts w:hint="eastAsia" w:hAnsi="宋体" w:cs="宋体"/>
          <w:color w:val="auto"/>
          <w:sz w:val="24"/>
          <w:lang w:val="zh-CN"/>
        </w:rPr>
      </w:pPr>
      <w:r>
        <w:rPr>
          <w:rFonts w:hint="eastAsia" w:hAnsi="宋体" w:cs="宋体"/>
          <w:color w:val="auto"/>
          <w:sz w:val="24"/>
          <w:lang w:val="zh-CN"/>
        </w:rPr>
        <w:t>生产区位于整个香雪公司的西南位置，占整个公司用地的33%。生产车间布置于西面，仓库布置在生产车间北面，锅炉房布置于生产车间东北面，办公质检楼布置在生产车间东北面，项目边界及各建（筑）物之间均设置有绿化，另外在东面集中设置有绿化带。项目共设置了2个出入口，分别位于南面及西面临园区道路处，西面为生产区出入口，所有的物料、产品均由此出入口进出，南面的出入口为人行出入口，禁止物料、产品由此进出。有毒饮片生产车间布置在生产车间的3楼，库房设置在整个中药饮片库房的西南角，进出生产车间和库房的通道均不与普通饮片共用，避免交叉污染。总图布置满足工艺生产要求，功能分区明确，布局较合理。</w:t>
      </w:r>
    </w:p>
    <w:p>
      <w:pPr>
        <w:ind w:firstLine="420" w:firstLineChars="200"/>
        <w:rPr>
          <w:rFonts w:hint="eastAsia"/>
          <w:color w:val="auto"/>
          <w:sz w:val="24"/>
        </w:rPr>
      </w:pPr>
      <w:r>
        <w:rPr>
          <w:color w:val="auto"/>
        </w:rPr>
        <w:drawing>
          <wp:inline distT="0" distB="0" distL="114300" distR="114300">
            <wp:extent cx="4848860" cy="5536565"/>
            <wp:effectExtent l="0" t="0" r="8890" b="698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5"/>
                    <a:stretch>
                      <a:fillRect/>
                    </a:stretch>
                  </pic:blipFill>
                  <pic:spPr>
                    <a:xfrm>
                      <a:off x="0" y="0"/>
                      <a:ext cx="4848860" cy="5536565"/>
                    </a:xfrm>
                    <a:prstGeom prst="rect">
                      <a:avLst/>
                    </a:prstGeom>
                    <a:noFill/>
                    <a:ln>
                      <a:noFill/>
                    </a:ln>
                  </pic:spPr>
                </pic:pic>
              </a:graphicData>
            </a:graphic>
          </wp:inline>
        </w:drawing>
      </w:r>
    </w:p>
    <w:p>
      <w:pPr>
        <w:autoSpaceDE w:val="0"/>
        <w:autoSpaceDN w:val="0"/>
        <w:adjustRightInd w:val="0"/>
        <w:spacing w:line="360" w:lineRule="auto"/>
        <w:ind w:firstLine="444" w:firstLineChars="200"/>
        <w:jc w:val="center"/>
        <w:rPr>
          <w:rFonts w:hint="eastAsia" w:ascii="宋体" w:hAnsi="宋体"/>
          <w:bCs/>
          <w:color w:val="auto"/>
          <w:spacing w:val="6"/>
        </w:rPr>
      </w:pPr>
      <w:r>
        <w:rPr>
          <w:rFonts w:hint="eastAsia" w:ascii="宋体" w:hAnsi="宋体"/>
          <w:bCs/>
          <w:color w:val="auto"/>
          <w:spacing w:val="6"/>
        </w:rPr>
        <w:t>图2-2 厂区平面布置图</w:t>
      </w:r>
    </w:p>
    <w:p>
      <w:pPr>
        <w:spacing w:line="360" w:lineRule="auto"/>
        <w:ind w:firstLine="480" w:firstLineChars="200"/>
        <w:rPr>
          <w:rFonts w:hint="eastAsia" w:ascii="宋体" w:hAnsi="宋体" w:cs="宋体"/>
          <w:color w:val="auto"/>
          <w:sz w:val="24"/>
          <w:lang w:val="zh-CN"/>
        </w:rPr>
      </w:pPr>
      <w:r>
        <w:rPr>
          <w:rFonts w:hint="eastAsia" w:ascii="宋体" w:hAnsi="宋体" w:cs="宋体"/>
          <w:color w:val="auto"/>
          <w:sz w:val="24"/>
          <w:lang w:val="zh-CN"/>
        </w:rPr>
        <w:t>3、周边环境</w:t>
      </w:r>
    </w:p>
    <w:p>
      <w:pPr>
        <w:tabs>
          <w:tab w:val="left" w:pos="0"/>
        </w:tabs>
        <w:spacing w:line="500" w:lineRule="exact"/>
        <w:ind w:firstLine="480" w:firstLineChars="200"/>
        <w:jc w:val="left"/>
        <w:rPr>
          <w:rFonts w:hint="eastAsia"/>
          <w:color w:val="auto"/>
          <w:sz w:val="24"/>
        </w:rPr>
      </w:pPr>
      <w:r>
        <w:rPr>
          <w:rFonts w:hint="eastAsia"/>
          <w:color w:val="auto"/>
          <w:sz w:val="24"/>
        </w:rPr>
        <w:t>厂区北面为香雪制药公司二期待用地（将建设颗粒剂及中药提取车间）、金富春丝绸和尚非服饰（210m），主要生产高档丝绸面料、丝绸服装及蜀绘工艺品，不缫丝；南面为燕京大道，道路对面为小河沟（距离约60m，河沟宽约2m，流量及流速均很小，从西向东流入凤垭河、其水域功能为泄洪）、消防中队距公司（200m）、康健生物距公司（80m，其生产车间距厂区内建（筑）物经约120m）、尚好茶叶距公司（230m）；东面为香雪制药公司二期待用地（将建设办公生活设施），60m宽绿化通道，华晶通产玻璃（260m）；西面为工业园区道，小河沟（河沟宽约1.5m，流量及流速均很小，从北向南汇入厂区南侧的小河沟、其水域功能为泄洪）、科凌太阳能公司（110m，生产车间距其生产单元约160m）；</w:t>
      </w:r>
    </w:p>
    <w:p>
      <w:pPr>
        <w:spacing w:line="360" w:lineRule="auto"/>
        <w:rPr>
          <w:rFonts w:hint="eastAsia" w:ascii="宋体" w:hAnsi="宋体" w:cs="宋体"/>
          <w:color w:val="auto"/>
          <w:sz w:val="24"/>
          <w:lang w:val="zh-CN"/>
        </w:rPr>
      </w:pPr>
      <w:r>
        <w:rPr>
          <w:color w:val="auto"/>
        </w:rPr>
        <mc:AlternateContent>
          <mc:Choice Requires="wps">
            <w:drawing>
              <wp:anchor distT="0" distB="0" distL="114300" distR="114300" simplePos="0" relativeHeight="251693056" behindDoc="0" locked="0" layoutInCell="1" allowOverlap="1">
                <wp:simplePos x="0" y="0"/>
                <wp:positionH relativeFrom="column">
                  <wp:posOffset>3315335</wp:posOffset>
                </wp:positionH>
                <wp:positionV relativeFrom="paragraph">
                  <wp:posOffset>962660</wp:posOffset>
                </wp:positionV>
                <wp:extent cx="1235075" cy="269875"/>
                <wp:effectExtent l="0" t="0" r="0" b="0"/>
                <wp:wrapNone/>
                <wp:docPr id="2" name="矩形 2"/>
                <wp:cNvGraphicFramePr/>
                <a:graphic xmlns:a="http://schemas.openxmlformats.org/drawingml/2006/main">
                  <a:graphicData uri="http://schemas.microsoft.com/office/word/2010/wordprocessingShape">
                    <wps:wsp>
                      <wps:cNvSpPr/>
                      <wps:spPr>
                        <a:xfrm>
                          <a:off x="0" y="0"/>
                          <a:ext cx="1235075" cy="269875"/>
                        </a:xfrm>
                        <a:prstGeom prst="rect">
                          <a:avLst/>
                        </a:prstGeom>
                        <a:noFill/>
                        <a:ln>
                          <a:noFill/>
                        </a:ln>
                      </wps:spPr>
                      <wps:txbx>
                        <w:txbxContent>
                          <w:p>
                            <w:pPr>
                              <w:rPr>
                                <w:color w:val="FF0000"/>
                                <w:sz w:val="15"/>
                                <w:szCs w:val="15"/>
                              </w:rPr>
                            </w:pPr>
                            <w:r>
                              <w:rPr>
                                <w:rFonts w:hint="eastAsia" w:ascii="宋体" w:hAnsi="宋体" w:cs="宋体"/>
                                <w:b/>
                                <w:bCs/>
                                <w:color w:val="FF0000"/>
                                <w:sz w:val="15"/>
                                <w:szCs w:val="15"/>
                              </w:rPr>
                              <w:t>四川香雪制药有限公司</w:t>
                            </w:r>
                          </w:p>
                        </w:txbxContent>
                      </wps:txbx>
                      <wps:bodyPr upright="1"/>
                    </wps:wsp>
                  </a:graphicData>
                </a:graphic>
              </wp:anchor>
            </w:drawing>
          </mc:Choice>
          <mc:Fallback>
            <w:pict>
              <v:rect id="_x0000_s1026" o:spid="_x0000_s1026" o:spt="1" style="position:absolute;left:0pt;margin-left:261.05pt;margin-top:75.8pt;height:21.25pt;width:97.25pt;z-index:251693056;mso-width-relative:page;mso-height-relative:page;" filled="f" stroked="f" coordsize="21600,21600" o:gfxdata="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qp+8XdsAAAALAQAADwAAAAAAAAABACAAAAAiAAAAZHJzL2Rvd25yZXYueG1s&#10;UEsBAhQAFAAAAAgAh07iQKOX2xyDAQAA8wIAAA4AAAAAAAAAAQAgAAAAKgEAAGRycy9lMm9Eb2Mu&#10;eG1sUEsFBgAAAAAGAAYAWQEAAB8FAAAAAA==&#10;">
                <v:path/>
                <v:fill on="f" focussize="0,0"/>
                <v:stroke on="f"/>
                <v:imagedata o:title=""/>
                <o:lock v:ext="edit" aspectratio="f"/>
                <v:textbox>
                  <w:txbxContent>
                    <w:p>
                      <w:pPr>
                        <w:rPr>
                          <w:color w:val="FF0000"/>
                          <w:sz w:val="15"/>
                          <w:szCs w:val="15"/>
                        </w:rPr>
                      </w:pPr>
                      <w:r>
                        <w:rPr>
                          <w:rFonts w:hint="eastAsia" w:ascii="宋体" w:hAnsi="宋体" w:cs="宋体"/>
                          <w:b/>
                          <w:bCs/>
                          <w:color w:val="FF0000"/>
                          <w:sz w:val="15"/>
                          <w:szCs w:val="15"/>
                        </w:rPr>
                        <w:t>四川香雪制药有限公司</w:t>
                      </w:r>
                    </w:p>
                  </w:txbxContent>
                </v:textbox>
              </v:rect>
            </w:pict>
          </mc:Fallback>
        </mc:AlternateContent>
      </w:r>
      <w:r>
        <w:rPr>
          <w:color w:val="auto"/>
        </w:rPr>
        <mc:AlternateContent>
          <mc:Choice Requires="wps">
            <w:drawing>
              <wp:anchor distT="0" distB="0" distL="114300" distR="114300" simplePos="0" relativeHeight="251692032" behindDoc="0" locked="0" layoutInCell="1" allowOverlap="1">
                <wp:simplePos x="0" y="0"/>
                <wp:positionH relativeFrom="column">
                  <wp:posOffset>3128010</wp:posOffset>
                </wp:positionH>
                <wp:positionV relativeFrom="paragraph">
                  <wp:posOffset>236220</wp:posOffset>
                </wp:positionV>
                <wp:extent cx="1341120" cy="1473200"/>
                <wp:effectExtent l="4445" t="4445" r="6985" b="8255"/>
                <wp:wrapNone/>
                <wp:docPr id="5" name="任意多边形 5"/>
                <wp:cNvGraphicFramePr/>
                <a:graphic xmlns:a="http://schemas.openxmlformats.org/drawingml/2006/main">
                  <a:graphicData uri="http://schemas.microsoft.com/office/word/2010/wordprocessingShape">
                    <wps:wsp>
                      <wps:cNvSpPr/>
                      <wps:spPr>
                        <a:xfrm>
                          <a:off x="0" y="0"/>
                          <a:ext cx="1341120" cy="1473200"/>
                        </a:xfrm>
                        <a:custGeom>
                          <a:avLst/>
                          <a:gdLst/>
                          <a:ahLst/>
                          <a:cxnLst/>
                          <a:pathLst>
                            <a:path w="2112" h="2320">
                              <a:moveTo>
                                <a:pt x="1240" y="0"/>
                              </a:moveTo>
                              <a:lnTo>
                                <a:pt x="1576" y="96"/>
                              </a:lnTo>
                              <a:lnTo>
                                <a:pt x="1368" y="672"/>
                              </a:lnTo>
                              <a:lnTo>
                                <a:pt x="2112" y="1000"/>
                              </a:lnTo>
                              <a:lnTo>
                                <a:pt x="1768" y="2080"/>
                              </a:lnTo>
                              <a:lnTo>
                                <a:pt x="688" y="1728"/>
                              </a:lnTo>
                              <a:lnTo>
                                <a:pt x="488" y="2320"/>
                              </a:lnTo>
                              <a:lnTo>
                                <a:pt x="0" y="2056"/>
                              </a:lnTo>
                              <a:lnTo>
                                <a:pt x="320" y="1600"/>
                              </a:lnTo>
                              <a:lnTo>
                                <a:pt x="320" y="1296"/>
                              </a:lnTo>
                              <a:lnTo>
                                <a:pt x="824" y="520"/>
                              </a:lnTo>
                              <a:lnTo>
                                <a:pt x="1240" y="0"/>
                              </a:lnTo>
                              <a:close/>
                            </a:path>
                          </a:pathLst>
                        </a:custGeom>
                        <a:noFill/>
                        <a:ln w="9525" cap="flat" cmpd="sng">
                          <a:solidFill>
                            <a:srgbClr val="FF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46.3pt;margin-top:18.6pt;height:116pt;width:105.6pt;z-index:251692032;mso-width-relative:page;mso-height-relative:page;" filled="f" stroked="t" coordsize="2112,2320" o:gfxdata="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SxDN22wAA&#10;AAoBAAAPAAAAAAAAAAEAIAAAACIAAABkcnMvZG93bnJldi54bWxQSwECFAAUAAAACACHTuJAKTRB&#10;DI0CAADoBQAADgAAAAAAAAABACAAAAAqAQAAZHJzL2Uyb0RvYy54bWxQSwUGAAAAAAYABgBZAQAA&#10;KQYAAAAA&#10;" path="m1240,0hal1576,96hal1368,672hal2112,1000hal1768,2080hal688,1728hal488,2320hal0,2056hal320,1600hal320,1296hal824,520hal1240,0haxe">
                <v:fill on="f" focussize="0,0"/>
                <v:stroke color="#FF0000"/>
                <v:imagedata o:title=""/>
                <o:lock v:ext="edit" aspectratio="f"/>
              </v:shape>
            </w:pict>
          </mc:Fallback>
        </mc:AlternateContent>
      </w:r>
      <w:r>
        <w:rPr>
          <w:color w:val="auto"/>
        </w:rPr>
        <w:drawing>
          <wp:inline distT="0" distB="0" distL="114300" distR="114300">
            <wp:extent cx="6433185" cy="3474720"/>
            <wp:effectExtent l="0" t="0" r="5715"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rcRect l="1872" r="386"/>
                    <a:stretch>
                      <a:fillRect/>
                    </a:stretch>
                  </pic:blipFill>
                  <pic:spPr>
                    <a:xfrm>
                      <a:off x="0" y="0"/>
                      <a:ext cx="6433185" cy="3474720"/>
                    </a:xfrm>
                    <a:prstGeom prst="rect">
                      <a:avLst/>
                    </a:prstGeom>
                    <a:noFill/>
                    <a:ln>
                      <a:noFill/>
                    </a:ln>
                  </pic:spPr>
                </pic:pic>
              </a:graphicData>
            </a:graphic>
          </wp:inline>
        </w:drawing>
      </w:r>
    </w:p>
    <w:p>
      <w:pPr>
        <w:autoSpaceDE w:val="0"/>
        <w:autoSpaceDN w:val="0"/>
        <w:adjustRightInd w:val="0"/>
        <w:spacing w:line="360" w:lineRule="auto"/>
        <w:ind w:firstLine="444" w:firstLineChars="200"/>
        <w:jc w:val="center"/>
        <w:rPr>
          <w:rFonts w:hint="eastAsia" w:ascii="宋体" w:hAnsi="宋体"/>
          <w:bCs/>
          <w:color w:val="auto"/>
          <w:spacing w:val="6"/>
          <w:lang w:val="zh-CN"/>
        </w:rPr>
      </w:pPr>
      <w:r>
        <w:rPr>
          <w:rFonts w:hint="eastAsia" w:ascii="宋体" w:hAnsi="宋体"/>
          <w:bCs/>
          <w:color w:val="auto"/>
          <w:spacing w:val="6"/>
        </w:rPr>
        <w:t>图2-3 周边环境示意图</w:t>
      </w:r>
    </w:p>
    <w:p>
      <w:pPr>
        <w:pStyle w:val="5"/>
        <w:spacing w:before="0" w:after="0" w:line="360" w:lineRule="auto"/>
        <w:rPr>
          <w:rFonts w:hint="eastAsia" w:ascii="宋体" w:hAnsi="宋体" w:eastAsia="宋体" w:cs="宋体"/>
          <w:color w:val="auto"/>
          <w:sz w:val="28"/>
          <w:szCs w:val="28"/>
        </w:rPr>
      </w:pPr>
      <w:bookmarkStart w:id="8" w:name="_Toc32408"/>
      <w:r>
        <w:rPr>
          <w:rFonts w:hint="eastAsia" w:ascii="宋体" w:hAnsi="宋体" w:eastAsia="宋体" w:cs="宋体"/>
          <w:color w:val="auto"/>
          <w:sz w:val="28"/>
          <w:szCs w:val="28"/>
        </w:rPr>
        <w:t>2.1.2主要生产行工艺流程</w:t>
      </w:r>
      <w:bookmarkEnd w:id="8"/>
    </w:p>
    <w:p>
      <w:pPr>
        <w:adjustRightInd w:val="0"/>
        <w:snapToGrid w:val="0"/>
        <w:spacing w:line="500" w:lineRule="exact"/>
        <w:ind w:firstLine="482" w:firstLineChars="200"/>
        <w:rPr>
          <w:rFonts w:hint="eastAsia" w:ascii="宋体" w:hAnsi="宋体" w:cs="宋体"/>
          <w:b/>
          <w:bCs/>
          <w:color w:val="auto"/>
          <w:sz w:val="24"/>
          <w:lang w:val="zh-CN"/>
        </w:rPr>
      </w:pPr>
      <w:r>
        <w:rPr>
          <w:rFonts w:hint="eastAsia" w:ascii="宋体" w:hAnsi="宋体" w:cs="宋体"/>
          <w:b/>
          <w:bCs/>
          <w:color w:val="auto"/>
          <w:sz w:val="24"/>
        </w:rPr>
        <w:t>1、</w:t>
      </w:r>
      <w:r>
        <w:rPr>
          <w:rFonts w:hint="eastAsia" w:ascii="宋体" w:hAnsi="宋体" w:cs="宋体"/>
          <w:b/>
          <w:bCs/>
          <w:color w:val="auto"/>
          <w:sz w:val="24"/>
          <w:lang w:val="zh-CN"/>
        </w:rPr>
        <w:t>普通中药饮片生产工艺流程简述</w:t>
      </w:r>
    </w:p>
    <w:p>
      <w:pPr>
        <w:spacing w:line="500" w:lineRule="exact"/>
        <w:ind w:firstLine="480" w:firstLineChars="200"/>
        <w:rPr>
          <w:rFonts w:hint="eastAsia" w:ascii="宋体" w:hAnsi="宋体" w:cs="宋体"/>
          <w:color w:val="auto"/>
          <w:sz w:val="24"/>
          <w:lang w:val="zh-CN"/>
        </w:rPr>
      </w:pPr>
      <w:r>
        <w:rPr>
          <w:rFonts w:hint="eastAsia" w:ascii="宋体" w:hAnsi="宋体" w:cs="宋体"/>
          <w:color w:val="auto"/>
          <w:sz w:val="24"/>
          <w:lang w:val="zh-CN"/>
        </w:rPr>
        <w:t>中药材从药材仓领出后经清包间清理外包装后放周转间待用；根茎草叶类的药材经人工复称，再送至草类前处理联动线上按顺序进行剪切、人工拣选、干洗（除杂尘）、不需水洗的药材用输送带送至包装间经磁选装置后投入定量包装机包装成为成品，待验；需水洗的药材继续送洗药脱水机进行清洗、脱水，a:需润制的药材经人工送至润药间润制，经润制后的药材放回接料平台送切药机进行切制；b:不需润制的药材由接料平台送至切药机进行切制，切好的药材送带式干燥机干燥；干燥后的净药材送筛选机进行分级筛选，合规格的净药材经磁选装置后投入定量包装机包装成为成品，待验。果实类的中药材经人工复称，再送至果实类前处理联动线上按顺序进行压破（只适用部分药材）、人工拣选、干洗（除杂尘），不需切制的药材可直接送至包装间经磁选装置后投入定量包装机包装成为成品，待验。需切制的药材用皮带送至切药机进行切制，切好的药材送包装间经磁选装置后投入定量包装机包装成为成品，待验。</w:t>
      </w:r>
    </w:p>
    <w:p>
      <w:pPr>
        <w:rPr>
          <w:rFonts w:hint="eastAsia" w:ascii="宋体" w:hAnsi="宋体" w:cs="宋体"/>
          <w:color w:val="auto"/>
          <w:sz w:val="28"/>
          <w:szCs w:val="28"/>
        </w:rPr>
      </w:pPr>
      <w:r>
        <w:rPr>
          <w:b/>
          <w:bCs/>
          <w:color w:val="auto"/>
        </w:rPr>
        <w:pict>
          <v:shape id="Picture 1" o:spid="_x0000_s1029" o:spt="75" type="#_x0000_t75" style="position:absolute;left:0pt;margin-left:123.1pt;margin-top:72pt;height:404.4pt;width:327.8pt;mso-position-horizontal-relative:page;mso-position-vertical-relative:page;z-index:251694080;mso-width-relative:page;mso-height-relative:page;" o:ole="t" filled="f" stroked="f" coordsize="21600,21600">
            <v:path/>
            <v:fill on="f" focussize="0,0"/>
            <v:stroke on="f"/>
            <v:imagedata r:id="rId8" croptop="5110f" o:title=""/>
            <o:lock v:ext="edit" grouping="f" rotation="f" text="f" aspectratio="t"/>
          </v:shape>
          <o:OLEObject Type="Embed" ProgID="" ShapeID="Picture 1" DrawAspect="Content" ObjectID="_1468075725" r:id="rId7">
            <o:LockedField>false</o:LockedField>
          </o:OLEObject>
        </w:pict>
      </w:r>
    </w:p>
    <w:p>
      <w:pPr>
        <w:pStyle w:val="2"/>
        <w:ind w:firstLine="280"/>
        <w:rPr>
          <w:rFonts w:hint="eastAsia" w:ascii="宋体" w:hAnsi="宋体" w:cs="宋体"/>
          <w:color w:val="auto"/>
          <w:sz w:val="28"/>
          <w:szCs w:val="28"/>
        </w:rPr>
      </w:pPr>
    </w:p>
    <w:p>
      <w:pPr>
        <w:pStyle w:val="2"/>
        <w:ind w:firstLine="280"/>
        <w:rPr>
          <w:rFonts w:hint="eastAsia" w:ascii="宋体" w:hAnsi="宋体" w:cs="宋体"/>
          <w:color w:val="auto"/>
          <w:sz w:val="28"/>
          <w:szCs w:val="28"/>
        </w:rPr>
      </w:pPr>
    </w:p>
    <w:p>
      <w:pPr>
        <w:pStyle w:val="2"/>
        <w:ind w:firstLine="280"/>
        <w:rPr>
          <w:rFonts w:hint="eastAsia" w:ascii="宋体" w:hAnsi="宋体" w:cs="宋体"/>
          <w:color w:val="auto"/>
          <w:sz w:val="28"/>
          <w:szCs w:val="28"/>
        </w:rPr>
      </w:pPr>
    </w:p>
    <w:p>
      <w:pPr>
        <w:pStyle w:val="2"/>
        <w:ind w:firstLine="280"/>
        <w:rPr>
          <w:rFonts w:hint="eastAsia" w:ascii="宋体" w:hAnsi="宋体" w:cs="宋体"/>
          <w:color w:val="auto"/>
          <w:sz w:val="28"/>
          <w:szCs w:val="28"/>
        </w:rPr>
      </w:pPr>
    </w:p>
    <w:p>
      <w:pPr>
        <w:pStyle w:val="2"/>
        <w:ind w:firstLine="280"/>
        <w:rPr>
          <w:rFonts w:hint="eastAsia" w:ascii="宋体" w:hAnsi="宋体" w:cs="宋体"/>
          <w:color w:val="auto"/>
          <w:sz w:val="28"/>
          <w:szCs w:val="28"/>
        </w:rPr>
      </w:pPr>
    </w:p>
    <w:p>
      <w:pPr>
        <w:pStyle w:val="2"/>
        <w:ind w:firstLine="280"/>
        <w:rPr>
          <w:rFonts w:hint="eastAsia" w:ascii="宋体" w:hAnsi="宋体" w:cs="宋体"/>
          <w:color w:val="auto"/>
          <w:sz w:val="28"/>
          <w:szCs w:val="28"/>
        </w:rPr>
      </w:pPr>
    </w:p>
    <w:p>
      <w:pPr>
        <w:pStyle w:val="2"/>
        <w:ind w:firstLine="280"/>
        <w:rPr>
          <w:rFonts w:hint="eastAsia" w:ascii="宋体" w:hAnsi="宋体" w:cs="宋体"/>
          <w:color w:val="auto"/>
          <w:sz w:val="28"/>
          <w:szCs w:val="28"/>
        </w:rPr>
      </w:pPr>
    </w:p>
    <w:p>
      <w:pPr>
        <w:pStyle w:val="2"/>
        <w:ind w:firstLine="280"/>
        <w:rPr>
          <w:rFonts w:hint="eastAsia" w:ascii="宋体" w:hAnsi="宋体" w:cs="宋体"/>
          <w:color w:val="auto"/>
          <w:sz w:val="28"/>
          <w:szCs w:val="28"/>
        </w:rPr>
      </w:pPr>
    </w:p>
    <w:p>
      <w:pPr>
        <w:pStyle w:val="2"/>
        <w:ind w:firstLine="280"/>
        <w:rPr>
          <w:rFonts w:hint="eastAsia" w:ascii="宋体" w:hAnsi="宋体" w:cs="宋体"/>
          <w:color w:val="auto"/>
          <w:sz w:val="28"/>
          <w:szCs w:val="28"/>
        </w:rPr>
      </w:pPr>
    </w:p>
    <w:p>
      <w:pPr>
        <w:pStyle w:val="2"/>
        <w:ind w:firstLine="280"/>
        <w:rPr>
          <w:rFonts w:hint="eastAsia" w:ascii="宋体" w:hAnsi="宋体" w:cs="宋体"/>
          <w:color w:val="auto"/>
          <w:sz w:val="28"/>
          <w:szCs w:val="28"/>
        </w:rPr>
      </w:pPr>
    </w:p>
    <w:p>
      <w:pPr>
        <w:autoSpaceDE w:val="0"/>
        <w:autoSpaceDN w:val="0"/>
        <w:adjustRightInd w:val="0"/>
        <w:spacing w:line="360" w:lineRule="auto"/>
        <w:ind w:firstLine="444" w:firstLineChars="200"/>
        <w:jc w:val="center"/>
        <w:rPr>
          <w:rFonts w:hint="eastAsia" w:ascii="宋体" w:hAnsi="宋体"/>
          <w:bCs/>
          <w:color w:val="auto"/>
          <w:spacing w:val="6"/>
        </w:rPr>
      </w:pPr>
      <w:r>
        <w:rPr>
          <w:rFonts w:hint="eastAsia" w:ascii="宋体" w:hAnsi="宋体"/>
          <w:bCs/>
          <w:color w:val="auto"/>
          <w:spacing w:val="6"/>
        </w:rPr>
        <w:t xml:space="preserve">图2-4 </w:t>
      </w:r>
      <w:r>
        <w:rPr>
          <w:rFonts w:hint="eastAsia" w:ascii="宋体" w:hAnsi="宋体"/>
          <w:bCs/>
          <w:color w:val="auto"/>
          <w:spacing w:val="6"/>
          <w:lang w:val="zh-CN"/>
        </w:rPr>
        <w:t>普通中药饮片</w:t>
      </w:r>
      <w:r>
        <w:rPr>
          <w:rFonts w:hint="eastAsia" w:ascii="宋体" w:hAnsi="宋体"/>
          <w:bCs/>
          <w:color w:val="auto"/>
          <w:spacing w:val="6"/>
        </w:rPr>
        <w:t>生产工艺流程图</w:t>
      </w:r>
    </w:p>
    <w:p>
      <w:pPr>
        <w:adjustRightInd w:val="0"/>
        <w:snapToGrid w:val="0"/>
        <w:spacing w:line="500" w:lineRule="exact"/>
        <w:ind w:firstLine="482" w:firstLineChars="200"/>
        <w:rPr>
          <w:rFonts w:hint="eastAsia" w:ascii="宋体" w:hAnsi="宋体" w:cs="宋体"/>
          <w:b/>
          <w:bCs/>
          <w:color w:val="auto"/>
          <w:sz w:val="24"/>
        </w:rPr>
      </w:pPr>
      <w:r>
        <w:rPr>
          <w:rFonts w:hint="eastAsia" w:ascii="宋体" w:hAnsi="宋体" w:cs="宋体"/>
          <w:b/>
          <w:bCs/>
          <w:color w:val="auto"/>
          <w:sz w:val="24"/>
        </w:rPr>
        <w:t>2、有毒中药饮片生产工艺流程简述</w:t>
      </w:r>
    </w:p>
    <w:p>
      <w:pPr>
        <w:adjustRightInd w:val="0"/>
        <w:snapToGrid w:val="0"/>
        <w:spacing w:line="520" w:lineRule="exact"/>
        <w:ind w:left="420" w:leftChars="200"/>
        <w:rPr>
          <w:rFonts w:hAnsi="宋体"/>
          <w:color w:val="auto"/>
          <w:sz w:val="24"/>
        </w:rPr>
      </w:pPr>
      <w:r>
        <w:rPr>
          <w:rFonts w:hint="eastAsia" w:hAnsi="宋体"/>
          <w:color w:val="auto"/>
          <w:sz w:val="24"/>
        </w:rPr>
        <w:t>（1）</w:t>
      </w:r>
      <w:r>
        <w:rPr>
          <w:rFonts w:hAnsi="宋体"/>
          <w:color w:val="auto"/>
          <w:sz w:val="24"/>
        </w:rPr>
        <w:t>乌头（川乌、附子）：</w:t>
      </w:r>
    </w:p>
    <w:tbl>
      <w:tblPr>
        <w:tblStyle w:val="7"/>
        <w:tblW w:w="957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853"/>
        <w:gridCol w:w="1067"/>
        <w:gridCol w:w="765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142" w:hRule="atLeast"/>
        </w:trPr>
        <w:tc>
          <w:tcPr>
            <w:tcW w:w="853" w:type="dxa"/>
            <w:noWrap w:val="0"/>
            <w:vAlign w:val="center"/>
          </w:tcPr>
          <w:p>
            <w:pPr>
              <w:spacing w:line="320" w:lineRule="exact"/>
              <w:jc w:val="center"/>
              <w:rPr>
                <w:rFonts w:ascii="宋体" w:hAnsi="宋体"/>
                <w:b/>
                <w:color w:val="auto"/>
                <w:sz w:val="18"/>
                <w:szCs w:val="18"/>
              </w:rPr>
            </w:pPr>
            <w:r>
              <w:rPr>
                <w:rFonts w:hint="eastAsia" w:ascii="宋体" w:hAnsi="宋体"/>
                <w:b/>
                <w:color w:val="auto"/>
                <w:sz w:val="18"/>
                <w:szCs w:val="18"/>
              </w:rPr>
              <w:t>原药材</w:t>
            </w:r>
          </w:p>
        </w:tc>
        <w:tc>
          <w:tcPr>
            <w:tcW w:w="1067" w:type="dxa"/>
            <w:noWrap w:val="0"/>
            <w:vAlign w:val="center"/>
          </w:tcPr>
          <w:p>
            <w:pPr>
              <w:spacing w:line="320" w:lineRule="exact"/>
              <w:jc w:val="center"/>
              <w:rPr>
                <w:rFonts w:ascii="宋体" w:hAnsi="宋体"/>
                <w:b/>
                <w:color w:val="auto"/>
                <w:sz w:val="18"/>
                <w:szCs w:val="18"/>
              </w:rPr>
            </w:pPr>
            <w:r>
              <w:rPr>
                <w:rFonts w:hint="eastAsia" w:ascii="宋体" w:hAnsi="宋体"/>
                <w:b/>
                <w:color w:val="auto"/>
                <w:sz w:val="18"/>
                <w:szCs w:val="18"/>
              </w:rPr>
              <w:t>饮片</w:t>
            </w:r>
          </w:p>
        </w:tc>
        <w:tc>
          <w:tcPr>
            <w:tcW w:w="7652" w:type="dxa"/>
            <w:noWrap w:val="0"/>
            <w:vAlign w:val="center"/>
          </w:tcPr>
          <w:p>
            <w:pPr>
              <w:spacing w:line="320" w:lineRule="exact"/>
              <w:jc w:val="center"/>
              <w:rPr>
                <w:rFonts w:ascii="宋体" w:hAnsi="宋体"/>
                <w:b/>
                <w:color w:val="auto"/>
                <w:sz w:val="18"/>
                <w:szCs w:val="18"/>
              </w:rPr>
            </w:pPr>
            <w:r>
              <w:rPr>
                <w:rFonts w:hint="eastAsia" w:ascii="宋体" w:hAnsi="宋体"/>
                <w:b/>
                <w:color w:val="auto"/>
                <w:sz w:val="18"/>
                <w:szCs w:val="18"/>
              </w:rPr>
              <w:t>处理</w:t>
            </w:r>
            <w:r>
              <w:rPr>
                <w:rFonts w:ascii="宋体" w:hAnsi="宋体"/>
                <w:b/>
                <w:color w:val="auto"/>
                <w:sz w:val="18"/>
                <w:szCs w:val="18"/>
              </w:rPr>
              <w:t>工艺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454" w:hRule="atLeast"/>
        </w:trPr>
        <w:tc>
          <w:tcPr>
            <w:tcW w:w="853" w:type="dxa"/>
            <w:vMerge w:val="restart"/>
            <w:noWrap w:val="0"/>
            <w:vAlign w:val="center"/>
          </w:tcPr>
          <w:p>
            <w:pPr>
              <w:spacing w:line="320" w:lineRule="exact"/>
              <w:jc w:val="center"/>
              <w:rPr>
                <w:rFonts w:ascii="宋体" w:hAnsi="宋体" w:cs="宋体"/>
                <w:color w:val="auto"/>
                <w:kern w:val="0"/>
                <w:sz w:val="18"/>
                <w:szCs w:val="18"/>
              </w:rPr>
            </w:pPr>
            <w:r>
              <w:rPr>
                <w:rFonts w:ascii="宋体" w:hAnsi="宋体"/>
                <w:color w:val="auto"/>
                <w:sz w:val="18"/>
                <w:szCs w:val="18"/>
              </w:rPr>
              <w:t>川乌</w:t>
            </w:r>
          </w:p>
        </w:tc>
        <w:tc>
          <w:tcPr>
            <w:tcW w:w="1067" w:type="dxa"/>
            <w:noWrap w:val="0"/>
            <w:vAlign w:val="center"/>
          </w:tcPr>
          <w:p>
            <w:pPr>
              <w:spacing w:line="320" w:lineRule="exact"/>
              <w:jc w:val="center"/>
              <w:rPr>
                <w:rFonts w:ascii="宋体" w:hAnsi="宋体"/>
                <w:color w:val="auto"/>
                <w:sz w:val="18"/>
                <w:szCs w:val="18"/>
              </w:rPr>
            </w:pPr>
            <w:r>
              <w:rPr>
                <w:rFonts w:hint="eastAsia" w:ascii="宋体" w:hAnsi="宋体"/>
                <w:color w:val="auto"/>
                <w:sz w:val="18"/>
                <w:szCs w:val="18"/>
              </w:rPr>
              <w:t>生川乌</w:t>
            </w:r>
          </w:p>
        </w:tc>
        <w:tc>
          <w:tcPr>
            <w:tcW w:w="7652" w:type="dxa"/>
            <w:noWrap w:val="0"/>
            <w:vAlign w:val="center"/>
          </w:tcPr>
          <w:p>
            <w:pPr>
              <w:spacing w:line="320" w:lineRule="exact"/>
              <w:rPr>
                <w:rFonts w:ascii="宋体" w:hAnsi="宋体"/>
                <w:color w:val="auto"/>
                <w:sz w:val="18"/>
                <w:szCs w:val="18"/>
              </w:rPr>
            </w:pPr>
            <w:r>
              <w:rPr>
                <w:rFonts w:ascii="宋体" w:hAnsi="宋体"/>
                <w:color w:val="auto"/>
                <w:sz w:val="18"/>
                <w:szCs w:val="18"/>
              </w:rPr>
              <w:t>除去子根、须根，经净制除去泥沙等杂质，干燥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521" w:hRule="atLeast"/>
        </w:trPr>
        <w:tc>
          <w:tcPr>
            <w:tcW w:w="853" w:type="dxa"/>
            <w:vMerge w:val="continue"/>
            <w:noWrap w:val="0"/>
            <w:vAlign w:val="center"/>
          </w:tcPr>
          <w:p>
            <w:pPr>
              <w:spacing w:line="320" w:lineRule="exact"/>
              <w:jc w:val="center"/>
              <w:rPr>
                <w:rFonts w:ascii="宋体" w:hAnsi="宋体"/>
                <w:color w:val="auto"/>
                <w:sz w:val="18"/>
                <w:szCs w:val="18"/>
              </w:rPr>
            </w:pPr>
          </w:p>
        </w:tc>
        <w:tc>
          <w:tcPr>
            <w:tcW w:w="1067" w:type="dxa"/>
            <w:noWrap w:val="0"/>
            <w:vAlign w:val="center"/>
          </w:tcPr>
          <w:p>
            <w:pPr>
              <w:spacing w:line="320" w:lineRule="exact"/>
              <w:jc w:val="center"/>
              <w:rPr>
                <w:rFonts w:ascii="宋体" w:hAnsi="宋体"/>
                <w:color w:val="auto"/>
                <w:sz w:val="18"/>
                <w:szCs w:val="18"/>
              </w:rPr>
            </w:pPr>
            <w:r>
              <w:rPr>
                <w:rFonts w:ascii="宋体" w:hAnsi="宋体"/>
                <w:color w:val="auto"/>
                <w:sz w:val="18"/>
                <w:szCs w:val="18"/>
              </w:rPr>
              <w:t>制川乌</w:t>
            </w:r>
          </w:p>
        </w:tc>
        <w:tc>
          <w:tcPr>
            <w:tcW w:w="7652" w:type="dxa"/>
            <w:noWrap w:val="0"/>
            <w:vAlign w:val="center"/>
          </w:tcPr>
          <w:p>
            <w:pPr>
              <w:spacing w:line="320" w:lineRule="exact"/>
              <w:rPr>
                <w:rFonts w:ascii="宋体" w:hAnsi="宋体"/>
                <w:color w:val="auto"/>
                <w:sz w:val="18"/>
                <w:szCs w:val="18"/>
              </w:rPr>
            </w:pPr>
            <w:r>
              <w:rPr>
                <w:rFonts w:ascii="宋体" w:hAnsi="宋体"/>
                <w:color w:val="auto"/>
                <w:sz w:val="18"/>
                <w:szCs w:val="18"/>
              </w:rPr>
              <w:t>取川乌，大小个分开，用水浸泡至内无干心，取出，加水煮沸</w:t>
            </w:r>
            <w:r>
              <w:rPr>
                <w:rFonts w:hint="eastAsia" w:ascii="宋体" w:hAnsi="宋体"/>
                <w:color w:val="auto"/>
                <w:sz w:val="18"/>
                <w:szCs w:val="18"/>
              </w:rPr>
              <w:t>4-6h（或蒸6-8h）至取大个及实心者切开无白心，口尝微有麻舌感时，取出，晾至六成干，切片，干燥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1042" w:hRule="atLeast"/>
        </w:trPr>
        <w:tc>
          <w:tcPr>
            <w:tcW w:w="853" w:type="dxa"/>
            <w:vMerge w:val="restart"/>
            <w:noWrap w:val="0"/>
            <w:vAlign w:val="center"/>
          </w:tcPr>
          <w:p>
            <w:pPr>
              <w:spacing w:line="320" w:lineRule="exact"/>
              <w:jc w:val="center"/>
              <w:rPr>
                <w:rFonts w:ascii="宋体" w:hAnsi="宋体"/>
                <w:color w:val="auto"/>
                <w:sz w:val="18"/>
                <w:szCs w:val="18"/>
              </w:rPr>
            </w:pPr>
            <w:r>
              <w:rPr>
                <w:rFonts w:ascii="宋体" w:hAnsi="宋体"/>
                <w:color w:val="auto"/>
                <w:sz w:val="18"/>
                <w:szCs w:val="18"/>
              </w:rPr>
              <w:t>附子</w:t>
            </w:r>
          </w:p>
        </w:tc>
        <w:tc>
          <w:tcPr>
            <w:tcW w:w="1067" w:type="dxa"/>
            <w:noWrap w:val="0"/>
            <w:vAlign w:val="center"/>
          </w:tcPr>
          <w:p>
            <w:pPr>
              <w:spacing w:line="320" w:lineRule="exact"/>
              <w:jc w:val="center"/>
              <w:rPr>
                <w:rFonts w:ascii="宋体" w:hAnsi="宋体"/>
                <w:color w:val="auto"/>
                <w:sz w:val="18"/>
                <w:szCs w:val="18"/>
              </w:rPr>
            </w:pPr>
            <w:r>
              <w:rPr>
                <w:rFonts w:hint="eastAsia" w:ascii="宋体" w:hAnsi="宋体"/>
                <w:color w:val="auto"/>
                <w:sz w:val="18"/>
                <w:szCs w:val="18"/>
              </w:rPr>
              <w:t>附片</w:t>
            </w:r>
          </w:p>
          <w:p>
            <w:pPr>
              <w:spacing w:line="320" w:lineRule="exact"/>
              <w:jc w:val="center"/>
              <w:rPr>
                <w:rFonts w:ascii="宋体" w:hAnsi="宋体"/>
                <w:color w:val="auto"/>
                <w:sz w:val="18"/>
                <w:szCs w:val="18"/>
              </w:rPr>
            </w:pPr>
            <w:r>
              <w:rPr>
                <w:rFonts w:hint="eastAsia" w:ascii="宋体" w:hAnsi="宋体"/>
                <w:color w:val="auto"/>
                <w:sz w:val="18"/>
                <w:szCs w:val="18"/>
              </w:rPr>
              <w:t>（黑顺片）</w:t>
            </w:r>
          </w:p>
        </w:tc>
        <w:tc>
          <w:tcPr>
            <w:tcW w:w="7652" w:type="dxa"/>
            <w:noWrap w:val="0"/>
            <w:vAlign w:val="center"/>
          </w:tcPr>
          <w:p>
            <w:pPr>
              <w:spacing w:line="260" w:lineRule="exact"/>
              <w:rPr>
                <w:rFonts w:ascii="宋体" w:hAnsi="宋体"/>
                <w:color w:val="auto"/>
                <w:sz w:val="18"/>
                <w:szCs w:val="18"/>
              </w:rPr>
            </w:pPr>
            <w:r>
              <w:rPr>
                <w:rFonts w:ascii="宋体" w:hAnsi="宋体"/>
                <w:color w:val="auto"/>
                <w:sz w:val="18"/>
                <w:szCs w:val="18"/>
              </w:rPr>
              <w:t>取泥附子，按大小分别洗净，浸入胆巴</w:t>
            </w:r>
            <w:r>
              <w:rPr>
                <w:rFonts w:hint="eastAsia" w:ascii="宋体" w:hAnsi="宋体"/>
                <w:color w:val="auto"/>
                <w:sz w:val="18"/>
                <w:szCs w:val="18"/>
              </w:rPr>
              <w:t>的水溶液中数日，连同浸液煮至透心，捞出，水漂，纵切成厚约0.5cm的片，再用水浸漂，用调色液使附片染成浓茶色，取出，蒸至出新油面、光泽后，烘干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679" w:hRule="atLeast"/>
        </w:trPr>
        <w:tc>
          <w:tcPr>
            <w:tcW w:w="853" w:type="dxa"/>
            <w:vMerge w:val="continue"/>
            <w:noWrap w:val="0"/>
            <w:vAlign w:val="center"/>
          </w:tcPr>
          <w:p>
            <w:pPr>
              <w:spacing w:line="320" w:lineRule="exact"/>
              <w:jc w:val="center"/>
              <w:rPr>
                <w:rFonts w:ascii="宋体" w:hAnsi="宋体"/>
                <w:color w:val="auto"/>
                <w:sz w:val="18"/>
                <w:szCs w:val="18"/>
              </w:rPr>
            </w:pPr>
          </w:p>
        </w:tc>
        <w:tc>
          <w:tcPr>
            <w:tcW w:w="1067" w:type="dxa"/>
            <w:noWrap w:val="0"/>
            <w:vAlign w:val="center"/>
          </w:tcPr>
          <w:p>
            <w:pPr>
              <w:spacing w:line="320" w:lineRule="exact"/>
              <w:jc w:val="center"/>
              <w:rPr>
                <w:rFonts w:ascii="宋体" w:hAnsi="宋体"/>
                <w:color w:val="auto"/>
                <w:sz w:val="18"/>
                <w:szCs w:val="18"/>
              </w:rPr>
            </w:pPr>
            <w:r>
              <w:rPr>
                <w:rFonts w:ascii="宋体" w:hAnsi="宋体"/>
                <w:color w:val="auto"/>
                <w:sz w:val="18"/>
                <w:szCs w:val="18"/>
              </w:rPr>
              <w:t>附片</w:t>
            </w:r>
          </w:p>
          <w:p>
            <w:pPr>
              <w:spacing w:line="320" w:lineRule="exact"/>
              <w:rPr>
                <w:rFonts w:ascii="宋体" w:hAnsi="宋体"/>
                <w:color w:val="auto"/>
                <w:sz w:val="18"/>
                <w:szCs w:val="18"/>
              </w:rPr>
            </w:pPr>
            <w:r>
              <w:rPr>
                <w:rFonts w:ascii="宋体" w:hAnsi="宋体"/>
                <w:color w:val="auto"/>
                <w:sz w:val="18"/>
                <w:szCs w:val="18"/>
              </w:rPr>
              <w:t>（白附片）</w:t>
            </w:r>
          </w:p>
        </w:tc>
        <w:tc>
          <w:tcPr>
            <w:tcW w:w="7652" w:type="dxa"/>
            <w:noWrap w:val="0"/>
            <w:vAlign w:val="center"/>
          </w:tcPr>
          <w:p>
            <w:pPr>
              <w:spacing w:line="260" w:lineRule="exact"/>
              <w:rPr>
                <w:rFonts w:ascii="宋体" w:hAnsi="宋体"/>
                <w:color w:val="auto"/>
                <w:sz w:val="18"/>
                <w:szCs w:val="18"/>
              </w:rPr>
            </w:pPr>
            <w:r>
              <w:rPr>
                <w:rFonts w:ascii="宋体" w:hAnsi="宋体"/>
                <w:color w:val="auto"/>
                <w:sz w:val="18"/>
                <w:szCs w:val="18"/>
              </w:rPr>
              <w:t>取大小均匀的泥附子，洗净，浸入胆巴</w:t>
            </w:r>
            <w:r>
              <w:rPr>
                <w:rFonts w:hint="eastAsia" w:ascii="宋体" w:hAnsi="宋体"/>
                <w:color w:val="auto"/>
                <w:sz w:val="18"/>
                <w:szCs w:val="18"/>
              </w:rPr>
              <w:t>的水溶液中数日，连同浸液煮至透心，捞出，剥去外皮，纵切成厚约0.3cm的片，用水浸漂，取出，蒸透，烘干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759" w:hRule="atLeast"/>
        </w:trPr>
        <w:tc>
          <w:tcPr>
            <w:tcW w:w="853" w:type="dxa"/>
            <w:vMerge w:val="continue"/>
            <w:noWrap w:val="0"/>
            <w:vAlign w:val="center"/>
          </w:tcPr>
          <w:p>
            <w:pPr>
              <w:spacing w:line="320" w:lineRule="exact"/>
              <w:jc w:val="center"/>
              <w:rPr>
                <w:rFonts w:ascii="宋体" w:hAnsi="宋体"/>
                <w:color w:val="auto"/>
                <w:sz w:val="18"/>
                <w:szCs w:val="18"/>
              </w:rPr>
            </w:pPr>
          </w:p>
        </w:tc>
        <w:tc>
          <w:tcPr>
            <w:tcW w:w="1067" w:type="dxa"/>
            <w:noWrap w:val="0"/>
            <w:vAlign w:val="center"/>
          </w:tcPr>
          <w:p>
            <w:pPr>
              <w:spacing w:line="320" w:lineRule="exact"/>
              <w:jc w:val="center"/>
              <w:rPr>
                <w:rFonts w:ascii="宋体" w:hAnsi="宋体"/>
                <w:color w:val="auto"/>
                <w:sz w:val="18"/>
                <w:szCs w:val="18"/>
              </w:rPr>
            </w:pPr>
            <w:r>
              <w:rPr>
                <w:rFonts w:ascii="宋体" w:hAnsi="宋体"/>
                <w:color w:val="auto"/>
                <w:sz w:val="18"/>
                <w:szCs w:val="18"/>
              </w:rPr>
              <w:t>淡附片</w:t>
            </w:r>
          </w:p>
        </w:tc>
        <w:tc>
          <w:tcPr>
            <w:tcW w:w="7652" w:type="dxa"/>
            <w:noWrap w:val="0"/>
            <w:vAlign w:val="center"/>
          </w:tcPr>
          <w:p>
            <w:pPr>
              <w:spacing w:line="260" w:lineRule="exact"/>
              <w:rPr>
                <w:rFonts w:ascii="宋体" w:hAnsi="宋体"/>
                <w:color w:val="auto"/>
                <w:sz w:val="18"/>
                <w:szCs w:val="18"/>
              </w:rPr>
            </w:pPr>
            <w:r>
              <w:rPr>
                <w:rFonts w:ascii="宋体" w:hAnsi="宋体"/>
                <w:color w:val="auto"/>
                <w:sz w:val="18"/>
                <w:szCs w:val="18"/>
              </w:rPr>
              <w:t>取盐附子，用清水浸漂，每日换水</w:t>
            </w:r>
            <w:r>
              <w:rPr>
                <w:rFonts w:hint="eastAsia" w:ascii="宋体" w:hAnsi="宋体"/>
                <w:color w:val="auto"/>
                <w:sz w:val="18"/>
                <w:szCs w:val="18"/>
              </w:rPr>
              <w:t>2-3次，至盐分漂尽，与甘草、黑豆、水（每100kg</w:t>
            </w:r>
            <w:r>
              <w:rPr>
                <w:rFonts w:ascii="宋体" w:hAnsi="宋体"/>
                <w:color w:val="auto"/>
                <w:sz w:val="18"/>
                <w:szCs w:val="18"/>
              </w:rPr>
              <w:t>盐附子，用甘草</w:t>
            </w:r>
            <w:r>
              <w:rPr>
                <w:rFonts w:hint="eastAsia" w:ascii="宋体" w:hAnsi="宋体"/>
                <w:color w:val="auto"/>
                <w:sz w:val="18"/>
                <w:szCs w:val="18"/>
              </w:rPr>
              <w:t>5kg，黑豆10kg）共煮透心，至切开后口尝无麻舌感时，取出，除去甘草、黑豆，切薄片，烘干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027" w:hRule="atLeast"/>
        </w:trPr>
        <w:tc>
          <w:tcPr>
            <w:tcW w:w="9572" w:type="dxa"/>
            <w:gridSpan w:val="3"/>
            <w:noWrap w:val="0"/>
            <w:vAlign w:val="center"/>
          </w:tcPr>
          <w:p>
            <w:pPr>
              <w:pStyle w:val="9"/>
              <w:spacing w:line="320" w:lineRule="exact"/>
              <w:ind w:firstLine="0" w:firstLineChars="0"/>
              <w:rPr>
                <w:rFonts w:ascii="宋体" w:hAnsi="宋体"/>
                <w:color w:val="auto"/>
                <w:sz w:val="18"/>
                <w:szCs w:val="18"/>
              </w:rPr>
            </w:pPr>
            <w:r>
              <w:rPr>
                <w:rFonts w:ascii="宋体" w:hAnsi="宋体"/>
                <w:color w:val="auto"/>
                <w:sz w:val="18"/>
                <w:szCs w:val="18"/>
              </w:rPr>
              <w:t>备注：</w:t>
            </w:r>
          </w:p>
          <w:p>
            <w:pPr>
              <w:pStyle w:val="9"/>
              <w:numPr>
                <w:ilvl w:val="0"/>
                <w:numId w:val="2"/>
              </w:numPr>
              <w:spacing w:line="320" w:lineRule="exact"/>
              <w:ind w:firstLineChars="0"/>
              <w:rPr>
                <w:rFonts w:ascii="宋体" w:hAnsi="宋体"/>
                <w:color w:val="auto"/>
                <w:sz w:val="18"/>
                <w:szCs w:val="18"/>
              </w:rPr>
            </w:pPr>
            <w:r>
              <w:rPr>
                <w:rFonts w:ascii="宋体" w:hAnsi="宋体"/>
                <w:color w:val="auto"/>
                <w:sz w:val="18"/>
                <w:szCs w:val="18"/>
              </w:rPr>
              <w:t>川乌为毛茛科植物乌头的干燥母根，附子为其子根的加工品；</w:t>
            </w:r>
          </w:p>
          <w:p>
            <w:pPr>
              <w:pStyle w:val="9"/>
              <w:numPr>
                <w:ilvl w:val="0"/>
                <w:numId w:val="2"/>
              </w:numPr>
              <w:spacing w:line="320" w:lineRule="exact"/>
              <w:ind w:firstLineChars="0"/>
              <w:rPr>
                <w:rFonts w:ascii="宋体" w:hAnsi="宋体"/>
                <w:color w:val="auto"/>
                <w:sz w:val="18"/>
                <w:szCs w:val="18"/>
              </w:rPr>
            </w:pPr>
            <w:r>
              <w:rPr>
                <w:rFonts w:hint="eastAsia" w:ascii="宋体" w:hAnsi="宋体"/>
                <w:color w:val="auto"/>
                <w:sz w:val="18"/>
                <w:szCs w:val="18"/>
              </w:rPr>
              <w:t>泥附子：6月下旬至8月上旬采挖，除去母根，须根及泥沙，习称“盐附子”；</w:t>
            </w:r>
          </w:p>
          <w:p>
            <w:pPr>
              <w:pStyle w:val="9"/>
              <w:numPr>
                <w:ilvl w:val="0"/>
                <w:numId w:val="2"/>
              </w:numPr>
              <w:spacing w:line="320" w:lineRule="exact"/>
              <w:ind w:firstLineChars="0"/>
              <w:rPr>
                <w:rFonts w:ascii="宋体" w:hAnsi="宋体"/>
                <w:color w:val="auto"/>
                <w:sz w:val="18"/>
                <w:szCs w:val="18"/>
              </w:rPr>
            </w:pPr>
            <w:r>
              <w:rPr>
                <w:rFonts w:ascii="宋体" w:hAnsi="宋体"/>
                <w:color w:val="auto"/>
                <w:sz w:val="18"/>
                <w:szCs w:val="18"/>
              </w:rPr>
              <w:t>选择个大、均匀的泥附子，洗净，浸入胆巴</w:t>
            </w:r>
            <w:r>
              <w:rPr>
                <w:rFonts w:hint="eastAsia" w:ascii="宋体" w:hAnsi="宋体"/>
                <w:color w:val="auto"/>
                <w:sz w:val="18"/>
                <w:szCs w:val="18"/>
              </w:rPr>
              <w:t>的水溶液中过夜，再加入食盐，继续浸泡，每日取出晒晾，并逐渐延长晒晾时间，直至附子表面出现大量结晶盐粒（盐霜）、体质变硬为止，习称“盐附子”；</w:t>
            </w:r>
          </w:p>
          <w:p>
            <w:pPr>
              <w:pStyle w:val="9"/>
              <w:numPr>
                <w:ilvl w:val="0"/>
                <w:numId w:val="2"/>
              </w:numPr>
              <w:spacing w:line="320" w:lineRule="exact"/>
              <w:ind w:firstLineChars="0"/>
              <w:rPr>
                <w:rFonts w:ascii="宋体" w:hAnsi="宋体"/>
                <w:color w:val="auto"/>
                <w:sz w:val="18"/>
                <w:szCs w:val="18"/>
              </w:rPr>
            </w:pPr>
            <w:r>
              <w:rPr>
                <w:rFonts w:ascii="宋体" w:hAnsi="宋体"/>
                <w:color w:val="auto"/>
                <w:sz w:val="18"/>
                <w:szCs w:val="18"/>
              </w:rPr>
              <w:t>胆巴液浓度及浸泡时间：</w:t>
            </w:r>
            <w:r>
              <w:rPr>
                <w:rFonts w:hint="eastAsia" w:ascii="宋体" w:hAnsi="宋体"/>
                <w:color w:val="auto"/>
                <w:sz w:val="18"/>
                <w:szCs w:val="18"/>
              </w:rPr>
              <w:t>每100kg泥附子，配</w:t>
            </w:r>
            <w:r>
              <w:rPr>
                <w:rFonts w:ascii="宋体" w:hAnsi="宋体"/>
                <w:color w:val="auto"/>
                <w:sz w:val="18"/>
                <w:szCs w:val="18"/>
              </w:rPr>
              <w:t>50kg</w:t>
            </w:r>
            <w:r>
              <w:rPr>
                <w:rFonts w:hint="eastAsia" w:ascii="宋体" w:hAnsi="宋体"/>
                <w:color w:val="auto"/>
                <w:sz w:val="18"/>
                <w:szCs w:val="18"/>
              </w:rPr>
              <w:t>胆巴（成分：氯化镁（</w:t>
            </w:r>
            <w:r>
              <w:rPr>
                <w:rFonts w:ascii="宋体" w:hAnsi="宋体"/>
                <w:color w:val="auto"/>
                <w:sz w:val="18"/>
                <w:szCs w:val="18"/>
              </w:rPr>
              <w:t>70</w:t>
            </w:r>
            <w:r>
              <w:rPr>
                <w:rFonts w:hint="eastAsia" w:ascii="宋体" w:hAnsi="宋体"/>
                <w:color w:val="auto"/>
                <w:sz w:val="18"/>
                <w:szCs w:val="18"/>
              </w:rPr>
              <w:t>％以上）、氯化钠和一些金属离子），浸泡</w:t>
            </w:r>
            <w:r>
              <w:rPr>
                <w:rFonts w:ascii="宋体" w:hAnsi="宋体"/>
                <w:color w:val="auto"/>
                <w:sz w:val="18"/>
                <w:szCs w:val="18"/>
              </w:rPr>
              <w:t xml:space="preserve">7 </w:t>
            </w:r>
            <w:r>
              <w:rPr>
                <w:rFonts w:hint="eastAsia" w:ascii="宋体" w:hAnsi="宋体"/>
                <w:color w:val="auto"/>
                <w:sz w:val="18"/>
                <w:szCs w:val="18"/>
              </w:rPr>
              <w:t>～</w:t>
            </w:r>
            <w:r>
              <w:rPr>
                <w:rFonts w:ascii="宋体" w:hAnsi="宋体"/>
                <w:color w:val="auto"/>
                <w:sz w:val="18"/>
                <w:szCs w:val="18"/>
              </w:rPr>
              <w:t>10</w:t>
            </w:r>
            <w:r>
              <w:rPr>
                <w:rFonts w:hint="eastAsia" w:ascii="宋体" w:hAnsi="宋体"/>
                <w:color w:val="auto"/>
                <w:sz w:val="18"/>
                <w:szCs w:val="18"/>
              </w:rPr>
              <w:t>天；</w:t>
            </w:r>
          </w:p>
          <w:p>
            <w:pPr>
              <w:pStyle w:val="9"/>
              <w:numPr>
                <w:ilvl w:val="0"/>
                <w:numId w:val="2"/>
              </w:numPr>
              <w:spacing w:line="320" w:lineRule="exact"/>
              <w:ind w:firstLineChars="0"/>
              <w:rPr>
                <w:rFonts w:ascii="宋体" w:hAnsi="宋体"/>
                <w:color w:val="auto"/>
                <w:sz w:val="18"/>
                <w:szCs w:val="18"/>
              </w:rPr>
            </w:pPr>
            <w:r>
              <w:rPr>
                <w:rFonts w:ascii="宋体" w:hAnsi="宋体"/>
                <w:color w:val="auto"/>
                <w:sz w:val="18"/>
                <w:szCs w:val="18"/>
              </w:rPr>
              <w:t>黑顺片</w:t>
            </w:r>
            <w:r>
              <w:rPr>
                <w:rFonts w:hint="eastAsia" w:ascii="宋体" w:hAnsi="宋体"/>
                <w:color w:val="auto"/>
                <w:sz w:val="18"/>
                <w:szCs w:val="18"/>
              </w:rPr>
              <w:t>着色：菜油和红糖煮制；</w:t>
            </w:r>
          </w:p>
          <w:p>
            <w:pPr>
              <w:pStyle w:val="9"/>
              <w:numPr>
                <w:ilvl w:val="0"/>
                <w:numId w:val="2"/>
              </w:numPr>
              <w:spacing w:line="320" w:lineRule="exact"/>
              <w:ind w:firstLineChars="0"/>
              <w:rPr>
                <w:rFonts w:ascii="宋体" w:hAnsi="宋体"/>
                <w:color w:val="auto"/>
                <w:sz w:val="18"/>
                <w:szCs w:val="18"/>
              </w:rPr>
            </w:pPr>
            <w:r>
              <w:rPr>
                <w:rFonts w:ascii="宋体" w:hAnsi="宋体"/>
                <w:color w:val="auto"/>
                <w:sz w:val="18"/>
                <w:szCs w:val="18"/>
              </w:rPr>
              <w:t>附子需在收获后</w:t>
            </w:r>
            <w:r>
              <w:rPr>
                <w:rFonts w:hint="eastAsia" w:ascii="宋体" w:hAnsi="宋体"/>
                <w:color w:val="auto"/>
                <w:sz w:val="18"/>
                <w:szCs w:val="18"/>
              </w:rPr>
              <w:t>24h内，放入</w:t>
            </w:r>
            <w:r>
              <w:rPr>
                <w:rFonts w:ascii="宋体" w:hAnsi="宋体"/>
                <w:color w:val="auto"/>
                <w:sz w:val="18"/>
                <w:szCs w:val="18"/>
              </w:rPr>
              <w:t>胆巴液中浸泡，以防腐烂；</w:t>
            </w:r>
          </w:p>
        </w:tc>
      </w:tr>
    </w:tbl>
    <w:p>
      <w:pPr>
        <w:adjustRightInd w:val="0"/>
        <w:snapToGrid w:val="0"/>
        <w:spacing w:line="520" w:lineRule="exact"/>
        <w:ind w:left="420" w:leftChars="200"/>
        <w:rPr>
          <w:rFonts w:hint="eastAsia" w:hAnsi="宋体"/>
          <w:color w:val="auto"/>
          <w:sz w:val="24"/>
        </w:rPr>
      </w:pPr>
      <w:r>
        <w:rPr>
          <w:rFonts w:hint="eastAsia" w:hAnsi="宋体"/>
          <w:color w:val="auto"/>
          <w:sz w:val="24"/>
        </w:rPr>
        <w:t>（2）半夏：</w:t>
      </w:r>
    </w:p>
    <w:tbl>
      <w:tblPr>
        <w:tblStyle w:val="7"/>
        <w:tblW w:w="9572"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58"/>
        <w:gridCol w:w="875"/>
        <w:gridCol w:w="76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142" w:hRule="atLeast"/>
          <w:jc w:val="center"/>
        </w:trPr>
        <w:tc>
          <w:tcPr>
            <w:tcW w:w="1058" w:type="dxa"/>
            <w:noWrap w:val="0"/>
            <w:vAlign w:val="center"/>
          </w:tcPr>
          <w:p>
            <w:pPr>
              <w:spacing w:line="280" w:lineRule="exact"/>
              <w:jc w:val="center"/>
              <w:rPr>
                <w:rFonts w:ascii="宋体" w:hAnsi="宋体"/>
                <w:b/>
                <w:color w:val="auto"/>
                <w:sz w:val="18"/>
                <w:szCs w:val="18"/>
              </w:rPr>
            </w:pPr>
            <w:r>
              <w:rPr>
                <w:rFonts w:hint="eastAsia" w:ascii="宋体" w:hAnsi="宋体"/>
                <w:b/>
                <w:color w:val="auto"/>
                <w:sz w:val="18"/>
                <w:szCs w:val="18"/>
              </w:rPr>
              <w:t>原药材</w:t>
            </w:r>
          </w:p>
        </w:tc>
        <w:tc>
          <w:tcPr>
            <w:tcW w:w="875" w:type="dxa"/>
            <w:noWrap w:val="0"/>
            <w:vAlign w:val="center"/>
          </w:tcPr>
          <w:p>
            <w:pPr>
              <w:spacing w:line="280" w:lineRule="exact"/>
              <w:jc w:val="center"/>
              <w:rPr>
                <w:rFonts w:ascii="宋体" w:hAnsi="宋体"/>
                <w:b/>
                <w:color w:val="auto"/>
                <w:sz w:val="18"/>
                <w:szCs w:val="18"/>
              </w:rPr>
            </w:pPr>
            <w:r>
              <w:rPr>
                <w:rFonts w:hint="eastAsia" w:ascii="宋体" w:hAnsi="宋体"/>
                <w:b/>
                <w:color w:val="auto"/>
                <w:sz w:val="18"/>
                <w:szCs w:val="18"/>
              </w:rPr>
              <w:t>饮片</w:t>
            </w:r>
          </w:p>
        </w:tc>
        <w:tc>
          <w:tcPr>
            <w:tcW w:w="7639" w:type="dxa"/>
            <w:noWrap w:val="0"/>
            <w:vAlign w:val="center"/>
          </w:tcPr>
          <w:p>
            <w:pPr>
              <w:spacing w:line="280" w:lineRule="exact"/>
              <w:jc w:val="center"/>
              <w:rPr>
                <w:rFonts w:ascii="宋体" w:hAnsi="宋体"/>
                <w:b/>
                <w:color w:val="auto"/>
                <w:sz w:val="18"/>
                <w:szCs w:val="18"/>
              </w:rPr>
            </w:pPr>
            <w:r>
              <w:rPr>
                <w:rFonts w:hint="eastAsia" w:ascii="宋体" w:hAnsi="宋体"/>
                <w:b/>
                <w:color w:val="auto"/>
                <w:sz w:val="18"/>
                <w:szCs w:val="18"/>
              </w:rPr>
              <w:t>处理</w:t>
            </w:r>
            <w:r>
              <w:rPr>
                <w:rFonts w:ascii="宋体" w:hAnsi="宋体"/>
                <w:b/>
                <w:color w:val="auto"/>
                <w:sz w:val="18"/>
                <w:szCs w:val="18"/>
              </w:rPr>
              <w:t>工艺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89" w:hRule="atLeast"/>
          <w:jc w:val="center"/>
        </w:trPr>
        <w:tc>
          <w:tcPr>
            <w:tcW w:w="1058" w:type="dxa"/>
            <w:vMerge w:val="restart"/>
            <w:noWrap w:val="0"/>
            <w:vAlign w:val="center"/>
          </w:tcPr>
          <w:p>
            <w:pPr>
              <w:spacing w:line="280" w:lineRule="exact"/>
              <w:jc w:val="center"/>
              <w:rPr>
                <w:rFonts w:ascii="宋体" w:hAnsi="宋体"/>
                <w:color w:val="auto"/>
                <w:sz w:val="18"/>
                <w:szCs w:val="18"/>
              </w:rPr>
            </w:pPr>
            <w:r>
              <w:rPr>
                <w:rFonts w:ascii="宋体" w:hAnsi="宋体"/>
                <w:color w:val="auto"/>
                <w:sz w:val="18"/>
                <w:szCs w:val="18"/>
              </w:rPr>
              <w:t>半夏</w:t>
            </w:r>
          </w:p>
        </w:tc>
        <w:tc>
          <w:tcPr>
            <w:tcW w:w="875" w:type="dxa"/>
            <w:noWrap w:val="0"/>
            <w:vAlign w:val="center"/>
          </w:tcPr>
          <w:p>
            <w:pPr>
              <w:spacing w:line="280" w:lineRule="exact"/>
              <w:jc w:val="center"/>
              <w:rPr>
                <w:rFonts w:ascii="宋体" w:hAnsi="宋体"/>
                <w:color w:val="auto"/>
                <w:sz w:val="18"/>
                <w:szCs w:val="18"/>
              </w:rPr>
            </w:pPr>
            <w:r>
              <w:rPr>
                <w:rFonts w:ascii="宋体" w:hAnsi="宋体"/>
                <w:color w:val="auto"/>
                <w:sz w:val="18"/>
                <w:szCs w:val="18"/>
              </w:rPr>
              <w:t>生半夏</w:t>
            </w:r>
          </w:p>
        </w:tc>
        <w:tc>
          <w:tcPr>
            <w:tcW w:w="7639" w:type="dxa"/>
            <w:noWrap w:val="0"/>
            <w:vAlign w:val="center"/>
          </w:tcPr>
          <w:p>
            <w:pPr>
              <w:spacing w:line="280" w:lineRule="exact"/>
              <w:rPr>
                <w:rFonts w:ascii="宋体" w:hAnsi="宋体"/>
                <w:color w:val="auto"/>
                <w:sz w:val="18"/>
                <w:szCs w:val="18"/>
              </w:rPr>
            </w:pPr>
            <w:r>
              <w:rPr>
                <w:rFonts w:hint="eastAsia" w:ascii="宋体" w:hAnsi="宋体"/>
                <w:color w:val="auto"/>
                <w:sz w:val="18"/>
                <w:szCs w:val="18"/>
              </w:rPr>
              <w:t>采挖，洗净，除去外皮和须根，晒干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1202" w:hRule="atLeast"/>
          <w:jc w:val="center"/>
        </w:trPr>
        <w:tc>
          <w:tcPr>
            <w:tcW w:w="1058" w:type="dxa"/>
            <w:vMerge w:val="continue"/>
            <w:noWrap w:val="0"/>
            <w:vAlign w:val="center"/>
          </w:tcPr>
          <w:p>
            <w:pPr>
              <w:spacing w:line="280" w:lineRule="exact"/>
              <w:jc w:val="center"/>
              <w:rPr>
                <w:rFonts w:ascii="宋体" w:hAnsi="宋体"/>
                <w:color w:val="auto"/>
                <w:sz w:val="18"/>
                <w:szCs w:val="18"/>
              </w:rPr>
            </w:pPr>
          </w:p>
        </w:tc>
        <w:tc>
          <w:tcPr>
            <w:tcW w:w="875" w:type="dxa"/>
            <w:noWrap w:val="0"/>
            <w:vAlign w:val="center"/>
          </w:tcPr>
          <w:p>
            <w:pPr>
              <w:spacing w:line="280" w:lineRule="exact"/>
              <w:jc w:val="center"/>
              <w:rPr>
                <w:rFonts w:ascii="宋体" w:hAnsi="宋体"/>
                <w:color w:val="auto"/>
                <w:sz w:val="18"/>
                <w:szCs w:val="18"/>
              </w:rPr>
            </w:pPr>
            <w:r>
              <w:rPr>
                <w:rFonts w:hint="eastAsia" w:ascii="宋体" w:hAnsi="宋体"/>
                <w:color w:val="auto"/>
                <w:sz w:val="18"/>
                <w:szCs w:val="18"/>
              </w:rPr>
              <w:t>法半夏</w:t>
            </w:r>
          </w:p>
        </w:tc>
        <w:tc>
          <w:tcPr>
            <w:tcW w:w="7639" w:type="dxa"/>
            <w:noWrap w:val="0"/>
            <w:vAlign w:val="center"/>
          </w:tcPr>
          <w:p>
            <w:pPr>
              <w:spacing w:line="280" w:lineRule="exact"/>
              <w:rPr>
                <w:rFonts w:ascii="宋体" w:hAnsi="宋体"/>
                <w:color w:val="auto"/>
                <w:sz w:val="18"/>
                <w:szCs w:val="18"/>
              </w:rPr>
            </w:pPr>
            <w:r>
              <w:rPr>
                <w:rFonts w:hint="eastAsia" w:ascii="宋体" w:hAnsi="宋体"/>
                <w:color w:val="auto"/>
                <w:sz w:val="18"/>
                <w:szCs w:val="18"/>
              </w:rPr>
              <w:t>取</w:t>
            </w:r>
            <w:r>
              <w:rPr>
                <w:rFonts w:ascii="宋体" w:hAnsi="宋体"/>
                <w:color w:val="auto"/>
                <w:sz w:val="18"/>
                <w:szCs w:val="18"/>
              </w:rPr>
              <w:t>半夏，大小分开，用水浸泡至</w:t>
            </w:r>
            <w:r>
              <w:rPr>
                <w:rFonts w:hint="eastAsia" w:ascii="宋体" w:hAnsi="宋体"/>
                <w:color w:val="auto"/>
                <w:sz w:val="18"/>
                <w:szCs w:val="18"/>
              </w:rPr>
              <w:t>内</w:t>
            </w:r>
            <w:r>
              <w:rPr>
                <w:rFonts w:ascii="宋体" w:hAnsi="宋体"/>
                <w:color w:val="auto"/>
                <w:sz w:val="18"/>
                <w:szCs w:val="18"/>
              </w:rPr>
              <w:t>无干心，取出；</w:t>
            </w:r>
            <w:r>
              <w:rPr>
                <w:rFonts w:hint="eastAsia" w:ascii="宋体" w:hAnsi="宋体"/>
                <w:color w:val="auto"/>
                <w:sz w:val="18"/>
                <w:szCs w:val="18"/>
              </w:rPr>
              <w:t>另</w:t>
            </w:r>
            <w:r>
              <w:rPr>
                <w:rFonts w:ascii="宋体" w:hAnsi="宋体"/>
                <w:color w:val="auto"/>
                <w:sz w:val="18"/>
                <w:szCs w:val="18"/>
              </w:rPr>
              <w:t>取甘草适量</w:t>
            </w:r>
            <w:r>
              <w:rPr>
                <w:rFonts w:hint="eastAsia" w:ascii="宋体" w:hAnsi="宋体"/>
                <w:color w:val="auto"/>
                <w:sz w:val="18"/>
                <w:szCs w:val="18"/>
              </w:rPr>
              <w:t>，</w:t>
            </w:r>
            <w:r>
              <w:rPr>
                <w:rFonts w:ascii="宋体" w:hAnsi="宋体"/>
                <w:color w:val="auto"/>
                <w:sz w:val="18"/>
                <w:szCs w:val="18"/>
              </w:rPr>
              <w:t>加水煎煮</w:t>
            </w:r>
            <w:r>
              <w:rPr>
                <w:rFonts w:hint="eastAsia" w:ascii="宋体" w:hAnsi="宋体"/>
                <w:color w:val="auto"/>
                <w:sz w:val="18"/>
                <w:szCs w:val="18"/>
              </w:rPr>
              <w:t>2次</w:t>
            </w:r>
            <w:r>
              <w:rPr>
                <w:rFonts w:ascii="宋体" w:hAnsi="宋体"/>
                <w:color w:val="auto"/>
                <w:sz w:val="18"/>
                <w:szCs w:val="18"/>
              </w:rPr>
              <w:t>，</w:t>
            </w:r>
            <w:r>
              <w:rPr>
                <w:rFonts w:hint="eastAsia" w:ascii="宋体" w:hAnsi="宋体"/>
                <w:color w:val="auto"/>
                <w:sz w:val="18"/>
                <w:szCs w:val="18"/>
              </w:rPr>
              <w:t>合并</w:t>
            </w:r>
            <w:r>
              <w:rPr>
                <w:rFonts w:ascii="宋体" w:hAnsi="宋体"/>
                <w:color w:val="auto"/>
                <w:sz w:val="18"/>
                <w:szCs w:val="18"/>
              </w:rPr>
              <w:t>煎液</w:t>
            </w:r>
            <w:r>
              <w:rPr>
                <w:rFonts w:hint="eastAsia" w:ascii="宋体" w:hAnsi="宋体"/>
                <w:color w:val="auto"/>
                <w:sz w:val="18"/>
                <w:szCs w:val="18"/>
              </w:rPr>
              <w:t>，</w:t>
            </w:r>
            <w:r>
              <w:rPr>
                <w:rFonts w:ascii="宋体" w:hAnsi="宋体"/>
                <w:color w:val="auto"/>
                <w:sz w:val="18"/>
                <w:szCs w:val="18"/>
              </w:rPr>
              <w:t>倒入适量</w:t>
            </w:r>
            <w:r>
              <w:rPr>
                <w:rFonts w:hint="eastAsia" w:ascii="宋体" w:hAnsi="宋体"/>
                <w:color w:val="auto"/>
                <w:sz w:val="18"/>
                <w:szCs w:val="18"/>
              </w:rPr>
              <w:t>水</w:t>
            </w:r>
            <w:r>
              <w:rPr>
                <w:rFonts w:ascii="宋体" w:hAnsi="宋体"/>
                <w:color w:val="auto"/>
                <w:sz w:val="18"/>
                <w:szCs w:val="18"/>
              </w:rPr>
              <w:t>制成的石灰液中，</w:t>
            </w:r>
            <w:r>
              <w:rPr>
                <w:rFonts w:hint="eastAsia" w:ascii="宋体" w:hAnsi="宋体"/>
                <w:color w:val="auto"/>
                <w:sz w:val="18"/>
                <w:szCs w:val="18"/>
              </w:rPr>
              <w:t>搅匀</w:t>
            </w:r>
            <w:r>
              <w:rPr>
                <w:rFonts w:ascii="宋体" w:hAnsi="宋体"/>
                <w:color w:val="auto"/>
                <w:sz w:val="18"/>
                <w:szCs w:val="18"/>
              </w:rPr>
              <w:t>，加入上述已</w:t>
            </w:r>
            <w:r>
              <w:rPr>
                <w:rFonts w:hint="eastAsia" w:ascii="宋体" w:hAnsi="宋体"/>
                <w:color w:val="auto"/>
                <w:sz w:val="18"/>
                <w:szCs w:val="18"/>
              </w:rPr>
              <w:t>浸透</w:t>
            </w:r>
            <w:r>
              <w:rPr>
                <w:rFonts w:ascii="宋体" w:hAnsi="宋体"/>
                <w:color w:val="auto"/>
                <w:sz w:val="18"/>
                <w:szCs w:val="18"/>
              </w:rPr>
              <w:t>的半夏，浸泡，每日搅拌</w:t>
            </w:r>
            <w:r>
              <w:rPr>
                <w:rFonts w:hint="eastAsia" w:ascii="宋体" w:hAnsi="宋体"/>
                <w:color w:val="auto"/>
                <w:sz w:val="18"/>
                <w:szCs w:val="18"/>
              </w:rPr>
              <w:t>1-2次</w:t>
            </w:r>
            <w:r>
              <w:rPr>
                <w:rFonts w:ascii="宋体" w:hAnsi="宋体"/>
                <w:color w:val="auto"/>
                <w:sz w:val="18"/>
                <w:szCs w:val="18"/>
              </w:rPr>
              <w:t>，并保持浸液</w:t>
            </w:r>
            <w:r>
              <w:rPr>
                <w:rFonts w:hint="eastAsia" w:ascii="宋体" w:hAnsi="宋体"/>
                <w:color w:val="auto"/>
                <w:sz w:val="18"/>
                <w:szCs w:val="18"/>
              </w:rPr>
              <w:t>P</w:t>
            </w:r>
            <w:r>
              <w:rPr>
                <w:rFonts w:ascii="宋体" w:hAnsi="宋体"/>
                <w:color w:val="auto"/>
                <w:sz w:val="18"/>
                <w:szCs w:val="18"/>
              </w:rPr>
              <w:t>H</w:t>
            </w:r>
            <w:r>
              <w:rPr>
                <w:rFonts w:hint="eastAsia" w:ascii="宋体" w:hAnsi="宋体"/>
                <w:color w:val="auto"/>
                <w:sz w:val="18"/>
                <w:szCs w:val="18"/>
              </w:rPr>
              <w:t>值12以上</w:t>
            </w:r>
            <w:r>
              <w:rPr>
                <w:rFonts w:ascii="宋体" w:hAnsi="宋体"/>
                <w:color w:val="auto"/>
                <w:sz w:val="18"/>
                <w:szCs w:val="18"/>
              </w:rPr>
              <w:t>，至剖面黄色均匀，口尝</w:t>
            </w:r>
            <w:r>
              <w:rPr>
                <w:rFonts w:hint="eastAsia" w:ascii="宋体" w:hAnsi="宋体"/>
                <w:color w:val="auto"/>
                <w:sz w:val="18"/>
                <w:szCs w:val="18"/>
              </w:rPr>
              <w:t>微</w:t>
            </w:r>
            <w:r>
              <w:rPr>
                <w:rFonts w:ascii="宋体" w:hAnsi="宋体"/>
                <w:color w:val="auto"/>
                <w:sz w:val="18"/>
                <w:szCs w:val="18"/>
              </w:rPr>
              <w:t>有麻</w:t>
            </w:r>
            <w:r>
              <w:rPr>
                <w:rFonts w:hint="eastAsia" w:ascii="宋体" w:hAnsi="宋体"/>
                <w:color w:val="auto"/>
                <w:sz w:val="18"/>
                <w:szCs w:val="18"/>
              </w:rPr>
              <w:t>舌感</w:t>
            </w:r>
            <w:r>
              <w:rPr>
                <w:rFonts w:ascii="宋体" w:hAnsi="宋体"/>
                <w:color w:val="auto"/>
                <w:sz w:val="18"/>
                <w:szCs w:val="18"/>
              </w:rPr>
              <w:t>时，取出，</w:t>
            </w:r>
            <w:r>
              <w:rPr>
                <w:rFonts w:hint="eastAsia" w:ascii="宋体" w:hAnsi="宋体"/>
                <w:color w:val="auto"/>
                <w:sz w:val="18"/>
                <w:szCs w:val="18"/>
              </w:rPr>
              <w:t>洗净</w:t>
            </w:r>
            <w:r>
              <w:rPr>
                <w:rFonts w:ascii="宋体" w:hAnsi="宋体"/>
                <w:color w:val="auto"/>
                <w:sz w:val="18"/>
                <w:szCs w:val="18"/>
              </w:rPr>
              <w:t>，阴干或烘干，</w:t>
            </w:r>
            <w:r>
              <w:rPr>
                <w:rFonts w:hint="eastAsia" w:ascii="宋体" w:hAnsi="宋体"/>
                <w:color w:val="auto"/>
                <w:sz w:val="18"/>
                <w:szCs w:val="18"/>
              </w:rPr>
              <w:t>即</w:t>
            </w:r>
            <w:r>
              <w:rPr>
                <w:rFonts w:ascii="宋体" w:hAnsi="宋体"/>
                <w:color w:val="auto"/>
                <w:sz w:val="18"/>
                <w:szCs w:val="18"/>
              </w:rPr>
              <w:t>得（</w:t>
            </w:r>
            <w:r>
              <w:rPr>
                <w:rFonts w:hint="eastAsia" w:ascii="宋体" w:hAnsi="宋体"/>
                <w:color w:val="auto"/>
                <w:sz w:val="18"/>
                <w:szCs w:val="18"/>
              </w:rPr>
              <w:t>每100</w:t>
            </w:r>
            <w:r>
              <w:rPr>
                <w:rFonts w:ascii="宋体" w:hAnsi="宋体"/>
                <w:color w:val="auto"/>
                <w:sz w:val="18"/>
                <w:szCs w:val="18"/>
              </w:rPr>
              <w:t>kg</w:t>
            </w:r>
            <w:r>
              <w:rPr>
                <w:rFonts w:hint="eastAsia" w:ascii="宋体" w:hAnsi="宋体"/>
                <w:color w:val="auto"/>
                <w:sz w:val="18"/>
                <w:szCs w:val="18"/>
              </w:rPr>
              <w:t>净</w:t>
            </w:r>
            <w:r>
              <w:rPr>
                <w:rFonts w:ascii="宋体" w:hAnsi="宋体"/>
                <w:color w:val="auto"/>
                <w:sz w:val="18"/>
                <w:szCs w:val="18"/>
              </w:rPr>
              <w:t>半夏，用甘草</w:t>
            </w:r>
            <w:r>
              <w:rPr>
                <w:rFonts w:hint="eastAsia" w:ascii="宋体" w:hAnsi="宋体"/>
                <w:color w:val="auto"/>
                <w:sz w:val="18"/>
                <w:szCs w:val="18"/>
              </w:rPr>
              <w:t>15</w:t>
            </w:r>
            <w:r>
              <w:rPr>
                <w:rFonts w:ascii="宋体" w:hAnsi="宋体"/>
                <w:color w:val="auto"/>
                <w:sz w:val="18"/>
                <w:szCs w:val="18"/>
              </w:rPr>
              <w:t>kg，生石灰</w:t>
            </w:r>
            <w:r>
              <w:rPr>
                <w:rFonts w:hint="eastAsia" w:ascii="宋体" w:hAnsi="宋体"/>
                <w:color w:val="auto"/>
                <w:sz w:val="18"/>
                <w:szCs w:val="18"/>
              </w:rPr>
              <w:t>10</w:t>
            </w:r>
            <w:r>
              <w:rPr>
                <w:rFonts w:ascii="宋体" w:hAnsi="宋体"/>
                <w:color w:val="auto"/>
                <w:sz w:val="18"/>
                <w:szCs w:val="18"/>
              </w:rPr>
              <w:t>kg）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680" w:hRule="atLeast"/>
          <w:jc w:val="center"/>
        </w:trPr>
        <w:tc>
          <w:tcPr>
            <w:tcW w:w="1058" w:type="dxa"/>
            <w:vMerge w:val="continue"/>
            <w:noWrap w:val="0"/>
            <w:vAlign w:val="center"/>
          </w:tcPr>
          <w:p>
            <w:pPr>
              <w:spacing w:line="280" w:lineRule="exact"/>
              <w:jc w:val="center"/>
              <w:rPr>
                <w:rFonts w:ascii="宋体" w:hAnsi="宋体"/>
                <w:color w:val="auto"/>
                <w:sz w:val="18"/>
                <w:szCs w:val="18"/>
              </w:rPr>
            </w:pPr>
          </w:p>
        </w:tc>
        <w:tc>
          <w:tcPr>
            <w:tcW w:w="875" w:type="dxa"/>
            <w:noWrap w:val="0"/>
            <w:vAlign w:val="center"/>
          </w:tcPr>
          <w:p>
            <w:pPr>
              <w:spacing w:line="280" w:lineRule="exact"/>
              <w:jc w:val="center"/>
              <w:rPr>
                <w:rFonts w:ascii="宋体" w:hAnsi="宋体"/>
                <w:color w:val="auto"/>
                <w:sz w:val="18"/>
                <w:szCs w:val="18"/>
              </w:rPr>
            </w:pPr>
            <w:r>
              <w:rPr>
                <w:rFonts w:ascii="宋体" w:hAnsi="宋体"/>
                <w:color w:val="auto"/>
                <w:sz w:val="18"/>
                <w:szCs w:val="18"/>
              </w:rPr>
              <w:t>姜半夏</w:t>
            </w:r>
          </w:p>
        </w:tc>
        <w:tc>
          <w:tcPr>
            <w:tcW w:w="7639" w:type="dxa"/>
            <w:noWrap w:val="0"/>
            <w:vAlign w:val="center"/>
          </w:tcPr>
          <w:p>
            <w:pPr>
              <w:spacing w:line="280" w:lineRule="exact"/>
              <w:rPr>
                <w:rFonts w:ascii="宋体" w:hAnsi="宋体"/>
                <w:color w:val="auto"/>
                <w:sz w:val="18"/>
                <w:szCs w:val="18"/>
              </w:rPr>
            </w:pPr>
            <w:r>
              <w:rPr>
                <w:rFonts w:hint="eastAsia" w:ascii="宋体" w:hAnsi="宋体"/>
                <w:color w:val="auto"/>
                <w:sz w:val="18"/>
                <w:szCs w:val="18"/>
              </w:rPr>
              <w:t>取净</w:t>
            </w:r>
            <w:r>
              <w:rPr>
                <w:rFonts w:ascii="宋体" w:hAnsi="宋体"/>
                <w:color w:val="auto"/>
                <w:sz w:val="18"/>
                <w:szCs w:val="18"/>
              </w:rPr>
              <w:t>半夏，大小分开，用水浸泡至</w:t>
            </w:r>
            <w:r>
              <w:rPr>
                <w:rFonts w:hint="eastAsia" w:ascii="宋体" w:hAnsi="宋体"/>
                <w:color w:val="auto"/>
                <w:sz w:val="18"/>
                <w:szCs w:val="18"/>
              </w:rPr>
              <w:t>内</w:t>
            </w:r>
            <w:r>
              <w:rPr>
                <w:rFonts w:ascii="宋体" w:hAnsi="宋体"/>
                <w:color w:val="auto"/>
                <w:sz w:val="18"/>
                <w:szCs w:val="18"/>
              </w:rPr>
              <w:t>无干心，取出；</w:t>
            </w:r>
            <w:r>
              <w:rPr>
                <w:rFonts w:hint="eastAsia" w:ascii="宋体" w:hAnsi="宋体"/>
                <w:color w:val="auto"/>
                <w:sz w:val="18"/>
                <w:szCs w:val="18"/>
              </w:rPr>
              <w:t>另</w:t>
            </w:r>
            <w:r>
              <w:rPr>
                <w:rFonts w:ascii="宋体" w:hAnsi="宋体"/>
                <w:color w:val="auto"/>
                <w:sz w:val="18"/>
                <w:szCs w:val="18"/>
              </w:rPr>
              <w:t>取</w:t>
            </w:r>
            <w:r>
              <w:rPr>
                <w:rFonts w:hint="eastAsia" w:ascii="宋体" w:hAnsi="宋体"/>
                <w:color w:val="auto"/>
                <w:sz w:val="18"/>
                <w:szCs w:val="18"/>
              </w:rPr>
              <w:t>生姜</w:t>
            </w:r>
            <w:r>
              <w:rPr>
                <w:rFonts w:ascii="宋体" w:hAnsi="宋体"/>
                <w:color w:val="auto"/>
                <w:sz w:val="18"/>
                <w:szCs w:val="18"/>
              </w:rPr>
              <w:t>切片煎汤，</w:t>
            </w:r>
            <w:r>
              <w:rPr>
                <w:rFonts w:hint="eastAsia" w:ascii="宋体" w:hAnsi="宋体"/>
                <w:color w:val="auto"/>
                <w:sz w:val="18"/>
                <w:szCs w:val="18"/>
              </w:rPr>
              <w:t>加白矾</w:t>
            </w:r>
            <w:r>
              <w:rPr>
                <w:rFonts w:ascii="宋体" w:hAnsi="宋体"/>
                <w:color w:val="auto"/>
                <w:sz w:val="18"/>
                <w:szCs w:val="18"/>
              </w:rPr>
              <w:t>与半夏共煮透</w:t>
            </w:r>
            <w:r>
              <w:rPr>
                <w:rFonts w:hint="eastAsia" w:ascii="宋体" w:hAnsi="宋体"/>
                <w:color w:val="auto"/>
                <w:sz w:val="18"/>
                <w:szCs w:val="18"/>
              </w:rPr>
              <w:t>，</w:t>
            </w:r>
            <w:r>
              <w:rPr>
                <w:rFonts w:ascii="宋体" w:hAnsi="宋体"/>
                <w:color w:val="auto"/>
                <w:sz w:val="18"/>
                <w:szCs w:val="18"/>
              </w:rPr>
              <w:t>取出，</w:t>
            </w:r>
            <w:r>
              <w:rPr>
                <w:rFonts w:hint="eastAsia" w:ascii="宋体" w:hAnsi="宋体"/>
                <w:color w:val="auto"/>
                <w:sz w:val="18"/>
                <w:szCs w:val="18"/>
              </w:rPr>
              <w:t>晾干</w:t>
            </w:r>
            <w:r>
              <w:rPr>
                <w:rFonts w:ascii="宋体" w:hAnsi="宋体"/>
                <w:color w:val="auto"/>
                <w:sz w:val="18"/>
                <w:szCs w:val="18"/>
              </w:rPr>
              <w:t>，</w:t>
            </w:r>
            <w:r>
              <w:rPr>
                <w:rFonts w:hint="eastAsia" w:ascii="宋体" w:hAnsi="宋体"/>
                <w:color w:val="auto"/>
                <w:sz w:val="18"/>
                <w:szCs w:val="18"/>
              </w:rPr>
              <w:t>或晾至</w:t>
            </w:r>
            <w:r>
              <w:rPr>
                <w:rFonts w:ascii="宋体" w:hAnsi="宋体"/>
                <w:color w:val="auto"/>
                <w:sz w:val="18"/>
                <w:szCs w:val="18"/>
              </w:rPr>
              <w:t>半干，</w:t>
            </w:r>
            <w:r>
              <w:rPr>
                <w:rFonts w:hint="eastAsia" w:ascii="宋体" w:hAnsi="宋体"/>
                <w:color w:val="auto"/>
                <w:sz w:val="18"/>
                <w:szCs w:val="18"/>
              </w:rPr>
              <w:t>干燥；或</w:t>
            </w:r>
            <w:r>
              <w:rPr>
                <w:rFonts w:ascii="宋体" w:hAnsi="宋体"/>
                <w:color w:val="auto"/>
                <w:sz w:val="18"/>
                <w:szCs w:val="18"/>
              </w:rPr>
              <w:t>切薄片</w:t>
            </w:r>
            <w:r>
              <w:rPr>
                <w:rFonts w:hint="eastAsia" w:ascii="宋体" w:hAnsi="宋体"/>
                <w:color w:val="auto"/>
                <w:sz w:val="18"/>
                <w:szCs w:val="18"/>
              </w:rPr>
              <w:t>，</w:t>
            </w:r>
            <w:r>
              <w:rPr>
                <w:rFonts w:ascii="宋体" w:hAnsi="宋体"/>
                <w:color w:val="auto"/>
                <w:sz w:val="18"/>
                <w:szCs w:val="18"/>
              </w:rPr>
              <w:t>干燥（</w:t>
            </w:r>
            <w:r>
              <w:rPr>
                <w:rFonts w:hint="eastAsia" w:ascii="宋体" w:hAnsi="宋体"/>
                <w:color w:val="auto"/>
                <w:sz w:val="18"/>
                <w:szCs w:val="18"/>
              </w:rPr>
              <w:t>每100</w:t>
            </w:r>
            <w:r>
              <w:rPr>
                <w:rFonts w:ascii="宋体" w:hAnsi="宋体"/>
                <w:color w:val="auto"/>
                <w:sz w:val="18"/>
                <w:szCs w:val="18"/>
              </w:rPr>
              <w:t>kg</w:t>
            </w:r>
            <w:r>
              <w:rPr>
                <w:rFonts w:hint="eastAsia" w:ascii="宋体" w:hAnsi="宋体"/>
                <w:color w:val="auto"/>
                <w:sz w:val="18"/>
                <w:szCs w:val="18"/>
              </w:rPr>
              <w:t>净</w:t>
            </w:r>
            <w:r>
              <w:rPr>
                <w:rFonts w:ascii="宋体" w:hAnsi="宋体"/>
                <w:color w:val="auto"/>
                <w:sz w:val="18"/>
                <w:szCs w:val="18"/>
              </w:rPr>
              <w:t>半夏，用</w:t>
            </w:r>
            <w:r>
              <w:rPr>
                <w:rFonts w:hint="eastAsia" w:ascii="宋体" w:hAnsi="宋体"/>
                <w:color w:val="auto"/>
                <w:sz w:val="18"/>
                <w:szCs w:val="18"/>
              </w:rPr>
              <w:t>生姜25</w:t>
            </w:r>
            <w:r>
              <w:rPr>
                <w:rFonts w:ascii="宋体" w:hAnsi="宋体"/>
                <w:color w:val="auto"/>
                <w:sz w:val="18"/>
                <w:szCs w:val="18"/>
              </w:rPr>
              <w:t>kg，</w:t>
            </w:r>
            <w:r>
              <w:rPr>
                <w:rFonts w:hint="eastAsia" w:ascii="宋体" w:hAnsi="宋体"/>
                <w:color w:val="auto"/>
                <w:sz w:val="18"/>
                <w:szCs w:val="18"/>
              </w:rPr>
              <w:t>白矾12.5</w:t>
            </w:r>
            <w:r>
              <w:rPr>
                <w:rFonts w:ascii="宋体" w:hAnsi="宋体"/>
                <w:color w:val="auto"/>
                <w:sz w:val="18"/>
                <w:szCs w:val="18"/>
              </w:rPr>
              <w:t>kg）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6" w:hRule="atLeast"/>
          <w:jc w:val="center"/>
        </w:trPr>
        <w:tc>
          <w:tcPr>
            <w:tcW w:w="1058" w:type="dxa"/>
            <w:vMerge w:val="continue"/>
            <w:noWrap w:val="0"/>
            <w:vAlign w:val="center"/>
          </w:tcPr>
          <w:p>
            <w:pPr>
              <w:spacing w:line="280" w:lineRule="exact"/>
              <w:jc w:val="center"/>
              <w:rPr>
                <w:rFonts w:ascii="宋体" w:hAnsi="宋体"/>
                <w:color w:val="auto"/>
                <w:sz w:val="18"/>
                <w:szCs w:val="18"/>
              </w:rPr>
            </w:pPr>
          </w:p>
        </w:tc>
        <w:tc>
          <w:tcPr>
            <w:tcW w:w="875" w:type="dxa"/>
            <w:noWrap w:val="0"/>
            <w:vAlign w:val="center"/>
          </w:tcPr>
          <w:p>
            <w:pPr>
              <w:spacing w:line="280" w:lineRule="exact"/>
              <w:jc w:val="center"/>
              <w:rPr>
                <w:rFonts w:ascii="宋体" w:hAnsi="宋体"/>
                <w:color w:val="auto"/>
                <w:sz w:val="18"/>
                <w:szCs w:val="18"/>
              </w:rPr>
            </w:pPr>
            <w:r>
              <w:rPr>
                <w:rFonts w:hint="eastAsia" w:ascii="宋体" w:hAnsi="宋体"/>
                <w:color w:val="auto"/>
                <w:sz w:val="18"/>
                <w:szCs w:val="18"/>
              </w:rPr>
              <w:t>清半夏</w:t>
            </w:r>
          </w:p>
        </w:tc>
        <w:tc>
          <w:tcPr>
            <w:tcW w:w="7639" w:type="dxa"/>
            <w:noWrap w:val="0"/>
            <w:vAlign w:val="center"/>
          </w:tcPr>
          <w:p>
            <w:pPr>
              <w:spacing w:line="280" w:lineRule="exact"/>
              <w:rPr>
                <w:rFonts w:ascii="宋体" w:hAnsi="宋体"/>
                <w:color w:val="auto"/>
                <w:sz w:val="18"/>
                <w:szCs w:val="18"/>
              </w:rPr>
            </w:pPr>
            <w:r>
              <w:rPr>
                <w:rFonts w:hint="eastAsia" w:ascii="宋体" w:hAnsi="宋体"/>
                <w:color w:val="auto"/>
                <w:sz w:val="18"/>
                <w:szCs w:val="18"/>
              </w:rPr>
              <w:t>清</w:t>
            </w:r>
            <w:r>
              <w:rPr>
                <w:rFonts w:ascii="宋体" w:hAnsi="宋体"/>
                <w:color w:val="auto"/>
                <w:sz w:val="18"/>
                <w:szCs w:val="18"/>
              </w:rPr>
              <w:t>半夏：</w:t>
            </w:r>
            <w:r>
              <w:rPr>
                <w:rFonts w:hint="eastAsia" w:ascii="宋体" w:hAnsi="宋体"/>
                <w:color w:val="auto"/>
                <w:sz w:val="18"/>
                <w:szCs w:val="18"/>
              </w:rPr>
              <w:t>取净</w:t>
            </w:r>
            <w:r>
              <w:rPr>
                <w:rFonts w:ascii="宋体" w:hAnsi="宋体"/>
                <w:color w:val="auto"/>
                <w:sz w:val="18"/>
                <w:szCs w:val="18"/>
              </w:rPr>
              <w:t>半夏，大小分开，用</w:t>
            </w:r>
            <w:r>
              <w:rPr>
                <w:rFonts w:hint="eastAsia" w:ascii="宋体" w:hAnsi="宋体"/>
                <w:color w:val="auto"/>
                <w:sz w:val="18"/>
                <w:szCs w:val="18"/>
              </w:rPr>
              <w:t>8</w:t>
            </w:r>
            <w:r>
              <w:rPr>
                <w:rFonts w:ascii="宋体" w:hAnsi="宋体"/>
                <w:color w:val="auto"/>
                <w:sz w:val="18"/>
                <w:szCs w:val="18"/>
              </w:rPr>
              <w:t>%白矾</w:t>
            </w:r>
            <w:r>
              <w:rPr>
                <w:rFonts w:hint="eastAsia" w:ascii="宋体" w:hAnsi="宋体"/>
                <w:color w:val="auto"/>
                <w:sz w:val="18"/>
                <w:szCs w:val="18"/>
              </w:rPr>
              <w:t>溶液</w:t>
            </w:r>
            <w:r>
              <w:rPr>
                <w:rFonts w:ascii="宋体" w:hAnsi="宋体"/>
                <w:color w:val="auto"/>
                <w:sz w:val="18"/>
                <w:szCs w:val="18"/>
              </w:rPr>
              <w:t>浸泡至</w:t>
            </w:r>
            <w:r>
              <w:rPr>
                <w:rFonts w:hint="eastAsia" w:ascii="宋体" w:hAnsi="宋体"/>
                <w:color w:val="auto"/>
                <w:sz w:val="18"/>
                <w:szCs w:val="18"/>
              </w:rPr>
              <w:t>内</w:t>
            </w:r>
            <w:r>
              <w:rPr>
                <w:rFonts w:ascii="宋体" w:hAnsi="宋体"/>
                <w:color w:val="auto"/>
                <w:sz w:val="18"/>
                <w:szCs w:val="18"/>
              </w:rPr>
              <w:t>无干心，口尝</w:t>
            </w:r>
            <w:r>
              <w:rPr>
                <w:rFonts w:hint="eastAsia" w:ascii="宋体" w:hAnsi="宋体"/>
                <w:color w:val="auto"/>
                <w:sz w:val="18"/>
                <w:szCs w:val="18"/>
              </w:rPr>
              <w:t>微</w:t>
            </w:r>
            <w:r>
              <w:rPr>
                <w:rFonts w:ascii="宋体" w:hAnsi="宋体"/>
                <w:color w:val="auto"/>
                <w:sz w:val="18"/>
                <w:szCs w:val="18"/>
              </w:rPr>
              <w:t>有麻</w:t>
            </w:r>
            <w:r>
              <w:rPr>
                <w:rFonts w:hint="eastAsia" w:ascii="宋体" w:hAnsi="宋体"/>
                <w:color w:val="auto"/>
                <w:sz w:val="18"/>
                <w:szCs w:val="18"/>
              </w:rPr>
              <w:t>舌感</w:t>
            </w:r>
            <w:r>
              <w:rPr>
                <w:rFonts w:ascii="宋体" w:hAnsi="宋体"/>
                <w:color w:val="auto"/>
                <w:sz w:val="18"/>
                <w:szCs w:val="18"/>
              </w:rPr>
              <w:t>时，取出，</w:t>
            </w:r>
            <w:r>
              <w:rPr>
                <w:rFonts w:hint="eastAsia" w:ascii="宋体" w:hAnsi="宋体"/>
                <w:color w:val="auto"/>
                <w:sz w:val="18"/>
                <w:szCs w:val="18"/>
              </w:rPr>
              <w:t>洗净</w:t>
            </w:r>
            <w:r>
              <w:rPr>
                <w:rFonts w:ascii="宋体" w:hAnsi="宋体"/>
                <w:color w:val="auto"/>
                <w:sz w:val="18"/>
                <w:szCs w:val="18"/>
              </w:rPr>
              <w:t>，</w:t>
            </w:r>
            <w:r>
              <w:rPr>
                <w:rFonts w:hint="eastAsia" w:ascii="宋体" w:hAnsi="宋体"/>
                <w:color w:val="auto"/>
                <w:sz w:val="18"/>
                <w:szCs w:val="18"/>
              </w:rPr>
              <w:t>切</w:t>
            </w:r>
            <w:r>
              <w:rPr>
                <w:rFonts w:ascii="宋体" w:hAnsi="宋体"/>
                <w:color w:val="auto"/>
                <w:sz w:val="18"/>
                <w:szCs w:val="18"/>
              </w:rPr>
              <w:t>厚片，干燥（</w:t>
            </w:r>
            <w:r>
              <w:rPr>
                <w:rFonts w:hint="eastAsia" w:ascii="宋体" w:hAnsi="宋体"/>
                <w:color w:val="auto"/>
                <w:sz w:val="18"/>
                <w:szCs w:val="18"/>
              </w:rPr>
              <w:t>每100</w:t>
            </w:r>
            <w:r>
              <w:rPr>
                <w:rFonts w:ascii="宋体" w:hAnsi="宋体"/>
                <w:color w:val="auto"/>
                <w:sz w:val="18"/>
                <w:szCs w:val="18"/>
              </w:rPr>
              <w:t>kg</w:t>
            </w:r>
            <w:r>
              <w:rPr>
                <w:rFonts w:hint="eastAsia" w:ascii="宋体" w:hAnsi="宋体"/>
                <w:color w:val="auto"/>
                <w:sz w:val="18"/>
                <w:szCs w:val="18"/>
              </w:rPr>
              <w:t>净</w:t>
            </w:r>
            <w:r>
              <w:rPr>
                <w:rFonts w:ascii="宋体" w:hAnsi="宋体"/>
                <w:color w:val="auto"/>
                <w:sz w:val="18"/>
                <w:szCs w:val="18"/>
              </w:rPr>
              <w:t>半夏，用</w:t>
            </w:r>
            <w:r>
              <w:rPr>
                <w:rFonts w:hint="eastAsia" w:ascii="宋体" w:hAnsi="宋体"/>
                <w:color w:val="auto"/>
                <w:sz w:val="18"/>
                <w:szCs w:val="18"/>
              </w:rPr>
              <w:t>白矾20</w:t>
            </w:r>
            <w:r>
              <w:rPr>
                <w:rFonts w:ascii="宋体" w:hAnsi="宋体"/>
                <w:color w:val="auto"/>
                <w:sz w:val="18"/>
                <w:szCs w:val="18"/>
              </w:rPr>
              <w:t>kg）</w:t>
            </w:r>
          </w:p>
        </w:tc>
      </w:tr>
    </w:tbl>
    <w:p>
      <w:pPr>
        <w:pStyle w:val="5"/>
        <w:spacing w:before="0" w:after="0" w:line="360" w:lineRule="auto"/>
        <w:rPr>
          <w:rFonts w:hint="eastAsia" w:ascii="宋体" w:hAnsi="宋体" w:eastAsia="宋体" w:cs="宋体"/>
          <w:color w:val="auto"/>
          <w:sz w:val="28"/>
          <w:szCs w:val="28"/>
        </w:rPr>
      </w:pPr>
      <w:bookmarkStart w:id="9" w:name="_Toc30650"/>
      <w:bookmarkStart w:id="10" w:name="_Toc490557061"/>
      <w:bookmarkStart w:id="11" w:name="_Toc24550"/>
      <w:r>
        <w:rPr>
          <w:rFonts w:hint="eastAsia" w:ascii="宋体" w:hAnsi="宋体" w:eastAsia="宋体" w:cs="宋体"/>
          <w:color w:val="auto"/>
          <w:sz w:val="28"/>
          <w:szCs w:val="28"/>
        </w:rPr>
        <w:t>2.2 事故风险描述</w:t>
      </w:r>
      <w:bookmarkEnd w:id="9"/>
      <w:bookmarkEnd w:id="10"/>
      <w:bookmarkEnd w:id="11"/>
    </w:p>
    <w:p>
      <w:pPr>
        <w:pStyle w:val="5"/>
        <w:spacing w:before="0" w:after="0" w:line="360" w:lineRule="auto"/>
        <w:rPr>
          <w:rFonts w:hint="eastAsia" w:ascii="宋体" w:hAnsi="宋体" w:eastAsia="宋体" w:cs="宋体"/>
          <w:color w:val="auto"/>
          <w:sz w:val="28"/>
          <w:szCs w:val="28"/>
          <w:lang w:val="zh-CN"/>
        </w:rPr>
      </w:pPr>
      <w:bookmarkStart w:id="12" w:name="_Toc4495"/>
      <w:r>
        <w:rPr>
          <w:rFonts w:hint="eastAsia" w:ascii="宋体" w:hAnsi="宋体" w:eastAsia="宋体" w:cs="宋体"/>
          <w:color w:val="auto"/>
          <w:sz w:val="28"/>
          <w:szCs w:val="28"/>
          <w:lang w:val="zh-CN"/>
        </w:rPr>
        <w:t>2.2.1危险源类型</w:t>
      </w:r>
      <w:bookmarkEnd w:id="12"/>
    </w:p>
    <w:p>
      <w:pPr>
        <w:spacing w:line="360" w:lineRule="auto"/>
        <w:ind w:firstLine="480" w:firstLineChars="200"/>
        <w:rPr>
          <w:rFonts w:hint="eastAsia" w:ascii="宋体" w:hAnsi="宋体" w:cs="宋体"/>
          <w:color w:val="auto"/>
          <w:sz w:val="24"/>
          <w:lang w:val="zh-CN"/>
        </w:rPr>
      </w:pPr>
      <w:r>
        <w:rPr>
          <w:rFonts w:hint="eastAsia" w:ascii="宋体" w:hAnsi="宋体" w:cs="宋体"/>
          <w:color w:val="auto"/>
          <w:sz w:val="24"/>
          <w:lang w:val="zh-CN"/>
        </w:rPr>
        <w:t>本公司生产过程中存在的危险有害因素是灼烫、火灾和触电等伤害。其他伤害等。其中主要危险源是灼烫、车辆伤害和触电等伤害。各危险源可能发生的事故类型如下表：</w:t>
      </w:r>
    </w:p>
    <w:p>
      <w:pPr>
        <w:autoSpaceDE w:val="0"/>
        <w:autoSpaceDN w:val="0"/>
        <w:adjustRightInd w:val="0"/>
        <w:spacing w:line="360" w:lineRule="auto"/>
        <w:ind w:firstLine="444" w:firstLineChars="200"/>
        <w:jc w:val="center"/>
        <w:rPr>
          <w:rFonts w:hint="eastAsia" w:ascii="宋体" w:hAnsi="宋体"/>
          <w:bCs/>
          <w:color w:val="auto"/>
          <w:spacing w:val="6"/>
        </w:rPr>
      </w:pPr>
      <w:r>
        <w:rPr>
          <w:rFonts w:hint="eastAsia" w:ascii="宋体" w:hAnsi="宋体"/>
          <w:bCs/>
          <w:color w:val="auto"/>
          <w:spacing w:val="6"/>
        </w:rPr>
        <w:t>表2-1 危化品物料的危害特性表</w:t>
      </w:r>
    </w:p>
    <w:tbl>
      <w:tblPr>
        <w:tblStyle w:val="7"/>
        <w:tblW w:w="9572"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2"/>
        <w:gridCol w:w="754"/>
        <w:gridCol w:w="4337"/>
        <w:gridCol w:w="806"/>
        <w:gridCol w:w="703"/>
        <w:gridCol w:w="994"/>
        <w:gridCol w:w="12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92" w:type="dxa"/>
            <w:noWrap w:val="0"/>
            <w:vAlign w:val="center"/>
          </w:tcPr>
          <w:p>
            <w:pPr>
              <w:spacing w:line="300" w:lineRule="exact"/>
              <w:jc w:val="center"/>
              <w:rPr>
                <w:rFonts w:hint="eastAsia" w:ascii="宋体" w:hAnsi="宋体"/>
                <w:color w:val="auto"/>
                <w:szCs w:val="21"/>
              </w:rPr>
            </w:pPr>
            <w:r>
              <w:rPr>
                <w:rFonts w:hint="eastAsia" w:ascii="宋体" w:hAnsi="宋体"/>
                <w:color w:val="auto"/>
                <w:szCs w:val="21"/>
              </w:rPr>
              <w:t>序号</w:t>
            </w:r>
          </w:p>
        </w:tc>
        <w:tc>
          <w:tcPr>
            <w:tcW w:w="754" w:type="dxa"/>
            <w:noWrap w:val="0"/>
            <w:vAlign w:val="center"/>
          </w:tcPr>
          <w:p>
            <w:pPr>
              <w:spacing w:line="300" w:lineRule="exact"/>
              <w:jc w:val="center"/>
              <w:rPr>
                <w:rFonts w:hint="eastAsia" w:ascii="宋体" w:hAnsi="宋体"/>
                <w:color w:val="auto"/>
                <w:szCs w:val="21"/>
              </w:rPr>
            </w:pPr>
            <w:r>
              <w:rPr>
                <w:rFonts w:hint="eastAsia" w:ascii="宋体" w:hAnsi="宋体"/>
                <w:color w:val="auto"/>
                <w:szCs w:val="21"/>
              </w:rPr>
              <w:t>物料名称</w:t>
            </w:r>
          </w:p>
        </w:tc>
        <w:tc>
          <w:tcPr>
            <w:tcW w:w="4337" w:type="dxa"/>
            <w:noWrap w:val="0"/>
            <w:vAlign w:val="center"/>
          </w:tcPr>
          <w:p>
            <w:pPr>
              <w:spacing w:line="300" w:lineRule="exact"/>
              <w:jc w:val="center"/>
              <w:rPr>
                <w:rFonts w:hint="eastAsia" w:ascii="宋体" w:hAnsi="宋体"/>
                <w:color w:val="auto"/>
                <w:szCs w:val="21"/>
              </w:rPr>
            </w:pPr>
            <w:r>
              <w:rPr>
                <w:rFonts w:hint="eastAsia" w:ascii="宋体" w:hAnsi="宋体"/>
                <w:color w:val="auto"/>
                <w:szCs w:val="21"/>
              </w:rPr>
              <w:t>危害特性</w:t>
            </w:r>
          </w:p>
        </w:tc>
        <w:tc>
          <w:tcPr>
            <w:tcW w:w="806" w:type="dxa"/>
            <w:noWrap w:val="0"/>
            <w:vAlign w:val="center"/>
          </w:tcPr>
          <w:p>
            <w:pPr>
              <w:spacing w:line="300" w:lineRule="exact"/>
              <w:jc w:val="center"/>
              <w:rPr>
                <w:rFonts w:hint="eastAsia" w:ascii="宋体" w:hAnsi="宋体"/>
                <w:color w:val="auto"/>
                <w:szCs w:val="21"/>
              </w:rPr>
            </w:pPr>
            <w:r>
              <w:rPr>
                <w:rFonts w:hint="eastAsia" w:ascii="宋体" w:hAnsi="宋体"/>
                <w:color w:val="auto"/>
                <w:szCs w:val="21"/>
              </w:rPr>
              <w:t>闪点（℃）</w:t>
            </w:r>
          </w:p>
        </w:tc>
        <w:tc>
          <w:tcPr>
            <w:tcW w:w="703" w:type="dxa"/>
            <w:noWrap w:val="0"/>
            <w:vAlign w:val="center"/>
          </w:tcPr>
          <w:p>
            <w:pPr>
              <w:spacing w:line="300" w:lineRule="exact"/>
              <w:jc w:val="center"/>
              <w:rPr>
                <w:rFonts w:hint="eastAsia" w:ascii="宋体" w:hAnsi="宋体"/>
                <w:color w:val="auto"/>
                <w:szCs w:val="21"/>
              </w:rPr>
            </w:pPr>
            <w:r>
              <w:rPr>
                <w:rFonts w:hint="eastAsia" w:ascii="宋体" w:hAnsi="宋体"/>
                <w:color w:val="auto"/>
                <w:szCs w:val="21"/>
              </w:rPr>
              <w:t>火险</w:t>
            </w:r>
          </w:p>
          <w:p>
            <w:pPr>
              <w:spacing w:line="300" w:lineRule="exact"/>
              <w:jc w:val="center"/>
              <w:rPr>
                <w:rFonts w:hint="eastAsia" w:ascii="宋体" w:hAnsi="宋体"/>
                <w:color w:val="auto"/>
                <w:szCs w:val="21"/>
              </w:rPr>
            </w:pPr>
            <w:r>
              <w:rPr>
                <w:rFonts w:hint="eastAsia" w:ascii="宋体" w:hAnsi="宋体"/>
                <w:color w:val="auto"/>
                <w:szCs w:val="21"/>
              </w:rPr>
              <w:t>类别</w:t>
            </w:r>
          </w:p>
        </w:tc>
        <w:tc>
          <w:tcPr>
            <w:tcW w:w="994" w:type="dxa"/>
            <w:noWrap w:val="0"/>
            <w:vAlign w:val="center"/>
          </w:tcPr>
          <w:p>
            <w:pPr>
              <w:spacing w:line="300" w:lineRule="exact"/>
              <w:jc w:val="center"/>
              <w:rPr>
                <w:rFonts w:hint="eastAsia" w:ascii="宋体" w:hAnsi="宋体"/>
                <w:color w:val="auto"/>
                <w:szCs w:val="21"/>
              </w:rPr>
            </w:pPr>
            <w:r>
              <w:rPr>
                <w:rFonts w:hint="eastAsia" w:ascii="宋体" w:hAnsi="宋体"/>
                <w:color w:val="auto"/>
                <w:szCs w:val="21"/>
              </w:rPr>
              <w:t>爆炸极限(V%)</w:t>
            </w:r>
          </w:p>
        </w:tc>
        <w:tc>
          <w:tcPr>
            <w:tcW w:w="1286" w:type="dxa"/>
            <w:noWrap w:val="0"/>
            <w:vAlign w:val="center"/>
          </w:tcPr>
          <w:p>
            <w:pPr>
              <w:spacing w:line="300" w:lineRule="exact"/>
              <w:jc w:val="center"/>
              <w:rPr>
                <w:rFonts w:hint="eastAsia" w:ascii="宋体" w:hAnsi="宋体"/>
                <w:color w:val="auto"/>
                <w:szCs w:val="21"/>
              </w:rPr>
            </w:pPr>
            <w:r>
              <w:rPr>
                <w:rFonts w:hint="eastAsia" w:ascii="宋体" w:hAnsi="宋体"/>
                <w:color w:val="auto"/>
                <w:szCs w:val="21"/>
              </w:rPr>
              <w:t>职业危害程度分级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92" w:type="dxa"/>
            <w:noWrap w:val="0"/>
            <w:vAlign w:val="center"/>
          </w:tcPr>
          <w:p>
            <w:pPr>
              <w:spacing w:line="300" w:lineRule="exact"/>
              <w:jc w:val="center"/>
              <w:rPr>
                <w:rFonts w:hint="eastAsia" w:ascii="宋体" w:hAnsi="宋体"/>
                <w:color w:val="auto"/>
                <w:szCs w:val="21"/>
              </w:rPr>
            </w:pPr>
            <w:r>
              <w:rPr>
                <w:rFonts w:hint="eastAsia" w:ascii="宋体" w:hAnsi="宋体"/>
                <w:color w:val="auto"/>
                <w:szCs w:val="21"/>
              </w:rPr>
              <w:t>1</w:t>
            </w:r>
          </w:p>
        </w:tc>
        <w:tc>
          <w:tcPr>
            <w:tcW w:w="754" w:type="dxa"/>
            <w:noWrap w:val="0"/>
            <w:vAlign w:val="center"/>
          </w:tcPr>
          <w:p>
            <w:pPr>
              <w:spacing w:line="300" w:lineRule="exact"/>
              <w:jc w:val="center"/>
              <w:rPr>
                <w:rFonts w:hint="eastAsia" w:ascii="宋体" w:hAnsi="宋体"/>
                <w:color w:val="auto"/>
                <w:szCs w:val="21"/>
              </w:rPr>
            </w:pPr>
            <w:r>
              <w:rPr>
                <w:rFonts w:hint="eastAsia" w:ascii="宋体" w:hAnsi="宋体"/>
                <w:color w:val="auto"/>
                <w:szCs w:val="21"/>
              </w:rPr>
              <w:t>乙醇</w:t>
            </w:r>
          </w:p>
        </w:tc>
        <w:tc>
          <w:tcPr>
            <w:tcW w:w="4337" w:type="dxa"/>
            <w:noWrap w:val="0"/>
            <w:vAlign w:val="center"/>
          </w:tcPr>
          <w:p>
            <w:pPr>
              <w:spacing w:line="300" w:lineRule="exact"/>
              <w:jc w:val="left"/>
              <w:rPr>
                <w:rFonts w:hint="eastAsia" w:ascii="宋体" w:hAnsi="宋体"/>
                <w:color w:val="auto"/>
                <w:szCs w:val="21"/>
              </w:rPr>
            </w:pPr>
            <w:r>
              <w:rPr>
                <w:rFonts w:ascii="宋体" w:hAnsi="宋体"/>
                <w:color w:val="auto"/>
                <w:spacing w:val="-6"/>
                <w:szCs w:val="21"/>
              </w:rPr>
              <w:t>其蒸气与空气形成爆炸性混合物，遇明火、高热能引起燃烧爆炸。与氧化剂能发生强烈反应。其蒸气比空气重，能在较低处扩散到相当远的地方，遇火源引着回燃。若遇高热，容器内压增大，有开裂和爆炸的危险。燃烧时发出紫色火焰</w:t>
            </w:r>
            <w:r>
              <w:rPr>
                <w:rFonts w:hint="eastAsia" w:ascii="宋体" w:hAnsi="宋体"/>
                <w:color w:val="auto"/>
                <w:spacing w:val="-6"/>
                <w:szCs w:val="21"/>
              </w:rPr>
              <w:t>。</w:t>
            </w:r>
          </w:p>
        </w:tc>
        <w:tc>
          <w:tcPr>
            <w:tcW w:w="806" w:type="dxa"/>
            <w:noWrap w:val="0"/>
            <w:vAlign w:val="center"/>
          </w:tcPr>
          <w:p>
            <w:pPr>
              <w:spacing w:line="300" w:lineRule="exact"/>
              <w:jc w:val="center"/>
              <w:rPr>
                <w:rFonts w:hint="eastAsia" w:ascii="宋体" w:hAnsi="宋体"/>
                <w:color w:val="auto"/>
                <w:szCs w:val="21"/>
              </w:rPr>
            </w:pPr>
            <w:r>
              <w:rPr>
                <w:rFonts w:hint="eastAsia" w:ascii="宋体" w:hAnsi="宋体"/>
                <w:color w:val="auto"/>
                <w:szCs w:val="21"/>
              </w:rPr>
              <w:t>12</w:t>
            </w:r>
          </w:p>
        </w:tc>
        <w:tc>
          <w:tcPr>
            <w:tcW w:w="703" w:type="dxa"/>
            <w:noWrap w:val="0"/>
            <w:vAlign w:val="center"/>
          </w:tcPr>
          <w:p>
            <w:pPr>
              <w:spacing w:line="300" w:lineRule="exact"/>
              <w:jc w:val="center"/>
              <w:rPr>
                <w:rFonts w:hint="eastAsia" w:ascii="宋体" w:hAnsi="宋体"/>
                <w:color w:val="auto"/>
                <w:szCs w:val="21"/>
              </w:rPr>
            </w:pPr>
            <w:r>
              <w:rPr>
                <w:rFonts w:hint="eastAsia" w:ascii="宋体" w:hAnsi="宋体"/>
                <w:color w:val="auto"/>
                <w:szCs w:val="21"/>
              </w:rPr>
              <w:t>甲类</w:t>
            </w:r>
          </w:p>
        </w:tc>
        <w:tc>
          <w:tcPr>
            <w:tcW w:w="994" w:type="dxa"/>
            <w:noWrap w:val="0"/>
            <w:vAlign w:val="center"/>
          </w:tcPr>
          <w:p>
            <w:pPr>
              <w:spacing w:line="300" w:lineRule="exact"/>
              <w:jc w:val="center"/>
              <w:rPr>
                <w:rFonts w:hint="eastAsia" w:ascii="宋体" w:hAnsi="宋体"/>
                <w:color w:val="auto"/>
                <w:szCs w:val="21"/>
              </w:rPr>
            </w:pPr>
            <w:r>
              <w:rPr>
                <w:rFonts w:hint="eastAsia" w:ascii="宋体" w:hAnsi="宋体"/>
                <w:color w:val="auto"/>
                <w:szCs w:val="21"/>
              </w:rPr>
              <w:t>3.3-19</w:t>
            </w:r>
          </w:p>
        </w:tc>
        <w:tc>
          <w:tcPr>
            <w:tcW w:w="1286" w:type="dxa"/>
            <w:noWrap w:val="0"/>
            <w:vAlign w:val="center"/>
          </w:tcPr>
          <w:p>
            <w:pPr>
              <w:spacing w:line="300" w:lineRule="exact"/>
              <w:jc w:val="center"/>
              <w:rPr>
                <w:rFonts w:hint="eastAsia" w:ascii="宋体" w:hAnsi="宋体"/>
                <w:color w:val="auto"/>
                <w:szCs w:val="21"/>
              </w:rPr>
            </w:pPr>
            <w:r>
              <w:rPr>
                <w:rFonts w:hint="eastAsia" w:ascii="宋体" w:hAnsi="宋体"/>
                <w:color w:val="auto"/>
                <w:szCs w:val="21"/>
              </w:rPr>
              <w:t>轻微危害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92" w:type="dxa"/>
            <w:noWrap w:val="0"/>
            <w:vAlign w:val="center"/>
          </w:tcPr>
          <w:p>
            <w:pPr>
              <w:spacing w:line="300" w:lineRule="exact"/>
              <w:jc w:val="center"/>
              <w:rPr>
                <w:rFonts w:hint="eastAsia" w:ascii="宋体" w:hAnsi="宋体"/>
                <w:color w:val="auto"/>
                <w:szCs w:val="21"/>
              </w:rPr>
            </w:pPr>
            <w:r>
              <w:rPr>
                <w:rFonts w:hint="eastAsia" w:ascii="宋体" w:hAnsi="宋体"/>
                <w:color w:val="auto"/>
                <w:szCs w:val="21"/>
              </w:rPr>
              <w:t>2</w:t>
            </w:r>
          </w:p>
        </w:tc>
        <w:tc>
          <w:tcPr>
            <w:tcW w:w="754" w:type="dxa"/>
            <w:noWrap w:val="0"/>
            <w:vAlign w:val="center"/>
          </w:tcPr>
          <w:p>
            <w:pPr>
              <w:spacing w:line="300" w:lineRule="exact"/>
              <w:jc w:val="center"/>
              <w:rPr>
                <w:rFonts w:hint="eastAsia" w:ascii="宋体" w:hAnsi="宋体"/>
                <w:color w:val="auto"/>
                <w:szCs w:val="21"/>
              </w:rPr>
            </w:pPr>
            <w:r>
              <w:rPr>
                <w:rFonts w:hint="eastAsia" w:ascii="宋体" w:hAnsi="宋体"/>
                <w:color w:val="auto"/>
                <w:szCs w:val="21"/>
              </w:rPr>
              <w:t>甲醇</w:t>
            </w:r>
          </w:p>
        </w:tc>
        <w:tc>
          <w:tcPr>
            <w:tcW w:w="4337" w:type="dxa"/>
            <w:noWrap w:val="0"/>
            <w:vAlign w:val="center"/>
          </w:tcPr>
          <w:p>
            <w:pPr>
              <w:spacing w:line="300" w:lineRule="exact"/>
              <w:jc w:val="left"/>
              <w:rPr>
                <w:rFonts w:ascii="宋体" w:hAnsi="宋体"/>
                <w:color w:val="auto"/>
                <w:spacing w:val="-6"/>
                <w:szCs w:val="21"/>
              </w:rPr>
            </w:pPr>
            <w:r>
              <w:rPr>
                <w:rFonts w:ascii="宋体" w:hAnsi="宋体"/>
                <w:color w:val="auto"/>
                <w:spacing w:val="-6"/>
                <w:szCs w:val="21"/>
              </w:rPr>
              <w:t>其蒸气与空气形成爆炸性混合物，遇明火、高热能引起燃烧爆炸。与氧化剂能发生强烈反应。其蒸气比空气重，能在较低处扩散到相当远的地方，遇火源引着回燃。若遇高热，容器内压增大，有开裂和爆炸的危险。燃烧时无光焰。能积聚静电，引燃其蒸气。腐蚀某些塑料、橡胶和涂料。</w:t>
            </w:r>
          </w:p>
        </w:tc>
        <w:tc>
          <w:tcPr>
            <w:tcW w:w="806" w:type="dxa"/>
            <w:noWrap w:val="0"/>
            <w:vAlign w:val="center"/>
          </w:tcPr>
          <w:p>
            <w:pPr>
              <w:spacing w:line="300" w:lineRule="exact"/>
              <w:jc w:val="center"/>
              <w:rPr>
                <w:rFonts w:hint="eastAsia" w:ascii="宋体" w:hAnsi="宋体"/>
                <w:color w:val="auto"/>
                <w:szCs w:val="21"/>
              </w:rPr>
            </w:pPr>
            <w:r>
              <w:rPr>
                <w:rFonts w:ascii="宋体" w:hAnsi="宋体"/>
                <w:color w:val="auto"/>
                <w:spacing w:val="-6"/>
                <w:szCs w:val="21"/>
              </w:rPr>
              <w:t>11℃闭杯；16℃开杯</w:t>
            </w:r>
          </w:p>
        </w:tc>
        <w:tc>
          <w:tcPr>
            <w:tcW w:w="703" w:type="dxa"/>
            <w:noWrap w:val="0"/>
            <w:vAlign w:val="center"/>
          </w:tcPr>
          <w:p>
            <w:pPr>
              <w:spacing w:line="300" w:lineRule="exact"/>
              <w:jc w:val="center"/>
              <w:rPr>
                <w:rFonts w:hint="eastAsia" w:ascii="宋体" w:hAnsi="宋体"/>
                <w:color w:val="auto"/>
                <w:szCs w:val="21"/>
              </w:rPr>
            </w:pPr>
            <w:r>
              <w:rPr>
                <w:rFonts w:hint="eastAsia" w:ascii="宋体" w:hAnsi="宋体"/>
                <w:color w:val="auto"/>
                <w:spacing w:val="-6"/>
                <w:szCs w:val="21"/>
              </w:rPr>
              <w:t>甲类</w:t>
            </w:r>
          </w:p>
        </w:tc>
        <w:tc>
          <w:tcPr>
            <w:tcW w:w="994" w:type="dxa"/>
            <w:noWrap w:val="0"/>
            <w:vAlign w:val="center"/>
          </w:tcPr>
          <w:p>
            <w:pPr>
              <w:spacing w:line="300" w:lineRule="exact"/>
              <w:jc w:val="center"/>
              <w:rPr>
                <w:rFonts w:hint="eastAsia" w:ascii="宋体" w:hAnsi="宋体"/>
                <w:color w:val="auto"/>
                <w:szCs w:val="21"/>
              </w:rPr>
            </w:pPr>
            <w:r>
              <w:rPr>
                <w:rFonts w:hint="eastAsia" w:ascii="宋体" w:hAnsi="宋体"/>
                <w:color w:val="auto"/>
                <w:spacing w:val="-6"/>
                <w:szCs w:val="21"/>
              </w:rPr>
              <w:t>5.5-44</w:t>
            </w:r>
          </w:p>
        </w:tc>
        <w:tc>
          <w:tcPr>
            <w:tcW w:w="1286" w:type="dxa"/>
            <w:noWrap w:val="0"/>
            <w:vAlign w:val="center"/>
          </w:tcPr>
          <w:p>
            <w:pPr>
              <w:spacing w:line="300" w:lineRule="exact"/>
              <w:rPr>
                <w:rFonts w:hint="eastAsia" w:ascii="宋体" w:hAnsi="宋体"/>
                <w:color w:val="auto"/>
                <w:szCs w:val="21"/>
              </w:rPr>
            </w:pPr>
            <w:r>
              <w:rPr>
                <w:rFonts w:hint="eastAsia" w:ascii="宋体" w:hAnsi="宋体"/>
                <w:color w:val="auto"/>
                <w:spacing w:val="-6"/>
                <w:szCs w:val="21"/>
              </w:rPr>
              <w:t>轻微危害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92" w:type="dxa"/>
            <w:noWrap w:val="0"/>
            <w:vAlign w:val="center"/>
          </w:tcPr>
          <w:p>
            <w:pPr>
              <w:spacing w:line="300" w:lineRule="exact"/>
              <w:jc w:val="center"/>
              <w:rPr>
                <w:rFonts w:hint="eastAsia" w:ascii="宋体" w:hAnsi="宋体"/>
                <w:color w:val="auto"/>
                <w:szCs w:val="21"/>
              </w:rPr>
            </w:pPr>
            <w:r>
              <w:rPr>
                <w:rFonts w:hint="eastAsia" w:ascii="宋体" w:hAnsi="宋体"/>
                <w:color w:val="auto"/>
                <w:szCs w:val="21"/>
              </w:rPr>
              <w:t>3</w:t>
            </w:r>
          </w:p>
        </w:tc>
        <w:tc>
          <w:tcPr>
            <w:tcW w:w="754" w:type="dxa"/>
            <w:noWrap w:val="0"/>
            <w:vAlign w:val="center"/>
          </w:tcPr>
          <w:p>
            <w:pPr>
              <w:spacing w:line="300" w:lineRule="exact"/>
              <w:jc w:val="center"/>
              <w:rPr>
                <w:rFonts w:hint="eastAsia" w:ascii="宋体" w:hAnsi="宋体"/>
                <w:color w:val="auto"/>
                <w:szCs w:val="21"/>
              </w:rPr>
            </w:pPr>
            <w:r>
              <w:rPr>
                <w:rFonts w:hint="eastAsia" w:ascii="宋体" w:hAnsi="宋体"/>
                <w:color w:val="auto"/>
                <w:szCs w:val="21"/>
              </w:rPr>
              <w:t>氢氧化钠</w:t>
            </w:r>
          </w:p>
        </w:tc>
        <w:tc>
          <w:tcPr>
            <w:tcW w:w="4337" w:type="dxa"/>
            <w:noWrap w:val="0"/>
            <w:vAlign w:val="center"/>
          </w:tcPr>
          <w:p>
            <w:pPr>
              <w:spacing w:line="300" w:lineRule="exact"/>
              <w:jc w:val="left"/>
              <w:rPr>
                <w:rFonts w:hint="eastAsia" w:ascii="宋体" w:hAnsi="宋体"/>
                <w:color w:val="auto"/>
                <w:spacing w:val="-6"/>
                <w:szCs w:val="21"/>
              </w:rPr>
            </w:pPr>
            <w:r>
              <w:rPr>
                <w:rFonts w:ascii="宋体" w:hAnsi="宋体"/>
                <w:color w:val="auto"/>
                <w:spacing w:val="-6"/>
                <w:szCs w:val="21"/>
              </w:rPr>
              <w:t>本品不会燃烧，遇水和水蒸气大量放热，形成腐蚀性溶液。与酸发生中和反应并放热。具有强腐蚀性</w:t>
            </w:r>
            <w:r>
              <w:rPr>
                <w:rFonts w:hint="eastAsia" w:ascii="宋体" w:hAnsi="宋体"/>
                <w:color w:val="auto"/>
                <w:spacing w:val="-6"/>
                <w:szCs w:val="21"/>
              </w:rPr>
              <w:t>。</w:t>
            </w:r>
          </w:p>
        </w:tc>
        <w:tc>
          <w:tcPr>
            <w:tcW w:w="806" w:type="dxa"/>
            <w:noWrap w:val="0"/>
            <w:vAlign w:val="center"/>
          </w:tcPr>
          <w:p>
            <w:pPr>
              <w:spacing w:line="300" w:lineRule="exact"/>
              <w:jc w:val="center"/>
              <w:rPr>
                <w:rFonts w:hint="eastAsia" w:ascii="宋体" w:hAnsi="宋体"/>
                <w:color w:val="auto"/>
                <w:spacing w:val="-6"/>
                <w:szCs w:val="21"/>
              </w:rPr>
            </w:pPr>
            <w:r>
              <w:rPr>
                <w:rFonts w:hint="eastAsia" w:ascii="宋体" w:hAnsi="宋体"/>
                <w:color w:val="auto"/>
                <w:spacing w:val="-6"/>
                <w:szCs w:val="21"/>
              </w:rPr>
              <w:t>-</w:t>
            </w:r>
          </w:p>
        </w:tc>
        <w:tc>
          <w:tcPr>
            <w:tcW w:w="703" w:type="dxa"/>
            <w:noWrap w:val="0"/>
            <w:vAlign w:val="center"/>
          </w:tcPr>
          <w:p>
            <w:pPr>
              <w:spacing w:line="300" w:lineRule="exact"/>
              <w:jc w:val="center"/>
              <w:rPr>
                <w:rFonts w:hint="eastAsia" w:ascii="宋体" w:hAnsi="宋体"/>
                <w:color w:val="auto"/>
                <w:spacing w:val="-6"/>
                <w:szCs w:val="21"/>
              </w:rPr>
            </w:pPr>
            <w:r>
              <w:rPr>
                <w:rFonts w:hint="eastAsia" w:ascii="宋体" w:hAnsi="宋体"/>
                <w:color w:val="auto"/>
                <w:spacing w:val="-6"/>
                <w:szCs w:val="21"/>
              </w:rPr>
              <w:t>丁类</w:t>
            </w:r>
          </w:p>
        </w:tc>
        <w:tc>
          <w:tcPr>
            <w:tcW w:w="994" w:type="dxa"/>
            <w:noWrap w:val="0"/>
            <w:vAlign w:val="center"/>
          </w:tcPr>
          <w:p>
            <w:pPr>
              <w:spacing w:line="300" w:lineRule="exact"/>
              <w:jc w:val="center"/>
              <w:rPr>
                <w:rFonts w:hint="eastAsia" w:ascii="宋体" w:hAnsi="宋体"/>
                <w:color w:val="auto"/>
                <w:spacing w:val="-6"/>
                <w:szCs w:val="21"/>
              </w:rPr>
            </w:pPr>
            <w:r>
              <w:rPr>
                <w:rFonts w:hint="eastAsia" w:ascii="宋体" w:hAnsi="宋体"/>
                <w:color w:val="auto"/>
                <w:spacing w:val="-6"/>
                <w:szCs w:val="21"/>
              </w:rPr>
              <w:t>-</w:t>
            </w:r>
          </w:p>
        </w:tc>
        <w:tc>
          <w:tcPr>
            <w:tcW w:w="1286" w:type="dxa"/>
            <w:noWrap w:val="0"/>
            <w:vAlign w:val="center"/>
          </w:tcPr>
          <w:p>
            <w:pPr>
              <w:spacing w:line="300" w:lineRule="exact"/>
              <w:jc w:val="center"/>
              <w:rPr>
                <w:rFonts w:hint="eastAsia" w:ascii="宋体" w:hAnsi="宋体"/>
                <w:color w:val="auto"/>
                <w:spacing w:val="-6"/>
                <w:szCs w:val="21"/>
              </w:rPr>
            </w:pPr>
            <w:r>
              <w:rPr>
                <w:rFonts w:hint="eastAsia" w:ascii="宋体" w:hAnsi="宋体"/>
                <w:color w:val="auto"/>
                <w:spacing w:val="-6"/>
                <w:szCs w:val="21"/>
              </w:rPr>
              <w:t>轻微危害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330" w:hRule="atLeast"/>
          <w:jc w:val="center"/>
        </w:trPr>
        <w:tc>
          <w:tcPr>
            <w:tcW w:w="692" w:type="dxa"/>
            <w:noWrap w:val="0"/>
            <w:vAlign w:val="center"/>
          </w:tcPr>
          <w:p>
            <w:pPr>
              <w:spacing w:line="300" w:lineRule="exact"/>
              <w:jc w:val="center"/>
              <w:rPr>
                <w:rFonts w:hint="eastAsia" w:ascii="宋体" w:hAnsi="宋体"/>
                <w:color w:val="auto"/>
                <w:szCs w:val="21"/>
              </w:rPr>
            </w:pPr>
            <w:r>
              <w:rPr>
                <w:rFonts w:hint="eastAsia" w:ascii="宋体" w:hAnsi="宋体"/>
                <w:color w:val="auto"/>
                <w:szCs w:val="21"/>
              </w:rPr>
              <w:t>3</w:t>
            </w:r>
          </w:p>
        </w:tc>
        <w:tc>
          <w:tcPr>
            <w:tcW w:w="754" w:type="dxa"/>
            <w:noWrap w:val="0"/>
            <w:vAlign w:val="center"/>
          </w:tcPr>
          <w:p>
            <w:pPr>
              <w:spacing w:line="300" w:lineRule="exact"/>
              <w:jc w:val="center"/>
              <w:rPr>
                <w:rFonts w:hint="eastAsia" w:ascii="宋体" w:hAnsi="宋体"/>
                <w:color w:val="auto"/>
                <w:szCs w:val="21"/>
              </w:rPr>
            </w:pPr>
            <w:r>
              <w:rPr>
                <w:rFonts w:hint="eastAsia" w:ascii="宋体" w:hAnsi="宋体"/>
                <w:color w:val="auto"/>
                <w:szCs w:val="21"/>
              </w:rPr>
              <w:t>盐酸</w:t>
            </w:r>
          </w:p>
        </w:tc>
        <w:tc>
          <w:tcPr>
            <w:tcW w:w="4337" w:type="dxa"/>
            <w:noWrap w:val="0"/>
            <w:vAlign w:val="center"/>
          </w:tcPr>
          <w:p>
            <w:pPr>
              <w:spacing w:line="300" w:lineRule="exact"/>
              <w:jc w:val="left"/>
              <w:rPr>
                <w:rFonts w:hint="eastAsia" w:ascii="宋体" w:hAnsi="宋体"/>
                <w:color w:val="auto"/>
                <w:spacing w:val="-6"/>
                <w:szCs w:val="21"/>
              </w:rPr>
            </w:pPr>
            <w:r>
              <w:rPr>
                <w:rFonts w:ascii="宋体" w:hAnsi="宋体"/>
                <w:color w:val="auto"/>
                <w:spacing w:val="-6"/>
                <w:szCs w:val="21"/>
              </w:rPr>
              <w:t>能与一些活性金属粉末发生反应，放出氢气。遇氰化物能产生剧毒的氰化氢气体。与碱发生中合反应，并放出大量的热。具有较强的腐蚀性。与乙酸酐、脂肪胺类、链烷醇胺类、烯基氧化物、芳香胺类、氨基化合物、2-氨基乙醇、氨、氢氧化氨、二磷化三钙、氯磺酸、乙撑二胺、二甲亚胺、环氧氯丙烷、异氰酸酯类、乙炔基金属、发烟硫酸、有机酸酐、高氯酸、3-丙内酯、磷化铀、硫酸、氢氧化钠及其他碱类、强氧化剂、</w:t>
            </w:r>
            <w:r>
              <w:rPr>
                <w:rFonts w:hint="eastAsia" w:ascii="宋体" w:hAnsi="宋体"/>
                <w:color w:val="auto"/>
                <w:spacing w:val="-6"/>
                <w:szCs w:val="21"/>
              </w:rPr>
              <w:t>丙酮</w:t>
            </w:r>
            <w:r>
              <w:rPr>
                <w:rFonts w:ascii="宋体" w:hAnsi="宋体"/>
                <w:color w:val="auto"/>
                <w:spacing w:val="-6"/>
                <w:szCs w:val="21"/>
              </w:rPr>
              <w:t>乙烯酯及二氟乙烯接触发生反应。接触绝大多数金属，放出易燃氢气。腐蚀某些塑料、橡胶和涂料</w:t>
            </w:r>
            <w:r>
              <w:rPr>
                <w:rFonts w:hint="eastAsia" w:ascii="宋体" w:hAnsi="宋体"/>
                <w:color w:val="auto"/>
                <w:spacing w:val="-6"/>
                <w:szCs w:val="21"/>
              </w:rPr>
              <w:t>。</w:t>
            </w:r>
          </w:p>
        </w:tc>
        <w:tc>
          <w:tcPr>
            <w:tcW w:w="806" w:type="dxa"/>
            <w:noWrap w:val="0"/>
            <w:vAlign w:val="center"/>
          </w:tcPr>
          <w:p>
            <w:pPr>
              <w:spacing w:line="300" w:lineRule="exact"/>
              <w:jc w:val="center"/>
              <w:rPr>
                <w:rFonts w:hint="eastAsia" w:ascii="宋体" w:hAnsi="宋体"/>
                <w:color w:val="auto"/>
                <w:spacing w:val="-6"/>
                <w:szCs w:val="21"/>
              </w:rPr>
            </w:pPr>
            <w:r>
              <w:rPr>
                <w:rFonts w:hint="eastAsia" w:ascii="宋体" w:hAnsi="宋体"/>
                <w:color w:val="auto"/>
                <w:spacing w:val="-6"/>
                <w:szCs w:val="21"/>
              </w:rPr>
              <w:t>－</w:t>
            </w:r>
          </w:p>
        </w:tc>
        <w:tc>
          <w:tcPr>
            <w:tcW w:w="703" w:type="dxa"/>
            <w:noWrap w:val="0"/>
            <w:vAlign w:val="center"/>
          </w:tcPr>
          <w:p>
            <w:pPr>
              <w:spacing w:line="300" w:lineRule="exact"/>
              <w:jc w:val="center"/>
              <w:rPr>
                <w:rFonts w:hint="eastAsia" w:ascii="宋体" w:hAnsi="宋体"/>
                <w:color w:val="auto"/>
                <w:spacing w:val="-6"/>
                <w:szCs w:val="21"/>
              </w:rPr>
            </w:pPr>
            <w:r>
              <w:rPr>
                <w:rFonts w:hint="eastAsia" w:ascii="宋体" w:hAnsi="宋体"/>
                <w:color w:val="auto"/>
                <w:spacing w:val="-6"/>
                <w:szCs w:val="21"/>
              </w:rPr>
              <w:t>戊类</w:t>
            </w:r>
          </w:p>
        </w:tc>
        <w:tc>
          <w:tcPr>
            <w:tcW w:w="994" w:type="dxa"/>
            <w:noWrap w:val="0"/>
            <w:vAlign w:val="center"/>
          </w:tcPr>
          <w:p>
            <w:pPr>
              <w:spacing w:line="300" w:lineRule="exact"/>
              <w:jc w:val="center"/>
              <w:rPr>
                <w:rFonts w:hint="eastAsia" w:ascii="宋体" w:hAnsi="宋体"/>
                <w:color w:val="auto"/>
                <w:spacing w:val="-6"/>
                <w:szCs w:val="21"/>
              </w:rPr>
            </w:pPr>
            <w:r>
              <w:rPr>
                <w:rFonts w:hint="eastAsia" w:ascii="宋体" w:hAnsi="宋体"/>
                <w:color w:val="auto"/>
                <w:spacing w:val="-6"/>
                <w:szCs w:val="21"/>
              </w:rPr>
              <w:t>－</w:t>
            </w:r>
          </w:p>
        </w:tc>
        <w:tc>
          <w:tcPr>
            <w:tcW w:w="1286" w:type="dxa"/>
            <w:noWrap w:val="0"/>
            <w:vAlign w:val="center"/>
          </w:tcPr>
          <w:p>
            <w:pPr>
              <w:spacing w:line="300" w:lineRule="exact"/>
              <w:jc w:val="center"/>
              <w:rPr>
                <w:rFonts w:hint="eastAsia" w:ascii="宋体" w:hAnsi="宋体"/>
                <w:color w:val="auto"/>
                <w:spacing w:val="-6"/>
                <w:szCs w:val="21"/>
              </w:rPr>
            </w:pPr>
            <w:r>
              <w:rPr>
                <w:rFonts w:hint="eastAsia" w:ascii="宋体" w:hAnsi="宋体"/>
                <w:color w:val="auto"/>
                <w:spacing w:val="-6"/>
                <w:szCs w:val="21"/>
              </w:rPr>
              <w:t>轻度危害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92" w:type="dxa"/>
            <w:noWrap w:val="0"/>
            <w:vAlign w:val="center"/>
          </w:tcPr>
          <w:p>
            <w:pPr>
              <w:spacing w:line="300" w:lineRule="exact"/>
              <w:jc w:val="center"/>
              <w:rPr>
                <w:rFonts w:hint="eastAsia" w:ascii="宋体" w:hAnsi="宋体"/>
                <w:color w:val="auto"/>
                <w:szCs w:val="21"/>
              </w:rPr>
            </w:pPr>
            <w:r>
              <w:rPr>
                <w:rFonts w:hint="eastAsia" w:ascii="宋体" w:hAnsi="宋体"/>
                <w:color w:val="auto"/>
                <w:szCs w:val="21"/>
              </w:rPr>
              <w:t>4</w:t>
            </w:r>
          </w:p>
        </w:tc>
        <w:tc>
          <w:tcPr>
            <w:tcW w:w="754" w:type="dxa"/>
            <w:noWrap w:val="0"/>
            <w:vAlign w:val="center"/>
          </w:tcPr>
          <w:p>
            <w:pPr>
              <w:spacing w:line="300" w:lineRule="exact"/>
              <w:jc w:val="center"/>
              <w:rPr>
                <w:rFonts w:hint="eastAsia" w:ascii="宋体" w:hAnsi="宋体"/>
                <w:color w:val="auto"/>
                <w:szCs w:val="21"/>
              </w:rPr>
            </w:pPr>
            <w:r>
              <w:rPr>
                <w:rFonts w:hint="eastAsia" w:ascii="宋体" w:hAnsi="宋体"/>
                <w:color w:val="auto"/>
                <w:szCs w:val="21"/>
              </w:rPr>
              <w:t>硫酸</w:t>
            </w:r>
          </w:p>
        </w:tc>
        <w:tc>
          <w:tcPr>
            <w:tcW w:w="4337" w:type="dxa"/>
            <w:noWrap w:val="0"/>
            <w:vAlign w:val="center"/>
          </w:tcPr>
          <w:p>
            <w:pPr>
              <w:spacing w:line="300" w:lineRule="exact"/>
              <w:jc w:val="left"/>
              <w:rPr>
                <w:rFonts w:hint="eastAsia" w:ascii="宋体" w:hAnsi="宋体"/>
                <w:color w:val="auto"/>
                <w:spacing w:val="-6"/>
                <w:szCs w:val="21"/>
              </w:rPr>
            </w:pPr>
            <w:r>
              <w:rPr>
                <w:rFonts w:ascii="宋体" w:hAnsi="宋体"/>
                <w:color w:val="auto"/>
                <w:spacing w:val="-6"/>
                <w:szCs w:val="21"/>
              </w:rPr>
              <w:t>与易燃物(如苯)和有机物(如糖、纤维素等)接触会发生剧烈反应，甚至引起燃烧。能与一些活性金属粉末发生反应，放出氢气。遇水大量放热，可发生沸溅。具有强腐蚀性。能腐蚀绝大多数金属和塑料、橡胶及涂料</w:t>
            </w:r>
            <w:r>
              <w:rPr>
                <w:rFonts w:hint="eastAsia" w:ascii="宋体" w:hAnsi="宋体"/>
                <w:color w:val="auto"/>
                <w:spacing w:val="-6"/>
                <w:szCs w:val="21"/>
              </w:rPr>
              <w:t>。</w:t>
            </w:r>
          </w:p>
        </w:tc>
        <w:tc>
          <w:tcPr>
            <w:tcW w:w="806" w:type="dxa"/>
            <w:noWrap w:val="0"/>
            <w:vAlign w:val="center"/>
          </w:tcPr>
          <w:p>
            <w:pPr>
              <w:spacing w:line="300" w:lineRule="exact"/>
              <w:jc w:val="center"/>
              <w:rPr>
                <w:rFonts w:hint="eastAsia" w:ascii="宋体" w:hAnsi="宋体"/>
                <w:color w:val="auto"/>
                <w:spacing w:val="-6"/>
                <w:szCs w:val="21"/>
              </w:rPr>
            </w:pPr>
            <w:r>
              <w:rPr>
                <w:rFonts w:hint="eastAsia" w:ascii="宋体" w:hAnsi="宋体"/>
                <w:color w:val="auto"/>
                <w:spacing w:val="-6"/>
                <w:szCs w:val="21"/>
              </w:rPr>
              <w:t>-</w:t>
            </w:r>
          </w:p>
        </w:tc>
        <w:tc>
          <w:tcPr>
            <w:tcW w:w="703" w:type="dxa"/>
            <w:noWrap w:val="0"/>
            <w:vAlign w:val="center"/>
          </w:tcPr>
          <w:p>
            <w:pPr>
              <w:spacing w:line="300" w:lineRule="exact"/>
              <w:jc w:val="center"/>
              <w:rPr>
                <w:rFonts w:hint="eastAsia" w:ascii="宋体" w:hAnsi="宋体"/>
                <w:color w:val="auto"/>
                <w:spacing w:val="-6"/>
                <w:szCs w:val="21"/>
              </w:rPr>
            </w:pPr>
            <w:r>
              <w:rPr>
                <w:rFonts w:hint="eastAsia" w:ascii="宋体" w:hAnsi="宋体"/>
                <w:color w:val="auto"/>
                <w:spacing w:val="-6"/>
                <w:szCs w:val="21"/>
              </w:rPr>
              <w:t>乙类</w:t>
            </w:r>
          </w:p>
        </w:tc>
        <w:tc>
          <w:tcPr>
            <w:tcW w:w="994" w:type="dxa"/>
            <w:noWrap w:val="0"/>
            <w:vAlign w:val="center"/>
          </w:tcPr>
          <w:p>
            <w:pPr>
              <w:spacing w:line="300" w:lineRule="exact"/>
              <w:jc w:val="center"/>
              <w:rPr>
                <w:rFonts w:hint="eastAsia" w:ascii="宋体" w:hAnsi="宋体"/>
                <w:color w:val="auto"/>
                <w:spacing w:val="-6"/>
                <w:szCs w:val="21"/>
              </w:rPr>
            </w:pPr>
            <w:r>
              <w:rPr>
                <w:rFonts w:hint="eastAsia" w:ascii="宋体" w:hAnsi="宋体"/>
                <w:color w:val="auto"/>
                <w:spacing w:val="-6"/>
                <w:szCs w:val="21"/>
              </w:rPr>
              <w:t>-</w:t>
            </w:r>
          </w:p>
        </w:tc>
        <w:tc>
          <w:tcPr>
            <w:tcW w:w="1286" w:type="dxa"/>
            <w:noWrap w:val="0"/>
            <w:vAlign w:val="center"/>
          </w:tcPr>
          <w:p>
            <w:pPr>
              <w:spacing w:line="300" w:lineRule="exact"/>
              <w:jc w:val="center"/>
              <w:rPr>
                <w:rFonts w:hint="eastAsia" w:ascii="宋体" w:hAnsi="宋体"/>
                <w:color w:val="auto"/>
                <w:spacing w:val="-6"/>
                <w:szCs w:val="21"/>
              </w:rPr>
            </w:pPr>
            <w:r>
              <w:rPr>
                <w:rFonts w:hint="eastAsia" w:ascii="宋体" w:hAnsi="宋体"/>
                <w:color w:val="auto"/>
                <w:spacing w:val="-6"/>
                <w:szCs w:val="21"/>
              </w:rPr>
              <w:t>轻微危害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92" w:type="dxa"/>
            <w:noWrap w:val="0"/>
            <w:vAlign w:val="center"/>
          </w:tcPr>
          <w:p>
            <w:pPr>
              <w:spacing w:line="300" w:lineRule="exact"/>
              <w:jc w:val="center"/>
              <w:rPr>
                <w:rFonts w:hint="eastAsia" w:ascii="宋体" w:hAnsi="宋体"/>
                <w:color w:val="auto"/>
                <w:szCs w:val="21"/>
              </w:rPr>
            </w:pPr>
            <w:r>
              <w:rPr>
                <w:rFonts w:hint="eastAsia" w:ascii="宋体" w:hAnsi="宋体"/>
                <w:color w:val="auto"/>
                <w:szCs w:val="21"/>
              </w:rPr>
              <w:t>5</w:t>
            </w:r>
          </w:p>
        </w:tc>
        <w:tc>
          <w:tcPr>
            <w:tcW w:w="754" w:type="dxa"/>
            <w:noWrap w:val="0"/>
            <w:vAlign w:val="center"/>
          </w:tcPr>
          <w:p>
            <w:pPr>
              <w:spacing w:line="300" w:lineRule="exact"/>
              <w:jc w:val="center"/>
              <w:rPr>
                <w:rFonts w:hint="eastAsia" w:ascii="宋体" w:hAnsi="宋体"/>
                <w:color w:val="auto"/>
                <w:szCs w:val="21"/>
              </w:rPr>
            </w:pPr>
            <w:r>
              <w:rPr>
                <w:rFonts w:hint="eastAsia" w:ascii="宋体" w:hAnsi="宋体"/>
                <w:color w:val="auto"/>
                <w:szCs w:val="21"/>
              </w:rPr>
              <w:t>丙酮</w:t>
            </w:r>
          </w:p>
        </w:tc>
        <w:tc>
          <w:tcPr>
            <w:tcW w:w="4337" w:type="dxa"/>
            <w:noWrap w:val="0"/>
            <w:vAlign w:val="center"/>
          </w:tcPr>
          <w:p>
            <w:pPr>
              <w:spacing w:line="300" w:lineRule="exact"/>
              <w:jc w:val="left"/>
              <w:rPr>
                <w:rFonts w:ascii="宋体" w:hAnsi="宋体"/>
                <w:color w:val="auto"/>
                <w:spacing w:val="-6"/>
                <w:szCs w:val="21"/>
              </w:rPr>
            </w:pPr>
            <w:r>
              <w:rPr>
                <w:rFonts w:hint="eastAsia" w:ascii="宋体" w:hAnsi="宋体"/>
                <w:color w:val="auto"/>
                <w:spacing w:val="-6"/>
                <w:szCs w:val="21"/>
              </w:rPr>
              <w:t>其蒸气与空气可形成爆炸性混合物，遇明火、高热极易燃烧爆炸。与氧化剂能发生强烈反应。其蒸气比空气重，能在较低处扩散到相当远的地方，遇火源会着火回燃。若遇高热，容器内压增大，有开裂和爆炸的危险。</w:t>
            </w:r>
          </w:p>
        </w:tc>
        <w:tc>
          <w:tcPr>
            <w:tcW w:w="806" w:type="dxa"/>
            <w:noWrap w:val="0"/>
            <w:vAlign w:val="center"/>
          </w:tcPr>
          <w:p>
            <w:pPr>
              <w:spacing w:line="300" w:lineRule="exact"/>
              <w:jc w:val="center"/>
              <w:rPr>
                <w:rFonts w:hint="eastAsia" w:ascii="宋体" w:hAnsi="宋体"/>
                <w:color w:val="auto"/>
                <w:spacing w:val="-6"/>
                <w:szCs w:val="21"/>
              </w:rPr>
            </w:pPr>
            <w:r>
              <w:rPr>
                <w:rFonts w:hint="eastAsia" w:ascii="宋体" w:hAnsi="宋体"/>
                <w:color w:val="auto"/>
                <w:spacing w:val="-6"/>
                <w:szCs w:val="21"/>
              </w:rPr>
              <w:t>-</w:t>
            </w:r>
          </w:p>
        </w:tc>
        <w:tc>
          <w:tcPr>
            <w:tcW w:w="703" w:type="dxa"/>
            <w:noWrap w:val="0"/>
            <w:vAlign w:val="center"/>
          </w:tcPr>
          <w:p>
            <w:pPr>
              <w:spacing w:line="300" w:lineRule="exact"/>
              <w:jc w:val="center"/>
              <w:rPr>
                <w:rFonts w:hint="eastAsia" w:ascii="宋体" w:hAnsi="宋体"/>
                <w:color w:val="auto"/>
                <w:spacing w:val="-6"/>
                <w:szCs w:val="21"/>
              </w:rPr>
            </w:pPr>
          </w:p>
        </w:tc>
        <w:tc>
          <w:tcPr>
            <w:tcW w:w="994" w:type="dxa"/>
            <w:noWrap w:val="0"/>
            <w:vAlign w:val="center"/>
          </w:tcPr>
          <w:p>
            <w:pPr>
              <w:spacing w:line="300" w:lineRule="exact"/>
              <w:jc w:val="center"/>
              <w:rPr>
                <w:rFonts w:hint="eastAsia" w:ascii="宋体" w:hAnsi="宋体"/>
                <w:color w:val="auto"/>
                <w:spacing w:val="-6"/>
                <w:szCs w:val="21"/>
              </w:rPr>
            </w:pPr>
            <w:r>
              <w:rPr>
                <w:rFonts w:hint="eastAsia" w:ascii="宋体" w:hAnsi="宋体"/>
                <w:color w:val="auto"/>
                <w:spacing w:val="-6"/>
                <w:szCs w:val="21"/>
              </w:rPr>
              <w:t>2.5-13</w:t>
            </w:r>
          </w:p>
        </w:tc>
        <w:tc>
          <w:tcPr>
            <w:tcW w:w="1286" w:type="dxa"/>
            <w:noWrap w:val="0"/>
            <w:vAlign w:val="center"/>
          </w:tcPr>
          <w:p>
            <w:pPr>
              <w:spacing w:line="300" w:lineRule="exact"/>
              <w:jc w:val="center"/>
              <w:rPr>
                <w:rFonts w:hint="eastAsia" w:ascii="宋体" w:hAnsi="宋体"/>
                <w:color w:val="auto"/>
                <w:spacing w:val="-6"/>
                <w:szCs w:val="21"/>
              </w:rPr>
            </w:pPr>
            <w:r>
              <w:rPr>
                <w:rFonts w:hint="eastAsia" w:ascii="宋体" w:hAnsi="宋体"/>
                <w:color w:val="auto"/>
                <w:spacing w:val="-6"/>
                <w:szCs w:val="21"/>
              </w:rPr>
              <w:t>轻微危害</w:t>
            </w:r>
          </w:p>
        </w:tc>
      </w:tr>
    </w:tbl>
    <w:p>
      <w:pPr>
        <w:autoSpaceDE w:val="0"/>
        <w:autoSpaceDN w:val="0"/>
        <w:adjustRightInd w:val="0"/>
        <w:spacing w:line="360" w:lineRule="auto"/>
        <w:ind w:firstLine="444" w:firstLineChars="200"/>
        <w:jc w:val="center"/>
        <w:rPr>
          <w:rFonts w:hint="eastAsia" w:ascii="宋体" w:hAnsi="宋体"/>
          <w:bCs/>
          <w:color w:val="auto"/>
          <w:spacing w:val="6"/>
        </w:rPr>
      </w:pPr>
      <w:r>
        <w:rPr>
          <w:rFonts w:hint="eastAsia" w:ascii="宋体" w:hAnsi="宋体"/>
          <w:bCs/>
          <w:color w:val="auto"/>
          <w:spacing w:val="6"/>
        </w:rPr>
        <w:t>表2-2 主要危险因素</w:t>
      </w:r>
    </w:p>
    <w:tbl>
      <w:tblPr>
        <w:tblStyle w:val="7"/>
        <w:tblW w:w="95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200"/>
        <w:gridCol w:w="5299"/>
        <w:gridCol w:w="2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0" w:type="dxa"/>
            <w:noWrap w:val="0"/>
            <w:vAlign w:val="center"/>
          </w:tcPr>
          <w:p>
            <w:pPr>
              <w:pStyle w:val="10"/>
              <w:rPr>
                <w:rFonts w:hint="eastAsia"/>
                <w:color w:val="auto"/>
              </w:rPr>
            </w:pPr>
            <w:r>
              <w:rPr>
                <w:rFonts w:hint="eastAsia"/>
                <w:b/>
                <w:color w:val="auto"/>
              </w:rPr>
              <w:t>序号</w:t>
            </w:r>
          </w:p>
        </w:tc>
        <w:tc>
          <w:tcPr>
            <w:tcW w:w="1200" w:type="dxa"/>
            <w:noWrap w:val="0"/>
            <w:vAlign w:val="center"/>
          </w:tcPr>
          <w:p>
            <w:pPr>
              <w:pStyle w:val="10"/>
              <w:rPr>
                <w:rFonts w:hint="eastAsia"/>
                <w:color w:val="auto"/>
              </w:rPr>
            </w:pPr>
            <w:r>
              <w:rPr>
                <w:rFonts w:hint="eastAsia"/>
                <w:b/>
                <w:color w:val="auto"/>
              </w:rPr>
              <w:t>事故类型</w:t>
            </w:r>
          </w:p>
        </w:tc>
        <w:tc>
          <w:tcPr>
            <w:tcW w:w="5299" w:type="dxa"/>
            <w:noWrap w:val="0"/>
            <w:vAlign w:val="center"/>
          </w:tcPr>
          <w:p>
            <w:pPr>
              <w:pStyle w:val="10"/>
              <w:rPr>
                <w:rFonts w:hint="eastAsia"/>
                <w:color w:val="auto"/>
              </w:rPr>
            </w:pPr>
            <w:r>
              <w:rPr>
                <w:rFonts w:hint="eastAsia"/>
                <w:b/>
                <w:color w:val="auto"/>
              </w:rPr>
              <w:t>存在场所/部位</w:t>
            </w:r>
          </w:p>
        </w:tc>
        <w:tc>
          <w:tcPr>
            <w:tcW w:w="2393" w:type="dxa"/>
            <w:noWrap w:val="0"/>
            <w:vAlign w:val="center"/>
          </w:tcPr>
          <w:p>
            <w:pPr>
              <w:pStyle w:val="10"/>
              <w:rPr>
                <w:rFonts w:hint="eastAsia"/>
                <w:color w:val="auto"/>
              </w:rPr>
            </w:pPr>
            <w:r>
              <w:rPr>
                <w:rFonts w:hint="eastAsia"/>
                <w:b/>
                <w:color w:val="auto"/>
              </w:rPr>
              <w:t>事故影响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0" w:type="dxa"/>
            <w:noWrap w:val="0"/>
            <w:vAlign w:val="center"/>
          </w:tcPr>
          <w:p>
            <w:pPr>
              <w:pStyle w:val="11"/>
              <w:jc w:val="center"/>
              <w:rPr>
                <w:rFonts w:hint="eastAsia"/>
                <w:color w:val="auto"/>
              </w:rPr>
            </w:pPr>
            <w:r>
              <w:rPr>
                <w:rFonts w:hint="eastAsia"/>
                <w:color w:val="auto"/>
                <w:szCs w:val="21"/>
              </w:rPr>
              <w:t>1</w:t>
            </w:r>
          </w:p>
        </w:tc>
        <w:tc>
          <w:tcPr>
            <w:tcW w:w="1200" w:type="dxa"/>
            <w:noWrap w:val="0"/>
            <w:vAlign w:val="center"/>
          </w:tcPr>
          <w:p>
            <w:pPr>
              <w:pStyle w:val="11"/>
              <w:jc w:val="center"/>
              <w:rPr>
                <w:rFonts w:hint="eastAsia"/>
                <w:color w:val="auto"/>
              </w:rPr>
            </w:pPr>
            <w:r>
              <w:rPr>
                <w:rFonts w:hint="eastAsia"/>
                <w:color w:val="auto"/>
                <w:szCs w:val="21"/>
              </w:rPr>
              <w:t>火灾</w:t>
            </w:r>
          </w:p>
        </w:tc>
        <w:tc>
          <w:tcPr>
            <w:tcW w:w="5299" w:type="dxa"/>
            <w:noWrap w:val="0"/>
            <w:vAlign w:val="center"/>
          </w:tcPr>
          <w:p>
            <w:pPr>
              <w:pStyle w:val="11"/>
              <w:jc w:val="both"/>
              <w:rPr>
                <w:rFonts w:hint="eastAsia"/>
                <w:color w:val="auto"/>
              </w:rPr>
            </w:pPr>
            <w:r>
              <w:rPr>
                <w:rFonts w:hint="eastAsia"/>
                <w:color w:val="auto"/>
                <w:szCs w:val="21"/>
              </w:rPr>
              <w:t>电气设施、可燃物料、可燃包装材料、甲醇、乙醇、丙酮等</w:t>
            </w:r>
          </w:p>
        </w:tc>
        <w:tc>
          <w:tcPr>
            <w:tcW w:w="2393" w:type="dxa"/>
            <w:noWrap w:val="0"/>
            <w:vAlign w:val="center"/>
          </w:tcPr>
          <w:p>
            <w:pPr>
              <w:pStyle w:val="11"/>
              <w:jc w:val="center"/>
              <w:rPr>
                <w:rFonts w:hint="eastAsia"/>
                <w:color w:val="auto"/>
              </w:rPr>
            </w:pPr>
            <w:r>
              <w:rPr>
                <w:rFonts w:hint="eastAsia"/>
                <w:color w:val="auto"/>
                <w:szCs w:val="21"/>
              </w:rPr>
              <w:t>人员伤亡、财产损失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0" w:type="dxa"/>
            <w:noWrap w:val="0"/>
            <w:vAlign w:val="center"/>
          </w:tcPr>
          <w:p>
            <w:pPr>
              <w:pStyle w:val="11"/>
              <w:jc w:val="center"/>
              <w:rPr>
                <w:rFonts w:hint="eastAsia"/>
                <w:color w:val="auto"/>
              </w:rPr>
            </w:pPr>
            <w:r>
              <w:rPr>
                <w:rFonts w:hint="eastAsia"/>
                <w:color w:val="auto"/>
                <w:szCs w:val="21"/>
              </w:rPr>
              <w:t>2</w:t>
            </w:r>
          </w:p>
        </w:tc>
        <w:tc>
          <w:tcPr>
            <w:tcW w:w="1200" w:type="dxa"/>
            <w:noWrap w:val="0"/>
            <w:vAlign w:val="center"/>
          </w:tcPr>
          <w:p>
            <w:pPr>
              <w:pStyle w:val="11"/>
              <w:jc w:val="center"/>
              <w:rPr>
                <w:rFonts w:hint="eastAsia"/>
                <w:color w:val="auto"/>
              </w:rPr>
            </w:pPr>
            <w:r>
              <w:rPr>
                <w:rFonts w:hint="eastAsia"/>
                <w:color w:val="auto"/>
                <w:szCs w:val="21"/>
              </w:rPr>
              <w:t>爆炸</w:t>
            </w:r>
          </w:p>
        </w:tc>
        <w:tc>
          <w:tcPr>
            <w:tcW w:w="5299" w:type="dxa"/>
            <w:noWrap w:val="0"/>
            <w:vAlign w:val="center"/>
          </w:tcPr>
          <w:p>
            <w:pPr>
              <w:pStyle w:val="11"/>
              <w:jc w:val="both"/>
              <w:rPr>
                <w:rFonts w:hint="eastAsia"/>
                <w:color w:val="auto"/>
              </w:rPr>
            </w:pPr>
            <w:r>
              <w:rPr>
                <w:rFonts w:hint="eastAsia"/>
                <w:color w:val="auto"/>
                <w:szCs w:val="21"/>
              </w:rPr>
              <w:t>甲醇、乙醇、丙酮</w:t>
            </w:r>
          </w:p>
        </w:tc>
        <w:tc>
          <w:tcPr>
            <w:tcW w:w="2393" w:type="dxa"/>
            <w:noWrap w:val="0"/>
            <w:vAlign w:val="center"/>
          </w:tcPr>
          <w:p>
            <w:pPr>
              <w:pStyle w:val="11"/>
              <w:jc w:val="center"/>
              <w:rPr>
                <w:rFonts w:hint="eastAsia"/>
                <w:color w:val="auto"/>
              </w:rPr>
            </w:pPr>
            <w:r>
              <w:rPr>
                <w:rFonts w:hint="eastAsia"/>
                <w:color w:val="auto"/>
                <w:szCs w:val="21"/>
              </w:rPr>
              <w:t>人员伤亡、财产损失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0" w:type="dxa"/>
            <w:noWrap w:val="0"/>
            <w:vAlign w:val="center"/>
          </w:tcPr>
          <w:p>
            <w:pPr>
              <w:pStyle w:val="11"/>
              <w:jc w:val="center"/>
              <w:rPr>
                <w:rFonts w:hint="eastAsia"/>
                <w:color w:val="auto"/>
              </w:rPr>
            </w:pPr>
            <w:r>
              <w:rPr>
                <w:rFonts w:hint="eastAsia"/>
                <w:color w:val="auto"/>
                <w:szCs w:val="21"/>
              </w:rPr>
              <w:t>3</w:t>
            </w:r>
          </w:p>
        </w:tc>
        <w:tc>
          <w:tcPr>
            <w:tcW w:w="1200" w:type="dxa"/>
            <w:noWrap w:val="0"/>
            <w:vAlign w:val="center"/>
          </w:tcPr>
          <w:p>
            <w:pPr>
              <w:pStyle w:val="11"/>
              <w:jc w:val="center"/>
              <w:rPr>
                <w:rFonts w:hint="eastAsia"/>
                <w:color w:val="auto"/>
              </w:rPr>
            </w:pPr>
            <w:r>
              <w:rPr>
                <w:rFonts w:hint="eastAsia"/>
                <w:color w:val="auto"/>
                <w:szCs w:val="21"/>
              </w:rPr>
              <w:t>中毒窒息</w:t>
            </w:r>
          </w:p>
        </w:tc>
        <w:tc>
          <w:tcPr>
            <w:tcW w:w="5299" w:type="dxa"/>
            <w:noWrap w:val="0"/>
            <w:vAlign w:val="center"/>
          </w:tcPr>
          <w:p>
            <w:pPr>
              <w:pStyle w:val="11"/>
              <w:jc w:val="both"/>
              <w:rPr>
                <w:rFonts w:hint="eastAsia"/>
                <w:color w:val="auto"/>
              </w:rPr>
            </w:pPr>
            <w:r>
              <w:rPr>
                <w:rFonts w:hint="eastAsia"/>
                <w:color w:val="auto"/>
                <w:szCs w:val="21"/>
              </w:rPr>
              <w:t>甲醇</w:t>
            </w:r>
          </w:p>
        </w:tc>
        <w:tc>
          <w:tcPr>
            <w:tcW w:w="2393" w:type="dxa"/>
            <w:noWrap w:val="0"/>
            <w:vAlign w:val="center"/>
          </w:tcPr>
          <w:p>
            <w:pPr>
              <w:pStyle w:val="11"/>
              <w:jc w:val="center"/>
              <w:rPr>
                <w:rFonts w:hint="eastAsia"/>
                <w:color w:val="auto"/>
              </w:rPr>
            </w:pPr>
            <w:r>
              <w:rPr>
                <w:rFonts w:hint="eastAsia"/>
                <w:color w:val="auto"/>
                <w:szCs w:val="21"/>
              </w:rPr>
              <w:t>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0" w:type="dxa"/>
            <w:noWrap w:val="0"/>
            <w:vAlign w:val="center"/>
          </w:tcPr>
          <w:p>
            <w:pPr>
              <w:pStyle w:val="11"/>
              <w:jc w:val="center"/>
              <w:rPr>
                <w:rFonts w:hint="eastAsia"/>
                <w:color w:val="auto"/>
              </w:rPr>
            </w:pPr>
            <w:r>
              <w:rPr>
                <w:rFonts w:hint="eastAsia"/>
                <w:color w:val="auto"/>
                <w:szCs w:val="21"/>
              </w:rPr>
              <w:t>4</w:t>
            </w:r>
          </w:p>
        </w:tc>
        <w:tc>
          <w:tcPr>
            <w:tcW w:w="1200" w:type="dxa"/>
            <w:noWrap w:val="0"/>
            <w:vAlign w:val="center"/>
          </w:tcPr>
          <w:p>
            <w:pPr>
              <w:pStyle w:val="11"/>
              <w:jc w:val="center"/>
              <w:rPr>
                <w:rFonts w:hint="eastAsia"/>
                <w:color w:val="auto"/>
              </w:rPr>
            </w:pPr>
            <w:r>
              <w:rPr>
                <w:rFonts w:hint="eastAsia"/>
                <w:color w:val="auto"/>
                <w:szCs w:val="21"/>
              </w:rPr>
              <w:t>容器爆炸</w:t>
            </w:r>
          </w:p>
        </w:tc>
        <w:tc>
          <w:tcPr>
            <w:tcW w:w="5299" w:type="dxa"/>
            <w:noWrap w:val="0"/>
            <w:vAlign w:val="center"/>
          </w:tcPr>
          <w:p>
            <w:pPr>
              <w:pStyle w:val="11"/>
              <w:jc w:val="both"/>
              <w:rPr>
                <w:rFonts w:hint="eastAsia"/>
                <w:color w:val="auto"/>
              </w:rPr>
            </w:pPr>
            <w:r>
              <w:rPr>
                <w:rFonts w:hint="eastAsia"/>
                <w:color w:val="auto"/>
                <w:szCs w:val="21"/>
              </w:rPr>
              <w:t>压缩空气储罐</w:t>
            </w:r>
          </w:p>
        </w:tc>
        <w:tc>
          <w:tcPr>
            <w:tcW w:w="2393" w:type="dxa"/>
            <w:noWrap w:val="0"/>
            <w:vAlign w:val="center"/>
          </w:tcPr>
          <w:p>
            <w:pPr>
              <w:pStyle w:val="11"/>
              <w:jc w:val="center"/>
              <w:rPr>
                <w:rFonts w:hint="eastAsia"/>
                <w:color w:val="auto"/>
              </w:rPr>
            </w:pPr>
            <w:r>
              <w:rPr>
                <w:rFonts w:hint="eastAsia"/>
                <w:color w:val="auto"/>
                <w:szCs w:val="21"/>
              </w:rPr>
              <w:t>人员伤亡、财产损失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0" w:type="dxa"/>
            <w:noWrap w:val="0"/>
            <w:vAlign w:val="center"/>
          </w:tcPr>
          <w:p>
            <w:pPr>
              <w:pStyle w:val="11"/>
              <w:jc w:val="center"/>
              <w:rPr>
                <w:rFonts w:hint="eastAsia"/>
                <w:color w:val="auto"/>
              </w:rPr>
            </w:pPr>
            <w:r>
              <w:rPr>
                <w:rFonts w:hint="eastAsia"/>
                <w:color w:val="auto"/>
                <w:szCs w:val="21"/>
              </w:rPr>
              <w:t>5</w:t>
            </w:r>
          </w:p>
        </w:tc>
        <w:tc>
          <w:tcPr>
            <w:tcW w:w="1200" w:type="dxa"/>
            <w:noWrap w:val="0"/>
            <w:vAlign w:val="center"/>
          </w:tcPr>
          <w:p>
            <w:pPr>
              <w:pStyle w:val="11"/>
              <w:jc w:val="center"/>
              <w:rPr>
                <w:rFonts w:hint="eastAsia"/>
                <w:color w:val="auto"/>
              </w:rPr>
            </w:pPr>
            <w:r>
              <w:rPr>
                <w:rFonts w:hint="eastAsia"/>
                <w:color w:val="auto"/>
                <w:szCs w:val="21"/>
              </w:rPr>
              <w:t>灼烫</w:t>
            </w:r>
          </w:p>
        </w:tc>
        <w:tc>
          <w:tcPr>
            <w:tcW w:w="5299" w:type="dxa"/>
            <w:noWrap w:val="0"/>
            <w:vAlign w:val="center"/>
          </w:tcPr>
          <w:p>
            <w:pPr>
              <w:pStyle w:val="11"/>
              <w:jc w:val="both"/>
              <w:rPr>
                <w:rFonts w:hint="eastAsia"/>
                <w:color w:val="auto"/>
              </w:rPr>
            </w:pPr>
            <w:r>
              <w:rPr>
                <w:rFonts w:hint="eastAsia" w:ascii="宋体"/>
                <w:color w:val="auto"/>
                <w:szCs w:val="21"/>
              </w:rPr>
              <w:t>氢氧化钠、硫酸、盐酸、丙酮、</w:t>
            </w:r>
            <w:r>
              <w:rPr>
                <w:rFonts w:hint="eastAsia"/>
                <w:color w:val="auto"/>
                <w:szCs w:val="21"/>
              </w:rPr>
              <w:t>污水处</w:t>
            </w:r>
            <w:r>
              <w:rPr>
                <w:rFonts w:hint="eastAsia" w:ascii="宋体"/>
                <w:color w:val="auto"/>
                <w:szCs w:val="21"/>
              </w:rPr>
              <w:t>理、蒸汽管道等</w:t>
            </w:r>
          </w:p>
        </w:tc>
        <w:tc>
          <w:tcPr>
            <w:tcW w:w="2393" w:type="dxa"/>
            <w:noWrap w:val="0"/>
            <w:vAlign w:val="center"/>
          </w:tcPr>
          <w:p>
            <w:pPr>
              <w:pStyle w:val="11"/>
              <w:jc w:val="center"/>
              <w:rPr>
                <w:rFonts w:hint="eastAsia"/>
                <w:color w:val="auto"/>
              </w:rPr>
            </w:pPr>
            <w:r>
              <w:rPr>
                <w:rFonts w:hint="eastAsia"/>
                <w:color w:val="auto"/>
                <w:szCs w:val="21"/>
              </w:rPr>
              <w:t>人员受伤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0" w:type="dxa"/>
            <w:noWrap w:val="0"/>
            <w:vAlign w:val="center"/>
          </w:tcPr>
          <w:p>
            <w:pPr>
              <w:pStyle w:val="11"/>
              <w:jc w:val="center"/>
              <w:rPr>
                <w:rFonts w:hint="eastAsia"/>
                <w:color w:val="auto"/>
              </w:rPr>
            </w:pPr>
            <w:r>
              <w:rPr>
                <w:rFonts w:hint="eastAsia"/>
                <w:color w:val="auto"/>
                <w:szCs w:val="21"/>
              </w:rPr>
              <w:t>6</w:t>
            </w:r>
          </w:p>
        </w:tc>
        <w:tc>
          <w:tcPr>
            <w:tcW w:w="1200" w:type="dxa"/>
            <w:noWrap w:val="0"/>
            <w:vAlign w:val="center"/>
          </w:tcPr>
          <w:p>
            <w:pPr>
              <w:pStyle w:val="11"/>
              <w:jc w:val="center"/>
              <w:rPr>
                <w:rFonts w:hint="eastAsia"/>
                <w:color w:val="auto"/>
              </w:rPr>
            </w:pPr>
            <w:r>
              <w:rPr>
                <w:rFonts w:hint="eastAsia"/>
                <w:color w:val="auto"/>
              </w:rPr>
              <w:t>车辆伤害</w:t>
            </w:r>
          </w:p>
        </w:tc>
        <w:tc>
          <w:tcPr>
            <w:tcW w:w="5299" w:type="dxa"/>
            <w:noWrap w:val="0"/>
            <w:vAlign w:val="center"/>
          </w:tcPr>
          <w:p>
            <w:pPr>
              <w:pStyle w:val="11"/>
              <w:jc w:val="both"/>
              <w:rPr>
                <w:rFonts w:hint="eastAsia"/>
                <w:color w:val="auto"/>
              </w:rPr>
            </w:pPr>
            <w:r>
              <w:rPr>
                <w:rFonts w:hint="eastAsia"/>
                <w:color w:val="auto"/>
                <w:szCs w:val="21"/>
              </w:rPr>
              <w:t>厂区道路</w:t>
            </w:r>
          </w:p>
        </w:tc>
        <w:tc>
          <w:tcPr>
            <w:tcW w:w="2393" w:type="dxa"/>
            <w:noWrap w:val="0"/>
            <w:vAlign w:val="center"/>
          </w:tcPr>
          <w:p>
            <w:pPr>
              <w:pStyle w:val="11"/>
              <w:jc w:val="center"/>
              <w:rPr>
                <w:rFonts w:hint="eastAsia"/>
                <w:color w:val="auto"/>
              </w:rPr>
            </w:pPr>
            <w:r>
              <w:rPr>
                <w:rFonts w:hint="eastAsia"/>
                <w:color w:val="auto"/>
                <w:szCs w:val="21"/>
              </w:rPr>
              <w:t>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0" w:type="dxa"/>
            <w:noWrap w:val="0"/>
            <w:vAlign w:val="center"/>
          </w:tcPr>
          <w:p>
            <w:pPr>
              <w:pStyle w:val="11"/>
              <w:jc w:val="center"/>
              <w:rPr>
                <w:rFonts w:hint="eastAsia"/>
                <w:color w:val="auto"/>
              </w:rPr>
            </w:pPr>
            <w:r>
              <w:rPr>
                <w:rFonts w:hint="eastAsia"/>
                <w:color w:val="auto"/>
                <w:szCs w:val="21"/>
              </w:rPr>
              <w:t>7</w:t>
            </w:r>
          </w:p>
        </w:tc>
        <w:tc>
          <w:tcPr>
            <w:tcW w:w="1200" w:type="dxa"/>
            <w:noWrap w:val="0"/>
            <w:vAlign w:val="center"/>
          </w:tcPr>
          <w:p>
            <w:pPr>
              <w:pStyle w:val="11"/>
              <w:jc w:val="center"/>
              <w:rPr>
                <w:rFonts w:hint="eastAsia"/>
                <w:color w:val="auto"/>
              </w:rPr>
            </w:pPr>
            <w:r>
              <w:rPr>
                <w:rFonts w:hint="eastAsia"/>
                <w:color w:val="auto"/>
              </w:rPr>
              <w:t>触电伤害</w:t>
            </w:r>
          </w:p>
        </w:tc>
        <w:tc>
          <w:tcPr>
            <w:tcW w:w="5299" w:type="dxa"/>
            <w:noWrap w:val="0"/>
            <w:vAlign w:val="center"/>
          </w:tcPr>
          <w:p>
            <w:pPr>
              <w:pStyle w:val="11"/>
              <w:jc w:val="both"/>
              <w:rPr>
                <w:rFonts w:hint="eastAsia"/>
                <w:color w:val="auto"/>
              </w:rPr>
            </w:pPr>
            <w:r>
              <w:rPr>
                <w:rFonts w:hint="eastAsia"/>
                <w:color w:val="auto"/>
              </w:rPr>
              <w:t>用电设备、电器线路</w:t>
            </w:r>
          </w:p>
        </w:tc>
        <w:tc>
          <w:tcPr>
            <w:tcW w:w="2393" w:type="dxa"/>
            <w:noWrap w:val="0"/>
            <w:vAlign w:val="center"/>
          </w:tcPr>
          <w:p>
            <w:pPr>
              <w:pStyle w:val="11"/>
              <w:jc w:val="center"/>
              <w:rPr>
                <w:rFonts w:hint="eastAsia"/>
                <w:color w:val="auto"/>
              </w:rPr>
            </w:pPr>
            <w:r>
              <w:rPr>
                <w:rFonts w:hint="eastAsia"/>
                <w:color w:val="auto"/>
              </w:rPr>
              <w:t>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0" w:type="dxa"/>
            <w:noWrap w:val="0"/>
            <w:vAlign w:val="center"/>
          </w:tcPr>
          <w:p>
            <w:pPr>
              <w:pStyle w:val="11"/>
              <w:jc w:val="center"/>
              <w:rPr>
                <w:rFonts w:hint="eastAsia"/>
                <w:color w:val="auto"/>
              </w:rPr>
            </w:pPr>
            <w:r>
              <w:rPr>
                <w:rFonts w:hint="eastAsia"/>
                <w:color w:val="auto"/>
                <w:szCs w:val="21"/>
              </w:rPr>
              <w:t>8</w:t>
            </w:r>
          </w:p>
        </w:tc>
        <w:tc>
          <w:tcPr>
            <w:tcW w:w="1200" w:type="dxa"/>
            <w:noWrap w:val="0"/>
            <w:vAlign w:val="center"/>
          </w:tcPr>
          <w:p>
            <w:pPr>
              <w:pStyle w:val="11"/>
              <w:jc w:val="center"/>
              <w:rPr>
                <w:rFonts w:hint="eastAsia"/>
                <w:color w:val="auto"/>
              </w:rPr>
            </w:pPr>
            <w:r>
              <w:rPr>
                <w:rFonts w:hint="eastAsia"/>
                <w:color w:val="auto"/>
              </w:rPr>
              <w:t>机械伤害</w:t>
            </w:r>
          </w:p>
        </w:tc>
        <w:tc>
          <w:tcPr>
            <w:tcW w:w="5299" w:type="dxa"/>
            <w:noWrap w:val="0"/>
            <w:vAlign w:val="center"/>
          </w:tcPr>
          <w:p>
            <w:pPr>
              <w:pStyle w:val="11"/>
              <w:jc w:val="both"/>
              <w:rPr>
                <w:rFonts w:hint="eastAsia"/>
                <w:color w:val="auto"/>
              </w:rPr>
            </w:pPr>
            <w:r>
              <w:rPr>
                <w:rFonts w:hint="eastAsia"/>
                <w:color w:val="auto"/>
              </w:rPr>
              <w:t>设备运转处</w:t>
            </w:r>
          </w:p>
        </w:tc>
        <w:tc>
          <w:tcPr>
            <w:tcW w:w="2393" w:type="dxa"/>
            <w:noWrap w:val="0"/>
            <w:vAlign w:val="center"/>
          </w:tcPr>
          <w:p>
            <w:pPr>
              <w:pStyle w:val="11"/>
              <w:jc w:val="center"/>
              <w:rPr>
                <w:rFonts w:hint="eastAsia"/>
                <w:color w:val="auto"/>
              </w:rPr>
            </w:pPr>
            <w:r>
              <w:rPr>
                <w:rFonts w:hint="eastAsia"/>
                <w:color w:val="auto"/>
              </w:rPr>
              <w:t>人员伤害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0" w:type="dxa"/>
            <w:noWrap w:val="0"/>
            <w:vAlign w:val="center"/>
          </w:tcPr>
          <w:p>
            <w:pPr>
              <w:pStyle w:val="11"/>
              <w:jc w:val="center"/>
              <w:rPr>
                <w:rFonts w:hint="eastAsia"/>
                <w:color w:val="auto"/>
              </w:rPr>
            </w:pPr>
            <w:r>
              <w:rPr>
                <w:rFonts w:hint="eastAsia"/>
                <w:color w:val="auto"/>
                <w:szCs w:val="21"/>
              </w:rPr>
              <w:t>9</w:t>
            </w:r>
          </w:p>
        </w:tc>
        <w:tc>
          <w:tcPr>
            <w:tcW w:w="1200" w:type="dxa"/>
            <w:noWrap w:val="0"/>
            <w:vAlign w:val="center"/>
          </w:tcPr>
          <w:p>
            <w:pPr>
              <w:pStyle w:val="11"/>
              <w:jc w:val="center"/>
              <w:rPr>
                <w:rFonts w:hint="eastAsia"/>
                <w:color w:val="auto"/>
              </w:rPr>
            </w:pPr>
            <w:r>
              <w:rPr>
                <w:rFonts w:hint="eastAsia"/>
                <w:color w:val="auto"/>
              </w:rPr>
              <w:t>噪声危害</w:t>
            </w:r>
          </w:p>
        </w:tc>
        <w:tc>
          <w:tcPr>
            <w:tcW w:w="5299" w:type="dxa"/>
            <w:noWrap w:val="0"/>
            <w:vAlign w:val="center"/>
          </w:tcPr>
          <w:p>
            <w:pPr>
              <w:pStyle w:val="11"/>
              <w:jc w:val="both"/>
              <w:rPr>
                <w:rFonts w:hint="eastAsia"/>
                <w:color w:val="auto"/>
              </w:rPr>
            </w:pPr>
            <w:r>
              <w:rPr>
                <w:rFonts w:hint="eastAsia"/>
                <w:color w:val="auto"/>
              </w:rPr>
              <w:t>生产设备</w:t>
            </w:r>
          </w:p>
        </w:tc>
        <w:tc>
          <w:tcPr>
            <w:tcW w:w="2393" w:type="dxa"/>
            <w:noWrap w:val="0"/>
            <w:vAlign w:val="center"/>
          </w:tcPr>
          <w:p>
            <w:pPr>
              <w:pStyle w:val="11"/>
              <w:jc w:val="center"/>
              <w:rPr>
                <w:rFonts w:hint="eastAsia"/>
                <w:color w:val="auto"/>
              </w:rPr>
            </w:pPr>
            <w:r>
              <w:rPr>
                <w:rFonts w:hint="eastAsia"/>
                <w:color w:val="auto"/>
              </w:rPr>
              <w:t>人员听力损伤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0" w:type="dxa"/>
            <w:noWrap w:val="0"/>
            <w:vAlign w:val="center"/>
          </w:tcPr>
          <w:p>
            <w:pPr>
              <w:pStyle w:val="11"/>
              <w:jc w:val="center"/>
              <w:rPr>
                <w:rFonts w:hint="eastAsia"/>
                <w:color w:val="auto"/>
              </w:rPr>
            </w:pPr>
            <w:r>
              <w:rPr>
                <w:rFonts w:hint="eastAsia"/>
                <w:color w:val="auto"/>
                <w:szCs w:val="21"/>
              </w:rPr>
              <w:t>10</w:t>
            </w:r>
          </w:p>
        </w:tc>
        <w:tc>
          <w:tcPr>
            <w:tcW w:w="1200" w:type="dxa"/>
            <w:noWrap w:val="0"/>
            <w:vAlign w:val="center"/>
          </w:tcPr>
          <w:p>
            <w:pPr>
              <w:pStyle w:val="11"/>
              <w:jc w:val="center"/>
              <w:rPr>
                <w:rFonts w:hint="eastAsia"/>
                <w:color w:val="auto"/>
              </w:rPr>
            </w:pPr>
            <w:r>
              <w:rPr>
                <w:rFonts w:hint="eastAsia"/>
                <w:color w:val="auto"/>
              </w:rPr>
              <w:t>淹溺伤害</w:t>
            </w:r>
          </w:p>
        </w:tc>
        <w:tc>
          <w:tcPr>
            <w:tcW w:w="5299" w:type="dxa"/>
            <w:noWrap w:val="0"/>
            <w:vAlign w:val="center"/>
          </w:tcPr>
          <w:p>
            <w:pPr>
              <w:pStyle w:val="11"/>
              <w:jc w:val="both"/>
              <w:rPr>
                <w:rFonts w:hint="eastAsia"/>
                <w:color w:val="auto"/>
              </w:rPr>
            </w:pPr>
            <w:r>
              <w:rPr>
                <w:rFonts w:hint="eastAsia"/>
                <w:color w:val="auto"/>
              </w:rPr>
              <w:t>各类水池</w:t>
            </w:r>
          </w:p>
        </w:tc>
        <w:tc>
          <w:tcPr>
            <w:tcW w:w="2393" w:type="dxa"/>
            <w:noWrap w:val="0"/>
            <w:vAlign w:val="center"/>
          </w:tcPr>
          <w:p>
            <w:pPr>
              <w:pStyle w:val="11"/>
              <w:jc w:val="center"/>
              <w:rPr>
                <w:rFonts w:hint="eastAsia"/>
                <w:color w:val="auto"/>
              </w:rPr>
            </w:pPr>
            <w:r>
              <w:rPr>
                <w:rFonts w:hint="eastAsia"/>
                <w:color w:val="auto"/>
              </w:rPr>
              <w:t>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0" w:type="dxa"/>
            <w:noWrap w:val="0"/>
            <w:vAlign w:val="center"/>
          </w:tcPr>
          <w:p>
            <w:pPr>
              <w:pStyle w:val="11"/>
              <w:jc w:val="center"/>
              <w:rPr>
                <w:rFonts w:hint="eastAsia"/>
                <w:color w:val="auto"/>
              </w:rPr>
            </w:pPr>
            <w:r>
              <w:rPr>
                <w:rFonts w:hint="eastAsia"/>
                <w:color w:val="auto"/>
                <w:szCs w:val="21"/>
              </w:rPr>
              <w:t>11</w:t>
            </w:r>
          </w:p>
        </w:tc>
        <w:tc>
          <w:tcPr>
            <w:tcW w:w="1200" w:type="dxa"/>
            <w:noWrap w:val="0"/>
            <w:vAlign w:val="center"/>
          </w:tcPr>
          <w:p>
            <w:pPr>
              <w:pStyle w:val="11"/>
              <w:jc w:val="center"/>
              <w:rPr>
                <w:rFonts w:hint="eastAsia"/>
                <w:color w:val="auto"/>
              </w:rPr>
            </w:pPr>
            <w:r>
              <w:rPr>
                <w:rFonts w:hint="eastAsia"/>
                <w:color w:val="auto"/>
              </w:rPr>
              <w:t>粉尘危害</w:t>
            </w:r>
          </w:p>
        </w:tc>
        <w:tc>
          <w:tcPr>
            <w:tcW w:w="5299" w:type="dxa"/>
            <w:noWrap w:val="0"/>
            <w:vAlign w:val="center"/>
          </w:tcPr>
          <w:p>
            <w:pPr>
              <w:pStyle w:val="11"/>
              <w:jc w:val="both"/>
              <w:rPr>
                <w:rFonts w:hint="eastAsia"/>
                <w:color w:val="auto"/>
              </w:rPr>
            </w:pPr>
            <w:r>
              <w:rPr>
                <w:rFonts w:hint="eastAsia"/>
                <w:color w:val="auto"/>
              </w:rPr>
              <w:t>破碎工序</w:t>
            </w:r>
          </w:p>
        </w:tc>
        <w:tc>
          <w:tcPr>
            <w:tcW w:w="2393" w:type="dxa"/>
            <w:noWrap w:val="0"/>
            <w:vAlign w:val="center"/>
          </w:tcPr>
          <w:p>
            <w:pPr>
              <w:pStyle w:val="11"/>
              <w:jc w:val="center"/>
              <w:rPr>
                <w:rFonts w:hint="eastAsia"/>
                <w:color w:val="auto"/>
              </w:rPr>
            </w:pPr>
            <w:r>
              <w:rPr>
                <w:rFonts w:hint="eastAsia"/>
                <w:color w:val="auto"/>
              </w:rPr>
              <w:t>人员伤亡</w:t>
            </w:r>
          </w:p>
        </w:tc>
      </w:tr>
    </w:tbl>
    <w:p>
      <w:pPr>
        <w:pStyle w:val="5"/>
        <w:spacing w:before="0" w:after="0" w:line="360" w:lineRule="auto"/>
        <w:rPr>
          <w:rFonts w:hint="eastAsia" w:ascii="宋体" w:hAnsi="宋体" w:eastAsia="宋体" w:cs="宋体"/>
          <w:color w:val="auto"/>
          <w:sz w:val="28"/>
          <w:szCs w:val="28"/>
        </w:rPr>
      </w:pPr>
      <w:bookmarkStart w:id="13" w:name="_Toc405904037"/>
      <w:bookmarkStart w:id="14" w:name="_Toc438545538"/>
      <w:bookmarkStart w:id="15" w:name="_Toc7265"/>
      <w:bookmarkStart w:id="16" w:name="_Toc20746"/>
      <w:bookmarkStart w:id="17" w:name="_Toc490557064"/>
      <w:r>
        <w:rPr>
          <w:rFonts w:hint="eastAsia" w:ascii="宋体" w:hAnsi="宋体" w:eastAsia="宋体" w:cs="宋体"/>
          <w:color w:val="auto"/>
          <w:sz w:val="28"/>
          <w:szCs w:val="28"/>
        </w:rPr>
        <w:t>2.2.2 重大危险源辨识</w:t>
      </w:r>
      <w:bookmarkEnd w:id="13"/>
      <w:bookmarkEnd w:id="14"/>
      <w:r>
        <w:rPr>
          <w:rFonts w:hint="eastAsia" w:ascii="宋体" w:hAnsi="宋体" w:eastAsia="宋体" w:cs="宋体"/>
          <w:color w:val="auto"/>
          <w:sz w:val="28"/>
          <w:szCs w:val="28"/>
        </w:rPr>
        <w:t>结果</w:t>
      </w:r>
      <w:bookmarkEnd w:id="15"/>
      <w:bookmarkEnd w:id="16"/>
      <w:bookmarkEnd w:id="17"/>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危险化学品重大危险源是指长期地或临时地生产、加工、使用或储存危险化学品，且危险化学品的数量等于或超过临界量的单元。</w:t>
      </w:r>
    </w:p>
    <w:p>
      <w:pPr>
        <w:spacing w:line="360" w:lineRule="auto"/>
        <w:ind w:firstLine="480" w:firstLineChars="200"/>
        <w:jc w:val="center"/>
        <w:rPr>
          <w:rFonts w:hint="eastAsia" w:ascii="宋体" w:hAnsi="宋体" w:cs="宋体"/>
          <w:color w:val="auto"/>
          <w:sz w:val="24"/>
        </w:rPr>
      </w:pPr>
      <w:r>
        <w:rPr>
          <w:rFonts w:hint="eastAsia" w:ascii="宋体" w:hAnsi="宋体" w:cs="宋体"/>
          <w:color w:val="auto"/>
          <w:sz w:val="24"/>
        </w:rPr>
        <w:t>表2－3 主要危险物质的临界量表</w:t>
      </w:r>
    </w:p>
    <w:tbl>
      <w:tblPr>
        <w:tblStyle w:val="7"/>
        <w:tblW w:w="9572"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929"/>
        <w:gridCol w:w="2550"/>
        <w:gridCol w:w="3394"/>
        <w:gridCol w:w="269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cantSplit/>
          <w:trHeight w:val="510" w:hRule="atLeast"/>
          <w:tblHeader/>
        </w:trPr>
        <w:tc>
          <w:tcPr>
            <w:tcW w:w="929" w:type="dxa"/>
            <w:tcBorders>
              <w:top w:val="single" w:color="auto" w:sz="12" w:space="0"/>
              <w:bottom w:val="single" w:color="auto" w:sz="2" w:space="0"/>
            </w:tcBorders>
            <w:noWrap w:val="0"/>
            <w:vAlign w:val="center"/>
          </w:tcPr>
          <w:p>
            <w:pPr>
              <w:jc w:val="center"/>
              <w:rPr>
                <w:rFonts w:hint="eastAsia" w:ascii="宋体" w:hAnsi="宋体"/>
                <w:color w:val="auto"/>
                <w:szCs w:val="21"/>
              </w:rPr>
            </w:pPr>
            <w:r>
              <w:rPr>
                <w:rFonts w:hint="eastAsia" w:ascii="宋体" w:hAnsi="宋体"/>
                <w:color w:val="auto"/>
                <w:szCs w:val="21"/>
              </w:rPr>
              <w:t>序号</w:t>
            </w:r>
          </w:p>
        </w:tc>
        <w:tc>
          <w:tcPr>
            <w:tcW w:w="2550" w:type="dxa"/>
            <w:tcBorders>
              <w:top w:val="single" w:color="auto" w:sz="12" w:space="0"/>
              <w:bottom w:val="single" w:color="auto" w:sz="2" w:space="0"/>
            </w:tcBorders>
            <w:noWrap w:val="0"/>
            <w:vAlign w:val="center"/>
          </w:tcPr>
          <w:p>
            <w:pPr>
              <w:jc w:val="center"/>
              <w:rPr>
                <w:rFonts w:hint="eastAsia" w:ascii="宋体" w:hAnsi="宋体"/>
                <w:color w:val="auto"/>
                <w:szCs w:val="21"/>
              </w:rPr>
            </w:pPr>
            <w:r>
              <w:rPr>
                <w:rFonts w:hint="eastAsia" w:ascii="宋体" w:hAnsi="宋体"/>
                <w:color w:val="auto"/>
                <w:szCs w:val="21"/>
              </w:rPr>
              <w:t>物质名称</w:t>
            </w:r>
          </w:p>
        </w:tc>
        <w:tc>
          <w:tcPr>
            <w:tcW w:w="3394" w:type="dxa"/>
            <w:tcBorders>
              <w:top w:val="single" w:color="auto" w:sz="12" w:space="0"/>
              <w:bottom w:val="single" w:color="auto" w:sz="2" w:space="0"/>
              <w:right w:val="single" w:color="auto" w:sz="4" w:space="0"/>
            </w:tcBorders>
            <w:noWrap w:val="0"/>
            <w:vAlign w:val="center"/>
          </w:tcPr>
          <w:p>
            <w:pPr>
              <w:jc w:val="center"/>
              <w:rPr>
                <w:rFonts w:hint="eastAsia" w:ascii="宋体" w:hAnsi="宋体"/>
                <w:color w:val="auto"/>
                <w:szCs w:val="21"/>
              </w:rPr>
            </w:pPr>
            <w:r>
              <w:rPr>
                <w:rFonts w:hint="eastAsia" w:ascii="宋体" w:hAnsi="宋体"/>
                <w:color w:val="auto"/>
                <w:szCs w:val="21"/>
              </w:rPr>
              <w:t>临界量/t</w:t>
            </w:r>
          </w:p>
        </w:tc>
        <w:tc>
          <w:tcPr>
            <w:tcW w:w="2699" w:type="dxa"/>
            <w:tcBorders>
              <w:top w:val="single" w:color="auto" w:sz="12" w:space="0"/>
              <w:left w:val="single" w:color="auto" w:sz="4" w:space="0"/>
              <w:bottom w:val="single" w:color="auto" w:sz="2" w:space="0"/>
            </w:tcBorders>
            <w:noWrap w:val="0"/>
            <w:vAlign w:val="center"/>
          </w:tcPr>
          <w:p>
            <w:pPr>
              <w:jc w:val="center"/>
              <w:rPr>
                <w:rFonts w:hint="eastAsia" w:ascii="宋体" w:hAnsi="宋体"/>
                <w:color w:val="auto"/>
                <w:szCs w:val="21"/>
              </w:rPr>
            </w:pPr>
            <w:r>
              <w:rPr>
                <w:rFonts w:hint="eastAsia" w:ascii="宋体" w:hAnsi="宋体"/>
                <w:color w:val="auto"/>
                <w:szCs w:val="21"/>
              </w:rPr>
              <w:t>最大存在储存量/t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cantSplit/>
          <w:trHeight w:val="274" w:hRule="atLeast"/>
          <w:tblHeader/>
        </w:trPr>
        <w:tc>
          <w:tcPr>
            <w:tcW w:w="929" w:type="dxa"/>
            <w:tcBorders>
              <w:top w:val="single" w:color="auto" w:sz="2" w:space="0"/>
              <w:bottom w:val="single" w:color="auto" w:sz="2" w:space="0"/>
            </w:tcBorders>
            <w:noWrap w:val="0"/>
            <w:vAlign w:val="center"/>
          </w:tcPr>
          <w:p>
            <w:pPr>
              <w:jc w:val="center"/>
              <w:rPr>
                <w:rFonts w:hint="eastAsia" w:ascii="宋体" w:hAnsi="宋体"/>
                <w:color w:val="auto"/>
                <w:szCs w:val="21"/>
              </w:rPr>
            </w:pPr>
            <w:r>
              <w:rPr>
                <w:rFonts w:hint="eastAsia" w:ascii="宋体" w:hAnsi="宋体"/>
                <w:color w:val="auto"/>
                <w:szCs w:val="21"/>
              </w:rPr>
              <w:t>1</w:t>
            </w:r>
          </w:p>
        </w:tc>
        <w:tc>
          <w:tcPr>
            <w:tcW w:w="2550" w:type="dxa"/>
            <w:tcBorders>
              <w:top w:val="single" w:color="auto" w:sz="2" w:space="0"/>
              <w:bottom w:val="single" w:color="auto" w:sz="2" w:space="0"/>
            </w:tcBorders>
            <w:noWrap w:val="0"/>
            <w:vAlign w:val="center"/>
          </w:tcPr>
          <w:p>
            <w:pPr>
              <w:jc w:val="center"/>
              <w:rPr>
                <w:rFonts w:hint="eastAsia" w:ascii="宋体" w:hAnsi="宋体"/>
                <w:color w:val="auto"/>
                <w:szCs w:val="21"/>
              </w:rPr>
            </w:pPr>
            <w:r>
              <w:rPr>
                <w:rFonts w:hint="eastAsia" w:ascii="宋体" w:hAnsi="宋体"/>
                <w:color w:val="auto"/>
                <w:szCs w:val="21"/>
              </w:rPr>
              <w:t>甲醇</w:t>
            </w:r>
          </w:p>
        </w:tc>
        <w:tc>
          <w:tcPr>
            <w:tcW w:w="3394" w:type="dxa"/>
            <w:tcBorders>
              <w:top w:val="single" w:color="auto" w:sz="2" w:space="0"/>
              <w:bottom w:val="single" w:color="auto" w:sz="2" w:space="0"/>
              <w:right w:val="single" w:color="auto" w:sz="4" w:space="0"/>
            </w:tcBorders>
            <w:noWrap w:val="0"/>
            <w:vAlign w:val="center"/>
          </w:tcPr>
          <w:p>
            <w:pPr>
              <w:jc w:val="center"/>
              <w:rPr>
                <w:rFonts w:hint="eastAsia" w:ascii="宋体" w:hAnsi="宋体"/>
                <w:color w:val="auto"/>
                <w:szCs w:val="21"/>
              </w:rPr>
            </w:pPr>
            <w:r>
              <w:rPr>
                <w:color w:val="auto"/>
                <w:sz w:val="18"/>
              </w:rPr>
              <w:t>500</w:t>
            </w:r>
          </w:p>
        </w:tc>
        <w:tc>
          <w:tcPr>
            <w:tcW w:w="2699" w:type="dxa"/>
            <w:tcBorders>
              <w:top w:val="single" w:color="auto" w:sz="2" w:space="0"/>
              <w:left w:val="single" w:color="auto" w:sz="4" w:space="0"/>
              <w:bottom w:val="single" w:color="auto" w:sz="2" w:space="0"/>
            </w:tcBorders>
            <w:noWrap w:val="0"/>
            <w:vAlign w:val="center"/>
          </w:tcPr>
          <w:p>
            <w:pPr>
              <w:jc w:val="center"/>
              <w:rPr>
                <w:rFonts w:hint="eastAsia" w:ascii="宋体" w:hAnsi="宋体"/>
                <w:color w:val="auto"/>
                <w:szCs w:val="21"/>
              </w:rPr>
            </w:pPr>
            <w:r>
              <w:rPr>
                <w:rFonts w:hint="eastAsia" w:ascii="宋体" w:hAnsi="宋体"/>
                <w:color w:val="auto"/>
                <w:szCs w:val="21"/>
              </w:rPr>
              <w:t>15.8</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cantSplit/>
          <w:trHeight w:val="396" w:hRule="atLeast"/>
          <w:tblHeader/>
        </w:trPr>
        <w:tc>
          <w:tcPr>
            <w:tcW w:w="929" w:type="dxa"/>
            <w:tcBorders>
              <w:top w:val="single" w:color="auto" w:sz="2" w:space="0"/>
              <w:bottom w:val="single" w:color="auto" w:sz="2" w:space="0"/>
            </w:tcBorders>
            <w:noWrap w:val="0"/>
            <w:vAlign w:val="center"/>
          </w:tcPr>
          <w:p>
            <w:pPr>
              <w:jc w:val="center"/>
              <w:rPr>
                <w:rFonts w:hint="eastAsia" w:ascii="宋体" w:hAnsi="宋体"/>
                <w:color w:val="auto"/>
                <w:szCs w:val="21"/>
              </w:rPr>
            </w:pPr>
            <w:r>
              <w:rPr>
                <w:rFonts w:hint="eastAsia" w:ascii="宋体" w:hAnsi="宋体"/>
                <w:color w:val="auto"/>
                <w:szCs w:val="21"/>
              </w:rPr>
              <w:t>2</w:t>
            </w:r>
          </w:p>
        </w:tc>
        <w:tc>
          <w:tcPr>
            <w:tcW w:w="2550" w:type="dxa"/>
            <w:tcBorders>
              <w:top w:val="single" w:color="auto" w:sz="2" w:space="0"/>
              <w:bottom w:val="single" w:color="auto" w:sz="2" w:space="0"/>
            </w:tcBorders>
            <w:noWrap w:val="0"/>
            <w:vAlign w:val="center"/>
          </w:tcPr>
          <w:p>
            <w:pPr>
              <w:jc w:val="center"/>
              <w:rPr>
                <w:rFonts w:hint="eastAsia" w:ascii="宋体" w:hAnsi="宋体"/>
                <w:color w:val="auto"/>
                <w:szCs w:val="21"/>
              </w:rPr>
            </w:pPr>
            <w:r>
              <w:rPr>
                <w:rFonts w:hint="eastAsia" w:ascii="宋体" w:hAnsi="宋体"/>
                <w:color w:val="auto"/>
                <w:szCs w:val="21"/>
              </w:rPr>
              <w:t>乙醇</w:t>
            </w:r>
          </w:p>
        </w:tc>
        <w:tc>
          <w:tcPr>
            <w:tcW w:w="3394" w:type="dxa"/>
            <w:tcBorders>
              <w:top w:val="single" w:color="auto" w:sz="2" w:space="0"/>
              <w:bottom w:val="single" w:color="auto" w:sz="2" w:space="0"/>
              <w:right w:val="single" w:color="auto" w:sz="4" w:space="0"/>
            </w:tcBorders>
            <w:noWrap w:val="0"/>
            <w:vAlign w:val="center"/>
          </w:tcPr>
          <w:p>
            <w:pPr>
              <w:jc w:val="center"/>
              <w:rPr>
                <w:rFonts w:hint="eastAsia" w:ascii="宋体" w:hAnsi="宋体"/>
                <w:color w:val="auto"/>
                <w:szCs w:val="21"/>
              </w:rPr>
            </w:pPr>
            <w:r>
              <w:rPr>
                <w:rFonts w:hint="eastAsia" w:ascii="宋体" w:hAnsi="宋体"/>
                <w:color w:val="auto"/>
                <w:szCs w:val="21"/>
              </w:rPr>
              <w:t>500</w:t>
            </w:r>
          </w:p>
        </w:tc>
        <w:tc>
          <w:tcPr>
            <w:tcW w:w="2699" w:type="dxa"/>
            <w:tcBorders>
              <w:top w:val="single" w:color="auto" w:sz="2" w:space="0"/>
              <w:left w:val="single" w:color="auto" w:sz="4" w:space="0"/>
              <w:bottom w:val="single" w:color="auto" w:sz="2" w:space="0"/>
            </w:tcBorders>
            <w:noWrap w:val="0"/>
            <w:vAlign w:val="center"/>
          </w:tcPr>
          <w:p>
            <w:pPr>
              <w:jc w:val="center"/>
              <w:rPr>
                <w:rFonts w:hint="eastAsia" w:ascii="宋体" w:hAnsi="宋体"/>
                <w:color w:val="auto"/>
                <w:szCs w:val="21"/>
              </w:rPr>
            </w:pPr>
            <w:r>
              <w:rPr>
                <w:rFonts w:hint="eastAsia" w:ascii="宋体" w:hAnsi="宋体"/>
                <w:color w:val="auto"/>
                <w:szCs w:val="21"/>
              </w:rPr>
              <w:t>16.4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cantSplit/>
          <w:trHeight w:val="459" w:hRule="atLeast"/>
          <w:tblHeader/>
        </w:trPr>
        <w:tc>
          <w:tcPr>
            <w:tcW w:w="929" w:type="dxa"/>
            <w:tcBorders>
              <w:top w:val="single" w:color="auto" w:sz="2" w:space="0"/>
              <w:bottom w:val="single" w:color="auto" w:sz="2" w:space="0"/>
            </w:tcBorders>
            <w:noWrap w:val="0"/>
            <w:vAlign w:val="center"/>
          </w:tcPr>
          <w:p>
            <w:pPr>
              <w:jc w:val="center"/>
              <w:rPr>
                <w:rFonts w:hint="eastAsia" w:ascii="宋体" w:hAnsi="宋体"/>
                <w:color w:val="auto"/>
                <w:szCs w:val="21"/>
              </w:rPr>
            </w:pPr>
            <w:r>
              <w:rPr>
                <w:rFonts w:hint="eastAsia" w:ascii="宋体" w:hAnsi="宋体"/>
                <w:color w:val="auto"/>
                <w:szCs w:val="21"/>
              </w:rPr>
              <w:t>3</w:t>
            </w:r>
          </w:p>
        </w:tc>
        <w:tc>
          <w:tcPr>
            <w:tcW w:w="2550" w:type="dxa"/>
            <w:tcBorders>
              <w:top w:val="single" w:color="auto" w:sz="2" w:space="0"/>
              <w:bottom w:val="single" w:color="auto" w:sz="2" w:space="0"/>
            </w:tcBorders>
            <w:noWrap w:val="0"/>
            <w:vAlign w:val="center"/>
          </w:tcPr>
          <w:p>
            <w:pPr>
              <w:jc w:val="center"/>
              <w:rPr>
                <w:rFonts w:hint="eastAsia" w:ascii="宋体" w:hAnsi="宋体"/>
                <w:color w:val="auto"/>
                <w:szCs w:val="21"/>
              </w:rPr>
            </w:pPr>
            <w:r>
              <w:rPr>
                <w:rFonts w:hint="eastAsia" w:ascii="宋体" w:hAnsi="宋体"/>
                <w:color w:val="auto"/>
                <w:szCs w:val="21"/>
              </w:rPr>
              <w:t>盐酸、硫酸</w:t>
            </w:r>
          </w:p>
        </w:tc>
        <w:tc>
          <w:tcPr>
            <w:tcW w:w="3394" w:type="dxa"/>
            <w:tcBorders>
              <w:top w:val="single" w:color="auto" w:sz="2" w:space="0"/>
              <w:bottom w:val="single" w:color="auto" w:sz="2" w:space="0"/>
              <w:right w:val="single" w:color="auto" w:sz="4" w:space="0"/>
            </w:tcBorders>
            <w:noWrap w:val="0"/>
            <w:vAlign w:val="center"/>
          </w:tcPr>
          <w:p>
            <w:pPr>
              <w:jc w:val="center"/>
              <w:rPr>
                <w:rFonts w:hint="eastAsia" w:ascii="宋体" w:hAnsi="宋体"/>
                <w:color w:val="auto"/>
                <w:szCs w:val="21"/>
              </w:rPr>
            </w:pPr>
            <w:r>
              <w:rPr>
                <w:rFonts w:hint="eastAsia" w:ascii="宋体" w:hAnsi="宋体"/>
                <w:color w:val="auto"/>
                <w:szCs w:val="21"/>
              </w:rPr>
              <w:t>100</w:t>
            </w:r>
          </w:p>
        </w:tc>
        <w:tc>
          <w:tcPr>
            <w:tcW w:w="2699" w:type="dxa"/>
            <w:tcBorders>
              <w:top w:val="single" w:color="auto" w:sz="2" w:space="0"/>
              <w:left w:val="single" w:color="auto" w:sz="4" w:space="0"/>
              <w:bottom w:val="single" w:color="auto" w:sz="2" w:space="0"/>
            </w:tcBorders>
            <w:noWrap w:val="0"/>
            <w:vAlign w:val="center"/>
          </w:tcPr>
          <w:p>
            <w:pPr>
              <w:jc w:val="center"/>
              <w:rPr>
                <w:rFonts w:hint="eastAsia" w:ascii="宋体" w:hAnsi="宋体"/>
                <w:color w:val="auto"/>
                <w:szCs w:val="21"/>
              </w:rPr>
            </w:pPr>
            <w:r>
              <w:rPr>
                <w:rFonts w:hint="eastAsia" w:ascii="宋体" w:hAnsi="宋体"/>
                <w:color w:val="auto"/>
                <w:szCs w:val="21"/>
              </w:rPr>
              <w:t>0.1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cantSplit/>
          <w:trHeight w:val="459" w:hRule="atLeast"/>
          <w:tblHeader/>
        </w:trPr>
        <w:tc>
          <w:tcPr>
            <w:tcW w:w="929" w:type="dxa"/>
            <w:tcBorders>
              <w:top w:val="single" w:color="auto" w:sz="2" w:space="0"/>
              <w:bottom w:val="single" w:color="auto" w:sz="2" w:space="0"/>
            </w:tcBorders>
            <w:noWrap w:val="0"/>
            <w:vAlign w:val="center"/>
          </w:tcPr>
          <w:p>
            <w:pPr>
              <w:jc w:val="center"/>
              <w:rPr>
                <w:rFonts w:hint="eastAsia" w:ascii="宋体" w:hAnsi="宋体"/>
                <w:color w:val="auto"/>
                <w:szCs w:val="21"/>
              </w:rPr>
            </w:pPr>
            <w:r>
              <w:rPr>
                <w:rFonts w:hint="eastAsia" w:ascii="宋体" w:hAnsi="宋体"/>
                <w:color w:val="auto"/>
                <w:szCs w:val="21"/>
              </w:rPr>
              <w:t>4</w:t>
            </w:r>
          </w:p>
        </w:tc>
        <w:tc>
          <w:tcPr>
            <w:tcW w:w="2550" w:type="dxa"/>
            <w:tcBorders>
              <w:top w:val="single" w:color="auto" w:sz="2" w:space="0"/>
              <w:bottom w:val="single" w:color="auto" w:sz="2" w:space="0"/>
            </w:tcBorders>
            <w:noWrap w:val="0"/>
            <w:vAlign w:val="center"/>
          </w:tcPr>
          <w:p>
            <w:pPr>
              <w:jc w:val="center"/>
              <w:rPr>
                <w:rFonts w:hint="eastAsia" w:ascii="宋体" w:hAnsi="宋体"/>
                <w:color w:val="auto"/>
                <w:szCs w:val="21"/>
              </w:rPr>
            </w:pPr>
            <w:r>
              <w:rPr>
                <w:rFonts w:hint="eastAsia" w:ascii="宋体" w:hAnsi="宋体"/>
                <w:color w:val="auto"/>
                <w:szCs w:val="21"/>
              </w:rPr>
              <w:t>丙酮</w:t>
            </w:r>
          </w:p>
        </w:tc>
        <w:tc>
          <w:tcPr>
            <w:tcW w:w="3394" w:type="dxa"/>
            <w:tcBorders>
              <w:top w:val="single" w:color="auto" w:sz="2" w:space="0"/>
              <w:bottom w:val="single" w:color="auto" w:sz="2" w:space="0"/>
              <w:right w:val="single" w:color="auto" w:sz="4" w:space="0"/>
            </w:tcBorders>
            <w:noWrap w:val="0"/>
            <w:vAlign w:val="center"/>
          </w:tcPr>
          <w:p>
            <w:pPr>
              <w:jc w:val="center"/>
              <w:rPr>
                <w:rFonts w:hint="eastAsia" w:ascii="宋体" w:hAnsi="宋体"/>
                <w:color w:val="auto"/>
                <w:szCs w:val="21"/>
              </w:rPr>
            </w:pPr>
            <w:r>
              <w:rPr>
                <w:rFonts w:hint="eastAsia" w:ascii="宋体" w:hAnsi="宋体"/>
                <w:color w:val="auto"/>
                <w:szCs w:val="21"/>
              </w:rPr>
              <w:t>500</w:t>
            </w:r>
          </w:p>
        </w:tc>
        <w:tc>
          <w:tcPr>
            <w:tcW w:w="2699" w:type="dxa"/>
            <w:tcBorders>
              <w:top w:val="single" w:color="auto" w:sz="2" w:space="0"/>
              <w:left w:val="single" w:color="auto" w:sz="4" w:space="0"/>
              <w:bottom w:val="single" w:color="auto" w:sz="2" w:space="0"/>
            </w:tcBorders>
            <w:noWrap w:val="0"/>
            <w:vAlign w:val="center"/>
          </w:tcPr>
          <w:p>
            <w:pPr>
              <w:jc w:val="center"/>
              <w:rPr>
                <w:rFonts w:hint="eastAsia" w:ascii="宋体" w:hAnsi="宋体"/>
                <w:color w:val="auto"/>
                <w:szCs w:val="21"/>
              </w:rPr>
            </w:pPr>
            <w:r>
              <w:rPr>
                <w:rFonts w:hint="eastAsia" w:ascii="宋体" w:hAnsi="宋体"/>
                <w:color w:val="auto"/>
                <w:szCs w:val="21"/>
              </w:rPr>
              <w:t>0.1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cantSplit/>
          <w:trHeight w:val="459" w:hRule="atLeast"/>
          <w:tblHeader/>
        </w:trPr>
        <w:tc>
          <w:tcPr>
            <w:tcW w:w="929" w:type="dxa"/>
            <w:tcBorders>
              <w:top w:val="single" w:color="auto" w:sz="2" w:space="0"/>
              <w:bottom w:val="single" w:color="auto" w:sz="2" w:space="0"/>
            </w:tcBorders>
            <w:noWrap w:val="0"/>
            <w:vAlign w:val="center"/>
          </w:tcPr>
          <w:p>
            <w:pPr>
              <w:jc w:val="center"/>
              <w:rPr>
                <w:rFonts w:hint="eastAsia" w:ascii="宋体" w:hAnsi="宋体"/>
                <w:color w:val="auto"/>
                <w:szCs w:val="21"/>
              </w:rPr>
            </w:pPr>
            <w:r>
              <w:rPr>
                <w:rFonts w:hint="eastAsia" w:ascii="宋体" w:hAnsi="宋体"/>
                <w:color w:val="auto"/>
                <w:szCs w:val="21"/>
              </w:rPr>
              <w:t>6</w:t>
            </w:r>
          </w:p>
        </w:tc>
        <w:tc>
          <w:tcPr>
            <w:tcW w:w="8643" w:type="dxa"/>
            <w:gridSpan w:val="3"/>
            <w:tcBorders>
              <w:top w:val="single" w:color="auto" w:sz="2" w:space="0"/>
              <w:bottom w:val="single" w:color="auto" w:sz="2" w:space="0"/>
            </w:tcBorders>
            <w:noWrap w:val="0"/>
            <w:vAlign w:val="center"/>
          </w:tcPr>
          <w:p>
            <w:pPr>
              <w:rPr>
                <w:rFonts w:ascii="宋体" w:hAnsi="宋体"/>
                <w:color w:val="auto"/>
                <w:szCs w:val="21"/>
              </w:rPr>
            </w:pPr>
            <w:r>
              <w:rPr>
                <w:rFonts w:ascii="宋体" w:hAnsi="宋体"/>
                <w:color w:val="auto"/>
                <w:szCs w:val="21"/>
              </w:rPr>
              <w:object>
                <v:shape id="_x0000_i1028" o:spt="75" type="#_x0000_t75" style="height:35pt;width:18pt;" o:ole="t" filled="f" stroked="f" coordsize="21600,21600">
                  <v:path/>
                  <v:fill on="f" focussize="0,0"/>
                  <v:stroke on="f"/>
                  <v:imagedata r:id="rId10" o:title=""/>
                  <o:lock v:ext="edit" grouping="f" rotation="f" text="f" aspectratio="t"/>
                  <w10:wrap type="none"/>
                  <w10:anchorlock/>
                </v:shape>
                <o:OLEObject Type="Embed" ProgID="Equation.3" ShapeID="_x0000_i1028" DrawAspect="Content" ObjectID="_1468075726" r:id="rId9">
                  <o:LockedField>false</o:LockedField>
                </o:OLEObject>
              </w:object>
            </w:r>
            <w:r>
              <w:rPr>
                <w:rFonts w:ascii="宋体" w:hAnsi="宋体"/>
                <w:color w:val="auto"/>
                <w:szCs w:val="21"/>
              </w:rPr>
              <w:t xml:space="preserve"> + </w:t>
            </w:r>
            <w:r>
              <w:rPr>
                <w:rFonts w:ascii="宋体" w:hAnsi="宋体"/>
                <w:color w:val="auto"/>
                <w:szCs w:val="21"/>
              </w:rPr>
              <w:object>
                <v:shape id="_x0000_i1029" o:spt="75" type="#_x0000_t75" style="height:35pt;width:19pt;" o:ole="t" filled="f" stroked="f" coordsize="21600,21600">
                  <v:path/>
                  <v:fill on="f" focussize="0,0"/>
                  <v:stroke on="f"/>
                  <v:imagedata r:id="rId12" o:title=""/>
                  <o:lock v:ext="edit" grouping="f" rotation="f" text="f" aspectratio="t"/>
                  <w10:wrap type="none"/>
                  <w10:anchorlock/>
                </v:shape>
                <o:OLEObject Type="Embed" ProgID="Equation.3" ShapeID="_x0000_i1029" DrawAspect="Content" ObjectID="_1468075727" r:id="rId11">
                  <o:LockedField>false</o:LockedField>
                </o:OLEObject>
              </w:object>
            </w:r>
            <w:r>
              <w:rPr>
                <w:rFonts w:ascii="宋体" w:hAnsi="宋体"/>
                <w:color w:val="auto"/>
                <w:szCs w:val="21"/>
              </w:rPr>
              <w:t xml:space="preserve"> + </w:t>
            </w:r>
            <w:r>
              <w:rPr>
                <w:rFonts w:hint="eastAsia" w:ascii="宋体" w:hAnsi="宋体"/>
                <w:color w:val="auto"/>
                <w:szCs w:val="21"/>
              </w:rPr>
              <w:t>……</w:t>
            </w:r>
            <w:r>
              <w:rPr>
                <w:rFonts w:ascii="宋体" w:hAnsi="宋体"/>
                <w:color w:val="auto"/>
                <w:szCs w:val="21"/>
              </w:rPr>
              <w:t xml:space="preserve">+ </w:t>
            </w:r>
            <w:r>
              <w:rPr>
                <w:rFonts w:ascii="宋体" w:hAnsi="宋体"/>
                <w:color w:val="auto"/>
                <w:szCs w:val="21"/>
              </w:rPr>
              <w:object>
                <v:shape id="_x0000_i1030" o:spt="75" type="#_x0000_t75" style="height:34pt;width:20pt;" o:ole="t" filled="f" stroked="f" coordsize="21600,21600">
                  <v:path/>
                  <v:fill on="f" focussize="0,0"/>
                  <v:stroke on="f"/>
                  <v:imagedata r:id="rId14" o:title=""/>
                  <o:lock v:ext="edit" grouping="f" rotation="f" text="f" aspectratio="t"/>
                  <w10:wrap type="none"/>
                  <w10:anchorlock/>
                </v:shape>
                <o:OLEObject Type="Embed" ProgID="Equation.3" ShapeID="_x0000_i1030" DrawAspect="Content" ObjectID="_1468075728" r:id="rId13">
                  <o:LockedField>false</o:LockedField>
                </o:OLEObject>
              </w:object>
            </w:r>
            <w:r>
              <w:rPr>
                <w:rFonts w:hint="eastAsia" w:ascii="宋体" w:hAnsi="宋体"/>
                <w:color w:val="auto"/>
                <w:szCs w:val="21"/>
              </w:rPr>
              <w:t>=0.064466</w:t>
            </w:r>
            <w:r>
              <w:rPr>
                <w:rFonts w:ascii="宋体" w:hAnsi="宋体"/>
                <w:color w:val="auto"/>
                <w:szCs w:val="21"/>
              </w:rPr>
              <w:t>&lt;</w:t>
            </w:r>
            <w:r>
              <w:rPr>
                <w:rFonts w:hint="eastAsia" w:ascii="宋体" w:hAnsi="宋体"/>
                <w:color w:val="auto"/>
                <w:szCs w:val="21"/>
              </w:rPr>
              <w:t>1</w:t>
            </w:r>
          </w:p>
        </w:tc>
      </w:tr>
    </w:tbl>
    <w:p>
      <w:pPr>
        <w:spacing w:line="360" w:lineRule="auto"/>
        <w:ind w:firstLine="480" w:firstLineChars="200"/>
        <w:rPr>
          <w:rFonts w:hint="eastAsia" w:ascii="宋体" w:hAnsi="宋体" w:cs="宋体"/>
          <w:color w:val="auto"/>
          <w:sz w:val="24"/>
        </w:rPr>
      </w:pPr>
      <w:r>
        <w:rPr>
          <w:rFonts w:hint="eastAsia" w:ascii="宋体" w:hAnsi="宋体" w:cs="宋体"/>
          <w:color w:val="auto"/>
          <w:sz w:val="24"/>
        </w:rPr>
        <w:t>故，四川香雪制药有限公司使用的危险化学品不构成危险化学品重大危险源。</w:t>
      </w:r>
    </w:p>
    <w:p>
      <w:bookmarkStart w:id="18" w:name="_GoBack"/>
      <w:bookmarkEnd w:id="18"/>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71862C"/>
    <w:multiLevelType w:val="singleLevel"/>
    <w:tmpl w:val="5A71862C"/>
    <w:lvl w:ilvl="0" w:tentative="0">
      <w:start w:val="1"/>
      <w:numFmt w:val="decimal"/>
      <w:suff w:val="nothing"/>
      <w:lvlText w:val="%1、"/>
      <w:lvlJc w:val="left"/>
    </w:lvl>
  </w:abstractNum>
  <w:abstractNum w:abstractNumId="1">
    <w:nsid w:val="76D46F06"/>
    <w:multiLevelType w:val="multilevel"/>
    <w:tmpl w:val="76D46F0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4DE36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340" w:beforeLines="0" w:after="330" w:afterLines="0" w:line="578" w:lineRule="auto"/>
      <w:outlineLvl w:val="0"/>
    </w:pPr>
    <w:rPr>
      <w:rFonts w:eastAsia="宋体"/>
      <w:b/>
      <w:bCs/>
      <w:kern w:val="44"/>
      <w:sz w:val="44"/>
      <w:szCs w:val="44"/>
      <w:lang w:val="en-US" w:eastAsia="zh-CN" w:bidi="ar-SA"/>
    </w:rPr>
  </w:style>
  <w:style w:type="paragraph" w:styleId="5">
    <w:name w:val="heading 2"/>
    <w:basedOn w:val="1"/>
    <w:next w:val="1"/>
    <w:qFormat/>
    <w:uiPriority w:val="0"/>
    <w:pPr>
      <w:keepNext/>
      <w:keepLines/>
      <w:spacing w:before="260" w:beforeLines="0" w:after="260" w:afterLines="0" w:line="416" w:lineRule="auto"/>
      <w:outlineLvl w:val="1"/>
    </w:pPr>
    <w:rPr>
      <w:rFonts w:ascii="Arial" w:hAnsi="Arial" w:eastAsia="黑体"/>
      <w:b/>
      <w:bCs/>
      <w:kern w:val="2"/>
      <w:sz w:val="32"/>
      <w:szCs w:val="32"/>
      <w:lang w:val="en-US" w:eastAsia="zh-CN" w:bidi="ar-SA"/>
    </w:rPr>
  </w:style>
  <w:style w:type="character" w:default="1" w:styleId="8">
    <w:name w:val="Default Paragraph Font"/>
    <w:semiHidden/>
    <w:uiPriority w:val="0"/>
  </w:style>
  <w:style w:type="table" w:default="1" w:styleId="7">
    <w:name w:val="Normal Table"/>
    <w:semiHidden/>
    <w:uiPriority w:val="0"/>
    <w:tblPr>
      <w:tblLayout w:type="fixed"/>
      <w:tblCellMar>
        <w:top w:w="0" w:type="dxa"/>
        <w:left w:w="108" w:type="dxa"/>
        <w:bottom w:w="0" w:type="dxa"/>
        <w:right w:w="108" w:type="dxa"/>
      </w:tblCellMar>
    </w:tblPr>
  </w:style>
  <w:style w:type="paragraph" w:styleId="2">
    <w:name w:val="Body Text First Indent"/>
    <w:basedOn w:val="3"/>
    <w:qFormat/>
    <w:uiPriority w:val="0"/>
    <w:pPr>
      <w:spacing w:after="120" w:afterLines="0" w:line="240" w:lineRule="auto"/>
      <w:ind w:firstLine="420" w:firstLineChars="100"/>
    </w:pPr>
    <w:rPr>
      <w:rFonts w:ascii="Times New Roman" w:hAnsi="Times New Roman"/>
      <w:sz w:val="21"/>
    </w:rPr>
  </w:style>
  <w:style w:type="paragraph" w:styleId="3">
    <w:name w:val="Body Text"/>
    <w:basedOn w:val="1"/>
    <w:uiPriority w:val="0"/>
    <w:pPr>
      <w:spacing w:line="360" w:lineRule="auto"/>
    </w:pPr>
    <w:rPr>
      <w:rFonts w:ascii="宋体" w:hAnsi="宋体"/>
      <w:sz w:val="28"/>
    </w:rPr>
  </w:style>
  <w:style w:type="paragraph" w:styleId="6">
    <w:name w:val="Plain Text"/>
    <w:basedOn w:val="1"/>
    <w:qFormat/>
    <w:uiPriority w:val="0"/>
    <w:rPr>
      <w:rFonts w:ascii="宋体" w:hAnsi="Courier New" w:eastAsia="宋体"/>
      <w:kern w:val="2"/>
      <w:sz w:val="28"/>
      <w:lang w:val="en-US" w:eastAsia="zh-CN" w:bidi="ar-SA"/>
    </w:rPr>
  </w:style>
  <w:style w:type="paragraph" w:customStyle="1" w:styleId="9">
    <w:name w:val="List Paragraph"/>
    <w:basedOn w:val="1"/>
    <w:uiPriority w:val="0"/>
    <w:pPr>
      <w:ind w:firstLine="420" w:firstLineChars="200"/>
    </w:pPr>
    <w:rPr>
      <w:szCs w:val="21"/>
    </w:rPr>
  </w:style>
  <w:style w:type="paragraph" w:customStyle="1" w:styleId="10">
    <w:name w:val="安评5号字表格正文居中"/>
    <w:qFormat/>
    <w:uiPriority w:val="0"/>
    <w:pPr>
      <w:widowControl w:val="0"/>
      <w:adjustRightInd w:val="0"/>
      <w:snapToGrid w:val="0"/>
      <w:spacing w:line="300" w:lineRule="auto"/>
      <w:jc w:val="center"/>
    </w:pPr>
    <w:rPr>
      <w:rFonts w:ascii="宋体" w:hAnsi="Calibri" w:eastAsia="宋体" w:cs="Times New Roman"/>
      <w:bCs/>
      <w:snapToGrid w:val="0"/>
      <w:sz w:val="21"/>
      <w:szCs w:val="21"/>
      <w:lang w:val="en-US" w:eastAsia="zh-CN" w:bidi="ar-SA"/>
    </w:rPr>
  </w:style>
  <w:style w:type="paragraph" w:customStyle="1" w:styleId="11">
    <w:name w:val="安评5号字表格正文左对齐"/>
    <w:qFormat/>
    <w:uiPriority w:val="0"/>
    <w:pPr>
      <w:widowControl w:val="0"/>
      <w:adjustRightInd w:val="0"/>
      <w:snapToGrid w:val="0"/>
      <w:spacing w:line="300" w:lineRule="auto"/>
    </w:pPr>
    <w:rPr>
      <w:rFonts w:ascii="Calibri" w:hAnsi="Calibri" w:eastAsia="宋体" w:cs="宋体"/>
      <w:snapToGrid w:val="0"/>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4.emf"/><Relationship Id="rId7" Type="http://schemas.openxmlformats.org/officeDocument/2006/relationships/oleObject" Target="embeddings/oleObject1.bin"/><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wmf"/><Relationship Id="rId13" Type="http://schemas.openxmlformats.org/officeDocument/2006/relationships/oleObject" Target="embeddings/oleObject4.bin"/><Relationship Id="rId12" Type="http://schemas.openxmlformats.org/officeDocument/2006/relationships/image" Target="media/image6.wmf"/><Relationship Id="rId11" Type="http://schemas.openxmlformats.org/officeDocument/2006/relationships/oleObject" Target="embeddings/oleObject3.bin"/><Relationship Id="rId10" Type="http://schemas.openxmlformats.org/officeDocument/2006/relationships/image" Target="media/image5.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520</cp:lastModifiedBy>
  <dcterms:modified xsi:type="dcterms:W3CDTF">2019-05-29T01:02:10Z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