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洪山霞光加油站（2023年度）</w:t>
      </w:r>
    </w:p>
    <w:p>
      <w:pPr>
        <w:pStyle w:val="4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防恐应急预案 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危险目标及可能发生的事件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恐怖袭击事件往往具有突发、隐蔽、恐怖分子可能携带武器、爆炸物等特点。</w:t>
      </w:r>
    </w:p>
    <w:p>
      <w:pPr>
        <w:numPr>
          <w:ilvl w:val="0"/>
          <w:numId w:val="0"/>
        </w:numPr>
        <w:ind w:firstLine="42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根据加油站的基本情况及其周边基本情况，恐怖分子可能会对如下目标进行袭击如:储油区、加油区、卸油区、配电室等已造成火灾、爆炸等发生灾害部位。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可能发生的事件：加油站内停放有爆炸装置的车辆；在油罐井内放置爆炸装置；在垃圾桶内防止爆炸装置；抢夺正在进行加油操作的加油枪实施纵火；在油罐车卸油时袭击油罐车。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应急岗位分工及职责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指挥：由负责人刘艳担任， 站长不在时，由当班安全管理员杨大国指挥。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生恐怖袭击时，立即向公安部门报警，并组织力量，采取有效措施，尽可能制止恐怖事件发生，保护员工生命安全；一旦恐怖分子破坏得手，应主动采取有效措施，控制事态发展，减少损失，协助公安部门侦查，处理恐怖案件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报警：加油工作人员组成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发生恐怖袭击时，负责及时向当地公安部门电话报案。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现场警戒：由当班安全员和加油员组成。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发生恐怖袭击时，负责切断电源、疏散车辆，正确地采取合法有效的措施，控制事态发展保护恐怖袭击现场的完整，防止闲杂人员进入现场和移动现场的任何物品，以便与公安人员进行现场勘察。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三、应急启动程序</w:t>
      </w:r>
    </w:p>
    <w:p>
      <w:pPr>
        <w:numPr>
          <w:ilvl w:val="0"/>
          <w:numId w:val="0"/>
        </w:numPr>
        <w:ind w:firstLine="42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袭击发生后，加油站立即起动应急行动，拨打110报警，疏散站内车辆，及时告知周边危险区域的居民，并向上级应急行动指挥中心办公室报告。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因恐怖袭击造成火灾、大量泄漏、爆炸发生灾害火险应立即报火警119，同时加油站启动相应的应急预案。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上一级应急行动指挥中心接警启动应急行动后，加油站各岗位配合中心应急行动，接受应急行动的指挥。</w:t>
      </w:r>
    </w:p>
    <w:p>
      <w:pPr>
        <w:numPr>
          <w:ilvl w:val="0"/>
          <w:numId w:val="0"/>
        </w:numPr>
        <w:ind w:firstLine="42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firstLine="42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各重点部位防范要求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="315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加油区和储罐区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4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注意观察加油站内外的情况，不定期对加油站进行巡查。巡视内容：长时间停放在站内的可疑车辆，防止恐怖分子放置爆炸装置，如发现可疑物品立即处理或110报警；</w:t>
      </w:r>
    </w:p>
    <w:p>
      <w:pPr>
        <w:numPr>
          <w:ilvl w:val="0"/>
          <w:numId w:val="4"/>
        </w:numPr>
        <w:ind w:left="315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密切注意进入加油站的闲杂人员动态，防止发生恐怖袭击；</w:t>
      </w:r>
    </w:p>
    <w:p>
      <w:pPr>
        <w:numPr>
          <w:ilvl w:val="0"/>
          <w:numId w:val="4"/>
        </w:numPr>
        <w:ind w:left="315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员工卡要随身携带，不得插在无人值守的加油机上。防止恐怖分子利用；</w:t>
      </w:r>
    </w:p>
    <w:p>
      <w:pPr>
        <w:numPr>
          <w:ilvl w:val="0"/>
          <w:numId w:val="4"/>
        </w:numPr>
        <w:ind w:left="315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储油区的罐井盖、量油口、卸油口、必须上锁保护，防止恐怖分子放置或投放爆炸装置。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="315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卸油区</w:t>
      </w:r>
    </w:p>
    <w:p>
      <w:pPr>
        <w:numPr>
          <w:ilvl w:val="0"/>
          <w:numId w:val="5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罐车卸油进站前，加油员工要对车辆进行检查，核对罐车司机和押运员身份，检查内容包括：油罐车底盘、油罐车卸油口、油罐车量油口、汽车油箱等部位，防止恐怖分子放置爆炸物品；</w:t>
      </w:r>
    </w:p>
    <w:p>
      <w:pPr>
        <w:numPr>
          <w:ilvl w:val="0"/>
          <w:numId w:val="5"/>
        </w:numPr>
        <w:ind w:left="315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卸油过程中，严格执行卸油操作规程，距离油罐车周围2米范围设置警戒线，发生恐怖袭击时油罐车要立即驶离加油站。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五、恐怖袭击应对措施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当恐怖分子进行袭击时，及时拨打110报警，当发现可疑物品时，当场及时处理或拨打110报警，如果恐怖分子人多势众，站内人员要机智地与恐怖分子周旋，拖延时间，等待救援，保护员工生命安全；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2、打电话报警遵从：报清报警加油站单位、地址、报清受恐怖袭击部位及情况，报清报警人姓名及联系电话；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3、如果需要撤离现场，必须通知所有顾客和其他员工撤离，封锁现场的入口处，并迅速撤离至加油站以外安全区域集合；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4、发生恐怖袭击事件，在保护员工生命安全和国家财产安全前提下，及时、果断、正确地采取合法有效的措施，协助警方擒拿恐怖分子，如爆炸物品爆炸引燃加油站，加油站同时应启动相应的灭火预案；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5、立即上报公司，同时向公安部门报警。</w:t>
      </w: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315" w:leftChars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315" w:leftChars="0"/>
        <w:jc w:val="center"/>
        <w:rPr>
          <w:rFonts w:hint="default"/>
          <w:b/>
          <w:bCs/>
          <w:sz w:val="48"/>
          <w:szCs w:val="28"/>
          <w:lang w:val="en-US" w:eastAsia="zh-CN"/>
        </w:rPr>
      </w:pPr>
      <w:r>
        <w:rPr>
          <w:rFonts w:hint="eastAsia"/>
          <w:b/>
          <w:bCs/>
          <w:sz w:val="48"/>
          <w:szCs w:val="28"/>
          <w:lang w:val="en-US" w:eastAsia="zh-CN"/>
        </w:rPr>
        <w:t>防恐应急预案人员分工职责表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</w:t>
      </w:r>
    </w:p>
    <w:tbl>
      <w:tblPr>
        <w:tblStyle w:val="6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90"/>
        <w:gridCol w:w="6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分工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人员</w:t>
            </w:r>
          </w:p>
        </w:tc>
        <w:tc>
          <w:tcPr>
            <w:tcW w:w="61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指挥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站长</w:t>
            </w:r>
          </w:p>
        </w:tc>
        <w:tc>
          <w:tcPr>
            <w:tcW w:w="6153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指导组织员工按照防恐员开展救护工作；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立即向公安部门报警，并组织力量，采取措施，尽可能制止恐怖事件发生，保护员工生命安全；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一旦恐怖分子破坏得手，应主动采取有效措施，控制事态发展，减少损失；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协助公安部门侦查，处理恐怖案件。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通讯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加油员</w:t>
            </w:r>
          </w:p>
        </w:tc>
        <w:tc>
          <w:tcPr>
            <w:tcW w:w="6153" w:type="dxa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负责及时向当地公安部门电话报警；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上报上级应急行动指挥中心；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警戒</w:t>
            </w:r>
          </w:p>
        </w:tc>
        <w:tc>
          <w:tcPr>
            <w:tcW w:w="1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安全员</w:t>
            </w:r>
          </w:p>
        </w:tc>
        <w:tc>
          <w:tcPr>
            <w:tcW w:w="6153" w:type="dxa"/>
          </w:tcPr>
          <w:p>
            <w:pPr>
              <w:numPr>
                <w:ilvl w:val="0"/>
                <w:numId w:val="9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负责切断电源，疏散车辆，正确地采取合法有效的措施，控制事态发展；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负责保护恐怖袭击现场的完整，防止闲杂人员进入现场和移动现场的任何物品，以便与公安人员进行现场勘察；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救护受伤员工。</w:t>
            </w:r>
          </w:p>
        </w:tc>
      </w:tr>
    </w:tbl>
    <w:p>
      <w:pPr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44"/>
          <w:lang w:val="en-US" w:eastAsia="zh-CN"/>
        </w:rPr>
      </w:pPr>
      <w:r>
        <w:rPr>
          <w:rFonts w:hint="eastAsia"/>
          <w:b/>
          <w:bCs/>
          <w:sz w:val="52"/>
          <w:szCs w:val="44"/>
          <w:lang w:val="en-US" w:eastAsia="zh-CN"/>
        </w:rPr>
        <w:t>阆中市洪山霞光加油站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36"/>
          <w:lang w:val="en-US" w:eastAsia="zh-CN"/>
        </w:rPr>
      </w:pPr>
      <w:r>
        <w:rPr>
          <w:rFonts w:hint="eastAsia"/>
          <w:b/>
          <w:bCs/>
          <w:sz w:val="44"/>
          <w:szCs w:val="36"/>
          <w:lang w:val="en-US" w:eastAsia="zh-CN"/>
        </w:rPr>
        <w:t>恐怖袭击现场处置方案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36"/>
          <w:lang w:val="en-US" w:eastAsia="zh-CN"/>
        </w:rPr>
      </w:pPr>
      <w:r>
        <w:rPr>
          <w:rFonts w:hint="eastAsia"/>
          <w:b/>
          <w:bCs/>
          <w:sz w:val="44"/>
          <w:szCs w:val="36"/>
          <w:lang w:val="en-US" w:eastAsia="zh-CN"/>
        </w:rPr>
        <w:t>（2023年度）</w:t>
      </w: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5184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7" w:type="dxa"/>
          </w:tcPr>
          <w:p>
            <w:pPr>
              <w:bidi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现场</w:t>
            </w:r>
          </w:p>
        </w:tc>
        <w:tc>
          <w:tcPr>
            <w:tcW w:w="5184" w:type="dxa"/>
          </w:tcPr>
          <w:p>
            <w:pPr>
              <w:bidi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处置</w:t>
            </w:r>
          </w:p>
        </w:tc>
        <w:tc>
          <w:tcPr>
            <w:tcW w:w="1618" w:type="dxa"/>
          </w:tcPr>
          <w:p>
            <w:pPr>
              <w:bidi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97" w:type="dxa"/>
            <w:vMerge w:val="restart"/>
          </w:tcPr>
          <w:p>
            <w:pPr>
              <w:bidi w:val="0"/>
              <w:snapToGrid w:val="0"/>
              <w:spacing w:line="240" w:lineRule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加油站经营油品有易燃、易爆等特性，油罐区、加油区、营业区等部位易成为恐怖分子袭击对象，恐怖分子通过劫持员工、引爆油罐、油罐车、加油机扥手段，造成人员伤亡，财产损失，造成重大社会影响，从而达到政治目的。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员工发现站内有可疑人员、车辆及物品时，立即向现场指挥报告；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现场加油员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  <w:tcBorders>
              <w:left w:val="single" w:color="auto" w:sz="4" w:space="0"/>
            </w:tcBorders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现场指挥得到报告后，宣布启动防恐怖袭击预案；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现场指挥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在确保人身安全前提下，做好个人防护，择机采取应对措施，对可疑人员盘查询问，必要时将加油机断电，停止营业；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疏散警戒组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为被控制人员向110 、 119报警，同时向上级上报请求支援；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疏散警戒组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如发生袭击事件，及时疏散加油站骨科及车辆，划定警戒范围；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疏散警戒组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留意观察可疑人员的外貌特征及交通工具；保护现场，提供资料，协助公安部门调查；发现可疑物品，等待公安等部门救援，按照公安指令进行处置；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抢险救援组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7" w:type="dxa"/>
            <w:vMerge w:val="continue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对受伤的人员进行救治，拨打120或立即就近医院抢救；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疏散警戒组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7" w:type="dxa"/>
            <w:vMerge w:val="continue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可疑人员、车辆、物品等由专业人士处置完毕，无其它隐患后，按照指挥中心指令恢复营业。</w:t>
            </w:r>
          </w:p>
        </w:tc>
        <w:tc>
          <w:tcPr>
            <w:tcW w:w="1618" w:type="dxa"/>
            <w:vAlign w:val="top"/>
          </w:tcPr>
          <w:p>
            <w:pPr>
              <w:bidi w:val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现场指挥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7" w:type="dxa"/>
          </w:tcPr>
          <w:p>
            <w:pPr>
              <w:bidi w:val="0"/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注意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84" w:type="dxa"/>
          </w:tcPr>
          <w:p>
            <w:pPr>
              <w:numPr>
                <w:ilvl w:val="0"/>
                <w:numId w:val="10"/>
              </w:numPr>
              <w:bidi w:val="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当恐怖袭击发生火灾爆炸时，启动火灾、爆炸预案；</w:t>
            </w:r>
          </w:p>
          <w:p>
            <w:pPr>
              <w:numPr>
                <w:ilvl w:val="0"/>
                <w:numId w:val="10"/>
              </w:num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当发生劫持员工事件时，与犯罪分子周旋，确保人员安全；</w:t>
            </w:r>
          </w:p>
          <w:p>
            <w:pPr>
              <w:numPr>
                <w:ilvl w:val="0"/>
                <w:numId w:val="10"/>
              </w:num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当引起油品泄漏时，启动应急处置预案。</w:t>
            </w:r>
          </w:p>
        </w:tc>
        <w:tc>
          <w:tcPr>
            <w:tcW w:w="1618" w:type="dxa"/>
          </w:tcPr>
          <w:p>
            <w:pPr>
              <w:bidi w:val="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8"/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7EB6F"/>
    <w:multiLevelType w:val="singleLevel"/>
    <w:tmpl w:val="8D87EB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F7F94F"/>
    <w:multiLevelType w:val="singleLevel"/>
    <w:tmpl w:val="A0F7F9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8AE85F"/>
    <w:multiLevelType w:val="singleLevel"/>
    <w:tmpl w:val="A48AE8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A4B568F"/>
    <w:multiLevelType w:val="singleLevel"/>
    <w:tmpl w:val="AA4B568F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4">
    <w:nsid w:val="B9742FCD"/>
    <w:multiLevelType w:val="singleLevel"/>
    <w:tmpl w:val="B9742FCD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9AB2DC0"/>
    <w:multiLevelType w:val="singleLevel"/>
    <w:tmpl w:val="E9AB2D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54E8C3F"/>
    <w:multiLevelType w:val="singleLevel"/>
    <w:tmpl w:val="154E8C3F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198531D6"/>
    <w:multiLevelType w:val="singleLevel"/>
    <w:tmpl w:val="198531D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33AC98E"/>
    <w:multiLevelType w:val="singleLevel"/>
    <w:tmpl w:val="633AC98E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68131815"/>
    <w:multiLevelType w:val="singleLevel"/>
    <w:tmpl w:val="681318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mI3YTRkZGZjOTI2NjNkMGM1ZmEwYTBjMDBlMDEifQ=="/>
  </w:docVars>
  <w:rsids>
    <w:rsidRoot w:val="00000000"/>
    <w:rsid w:val="0725782C"/>
    <w:rsid w:val="11FF2626"/>
    <w:rsid w:val="18C01749"/>
    <w:rsid w:val="2D06089F"/>
    <w:rsid w:val="301A2BB9"/>
    <w:rsid w:val="35EE5B44"/>
    <w:rsid w:val="365E6FF0"/>
    <w:rsid w:val="54D903CD"/>
    <w:rsid w:val="789863D5"/>
    <w:rsid w:val="7A4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2081</Words>
  <Characters>2104</Characters>
  <Lines>0</Lines>
  <Paragraphs>0</Paragraphs>
  <TotalTime>8</TotalTime>
  <ScaleCrop>false</ScaleCrop>
  <LinksUpToDate>false</LinksUpToDate>
  <CharactersWithSpaces>2175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2020-04-14T11:25:00Z</cp:lastPrinted>
  <dcterms:modified xsi:type="dcterms:W3CDTF">2023-03-27T06:32:47Z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8741BF6116854DC5A0750FB1C89C4944</vt:lpwstr>
  </property>
</Properties>
</file>