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跑单现场处置演练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20230404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桌面</w:t>
            </w:r>
            <w:bookmarkStart w:id="2" w:name="_GoBack"/>
            <w:bookmarkEnd w:id="2"/>
            <w:r>
              <w:rPr>
                <w:rFonts w:hint="eastAsia" w:ascii="仿宋_GB2312" w:hAnsi="宋体" w:eastAsia="仿宋_GB2312"/>
                <w:bCs/>
                <w:color w:val="000000"/>
                <w:sz w:val="24"/>
                <w:lang w:eastAsia="zh-CN"/>
              </w:rPr>
              <w:t>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跑单现场处置应急预案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近期加油量逐渐上涨，跑单概率增大，为增强员工应急处置能力，减少和降低不良的社会影响，特开展此次跑单现场处置演练。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现场繁忙，王刚发现1号枪处客户加油后直接离开，疑似跑单，当即通过对讲机告知收银员，请求确认。2.朱利全调取前台POS数据后确认客户未支付，立即向站经理汇报。3.郑卫民通过调取监控，确认客户车牌号后拨打新建派出所值班电话，请求协助。4.获得客户电话后，王刚拨打电话，向客户讲明情况，请客户到站支付，随后客户到站支付。5.演练结束，郑卫民进行点评。</w:t>
            </w:r>
          </w:p>
          <w:p>
            <w:pPr>
              <w:spacing w:line="240" w:lineRule="atLeast"/>
              <w:rPr>
                <w:rFonts w:hint="default" w:ascii="仿宋_GB2312" w:hAnsi="宋体" w:eastAsia="仿宋_GB2312"/>
                <w:bCs/>
                <w:color w:val="000000"/>
                <w:sz w:val="24"/>
                <w:lang w:val="en-US"/>
              </w:rPr>
            </w:pP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客户跑单的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客户跑单</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36378"/>
    <w:rsid w:val="093E2408"/>
    <w:rsid w:val="09616FC8"/>
    <w:rsid w:val="0B353A58"/>
    <w:rsid w:val="124612D9"/>
    <w:rsid w:val="13766F87"/>
    <w:rsid w:val="15A32F5A"/>
    <w:rsid w:val="187810C6"/>
    <w:rsid w:val="1912583B"/>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F4C0BBB"/>
    <w:rsid w:val="4F6B50A6"/>
    <w:rsid w:val="504C1172"/>
    <w:rsid w:val="55924DD7"/>
    <w:rsid w:val="57501643"/>
    <w:rsid w:val="57C861A0"/>
    <w:rsid w:val="5A285B32"/>
    <w:rsid w:val="5D5B459E"/>
    <w:rsid w:val="5D837A56"/>
    <w:rsid w:val="5E305FA3"/>
    <w:rsid w:val="5F112A2C"/>
    <w:rsid w:val="5F9D3F21"/>
    <w:rsid w:val="5FCB7EAF"/>
    <w:rsid w:val="61FB3538"/>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2023-04-05T01:03:52Z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