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卸油作业起火应急预案演练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20230116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01</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16</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近期卸油频次增多，安全环保压力增大，为增强员工应急处置能力，减少和降低不良的社会影响，特开展此次卸油作业起火应急预案演练。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王刚监护卸油时发现罐车阀门油品跑冒突然起火当即高声示警，并使用灭火毯覆盖罐车阀门，接着关闭罐车和卸油口阀门。2.朱利全立即赶至现场，配合王刚使用35KG灭火器对着火部位进行扫射。3.李林霜立即关闭加油站总电源，拨打报警电话并向上级汇报。4.苟丽媛立即拉起警戒线，疏散无关人员和车辆。5.扑救结束，郑卫民计算油品损失，组织员工清理地面残油并回收至危废桶，打扫现场确认无安全隐患后恢复营业。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卸油作业起火的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卸油作业起火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D7F25A0"/>
    <w:rsid w:val="4F4C0BBB"/>
    <w:rsid w:val="4F6B50A6"/>
    <w:rsid w:val="504C1172"/>
    <w:rsid w:val="55924DD7"/>
    <w:rsid w:val="57501643"/>
    <w:rsid w:val="5757757C"/>
    <w:rsid w:val="5A285B32"/>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2023-01-14T00:17:46Z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