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4540"/>
      <w:bookmarkStart w:id="1" w:name="_Toc346894513"/>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急性职业中毒应急预案演练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20230104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01</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04</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16"/>
                <w:szCs w:val="16"/>
                <w:lang w:eastAsia="zh-CN"/>
              </w:rPr>
              <w:t>公共卫生类突发事件应急预案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卸油区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近期操作井检查频次增多，安全环保风险增大，为增强员工应急处置能力，减少和降低不良的社会影响，特开展此次急性职业中毒应急预案演练。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bookmarkStart w:id="2" w:name="_GoBack"/>
            <w:bookmarkEnd w:id="2"/>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王刚在95号操作井内工作时因油气浓度过高突然昏倒，郑卫民当即高声示警。2.朱利全立即赶至现场，配合郑卫民将王刚搬离操作井至空气新鲜处。3.郑卫民松解王刚腰带衣领以维持呼吸道畅通。4.苟丽媛拉起警戒线，阻止无关人员和车辆靠近。5.李林霜立即拨打120并在入站口等待。6.救护车到达进行伤员转运，郑卫民确认现场无安全隐患后宣布恢复营业。7.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急性职业中毒的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急性职业中毒</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9581E"/>
    <w:rsid w:val="093E2408"/>
    <w:rsid w:val="0B353A58"/>
    <w:rsid w:val="0DDD624E"/>
    <w:rsid w:val="124612D9"/>
    <w:rsid w:val="13766F87"/>
    <w:rsid w:val="15A32F5A"/>
    <w:rsid w:val="16666F3E"/>
    <w:rsid w:val="187810C6"/>
    <w:rsid w:val="1C886674"/>
    <w:rsid w:val="1ECD414E"/>
    <w:rsid w:val="1F300EB9"/>
    <w:rsid w:val="22603488"/>
    <w:rsid w:val="231D2700"/>
    <w:rsid w:val="27DB77C8"/>
    <w:rsid w:val="28E04033"/>
    <w:rsid w:val="2BA610A0"/>
    <w:rsid w:val="2DA24125"/>
    <w:rsid w:val="2DDE4928"/>
    <w:rsid w:val="2EBC06F8"/>
    <w:rsid w:val="2F393868"/>
    <w:rsid w:val="30646DE7"/>
    <w:rsid w:val="36D70E75"/>
    <w:rsid w:val="3F712A02"/>
    <w:rsid w:val="414C7DA5"/>
    <w:rsid w:val="42DF770A"/>
    <w:rsid w:val="473461A1"/>
    <w:rsid w:val="4855711C"/>
    <w:rsid w:val="4882525A"/>
    <w:rsid w:val="4C154CBB"/>
    <w:rsid w:val="4F4C0BBB"/>
    <w:rsid w:val="4F6B50A6"/>
    <w:rsid w:val="504C1172"/>
    <w:rsid w:val="55924DD7"/>
    <w:rsid w:val="57501643"/>
    <w:rsid w:val="5A285B32"/>
    <w:rsid w:val="5D5B459E"/>
    <w:rsid w:val="5D837A56"/>
    <w:rsid w:val="5F112A2C"/>
    <w:rsid w:val="5F9D3F21"/>
    <w:rsid w:val="5FCB7EAF"/>
    <w:rsid w:val="620B6E85"/>
    <w:rsid w:val="64456458"/>
    <w:rsid w:val="69155264"/>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2023-01-02T06:51:17Z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