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320" w:lineRule="exact"/>
        <w:ind w:firstLine="480" w:firstLineChars="200"/>
        <w:jc w:val="both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widowControl w:val="0"/>
        <w:spacing w:after="0" w:line="320" w:lineRule="exact"/>
        <w:ind w:firstLine="480" w:firstLineChars="200"/>
        <w:jc w:val="both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       设备管理部门负责人责任制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宋体"/>
          <w:sz w:val="24"/>
          <w:szCs w:val="24"/>
        </w:rPr>
        <w:t>1.协助分管副总开展安全生产工作，对设备部的安全生产工作全面负责。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2.组织编制部门岗位人员的安全生产责任及安全生产目标。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3.制定生产设备设施（包括安全设施）的年度和日常检维修计划。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4.负责维护、检查、修理、保养、试验、鉴定各种设备。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5.组织或参与制定（或修订）各类设备、设施的操作规程、检维修、调试等规程和设备设施管理制度。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6.负责公司特种设备等的管理。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7.参与有关机械设备事故的调查。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8.负责相关特殊作业票的审批。</w:t>
      </w:r>
    </w:p>
    <w:p>
      <w:pPr>
        <w:pStyle w:val="2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9.负责危险废物、固体废物的使用登记管理。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0" w:lineRule="exact"/>
        <w:ind w:firstLine="480" w:firstLineChars="200"/>
        <w:jc w:val="both"/>
        <w:textAlignment w:val="auto"/>
        <w:rPr>
          <w:rFonts w:hint="eastAsia" w:ascii="Times New Roman" w:hAnsi="Times New Roman" w:eastAsia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50D7C"/>
    <w:rsid w:val="147B7CFD"/>
    <w:rsid w:val="15E441B7"/>
    <w:rsid w:val="176C2091"/>
    <w:rsid w:val="29962D4E"/>
    <w:rsid w:val="2B5027AA"/>
    <w:rsid w:val="4F050D7C"/>
    <w:rsid w:val="5BB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2021-05-28T03:09:00Z</dcterms:created>
  <dc:creator>Administrator</dc:creator>
  <cp:lastModifiedBy>Administrator</cp:lastModifiedBy>
  <dcterms:modified xsi:type="dcterms:W3CDTF">2021-05-28T03:33:11Z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88037D2C75544D48A49F05E8B5EB3B22</vt:lpwstr>
  </property>
</Properties>
</file>