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
        <w:tblW w:w="0" w:type="auto"/>
        <w:jc w:val="center"/>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tblLayout w:type="fixed"/>
        <w:tblCellMar>
          <w:top w:w="0" w:type="dxa"/>
          <w:left w:w="108" w:type="dxa"/>
          <w:bottom w:w="0" w:type="dxa"/>
          <w:right w:w="108" w:type="dxa"/>
        </w:tblCellMar>
      </w:tblPr>
      <w:tblGrid>
        <w:gridCol w:w="9072"/>
      </w:tblGrid>
      <w:tr>
        <w:tblPrEx>
          <w:tblBorders>
            <w:top w:val="thinThickSmallGap" w:color="auto" w:sz="24" w:space="0"/>
            <w:left w:val="thinThickSmallGap" w:color="auto" w:sz="24" w:space="0"/>
            <w:bottom w:val="thickThinSmallGap" w:color="auto" w:sz="24" w:space="0"/>
            <w:right w:val="thickThinSmallGap" w:color="auto" w:sz="24" w:space="0"/>
            <w:insideH w:val="thinThickSmallGap" w:color="auto" w:sz="24" w:space="0"/>
            <w:insideV w:val="thinThickSmallGap" w:color="auto" w:sz="24" w:space="0"/>
          </w:tblBorders>
        </w:tblPrEx>
        <w:trPr>
          <w:trHeight w:val="13065" w:hRule="atLeast"/>
          <w:jc w:val="center"/>
        </w:trPr>
        <w:tc>
          <w:tcPr>
            <w:tcW w:w="9072" w:type="dxa"/>
            <w:noWrap w:val="0"/>
            <w:vAlign w:val="top"/>
          </w:tcPr>
          <w:p>
            <w:pPr>
              <w:jc w:val="center"/>
              <w:rPr>
                <w:rFonts w:hint="eastAsia" w:ascii="宋体" w:hAnsi="宋体"/>
                <w:b/>
                <w:spacing w:val="100"/>
                <w:sz w:val="73"/>
              </w:rPr>
            </w:pPr>
          </w:p>
          <w:p>
            <w:pPr>
              <w:jc w:val="center"/>
              <w:rPr>
                <w:rFonts w:ascii="宋体"/>
                <w:b/>
                <w:spacing w:val="100"/>
                <w:sz w:val="73"/>
              </w:rPr>
            </w:pPr>
            <w:r>
              <w:rPr>
                <w:rFonts w:hint="eastAsia" w:ascii="宋体" w:hAnsi="宋体"/>
                <w:b/>
                <w:spacing w:val="100"/>
                <w:sz w:val="73"/>
              </w:rPr>
              <w:t>安全生产目标管理</w:t>
            </w:r>
          </w:p>
          <w:p>
            <w:pPr>
              <w:tabs>
                <w:tab w:val="left" w:pos="2268"/>
              </w:tabs>
              <w:jc w:val="center"/>
            </w:pPr>
          </w:p>
          <w:p>
            <w:pPr>
              <w:jc w:val="center"/>
              <w:rPr>
                <w:rFonts w:hint="eastAsia"/>
              </w:rPr>
            </w:pPr>
          </w:p>
          <w:p>
            <w:pPr>
              <w:jc w:val="center"/>
              <w:rPr>
                <w:rFonts w:hint="eastAsia"/>
              </w:rPr>
            </w:pPr>
          </w:p>
          <w:p>
            <w:pPr>
              <w:snapToGrid w:val="0"/>
              <w:jc w:val="center"/>
              <w:rPr>
                <w:rFonts w:hint="eastAsia" w:ascii="迷你简隶书" w:eastAsia="迷你简隶书"/>
                <w:w w:val="150"/>
                <w:sz w:val="117"/>
              </w:rPr>
            </w:pPr>
            <w:r>
              <w:rPr>
                <w:rFonts w:hint="eastAsia" w:ascii="迷你简隶书" w:eastAsia="迷你简隶书"/>
                <w:w w:val="150"/>
                <w:sz w:val="117"/>
              </w:rPr>
              <w:t>责</w:t>
            </w:r>
          </w:p>
          <w:p>
            <w:pPr>
              <w:snapToGrid w:val="0"/>
              <w:jc w:val="center"/>
              <w:rPr>
                <w:rFonts w:hint="eastAsia" w:ascii="迷你简隶书" w:eastAsia="迷你简隶书"/>
                <w:w w:val="150"/>
                <w:sz w:val="43"/>
              </w:rPr>
            </w:pPr>
          </w:p>
          <w:p>
            <w:pPr>
              <w:snapToGrid w:val="0"/>
              <w:jc w:val="center"/>
              <w:rPr>
                <w:rFonts w:hint="eastAsia" w:ascii="迷你简隶书" w:eastAsia="迷你简隶书"/>
                <w:w w:val="150"/>
                <w:sz w:val="117"/>
              </w:rPr>
            </w:pPr>
            <w:r>
              <w:rPr>
                <w:rFonts w:hint="eastAsia" w:ascii="迷你简隶书" w:eastAsia="迷你简隶书"/>
                <w:w w:val="150"/>
                <w:sz w:val="117"/>
              </w:rPr>
              <w:t>任</w:t>
            </w:r>
          </w:p>
          <w:p>
            <w:pPr>
              <w:snapToGrid w:val="0"/>
              <w:jc w:val="center"/>
              <w:rPr>
                <w:rFonts w:hint="eastAsia" w:ascii="迷你简隶书" w:eastAsia="迷你简隶书"/>
                <w:w w:val="150"/>
                <w:sz w:val="63"/>
              </w:rPr>
            </w:pPr>
          </w:p>
          <w:p>
            <w:pPr>
              <w:snapToGrid w:val="0"/>
              <w:jc w:val="center"/>
              <w:rPr>
                <w:rFonts w:hint="eastAsia" w:ascii="迷你简隶书" w:eastAsia="迷你简隶书"/>
                <w:w w:val="150"/>
                <w:sz w:val="121"/>
              </w:rPr>
            </w:pPr>
            <w:r>
              <w:rPr>
                <w:rFonts w:hint="eastAsia" w:ascii="迷你简隶书" w:eastAsia="迷你简隶书"/>
                <w:w w:val="150"/>
                <w:sz w:val="117"/>
              </w:rPr>
              <w:t>书</w:t>
            </w:r>
          </w:p>
          <w:p>
            <w:pPr>
              <w:jc w:val="center"/>
              <w:rPr>
                <w:rFonts w:hint="eastAsia" w:ascii="楷体_GB2312" w:eastAsia="楷体_GB2312"/>
                <w:sz w:val="37"/>
              </w:rPr>
            </w:pPr>
            <w:r>
              <w:rPr>
                <w:rFonts w:hint="eastAsia" w:ascii="楷体_GB2312" w:eastAsia="楷体_GB2312"/>
                <w:sz w:val="37"/>
              </w:rPr>
              <w:t>仪陇县南运鸿德汽车驾驶培训有限公司</w:t>
            </w:r>
          </w:p>
          <w:p>
            <w:pPr>
              <w:jc w:val="center"/>
              <w:rPr>
                <w:rFonts w:hint="eastAsia" w:ascii="黑体" w:eastAsia="黑体"/>
                <w:bCs/>
                <w:sz w:val="44"/>
                <w:szCs w:val="44"/>
              </w:rPr>
            </w:pPr>
            <w:r>
              <w:rPr>
                <w:rFonts w:hint="eastAsia" w:ascii="楷体_GB2312" w:eastAsia="楷体_GB2312"/>
                <w:sz w:val="37"/>
              </w:rPr>
              <w:t>（</w:t>
            </w:r>
            <w:r>
              <w:rPr>
                <w:rFonts w:hint="eastAsia" w:ascii="楷体_GB2312" w:eastAsia="楷体_GB2312"/>
                <w:sz w:val="37"/>
                <w:lang w:eastAsia="zh-CN"/>
              </w:rPr>
              <w:t>二0二四</w:t>
            </w:r>
            <w:r>
              <w:rPr>
                <w:rFonts w:hint="eastAsia" w:ascii="楷体_GB2312" w:eastAsia="楷体_GB2312"/>
                <w:sz w:val="37"/>
              </w:rPr>
              <w:t>年度）</w:t>
            </w:r>
          </w:p>
        </w:tc>
      </w:tr>
    </w:tbl>
    <w:p>
      <w:pPr>
        <w:jc w:val="center"/>
        <w:rPr>
          <w:rFonts w:hint="eastAsia" w:ascii="黑体" w:eastAsia="黑体"/>
          <w:bCs/>
          <w:sz w:val="44"/>
          <w:szCs w:val="44"/>
        </w:rPr>
      </w:pPr>
      <w:r>
        <w:rPr>
          <w:rFonts w:ascii="黑体" w:eastAsia="黑体"/>
          <w:bCs/>
          <w:sz w:val="44"/>
          <w:szCs w:val="44"/>
        </w:rPr>
        <w:br w:type="page"/>
      </w:r>
      <w:r>
        <w:rPr>
          <w:rFonts w:hint="eastAsia" w:ascii="黑体" w:eastAsia="黑体"/>
          <w:bCs/>
          <w:sz w:val="44"/>
          <w:szCs w:val="44"/>
          <w:lang w:eastAsia="zh-CN"/>
        </w:rPr>
        <w:t>2024</w:t>
      </w:r>
      <w:r>
        <w:rPr>
          <w:rFonts w:hint="eastAsia" w:ascii="黑体" w:eastAsia="黑体"/>
          <w:bCs/>
          <w:sz w:val="44"/>
          <w:szCs w:val="44"/>
        </w:rPr>
        <w:t>年安全生产目标管理责任书</w:t>
      </w:r>
    </w:p>
    <w:p>
      <w:pPr>
        <w:spacing w:before="240"/>
        <w:jc w:val="center"/>
        <w:rPr>
          <w:rFonts w:hint="eastAsia" w:ascii="仿宋_GB2312" w:eastAsia="仿宋_GB2312"/>
          <w:sz w:val="32"/>
        </w:rPr>
      </w:pPr>
      <w:r>
        <w:rPr>
          <w:rFonts w:hint="eastAsia" w:ascii="仿宋_GB2312" w:eastAsia="仿宋_GB2312"/>
          <w:sz w:val="32"/>
        </w:rPr>
        <w:t>(安全科)</w:t>
      </w:r>
    </w:p>
    <w:p>
      <w:pPr>
        <w:spacing w:before="240" w:line="600" w:lineRule="exact"/>
        <w:ind w:firstLine="750" w:firstLineChars="250"/>
        <w:rPr>
          <w:rFonts w:hint="eastAsia" w:ascii="仿宋_GB2312" w:eastAsia="仿宋_GB2312"/>
          <w:sz w:val="30"/>
          <w:szCs w:val="30"/>
        </w:rPr>
      </w:pPr>
      <w:r>
        <w:rPr>
          <w:rFonts w:hint="eastAsia" w:ascii="仿宋_GB2312" w:eastAsia="仿宋_GB2312"/>
          <w:sz w:val="30"/>
          <w:szCs w:val="30"/>
        </w:rPr>
        <w:t>为了贯彻国家安全生产的法律、法规，保证公司教学活动的正常开展，维护全体教、学人员的利益，按照”安全第一、预防为主、综合治理”安全工作方针，落实各科室安全生产责任，根据国家《安全生产法》和交通运输部</w:t>
      </w:r>
      <w:r>
        <w:rPr>
          <w:rFonts w:ascii="仿宋_GB2312" w:eastAsia="仿宋_GB2312"/>
          <w:sz w:val="30"/>
          <w:szCs w:val="30"/>
        </w:rPr>
        <w:t>《机动车驾驶员培训管理规定》</w:t>
      </w:r>
      <w:r>
        <w:rPr>
          <w:rFonts w:hint="eastAsia" w:ascii="仿宋_GB2312" w:eastAsia="仿宋_GB2312"/>
          <w:sz w:val="30"/>
          <w:szCs w:val="30"/>
        </w:rPr>
        <w:t>，按照公司</w:t>
      </w:r>
      <w:r>
        <w:rPr>
          <w:rFonts w:hint="eastAsia" w:ascii="仿宋_GB2312" w:eastAsia="仿宋_GB2312"/>
          <w:sz w:val="30"/>
          <w:szCs w:val="30"/>
          <w:lang w:eastAsia="zh-CN"/>
        </w:rPr>
        <w:t>2024</w:t>
      </w:r>
      <w:r>
        <w:rPr>
          <w:rFonts w:hint="eastAsia" w:ascii="仿宋_GB2312" w:eastAsia="仿宋_GB2312"/>
          <w:sz w:val="30"/>
          <w:szCs w:val="30"/>
        </w:rPr>
        <w:t>年度安全生产目标管理和工作任务，仪陇县南运鸿德汽车驾驶培训有限公司向</w:t>
      </w:r>
      <w:r>
        <w:rPr>
          <w:rFonts w:hint="eastAsia" w:ascii="仿宋_GB2312" w:eastAsia="仿宋_GB2312"/>
          <w:b/>
          <w:sz w:val="30"/>
          <w:szCs w:val="30"/>
        </w:rPr>
        <w:t>安全科</w:t>
      </w:r>
      <w:r>
        <w:rPr>
          <w:rFonts w:hint="eastAsia" w:ascii="仿宋_GB2312" w:eastAsia="仿宋_GB2312"/>
          <w:sz w:val="30"/>
          <w:szCs w:val="30"/>
        </w:rPr>
        <w:t>下达</w:t>
      </w:r>
      <w:r>
        <w:rPr>
          <w:rFonts w:hint="eastAsia" w:ascii="仿宋_GB2312" w:eastAsia="仿宋_GB2312"/>
          <w:sz w:val="30"/>
          <w:szCs w:val="30"/>
          <w:lang w:eastAsia="zh-CN"/>
        </w:rPr>
        <w:t>二0二四</w:t>
      </w:r>
      <w:r>
        <w:rPr>
          <w:rFonts w:hint="eastAsia" w:ascii="仿宋_GB2312" w:eastAsia="仿宋_GB2312"/>
          <w:sz w:val="30"/>
          <w:szCs w:val="30"/>
        </w:rPr>
        <w:t>年度安全生产目标管理和工作任务并进行考核。</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一、年度安全考核目标</w:t>
      </w:r>
      <w:r>
        <w:rPr>
          <w:rFonts w:hint="eastAsia" w:ascii="仿宋_GB2312" w:hAnsi="宋体" w:eastAsia="仿宋_GB2312"/>
          <w:sz w:val="30"/>
          <w:szCs w:val="30"/>
        </w:rPr>
        <w:t>(50分)</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1.生产安全责任事故:事故次数、死亡人数、受伤人数、经济损失安全生产四项指数不超过</w:t>
      </w:r>
      <w:r>
        <w:rPr>
          <w:rFonts w:hint="eastAsia" w:ascii="仿宋_GB2312" w:eastAsia="仿宋_GB2312"/>
          <w:color w:val="000000"/>
          <w:sz w:val="30"/>
          <w:szCs w:val="30"/>
        </w:rPr>
        <w:t>公司</w:t>
      </w:r>
      <w:r>
        <w:rPr>
          <w:rFonts w:hint="eastAsia" w:ascii="仿宋_GB2312" w:eastAsia="仿宋_GB2312"/>
          <w:sz w:val="30"/>
          <w:szCs w:val="30"/>
        </w:rPr>
        <w:t>的控制指标。</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2.不发生负同等责任以上的较大道路交通事故和负次要责任以上重大道路交通事故。</w:t>
      </w:r>
    </w:p>
    <w:p>
      <w:pPr>
        <w:spacing w:line="600" w:lineRule="exact"/>
        <w:ind w:firstLine="600" w:firstLineChars="200"/>
        <w:rPr>
          <w:rFonts w:hint="eastAsia" w:ascii="仿宋_GB2312" w:eastAsia="仿宋_GB2312"/>
          <w:sz w:val="30"/>
          <w:szCs w:val="30"/>
        </w:rPr>
      </w:pPr>
      <w:r>
        <w:rPr>
          <w:rFonts w:hint="eastAsia" w:ascii="仿宋_GB2312" w:eastAsia="仿宋_GB2312"/>
          <w:color w:val="000000"/>
          <w:sz w:val="30"/>
          <w:szCs w:val="30"/>
        </w:rPr>
        <w:t>3</w:t>
      </w:r>
      <w:r>
        <w:rPr>
          <w:rFonts w:hint="eastAsia" w:ascii="仿宋_GB2312" w:eastAsia="仿宋_GB2312"/>
          <w:sz w:val="30"/>
          <w:szCs w:val="30"/>
        </w:rPr>
        <w:t>. 生产教学场区和生活办公区域不发生因安全管理及消防方面工作不到位等原因造成安全事故。</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4.不发生教、学人员工伤重伤及其它责任事故。</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5.不发生管理人员违章指挥违规操作的重大安全违法行为。</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二、年度安全工作责任目标</w:t>
      </w:r>
      <w:r>
        <w:rPr>
          <w:rFonts w:hint="eastAsia" w:ascii="仿宋_GB2312" w:hAnsi="宋体" w:eastAsia="仿宋_GB2312"/>
          <w:sz w:val="30"/>
          <w:szCs w:val="30"/>
        </w:rPr>
        <w:t>(50分)</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1.督促执行安全生产</w:t>
      </w:r>
      <w:r>
        <w:rPr>
          <w:rFonts w:hint="eastAsia" w:ascii="仿宋_GB2312" w:hAnsi="宋体" w:eastAsia="仿宋_GB2312"/>
          <w:sz w:val="30"/>
          <w:szCs w:val="30"/>
          <w:lang w:eastAsia="zh-CN"/>
        </w:rPr>
        <w:t>和职业病防治的法律</w:t>
      </w:r>
      <w:r>
        <w:rPr>
          <w:rFonts w:hint="eastAsia" w:ascii="仿宋_GB2312" w:hAnsi="宋体" w:eastAsia="仿宋_GB2312"/>
          <w:sz w:val="30"/>
          <w:szCs w:val="30"/>
        </w:rPr>
        <w:t>、法规和标准</w:t>
      </w:r>
      <w:r>
        <w:rPr>
          <w:rFonts w:hint="eastAsia" w:ascii="仿宋_GB2312" w:hAnsi="宋体" w:eastAsia="仿宋_GB2312"/>
          <w:sz w:val="30"/>
          <w:szCs w:val="30"/>
          <w:lang w:eastAsia="zh-CN"/>
        </w:rPr>
        <w:t>，</w:t>
      </w:r>
      <w:r>
        <w:rPr>
          <w:rFonts w:hint="eastAsia" w:ascii="仿宋_GB2312" w:hAnsi="宋体" w:eastAsia="仿宋_GB2312"/>
          <w:sz w:val="30"/>
          <w:szCs w:val="30"/>
        </w:rPr>
        <w:t>落实</w:t>
      </w:r>
      <w:r>
        <w:rPr>
          <w:rFonts w:hint="eastAsia" w:ascii="仿宋_GB2312" w:hAnsi="宋体" w:eastAsia="仿宋_GB2312"/>
          <w:sz w:val="30"/>
          <w:szCs w:val="30"/>
          <w:lang w:eastAsia="zh-CN"/>
        </w:rPr>
        <w:t>企业“五落实、五到位”规定和公司</w:t>
      </w:r>
      <w:r>
        <w:rPr>
          <w:rFonts w:hint="eastAsia" w:ascii="仿宋_GB2312" w:hAnsi="宋体" w:eastAsia="仿宋_GB2312"/>
          <w:sz w:val="30"/>
          <w:szCs w:val="30"/>
        </w:rPr>
        <w:t>的安全生产工作部署，负责全司安全管理和安全生产领导小组的日常工作，对全司的安全生产负具体的实施组织指导和监督责任。</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2.制定公司安全、消防等方面规章制度，关键岗位操作规程和相关技术标准、规范，明确各科室、各岗位的安全生产职责，督促贯彻执行和考核。</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3.拟定全司年度安全生产目标管理、安全生产管理工作计划和安全技术措施，组织实施工作检查和考核，参与安全生产事故应急预案的制定和演练。</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4.组织开展安全检查和隐患排查，对检查出的安全隐患及其他安全问题及时督促处理。</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5.指导各科室搞好安全教学、车辆技术管理、劳动保护、环境保护消防等方面的安全工作。了解掌握全司安全生产情况，并及时向公司经理、分管副经理和安全领导小组报告。</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6.严格执行教练员招聘使用规定，并定期组织开展对教练员的考核。</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7.组织召开安全领导小组会议和安全例会，分析、总结、通报前期教学、安全情况，部署下期教学、安全工作。</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8.实施全司安全生产宣传、教育和培训，总结和推广安全生产工作的先进经验。组织开展安全生产竞赛、评比活动，总结推广先进经验。</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9.按照《安全生产事故统计报告和调查处理制度》等规定，及时报告事故，参与教学事故的调查处理，制定吸取教训、排除隐患，落实事故防范的措施。</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10. 监督从业人员做好公司安全生产管理、卫星定位监控系统等方面的工作。</w:t>
      </w:r>
    </w:p>
    <w:p>
      <w:pPr>
        <w:shd w:val="clear" w:color="auto" w:fill="FFFFFF"/>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11.实施安全生产奖惩和责任追究，查处违法违规教学和失职失误行为。</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12.落实职业危害防治措施及劳动防护用品的使用和管理。</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13.将安全生产目标管理分解到各岗位，并签定</w:t>
      </w:r>
      <w:r>
        <w:rPr>
          <w:rFonts w:hint="eastAsia" w:ascii="仿宋_GB2312" w:hAnsi="仿宋" w:eastAsia="仿宋_GB2312"/>
          <w:sz w:val="30"/>
          <w:szCs w:val="30"/>
        </w:rPr>
        <w:t>安全生产目标管理责任书</w:t>
      </w:r>
      <w:r>
        <w:rPr>
          <w:rFonts w:hint="eastAsia" w:ascii="仿宋_GB2312" w:hAnsi="宋体" w:eastAsia="仿宋_GB2312"/>
          <w:sz w:val="30"/>
          <w:szCs w:val="30"/>
        </w:rPr>
        <w:t>，及落实考核。</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14．完成领导和安全生产领导小组临时交办的其他工作。</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三、奖惩办法。</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1.结合公司有关规定，完成安全生产目标管理的，可参与年度先进评选，进行精神和物质奖励。</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2.突破年度安全生产考核控制目标中任意一项，公司按照《安全生产考核奖惩制度》“安全生产一票否决”规定进行处罚。</w:t>
      </w:r>
    </w:p>
    <w:p>
      <w:pPr>
        <w:spacing w:line="600" w:lineRule="exact"/>
        <w:ind w:firstLine="600" w:firstLineChars="200"/>
        <w:rPr>
          <w:rFonts w:hint="eastAsia" w:ascii="仿宋_GB2312" w:eastAsia="仿宋_GB2312"/>
          <w:sz w:val="30"/>
          <w:szCs w:val="30"/>
        </w:rPr>
      </w:pP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公司安全生产第一责任人（签字）：</w:t>
      </w:r>
    </w:p>
    <w:p>
      <w:pPr>
        <w:spacing w:line="600" w:lineRule="exact"/>
        <w:ind w:firstLine="600" w:firstLineChars="200"/>
        <w:rPr>
          <w:rFonts w:hint="eastAsia" w:ascii="仿宋_GB2312" w:eastAsia="仿宋_GB2312"/>
          <w:sz w:val="30"/>
          <w:szCs w:val="30"/>
        </w:rPr>
      </w:pP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公司安全科负责人（签字）：</w:t>
      </w:r>
    </w:p>
    <w:p>
      <w:pPr>
        <w:spacing w:line="600" w:lineRule="exact"/>
        <w:ind w:firstLine="600" w:firstLineChars="200"/>
        <w:rPr>
          <w:rFonts w:hint="eastAsia" w:ascii="仿宋_GB2312" w:eastAsia="仿宋_GB2312"/>
          <w:sz w:val="30"/>
          <w:szCs w:val="30"/>
        </w:rPr>
      </w:pPr>
    </w:p>
    <w:p>
      <w:pPr>
        <w:spacing w:line="600" w:lineRule="exact"/>
        <w:ind w:firstLine="600" w:firstLineChars="200"/>
        <w:jc w:val="right"/>
        <w:rPr>
          <w:rFonts w:hint="eastAsia" w:ascii="仿宋_GB2312" w:eastAsia="仿宋_GB2312"/>
          <w:sz w:val="30"/>
          <w:szCs w:val="30"/>
        </w:rPr>
      </w:pPr>
      <w:r>
        <w:rPr>
          <w:rFonts w:hint="eastAsia" w:ascii="仿宋_GB2312" w:eastAsia="仿宋_GB2312"/>
          <w:sz w:val="30"/>
          <w:szCs w:val="30"/>
          <w:lang w:eastAsia="zh-CN"/>
        </w:rPr>
        <w:t>2024</w:t>
      </w:r>
      <w:r>
        <w:rPr>
          <w:rFonts w:hint="eastAsia" w:ascii="仿宋_GB2312" w:eastAsia="仿宋_GB2312"/>
          <w:sz w:val="30"/>
          <w:szCs w:val="30"/>
        </w:rPr>
        <w:t>年    月    日</w:t>
      </w:r>
    </w:p>
    <w:p>
      <w:r>
        <w:rPr>
          <w:rFonts w:ascii="仿宋_GB2312" w:eastAsia="仿宋_GB2312"/>
          <w:sz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迷你简隶书">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D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2024-06-19T08:43:13Z</dcterms:created>
  <dc:creator>Administrator</dc:creator>
  <cp:lastModifiedBy>水玻璃</cp:lastModifiedBy>
  <dcterms:modified xsi:type="dcterms:W3CDTF">2024-06-19T08:43:35Z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