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rPr>
      </w:pPr>
    </w:p>
    <w:p>
      <w:pPr>
        <w:jc w:val="center"/>
        <w:rPr>
          <w:rFonts w:hint="eastAsia"/>
          <w:b/>
          <w:bCs/>
          <w:sz w:val="44"/>
        </w:rPr>
      </w:pPr>
      <w:r>
        <w:rPr>
          <w:rFonts w:hint="eastAsia"/>
          <w:b/>
          <w:bCs/>
          <w:sz w:val="44"/>
        </w:rPr>
        <w:t>四川</w:t>
      </w:r>
      <w:r>
        <w:rPr>
          <w:rFonts w:hint="eastAsia"/>
          <w:b/>
          <w:bCs/>
          <w:sz w:val="44"/>
          <w:lang w:eastAsia="zh-CN"/>
        </w:rPr>
        <w:t>嘉瑞</w:t>
      </w:r>
      <w:r>
        <w:rPr>
          <w:rFonts w:hint="eastAsia"/>
          <w:b/>
          <w:bCs/>
          <w:sz w:val="44"/>
        </w:rPr>
        <w:t>源实业有限公司</w:t>
      </w:r>
    </w:p>
    <w:p>
      <w:pPr>
        <w:tabs>
          <w:tab w:val="left" w:pos="1260"/>
          <w:tab w:val="left" w:pos="1620"/>
          <w:tab w:val="left" w:pos="7200"/>
          <w:tab w:val="left" w:pos="7560"/>
          <w:tab w:val="left" w:pos="7740"/>
        </w:tabs>
        <w:rPr>
          <w:rFonts w:hint="eastAsia"/>
          <w:b/>
          <w:bCs/>
          <w:sz w:val="32"/>
          <w:u w:val="single"/>
          <w:lang w:val="pt-BR"/>
        </w:rPr>
      </w:pPr>
    </w:p>
    <w:p>
      <w:pPr>
        <w:jc w:val="center"/>
        <w:rPr>
          <w:rFonts w:hint="eastAsia"/>
          <w:b/>
          <w:bCs/>
          <w:sz w:val="44"/>
          <w:szCs w:val="44"/>
        </w:rPr>
      </w:pPr>
      <w:r>
        <w:rPr>
          <w:rFonts w:hint="eastAsia"/>
          <w:b/>
          <w:bCs/>
          <w:sz w:val="44"/>
          <w:szCs w:val="44"/>
        </w:rPr>
        <w:t>质量、环境、职业健康安全一体化</w:t>
      </w:r>
    </w:p>
    <w:p>
      <w:pPr>
        <w:jc w:val="center"/>
        <w:rPr>
          <w:rFonts w:hint="eastAsia"/>
          <w:b/>
          <w:bCs/>
          <w:sz w:val="72"/>
        </w:rPr>
      </w:pPr>
      <w:r>
        <w:rPr>
          <w:rFonts w:hint="eastAsia"/>
          <w:b/>
          <w:bCs/>
          <w:sz w:val="72"/>
        </w:rPr>
        <w:t>作业文件</w:t>
      </w:r>
    </w:p>
    <w:p>
      <w:pPr>
        <w:spacing w:line="384" w:lineRule="auto"/>
        <w:jc w:val="center"/>
        <w:rPr>
          <w:rFonts w:hint="eastAsia"/>
          <w:b/>
          <w:bCs/>
          <w:sz w:val="28"/>
          <w:szCs w:val="28"/>
        </w:rPr>
      </w:pPr>
    </w:p>
    <w:p>
      <w:pPr>
        <w:spacing w:line="384" w:lineRule="auto"/>
        <w:jc w:val="center"/>
        <w:rPr>
          <w:rFonts w:hint="eastAsia"/>
          <w:b/>
          <w:bCs/>
          <w:sz w:val="24"/>
        </w:rPr>
      </w:pPr>
      <w:r>
        <w:rPr>
          <w:rFonts w:hint="eastAsia"/>
          <w:b/>
          <w:bCs/>
          <w:sz w:val="28"/>
          <w:szCs w:val="28"/>
        </w:rPr>
        <w:t xml:space="preserve">依据 </w:t>
      </w:r>
      <w:r>
        <w:rPr>
          <w:b/>
          <w:bCs/>
          <w:sz w:val="28"/>
          <w:szCs w:val="28"/>
        </w:rPr>
        <w:t>GB/T19001</w:t>
      </w:r>
      <w:r>
        <w:rPr>
          <w:rFonts w:hint="eastAsia"/>
          <w:b/>
          <w:bCs/>
          <w:sz w:val="28"/>
          <w:szCs w:val="28"/>
        </w:rPr>
        <w:t>—</w:t>
      </w:r>
      <w:r>
        <w:rPr>
          <w:b/>
          <w:bCs/>
          <w:sz w:val="28"/>
          <w:szCs w:val="28"/>
        </w:rPr>
        <w:t>20</w:t>
      </w:r>
      <w:r>
        <w:rPr>
          <w:rFonts w:hint="eastAsia"/>
          <w:b/>
          <w:bCs/>
          <w:sz w:val="28"/>
          <w:szCs w:val="28"/>
        </w:rPr>
        <w:t>16  idt  ISO9001:2015</w:t>
      </w:r>
    </w:p>
    <w:p>
      <w:pPr>
        <w:spacing w:line="384" w:lineRule="auto"/>
        <w:jc w:val="center"/>
        <w:rPr>
          <w:rFonts w:hint="eastAsia"/>
          <w:b/>
          <w:bCs/>
          <w:sz w:val="24"/>
        </w:rPr>
      </w:pPr>
      <w:r>
        <w:rPr>
          <w:rFonts w:hint="eastAsia"/>
          <w:sz w:val="28"/>
          <w:lang w:val="de-DE"/>
        </w:rPr>
        <w:t xml:space="preserve">      </w:t>
      </w:r>
      <w:r>
        <w:rPr>
          <w:rFonts w:hint="eastAsia"/>
          <w:b/>
          <w:sz w:val="28"/>
          <w:lang w:val="de-DE"/>
        </w:rPr>
        <w:t xml:space="preserve">GB/T24001—2016  </w:t>
      </w:r>
      <w:r>
        <w:rPr>
          <w:rFonts w:hint="eastAsia"/>
          <w:b/>
          <w:bCs/>
          <w:sz w:val="28"/>
          <w:szCs w:val="28"/>
        </w:rPr>
        <w:t>idt  ISO14001:2015</w:t>
      </w:r>
    </w:p>
    <w:p>
      <w:pPr>
        <w:spacing w:line="384" w:lineRule="auto"/>
        <w:jc w:val="center"/>
        <w:rPr>
          <w:rFonts w:hint="eastAsia"/>
          <w:b/>
          <w:bCs/>
          <w:sz w:val="24"/>
        </w:rPr>
      </w:pPr>
      <w:r>
        <w:rPr>
          <w:rFonts w:hint="eastAsia"/>
          <w:b/>
          <w:sz w:val="28"/>
          <w:lang w:val="de-DE"/>
        </w:rPr>
        <w:t xml:space="preserve">         GB/T28001—2011  </w:t>
      </w:r>
      <w:r>
        <w:rPr>
          <w:rFonts w:hint="eastAsia"/>
          <w:b/>
          <w:bCs/>
          <w:sz w:val="28"/>
          <w:szCs w:val="28"/>
        </w:rPr>
        <w:t>idt  OHSAS18001:2007</w:t>
      </w:r>
    </w:p>
    <w:p>
      <w:pPr>
        <w:jc w:val="center"/>
        <w:rPr>
          <w:rFonts w:hint="eastAsia"/>
          <w:sz w:val="28"/>
          <w:lang w:val="de-DE"/>
        </w:rPr>
      </w:pPr>
    </w:p>
    <w:p>
      <w:pPr>
        <w:jc w:val="center"/>
        <w:rPr>
          <w:rFonts w:hint="eastAsia"/>
          <w:b/>
          <w:bCs/>
          <w:sz w:val="36"/>
          <w:u w:val="thick"/>
          <w:lang w:val="de-DE"/>
        </w:rPr>
      </w:pPr>
      <w:r>
        <w:rPr>
          <w:rFonts w:hint="eastAsia"/>
          <w:sz w:val="36"/>
        </w:rPr>
        <w:t>文件名称</w:t>
      </w:r>
      <w:r>
        <w:rPr>
          <w:rFonts w:hint="eastAsia"/>
          <w:sz w:val="36"/>
          <w:lang w:val="de-DE"/>
        </w:rPr>
        <w:t>：</w:t>
      </w:r>
      <w:r>
        <w:rPr>
          <w:rFonts w:hint="eastAsia"/>
          <w:sz w:val="36"/>
          <w:u w:val="single"/>
          <w:lang w:val="de-DE"/>
        </w:rPr>
        <w:t>职业卫生</w:t>
      </w:r>
      <w:r>
        <w:rPr>
          <w:rFonts w:hint="eastAsia"/>
          <w:sz w:val="36"/>
          <w:szCs w:val="36"/>
          <w:u w:val="single"/>
        </w:rPr>
        <w:t>安全管理制度</w:t>
      </w:r>
    </w:p>
    <w:p>
      <w:pPr>
        <w:jc w:val="center"/>
        <w:rPr>
          <w:rFonts w:hint="eastAsia"/>
          <w:b/>
          <w:bCs/>
          <w:sz w:val="32"/>
          <w:u w:val="thick"/>
          <w:lang w:val="de-DE"/>
        </w:rPr>
      </w:pPr>
    </w:p>
    <w:p>
      <w:pPr>
        <w:rPr>
          <w:rFonts w:hint="eastAsia"/>
          <w:sz w:val="28"/>
          <w:lang w:val="de-DE"/>
        </w:rPr>
      </w:pPr>
    </w:p>
    <w:p>
      <w:pPr>
        <w:ind w:firstLine="280" w:firstLineChars="100"/>
        <w:rPr>
          <w:rFonts w:hint="eastAsia"/>
          <w:sz w:val="28"/>
          <w:lang w:val="de-DE"/>
        </w:rPr>
      </w:pPr>
      <w:r>
        <w:rPr>
          <w:rFonts w:hint="eastAsia"/>
          <w:sz w:val="28"/>
        </w:rPr>
        <w:t>拟制</w:t>
      </w:r>
      <w:r>
        <w:rPr>
          <w:sz w:val="28"/>
          <w:lang w:val="de-DE"/>
        </w:rPr>
        <w:t>/</w:t>
      </w:r>
      <w:r>
        <w:rPr>
          <w:rFonts w:hint="eastAsia"/>
          <w:sz w:val="28"/>
        </w:rPr>
        <w:t>日期</w:t>
      </w:r>
      <w:r>
        <w:rPr>
          <w:sz w:val="28"/>
          <w:u w:val="thick"/>
          <w:lang w:val="de-DE"/>
        </w:rPr>
        <w:t xml:space="preserve">            </w:t>
      </w:r>
      <w:r>
        <w:rPr>
          <w:rFonts w:hint="eastAsia"/>
          <w:sz w:val="28"/>
          <w:u w:val="thick"/>
          <w:lang w:val="de-DE"/>
        </w:rPr>
        <w:t xml:space="preserve"> </w:t>
      </w:r>
      <w:r>
        <w:rPr>
          <w:rFonts w:hint="eastAsia"/>
          <w:sz w:val="28"/>
          <w:lang w:val="de-DE"/>
        </w:rPr>
        <w:t xml:space="preserve">  </w:t>
      </w:r>
      <w:r>
        <w:rPr>
          <w:rFonts w:hint="eastAsia"/>
          <w:sz w:val="28"/>
          <w:lang w:val="en-US" w:eastAsia="zh-CN"/>
        </w:rPr>
        <w:t xml:space="preserve">     </w:t>
      </w:r>
      <w:bookmarkStart w:id="0" w:name="_GoBack"/>
      <w:bookmarkEnd w:id="0"/>
      <w:r>
        <w:rPr>
          <w:rFonts w:hint="eastAsia"/>
          <w:sz w:val="28"/>
        </w:rPr>
        <w:t>文件编号</w:t>
      </w:r>
      <w:r>
        <w:rPr>
          <w:sz w:val="28"/>
          <w:u w:val="thick"/>
          <w:lang w:val="de-DE"/>
        </w:rPr>
        <w:t xml:space="preserve"> </w:t>
      </w:r>
      <w:r>
        <w:rPr>
          <w:rFonts w:hint="eastAsia"/>
          <w:sz w:val="28"/>
          <w:u w:val="thick"/>
          <w:lang w:val="en-US" w:eastAsia="zh-CN"/>
        </w:rPr>
        <w:t>JR</w:t>
      </w:r>
      <w:r>
        <w:rPr>
          <w:rFonts w:hint="eastAsia"/>
          <w:sz w:val="28"/>
          <w:u w:val="thick"/>
          <w:lang w:val="de-DE"/>
        </w:rPr>
        <w:t>Y/</w:t>
      </w:r>
      <w:r>
        <w:rPr>
          <w:sz w:val="28"/>
          <w:u w:val="thick"/>
          <w:lang w:val="de-DE"/>
        </w:rPr>
        <w:t>QEHS-</w:t>
      </w:r>
      <w:r>
        <w:rPr>
          <w:rFonts w:hint="eastAsia"/>
          <w:sz w:val="28"/>
          <w:u w:val="thick"/>
          <w:lang w:val="de-DE"/>
        </w:rPr>
        <w:t>GAN10</w:t>
      </w:r>
      <w:r>
        <w:rPr>
          <w:sz w:val="28"/>
          <w:u w:val="thick"/>
          <w:lang w:val="de-DE"/>
        </w:rPr>
        <w:t xml:space="preserve"> -201</w:t>
      </w:r>
      <w:r>
        <w:rPr>
          <w:rFonts w:hint="eastAsia"/>
          <w:sz w:val="28"/>
          <w:u w:val="thick"/>
          <w:lang w:val="de-DE"/>
        </w:rPr>
        <w:t>8</w:t>
      </w:r>
    </w:p>
    <w:p>
      <w:pPr>
        <w:rPr>
          <w:rFonts w:hint="eastAsia"/>
          <w:sz w:val="28"/>
          <w:lang w:val="de-DE"/>
        </w:rPr>
      </w:pPr>
    </w:p>
    <w:p>
      <w:pPr>
        <w:ind w:firstLine="280" w:firstLineChars="100"/>
        <w:rPr>
          <w:rFonts w:hint="eastAsia"/>
          <w:sz w:val="28"/>
        </w:rPr>
      </w:pPr>
      <w:r>
        <w:rPr>
          <w:rFonts w:hint="eastAsia"/>
          <w:sz w:val="28"/>
        </w:rPr>
        <w:t>审核</w:t>
      </w:r>
      <w:r>
        <w:rPr>
          <w:sz w:val="28"/>
        </w:rPr>
        <w:t>/</w:t>
      </w:r>
      <w:r>
        <w:rPr>
          <w:rFonts w:hint="eastAsia"/>
          <w:sz w:val="28"/>
        </w:rPr>
        <w:t>日期</w:t>
      </w:r>
      <w:r>
        <w:rPr>
          <w:sz w:val="28"/>
          <w:u w:val="thick"/>
        </w:rPr>
        <w:t xml:space="preserve">            </w:t>
      </w:r>
      <w:r>
        <w:rPr>
          <w:rFonts w:hint="eastAsia"/>
          <w:sz w:val="28"/>
          <w:u w:val="thick"/>
        </w:rPr>
        <w:t xml:space="preserve">    </w:t>
      </w:r>
      <w:r>
        <w:rPr>
          <w:sz w:val="28"/>
        </w:rPr>
        <w:t xml:space="preserve"> </w:t>
      </w:r>
      <w:r>
        <w:rPr>
          <w:rFonts w:hint="eastAsia"/>
          <w:sz w:val="28"/>
        </w:rPr>
        <w:t xml:space="preserve">  </w:t>
      </w:r>
      <w:r>
        <w:rPr>
          <w:sz w:val="28"/>
        </w:rPr>
        <w:t xml:space="preserve"> </w:t>
      </w:r>
      <w:r>
        <w:rPr>
          <w:rFonts w:hint="eastAsia"/>
          <w:sz w:val="28"/>
        </w:rPr>
        <w:t xml:space="preserve">  版</w:t>
      </w:r>
      <w:r>
        <w:rPr>
          <w:sz w:val="28"/>
        </w:rPr>
        <w:t xml:space="preserve">    </w:t>
      </w:r>
      <w:r>
        <w:rPr>
          <w:rFonts w:hint="eastAsia"/>
          <w:sz w:val="28"/>
        </w:rPr>
        <w:t>号</w:t>
      </w:r>
      <w:r>
        <w:rPr>
          <w:sz w:val="28"/>
          <w:u w:val="thick"/>
        </w:rPr>
        <w:t xml:space="preserve">    </w:t>
      </w:r>
      <w:r>
        <w:rPr>
          <w:rFonts w:hint="eastAsia"/>
          <w:sz w:val="28"/>
          <w:u w:val="thick"/>
        </w:rPr>
        <w:t xml:space="preserve">    0/A</w:t>
      </w:r>
      <w:r>
        <w:rPr>
          <w:sz w:val="28"/>
          <w:u w:val="thick"/>
        </w:rPr>
        <w:t xml:space="preserve">     </w:t>
      </w:r>
      <w:r>
        <w:rPr>
          <w:rFonts w:hint="eastAsia"/>
          <w:sz w:val="28"/>
          <w:u w:val="thick"/>
        </w:rPr>
        <w:t xml:space="preserve">  </w:t>
      </w:r>
    </w:p>
    <w:p>
      <w:pPr>
        <w:rPr>
          <w:rFonts w:hint="eastAsia"/>
          <w:sz w:val="28"/>
        </w:rPr>
      </w:pPr>
    </w:p>
    <w:p>
      <w:pPr>
        <w:ind w:firstLine="280" w:firstLineChars="100"/>
        <w:rPr>
          <w:rFonts w:hint="eastAsia"/>
          <w:sz w:val="28"/>
        </w:rPr>
      </w:pPr>
      <w:r>
        <w:rPr>
          <w:rFonts w:hint="eastAsia"/>
          <w:sz w:val="28"/>
        </w:rPr>
        <w:t>批准</w:t>
      </w:r>
      <w:r>
        <w:rPr>
          <w:sz w:val="28"/>
        </w:rPr>
        <w:t>/</w:t>
      </w:r>
      <w:r>
        <w:rPr>
          <w:rFonts w:hint="eastAsia"/>
          <w:sz w:val="28"/>
        </w:rPr>
        <w:t>日期</w:t>
      </w:r>
      <w:r>
        <w:rPr>
          <w:sz w:val="28"/>
          <w:u w:val="thick"/>
        </w:rPr>
        <w:t xml:space="preserve">            </w:t>
      </w:r>
      <w:r>
        <w:rPr>
          <w:rFonts w:hint="eastAsia"/>
          <w:sz w:val="28"/>
          <w:u w:val="thick"/>
        </w:rPr>
        <w:t xml:space="preserve">    </w:t>
      </w:r>
      <w:r>
        <w:rPr>
          <w:sz w:val="28"/>
        </w:rPr>
        <w:t xml:space="preserve">   </w:t>
      </w:r>
      <w:r>
        <w:rPr>
          <w:rFonts w:hint="eastAsia"/>
          <w:sz w:val="28"/>
        </w:rPr>
        <w:t xml:space="preserve"> </w:t>
      </w:r>
      <w:r>
        <w:rPr>
          <w:sz w:val="28"/>
        </w:rPr>
        <w:t xml:space="preserve"> </w:t>
      </w:r>
      <w:r>
        <w:rPr>
          <w:rFonts w:hint="eastAsia"/>
          <w:sz w:val="28"/>
        </w:rPr>
        <w:t xml:space="preserve"> 受控状态</w:t>
      </w:r>
      <w:r>
        <w:rPr>
          <w:sz w:val="28"/>
          <w:u w:val="thick"/>
        </w:rPr>
        <w:t xml:space="preserve">                </w:t>
      </w:r>
      <w:r>
        <w:rPr>
          <w:rFonts w:hint="eastAsia"/>
          <w:sz w:val="28"/>
          <w:u w:val="thick"/>
        </w:rPr>
        <w:t xml:space="preserve">  </w:t>
      </w:r>
    </w:p>
    <w:p>
      <w:pPr>
        <w:tabs>
          <w:tab w:val="left" w:pos="3240"/>
          <w:tab w:val="left" w:pos="4140"/>
          <w:tab w:val="left" w:pos="6840"/>
        </w:tabs>
        <w:rPr>
          <w:rFonts w:hint="eastAsia"/>
          <w:sz w:val="28"/>
        </w:rPr>
      </w:pPr>
    </w:p>
    <w:p>
      <w:pPr>
        <w:tabs>
          <w:tab w:val="left" w:pos="1440"/>
          <w:tab w:val="left" w:pos="3240"/>
          <w:tab w:val="left" w:pos="5220"/>
          <w:tab w:val="left" w:pos="5400"/>
          <w:tab w:val="left" w:pos="6840"/>
        </w:tabs>
        <w:ind w:firstLine="2660" w:firstLineChars="950"/>
        <w:rPr>
          <w:rFonts w:hint="eastAsia"/>
          <w:sz w:val="28"/>
        </w:rPr>
      </w:pPr>
      <w:r>
        <w:rPr>
          <w:rFonts w:hint="eastAsia"/>
          <w:sz w:val="28"/>
        </w:rPr>
        <w:t>生效日期</w:t>
      </w:r>
      <w:r>
        <w:rPr>
          <w:rFonts w:hint="eastAsia"/>
          <w:sz w:val="28"/>
          <w:u w:val="thick"/>
          <w:lang w:val="en-US" w:eastAsia="zh-CN"/>
        </w:rPr>
        <w:t>2018年1月10日</w:t>
      </w:r>
      <w:r>
        <w:rPr>
          <w:sz w:val="28"/>
        </w:rPr>
        <w:t xml:space="preserve">  </w:t>
      </w:r>
      <w:r>
        <w:rPr>
          <w:rFonts w:hint="eastAsia"/>
          <w:sz w:val="28"/>
        </w:rPr>
        <w:t xml:space="preserve">  </w:t>
      </w:r>
      <w:r>
        <w:rPr>
          <w:sz w:val="28"/>
        </w:rPr>
        <w:t xml:space="preserve"> </w:t>
      </w:r>
      <w:r>
        <w:rPr>
          <w:rFonts w:hint="eastAsia"/>
          <w:sz w:val="28"/>
        </w:rPr>
        <w:t xml:space="preserve"> </w:t>
      </w:r>
    </w:p>
    <w:p>
      <w:pPr>
        <w:spacing w:line="360" w:lineRule="auto"/>
        <w:rPr>
          <w:rFonts w:ascii="宋体" w:hAnsi="宋体"/>
          <w:b/>
          <w:sz w:val="24"/>
        </w:rPr>
      </w:pPr>
      <w:r>
        <w:rPr>
          <w:rFonts w:hint="eastAsia" w:ascii="宋体" w:hAnsi="宋体"/>
          <w:b/>
          <w:sz w:val="24"/>
        </w:rPr>
        <w:t>1  目的</w:t>
      </w:r>
    </w:p>
    <w:p>
      <w:pPr>
        <w:spacing w:line="360" w:lineRule="auto"/>
        <w:ind w:firstLine="360" w:firstLineChars="150"/>
        <w:rPr>
          <w:rFonts w:ascii="宋体" w:hAnsi="宋体"/>
          <w:sz w:val="24"/>
        </w:rPr>
      </w:pPr>
      <w:r>
        <w:rPr>
          <w:rFonts w:hint="eastAsia" w:ascii="宋体" w:hAnsi="宋体"/>
          <w:sz w:val="24"/>
        </w:rPr>
        <w:t>为了认真贯彻《中华人民共和国职业病防治法》，预防、控制和消除职业病危害，防治职业病，保护公司员工的健康及其相关权益，改善生产作业环境，搞好职业卫生工作，特制定本规定。</w:t>
      </w:r>
    </w:p>
    <w:p>
      <w:pPr>
        <w:spacing w:line="360" w:lineRule="auto"/>
        <w:rPr>
          <w:rFonts w:ascii="宋体" w:hAnsi="宋体"/>
          <w:b/>
          <w:sz w:val="24"/>
        </w:rPr>
      </w:pPr>
      <w:r>
        <w:rPr>
          <w:rFonts w:hint="eastAsia" w:ascii="宋体" w:hAnsi="宋体"/>
          <w:b/>
          <w:sz w:val="24"/>
        </w:rPr>
        <w:t>2  适用范围</w:t>
      </w:r>
    </w:p>
    <w:p>
      <w:pPr>
        <w:spacing w:line="360" w:lineRule="auto"/>
        <w:ind w:firstLine="480" w:firstLineChars="200"/>
        <w:rPr>
          <w:rFonts w:ascii="宋体" w:hAnsi="宋体"/>
          <w:sz w:val="24"/>
        </w:rPr>
      </w:pPr>
      <w:r>
        <w:rPr>
          <w:rFonts w:hint="eastAsia" w:ascii="宋体" w:hAnsi="宋体"/>
          <w:sz w:val="24"/>
        </w:rPr>
        <w:t>公司各部门、各工作岗位的全体员工。</w:t>
      </w:r>
    </w:p>
    <w:p>
      <w:pPr>
        <w:spacing w:line="360" w:lineRule="auto"/>
        <w:rPr>
          <w:rFonts w:ascii="宋体" w:hAnsi="宋体"/>
          <w:b/>
          <w:sz w:val="24"/>
        </w:rPr>
      </w:pPr>
      <w:r>
        <w:rPr>
          <w:rFonts w:hint="eastAsia" w:ascii="宋体" w:hAnsi="宋体"/>
          <w:b/>
          <w:sz w:val="24"/>
        </w:rPr>
        <w:t>3  相关文件及引用标准</w:t>
      </w:r>
    </w:p>
    <w:p>
      <w:pPr>
        <w:spacing w:line="360" w:lineRule="auto"/>
        <w:rPr>
          <w:rFonts w:ascii="宋体" w:hAnsi="宋体"/>
          <w:sz w:val="24"/>
        </w:rPr>
      </w:pPr>
      <w:r>
        <w:rPr>
          <w:rFonts w:hint="eastAsia" w:ascii="宋体" w:hAnsi="宋体"/>
          <w:sz w:val="24"/>
        </w:rPr>
        <w:t>《中华人民共和国职业病防治法》（国家主席第52号令）</w:t>
      </w:r>
    </w:p>
    <w:p>
      <w:pPr>
        <w:spacing w:line="360" w:lineRule="auto"/>
        <w:rPr>
          <w:rFonts w:ascii="宋体" w:hAnsi="宋体"/>
          <w:sz w:val="24"/>
        </w:rPr>
      </w:pPr>
      <w:r>
        <w:rPr>
          <w:rFonts w:hint="eastAsia" w:ascii="宋体" w:hAnsi="宋体"/>
          <w:sz w:val="24"/>
        </w:rPr>
        <w:t>《</w:t>
      </w:r>
      <w:r>
        <w:rPr>
          <w:rFonts w:ascii="宋体" w:hAnsi="宋体"/>
          <w:sz w:val="24"/>
        </w:rPr>
        <w:t>作业场所职业健康监督管理暂行规定</w:t>
      </w:r>
      <w:r>
        <w:rPr>
          <w:rFonts w:hint="eastAsia" w:ascii="宋体" w:hAnsi="宋体"/>
          <w:sz w:val="24"/>
        </w:rPr>
        <w:t>》（国家安全生产监督管理总局令第47号）</w:t>
      </w:r>
    </w:p>
    <w:p>
      <w:pPr>
        <w:spacing w:line="360" w:lineRule="auto"/>
        <w:rPr>
          <w:rFonts w:ascii="宋体" w:hAnsi="宋体"/>
          <w:sz w:val="24"/>
        </w:rPr>
      </w:pPr>
      <w:r>
        <w:rPr>
          <w:rFonts w:hint="eastAsia" w:ascii="宋体" w:hAnsi="宋体"/>
          <w:sz w:val="24"/>
        </w:rPr>
        <w:t>《作业场所职业危害申报管理办法》（国家安全生产监督管理总局令第48 号）</w:t>
      </w:r>
    </w:p>
    <w:p>
      <w:pPr>
        <w:spacing w:line="360" w:lineRule="auto"/>
        <w:rPr>
          <w:rFonts w:ascii="宋体" w:hAnsi="宋体"/>
          <w:sz w:val="24"/>
        </w:rPr>
      </w:pPr>
      <w:r>
        <w:rPr>
          <w:rFonts w:hint="eastAsia" w:ascii="宋体" w:hAnsi="宋体"/>
          <w:sz w:val="24"/>
        </w:rPr>
        <w:t>《职业病危害因素分类目录》（卫法监发 [2002] 63号令）</w:t>
      </w:r>
    </w:p>
    <w:p>
      <w:pPr>
        <w:spacing w:line="360" w:lineRule="auto"/>
        <w:rPr>
          <w:rFonts w:ascii="宋体" w:hAnsi="宋体"/>
          <w:sz w:val="24"/>
        </w:rPr>
      </w:pPr>
      <w:r>
        <w:rPr>
          <w:rFonts w:hint="eastAsia" w:ascii="宋体" w:hAnsi="宋体"/>
          <w:sz w:val="24"/>
        </w:rPr>
        <w:t>《职业健康监护技术规范》</w:t>
      </w:r>
      <w:r>
        <w:rPr>
          <w:rFonts w:ascii="宋体" w:hAnsi="宋体"/>
          <w:sz w:val="24"/>
        </w:rPr>
        <w:t>GBZ188-2007</w:t>
      </w:r>
    </w:p>
    <w:p>
      <w:pPr>
        <w:spacing w:line="360" w:lineRule="auto"/>
        <w:rPr>
          <w:rFonts w:ascii="宋体" w:hAnsi="宋体"/>
          <w:sz w:val="24"/>
        </w:rPr>
      </w:pPr>
      <w:r>
        <w:rPr>
          <w:rFonts w:hint="eastAsia" w:ascii="宋体" w:hAnsi="宋体"/>
          <w:sz w:val="24"/>
        </w:rPr>
        <w:t>《工作场所有害因素职业接触限值》(</w:t>
      </w:r>
      <w:r>
        <w:rPr>
          <w:rFonts w:ascii="宋体" w:hAnsi="宋体"/>
          <w:sz w:val="24"/>
        </w:rPr>
        <w:t>GBZ2-2007</w:t>
      </w:r>
      <w:r>
        <w:rPr>
          <w:rFonts w:hint="eastAsia" w:ascii="宋体" w:hAnsi="宋体"/>
          <w:sz w:val="24"/>
        </w:rPr>
        <w:t>)</w:t>
      </w:r>
    </w:p>
    <w:p>
      <w:pPr>
        <w:spacing w:line="360" w:lineRule="auto"/>
        <w:rPr>
          <w:rFonts w:ascii="宋体" w:hAnsi="宋体"/>
          <w:sz w:val="24"/>
        </w:rPr>
      </w:pPr>
      <w:r>
        <w:rPr>
          <w:rFonts w:hint="eastAsia" w:ascii="宋体" w:hAnsi="宋体"/>
          <w:sz w:val="24"/>
        </w:rPr>
        <w:t>《工作场所职业病危害警示标识》（GBZ158-2008）</w:t>
      </w:r>
    </w:p>
    <w:p>
      <w:pPr>
        <w:spacing w:line="360" w:lineRule="auto"/>
        <w:rPr>
          <w:rFonts w:ascii="宋体" w:hAnsi="宋体"/>
          <w:b/>
          <w:sz w:val="24"/>
        </w:rPr>
      </w:pPr>
      <w:r>
        <w:rPr>
          <w:rFonts w:hint="eastAsia" w:ascii="宋体" w:hAnsi="宋体"/>
          <w:b/>
          <w:sz w:val="24"/>
        </w:rPr>
        <w:t>4  定义</w:t>
      </w:r>
    </w:p>
    <w:p>
      <w:pPr>
        <w:spacing w:line="360" w:lineRule="auto"/>
        <w:rPr>
          <w:rFonts w:ascii="宋体" w:hAnsi="宋体"/>
          <w:sz w:val="24"/>
        </w:rPr>
      </w:pPr>
      <w:r>
        <w:rPr>
          <w:rFonts w:hint="eastAsia" w:ascii="宋体" w:hAnsi="宋体"/>
          <w:sz w:val="24"/>
        </w:rPr>
        <w:t>4.1职业病，是指企业、事业单位和个体经济组织（以下统称用人单位）的劳动者在职业活动中，因接触粉尘、放射性物质和其他有毒、有害物质等因素而引起的疾病。</w:t>
      </w:r>
    </w:p>
    <w:p>
      <w:pPr>
        <w:spacing w:line="360" w:lineRule="auto"/>
        <w:rPr>
          <w:rFonts w:ascii="宋体" w:hAnsi="宋体"/>
          <w:sz w:val="24"/>
        </w:rPr>
      </w:pPr>
      <w:r>
        <w:rPr>
          <w:rFonts w:hint="eastAsia" w:ascii="宋体" w:hAnsi="宋体"/>
          <w:sz w:val="24"/>
        </w:rPr>
        <w:t>4.2</w:t>
      </w:r>
      <w:r>
        <w:rPr>
          <w:rFonts w:ascii="宋体" w:hAnsi="宋体"/>
          <w:sz w:val="24"/>
        </w:rPr>
        <w:t>作业场所，是指从业人员进行职业活动的所有地点，包括建设单位施工场所。</w:t>
      </w:r>
    </w:p>
    <w:p>
      <w:pPr>
        <w:spacing w:line="360" w:lineRule="auto"/>
        <w:rPr>
          <w:rFonts w:ascii="宋体" w:hAnsi="宋体"/>
          <w:sz w:val="24"/>
        </w:rPr>
      </w:pPr>
      <w:r>
        <w:rPr>
          <w:rFonts w:hint="eastAsia" w:ascii="宋体" w:hAnsi="宋体"/>
          <w:sz w:val="24"/>
        </w:rPr>
        <w:t>4.3作业场所</w:t>
      </w:r>
      <w:r>
        <w:rPr>
          <w:rFonts w:ascii="宋体" w:hAnsi="宋体"/>
          <w:sz w:val="24"/>
        </w:rPr>
        <w:t>职业危害，是指从业人员在从事职业活动中，由于接触粉尘、毒物等有害因素而对身体健康所造成的各种损害。</w:t>
      </w:r>
    </w:p>
    <w:p>
      <w:pPr>
        <w:spacing w:line="360" w:lineRule="auto"/>
        <w:rPr>
          <w:rFonts w:ascii="宋体" w:hAnsi="宋体"/>
          <w:sz w:val="24"/>
        </w:rPr>
      </w:pPr>
      <w:r>
        <w:rPr>
          <w:rFonts w:hint="eastAsia" w:ascii="宋体" w:hAnsi="宋体"/>
          <w:sz w:val="24"/>
        </w:rPr>
        <w:t>4.4</w:t>
      </w:r>
      <w:r>
        <w:rPr>
          <w:rFonts w:ascii="宋体" w:hAnsi="宋体"/>
          <w:sz w:val="24"/>
        </w:rPr>
        <w:t>职业禁忌，是指从业人员从事特定职业或者接触特定职业危害因素时，比一般职业人群更易于遭受职业危害损伤和罹患职业病，或者可能导致原有自身疾病病情加重，或者在从事作业过程中诱发可能导致对他人生命健康构成危险的疾病的个人特殊生理或者病理状态。</w:t>
      </w:r>
    </w:p>
    <w:p>
      <w:pPr>
        <w:spacing w:line="360" w:lineRule="auto"/>
        <w:rPr>
          <w:rFonts w:ascii="宋体" w:hAnsi="宋体"/>
          <w:b/>
          <w:sz w:val="24"/>
        </w:rPr>
      </w:pPr>
      <w:r>
        <w:rPr>
          <w:rFonts w:hint="eastAsia" w:ascii="宋体" w:hAnsi="宋体"/>
          <w:b/>
          <w:sz w:val="24"/>
        </w:rPr>
        <w:t>5  总则</w:t>
      </w:r>
    </w:p>
    <w:p>
      <w:pPr>
        <w:spacing w:line="360" w:lineRule="auto"/>
        <w:rPr>
          <w:rFonts w:ascii="宋体" w:hAnsi="宋体"/>
          <w:sz w:val="24"/>
        </w:rPr>
      </w:pPr>
      <w:r>
        <w:rPr>
          <w:rFonts w:hint="eastAsia" w:ascii="宋体" w:hAnsi="宋体"/>
          <w:sz w:val="24"/>
        </w:rPr>
        <w:t>5.1</w:t>
      </w:r>
      <w:r>
        <w:rPr>
          <w:rFonts w:ascii="宋体" w:hAnsi="宋体"/>
          <w:sz w:val="24"/>
        </w:rPr>
        <w:t>职业卫生工作坚持“预防为主，防治结合，分类管理，综合治理”的方针，实行“公司监督、部门负责、分级管理，定期考核”的管理体制。企业内部相关部门各负其责相互协作，做好职业卫生工作。</w:t>
      </w:r>
    </w:p>
    <w:p>
      <w:pPr>
        <w:spacing w:line="360" w:lineRule="auto"/>
        <w:rPr>
          <w:rFonts w:ascii="宋体" w:hAnsi="宋体"/>
          <w:sz w:val="24"/>
        </w:rPr>
      </w:pPr>
      <w:r>
        <w:rPr>
          <w:rFonts w:hint="eastAsia" w:ascii="宋体" w:hAnsi="宋体"/>
          <w:sz w:val="24"/>
        </w:rPr>
        <w:t>5.2公司</w:t>
      </w:r>
      <w:r>
        <w:rPr>
          <w:rFonts w:ascii="宋体" w:hAnsi="宋体"/>
          <w:sz w:val="24"/>
        </w:rPr>
        <w:t>是职业危害防治的责任主体</w:t>
      </w:r>
      <w:r>
        <w:rPr>
          <w:rFonts w:hint="eastAsia" w:ascii="宋体" w:hAnsi="宋体"/>
          <w:sz w:val="24"/>
        </w:rPr>
        <w:t>，公司</w:t>
      </w:r>
      <w:r>
        <w:rPr>
          <w:rFonts w:ascii="宋体" w:hAnsi="宋体"/>
          <w:sz w:val="24"/>
        </w:rPr>
        <w:t>主要负责人对本单位作业场所的职业危害防治工作全面负责。</w:t>
      </w:r>
    </w:p>
    <w:p>
      <w:pPr>
        <w:spacing w:line="360" w:lineRule="auto"/>
        <w:rPr>
          <w:rFonts w:ascii="宋体" w:hAnsi="宋体"/>
          <w:sz w:val="24"/>
        </w:rPr>
      </w:pPr>
      <w:r>
        <w:rPr>
          <w:rFonts w:hint="eastAsia" w:ascii="宋体" w:hAnsi="宋体"/>
          <w:sz w:val="24"/>
        </w:rPr>
        <w:t>5.3公司</w:t>
      </w:r>
      <w:r>
        <w:rPr>
          <w:rFonts w:ascii="宋体" w:hAnsi="宋体"/>
          <w:sz w:val="24"/>
        </w:rPr>
        <w:t>主要负责人应当设置或者指定职业健康管理机构，配备专职或者兼职的职业健康管理人员，负责本单位的职业危害防治工作。</w:t>
      </w:r>
    </w:p>
    <w:p>
      <w:pPr>
        <w:spacing w:line="360" w:lineRule="auto"/>
        <w:rPr>
          <w:rFonts w:ascii="宋体" w:hAnsi="宋体"/>
          <w:sz w:val="24"/>
        </w:rPr>
      </w:pPr>
      <w:r>
        <w:rPr>
          <w:rFonts w:hint="eastAsia" w:ascii="宋体" w:hAnsi="宋体"/>
          <w:sz w:val="24"/>
        </w:rPr>
        <w:t>5.4公司</w:t>
      </w:r>
      <w:r>
        <w:rPr>
          <w:rFonts w:ascii="宋体" w:hAnsi="宋体"/>
          <w:sz w:val="24"/>
        </w:rPr>
        <w:t>主要负责人和职业健康管理人员应当具备与本单位所从事的生产经营活动相适应的职业健康知识和管理能力，并接受安全生产监督管理部门组织的职业健康培训。</w:t>
      </w:r>
    </w:p>
    <w:p>
      <w:pPr>
        <w:spacing w:line="360" w:lineRule="auto"/>
        <w:rPr>
          <w:rFonts w:ascii="宋体" w:hAnsi="宋体"/>
          <w:sz w:val="24"/>
        </w:rPr>
      </w:pPr>
      <w:r>
        <w:rPr>
          <w:rFonts w:hint="eastAsia" w:ascii="宋体" w:hAnsi="宋体"/>
          <w:sz w:val="24"/>
        </w:rPr>
        <w:t>5.5公司</w:t>
      </w:r>
      <w:r>
        <w:rPr>
          <w:rFonts w:ascii="宋体" w:hAnsi="宋体"/>
          <w:sz w:val="24"/>
        </w:rPr>
        <w:t>应当对从业人员进行上岗前的职业健康培训和在岗期间的定期职业健康培训，普及职业健康知识，督促从业人员遵守职业危害防治的法律、法规、规章、国家标准、行业标准和操作规程。</w:t>
      </w:r>
    </w:p>
    <w:p>
      <w:pPr>
        <w:spacing w:line="360" w:lineRule="auto"/>
        <w:rPr>
          <w:rFonts w:ascii="宋体" w:hAnsi="宋体"/>
          <w:sz w:val="24"/>
        </w:rPr>
      </w:pPr>
      <w:r>
        <w:rPr>
          <w:rFonts w:hint="eastAsia" w:ascii="宋体" w:hAnsi="宋体"/>
          <w:sz w:val="24"/>
        </w:rPr>
        <w:t>5.6</w:t>
      </w:r>
      <w:r>
        <w:rPr>
          <w:rFonts w:ascii="宋体" w:hAnsi="宋体"/>
          <w:sz w:val="24"/>
        </w:rPr>
        <w:t>从业人员</w:t>
      </w:r>
      <w:r>
        <w:rPr>
          <w:rFonts w:hint="eastAsia" w:ascii="宋体" w:hAnsi="宋体"/>
          <w:sz w:val="24"/>
        </w:rPr>
        <w:t>应当学习和掌握相关的职业卫生知识，遵守职业病防治法律、法规、规章和操作规程，正确使用、维护职业病防护设备和个人使用的职业病防护用品，发现职业病危害事故隐患应及时报告。</w:t>
      </w:r>
    </w:p>
    <w:p>
      <w:pPr>
        <w:spacing w:line="360" w:lineRule="auto"/>
        <w:rPr>
          <w:rFonts w:ascii="宋体" w:hAnsi="宋体"/>
          <w:sz w:val="24"/>
        </w:rPr>
      </w:pPr>
      <w:r>
        <w:rPr>
          <w:rFonts w:hint="eastAsia" w:ascii="宋体" w:hAnsi="宋体"/>
          <w:sz w:val="24"/>
        </w:rPr>
        <w:t>5.7公司</w:t>
      </w:r>
      <w:r>
        <w:rPr>
          <w:rFonts w:ascii="宋体" w:hAnsi="宋体"/>
          <w:sz w:val="24"/>
        </w:rPr>
        <w:t>应当建立、健全下列职业危害防治制度和操作规程：</w:t>
      </w:r>
    </w:p>
    <w:p>
      <w:pPr>
        <w:spacing w:line="360" w:lineRule="auto"/>
        <w:rPr>
          <w:rFonts w:ascii="宋体" w:hAnsi="宋体"/>
          <w:sz w:val="24"/>
        </w:rPr>
      </w:pPr>
      <w:r>
        <w:rPr>
          <w:rFonts w:ascii="宋体" w:hAnsi="宋体"/>
          <w:sz w:val="24"/>
        </w:rPr>
        <w:t>（一）职业危害防治责任制度；</w:t>
      </w:r>
    </w:p>
    <w:p>
      <w:pPr>
        <w:spacing w:line="360" w:lineRule="auto"/>
        <w:rPr>
          <w:rFonts w:ascii="宋体" w:hAnsi="宋体"/>
          <w:sz w:val="24"/>
        </w:rPr>
      </w:pPr>
      <w:r>
        <w:rPr>
          <w:rFonts w:ascii="宋体" w:hAnsi="宋体"/>
          <w:sz w:val="24"/>
        </w:rPr>
        <w:t>（二）职业危害告知制度</w:t>
      </w:r>
      <w:r>
        <w:rPr>
          <w:rFonts w:hint="eastAsia" w:ascii="宋体" w:hAnsi="宋体"/>
          <w:sz w:val="24"/>
        </w:rPr>
        <w:t>；</w:t>
      </w:r>
    </w:p>
    <w:p>
      <w:pPr>
        <w:spacing w:line="360" w:lineRule="auto"/>
        <w:rPr>
          <w:rFonts w:ascii="宋体" w:hAnsi="宋体"/>
          <w:sz w:val="24"/>
        </w:rPr>
      </w:pPr>
      <w:r>
        <w:rPr>
          <w:rFonts w:ascii="宋体" w:hAnsi="宋体"/>
          <w:sz w:val="24"/>
        </w:rPr>
        <w:t>（三）职业危害申报制度；</w:t>
      </w:r>
    </w:p>
    <w:p>
      <w:pPr>
        <w:spacing w:line="360" w:lineRule="auto"/>
        <w:rPr>
          <w:rFonts w:ascii="宋体" w:hAnsi="宋体"/>
          <w:sz w:val="24"/>
        </w:rPr>
      </w:pPr>
      <w:r>
        <w:rPr>
          <w:rFonts w:ascii="宋体" w:hAnsi="宋体"/>
          <w:sz w:val="24"/>
        </w:rPr>
        <w:t>（四）职业健康宣传教育培训制度；</w:t>
      </w:r>
    </w:p>
    <w:p>
      <w:pPr>
        <w:spacing w:line="360" w:lineRule="auto"/>
        <w:rPr>
          <w:rFonts w:ascii="宋体" w:hAnsi="宋体"/>
          <w:sz w:val="24"/>
        </w:rPr>
      </w:pPr>
      <w:r>
        <w:rPr>
          <w:rFonts w:ascii="宋体" w:hAnsi="宋体"/>
          <w:sz w:val="24"/>
        </w:rPr>
        <w:t>（五）职业危害防护设施维护检修制度；</w:t>
      </w:r>
    </w:p>
    <w:p>
      <w:pPr>
        <w:spacing w:line="360" w:lineRule="auto"/>
        <w:rPr>
          <w:rFonts w:ascii="宋体" w:hAnsi="宋体"/>
          <w:sz w:val="24"/>
        </w:rPr>
      </w:pPr>
      <w:r>
        <w:rPr>
          <w:rFonts w:ascii="宋体" w:hAnsi="宋体"/>
          <w:sz w:val="24"/>
        </w:rPr>
        <w:t>（六）从业人员防护用品管理制度；</w:t>
      </w:r>
    </w:p>
    <w:p>
      <w:pPr>
        <w:spacing w:line="360" w:lineRule="auto"/>
        <w:rPr>
          <w:rFonts w:ascii="宋体" w:hAnsi="宋体"/>
          <w:sz w:val="24"/>
        </w:rPr>
      </w:pPr>
      <w:r>
        <w:rPr>
          <w:rFonts w:ascii="宋体" w:hAnsi="宋体"/>
          <w:sz w:val="24"/>
        </w:rPr>
        <w:t>（七）职业危害日常监测管理制度；</w:t>
      </w:r>
    </w:p>
    <w:p>
      <w:pPr>
        <w:spacing w:line="360" w:lineRule="auto"/>
        <w:rPr>
          <w:rFonts w:ascii="宋体" w:hAnsi="宋体"/>
          <w:sz w:val="24"/>
        </w:rPr>
      </w:pPr>
      <w:r>
        <w:rPr>
          <w:rFonts w:ascii="宋体" w:hAnsi="宋体"/>
          <w:sz w:val="24"/>
        </w:rPr>
        <w:t>（八）从业人员职业健康监护档案管理制度；</w:t>
      </w:r>
    </w:p>
    <w:p>
      <w:pPr>
        <w:spacing w:line="360" w:lineRule="auto"/>
        <w:rPr>
          <w:rFonts w:ascii="宋体" w:hAnsi="宋体"/>
          <w:sz w:val="24"/>
        </w:rPr>
      </w:pPr>
      <w:r>
        <w:rPr>
          <w:rFonts w:hint="eastAsia" w:ascii="宋体" w:hAnsi="宋体"/>
          <w:sz w:val="24"/>
        </w:rPr>
        <w:t>（</w:t>
      </w:r>
      <w:r>
        <w:rPr>
          <w:rFonts w:ascii="宋体" w:hAnsi="宋体"/>
          <w:sz w:val="24"/>
        </w:rPr>
        <w:t>九）岗位职业健康操作规程；</w:t>
      </w:r>
    </w:p>
    <w:p>
      <w:pPr>
        <w:spacing w:line="360" w:lineRule="auto"/>
        <w:rPr>
          <w:rFonts w:ascii="宋体" w:hAnsi="宋体"/>
          <w:sz w:val="24"/>
        </w:rPr>
      </w:pPr>
      <w:r>
        <w:rPr>
          <w:rFonts w:ascii="宋体" w:hAnsi="宋体"/>
          <w:sz w:val="24"/>
        </w:rPr>
        <w:t>（十）法律、法规、规章规定的其他职业危害防治制度</w:t>
      </w:r>
    </w:p>
    <w:p>
      <w:pPr>
        <w:spacing w:line="360" w:lineRule="auto"/>
        <w:rPr>
          <w:rFonts w:ascii="宋体" w:hAnsi="宋体"/>
          <w:sz w:val="24"/>
        </w:rPr>
      </w:pPr>
      <w:r>
        <w:rPr>
          <w:rFonts w:hint="eastAsia" w:ascii="宋体" w:hAnsi="宋体"/>
          <w:sz w:val="24"/>
        </w:rPr>
        <w:t>5.8公司</w:t>
      </w:r>
      <w:r>
        <w:rPr>
          <w:rFonts w:ascii="宋体" w:hAnsi="宋体"/>
          <w:sz w:val="24"/>
        </w:rPr>
        <w:t>的作业场所应当符合下列要求：</w:t>
      </w:r>
    </w:p>
    <w:p>
      <w:pPr>
        <w:spacing w:line="360" w:lineRule="auto"/>
        <w:rPr>
          <w:rFonts w:ascii="宋体" w:hAnsi="宋体"/>
          <w:sz w:val="24"/>
        </w:rPr>
      </w:pPr>
      <w:r>
        <w:rPr>
          <w:rFonts w:ascii="宋体" w:hAnsi="宋体"/>
          <w:sz w:val="24"/>
        </w:rPr>
        <w:t>（一）生产布局合理，有害作业与无害作业分开；</w:t>
      </w:r>
    </w:p>
    <w:p>
      <w:pPr>
        <w:spacing w:line="360" w:lineRule="auto"/>
        <w:rPr>
          <w:rFonts w:ascii="宋体" w:hAnsi="宋体"/>
          <w:sz w:val="24"/>
        </w:rPr>
      </w:pPr>
      <w:r>
        <w:rPr>
          <w:rFonts w:ascii="宋体" w:hAnsi="宋体"/>
          <w:sz w:val="24"/>
        </w:rPr>
        <w:t>（二）作业场所与生活场所分开，作业场所不得住人；</w:t>
      </w:r>
    </w:p>
    <w:p>
      <w:pPr>
        <w:spacing w:line="360" w:lineRule="auto"/>
        <w:rPr>
          <w:rFonts w:ascii="宋体" w:hAnsi="宋体"/>
          <w:sz w:val="24"/>
        </w:rPr>
      </w:pPr>
      <w:r>
        <w:rPr>
          <w:rFonts w:ascii="宋体" w:hAnsi="宋体"/>
          <w:sz w:val="24"/>
        </w:rPr>
        <w:t>（三）有与职业危害防治工作相适应的有效防护设施；</w:t>
      </w:r>
    </w:p>
    <w:p>
      <w:pPr>
        <w:spacing w:line="360" w:lineRule="auto"/>
        <w:rPr>
          <w:rFonts w:ascii="宋体" w:hAnsi="宋体"/>
          <w:sz w:val="24"/>
        </w:rPr>
      </w:pPr>
      <w:r>
        <w:rPr>
          <w:rFonts w:ascii="宋体" w:hAnsi="宋体"/>
          <w:sz w:val="24"/>
        </w:rPr>
        <w:t>（四）职业危害因素的强度或者浓度符合国家标准、行业标准；</w:t>
      </w:r>
    </w:p>
    <w:p>
      <w:pPr>
        <w:spacing w:line="360" w:lineRule="auto"/>
        <w:rPr>
          <w:rFonts w:ascii="宋体" w:hAnsi="宋体"/>
          <w:sz w:val="24"/>
        </w:rPr>
      </w:pPr>
      <w:r>
        <w:rPr>
          <w:rFonts w:ascii="宋体" w:hAnsi="宋体"/>
          <w:sz w:val="24"/>
        </w:rPr>
        <w:t>（五）法律、法规、规章和国家标准、行业标准的其他规定。</w:t>
      </w:r>
    </w:p>
    <w:p>
      <w:pPr>
        <w:spacing w:line="360" w:lineRule="auto"/>
        <w:rPr>
          <w:rFonts w:ascii="宋体" w:hAnsi="宋体"/>
          <w:sz w:val="24"/>
        </w:rPr>
      </w:pPr>
      <w:r>
        <w:rPr>
          <w:rFonts w:hint="eastAsia" w:ascii="宋体" w:hAnsi="宋体"/>
          <w:sz w:val="24"/>
        </w:rPr>
        <w:t>5.9公司</w:t>
      </w:r>
      <w:r>
        <w:rPr>
          <w:rFonts w:ascii="宋体" w:hAnsi="宋体"/>
          <w:sz w:val="24"/>
        </w:rPr>
        <w:t>应当按照有关规定及时、如实将本单位的职业危害因素向安全生产监督管理部门申报，并接受安全生产监督管理部门的监督检查。</w:t>
      </w:r>
    </w:p>
    <w:p>
      <w:pPr>
        <w:spacing w:line="360" w:lineRule="auto"/>
        <w:rPr>
          <w:rFonts w:ascii="宋体" w:hAnsi="宋体"/>
          <w:sz w:val="24"/>
        </w:rPr>
      </w:pPr>
      <w:r>
        <w:rPr>
          <w:rFonts w:hint="eastAsia" w:ascii="宋体" w:hAnsi="宋体"/>
          <w:sz w:val="24"/>
        </w:rPr>
        <w:t>5.10公司</w:t>
      </w:r>
      <w:r>
        <w:rPr>
          <w:rFonts w:ascii="宋体" w:hAnsi="宋体"/>
          <w:sz w:val="24"/>
        </w:rPr>
        <w:t>新建、改建、扩建的工程建设项目和技术改造、技术引进项目（以下统称建设项目）可能产生职业危害的，</w:t>
      </w:r>
      <w:r>
        <w:rPr>
          <w:rFonts w:hint="eastAsia" w:ascii="宋体" w:hAnsi="宋体"/>
          <w:sz w:val="24"/>
        </w:rPr>
        <w:t>公司</w:t>
      </w:r>
      <w:r>
        <w:rPr>
          <w:rFonts w:ascii="宋体" w:hAnsi="宋体"/>
          <w:sz w:val="24"/>
        </w:rPr>
        <w:t>应当按照有关规定，在可行性论证阶段委托具有相应资质的职业健康技术服务机构进行预评价。职业危害预评价报告应当报送建设项目所在地安全生产监督管理部门备案。</w:t>
      </w:r>
    </w:p>
    <w:p>
      <w:pPr>
        <w:spacing w:line="360" w:lineRule="auto"/>
        <w:rPr>
          <w:rFonts w:ascii="宋体" w:hAnsi="宋体"/>
          <w:sz w:val="24"/>
        </w:rPr>
      </w:pPr>
      <w:r>
        <w:rPr>
          <w:rFonts w:hint="eastAsia" w:ascii="宋体" w:hAnsi="宋体"/>
          <w:sz w:val="24"/>
        </w:rPr>
        <w:t>5.11公司</w:t>
      </w:r>
      <w:r>
        <w:rPr>
          <w:rFonts w:ascii="宋体" w:hAnsi="宋体"/>
          <w:sz w:val="24"/>
        </w:rPr>
        <w:t>的建设项目应当在初步设计阶段编制职业危害防治专篇。职业危害防治专篇应当报送建设项目所在地安全生产监督管理部门备案。</w:t>
      </w:r>
    </w:p>
    <w:p>
      <w:pPr>
        <w:spacing w:line="360" w:lineRule="auto"/>
        <w:rPr>
          <w:rFonts w:ascii="宋体" w:hAnsi="宋体"/>
          <w:sz w:val="24"/>
        </w:rPr>
      </w:pPr>
      <w:r>
        <w:rPr>
          <w:rFonts w:hint="eastAsia" w:ascii="宋体" w:hAnsi="宋体"/>
          <w:sz w:val="24"/>
        </w:rPr>
        <w:t>5.12公司</w:t>
      </w:r>
      <w:r>
        <w:rPr>
          <w:rFonts w:ascii="宋体" w:hAnsi="宋体"/>
          <w:sz w:val="24"/>
        </w:rPr>
        <w:t>建设项目的职业危害防护设施应当与主体工程同时设计、同时施工、同时投入生产和使用（以下简称“三同时”）。职业危害防护设施所需费用应当纳入建设项目工程预算。</w:t>
      </w:r>
    </w:p>
    <w:p>
      <w:pPr>
        <w:spacing w:line="360" w:lineRule="auto"/>
        <w:rPr>
          <w:rFonts w:ascii="宋体" w:hAnsi="宋体"/>
          <w:sz w:val="24"/>
        </w:rPr>
      </w:pPr>
      <w:r>
        <w:rPr>
          <w:rFonts w:hint="eastAsia" w:ascii="宋体" w:hAnsi="宋体"/>
          <w:sz w:val="24"/>
        </w:rPr>
        <w:t>5.13公司</w:t>
      </w:r>
      <w:r>
        <w:rPr>
          <w:rFonts w:ascii="宋体" w:hAnsi="宋体"/>
          <w:sz w:val="24"/>
        </w:rPr>
        <w:t>建设项目在竣工验收前，应当按照有关规定委托具有相应资质的职业健康技术服务机构进行职业危害控制效果评价。建设项目竣工验收时，其职业危害防护设施依法经验收合格，取得职业危害防护设施验收批复文件后，方可投入生产和使用。职业危害控制效果评价报告、职业危害防护设施验收批复文件应当报送建设项目所在地安全生产监督管理部门备案。</w:t>
      </w:r>
    </w:p>
    <w:p>
      <w:pPr>
        <w:spacing w:line="360" w:lineRule="auto"/>
        <w:rPr>
          <w:rFonts w:ascii="宋体" w:hAnsi="宋体"/>
          <w:sz w:val="24"/>
        </w:rPr>
      </w:pPr>
      <w:r>
        <w:rPr>
          <w:rFonts w:hint="eastAsia" w:ascii="宋体" w:hAnsi="宋体"/>
          <w:sz w:val="24"/>
        </w:rPr>
        <w:t>5.14公司</w:t>
      </w:r>
      <w:r>
        <w:rPr>
          <w:rFonts w:ascii="宋体" w:hAnsi="宋体"/>
          <w:sz w:val="24"/>
        </w:rPr>
        <w:t>应当在醒目位置设置公告栏，公布有关职业危害防治的规章制度、操作规程和作业场所职业危害因素监测结果。对产生严重职业危害的作业岗位，应当在醒目位置设置警示标识和中文警示说明。警示说明应当载明产生职业危害的种类、后果、预防和应急处置措施等内容。</w:t>
      </w:r>
    </w:p>
    <w:p>
      <w:pPr>
        <w:spacing w:line="360" w:lineRule="auto"/>
        <w:rPr>
          <w:rFonts w:ascii="宋体" w:hAnsi="宋体"/>
          <w:sz w:val="24"/>
        </w:rPr>
      </w:pPr>
      <w:r>
        <w:rPr>
          <w:rFonts w:hint="eastAsia" w:ascii="宋体" w:hAnsi="宋体"/>
          <w:sz w:val="24"/>
        </w:rPr>
        <w:t>5.15公司</w:t>
      </w:r>
      <w:r>
        <w:rPr>
          <w:rFonts w:ascii="宋体" w:hAnsi="宋体"/>
          <w:sz w:val="24"/>
        </w:rPr>
        <w:t>必须为从业人员提供符合国家标准、行业标准的职业危害防护用品，并督促、教育、指导从业人员按照使用规则正确佩戴、使用，不得发放钱物替代发放职业危害防护用品。</w:t>
      </w:r>
    </w:p>
    <w:p>
      <w:pPr>
        <w:spacing w:line="360" w:lineRule="auto"/>
        <w:rPr>
          <w:rFonts w:ascii="宋体" w:hAnsi="宋体"/>
          <w:sz w:val="24"/>
        </w:rPr>
      </w:pPr>
      <w:r>
        <w:rPr>
          <w:rFonts w:hint="eastAsia" w:ascii="宋体" w:hAnsi="宋体"/>
          <w:sz w:val="24"/>
        </w:rPr>
        <w:t>5.16公司</w:t>
      </w:r>
      <w:r>
        <w:rPr>
          <w:rFonts w:ascii="宋体" w:hAnsi="宋体"/>
          <w:sz w:val="24"/>
        </w:rPr>
        <w:t>应当对职业危害防护用品进行经常性的维护、保养，确保防护用品有效。不得使用不符合国家标准、行业标准或者已经失效的职业危害防护用品。</w:t>
      </w:r>
    </w:p>
    <w:p>
      <w:pPr>
        <w:spacing w:line="360" w:lineRule="auto"/>
        <w:rPr>
          <w:rFonts w:ascii="宋体" w:hAnsi="宋体"/>
          <w:sz w:val="24"/>
        </w:rPr>
      </w:pPr>
      <w:r>
        <w:rPr>
          <w:rFonts w:hint="eastAsia" w:ascii="宋体" w:hAnsi="宋体"/>
          <w:sz w:val="24"/>
        </w:rPr>
        <w:t>5.17公司</w:t>
      </w:r>
      <w:r>
        <w:rPr>
          <w:rFonts w:ascii="宋体" w:hAnsi="宋体"/>
          <w:sz w:val="24"/>
        </w:rPr>
        <w:t>对职业危害防护设施应当进行经常性的维护、检修和保养，定期检测其性能和效果，确保其处于正常状态。不得擅自拆除或者停止使用职业危害防护设施。</w:t>
      </w:r>
    </w:p>
    <w:p>
      <w:pPr>
        <w:spacing w:line="360" w:lineRule="auto"/>
        <w:rPr>
          <w:rFonts w:ascii="宋体" w:hAnsi="宋体"/>
          <w:sz w:val="24"/>
        </w:rPr>
      </w:pPr>
      <w:r>
        <w:rPr>
          <w:rFonts w:hint="eastAsia" w:ascii="宋体" w:hAnsi="宋体"/>
          <w:sz w:val="24"/>
        </w:rPr>
        <w:t>5.18公司</w:t>
      </w:r>
      <w:r>
        <w:rPr>
          <w:rFonts w:ascii="宋体" w:hAnsi="宋体"/>
          <w:sz w:val="24"/>
        </w:rPr>
        <w:t>应当设有专人负责作业场所职业危害因素日常监测，保证监测系统处于正常工作状态。监测的结果应当及时向从业人员公布。</w:t>
      </w:r>
    </w:p>
    <w:p>
      <w:pPr>
        <w:spacing w:line="360" w:lineRule="auto"/>
        <w:rPr>
          <w:rFonts w:ascii="宋体" w:hAnsi="宋体"/>
          <w:sz w:val="24"/>
        </w:rPr>
      </w:pPr>
      <w:r>
        <w:rPr>
          <w:rFonts w:hint="eastAsia" w:ascii="宋体" w:hAnsi="宋体"/>
          <w:sz w:val="24"/>
        </w:rPr>
        <w:t>5.19公司</w:t>
      </w:r>
      <w:r>
        <w:rPr>
          <w:rFonts w:ascii="宋体" w:hAnsi="宋体"/>
          <w:sz w:val="24"/>
        </w:rPr>
        <w:t>应当委托具有相应资质的中介技术服务机构，每年至少进行一次职业危害因素检测，每三年至少进行一次职业危害现状评价。定期检测、评价结果应当存入本单位的职业危害防治档案，向从业人员公布，并向所在地安全生产监督管理部门报告。</w:t>
      </w:r>
    </w:p>
    <w:p>
      <w:pPr>
        <w:spacing w:line="360" w:lineRule="auto"/>
        <w:rPr>
          <w:rFonts w:ascii="宋体" w:hAnsi="宋体"/>
          <w:sz w:val="24"/>
        </w:rPr>
      </w:pPr>
      <w:r>
        <w:rPr>
          <w:rFonts w:hint="eastAsia" w:ascii="宋体" w:hAnsi="宋体"/>
          <w:sz w:val="24"/>
        </w:rPr>
        <w:t>5.20公司</w:t>
      </w:r>
      <w:r>
        <w:rPr>
          <w:rFonts w:ascii="宋体" w:hAnsi="宋体"/>
          <w:sz w:val="24"/>
        </w:rPr>
        <w:t>在日常的职业危害监测或者定期检测、评价过程中，发现作业场所职业危害因素的强度或者浓度不符合国家标准、行业标准的，应当立即采取措施进行整改和治理，确保其符合职业健康环境和条件的要求。</w:t>
      </w:r>
    </w:p>
    <w:p>
      <w:pPr>
        <w:spacing w:line="360" w:lineRule="auto"/>
        <w:rPr>
          <w:rFonts w:ascii="宋体" w:hAnsi="宋体"/>
          <w:sz w:val="24"/>
        </w:rPr>
      </w:pPr>
      <w:r>
        <w:rPr>
          <w:rFonts w:hint="eastAsia" w:ascii="宋体" w:hAnsi="宋体"/>
          <w:sz w:val="24"/>
        </w:rPr>
        <w:t>5.21公司</w:t>
      </w:r>
      <w:r>
        <w:rPr>
          <w:rFonts w:ascii="宋体" w:hAnsi="宋体"/>
          <w:sz w:val="24"/>
        </w:rPr>
        <w:t>应当优先采用有利于防治职业危害和保护从业人员健康的新技术、新工艺、新材料、新设备，逐步替代产生职业危害的技术、工艺、材料、设备。</w:t>
      </w:r>
    </w:p>
    <w:p>
      <w:pPr>
        <w:spacing w:line="360" w:lineRule="auto"/>
        <w:rPr>
          <w:rFonts w:ascii="宋体" w:hAnsi="宋体"/>
          <w:sz w:val="24"/>
        </w:rPr>
      </w:pPr>
      <w:r>
        <w:rPr>
          <w:rFonts w:hint="eastAsia" w:ascii="宋体" w:hAnsi="宋体"/>
          <w:sz w:val="24"/>
        </w:rPr>
        <w:t>5.22向供方单位提供可能产生职业病危害的化学品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警示标志。</w:t>
      </w:r>
    </w:p>
    <w:p>
      <w:pPr>
        <w:spacing w:line="360" w:lineRule="auto"/>
        <w:rPr>
          <w:rFonts w:ascii="宋体" w:hAnsi="宋体"/>
          <w:sz w:val="24"/>
        </w:rPr>
      </w:pPr>
      <w:r>
        <w:rPr>
          <w:rFonts w:hint="eastAsia" w:ascii="宋体" w:hAnsi="宋体"/>
          <w:sz w:val="24"/>
        </w:rPr>
        <w:t>5.23公司</w:t>
      </w:r>
      <w:r>
        <w:rPr>
          <w:rFonts w:ascii="宋体" w:hAnsi="宋体"/>
          <w:sz w:val="24"/>
        </w:rPr>
        <w:t>与从业人员订立劳动合同（含聘用合同，下同）时，应当将工作过程中可能产生的职业危害及其后果、职业危害防护措施和待遇等如实告知从业人员，并在劳动合同中写明，不得隐瞒或者欺骗。</w:t>
      </w:r>
      <w:r>
        <w:rPr>
          <w:rFonts w:hint="eastAsia" w:ascii="宋体" w:hAnsi="宋体"/>
          <w:sz w:val="24"/>
        </w:rPr>
        <w:t>公司</w:t>
      </w:r>
      <w:r>
        <w:rPr>
          <w:rFonts w:ascii="宋体" w:hAnsi="宋体"/>
          <w:sz w:val="24"/>
        </w:rPr>
        <w:t>应当依法为从业人员办理工伤保险，缴纳保险费。</w:t>
      </w:r>
    </w:p>
    <w:p>
      <w:pPr>
        <w:spacing w:line="360" w:lineRule="auto"/>
        <w:rPr>
          <w:rFonts w:ascii="宋体" w:hAnsi="宋体"/>
          <w:sz w:val="24"/>
        </w:rPr>
      </w:pPr>
      <w:r>
        <w:rPr>
          <w:rFonts w:hint="eastAsia" w:ascii="宋体" w:hAnsi="宋体"/>
          <w:sz w:val="24"/>
        </w:rPr>
        <w:t>5.22</w:t>
      </w:r>
      <w:r>
        <w:rPr>
          <w:rFonts w:ascii="宋体" w:hAnsi="宋体"/>
          <w:sz w:val="24"/>
        </w:rPr>
        <w:t>从业人员在履行劳动合同期间因工作岗位或者工作内容变更，从事与所订立劳</w:t>
      </w:r>
    </w:p>
    <w:p>
      <w:pPr>
        <w:spacing w:line="360" w:lineRule="auto"/>
        <w:rPr>
          <w:rFonts w:ascii="宋体" w:hAnsi="宋体"/>
          <w:sz w:val="24"/>
        </w:rPr>
      </w:pPr>
      <w:r>
        <w:rPr>
          <w:rFonts w:ascii="宋体" w:hAnsi="宋体"/>
          <w:sz w:val="24"/>
        </w:rPr>
        <w:t>动合同中未告知的存在职业危害的作业的，</w:t>
      </w:r>
      <w:r>
        <w:rPr>
          <w:rFonts w:hint="eastAsia" w:ascii="宋体" w:hAnsi="宋体"/>
          <w:sz w:val="24"/>
        </w:rPr>
        <w:t>公司</w:t>
      </w:r>
      <w:r>
        <w:rPr>
          <w:rFonts w:ascii="宋体" w:hAnsi="宋体"/>
          <w:sz w:val="24"/>
        </w:rPr>
        <w:t>应当依照前款规定，向从业人员履行如实告知的义务，并协商变更原劳动合同相关条款。</w:t>
      </w:r>
    </w:p>
    <w:p>
      <w:pPr>
        <w:spacing w:line="360" w:lineRule="auto"/>
        <w:rPr>
          <w:rFonts w:ascii="宋体" w:hAnsi="宋体"/>
          <w:sz w:val="24"/>
        </w:rPr>
      </w:pPr>
      <w:r>
        <w:rPr>
          <w:rFonts w:hint="eastAsia" w:ascii="宋体" w:hAnsi="宋体"/>
          <w:sz w:val="24"/>
        </w:rPr>
        <w:t>5.24公司</w:t>
      </w:r>
      <w:r>
        <w:rPr>
          <w:rFonts w:ascii="宋体" w:hAnsi="宋体"/>
          <w:sz w:val="24"/>
        </w:rPr>
        <w:t>违反</w:t>
      </w:r>
      <w:r>
        <w:rPr>
          <w:rFonts w:hint="eastAsia" w:ascii="宋体" w:hAnsi="宋体"/>
          <w:sz w:val="24"/>
        </w:rPr>
        <w:t>第5.21条</w:t>
      </w:r>
      <w:r>
        <w:rPr>
          <w:rFonts w:ascii="宋体" w:hAnsi="宋体"/>
          <w:sz w:val="24"/>
        </w:rPr>
        <w:t>、第</w:t>
      </w:r>
      <w:r>
        <w:rPr>
          <w:rFonts w:hint="eastAsia" w:ascii="宋体" w:hAnsi="宋体"/>
          <w:sz w:val="24"/>
        </w:rPr>
        <w:t>5.22条</w:t>
      </w:r>
      <w:r>
        <w:rPr>
          <w:rFonts w:ascii="宋体" w:hAnsi="宋体"/>
          <w:sz w:val="24"/>
        </w:rPr>
        <w:t>规定的，从业人员有权拒绝作业。</w:t>
      </w:r>
      <w:r>
        <w:rPr>
          <w:rFonts w:hint="eastAsia" w:ascii="宋体" w:hAnsi="宋体"/>
          <w:sz w:val="24"/>
        </w:rPr>
        <w:t>公司</w:t>
      </w:r>
      <w:r>
        <w:rPr>
          <w:rFonts w:ascii="宋体" w:hAnsi="宋体"/>
          <w:sz w:val="24"/>
        </w:rPr>
        <w:t>不得因从业人员拒绝作业而解除或者终止与从业人员所订立的劳动合同。</w:t>
      </w:r>
    </w:p>
    <w:p>
      <w:pPr>
        <w:spacing w:line="360" w:lineRule="auto"/>
        <w:rPr>
          <w:rFonts w:ascii="宋体" w:hAnsi="宋体"/>
          <w:sz w:val="24"/>
        </w:rPr>
      </w:pPr>
      <w:r>
        <w:rPr>
          <w:rFonts w:hint="eastAsia" w:ascii="宋体" w:hAnsi="宋体"/>
          <w:sz w:val="24"/>
        </w:rPr>
        <w:t>5.25</w:t>
      </w:r>
      <w:r>
        <w:rPr>
          <w:rFonts w:ascii="宋体" w:hAnsi="宋体"/>
          <w:sz w:val="24"/>
        </w:rPr>
        <w:t>对接触职业危害的从业人员，</w:t>
      </w:r>
      <w:r>
        <w:rPr>
          <w:rFonts w:hint="eastAsia" w:ascii="宋体" w:hAnsi="宋体"/>
          <w:sz w:val="24"/>
        </w:rPr>
        <w:t>公司</w:t>
      </w:r>
      <w:r>
        <w:rPr>
          <w:rFonts w:ascii="宋体" w:hAnsi="宋体"/>
          <w:sz w:val="24"/>
        </w:rPr>
        <w:t>应当按照国家有关规定组织上岗前、在岗期间和离岗时的职业健康检查，并将检查结果如实告知从业人员。职业健康检查费用由</w:t>
      </w:r>
      <w:r>
        <w:rPr>
          <w:rFonts w:hint="eastAsia" w:ascii="宋体" w:hAnsi="宋体"/>
          <w:sz w:val="24"/>
        </w:rPr>
        <w:t>公司</w:t>
      </w:r>
      <w:r>
        <w:rPr>
          <w:rFonts w:ascii="宋体" w:hAnsi="宋体"/>
          <w:sz w:val="24"/>
        </w:rPr>
        <w:t>承担。</w:t>
      </w:r>
    </w:p>
    <w:p>
      <w:pPr>
        <w:spacing w:line="360" w:lineRule="auto"/>
        <w:rPr>
          <w:rFonts w:ascii="宋体" w:hAnsi="宋体"/>
          <w:sz w:val="24"/>
        </w:rPr>
      </w:pPr>
      <w:r>
        <w:rPr>
          <w:rFonts w:hint="eastAsia" w:ascii="宋体" w:hAnsi="宋体"/>
          <w:sz w:val="24"/>
        </w:rPr>
        <w:t>5.26公司</w:t>
      </w:r>
      <w:r>
        <w:rPr>
          <w:rFonts w:ascii="宋体" w:hAnsi="宋体"/>
          <w:sz w:val="24"/>
        </w:rPr>
        <w:t>不得安排未经上岗前职业健康检查的从业人员从事接触职业危害的作业；不得安排有职业禁忌的从业人员从事其所禁忌的作业；对在职业健康检查中发现有与所从事职业相关的健康损害的从业人员，应当调离原工作岗位，并妥善安置；对未进行离岗前职业健康检查的从业人员，不得解除或者终止与其订立的劳动合同。</w:t>
      </w:r>
    </w:p>
    <w:p>
      <w:pPr>
        <w:spacing w:line="360" w:lineRule="auto"/>
        <w:rPr>
          <w:rFonts w:ascii="宋体" w:hAnsi="宋体"/>
          <w:sz w:val="24"/>
        </w:rPr>
      </w:pPr>
      <w:r>
        <w:rPr>
          <w:rFonts w:hint="eastAsia" w:ascii="宋体" w:hAnsi="宋体"/>
          <w:sz w:val="24"/>
        </w:rPr>
        <w:t>5.27公司</w:t>
      </w:r>
      <w:r>
        <w:rPr>
          <w:rFonts w:ascii="宋体" w:hAnsi="宋体"/>
          <w:sz w:val="24"/>
        </w:rPr>
        <w:t>应当为从业人员建立职业健康监护档案，并按照规定的期限妥善保存。从业人员离开</w:t>
      </w:r>
      <w:r>
        <w:rPr>
          <w:rFonts w:hint="eastAsia" w:ascii="宋体" w:hAnsi="宋体"/>
          <w:sz w:val="24"/>
        </w:rPr>
        <w:t>公司</w:t>
      </w:r>
      <w:r>
        <w:rPr>
          <w:rFonts w:ascii="宋体" w:hAnsi="宋体"/>
          <w:sz w:val="24"/>
        </w:rPr>
        <w:t>时，有权索取本人职业健康监护档案复印件，</w:t>
      </w:r>
      <w:r>
        <w:rPr>
          <w:rFonts w:hint="eastAsia" w:ascii="宋体" w:hAnsi="宋体"/>
          <w:sz w:val="24"/>
        </w:rPr>
        <w:t>公司</w:t>
      </w:r>
      <w:r>
        <w:rPr>
          <w:rFonts w:ascii="宋体" w:hAnsi="宋体"/>
          <w:sz w:val="24"/>
        </w:rPr>
        <w:t>应当如实、无偿提供，并在所提供的复印件上签章。</w:t>
      </w:r>
    </w:p>
    <w:p>
      <w:pPr>
        <w:spacing w:line="360" w:lineRule="auto"/>
        <w:rPr>
          <w:rFonts w:ascii="宋体" w:hAnsi="宋体"/>
          <w:sz w:val="24"/>
        </w:rPr>
      </w:pPr>
      <w:r>
        <w:rPr>
          <w:rFonts w:hint="eastAsia" w:ascii="宋体" w:hAnsi="宋体"/>
          <w:sz w:val="24"/>
        </w:rPr>
        <w:t>5.28公司</w:t>
      </w:r>
      <w:r>
        <w:rPr>
          <w:rFonts w:ascii="宋体" w:hAnsi="宋体"/>
          <w:sz w:val="24"/>
        </w:rPr>
        <w:t>不得安排未成年工从事接触职业危害的作业；不得安排孕期、哺乳期的女职工从事对本人和胎儿、婴儿有危害的作业。</w:t>
      </w:r>
    </w:p>
    <w:p>
      <w:pPr>
        <w:spacing w:line="360" w:lineRule="auto"/>
        <w:rPr>
          <w:rFonts w:ascii="宋体" w:hAnsi="宋体"/>
          <w:sz w:val="24"/>
        </w:rPr>
      </w:pPr>
      <w:r>
        <w:rPr>
          <w:rFonts w:hint="eastAsia" w:ascii="宋体" w:hAnsi="宋体"/>
          <w:sz w:val="24"/>
        </w:rPr>
        <w:t>5.29公司</w:t>
      </w:r>
      <w:r>
        <w:rPr>
          <w:rFonts w:ascii="宋体" w:hAnsi="宋体"/>
          <w:sz w:val="24"/>
        </w:rPr>
        <w:t>发生职业危害事故，应当及时向所在地安全生产监督管理部门和有关部门报告，并采取有效措施，减少或者消除职业危害因素，防止事故扩大。对遭受职业危害的从业人员，及时组织救治，并承担所需费用。</w:t>
      </w:r>
    </w:p>
    <w:p>
      <w:pPr>
        <w:spacing w:line="360" w:lineRule="auto"/>
        <w:rPr>
          <w:rFonts w:ascii="宋体" w:hAnsi="宋体"/>
          <w:sz w:val="24"/>
        </w:rPr>
      </w:pPr>
      <w:r>
        <w:rPr>
          <w:rFonts w:hint="eastAsia" w:ascii="宋体" w:hAnsi="宋体"/>
          <w:sz w:val="24"/>
        </w:rPr>
        <w:t>5.30公司用于预防和治理职业病危害、工作场所卫生检测、健康监护和职业卫生培训等费用，应按照国家有关规定，在生产成本中据实列支。</w:t>
      </w:r>
    </w:p>
    <w:p>
      <w:pPr>
        <w:spacing w:line="360" w:lineRule="auto"/>
        <w:rPr>
          <w:rFonts w:ascii="宋体" w:hAnsi="宋体"/>
          <w:sz w:val="24"/>
        </w:rPr>
      </w:pPr>
      <w:r>
        <w:rPr>
          <w:rFonts w:hint="eastAsia" w:ascii="宋体" w:hAnsi="宋体"/>
          <w:sz w:val="24"/>
        </w:rPr>
        <w:t>5.31公司作业场所职业危害每年申报一次，下列事项发生重大变化的，应当按照《作业场所职业危害申报管理办法》规定向原申报机关申报变更：</w:t>
      </w:r>
    </w:p>
    <w:p>
      <w:pPr>
        <w:spacing w:line="360" w:lineRule="auto"/>
        <w:rPr>
          <w:rFonts w:ascii="宋体" w:hAnsi="宋体"/>
          <w:sz w:val="24"/>
        </w:rPr>
      </w:pPr>
      <w:r>
        <w:rPr>
          <w:rFonts w:hint="eastAsia" w:ascii="宋体" w:hAnsi="宋体"/>
          <w:sz w:val="24"/>
        </w:rPr>
        <w:t>（一）进行新建、改建、扩建、技术改造或者技术引进的，在建设项目竣工验收之日起</w:t>
      </w:r>
      <w:r>
        <w:rPr>
          <w:rFonts w:ascii="宋体" w:hAnsi="宋体"/>
          <w:sz w:val="24"/>
        </w:rPr>
        <w:t>30</w:t>
      </w:r>
      <w:r>
        <w:rPr>
          <w:rFonts w:hint="eastAsia" w:ascii="宋体" w:hAnsi="宋体"/>
          <w:sz w:val="24"/>
        </w:rPr>
        <w:t>日内进行申报；</w:t>
      </w:r>
    </w:p>
    <w:p>
      <w:pPr>
        <w:spacing w:line="360" w:lineRule="auto"/>
        <w:rPr>
          <w:rFonts w:ascii="宋体" w:hAnsi="宋体"/>
          <w:sz w:val="24"/>
        </w:rPr>
      </w:pPr>
      <w:r>
        <w:rPr>
          <w:rFonts w:hint="eastAsia" w:ascii="宋体" w:hAnsi="宋体"/>
          <w:sz w:val="24"/>
        </w:rPr>
        <w:t>（二）因技术、工艺或者材料发生变化导致原申报的职业危害因素及其相关内容发生重大变化的，在技术、工艺或者材料变化之日起</w:t>
      </w:r>
      <w:r>
        <w:rPr>
          <w:rFonts w:ascii="宋体" w:hAnsi="宋体"/>
          <w:sz w:val="24"/>
        </w:rPr>
        <w:t>15</w:t>
      </w:r>
      <w:r>
        <w:rPr>
          <w:rFonts w:hint="eastAsia" w:ascii="宋体" w:hAnsi="宋体"/>
          <w:sz w:val="24"/>
        </w:rPr>
        <w:t>日内进行申报；</w:t>
      </w:r>
    </w:p>
    <w:p>
      <w:pPr>
        <w:spacing w:line="360" w:lineRule="auto"/>
        <w:rPr>
          <w:rFonts w:ascii="宋体" w:hAnsi="宋体"/>
          <w:sz w:val="24"/>
        </w:rPr>
      </w:pPr>
      <w:r>
        <w:rPr>
          <w:rFonts w:hint="eastAsia" w:ascii="宋体" w:hAnsi="宋体"/>
          <w:sz w:val="24"/>
        </w:rPr>
        <w:t>（三）生产经营单位名称、法定代表人或者主要负责人发生变化的，在发生变化之日起</w:t>
      </w:r>
      <w:r>
        <w:rPr>
          <w:rFonts w:ascii="宋体" w:hAnsi="宋体"/>
          <w:sz w:val="24"/>
        </w:rPr>
        <w:t>15</w:t>
      </w:r>
      <w:r>
        <w:rPr>
          <w:rFonts w:hint="eastAsia" w:ascii="宋体" w:hAnsi="宋体"/>
          <w:sz w:val="24"/>
        </w:rPr>
        <w:t>日内进行申报。</w:t>
      </w:r>
    </w:p>
    <w:p>
      <w:pPr>
        <w:spacing w:line="360" w:lineRule="auto"/>
        <w:rPr>
          <w:rFonts w:ascii="宋体" w:hAnsi="宋体"/>
          <w:sz w:val="24"/>
        </w:rPr>
      </w:pPr>
      <w:r>
        <w:rPr>
          <w:rFonts w:hint="eastAsia" w:ascii="宋体" w:hAnsi="宋体"/>
          <w:sz w:val="24"/>
        </w:rPr>
        <w:t>5.32</w:t>
      </w:r>
      <w:r>
        <w:rPr>
          <w:rFonts w:ascii="宋体" w:hAnsi="宋体"/>
          <w:sz w:val="24"/>
        </w:rPr>
        <w:t>国家对使用有毒物品作业的用人单位实行职业卫生安全许可证制度</w:t>
      </w:r>
      <w:r>
        <w:rPr>
          <w:rFonts w:hint="eastAsia" w:ascii="宋体" w:hAnsi="宋体"/>
          <w:sz w:val="24"/>
        </w:rPr>
        <w:t>，公司</w:t>
      </w:r>
      <w:r>
        <w:rPr>
          <w:rFonts w:ascii="宋体" w:hAnsi="宋体"/>
          <w:sz w:val="24"/>
        </w:rPr>
        <w:t>必须依照《职业卫生安全许可证管理办法》</w:t>
      </w:r>
      <w:r>
        <w:rPr>
          <w:rFonts w:hint="eastAsia" w:ascii="宋体" w:hAnsi="宋体"/>
          <w:sz w:val="24"/>
        </w:rPr>
        <w:t>的规定</w:t>
      </w:r>
      <w:r>
        <w:rPr>
          <w:rFonts w:ascii="宋体" w:hAnsi="宋体"/>
          <w:sz w:val="24"/>
        </w:rPr>
        <w:t>向安全生产监督管理部门申请办理职业卫生安全许可证</w:t>
      </w:r>
      <w:r>
        <w:rPr>
          <w:rFonts w:hint="eastAsia" w:ascii="宋体" w:hAnsi="宋体"/>
          <w:sz w:val="24"/>
        </w:rPr>
        <w:t>。</w:t>
      </w:r>
      <w:r>
        <w:rPr>
          <w:rFonts w:ascii="宋体" w:hAnsi="宋体"/>
          <w:sz w:val="24"/>
        </w:rPr>
        <w:t>未取得职业卫生安全许可证的，不得从事使用有毒物品作业</w:t>
      </w:r>
      <w:r>
        <w:rPr>
          <w:rFonts w:hint="eastAsia" w:ascii="宋体" w:hAnsi="宋体"/>
          <w:sz w:val="24"/>
        </w:rPr>
        <w:t>。</w:t>
      </w:r>
    </w:p>
    <w:sectPr>
      <w:headerReference r:id="rId3" w:type="default"/>
      <w:footerReference r:id="rId4" w:type="default"/>
      <w:pgSz w:w="11906" w:h="16838"/>
      <w:pgMar w:top="1502"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pict>
        <v:shape id="文本框 3" o:spid="_x0000_s4097"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rFonts w:hint="eastAsia"/>
                    <w:sz w:val="18"/>
                  </w:rPr>
                  <w:t>6</w:t>
                </w:r>
                <w:r>
                  <w:rPr>
                    <w:rFonts w:hint="eastAsia"/>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3"/>
      </w:pBdr>
      <w:jc w:val="left"/>
      <w:rPr>
        <w:rFonts w:hint="eastAsia"/>
        <w:sz w:val="36"/>
        <w:szCs w:val="36"/>
      </w:rPr>
    </w:pPr>
    <w:r>
      <w:rPr>
        <w:rFonts w:hint="eastAsia"/>
        <w:sz w:val="36"/>
        <w:szCs w:val="36"/>
      </w:rPr>
      <w:t>正源控股</w:t>
    </w:r>
  </w:p>
  <w:p>
    <w:pPr>
      <w:pStyle w:val="7"/>
      <w:pBdr>
        <w:bottom w:val="single" w:color="auto" w:sz="6" w:space="3"/>
      </w:pBdr>
      <w:jc w:val="left"/>
      <w:rPr>
        <w:rFonts w:hint="eastAsia"/>
      </w:rPr>
    </w:pPr>
    <w:r>
      <w:rPr>
        <w:rFonts w:hint="eastAsia"/>
      </w:rPr>
      <w:t xml:space="preserve">                  文件编号：</w:t>
    </w:r>
    <w:r>
      <w:rPr>
        <w:rFonts w:hint="eastAsia"/>
        <w:lang w:val="en-US" w:eastAsia="zh-CN"/>
      </w:rPr>
      <w:t>JR</w:t>
    </w:r>
    <w:r>
      <w:rPr>
        <w:rFonts w:hint="eastAsia"/>
      </w:rPr>
      <w:t xml:space="preserve">Y/QEHS-GAN10-2018                 </w:t>
    </w:r>
    <w:r>
      <w:rPr>
        <w:rFonts w:hint="eastAsia"/>
        <w:lang w:val="en-US" w:eastAsia="zh-CN"/>
      </w:rPr>
      <w:t xml:space="preserve">     </w:t>
    </w:r>
    <w:r>
      <w:rPr>
        <w:rFonts w:hint="eastAsia"/>
      </w:rPr>
      <w:t xml:space="preserve"> </w:t>
    </w:r>
    <w:r>
      <w:rPr>
        <w:rFonts w:hint="eastAsia"/>
        <w:lang w:eastAsia="zh-CN"/>
      </w:rPr>
      <w:t>职业卫生安全管理制度</w:t>
    </w:r>
  </w:p>
  <w:p>
    <w:pPr>
      <w:pStyle w:val="7"/>
      <w:pBdr>
        <w:bottom w:val="single" w:color="auto" w:sz="6" w:space="3"/>
      </w:pBdr>
      <w:jc w:val="left"/>
      <w:rPr>
        <w:rFonts w:hint="eastAsia"/>
      </w:rPr>
    </w:pPr>
    <w:r>
      <w:rPr>
        <w:rFonts w:hint="eastAsia"/>
      </w:rPr>
      <w:t xml:space="preserve">                  版号：   0/A                                       四川</w:t>
    </w:r>
    <w:r>
      <w:rPr>
        <w:rFonts w:hint="eastAsia"/>
        <w:lang w:eastAsia="zh-CN"/>
      </w:rPr>
      <w:t>嘉瑞</w:t>
    </w:r>
    <w:r>
      <w:rPr>
        <w:rFonts w:hint="eastAsia"/>
      </w:rPr>
      <w:t>源实业有限公司</w:t>
    </w:r>
  </w:p>
  <w:p>
    <w:pPr>
      <w:pStyle w:val="7"/>
      <w:pBdr>
        <w:bottom w:val="single" w:color="auto" w:sz="6" w:space="3"/>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2"/>
  </w:compat>
  <w:rsids>
    <w:rsidRoot w:val="006C1838"/>
    <w:rsid w:val="00000C0C"/>
    <w:rsid w:val="000021F4"/>
    <w:rsid w:val="0000621D"/>
    <w:rsid w:val="00006CD0"/>
    <w:rsid w:val="00010B50"/>
    <w:rsid w:val="00010B90"/>
    <w:rsid w:val="0002045E"/>
    <w:rsid w:val="00032413"/>
    <w:rsid w:val="00042D29"/>
    <w:rsid w:val="000447C1"/>
    <w:rsid w:val="00062C8A"/>
    <w:rsid w:val="00074E58"/>
    <w:rsid w:val="00076398"/>
    <w:rsid w:val="000808BB"/>
    <w:rsid w:val="00090C2D"/>
    <w:rsid w:val="00094398"/>
    <w:rsid w:val="000A73A9"/>
    <w:rsid w:val="000A7570"/>
    <w:rsid w:val="000C0DB6"/>
    <w:rsid w:val="000C4119"/>
    <w:rsid w:val="000C6087"/>
    <w:rsid w:val="000C6B5B"/>
    <w:rsid w:val="00100FE3"/>
    <w:rsid w:val="00103E5A"/>
    <w:rsid w:val="00115EDD"/>
    <w:rsid w:val="00120659"/>
    <w:rsid w:val="00126A47"/>
    <w:rsid w:val="00130A0F"/>
    <w:rsid w:val="0015671B"/>
    <w:rsid w:val="00156A27"/>
    <w:rsid w:val="00157702"/>
    <w:rsid w:val="00165147"/>
    <w:rsid w:val="001732B6"/>
    <w:rsid w:val="00191EEE"/>
    <w:rsid w:val="00191F29"/>
    <w:rsid w:val="00196D97"/>
    <w:rsid w:val="001A5962"/>
    <w:rsid w:val="001B153E"/>
    <w:rsid w:val="001B5762"/>
    <w:rsid w:val="001D50C3"/>
    <w:rsid w:val="001E23A5"/>
    <w:rsid w:val="001E64AF"/>
    <w:rsid w:val="001E799D"/>
    <w:rsid w:val="001F2E63"/>
    <w:rsid w:val="001F30FC"/>
    <w:rsid w:val="00203C1E"/>
    <w:rsid w:val="002073DB"/>
    <w:rsid w:val="00213DC1"/>
    <w:rsid w:val="00214E62"/>
    <w:rsid w:val="00233207"/>
    <w:rsid w:val="002339B9"/>
    <w:rsid w:val="002352C5"/>
    <w:rsid w:val="002405BC"/>
    <w:rsid w:val="00243F13"/>
    <w:rsid w:val="00251E4C"/>
    <w:rsid w:val="00262080"/>
    <w:rsid w:val="00262D80"/>
    <w:rsid w:val="002742F9"/>
    <w:rsid w:val="00281CD2"/>
    <w:rsid w:val="002832D6"/>
    <w:rsid w:val="00286EE8"/>
    <w:rsid w:val="002A370F"/>
    <w:rsid w:val="002C7838"/>
    <w:rsid w:val="002D1B60"/>
    <w:rsid w:val="002D7F95"/>
    <w:rsid w:val="002E1033"/>
    <w:rsid w:val="002E339F"/>
    <w:rsid w:val="002F7AF1"/>
    <w:rsid w:val="00315AC0"/>
    <w:rsid w:val="00316BD0"/>
    <w:rsid w:val="00316E7D"/>
    <w:rsid w:val="00323F7C"/>
    <w:rsid w:val="0032439B"/>
    <w:rsid w:val="00326DA7"/>
    <w:rsid w:val="0034734A"/>
    <w:rsid w:val="0035066A"/>
    <w:rsid w:val="003560BC"/>
    <w:rsid w:val="003702D1"/>
    <w:rsid w:val="003801C4"/>
    <w:rsid w:val="003808E5"/>
    <w:rsid w:val="00380EEA"/>
    <w:rsid w:val="003A2E4E"/>
    <w:rsid w:val="003A329C"/>
    <w:rsid w:val="003A3629"/>
    <w:rsid w:val="003A6C2E"/>
    <w:rsid w:val="003B3D68"/>
    <w:rsid w:val="003B433A"/>
    <w:rsid w:val="003B4ECA"/>
    <w:rsid w:val="003C3BBC"/>
    <w:rsid w:val="003D0553"/>
    <w:rsid w:val="003E28D7"/>
    <w:rsid w:val="003F0F3E"/>
    <w:rsid w:val="00411AB1"/>
    <w:rsid w:val="004209AC"/>
    <w:rsid w:val="004216C9"/>
    <w:rsid w:val="00443792"/>
    <w:rsid w:val="0045180F"/>
    <w:rsid w:val="004552E6"/>
    <w:rsid w:val="00455540"/>
    <w:rsid w:val="00456216"/>
    <w:rsid w:val="00477107"/>
    <w:rsid w:val="00477A3B"/>
    <w:rsid w:val="00497C8F"/>
    <w:rsid w:val="004B2EBC"/>
    <w:rsid w:val="004E01FE"/>
    <w:rsid w:val="004F586E"/>
    <w:rsid w:val="004F7907"/>
    <w:rsid w:val="00510662"/>
    <w:rsid w:val="00513CE7"/>
    <w:rsid w:val="00515FFE"/>
    <w:rsid w:val="00530B73"/>
    <w:rsid w:val="005322F8"/>
    <w:rsid w:val="005503D4"/>
    <w:rsid w:val="00560F1C"/>
    <w:rsid w:val="00565028"/>
    <w:rsid w:val="00574B13"/>
    <w:rsid w:val="00575849"/>
    <w:rsid w:val="00585AA6"/>
    <w:rsid w:val="005A33AD"/>
    <w:rsid w:val="005C4960"/>
    <w:rsid w:val="005D2B3F"/>
    <w:rsid w:val="005D5AD5"/>
    <w:rsid w:val="005E4885"/>
    <w:rsid w:val="005F6469"/>
    <w:rsid w:val="006072D0"/>
    <w:rsid w:val="00612592"/>
    <w:rsid w:val="0061293E"/>
    <w:rsid w:val="00615104"/>
    <w:rsid w:val="006164DC"/>
    <w:rsid w:val="00617F65"/>
    <w:rsid w:val="00621AA3"/>
    <w:rsid w:val="0062635B"/>
    <w:rsid w:val="00634115"/>
    <w:rsid w:val="006422F1"/>
    <w:rsid w:val="00661C49"/>
    <w:rsid w:val="00677254"/>
    <w:rsid w:val="006808C6"/>
    <w:rsid w:val="006852D8"/>
    <w:rsid w:val="006871A7"/>
    <w:rsid w:val="00697640"/>
    <w:rsid w:val="006A5459"/>
    <w:rsid w:val="006B459A"/>
    <w:rsid w:val="006B6782"/>
    <w:rsid w:val="006C1838"/>
    <w:rsid w:val="006C7351"/>
    <w:rsid w:val="006E5EA5"/>
    <w:rsid w:val="006F0C99"/>
    <w:rsid w:val="006F2EA6"/>
    <w:rsid w:val="007016DE"/>
    <w:rsid w:val="00711273"/>
    <w:rsid w:val="007136D2"/>
    <w:rsid w:val="007207ED"/>
    <w:rsid w:val="0073494A"/>
    <w:rsid w:val="00745A58"/>
    <w:rsid w:val="007470CC"/>
    <w:rsid w:val="00747E63"/>
    <w:rsid w:val="007502BA"/>
    <w:rsid w:val="00753BD3"/>
    <w:rsid w:val="0075672A"/>
    <w:rsid w:val="007617C0"/>
    <w:rsid w:val="00772906"/>
    <w:rsid w:val="00784DD0"/>
    <w:rsid w:val="007A6072"/>
    <w:rsid w:val="007B6112"/>
    <w:rsid w:val="007C17CB"/>
    <w:rsid w:val="007D38E6"/>
    <w:rsid w:val="007E441B"/>
    <w:rsid w:val="007E4599"/>
    <w:rsid w:val="00801541"/>
    <w:rsid w:val="00802E81"/>
    <w:rsid w:val="00807550"/>
    <w:rsid w:val="00811582"/>
    <w:rsid w:val="008137B5"/>
    <w:rsid w:val="00825FFA"/>
    <w:rsid w:val="008300AB"/>
    <w:rsid w:val="008374AA"/>
    <w:rsid w:val="008427A9"/>
    <w:rsid w:val="00843139"/>
    <w:rsid w:val="0084550A"/>
    <w:rsid w:val="008508F0"/>
    <w:rsid w:val="00854580"/>
    <w:rsid w:val="00857615"/>
    <w:rsid w:val="0087360D"/>
    <w:rsid w:val="008736DD"/>
    <w:rsid w:val="008745E1"/>
    <w:rsid w:val="00875DBD"/>
    <w:rsid w:val="008779DC"/>
    <w:rsid w:val="00891F2B"/>
    <w:rsid w:val="008A2B87"/>
    <w:rsid w:val="008A388B"/>
    <w:rsid w:val="008A69CE"/>
    <w:rsid w:val="008B355E"/>
    <w:rsid w:val="008B4F06"/>
    <w:rsid w:val="008C479C"/>
    <w:rsid w:val="008C7DC1"/>
    <w:rsid w:val="008E2CDD"/>
    <w:rsid w:val="008F2FDC"/>
    <w:rsid w:val="009102DA"/>
    <w:rsid w:val="009134FF"/>
    <w:rsid w:val="00916948"/>
    <w:rsid w:val="00925E37"/>
    <w:rsid w:val="0093332D"/>
    <w:rsid w:val="0094309C"/>
    <w:rsid w:val="00946216"/>
    <w:rsid w:val="0094768B"/>
    <w:rsid w:val="00965E73"/>
    <w:rsid w:val="00967C56"/>
    <w:rsid w:val="00972A4D"/>
    <w:rsid w:val="009754F8"/>
    <w:rsid w:val="009756F0"/>
    <w:rsid w:val="00995B00"/>
    <w:rsid w:val="00996EFB"/>
    <w:rsid w:val="009A00EC"/>
    <w:rsid w:val="009A20B5"/>
    <w:rsid w:val="009B1E44"/>
    <w:rsid w:val="009B4046"/>
    <w:rsid w:val="009B6717"/>
    <w:rsid w:val="009B71DB"/>
    <w:rsid w:val="009D0DA5"/>
    <w:rsid w:val="009D2755"/>
    <w:rsid w:val="009E298B"/>
    <w:rsid w:val="009E33F2"/>
    <w:rsid w:val="009F00F0"/>
    <w:rsid w:val="009F24BE"/>
    <w:rsid w:val="00A06184"/>
    <w:rsid w:val="00A10217"/>
    <w:rsid w:val="00A34B59"/>
    <w:rsid w:val="00A37132"/>
    <w:rsid w:val="00A433E4"/>
    <w:rsid w:val="00A552B0"/>
    <w:rsid w:val="00A614F2"/>
    <w:rsid w:val="00A62011"/>
    <w:rsid w:val="00A661B4"/>
    <w:rsid w:val="00A777FC"/>
    <w:rsid w:val="00A77E6A"/>
    <w:rsid w:val="00A81E8D"/>
    <w:rsid w:val="00A853A6"/>
    <w:rsid w:val="00A85D01"/>
    <w:rsid w:val="00A9103D"/>
    <w:rsid w:val="00A91326"/>
    <w:rsid w:val="00A95B81"/>
    <w:rsid w:val="00AC0694"/>
    <w:rsid w:val="00AC1799"/>
    <w:rsid w:val="00AC3C96"/>
    <w:rsid w:val="00AC4B05"/>
    <w:rsid w:val="00AD147F"/>
    <w:rsid w:val="00AE0F64"/>
    <w:rsid w:val="00AE4AAC"/>
    <w:rsid w:val="00AE5252"/>
    <w:rsid w:val="00B23F40"/>
    <w:rsid w:val="00B309A3"/>
    <w:rsid w:val="00B30ABB"/>
    <w:rsid w:val="00B30C59"/>
    <w:rsid w:val="00B313D1"/>
    <w:rsid w:val="00B36BAF"/>
    <w:rsid w:val="00B45F25"/>
    <w:rsid w:val="00B64061"/>
    <w:rsid w:val="00B7723B"/>
    <w:rsid w:val="00B965E7"/>
    <w:rsid w:val="00BB21B2"/>
    <w:rsid w:val="00BB75AC"/>
    <w:rsid w:val="00BC16B9"/>
    <w:rsid w:val="00BD0349"/>
    <w:rsid w:val="00BD1841"/>
    <w:rsid w:val="00BD1B84"/>
    <w:rsid w:val="00BE2749"/>
    <w:rsid w:val="00BF7413"/>
    <w:rsid w:val="00C0073D"/>
    <w:rsid w:val="00C1081C"/>
    <w:rsid w:val="00C20751"/>
    <w:rsid w:val="00C313C1"/>
    <w:rsid w:val="00C327FA"/>
    <w:rsid w:val="00C3315B"/>
    <w:rsid w:val="00C473F6"/>
    <w:rsid w:val="00C47EF8"/>
    <w:rsid w:val="00C539F3"/>
    <w:rsid w:val="00C53A1C"/>
    <w:rsid w:val="00C56B48"/>
    <w:rsid w:val="00C56D3B"/>
    <w:rsid w:val="00C57387"/>
    <w:rsid w:val="00C577B3"/>
    <w:rsid w:val="00C60DAE"/>
    <w:rsid w:val="00C71B89"/>
    <w:rsid w:val="00C8791E"/>
    <w:rsid w:val="00CB1E8A"/>
    <w:rsid w:val="00CC40B1"/>
    <w:rsid w:val="00CF251F"/>
    <w:rsid w:val="00CF38EF"/>
    <w:rsid w:val="00CF6771"/>
    <w:rsid w:val="00CF6BE5"/>
    <w:rsid w:val="00D01252"/>
    <w:rsid w:val="00D022BF"/>
    <w:rsid w:val="00D04479"/>
    <w:rsid w:val="00D12950"/>
    <w:rsid w:val="00D24751"/>
    <w:rsid w:val="00D27651"/>
    <w:rsid w:val="00D33E71"/>
    <w:rsid w:val="00D52269"/>
    <w:rsid w:val="00D538B6"/>
    <w:rsid w:val="00D539FE"/>
    <w:rsid w:val="00D60ADC"/>
    <w:rsid w:val="00D6687A"/>
    <w:rsid w:val="00D765E0"/>
    <w:rsid w:val="00D77C7E"/>
    <w:rsid w:val="00D9385E"/>
    <w:rsid w:val="00D964FC"/>
    <w:rsid w:val="00DA09B7"/>
    <w:rsid w:val="00DA65E9"/>
    <w:rsid w:val="00DB77A6"/>
    <w:rsid w:val="00DC2461"/>
    <w:rsid w:val="00DC37D8"/>
    <w:rsid w:val="00DC4283"/>
    <w:rsid w:val="00DC4B03"/>
    <w:rsid w:val="00DD54CD"/>
    <w:rsid w:val="00DD68F7"/>
    <w:rsid w:val="00DE27FE"/>
    <w:rsid w:val="00DF155D"/>
    <w:rsid w:val="00DF2B29"/>
    <w:rsid w:val="00DF5AA5"/>
    <w:rsid w:val="00DF62CC"/>
    <w:rsid w:val="00E00EB0"/>
    <w:rsid w:val="00E3547E"/>
    <w:rsid w:val="00E36C4E"/>
    <w:rsid w:val="00E3725B"/>
    <w:rsid w:val="00E40ADC"/>
    <w:rsid w:val="00E52EDB"/>
    <w:rsid w:val="00E64D8B"/>
    <w:rsid w:val="00E67EAD"/>
    <w:rsid w:val="00E72321"/>
    <w:rsid w:val="00E73120"/>
    <w:rsid w:val="00E75BED"/>
    <w:rsid w:val="00E94F75"/>
    <w:rsid w:val="00EA1949"/>
    <w:rsid w:val="00EB0FF1"/>
    <w:rsid w:val="00EE5A19"/>
    <w:rsid w:val="00F209D7"/>
    <w:rsid w:val="00F24674"/>
    <w:rsid w:val="00F40ED9"/>
    <w:rsid w:val="00F436E3"/>
    <w:rsid w:val="00F447ED"/>
    <w:rsid w:val="00F51FF0"/>
    <w:rsid w:val="00F52214"/>
    <w:rsid w:val="00F53AA2"/>
    <w:rsid w:val="00F5529C"/>
    <w:rsid w:val="00F5672C"/>
    <w:rsid w:val="00F62AF8"/>
    <w:rsid w:val="00F64B94"/>
    <w:rsid w:val="00F72D7A"/>
    <w:rsid w:val="00F82034"/>
    <w:rsid w:val="00FA4B3F"/>
    <w:rsid w:val="00FB158D"/>
    <w:rsid w:val="00FB453A"/>
    <w:rsid w:val="00FD0256"/>
    <w:rsid w:val="00FD0679"/>
    <w:rsid w:val="00FE69D1"/>
    <w:rsid w:val="00FF1462"/>
    <w:rsid w:val="0510531F"/>
    <w:rsid w:val="06E60D29"/>
    <w:rsid w:val="111925E1"/>
    <w:rsid w:val="1B0A43E8"/>
    <w:rsid w:val="1BB26E66"/>
    <w:rsid w:val="1CB40079"/>
    <w:rsid w:val="1F573F54"/>
    <w:rsid w:val="2084343C"/>
    <w:rsid w:val="25EF714A"/>
    <w:rsid w:val="26261822"/>
    <w:rsid w:val="30B43B75"/>
    <w:rsid w:val="320F63B0"/>
    <w:rsid w:val="35FD03AC"/>
    <w:rsid w:val="36B934D6"/>
    <w:rsid w:val="37EA1649"/>
    <w:rsid w:val="3B512525"/>
    <w:rsid w:val="3F3F1BD0"/>
    <w:rsid w:val="3FDD1801"/>
    <w:rsid w:val="41EA5032"/>
    <w:rsid w:val="420C2FE8"/>
    <w:rsid w:val="42756BA5"/>
    <w:rsid w:val="4C855396"/>
    <w:rsid w:val="4EA25710"/>
    <w:rsid w:val="501442ED"/>
    <w:rsid w:val="54A85071"/>
    <w:rsid w:val="54B26C85"/>
    <w:rsid w:val="564C5C5C"/>
    <w:rsid w:val="582C5C37"/>
    <w:rsid w:val="622F4B23"/>
    <w:rsid w:val="66402528"/>
    <w:rsid w:val="67046310"/>
    <w:rsid w:val="69C61397"/>
    <w:rsid w:val="6B630C9E"/>
    <w:rsid w:val="6C4504B1"/>
    <w:rsid w:val="6D60667F"/>
    <w:rsid w:val="728124EA"/>
    <w:rsid w:val="754E3901"/>
    <w:rsid w:val="76FF6B4B"/>
    <w:rsid w:val="78CE03F8"/>
    <w:rsid w:val="7AE76131"/>
    <w:rsid w:val="7E765088"/>
    <w:rsid w:val="7FB1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6"/>
    <w:qFormat/>
    <w:uiPriority w:val="0"/>
    <w:pPr>
      <w:keepNext/>
      <w:keepLines/>
      <w:spacing w:before="260" w:after="260" w:line="416" w:lineRule="auto"/>
      <w:outlineLvl w:val="2"/>
    </w:pPr>
    <w:rPr>
      <w:rFonts w:ascii="Times New Roman" w:hAnsi="Times New Roman"/>
      <w:b/>
      <w:bCs/>
      <w:sz w:val="32"/>
      <w:szCs w:val="32"/>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unhideWhenUsed/>
    <w:qFormat/>
    <w:uiPriority w:val="0"/>
    <w:pPr>
      <w:ind w:left="171" w:leftChars="171" w:firstLine="210" w:firstLineChars="100"/>
    </w:pPr>
  </w:style>
  <w:style w:type="paragraph" w:styleId="4">
    <w:name w:val="Plain Text"/>
    <w:basedOn w:val="1"/>
    <w:link w:val="15"/>
    <w:qFormat/>
    <w:uiPriority w:val="0"/>
    <w:rPr>
      <w:rFonts w:ascii="宋体" w:hAnsi="Courier New"/>
      <w:szCs w:val="20"/>
    </w:rPr>
  </w:style>
  <w:style w:type="paragraph" w:styleId="5">
    <w:name w:val="Balloon Text"/>
    <w:basedOn w:val="1"/>
    <w:link w:val="14"/>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993366"/>
      <w:u w:val="none"/>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2">
    <w:name w:val="页眉 Char"/>
    <w:basedOn w:val="8"/>
    <w:link w:val="7"/>
    <w:qFormat/>
    <w:uiPriority w:val="99"/>
    <w:rPr>
      <w:sz w:val="18"/>
      <w:szCs w:val="18"/>
    </w:rPr>
  </w:style>
  <w:style w:type="character" w:customStyle="1" w:styleId="13">
    <w:name w:val="页脚 Char"/>
    <w:basedOn w:val="8"/>
    <w:link w:val="6"/>
    <w:qFormat/>
    <w:uiPriority w:val="99"/>
    <w:rPr>
      <w:sz w:val="18"/>
      <w:szCs w:val="18"/>
    </w:rPr>
  </w:style>
  <w:style w:type="character" w:customStyle="1" w:styleId="14">
    <w:name w:val="批注框文本 Char"/>
    <w:basedOn w:val="8"/>
    <w:link w:val="5"/>
    <w:semiHidden/>
    <w:qFormat/>
    <w:uiPriority w:val="99"/>
    <w:rPr>
      <w:sz w:val="18"/>
      <w:szCs w:val="18"/>
    </w:rPr>
  </w:style>
  <w:style w:type="character" w:customStyle="1" w:styleId="15">
    <w:name w:val="纯文本 Char"/>
    <w:basedOn w:val="8"/>
    <w:link w:val="4"/>
    <w:uiPriority w:val="0"/>
    <w:rPr>
      <w:rFonts w:ascii="宋体" w:hAnsi="Courier New"/>
      <w:kern w:val="2"/>
      <w:sz w:val="21"/>
    </w:rPr>
  </w:style>
  <w:style w:type="character" w:customStyle="1" w:styleId="16">
    <w:name w:val="标题 3 Char"/>
    <w:basedOn w:val="8"/>
    <w:link w:val="2"/>
    <w:uiPriority w:val="0"/>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Company>
  <Pages>1</Pages>
  <Words>648</Words>
  <Characters>3696</Characters>
  <Lines>30</Lines>
  <Paragraphs>8</Paragraphs>
  <ScaleCrop>false</ScaleCrop>
  <LinksUpToDate>false</LinksUpToDate>
  <CharactersWithSpaces>4336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公司QEHS管理体系文件</dc:title>
  <dc:creator>雨林木风</dc:creator>
  <cp:lastModifiedBy>Administrator</cp:lastModifiedBy>
  <cp:revision>6</cp:revision>
  <cp:lastPrinted>2018-01-15T04:03:00Z</cp:lastPrinted>
  <dcterms:created xsi:type="dcterms:W3CDTF">2017-12-06T02:38:00Z</dcterms:created>
  <dcterms:modified xsi:type="dcterms:W3CDTF">2018-02-08T06:37:53Z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