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rPr>
      </w:pPr>
    </w:p>
    <w:p>
      <w:pPr>
        <w:jc w:val="center"/>
        <w:rPr>
          <w:rFonts w:hint="eastAsia"/>
          <w:b/>
          <w:bCs/>
          <w:sz w:val="44"/>
        </w:rPr>
      </w:pPr>
      <w:r>
        <w:rPr>
          <w:rFonts w:hint="eastAsia"/>
          <w:b/>
          <w:bCs/>
          <w:sz w:val="44"/>
        </w:rPr>
        <w:t>四川</w:t>
      </w:r>
      <w:r>
        <w:rPr>
          <w:rFonts w:hint="eastAsia"/>
          <w:b/>
          <w:bCs/>
          <w:sz w:val="44"/>
          <w:lang w:eastAsia="zh-CN"/>
        </w:rPr>
        <w:t>嘉瑞</w:t>
      </w:r>
      <w:r>
        <w:rPr>
          <w:rFonts w:hint="eastAsia"/>
          <w:b/>
          <w:bCs/>
          <w:sz w:val="44"/>
        </w:rPr>
        <w:t>源实业有限公司</w:t>
      </w:r>
    </w:p>
    <w:p>
      <w:pPr>
        <w:tabs>
          <w:tab w:val="left" w:pos="1260"/>
          <w:tab w:val="left" w:pos="1620"/>
          <w:tab w:val="left" w:pos="7200"/>
          <w:tab w:val="left" w:pos="7560"/>
          <w:tab w:val="left" w:pos="7740"/>
        </w:tabs>
        <w:rPr>
          <w:rFonts w:hint="eastAsia"/>
          <w:b/>
          <w:bCs/>
          <w:sz w:val="32"/>
          <w:u w:val="single"/>
          <w:lang w:val="pt-BR"/>
        </w:rPr>
      </w:pPr>
    </w:p>
    <w:p>
      <w:pPr>
        <w:jc w:val="center"/>
        <w:rPr>
          <w:rFonts w:hint="eastAsia"/>
          <w:b/>
          <w:bCs/>
          <w:sz w:val="44"/>
          <w:szCs w:val="44"/>
        </w:rPr>
      </w:pPr>
      <w:r>
        <w:rPr>
          <w:rFonts w:hint="eastAsia"/>
          <w:b/>
          <w:bCs/>
          <w:sz w:val="44"/>
          <w:szCs w:val="44"/>
        </w:rPr>
        <w:t>质量、环境、职业健康安全一体化</w:t>
      </w:r>
    </w:p>
    <w:p>
      <w:pPr>
        <w:jc w:val="center"/>
        <w:rPr>
          <w:rFonts w:hint="eastAsia"/>
          <w:b/>
          <w:bCs/>
          <w:sz w:val="72"/>
        </w:rPr>
      </w:pPr>
      <w:r>
        <w:rPr>
          <w:rFonts w:hint="eastAsia"/>
          <w:b/>
          <w:bCs/>
          <w:sz w:val="72"/>
        </w:rPr>
        <w:t>作业文件</w:t>
      </w:r>
    </w:p>
    <w:p>
      <w:pPr>
        <w:spacing w:line="384" w:lineRule="auto"/>
        <w:jc w:val="center"/>
        <w:rPr>
          <w:rFonts w:hint="eastAsia"/>
          <w:b/>
          <w:bCs/>
          <w:sz w:val="28"/>
          <w:szCs w:val="28"/>
        </w:rPr>
      </w:pPr>
    </w:p>
    <w:p>
      <w:pPr>
        <w:spacing w:line="384" w:lineRule="auto"/>
        <w:jc w:val="center"/>
        <w:rPr>
          <w:rFonts w:hint="eastAsia"/>
          <w:b/>
          <w:bCs/>
          <w:sz w:val="24"/>
        </w:rPr>
      </w:pPr>
      <w:r>
        <w:rPr>
          <w:rFonts w:hint="eastAsia"/>
          <w:b/>
          <w:bCs/>
          <w:sz w:val="28"/>
          <w:szCs w:val="28"/>
        </w:rPr>
        <w:t xml:space="preserve">依据 </w:t>
      </w:r>
      <w:r>
        <w:rPr>
          <w:b/>
          <w:bCs/>
          <w:sz w:val="28"/>
          <w:szCs w:val="28"/>
        </w:rPr>
        <w:t>GB/T19001</w:t>
      </w:r>
      <w:r>
        <w:rPr>
          <w:rFonts w:hint="eastAsia"/>
          <w:b/>
          <w:bCs/>
          <w:sz w:val="28"/>
          <w:szCs w:val="28"/>
        </w:rPr>
        <w:t>—</w:t>
      </w:r>
      <w:r>
        <w:rPr>
          <w:b/>
          <w:bCs/>
          <w:sz w:val="28"/>
          <w:szCs w:val="28"/>
        </w:rPr>
        <w:t>20</w:t>
      </w:r>
      <w:r>
        <w:rPr>
          <w:rFonts w:hint="eastAsia"/>
          <w:b/>
          <w:bCs/>
          <w:sz w:val="28"/>
          <w:szCs w:val="28"/>
        </w:rPr>
        <w:t>16  idt  ISO9001:2015</w:t>
      </w:r>
    </w:p>
    <w:p>
      <w:pPr>
        <w:spacing w:line="384" w:lineRule="auto"/>
        <w:jc w:val="center"/>
        <w:rPr>
          <w:rFonts w:hint="eastAsia"/>
          <w:b/>
          <w:bCs/>
          <w:sz w:val="24"/>
        </w:rPr>
      </w:pPr>
      <w:r>
        <w:rPr>
          <w:rFonts w:hint="eastAsia"/>
          <w:sz w:val="28"/>
          <w:lang w:val="de-DE"/>
        </w:rPr>
        <w:t xml:space="preserve">      </w:t>
      </w:r>
      <w:r>
        <w:rPr>
          <w:rFonts w:hint="eastAsia"/>
          <w:b/>
          <w:sz w:val="28"/>
          <w:lang w:val="de-DE"/>
        </w:rPr>
        <w:t xml:space="preserve">GB/T24001—2016  </w:t>
      </w:r>
      <w:r>
        <w:rPr>
          <w:rFonts w:hint="eastAsia"/>
          <w:b/>
          <w:bCs/>
          <w:sz w:val="28"/>
          <w:szCs w:val="28"/>
        </w:rPr>
        <w:t>idt  ISO14001:2015</w:t>
      </w:r>
    </w:p>
    <w:p>
      <w:pPr>
        <w:spacing w:line="384" w:lineRule="auto"/>
        <w:jc w:val="center"/>
        <w:rPr>
          <w:rFonts w:hint="eastAsia"/>
          <w:b/>
          <w:bCs/>
          <w:sz w:val="24"/>
        </w:rPr>
      </w:pPr>
      <w:r>
        <w:rPr>
          <w:rFonts w:hint="eastAsia"/>
          <w:b/>
          <w:sz w:val="28"/>
          <w:lang w:val="de-DE"/>
        </w:rPr>
        <w:t xml:space="preserve">         GB/T28001—2011  </w:t>
      </w:r>
      <w:r>
        <w:rPr>
          <w:rFonts w:hint="eastAsia"/>
          <w:b/>
          <w:bCs/>
          <w:sz w:val="28"/>
          <w:szCs w:val="28"/>
        </w:rPr>
        <w:t>idt  OHSAS18001:2007</w:t>
      </w:r>
    </w:p>
    <w:p>
      <w:pPr>
        <w:jc w:val="center"/>
        <w:rPr>
          <w:rFonts w:hint="eastAsia"/>
          <w:sz w:val="28"/>
          <w:lang w:val="de-DE"/>
        </w:rPr>
      </w:pPr>
    </w:p>
    <w:p>
      <w:pPr>
        <w:jc w:val="center"/>
        <w:rPr>
          <w:rFonts w:hint="eastAsia"/>
          <w:b/>
          <w:bCs/>
          <w:sz w:val="36"/>
          <w:u w:val="thick"/>
          <w:lang w:val="de-DE"/>
        </w:rPr>
      </w:pPr>
      <w:r>
        <w:rPr>
          <w:rFonts w:hint="eastAsia"/>
          <w:sz w:val="36"/>
        </w:rPr>
        <w:t>文件名称</w:t>
      </w:r>
      <w:r>
        <w:rPr>
          <w:rFonts w:hint="eastAsia"/>
          <w:sz w:val="36"/>
          <w:lang w:val="de-DE"/>
        </w:rPr>
        <w:t>：</w:t>
      </w:r>
      <w:r>
        <w:rPr>
          <w:rFonts w:hint="eastAsia"/>
          <w:sz w:val="36"/>
          <w:szCs w:val="36"/>
          <w:u w:val="single"/>
        </w:rPr>
        <w:t>安全检查和隐患整改制度</w:t>
      </w:r>
    </w:p>
    <w:p>
      <w:pPr>
        <w:jc w:val="center"/>
        <w:rPr>
          <w:rFonts w:hint="eastAsia"/>
          <w:b/>
          <w:bCs/>
          <w:sz w:val="32"/>
          <w:u w:val="thick"/>
          <w:lang w:val="de-DE"/>
        </w:rPr>
      </w:pPr>
    </w:p>
    <w:p>
      <w:pPr>
        <w:rPr>
          <w:rFonts w:hint="eastAsia"/>
          <w:sz w:val="28"/>
          <w:lang w:val="de-DE"/>
        </w:rPr>
      </w:pPr>
    </w:p>
    <w:p>
      <w:pPr>
        <w:ind w:firstLine="280" w:firstLineChars="100"/>
        <w:rPr>
          <w:rFonts w:hint="eastAsia"/>
          <w:sz w:val="28"/>
          <w:lang w:val="de-DE"/>
        </w:rPr>
      </w:pPr>
      <w:r>
        <w:rPr>
          <w:rFonts w:hint="eastAsia"/>
          <w:sz w:val="28"/>
        </w:rPr>
        <w:t>拟制</w:t>
      </w:r>
      <w:r>
        <w:rPr>
          <w:sz w:val="28"/>
          <w:lang w:val="de-DE"/>
        </w:rPr>
        <w:t>/</w:t>
      </w:r>
      <w:r>
        <w:rPr>
          <w:rFonts w:hint="eastAsia"/>
          <w:sz w:val="28"/>
        </w:rPr>
        <w:t>日期</w:t>
      </w:r>
      <w:r>
        <w:rPr>
          <w:sz w:val="28"/>
          <w:u w:val="thick"/>
          <w:lang w:val="de-DE"/>
        </w:rPr>
        <w:t xml:space="preserve">           </w:t>
      </w:r>
      <w:bookmarkStart w:id="0" w:name="_GoBack"/>
      <w:bookmarkEnd w:id="0"/>
      <w:r>
        <w:rPr>
          <w:sz w:val="28"/>
          <w:u w:val="thick"/>
          <w:lang w:val="de-DE"/>
        </w:rPr>
        <w:t xml:space="preserve"> </w:t>
      </w:r>
      <w:r>
        <w:rPr>
          <w:rFonts w:hint="eastAsia"/>
          <w:sz w:val="28"/>
          <w:u w:val="thick"/>
          <w:lang w:val="de-DE"/>
        </w:rPr>
        <w:t xml:space="preserve">    </w:t>
      </w:r>
      <w:r>
        <w:rPr>
          <w:sz w:val="28"/>
          <w:lang w:val="de-DE"/>
        </w:rPr>
        <w:t xml:space="preserve">   </w:t>
      </w:r>
      <w:r>
        <w:rPr>
          <w:rFonts w:hint="eastAsia"/>
          <w:sz w:val="28"/>
        </w:rPr>
        <w:t>文件编号</w:t>
      </w:r>
      <w:r>
        <w:rPr>
          <w:sz w:val="28"/>
          <w:u w:val="thick"/>
          <w:lang w:val="de-DE"/>
        </w:rPr>
        <w:t xml:space="preserve"> </w:t>
      </w:r>
      <w:r>
        <w:rPr>
          <w:rFonts w:hint="eastAsia"/>
          <w:sz w:val="28"/>
          <w:u w:val="thick"/>
          <w:lang w:val="en-US" w:eastAsia="zh-CN"/>
        </w:rPr>
        <w:t>JR</w:t>
      </w:r>
      <w:r>
        <w:rPr>
          <w:rFonts w:hint="eastAsia"/>
          <w:sz w:val="28"/>
          <w:u w:val="thick"/>
          <w:lang w:val="de-DE"/>
        </w:rPr>
        <w:t>Y/</w:t>
      </w:r>
      <w:r>
        <w:rPr>
          <w:sz w:val="28"/>
          <w:u w:val="thick"/>
          <w:lang w:val="de-DE"/>
        </w:rPr>
        <w:t>QEHS-</w:t>
      </w:r>
      <w:r>
        <w:rPr>
          <w:rFonts w:hint="eastAsia"/>
          <w:sz w:val="28"/>
          <w:u w:val="thick"/>
          <w:lang w:val="de-DE"/>
        </w:rPr>
        <w:t>GAN03</w:t>
      </w:r>
      <w:r>
        <w:rPr>
          <w:sz w:val="28"/>
          <w:u w:val="thick"/>
          <w:lang w:val="de-DE"/>
        </w:rPr>
        <w:t xml:space="preserve"> -201</w:t>
      </w:r>
      <w:r>
        <w:rPr>
          <w:rFonts w:hint="eastAsia"/>
          <w:sz w:val="28"/>
          <w:u w:val="thick"/>
          <w:lang w:val="de-DE"/>
        </w:rPr>
        <w:t>8</w:t>
      </w:r>
    </w:p>
    <w:p>
      <w:pPr>
        <w:rPr>
          <w:rFonts w:hint="eastAsia"/>
          <w:sz w:val="28"/>
          <w:lang w:val="de-DE"/>
        </w:rPr>
      </w:pPr>
    </w:p>
    <w:p>
      <w:pPr>
        <w:ind w:firstLine="280" w:firstLineChars="100"/>
        <w:rPr>
          <w:rFonts w:hint="eastAsia"/>
          <w:sz w:val="28"/>
        </w:rPr>
      </w:pPr>
      <w:r>
        <w:rPr>
          <w:rFonts w:hint="eastAsia"/>
          <w:sz w:val="28"/>
        </w:rPr>
        <w:t>审核</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版</w:t>
      </w:r>
      <w:r>
        <w:rPr>
          <w:sz w:val="28"/>
        </w:rPr>
        <w:t xml:space="preserve">    </w:t>
      </w:r>
      <w:r>
        <w:rPr>
          <w:rFonts w:hint="eastAsia"/>
          <w:sz w:val="28"/>
        </w:rPr>
        <w:t>号</w:t>
      </w:r>
      <w:r>
        <w:rPr>
          <w:sz w:val="28"/>
          <w:u w:val="thick"/>
        </w:rPr>
        <w:t xml:space="preserve">    </w:t>
      </w:r>
      <w:r>
        <w:rPr>
          <w:rFonts w:hint="eastAsia"/>
          <w:sz w:val="28"/>
          <w:u w:val="thick"/>
        </w:rPr>
        <w:t xml:space="preserve">    0/A</w:t>
      </w:r>
      <w:r>
        <w:rPr>
          <w:sz w:val="28"/>
          <w:u w:val="thick"/>
        </w:rPr>
        <w:t xml:space="preserve">     </w:t>
      </w:r>
      <w:r>
        <w:rPr>
          <w:rFonts w:hint="eastAsia"/>
          <w:sz w:val="28"/>
          <w:u w:val="thick"/>
        </w:rPr>
        <w:t xml:space="preserve">  </w:t>
      </w:r>
    </w:p>
    <w:p>
      <w:pPr>
        <w:rPr>
          <w:rFonts w:hint="eastAsia"/>
          <w:sz w:val="28"/>
        </w:rPr>
      </w:pPr>
    </w:p>
    <w:p>
      <w:pPr>
        <w:ind w:firstLine="280" w:firstLineChars="100"/>
        <w:rPr>
          <w:rFonts w:hint="eastAsia"/>
          <w:sz w:val="28"/>
        </w:rPr>
      </w:pPr>
      <w:r>
        <w:rPr>
          <w:rFonts w:hint="eastAsia"/>
          <w:sz w:val="28"/>
        </w:rPr>
        <w:t>批准</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受控状态</w:t>
      </w:r>
      <w:r>
        <w:rPr>
          <w:sz w:val="28"/>
          <w:u w:val="thick"/>
        </w:rPr>
        <w:t xml:space="preserve">                </w:t>
      </w:r>
      <w:r>
        <w:rPr>
          <w:rFonts w:hint="eastAsia"/>
          <w:sz w:val="28"/>
          <w:u w:val="thick"/>
        </w:rPr>
        <w:t xml:space="preserve">  </w:t>
      </w:r>
    </w:p>
    <w:p>
      <w:pPr>
        <w:tabs>
          <w:tab w:val="left" w:pos="3240"/>
          <w:tab w:val="left" w:pos="4140"/>
          <w:tab w:val="left" w:pos="6840"/>
        </w:tabs>
        <w:rPr>
          <w:rFonts w:hint="eastAsia"/>
          <w:sz w:val="28"/>
        </w:rPr>
      </w:pPr>
    </w:p>
    <w:p>
      <w:pPr>
        <w:tabs>
          <w:tab w:val="left" w:pos="1440"/>
          <w:tab w:val="left" w:pos="3240"/>
          <w:tab w:val="left" w:pos="5220"/>
          <w:tab w:val="left" w:pos="5400"/>
          <w:tab w:val="left" w:pos="6840"/>
        </w:tabs>
        <w:ind w:firstLine="2660" w:firstLineChars="950"/>
        <w:rPr>
          <w:rFonts w:hint="eastAsia"/>
          <w:sz w:val="28"/>
        </w:rPr>
      </w:pPr>
      <w:r>
        <w:rPr>
          <w:rFonts w:hint="eastAsia"/>
          <w:sz w:val="28"/>
        </w:rPr>
        <w:t>生效日期</w:t>
      </w:r>
      <w:r>
        <w:rPr>
          <w:sz w:val="28"/>
          <w:u w:val="thick"/>
        </w:rPr>
        <w:t xml:space="preserve"> </w:t>
      </w:r>
      <w:r>
        <w:rPr>
          <w:rFonts w:hint="eastAsia"/>
          <w:sz w:val="28"/>
          <w:u w:val="thick"/>
          <w:lang w:val="en-US" w:eastAsia="zh-CN"/>
        </w:rPr>
        <w:t>2018年1月10日</w:t>
      </w:r>
      <w:r>
        <w:rPr>
          <w:sz w:val="28"/>
        </w:rPr>
        <w:t xml:space="preserve">  </w:t>
      </w:r>
      <w:r>
        <w:rPr>
          <w:rFonts w:hint="eastAsia"/>
          <w:sz w:val="28"/>
        </w:rPr>
        <w:t xml:space="preserve">  </w:t>
      </w:r>
      <w:r>
        <w:rPr>
          <w:sz w:val="28"/>
        </w:rPr>
        <w:t xml:space="preserve"> </w:t>
      </w:r>
      <w:r>
        <w:rPr>
          <w:rFonts w:hint="eastAsia"/>
          <w:sz w:val="28"/>
        </w:rPr>
        <w:t xml:space="preserve"> </w:t>
      </w:r>
    </w:p>
    <w:p>
      <w:pPr>
        <w:spacing w:line="360" w:lineRule="auto"/>
        <w:rPr>
          <w:rFonts w:ascii="宋体" w:hAnsi="宋体"/>
          <w:b/>
          <w:sz w:val="24"/>
          <w:szCs w:val="24"/>
        </w:rPr>
      </w:pPr>
      <w:r>
        <w:rPr>
          <w:rFonts w:hint="eastAsia" w:ascii="宋体" w:hAnsi="宋体"/>
          <w:b/>
          <w:sz w:val="24"/>
          <w:szCs w:val="24"/>
        </w:rPr>
        <w:t xml:space="preserve">1 目的 </w:t>
      </w:r>
    </w:p>
    <w:p>
      <w:pPr>
        <w:spacing w:line="360" w:lineRule="auto"/>
        <w:rPr>
          <w:rFonts w:ascii="宋体" w:hAnsi="宋体"/>
          <w:sz w:val="24"/>
          <w:szCs w:val="24"/>
        </w:rPr>
      </w:pPr>
      <w:r>
        <w:rPr>
          <w:rFonts w:hint="eastAsia" w:ascii="宋体" w:hAnsi="宋体"/>
          <w:sz w:val="24"/>
          <w:szCs w:val="24"/>
        </w:rPr>
        <w:t xml:space="preserve">    为强化公司安全生产监督检查，明确安全检查工作的组织领导，统一检查内容和要求，提高检查效果，逐步实现检查工作规范化、标准化，特制定本制度。</w:t>
      </w:r>
    </w:p>
    <w:p>
      <w:pPr>
        <w:spacing w:line="360" w:lineRule="auto"/>
        <w:rPr>
          <w:rFonts w:ascii="宋体" w:hAnsi="宋体"/>
          <w:b/>
          <w:sz w:val="24"/>
          <w:szCs w:val="24"/>
        </w:rPr>
      </w:pPr>
      <w:r>
        <w:rPr>
          <w:rFonts w:hint="eastAsia" w:ascii="宋体" w:hAnsi="宋体"/>
          <w:b/>
          <w:sz w:val="24"/>
          <w:szCs w:val="24"/>
        </w:rPr>
        <w:t>2 适用范围</w:t>
      </w:r>
    </w:p>
    <w:p>
      <w:pPr>
        <w:spacing w:line="360" w:lineRule="auto"/>
        <w:rPr>
          <w:rFonts w:ascii="宋体" w:hAnsi="宋体"/>
          <w:sz w:val="24"/>
          <w:szCs w:val="24"/>
        </w:rPr>
      </w:pPr>
      <w:r>
        <w:rPr>
          <w:rFonts w:hint="eastAsia" w:ascii="宋体" w:hAnsi="宋体"/>
          <w:sz w:val="24"/>
          <w:szCs w:val="24"/>
        </w:rPr>
        <w:t xml:space="preserve">    适用于公司各部门。</w:t>
      </w:r>
    </w:p>
    <w:p>
      <w:pPr>
        <w:spacing w:line="360" w:lineRule="auto"/>
        <w:rPr>
          <w:rFonts w:ascii="宋体" w:hAnsi="宋体"/>
          <w:b/>
          <w:sz w:val="24"/>
          <w:szCs w:val="24"/>
        </w:rPr>
      </w:pPr>
      <w:r>
        <w:rPr>
          <w:rFonts w:hint="eastAsia" w:ascii="宋体" w:hAnsi="宋体"/>
          <w:b/>
          <w:sz w:val="24"/>
          <w:szCs w:val="24"/>
        </w:rPr>
        <w:t>3 术语</w:t>
      </w:r>
    </w:p>
    <w:p>
      <w:pPr>
        <w:spacing w:line="360" w:lineRule="auto"/>
        <w:rPr>
          <w:rFonts w:ascii="宋体" w:hAnsi="宋体"/>
          <w:sz w:val="24"/>
          <w:szCs w:val="24"/>
        </w:rPr>
      </w:pPr>
      <w:r>
        <w:rPr>
          <w:rFonts w:hint="eastAsia" w:ascii="宋体" w:hAnsi="宋体"/>
          <w:sz w:val="24"/>
          <w:szCs w:val="24"/>
        </w:rPr>
        <w:t xml:space="preserve">    安全生产检查是指上级机关或生产单位对安全状况进行实地察看、检测、分析、评估等活动。其目的是为了督促各项安全生产规章制度的贯彻落实，揭露和排除事故隐患，防止从业人员伤亡事故和职业病的发生，避免公司生产设施、设备的损失和财产损失，保证公司安全生产的顺利进行。</w:t>
      </w:r>
    </w:p>
    <w:p>
      <w:pPr>
        <w:spacing w:line="360" w:lineRule="auto"/>
        <w:rPr>
          <w:rFonts w:ascii="宋体" w:hAnsi="宋体"/>
          <w:b/>
          <w:sz w:val="24"/>
          <w:szCs w:val="24"/>
        </w:rPr>
      </w:pPr>
      <w:r>
        <w:rPr>
          <w:rFonts w:hint="eastAsia" w:ascii="宋体" w:hAnsi="宋体"/>
          <w:b/>
          <w:sz w:val="24"/>
          <w:szCs w:val="24"/>
        </w:rPr>
        <w:t>4 职责</w:t>
      </w:r>
    </w:p>
    <w:p>
      <w:pPr>
        <w:spacing w:line="360" w:lineRule="auto"/>
        <w:rPr>
          <w:rFonts w:ascii="宋体" w:hAnsi="宋体"/>
          <w:sz w:val="24"/>
          <w:szCs w:val="24"/>
        </w:rPr>
      </w:pPr>
      <w:r>
        <w:rPr>
          <w:rFonts w:hint="eastAsia" w:ascii="宋体" w:hAnsi="宋体"/>
          <w:sz w:val="24"/>
          <w:szCs w:val="24"/>
        </w:rPr>
        <w:t>4.1</w:t>
      </w:r>
      <w:r>
        <w:rPr>
          <w:rFonts w:hint="eastAsia" w:ascii="宋体" w:hAnsi="宋体"/>
          <w:color w:val="FF0000"/>
          <w:sz w:val="24"/>
          <w:szCs w:val="24"/>
        </w:rPr>
        <w:t>公司级</w:t>
      </w:r>
      <w:r>
        <w:rPr>
          <w:rFonts w:hint="eastAsia" w:ascii="宋体" w:hAnsi="宋体"/>
          <w:sz w:val="24"/>
          <w:szCs w:val="24"/>
        </w:rPr>
        <w:t>安全生产检查由总经理负责，组织各部门负责人组成检查组，</w:t>
      </w:r>
      <w:r>
        <w:rPr>
          <w:rFonts w:hint="eastAsia" w:ascii="宋体" w:hAnsi="宋体"/>
          <w:color w:val="FF0000"/>
          <w:sz w:val="24"/>
          <w:szCs w:val="24"/>
        </w:rPr>
        <w:t>每月</w:t>
      </w:r>
      <w:r>
        <w:rPr>
          <w:rFonts w:hint="eastAsia" w:ascii="宋体" w:hAnsi="宋体"/>
          <w:sz w:val="24"/>
          <w:szCs w:val="24"/>
        </w:rPr>
        <w:t>对公司进行一次检查，并签发检查纪要。</w:t>
      </w:r>
    </w:p>
    <w:p>
      <w:pPr>
        <w:spacing w:line="360" w:lineRule="auto"/>
        <w:rPr>
          <w:rFonts w:ascii="宋体" w:hAnsi="宋体"/>
          <w:sz w:val="24"/>
          <w:szCs w:val="24"/>
        </w:rPr>
      </w:pPr>
      <w:r>
        <w:rPr>
          <w:rFonts w:hint="eastAsia" w:ascii="宋体" w:hAnsi="宋体"/>
          <w:sz w:val="24"/>
          <w:szCs w:val="24"/>
        </w:rPr>
        <w:t>4.2</w:t>
      </w:r>
      <w:r>
        <w:rPr>
          <w:rFonts w:hint="eastAsia" w:ascii="宋体" w:hAnsi="宋体"/>
          <w:color w:val="FF0000"/>
          <w:sz w:val="24"/>
          <w:szCs w:val="24"/>
        </w:rPr>
        <w:t>车间级</w:t>
      </w:r>
      <w:r>
        <w:rPr>
          <w:rFonts w:hint="eastAsia" w:ascii="宋体" w:hAnsi="宋体"/>
          <w:sz w:val="24"/>
          <w:szCs w:val="24"/>
        </w:rPr>
        <w:t>安全检查由生产副总负责，组织安全环保部对各车间</w:t>
      </w:r>
      <w:r>
        <w:rPr>
          <w:rFonts w:hint="eastAsia" w:ascii="宋体" w:hAnsi="宋体"/>
          <w:color w:val="FF0000"/>
          <w:sz w:val="24"/>
          <w:szCs w:val="24"/>
        </w:rPr>
        <w:t>每月</w:t>
      </w:r>
      <w:r>
        <w:rPr>
          <w:rFonts w:hint="eastAsia" w:ascii="宋体" w:hAnsi="宋体"/>
          <w:sz w:val="24"/>
          <w:szCs w:val="24"/>
        </w:rPr>
        <w:t>进行一次安全检查，并写出检查纪要。</w:t>
      </w:r>
    </w:p>
    <w:p>
      <w:pPr>
        <w:spacing w:line="360" w:lineRule="auto"/>
        <w:rPr>
          <w:rFonts w:ascii="宋体" w:hAnsi="宋体"/>
          <w:sz w:val="24"/>
          <w:szCs w:val="24"/>
        </w:rPr>
      </w:pPr>
      <w:r>
        <w:rPr>
          <w:rFonts w:hint="eastAsia" w:ascii="宋体" w:hAnsi="宋体"/>
          <w:sz w:val="24"/>
          <w:szCs w:val="24"/>
        </w:rPr>
        <w:t>4.3班组级安全检查由车间主任负责，组织班组长每周进行一次安全检查，各班组应认真进行巡检和交接，检查结果记录在案。</w:t>
      </w:r>
    </w:p>
    <w:p>
      <w:pPr>
        <w:spacing w:line="360" w:lineRule="auto"/>
        <w:rPr>
          <w:rFonts w:ascii="宋体" w:hAnsi="宋体"/>
          <w:sz w:val="24"/>
          <w:szCs w:val="24"/>
        </w:rPr>
      </w:pPr>
      <w:r>
        <w:rPr>
          <w:rFonts w:hint="eastAsia" w:ascii="宋体" w:hAnsi="宋体"/>
          <w:sz w:val="24"/>
          <w:szCs w:val="24"/>
        </w:rPr>
        <w:t>4.4安全环保部是隐患整改工作的归口管理部门，负责对公司存在的隐患进行登记，发现重大隐患及时上报有关领导，负责对隐患整改情况进行监督、检查。</w:t>
      </w:r>
    </w:p>
    <w:p>
      <w:pPr>
        <w:spacing w:line="360" w:lineRule="auto"/>
        <w:rPr>
          <w:rFonts w:ascii="宋体" w:hAnsi="宋体"/>
          <w:b/>
          <w:sz w:val="24"/>
          <w:szCs w:val="24"/>
        </w:rPr>
      </w:pPr>
      <w:r>
        <w:rPr>
          <w:rFonts w:hint="eastAsia" w:ascii="宋体" w:hAnsi="宋体"/>
          <w:b/>
          <w:sz w:val="24"/>
          <w:szCs w:val="24"/>
        </w:rPr>
        <w:t>5 控制程序</w:t>
      </w:r>
    </w:p>
    <w:p>
      <w:pPr>
        <w:spacing w:line="360" w:lineRule="auto"/>
        <w:rPr>
          <w:rFonts w:ascii="宋体" w:hAnsi="宋体"/>
          <w:sz w:val="24"/>
          <w:szCs w:val="24"/>
        </w:rPr>
      </w:pPr>
      <w:r>
        <w:rPr>
          <w:rFonts w:hint="eastAsia" w:ascii="宋体" w:hAnsi="宋体"/>
          <w:sz w:val="24"/>
          <w:szCs w:val="24"/>
        </w:rPr>
        <w:t>5.1安全生产检查主要内容：</w:t>
      </w:r>
    </w:p>
    <w:p>
      <w:pPr>
        <w:spacing w:line="360" w:lineRule="auto"/>
        <w:ind w:firstLine="240" w:firstLineChars="100"/>
        <w:rPr>
          <w:rFonts w:ascii="宋体" w:hAnsi="宋体"/>
          <w:sz w:val="24"/>
          <w:szCs w:val="24"/>
        </w:rPr>
      </w:pPr>
      <w:r>
        <w:rPr>
          <w:rFonts w:hint="eastAsia" w:ascii="宋体" w:hAnsi="宋体"/>
          <w:sz w:val="24"/>
          <w:szCs w:val="24"/>
        </w:rPr>
        <w:t>a.检查各部门是否认真贯彻相关法规制度，检查安全生产管理制度是否健全和安全生产责任制、安全管理制度等修订完善情况及各项管理制度、安全基础工作落实情况。</w:t>
      </w:r>
    </w:p>
    <w:p>
      <w:pPr>
        <w:spacing w:line="360" w:lineRule="auto"/>
        <w:ind w:firstLine="240" w:firstLineChars="100"/>
        <w:rPr>
          <w:rFonts w:ascii="宋体" w:hAnsi="宋体"/>
          <w:sz w:val="24"/>
          <w:szCs w:val="24"/>
        </w:rPr>
      </w:pPr>
      <w:r>
        <w:rPr>
          <w:rFonts w:hint="eastAsia" w:ascii="宋体" w:hAnsi="宋体"/>
          <w:sz w:val="24"/>
          <w:szCs w:val="24"/>
        </w:rPr>
        <w:t>b.检查各级管理人员的法律法规教育和安全生产管理的资料教育是否达到要求，员工的安全意识、安全知识教育以及特种作业的安全技术知识教育是否达标。</w:t>
      </w:r>
    </w:p>
    <w:p>
      <w:pPr>
        <w:spacing w:line="360" w:lineRule="auto"/>
        <w:ind w:firstLine="240" w:firstLineChars="100"/>
        <w:rPr>
          <w:rFonts w:ascii="宋体" w:hAnsi="宋体"/>
          <w:sz w:val="24"/>
          <w:szCs w:val="24"/>
        </w:rPr>
      </w:pPr>
      <w:r>
        <w:rPr>
          <w:rFonts w:hint="eastAsia" w:ascii="宋体" w:hAnsi="宋体"/>
          <w:sz w:val="24"/>
          <w:szCs w:val="24"/>
        </w:rPr>
        <w:t>c.按照工艺、设备、储运、电气、仪表、消防、检维修、职业健康、专业的标准、规范制度等，检查生产、施工现场是否落实，是否存在安全隐患。</w:t>
      </w:r>
    </w:p>
    <w:p>
      <w:pPr>
        <w:spacing w:line="360" w:lineRule="auto"/>
        <w:ind w:firstLine="240" w:firstLineChars="100"/>
        <w:rPr>
          <w:rFonts w:ascii="宋体" w:hAnsi="宋体"/>
          <w:sz w:val="24"/>
          <w:szCs w:val="24"/>
        </w:rPr>
      </w:pPr>
      <w:r>
        <w:rPr>
          <w:rFonts w:hint="eastAsia" w:ascii="宋体" w:hAnsi="宋体"/>
          <w:sz w:val="24"/>
          <w:szCs w:val="24"/>
        </w:rPr>
        <w:t>d.检查公司各部门和个人的安全生产责任制是否落实，检查员工是否认真执行各项安全生产纪律和操作规程。</w:t>
      </w:r>
    </w:p>
    <w:p>
      <w:pPr>
        <w:spacing w:line="360" w:lineRule="auto"/>
        <w:rPr>
          <w:rFonts w:ascii="宋体" w:hAnsi="宋体"/>
          <w:sz w:val="24"/>
          <w:szCs w:val="24"/>
        </w:rPr>
      </w:pPr>
      <w:r>
        <w:rPr>
          <w:rFonts w:hint="eastAsia" w:ascii="宋体" w:hAnsi="宋体"/>
          <w:sz w:val="24"/>
          <w:szCs w:val="24"/>
        </w:rPr>
        <w:t>e.检查生产、检修、施工等直接作业环节各项安全生产保证措施是否落实。</w:t>
      </w:r>
    </w:p>
    <w:p>
      <w:pPr>
        <w:spacing w:line="360" w:lineRule="auto"/>
        <w:rPr>
          <w:rFonts w:ascii="宋体" w:hAnsi="宋体"/>
          <w:sz w:val="24"/>
          <w:szCs w:val="24"/>
        </w:rPr>
      </w:pPr>
      <w:r>
        <w:rPr>
          <w:rFonts w:hint="eastAsia" w:ascii="宋体" w:hAnsi="宋体"/>
          <w:sz w:val="24"/>
          <w:szCs w:val="24"/>
        </w:rPr>
        <w:t>5.2安全检查分外部检查和内部检查。外部检查指按照国家职业安全健康法规要求进行的法定监督、检测、检查和政府部门组织的安全检查；内部检查是公司内部根据生产情况开展的计划性和临时性自查活动，主要分为综合性检查、日常检查、季节性检查和专项检查等。</w:t>
      </w:r>
    </w:p>
    <w:p>
      <w:pPr>
        <w:spacing w:line="360" w:lineRule="auto"/>
        <w:ind w:firstLine="240" w:firstLineChars="100"/>
        <w:rPr>
          <w:rFonts w:ascii="宋体" w:hAnsi="宋体"/>
          <w:sz w:val="24"/>
          <w:szCs w:val="24"/>
        </w:rPr>
      </w:pPr>
      <w:r>
        <w:rPr>
          <w:rFonts w:hint="eastAsia" w:ascii="宋体" w:hAnsi="宋体"/>
          <w:sz w:val="24"/>
          <w:szCs w:val="24"/>
        </w:rPr>
        <w:t>a.综合性检查：即对公司各部门的安全生产管理、安全生产行为、安全生产状态进行全面检查、考核或评价。</w:t>
      </w:r>
    </w:p>
    <w:p>
      <w:pPr>
        <w:spacing w:line="360" w:lineRule="auto"/>
        <w:ind w:firstLine="240" w:firstLineChars="100"/>
        <w:rPr>
          <w:rFonts w:ascii="宋体" w:hAnsi="宋体"/>
          <w:sz w:val="24"/>
          <w:szCs w:val="24"/>
        </w:rPr>
      </w:pPr>
      <w:r>
        <w:rPr>
          <w:rFonts w:hint="eastAsia" w:ascii="宋体" w:hAnsi="宋体"/>
          <w:sz w:val="24"/>
          <w:szCs w:val="24"/>
        </w:rPr>
        <w:t>b.日常检查：包括班组、岗位员工的交接检查和班中巡回检查；工艺、设备、安全等专业人员的经常性检查，发现问题并做好记录。</w:t>
      </w:r>
    </w:p>
    <w:p>
      <w:pPr>
        <w:spacing w:line="360" w:lineRule="auto"/>
        <w:ind w:firstLine="240" w:firstLineChars="100"/>
        <w:rPr>
          <w:rFonts w:ascii="宋体" w:hAnsi="宋体"/>
          <w:sz w:val="24"/>
          <w:szCs w:val="24"/>
        </w:rPr>
      </w:pPr>
      <w:r>
        <w:rPr>
          <w:rFonts w:hint="eastAsia" w:ascii="宋体" w:hAnsi="宋体"/>
          <w:sz w:val="24"/>
          <w:szCs w:val="24"/>
        </w:rPr>
        <w:t>c.季节性检查是根据各季节特点开展的专项检查。根据公司实际情况和气候特点，重点进行防暑降温、防洪防汛、防雷电为重点的夏季安全检查。</w:t>
      </w:r>
    </w:p>
    <w:p>
      <w:pPr>
        <w:spacing w:line="360" w:lineRule="auto"/>
        <w:ind w:firstLine="240" w:firstLineChars="100"/>
        <w:rPr>
          <w:rFonts w:ascii="宋体" w:hAnsi="宋体"/>
          <w:sz w:val="24"/>
          <w:szCs w:val="24"/>
        </w:rPr>
      </w:pPr>
      <w:r>
        <w:rPr>
          <w:rFonts w:hint="eastAsia" w:ascii="宋体" w:hAnsi="宋体"/>
          <w:sz w:val="24"/>
          <w:szCs w:val="24"/>
        </w:rPr>
        <w:t>d.专业性检查主要是对压力容器、电气设备、机械设备、安全装置、危险物品、运输车辆等系统分别进行的专业检查，及在装置开、停工前、新装置竣工及试运转等时期进行的专项安全检查。</w:t>
      </w:r>
    </w:p>
    <w:p>
      <w:pPr>
        <w:spacing w:line="360" w:lineRule="auto"/>
        <w:rPr>
          <w:rFonts w:ascii="宋体" w:hAnsi="宋体"/>
          <w:sz w:val="24"/>
          <w:szCs w:val="24"/>
        </w:rPr>
      </w:pPr>
      <w:r>
        <w:rPr>
          <w:rFonts w:hint="eastAsia" w:ascii="宋体" w:hAnsi="宋体"/>
          <w:sz w:val="24"/>
          <w:szCs w:val="24"/>
        </w:rPr>
        <w:t>5.3安全生产检查的依据</w:t>
      </w:r>
    </w:p>
    <w:p>
      <w:pPr>
        <w:spacing w:line="360" w:lineRule="auto"/>
        <w:ind w:firstLine="240" w:firstLineChars="100"/>
        <w:rPr>
          <w:rFonts w:ascii="宋体" w:hAnsi="宋体"/>
          <w:sz w:val="24"/>
          <w:szCs w:val="24"/>
        </w:rPr>
      </w:pPr>
      <w:r>
        <w:rPr>
          <w:rFonts w:hint="eastAsia" w:ascii="宋体" w:hAnsi="宋体"/>
          <w:sz w:val="24"/>
          <w:szCs w:val="24"/>
        </w:rPr>
        <w:t>a.国家的安全生产方针、政策、法规、标准。</w:t>
      </w:r>
    </w:p>
    <w:p>
      <w:pPr>
        <w:spacing w:line="360" w:lineRule="auto"/>
        <w:ind w:firstLine="240" w:firstLineChars="100"/>
        <w:rPr>
          <w:rFonts w:ascii="宋体" w:hAnsi="宋体"/>
          <w:sz w:val="24"/>
          <w:szCs w:val="24"/>
        </w:rPr>
      </w:pPr>
      <w:r>
        <w:rPr>
          <w:rFonts w:hint="eastAsia" w:ascii="宋体" w:hAnsi="宋体"/>
          <w:sz w:val="24"/>
          <w:szCs w:val="24"/>
        </w:rPr>
        <w:t>b.公司及上级主管部门的安全生产法规、标准、制度。</w:t>
      </w:r>
    </w:p>
    <w:p>
      <w:pPr>
        <w:spacing w:line="360" w:lineRule="auto"/>
        <w:ind w:firstLine="240" w:firstLineChars="100"/>
        <w:rPr>
          <w:rFonts w:ascii="宋体" w:hAnsi="宋体"/>
          <w:sz w:val="24"/>
          <w:szCs w:val="24"/>
        </w:rPr>
      </w:pPr>
      <w:r>
        <w:rPr>
          <w:rFonts w:hint="eastAsia" w:ascii="宋体" w:hAnsi="宋体"/>
          <w:sz w:val="24"/>
          <w:szCs w:val="24"/>
        </w:rPr>
        <w:t>c.各专业和工种的安全技术规程和要求。</w:t>
      </w:r>
    </w:p>
    <w:p>
      <w:pPr>
        <w:spacing w:line="360" w:lineRule="auto"/>
        <w:ind w:firstLine="240" w:firstLineChars="100"/>
        <w:rPr>
          <w:rFonts w:ascii="宋体" w:hAnsi="宋体"/>
          <w:sz w:val="24"/>
          <w:szCs w:val="24"/>
        </w:rPr>
      </w:pPr>
      <w:r>
        <w:rPr>
          <w:rFonts w:hint="eastAsia" w:ascii="宋体" w:hAnsi="宋体"/>
          <w:sz w:val="24"/>
          <w:szCs w:val="24"/>
        </w:rPr>
        <w:t>d.安全技术标准、规程、守则。</w:t>
      </w:r>
    </w:p>
    <w:p>
      <w:pPr>
        <w:spacing w:line="360" w:lineRule="auto"/>
        <w:rPr>
          <w:rFonts w:ascii="宋体" w:hAnsi="宋体"/>
          <w:sz w:val="24"/>
          <w:szCs w:val="24"/>
        </w:rPr>
      </w:pPr>
      <w:r>
        <w:rPr>
          <w:rFonts w:hint="eastAsia" w:ascii="宋体" w:hAnsi="宋体"/>
          <w:sz w:val="24"/>
          <w:szCs w:val="24"/>
        </w:rPr>
        <w:t>5.4认真对待各种形式的安全检查，正确处理内、外部安全检查的关系，坚持综合检查、日常检查和专业检查相结合的原则，做到安全检查制度化、标准化、经常化。</w:t>
      </w:r>
    </w:p>
    <w:p>
      <w:pPr>
        <w:spacing w:line="360" w:lineRule="auto"/>
        <w:rPr>
          <w:rFonts w:ascii="宋体" w:hAnsi="宋体"/>
          <w:sz w:val="24"/>
          <w:szCs w:val="24"/>
        </w:rPr>
      </w:pPr>
      <w:r>
        <w:rPr>
          <w:rFonts w:hint="eastAsia" w:ascii="宋体" w:hAnsi="宋体"/>
          <w:sz w:val="24"/>
          <w:szCs w:val="24"/>
        </w:rPr>
        <w:t>5.5安全生产检查要编制安全检查表，按照安全检查表科学、规范地开展检查工作。</w:t>
      </w:r>
    </w:p>
    <w:p>
      <w:pPr>
        <w:spacing w:line="360" w:lineRule="auto"/>
        <w:rPr>
          <w:rFonts w:ascii="宋体" w:hAnsi="宋体"/>
          <w:sz w:val="24"/>
          <w:szCs w:val="24"/>
        </w:rPr>
      </w:pPr>
      <w:r>
        <w:rPr>
          <w:rFonts w:hint="eastAsia" w:ascii="宋体" w:hAnsi="宋体"/>
          <w:sz w:val="24"/>
          <w:szCs w:val="24"/>
        </w:rPr>
        <w:t>5.6隐患整改本着“四定、三不准”的原则进行。即定整改措施，定整改期限，定负责人，定整改资金；班组能整改的隐患不推给部门，部门能整改的不推给公司。</w:t>
      </w:r>
    </w:p>
    <w:p>
      <w:pPr>
        <w:spacing w:line="360" w:lineRule="auto"/>
        <w:rPr>
          <w:rFonts w:ascii="宋体" w:hAnsi="宋体"/>
          <w:sz w:val="24"/>
          <w:szCs w:val="24"/>
        </w:rPr>
      </w:pPr>
      <w:r>
        <w:rPr>
          <w:rFonts w:hint="eastAsia" w:ascii="宋体" w:hAnsi="宋体"/>
          <w:sz w:val="24"/>
          <w:szCs w:val="24"/>
        </w:rPr>
        <w:t>5.7对发现的隐患，检查人员要尽快通知隐患所在部门，指出隐患部位、内容及影响，提出整改意见及整改期限并进行登记，对于重大隐患，检查人员要以书面的形式发出《隐患整改通知书》及时送达隐患所在部门。</w:t>
      </w:r>
    </w:p>
    <w:p>
      <w:pPr>
        <w:spacing w:line="360" w:lineRule="auto"/>
        <w:rPr>
          <w:rFonts w:ascii="宋体" w:hAnsi="宋体"/>
          <w:sz w:val="24"/>
          <w:szCs w:val="24"/>
        </w:rPr>
      </w:pPr>
      <w:r>
        <w:rPr>
          <w:rFonts w:hint="eastAsia" w:ascii="宋体" w:hAnsi="宋体"/>
          <w:sz w:val="24"/>
          <w:szCs w:val="24"/>
        </w:rPr>
        <w:t>5.8公司各部门是隐患整改工作实施的责任部门，在实施整改工作中要坚持分级负责、分级管理的“四定”原则。</w:t>
      </w:r>
    </w:p>
    <w:p>
      <w:pPr>
        <w:spacing w:line="360" w:lineRule="auto"/>
        <w:rPr>
          <w:rFonts w:ascii="宋体" w:hAnsi="宋体"/>
          <w:sz w:val="24"/>
          <w:szCs w:val="24"/>
        </w:rPr>
      </w:pPr>
      <w:r>
        <w:rPr>
          <w:rFonts w:hint="eastAsia" w:ascii="宋体" w:hAnsi="宋体"/>
          <w:sz w:val="24"/>
          <w:szCs w:val="24"/>
        </w:rPr>
        <w:t>5.9排除隐患所需经费，可根据项目的内容，分别纳入大修、基建、技改费用中解决。</w:t>
      </w:r>
    </w:p>
    <w:p>
      <w:pPr>
        <w:framePr w:hSpace="180" w:wrap="around" w:vAnchor="text" w:hAnchor="margin" w:x="144" w:y="1"/>
        <w:spacing w:line="360" w:lineRule="auto"/>
        <w:ind w:firstLine="240" w:firstLineChars="100"/>
        <w:rPr>
          <w:rFonts w:ascii="宋体" w:hAnsi="宋体"/>
          <w:sz w:val="24"/>
          <w:szCs w:val="24"/>
        </w:rPr>
      </w:pPr>
      <w:r>
        <w:rPr>
          <w:rFonts w:hint="eastAsia" w:ascii="宋体" w:hAnsi="宋体"/>
          <w:sz w:val="24"/>
          <w:szCs w:val="24"/>
        </w:rPr>
        <w:t>a.隐患所在部门接到隐患整改通知后，必须对隐患进行整改，不得拖延。对当时不能整改的，必须订出计划，在规定期限内限期整改，同时采取必要的预防措施和特殊管理办法，报生产副总批准，实行现场保护。</w:t>
      </w:r>
    </w:p>
    <w:p>
      <w:pPr>
        <w:framePr w:hSpace="180" w:wrap="around" w:vAnchor="text" w:hAnchor="margin" w:x="144" w:y="1"/>
        <w:spacing w:line="360" w:lineRule="auto"/>
        <w:ind w:firstLine="240" w:firstLineChars="100"/>
        <w:rPr>
          <w:rFonts w:ascii="宋体" w:hAnsi="宋体"/>
          <w:sz w:val="24"/>
          <w:szCs w:val="24"/>
        </w:rPr>
      </w:pPr>
      <w:r>
        <w:rPr>
          <w:rFonts w:hint="eastAsia" w:ascii="宋体" w:hAnsi="宋体"/>
          <w:sz w:val="24"/>
          <w:szCs w:val="24"/>
        </w:rPr>
        <w:t>c.整改措施实施后，须通过相关部门的检查、验收、认可。</w:t>
      </w:r>
    </w:p>
    <w:p>
      <w:pPr>
        <w:spacing w:line="360" w:lineRule="auto"/>
        <w:ind w:firstLine="360" w:firstLineChars="150"/>
        <w:rPr>
          <w:rFonts w:hint="eastAsia"/>
          <w:sz w:val="28"/>
        </w:rPr>
      </w:pPr>
      <w:r>
        <w:rPr>
          <w:rFonts w:hint="eastAsia" w:ascii="宋体" w:hAnsi="宋体"/>
          <w:sz w:val="24"/>
          <w:szCs w:val="24"/>
        </w:rPr>
        <w:t>d.个人在安全生产巡查中发现安全隐患应及时上报相关部门，对隐患报告人应给予相应奖励。</w:t>
      </w:r>
    </w:p>
    <w:sectPr>
      <w:headerReference r:id="rId3" w:type="default"/>
      <w:footerReference r:id="rId4" w:type="default"/>
      <w:pgSz w:w="11906" w:h="16838"/>
      <w:pgMar w:top="1502"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pict>
        <v:shape id="文本框 3" o:spid="_x0000_s4097"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4</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rFonts w:hint="eastAsia"/>
                    <w:sz w:val="18"/>
                  </w:rPr>
                  <w:t>4</w:t>
                </w:r>
                <w:r>
                  <w:rPr>
                    <w:rFonts w:hint="eastAsia"/>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3"/>
      </w:pBdr>
      <w:jc w:val="left"/>
      <w:rPr>
        <w:rFonts w:hint="eastAsia"/>
        <w:sz w:val="36"/>
        <w:szCs w:val="36"/>
      </w:rPr>
    </w:pPr>
    <w:r>
      <w:rPr>
        <w:rFonts w:hint="eastAsia"/>
        <w:sz w:val="36"/>
        <w:szCs w:val="36"/>
      </w:rPr>
      <w:t>正源控股</w:t>
    </w:r>
  </w:p>
  <w:p>
    <w:pPr>
      <w:pStyle w:val="6"/>
      <w:pBdr>
        <w:bottom w:val="single" w:color="auto" w:sz="6" w:space="3"/>
      </w:pBdr>
      <w:jc w:val="left"/>
      <w:rPr>
        <w:rFonts w:hint="eastAsia"/>
      </w:rPr>
    </w:pPr>
    <w:r>
      <w:rPr>
        <w:rFonts w:hint="eastAsia"/>
      </w:rPr>
      <w:t xml:space="preserve">                  文件编号：</w:t>
    </w:r>
    <w:r>
      <w:rPr>
        <w:rFonts w:hint="eastAsia"/>
        <w:lang w:val="en-US" w:eastAsia="zh-CN"/>
      </w:rPr>
      <w:t>JR</w:t>
    </w:r>
    <w:r>
      <w:rPr>
        <w:rFonts w:hint="eastAsia"/>
      </w:rPr>
      <w:t xml:space="preserve">Y/QEHS-GAN03-2018                 </w:t>
    </w:r>
    <w:r>
      <w:rPr>
        <w:rFonts w:hint="eastAsia"/>
        <w:lang w:val="en-US" w:eastAsia="zh-CN"/>
      </w:rPr>
      <w:t xml:space="preserve">     </w:t>
    </w:r>
    <w:r>
      <w:rPr>
        <w:rFonts w:hint="eastAsia"/>
        <w:lang w:eastAsia="zh-CN"/>
      </w:rPr>
      <w:t>安全检查和隐患整改制度</w:t>
    </w:r>
  </w:p>
  <w:p>
    <w:pPr>
      <w:pStyle w:val="6"/>
      <w:pBdr>
        <w:bottom w:val="single" w:color="auto" w:sz="6" w:space="3"/>
      </w:pBdr>
      <w:jc w:val="left"/>
      <w:rPr>
        <w:rFonts w:hint="eastAsia"/>
      </w:rPr>
    </w:pPr>
    <w:r>
      <w:rPr>
        <w:rFonts w:hint="eastAsia"/>
      </w:rPr>
      <w:t xml:space="preserve">                  版号：   0/A                                       四川</w:t>
    </w:r>
    <w:r>
      <w:rPr>
        <w:rFonts w:hint="eastAsia"/>
        <w:lang w:eastAsia="zh-CN"/>
      </w:rPr>
      <w:t>嘉瑞</w:t>
    </w:r>
    <w:r>
      <w:rPr>
        <w:rFonts w:hint="eastAsia"/>
      </w:rPr>
      <w:t>源实业有限公司</w:t>
    </w:r>
  </w:p>
  <w:p>
    <w:pPr>
      <w:pStyle w:val="6"/>
      <w:pBdr>
        <w:bottom w:val="single" w:color="auto" w:sz="6" w:space="3"/>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2"/>
  </w:compat>
  <w:rsids>
    <w:rsidRoot w:val="006C1838"/>
    <w:rsid w:val="00000C0C"/>
    <w:rsid w:val="000021F4"/>
    <w:rsid w:val="0000621D"/>
    <w:rsid w:val="00006CD0"/>
    <w:rsid w:val="00010B50"/>
    <w:rsid w:val="00010B90"/>
    <w:rsid w:val="0002045E"/>
    <w:rsid w:val="00032413"/>
    <w:rsid w:val="00042D29"/>
    <w:rsid w:val="000447C1"/>
    <w:rsid w:val="00062C8A"/>
    <w:rsid w:val="00074E58"/>
    <w:rsid w:val="00076398"/>
    <w:rsid w:val="000808BB"/>
    <w:rsid w:val="00087E68"/>
    <w:rsid w:val="00090C2D"/>
    <w:rsid w:val="00094398"/>
    <w:rsid w:val="000A73A9"/>
    <w:rsid w:val="000A7570"/>
    <w:rsid w:val="000C0DB6"/>
    <w:rsid w:val="000C4119"/>
    <w:rsid w:val="000C6087"/>
    <w:rsid w:val="000C6B5B"/>
    <w:rsid w:val="00100FE3"/>
    <w:rsid w:val="0010370F"/>
    <w:rsid w:val="00103E5A"/>
    <w:rsid w:val="00115EDD"/>
    <w:rsid w:val="00120659"/>
    <w:rsid w:val="00126A47"/>
    <w:rsid w:val="00130A0F"/>
    <w:rsid w:val="0015671B"/>
    <w:rsid w:val="00156A27"/>
    <w:rsid w:val="00157702"/>
    <w:rsid w:val="00165147"/>
    <w:rsid w:val="001732B6"/>
    <w:rsid w:val="00191EEE"/>
    <w:rsid w:val="00191F29"/>
    <w:rsid w:val="00196D97"/>
    <w:rsid w:val="001A5962"/>
    <w:rsid w:val="001B153E"/>
    <w:rsid w:val="001B5762"/>
    <w:rsid w:val="001D50C3"/>
    <w:rsid w:val="001E23A5"/>
    <w:rsid w:val="001E64AF"/>
    <w:rsid w:val="001E799D"/>
    <w:rsid w:val="001F2E63"/>
    <w:rsid w:val="001F30FC"/>
    <w:rsid w:val="00203C1E"/>
    <w:rsid w:val="002073DB"/>
    <w:rsid w:val="00213DC1"/>
    <w:rsid w:val="00214E62"/>
    <w:rsid w:val="00233207"/>
    <w:rsid w:val="002339B9"/>
    <w:rsid w:val="002405BC"/>
    <w:rsid w:val="00243F13"/>
    <w:rsid w:val="00251E4C"/>
    <w:rsid w:val="00262080"/>
    <w:rsid w:val="00262D80"/>
    <w:rsid w:val="002742F9"/>
    <w:rsid w:val="00281CD2"/>
    <w:rsid w:val="002832D6"/>
    <w:rsid w:val="00286EE8"/>
    <w:rsid w:val="002A370F"/>
    <w:rsid w:val="002C7838"/>
    <w:rsid w:val="002D1B60"/>
    <w:rsid w:val="002D7F95"/>
    <w:rsid w:val="002E1033"/>
    <w:rsid w:val="002E339F"/>
    <w:rsid w:val="002F7AF1"/>
    <w:rsid w:val="00315AC0"/>
    <w:rsid w:val="00316BD0"/>
    <w:rsid w:val="00316E7D"/>
    <w:rsid w:val="00323F7C"/>
    <w:rsid w:val="0032439B"/>
    <w:rsid w:val="00326DA7"/>
    <w:rsid w:val="0034734A"/>
    <w:rsid w:val="0035066A"/>
    <w:rsid w:val="003560BC"/>
    <w:rsid w:val="003702D1"/>
    <w:rsid w:val="003801C4"/>
    <w:rsid w:val="003808E5"/>
    <w:rsid w:val="00380EEA"/>
    <w:rsid w:val="003A2E4E"/>
    <w:rsid w:val="003A329C"/>
    <w:rsid w:val="003A3629"/>
    <w:rsid w:val="003A6C2E"/>
    <w:rsid w:val="003B3D68"/>
    <w:rsid w:val="003B433A"/>
    <w:rsid w:val="003B4ECA"/>
    <w:rsid w:val="003C3BBC"/>
    <w:rsid w:val="003D0553"/>
    <w:rsid w:val="003E28D7"/>
    <w:rsid w:val="003F0F3E"/>
    <w:rsid w:val="00411AB1"/>
    <w:rsid w:val="004209AC"/>
    <w:rsid w:val="004216C9"/>
    <w:rsid w:val="00443792"/>
    <w:rsid w:val="0045180F"/>
    <w:rsid w:val="004552E6"/>
    <w:rsid w:val="00455540"/>
    <w:rsid w:val="00456216"/>
    <w:rsid w:val="00477107"/>
    <w:rsid w:val="00477A3B"/>
    <w:rsid w:val="00497C8F"/>
    <w:rsid w:val="004B2EBC"/>
    <w:rsid w:val="004E01FE"/>
    <w:rsid w:val="004F586E"/>
    <w:rsid w:val="004F7907"/>
    <w:rsid w:val="00510662"/>
    <w:rsid w:val="00513CE7"/>
    <w:rsid w:val="00515FFE"/>
    <w:rsid w:val="00530B73"/>
    <w:rsid w:val="005322F8"/>
    <w:rsid w:val="005503D4"/>
    <w:rsid w:val="00560F1C"/>
    <w:rsid w:val="00565028"/>
    <w:rsid w:val="00574B13"/>
    <w:rsid w:val="00585AA6"/>
    <w:rsid w:val="005A33AD"/>
    <w:rsid w:val="005C4960"/>
    <w:rsid w:val="005D2B3F"/>
    <w:rsid w:val="005D5AD5"/>
    <w:rsid w:val="005E4885"/>
    <w:rsid w:val="005F6469"/>
    <w:rsid w:val="006072D0"/>
    <w:rsid w:val="00612592"/>
    <w:rsid w:val="0061293E"/>
    <w:rsid w:val="00615104"/>
    <w:rsid w:val="006164DC"/>
    <w:rsid w:val="00617F65"/>
    <w:rsid w:val="00621AA3"/>
    <w:rsid w:val="0062635B"/>
    <w:rsid w:val="00634115"/>
    <w:rsid w:val="006422F1"/>
    <w:rsid w:val="00661C49"/>
    <w:rsid w:val="00677254"/>
    <w:rsid w:val="006808C6"/>
    <w:rsid w:val="006871A7"/>
    <w:rsid w:val="00697640"/>
    <w:rsid w:val="006A5459"/>
    <w:rsid w:val="006B459A"/>
    <w:rsid w:val="006B6782"/>
    <w:rsid w:val="006C1838"/>
    <w:rsid w:val="006C7351"/>
    <w:rsid w:val="006D2E8E"/>
    <w:rsid w:val="006E5EA5"/>
    <w:rsid w:val="006F0C99"/>
    <w:rsid w:val="006F2EA6"/>
    <w:rsid w:val="007016DE"/>
    <w:rsid w:val="00711273"/>
    <w:rsid w:val="007136D2"/>
    <w:rsid w:val="0073494A"/>
    <w:rsid w:val="00745A58"/>
    <w:rsid w:val="007470CC"/>
    <w:rsid w:val="00753BD3"/>
    <w:rsid w:val="0075672A"/>
    <w:rsid w:val="007617C0"/>
    <w:rsid w:val="00772906"/>
    <w:rsid w:val="00784DD0"/>
    <w:rsid w:val="007A6072"/>
    <w:rsid w:val="007B6112"/>
    <w:rsid w:val="007C17CB"/>
    <w:rsid w:val="007D38E6"/>
    <w:rsid w:val="007E441B"/>
    <w:rsid w:val="007E4599"/>
    <w:rsid w:val="00801541"/>
    <w:rsid w:val="00802E81"/>
    <w:rsid w:val="00807550"/>
    <w:rsid w:val="00811582"/>
    <w:rsid w:val="008137B5"/>
    <w:rsid w:val="00825FFA"/>
    <w:rsid w:val="008300AB"/>
    <w:rsid w:val="008374AA"/>
    <w:rsid w:val="008427A9"/>
    <w:rsid w:val="00843139"/>
    <w:rsid w:val="0084550A"/>
    <w:rsid w:val="008508F0"/>
    <w:rsid w:val="00854580"/>
    <w:rsid w:val="00857615"/>
    <w:rsid w:val="0087360D"/>
    <w:rsid w:val="008736DD"/>
    <w:rsid w:val="008745E1"/>
    <w:rsid w:val="00875DBD"/>
    <w:rsid w:val="008779DC"/>
    <w:rsid w:val="00891F2B"/>
    <w:rsid w:val="008A2B87"/>
    <w:rsid w:val="008A388B"/>
    <w:rsid w:val="008A69CE"/>
    <w:rsid w:val="008B355E"/>
    <w:rsid w:val="008B4F06"/>
    <w:rsid w:val="008C479C"/>
    <w:rsid w:val="008C7DC1"/>
    <w:rsid w:val="008E2CDD"/>
    <w:rsid w:val="008F2FDC"/>
    <w:rsid w:val="009102DA"/>
    <w:rsid w:val="009134FF"/>
    <w:rsid w:val="00916948"/>
    <w:rsid w:val="00925E37"/>
    <w:rsid w:val="0093332D"/>
    <w:rsid w:val="0094309C"/>
    <w:rsid w:val="00946216"/>
    <w:rsid w:val="0094768B"/>
    <w:rsid w:val="00965E73"/>
    <w:rsid w:val="00967C56"/>
    <w:rsid w:val="00972A4D"/>
    <w:rsid w:val="009754F8"/>
    <w:rsid w:val="009756F0"/>
    <w:rsid w:val="00995B00"/>
    <w:rsid w:val="00996EFB"/>
    <w:rsid w:val="009A00EC"/>
    <w:rsid w:val="009A20B5"/>
    <w:rsid w:val="009B1E44"/>
    <w:rsid w:val="009B4046"/>
    <w:rsid w:val="009B6717"/>
    <w:rsid w:val="009B71DB"/>
    <w:rsid w:val="009D0DA5"/>
    <w:rsid w:val="009D2755"/>
    <w:rsid w:val="009E298B"/>
    <w:rsid w:val="009E33F2"/>
    <w:rsid w:val="009F00F0"/>
    <w:rsid w:val="009F24BE"/>
    <w:rsid w:val="00A10217"/>
    <w:rsid w:val="00A34B59"/>
    <w:rsid w:val="00A37132"/>
    <w:rsid w:val="00A433E4"/>
    <w:rsid w:val="00A552B0"/>
    <w:rsid w:val="00A614F2"/>
    <w:rsid w:val="00A62011"/>
    <w:rsid w:val="00A661B4"/>
    <w:rsid w:val="00A777FC"/>
    <w:rsid w:val="00A77E6A"/>
    <w:rsid w:val="00A81E8D"/>
    <w:rsid w:val="00A853A6"/>
    <w:rsid w:val="00A85D01"/>
    <w:rsid w:val="00A9103D"/>
    <w:rsid w:val="00A91326"/>
    <w:rsid w:val="00A95B81"/>
    <w:rsid w:val="00AC0694"/>
    <w:rsid w:val="00AC1799"/>
    <w:rsid w:val="00AC3C96"/>
    <w:rsid w:val="00AC4B05"/>
    <w:rsid w:val="00AD147F"/>
    <w:rsid w:val="00AE4AAC"/>
    <w:rsid w:val="00AE5252"/>
    <w:rsid w:val="00B23F40"/>
    <w:rsid w:val="00B309A3"/>
    <w:rsid w:val="00B30ABB"/>
    <w:rsid w:val="00B30C59"/>
    <w:rsid w:val="00B313D1"/>
    <w:rsid w:val="00B36BAF"/>
    <w:rsid w:val="00B45F25"/>
    <w:rsid w:val="00B64061"/>
    <w:rsid w:val="00B7723B"/>
    <w:rsid w:val="00B965E7"/>
    <w:rsid w:val="00BB21B2"/>
    <w:rsid w:val="00BB75AC"/>
    <w:rsid w:val="00BC16B9"/>
    <w:rsid w:val="00BD0349"/>
    <w:rsid w:val="00BD1B84"/>
    <w:rsid w:val="00BE2749"/>
    <w:rsid w:val="00BF7413"/>
    <w:rsid w:val="00C0073D"/>
    <w:rsid w:val="00C1081C"/>
    <w:rsid w:val="00C20751"/>
    <w:rsid w:val="00C313C1"/>
    <w:rsid w:val="00C327FA"/>
    <w:rsid w:val="00C3315B"/>
    <w:rsid w:val="00C473F6"/>
    <w:rsid w:val="00C47EF8"/>
    <w:rsid w:val="00C53A1C"/>
    <w:rsid w:val="00C56B48"/>
    <w:rsid w:val="00C56D3B"/>
    <w:rsid w:val="00C57387"/>
    <w:rsid w:val="00C577B3"/>
    <w:rsid w:val="00C60DAE"/>
    <w:rsid w:val="00C71B89"/>
    <w:rsid w:val="00C8791E"/>
    <w:rsid w:val="00CB1E8A"/>
    <w:rsid w:val="00CC40B1"/>
    <w:rsid w:val="00CF251F"/>
    <w:rsid w:val="00CF38EF"/>
    <w:rsid w:val="00CF6771"/>
    <w:rsid w:val="00CF6BE5"/>
    <w:rsid w:val="00D01252"/>
    <w:rsid w:val="00D022BF"/>
    <w:rsid w:val="00D04479"/>
    <w:rsid w:val="00D12950"/>
    <w:rsid w:val="00D24751"/>
    <w:rsid w:val="00D27651"/>
    <w:rsid w:val="00D33E71"/>
    <w:rsid w:val="00D52269"/>
    <w:rsid w:val="00D538B6"/>
    <w:rsid w:val="00D539FE"/>
    <w:rsid w:val="00D60ADC"/>
    <w:rsid w:val="00D6687A"/>
    <w:rsid w:val="00D765E0"/>
    <w:rsid w:val="00D77C7E"/>
    <w:rsid w:val="00D9385E"/>
    <w:rsid w:val="00D964FC"/>
    <w:rsid w:val="00DA09B7"/>
    <w:rsid w:val="00DA65E9"/>
    <w:rsid w:val="00DB77A6"/>
    <w:rsid w:val="00DC2461"/>
    <w:rsid w:val="00DC37D8"/>
    <w:rsid w:val="00DC4283"/>
    <w:rsid w:val="00DC4B03"/>
    <w:rsid w:val="00DD54CD"/>
    <w:rsid w:val="00DD68F7"/>
    <w:rsid w:val="00DE27FE"/>
    <w:rsid w:val="00DF155D"/>
    <w:rsid w:val="00DF2B29"/>
    <w:rsid w:val="00DF5AA5"/>
    <w:rsid w:val="00DF62CC"/>
    <w:rsid w:val="00E00EB0"/>
    <w:rsid w:val="00E3547E"/>
    <w:rsid w:val="00E36C4E"/>
    <w:rsid w:val="00E3725B"/>
    <w:rsid w:val="00E40ADC"/>
    <w:rsid w:val="00E52EDB"/>
    <w:rsid w:val="00E64D8B"/>
    <w:rsid w:val="00E67EAD"/>
    <w:rsid w:val="00E72321"/>
    <w:rsid w:val="00E73120"/>
    <w:rsid w:val="00E75BED"/>
    <w:rsid w:val="00E94F75"/>
    <w:rsid w:val="00EA1949"/>
    <w:rsid w:val="00EB0FF1"/>
    <w:rsid w:val="00EE5A19"/>
    <w:rsid w:val="00F209D7"/>
    <w:rsid w:val="00F24674"/>
    <w:rsid w:val="00F40ED9"/>
    <w:rsid w:val="00F436E3"/>
    <w:rsid w:val="00F447ED"/>
    <w:rsid w:val="00F51FF0"/>
    <w:rsid w:val="00F52214"/>
    <w:rsid w:val="00F53AA2"/>
    <w:rsid w:val="00F5529C"/>
    <w:rsid w:val="00F5672C"/>
    <w:rsid w:val="00F62AF8"/>
    <w:rsid w:val="00F64B94"/>
    <w:rsid w:val="00F72D7A"/>
    <w:rsid w:val="00F82034"/>
    <w:rsid w:val="00FA4B3F"/>
    <w:rsid w:val="00FB158D"/>
    <w:rsid w:val="00FB453A"/>
    <w:rsid w:val="00FD0256"/>
    <w:rsid w:val="00FD0679"/>
    <w:rsid w:val="00FE69D1"/>
    <w:rsid w:val="00FF1462"/>
    <w:rsid w:val="03975BB2"/>
    <w:rsid w:val="06E60D29"/>
    <w:rsid w:val="0E280837"/>
    <w:rsid w:val="111925E1"/>
    <w:rsid w:val="1B0A43E8"/>
    <w:rsid w:val="25EF714A"/>
    <w:rsid w:val="26261822"/>
    <w:rsid w:val="2E7009CB"/>
    <w:rsid w:val="30B43B75"/>
    <w:rsid w:val="320F63B0"/>
    <w:rsid w:val="35FD03AC"/>
    <w:rsid w:val="36B934D6"/>
    <w:rsid w:val="37EA1649"/>
    <w:rsid w:val="3F3F1BD0"/>
    <w:rsid w:val="40DD2E3C"/>
    <w:rsid w:val="40FC2064"/>
    <w:rsid w:val="41EA5032"/>
    <w:rsid w:val="420C2FE8"/>
    <w:rsid w:val="42756BA5"/>
    <w:rsid w:val="4C855396"/>
    <w:rsid w:val="4EA25710"/>
    <w:rsid w:val="501442ED"/>
    <w:rsid w:val="54A85071"/>
    <w:rsid w:val="54B26C85"/>
    <w:rsid w:val="564C5C5C"/>
    <w:rsid w:val="582C5C37"/>
    <w:rsid w:val="622F4B23"/>
    <w:rsid w:val="66402528"/>
    <w:rsid w:val="67046310"/>
    <w:rsid w:val="69C61397"/>
    <w:rsid w:val="6B630C9E"/>
    <w:rsid w:val="6C4504B1"/>
    <w:rsid w:val="6D60667F"/>
    <w:rsid w:val="728124EA"/>
    <w:rsid w:val="754E3901"/>
    <w:rsid w:val="76FF6B4B"/>
    <w:rsid w:val="7AE76131"/>
    <w:rsid w:val="7E765088"/>
    <w:rsid w:val="7FB1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uiPriority w:val="0"/>
    <w:pPr>
      <w:ind w:left="171" w:leftChars="171" w:firstLine="210" w:firstLineChars="100"/>
    </w:pPr>
  </w:style>
  <w:style w:type="paragraph" w:styleId="3">
    <w:name w:val="Plain Text"/>
    <w:basedOn w:val="1"/>
    <w:link w:val="13"/>
    <w:qFormat/>
    <w:uiPriority w:val="0"/>
    <w:rPr>
      <w:rFonts w:ascii="宋体" w:hAnsi="Courier New"/>
      <w:szCs w:val="20"/>
    </w:rPr>
  </w:style>
  <w:style w:type="paragraph" w:styleId="4">
    <w:name w:val="Balloon Text"/>
    <w:basedOn w:val="1"/>
    <w:link w:val="12"/>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框文本 Char"/>
    <w:basedOn w:val="7"/>
    <w:link w:val="4"/>
    <w:semiHidden/>
    <w:qFormat/>
    <w:uiPriority w:val="99"/>
    <w:rPr>
      <w:sz w:val="18"/>
      <w:szCs w:val="18"/>
    </w:rPr>
  </w:style>
  <w:style w:type="character" w:customStyle="1" w:styleId="13">
    <w:name w:val="纯文本 Char"/>
    <w:basedOn w:val="7"/>
    <w:link w:val="3"/>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Company>
  <Pages>4</Pages>
  <Words>325</Words>
  <Characters>1859</Characters>
  <Lines>15</Lines>
  <Paragraphs>4</Paragraphs>
  <ScaleCrop>false</ScaleCrop>
  <LinksUpToDate>false</LinksUpToDate>
  <CharactersWithSpaces>2180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公司QEHS管理体系文件</dc:title>
  <dc:creator>雨林木风</dc:creator>
  <cp:lastModifiedBy>Administrator</cp:lastModifiedBy>
  <cp:revision>9</cp:revision>
  <cp:lastPrinted>2017-07-12T03:21:00Z</cp:lastPrinted>
  <dcterms:created xsi:type="dcterms:W3CDTF">2017-11-29T02:53:00Z</dcterms:created>
  <dcterms:modified xsi:type="dcterms:W3CDTF">2018-02-08T03:06:50Z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