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76BD0">
      <w:pPr>
        <w:keepNext w:val="0"/>
        <w:keepLines w:val="0"/>
        <w:pageBreakBefore w:val="0"/>
        <w:widowControl/>
        <w:suppressLineNumbers w:val="0"/>
        <w:kinsoku/>
        <w:wordWrap/>
        <w:overflowPunct/>
        <w:topLinePunct w:val="0"/>
        <w:autoSpaceDE/>
        <w:autoSpaceDN/>
        <w:bidi w:val="0"/>
        <w:adjustRightInd/>
        <w:snapToGrid/>
        <w:spacing w:line="700" w:lineRule="exact"/>
        <w:ind w:firstLine="840" w:firstLineChars="3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安全生产检查制度是指企业为了保障生产过程的安全与员工的生命财产安全，根据国家法律法规及相关标准，特制定的安全管理措施和检查程序。这类制度通常包括但不限于以下几个方面：</w:t>
      </w:r>
    </w:p>
    <w:p w14:paraId="06ACC5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1.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目的和依据</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：明确制度建立的目的，以及依据的法律法规、国家标准、行业标准等。</w:t>
      </w:r>
    </w:p>
    <w:p w14:paraId="0465B0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2.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适用范围</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：规定制度适用于哪些部门、岗位或工作场所。</w:t>
      </w:r>
    </w:p>
    <w:p w14:paraId="308BB2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3.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检查内容</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：具体列出需要检查的安全项目，如设备设施的安全性能、作业环境的安全条件、员工的个人防护装备等。</w:t>
      </w:r>
    </w:p>
    <w:p w14:paraId="0D9715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4.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检查方式</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：包括定期检查、不定期抽查、专项检查等不同形式，以及检查的具体方法和流程。</w:t>
      </w:r>
    </w:p>
    <w:p w14:paraId="03AA63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5.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责任分工</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：明确各级管理人员、部门及个人在安全生产检查中的职责与权限。</w:t>
      </w:r>
    </w:p>
    <w:p w14:paraId="7377CD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6.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问题处理</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：对检查中发现的问题，规定相应的整改要求、时限及复查机制。</w:t>
      </w:r>
    </w:p>
    <w:p w14:paraId="60D05C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7.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记录与报告</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：要求做好检查记录，并按规定向上级或相关部门报告检查结果。</w:t>
      </w:r>
    </w:p>
    <w:p w14:paraId="70F544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left"/>
        <w:textAlignment w:val="auto"/>
        <w:rPr>
          <w:rFonts w:hint="eastAsia" w:asciiTheme="majorEastAsia" w:hAnsiTheme="majorEastAsia" w:eastAsiaTheme="majorEastAsia" w:cstheme="majorEastAsia"/>
          <w:i w:val="0"/>
          <w:iCs w:val="0"/>
          <w:caps w:val="0"/>
          <w:color w:val="171A1D"/>
          <w:spacing w:val="0"/>
          <w:sz w:val="28"/>
          <w:szCs w:val="28"/>
        </w:rPr>
      </w:pPr>
      <w:r>
        <w:rPr>
          <w:rFonts w:hint="eastAsia" w:asciiTheme="majorEastAsia" w:hAnsiTheme="majorEastAsia" w:eastAsiaTheme="majorEastAsia" w:cstheme="majorEastAsia"/>
          <w:b w:val="0"/>
          <w:bCs w:val="0"/>
          <w:i w:val="0"/>
          <w:iCs w:val="0"/>
          <w:caps w:val="0"/>
          <w:color w:val="171A1D"/>
          <w:spacing w:val="0"/>
          <w:kern w:val="0"/>
          <w:sz w:val="28"/>
          <w:szCs w:val="28"/>
          <w:bdr w:val="none" w:color="auto" w:sz="0" w:space="0"/>
          <w:shd w:val="clear" w:fill="FFFFFF"/>
          <w:lang w:val="en-US" w:eastAsia="zh-CN" w:bidi="ar"/>
        </w:rPr>
        <w:t xml:space="preserve">8. </w:t>
      </w:r>
      <w:r>
        <w:rPr>
          <w:rFonts w:hint="eastAsia" w:asciiTheme="majorEastAsia" w:hAnsiTheme="majorEastAsia" w:eastAsiaTheme="majorEastAsia" w:cstheme="majorEastAsia"/>
          <w:b/>
          <w:bCs/>
          <w:i w:val="0"/>
          <w:iCs w:val="0"/>
          <w:caps w:val="0"/>
          <w:color w:val="171A1D"/>
          <w:spacing w:val="0"/>
          <w:kern w:val="0"/>
          <w:sz w:val="28"/>
          <w:szCs w:val="28"/>
          <w:shd w:val="clear" w:fill="FFFFFF"/>
          <w:lang w:val="en-US" w:eastAsia="zh-CN" w:bidi="ar"/>
        </w:rPr>
        <w:t>培训与考核</w:t>
      </w:r>
      <w:r>
        <w:rPr>
          <w:rFonts w:hint="eastAsia" w:asciiTheme="majorEastAsia" w:hAnsiTheme="majorEastAsia" w:eastAsiaTheme="majorEastAsia" w:cstheme="majorEastAsia"/>
          <w:b w:val="0"/>
          <w:bCs w:val="0"/>
          <w:i w:val="0"/>
          <w:iCs w:val="0"/>
          <w:caps w:val="0"/>
          <w:color w:val="171A1D"/>
          <w:spacing w:val="0"/>
          <w:kern w:val="0"/>
          <w:sz w:val="28"/>
          <w:szCs w:val="28"/>
          <w:shd w:val="clear" w:fill="FFFFFF"/>
          <w:lang w:val="en-US" w:eastAsia="zh-CN" w:bidi="ar"/>
        </w:rPr>
        <w:t>：对相关人员进行安全生产知识的培训，并将其纳入绩效考核体系中。</w:t>
      </w:r>
    </w:p>
    <w:p w14:paraId="3DD2A519">
      <w:pPr>
        <w:keepNext w:val="0"/>
        <w:keepLines w:val="0"/>
        <w:pageBreakBefore w:val="0"/>
        <w:kinsoku/>
        <w:wordWrap/>
        <w:overflowPunct/>
        <w:topLinePunct w:val="0"/>
        <w:autoSpaceDE/>
        <w:autoSpaceDN/>
        <w:bidi w:val="0"/>
        <w:adjustRightInd/>
        <w:snapToGrid/>
        <w:spacing w:line="700" w:lineRule="exact"/>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bookmarkStart w:id="0" w:name="_GoBack"/>
      <w:bookmarkEnd w:id="0"/>
      <w:r>
        <w:rPr>
          <w:rFonts w:hint="eastAsia" w:asciiTheme="majorEastAsia" w:hAnsiTheme="majorEastAsia" w:eastAsiaTheme="majorEastAsia" w:cstheme="majorEastAsia"/>
          <w:sz w:val="28"/>
          <w:szCs w:val="28"/>
          <w:lang w:val="en-US" w:eastAsia="zh-CN"/>
        </w:rPr>
        <w:t xml:space="preserve"> 四川瑞万福物业服务集团有限公司南充分公司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1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2024-12-20T02:11:39Z</dcterms:created>
  <dc:creator>Administrator</dc:creator>
  <cp:lastModifiedBy>维维</cp:lastModifiedBy>
  <dcterms:modified xsi:type="dcterms:W3CDTF">2024-12-20T02:14:45Z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86CC7008ED6E4A1FA50EFADC7FFFA364_12</vt:lpwstr>
  </property>
</Properties>
</file>